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38DEC2B" w14:textId="77777777" w:rsidR="008706DD" w:rsidRPr="00375799" w:rsidRDefault="008706DD" w:rsidP="0055107B">
      <w:pPr>
        <w:spacing w:after="0" w:line="276" w:lineRule="auto"/>
        <w:ind w:left="57" w:right="57"/>
        <w:contextualSpacing/>
        <w:jc w:val="both"/>
        <w:rPr>
          <w:rFonts w:cstheme="minorHAnsi"/>
          <w:b/>
          <w:color w:val="000000" w:themeColor="text1"/>
          <w:sz w:val="24"/>
          <w:szCs w:val="24"/>
        </w:rPr>
      </w:pPr>
    </w:p>
    <w:p w14:paraId="36A9F46E" w14:textId="77777777" w:rsidR="008706DD" w:rsidRPr="00375799" w:rsidRDefault="008706DD" w:rsidP="0055107B">
      <w:pPr>
        <w:spacing w:after="0" w:line="276" w:lineRule="auto"/>
        <w:ind w:left="57" w:right="57"/>
        <w:contextualSpacing/>
        <w:jc w:val="both"/>
        <w:rPr>
          <w:rFonts w:cstheme="minorHAnsi"/>
          <w:b/>
          <w:color w:val="000000" w:themeColor="text1"/>
          <w:sz w:val="24"/>
          <w:szCs w:val="24"/>
        </w:rPr>
      </w:pPr>
      <w:r w:rsidRPr="00375799">
        <w:rPr>
          <w:rFonts w:cstheme="minorHAnsi"/>
          <w:b/>
          <w:color w:val="000000" w:themeColor="text1"/>
          <w:sz w:val="24"/>
          <w:szCs w:val="24"/>
        </w:rPr>
        <w:t>UZASADNIENIE</w:t>
      </w:r>
    </w:p>
    <w:p w14:paraId="3112EC64"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sdt>
      <w:sdtPr>
        <w:rPr>
          <w:rFonts w:asciiTheme="minorHAnsi" w:eastAsiaTheme="minorHAnsi" w:hAnsiTheme="minorHAnsi" w:cstheme="minorHAnsi"/>
          <w:color w:val="000000" w:themeColor="text1"/>
          <w:sz w:val="24"/>
          <w:szCs w:val="24"/>
          <w:lang w:eastAsia="en-US"/>
        </w:rPr>
        <w:id w:val="1624190422"/>
        <w:docPartObj>
          <w:docPartGallery w:val="Table of Contents"/>
          <w:docPartUnique/>
        </w:docPartObj>
      </w:sdtPr>
      <w:sdtEndPr>
        <w:rPr>
          <w:b/>
          <w:bCs/>
        </w:rPr>
      </w:sdtEndPr>
      <w:sdtContent>
        <w:p w14:paraId="3E03764B" w14:textId="77777777" w:rsidR="008706DD" w:rsidRPr="00375799" w:rsidRDefault="008706DD" w:rsidP="0055107B">
          <w:pPr>
            <w:pStyle w:val="Nagwekspisutreci"/>
            <w:spacing w:before="0" w:line="276" w:lineRule="auto"/>
            <w:ind w:left="57" w:right="57"/>
            <w:contextualSpacing/>
            <w:jc w:val="both"/>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Spis treści</w:t>
          </w:r>
        </w:p>
        <w:p w14:paraId="3B53D760" w14:textId="77777777" w:rsidR="00F340A3" w:rsidRDefault="008706DD">
          <w:pPr>
            <w:pStyle w:val="Spistreci2"/>
            <w:rPr>
              <w:rFonts w:eastAsiaTheme="minorEastAsia"/>
              <w:noProof/>
              <w:lang w:eastAsia="pl-PL"/>
            </w:rPr>
          </w:pPr>
          <w:r w:rsidRPr="00375799">
            <w:rPr>
              <w:rFonts w:cstheme="minorHAnsi"/>
              <w:color w:val="000000" w:themeColor="text1"/>
              <w:sz w:val="24"/>
              <w:szCs w:val="24"/>
            </w:rPr>
            <w:fldChar w:fldCharType="begin"/>
          </w:r>
          <w:r w:rsidRPr="00375799">
            <w:rPr>
              <w:rFonts w:cstheme="minorHAnsi"/>
              <w:color w:val="000000" w:themeColor="text1"/>
              <w:sz w:val="24"/>
              <w:szCs w:val="24"/>
            </w:rPr>
            <w:instrText xml:space="preserve"> TOC \o "1-3" \h \z \u </w:instrText>
          </w:r>
          <w:r w:rsidRPr="00375799">
            <w:rPr>
              <w:rFonts w:cstheme="minorHAnsi"/>
              <w:color w:val="000000" w:themeColor="text1"/>
              <w:sz w:val="24"/>
              <w:szCs w:val="24"/>
            </w:rPr>
            <w:fldChar w:fldCharType="separate"/>
          </w:r>
          <w:hyperlink w:anchor="_Toc530564973" w:history="1">
            <w:r w:rsidR="00F340A3" w:rsidRPr="00C77770">
              <w:rPr>
                <w:rStyle w:val="Hipercze"/>
                <w:rFonts w:cstheme="minorHAnsi"/>
                <w:noProof/>
              </w:rPr>
              <w:t>Opis ogólny</w:t>
            </w:r>
            <w:r w:rsidR="00F340A3">
              <w:rPr>
                <w:noProof/>
                <w:webHidden/>
              </w:rPr>
              <w:tab/>
            </w:r>
            <w:r w:rsidR="00F340A3">
              <w:rPr>
                <w:noProof/>
                <w:webHidden/>
              </w:rPr>
              <w:fldChar w:fldCharType="begin"/>
            </w:r>
            <w:r w:rsidR="00F340A3">
              <w:rPr>
                <w:noProof/>
                <w:webHidden/>
              </w:rPr>
              <w:instrText xml:space="preserve"> PAGEREF _Toc530564973 \h </w:instrText>
            </w:r>
            <w:r w:rsidR="00F340A3">
              <w:rPr>
                <w:noProof/>
                <w:webHidden/>
              </w:rPr>
            </w:r>
            <w:r w:rsidR="00F340A3">
              <w:rPr>
                <w:noProof/>
                <w:webHidden/>
              </w:rPr>
              <w:fldChar w:fldCharType="separate"/>
            </w:r>
            <w:r w:rsidR="00F05192">
              <w:rPr>
                <w:noProof/>
                <w:webHidden/>
              </w:rPr>
              <w:t>9</w:t>
            </w:r>
            <w:r w:rsidR="00F340A3">
              <w:rPr>
                <w:noProof/>
                <w:webHidden/>
              </w:rPr>
              <w:fldChar w:fldCharType="end"/>
            </w:r>
          </w:hyperlink>
        </w:p>
        <w:p w14:paraId="1A7A4FED" w14:textId="77777777" w:rsidR="00F340A3" w:rsidRDefault="00DF3C4F">
          <w:pPr>
            <w:pStyle w:val="Spistreci2"/>
            <w:rPr>
              <w:rFonts w:eastAsiaTheme="minorEastAsia"/>
              <w:noProof/>
              <w:lang w:eastAsia="pl-PL"/>
            </w:rPr>
          </w:pPr>
          <w:hyperlink w:anchor="_Toc530564974" w:history="1">
            <w:r w:rsidR="00F340A3" w:rsidRPr="00C77770">
              <w:rPr>
                <w:rStyle w:val="Hipercze"/>
                <w:rFonts w:cstheme="minorHAnsi"/>
                <w:noProof/>
              </w:rPr>
              <w:t>Ustawa z dnia 14 czerwca 1960 r. − Kodeks postępowania administracyjnego (Dz. U. z 2018 r. poz. 2096)</w:t>
            </w:r>
            <w:r w:rsidR="00F340A3">
              <w:rPr>
                <w:noProof/>
                <w:webHidden/>
              </w:rPr>
              <w:tab/>
            </w:r>
            <w:r w:rsidR="00F340A3">
              <w:rPr>
                <w:noProof/>
                <w:webHidden/>
              </w:rPr>
              <w:fldChar w:fldCharType="begin"/>
            </w:r>
            <w:r w:rsidR="00F340A3">
              <w:rPr>
                <w:noProof/>
                <w:webHidden/>
              </w:rPr>
              <w:instrText xml:space="preserve"> PAGEREF _Toc530564974 \h </w:instrText>
            </w:r>
            <w:r w:rsidR="00F340A3">
              <w:rPr>
                <w:noProof/>
                <w:webHidden/>
              </w:rPr>
            </w:r>
            <w:r w:rsidR="00F340A3">
              <w:rPr>
                <w:noProof/>
                <w:webHidden/>
              </w:rPr>
              <w:fldChar w:fldCharType="separate"/>
            </w:r>
            <w:r w:rsidR="00F05192">
              <w:rPr>
                <w:noProof/>
                <w:webHidden/>
              </w:rPr>
              <w:t>12</w:t>
            </w:r>
            <w:r w:rsidR="00F340A3">
              <w:rPr>
                <w:noProof/>
                <w:webHidden/>
              </w:rPr>
              <w:fldChar w:fldCharType="end"/>
            </w:r>
          </w:hyperlink>
        </w:p>
        <w:p w14:paraId="6158E69A" w14:textId="77777777" w:rsidR="00F340A3" w:rsidRDefault="00DF3C4F">
          <w:pPr>
            <w:pStyle w:val="Spistreci2"/>
            <w:rPr>
              <w:rFonts w:eastAsiaTheme="minorEastAsia"/>
              <w:noProof/>
              <w:lang w:eastAsia="pl-PL"/>
            </w:rPr>
          </w:pPr>
          <w:hyperlink w:anchor="_Toc530564975" w:history="1">
            <w:r w:rsidR="00F340A3" w:rsidRPr="00C77770">
              <w:rPr>
                <w:rStyle w:val="Hipercze"/>
                <w:rFonts w:cstheme="minorHAnsi"/>
                <w:noProof/>
              </w:rPr>
              <w:t>Ustawa z dnia 1 grudnia 1961 r. o izbach morskich (Dz. U. z 2016 r. poz. 1207)</w:t>
            </w:r>
            <w:r w:rsidR="00F340A3">
              <w:rPr>
                <w:noProof/>
                <w:webHidden/>
              </w:rPr>
              <w:tab/>
            </w:r>
            <w:r w:rsidR="00F340A3">
              <w:rPr>
                <w:noProof/>
                <w:webHidden/>
              </w:rPr>
              <w:fldChar w:fldCharType="begin"/>
            </w:r>
            <w:r w:rsidR="00F340A3">
              <w:rPr>
                <w:noProof/>
                <w:webHidden/>
              </w:rPr>
              <w:instrText xml:space="preserve"> PAGEREF _Toc530564975 \h </w:instrText>
            </w:r>
            <w:r w:rsidR="00F340A3">
              <w:rPr>
                <w:noProof/>
                <w:webHidden/>
              </w:rPr>
            </w:r>
            <w:r w:rsidR="00F340A3">
              <w:rPr>
                <w:noProof/>
                <w:webHidden/>
              </w:rPr>
              <w:fldChar w:fldCharType="separate"/>
            </w:r>
            <w:r w:rsidR="00F05192">
              <w:rPr>
                <w:noProof/>
                <w:webHidden/>
              </w:rPr>
              <w:t>16</w:t>
            </w:r>
            <w:r w:rsidR="00F340A3">
              <w:rPr>
                <w:noProof/>
                <w:webHidden/>
              </w:rPr>
              <w:fldChar w:fldCharType="end"/>
            </w:r>
          </w:hyperlink>
        </w:p>
        <w:p w14:paraId="2A9381EE" w14:textId="77777777" w:rsidR="00F340A3" w:rsidRDefault="00DF3C4F">
          <w:pPr>
            <w:pStyle w:val="Spistreci2"/>
            <w:rPr>
              <w:rFonts w:eastAsiaTheme="minorEastAsia"/>
              <w:noProof/>
              <w:lang w:eastAsia="pl-PL"/>
            </w:rPr>
          </w:pPr>
          <w:hyperlink w:anchor="_Toc530564976" w:history="1">
            <w:r w:rsidR="00F340A3" w:rsidRPr="00C77770">
              <w:rPr>
                <w:rStyle w:val="Hipercze"/>
                <w:rFonts w:cstheme="minorHAnsi"/>
                <w:noProof/>
              </w:rPr>
              <w:t>Ustawa z dnia 17 czerwca 1966 r. o postępowaniu egzekucyjnym w administracji (Dz. U. z 2018 r. poz. 1314, 1356, 1499 i 1629)</w:t>
            </w:r>
            <w:r w:rsidR="00F340A3">
              <w:rPr>
                <w:noProof/>
                <w:webHidden/>
              </w:rPr>
              <w:tab/>
            </w:r>
            <w:r w:rsidR="00F340A3">
              <w:rPr>
                <w:noProof/>
                <w:webHidden/>
              </w:rPr>
              <w:fldChar w:fldCharType="begin"/>
            </w:r>
            <w:r w:rsidR="00F340A3">
              <w:rPr>
                <w:noProof/>
                <w:webHidden/>
              </w:rPr>
              <w:instrText xml:space="preserve"> PAGEREF _Toc530564976 \h </w:instrText>
            </w:r>
            <w:r w:rsidR="00F340A3">
              <w:rPr>
                <w:noProof/>
                <w:webHidden/>
              </w:rPr>
            </w:r>
            <w:r w:rsidR="00F340A3">
              <w:rPr>
                <w:noProof/>
                <w:webHidden/>
              </w:rPr>
              <w:fldChar w:fldCharType="separate"/>
            </w:r>
            <w:r w:rsidR="00F05192">
              <w:rPr>
                <w:noProof/>
                <w:webHidden/>
              </w:rPr>
              <w:t>21</w:t>
            </w:r>
            <w:r w:rsidR="00F340A3">
              <w:rPr>
                <w:noProof/>
                <w:webHidden/>
              </w:rPr>
              <w:fldChar w:fldCharType="end"/>
            </w:r>
          </w:hyperlink>
        </w:p>
        <w:p w14:paraId="77EC5515" w14:textId="77777777" w:rsidR="00F340A3" w:rsidRDefault="00DF3C4F">
          <w:pPr>
            <w:pStyle w:val="Spistreci2"/>
            <w:rPr>
              <w:rFonts w:eastAsiaTheme="minorEastAsia"/>
              <w:noProof/>
              <w:lang w:eastAsia="pl-PL"/>
            </w:rPr>
          </w:pPr>
          <w:hyperlink w:anchor="_Toc530564977" w:history="1">
            <w:r w:rsidR="00F340A3" w:rsidRPr="00C77770">
              <w:rPr>
                <w:rStyle w:val="Hipercze"/>
                <w:rFonts w:cstheme="minorHAnsi"/>
                <w:noProof/>
              </w:rPr>
              <w:t>Ustawa z dnia 26 czerwca 1974 r. – Kodeks pracy (Dz. U. z 2018 r. poz. 917, 1000, 1076, 1608 i 1629)</w:t>
            </w:r>
            <w:r w:rsidR="00F340A3">
              <w:rPr>
                <w:noProof/>
                <w:webHidden/>
              </w:rPr>
              <w:tab/>
            </w:r>
            <w:r w:rsidR="00F340A3">
              <w:rPr>
                <w:noProof/>
                <w:webHidden/>
              </w:rPr>
              <w:fldChar w:fldCharType="begin"/>
            </w:r>
            <w:r w:rsidR="00F340A3">
              <w:rPr>
                <w:noProof/>
                <w:webHidden/>
              </w:rPr>
              <w:instrText xml:space="preserve"> PAGEREF _Toc530564977 \h </w:instrText>
            </w:r>
            <w:r w:rsidR="00F340A3">
              <w:rPr>
                <w:noProof/>
                <w:webHidden/>
              </w:rPr>
            </w:r>
            <w:r w:rsidR="00F340A3">
              <w:rPr>
                <w:noProof/>
                <w:webHidden/>
              </w:rPr>
              <w:fldChar w:fldCharType="separate"/>
            </w:r>
            <w:r w:rsidR="00F05192">
              <w:rPr>
                <w:noProof/>
                <w:webHidden/>
              </w:rPr>
              <w:t>24</w:t>
            </w:r>
            <w:r w:rsidR="00F340A3">
              <w:rPr>
                <w:noProof/>
                <w:webHidden/>
              </w:rPr>
              <w:fldChar w:fldCharType="end"/>
            </w:r>
          </w:hyperlink>
        </w:p>
        <w:p w14:paraId="40890DBA" w14:textId="77777777" w:rsidR="00F340A3" w:rsidRDefault="00DF3C4F">
          <w:pPr>
            <w:pStyle w:val="Spistreci2"/>
            <w:rPr>
              <w:rFonts w:eastAsiaTheme="minorEastAsia"/>
              <w:noProof/>
              <w:lang w:eastAsia="pl-PL"/>
            </w:rPr>
          </w:pPr>
          <w:hyperlink w:anchor="_Toc530564978" w:history="1">
            <w:r w:rsidR="00F340A3" w:rsidRPr="00C77770">
              <w:rPr>
                <w:rStyle w:val="Hipercze"/>
                <w:rFonts w:cstheme="minorHAnsi"/>
                <w:noProof/>
              </w:rPr>
              <w:t>Ustawa z dnia 26 stycznia 1982 r. – Karta Nauczyciela (Dz. U. z 2018 r. poz. 967)</w:t>
            </w:r>
            <w:r w:rsidR="00F340A3">
              <w:rPr>
                <w:noProof/>
                <w:webHidden/>
              </w:rPr>
              <w:tab/>
            </w:r>
            <w:r w:rsidR="00F340A3">
              <w:rPr>
                <w:noProof/>
                <w:webHidden/>
              </w:rPr>
              <w:fldChar w:fldCharType="begin"/>
            </w:r>
            <w:r w:rsidR="00F340A3">
              <w:rPr>
                <w:noProof/>
                <w:webHidden/>
              </w:rPr>
              <w:instrText xml:space="preserve"> PAGEREF _Toc530564978 \h </w:instrText>
            </w:r>
            <w:r w:rsidR="00F340A3">
              <w:rPr>
                <w:noProof/>
                <w:webHidden/>
              </w:rPr>
            </w:r>
            <w:r w:rsidR="00F340A3">
              <w:rPr>
                <w:noProof/>
                <w:webHidden/>
              </w:rPr>
              <w:fldChar w:fldCharType="separate"/>
            </w:r>
            <w:r w:rsidR="00F05192">
              <w:rPr>
                <w:noProof/>
                <w:webHidden/>
              </w:rPr>
              <w:t>26</w:t>
            </w:r>
            <w:r w:rsidR="00F340A3">
              <w:rPr>
                <w:noProof/>
                <w:webHidden/>
              </w:rPr>
              <w:fldChar w:fldCharType="end"/>
            </w:r>
          </w:hyperlink>
        </w:p>
        <w:p w14:paraId="64E05F3A" w14:textId="77777777" w:rsidR="00F340A3" w:rsidRDefault="00DF3C4F">
          <w:pPr>
            <w:pStyle w:val="Spistreci2"/>
            <w:rPr>
              <w:rFonts w:eastAsiaTheme="minorEastAsia"/>
              <w:noProof/>
              <w:lang w:eastAsia="pl-PL"/>
            </w:rPr>
          </w:pPr>
          <w:hyperlink w:anchor="_Toc530564979" w:history="1">
            <w:r w:rsidR="00F340A3" w:rsidRPr="00C77770">
              <w:rPr>
                <w:rStyle w:val="Hipercze"/>
                <w:rFonts w:cstheme="minorHAnsi"/>
                <w:noProof/>
              </w:rPr>
              <w:t>Ustawa z dnia 26 marca 1982 r. o Trybunale Stanu (Dz. U. z 2016 r. poz. 2050)</w:t>
            </w:r>
            <w:r w:rsidR="00F340A3">
              <w:rPr>
                <w:noProof/>
                <w:webHidden/>
              </w:rPr>
              <w:tab/>
            </w:r>
            <w:r w:rsidR="00F340A3">
              <w:rPr>
                <w:noProof/>
                <w:webHidden/>
              </w:rPr>
              <w:fldChar w:fldCharType="begin"/>
            </w:r>
            <w:r w:rsidR="00F340A3">
              <w:rPr>
                <w:noProof/>
                <w:webHidden/>
              </w:rPr>
              <w:instrText xml:space="preserve"> PAGEREF _Toc530564979 \h </w:instrText>
            </w:r>
            <w:r w:rsidR="00F340A3">
              <w:rPr>
                <w:noProof/>
                <w:webHidden/>
              </w:rPr>
            </w:r>
            <w:r w:rsidR="00F340A3">
              <w:rPr>
                <w:noProof/>
                <w:webHidden/>
              </w:rPr>
              <w:fldChar w:fldCharType="separate"/>
            </w:r>
            <w:r w:rsidR="00F05192">
              <w:rPr>
                <w:noProof/>
                <w:webHidden/>
              </w:rPr>
              <w:t>27</w:t>
            </w:r>
            <w:r w:rsidR="00F340A3">
              <w:rPr>
                <w:noProof/>
                <w:webHidden/>
              </w:rPr>
              <w:fldChar w:fldCharType="end"/>
            </w:r>
          </w:hyperlink>
        </w:p>
        <w:p w14:paraId="0EB218ED" w14:textId="77777777" w:rsidR="00F340A3" w:rsidRDefault="00DF3C4F">
          <w:pPr>
            <w:pStyle w:val="Spistreci2"/>
            <w:rPr>
              <w:rFonts w:eastAsiaTheme="minorEastAsia"/>
              <w:noProof/>
              <w:lang w:eastAsia="pl-PL"/>
            </w:rPr>
          </w:pPr>
          <w:hyperlink w:anchor="_Toc530564980" w:history="1">
            <w:r w:rsidR="00F340A3" w:rsidRPr="00C77770">
              <w:rPr>
                <w:rStyle w:val="Hipercze"/>
                <w:rFonts w:cstheme="minorHAnsi"/>
                <w:noProof/>
              </w:rPr>
              <w:t>Ustawa z dnia 26 maja 1982 r. – Prawo o adwokaturze (Dz. U. z 2018 r. poz. 1184, 1467 i 1669) i ustawa z dnia 6 lipca 1982 r. o radcach prawnych (Dz. U. z 2018 r. poz. 2115)</w:t>
            </w:r>
            <w:r w:rsidR="00F340A3">
              <w:rPr>
                <w:noProof/>
                <w:webHidden/>
              </w:rPr>
              <w:tab/>
            </w:r>
            <w:r w:rsidR="00F340A3">
              <w:rPr>
                <w:noProof/>
                <w:webHidden/>
              </w:rPr>
              <w:fldChar w:fldCharType="begin"/>
            </w:r>
            <w:r w:rsidR="00F340A3">
              <w:rPr>
                <w:noProof/>
                <w:webHidden/>
              </w:rPr>
              <w:instrText xml:space="preserve"> PAGEREF _Toc530564980 \h </w:instrText>
            </w:r>
            <w:r w:rsidR="00F340A3">
              <w:rPr>
                <w:noProof/>
                <w:webHidden/>
              </w:rPr>
            </w:r>
            <w:r w:rsidR="00F340A3">
              <w:rPr>
                <w:noProof/>
                <w:webHidden/>
              </w:rPr>
              <w:fldChar w:fldCharType="separate"/>
            </w:r>
            <w:r w:rsidR="00F05192">
              <w:rPr>
                <w:noProof/>
                <w:webHidden/>
              </w:rPr>
              <w:t>27</w:t>
            </w:r>
            <w:r w:rsidR="00F340A3">
              <w:rPr>
                <w:noProof/>
                <w:webHidden/>
              </w:rPr>
              <w:fldChar w:fldCharType="end"/>
            </w:r>
          </w:hyperlink>
        </w:p>
        <w:p w14:paraId="6173024E" w14:textId="77777777" w:rsidR="00F340A3" w:rsidRDefault="00DF3C4F">
          <w:pPr>
            <w:pStyle w:val="Spistreci2"/>
            <w:rPr>
              <w:rFonts w:eastAsiaTheme="minorEastAsia"/>
              <w:noProof/>
              <w:lang w:eastAsia="pl-PL"/>
            </w:rPr>
          </w:pPr>
          <w:hyperlink w:anchor="_Toc530564981" w:history="1">
            <w:r w:rsidR="00F340A3" w:rsidRPr="00C77770">
              <w:rPr>
                <w:rStyle w:val="Hipercze"/>
                <w:rFonts w:cstheme="minorHAnsi"/>
                <w:noProof/>
              </w:rPr>
              <w:t>Ustawa z dnia 6 lipca 1982 r. o księgach wieczystych i hipotece (Dz. U. z 2018 r. poz. 1916)</w:t>
            </w:r>
            <w:r w:rsidR="00F340A3">
              <w:rPr>
                <w:noProof/>
                <w:webHidden/>
              </w:rPr>
              <w:tab/>
            </w:r>
            <w:r w:rsidR="00F340A3">
              <w:rPr>
                <w:noProof/>
                <w:webHidden/>
              </w:rPr>
              <w:fldChar w:fldCharType="begin"/>
            </w:r>
            <w:r w:rsidR="00F340A3">
              <w:rPr>
                <w:noProof/>
                <w:webHidden/>
              </w:rPr>
              <w:instrText xml:space="preserve"> PAGEREF _Toc530564981 \h </w:instrText>
            </w:r>
            <w:r w:rsidR="00F340A3">
              <w:rPr>
                <w:noProof/>
                <w:webHidden/>
              </w:rPr>
            </w:r>
            <w:r w:rsidR="00F340A3">
              <w:rPr>
                <w:noProof/>
                <w:webHidden/>
              </w:rPr>
              <w:fldChar w:fldCharType="separate"/>
            </w:r>
            <w:r w:rsidR="00F05192">
              <w:rPr>
                <w:noProof/>
                <w:webHidden/>
              </w:rPr>
              <w:t>32</w:t>
            </w:r>
            <w:r w:rsidR="00F340A3">
              <w:rPr>
                <w:noProof/>
                <w:webHidden/>
              </w:rPr>
              <w:fldChar w:fldCharType="end"/>
            </w:r>
          </w:hyperlink>
        </w:p>
        <w:p w14:paraId="142C4BBF" w14:textId="77777777" w:rsidR="00F340A3" w:rsidRDefault="00DF3C4F">
          <w:pPr>
            <w:pStyle w:val="Spistreci2"/>
            <w:rPr>
              <w:rFonts w:eastAsiaTheme="minorEastAsia"/>
              <w:noProof/>
              <w:lang w:eastAsia="pl-PL"/>
            </w:rPr>
          </w:pPr>
          <w:hyperlink w:anchor="_Toc530564982" w:history="1">
            <w:r w:rsidR="00F340A3" w:rsidRPr="00C77770">
              <w:rPr>
                <w:rStyle w:val="Hipercze"/>
                <w:rFonts w:cstheme="minorHAnsi"/>
                <w:noProof/>
              </w:rPr>
              <w:t>Ustawa z dnia 16 września 1982 r. – Prawo spółdzielcze (Dz. U. z 2018 r. poz. 1285)</w:t>
            </w:r>
            <w:r w:rsidR="00F340A3">
              <w:rPr>
                <w:noProof/>
                <w:webHidden/>
              </w:rPr>
              <w:tab/>
            </w:r>
            <w:r w:rsidR="00F340A3">
              <w:rPr>
                <w:noProof/>
                <w:webHidden/>
              </w:rPr>
              <w:fldChar w:fldCharType="begin"/>
            </w:r>
            <w:r w:rsidR="00F340A3">
              <w:rPr>
                <w:noProof/>
                <w:webHidden/>
              </w:rPr>
              <w:instrText xml:space="preserve"> PAGEREF _Toc530564982 \h </w:instrText>
            </w:r>
            <w:r w:rsidR="00F340A3">
              <w:rPr>
                <w:noProof/>
                <w:webHidden/>
              </w:rPr>
            </w:r>
            <w:r w:rsidR="00F340A3">
              <w:rPr>
                <w:noProof/>
                <w:webHidden/>
              </w:rPr>
              <w:fldChar w:fldCharType="separate"/>
            </w:r>
            <w:r w:rsidR="00F05192">
              <w:rPr>
                <w:noProof/>
                <w:webHidden/>
              </w:rPr>
              <w:t>32</w:t>
            </w:r>
            <w:r w:rsidR="00F340A3">
              <w:rPr>
                <w:noProof/>
                <w:webHidden/>
              </w:rPr>
              <w:fldChar w:fldCharType="end"/>
            </w:r>
          </w:hyperlink>
        </w:p>
        <w:p w14:paraId="026296F6" w14:textId="4EB9DB85" w:rsidR="00F340A3" w:rsidRDefault="00DF3C4F">
          <w:pPr>
            <w:pStyle w:val="Spistreci2"/>
            <w:rPr>
              <w:rFonts w:eastAsiaTheme="minorEastAsia"/>
              <w:noProof/>
              <w:lang w:eastAsia="pl-PL"/>
            </w:rPr>
          </w:pPr>
          <w:hyperlink w:anchor="_Toc530564983" w:history="1">
            <w:r w:rsidR="00F340A3" w:rsidRPr="00C77770">
              <w:rPr>
                <w:rStyle w:val="Hipercze"/>
                <w:rFonts w:cstheme="minorHAnsi"/>
                <w:noProof/>
              </w:rPr>
              <w:t>Ustawa z dnia 26 października 1982 r. o wychowaniu w trzeźwości i przeciwdziała</w:t>
            </w:r>
            <w:r w:rsidR="003A431F">
              <w:rPr>
                <w:rStyle w:val="Hipercze"/>
                <w:rFonts w:cstheme="minorHAnsi"/>
                <w:noProof/>
              </w:rPr>
              <w:t>niu alkoholizmowi (Dz. U. z 2018</w:t>
            </w:r>
            <w:r w:rsidR="00F340A3" w:rsidRPr="00C77770">
              <w:rPr>
                <w:rStyle w:val="Hipercze"/>
                <w:rFonts w:cstheme="minorHAnsi"/>
                <w:noProof/>
              </w:rPr>
              <w:t xml:space="preserve"> r. p</w:t>
            </w:r>
            <w:r w:rsidR="003A431F">
              <w:rPr>
                <w:rStyle w:val="Hipercze"/>
                <w:rFonts w:cstheme="minorHAnsi"/>
                <w:noProof/>
              </w:rPr>
              <w:t>oz. 2137</w:t>
            </w:r>
            <w:r w:rsidR="00F340A3" w:rsidRPr="00C77770">
              <w:rPr>
                <w:rStyle w:val="Hipercze"/>
                <w:rFonts w:cstheme="minorHAnsi"/>
                <w:noProof/>
              </w:rPr>
              <w:t>)</w:t>
            </w:r>
            <w:r w:rsidR="00F340A3">
              <w:rPr>
                <w:noProof/>
                <w:webHidden/>
              </w:rPr>
              <w:tab/>
            </w:r>
            <w:r w:rsidR="00F340A3">
              <w:rPr>
                <w:noProof/>
                <w:webHidden/>
              </w:rPr>
              <w:fldChar w:fldCharType="begin"/>
            </w:r>
            <w:r w:rsidR="00F340A3">
              <w:rPr>
                <w:noProof/>
                <w:webHidden/>
              </w:rPr>
              <w:instrText xml:space="preserve"> PAGEREF _Toc530564983 \h </w:instrText>
            </w:r>
            <w:r w:rsidR="00F340A3">
              <w:rPr>
                <w:noProof/>
                <w:webHidden/>
              </w:rPr>
            </w:r>
            <w:r w:rsidR="00F340A3">
              <w:rPr>
                <w:noProof/>
                <w:webHidden/>
              </w:rPr>
              <w:fldChar w:fldCharType="separate"/>
            </w:r>
            <w:r w:rsidR="00F05192">
              <w:rPr>
                <w:noProof/>
                <w:webHidden/>
              </w:rPr>
              <w:t>33</w:t>
            </w:r>
            <w:r w:rsidR="00F340A3">
              <w:rPr>
                <w:noProof/>
                <w:webHidden/>
              </w:rPr>
              <w:fldChar w:fldCharType="end"/>
            </w:r>
          </w:hyperlink>
        </w:p>
        <w:p w14:paraId="1B46142A" w14:textId="77777777" w:rsidR="00F340A3" w:rsidRDefault="00DF3C4F">
          <w:pPr>
            <w:pStyle w:val="Spistreci2"/>
            <w:rPr>
              <w:rFonts w:eastAsiaTheme="minorEastAsia"/>
              <w:noProof/>
              <w:lang w:eastAsia="pl-PL"/>
            </w:rPr>
          </w:pPr>
          <w:hyperlink w:anchor="_Toc530564984" w:history="1">
            <w:r w:rsidR="00F340A3" w:rsidRPr="00C77770">
              <w:rPr>
                <w:rStyle w:val="Hipercze"/>
                <w:rFonts w:cstheme="minorHAnsi"/>
                <w:noProof/>
              </w:rPr>
              <w:t>Ustawa z dnia 14 lipca 1983 r. o narodowym zasobie archiwalnym i archiwach (Dz. U. z 2018 r. poz. 217, 357, 398 i 650)</w:t>
            </w:r>
            <w:r w:rsidR="00F340A3">
              <w:rPr>
                <w:noProof/>
                <w:webHidden/>
              </w:rPr>
              <w:tab/>
            </w:r>
            <w:r w:rsidR="00F340A3">
              <w:rPr>
                <w:noProof/>
                <w:webHidden/>
              </w:rPr>
              <w:fldChar w:fldCharType="begin"/>
            </w:r>
            <w:r w:rsidR="00F340A3">
              <w:rPr>
                <w:noProof/>
                <w:webHidden/>
              </w:rPr>
              <w:instrText xml:space="preserve"> PAGEREF _Toc530564984 \h </w:instrText>
            </w:r>
            <w:r w:rsidR="00F340A3">
              <w:rPr>
                <w:noProof/>
                <w:webHidden/>
              </w:rPr>
            </w:r>
            <w:r w:rsidR="00F340A3">
              <w:rPr>
                <w:noProof/>
                <w:webHidden/>
              </w:rPr>
              <w:fldChar w:fldCharType="separate"/>
            </w:r>
            <w:r w:rsidR="00F05192">
              <w:rPr>
                <w:noProof/>
                <w:webHidden/>
              </w:rPr>
              <w:t>34</w:t>
            </w:r>
            <w:r w:rsidR="00F340A3">
              <w:rPr>
                <w:noProof/>
                <w:webHidden/>
              </w:rPr>
              <w:fldChar w:fldCharType="end"/>
            </w:r>
          </w:hyperlink>
        </w:p>
        <w:p w14:paraId="6A805CF5" w14:textId="77777777" w:rsidR="00F340A3" w:rsidRDefault="00DF3C4F">
          <w:pPr>
            <w:pStyle w:val="Spistreci2"/>
            <w:rPr>
              <w:rFonts w:eastAsiaTheme="minorEastAsia"/>
              <w:noProof/>
              <w:lang w:eastAsia="pl-PL"/>
            </w:rPr>
          </w:pPr>
          <w:hyperlink w:anchor="_Toc530564985" w:history="1">
            <w:r w:rsidR="00F340A3" w:rsidRPr="00C77770">
              <w:rPr>
                <w:rStyle w:val="Hipercze"/>
                <w:rFonts w:cstheme="minorHAnsi"/>
                <w:noProof/>
              </w:rPr>
              <w:t>Ustawa z dnia 21 marca 1985 r. o drogach publicznych (Dz. U. z 2018 r. poz. 2068)</w:t>
            </w:r>
            <w:r w:rsidR="00F340A3">
              <w:rPr>
                <w:noProof/>
                <w:webHidden/>
              </w:rPr>
              <w:tab/>
            </w:r>
            <w:r w:rsidR="00F340A3">
              <w:rPr>
                <w:noProof/>
                <w:webHidden/>
              </w:rPr>
              <w:fldChar w:fldCharType="begin"/>
            </w:r>
            <w:r w:rsidR="00F340A3">
              <w:rPr>
                <w:noProof/>
                <w:webHidden/>
              </w:rPr>
              <w:instrText xml:space="preserve"> PAGEREF _Toc530564985 \h </w:instrText>
            </w:r>
            <w:r w:rsidR="00F340A3">
              <w:rPr>
                <w:noProof/>
                <w:webHidden/>
              </w:rPr>
            </w:r>
            <w:r w:rsidR="00F340A3">
              <w:rPr>
                <w:noProof/>
                <w:webHidden/>
              </w:rPr>
              <w:fldChar w:fldCharType="separate"/>
            </w:r>
            <w:r w:rsidR="00F05192">
              <w:rPr>
                <w:noProof/>
                <w:webHidden/>
              </w:rPr>
              <w:t>37</w:t>
            </w:r>
            <w:r w:rsidR="00F340A3">
              <w:rPr>
                <w:noProof/>
                <w:webHidden/>
              </w:rPr>
              <w:fldChar w:fldCharType="end"/>
            </w:r>
          </w:hyperlink>
        </w:p>
        <w:p w14:paraId="597B21B5" w14:textId="77777777" w:rsidR="00F340A3" w:rsidRDefault="00DF3C4F">
          <w:pPr>
            <w:pStyle w:val="Spistreci2"/>
            <w:rPr>
              <w:rFonts w:eastAsiaTheme="minorEastAsia"/>
              <w:noProof/>
              <w:lang w:eastAsia="pl-PL"/>
            </w:rPr>
          </w:pPr>
          <w:hyperlink w:anchor="_Toc530564986" w:history="1">
            <w:r w:rsidR="00F340A3" w:rsidRPr="00C77770">
              <w:rPr>
                <w:rStyle w:val="Hipercze"/>
                <w:rFonts w:cstheme="minorHAnsi"/>
                <w:noProof/>
              </w:rPr>
              <w:t>Ustawa z dnia 18 kwietnia 1985 r. o rybactwie śródlądowym (Dz. U. z 2018 r. poz. 1476)</w:t>
            </w:r>
            <w:r w:rsidR="00F340A3">
              <w:rPr>
                <w:noProof/>
                <w:webHidden/>
              </w:rPr>
              <w:tab/>
            </w:r>
            <w:r w:rsidR="00F340A3">
              <w:rPr>
                <w:noProof/>
                <w:webHidden/>
              </w:rPr>
              <w:fldChar w:fldCharType="begin"/>
            </w:r>
            <w:r w:rsidR="00F340A3">
              <w:rPr>
                <w:noProof/>
                <w:webHidden/>
              </w:rPr>
              <w:instrText xml:space="preserve"> PAGEREF _Toc530564986 \h </w:instrText>
            </w:r>
            <w:r w:rsidR="00F340A3">
              <w:rPr>
                <w:noProof/>
                <w:webHidden/>
              </w:rPr>
            </w:r>
            <w:r w:rsidR="00F340A3">
              <w:rPr>
                <w:noProof/>
                <w:webHidden/>
              </w:rPr>
              <w:fldChar w:fldCharType="separate"/>
            </w:r>
            <w:r w:rsidR="00F05192">
              <w:rPr>
                <w:noProof/>
                <w:webHidden/>
              </w:rPr>
              <w:t>42</w:t>
            </w:r>
            <w:r w:rsidR="00F340A3">
              <w:rPr>
                <w:noProof/>
                <w:webHidden/>
              </w:rPr>
              <w:fldChar w:fldCharType="end"/>
            </w:r>
          </w:hyperlink>
        </w:p>
        <w:p w14:paraId="63C8FC83" w14:textId="77F8440E" w:rsidR="00F340A3" w:rsidRDefault="00DF3C4F">
          <w:pPr>
            <w:pStyle w:val="Spistreci2"/>
            <w:rPr>
              <w:rFonts w:eastAsiaTheme="minorEastAsia"/>
              <w:noProof/>
              <w:lang w:eastAsia="pl-PL"/>
            </w:rPr>
          </w:pPr>
          <w:hyperlink w:anchor="_Toc530564987" w:history="1">
            <w:r w:rsidR="00F340A3" w:rsidRPr="00C77770">
              <w:rPr>
                <w:rStyle w:val="Hipercze"/>
                <w:rFonts w:cstheme="minorHAnsi"/>
                <w:noProof/>
              </w:rPr>
              <w:t>Ustawa z dnia 15 lipca 1987 r. o Rzeczniku P</w:t>
            </w:r>
            <w:r w:rsidR="002072E4">
              <w:rPr>
                <w:rStyle w:val="Hipercze"/>
                <w:rFonts w:cstheme="minorHAnsi"/>
                <w:noProof/>
              </w:rPr>
              <w:t>raw Obywatelskich (Dz. U. z 2018 r. poz. 2179</w:t>
            </w:r>
            <w:r w:rsidR="00F340A3" w:rsidRPr="00C77770">
              <w:rPr>
                <w:rStyle w:val="Hipercze"/>
                <w:rFonts w:cstheme="minorHAnsi"/>
                <w:noProof/>
              </w:rPr>
              <w:t>)</w:t>
            </w:r>
            <w:r w:rsidR="00F340A3">
              <w:rPr>
                <w:noProof/>
                <w:webHidden/>
              </w:rPr>
              <w:tab/>
            </w:r>
            <w:r w:rsidR="00F340A3">
              <w:rPr>
                <w:noProof/>
                <w:webHidden/>
              </w:rPr>
              <w:fldChar w:fldCharType="begin"/>
            </w:r>
            <w:r w:rsidR="00F340A3">
              <w:rPr>
                <w:noProof/>
                <w:webHidden/>
              </w:rPr>
              <w:instrText xml:space="preserve"> PAGEREF _Toc530564987 \h </w:instrText>
            </w:r>
            <w:r w:rsidR="00F340A3">
              <w:rPr>
                <w:noProof/>
                <w:webHidden/>
              </w:rPr>
            </w:r>
            <w:r w:rsidR="00F340A3">
              <w:rPr>
                <w:noProof/>
                <w:webHidden/>
              </w:rPr>
              <w:fldChar w:fldCharType="separate"/>
            </w:r>
            <w:r w:rsidR="00F05192">
              <w:rPr>
                <w:noProof/>
                <w:webHidden/>
              </w:rPr>
              <w:t>43</w:t>
            </w:r>
            <w:r w:rsidR="00F340A3">
              <w:rPr>
                <w:noProof/>
                <w:webHidden/>
              </w:rPr>
              <w:fldChar w:fldCharType="end"/>
            </w:r>
          </w:hyperlink>
        </w:p>
        <w:p w14:paraId="308C0CAD" w14:textId="77777777" w:rsidR="00F340A3" w:rsidRDefault="00DF3C4F">
          <w:pPr>
            <w:pStyle w:val="Spistreci2"/>
            <w:rPr>
              <w:rFonts w:eastAsiaTheme="minorEastAsia"/>
              <w:noProof/>
              <w:lang w:eastAsia="pl-PL"/>
            </w:rPr>
          </w:pPr>
          <w:hyperlink w:anchor="_Toc530564988" w:history="1">
            <w:r w:rsidR="00F340A3" w:rsidRPr="00C77770">
              <w:rPr>
                <w:rStyle w:val="Hipercze"/>
                <w:rFonts w:cstheme="minorHAnsi"/>
                <w:noProof/>
              </w:rPr>
              <w:t>Ustawa z dnia 17 maja 1989 r. – Prawo geodezyjne i kartograficzne (Dz. U. z 2017 r. poz. 2101 oraz z 2018 r. poz. 650 i 1669).</w:t>
            </w:r>
            <w:r w:rsidR="00F340A3">
              <w:rPr>
                <w:noProof/>
                <w:webHidden/>
              </w:rPr>
              <w:tab/>
            </w:r>
            <w:r w:rsidR="00F340A3">
              <w:rPr>
                <w:noProof/>
                <w:webHidden/>
              </w:rPr>
              <w:fldChar w:fldCharType="begin"/>
            </w:r>
            <w:r w:rsidR="00F340A3">
              <w:rPr>
                <w:noProof/>
                <w:webHidden/>
              </w:rPr>
              <w:instrText xml:space="preserve"> PAGEREF _Toc530564988 \h </w:instrText>
            </w:r>
            <w:r w:rsidR="00F340A3">
              <w:rPr>
                <w:noProof/>
                <w:webHidden/>
              </w:rPr>
            </w:r>
            <w:r w:rsidR="00F340A3">
              <w:rPr>
                <w:noProof/>
                <w:webHidden/>
              </w:rPr>
              <w:fldChar w:fldCharType="separate"/>
            </w:r>
            <w:r w:rsidR="00F05192">
              <w:rPr>
                <w:noProof/>
                <w:webHidden/>
              </w:rPr>
              <w:t>43</w:t>
            </w:r>
            <w:r w:rsidR="00F340A3">
              <w:rPr>
                <w:noProof/>
                <w:webHidden/>
              </w:rPr>
              <w:fldChar w:fldCharType="end"/>
            </w:r>
          </w:hyperlink>
        </w:p>
        <w:p w14:paraId="07CF0F95" w14:textId="77777777" w:rsidR="00F340A3" w:rsidRDefault="00DF3C4F">
          <w:pPr>
            <w:pStyle w:val="Spistreci2"/>
            <w:rPr>
              <w:rFonts w:eastAsiaTheme="minorEastAsia"/>
              <w:noProof/>
              <w:lang w:eastAsia="pl-PL"/>
            </w:rPr>
          </w:pPr>
          <w:hyperlink w:anchor="_Toc530564989" w:history="1">
            <w:r w:rsidR="00F340A3" w:rsidRPr="00C77770">
              <w:rPr>
                <w:rStyle w:val="Hipercze"/>
                <w:rFonts w:cstheme="minorHAnsi"/>
                <w:noProof/>
              </w:rPr>
              <w:t>Ustawa z dnia 14 lutego 1991 r. – Prawo o notariacie (Dz. U. z 2017 r. poz. 2291 oraz z 2018 r. poz. 398, 723, 1469, 1629 i 1669)</w:t>
            </w:r>
            <w:r w:rsidR="00F340A3">
              <w:rPr>
                <w:noProof/>
                <w:webHidden/>
              </w:rPr>
              <w:tab/>
            </w:r>
            <w:r w:rsidR="00F340A3">
              <w:rPr>
                <w:noProof/>
                <w:webHidden/>
              </w:rPr>
              <w:fldChar w:fldCharType="begin"/>
            </w:r>
            <w:r w:rsidR="00F340A3">
              <w:rPr>
                <w:noProof/>
                <w:webHidden/>
              </w:rPr>
              <w:instrText xml:space="preserve"> PAGEREF _Toc530564989 \h </w:instrText>
            </w:r>
            <w:r w:rsidR="00F340A3">
              <w:rPr>
                <w:noProof/>
                <w:webHidden/>
              </w:rPr>
            </w:r>
            <w:r w:rsidR="00F340A3">
              <w:rPr>
                <w:noProof/>
                <w:webHidden/>
              </w:rPr>
              <w:fldChar w:fldCharType="separate"/>
            </w:r>
            <w:r w:rsidR="00F05192">
              <w:rPr>
                <w:noProof/>
                <w:webHidden/>
              </w:rPr>
              <w:t>45</w:t>
            </w:r>
            <w:r w:rsidR="00F340A3">
              <w:rPr>
                <w:noProof/>
                <w:webHidden/>
              </w:rPr>
              <w:fldChar w:fldCharType="end"/>
            </w:r>
          </w:hyperlink>
        </w:p>
        <w:p w14:paraId="2D958C97" w14:textId="77777777" w:rsidR="00F340A3" w:rsidRDefault="00DF3C4F">
          <w:pPr>
            <w:pStyle w:val="Spistreci2"/>
            <w:rPr>
              <w:rFonts w:eastAsiaTheme="minorEastAsia"/>
              <w:noProof/>
              <w:lang w:eastAsia="pl-PL"/>
            </w:rPr>
          </w:pPr>
          <w:hyperlink w:anchor="_Toc530564990" w:history="1">
            <w:r w:rsidR="00F340A3" w:rsidRPr="00C77770">
              <w:rPr>
                <w:rStyle w:val="Hipercze"/>
                <w:rFonts w:cstheme="minorHAnsi"/>
                <w:noProof/>
              </w:rPr>
              <w:t>Ustawa z dnia 21 marca 1991 r. o obszarach morskich Rzeczypospolitej Polskiej i administracji morskiej (Dz. U. z 2017 r. poz. 2205 oraz z 2018 r. poz. 317, 1338 i 1563)</w:t>
            </w:r>
            <w:r w:rsidR="00F340A3">
              <w:rPr>
                <w:noProof/>
                <w:webHidden/>
              </w:rPr>
              <w:tab/>
            </w:r>
            <w:r w:rsidR="00F340A3">
              <w:rPr>
                <w:noProof/>
                <w:webHidden/>
              </w:rPr>
              <w:fldChar w:fldCharType="begin"/>
            </w:r>
            <w:r w:rsidR="00F340A3">
              <w:rPr>
                <w:noProof/>
                <w:webHidden/>
              </w:rPr>
              <w:instrText xml:space="preserve"> PAGEREF _Toc530564990 \h </w:instrText>
            </w:r>
            <w:r w:rsidR="00F340A3">
              <w:rPr>
                <w:noProof/>
                <w:webHidden/>
              </w:rPr>
            </w:r>
            <w:r w:rsidR="00F340A3">
              <w:rPr>
                <w:noProof/>
                <w:webHidden/>
              </w:rPr>
              <w:fldChar w:fldCharType="separate"/>
            </w:r>
            <w:r w:rsidR="00F05192">
              <w:rPr>
                <w:noProof/>
                <w:webHidden/>
              </w:rPr>
              <w:t>51</w:t>
            </w:r>
            <w:r w:rsidR="00F340A3">
              <w:rPr>
                <w:noProof/>
                <w:webHidden/>
              </w:rPr>
              <w:fldChar w:fldCharType="end"/>
            </w:r>
          </w:hyperlink>
        </w:p>
        <w:p w14:paraId="5D3F3EF1" w14:textId="77777777" w:rsidR="00F340A3" w:rsidRDefault="00DF3C4F">
          <w:pPr>
            <w:pStyle w:val="Spistreci2"/>
            <w:rPr>
              <w:rFonts w:eastAsiaTheme="minorEastAsia"/>
              <w:noProof/>
              <w:lang w:eastAsia="pl-PL"/>
            </w:rPr>
          </w:pPr>
          <w:hyperlink w:anchor="_Toc530564991" w:history="1">
            <w:r w:rsidR="00F340A3" w:rsidRPr="00C77770">
              <w:rPr>
                <w:rStyle w:val="Hipercze"/>
                <w:rFonts w:cstheme="minorHAnsi"/>
                <w:noProof/>
              </w:rPr>
              <w:t>Ustawa z dnia 23 maja 1991 r. o rozwiązywaniu sporów zbiorowych (Dz. U. z 2018 r. poz. 399, 730 i 1608)</w:t>
            </w:r>
            <w:r w:rsidR="00F340A3">
              <w:rPr>
                <w:noProof/>
                <w:webHidden/>
              </w:rPr>
              <w:tab/>
            </w:r>
            <w:r w:rsidR="00F340A3">
              <w:rPr>
                <w:noProof/>
                <w:webHidden/>
              </w:rPr>
              <w:fldChar w:fldCharType="begin"/>
            </w:r>
            <w:r w:rsidR="00F340A3">
              <w:rPr>
                <w:noProof/>
                <w:webHidden/>
              </w:rPr>
              <w:instrText xml:space="preserve"> PAGEREF _Toc530564991 \h </w:instrText>
            </w:r>
            <w:r w:rsidR="00F340A3">
              <w:rPr>
                <w:noProof/>
                <w:webHidden/>
              </w:rPr>
            </w:r>
            <w:r w:rsidR="00F340A3">
              <w:rPr>
                <w:noProof/>
                <w:webHidden/>
              </w:rPr>
              <w:fldChar w:fldCharType="separate"/>
            </w:r>
            <w:r w:rsidR="00F05192">
              <w:rPr>
                <w:noProof/>
                <w:webHidden/>
              </w:rPr>
              <w:t>51</w:t>
            </w:r>
            <w:r w:rsidR="00F340A3">
              <w:rPr>
                <w:noProof/>
                <w:webHidden/>
              </w:rPr>
              <w:fldChar w:fldCharType="end"/>
            </w:r>
          </w:hyperlink>
        </w:p>
        <w:p w14:paraId="5E5E8555" w14:textId="77777777" w:rsidR="00F340A3" w:rsidRDefault="00DF3C4F">
          <w:pPr>
            <w:pStyle w:val="Spistreci2"/>
            <w:rPr>
              <w:rFonts w:eastAsiaTheme="minorEastAsia"/>
              <w:noProof/>
              <w:lang w:eastAsia="pl-PL"/>
            </w:rPr>
          </w:pPr>
          <w:hyperlink w:anchor="_Toc530564992" w:history="1">
            <w:r w:rsidR="00F340A3" w:rsidRPr="00C77770">
              <w:rPr>
                <w:rStyle w:val="Hipercze"/>
                <w:rFonts w:cstheme="minorHAnsi"/>
                <w:noProof/>
              </w:rPr>
              <w:t>Ustawa z dnia 20 lipca 1991 r. o Inspekcji Ochrony Środowiska (Dz. U. z 2018 r. poz. 1471 i 1479)</w:t>
            </w:r>
            <w:r w:rsidR="00F340A3">
              <w:rPr>
                <w:noProof/>
                <w:webHidden/>
              </w:rPr>
              <w:tab/>
            </w:r>
            <w:r w:rsidR="00F340A3">
              <w:rPr>
                <w:noProof/>
                <w:webHidden/>
              </w:rPr>
              <w:fldChar w:fldCharType="begin"/>
            </w:r>
            <w:r w:rsidR="00F340A3">
              <w:rPr>
                <w:noProof/>
                <w:webHidden/>
              </w:rPr>
              <w:instrText xml:space="preserve"> PAGEREF _Toc530564992 \h </w:instrText>
            </w:r>
            <w:r w:rsidR="00F340A3">
              <w:rPr>
                <w:noProof/>
                <w:webHidden/>
              </w:rPr>
            </w:r>
            <w:r w:rsidR="00F340A3">
              <w:rPr>
                <w:noProof/>
                <w:webHidden/>
              </w:rPr>
              <w:fldChar w:fldCharType="separate"/>
            </w:r>
            <w:r w:rsidR="00F05192">
              <w:rPr>
                <w:noProof/>
                <w:webHidden/>
              </w:rPr>
              <w:t>52</w:t>
            </w:r>
            <w:r w:rsidR="00F340A3">
              <w:rPr>
                <w:noProof/>
                <w:webHidden/>
              </w:rPr>
              <w:fldChar w:fldCharType="end"/>
            </w:r>
          </w:hyperlink>
        </w:p>
        <w:p w14:paraId="6B2DE94A" w14:textId="77777777" w:rsidR="00F340A3" w:rsidRDefault="00DF3C4F">
          <w:pPr>
            <w:pStyle w:val="Spistreci2"/>
            <w:rPr>
              <w:rFonts w:eastAsiaTheme="minorEastAsia"/>
              <w:noProof/>
              <w:lang w:eastAsia="pl-PL"/>
            </w:rPr>
          </w:pPr>
          <w:hyperlink w:anchor="_Toc530564993" w:history="1">
            <w:r w:rsidR="00F340A3" w:rsidRPr="00C77770">
              <w:rPr>
                <w:rStyle w:val="Hipercze"/>
                <w:rFonts w:cstheme="minorHAnsi"/>
                <w:noProof/>
              </w:rPr>
              <w:t>Ustawa z dnia 24 sierpnia 1991 r. o ochronie przeciwpożarowej (Dz. U. z 2018 r. poz. 620 i 1669)</w:t>
            </w:r>
            <w:r w:rsidR="00F340A3">
              <w:rPr>
                <w:noProof/>
                <w:webHidden/>
              </w:rPr>
              <w:tab/>
            </w:r>
            <w:r w:rsidR="00F340A3">
              <w:rPr>
                <w:noProof/>
                <w:webHidden/>
              </w:rPr>
              <w:fldChar w:fldCharType="begin"/>
            </w:r>
            <w:r w:rsidR="00F340A3">
              <w:rPr>
                <w:noProof/>
                <w:webHidden/>
              </w:rPr>
              <w:instrText xml:space="preserve"> PAGEREF _Toc530564993 \h </w:instrText>
            </w:r>
            <w:r w:rsidR="00F340A3">
              <w:rPr>
                <w:noProof/>
                <w:webHidden/>
              </w:rPr>
            </w:r>
            <w:r w:rsidR="00F340A3">
              <w:rPr>
                <w:noProof/>
                <w:webHidden/>
              </w:rPr>
              <w:fldChar w:fldCharType="separate"/>
            </w:r>
            <w:r w:rsidR="00F05192">
              <w:rPr>
                <w:noProof/>
                <w:webHidden/>
              </w:rPr>
              <w:t>53</w:t>
            </w:r>
            <w:r w:rsidR="00F340A3">
              <w:rPr>
                <w:noProof/>
                <w:webHidden/>
              </w:rPr>
              <w:fldChar w:fldCharType="end"/>
            </w:r>
          </w:hyperlink>
        </w:p>
        <w:p w14:paraId="5B5BACCC" w14:textId="77777777" w:rsidR="00F340A3" w:rsidRDefault="00DF3C4F">
          <w:pPr>
            <w:pStyle w:val="Spistreci2"/>
            <w:rPr>
              <w:rFonts w:eastAsiaTheme="minorEastAsia"/>
              <w:noProof/>
              <w:lang w:eastAsia="pl-PL"/>
            </w:rPr>
          </w:pPr>
          <w:hyperlink w:anchor="_Toc530564994" w:history="1">
            <w:r w:rsidR="00F340A3" w:rsidRPr="00C77770">
              <w:rPr>
                <w:rStyle w:val="Hipercze"/>
                <w:rFonts w:cstheme="minorHAnsi"/>
                <w:noProof/>
              </w:rPr>
              <w:t>Ustawa z dnia 24 sierpnia 1991 r. o Państwowej Straży Pożarnej (Dz. U. z 2018 r. poz. 1313, 1592 i 1669)</w:t>
            </w:r>
            <w:r w:rsidR="00F340A3">
              <w:rPr>
                <w:noProof/>
                <w:webHidden/>
              </w:rPr>
              <w:tab/>
            </w:r>
            <w:r w:rsidR="00F340A3">
              <w:rPr>
                <w:noProof/>
                <w:webHidden/>
              </w:rPr>
              <w:fldChar w:fldCharType="begin"/>
            </w:r>
            <w:r w:rsidR="00F340A3">
              <w:rPr>
                <w:noProof/>
                <w:webHidden/>
              </w:rPr>
              <w:instrText xml:space="preserve"> PAGEREF _Toc530564994 \h </w:instrText>
            </w:r>
            <w:r w:rsidR="00F340A3">
              <w:rPr>
                <w:noProof/>
                <w:webHidden/>
              </w:rPr>
            </w:r>
            <w:r w:rsidR="00F340A3">
              <w:rPr>
                <w:noProof/>
                <w:webHidden/>
              </w:rPr>
              <w:fldChar w:fldCharType="separate"/>
            </w:r>
            <w:r w:rsidR="00F05192">
              <w:rPr>
                <w:noProof/>
                <w:webHidden/>
              </w:rPr>
              <w:t>56</w:t>
            </w:r>
            <w:r w:rsidR="00F340A3">
              <w:rPr>
                <w:noProof/>
                <w:webHidden/>
              </w:rPr>
              <w:fldChar w:fldCharType="end"/>
            </w:r>
          </w:hyperlink>
        </w:p>
        <w:p w14:paraId="6701041F" w14:textId="77777777" w:rsidR="00F340A3" w:rsidRDefault="00DF3C4F">
          <w:pPr>
            <w:pStyle w:val="Spistreci2"/>
            <w:rPr>
              <w:rFonts w:eastAsiaTheme="minorEastAsia"/>
              <w:noProof/>
              <w:lang w:eastAsia="pl-PL"/>
            </w:rPr>
          </w:pPr>
          <w:hyperlink w:anchor="_Toc530564995" w:history="1">
            <w:r w:rsidR="00F340A3" w:rsidRPr="00C77770">
              <w:rPr>
                <w:rStyle w:val="Hipercze"/>
                <w:rFonts w:cstheme="minorHAnsi"/>
                <w:noProof/>
              </w:rPr>
              <w:t>Ustawa z dnia 7 września 1991 r. o systemie oświaty (Dz. U. z 2018 r. poz. 1457, 1560 i 1669)</w:t>
            </w:r>
            <w:r w:rsidR="00F340A3">
              <w:rPr>
                <w:noProof/>
                <w:webHidden/>
              </w:rPr>
              <w:tab/>
            </w:r>
            <w:r w:rsidR="00F340A3">
              <w:rPr>
                <w:noProof/>
                <w:webHidden/>
              </w:rPr>
              <w:fldChar w:fldCharType="begin"/>
            </w:r>
            <w:r w:rsidR="00F340A3">
              <w:rPr>
                <w:noProof/>
                <w:webHidden/>
              </w:rPr>
              <w:instrText xml:space="preserve"> PAGEREF _Toc530564995 \h </w:instrText>
            </w:r>
            <w:r w:rsidR="00F340A3">
              <w:rPr>
                <w:noProof/>
                <w:webHidden/>
              </w:rPr>
            </w:r>
            <w:r w:rsidR="00F340A3">
              <w:rPr>
                <w:noProof/>
                <w:webHidden/>
              </w:rPr>
              <w:fldChar w:fldCharType="separate"/>
            </w:r>
            <w:r w:rsidR="00F05192">
              <w:rPr>
                <w:noProof/>
                <w:webHidden/>
              </w:rPr>
              <w:t>57</w:t>
            </w:r>
            <w:r w:rsidR="00F340A3">
              <w:rPr>
                <w:noProof/>
                <w:webHidden/>
              </w:rPr>
              <w:fldChar w:fldCharType="end"/>
            </w:r>
          </w:hyperlink>
        </w:p>
        <w:p w14:paraId="2D07F653" w14:textId="77777777" w:rsidR="00F340A3" w:rsidRDefault="00DF3C4F">
          <w:pPr>
            <w:pStyle w:val="Spistreci2"/>
            <w:rPr>
              <w:rFonts w:eastAsiaTheme="minorEastAsia"/>
              <w:noProof/>
              <w:lang w:eastAsia="pl-PL"/>
            </w:rPr>
          </w:pPr>
          <w:hyperlink w:anchor="_Toc530564996" w:history="1">
            <w:r w:rsidR="00F340A3" w:rsidRPr="00C77770">
              <w:rPr>
                <w:rStyle w:val="Hipercze"/>
                <w:rFonts w:cstheme="minorHAnsi"/>
                <w:noProof/>
              </w:rPr>
              <w:t>Ustawa z dnia 25 października 1991 r. o organizowaniu i prowadzeniu działalności kulturalnej (Dz. U. z 2018 r. poz. 1983)</w:t>
            </w:r>
            <w:r w:rsidR="00F340A3">
              <w:rPr>
                <w:noProof/>
                <w:webHidden/>
              </w:rPr>
              <w:tab/>
            </w:r>
            <w:r w:rsidR="00F340A3">
              <w:rPr>
                <w:noProof/>
                <w:webHidden/>
              </w:rPr>
              <w:fldChar w:fldCharType="begin"/>
            </w:r>
            <w:r w:rsidR="00F340A3">
              <w:rPr>
                <w:noProof/>
                <w:webHidden/>
              </w:rPr>
              <w:instrText xml:space="preserve"> PAGEREF _Toc530564996 \h </w:instrText>
            </w:r>
            <w:r w:rsidR="00F340A3">
              <w:rPr>
                <w:noProof/>
                <w:webHidden/>
              </w:rPr>
            </w:r>
            <w:r w:rsidR="00F340A3">
              <w:rPr>
                <w:noProof/>
                <w:webHidden/>
              </w:rPr>
              <w:fldChar w:fldCharType="separate"/>
            </w:r>
            <w:r w:rsidR="00F05192">
              <w:rPr>
                <w:noProof/>
                <w:webHidden/>
              </w:rPr>
              <w:t>58</w:t>
            </w:r>
            <w:r w:rsidR="00F340A3">
              <w:rPr>
                <w:noProof/>
                <w:webHidden/>
              </w:rPr>
              <w:fldChar w:fldCharType="end"/>
            </w:r>
          </w:hyperlink>
        </w:p>
        <w:p w14:paraId="2581988F" w14:textId="77777777" w:rsidR="00F340A3" w:rsidRDefault="00DF3C4F">
          <w:pPr>
            <w:pStyle w:val="Spistreci2"/>
            <w:rPr>
              <w:rFonts w:eastAsiaTheme="minorEastAsia"/>
              <w:noProof/>
              <w:lang w:eastAsia="pl-PL"/>
            </w:rPr>
          </w:pPr>
          <w:hyperlink w:anchor="_Toc530564997" w:history="1">
            <w:r w:rsidR="00F340A3" w:rsidRPr="00C77770">
              <w:rPr>
                <w:rStyle w:val="Hipercze"/>
                <w:rFonts w:cstheme="minorHAnsi"/>
                <w:noProof/>
              </w:rPr>
              <w:t>Ustawa z dnia 16 października 1992 r. o orderach i odznaczeniach (Dz. U. z 2018 r. poz. 400, 730 i 1567)</w:t>
            </w:r>
            <w:r w:rsidR="00F340A3">
              <w:rPr>
                <w:noProof/>
                <w:webHidden/>
              </w:rPr>
              <w:tab/>
            </w:r>
            <w:r w:rsidR="00F340A3">
              <w:rPr>
                <w:noProof/>
                <w:webHidden/>
              </w:rPr>
              <w:fldChar w:fldCharType="begin"/>
            </w:r>
            <w:r w:rsidR="00F340A3">
              <w:rPr>
                <w:noProof/>
                <w:webHidden/>
              </w:rPr>
              <w:instrText xml:space="preserve"> PAGEREF _Toc530564997 \h </w:instrText>
            </w:r>
            <w:r w:rsidR="00F340A3">
              <w:rPr>
                <w:noProof/>
                <w:webHidden/>
              </w:rPr>
            </w:r>
            <w:r w:rsidR="00F340A3">
              <w:rPr>
                <w:noProof/>
                <w:webHidden/>
              </w:rPr>
              <w:fldChar w:fldCharType="separate"/>
            </w:r>
            <w:r w:rsidR="00F05192">
              <w:rPr>
                <w:noProof/>
                <w:webHidden/>
              </w:rPr>
              <w:t>59</w:t>
            </w:r>
            <w:r w:rsidR="00F340A3">
              <w:rPr>
                <w:noProof/>
                <w:webHidden/>
              </w:rPr>
              <w:fldChar w:fldCharType="end"/>
            </w:r>
          </w:hyperlink>
        </w:p>
        <w:p w14:paraId="77C66795" w14:textId="77777777" w:rsidR="00F340A3" w:rsidRDefault="00DF3C4F">
          <w:pPr>
            <w:pStyle w:val="Spistreci2"/>
            <w:rPr>
              <w:rFonts w:eastAsiaTheme="minorEastAsia"/>
              <w:noProof/>
              <w:lang w:eastAsia="pl-PL"/>
            </w:rPr>
          </w:pPr>
          <w:hyperlink w:anchor="_Toc530564998" w:history="1">
            <w:r w:rsidR="00F340A3" w:rsidRPr="00C77770">
              <w:rPr>
                <w:rStyle w:val="Hipercze"/>
                <w:rFonts w:cstheme="minorHAnsi"/>
                <w:noProof/>
              </w:rPr>
              <w:t>Ustawa z dnia 10 grudnia 1993 r. o zaopatrzeniu emerytalnym żołnierzy zawodowych oraz ich rodzin (Dz. U. z 2017 r. poz. 2225 oraz z 2018 r. poz. 138 i 730)</w:t>
            </w:r>
            <w:r w:rsidR="00F340A3">
              <w:rPr>
                <w:noProof/>
                <w:webHidden/>
              </w:rPr>
              <w:tab/>
            </w:r>
            <w:r w:rsidR="00F340A3">
              <w:rPr>
                <w:noProof/>
                <w:webHidden/>
              </w:rPr>
              <w:fldChar w:fldCharType="begin"/>
            </w:r>
            <w:r w:rsidR="00F340A3">
              <w:rPr>
                <w:noProof/>
                <w:webHidden/>
              </w:rPr>
              <w:instrText xml:space="preserve"> PAGEREF _Toc530564998 \h </w:instrText>
            </w:r>
            <w:r w:rsidR="00F340A3">
              <w:rPr>
                <w:noProof/>
                <w:webHidden/>
              </w:rPr>
            </w:r>
            <w:r w:rsidR="00F340A3">
              <w:rPr>
                <w:noProof/>
                <w:webHidden/>
              </w:rPr>
              <w:fldChar w:fldCharType="separate"/>
            </w:r>
            <w:r w:rsidR="00F05192">
              <w:rPr>
                <w:noProof/>
                <w:webHidden/>
              </w:rPr>
              <w:t>59</w:t>
            </w:r>
            <w:r w:rsidR="00F340A3">
              <w:rPr>
                <w:noProof/>
                <w:webHidden/>
              </w:rPr>
              <w:fldChar w:fldCharType="end"/>
            </w:r>
          </w:hyperlink>
        </w:p>
        <w:p w14:paraId="1180C3D4" w14:textId="77777777" w:rsidR="00F340A3" w:rsidRDefault="00DF3C4F">
          <w:pPr>
            <w:pStyle w:val="Spistreci2"/>
            <w:rPr>
              <w:rFonts w:eastAsiaTheme="minorEastAsia"/>
              <w:noProof/>
              <w:lang w:eastAsia="pl-PL"/>
            </w:rPr>
          </w:pPr>
          <w:hyperlink w:anchor="_Toc530564999" w:history="1">
            <w:r w:rsidR="00F340A3" w:rsidRPr="00C77770">
              <w:rPr>
                <w:rStyle w:val="Hipercze"/>
                <w:rFonts w:cstheme="minorHAnsi"/>
                <w:noProof/>
              </w:rPr>
              <w:t>Ustawa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(Dz. U. z 2018 r. poz. 132, 138, 730 i 912)</w:t>
            </w:r>
            <w:r w:rsidR="00F340A3">
              <w:rPr>
                <w:noProof/>
                <w:webHidden/>
              </w:rPr>
              <w:tab/>
            </w:r>
            <w:r w:rsidR="00F340A3">
              <w:rPr>
                <w:noProof/>
                <w:webHidden/>
              </w:rPr>
              <w:fldChar w:fldCharType="begin"/>
            </w:r>
            <w:r w:rsidR="00F340A3">
              <w:rPr>
                <w:noProof/>
                <w:webHidden/>
              </w:rPr>
              <w:instrText xml:space="preserve"> PAGEREF _Toc530564999 \h </w:instrText>
            </w:r>
            <w:r w:rsidR="00F340A3">
              <w:rPr>
                <w:noProof/>
                <w:webHidden/>
              </w:rPr>
            </w:r>
            <w:r w:rsidR="00F340A3">
              <w:rPr>
                <w:noProof/>
                <w:webHidden/>
              </w:rPr>
              <w:fldChar w:fldCharType="separate"/>
            </w:r>
            <w:r w:rsidR="00F05192">
              <w:rPr>
                <w:noProof/>
                <w:webHidden/>
              </w:rPr>
              <w:t>62</w:t>
            </w:r>
            <w:r w:rsidR="00F340A3">
              <w:rPr>
                <w:noProof/>
                <w:webHidden/>
              </w:rPr>
              <w:fldChar w:fldCharType="end"/>
            </w:r>
          </w:hyperlink>
        </w:p>
        <w:p w14:paraId="13E569DE" w14:textId="77777777" w:rsidR="00F340A3" w:rsidRDefault="00DF3C4F">
          <w:pPr>
            <w:pStyle w:val="Spistreci2"/>
            <w:rPr>
              <w:rFonts w:eastAsiaTheme="minorEastAsia"/>
              <w:noProof/>
              <w:lang w:eastAsia="pl-PL"/>
            </w:rPr>
          </w:pPr>
          <w:hyperlink w:anchor="_Toc530565000" w:history="1">
            <w:r w:rsidR="00F340A3" w:rsidRPr="00C77770">
              <w:rPr>
                <w:rStyle w:val="Hipercze"/>
                <w:rFonts w:cstheme="minorHAnsi"/>
                <w:noProof/>
              </w:rPr>
              <w:t>Ustawa z dnia 4 marca 1994 r. o zakładowym funduszu świadczeń socjalnych (Dz. U. z 2018 r. poz. 1316, 1608 i 1669)</w:t>
            </w:r>
            <w:r w:rsidR="00F340A3">
              <w:rPr>
                <w:noProof/>
                <w:webHidden/>
              </w:rPr>
              <w:tab/>
            </w:r>
            <w:r w:rsidR="00F340A3">
              <w:rPr>
                <w:noProof/>
                <w:webHidden/>
              </w:rPr>
              <w:fldChar w:fldCharType="begin"/>
            </w:r>
            <w:r w:rsidR="00F340A3">
              <w:rPr>
                <w:noProof/>
                <w:webHidden/>
              </w:rPr>
              <w:instrText xml:space="preserve"> PAGEREF _Toc530565000 \h </w:instrText>
            </w:r>
            <w:r w:rsidR="00F340A3">
              <w:rPr>
                <w:noProof/>
                <w:webHidden/>
              </w:rPr>
            </w:r>
            <w:r w:rsidR="00F340A3">
              <w:rPr>
                <w:noProof/>
                <w:webHidden/>
              </w:rPr>
              <w:fldChar w:fldCharType="separate"/>
            </w:r>
            <w:r w:rsidR="00F05192">
              <w:rPr>
                <w:noProof/>
                <w:webHidden/>
              </w:rPr>
              <w:t>62</w:t>
            </w:r>
            <w:r w:rsidR="00F340A3">
              <w:rPr>
                <w:noProof/>
                <w:webHidden/>
              </w:rPr>
              <w:fldChar w:fldCharType="end"/>
            </w:r>
          </w:hyperlink>
        </w:p>
        <w:p w14:paraId="631B38EC" w14:textId="77777777" w:rsidR="00F340A3" w:rsidRDefault="00DF3C4F">
          <w:pPr>
            <w:pStyle w:val="Spistreci2"/>
            <w:rPr>
              <w:rFonts w:eastAsiaTheme="minorEastAsia"/>
              <w:noProof/>
              <w:lang w:eastAsia="pl-PL"/>
            </w:rPr>
          </w:pPr>
          <w:hyperlink w:anchor="_Toc530565001" w:history="1">
            <w:r w:rsidR="00F340A3" w:rsidRPr="00C77770">
              <w:rPr>
                <w:rStyle w:val="Hipercze"/>
                <w:rFonts w:cstheme="minorHAnsi"/>
                <w:noProof/>
              </w:rPr>
              <w:t>Ustawa z dnia 7 lipca 1994 r. – Prawo budowlane (Dz. U. z 2018 r. poz. 1202, 1276, 1469 i 1669)</w:t>
            </w:r>
            <w:r w:rsidR="00F340A3">
              <w:rPr>
                <w:noProof/>
                <w:webHidden/>
              </w:rPr>
              <w:tab/>
            </w:r>
            <w:r w:rsidR="00F340A3">
              <w:rPr>
                <w:noProof/>
                <w:webHidden/>
              </w:rPr>
              <w:fldChar w:fldCharType="begin"/>
            </w:r>
            <w:r w:rsidR="00F340A3">
              <w:rPr>
                <w:noProof/>
                <w:webHidden/>
              </w:rPr>
              <w:instrText xml:space="preserve"> PAGEREF _Toc530565001 \h </w:instrText>
            </w:r>
            <w:r w:rsidR="00F340A3">
              <w:rPr>
                <w:noProof/>
                <w:webHidden/>
              </w:rPr>
            </w:r>
            <w:r w:rsidR="00F340A3">
              <w:rPr>
                <w:noProof/>
                <w:webHidden/>
              </w:rPr>
              <w:fldChar w:fldCharType="separate"/>
            </w:r>
            <w:r w:rsidR="00F05192">
              <w:rPr>
                <w:noProof/>
                <w:webHidden/>
              </w:rPr>
              <w:t>63</w:t>
            </w:r>
            <w:r w:rsidR="00F340A3">
              <w:rPr>
                <w:noProof/>
                <w:webHidden/>
              </w:rPr>
              <w:fldChar w:fldCharType="end"/>
            </w:r>
          </w:hyperlink>
        </w:p>
        <w:p w14:paraId="26639652" w14:textId="77777777" w:rsidR="00F340A3" w:rsidRDefault="00DF3C4F">
          <w:pPr>
            <w:pStyle w:val="Spistreci2"/>
            <w:rPr>
              <w:rFonts w:eastAsiaTheme="minorEastAsia"/>
              <w:noProof/>
              <w:lang w:eastAsia="pl-PL"/>
            </w:rPr>
          </w:pPr>
          <w:hyperlink w:anchor="_Toc530565002" w:history="1">
            <w:r w:rsidR="00F340A3" w:rsidRPr="00C77770">
              <w:rPr>
                <w:rStyle w:val="Hipercze"/>
                <w:rFonts w:cstheme="minorHAnsi"/>
                <w:noProof/>
              </w:rPr>
              <w:t>Ustawa z dnia 19 sierpnia 1994 r. o ochronie zdrowia psychicznego (Dz. U. z 2018 r. poz. 1878)</w:t>
            </w:r>
            <w:r w:rsidR="00F340A3">
              <w:rPr>
                <w:noProof/>
                <w:webHidden/>
              </w:rPr>
              <w:tab/>
            </w:r>
            <w:r w:rsidR="00F340A3">
              <w:rPr>
                <w:noProof/>
                <w:webHidden/>
              </w:rPr>
              <w:fldChar w:fldCharType="begin"/>
            </w:r>
            <w:r w:rsidR="00F340A3">
              <w:rPr>
                <w:noProof/>
                <w:webHidden/>
              </w:rPr>
              <w:instrText xml:space="preserve"> PAGEREF _Toc530565002 \h </w:instrText>
            </w:r>
            <w:r w:rsidR="00F340A3">
              <w:rPr>
                <w:noProof/>
                <w:webHidden/>
              </w:rPr>
            </w:r>
            <w:r w:rsidR="00F340A3">
              <w:rPr>
                <w:noProof/>
                <w:webHidden/>
              </w:rPr>
              <w:fldChar w:fldCharType="separate"/>
            </w:r>
            <w:r w:rsidR="00F05192">
              <w:rPr>
                <w:noProof/>
                <w:webHidden/>
              </w:rPr>
              <w:t>64</w:t>
            </w:r>
            <w:r w:rsidR="00F340A3">
              <w:rPr>
                <w:noProof/>
                <w:webHidden/>
              </w:rPr>
              <w:fldChar w:fldCharType="end"/>
            </w:r>
          </w:hyperlink>
        </w:p>
        <w:p w14:paraId="558A806F" w14:textId="77777777" w:rsidR="00F340A3" w:rsidRDefault="00DF3C4F">
          <w:pPr>
            <w:pStyle w:val="Spistreci2"/>
            <w:rPr>
              <w:rFonts w:eastAsiaTheme="minorEastAsia"/>
              <w:noProof/>
              <w:lang w:eastAsia="pl-PL"/>
            </w:rPr>
          </w:pPr>
          <w:hyperlink w:anchor="_Toc530565003" w:history="1">
            <w:r w:rsidR="00F340A3" w:rsidRPr="00C77770">
              <w:rPr>
                <w:rStyle w:val="Hipercze"/>
                <w:rFonts w:cstheme="minorHAnsi"/>
                <w:noProof/>
              </w:rPr>
              <w:t>Ustawa z dnia 27 października 1994 r. o autostradach płatnych oraz o Krajowym Funduszu Drogowym (Dz. U. z 2018 r. poz. 2014)</w:t>
            </w:r>
            <w:r w:rsidR="00F340A3">
              <w:rPr>
                <w:noProof/>
                <w:webHidden/>
              </w:rPr>
              <w:tab/>
            </w:r>
            <w:r w:rsidR="00F340A3">
              <w:rPr>
                <w:noProof/>
                <w:webHidden/>
              </w:rPr>
              <w:fldChar w:fldCharType="begin"/>
            </w:r>
            <w:r w:rsidR="00F340A3">
              <w:rPr>
                <w:noProof/>
                <w:webHidden/>
              </w:rPr>
              <w:instrText xml:space="preserve"> PAGEREF _Toc530565003 \h </w:instrText>
            </w:r>
            <w:r w:rsidR="00F340A3">
              <w:rPr>
                <w:noProof/>
                <w:webHidden/>
              </w:rPr>
            </w:r>
            <w:r w:rsidR="00F340A3">
              <w:rPr>
                <w:noProof/>
                <w:webHidden/>
              </w:rPr>
              <w:fldChar w:fldCharType="separate"/>
            </w:r>
            <w:r w:rsidR="00F05192">
              <w:rPr>
                <w:noProof/>
                <w:webHidden/>
              </w:rPr>
              <w:t>65</w:t>
            </w:r>
            <w:r w:rsidR="00F340A3">
              <w:rPr>
                <w:noProof/>
                <w:webHidden/>
              </w:rPr>
              <w:fldChar w:fldCharType="end"/>
            </w:r>
          </w:hyperlink>
        </w:p>
        <w:p w14:paraId="3D6E0874" w14:textId="77777777" w:rsidR="00F340A3" w:rsidRDefault="00DF3C4F">
          <w:pPr>
            <w:pStyle w:val="Spistreci2"/>
            <w:rPr>
              <w:rFonts w:eastAsiaTheme="minorEastAsia"/>
              <w:noProof/>
              <w:lang w:eastAsia="pl-PL"/>
            </w:rPr>
          </w:pPr>
          <w:hyperlink w:anchor="_Toc530565004" w:history="1">
            <w:r w:rsidR="00F340A3" w:rsidRPr="00C77770">
              <w:rPr>
                <w:rStyle w:val="Hipercze"/>
                <w:rFonts w:cstheme="minorHAnsi"/>
                <w:noProof/>
              </w:rPr>
              <w:t>Ustawa z dnia 29 czerwca 1995 r. o statystyce publicznej (Dz. U. z 2018 r. poz. 997, 1000, 1629 i 1669)</w:t>
            </w:r>
            <w:r w:rsidR="00F340A3">
              <w:rPr>
                <w:noProof/>
                <w:webHidden/>
              </w:rPr>
              <w:tab/>
            </w:r>
            <w:r w:rsidR="00F340A3">
              <w:rPr>
                <w:noProof/>
                <w:webHidden/>
              </w:rPr>
              <w:fldChar w:fldCharType="begin"/>
            </w:r>
            <w:r w:rsidR="00F340A3">
              <w:rPr>
                <w:noProof/>
                <w:webHidden/>
              </w:rPr>
              <w:instrText xml:space="preserve"> PAGEREF _Toc530565004 \h </w:instrText>
            </w:r>
            <w:r w:rsidR="00F340A3">
              <w:rPr>
                <w:noProof/>
                <w:webHidden/>
              </w:rPr>
            </w:r>
            <w:r w:rsidR="00F340A3">
              <w:rPr>
                <w:noProof/>
                <w:webHidden/>
              </w:rPr>
              <w:fldChar w:fldCharType="separate"/>
            </w:r>
            <w:r w:rsidR="00F05192">
              <w:rPr>
                <w:noProof/>
                <w:webHidden/>
              </w:rPr>
              <w:t>67</w:t>
            </w:r>
            <w:r w:rsidR="00F340A3">
              <w:rPr>
                <w:noProof/>
                <w:webHidden/>
              </w:rPr>
              <w:fldChar w:fldCharType="end"/>
            </w:r>
          </w:hyperlink>
        </w:p>
        <w:p w14:paraId="414713B8" w14:textId="77777777" w:rsidR="00F340A3" w:rsidRDefault="00DF3C4F">
          <w:pPr>
            <w:pStyle w:val="Spistreci2"/>
            <w:rPr>
              <w:rFonts w:eastAsiaTheme="minorEastAsia"/>
              <w:noProof/>
              <w:lang w:eastAsia="pl-PL"/>
            </w:rPr>
          </w:pPr>
          <w:hyperlink w:anchor="_Toc530565005" w:history="1">
            <w:r w:rsidR="00F340A3" w:rsidRPr="00C77770">
              <w:rPr>
                <w:rStyle w:val="Hipercze"/>
                <w:rFonts w:cstheme="minorHAnsi"/>
                <w:noProof/>
              </w:rPr>
              <w:t>Ustawa z dnia 13 października 1995 r. o zasadach ewidencji i identyfikacji podatników i płatników (Dz. U. z 2017 r. poz. 869 i 2491 oraz z 2018 r. poz. 106, 650, 771, 1629 i 2126)</w:t>
            </w:r>
            <w:r w:rsidR="00F340A3">
              <w:rPr>
                <w:noProof/>
                <w:webHidden/>
              </w:rPr>
              <w:tab/>
            </w:r>
            <w:r w:rsidR="00F340A3">
              <w:rPr>
                <w:noProof/>
                <w:webHidden/>
              </w:rPr>
              <w:fldChar w:fldCharType="begin"/>
            </w:r>
            <w:r w:rsidR="00F340A3">
              <w:rPr>
                <w:noProof/>
                <w:webHidden/>
              </w:rPr>
              <w:instrText xml:space="preserve"> PAGEREF _Toc530565005 \h </w:instrText>
            </w:r>
            <w:r w:rsidR="00F340A3">
              <w:rPr>
                <w:noProof/>
                <w:webHidden/>
              </w:rPr>
            </w:r>
            <w:r w:rsidR="00F340A3">
              <w:rPr>
                <w:noProof/>
                <w:webHidden/>
              </w:rPr>
              <w:fldChar w:fldCharType="separate"/>
            </w:r>
            <w:r w:rsidR="00F05192">
              <w:rPr>
                <w:noProof/>
                <w:webHidden/>
              </w:rPr>
              <w:t>80</w:t>
            </w:r>
            <w:r w:rsidR="00F340A3">
              <w:rPr>
                <w:noProof/>
                <w:webHidden/>
              </w:rPr>
              <w:fldChar w:fldCharType="end"/>
            </w:r>
          </w:hyperlink>
        </w:p>
        <w:p w14:paraId="5ECC61EB" w14:textId="77777777" w:rsidR="00F340A3" w:rsidRDefault="00DF3C4F">
          <w:pPr>
            <w:pStyle w:val="Spistreci2"/>
            <w:rPr>
              <w:rFonts w:eastAsiaTheme="minorEastAsia"/>
              <w:noProof/>
              <w:lang w:eastAsia="pl-PL"/>
            </w:rPr>
          </w:pPr>
          <w:hyperlink w:anchor="_Toc530565006" w:history="1">
            <w:r w:rsidR="00F340A3" w:rsidRPr="00C77770">
              <w:rPr>
                <w:rStyle w:val="Hipercze"/>
                <w:rFonts w:cstheme="minorHAnsi"/>
                <w:noProof/>
              </w:rPr>
              <w:t>Ustawa z dnia 13 października 1995 r. – Prawo łowieckie (Dz. U. z 2018 r. poz. 2033)</w:t>
            </w:r>
            <w:r w:rsidR="00F340A3">
              <w:rPr>
                <w:noProof/>
                <w:webHidden/>
              </w:rPr>
              <w:tab/>
            </w:r>
            <w:r w:rsidR="00F340A3">
              <w:rPr>
                <w:noProof/>
                <w:webHidden/>
              </w:rPr>
              <w:fldChar w:fldCharType="begin"/>
            </w:r>
            <w:r w:rsidR="00F340A3">
              <w:rPr>
                <w:noProof/>
                <w:webHidden/>
              </w:rPr>
              <w:instrText xml:space="preserve"> PAGEREF _Toc530565006 \h </w:instrText>
            </w:r>
            <w:r w:rsidR="00F340A3">
              <w:rPr>
                <w:noProof/>
                <w:webHidden/>
              </w:rPr>
            </w:r>
            <w:r w:rsidR="00F340A3">
              <w:rPr>
                <w:noProof/>
                <w:webHidden/>
              </w:rPr>
              <w:fldChar w:fldCharType="separate"/>
            </w:r>
            <w:r w:rsidR="00F05192">
              <w:rPr>
                <w:noProof/>
                <w:webHidden/>
              </w:rPr>
              <w:t>83</w:t>
            </w:r>
            <w:r w:rsidR="00F340A3">
              <w:rPr>
                <w:noProof/>
                <w:webHidden/>
              </w:rPr>
              <w:fldChar w:fldCharType="end"/>
            </w:r>
          </w:hyperlink>
        </w:p>
        <w:p w14:paraId="61D559AC" w14:textId="77777777" w:rsidR="00F340A3" w:rsidRDefault="00DF3C4F">
          <w:pPr>
            <w:pStyle w:val="Spistreci2"/>
            <w:rPr>
              <w:rFonts w:eastAsiaTheme="minorEastAsia"/>
              <w:noProof/>
              <w:lang w:eastAsia="pl-PL"/>
            </w:rPr>
          </w:pPr>
          <w:hyperlink w:anchor="_Toc530565007" w:history="1">
            <w:r w:rsidR="00F340A3" w:rsidRPr="00C77770">
              <w:rPr>
                <w:rStyle w:val="Hipercze"/>
                <w:rFonts w:cstheme="minorHAnsi"/>
                <w:noProof/>
              </w:rPr>
              <w:t>Ustawa z dnia 31 maja 1996 r. o osobach deportowanych do pracy przymusowej oraz osadzonych w obozach pracy przez III Rzeszę i Związek Socjalistycznych Republik Radzieckich (Dz. U. z 2014 r. poz. 1001 oraz z 2018 r. poz. 1552)</w:t>
            </w:r>
            <w:r w:rsidR="00F340A3">
              <w:rPr>
                <w:noProof/>
                <w:webHidden/>
              </w:rPr>
              <w:tab/>
            </w:r>
            <w:r w:rsidR="00F340A3">
              <w:rPr>
                <w:noProof/>
                <w:webHidden/>
              </w:rPr>
              <w:fldChar w:fldCharType="begin"/>
            </w:r>
            <w:r w:rsidR="00F340A3">
              <w:rPr>
                <w:noProof/>
                <w:webHidden/>
              </w:rPr>
              <w:instrText xml:space="preserve"> PAGEREF _Toc530565007 \h </w:instrText>
            </w:r>
            <w:r w:rsidR="00F340A3">
              <w:rPr>
                <w:noProof/>
                <w:webHidden/>
              </w:rPr>
            </w:r>
            <w:r w:rsidR="00F340A3">
              <w:rPr>
                <w:noProof/>
                <w:webHidden/>
              </w:rPr>
              <w:fldChar w:fldCharType="separate"/>
            </w:r>
            <w:r w:rsidR="00F05192">
              <w:rPr>
                <w:noProof/>
                <w:webHidden/>
              </w:rPr>
              <w:t>83</w:t>
            </w:r>
            <w:r w:rsidR="00F340A3">
              <w:rPr>
                <w:noProof/>
                <w:webHidden/>
              </w:rPr>
              <w:fldChar w:fldCharType="end"/>
            </w:r>
          </w:hyperlink>
        </w:p>
        <w:p w14:paraId="50DE0B80" w14:textId="77777777" w:rsidR="00F340A3" w:rsidRDefault="00DF3C4F">
          <w:pPr>
            <w:pStyle w:val="Spistreci2"/>
            <w:rPr>
              <w:rFonts w:eastAsiaTheme="minorEastAsia"/>
              <w:noProof/>
              <w:lang w:eastAsia="pl-PL"/>
            </w:rPr>
          </w:pPr>
          <w:hyperlink w:anchor="_Toc530565008" w:history="1">
            <w:r w:rsidR="00F340A3" w:rsidRPr="00C77770">
              <w:rPr>
                <w:rStyle w:val="Hipercze"/>
                <w:rFonts w:cstheme="minorHAnsi"/>
                <w:noProof/>
              </w:rPr>
              <w:t>Ustawa z dnia 5 lipca 1996 r. o doradztwie podatkowym (Dz. U. z 2018 r. poz. 377, 650, 723 i 1669)</w:t>
            </w:r>
            <w:r w:rsidR="00F340A3">
              <w:rPr>
                <w:noProof/>
                <w:webHidden/>
              </w:rPr>
              <w:tab/>
            </w:r>
            <w:r w:rsidR="00F340A3">
              <w:rPr>
                <w:noProof/>
                <w:webHidden/>
              </w:rPr>
              <w:fldChar w:fldCharType="begin"/>
            </w:r>
            <w:r w:rsidR="00F340A3">
              <w:rPr>
                <w:noProof/>
                <w:webHidden/>
              </w:rPr>
              <w:instrText xml:space="preserve"> PAGEREF _Toc530565008 \h </w:instrText>
            </w:r>
            <w:r w:rsidR="00F340A3">
              <w:rPr>
                <w:noProof/>
                <w:webHidden/>
              </w:rPr>
            </w:r>
            <w:r w:rsidR="00F340A3">
              <w:rPr>
                <w:noProof/>
                <w:webHidden/>
              </w:rPr>
              <w:fldChar w:fldCharType="separate"/>
            </w:r>
            <w:r w:rsidR="00F05192">
              <w:rPr>
                <w:noProof/>
                <w:webHidden/>
              </w:rPr>
              <w:t>84</w:t>
            </w:r>
            <w:r w:rsidR="00F340A3">
              <w:rPr>
                <w:noProof/>
                <w:webHidden/>
              </w:rPr>
              <w:fldChar w:fldCharType="end"/>
            </w:r>
          </w:hyperlink>
        </w:p>
        <w:p w14:paraId="716C1C8B" w14:textId="77777777" w:rsidR="00F340A3" w:rsidRDefault="00DF3C4F">
          <w:pPr>
            <w:pStyle w:val="Spistreci2"/>
            <w:rPr>
              <w:rFonts w:eastAsiaTheme="minorEastAsia"/>
              <w:noProof/>
              <w:lang w:eastAsia="pl-PL"/>
            </w:rPr>
          </w:pPr>
          <w:hyperlink w:anchor="_Toc530565009" w:history="1">
            <w:r w:rsidR="00F340A3" w:rsidRPr="00C77770">
              <w:rPr>
                <w:rStyle w:val="Hipercze"/>
                <w:rFonts w:cstheme="minorHAnsi"/>
                <w:noProof/>
              </w:rPr>
              <w:t>Ustawa z dnia 8 sierpnia 1996 r. o Radzie Ministrów (Dz. U. z 2012 r. poz. 392, z 2015 r. poz. 1064 oraz z 2018 r. poz. 1669)</w:t>
            </w:r>
            <w:r w:rsidR="00F340A3">
              <w:rPr>
                <w:noProof/>
                <w:webHidden/>
              </w:rPr>
              <w:tab/>
            </w:r>
            <w:r w:rsidR="00F340A3">
              <w:rPr>
                <w:noProof/>
                <w:webHidden/>
              </w:rPr>
              <w:fldChar w:fldCharType="begin"/>
            </w:r>
            <w:r w:rsidR="00F340A3">
              <w:rPr>
                <w:noProof/>
                <w:webHidden/>
              </w:rPr>
              <w:instrText xml:space="preserve"> PAGEREF _Toc530565009 \h </w:instrText>
            </w:r>
            <w:r w:rsidR="00F340A3">
              <w:rPr>
                <w:noProof/>
                <w:webHidden/>
              </w:rPr>
            </w:r>
            <w:r w:rsidR="00F340A3">
              <w:rPr>
                <w:noProof/>
                <w:webHidden/>
              </w:rPr>
              <w:fldChar w:fldCharType="separate"/>
            </w:r>
            <w:r w:rsidR="00F05192">
              <w:rPr>
                <w:noProof/>
                <w:webHidden/>
              </w:rPr>
              <w:t>87</w:t>
            </w:r>
            <w:r w:rsidR="00F340A3">
              <w:rPr>
                <w:noProof/>
                <w:webHidden/>
              </w:rPr>
              <w:fldChar w:fldCharType="end"/>
            </w:r>
          </w:hyperlink>
        </w:p>
        <w:p w14:paraId="5B8FE1AD" w14:textId="77777777" w:rsidR="00F340A3" w:rsidRDefault="00DF3C4F">
          <w:pPr>
            <w:pStyle w:val="Spistreci2"/>
            <w:rPr>
              <w:rFonts w:eastAsiaTheme="minorEastAsia"/>
              <w:noProof/>
              <w:lang w:eastAsia="pl-PL"/>
            </w:rPr>
          </w:pPr>
          <w:hyperlink w:anchor="_Toc530565010" w:history="1">
            <w:r w:rsidR="00F340A3" w:rsidRPr="00C77770">
              <w:rPr>
                <w:rStyle w:val="Hipercze"/>
                <w:rFonts w:cstheme="minorHAnsi"/>
                <w:noProof/>
              </w:rPr>
              <w:t>Ustawa z dnia 13 września 1996 r. o utrzymaniu czystości i porządku w gminach (Dz. U. z 2018 r. poz. 1454 i 1629)</w:t>
            </w:r>
            <w:r w:rsidR="00F340A3">
              <w:rPr>
                <w:noProof/>
                <w:webHidden/>
              </w:rPr>
              <w:tab/>
            </w:r>
            <w:r w:rsidR="00F340A3">
              <w:rPr>
                <w:noProof/>
                <w:webHidden/>
              </w:rPr>
              <w:fldChar w:fldCharType="begin"/>
            </w:r>
            <w:r w:rsidR="00F340A3">
              <w:rPr>
                <w:noProof/>
                <w:webHidden/>
              </w:rPr>
              <w:instrText xml:space="preserve"> PAGEREF _Toc530565010 \h </w:instrText>
            </w:r>
            <w:r w:rsidR="00F340A3">
              <w:rPr>
                <w:noProof/>
                <w:webHidden/>
              </w:rPr>
            </w:r>
            <w:r w:rsidR="00F340A3">
              <w:rPr>
                <w:noProof/>
                <w:webHidden/>
              </w:rPr>
              <w:fldChar w:fldCharType="separate"/>
            </w:r>
            <w:r w:rsidR="00F05192">
              <w:rPr>
                <w:noProof/>
                <w:webHidden/>
              </w:rPr>
              <w:t>90</w:t>
            </w:r>
            <w:r w:rsidR="00F340A3">
              <w:rPr>
                <w:noProof/>
                <w:webHidden/>
              </w:rPr>
              <w:fldChar w:fldCharType="end"/>
            </w:r>
          </w:hyperlink>
        </w:p>
        <w:p w14:paraId="39D19A51" w14:textId="77777777" w:rsidR="00F340A3" w:rsidRDefault="00DF3C4F">
          <w:pPr>
            <w:pStyle w:val="Spistreci2"/>
            <w:rPr>
              <w:rFonts w:eastAsiaTheme="minorEastAsia"/>
              <w:noProof/>
              <w:lang w:eastAsia="pl-PL"/>
            </w:rPr>
          </w:pPr>
          <w:hyperlink w:anchor="_Toc530565011" w:history="1">
            <w:r w:rsidR="00F340A3" w:rsidRPr="00C77770">
              <w:rPr>
                <w:rStyle w:val="Hipercze"/>
                <w:rFonts w:cstheme="minorHAnsi"/>
                <w:noProof/>
              </w:rPr>
              <w:t>Ustawa z dnia 5 grudnia 1996 r. o zawodach lekarza i lekarza dentysty (Dz. U. z 2018 r. poz. 617, 650, 697, 1515, 1532, 1544, 1629 i 1669)</w:t>
            </w:r>
            <w:r w:rsidR="00F340A3">
              <w:rPr>
                <w:noProof/>
                <w:webHidden/>
              </w:rPr>
              <w:tab/>
            </w:r>
            <w:r w:rsidR="00F340A3">
              <w:rPr>
                <w:noProof/>
                <w:webHidden/>
              </w:rPr>
              <w:fldChar w:fldCharType="begin"/>
            </w:r>
            <w:r w:rsidR="00F340A3">
              <w:rPr>
                <w:noProof/>
                <w:webHidden/>
              </w:rPr>
              <w:instrText xml:space="preserve"> PAGEREF _Toc530565011 \h </w:instrText>
            </w:r>
            <w:r w:rsidR="00F340A3">
              <w:rPr>
                <w:noProof/>
                <w:webHidden/>
              </w:rPr>
            </w:r>
            <w:r w:rsidR="00F340A3">
              <w:rPr>
                <w:noProof/>
                <w:webHidden/>
              </w:rPr>
              <w:fldChar w:fldCharType="separate"/>
            </w:r>
            <w:r w:rsidR="00F05192">
              <w:rPr>
                <w:noProof/>
                <w:webHidden/>
              </w:rPr>
              <w:t>90</w:t>
            </w:r>
            <w:r w:rsidR="00F340A3">
              <w:rPr>
                <w:noProof/>
                <w:webHidden/>
              </w:rPr>
              <w:fldChar w:fldCharType="end"/>
            </w:r>
          </w:hyperlink>
        </w:p>
        <w:p w14:paraId="3919E18E" w14:textId="77777777" w:rsidR="00F340A3" w:rsidRDefault="00DF3C4F">
          <w:pPr>
            <w:pStyle w:val="Spistreci2"/>
            <w:rPr>
              <w:rFonts w:eastAsiaTheme="minorEastAsia"/>
              <w:noProof/>
              <w:lang w:eastAsia="pl-PL"/>
            </w:rPr>
          </w:pPr>
          <w:hyperlink w:anchor="_Toc530565012" w:history="1">
            <w:r w:rsidR="00F340A3" w:rsidRPr="00C77770">
              <w:rPr>
                <w:rStyle w:val="Hipercze"/>
                <w:rFonts w:cstheme="minorHAnsi"/>
                <w:noProof/>
              </w:rPr>
              <w:t>Ustawa z dnia 10 kwietnia 1997 r. – Prawo energetyczne (Dz. U. z 2018 r. poz. 755, 650, 685, 771, 1000, 1356, 1629 i 1637)</w:t>
            </w:r>
            <w:r w:rsidR="00F340A3">
              <w:rPr>
                <w:noProof/>
                <w:webHidden/>
              </w:rPr>
              <w:tab/>
            </w:r>
            <w:r w:rsidR="00F340A3">
              <w:rPr>
                <w:noProof/>
                <w:webHidden/>
              </w:rPr>
              <w:fldChar w:fldCharType="begin"/>
            </w:r>
            <w:r w:rsidR="00F340A3">
              <w:rPr>
                <w:noProof/>
                <w:webHidden/>
              </w:rPr>
              <w:instrText xml:space="preserve"> PAGEREF _Toc530565012 \h </w:instrText>
            </w:r>
            <w:r w:rsidR="00F340A3">
              <w:rPr>
                <w:noProof/>
                <w:webHidden/>
              </w:rPr>
            </w:r>
            <w:r w:rsidR="00F340A3">
              <w:rPr>
                <w:noProof/>
                <w:webHidden/>
              </w:rPr>
              <w:fldChar w:fldCharType="separate"/>
            </w:r>
            <w:r w:rsidR="00F05192">
              <w:rPr>
                <w:noProof/>
                <w:webHidden/>
              </w:rPr>
              <w:t>91</w:t>
            </w:r>
            <w:r w:rsidR="00F340A3">
              <w:rPr>
                <w:noProof/>
                <w:webHidden/>
              </w:rPr>
              <w:fldChar w:fldCharType="end"/>
            </w:r>
          </w:hyperlink>
        </w:p>
        <w:p w14:paraId="30EECD0B" w14:textId="77777777" w:rsidR="00F340A3" w:rsidRDefault="00DF3C4F">
          <w:pPr>
            <w:pStyle w:val="Spistreci2"/>
            <w:rPr>
              <w:rFonts w:eastAsiaTheme="minorEastAsia"/>
              <w:noProof/>
              <w:lang w:eastAsia="pl-PL"/>
            </w:rPr>
          </w:pPr>
          <w:hyperlink w:anchor="_Toc530565013" w:history="1">
            <w:r w:rsidR="00F340A3" w:rsidRPr="00C77770">
              <w:rPr>
                <w:rStyle w:val="Hipercze"/>
                <w:rFonts w:cstheme="minorHAnsi"/>
                <w:noProof/>
              </w:rPr>
              <w:t>Ustawa z dnia 6 czerwca 1997 r. – Kodeks karny (Dz. U. z 2018 r. poz. 1600 i 2077)</w:t>
            </w:r>
            <w:r w:rsidR="00F340A3">
              <w:rPr>
                <w:noProof/>
                <w:webHidden/>
              </w:rPr>
              <w:tab/>
            </w:r>
            <w:r w:rsidR="00F340A3">
              <w:rPr>
                <w:noProof/>
                <w:webHidden/>
              </w:rPr>
              <w:fldChar w:fldCharType="begin"/>
            </w:r>
            <w:r w:rsidR="00F340A3">
              <w:rPr>
                <w:noProof/>
                <w:webHidden/>
              </w:rPr>
              <w:instrText xml:space="preserve"> PAGEREF _Toc530565013 \h </w:instrText>
            </w:r>
            <w:r w:rsidR="00F340A3">
              <w:rPr>
                <w:noProof/>
                <w:webHidden/>
              </w:rPr>
            </w:r>
            <w:r w:rsidR="00F340A3">
              <w:rPr>
                <w:noProof/>
                <w:webHidden/>
              </w:rPr>
              <w:fldChar w:fldCharType="separate"/>
            </w:r>
            <w:r w:rsidR="00F05192">
              <w:rPr>
                <w:noProof/>
                <w:webHidden/>
              </w:rPr>
              <w:t>91</w:t>
            </w:r>
            <w:r w:rsidR="00F340A3">
              <w:rPr>
                <w:noProof/>
                <w:webHidden/>
              </w:rPr>
              <w:fldChar w:fldCharType="end"/>
            </w:r>
          </w:hyperlink>
        </w:p>
        <w:p w14:paraId="543CEB46" w14:textId="77777777" w:rsidR="00F340A3" w:rsidRDefault="00DF3C4F">
          <w:pPr>
            <w:pStyle w:val="Spistreci2"/>
            <w:rPr>
              <w:rFonts w:eastAsiaTheme="minorEastAsia"/>
              <w:noProof/>
              <w:lang w:eastAsia="pl-PL"/>
            </w:rPr>
          </w:pPr>
          <w:hyperlink w:anchor="_Toc530565014" w:history="1">
            <w:r w:rsidR="00F340A3" w:rsidRPr="00C77770">
              <w:rPr>
                <w:rStyle w:val="Hipercze"/>
                <w:rFonts w:cstheme="minorHAnsi"/>
                <w:noProof/>
              </w:rPr>
              <w:t>Ustawa z dnia 20 czerwca 1997 r. – Prawo o ruchu drogowym (Dz. U. z 2018 r. poz. 1990)</w:t>
            </w:r>
            <w:r w:rsidR="00F340A3">
              <w:rPr>
                <w:noProof/>
                <w:webHidden/>
              </w:rPr>
              <w:tab/>
            </w:r>
            <w:r w:rsidR="00F340A3">
              <w:rPr>
                <w:noProof/>
                <w:webHidden/>
              </w:rPr>
              <w:fldChar w:fldCharType="begin"/>
            </w:r>
            <w:r w:rsidR="00F340A3">
              <w:rPr>
                <w:noProof/>
                <w:webHidden/>
              </w:rPr>
              <w:instrText xml:space="preserve"> PAGEREF _Toc530565014 \h </w:instrText>
            </w:r>
            <w:r w:rsidR="00F340A3">
              <w:rPr>
                <w:noProof/>
                <w:webHidden/>
              </w:rPr>
            </w:r>
            <w:r w:rsidR="00F340A3">
              <w:rPr>
                <w:noProof/>
                <w:webHidden/>
              </w:rPr>
              <w:fldChar w:fldCharType="separate"/>
            </w:r>
            <w:r w:rsidR="00F05192">
              <w:rPr>
                <w:noProof/>
                <w:webHidden/>
              </w:rPr>
              <w:t>93</w:t>
            </w:r>
            <w:r w:rsidR="00F340A3">
              <w:rPr>
                <w:noProof/>
                <w:webHidden/>
              </w:rPr>
              <w:fldChar w:fldCharType="end"/>
            </w:r>
          </w:hyperlink>
        </w:p>
        <w:p w14:paraId="401AB2D3" w14:textId="77777777" w:rsidR="00F340A3" w:rsidRDefault="00DF3C4F">
          <w:pPr>
            <w:pStyle w:val="Spistreci2"/>
            <w:rPr>
              <w:rFonts w:eastAsiaTheme="minorEastAsia"/>
              <w:noProof/>
              <w:lang w:eastAsia="pl-PL"/>
            </w:rPr>
          </w:pPr>
          <w:hyperlink w:anchor="_Toc530565015" w:history="1">
            <w:r w:rsidR="00F340A3" w:rsidRPr="00C77770">
              <w:rPr>
                <w:rStyle w:val="Hipercze"/>
                <w:rFonts w:cstheme="minorHAnsi"/>
                <w:noProof/>
              </w:rPr>
              <w:t>Ustawa z dnia 21 sierpnia 1997 r. – Prawo o ustroju sądów wojskowych (Dz. U. z 2018 r. poz. 1921)</w:t>
            </w:r>
            <w:r w:rsidR="00F340A3">
              <w:rPr>
                <w:noProof/>
                <w:webHidden/>
              </w:rPr>
              <w:tab/>
            </w:r>
            <w:r w:rsidR="00F340A3">
              <w:rPr>
                <w:noProof/>
                <w:webHidden/>
              </w:rPr>
              <w:fldChar w:fldCharType="begin"/>
            </w:r>
            <w:r w:rsidR="00F340A3">
              <w:rPr>
                <w:noProof/>
                <w:webHidden/>
              </w:rPr>
              <w:instrText xml:space="preserve"> PAGEREF _Toc530565015 \h </w:instrText>
            </w:r>
            <w:r w:rsidR="00F340A3">
              <w:rPr>
                <w:noProof/>
                <w:webHidden/>
              </w:rPr>
            </w:r>
            <w:r w:rsidR="00F340A3">
              <w:rPr>
                <w:noProof/>
                <w:webHidden/>
              </w:rPr>
              <w:fldChar w:fldCharType="separate"/>
            </w:r>
            <w:r w:rsidR="00F05192">
              <w:rPr>
                <w:noProof/>
                <w:webHidden/>
              </w:rPr>
              <w:t>94</w:t>
            </w:r>
            <w:r w:rsidR="00F340A3">
              <w:rPr>
                <w:noProof/>
                <w:webHidden/>
              </w:rPr>
              <w:fldChar w:fldCharType="end"/>
            </w:r>
          </w:hyperlink>
        </w:p>
        <w:p w14:paraId="5B4B0CB0" w14:textId="77777777" w:rsidR="00F340A3" w:rsidRDefault="00DF3C4F">
          <w:pPr>
            <w:pStyle w:val="Spistreci2"/>
            <w:rPr>
              <w:rFonts w:eastAsiaTheme="minorEastAsia"/>
              <w:noProof/>
              <w:lang w:eastAsia="pl-PL"/>
            </w:rPr>
          </w:pPr>
          <w:hyperlink w:anchor="_Toc530565016" w:history="1">
            <w:r w:rsidR="00F340A3" w:rsidRPr="00C77770">
              <w:rPr>
                <w:rStyle w:val="Hipercze"/>
                <w:rFonts w:cstheme="minorHAnsi"/>
                <w:noProof/>
              </w:rPr>
              <w:t>Ustawa z dnia 22 sierpnia 1997 r. o publicznej służbie krwi (Dz. U. z 2017 r. poz. 1371 oraz z 2018 r. poz. 1375)</w:t>
            </w:r>
            <w:r w:rsidR="00F340A3">
              <w:rPr>
                <w:noProof/>
                <w:webHidden/>
              </w:rPr>
              <w:tab/>
            </w:r>
            <w:r w:rsidR="00F340A3">
              <w:rPr>
                <w:noProof/>
                <w:webHidden/>
              </w:rPr>
              <w:fldChar w:fldCharType="begin"/>
            </w:r>
            <w:r w:rsidR="00F340A3">
              <w:rPr>
                <w:noProof/>
                <w:webHidden/>
              </w:rPr>
              <w:instrText xml:space="preserve"> PAGEREF _Toc530565016 \h </w:instrText>
            </w:r>
            <w:r w:rsidR="00F340A3">
              <w:rPr>
                <w:noProof/>
                <w:webHidden/>
              </w:rPr>
            </w:r>
            <w:r w:rsidR="00F340A3">
              <w:rPr>
                <w:noProof/>
                <w:webHidden/>
              </w:rPr>
              <w:fldChar w:fldCharType="separate"/>
            </w:r>
            <w:r w:rsidR="00F05192">
              <w:rPr>
                <w:noProof/>
                <w:webHidden/>
              </w:rPr>
              <w:t>94</w:t>
            </w:r>
            <w:r w:rsidR="00F340A3">
              <w:rPr>
                <w:noProof/>
                <w:webHidden/>
              </w:rPr>
              <w:fldChar w:fldCharType="end"/>
            </w:r>
          </w:hyperlink>
        </w:p>
        <w:p w14:paraId="69329314" w14:textId="77777777" w:rsidR="00F340A3" w:rsidRDefault="00DF3C4F">
          <w:pPr>
            <w:pStyle w:val="Spistreci2"/>
            <w:rPr>
              <w:rFonts w:eastAsiaTheme="minorEastAsia"/>
              <w:noProof/>
              <w:lang w:eastAsia="pl-PL"/>
            </w:rPr>
          </w:pPr>
          <w:hyperlink w:anchor="_Toc530565017" w:history="1">
            <w:r w:rsidR="00F340A3" w:rsidRPr="00C77770">
              <w:rPr>
                <w:rStyle w:val="Hipercze"/>
                <w:rFonts w:cstheme="minorHAnsi"/>
                <w:noProof/>
              </w:rPr>
              <w:t>Ustawa z dnia 27 sierpnia 1997 r. o rehabilitacji zawodowej i społecznej oraz zatrudnianiu osób niepełnosprawnych (Dz. U. z 2018 r. poz. 511, 1000, 1076 i 1925)</w:t>
            </w:r>
            <w:r w:rsidR="00F340A3">
              <w:rPr>
                <w:noProof/>
                <w:webHidden/>
              </w:rPr>
              <w:tab/>
            </w:r>
            <w:r w:rsidR="00F340A3">
              <w:rPr>
                <w:noProof/>
                <w:webHidden/>
              </w:rPr>
              <w:fldChar w:fldCharType="begin"/>
            </w:r>
            <w:r w:rsidR="00F340A3">
              <w:rPr>
                <w:noProof/>
                <w:webHidden/>
              </w:rPr>
              <w:instrText xml:space="preserve"> PAGEREF _Toc530565017 \h </w:instrText>
            </w:r>
            <w:r w:rsidR="00F340A3">
              <w:rPr>
                <w:noProof/>
                <w:webHidden/>
              </w:rPr>
            </w:r>
            <w:r w:rsidR="00F340A3">
              <w:rPr>
                <w:noProof/>
                <w:webHidden/>
              </w:rPr>
              <w:fldChar w:fldCharType="separate"/>
            </w:r>
            <w:r w:rsidR="00F05192">
              <w:rPr>
                <w:noProof/>
                <w:webHidden/>
              </w:rPr>
              <w:t>94</w:t>
            </w:r>
            <w:r w:rsidR="00F340A3">
              <w:rPr>
                <w:noProof/>
                <w:webHidden/>
              </w:rPr>
              <w:fldChar w:fldCharType="end"/>
            </w:r>
          </w:hyperlink>
        </w:p>
        <w:p w14:paraId="5441499F" w14:textId="77777777" w:rsidR="00F340A3" w:rsidRDefault="00DF3C4F">
          <w:pPr>
            <w:pStyle w:val="Spistreci2"/>
            <w:rPr>
              <w:rFonts w:eastAsiaTheme="minorEastAsia"/>
              <w:noProof/>
              <w:lang w:eastAsia="pl-PL"/>
            </w:rPr>
          </w:pPr>
          <w:hyperlink w:anchor="_Toc530565018" w:history="1">
            <w:r w:rsidR="00F340A3" w:rsidRPr="00C77770">
              <w:rPr>
                <w:rStyle w:val="Hipercze"/>
                <w:rFonts w:cstheme="minorHAnsi"/>
                <w:noProof/>
              </w:rPr>
              <w:t>Ustawa z dnia 29 sierpnia 1997 r. o komornikach sądowych i egzekucji (Dz. U. z 2018 r. poz. 1309 i 1669)</w:t>
            </w:r>
            <w:r w:rsidR="00F340A3">
              <w:rPr>
                <w:noProof/>
                <w:webHidden/>
              </w:rPr>
              <w:tab/>
            </w:r>
            <w:r w:rsidR="00F340A3">
              <w:rPr>
                <w:noProof/>
                <w:webHidden/>
              </w:rPr>
              <w:fldChar w:fldCharType="begin"/>
            </w:r>
            <w:r w:rsidR="00F340A3">
              <w:rPr>
                <w:noProof/>
                <w:webHidden/>
              </w:rPr>
              <w:instrText xml:space="preserve"> PAGEREF _Toc530565018 \h </w:instrText>
            </w:r>
            <w:r w:rsidR="00F340A3">
              <w:rPr>
                <w:noProof/>
                <w:webHidden/>
              </w:rPr>
            </w:r>
            <w:r w:rsidR="00F340A3">
              <w:rPr>
                <w:noProof/>
                <w:webHidden/>
              </w:rPr>
              <w:fldChar w:fldCharType="separate"/>
            </w:r>
            <w:r w:rsidR="00F05192">
              <w:rPr>
                <w:noProof/>
                <w:webHidden/>
              </w:rPr>
              <w:t>97</w:t>
            </w:r>
            <w:r w:rsidR="00F340A3">
              <w:rPr>
                <w:noProof/>
                <w:webHidden/>
              </w:rPr>
              <w:fldChar w:fldCharType="end"/>
            </w:r>
          </w:hyperlink>
        </w:p>
        <w:p w14:paraId="67B22D0E" w14:textId="77777777" w:rsidR="00F340A3" w:rsidRDefault="00DF3C4F">
          <w:pPr>
            <w:pStyle w:val="Spistreci2"/>
            <w:rPr>
              <w:rFonts w:eastAsiaTheme="minorEastAsia"/>
              <w:noProof/>
              <w:lang w:eastAsia="pl-PL"/>
            </w:rPr>
          </w:pPr>
          <w:hyperlink w:anchor="_Toc530565019" w:history="1">
            <w:r w:rsidR="00F340A3" w:rsidRPr="00C77770">
              <w:rPr>
                <w:rStyle w:val="Hipercze"/>
                <w:rFonts w:cstheme="minorHAnsi"/>
                <w:noProof/>
              </w:rPr>
              <w:t>Ustawa z dnia 29 sierpnia 1997 r. – Ordynacja podatkowa (Dz. U. z 2018 r. poz. 800, 650, 723, 771, 1000, 1039, 1075, 1499, 1540, 1544 i 1629, 1693 i 2126)</w:t>
            </w:r>
            <w:r w:rsidR="00F340A3">
              <w:rPr>
                <w:noProof/>
                <w:webHidden/>
              </w:rPr>
              <w:tab/>
            </w:r>
            <w:r w:rsidR="00F340A3">
              <w:rPr>
                <w:noProof/>
                <w:webHidden/>
              </w:rPr>
              <w:fldChar w:fldCharType="begin"/>
            </w:r>
            <w:r w:rsidR="00F340A3">
              <w:rPr>
                <w:noProof/>
                <w:webHidden/>
              </w:rPr>
              <w:instrText xml:space="preserve"> PAGEREF _Toc530565019 \h </w:instrText>
            </w:r>
            <w:r w:rsidR="00F340A3">
              <w:rPr>
                <w:noProof/>
                <w:webHidden/>
              </w:rPr>
            </w:r>
            <w:r w:rsidR="00F340A3">
              <w:rPr>
                <w:noProof/>
                <w:webHidden/>
              </w:rPr>
              <w:fldChar w:fldCharType="separate"/>
            </w:r>
            <w:r w:rsidR="00F05192">
              <w:rPr>
                <w:noProof/>
                <w:webHidden/>
              </w:rPr>
              <w:t>103</w:t>
            </w:r>
            <w:r w:rsidR="00F340A3">
              <w:rPr>
                <w:noProof/>
                <w:webHidden/>
              </w:rPr>
              <w:fldChar w:fldCharType="end"/>
            </w:r>
          </w:hyperlink>
        </w:p>
        <w:p w14:paraId="39775930" w14:textId="77777777" w:rsidR="00F340A3" w:rsidRDefault="00DF3C4F">
          <w:pPr>
            <w:pStyle w:val="Spistreci2"/>
            <w:rPr>
              <w:rFonts w:eastAsiaTheme="minorEastAsia"/>
              <w:noProof/>
              <w:lang w:eastAsia="pl-PL"/>
            </w:rPr>
          </w:pPr>
          <w:hyperlink w:anchor="_Toc530565020" w:history="1">
            <w:r w:rsidR="00F340A3" w:rsidRPr="00C77770">
              <w:rPr>
                <w:rStyle w:val="Hipercze"/>
                <w:rFonts w:cstheme="minorHAnsi"/>
                <w:noProof/>
              </w:rPr>
              <w:t>Ustawa z dnia 29 sierpnia 1997 r. o Narodowym Banku Polskim (Dz. U. z 2017 r. poz. 1373)</w:t>
            </w:r>
            <w:r w:rsidR="00F340A3">
              <w:rPr>
                <w:noProof/>
                <w:webHidden/>
              </w:rPr>
              <w:tab/>
            </w:r>
            <w:r w:rsidR="00F340A3">
              <w:rPr>
                <w:noProof/>
                <w:webHidden/>
              </w:rPr>
              <w:fldChar w:fldCharType="begin"/>
            </w:r>
            <w:r w:rsidR="00F340A3">
              <w:rPr>
                <w:noProof/>
                <w:webHidden/>
              </w:rPr>
              <w:instrText xml:space="preserve"> PAGEREF _Toc530565020 \h </w:instrText>
            </w:r>
            <w:r w:rsidR="00F340A3">
              <w:rPr>
                <w:noProof/>
                <w:webHidden/>
              </w:rPr>
            </w:r>
            <w:r w:rsidR="00F340A3">
              <w:rPr>
                <w:noProof/>
                <w:webHidden/>
              </w:rPr>
              <w:fldChar w:fldCharType="separate"/>
            </w:r>
            <w:r w:rsidR="00F05192">
              <w:rPr>
                <w:noProof/>
                <w:webHidden/>
              </w:rPr>
              <w:t>109</w:t>
            </w:r>
            <w:r w:rsidR="00F340A3">
              <w:rPr>
                <w:noProof/>
                <w:webHidden/>
              </w:rPr>
              <w:fldChar w:fldCharType="end"/>
            </w:r>
          </w:hyperlink>
        </w:p>
        <w:p w14:paraId="32A55DE1" w14:textId="77777777" w:rsidR="00F340A3" w:rsidRDefault="00DF3C4F">
          <w:pPr>
            <w:pStyle w:val="Spistreci2"/>
            <w:rPr>
              <w:rFonts w:eastAsiaTheme="minorEastAsia"/>
              <w:noProof/>
              <w:lang w:eastAsia="pl-PL"/>
            </w:rPr>
          </w:pPr>
          <w:hyperlink w:anchor="_Toc530565021" w:history="1">
            <w:r w:rsidR="00F340A3" w:rsidRPr="00C77770">
              <w:rPr>
                <w:rStyle w:val="Hipercze"/>
                <w:rFonts w:cstheme="minorHAnsi"/>
                <w:noProof/>
              </w:rPr>
              <w:t>Ustawa z dnia 29 sierpnia 1997 r. – Prawo bankowe (Dz. U. z 2017 r. poz. 1876, z późn. zm.)</w:t>
            </w:r>
            <w:r w:rsidR="00F340A3">
              <w:rPr>
                <w:noProof/>
                <w:webHidden/>
              </w:rPr>
              <w:tab/>
            </w:r>
            <w:r w:rsidR="00F340A3">
              <w:rPr>
                <w:noProof/>
                <w:webHidden/>
              </w:rPr>
              <w:fldChar w:fldCharType="begin"/>
            </w:r>
            <w:r w:rsidR="00F340A3">
              <w:rPr>
                <w:noProof/>
                <w:webHidden/>
              </w:rPr>
              <w:instrText xml:space="preserve"> PAGEREF _Toc530565021 \h </w:instrText>
            </w:r>
            <w:r w:rsidR="00F340A3">
              <w:rPr>
                <w:noProof/>
                <w:webHidden/>
              </w:rPr>
            </w:r>
            <w:r w:rsidR="00F340A3">
              <w:rPr>
                <w:noProof/>
                <w:webHidden/>
              </w:rPr>
              <w:fldChar w:fldCharType="separate"/>
            </w:r>
            <w:r w:rsidR="00F05192">
              <w:rPr>
                <w:noProof/>
                <w:webHidden/>
              </w:rPr>
              <w:t>111</w:t>
            </w:r>
            <w:r w:rsidR="00F340A3">
              <w:rPr>
                <w:noProof/>
                <w:webHidden/>
              </w:rPr>
              <w:fldChar w:fldCharType="end"/>
            </w:r>
          </w:hyperlink>
        </w:p>
        <w:p w14:paraId="0D0F599B" w14:textId="77777777" w:rsidR="00F340A3" w:rsidRDefault="00DF3C4F">
          <w:pPr>
            <w:pStyle w:val="Spistreci2"/>
            <w:rPr>
              <w:rFonts w:eastAsiaTheme="minorEastAsia"/>
              <w:noProof/>
              <w:lang w:eastAsia="pl-PL"/>
            </w:rPr>
          </w:pPr>
          <w:hyperlink w:anchor="_Toc530565022" w:history="1">
            <w:r w:rsidR="00F340A3" w:rsidRPr="00C77770">
              <w:rPr>
                <w:rStyle w:val="Hipercze"/>
                <w:rFonts w:cstheme="minorHAnsi"/>
                <w:noProof/>
              </w:rPr>
              <w:t>Ustawa z dnia 13 października 1998 r. o systemie ubezpieczeń społecznych (Dz. U. z 2017 r. poz. 1778, z późn. zm.).</w:t>
            </w:r>
            <w:r w:rsidR="00F340A3">
              <w:rPr>
                <w:noProof/>
                <w:webHidden/>
              </w:rPr>
              <w:tab/>
            </w:r>
            <w:r w:rsidR="00F340A3">
              <w:rPr>
                <w:noProof/>
                <w:webHidden/>
              </w:rPr>
              <w:fldChar w:fldCharType="begin"/>
            </w:r>
            <w:r w:rsidR="00F340A3">
              <w:rPr>
                <w:noProof/>
                <w:webHidden/>
              </w:rPr>
              <w:instrText xml:space="preserve"> PAGEREF _Toc530565022 \h </w:instrText>
            </w:r>
            <w:r w:rsidR="00F340A3">
              <w:rPr>
                <w:noProof/>
                <w:webHidden/>
              </w:rPr>
            </w:r>
            <w:r w:rsidR="00F340A3">
              <w:rPr>
                <w:noProof/>
                <w:webHidden/>
              </w:rPr>
              <w:fldChar w:fldCharType="separate"/>
            </w:r>
            <w:r w:rsidR="00F05192">
              <w:rPr>
                <w:noProof/>
                <w:webHidden/>
              </w:rPr>
              <w:t>115</w:t>
            </w:r>
            <w:r w:rsidR="00F340A3">
              <w:rPr>
                <w:noProof/>
                <w:webHidden/>
              </w:rPr>
              <w:fldChar w:fldCharType="end"/>
            </w:r>
          </w:hyperlink>
        </w:p>
        <w:p w14:paraId="20ED531F" w14:textId="77777777" w:rsidR="00F340A3" w:rsidRDefault="00DF3C4F">
          <w:pPr>
            <w:pStyle w:val="Spistreci2"/>
            <w:rPr>
              <w:rFonts w:eastAsiaTheme="minorEastAsia"/>
              <w:noProof/>
              <w:lang w:eastAsia="pl-PL"/>
            </w:rPr>
          </w:pPr>
          <w:hyperlink w:anchor="_Toc530565023" w:history="1">
            <w:r w:rsidR="00F340A3" w:rsidRPr="00C77770">
              <w:rPr>
                <w:rStyle w:val="Hipercze"/>
                <w:rFonts w:cstheme="minorHAnsi"/>
                <w:noProof/>
              </w:rPr>
              <w:t>Ustawa z dnia 17 grudnia 1998 r. o emeryturach i rentach z Funduszu Ubezpieczeń Społecznych (Dz. U. z 2018 r. poz. 1270)</w:t>
            </w:r>
            <w:r w:rsidR="00F340A3">
              <w:rPr>
                <w:noProof/>
                <w:webHidden/>
              </w:rPr>
              <w:tab/>
            </w:r>
            <w:r w:rsidR="00F340A3">
              <w:rPr>
                <w:noProof/>
                <w:webHidden/>
              </w:rPr>
              <w:fldChar w:fldCharType="begin"/>
            </w:r>
            <w:r w:rsidR="00F340A3">
              <w:rPr>
                <w:noProof/>
                <w:webHidden/>
              </w:rPr>
              <w:instrText xml:space="preserve"> PAGEREF _Toc530565023 \h </w:instrText>
            </w:r>
            <w:r w:rsidR="00F340A3">
              <w:rPr>
                <w:noProof/>
                <w:webHidden/>
              </w:rPr>
            </w:r>
            <w:r w:rsidR="00F340A3">
              <w:rPr>
                <w:noProof/>
                <w:webHidden/>
              </w:rPr>
              <w:fldChar w:fldCharType="separate"/>
            </w:r>
            <w:r w:rsidR="00F05192">
              <w:rPr>
                <w:noProof/>
                <w:webHidden/>
              </w:rPr>
              <w:t>116</w:t>
            </w:r>
            <w:r w:rsidR="00F340A3">
              <w:rPr>
                <w:noProof/>
                <w:webHidden/>
              </w:rPr>
              <w:fldChar w:fldCharType="end"/>
            </w:r>
          </w:hyperlink>
        </w:p>
        <w:p w14:paraId="4B9A8E7F" w14:textId="77777777" w:rsidR="00F340A3" w:rsidRDefault="00DF3C4F">
          <w:pPr>
            <w:pStyle w:val="Spistreci2"/>
            <w:rPr>
              <w:rFonts w:eastAsiaTheme="minorEastAsia"/>
              <w:noProof/>
              <w:lang w:eastAsia="pl-PL"/>
            </w:rPr>
          </w:pPr>
          <w:hyperlink w:anchor="_Toc530565024" w:history="1">
            <w:r w:rsidR="00F340A3" w:rsidRPr="00C77770">
              <w:rPr>
                <w:rStyle w:val="Hipercze"/>
                <w:rFonts w:cstheme="minorHAnsi"/>
                <w:noProof/>
              </w:rPr>
              <w:t>Ustawa z dnia 6 stycznia 2000 r. o Rzeczniku Praw Dziecka (Dz. U. z 2017 r. poz. 922)</w:t>
            </w:r>
            <w:r w:rsidR="00F340A3">
              <w:rPr>
                <w:noProof/>
                <w:webHidden/>
              </w:rPr>
              <w:tab/>
            </w:r>
            <w:r w:rsidR="00F340A3">
              <w:rPr>
                <w:noProof/>
                <w:webHidden/>
              </w:rPr>
              <w:fldChar w:fldCharType="begin"/>
            </w:r>
            <w:r w:rsidR="00F340A3">
              <w:rPr>
                <w:noProof/>
                <w:webHidden/>
              </w:rPr>
              <w:instrText xml:space="preserve"> PAGEREF _Toc530565024 \h </w:instrText>
            </w:r>
            <w:r w:rsidR="00F340A3">
              <w:rPr>
                <w:noProof/>
                <w:webHidden/>
              </w:rPr>
            </w:r>
            <w:r w:rsidR="00F340A3">
              <w:rPr>
                <w:noProof/>
                <w:webHidden/>
              </w:rPr>
              <w:fldChar w:fldCharType="separate"/>
            </w:r>
            <w:r w:rsidR="00F05192">
              <w:rPr>
                <w:noProof/>
                <w:webHidden/>
              </w:rPr>
              <w:t>116</w:t>
            </w:r>
            <w:r w:rsidR="00F340A3">
              <w:rPr>
                <w:noProof/>
                <w:webHidden/>
              </w:rPr>
              <w:fldChar w:fldCharType="end"/>
            </w:r>
          </w:hyperlink>
        </w:p>
        <w:p w14:paraId="03598DDC" w14:textId="77777777" w:rsidR="00F340A3" w:rsidRDefault="00DF3C4F">
          <w:pPr>
            <w:pStyle w:val="Spistreci2"/>
            <w:rPr>
              <w:rFonts w:eastAsiaTheme="minorEastAsia"/>
              <w:noProof/>
              <w:lang w:eastAsia="pl-PL"/>
            </w:rPr>
          </w:pPr>
          <w:hyperlink w:anchor="_Toc530565025" w:history="1">
            <w:r w:rsidR="00F340A3" w:rsidRPr="00C77770">
              <w:rPr>
                <w:rStyle w:val="Hipercze"/>
                <w:rFonts w:cstheme="minorHAnsi"/>
                <w:noProof/>
              </w:rPr>
              <w:t>Ustawa z dnia 24 maja 2000 r. o Krajowym Rejestrze Karnym (Dz. U. z 2018 r. poz. 1218 i 1544)</w:t>
            </w:r>
            <w:r w:rsidR="00F340A3">
              <w:rPr>
                <w:noProof/>
                <w:webHidden/>
              </w:rPr>
              <w:tab/>
            </w:r>
            <w:r w:rsidR="00F340A3">
              <w:rPr>
                <w:noProof/>
                <w:webHidden/>
              </w:rPr>
              <w:fldChar w:fldCharType="begin"/>
            </w:r>
            <w:r w:rsidR="00F340A3">
              <w:rPr>
                <w:noProof/>
                <w:webHidden/>
              </w:rPr>
              <w:instrText xml:space="preserve"> PAGEREF _Toc530565025 \h </w:instrText>
            </w:r>
            <w:r w:rsidR="00F340A3">
              <w:rPr>
                <w:noProof/>
                <w:webHidden/>
              </w:rPr>
            </w:r>
            <w:r w:rsidR="00F340A3">
              <w:rPr>
                <w:noProof/>
                <w:webHidden/>
              </w:rPr>
              <w:fldChar w:fldCharType="separate"/>
            </w:r>
            <w:r w:rsidR="00F05192">
              <w:rPr>
                <w:noProof/>
                <w:webHidden/>
              </w:rPr>
              <w:t>116</w:t>
            </w:r>
            <w:r w:rsidR="00F340A3">
              <w:rPr>
                <w:noProof/>
                <w:webHidden/>
              </w:rPr>
              <w:fldChar w:fldCharType="end"/>
            </w:r>
          </w:hyperlink>
        </w:p>
        <w:p w14:paraId="1DA3DDBB" w14:textId="77777777" w:rsidR="00F340A3" w:rsidRDefault="00DF3C4F">
          <w:pPr>
            <w:pStyle w:val="Spistreci2"/>
            <w:rPr>
              <w:rFonts w:eastAsiaTheme="minorEastAsia"/>
              <w:noProof/>
              <w:lang w:eastAsia="pl-PL"/>
            </w:rPr>
          </w:pPr>
          <w:hyperlink w:anchor="_Toc530565026" w:history="1">
            <w:r w:rsidR="00F340A3" w:rsidRPr="00C77770">
              <w:rPr>
                <w:rStyle w:val="Hipercze"/>
                <w:rFonts w:cstheme="minorHAnsi"/>
                <w:noProof/>
              </w:rPr>
              <w:t>Ustawa z dnia 29 listopada 2000 r. – Prawo atomowe (Dz. U. z 2018 r. poz. 792 i 1669)</w:t>
            </w:r>
            <w:r w:rsidR="00F340A3">
              <w:rPr>
                <w:noProof/>
                <w:webHidden/>
              </w:rPr>
              <w:tab/>
            </w:r>
            <w:r w:rsidR="00F340A3">
              <w:rPr>
                <w:noProof/>
                <w:webHidden/>
              </w:rPr>
              <w:fldChar w:fldCharType="begin"/>
            </w:r>
            <w:r w:rsidR="00F340A3">
              <w:rPr>
                <w:noProof/>
                <w:webHidden/>
              </w:rPr>
              <w:instrText xml:space="preserve"> PAGEREF _Toc530565026 \h </w:instrText>
            </w:r>
            <w:r w:rsidR="00F340A3">
              <w:rPr>
                <w:noProof/>
                <w:webHidden/>
              </w:rPr>
            </w:r>
            <w:r w:rsidR="00F340A3">
              <w:rPr>
                <w:noProof/>
                <w:webHidden/>
              </w:rPr>
              <w:fldChar w:fldCharType="separate"/>
            </w:r>
            <w:r w:rsidR="00F05192">
              <w:rPr>
                <w:noProof/>
                <w:webHidden/>
              </w:rPr>
              <w:t>117</w:t>
            </w:r>
            <w:r w:rsidR="00F340A3">
              <w:rPr>
                <w:noProof/>
                <w:webHidden/>
              </w:rPr>
              <w:fldChar w:fldCharType="end"/>
            </w:r>
          </w:hyperlink>
        </w:p>
        <w:p w14:paraId="327E1A3D" w14:textId="77777777" w:rsidR="00F340A3" w:rsidRDefault="00DF3C4F">
          <w:pPr>
            <w:pStyle w:val="Spistreci2"/>
            <w:rPr>
              <w:rFonts w:eastAsiaTheme="minorEastAsia"/>
              <w:noProof/>
              <w:lang w:eastAsia="pl-PL"/>
            </w:rPr>
          </w:pPr>
          <w:hyperlink w:anchor="_Toc530565027" w:history="1">
            <w:r w:rsidR="00F340A3" w:rsidRPr="00C77770">
              <w:rPr>
                <w:rStyle w:val="Hipercze"/>
                <w:rFonts w:cstheme="minorHAnsi"/>
                <w:noProof/>
              </w:rPr>
              <w:t>Ustawa z dnia 7 grudnia 2000 r. o funkcjonowaniu banków spółdzielczych, ich zrzeszaniu się i bankach zrzeszających (Dz. U. z 2018 r. poz. 613)</w:t>
            </w:r>
            <w:r w:rsidR="00F340A3">
              <w:rPr>
                <w:noProof/>
                <w:webHidden/>
              </w:rPr>
              <w:tab/>
            </w:r>
            <w:r w:rsidR="00F340A3">
              <w:rPr>
                <w:noProof/>
                <w:webHidden/>
              </w:rPr>
              <w:fldChar w:fldCharType="begin"/>
            </w:r>
            <w:r w:rsidR="00F340A3">
              <w:rPr>
                <w:noProof/>
                <w:webHidden/>
              </w:rPr>
              <w:instrText xml:space="preserve"> PAGEREF _Toc530565027 \h </w:instrText>
            </w:r>
            <w:r w:rsidR="00F340A3">
              <w:rPr>
                <w:noProof/>
                <w:webHidden/>
              </w:rPr>
            </w:r>
            <w:r w:rsidR="00F340A3">
              <w:rPr>
                <w:noProof/>
                <w:webHidden/>
              </w:rPr>
              <w:fldChar w:fldCharType="separate"/>
            </w:r>
            <w:r w:rsidR="00F05192">
              <w:rPr>
                <w:noProof/>
                <w:webHidden/>
              </w:rPr>
              <w:t>118</w:t>
            </w:r>
            <w:r w:rsidR="00F340A3">
              <w:rPr>
                <w:noProof/>
                <w:webHidden/>
              </w:rPr>
              <w:fldChar w:fldCharType="end"/>
            </w:r>
          </w:hyperlink>
        </w:p>
        <w:p w14:paraId="2AC15EB1" w14:textId="77777777" w:rsidR="00F340A3" w:rsidRDefault="00DF3C4F">
          <w:pPr>
            <w:pStyle w:val="Spistreci2"/>
            <w:rPr>
              <w:rFonts w:eastAsiaTheme="minorEastAsia"/>
              <w:noProof/>
              <w:lang w:eastAsia="pl-PL"/>
            </w:rPr>
          </w:pPr>
          <w:hyperlink w:anchor="_Toc530565028" w:history="1">
            <w:r w:rsidR="00F340A3" w:rsidRPr="00C77770">
              <w:rPr>
                <w:rStyle w:val="Hipercze"/>
                <w:rFonts w:cstheme="minorHAnsi"/>
                <w:noProof/>
              </w:rPr>
              <w:t>Ustawa z dnia 15 grudnia 2000 r. o samorządach zawodowych architektów oraz inżynierów budownictwa (Dz. U. z 2016 r. poz. 1725 oraz z 2018 r. poz. 1669)</w:t>
            </w:r>
            <w:r w:rsidR="00F340A3">
              <w:rPr>
                <w:noProof/>
                <w:webHidden/>
              </w:rPr>
              <w:tab/>
            </w:r>
            <w:r w:rsidR="00F340A3">
              <w:rPr>
                <w:noProof/>
                <w:webHidden/>
              </w:rPr>
              <w:fldChar w:fldCharType="begin"/>
            </w:r>
            <w:r w:rsidR="00F340A3">
              <w:rPr>
                <w:noProof/>
                <w:webHidden/>
              </w:rPr>
              <w:instrText xml:space="preserve"> PAGEREF _Toc530565028 \h </w:instrText>
            </w:r>
            <w:r w:rsidR="00F340A3">
              <w:rPr>
                <w:noProof/>
                <w:webHidden/>
              </w:rPr>
            </w:r>
            <w:r w:rsidR="00F340A3">
              <w:rPr>
                <w:noProof/>
                <w:webHidden/>
              </w:rPr>
              <w:fldChar w:fldCharType="separate"/>
            </w:r>
            <w:r w:rsidR="00F05192">
              <w:rPr>
                <w:noProof/>
                <w:webHidden/>
              </w:rPr>
              <w:t>118</w:t>
            </w:r>
            <w:r w:rsidR="00F340A3">
              <w:rPr>
                <w:noProof/>
                <w:webHidden/>
              </w:rPr>
              <w:fldChar w:fldCharType="end"/>
            </w:r>
          </w:hyperlink>
        </w:p>
        <w:p w14:paraId="575A7F8C" w14:textId="77777777" w:rsidR="00F340A3" w:rsidRDefault="00DF3C4F">
          <w:pPr>
            <w:pStyle w:val="Spistreci2"/>
            <w:rPr>
              <w:rFonts w:eastAsiaTheme="minorEastAsia"/>
              <w:noProof/>
              <w:lang w:eastAsia="pl-PL"/>
            </w:rPr>
          </w:pPr>
          <w:hyperlink w:anchor="_Toc530565029" w:history="1">
            <w:r w:rsidR="00F340A3" w:rsidRPr="00C77770">
              <w:rPr>
                <w:rStyle w:val="Hipercze"/>
                <w:rFonts w:cstheme="minorHAnsi"/>
                <w:noProof/>
              </w:rPr>
              <w:t>Ustawa z dnia 21 grudnia 2000 r. o żegludze śródlądowej (Dz. U. z 2017 r. poz. 2128 oraz z 2018 r. poz. 1137 i 1694)</w:t>
            </w:r>
            <w:r w:rsidR="00F340A3">
              <w:rPr>
                <w:noProof/>
                <w:webHidden/>
              </w:rPr>
              <w:tab/>
            </w:r>
            <w:r w:rsidR="00F340A3">
              <w:rPr>
                <w:noProof/>
                <w:webHidden/>
              </w:rPr>
              <w:fldChar w:fldCharType="begin"/>
            </w:r>
            <w:r w:rsidR="00F340A3">
              <w:rPr>
                <w:noProof/>
                <w:webHidden/>
              </w:rPr>
              <w:instrText xml:space="preserve"> PAGEREF _Toc530565029 \h </w:instrText>
            </w:r>
            <w:r w:rsidR="00F340A3">
              <w:rPr>
                <w:noProof/>
                <w:webHidden/>
              </w:rPr>
            </w:r>
            <w:r w:rsidR="00F340A3">
              <w:rPr>
                <w:noProof/>
                <w:webHidden/>
              </w:rPr>
              <w:fldChar w:fldCharType="separate"/>
            </w:r>
            <w:r w:rsidR="00F05192">
              <w:rPr>
                <w:noProof/>
                <w:webHidden/>
              </w:rPr>
              <w:t>120</w:t>
            </w:r>
            <w:r w:rsidR="00F340A3">
              <w:rPr>
                <w:noProof/>
                <w:webHidden/>
              </w:rPr>
              <w:fldChar w:fldCharType="end"/>
            </w:r>
          </w:hyperlink>
        </w:p>
        <w:p w14:paraId="45DBF021" w14:textId="77777777" w:rsidR="00F340A3" w:rsidRDefault="00DF3C4F">
          <w:pPr>
            <w:pStyle w:val="Spistreci2"/>
            <w:rPr>
              <w:rFonts w:eastAsiaTheme="minorEastAsia"/>
              <w:noProof/>
              <w:lang w:eastAsia="pl-PL"/>
            </w:rPr>
          </w:pPr>
          <w:hyperlink w:anchor="_Toc530565030" w:history="1">
            <w:r w:rsidR="00F340A3" w:rsidRPr="00C77770">
              <w:rPr>
                <w:rStyle w:val="Hipercze"/>
                <w:rFonts w:cstheme="minorHAnsi"/>
                <w:noProof/>
              </w:rPr>
              <w:t>Ustawa z dnia 3 lutego 2001 r. o ochronie dziedzictwa Fryderyka Chopina (Dz. U. poz. 168)</w:t>
            </w:r>
            <w:r w:rsidR="00F340A3">
              <w:rPr>
                <w:noProof/>
                <w:webHidden/>
              </w:rPr>
              <w:tab/>
            </w:r>
            <w:r w:rsidR="00F340A3">
              <w:rPr>
                <w:noProof/>
                <w:webHidden/>
              </w:rPr>
              <w:fldChar w:fldCharType="begin"/>
            </w:r>
            <w:r w:rsidR="00F340A3">
              <w:rPr>
                <w:noProof/>
                <w:webHidden/>
              </w:rPr>
              <w:instrText xml:space="preserve"> PAGEREF _Toc530565030 \h </w:instrText>
            </w:r>
            <w:r w:rsidR="00F340A3">
              <w:rPr>
                <w:noProof/>
                <w:webHidden/>
              </w:rPr>
            </w:r>
            <w:r w:rsidR="00F340A3">
              <w:rPr>
                <w:noProof/>
                <w:webHidden/>
              </w:rPr>
              <w:fldChar w:fldCharType="separate"/>
            </w:r>
            <w:r w:rsidR="00F05192">
              <w:rPr>
                <w:noProof/>
                <w:webHidden/>
              </w:rPr>
              <w:t>121</w:t>
            </w:r>
            <w:r w:rsidR="00F340A3">
              <w:rPr>
                <w:noProof/>
                <w:webHidden/>
              </w:rPr>
              <w:fldChar w:fldCharType="end"/>
            </w:r>
          </w:hyperlink>
        </w:p>
        <w:p w14:paraId="21980CC3" w14:textId="27C7F2AC" w:rsidR="00F340A3" w:rsidRDefault="00DF3C4F">
          <w:pPr>
            <w:pStyle w:val="Spistreci2"/>
            <w:rPr>
              <w:rFonts w:eastAsiaTheme="minorEastAsia"/>
              <w:noProof/>
              <w:lang w:eastAsia="pl-PL"/>
            </w:rPr>
          </w:pPr>
          <w:hyperlink w:anchor="_Toc530565031" w:history="1">
            <w:r w:rsidR="00F340A3" w:rsidRPr="00C77770">
              <w:rPr>
                <w:rStyle w:val="Hipercze"/>
                <w:rFonts w:cstheme="minorHAnsi"/>
                <w:noProof/>
              </w:rPr>
              <w:t>Ustawa z dnia 6 lipca 2001 r. o usługach d</w:t>
            </w:r>
            <w:r w:rsidR="002072E4">
              <w:rPr>
                <w:rStyle w:val="Hipercze"/>
                <w:rFonts w:cstheme="minorHAnsi"/>
                <w:noProof/>
              </w:rPr>
              <w:t>etektywistycznych (Dz. U. z 2018 r. poz. 2163</w:t>
            </w:r>
            <w:r w:rsidR="00F340A3" w:rsidRPr="00C77770">
              <w:rPr>
                <w:rStyle w:val="Hipercze"/>
                <w:rFonts w:cstheme="minorHAnsi"/>
                <w:noProof/>
              </w:rPr>
              <w:t>)</w:t>
            </w:r>
            <w:r w:rsidR="00F340A3">
              <w:rPr>
                <w:noProof/>
                <w:webHidden/>
              </w:rPr>
              <w:tab/>
            </w:r>
            <w:r w:rsidR="00F340A3">
              <w:rPr>
                <w:noProof/>
                <w:webHidden/>
              </w:rPr>
              <w:fldChar w:fldCharType="begin"/>
            </w:r>
            <w:r w:rsidR="00F340A3">
              <w:rPr>
                <w:noProof/>
                <w:webHidden/>
              </w:rPr>
              <w:instrText xml:space="preserve"> PAGEREF _Toc530565031 \h </w:instrText>
            </w:r>
            <w:r w:rsidR="00F340A3">
              <w:rPr>
                <w:noProof/>
                <w:webHidden/>
              </w:rPr>
            </w:r>
            <w:r w:rsidR="00F340A3">
              <w:rPr>
                <w:noProof/>
                <w:webHidden/>
              </w:rPr>
              <w:fldChar w:fldCharType="separate"/>
            </w:r>
            <w:r w:rsidR="00F05192">
              <w:rPr>
                <w:noProof/>
                <w:webHidden/>
              </w:rPr>
              <w:t>121</w:t>
            </w:r>
            <w:r w:rsidR="00F340A3">
              <w:rPr>
                <w:noProof/>
                <w:webHidden/>
              </w:rPr>
              <w:fldChar w:fldCharType="end"/>
            </w:r>
          </w:hyperlink>
        </w:p>
        <w:p w14:paraId="612E6875" w14:textId="77777777" w:rsidR="00F340A3" w:rsidRDefault="00DF3C4F">
          <w:pPr>
            <w:pStyle w:val="Spistreci2"/>
            <w:rPr>
              <w:rFonts w:eastAsiaTheme="minorEastAsia"/>
              <w:noProof/>
              <w:lang w:eastAsia="pl-PL"/>
            </w:rPr>
          </w:pPr>
          <w:hyperlink w:anchor="_Toc530565032" w:history="1">
            <w:r w:rsidR="00F340A3" w:rsidRPr="00C77770">
              <w:rPr>
                <w:rStyle w:val="Hipercze"/>
                <w:rFonts w:cstheme="minorHAnsi"/>
                <w:noProof/>
              </w:rPr>
              <w:t>Ustawa z dnia 27 lipca 2001 r. – Prawo o ustroju sądów powszechnych (Dz. U. z 2018 r. poz. 23, 3, 5, 106, 138, 771, 848, 1000, 1045, 1443, 1544 i 1669)</w:t>
            </w:r>
            <w:r w:rsidR="00F340A3">
              <w:rPr>
                <w:noProof/>
                <w:webHidden/>
              </w:rPr>
              <w:tab/>
            </w:r>
            <w:r w:rsidR="00F340A3">
              <w:rPr>
                <w:noProof/>
                <w:webHidden/>
              </w:rPr>
              <w:fldChar w:fldCharType="begin"/>
            </w:r>
            <w:r w:rsidR="00F340A3">
              <w:rPr>
                <w:noProof/>
                <w:webHidden/>
              </w:rPr>
              <w:instrText xml:space="preserve"> PAGEREF _Toc530565032 \h </w:instrText>
            </w:r>
            <w:r w:rsidR="00F340A3">
              <w:rPr>
                <w:noProof/>
                <w:webHidden/>
              </w:rPr>
            </w:r>
            <w:r w:rsidR="00F340A3">
              <w:rPr>
                <w:noProof/>
                <w:webHidden/>
              </w:rPr>
              <w:fldChar w:fldCharType="separate"/>
            </w:r>
            <w:r w:rsidR="00F05192">
              <w:rPr>
                <w:noProof/>
                <w:webHidden/>
              </w:rPr>
              <w:t>123</w:t>
            </w:r>
            <w:r w:rsidR="00F340A3">
              <w:rPr>
                <w:noProof/>
                <w:webHidden/>
              </w:rPr>
              <w:fldChar w:fldCharType="end"/>
            </w:r>
          </w:hyperlink>
        </w:p>
        <w:p w14:paraId="4C6A459E" w14:textId="77777777" w:rsidR="00F340A3" w:rsidRDefault="00DF3C4F">
          <w:pPr>
            <w:pStyle w:val="Spistreci2"/>
            <w:rPr>
              <w:rFonts w:eastAsiaTheme="minorEastAsia"/>
              <w:noProof/>
              <w:lang w:eastAsia="pl-PL"/>
            </w:rPr>
          </w:pPr>
          <w:hyperlink w:anchor="_Toc530565033" w:history="1">
            <w:r w:rsidR="00F340A3" w:rsidRPr="00C77770">
              <w:rPr>
                <w:rStyle w:val="Hipercze"/>
                <w:rFonts w:cstheme="minorHAnsi"/>
                <w:noProof/>
              </w:rPr>
              <w:t>Ustawa z dnia 27 lipca 2001 r. o kuratorach sądowych (Dz. U. z 2018 r. poz. 1014)</w:t>
            </w:r>
            <w:r w:rsidR="00F340A3">
              <w:rPr>
                <w:noProof/>
                <w:webHidden/>
              </w:rPr>
              <w:tab/>
            </w:r>
            <w:r w:rsidR="00F340A3">
              <w:rPr>
                <w:noProof/>
                <w:webHidden/>
              </w:rPr>
              <w:fldChar w:fldCharType="begin"/>
            </w:r>
            <w:r w:rsidR="00F340A3">
              <w:rPr>
                <w:noProof/>
                <w:webHidden/>
              </w:rPr>
              <w:instrText xml:space="preserve"> PAGEREF _Toc530565033 \h </w:instrText>
            </w:r>
            <w:r w:rsidR="00F340A3">
              <w:rPr>
                <w:noProof/>
                <w:webHidden/>
              </w:rPr>
            </w:r>
            <w:r w:rsidR="00F340A3">
              <w:rPr>
                <w:noProof/>
                <w:webHidden/>
              </w:rPr>
              <w:fldChar w:fldCharType="separate"/>
            </w:r>
            <w:r w:rsidR="00F05192">
              <w:rPr>
                <w:noProof/>
                <w:webHidden/>
              </w:rPr>
              <w:t>130</w:t>
            </w:r>
            <w:r w:rsidR="00F340A3">
              <w:rPr>
                <w:noProof/>
                <w:webHidden/>
              </w:rPr>
              <w:fldChar w:fldCharType="end"/>
            </w:r>
          </w:hyperlink>
        </w:p>
        <w:p w14:paraId="23FD9491" w14:textId="77777777" w:rsidR="00F340A3" w:rsidRDefault="00DF3C4F">
          <w:pPr>
            <w:pStyle w:val="Spistreci2"/>
            <w:rPr>
              <w:rFonts w:eastAsiaTheme="minorEastAsia"/>
              <w:noProof/>
              <w:lang w:eastAsia="pl-PL"/>
            </w:rPr>
          </w:pPr>
          <w:hyperlink w:anchor="_Toc530565034" w:history="1">
            <w:r w:rsidR="00F340A3" w:rsidRPr="00C77770">
              <w:rPr>
                <w:rStyle w:val="Hipercze"/>
                <w:rFonts w:cstheme="minorHAnsi"/>
                <w:noProof/>
              </w:rPr>
              <w:t>Ustawa z dnia 11 sierpnia 2001 r. o szczególnych zasadach odbudowy, remontów i rozbiórek obiektów budowlanych zniszczonych lub uszkodzonych w wyniku działania żywiołu (Dz. U. z 2018 r. poz. 1345)</w:t>
            </w:r>
            <w:r w:rsidR="00F340A3">
              <w:rPr>
                <w:noProof/>
                <w:webHidden/>
              </w:rPr>
              <w:tab/>
            </w:r>
            <w:r w:rsidR="00F340A3">
              <w:rPr>
                <w:noProof/>
                <w:webHidden/>
              </w:rPr>
              <w:fldChar w:fldCharType="begin"/>
            </w:r>
            <w:r w:rsidR="00F340A3">
              <w:rPr>
                <w:noProof/>
                <w:webHidden/>
              </w:rPr>
              <w:instrText xml:space="preserve"> PAGEREF _Toc530565034 \h </w:instrText>
            </w:r>
            <w:r w:rsidR="00F340A3">
              <w:rPr>
                <w:noProof/>
                <w:webHidden/>
              </w:rPr>
            </w:r>
            <w:r w:rsidR="00F340A3">
              <w:rPr>
                <w:noProof/>
                <w:webHidden/>
              </w:rPr>
              <w:fldChar w:fldCharType="separate"/>
            </w:r>
            <w:r w:rsidR="00F05192">
              <w:rPr>
                <w:noProof/>
                <w:webHidden/>
              </w:rPr>
              <w:t>135</w:t>
            </w:r>
            <w:r w:rsidR="00F340A3">
              <w:rPr>
                <w:noProof/>
                <w:webHidden/>
              </w:rPr>
              <w:fldChar w:fldCharType="end"/>
            </w:r>
          </w:hyperlink>
        </w:p>
        <w:p w14:paraId="5239542B" w14:textId="77777777" w:rsidR="00F340A3" w:rsidRDefault="00DF3C4F">
          <w:pPr>
            <w:pStyle w:val="Spistreci2"/>
            <w:rPr>
              <w:rFonts w:eastAsiaTheme="minorEastAsia"/>
              <w:noProof/>
              <w:lang w:eastAsia="pl-PL"/>
            </w:rPr>
          </w:pPr>
          <w:hyperlink w:anchor="_Toc530565035" w:history="1">
            <w:r w:rsidR="00F340A3" w:rsidRPr="00C77770">
              <w:rPr>
                <w:rStyle w:val="Hipercze"/>
                <w:rFonts w:cstheme="minorHAnsi"/>
                <w:noProof/>
              </w:rPr>
              <w:t>Ustawa z dnia 24 sierpnia 2001 r. o Żandarmerii Wojskowej i wojskowych organach porządkowych (Dz. U. z 2018 r. poz. 430, 650 i 1544)</w:t>
            </w:r>
            <w:r w:rsidR="00F340A3">
              <w:rPr>
                <w:noProof/>
                <w:webHidden/>
              </w:rPr>
              <w:tab/>
            </w:r>
            <w:r w:rsidR="00F340A3">
              <w:rPr>
                <w:noProof/>
                <w:webHidden/>
              </w:rPr>
              <w:fldChar w:fldCharType="begin"/>
            </w:r>
            <w:r w:rsidR="00F340A3">
              <w:rPr>
                <w:noProof/>
                <w:webHidden/>
              </w:rPr>
              <w:instrText xml:space="preserve"> PAGEREF _Toc530565035 \h </w:instrText>
            </w:r>
            <w:r w:rsidR="00F340A3">
              <w:rPr>
                <w:noProof/>
                <w:webHidden/>
              </w:rPr>
            </w:r>
            <w:r w:rsidR="00F340A3">
              <w:rPr>
                <w:noProof/>
                <w:webHidden/>
              </w:rPr>
              <w:fldChar w:fldCharType="separate"/>
            </w:r>
            <w:r w:rsidR="00F05192">
              <w:rPr>
                <w:noProof/>
                <w:webHidden/>
              </w:rPr>
              <w:t>136</w:t>
            </w:r>
            <w:r w:rsidR="00F340A3">
              <w:rPr>
                <w:noProof/>
                <w:webHidden/>
              </w:rPr>
              <w:fldChar w:fldCharType="end"/>
            </w:r>
          </w:hyperlink>
        </w:p>
        <w:p w14:paraId="7C5ED91F" w14:textId="77777777" w:rsidR="00F340A3" w:rsidRDefault="00DF3C4F">
          <w:pPr>
            <w:pStyle w:val="Spistreci2"/>
            <w:rPr>
              <w:rFonts w:eastAsiaTheme="minorEastAsia"/>
              <w:noProof/>
              <w:lang w:eastAsia="pl-PL"/>
            </w:rPr>
          </w:pPr>
          <w:hyperlink w:anchor="_Toc530565036" w:history="1">
            <w:r w:rsidR="00F340A3" w:rsidRPr="00C77770">
              <w:rPr>
                <w:rStyle w:val="Hipercze"/>
                <w:rFonts w:cstheme="minorHAnsi"/>
                <w:noProof/>
              </w:rPr>
              <w:t>Ustawa z dnia 6 września 2001 r. o transporcie drogowym (Dz. U. z 2017 r. poz. 2200 oraz z 2018 r. poz. 12, 79, 138, 650, 1039, 1480, 1481, 1544, 1592 i 1629)</w:t>
            </w:r>
            <w:r w:rsidR="00F340A3">
              <w:rPr>
                <w:noProof/>
                <w:webHidden/>
              </w:rPr>
              <w:tab/>
            </w:r>
            <w:r w:rsidR="00F340A3">
              <w:rPr>
                <w:noProof/>
                <w:webHidden/>
              </w:rPr>
              <w:fldChar w:fldCharType="begin"/>
            </w:r>
            <w:r w:rsidR="00F340A3">
              <w:rPr>
                <w:noProof/>
                <w:webHidden/>
              </w:rPr>
              <w:instrText xml:space="preserve"> PAGEREF _Toc530565036 \h </w:instrText>
            </w:r>
            <w:r w:rsidR="00F340A3">
              <w:rPr>
                <w:noProof/>
                <w:webHidden/>
              </w:rPr>
            </w:r>
            <w:r w:rsidR="00F340A3">
              <w:rPr>
                <w:noProof/>
                <w:webHidden/>
              </w:rPr>
              <w:fldChar w:fldCharType="separate"/>
            </w:r>
            <w:r w:rsidR="00F05192">
              <w:rPr>
                <w:noProof/>
                <w:webHidden/>
              </w:rPr>
              <w:t>137</w:t>
            </w:r>
            <w:r w:rsidR="00F340A3">
              <w:rPr>
                <w:noProof/>
                <w:webHidden/>
              </w:rPr>
              <w:fldChar w:fldCharType="end"/>
            </w:r>
          </w:hyperlink>
        </w:p>
        <w:p w14:paraId="5DBC82DB" w14:textId="77777777" w:rsidR="00F340A3" w:rsidRDefault="00DF3C4F">
          <w:pPr>
            <w:pStyle w:val="Spistreci2"/>
            <w:rPr>
              <w:rFonts w:eastAsiaTheme="minorEastAsia"/>
              <w:noProof/>
              <w:lang w:eastAsia="pl-PL"/>
            </w:rPr>
          </w:pPr>
          <w:hyperlink w:anchor="_Toc530565037" w:history="1">
            <w:r w:rsidR="00F340A3" w:rsidRPr="00C77770">
              <w:rPr>
                <w:rStyle w:val="Hipercze"/>
                <w:rFonts w:cstheme="minorHAnsi"/>
                <w:noProof/>
              </w:rPr>
              <w:t>Ustawa z dnia 3 lipca 2002 r. – Prawo lotnicze (Dz. U. z 2018 r. poz. 1183, 1629 i 1637)</w:t>
            </w:r>
            <w:r w:rsidR="00F340A3">
              <w:rPr>
                <w:noProof/>
                <w:webHidden/>
              </w:rPr>
              <w:tab/>
            </w:r>
            <w:r w:rsidR="00F340A3">
              <w:rPr>
                <w:noProof/>
                <w:webHidden/>
              </w:rPr>
              <w:fldChar w:fldCharType="begin"/>
            </w:r>
            <w:r w:rsidR="00F340A3">
              <w:rPr>
                <w:noProof/>
                <w:webHidden/>
              </w:rPr>
              <w:instrText xml:space="preserve"> PAGEREF _Toc530565037 \h </w:instrText>
            </w:r>
            <w:r w:rsidR="00F340A3">
              <w:rPr>
                <w:noProof/>
                <w:webHidden/>
              </w:rPr>
            </w:r>
            <w:r w:rsidR="00F340A3">
              <w:rPr>
                <w:noProof/>
                <w:webHidden/>
              </w:rPr>
              <w:fldChar w:fldCharType="separate"/>
            </w:r>
            <w:r w:rsidR="00F05192">
              <w:rPr>
                <w:noProof/>
                <w:webHidden/>
              </w:rPr>
              <w:t>141</w:t>
            </w:r>
            <w:r w:rsidR="00F340A3">
              <w:rPr>
                <w:noProof/>
                <w:webHidden/>
              </w:rPr>
              <w:fldChar w:fldCharType="end"/>
            </w:r>
          </w:hyperlink>
        </w:p>
        <w:p w14:paraId="23F4EA7F" w14:textId="77777777" w:rsidR="00F340A3" w:rsidRDefault="00DF3C4F">
          <w:pPr>
            <w:pStyle w:val="Spistreci2"/>
            <w:rPr>
              <w:rFonts w:eastAsiaTheme="minorEastAsia"/>
              <w:noProof/>
              <w:lang w:eastAsia="pl-PL"/>
            </w:rPr>
          </w:pPr>
          <w:hyperlink w:anchor="_Toc530565038" w:history="1">
            <w:r w:rsidR="00F340A3" w:rsidRPr="00C77770">
              <w:rPr>
                <w:rStyle w:val="Hipercze"/>
                <w:rFonts w:cstheme="minorHAnsi"/>
                <w:noProof/>
              </w:rPr>
              <w:t>Ustawa z dnia 5 lipca 2002 r. o świadczeniu przez prawników zagranicznych pomocy prawnej w Rzeczypospolitej Polskiej (Dz. U. z 2016 r. poz. 1874)</w:t>
            </w:r>
            <w:r w:rsidR="00F340A3">
              <w:rPr>
                <w:noProof/>
                <w:webHidden/>
              </w:rPr>
              <w:tab/>
            </w:r>
            <w:r w:rsidR="00F340A3">
              <w:rPr>
                <w:noProof/>
                <w:webHidden/>
              </w:rPr>
              <w:fldChar w:fldCharType="begin"/>
            </w:r>
            <w:r w:rsidR="00F340A3">
              <w:rPr>
                <w:noProof/>
                <w:webHidden/>
              </w:rPr>
              <w:instrText xml:space="preserve"> PAGEREF _Toc530565038 \h </w:instrText>
            </w:r>
            <w:r w:rsidR="00F340A3">
              <w:rPr>
                <w:noProof/>
                <w:webHidden/>
              </w:rPr>
            </w:r>
            <w:r w:rsidR="00F340A3">
              <w:rPr>
                <w:noProof/>
                <w:webHidden/>
              </w:rPr>
              <w:fldChar w:fldCharType="separate"/>
            </w:r>
            <w:r w:rsidR="00F05192">
              <w:rPr>
                <w:noProof/>
                <w:webHidden/>
              </w:rPr>
              <w:t>143</w:t>
            </w:r>
            <w:r w:rsidR="00F340A3">
              <w:rPr>
                <w:noProof/>
                <w:webHidden/>
              </w:rPr>
              <w:fldChar w:fldCharType="end"/>
            </w:r>
          </w:hyperlink>
        </w:p>
        <w:p w14:paraId="05D4C2F0" w14:textId="77777777" w:rsidR="00F340A3" w:rsidRDefault="00DF3C4F">
          <w:pPr>
            <w:pStyle w:val="Spistreci2"/>
            <w:rPr>
              <w:rFonts w:eastAsiaTheme="minorEastAsia"/>
              <w:noProof/>
              <w:lang w:eastAsia="pl-PL"/>
            </w:rPr>
          </w:pPr>
          <w:hyperlink w:anchor="_Toc530565039" w:history="1">
            <w:r w:rsidR="00F340A3" w:rsidRPr="00C77770">
              <w:rPr>
                <w:rStyle w:val="Hipercze"/>
                <w:rFonts w:cstheme="minorHAnsi"/>
                <w:noProof/>
              </w:rPr>
              <w:t>Ustawa z dnia 18 lipca 2002 r. o świadczeniu usług drogą elektroniczną (Dz. U. z 2017 r. poz. 1219 oraz z 2018 r. poz. 650)</w:t>
            </w:r>
            <w:r w:rsidR="00F340A3">
              <w:rPr>
                <w:noProof/>
                <w:webHidden/>
              </w:rPr>
              <w:tab/>
            </w:r>
            <w:r w:rsidR="00F340A3">
              <w:rPr>
                <w:noProof/>
                <w:webHidden/>
              </w:rPr>
              <w:fldChar w:fldCharType="begin"/>
            </w:r>
            <w:r w:rsidR="00F340A3">
              <w:rPr>
                <w:noProof/>
                <w:webHidden/>
              </w:rPr>
              <w:instrText xml:space="preserve"> PAGEREF _Toc530565039 \h </w:instrText>
            </w:r>
            <w:r w:rsidR="00F340A3">
              <w:rPr>
                <w:noProof/>
                <w:webHidden/>
              </w:rPr>
            </w:r>
            <w:r w:rsidR="00F340A3">
              <w:rPr>
                <w:noProof/>
                <w:webHidden/>
              </w:rPr>
              <w:fldChar w:fldCharType="separate"/>
            </w:r>
            <w:r w:rsidR="00F05192">
              <w:rPr>
                <w:noProof/>
                <w:webHidden/>
              </w:rPr>
              <w:t>144</w:t>
            </w:r>
            <w:r w:rsidR="00F340A3">
              <w:rPr>
                <w:noProof/>
                <w:webHidden/>
              </w:rPr>
              <w:fldChar w:fldCharType="end"/>
            </w:r>
          </w:hyperlink>
        </w:p>
        <w:p w14:paraId="4E471886" w14:textId="77777777" w:rsidR="00F340A3" w:rsidRDefault="00DF3C4F">
          <w:pPr>
            <w:pStyle w:val="Spistreci2"/>
            <w:rPr>
              <w:rFonts w:eastAsiaTheme="minorEastAsia"/>
              <w:noProof/>
              <w:lang w:eastAsia="pl-PL"/>
            </w:rPr>
          </w:pPr>
          <w:hyperlink w:anchor="_Toc530565040" w:history="1">
            <w:r w:rsidR="00F340A3" w:rsidRPr="00C77770">
              <w:rPr>
                <w:rStyle w:val="Hipercze"/>
                <w:rFonts w:cstheme="minorHAnsi"/>
                <w:noProof/>
              </w:rPr>
              <w:t>Ustawa z dnia 25 lipca 2002 r. – Prawo o ustroju sądów administracyjnych (Dz. U. z 2018 r. poz. 2107</w:t>
            </w:r>
            <w:r w:rsidR="00F340A3">
              <w:rPr>
                <w:noProof/>
                <w:webHidden/>
              </w:rPr>
              <w:tab/>
            </w:r>
            <w:r w:rsidR="00F340A3">
              <w:rPr>
                <w:noProof/>
                <w:webHidden/>
              </w:rPr>
              <w:fldChar w:fldCharType="begin"/>
            </w:r>
            <w:r w:rsidR="00F340A3">
              <w:rPr>
                <w:noProof/>
                <w:webHidden/>
              </w:rPr>
              <w:instrText xml:space="preserve"> PAGEREF _Toc530565040 \h </w:instrText>
            </w:r>
            <w:r w:rsidR="00F340A3">
              <w:rPr>
                <w:noProof/>
                <w:webHidden/>
              </w:rPr>
            </w:r>
            <w:r w:rsidR="00F340A3">
              <w:rPr>
                <w:noProof/>
                <w:webHidden/>
              </w:rPr>
              <w:fldChar w:fldCharType="separate"/>
            </w:r>
            <w:r w:rsidR="00F05192">
              <w:rPr>
                <w:noProof/>
                <w:webHidden/>
              </w:rPr>
              <w:t>146</w:t>
            </w:r>
            <w:r w:rsidR="00F340A3">
              <w:rPr>
                <w:noProof/>
                <w:webHidden/>
              </w:rPr>
              <w:fldChar w:fldCharType="end"/>
            </w:r>
          </w:hyperlink>
        </w:p>
        <w:p w14:paraId="1884B462" w14:textId="77777777" w:rsidR="00F340A3" w:rsidRDefault="00DF3C4F">
          <w:pPr>
            <w:pStyle w:val="Spistreci2"/>
            <w:rPr>
              <w:rFonts w:eastAsiaTheme="minorEastAsia"/>
              <w:noProof/>
              <w:lang w:eastAsia="pl-PL"/>
            </w:rPr>
          </w:pPr>
          <w:hyperlink w:anchor="_Toc530565041" w:history="1">
            <w:r w:rsidR="00F340A3" w:rsidRPr="00C77770">
              <w:rPr>
                <w:rStyle w:val="Hipercze"/>
                <w:rFonts w:cstheme="minorHAnsi"/>
                <w:noProof/>
              </w:rPr>
              <w:t>Ustawa z dnia 27 marca 2003 r. o planowaniu i zagospodarowaniu przestrzennym (Dz. U. z 2018 r. poz. 1945)</w:t>
            </w:r>
            <w:r w:rsidR="00F340A3">
              <w:rPr>
                <w:noProof/>
                <w:webHidden/>
              </w:rPr>
              <w:tab/>
            </w:r>
            <w:r w:rsidR="00F340A3">
              <w:rPr>
                <w:noProof/>
                <w:webHidden/>
              </w:rPr>
              <w:fldChar w:fldCharType="begin"/>
            </w:r>
            <w:r w:rsidR="00F340A3">
              <w:rPr>
                <w:noProof/>
                <w:webHidden/>
              </w:rPr>
              <w:instrText xml:space="preserve"> PAGEREF _Toc530565041 \h </w:instrText>
            </w:r>
            <w:r w:rsidR="00F340A3">
              <w:rPr>
                <w:noProof/>
                <w:webHidden/>
              </w:rPr>
            </w:r>
            <w:r w:rsidR="00F340A3">
              <w:rPr>
                <w:noProof/>
                <w:webHidden/>
              </w:rPr>
              <w:fldChar w:fldCharType="separate"/>
            </w:r>
            <w:r w:rsidR="00F05192">
              <w:rPr>
                <w:noProof/>
                <w:webHidden/>
              </w:rPr>
              <w:t>146</w:t>
            </w:r>
            <w:r w:rsidR="00F340A3">
              <w:rPr>
                <w:noProof/>
                <w:webHidden/>
              </w:rPr>
              <w:fldChar w:fldCharType="end"/>
            </w:r>
          </w:hyperlink>
        </w:p>
        <w:p w14:paraId="3608D610" w14:textId="77777777" w:rsidR="00F340A3" w:rsidRDefault="00DF3C4F">
          <w:pPr>
            <w:pStyle w:val="Spistreci2"/>
            <w:rPr>
              <w:rFonts w:eastAsiaTheme="minorEastAsia"/>
              <w:noProof/>
              <w:lang w:eastAsia="pl-PL"/>
            </w:rPr>
          </w:pPr>
          <w:hyperlink w:anchor="_Toc530565042" w:history="1">
            <w:r w:rsidR="00F340A3" w:rsidRPr="00C77770">
              <w:rPr>
                <w:rStyle w:val="Hipercze"/>
                <w:rFonts w:cstheme="minorHAnsi"/>
                <w:noProof/>
              </w:rPr>
              <w:t>Ustawa z dnia 28 marca 2003 r. o transporcie kolejowym (Dz. U. z 2017 r. poz. 2117 i 2361 oraz z 2018 r. poz. 650, 927, 1338 i 1629)</w:t>
            </w:r>
            <w:r w:rsidR="00F340A3">
              <w:rPr>
                <w:noProof/>
                <w:webHidden/>
              </w:rPr>
              <w:tab/>
            </w:r>
            <w:r w:rsidR="00F340A3">
              <w:rPr>
                <w:noProof/>
                <w:webHidden/>
              </w:rPr>
              <w:fldChar w:fldCharType="begin"/>
            </w:r>
            <w:r w:rsidR="00F340A3">
              <w:rPr>
                <w:noProof/>
                <w:webHidden/>
              </w:rPr>
              <w:instrText xml:space="preserve"> PAGEREF _Toc530565042 \h </w:instrText>
            </w:r>
            <w:r w:rsidR="00F340A3">
              <w:rPr>
                <w:noProof/>
                <w:webHidden/>
              </w:rPr>
            </w:r>
            <w:r w:rsidR="00F340A3">
              <w:rPr>
                <w:noProof/>
                <w:webHidden/>
              </w:rPr>
              <w:fldChar w:fldCharType="separate"/>
            </w:r>
            <w:r w:rsidR="00F05192">
              <w:rPr>
                <w:noProof/>
                <w:webHidden/>
              </w:rPr>
              <w:t>147</w:t>
            </w:r>
            <w:r w:rsidR="00F340A3">
              <w:rPr>
                <w:noProof/>
                <w:webHidden/>
              </w:rPr>
              <w:fldChar w:fldCharType="end"/>
            </w:r>
          </w:hyperlink>
        </w:p>
        <w:p w14:paraId="0C090213" w14:textId="77777777" w:rsidR="00F340A3" w:rsidRDefault="00DF3C4F">
          <w:pPr>
            <w:pStyle w:val="Spistreci2"/>
            <w:rPr>
              <w:rFonts w:eastAsiaTheme="minorEastAsia"/>
              <w:noProof/>
              <w:lang w:eastAsia="pl-PL"/>
            </w:rPr>
          </w:pPr>
          <w:hyperlink w:anchor="_Toc530565043" w:history="1">
            <w:r w:rsidR="00F340A3" w:rsidRPr="00C77770">
              <w:rPr>
                <w:rStyle w:val="Hipercze"/>
                <w:rFonts w:cstheme="minorHAnsi"/>
                <w:noProof/>
              </w:rPr>
              <w:t>Ustawa z dnia 22 maja 2003 r. o ubezpieczeniach obowiązkowych, Ubezpieczeniowym Funduszu Gwarancyjnym i Polskim Biurze Ubezpieczycieli Komunikacyjnych (Dz. U. z 2018 r. poz. 473)</w:t>
            </w:r>
            <w:r w:rsidR="00F340A3">
              <w:rPr>
                <w:noProof/>
                <w:webHidden/>
              </w:rPr>
              <w:tab/>
            </w:r>
            <w:r w:rsidR="00F340A3">
              <w:rPr>
                <w:noProof/>
                <w:webHidden/>
              </w:rPr>
              <w:fldChar w:fldCharType="begin"/>
            </w:r>
            <w:r w:rsidR="00F340A3">
              <w:rPr>
                <w:noProof/>
                <w:webHidden/>
              </w:rPr>
              <w:instrText xml:space="preserve"> PAGEREF _Toc530565043 \h </w:instrText>
            </w:r>
            <w:r w:rsidR="00F340A3">
              <w:rPr>
                <w:noProof/>
                <w:webHidden/>
              </w:rPr>
            </w:r>
            <w:r w:rsidR="00F340A3">
              <w:rPr>
                <w:noProof/>
                <w:webHidden/>
              </w:rPr>
              <w:fldChar w:fldCharType="separate"/>
            </w:r>
            <w:r w:rsidR="00F05192">
              <w:rPr>
                <w:noProof/>
                <w:webHidden/>
              </w:rPr>
              <w:t>148</w:t>
            </w:r>
            <w:r w:rsidR="00F340A3">
              <w:rPr>
                <w:noProof/>
                <w:webHidden/>
              </w:rPr>
              <w:fldChar w:fldCharType="end"/>
            </w:r>
          </w:hyperlink>
        </w:p>
        <w:p w14:paraId="50A159B5" w14:textId="77777777" w:rsidR="00F340A3" w:rsidRDefault="00DF3C4F">
          <w:pPr>
            <w:pStyle w:val="Spistreci2"/>
            <w:rPr>
              <w:rFonts w:eastAsiaTheme="minorEastAsia"/>
              <w:noProof/>
              <w:lang w:eastAsia="pl-PL"/>
            </w:rPr>
          </w:pPr>
          <w:hyperlink w:anchor="_Toc530565044" w:history="1">
            <w:r w:rsidR="00F340A3" w:rsidRPr="00C77770">
              <w:rPr>
                <w:rStyle w:val="Hipercze"/>
                <w:rFonts w:cstheme="minorHAnsi"/>
                <w:noProof/>
              </w:rPr>
              <w:t>Ustawa z dnia 13 czerwca 2003 r. o zatrudnieniu socjalnym (Dz. U. z 2016 r. poz. 1828 oraz z 2018 r. poz. 650)</w:t>
            </w:r>
            <w:r w:rsidR="00F340A3">
              <w:rPr>
                <w:noProof/>
                <w:webHidden/>
              </w:rPr>
              <w:tab/>
            </w:r>
            <w:r w:rsidR="00F340A3">
              <w:rPr>
                <w:noProof/>
                <w:webHidden/>
              </w:rPr>
              <w:fldChar w:fldCharType="begin"/>
            </w:r>
            <w:r w:rsidR="00F340A3">
              <w:rPr>
                <w:noProof/>
                <w:webHidden/>
              </w:rPr>
              <w:instrText xml:space="preserve"> PAGEREF _Toc530565044 \h </w:instrText>
            </w:r>
            <w:r w:rsidR="00F340A3">
              <w:rPr>
                <w:noProof/>
                <w:webHidden/>
              </w:rPr>
            </w:r>
            <w:r w:rsidR="00F340A3">
              <w:rPr>
                <w:noProof/>
                <w:webHidden/>
              </w:rPr>
              <w:fldChar w:fldCharType="separate"/>
            </w:r>
            <w:r w:rsidR="00F05192">
              <w:rPr>
                <w:noProof/>
                <w:webHidden/>
              </w:rPr>
              <w:t>160</w:t>
            </w:r>
            <w:r w:rsidR="00F340A3">
              <w:rPr>
                <w:noProof/>
                <w:webHidden/>
              </w:rPr>
              <w:fldChar w:fldCharType="end"/>
            </w:r>
          </w:hyperlink>
        </w:p>
        <w:p w14:paraId="58FB678B" w14:textId="77777777" w:rsidR="00F340A3" w:rsidRDefault="00DF3C4F">
          <w:pPr>
            <w:pStyle w:val="Spistreci2"/>
            <w:rPr>
              <w:rFonts w:eastAsiaTheme="minorEastAsia"/>
              <w:noProof/>
              <w:lang w:eastAsia="pl-PL"/>
            </w:rPr>
          </w:pPr>
          <w:hyperlink w:anchor="_Toc530565045" w:history="1">
            <w:r w:rsidR="00F340A3" w:rsidRPr="00C77770">
              <w:rPr>
                <w:rStyle w:val="Hipercze"/>
                <w:rFonts w:cstheme="minorHAnsi"/>
                <w:noProof/>
              </w:rPr>
              <w:t>Ustawa z dnia 23 lipca 2003 r. o ochronie zabytków i opiece nad zabytkami (Dz. U. z 2018 r. poz. 2067)</w:t>
            </w:r>
            <w:r w:rsidR="00F340A3">
              <w:rPr>
                <w:noProof/>
                <w:webHidden/>
              </w:rPr>
              <w:tab/>
            </w:r>
            <w:r w:rsidR="00F340A3">
              <w:rPr>
                <w:noProof/>
                <w:webHidden/>
              </w:rPr>
              <w:fldChar w:fldCharType="begin"/>
            </w:r>
            <w:r w:rsidR="00F340A3">
              <w:rPr>
                <w:noProof/>
                <w:webHidden/>
              </w:rPr>
              <w:instrText xml:space="preserve"> PAGEREF _Toc530565045 \h </w:instrText>
            </w:r>
            <w:r w:rsidR="00F340A3">
              <w:rPr>
                <w:noProof/>
                <w:webHidden/>
              </w:rPr>
            </w:r>
            <w:r w:rsidR="00F340A3">
              <w:rPr>
                <w:noProof/>
                <w:webHidden/>
              </w:rPr>
              <w:fldChar w:fldCharType="separate"/>
            </w:r>
            <w:r w:rsidR="00F05192">
              <w:rPr>
                <w:noProof/>
                <w:webHidden/>
              </w:rPr>
              <w:t>162</w:t>
            </w:r>
            <w:r w:rsidR="00F340A3">
              <w:rPr>
                <w:noProof/>
                <w:webHidden/>
              </w:rPr>
              <w:fldChar w:fldCharType="end"/>
            </w:r>
          </w:hyperlink>
        </w:p>
        <w:p w14:paraId="3FC023D3" w14:textId="77777777" w:rsidR="00F340A3" w:rsidRDefault="00DF3C4F">
          <w:pPr>
            <w:pStyle w:val="Spistreci2"/>
            <w:rPr>
              <w:rFonts w:eastAsiaTheme="minorEastAsia"/>
              <w:noProof/>
              <w:lang w:eastAsia="pl-PL"/>
            </w:rPr>
          </w:pPr>
          <w:hyperlink w:anchor="_Toc530565046" w:history="1">
            <w:r w:rsidR="00F340A3" w:rsidRPr="00C77770">
              <w:rPr>
                <w:rStyle w:val="Hipercze"/>
                <w:rFonts w:cstheme="minorHAnsi"/>
                <w:noProof/>
              </w:rPr>
              <w:t>Ustawa z dnia 11 września 2003 r. o służbie wojskowej żołnierzy zawodowych (Dz. U. z 2018 r. poz. 173 i 138)</w:t>
            </w:r>
            <w:r w:rsidR="00F340A3">
              <w:rPr>
                <w:noProof/>
                <w:webHidden/>
              </w:rPr>
              <w:tab/>
            </w:r>
            <w:r w:rsidR="00F340A3">
              <w:rPr>
                <w:noProof/>
                <w:webHidden/>
              </w:rPr>
              <w:fldChar w:fldCharType="begin"/>
            </w:r>
            <w:r w:rsidR="00F340A3">
              <w:rPr>
                <w:noProof/>
                <w:webHidden/>
              </w:rPr>
              <w:instrText xml:space="preserve"> PAGEREF _Toc530565046 \h </w:instrText>
            </w:r>
            <w:r w:rsidR="00F340A3">
              <w:rPr>
                <w:noProof/>
                <w:webHidden/>
              </w:rPr>
            </w:r>
            <w:r w:rsidR="00F340A3">
              <w:rPr>
                <w:noProof/>
                <w:webHidden/>
              </w:rPr>
              <w:fldChar w:fldCharType="separate"/>
            </w:r>
            <w:r w:rsidR="00F05192">
              <w:rPr>
                <w:noProof/>
                <w:webHidden/>
              </w:rPr>
              <w:t>162</w:t>
            </w:r>
            <w:r w:rsidR="00F340A3">
              <w:rPr>
                <w:noProof/>
                <w:webHidden/>
              </w:rPr>
              <w:fldChar w:fldCharType="end"/>
            </w:r>
          </w:hyperlink>
        </w:p>
        <w:p w14:paraId="492B37CF" w14:textId="77777777" w:rsidR="00F340A3" w:rsidRDefault="00DF3C4F">
          <w:pPr>
            <w:pStyle w:val="Spistreci2"/>
            <w:rPr>
              <w:rFonts w:eastAsiaTheme="minorEastAsia"/>
              <w:noProof/>
              <w:lang w:eastAsia="pl-PL"/>
            </w:rPr>
          </w:pPr>
          <w:hyperlink w:anchor="_Toc530565047" w:history="1">
            <w:r w:rsidR="00F340A3" w:rsidRPr="00C77770">
              <w:rPr>
                <w:rStyle w:val="Hipercze"/>
                <w:rFonts w:cstheme="minorHAnsi"/>
                <w:noProof/>
              </w:rPr>
              <w:t>Ustawa z dnia 17 października 2003 r. o wykonywaniu prac podwodnych (Dz. U. z 2017 r. poz. 1970)</w:t>
            </w:r>
            <w:r w:rsidR="00F340A3">
              <w:rPr>
                <w:noProof/>
                <w:webHidden/>
              </w:rPr>
              <w:tab/>
            </w:r>
            <w:r w:rsidR="00F340A3">
              <w:rPr>
                <w:noProof/>
                <w:webHidden/>
              </w:rPr>
              <w:fldChar w:fldCharType="begin"/>
            </w:r>
            <w:r w:rsidR="00F340A3">
              <w:rPr>
                <w:noProof/>
                <w:webHidden/>
              </w:rPr>
              <w:instrText xml:space="preserve"> PAGEREF _Toc530565047 \h </w:instrText>
            </w:r>
            <w:r w:rsidR="00F340A3">
              <w:rPr>
                <w:noProof/>
                <w:webHidden/>
              </w:rPr>
            </w:r>
            <w:r w:rsidR="00F340A3">
              <w:rPr>
                <w:noProof/>
                <w:webHidden/>
              </w:rPr>
              <w:fldChar w:fldCharType="separate"/>
            </w:r>
            <w:r w:rsidR="00F05192">
              <w:rPr>
                <w:noProof/>
                <w:webHidden/>
              </w:rPr>
              <w:t>163</w:t>
            </w:r>
            <w:r w:rsidR="00F340A3">
              <w:rPr>
                <w:noProof/>
                <w:webHidden/>
              </w:rPr>
              <w:fldChar w:fldCharType="end"/>
            </w:r>
          </w:hyperlink>
        </w:p>
        <w:p w14:paraId="1A08D818" w14:textId="77777777" w:rsidR="00F340A3" w:rsidRDefault="00DF3C4F">
          <w:pPr>
            <w:pStyle w:val="Spistreci2"/>
            <w:rPr>
              <w:rFonts w:eastAsiaTheme="minorEastAsia"/>
              <w:noProof/>
              <w:lang w:eastAsia="pl-PL"/>
            </w:rPr>
          </w:pPr>
          <w:hyperlink w:anchor="_Toc530565048" w:history="1">
            <w:r w:rsidR="00F340A3" w:rsidRPr="00C77770">
              <w:rPr>
                <w:rStyle w:val="Hipercze"/>
                <w:rFonts w:cstheme="minorHAnsi"/>
                <w:noProof/>
              </w:rPr>
              <w:t>Ustawa z dnia 28 listopada 2003 r. o świadczeniach rodzinnych (Dz. U. z 2017 r. poz. 1952, z późn. zm)</w:t>
            </w:r>
            <w:r w:rsidR="00F340A3">
              <w:rPr>
                <w:noProof/>
                <w:webHidden/>
              </w:rPr>
              <w:tab/>
            </w:r>
            <w:r w:rsidR="00F340A3">
              <w:rPr>
                <w:noProof/>
                <w:webHidden/>
              </w:rPr>
              <w:fldChar w:fldCharType="begin"/>
            </w:r>
            <w:r w:rsidR="00F340A3">
              <w:rPr>
                <w:noProof/>
                <w:webHidden/>
              </w:rPr>
              <w:instrText xml:space="preserve"> PAGEREF _Toc530565048 \h </w:instrText>
            </w:r>
            <w:r w:rsidR="00F340A3">
              <w:rPr>
                <w:noProof/>
                <w:webHidden/>
              </w:rPr>
            </w:r>
            <w:r w:rsidR="00F340A3">
              <w:rPr>
                <w:noProof/>
                <w:webHidden/>
              </w:rPr>
              <w:fldChar w:fldCharType="separate"/>
            </w:r>
            <w:r w:rsidR="00F05192">
              <w:rPr>
                <w:noProof/>
                <w:webHidden/>
              </w:rPr>
              <w:t>163</w:t>
            </w:r>
            <w:r w:rsidR="00F340A3">
              <w:rPr>
                <w:noProof/>
                <w:webHidden/>
              </w:rPr>
              <w:fldChar w:fldCharType="end"/>
            </w:r>
          </w:hyperlink>
        </w:p>
        <w:p w14:paraId="6056C6AA" w14:textId="77777777" w:rsidR="00F340A3" w:rsidRDefault="00DF3C4F">
          <w:pPr>
            <w:pStyle w:val="Spistreci2"/>
            <w:rPr>
              <w:rFonts w:eastAsiaTheme="minorEastAsia"/>
              <w:noProof/>
              <w:lang w:eastAsia="pl-PL"/>
            </w:rPr>
          </w:pPr>
          <w:hyperlink w:anchor="_Toc530565049" w:history="1">
            <w:r w:rsidR="00F340A3" w:rsidRPr="00C77770">
              <w:rPr>
                <w:rStyle w:val="Hipercze"/>
                <w:rFonts w:cstheme="minorHAnsi"/>
                <w:noProof/>
              </w:rPr>
              <w:t>Ustawa z dnia 29 stycznia 2004 r. – Prawo zamówień publicznych (Dz. U. z 2018 r. poz. 1986)</w:t>
            </w:r>
            <w:r w:rsidR="00F340A3">
              <w:rPr>
                <w:noProof/>
                <w:webHidden/>
              </w:rPr>
              <w:tab/>
            </w:r>
            <w:r w:rsidR="00F340A3">
              <w:rPr>
                <w:noProof/>
                <w:webHidden/>
              </w:rPr>
              <w:fldChar w:fldCharType="begin"/>
            </w:r>
            <w:r w:rsidR="00F340A3">
              <w:rPr>
                <w:noProof/>
                <w:webHidden/>
              </w:rPr>
              <w:instrText xml:space="preserve"> PAGEREF _Toc530565049 \h </w:instrText>
            </w:r>
            <w:r w:rsidR="00F340A3">
              <w:rPr>
                <w:noProof/>
                <w:webHidden/>
              </w:rPr>
            </w:r>
            <w:r w:rsidR="00F340A3">
              <w:rPr>
                <w:noProof/>
                <w:webHidden/>
              </w:rPr>
              <w:fldChar w:fldCharType="separate"/>
            </w:r>
            <w:r w:rsidR="00F05192">
              <w:rPr>
                <w:noProof/>
                <w:webHidden/>
              </w:rPr>
              <w:t>164</w:t>
            </w:r>
            <w:r w:rsidR="00F340A3">
              <w:rPr>
                <w:noProof/>
                <w:webHidden/>
              </w:rPr>
              <w:fldChar w:fldCharType="end"/>
            </w:r>
          </w:hyperlink>
        </w:p>
        <w:p w14:paraId="7C105F91" w14:textId="77777777" w:rsidR="00F340A3" w:rsidRDefault="00DF3C4F">
          <w:pPr>
            <w:pStyle w:val="Spistreci2"/>
            <w:rPr>
              <w:rFonts w:eastAsiaTheme="minorEastAsia"/>
              <w:noProof/>
              <w:lang w:eastAsia="pl-PL"/>
            </w:rPr>
          </w:pPr>
          <w:hyperlink w:anchor="_Toc530565050" w:history="1">
            <w:r w:rsidR="00F340A3" w:rsidRPr="00C77770">
              <w:rPr>
                <w:rStyle w:val="Hipercze"/>
                <w:rFonts w:cstheme="minorHAnsi"/>
                <w:noProof/>
              </w:rPr>
              <w:t>Ustawa z dnia 12 marca 2004 r. o pomocy społecznej (Dz. U. z 2018 r. poz. 1508 i 1693)</w:t>
            </w:r>
            <w:r w:rsidR="00F340A3">
              <w:rPr>
                <w:noProof/>
                <w:webHidden/>
              </w:rPr>
              <w:tab/>
            </w:r>
            <w:r w:rsidR="00F340A3">
              <w:rPr>
                <w:noProof/>
                <w:webHidden/>
              </w:rPr>
              <w:fldChar w:fldCharType="begin"/>
            </w:r>
            <w:r w:rsidR="00F340A3">
              <w:rPr>
                <w:noProof/>
                <w:webHidden/>
              </w:rPr>
              <w:instrText xml:space="preserve"> PAGEREF _Toc530565050 \h </w:instrText>
            </w:r>
            <w:r w:rsidR="00F340A3">
              <w:rPr>
                <w:noProof/>
                <w:webHidden/>
              </w:rPr>
            </w:r>
            <w:r w:rsidR="00F340A3">
              <w:rPr>
                <w:noProof/>
                <w:webHidden/>
              </w:rPr>
              <w:fldChar w:fldCharType="separate"/>
            </w:r>
            <w:r w:rsidR="00F05192">
              <w:rPr>
                <w:noProof/>
                <w:webHidden/>
              </w:rPr>
              <w:t>174</w:t>
            </w:r>
            <w:r w:rsidR="00F340A3">
              <w:rPr>
                <w:noProof/>
                <w:webHidden/>
              </w:rPr>
              <w:fldChar w:fldCharType="end"/>
            </w:r>
          </w:hyperlink>
        </w:p>
        <w:p w14:paraId="1B2F2887" w14:textId="77777777" w:rsidR="00F340A3" w:rsidRDefault="00DF3C4F">
          <w:pPr>
            <w:pStyle w:val="Spistreci2"/>
            <w:rPr>
              <w:rFonts w:eastAsiaTheme="minorEastAsia"/>
              <w:noProof/>
              <w:lang w:eastAsia="pl-PL"/>
            </w:rPr>
          </w:pPr>
          <w:hyperlink w:anchor="_Toc530565051" w:history="1">
            <w:r w:rsidR="00F340A3" w:rsidRPr="00C77770">
              <w:rPr>
                <w:rStyle w:val="Hipercze"/>
                <w:rFonts w:cstheme="minorHAnsi"/>
                <w:noProof/>
              </w:rPr>
              <w:t>Ustawa z dnia 16 kwietnia 2004 r. o wyrobach budowlanych (Dz. U. z 2016 r. poz. 1570 oraz z 2018 r. poz. 650)</w:t>
            </w:r>
            <w:r w:rsidR="00F340A3">
              <w:rPr>
                <w:noProof/>
                <w:webHidden/>
              </w:rPr>
              <w:tab/>
            </w:r>
            <w:r w:rsidR="00F340A3">
              <w:rPr>
                <w:noProof/>
                <w:webHidden/>
              </w:rPr>
              <w:fldChar w:fldCharType="begin"/>
            </w:r>
            <w:r w:rsidR="00F340A3">
              <w:rPr>
                <w:noProof/>
                <w:webHidden/>
              </w:rPr>
              <w:instrText xml:space="preserve"> PAGEREF _Toc530565051 \h </w:instrText>
            </w:r>
            <w:r w:rsidR="00F340A3">
              <w:rPr>
                <w:noProof/>
                <w:webHidden/>
              </w:rPr>
            </w:r>
            <w:r w:rsidR="00F340A3">
              <w:rPr>
                <w:noProof/>
                <w:webHidden/>
              </w:rPr>
              <w:fldChar w:fldCharType="separate"/>
            </w:r>
            <w:r w:rsidR="00F05192">
              <w:rPr>
                <w:noProof/>
                <w:webHidden/>
              </w:rPr>
              <w:t>177</w:t>
            </w:r>
            <w:r w:rsidR="00F340A3">
              <w:rPr>
                <w:noProof/>
                <w:webHidden/>
              </w:rPr>
              <w:fldChar w:fldCharType="end"/>
            </w:r>
          </w:hyperlink>
        </w:p>
        <w:p w14:paraId="7B32776A" w14:textId="77777777" w:rsidR="00F340A3" w:rsidRDefault="00DF3C4F">
          <w:pPr>
            <w:pStyle w:val="Spistreci2"/>
            <w:rPr>
              <w:rFonts w:eastAsiaTheme="minorEastAsia"/>
              <w:noProof/>
              <w:lang w:eastAsia="pl-PL"/>
            </w:rPr>
          </w:pPr>
          <w:hyperlink w:anchor="_Toc530565052" w:history="1">
            <w:r w:rsidR="00F340A3" w:rsidRPr="00C77770">
              <w:rPr>
                <w:rStyle w:val="Hipercze"/>
                <w:rFonts w:cstheme="minorHAnsi"/>
                <w:noProof/>
              </w:rPr>
              <w:t>Ustawa z dnia 20 kwietnia 2004 r. o promocji zatrudnienia i instytucjach rynku pracy (Dz. U. z 2018 r. poz. 1265, 1544, 1629, 1669 i 2077)</w:t>
            </w:r>
            <w:r w:rsidR="00F340A3">
              <w:rPr>
                <w:noProof/>
                <w:webHidden/>
              </w:rPr>
              <w:tab/>
            </w:r>
            <w:r w:rsidR="00F340A3">
              <w:rPr>
                <w:noProof/>
                <w:webHidden/>
              </w:rPr>
              <w:fldChar w:fldCharType="begin"/>
            </w:r>
            <w:r w:rsidR="00F340A3">
              <w:rPr>
                <w:noProof/>
                <w:webHidden/>
              </w:rPr>
              <w:instrText xml:space="preserve"> PAGEREF _Toc530565052 \h </w:instrText>
            </w:r>
            <w:r w:rsidR="00F340A3">
              <w:rPr>
                <w:noProof/>
                <w:webHidden/>
              </w:rPr>
            </w:r>
            <w:r w:rsidR="00F340A3">
              <w:rPr>
                <w:noProof/>
                <w:webHidden/>
              </w:rPr>
              <w:fldChar w:fldCharType="separate"/>
            </w:r>
            <w:r w:rsidR="00F05192">
              <w:rPr>
                <w:noProof/>
                <w:webHidden/>
              </w:rPr>
              <w:t>178</w:t>
            </w:r>
            <w:r w:rsidR="00F340A3">
              <w:rPr>
                <w:noProof/>
                <w:webHidden/>
              </w:rPr>
              <w:fldChar w:fldCharType="end"/>
            </w:r>
          </w:hyperlink>
        </w:p>
        <w:p w14:paraId="5A1C1C6F" w14:textId="77777777" w:rsidR="00F340A3" w:rsidRDefault="00DF3C4F">
          <w:pPr>
            <w:pStyle w:val="Spistreci2"/>
            <w:rPr>
              <w:rFonts w:eastAsiaTheme="minorEastAsia"/>
              <w:noProof/>
              <w:lang w:eastAsia="pl-PL"/>
            </w:rPr>
          </w:pPr>
          <w:hyperlink w:anchor="_Toc530565053" w:history="1">
            <w:r w:rsidR="00F340A3" w:rsidRPr="00C77770">
              <w:rPr>
                <w:rStyle w:val="Hipercze"/>
                <w:rFonts w:cstheme="minorHAnsi"/>
                <w:noProof/>
              </w:rPr>
              <w:t>Ustawa z dnia 30 kwietnia 2004 r. o świadczeniach przedemerytalnych (Dz. U. z 2017 r. poz. 2148)</w:t>
            </w:r>
            <w:r w:rsidR="00F340A3">
              <w:rPr>
                <w:noProof/>
                <w:webHidden/>
              </w:rPr>
              <w:tab/>
            </w:r>
            <w:r w:rsidR="00F340A3">
              <w:rPr>
                <w:noProof/>
                <w:webHidden/>
              </w:rPr>
              <w:fldChar w:fldCharType="begin"/>
            </w:r>
            <w:r w:rsidR="00F340A3">
              <w:rPr>
                <w:noProof/>
                <w:webHidden/>
              </w:rPr>
              <w:instrText xml:space="preserve"> PAGEREF _Toc530565053 \h </w:instrText>
            </w:r>
            <w:r w:rsidR="00F340A3">
              <w:rPr>
                <w:noProof/>
                <w:webHidden/>
              </w:rPr>
            </w:r>
            <w:r w:rsidR="00F340A3">
              <w:rPr>
                <w:noProof/>
                <w:webHidden/>
              </w:rPr>
              <w:fldChar w:fldCharType="separate"/>
            </w:r>
            <w:r w:rsidR="00F05192">
              <w:rPr>
                <w:noProof/>
                <w:webHidden/>
              </w:rPr>
              <w:t>179</w:t>
            </w:r>
            <w:r w:rsidR="00F340A3">
              <w:rPr>
                <w:noProof/>
                <w:webHidden/>
              </w:rPr>
              <w:fldChar w:fldCharType="end"/>
            </w:r>
          </w:hyperlink>
        </w:p>
        <w:p w14:paraId="037BC324" w14:textId="77777777" w:rsidR="00F340A3" w:rsidRDefault="00DF3C4F">
          <w:pPr>
            <w:pStyle w:val="Spistreci2"/>
            <w:rPr>
              <w:rFonts w:eastAsiaTheme="minorEastAsia"/>
              <w:noProof/>
              <w:lang w:eastAsia="pl-PL"/>
            </w:rPr>
          </w:pPr>
          <w:hyperlink w:anchor="_Toc530565054" w:history="1">
            <w:r w:rsidR="00F340A3" w:rsidRPr="00C77770">
              <w:rPr>
                <w:rStyle w:val="Hipercze"/>
                <w:rFonts w:cstheme="minorHAnsi"/>
                <w:noProof/>
              </w:rPr>
              <w:t>Ustawa z dnia 30 kwietnia 2004 r. o postępowaniu w sprawach dotyczących pomocy publicznej (Dz. U. z 2018 r. poz. 362)</w:t>
            </w:r>
            <w:r w:rsidR="00F340A3">
              <w:rPr>
                <w:noProof/>
                <w:webHidden/>
              </w:rPr>
              <w:tab/>
            </w:r>
            <w:r w:rsidR="00F340A3">
              <w:rPr>
                <w:noProof/>
                <w:webHidden/>
              </w:rPr>
              <w:fldChar w:fldCharType="begin"/>
            </w:r>
            <w:r w:rsidR="00F340A3">
              <w:rPr>
                <w:noProof/>
                <w:webHidden/>
              </w:rPr>
              <w:instrText xml:space="preserve"> PAGEREF _Toc530565054 \h </w:instrText>
            </w:r>
            <w:r w:rsidR="00F340A3">
              <w:rPr>
                <w:noProof/>
                <w:webHidden/>
              </w:rPr>
            </w:r>
            <w:r w:rsidR="00F340A3">
              <w:rPr>
                <w:noProof/>
                <w:webHidden/>
              </w:rPr>
              <w:fldChar w:fldCharType="separate"/>
            </w:r>
            <w:r w:rsidR="00F05192">
              <w:rPr>
                <w:noProof/>
                <w:webHidden/>
              </w:rPr>
              <w:t>180</w:t>
            </w:r>
            <w:r w:rsidR="00F340A3">
              <w:rPr>
                <w:noProof/>
                <w:webHidden/>
              </w:rPr>
              <w:fldChar w:fldCharType="end"/>
            </w:r>
          </w:hyperlink>
        </w:p>
        <w:p w14:paraId="3DF9F65F" w14:textId="77777777" w:rsidR="00F340A3" w:rsidRDefault="00DF3C4F">
          <w:pPr>
            <w:pStyle w:val="Spistreci2"/>
            <w:rPr>
              <w:rFonts w:eastAsiaTheme="minorEastAsia"/>
              <w:noProof/>
              <w:lang w:eastAsia="pl-PL"/>
            </w:rPr>
          </w:pPr>
          <w:hyperlink w:anchor="_Toc530565055" w:history="1">
            <w:r w:rsidR="00F340A3" w:rsidRPr="00C77770">
              <w:rPr>
                <w:rStyle w:val="Hipercze"/>
                <w:rFonts w:cstheme="minorHAnsi"/>
                <w:noProof/>
              </w:rPr>
              <w:t>Ustawa z dnia 27 maja 2004 r. o funduszach inwestycyjnych i zarządzaniu alternatywnymi funduszami inwestycyjnymi (Dz. U. z 2018 r. poz. 1355)</w:t>
            </w:r>
            <w:r w:rsidR="00F340A3">
              <w:rPr>
                <w:noProof/>
                <w:webHidden/>
              </w:rPr>
              <w:tab/>
            </w:r>
            <w:r w:rsidR="00F340A3">
              <w:rPr>
                <w:noProof/>
                <w:webHidden/>
              </w:rPr>
              <w:fldChar w:fldCharType="begin"/>
            </w:r>
            <w:r w:rsidR="00F340A3">
              <w:rPr>
                <w:noProof/>
                <w:webHidden/>
              </w:rPr>
              <w:instrText xml:space="preserve"> PAGEREF _Toc530565055 \h </w:instrText>
            </w:r>
            <w:r w:rsidR="00F340A3">
              <w:rPr>
                <w:noProof/>
                <w:webHidden/>
              </w:rPr>
            </w:r>
            <w:r w:rsidR="00F340A3">
              <w:rPr>
                <w:noProof/>
                <w:webHidden/>
              </w:rPr>
              <w:fldChar w:fldCharType="separate"/>
            </w:r>
            <w:r w:rsidR="00F05192">
              <w:rPr>
                <w:noProof/>
                <w:webHidden/>
              </w:rPr>
              <w:t>182</w:t>
            </w:r>
            <w:r w:rsidR="00F340A3">
              <w:rPr>
                <w:noProof/>
                <w:webHidden/>
              </w:rPr>
              <w:fldChar w:fldCharType="end"/>
            </w:r>
          </w:hyperlink>
        </w:p>
        <w:p w14:paraId="396D807D" w14:textId="21E1638F" w:rsidR="00F340A3" w:rsidRDefault="00DF3C4F">
          <w:pPr>
            <w:pStyle w:val="Spistreci2"/>
            <w:rPr>
              <w:rFonts w:eastAsiaTheme="minorEastAsia"/>
              <w:noProof/>
              <w:lang w:eastAsia="pl-PL"/>
            </w:rPr>
          </w:pPr>
          <w:hyperlink w:anchor="_Toc530565056" w:history="1">
            <w:r w:rsidR="00F340A3" w:rsidRPr="00C77770">
              <w:rPr>
                <w:rStyle w:val="Hipercze"/>
                <w:rFonts w:cstheme="minorHAnsi"/>
                <w:noProof/>
              </w:rPr>
              <w:t>Ustawa z dnia 16 lipca 2004 r. – Prawo telekomunikacyjne (Dz. U. z 2018 r. poz.</w:t>
            </w:r>
            <w:r w:rsidR="002072E4">
              <w:rPr>
                <w:rStyle w:val="Hipercze"/>
                <w:rFonts w:cstheme="minorHAnsi"/>
                <w:noProof/>
              </w:rPr>
              <w:t xml:space="preserve"> 1954)</w:t>
            </w:r>
            <w:r w:rsidR="00F340A3">
              <w:rPr>
                <w:noProof/>
                <w:webHidden/>
              </w:rPr>
              <w:tab/>
            </w:r>
            <w:r w:rsidR="00F340A3">
              <w:rPr>
                <w:noProof/>
                <w:webHidden/>
              </w:rPr>
              <w:fldChar w:fldCharType="begin"/>
            </w:r>
            <w:r w:rsidR="00F340A3">
              <w:rPr>
                <w:noProof/>
                <w:webHidden/>
              </w:rPr>
              <w:instrText xml:space="preserve"> PAGEREF _Toc530565056 \h </w:instrText>
            </w:r>
            <w:r w:rsidR="00F340A3">
              <w:rPr>
                <w:noProof/>
                <w:webHidden/>
              </w:rPr>
            </w:r>
            <w:r w:rsidR="00F340A3">
              <w:rPr>
                <w:noProof/>
                <w:webHidden/>
              </w:rPr>
              <w:fldChar w:fldCharType="separate"/>
            </w:r>
            <w:r w:rsidR="00F05192">
              <w:rPr>
                <w:noProof/>
                <w:webHidden/>
              </w:rPr>
              <w:t>183</w:t>
            </w:r>
            <w:r w:rsidR="00F340A3">
              <w:rPr>
                <w:noProof/>
                <w:webHidden/>
              </w:rPr>
              <w:fldChar w:fldCharType="end"/>
            </w:r>
          </w:hyperlink>
        </w:p>
        <w:p w14:paraId="38E71D6B" w14:textId="77777777" w:rsidR="00F340A3" w:rsidRDefault="00DF3C4F">
          <w:pPr>
            <w:pStyle w:val="Spistreci2"/>
            <w:rPr>
              <w:rFonts w:eastAsiaTheme="minorEastAsia"/>
              <w:noProof/>
              <w:lang w:eastAsia="pl-PL"/>
            </w:rPr>
          </w:pPr>
          <w:hyperlink w:anchor="_Toc530565057" w:history="1">
            <w:r w:rsidR="00F340A3" w:rsidRPr="00C77770">
              <w:rPr>
                <w:rStyle w:val="Hipercze"/>
                <w:rFonts w:cstheme="minorHAnsi"/>
                <w:noProof/>
              </w:rPr>
              <w:t>Ustawa z dnia 27 sierpnia 2004 r. o świadczeniach opieki zdrowotnej finansowanych ze środków publicznych (Dz. U. z 2018 r. poz. 1510, 1515, 1532, 1544, 1552, 1669 i 1925)</w:t>
            </w:r>
            <w:r w:rsidR="00F340A3">
              <w:rPr>
                <w:noProof/>
                <w:webHidden/>
              </w:rPr>
              <w:tab/>
            </w:r>
            <w:r w:rsidR="00F340A3">
              <w:rPr>
                <w:noProof/>
                <w:webHidden/>
              </w:rPr>
              <w:fldChar w:fldCharType="begin"/>
            </w:r>
            <w:r w:rsidR="00F340A3">
              <w:rPr>
                <w:noProof/>
                <w:webHidden/>
              </w:rPr>
              <w:instrText xml:space="preserve"> PAGEREF _Toc530565057 \h </w:instrText>
            </w:r>
            <w:r w:rsidR="00F340A3">
              <w:rPr>
                <w:noProof/>
                <w:webHidden/>
              </w:rPr>
            </w:r>
            <w:r w:rsidR="00F340A3">
              <w:rPr>
                <w:noProof/>
                <w:webHidden/>
              </w:rPr>
              <w:fldChar w:fldCharType="separate"/>
            </w:r>
            <w:r w:rsidR="00F05192">
              <w:rPr>
                <w:noProof/>
                <w:webHidden/>
              </w:rPr>
              <w:t>185</w:t>
            </w:r>
            <w:r w:rsidR="00F340A3">
              <w:rPr>
                <w:noProof/>
                <w:webHidden/>
              </w:rPr>
              <w:fldChar w:fldCharType="end"/>
            </w:r>
          </w:hyperlink>
        </w:p>
        <w:p w14:paraId="15605BD4" w14:textId="77777777" w:rsidR="00F340A3" w:rsidRDefault="00DF3C4F">
          <w:pPr>
            <w:pStyle w:val="Spistreci2"/>
            <w:rPr>
              <w:rFonts w:eastAsiaTheme="minorEastAsia"/>
              <w:noProof/>
              <w:lang w:eastAsia="pl-PL"/>
            </w:rPr>
          </w:pPr>
          <w:hyperlink w:anchor="_Toc530565058" w:history="1">
            <w:r w:rsidR="00F340A3" w:rsidRPr="00C77770">
              <w:rPr>
                <w:rStyle w:val="Hipercze"/>
                <w:rFonts w:cstheme="minorHAnsi"/>
                <w:noProof/>
              </w:rPr>
              <w:t>Ustawa z dnia 25 listopada 2004 r. o zawodzie tłumacza przysięgłego (Dz. U. z 2017 r. poz. 1505 i 1669)</w:t>
            </w:r>
            <w:r w:rsidR="00F340A3">
              <w:rPr>
                <w:noProof/>
                <w:webHidden/>
              </w:rPr>
              <w:tab/>
            </w:r>
            <w:r w:rsidR="00F340A3">
              <w:rPr>
                <w:noProof/>
                <w:webHidden/>
              </w:rPr>
              <w:fldChar w:fldCharType="begin"/>
            </w:r>
            <w:r w:rsidR="00F340A3">
              <w:rPr>
                <w:noProof/>
                <w:webHidden/>
              </w:rPr>
              <w:instrText xml:space="preserve"> PAGEREF _Toc530565058 \h </w:instrText>
            </w:r>
            <w:r w:rsidR="00F340A3">
              <w:rPr>
                <w:noProof/>
                <w:webHidden/>
              </w:rPr>
            </w:r>
            <w:r w:rsidR="00F340A3">
              <w:rPr>
                <w:noProof/>
                <w:webHidden/>
              </w:rPr>
              <w:fldChar w:fldCharType="separate"/>
            </w:r>
            <w:r w:rsidR="00F05192">
              <w:rPr>
                <w:noProof/>
                <w:webHidden/>
              </w:rPr>
              <w:t>185</w:t>
            </w:r>
            <w:r w:rsidR="00F340A3">
              <w:rPr>
                <w:noProof/>
                <w:webHidden/>
              </w:rPr>
              <w:fldChar w:fldCharType="end"/>
            </w:r>
          </w:hyperlink>
        </w:p>
        <w:p w14:paraId="2CAF9235" w14:textId="77777777" w:rsidR="00F340A3" w:rsidRDefault="00DF3C4F">
          <w:pPr>
            <w:pStyle w:val="Spistreci2"/>
            <w:rPr>
              <w:rFonts w:eastAsiaTheme="minorEastAsia"/>
              <w:noProof/>
              <w:lang w:eastAsia="pl-PL"/>
            </w:rPr>
          </w:pPr>
          <w:hyperlink w:anchor="_Toc530565059" w:history="1">
            <w:r w:rsidR="00F340A3" w:rsidRPr="00C77770">
              <w:rPr>
                <w:rStyle w:val="Hipercze"/>
                <w:rFonts w:cstheme="minorHAnsi"/>
                <w:noProof/>
              </w:rPr>
              <w:t>Ustawa z dnia 17 grudnia 2004 r. o odpowiedzialności za naruszenie dyscypliny finansów publicznych (Dz. U. z 2018 r. poz. 1458, 1669 i 1693)</w:t>
            </w:r>
            <w:r w:rsidR="00F340A3">
              <w:rPr>
                <w:noProof/>
                <w:webHidden/>
              </w:rPr>
              <w:tab/>
            </w:r>
            <w:r w:rsidR="00F340A3">
              <w:rPr>
                <w:noProof/>
                <w:webHidden/>
              </w:rPr>
              <w:fldChar w:fldCharType="begin"/>
            </w:r>
            <w:r w:rsidR="00F340A3">
              <w:rPr>
                <w:noProof/>
                <w:webHidden/>
              </w:rPr>
              <w:instrText xml:space="preserve"> PAGEREF _Toc530565059 \h </w:instrText>
            </w:r>
            <w:r w:rsidR="00F340A3">
              <w:rPr>
                <w:noProof/>
                <w:webHidden/>
              </w:rPr>
            </w:r>
            <w:r w:rsidR="00F340A3">
              <w:rPr>
                <w:noProof/>
                <w:webHidden/>
              </w:rPr>
              <w:fldChar w:fldCharType="separate"/>
            </w:r>
            <w:r w:rsidR="00F05192">
              <w:rPr>
                <w:noProof/>
                <w:webHidden/>
              </w:rPr>
              <w:t>190</w:t>
            </w:r>
            <w:r w:rsidR="00F340A3">
              <w:rPr>
                <w:noProof/>
                <w:webHidden/>
              </w:rPr>
              <w:fldChar w:fldCharType="end"/>
            </w:r>
          </w:hyperlink>
        </w:p>
        <w:p w14:paraId="6688CBF3" w14:textId="77777777" w:rsidR="00F340A3" w:rsidRDefault="00DF3C4F">
          <w:pPr>
            <w:pStyle w:val="Spistreci2"/>
            <w:rPr>
              <w:rFonts w:eastAsiaTheme="minorEastAsia"/>
              <w:noProof/>
              <w:lang w:eastAsia="pl-PL"/>
            </w:rPr>
          </w:pPr>
          <w:hyperlink w:anchor="_Toc530565060" w:history="1">
            <w:r w:rsidR="00F340A3" w:rsidRPr="00C77770">
              <w:rPr>
                <w:rStyle w:val="Hipercze"/>
                <w:rFonts w:cstheme="minorHAnsi"/>
                <w:noProof/>
              </w:rPr>
              <w:t>Ustawa z dnia 17 lutego 2005 r. o informatyzacji działalności podmiotów realizujących zadania publiczne (Dz. U. z 2017 r. poz. 570 oraz z 2018 r. poz. 1000, 1544 i 1669)</w:t>
            </w:r>
            <w:r w:rsidR="00F340A3">
              <w:rPr>
                <w:noProof/>
                <w:webHidden/>
              </w:rPr>
              <w:tab/>
            </w:r>
            <w:r w:rsidR="00F340A3">
              <w:rPr>
                <w:noProof/>
                <w:webHidden/>
              </w:rPr>
              <w:fldChar w:fldCharType="begin"/>
            </w:r>
            <w:r w:rsidR="00F340A3">
              <w:rPr>
                <w:noProof/>
                <w:webHidden/>
              </w:rPr>
              <w:instrText xml:space="preserve"> PAGEREF _Toc530565060 \h </w:instrText>
            </w:r>
            <w:r w:rsidR="00F340A3">
              <w:rPr>
                <w:noProof/>
                <w:webHidden/>
              </w:rPr>
            </w:r>
            <w:r w:rsidR="00F340A3">
              <w:rPr>
                <w:noProof/>
                <w:webHidden/>
              </w:rPr>
              <w:fldChar w:fldCharType="separate"/>
            </w:r>
            <w:r w:rsidR="00F05192">
              <w:rPr>
                <w:noProof/>
                <w:webHidden/>
              </w:rPr>
              <w:t>193</w:t>
            </w:r>
            <w:r w:rsidR="00F340A3">
              <w:rPr>
                <w:noProof/>
                <w:webHidden/>
              </w:rPr>
              <w:fldChar w:fldCharType="end"/>
            </w:r>
          </w:hyperlink>
        </w:p>
        <w:p w14:paraId="29051B2C" w14:textId="77777777" w:rsidR="00F340A3" w:rsidRDefault="00DF3C4F">
          <w:pPr>
            <w:pStyle w:val="Spistreci2"/>
            <w:rPr>
              <w:rFonts w:eastAsiaTheme="minorEastAsia"/>
              <w:noProof/>
              <w:lang w:eastAsia="pl-PL"/>
            </w:rPr>
          </w:pPr>
          <w:hyperlink w:anchor="_Toc530565061" w:history="1">
            <w:r w:rsidR="00F340A3" w:rsidRPr="00C77770">
              <w:rPr>
                <w:rStyle w:val="Hipercze"/>
                <w:rFonts w:cstheme="minorHAnsi"/>
                <w:noProof/>
              </w:rPr>
              <w:t>Ustawa z dnia 21 kwietnia 2005 r. o opłatach abonamentowych (Dz. U. z 2014 r. poz. 1204, z 2015 r. poz. 1324 oraz z 2018 r. poz. 1717)</w:t>
            </w:r>
            <w:r w:rsidR="00F340A3">
              <w:rPr>
                <w:noProof/>
                <w:webHidden/>
              </w:rPr>
              <w:tab/>
            </w:r>
            <w:r w:rsidR="00F340A3">
              <w:rPr>
                <w:noProof/>
                <w:webHidden/>
              </w:rPr>
              <w:fldChar w:fldCharType="begin"/>
            </w:r>
            <w:r w:rsidR="00F340A3">
              <w:rPr>
                <w:noProof/>
                <w:webHidden/>
              </w:rPr>
              <w:instrText xml:space="preserve"> PAGEREF _Toc530565061 \h </w:instrText>
            </w:r>
            <w:r w:rsidR="00F340A3">
              <w:rPr>
                <w:noProof/>
                <w:webHidden/>
              </w:rPr>
            </w:r>
            <w:r w:rsidR="00F340A3">
              <w:rPr>
                <w:noProof/>
                <w:webHidden/>
              </w:rPr>
              <w:fldChar w:fldCharType="separate"/>
            </w:r>
            <w:r w:rsidR="00F05192">
              <w:rPr>
                <w:noProof/>
                <w:webHidden/>
              </w:rPr>
              <w:t>194</w:t>
            </w:r>
            <w:r w:rsidR="00F340A3">
              <w:rPr>
                <w:noProof/>
                <w:webHidden/>
              </w:rPr>
              <w:fldChar w:fldCharType="end"/>
            </w:r>
          </w:hyperlink>
        </w:p>
        <w:p w14:paraId="43F01E0F" w14:textId="77777777" w:rsidR="00F340A3" w:rsidRDefault="00DF3C4F">
          <w:pPr>
            <w:pStyle w:val="Spistreci2"/>
            <w:rPr>
              <w:rFonts w:eastAsiaTheme="minorEastAsia"/>
              <w:noProof/>
              <w:lang w:eastAsia="pl-PL"/>
            </w:rPr>
          </w:pPr>
          <w:hyperlink w:anchor="_Toc530565062" w:history="1">
            <w:r w:rsidR="00F340A3" w:rsidRPr="00C77770">
              <w:rPr>
                <w:rStyle w:val="Hipercze"/>
                <w:rFonts w:cstheme="minorHAnsi"/>
                <w:noProof/>
              </w:rPr>
              <w:t>Ustawa z dnia 29 lipca 2005 r. o przeciwdziałaniu przemocy w rodzinie (Dz. U. z 2015 r. poz. 1390)</w:t>
            </w:r>
            <w:r w:rsidR="00F340A3">
              <w:rPr>
                <w:noProof/>
                <w:webHidden/>
              </w:rPr>
              <w:tab/>
            </w:r>
            <w:r w:rsidR="00F340A3">
              <w:rPr>
                <w:noProof/>
                <w:webHidden/>
              </w:rPr>
              <w:fldChar w:fldCharType="begin"/>
            </w:r>
            <w:r w:rsidR="00F340A3">
              <w:rPr>
                <w:noProof/>
                <w:webHidden/>
              </w:rPr>
              <w:instrText xml:space="preserve"> PAGEREF _Toc530565062 \h </w:instrText>
            </w:r>
            <w:r w:rsidR="00F340A3">
              <w:rPr>
                <w:noProof/>
                <w:webHidden/>
              </w:rPr>
            </w:r>
            <w:r w:rsidR="00F340A3">
              <w:rPr>
                <w:noProof/>
                <w:webHidden/>
              </w:rPr>
              <w:fldChar w:fldCharType="separate"/>
            </w:r>
            <w:r w:rsidR="00F05192">
              <w:rPr>
                <w:noProof/>
                <w:webHidden/>
              </w:rPr>
              <w:t>195</w:t>
            </w:r>
            <w:r w:rsidR="00F340A3">
              <w:rPr>
                <w:noProof/>
                <w:webHidden/>
              </w:rPr>
              <w:fldChar w:fldCharType="end"/>
            </w:r>
          </w:hyperlink>
        </w:p>
        <w:p w14:paraId="6DBDEC54" w14:textId="77777777" w:rsidR="00F340A3" w:rsidRDefault="00DF3C4F">
          <w:pPr>
            <w:pStyle w:val="Spistreci2"/>
            <w:rPr>
              <w:rFonts w:eastAsiaTheme="minorEastAsia"/>
              <w:noProof/>
              <w:lang w:eastAsia="pl-PL"/>
            </w:rPr>
          </w:pPr>
          <w:hyperlink w:anchor="_Toc530565063" w:history="1">
            <w:r w:rsidR="00F340A3" w:rsidRPr="00C77770">
              <w:rPr>
                <w:rStyle w:val="Hipercze"/>
                <w:rFonts w:cstheme="minorHAnsi"/>
                <w:noProof/>
              </w:rPr>
              <w:t>Ustawa z dnia 29 lipca 2005 r. o obrocie instrumentami finansowymi (Dz. U. z 2017 r. poz. 1768, z późn. zm.)</w:t>
            </w:r>
            <w:r w:rsidR="00F340A3">
              <w:rPr>
                <w:noProof/>
                <w:webHidden/>
              </w:rPr>
              <w:tab/>
            </w:r>
            <w:r w:rsidR="00F340A3">
              <w:rPr>
                <w:noProof/>
                <w:webHidden/>
              </w:rPr>
              <w:fldChar w:fldCharType="begin"/>
            </w:r>
            <w:r w:rsidR="00F340A3">
              <w:rPr>
                <w:noProof/>
                <w:webHidden/>
              </w:rPr>
              <w:instrText xml:space="preserve"> PAGEREF _Toc530565063 \h </w:instrText>
            </w:r>
            <w:r w:rsidR="00F340A3">
              <w:rPr>
                <w:noProof/>
                <w:webHidden/>
              </w:rPr>
            </w:r>
            <w:r w:rsidR="00F340A3">
              <w:rPr>
                <w:noProof/>
                <w:webHidden/>
              </w:rPr>
              <w:fldChar w:fldCharType="separate"/>
            </w:r>
            <w:r w:rsidR="00F05192">
              <w:rPr>
                <w:noProof/>
                <w:webHidden/>
              </w:rPr>
              <w:t>195</w:t>
            </w:r>
            <w:r w:rsidR="00F340A3">
              <w:rPr>
                <w:noProof/>
                <w:webHidden/>
              </w:rPr>
              <w:fldChar w:fldCharType="end"/>
            </w:r>
          </w:hyperlink>
        </w:p>
        <w:p w14:paraId="2A204C47" w14:textId="77777777" w:rsidR="00F340A3" w:rsidRDefault="00DF3C4F">
          <w:pPr>
            <w:pStyle w:val="Spistreci2"/>
            <w:rPr>
              <w:rFonts w:eastAsiaTheme="minorEastAsia"/>
              <w:noProof/>
              <w:lang w:eastAsia="pl-PL"/>
            </w:rPr>
          </w:pPr>
          <w:hyperlink w:anchor="_Toc530565064" w:history="1">
            <w:r w:rsidR="00F340A3" w:rsidRPr="00C77770">
              <w:rPr>
                <w:rStyle w:val="Hipercze"/>
                <w:rFonts w:cstheme="minorHAnsi"/>
                <w:noProof/>
              </w:rPr>
              <w:t>Ustawa z dnia 13 lipca 2006 r. o dokumentach paszportowych (Dz. U. z 2018 r. poz. 1919)</w:t>
            </w:r>
            <w:r w:rsidR="00F340A3">
              <w:rPr>
                <w:noProof/>
                <w:webHidden/>
              </w:rPr>
              <w:tab/>
            </w:r>
            <w:r w:rsidR="00F340A3">
              <w:rPr>
                <w:noProof/>
                <w:webHidden/>
              </w:rPr>
              <w:fldChar w:fldCharType="begin"/>
            </w:r>
            <w:r w:rsidR="00F340A3">
              <w:rPr>
                <w:noProof/>
                <w:webHidden/>
              </w:rPr>
              <w:instrText xml:space="preserve"> PAGEREF _Toc530565064 \h </w:instrText>
            </w:r>
            <w:r w:rsidR="00F340A3">
              <w:rPr>
                <w:noProof/>
                <w:webHidden/>
              </w:rPr>
            </w:r>
            <w:r w:rsidR="00F340A3">
              <w:rPr>
                <w:noProof/>
                <w:webHidden/>
              </w:rPr>
              <w:fldChar w:fldCharType="separate"/>
            </w:r>
            <w:r w:rsidR="00F05192">
              <w:rPr>
                <w:noProof/>
                <w:webHidden/>
              </w:rPr>
              <w:t>196</w:t>
            </w:r>
            <w:r w:rsidR="00F340A3">
              <w:rPr>
                <w:noProof/>
                <w:webHidden/>
              </w:rPr>
              <w:fldChar w:fldCharType="end"/>
            </w:r>
          </w:hyperlink>
        </w:p>
        <w:p w14:paraId="341AF9B7" w14:textId="77777777" w:rsidR="00F340A3" w:rsidRDefault="00DF3C4F">
          <w:pPr>
            <w:pStyle w:val="Spistreci2"/>
            <w:rPr>
              <w:rFonts w:eastAsiaTheme="minorEastAsia"/>
              <w:noProof/>
              <w:lang w:eastAsia="pl-PL"/>
            </w:rPr>
          </w:pPr>
          <w:hyperlink w:anchor="_Toc530565065" w:history="1">
            <w:r w:rsidR="00F340A3" w:rsidRPr="00C77770">
              <w:rPr>
                <w:rStyle w:val="Hipercze"/>
                <w:rFonts w:cstheme="minorHAnsi"/>
                <w:noProof/>
              </w:rPr>
              <w:t>Ustawa z dnia 21 lipca 2006 r. o nadzorze nad rynkiem finansowym (Dz. U. z 2018 r. poz. 621, 650, 685 i 1075)</w:t>
            </w:r>
            <w:r w:rsidR="00F340A3">
              <w:rPr>
                <w:noProof/>
                <w:webHidden/>
              </w:rPr>
              <w:tab/>
            </w:r>
            <w:r w:rsidR="00F340A3">
              <w:rPr>
                <w:noProof/>
                <w:webHidden/>
              </w:rPr>
              <w:fldChar w:fldCharType="begin"/>
            </w:r>
            <w:r w:rsidR="00F340A3">
              <w:rPr>
                <w:noProof/>
                <w:webHidden/>
              </w:rPr>
              <w:instrText xml:space="preserve"> PAGEREF _Toc530565065 \h </w:instrText>
            </w:r>
            <w:r w:rsidR="00F340A3">
              <w:rPr>
                <w:noProof/>
                <w:webHidden/>
              </w:rPr>
            </w:r>
            <w:r w:rsidR="00F340A3">
              <w:rPr>
                <w:noProof/>
                <w:webHidden/>
              </w:rPr>
              <w:fldChar w:fldCharType="separate"/>
            </w:r>
            <w:r w:rsidR="00F05192">
              <w:rPr>
                <w:noProof/>
                <w:webHidden/>
              </w:rPr>
              <w:t>199</w:t>
            </w:r>
            <w:r w:rsidR="00F340A3">
              <w:rPr>
                <w:noProof/>
                <w:webHidden/>
              </w:rPr>
              <w:fldChar w:fldCharType="end"/>
            </w:r>
          </w:hyperlink>
        </w:p>
        <w:p w14:paraId="09EAA49F" w14:textId="77777777" w:rsidR="00F340A3" w:rsidRDefault="00DF3C4F">
          <w:pPr>
            <w:pStyle w:val="Spistreci2"/>
            <w:rPr>
              <w:rFonts w:eastAsiaTheme="minorEastAsia"/>
              <w:noProof/>
              <w:lang w:eastAsia="pl-PL"/>
            </w:rPr>
          </w:pPr>
          <w:hyperlink w:anchor="_Toc530565066" w:history="1">
            <w:r w:rsidR="00F340A3" w:rsidRPr="00C77770">
              <w:rPr>
                <w:rStyle w:val="Hipercze"/>
                <w:rFonts w:cstheme="minorHAnsi"/>
                <w:noProof/>
              </w:rPr>
              <w:t>Ustawa z dnia 25 sierpnia 2006 r. o biokomponentach i biopaliwach ciekłych (Dz. U. z 2018 r. poz. 1344, 1356 i 1629)</w:t>
            </w:r>
            <w:r w:rsidR="00F340A3">
              <w:rPr>
                <w:noProof/>
                <w:webHidden/>
              </w:rPr>
              <w:tab/>
            </w:r>
            <w:r w:rsidR="00F340A3">
              <w:rPr>
                <w:noProof/>
                <w:webHidden/>
              </w:rPr>
              <w:fldChar w:fldCharType="begin"/>
            </w:r>
            <w:r w:rsidR="00F340A3">
              <w:rPr>
                <w:noProof/>
                <w:webHidden/>
              </w:rPr>
              <w:instrText xml:space="preserve"> PAGEREF _Toc530565066 \h </w:instrText>
            </w:r>
            <w:r w:rsidR="00F340A3">
              <w:rPr>
                <w:noProof/>
                <w:webHidden/>
              </w:rPr>
            </w:r>
            <w:r w:rsidR="00F340A3">
              <w:rPr>
                <w:noProof/>
                <w:webHidden/>
              </w:rPr>
              <w:fldChar w:fldCharType="separate"/>
            </w:r>
            <w:r w:rsidR="00F05192">
              <w:rPr>
                <w:noProof/>
                <w:webHidden/>
              </w:rPr>
              <w:t>200</w:t>
            </w:r>
            <w:r w:rsidR="00F340A3">
              <w:rPr>
                <w:noProof/>
                <w:webHidden/>
              </w:rPr>
              <w:fldChar w:fldCharType="end"/>
            </w:r>
          </w:hyperlink>
        </w:p>
        <w:p w14:paraId="09BA11A6" w14:textId="77777777" w:rsidR="00F340A3" w:rsidRDefault="00DF3C4F">
          <w:pPr>
            <w:pStyle w:val="Spistreci2"/>
            <w:rPr>
              <w:rFonts w:eastAsiaTheme="minorEastAsia"/>
              <w:noProof/>
              <w:lang w:eastAsia="pl-PL"/>
            </w:rPr>
          </w:pPr>
          <w:hyperlink w:anchor="_Toc530565067" w:history="1">
            <w:r w:rsidR="00F340A3" w:rsidRPr="00C77770">
              <w:rPr>
                <w:rStyle w:val="Hipercze"/>
                <w:rFonts w:cstheme="minorHAnsi"/>
                <w:noProof/>
              </w:rPr>
              <w:t>Ustawa z dnia 8 września 2006 r. o Państwowym Ratownictwie Medycznym (Dz. U. z 2017 r. poz. 2195 oraz z 2018 r. poz. 650, 1115, 1544, 1629 i 1669)</w:t>
            </w:r>
            <w:r w:rsidR="00F340A3">
              <w:rPr>
                <w:noProof/>
                <w:webHidden/>
              </w:rPr>
              <w:tab/>
            </w:r>
            <w:r w:rsidR="00F340A3">
              <w:rPr>
                <w:noProof/>
                <w:webHidden/>
              </w:rPr>
              <w:fldChar w:fldCharType="begin"/>
            </w:r>
            <w:r w:rsidR="00F340A3">
              <w:rPr>
                <w:noProof/>
                <w:webHidden/>
              </w:rPr>
              <w:instrText xml:space="preserve"> PAGEREF _Toc530565067 \h </w:instrText>
            </w:r>
            <w:r w:rsidR="00F340A3">
              <w:rPr>
                <w:noProof/>
                <w:webHidden/>
              </w:rPr>
            </w:r>
            <w:r w:rsidR="00F340A3">
              <w:rPr>
                <w:noProof/>
                <w:webHidden/>
              </w:rPr>
              <w:fldChar w:fldCharType="separate"/>
            </w:r>
            <w:r w:rsidR="00F05192">
              <w:rPr>
                <w:noProof/>
                <w:webHidden/>
              </w:rPr>
              <w:t>201</w:t>
            </w:r>
            <w:r w:rsidR="00F340A3">
              <w:rPr>
                <w:noProof/>
                <w:webHidden/>
              </w:rPr>
              <w:fldChar w:fldCharType="end"/>
            </w:r>
          </w:hyperlink>
        </w:p>
        <w:p w14:paraId="4243D563" w14:textId="77777777" w:rsidR="00F340A3" w:rsidRDefault="00DF3C4F">
          <w:pPr>
            <w:pStyle w:val="Spistreci2"/>
            <w:rPr>
              <w:rFonts w:eastAsiaTheme="minorEastAsia"/>
              <w:noProof/>
              <w:lang w:eastAsia="pl-PL"/>
            </w:rPr>
          </w:pPr>
          <w:hyperlink w:anchor="_Toc530565068" w:history="1">
            <w:r w:rsidR="00F340A3" w:rsidRPr="00C77770">
              <w:rPr>
                <w:rStyle w:val="Hipercze"/>
                <w:rFonts w:cstheme="minorHAnsi"/>
                <w:noProof/>
              </w:rPr>
              <w:t>Ustawa z dnia 12 stycznia 2007 r. o drogowych spółkach specjalnego przeznaczenia (Dz. U. z 2017 r. poz. 2093 oraz z 2018 r. poz. 12 i 1693)</w:t>
            </w:r>
            <w:r w:rsidR="00F340A3">
              <w:rPr>
                <w:noProof/>
                <w:webHidden/>
              </w:rPr>
              <w:tab/>
            </w:r>
            <w:r w:rsidR="00F340A3">
              <w:rPr>
                <w:noProof/>
                <w:webHidden/>
              </w:rPr>
              <w:fldChar w:fldCharType="begin"/>
            </w:r>
            <w:r w:rsidR="00F340A3">
              <w:rPr>
                <w:noProof/>
                <w:webHidden/>
              </w:rPr>
              <w:instrText xml:space="preserve"> PAGEREF _Toc530565068 \h </w:instrText>
            </w:r>
            <w:r w:rsidR="00F340A3">
              <w:rPr>
                <w:noProof/>
                <w:webHidden/>
              </w:rPr>
            </w:r>
            <w:r w:rsidR="00F340A3">
              <w:rPr>
                <w:noProof/>
                <w:webHidden/>
              </w:rPr>
              <w:fldChar w:fldCharType="separate"/>
            </w:r>
            <w:r w:rsidR="00F05192">
              <w:rPr>
                <w:noProof/>
                <w:webHidden/>
              </w:rPr>
              <w:t>202</w:t>
            </w:r>
            <w:r w:rsidR="00F340A3">
              <w:rPr>
                <w:noProof/>
                <w:webHidden/>
              </w:rPr>
              <w:fldChar w:fldCharType="end"/>
            </w:r>
          </w:hyperlink>
        </w:p>
        <w:p w14:paraId="3F5E06C4" w14:textId="77777777" w:rsidR="00F340A3" w:rsidRDefault="00DF3C4F">
          <w:pPr>
            <w:pStyle w:val="Spistreci2"/>
            <w:rPr>
              <w:rFonts w:eastAsiaTheme="minorEastAsia"/>
              <w:noProof/>
              <w:lang w:eastAsia="pl-PL"/>
            </w:rPr>
          </w:pPr>
          <w:hyperlink w:anchor="_Toc530565069" w:history="1">
            <w:r w:rsidR="00F340A3" w:rsidRPr="00C77770">
              <w:rPr>
                <w:rStyle w:val="Hipercze"/>
                <w:rFonts w:cstheme="minorHAnsi"/>
                <w:noProof/>
              </w:rPr>
              <w:t>Ustawa z dnia 26 kwietnia 2007 r. o zarządzaniu kryzysowym (Dz. U. z 2018 r. poz. 1401 i 1560)</w:t>
            </w:r>
            <w:r w:rsidR="00F340A3">
              <w:rPr>
                <w:noProof/>
                <w:webHidden/>
              </w:rPr>
              <w:tab/>
            </w:r>
            <w:r w:rsidR="00F340A3">
              <w:rPr>
                <w:noProof/>
                <w:webHidden/>
              </w:rPr>
              <w:fldChar w:fldCharType="begin"/>
            </w:r>
            <w:r w:rsidR="00F340A3">
              <w:rPr>
                <w:noProof/>
                <w:webHidden/>
              </w:rPr>
              <w:instrText xml:space="preserve"> PAGEREF _Toc530565069 \h </w:instrText>
            </w:r>
            <w:r w:rsidR="00F340A3">
              <w:rPr>
                <w:noProof/>
                <w:webHidden/>
              </w:rPr>
            </w:r>
            <w:r w:rsidR="00F340A3">
              <w:rPr>
                <w:noProof/>
                <w:webHidden/>
              </w:rPr>
              <w:fldChar w:fldCharType="separate"/>
            </w:r>
            <w:r w:rsidR="00F05192">
              <w:rPr>
                <w:noProof/>
                <w:webHidden/>
              </w:rPr>
              <w:t>202</w:t>
            </w:r>
            <w:r w:rsidR="00F340A3">
              <w:rPr>
                <w:noProof/>
                <w:webHidden/>
              </w:rPr>
              <w:fldChar w:fldCharType="end"/>
            </w:r>
          </w:hyperlink>
        </w:p>
        <w:p w14:paraId="153651D7" w14:textId="77777777" w:rsidR="00F340A3" w:rsidRDefault="00DF3C4F">
          <w:pPr>
            <w:pStyle w:val="Spistreci2"/>
            <w:rPr>
              <w:rFonts w:eastAsiaTheme="minorEastAsia"/>
              <w:noProof/>
              <w:lang w:eastAsia="pl-PL"/>
            </w:rPr>
          </w:pPr>
          <w:hyperlink w:anchor="_Toc530565070" w:history="1">
            <w:r w:rsidR="00F340A3" w:rsidRPr="00C77770">
              <w:rPr>
                <w:rStyle w:val="Hipercze"/>
                <w:rFonts w:cstheme="minorHAnsi"/>
                <w:noProof/>
              </w:rPr>
              <w:t>Ustawa z dnia 15 czerwca 2007 r. o licencji doradcy restrukturyzacyjnego (Dz. U. z 2016 r. poz. 883 oraz z 2018 r. poz. 398)</w:t>
            </w:r>
            <w:r w:rsidR="00F340A3">
              <w:rPr>
                <w:noProof/>
                <w:webHidden/>
              </w:rPr>
              <w:tab/>
            </w:r>
            <w:r w:rsidR="00F340A3">
              <w:rPr>
                <w:noProof/>
                <w:webHidden/>
              </w:rPr>
              <w:fldChar w:fldCharType="begin"/>
            </w:r>
            <w:r w:rsidR="00F340A3">
              <w:rPr>
                <w:noProof/>
                <w:webHidden/>
              </w:rPr>
              <w:instrText xml:space="preserve"> PAGEREF _Toc530565070 \h </w:instrText>
            </w:r>
            <w:r w:rsidR="00F340A3">
              <w:rPr>
                <w:noProof/>
                <w:webHidden/>
              </w:rPr>
            </w:r>
            <w:r w:rsidR="00F340A3">
              <w:rPr>
                <w:noProof/>
                <w:webHidden/>
              </w:rPr>
              <w:fldChar w:fldCharType="separate"/>
            </w:r>
            <w:r w:rsidR="00F05192">
              <w:rPr>
                <w:noProof/>
                <w:webHidden/>
              </w:rPr>
              <w:t>203</w:t>
            </w:r>
            <w:r w:rsidR="00F340A3">
              <w:rPr>
                <w:noProof/>
                <w:webHidden/>
              </w:rPr>
              <w:fldChar w:fldCharType="end"/>
            </w:r>
          </w:hyperlink>
        </w:p>
        <w:p w14:paraId="5FEE6744" w14:textId="77777777" w:rsidR="00F340A3" w:rsidRDefault="00DF3C4F">
          <w:pPr>
            <w:pStyle w:val="Spistreci2"/>
            <w:rPr>
              <w:rFonts w:eastAsiaTheme="minorEastAsia"/>
              <w:noProof/>
              <w:lang w:eastAsia="pl-PL"/>
            </w:rPr>
          </w:pPr>
          <w:hyperlink w:anchor="_Toc530565071" w:history="1">
            <w:r w:rsidR="00F340A3" w:rsidRPr="00C77770">
              <w:rPr>
                <w:rStyle w:val="Hipercze"/>
                <w:rFonts w:cstheme="minorHAnsi"/>
                <w:noProof/>
              </w:rPr>
              <w:t>Ustawa z dnia 7 września 2007 r. o pomocy osobom uprawnionym do alimentów (Dz. U. z 2018 r. poz. 554, 650, 1000, 1544 i 1669)</w:t>
            </w:r>
            <w:r w:rsidR="00F340A3">
              <w:rPr>
                <w:noProof/>
                <w:webHidden/>
              </w:rPr>
              <w:tab/>
            </w:r>
            <w:r w:rsidR="00F340A3">
              <w:rPr>
                <w:noProof/>
                <w:webHidden/>
              </w:rPr>
              <w:fldChar w:fldCharType="begin"/>
            </w:r>
            <w:r w:rsidR="00F340A3">
              <w:rPr>
                <w:noProof/>
                <w:webHidden/>
              </w:rPr>
              <w:instrText xml:space="preserve"> PAGEREF _Toc530565071 \h </w:instrText>
            </w:r>
            <w:r w:rsidR="00F340A3">
              <w:rPr>
                <w:noProof/>
                <w:webHidden/>
              </w:rPr>
            </w:r>
            <w:r w:rsidR="00F340A3">
              <w:rPr>
                <w:noProof/>
                <w:webHidden/>
              </w:rPr>
              <w:fldChar w:fldCharType="separate"/>
            </w:r>
            <w:r w:rsidR="00F05192">
              <w:rPr>
                <w:noProof/>
                <w:webHidden/>
              </w:rPr>
              <w:t>204</w:t>
            </w:r>
            <w:r w:rsidR="00F340A3">
              <w:rPr>
                <w:noProof/>
                <w:webHidden/>
              </w:rPr>
              <w:fldChar w:fldCharType="end"/>
            </w:r>
          </w:hyperlink>
        </w:p>
        <w:p w14:paraId="57FC8474" w14:textId="77777777" w:rsidR="00F340A3" w:rsidRDefault="00DF3C4F">
          <w:pPr>
            <w:pStyle w:val="Spistreci2"/>
            <w:rPr>
              <w:rFonts w:eastAsiaTheme="minorEastAsia"/>
              <w:noProof/>
              <w:lang w:eastAsia="pl-PL"/>
            </w:rPr>
          </w:pPr>
          <w:hyperlink w:anchor="_Toc530565072" w:history="1">
            <w:r w:rsidR="00F340A3" w:rsidRPr="00C77770">
              <w:rPr>
                <w:rStyle w:val="Hipercze"/>
                <w:rFonts w:cstheme="minorHAnsi"/>
                <w:noProof/>
              </w:rPr>
              <w:t>Ustawa z dnia 17 października 2008 r. o zmianie imienia i nazwiska (Dz. U. z 2016 r. poz. 10)</w:t>
            </w:r>
            <w:r w:rsidR="00F340A3">
              <w:rPr>
                <w:noProof/>
                <w:webHidden/>
              </w:rPr>
              <w:tab/>
            </w:r>
            <w:r w:rsidR="00F340A3">
              <w:rPr>
                <w:noProof/>
                <w:webHidden/>
              </w:rPr>
              <w:fldChar w:fldCharType="begin"/>
            </w:r>
            <w:r w:rsidR="00F340A3">
              <w:rPr>
                <w:noProof/>
                <w:webHidden/>
              </w:rPr>
              <w:instrText xml:space="preserve"> PAGEREF _Toc530565072 \h </w:instrText>
            </w:r>
            <w:r w:rsidR="00F340A3">
              <w:rPr>
                <w:noProof/>
                <w:webHidden/>
              </w:rPr>
            </w:r>
            <w:r w:rsidR="00F340A3">
              <w:rPr>
                <w:noProof/>
                <w:webHidden/>
              </w:rPr>
              <w:fldChar w:fldCharType="separate"/>
            </w:r>
            <w:r w:rsidR="00F05192">
              <w:rPr>
                <w:noProof/>
                <w:webHidden/>
              </w:rPr>
              <w:t>204</w:t>
            </w:r>
            <w:r w:rsidR="00F340A3">
              <w:rPr>
                <w:noProof/>
                <w:webHidden/>
              </w:rPr>
              <w:fldChar w:fldCharType="end"/>
            </w:r>
          </w:hyperlink>
        </w:p>
        <w:p w14:paraId="0D722D6F" w14:textId="77777777" w:rsidR="00F340A3" w:rsidRDefault="00DF3C4F">
          <w:pPr>
            <w:pStyle w:val="Spistreci2"/>
            <w:rPr>
              <w:rFonts w:eastAsiaTheme="minorEastAsia"/>
              <w:noProof/>
              <w:lang w:eastAsia="pl-PL"/>
            </w:rPr>
          </w:pPr>
          <w:hyperlink w:anchor="_Toc530565073" w:history="1">
            <w:r w:rsidR="00F340A3" w:rsidRPr="00C77770">
              <w:rPr>
                <w:rStyle w:val="Hipercze"/>
                <w:rFonts w:cstheme="minorHAnsi"/>
                <w:noProof/>
              </w:rPr>
              <w:t>Ustawa z dnia 6 listopada 2008 r. o prawach pacjenta i Rzeczniku Praw Pacjenta (Dz. U. z 2017 r. poz. 1318 i 1524 oraz z 2018 r. poz. 1115 i 1515)</w:t>
            </w:r>
            <w:r w:rsidR="00F340A3">
              <w:rPr>
                <w:noProof/>
                <w:webHidden/>
              </w:rPr>
              <w:tab/>
            </w:r>
            <w:r w:rsidR="00F340A3">
              <w:rPr>
                <w:noProof/>
                <w:webHidden/>
              </w:rPr>
              <w:fldChar w:fldCharType="begin"/>
            </w:r>
            <w:r w:rsidR="00F340A3">
              <w:rPr>
                <w:noProof/>
                <w:webHidden/>
              </w:rPr>
              <w:instrText xml:space="preserve"> PAGEREF _Toc530565073 \h </w:instrText>
            </w:r>
            <w:r w:rsidR="00F340A3">
              <w:rPr>
                <w:noProof/>
                <w:webHidden/>
              </w:rPr>
            </w:r>
            <w:r w:rsidR="00F340A3">
              <w:rPr>
                <w:noProof/>
                <w:webHidden/>
              </w:rPr>
              <w:fldChar w:fldCharType="separate"/>
            </w:r>
            <w:r w:rsidR="00F05192">
              <w:rPr>
                <w:noProof/>
                <w:webHidden/>
              </w:rPr>
              <w:t>204</w:t>
            </w:r>
            <w:r w:rsidR="00F340A3">
              <w:rPr>
                <w:noProof/>
                <w:webHidden/>
              </w:rPr>
              <w:fldChar w:fldCharType="end"/>
            </w:r>
          </w:hyperlink>
        </w:p>
        <w:p w14:paraId="7045C640" w14:textId="77777777" w:rsidR="00F340A3" w:rsidRDefault="00DF3C4F">
          <w:pPr>
            <w:pStyle w:val="Spistreci2"/>
            <w:rPr>
              <w:rFonts w:eastAsiaTheme="minorEastAsia"/>
              <w:noProof/>
              <w:lang w:eastAsia="pl-PL"/>
            </w:rPr>
          </w:pPr>
          <w:hyperlink w:anchor="_Toc530565074" w:history="1">
            <w:r w:rsidR="00F340A3" w:rsidRPr="00C77770">
              <w:rPr>
                <w:rStyle w:val="Hipercze"/>
                <w:rFonts w:cstheme="minorHAnsi"/>
                <w:noProof/>
              </w:rPr>
              <w:t>Ustawa z dnia 21 listopada 2008 r. o służbie cywilnej (Dz. U. z 2018 r. poz. 1559)</w:t>
            </w:r>
            <w:r w:rsidR="00F340A3">
              <w:rPr>
                <w:noProof/>
                <w:webHidden/>
              </w:rPr>
              <w:tab/>
            </w:r>
            <w:r w:rsidR="00F340A3">
              <w:rPr>
                <w:noProof/>
                <w:webHidden/>
              </w:rPr>
              <w:fldChar w:fldCharType="begin"/>
            </w:r>
            <w:r w:rsidR="00F340A3">
              <w:rPr>
                <w:noProof/>
                <w:webHidden/>
              </w:rPr>
              <w:instrText xml:space="preserve"> PAGEREF _Toc530565074 \h </w:instrText>
            </w:r>
            <w:r w:rsidR="00F340A3">
              <w:rPr>
                <w:noProof/>
                <w:webHidden/>
              </w:rPr>
            </w:r>
            <w:r w:rsidR="00F340A3">
              <w:rPr>
                <w:noProof/>
                <w:webHidden/>
              </w:rPr>
              <w:fldChar w:fldCharType="separate"/>
            </w:r>
            <w:r w:rsidR="00F05192">
              <w:rPr>
                <w:noProof/>
                <w:webHidden/>
              </w:rPr>
              <w:t>207</w:t>
            </w:r>
            <w:r w:rsidR="00F340A3">
              <w:rPr>
                <w:noProof/>
                <w:webHidden/>
              </w:rPr>
              <w:fldChar w:fldCharType="end"/>
            </w:r>
          </w:hyperlink>
        </w:p>
        <w:p w14:paraId="3FD377AA" w14:textId="77777777" w:rsidR="00F340A3" w:rsidRDefault="00DF3C4F">
          <w:pPr>
            <w:pStyle w:val="Spistreci2"/>
            <w:rPr>
              <w:rFonts w:eastAsiaTheme="minorEastAsia"/>
              <w:noProof/>
              <w:lang w:eastAsia="pl-PL"/>
            </w:rPr>
          </w:pPr>
          <w:hyperlink w:anchor="_Toc530565075" w:history="1">
            <w:r w:rsidR="00F340A3" w:rsidRPr="00C77770">
              <w:rPr>
                <w:rStyle w:val="Hipercze"/>
                <w:rFonts w:cstheme="minorHAnsi"/>
                <w:noProof/>
              </w:rPr>
              <w:t>Ustawa z dnia 23 stycznia 2009 r. o Krajowej Szkole Sądownictwa i Prokuratury (Dz. U. z 2018 r. poz. 624, 1045, 1443 i 1669)</w:t>
            </w:r>
            <w:r w:rsidR="00F340A3">
              <w:rPr>
                <w:noProof/>
                <w:webHidden/>
              </w:rPr>
              <w:tab/>
            </w:r>
            <w:r w:rsidR="00F340A3">
              <w:rPr>
                <w:noProof/>
                <w:webHidden/>
              </w:rPr>
              <w:fldChar w:fldCharType="begin"/>
            </w:r>
            <w:r w:rsidR="00F340A3">
              <w:rPr>
                <w:noProof/>
                <w:webHidden/>
              </w:rPr>
              <w:instrText xml:space="preserve"> PAGEREF _Toc530565075 \h </w:instrText>
            </w:r>
            <w:r w:rsidR="00F340A3">
              <w:rPr>
                <w:noProof/>
                <w:webHidden/>
              </w:rPr>
            </w:r>
            <w:r w:rsidR="00F340A3">
              <w:rPr>
                <w:noProof/>
                <w:webHidden/>
              </w:rPr>
              <w:fldChar w:fldCharType="separate"/>
            </w:r>
            <w:r w:rsidR="00F05192">
              <w:rPr>
                <w:noProof/>
                <w:webHidden/>
              </w:rPr>
              <w:t>207</w:t>
            </w:r>
            <w:r w:rsidR="00F340A3">
              <w:rPr>
                <w:noProof/>
                <w:webHidden/>
              </w:rPr>
              <w:fldChar w:fldCharType="end"/>
            </w:r>
          </w:hyperlink>
        </w:p>
        <w:p w14:paraId="2EA29CAF" w14:textId="77777777" w:rsidR="00F340A3" w:rsidRDefault="00DF3C4F">
          <w:pPr>
            <w:pStyle w:val="Spistreci2"/>
            <w:rPr>
              <w:rFonts w:eastAsiaTheme="minorEastAsia"/>
              <w:noProof/>
              <w:lang w:eastAsia="pl-PL"/>
            </w:rPr>
          </w:pPr>
          <w:hyperlink w:anchor="_Toc530565076" w:history="1">
            <w:r w:rsidR="00F340A3" w:rsidRPr="00C77770">
              <w:rPr>
                <w:rStyle w:val="Hipercze"/>
                <w:rFonts w:cstheme="minorHAnsi"/>
                <w:noProof/>
              </w:rPr>
              <w:t>Ustawa z dnia 2 kwietnia 2009 r. o obywatelstwie polskim (Dz. U. z 2018 r. poz. 1829)</w:t>
            </w:r>
            <w:r w:rsidR="00F340A3">
              <w:rPr>
                <w:noProof/>
                <w:webHidden/>
              </w:rPr>
              <w:tab/>
            </w:r>
            <w:r w:rsidR="00F340A3">
              <w:rPr>
                <w:noProof/>
                <w:webHidden/>
              </w:rPr>
              <w:fldChar w:fldCharType="begin"/>
            </w:r>
            <w:r w:rsidR="00F340A3">
              <w:rPr>
                <w:noProof/>
                <w:webHidden/>
              </w:rPr>
              <w:instrText xml:space="preserve"> PAGEREF _Toc530565076 \h </w:instrText>
            </w:r>
            <w:r w:rsidR="00F340A3">
              <w:rPr>
                <w:noProof/>
                <w:webHidden/>
              </w:rPr>
            </w:r>
            <w:r w:rsidR="00F340A3">
              <w:rPr>
                <w:noProof/>
                <w:webHidden/>
              </w:rPr>
              <w:fldChar w:fldCharType="separate"/>
            </w:r>
            <w:r w:rsidR="00F05192">
              <w:rPr>
                <w:noProof/>
                <w:webHidden/>
              </w:rPr>
              <w:t>207</w:t>
            </w:r>
            <w:r w:rsidR="00F340A3">
              <w:rPr>
                <w:noProof/>
                <w:webHidden/>
              </w:rPr>
              <w:fldChar w:fldCharType="end"/>
            </w:r>
          </w:hyperlink>
        </w:p>
        <w:p w14:paraId="2F61BCF1" w14:textId="77777777" w:rsidR="00F340A3" w:rsidRDefault="00DF3C4F">
          <w:pPr>
            <w:pStyle w:val="Spistreci2"/>
            <w:rPr>
              <w:rFonts w:eastAsiaTheme="minorEastAsia"/>
              <w:noProof/>
              <w:lang w:eastAsia="pl-PL"/>
            </w:rPr>
          </w:pPr>
          <w:hyperlink w:anchor="_Toc530565077" w:history="1">
            <w:r w:rsidR="00F340A3" w:rsidRPr="00C77770">
              <w:rPr>
                <w:rStyle w:val="Hipercze"/>
                <w:rFonts w:cstheme="minorHAnsi"/>
                <w:noProof/>
              </w:rPr>
              <w:t>Ustawa z dnia 7 maja 2009 r. o zadośćuczynieniu rodzinom ofiar zbiorowych wystąpień wolnościowych w latach 1956–1989 (Dz. U. poz. 741, z 2011 r. poz. 622 oraz z 2014 r. poz. 496)</w:t>
            </w:r>
            <w:r w:rsidR="00F340A3">
              <w:rPr>
                <w:noProof/>
                <w:webHidden/>
              </w:rPr>
              <w:tab/>
            </w:r>
            <w:r w:rsidR="00F340A3">
              <w:rPr>
                <w:noProof/>
                <w:webHidden/>
              </w:rPr>
              <w:fldChar w:fldCharType="begin"/>
            </w:r>
            <w:r w:rsidR="00F340A3">
              <w:rPr>
                <w:noProof/>
                <w:webHidden/>
              </w:rPr>
              <w:instrText xml:space="preserve"> PAGEREF _Toc530565077 \h </w:instrText>
            </w:r>
            <w:r w:rsidR="00F340A3">
              <w:rPr>
                <w:noProof/>
                <w:webHidden/>
              </w:rPr>
            </w:r>
            <w:r w:rsidR="00F340A3">
              <w:rPr>
                <w:noProof/>
                <w:webHidden/>
              </w:rPr>
              <w:fldChar w:fldCharType="separate"/>
            </w:r>
            <w:r w:rsidR="00F05192">
              <w:rPr>
                <w:noProof/>
                <w:webHidden/>
              </w:rPr>
              <w:t>209</w:t>
            </w:r>
            <w:r w:rsidR="00F340A3">
              <w:rPr>
                <w:noProof/>
                <w:webHidden/>
              </w:rPr>
              <w:fldChar w:fldCharType="end"/>
            </w:r>
          </w:hyperlink>
        </w:p>
        <w:p w14:paraId="539A3B72" w14:textId="77777777" w:rsidR="00F340A3" w:rsidRDefault="00DF3C4F">
          <w:pPr>
            <w:pStyle w:val="Spistreci2"/>
            <w:rPr>
              <w:rFonts w:eastAsiaTheme="minorEastAsia"/>
              <w:noProof/>
              <w:lang w:eastAsia="pl-PL"/>
            </w:rPr>
          </w:pPr>
          <w:hyperlink w:anchor="_Toc530565078" w:history="1">
            <w:r w:rsidR="00F340A3" w:rsidRPr="00C77770">
              <w:rPr>
                <w:rStyle w:val="Hipercze"/>
                <w:rFonts w:cstheme="minorHAnsi"/>
                <w:noProof/>
              </w:rPr>
              <w:t>Ustawa z dnia 25 czerwca 2009 r. o rolnictwie ekologicznym (Dz. U. z 2017 r. poz. 1054 oraz z 2018 r. poz. 1616 i 1633)</w:t>
            </w:r>
            <w:r w:rsidR="00F340A3">
              <w:rPr>
                <w:noProof/>
                <w:webHidden/>
              </w:rPr>
              <w:tab/>
            </w:r>
            <w:r w:rsidR="00F340A3">
              <w:rPr>
                <w:noProof/>
                <w:webHidden/>
              </w:rPr>
              <w:fldChar w:fldCharType="begin"/>
            </w:r>
            <w:r w:rsidR="00F340A3">
              <w:rPr>
                <w:noProof/>
                <w:webHidden/>
              </w:rPr>
              <w:instrText xml:space="preserve"> PAGEREF _Toc530565078 \h </w:instrText>
            </w:r>
            <w:r w:rsidR="00F340A3">
              <w:rPr>
                <w:noProof/>
                <w:webHidden/>
              </w:rPr>
            </w:r>
            <w:r w:rsidR="00F340A3">
              <w:rPr>
                <w:noProof/>
                <w:webHidden/>
              </w:rPr>
              <w:fldChar w:fldCharType="separate"/>
            </w:r>
            <w:r w:rsidR="00F05192">
              <w:rPr>
                <w:noProof/>
                <w:webHidden/>
              </w:rPr>
              <w:t>209</w:t>
            </w:r>
            <w:r w:rsidR="00F340A3">
              <w:rPr>
                <w:noProof/>
                <w:webHidden/>
              </w:rPr>
              <w:fldChar w:fldCharType="end"/>
            </w:r>
          </w:hyperlink>
        </w:p>
        <w:p w14:paraId="5EE772B5" w14:textId="77777777" w:rsidR="00F340A3" w:rsidRDefault="00DF3C4F">
          <w:pPr>
            <w:pStyle w:val="Spistreci2"/>
            <w:rPr>
              <w:rFonts w:eastAsiaTheme="minorEastAsia"/>
              <w:noProof/>
              <w:lang w:eastAsia="pl-PL"/>
            </w:rPr>
          </w:pPr>
          <w:hyperlink w:anchor="_Toc530565079" w:history="1">
            <w:r w:rsidR="00F340A3" w:rsidRPr="00C77770">
              <w:rPr>
                <w:rStyle w:val="Hipercze"/>
                <w:rFonts w:cstheme="minorHAnsi"/>
                <w:noProof/>
              </w:rPr>
              <w:t>Ustawa z dnia 17 lipca 2009 r. o systemie zarządzania emisjami gazów cieplarnianych i innych substancji (Dz. U. z 2018 r. poz. 1271 i 1669)</w:t>
            </w:r>
            <w:r w:rsidR="00F340A3">
              <w:rPr>
                <w:noProof/>
                <w:webHidden/>
              </w:rPr>
              <w:tab/>
            </w:r>
            <w:r w:rsidR="00F340A3">
              <w:rPr>
                <w:noProof/>
                <w:webHidden/>
              </w:rPr>
              <w:fldChar w:fldCharType="begin"/>
            </w:r>
            <w:r w:rsidR="00F340A3">
              <w:rPr>
                <w:noProof/>
                <w:webHidden/>
              </w:rPr>
              <w:instrText xml:space="preserve"> PAGEREF _Toc530565079 \h </w:instrText>
            </w:r>
            <w:r w:rsidR="00F340A3">
              <w:rPr>
                <w:noProof/>
                <w:webHidden/>
              </w:rPr>
            </w:r>
            <w:r w:rsidR="00F340A3">
              <w:rPr>
                <w:noProof/>
                <w:webHidden/>
              </w:rPr>
              <w:fldChar w:fldCharType="separate"/>
            </w:r>
            <w:r w:rsidR="00F05192">
              <w:rPr>
                <w:noProof/>
                <w:webHidden/>
              </w:rPr>
              <w:t>209</w:t>
            </w:r>
            <w:r w:rsidR="00F340A3">
              <w:rPr>
                <w:noProof/>
                <w:webHidden/>
              </w:rPr>
              <w:fldChar w:fldCharType="end"/>
            </w:r>
          </w:hyperlink>
        </w:p>
        <w:p w14:paraId="702871FA" w14:textId="77777777" w:rsidR="00F340A3" w:rsidRDefault="00DF3C4F">
          <w:pPr>
            <w:pStyle w:val="Spistreci2"/>
            <w:rPr>
              <w:rFonts w:eastAsiaTheme="minorEastAsia"/>
              <w:noProof/>
              <w:lang w:eastAsia="pl-PL"/>
            </w:rPr>
          </w:pPr>
          <w:hyperlink w:anchor="_Toc530565080" w:history="1">
            <w:r w:rsidR="00F340A3" w:rsidRPr="00C77770">
              <w:rPr>
                <w:rStyle w:val="Hipercze"/>
                <w:rFonts w:cstheme="minorHAnsi"/>
                <w:noProof/>
              </w:rPr>
              <w:t>Ustawa z dnia 5 listopada 2009 r. o spółdzielczych kasach oszczędnościowo-kredytowych (Dz. U. z 2017 r. poz. 2065, z późn. zm.)</w:t>
            </w:r>
            <w:r w:rsidR="00F340A3">
              <w:rPr>
                <w:noProof/>
                <w:webHidden/>
              </w:rPr>
              <w:tab/>
            </w:r>
            <w:r w:rsidR="00F340A3">
              <w:rPr>
                <w:noProof/>
                <w:webHidden/>
              </w:rPr>
              <w:fldChar w:fldCharType="begin"/>
            </w:r>
            <w:r w:rsidR="00F340A3">
              <w:rPr>
                <w:noProof/>
                <w:webHidden/>
              </w:rPr>
              <w:instrText xml:space="preserve"> PAGEREF _Toc530565080 \h </w:instrText>
            </w:r>
            <w:r w:rsidR="00F340A3">
              <w:rPr>
                <w:noProof/>
                <w:webHidden/>
              </w:rPr>
            </w:r>
            <w:r w:rsidR="00F340A3">
              <w:rPr>
                <w:noProof/>
                <w:webHidden/>
              </w:rPr>
              <w:fldChar w:fldCharType="separate"/>
            </w:r>
            <w:r w:rsidR="00F05192">
              <w:rPr>
                <w:noProof/>
                <w:webHidden/>
              </w:rPr>
              <w:t>211</w:t>
            </w:r>
            <w:r w:rsidR="00F340A3">
              <w:rPr>
                <w:noProof/>
                <w:webHidden/>
              </w:rPr>
              <w:fldChar w:fldCharType="end"/>
            </w:r>
          </w:hyperlink>
        </w:p>
        <w:p w14:paraId="5AA9770F" w14:textId="77777777" w:rsidR="00F340A3" w:rsidRDefault="00DF3C4F">
          <w:pPr>
            <w:pStyle w:val="Spistreci2"/>
            <w:rPr>
              <w:rFonts w:eastAsiaTheme="minorEastAsia"/>
              <w:noProof/>
              <w:lang w:eastAsia="pl-PL"/>
            </w:rPr>
          </w:pPr>
          <w:hyperlink w:anchor="_Toc530565081" w:history="1">
            <w:r w:rsidR="00F340A3" w:rsidRPr="00C77770">
              <w:rPr>
                <w:rStyle w:val="Hipercze"/>
                <w:rFonts w:cstheme="minorHAnsi"/>
                <w:noProof/>
              </w:rPr>
              <w:t>Ustawa z dnia 4 marca 2010 r. o infrastrukturze informacji przestrzennej (Dz. U. z 2018 r. poz. 1472)</w:t>
            </w:r>
            <w:r w:rsidR="00F340A3">
              <w:rPr>
                <w:noProof/>
                <w:webHidden/>
              </w:rPr>
              <w:tab/>
            </w:r>
            <w:r w:rsidR="00F340A3">
              <w:rPr>
                <w:noProof/>
                <w:webHidden/>
              </w:rPr>
              <w:fldChar w:fldCharType="begin"/>
            </w:r>
            <w:r w:rsidR="00F340A3">
              <w:rPr>
                <w:noProof/>
                <w:webHidden/>
              </w:rPr>
              <w:instrText xml:space="preserve"> PAGEREF _Toc530565081 \h </w:instrText>
            </w:r>
            <w:r w:rsidR="00F340A3">
              <w:rPr>
                <w:noProof/>
                <w:webHidden/>
              </w:rPr>
            </w:r>
            <w:r w:rsidR="00F340A3">
              <w:rPr>
                <w:noProof/>
                <w:webHidden/>
              </w:rPr>
              <w:fldChar w:fldCharType="separate"/>
            </w:r>
            <w:r w:rsidR="00F05192">
              <w:rPr>
                <w:noProof/>
                <w:webHidden/>
              </w:rPr>
              <w:t>211</w:t>
            </w:r>
            <w:r w:rsidR="00F340A3">
              <w:rPr>
                <w:noProof/>
                <w:webHidden/>
              </w:rPr>
              <w:fldChar w:fldCharType="end"/>
            </w:r>
          </w:hyperlink>
        </w:p>
        <w:p w14:paraId="32496260" w14:textId="77777777" w:rsidR="00F340A3" w:rsidRDefault="00DF3C4F">
          <w:pPr>
            <w:pStyle w:val="Spistreci2"/>
            <w:rPr>
              <w:rFonts w:eastAsiaTheme="minorEastAsia"/>
              <w:noProof/>
              <w:lang w:eastAsia="pl-PL"/>
            </w:rPr>
          </w:pPr>
          <w:hyperlink w:anchor="_Toc530565082" w:history="1">
            <w:r w:rsidR="00F340A3" w:rsidRPr="00C77770">
              <w:rPr>
                <w:rStyle w:val="Hipercze"/>
                <w:rFonts w:cstheme="minorHAnsi"/>
                <w:noProof/>
              </w:rPr>
              <w:t>Ustawa z dnia 9 kwietnia 2010 r. o udostępnianiu informacji gospodarczych i wymianie danych gospodarczych (Dz. U. z 2018 r. poz. 470, 650, 723, 730, 771, 1000 i 1104)</w:t>
            </w:r>
            <w:r w:rsidR="00F340A3">
              <w:rPr>
                <w:noProof/>
                <w:webHidden/>
              </w:rPr>
              <w:tab/>
            </w:r>
            <w:r w:rsidR="00F340A3">
              <w:rPr>
                <w:noProof/>
                <w:webHidden/>
              </w:rPr>
              <w:fldChar w:fldCharType="begin"/>
            </w:r>
            <w:r w:rsidR="00F340A3">
              <w:rPr>
                <w:noProof/>
                <w:webHidden/>
              </w:rPr>
              <w:instrText xml:space="preserve"> PAGEREF _Toc530565082 \h </w:instrText>
            </w:r>
            <w:r w:rsidR="00F340A3">
              <w:rPr>
                <w:noProof/>
                <w:webHidden/>
              </w:rPr>
            </w:r>
            <w:r w:rsidR="00F340A3">
              <w:rPr>
                <w:noProof/>
                <w:webHidden/>
              </w:rPr>
              <w:fldChar w:fldCharType="separate"/>
            </w:r>
            <w:r w:rsidR="00F05192">
              <w:rPr>
                <w:noProof/>
                <w:webHidden/>
              </w:rPr>
              <w:t>212</w:t>
            </w:r>
            <w:r w:rsidR="00F340A3">
              <w:rPr>
                <w:noProof/>
                <w:webHidden/>
              </w:rPr>
              <w:fldChar w:fldCharType="end"/>
            </w:r>
          </w:hyperlink>
        </w:p>
        <w:p w14:paraId="444FD43E" w14:textId="77777777" w:rsidR="00F340A3" w:rsidRDefault="00DF3C4F">
          <w:pPr>
            <w:pStyle w:val="Spistreci2"/>
            <w:rPr>
              <w:rFonts w:eastAsiaTheme="minorEastAsia"/>
              <w:noProof/>
              <w:lang w:eastAsia="pl-PL"/>
            </w:rPr>
          </w:pPr>
          <w:hyperlink w:anchor="_Toc530565083" w:history="1">
            <w:r w:rsidR="00F340A3" w:rsidRPr="00C77770">
              <w:rPr>
                <w:rStyle w:val="Hipercze"/>
                <w:rFonts w:cstheme="minorHAnsi"/>
                <w:noProof/>
              </w:rPr>
              <w:t>Ustawa z dnia 6 sierpnia 2010 r. o dowodach osobistych (Dz. U. z 2017 r. poz. 1464 oraz z 2018 r. poz. 730)</w:t>
            </w:r>
            <w:r w:rsidR="00F340A3">
              <w:rPr>
                <w:noProof/>
                <w:webHidden/>
              </w:rPr>
              <w:tab/>
            </w:r>
            <w:r w:rsidR="00F340A3">
              <w:rPr>
                <w:noProof/>
                <w:webHidden/>
              </w:rPr>
              <w:fldChar w:fldCharType="begin"/>
            </w:r>
            <w:r w:rsidR="00F340A3">
              <w:rPr>
                <w:noProof/>
                <w:webHidden/>
              </w:rPr>
              <w:instrText xml:space="preserve"> PAGEREF _Toc530565083 \h </w:instrText>
            </w:r>
            <w:r w:rsidR="00F340A3">
              <w:rPr>
                <w:noProof/>
                <w:webHidden/>
              </w:rPr>
            </w:r>
            <w:r w:rsidR="00F340A3">
              <w:rPr>
                <w:noProof/>
                <w:webHidden/>
              </w:rPr>
              <w:fldChar w:fldCharType="separate"/>
            </w:r>
            <w:r w:rsidR="00F05192">
              <w:rPr>
                <w:noProof/>
                <w:webHidden/>
              </w:rPr>
              <w:t>214</w:t>
            </w:r>
            <w:r w:rsidR="00F340A3">
              <w:rPr>
                <w:noProof/>
                <w:webHidden/>
              </w:rPr>
              <w:fldChar w:fldCharType="end"/>
            </w:r>
          </w:hyperlink>
        </w:p>
        <w:p w14:paraId="458E206C" w14:textId="77777777" w:rsidR="00F340A3" w:rsidRDefault="00DF3C4F">
          <w:pPr>
            <w:pStyle w:val="Spistreci2"/>
            <w:rPr>
              <w:rFonts w:eastAsiaTheme="minorEastAsia"/>
              <w:noProof/>
              <w:lang w:eastAsia="pl-PL"/>
            </w:rPr>
          </w:pPr>
          <w:hyperlink w:anchor="_Toc530565084" w:history="1">
            <w:r w:rsidR="00F340A3" w:rsidRPr="00C77770">
              <w:rPr>
                <w:rStyle w:val="Hipercze"/>
                <w:rFonts w:cstheme="minorHAnsi"/>
                <w:noProof/>
              </w:rPr>
              <w:t>Ustawa z dnia 24 września 2010 r. o ewidencji ludności (Dz. U. z 2018 r. poz. 1382 i 1544)</w:t>
            </w:r>
            <w:r w:rsidR="00F340A3">
              <w:rPr>
                <w:noProof/>
                <w:webHidden/>
              </w:rPr>
              <w:tab/>
            </w:r>
            <w:r w:rsidR="00F340A3">
              <w:rPr>
                <w:noProof/>
                <w:webHidden/>
              </w:rPr>
              <w:fldChar w:fldCharType="begin"/>
            </w:r>
            <w:r w:rsidR="00F340A3">
              <w:rPr>
                <w:noProof/>
                <w:webHidden/>
              </w:rPr>
              <w:instrText xml:space="preserve"> PAGEREF _Toc530565084 \h </w:instrText>
            </w:r>
            <w:r w:rsidR="00F340A3">
              <w:rPr>
                <w:noProof/>
                <w:webHidden/>
              </w:rPr>
            </w:r>
            <w:r w:rsidR="00F340A3">
              <w:rPr>
                <w:noProof/>
                <w:webHidden/>
              </w:rPr>
              <w:fldChar w:fldCharType="separate"/>
            </w:r>
            <w:r w:rsidR="00F05192">
              <w:rPr>
                <w:noProof/>
                <w:webHidden/>
              </w:rPr>
              <w:t>215</w:t>
            </w:r>
            <w:r w:rsidR="00F340A3">
              <w:rPr>
                <w:noProof/>
                <w:webHidden/>
              </w:rPr>
              <w:fldChar w:fldCharType="end"/>
            </w:r>
          </w:hyperlink>
        </w:p>
        <w:p w14:paraId="787E972A" w14:textId="77777777" w:rsidR="00F340A3" w:rsidRDefault="00DF3C4F">
          <w:pPr>
            <w:pStyle w:val="Spistreci2"/>
            <w:rPr>
              <w:rFonts w:eastAsiaTheme="minorEastAsia"/>
              <w:noProof/>
              <w:lang w:eastAsia="pl-PL"/>
            </w:rPr>
          </w:pPr>
          <w:hyperlink w:anchor="_Toc530565085" w:history="1">
            <w:r w:rsidR="00F340A3" w:rsidRPr="00C77770">
              <w:rPr>
                <w:rStyle w:val="Hipercze"/>
                <w:rFonts w:cstheme="minorHAnsi"/>
                <w:noProof/>
              </w:rPr>
              <w:t>Ustawa z dnia 16 grudnia 2010 r. o publicznym transporcie zbiorowym (Dz. U. z 2018 r. poz. 2016)</w:t>
            </w:r>
            <w:r w:rsidR="00F340A3">
              <w:rPr>
                <w:noProof/>
                <w:webHidden/>
              </w:rPr>
              <w:tab/>
            </w:r>
            <w:r w:rsidR="00F340A3">
              <w:rPr>
                <w:noProof/>
                <w:webHidden/>
              </w:rPr>
              <w:fldChar w:fldCharType="begin"/>
            </w:r>
            <w:r w:rsidR="00F340A3">
              <w:rPr>
                <w:noProof/>
                <w:webHidden/>
              </w:rPr>
              <w:instrText xml:space="preserve"> PAGEREF _Toc530565085 \h </w:instrText>
            </w:r>
            <w:r w:rsidR="00F340A3">
              <w:rPr>
                <w:noProof/>
                <w:webHidden/>
              </w:rPr>
            </w:r>
            <w:r w:rsidR="00F340A3">
              <w:rPr>
                <w:noProof/>
                <w:webHidden/>
              </w:rPr>
              <w:fldChar w:fldCharType="separate"/>
            </w:r>
            <w:r w:rsidR="00F05192">
              <w:rPr>
                <w:noProof/>
                <w:webHidden/>
              </w:rPr>
              <w:t>215</w:t>
            </w:r>
            <w:r w:rsidR="00F340A3">
              <w:rPr>
                <w:noProof/>
                <w:webHidden/>
              </w:rPr>
              <w:fldChar w:fldCharType="end"/>
            </w:r>
          </w:hyperlink>
        </w:p>
        <w:p w14:paraId="2B7A0E7C" w14:textId="77777777" w:rsidR="00F340A3" w:rsidRDefault="00DF3C4F">
          <w:pPr>
            <w:pStyle w:val="Spistreci2"/>
            <w:rPr>
              <w:rFonts w:eastAsiaTheme="minorEastAsia"/>
              <w:noProof/>
              <w:lang w:eastAsia="pl-PL"/>
            </w:rPr>
          </w:pPr>
          <w:hyperlink w:anchor="_Toc530565086" w:history="1">
            <w:r w:rsidR="00F340A3" w:rsidRPr="00C77770">
              <w:rPr>
                <w:rStyle w:val="Hipercze"/>
                <w:rFonts w:cstheme="minorHAnsi"/>
                <w:noProof/>
              </w:rPr>
              <w:t>Ustawa z dnia 4 lutego 2011 r. o opiece nad dziećmi w wieku do lat 3  (Dz. U. z 2018 r. poz. 603,650, 1544 i 1629)</w:t>
            </w:r>
            <w:r w:rsidR="00F340A3">
              <w:rPr>
                <w:noProof/>
                <w:webHidden/>
              </w:rPr>
              <w:tab/>
            </w:r>
            <w:r w:rsidR="00F340A3">
              <w:rPr>
                <w:noProof/>
                <w:webHidden/>
              </w:rPr>
              <w:fldChar w:fldCharType="begin"/>
            </w:r>
            <w:r w:rsidR="00F340A3">
              <w:rPr>
                <w:noProof/>
                <w:webHidden/>
              </w:rPr>
              <w:instrText xml:space="preserve"> PAGEREF _Toc530565086 \h </w:instrText>
            </w:r>
            <w:r w:rsidR="00F340A3">
              <w:rPr>
                <w:noProof/>
                <w:webHidden/>
              </w:rPr>
            </w:r>
            <w:r w:rsidR="00F340A3">
              <w:rPr>
                <w:noProof/>
                <w:webHidden/>
              </w:rPr>
              <w:fldChar w:fldCharType="separate"/>
            </w:r>
            <w:r w:rsidR="00F05192">
              <w:rPr>
                <w:noProof/>
                <w:webHidden/>
              </w:rPr>
              <w:t>216</w:t>
            </w:r>
            <w:r w:rsidR="00F340A3">
              <w:rPr>
                <w:noProof/>
                <w:webHidden/>
              </w:rPr>
              <w:fldChar w:fldCharType="end"/>
            </w:r>
          </w:hyperlink>
        </w:p>
        <w:p w14:paraId="048A7801" w14:textId="77777777" w:rsidR="00F340A3" w:rsidRDefault="00DF3C4F">
          <w:pPr>
            <w:pStyle w:val="Spistreci2"/>
            <w:rPr>
              <w:rFonts w:eastAsiaTheme="minorEastAsia"/>
              <w:noProof/>
              <w:lang w:eastAsia="pl-PL"/>
            </w:rPr>
          </w:pPr>
          <w:hyperlink w:anchor="_Toc530565087" w:history="1">
            <w:r w:rsidR="00F340A3" w:rsidRPr="00C77770">
              <w:rPr>
                <w:rStyle w:val="Hipercze"/>
                <w:rFonts w:cstheme="minorHAnsi"/>
                <w:noProof/>
              </w:rPr>
              <w:t>Ustawa z dnia 15 kwietnia 2011 r. o działalności leczniczej (Dz. U. z 2018 r. poz. 160, 138, 650, 1128, 1375, 1532, 1629, 1669 i 1693)</w:t>
            </w:r>
            <w:r w:rsidR="00F340A3">
              <w:rPr>
                <w:noProof/>
                <w:webHidden/>
              </w:rPr>
              <w:tab/>
            </w:r>
            <w:r w:rsidR="00F340A3">
              <w:rPr>
                <w:noProof/>
                <w:webHidden/>
              </w:rPr>
              <w:fldChar w:fldCharType="begin"/>
            </w:r>
            <w:r w:rsidR="00F340A3">
              <w:rPr>
                <w:noProof/>
                <w:webHidden/>
              </w:rPr>
              <w:instrText xml:space="preserve"> PAGEREF _Toc530565087 \h </w:instrText>
            </w:r>
            <w:r w:rsidR="00F340A3">
              <w:rPr>
                <w:noProof/>
                <w:webHidden/>
              </w:rPr>
            </w:r>
            <w:r w:rsidR="00F340A3">
              <w:rPr>
                <w:noProof/>
                <w:webHidden/>
              </w:rPr>
              <w:fldChar w:fldCharType="separate"/>
            </w:r>
            <w:r w:rsidR="00F05192">
              <w:rPr>
                <w:noProof/>
                <w:webHidden/>
              </w:rPr>
              <w:t>216</w:t>
            </w:r>
            <w:r w:rsidR="00F340A3">
              <w:rPr>
                <w:noProof/>
                <w:webHidden/>
              </w:rPr>
              <w:fldChar w:fldCharType="end"/>
            </w:r>
          </w:hyperlink>
        </w:p>
        <w:p w14:paraId="4F2A6061" w14:textId="77777777" w:rsidR="00F340A3" w:rsidRDefault="00DF3C4F">
          <w:pPr>
            <w:pStyle w:val="Spistreci2"/>
            <w:rPr>
              <w:rFonts w:eastAsiaTheme="minorEastAsia"/>
              <w:noProof/>
              <w:lang w:eastAsia="pl-PL"/>
            </w:rPr>
          </w:pPr>
          <w:hyperlink w:anchor="_Toc530565088" w:history="1">
            <w:r w:rsidR="00F340A3" w:rsidRPr="00C77770">
              <w:rPr>
                <w:rStyle w:val="Hipercze"/>
                <w:rFonts w:cstheme="minorHAnsi"/>
                <w:noProof/>
              </w:rPr>
              <w:t>Ustawa z dnia 28 kwietnia 2011 r. o systemie informacji w ochronie zdrowia (Dz. U. z 2017 r. poz. 1845 oraz z 2018 r. poz. 697, 1515 i 1544)</w:t>
            </w:r>
            <w:r w:rsidR="00F340A3">
              <w:rPr>
                <w:noProof/>
                <w:webHidden/>
              </w:rPr>
              <w:tab/>
            </w:r>
            <w:r w:rsidR="00F340A3">
              <w:rPr>
                <w:noProof/>
                <w:webHidden/>
              </w:rPr>
              <w:fldChar w:fldCharType="begin"/>
            </w:r>
            <w:r w:rsidR="00F340A3">
              <w:rPr>
                <w:noProof/>
                <w:webHidden/>
              </w:rPr>
              <w:instrText xml:space="preserve"> PAGEREF _Toc530565088 \h </w:instrText>
            </w:r>
            <w:r w:rsidR="00F340A3">
              <w:rPr>
                <w:noProof/>
                <w:webHidden/>
              </w:rPr>
            </w:r>
            <w:r w:rsidR="00F340A3">
              <w:rPr>
                <w:noProof/>
                <w:webHidden/>
              </w:rPr>
              <w:fldChar w:fldCharType="separate"/>
            </w:r>
            <w:r w:rsidR="00F05192">
              <w:rPr>
                <w:noProof/>
                <w:webHidden/>
              </w:rPr>
              <w:t>217</w:t>
            </w:r>
            <w:r w:rsidR="00F340A3">
              <w:rPr>
                <w:noProof/>
                <w:webHidden/>
              </w:rPr>
              <w:fldChar w:fldCharType="end"/>
            </w:r>
          </w:hyperlink>
        </w:p>
        <w:p w14:paraId="27C054E9" w14:textId="77777777" w:rsidR="00F340A3" w:rsidRDefault="00DF3C4F">
          <w:pPr>
            <w:pStyle w:val="Spistreci2"/>
            <w:rPr>
              <w:rFonts w:eastAsiaTheme="minorEastAsia"/>
              <w:noProof/>
              <w:lang w:eastAsia="pl-PL"/>
            </w:rPr>
          </w:pPr>
          <w:hyperlink w:anchor="_Toc530565089" w:history="1">
            <w:r w:rsidR="00F340A3" w:rsidRPr="00C77770">
              <w:rPr>
                <w:rStyle w:val="Hipercze"/>
                <w:rFonts w:cstheme="minorHAnsi"/>
                <w:noProof/>
              </w:rPr>
              <w:t>Ustawa z dnia 12 maja 2011 r. o Krajowej Radzie Sądownictwa (Dz. U. z 2018 r. poz. 389, 848, 1045 i 1443)</w:t>
            </w:r>
            <w:r w:rsidR="00F340A3">
              <w:rPr>
                <w:noProof/>
                <w:webHidden/>
              </w:rPr>
              <w:tab/>
            </w:r>
            <w:r w:rsidR="00F340A3">
              <w:rPr>
                <w:noProof/>
                <w:webHidden/>
              </w:rPr>
              <w:fldChar w:fldCharType="begin"/>
            </w:r>
            <w:r w:rsidR="00F340A3">
              <w:rPr>
                <w:noProof/>
                <w:webHidden/>
              </w:rPr>
              <w:instrText xml:space="preserve"> PAGEREF _Toc530565089 \h </w:instrText>
            </w:r>
            <w:r w:rsidR="00F340A3">
              <w:rPr>
                <w:noProof/>
                <w:webHidden/>
              </w:rPr>
            </w:r>
            <w:r w:rsidR="00F340A3">
              <w:rPr>
                <w:noProof/>
                <w:webHidden/>
              </w:rPr>
              <w:fldChar w:fldCharType="separate"/>
            </w:r>
            <w:r w:rsidR="00F05192">
              <w:rPr>
                <w:noProof/>
                <w:webHidden/>
              </w:rPr>
              <w:t>218</w:t>
            </w:r>
            <w:r w:rsidR="00F340A3">
              <w:rPr>
                <w:noProof/>
                <w:webHidden/>
              </w:rPr>
              <w:fldChar w:fldCharType="end"/>
            </w:r>
          </w:hyperlink>
        </w:p>
        <w:p w14:paraId="18864929" w14:textId="77777777" w:rsidR="00F340A3" w:rsidRDefault="00DF3C4F">
          <w:pPr>
            <w:pStyle w:val="Spistreci2"/>
            <w:rPr>
              <w:rFonts w:eastAsiaTheme="minorEastAsia"/>
              <w:noProof/>
              <w:lang w:eastAsia="pl-PL"/>
            </w:rPr>
          </w:pPr>
          <w:hyperlink w:anchor="_Toc530565090" w:history="1">
            <w:r w:rsidR="00F340A3" w:rsidRPr="00C77770">
              <w:rPr>
                <w:rStyle w:val="Hipercze"/>
                <w:rFonts w:cstheme="minorHAnsi"/>
                <w:noProof/>
              </w:rPr>
              <w:t>Ustawa z dnia 9 czerwca 2011 r. o wspieraniu rodziny i systemie pieczy zastępczej (Dz. U. z 2018 r. poz. 998, 1076 i 1544)</w:t>
            </w:r>
            <w:r w:rsidR="00F340A3">
              <w:rPr>
                <w:noProof/>
                <w:webHidden/>
              </w:rPr>
              <w:tab/>
            </w:r>
            <w:r w:rsidR="00F340A3">
              <w:rPr>
                <w:noProof/>
                <w:webHidden/>
              </w:rPr>
              <w:fldChar w:fldCharType="begin"/>
            </w:r>
            <w:r w:rsidR="00F340A3">
              <w:rPr>
                <w:noProof/>
                <w:webHidden/>
              </w:rPr>
              <w:instrText xml:space="preserve"> PAGEREF _Toc530565090 \h </w:instrText>
            </w:r>
            <w:r w:rsidR="00F340A3">
              <w:rPr>
                <w:noProof/>
                <w:webHidden/>
              </w:rPr>
            </w:r>
            <w:r w:rsidR="00F340A3">
              <w:rPr>
                <w:noProof/>
                <w:webHidden/>
              </w:rPr>
              <w:fldChar w:fldCharType="separate"/>
            </w:r>
            <w:r w:rsidR="00F05192">
              <w:rPr>
                <w:noProof/>
                <w:webHidden/>
              </w:rPr>
              <w:t>218</w:t>
            </w:r>
            <w:r w:rsidR="00F340A3">
              <w:rPr>
                <w:noProof/>
                <w:webHidden/>
              </w:rPr>
              <w:fldChar w:fldCharType="end"/>
            </w:r>
          </w:hyperlink>
        </w:p>
        <w:p w14:paraId="72B16D8D" w14:textId="77777777" w:rsidR="00F340A3" w:rsidRDefault="00DF3C4F">
          <w:pPr>
            <w:pStyle w:val="Spistreci2"/>
            <w:rPr>
              <w:rFonts w:eastAsiaTheme="minorEastAsia"/>
              <w:noProof/>
              <w:lang w:eastAsia="pl-PL"/>
            </w:rPr>
          </w:pPr>
          <w:hyperlink w:anchor="_Toc530565091" w:history="1">
            <w:r w:rsidR="00F340A3" w:rsidRPr="00C77770">
              <w:rPr>
                <w:rStyle w:val="Hipercze"/>
                <w:rFonts w:cstheme="minorHAnsi"/>
                <w:noProof/>
              </w:rPr>
              <w:t>Ustawa z dnia 15 lipca 2011 r. o kontroli w administracji rządowej (Dz. U. poz. 1092)</w:t>
            </w:r>
            <w:r w:rsidR="00F340A3">
              <w:rPr>
                <w:noProof/>
                <w:webHidden/>
              </w:rPr>
              <w:tab/>
            </w:r>
            <w:r w:rsidR="00F340A3">
              <w:rPr>
                <w:noProof/>
                <w:webHidden/>
              </w:rPr>
              <w:fldChar w:fldCharType="begin"/>
            </w:r>
            <w:r w:rsidR="00F340A3">
              <w:rPr>
                <w:noProof/>
                <w:webHidden/>
              </w:rPr>
              <w:instrText xml:space="preserve"> PAGEREF _Toc530565091 \h </w:instrText>
            </w:r>
            <w:r w:rsidR="00F340A3">
              <w:rPr>
                <w:noProof/>
                <w:webHidden/>
              </w:rPr>
            </w:r>
            <w:r w:rsidR="00F340A3">
              <w:rPr>
                <w:noProof/>
                <w:webHidden/>
              </w:rPr>
              <w:fldChar w:fldCharType="separate"/>
            </w:r>
            <w:r w:rsidR="00F05192">
              <w:rPr>
                <w:noProof/>
                <w:webHidden/>
              </w:rPr>
              <w:t>219</w:t>
            </w:r>
            <w:r w:rsidR="00F340A3">
              <w:rPr>
                <w:noProof/>
                <w:webHidden/>
              </w:rPr>
              <w:fldChar w:fldCharType="end"/>
            </w:r>
          </w:hyperlink>
        </w:p>
        <w:p w14:paraId="1BC4BB40" w14:textId="77777777" w:rsidR="00F340A3" w:rsidRDefault="00DF3C4F">
          <w:pPr>
            <w:pStyle w:val="Spistreci2"/>
            <w:rPr>
              <w:rFonts w:eastAsiaTheme="minorEastAsia"/>
              <w:noProof/>
              <w:lang w:eastAsia="pl-PL"/>
            </w:rPr>
          </w:pPr>
          <w:hyperlink w:anchor="_Toc530565092" w:history="1">
            <w:r w:rsidR="00F340A3" w:rsidRPr="00C77770">
              <w:rPr>
                <w:rStyle w:val="Hipercze"/>
                <w:rFonts w:cstheme="minorHAnsi"/>
                <w:noProof/>
              </w:rPr>
              <w:t>Ustawa z dnia 18 sierpnia 2011 r. o bezpieczeństwie osób przebywających na obszarach wodnych (Dz. U. z 2018 r. poz. 1482)</w:t>
            </w:r>
            <w:r w:rsidR="00F340A3">
              <w:rPr>
                <w:noProof/>
                <w:webHidden/>
              </w:rPr>
              <w:tab/>
            </w:r>
            <w:r w:rsidR="00F340A3">
              <w:rPr>
                <w:noProof/>
                <w:webHidden/>
              </w:rPr>
              <w:fldChar w:fldCharType="begin"/>
            </w:r>
            <w:r w:rsidR="00F340A3">
              <w:rPr>
                <w:noProof/>
                <w:webHidden/>
              </w:rPr>
              <w:instrText xml:space="preserve"> PAGEREF _Toc530565092 \h </w:instrText>
            </w:r>
            <w:r w:rsidR="00F340A3">
              <w:rPr>
                <w:noProof/>
                <w:webHidden/>
              </w:rPr>
            </w:r>
            <w:r w:rsidR="00F340A3">
              <w:rPr>
                <w:noProof/>
                <w:webHidden/>
              </w:rPr>
              <w:fldChar w:fldCharType="separate"/>
            </w:r>
            <w:r w:rsidR="00F05192">
              <w:rPr>
                <w:noProof/>
                <w:webHidden/>
              </w:rPr>
              <w:t>219</w:t>
            </w:r>
            <w:r w:rsidR="00F340A3">
              <w:rPr>
                <w:noProof/>
                <w:webHidden/>
              </w:rPr>
              <w:fldChar w:fldCharType="end"/>
            </w:r>
          </w:hyperlink>
        </w:p>
        <w:p w14:paraId="655057FF" w14:textId="77777777" w:rsidR="00F340A3" w:rsidRDefault="00DF3C4F">
          <w:pPr>
            <w:pStyle w:val="Spistreci2"/>
            <w:rPr>
              <w:rFonts w:eastAsiaTheme="minorEastAsia"/>
              <w:noProof/>
              <w:lang w:eastAsia="pl-PL"/>
            </w:rPr>
          </w:pPr>
          <w:hyperlink w:anchor="_Toc530565093" w:history="1">
            <w:r w:rsidR="00F340A3" w:rsidRPr="00C77770">
              <w:rPr>
                <w:rStyle w:val="Hipercze"/>
                <w:rFonts w:cstheme="minorHAnsi"/>
                <w:noProof/>
              </w:rPr>
              <w:t>Ustawa z dnia 18 sierpnia 2011 r. o bezpieczeństwie i ratownictwie w górach i na zorganizowanych terenach narciarskich (Dz. U. poz. 1241, z 2013 r. poz. 7 oraz z 2018 r. poz. 1115)</w:t>
            </w:r>
            <w:r w:rsidR="00F340A3">
              <w:rPr>
                <w:noProof/>
                <w:webHidden/>
              </w:rPr>
              <w:tab/>
            </w:r>
            <w:r w:rsidR="00F340A3">
              <w:rPr>
                <w:noProof/>
                <w:webHidden/>
              </w:rPr>
              <w:fldChar w:fldCharType="begin"/>
            </w:r>
            <w:r w:rsidR="00F340A3">
              <w:rPr>
                <w:noProof/>
                <w:webHidden/>
              </w:rPr>
              <w:instrText xml:space="preserve"> PAGEREF _Toc530565093 \h </w:instrText>
            </w:r>
            <w:r w:rsidR="00F340A3">
              <w:rPr>
                <w:noProof/>
                <w:webHidden/>
              </w:rPr>
            </w:r>
            <w:r w:rsidR="00F340A3">
              <w:rPr>
                <w:noProof/>
                <w:webHidden/>
              </w:rPr>
              <w:fldChar w:fldCharType="separate"/>
            </w:r>
            <w:r w:rsidR="00F05192">
              <w:rPr>
                <w:noProof/>
                <w:webHidden/>
              </w:rPr>
              <w:t>219</w:t>
            </w:r>
            <w:r w:rsidR="00F340A3">
              <w:rPr>
                <w:noProof/>
                <w:webHidden/>
              </w:rPr>
              <w:fldChar w:fldCharType="end"/>
            </w:r>
          </w:hyperlink>
        </w:p>
        <w:p w14:paraId="564CB1FE" w14:textId="77777777" w:rsidR="00F340A3" w:rsidRDefault="00DF3C4F">
          <w:pPr>
            <w:pStyle w:val="Spistreci2"/>
            <w:rPr>
              <w:rFonts w:eastAsiaTheme="minorEastAsia"/>
              <w:noProof/>
              <w:lang w:eastAsia="pl-PL"/>
            </w:rPr>
          </w:pPr>
          <w:hyperlink w:anchor="_Toc530565094" w:history="1">
            <w:r w:rsidR="00F340A3" w:rsidRPr="00C77770">
              <w:rPr>
                <w:rStyle w:val="Hipercze"/>
                <w:rFonts w:cstheme="minorHAnsi"/>
                <w:noProof/>
              </w:rPr>
              <w:t>Ustawa z dnia 19 sierpnia 2011 r. o usługach płatniczych (Dz. U. z 2017 r. poz. 2003 oraz z 2018 r. poz. 62, 650, 723, 864, 1000, 1075 i 1629)</w:t>
            </w:r>
            <w:r w:rsidR="00F340A3">
              <w:rPr>
                <w:noProof/>
                <w:webHidden/>
              </w:rPr>
              <w:tab/>
            </w:r>
            <w:r w:rsidR="00F340A3">
              <w:rPr>
                <w:noProof/>
                <w:webHidden/>
              </w:rPr>
              <w:fldChar w:fldCharType="begin"/>
            </w:r>
            <w:r w:rsidR="00F340A3">
              <w:rPr>
                <w:noProof/>
                <w:webHidden/>
              </w:rPr>
              <w:instrText xml:space="preserve"> PAGEREF _Toc530565094 \h </w:instrText>
            </w:r>
            <w:r w:rsidR="00F340A3">
              <w:rPr>
                <w:noProof/>
                <w:webHidden/>
              </w:rPr>
            </w:r>
            <w:r w:rsidR="00F340A3">
              <w:rPr>
                <w:noProof/>
                <w:webHidden/>
              </w:rPr>
              <w:fldChar w:fldCharType="separate"/>
            </w:r>
            <w:r w:rsidR="00F05192">
              <w:rPr>
                <w:noProof/>
                <w:webHidden/>
              </w:rPr>
              <w:t>220</w:t>
            </w:r>
            <w:r w:rsidR="00F340A3">
              <w:rPr>
                <w:noProof/>
                <w:webHidden/>
              </w:rPr>
              <w:fldChar w:fldCharType="end"/>
            </w:r>
          </w:hyperlink>
        </w:p>
        <w:p w14:paraId="57554DBD" w14:textId="509EDFB2" w:rsidR="00F340A3" w:rsidRDefault="00197024" w:rsidP="00197024">
          <w:pPr>
            <w:pStyle w:val="Spistreci2"/>
            <w:rPr>
              <w:rFonts w:eastAsiaTheme="minorEastAsia"/>
              <w:noProof/>
              <w:lang w:eastAsia="pl-PL"/>
            </w:rPr>
          </w:pPr>
          <w:r w:rsidRPr="00197024">
            <w:t>Ustawa z dnia 19 sierpnia 2011 r. o weteranach działań poza granicami państwa (Dz. U. z 2018 r. poz. 937 i 2018)</w:t>
          </w:r>
          <w:hyperlink w:anchor="_Toc530565095" w:history="1">
            <w:r w:rsidR="00F340A3">
              <w:rPr>
                <w:noProof/>
                <w:webHidden/>
              </w:rPr>
              <w:tab/>
            </w:r>
            <w:r w:rsidR="00F340A3">
              <w:rPr>
                <w:noProof/>
                <w:webHidden/>
              </w:rPr>
              <w:fldChar w:fldCharType="begin"/>
            </w:r>
            <w:r w:rsidR="00F340A3">
              <w:rPr>
                <w:noProof/>
                <w:webHidden/>
              </w:rPr>
              <w:instrText xml:space="preserve"> PAGEREF _Toc530565095 \h </w:instrText>
            </w:r>
            <w:r w:rsidR="00F340A3">
              <w:rPr>
                <w:noProof/>
                <w:webHidden/>
              </w:rPr>
            </w:r>
            <w:r w:rsidR="00F340A3">
              <w:rPr>
                <w:noProof/>
                <w:webHidden/>
              </w:rPr>
              <w:fldChar w:fldCharType="separate"/>
            </w:r>
            <w:r w:rsidR="00F05192">
              <w:rPr>
                <w:noProof/>
                <w:webHidden/>
              </w:rPr>
              <w:t>221</w:t>
            </w:r>
            <w:r w:rsidR="00F340A3">
              <w:rPr>
                <w:noProof/>
                <w:webHidden/>
              </w:rPr>
              <w:fldChar w:fldCharType="end"/>
            </w:r>
          </w:hyperlink>
        </w:p>
        <w:p w14:paraId="7E943E26" w14:textId="345F250F" w:rsidR="00F340A3" w:rsidRDefault="00DF3C4F" w:rsidP="00197024">
          <w:pPr>
            <w:pStyle w:val="Spistreci2"/>
            <w:rPr>
              <w:rFonts w:eastAsiaTheme="minorEastAsia"/>
              <w:noProof/>
              <w:lang w:eastAsia="pl-PL"/>
            </w:rPr>
          </w:pPr>
          <w:hyperlink w:anchor="_Toc530565096" w:history="1">
            <w:r w:rsidR="00F340A3" w:rsidRPr="00C77770">
              <w:rPr>
                <w:rStyle w:val="Hipercze"/>
                <w:rFonts w:cstheme="minorHAnsi"/>
                <w:noProof/>
              </w:rPr>
              <w:t xml:space="preserve"> </w:t>
            </w:r>
            <w:r w:rsidR="00197024" w:rsidRPr="00197024">
              <w:rPr>
                <w:rStyle w:val="Hipercze"/>
                <w:rFonts w:cstheme="minorHAnsi"/>
                <w:noProof/>
              </w:rPr>
              <w:t>Ustawa z dnia 19 sierpnia 2011 r. o przewozie towarów niebezpiecznych (Dz. U. z 2018 r. poz. 169, 650, 1481 i 1629)</w:t>
            </w:r>
            <w:r w:rsidR="00F340A3">
              <w:rPr>
                <w:noProof/>
                <w:webHidden/>
              </w:rPr>
              <w:tab/>
            </w:r>
            <w:r w:rsidR="00F340A3">
              <w:rPr>
                <w:noProof/>
                <w:webHidden/>
              </w:rPr>
              <w:fldChar w:fldCharType="begin"/>
            </w:r>
            <w:r w:rsidR="00F340A3">
              <w:rPr>
                <w:noProof/>
                <w:webHidden/>
              </w:rPr>
              <w:instrText xml:space="preserve"> PAGEREF _Toc530565096 \h </w:instrText>
            </w:r>
            <w:r w:rsidR="00F340A3">
              <w:rPr>
                <w:noProof/>
                <w:webHidden/>
              </w:rPr>
            </w:r>
            <w:r w:rsidR="00F340A3">
              <w:rPr>
                <w:noProof/>
                <w:webHidden/>
              </w:rPr>
              <w:fldChar w:fldCharType="separate"/>
            </w:r>
            <w:r w:rsidR="00F05192">
              <w:rPr>
                <w:noProof/>
                <w:webHidden/>
              </w:rPr>
              <w:t>221</w:t>
            </w:r>
            <w:r w:rsidR="00F340A3">
              <w:rPr>
                <w:noProof/>
                <w:webHidden/>
              </w:rPr>
              <w:fldChar w:fldCharType="end"/>
            </w:r>
          </w:hyperlink>
        </w:p>
        <w:p w14:paraId="182126A0" w14:textId="77777777" w:rsidR="00F340A3" w:rsidRDefault="00DF3C4F">
          <w:pPr>
            <w:pStyle w:val="Spistreci2"/>
            <w:rPr>
              <w:rFonts w:eastAsiaTheme="minorEastAsia"/>
              <w:noProof/>
              <w:lang w:eastAsia="pl-PL"/>
            </w:rPr>
          </w:pPr>
          <w:hyperlink w:anchor="_Toc530565097" w:history="1">
            <w:r w:rsidR="00F340A3" w:rsidRPr="00C77770">
              <w:rPr>
                <w:rStyle w:val="Hipercze"/>
                <w:rFonts w:cstheme="minorHAnsi"/>
                <w:noProof/>
              </w:rPr>
              <w:t>Ustawa z dnia 28 czerwca 2012 r. o spłacie niektórych niezaspokojonych należności przedsiębiorców, wynikających z realizacji udzielonych zamówień publicznych (Dz. U. z 2016 r. poz. 837 oraz z 2018 r. poz. 650)</w:t>
            </w:r>
            <w:r w:rsidR="00F340A3">
              <w:rPr>
                <w:noProof/>
                <w:webHidden/>
              </w:rPr>
              <w:tab/>
            </w:r>
            <w:r w:rsidR="00F340A3">
              <w:rPr>
                <w:noProof/>
                <w:webHidden/>
              </w:rPr>
              <w:fldChar w:fldCharType="begin"/>
            </w:r>
            <w:r w:rsidR="00F340A3">
              <w:rPr>
                <w:noProof/>
                <w:webHidden/>
              </w:rPr>
              <w:instrText xml:space="preserve"> PAGEREF _Toc530565097 \h </w:instrText>
            </w:r>
            <w:r w:rsidR="00F340A3">
              <w:rPr>
                <w:noProof/>
                <w:webHidden/>
              </w:rPr>
            </w:r>
            <w:r w:rsidR="00F340A3">
              <w:rPr>
                <w:noProof/>
                <w:webHidden/>
              </w:rPr>
              <w:fldChar w:fldCharType="separate"/>
            </w:r>
            <w:r w:rsidR="00F05192">
              <w:rPr>
                <w:noProof/>
                <w:webHidden/>
              </w:rPr>
              <w:t>222</w:t>
            </w:r>
            <w:r w:rsidR="00F340A3">
              <w:rPr>
                <w:noProof/>
                <w:webHidden/>
              </w:rPr>
              <w:fldChar w:fldCharType="end"/>
            </w:r>
          </w:hyperlink>
        </w:p>
        <w:p w14:paraId="4AD3947A" w14:textId="77777777" w:rsidR="00F340A3" w:rsidRDefault="00DF3C4F">
          <w:pPr>
            <w:pStyle w:val="Spistreci2"/>
            <w:rPr>
              <w:rFonts w:eastAsiaTheme="minorEastAsia"/>
              <w:noProof/>
              <w:lang w:eastAsia="pl-PL"/>
            </w:rPr>
          </w:pPr>
          <w:hyperlink w:anchor="_Toc530565098" w:history="1">
            <w:r w:rsidR="00F340A3" w:rsidRPr="00C77770">
              <w:rPr>
                <w:rStyle w:val="Hipercze"/>
                <w:rFonts w:cstheme="minorHAnsi"/>
                <w:noProof/>
              </w:rPr>
              <w:t>Ustawa z dnia 31 sierpnia 2012 r. o Państwowej Komisji Badania Wypadków Morskich (Dz. U. z 2018 r. poz. 925 i 1669)</w:t>
            </w:r>
            <w:r w:rsidR="00F340A3">
              <w:rPr>
                <w:noProof/>
                <w:webHidden/>
              </w:rPr>
              <w:tab/>
            </w:r>
            <w:r w:rsidR="00F340A3">
              <w:rPr>
                <w:noProof/>
                <w:webHidden/>
              </w:rPr>
              <w:fldChar w:fldCharType="begin"/>
            </w:r>
            <w:r w:rsidR="00F340A3">
              <w:rPr>
                <w:noProof/>
                <w:webHidden/>
              </w:rPr>
              <w:instrText xml:space="preserve"> PAGEREF _Toc530565098 \h </w:instrText>
            </w:r>
            <w:r w:rsidR="00F340A3">
              <w:rPr>
                <w:noProof/>
                <w:webHidden/>
              </w:rPr>
            </w:r>
            <w:r w:rsidR="00F340A3">
              <w:rPr>
                <w:noProof/>
                <w:webHidden/>
              </w:rPr>
              <w:fldChar w:fldCharType="separate"/>
            </w:r>
            <w:r w:rsidR="00F05192">
              <w:rPr>
                <w:noProof/>
                <w:webHidden/>
              </w:rPr>
              <w:t>223</w:t>
            </w:r>
            <w:r w:rsidR="00F340A3">
              <w:rPr>
                <w:noProof/>
                <w:webHidden/>
              </w:rPr>
              <w:fldChar w:fldCharType="end"/>
            </w:r>
          </w:hyperlink>
        </w:p>
        <w:p w14:paraId="31F3E9AF" w14:textId="77777777" w:rsidR="00F340A3" w:rsidRDefault="00DF3C4F">
          <w:pPr>
            <w:pStyle w:val="Spistreci2"/>
            <w:rPr>
              <w:rFonts w:eastAsiaTheme="minorEastAsia"/>
              <w:noProof/>
              <w:lang w:eastAsia="pl-PL"/>
            </w:rPr>
          </w:pPr>
          <w:hyperlink w:anchor="_Toc530565099" w:history="1">
            <w:r w:rsidR="00F340A3" w:rsidRPr="00C77770">
              <w:rPr>
                <w:rStyle w:val="Hipercze"/>
                <w:rFonts w:cstheme="minorHAnsi"/>
                <w:noProof/>
              </w:rPr>
              <w:t>Ustawa z dnia 14 grudnia 2012 r. o odpadach (Dz. U. z 2018 r. poz. 992, 1000, 1479, 1544, 1564 i 1592)</w:t>
            </w:r>
            <w:r w:rsidR="00F340A3">
              <w:rPr>
                <w:noProof/>
                <w:webHidden/>
              </w:rPr>
              <w:tab/>
            </w:r>
            <w:r w:rsidR="00F340A3">
              <w:rPr>
                <w:noProof/>
                <w:webHidden/>
              </w:rPr>
              <w:fldChar w:fldCharType="begin"/>
            </w:r>
            <w:r w:rsidR="00F340A3">
              <w:rPr>
                <w:noProof/>
                <w:webHidden/>
              </w:rPr>
              <w:instrText xml:space="preserve"> PAGEREF _Toc530565099 \h </w:instrText>
            </w:r>
            <w:r w:rsidR="00F340A3">
              <w:rPr>
                <w:noProof/>
                <w:webHidden/>
              </w:rPr>
            </w:r>
            <w:r w:rsidR="00F340A3">
              <w:rPr>
                <w:noProof/>
                <w:webHidden/>
              </w:rPr>
              <w:fldChar w:fldCharType="separate"/>
            </w:r>
            <w:r w:rsidR="00F05192">
              <w:rPr>
                <w:noProof/>
                <w:webHidden/>
              </w:rPr>
              <w:t>223</w:t>
            </w:r>
            <w:r w:rsidR="00F340A3">
              <w:rPr>
                <w:noProof/>
                <w:webHidden/>
              </w:rPr>
              <w:fldChar w:fldCharType="end"/>
            </w:r>
          </w:hyperlink>
        </w:p>
        <w:p w14:paraId="75589E7C" w14:textId="77777777" w:rsidR="00F340A3" w:rsidRDefault="00DF3C4F">
          <w:pPr>
            <w:pStyle w:val="Spistreci2"/>
            <w:rPr>
              <w:rFonts w:eastAsiaTheme="minorEastAsia"/>
              <w:noProof/>
              <w:lang w:eastAsia="pl-PL"/>
            </w:rPr>
          </w:pPr>
          <w:hyperlink w:anchor="_Toc530565100" w:history="1">
            <w:r w:rsidR="00F340A3" w:rsidRPr="00C77770">
              <w:rPr>
                <w:rStyle w:val="Hipercze"/>
                <w:rFonts w:cstheme="minorHAnsi"/>
                <w:noProof/>
              </w:rPr>
              <w:t>Ustawa z dnia 11 października 2013 r. o wzajemnej pomocy przy dochodzeniu podatków, należności celnych i innych należności pieniężnych (Dz. U. z 2018 r. poz. 425)</w:t>
            </w:r>
            <w:r w:rsidR="00F340A3">
              <w:rPr>
                <w:noProof/>
                <w:webHidden/>
              </w:rPr>
              <w:tab/>
            </w:r>
            <w:r w:rsidR="00F340A3">
              <w:rPr>
                <w:noProof/>
                <w:webHidden/>
              </w:rPr>
              <w:fldChar w:fldCharType="begin"/>
            </w:r>
            <w:r w:rsidR="00F340A3">
              <w:rPr>
                <w:noProof/>
                <w:webHidden/>
              </w:rPr>
              <w:instrText xml:space="preserve"> PAGEREF _Toc530565100 \h </w:instrText>
            </w:r>
            <w:r w:rsidR="00F340A3">
              <w:rPr>
                <w:noProof/>
                <w:webHidden/>
              </w:rPr>
            </w:r>
            <w:r w:rsidR="00F340A3">
              <w:rPr>
                <w:noProof/>
                <w:webHidden/>
              </w:rPr>
              <w:fldChar w:fldCharType="separate"/>
            </w:r>
            <w:r w:rsidR="00F05192">
              <w:rPr>
                <w:noProof/>
                <w:webHidden/>
              </w:rPr>
              <w:t>224</w:t>
            </w:r>
            <w:r w:rsidR="00F340A3">
              <w:rPr>
                <w:noProof/>
                <w:webHidden/>
              </w:rPr>
              <w:fldChar w:fldCharType="end"/>
            </w:r>
          </w:hyperlink>
        </w:p>
        <w:p w14:paraId="63C4F8ED" w14:textId="77777777" w:rsidR="00F340A3" w:rsidRDefault="00DF3C4F">
          <w:pPr>
            <w:pStyle w:val="Spistreci2"/>
            <w:rPr>
              <w:rFonts w:eastAsiaTheme="minorEastAsia"/>
              <w:noProof/>
              <w:lang w:eastAsia="pl-PL"/>
            </w:rPr>
          </w:pPr>
          <w:hyperlink w:anchor="_Toc530565101" w:history="1">
            <w:r w:rsidR="00F340A3" w:rsidRPr="00C77770">
              <w:rPr>
                <w:rStyle w:val="Hipercze"/>
                <w:rFonts w:cstheme="minorHAnsi"/>
                <w:noProof/>
              </w:rPr>
              <w:t>Ustawa z dnia 22 listopada 2013 r. o systemie powiadamiania ratunkowego (Dz. U. z 2018 r. poz. 867 i 1115)</w:t>
            </w:r>
            <w:r w:rsidR="00F340A3">
              <w:rPr>
                <w:noProof/>
                <w:webHidden/>
              </w:rPr>
              <w:tab/>
            </w:r>
            <w:r w:rsidR="00F340A3">
              <w:rPr>
                <w:noProof/>
                <w:webHidden/>
              </w:rPr>
              <w:fldChar w:fldCharType="begin"/>
            </w:r>
            <w:r w:rsidR="00F340A3">
              <w:rPr>
                <w:noProof/>
                <w:webHidden/>
              </w:rPr>
              <w:instrText xml:space="preserve"> PAGEREF _Toc530565101 \h </w:instrText>
            </w:r>
            <w:r w:rsidR="00F340A3">
              <w:rPr>
                <w:noProof/>
                <w:webHidden/>
              </w:rPr>
            </w:r>
            <w:r w:rsidR="00F340A3">
              <w:rPr>
                <w:noProof/>
                <w:webHidden/>
              </w:rPr>
              <w:fldChar w:fldCharType="separate"/>
            </w:r>
            <w:r w:rsidR="00F05192">
              <w:rPr>
                <w:noProof/>
                <w:webHidden/>
              </w:rPr>
              <w:t>224</w:t>
            </w:r>
            <w:r w:rsidR="00F340A3">
              <w:rPr>
                <w:noProof/>
                <w:webHidden/>
              </w:rPr>
              <w:fldChar w:fldCharType="end"/>
            </w:r>
          </w:hyperlink>
        </w:p>
        <w:p w14:paraId="168E7BEF" w14:textId="77777777" w:rsidR="00F340A3" w:rsidRDefault="00DF3C4F">
          <w:pPr>
            <w:pStyle w:val="Spistreci2"/>
            <w:rPr>
              <w:rFonts w:eastAsiaTheme="minorEastAsia"/>
              <w:noProof/>
              <w:lang w:eastAsia="pl-PL"/>
            </w:rPr>
          </w:pPr>
          <w:hyperlink w:anchor="_Toc530565102" w:history="1">
            <w:r w:rsidR="00F340A3" w:rsidRPr="00C77770">
              <w:rPr>
                <w:rStyle w:val="Hipercze"/>
                <w:rFonts w:cstheme="minorHAnsi"/>
                <w:noProof/>
              </w:rPr>
              <w:t>Ustawa z dnia 30 maja 2014 r. o prawach konsumenta (Dz. U. z 2017 r. poz. 683 i 2361 oraz z 2018 r. poz. 650)</w:t>
            </w:r>
            <w:r w:rsidR="00F340A3">
              <w:rPr>
                <w:noProof/>
                <w:webHidden/>
              </w:rPr>
              <w:tab/>
            </w:r>
            <w:r w:rsidR="00F340A3">
              <w:rPr>
                <w:noProof/>
                <w:webHidden/>
              </w:rPr>
              <w:fldChar w:fldCharType="begin"/>
            </w:r>
            <w:r w:rsidR="00F340A3">
              <w:rPr>
                <w:noProof/>
                <w:webHidden/>
              </w:rPr>
              <w:instrText xml:space="preserve"> PAGEREF _Toc530565102 \h </w:instrText>
            </w:r>
            <w:r w:rsidR="00F340A3">
              <w:rPr>
                <w:noProof/>
                <w:webHidden/>
              </w:rPr>
            </w:r>
            <w:r w:rsidR="00F340A3">
              <w:rPr>
                <w:noProof/>
                <w:webHidden/>
              </w:rPr>
              <w:fldChar w:fldCharType="separate"/>
            </w:r>
            <w:r w:rsidR="00F05192">
              <w:rPr>
                <w:noProof/>
                <w:webHidden/>
              </w:rPr>
              <w:t>225</w:t>
            </w:r>
            <w:r w:rsidR="00F340A3">
              <w:rPr>
                <w:noProof/>
                <w:webHidden/>
              </w:rPr>
              <w:fldChar w:fldCharType="end"/>
            </w:r>
          </w:hyperlink>
        </w:p>
        <w:p w14:paraId="73353F83" w14:textId="77777777" w:rsidR="00F340A3" w:rsidRDefault="00DF3C4F">
          <w:pPr>
            <w:pStyle w:val="Spistreci2"/>
            <w:rPr>
              <w:rFonts w:eastAsiaTheme="minorEastAsia"/>
              <w:noProof/>
              <w:lang w:eastAsia="pl-PL"/>
            </w:rPr>
          </w:pPr>
          <w:hyperlink w:anchor="_Toc530565103" w:history="1">
            <w:r w:rsidR="00F340A3" w:rsidRPr="00C77770">
              <w:rPr>
                <w:rStyle w:val="Hipercze"/>
                <w:rFonts w:cstheme="minorHAnsi"/>
                <w:noProof/>
              </w:rPr>
              <w:t>Ustawa z dnia 11 lipca 2014 r. o zasadach realizacji programów w zakresie polityki spójności finansowanych w perspektywie finansowej 2014–2020 (Dz. U. z 2018 r. poz. 1431 i 1544)</w:t>
            </w:r>
            <w:r w:rsidR="00F340A3">
              <w:rPr>
                <w:noProof/>
                <w:webHidden/>
              </w:rPr>
              <w:tab/>
            </w:r>
            <w:r w:rsidR="00F340A3">
              <w:rPr>
                <w:noProof/>
                <w:webHidden/>
              </w:rPr>
              <w:fldChar w:fldCharType="begin"/>
            </w:r>
            <w:r w:rsidR="00F340A3">
              <w:rPr>
                <w:noProof/>
                <w:webHidden/>
              </w:rPr>
              <w:instrText xml:space="preserve"> PAGEREF _Toc530565103 \h </w:instrText>
            </w:r>
            <w:r w:rsidR="00F340A3">
              <w:rPr>
                <w:noProof/>
                <w:webHidden/>
              </w:rPr>
            </w:r>
            <w:r w:rsidR="00F340A3">
              <w:rPr>
                <w:noProof/>
                <w:webHidden/>
              </w:rPr>
              <w:fldChar w:fldCharType="separate"/>
            </w:r>
            <w:r w:rsidR="00F05192">
              <w:rPr>
                <w:noProof/>
                <w:webHidden/>
              </w:rPr>
              <w:t>227</w:t>
            </w:r>
            <w:r w:rsidR="00F340A3">
              <w:rPr>
                <w:noProof/>
                <w:webHidden/>
              </w:rPr>
              <w:fldChar w:fldCharType="end"/>
            </w:r>
          </w:hyperlink>
        </w:p>
        <w:p w14:paraId="5CD26D90" w14:textId="77777777" w:rsidR="00F340A3" w:rsidRDefault="00DF3C4F">
          <w:pPr>
            <w:pStyle w:val="Spistreci2"/>
            <w:rPr>
              <w:rFonts w:eastAsiaTheme="minorEastAsia"/>
              <w:noProof/>
              <w:lang w:eastAsia="pl-PL"/>
            </w:rPr>
          </w:pPr>
          <w:hyperlink w:anchor="_Toc530565104" w:history="1">
            <w:r w:rsidR="00F340A3" w:rsidRPr="00C77770">
              <w:rPr>
                <w:rStyle w:val="Hipercze"/>
                <w:rFonts w:cstheme="minorHAnsi"/>
                <w:noProof/>
              </w:rPr>
              <w:t>Ustawa z dnia 29 sierpnia 2014 r. o charakterystyce energetycznej budynków (Dz. U. z 2018 r. poz. 1984)</w:t>
            </w:r>
            <w:r w:rsidR="00F340A3">
              <w:rPr>
                <w:noProof/>
                <w:webHidden/>
              </w:rPr>
              <w:tab/>
            </w:r>
            <w:r w:rsidR="00F340A3">
              <w:rPr>
                <w:noProof/>
                <w:webHidden/>
              </w:rPr>
              <w:fldChar w:fldCharType="begin"/>
            </w:r>
            <w:r w:rsidR="00F340A3">
              <w:rPr>
                <w:noProof/>
                <w:webHidden/>
              </w:rPr>
              <w:instrText xml:space="preserve"> PAGEREF _Toc530565104 \h </w:instrText>
            </w:r>
            <w:r w:rsidR="00F340A3">
              <w:rPr>
                <w:noProof/>
                <w:webHidden/>
              </w:rPr>
            </w:r>
            <w:r w:rsidR="00F340A3">
              <w:rPr>
                <w:noProof/>
                <w:webHidden/>
              </w:rPr>
              <w:fldChar w:fldCharType="separate"/>
            </w:r>
            <w:r w:rsidR="00F05192">
              <w:rPr>
                <w:noProof/>
                <w:webHidden/>
              </w:rPr>
              <w:t>227</w:t>
            </w:r>
            <w:r w:rsidR="00F340A3">
              <w:rPr>
                <w:noProof/>
                <w:webHidden/>
              </w:rPr>
              <w:fldChar w:fldCharType="end"/>
            </w:r>
          </w:hyperlink>
        </w:p>
        <w:p w14:paraId="0FC21996" w14:textId="77777777" w:rsidR="00F340A3" w:rsidRDefault="00DF3C4F">
          <w:pPr>
            <w:pStyle w:val="Spistreci2"/>
            <w:rPr>
              <w:rFonts w:eastAsiaTheme="minorEastAsia"/>
              <w:noProof/>
              <w:lang w:eastAsia="pl-PL"/>
            </w:rPr>
          </w:pPr>
          <w:hyperlink w:anchor="_Toc530565105" w:history="1">
            <w:r w:rsidR="00F340A3" w:rsidRPr="00C77770">
              <w:rPr>
                <w:rStyle w:val="Hipercze"/>
                <w:rFonts w:cstheme="minorHAnsi"/>
                <w:noProof/>
              </w:rPr>
              <w:t>Ustawa z dnia 28 listopada 2014 r. – Prawo o aktach stanu cywilnego (Dz. U. z 2016 r. poz. 2064, z 2017 r. poz. 1524 oraz z 2018 r. poz. 696 i 1669)</w:t>
            </w:r>
            <w:r w:rsidR="00F340A3">
              <w:rPr>
                <w:noProof/>
                <w:webHidden/>
              </w:rPr>
              <w:tab/>
            </w:r>
            <w:r w:rsidR="00F340A3">
              <w:rPr>
                <w:noProof/>
                <w:webHidden/>
              </w:rPr>
              <w:fldChar w:fldCharType="begin"/>
            </w:r>
            <w:r w:rsidR="00F340A3">
              <w:rPr>
                <w:noProof/>
                <w:webHidden/>
              </w:rPr>
              <w:instrText xml:space="preserve"> PAGEREF _Toc530565105 \h </w:instrText>
            </w:r>
            <w:r w:rsidR="00F340A3">
              <w:rPr>
                <w:noProof/>
                <w:webHidden/>
              </w:rPr>
            </w:r>
            <w:r w:rsidR="00F340A3">
              <w:rPr>
                <w:noProof/>
                <w:webHidden/>
              </w:rPr>
              <w:fldChar w:fldCharType="separate"/>
            </w:r>
            <w:r w:rsidR="00F05192">
              <w:rPr>
                <w:noProof/>
                <w:webHidden/>
              </w:rPr>
              <w:t>228</w:t>
            </w:r>
            <w:r w:rsidR="00F340A3">
              <w:rPr>
                <w:noProof/>
                <w:webHidden/>
              </w:rPr>
              <w:fldChar w:fldCharType="end"/>
            </w:r>
          </w:hyperlink>
        </w:p>
        <w:p w14:paraId="245C5507" w14:textId="77777777" w:rsidR="00F340A3" w:rsidRDefault="00DF3C4F">
          <w:pPr>
            <w:pStyle w:val="Spistreci2"/>
            <w:rPr>
              <w:rFonts w:eastAsiaTheme="minorEastAsia"/>
              <w:noProof/>
              <w:lang w:eastAsia="pl-PL"/>
            </w:rPr>
          </w:pPr>
          <w:hyperlink w:anchor="_Toc530565106" w:history="1">
            <w:r w:rsidR="00F340A3" w:rsidRPr="00C77770">
              <w:rPr>
                <w:rStyle w:val="Hipercze"/>
                <w:rFonts w:cstheme="minorHAnsi"/>
                <w:noProof/>
              </w:rPr>
              <w:t>Ustawa z dnia 28 listopada 2014 r. o komisjach lekarskich podległych ministrowi właściwemu do spraw wewnętrznych (Dz. U. z 2018 r. poz. 481, 730 i 912)</w:t>
            </w:r>
            <w:r w:rsidR="00F340A3">
              <w:rPr>
                <w:noProof/>
                <w:webHidden/>
              </w:rPr>
              <w:tab/>
            </w:r>
            <w:r w:rsidR="00F340A3">
              <w:rPr>
                <w:noProof/>
                <w:webHidden/>
              </w:rPr>
              <w:fldChar w:fldCharType="begin"/>
            </w:r>
            <w:r w:rsidR="00F340A3">
              <w:rPr>
                <w:noProof/>
                <w:webHidden/>
              </w:rPr>
              <w:instrText xml:space="preserve"> PAGEREF _Toc530565106 \h </w:instrText>
            </w:r>
            <w:r w:rsidR="00F340A3">
              <w:rPr>
                <w:noProof/>
                <w:webHidden/>
              </w:rPr>
            </w:r>
            <w:r w:rsidR="00F340A3">
              <w:rPr>
                <w:noProof/>
                <w:webHidden/>
              </w:rPr>
              <w:fldChar w:fldCharType="separate"/>
            </w:r>
            <w:r w:rsidR="00F05192">
              <w:rPr>
                <w:noProof/>
                <w:webHidden/>
              </w:rPr>
              <w:t>229</w:t>
            </w:r>
            <w:r w:rsidR="00F340A3">
              <w:rPr>
                <w:noProof/>
                <w:webHidden/>
              </w:rPr>
              <w:fldChar w:fldCharType="end"/>
            </w:r>
          </w:hyperlink>
        </w:p>
        <w:p w14:paraId="0536B69A" w14:textId="77777777" w:rsidR="00F340A3" w:rsidRDefault="00DF3C4F">
          <w:pPr>
            <w:pStyle w:val="Spistreci2"/>
            <w:rPr>
              <w:rFonts w:eastAsiaTheme="minorEastAsia"/>
              <w:noProof/>
              <w:lang w:eastAsia="pl-PL"/>
            </w:rPr>
          </w:pPr>
          <w:hyperlink w:anchor="_Toc530565107" w:history="1">
            <w:r w:rsidR="00F340A3" w:rsidRPr="00C77770">
              <w:rPr>
                <w:rStyle w:val="Hipercze"/>
                <w:rFonts w:cstheme="minorHAnsi"/>
                <w:noProof/>
              </w:rPr>
              <w:t>Ustawa z dnia 5 grudnia 2014 r. o Karcie Dużej Rodziny (Dz. U. z 2017 r. poz. 1832 i 2161 oraz z 2018 r. poz. 1544 i 1669)</w:t>
            </w:r>
            <w:r w:rsidR="00F340A3">
              <w:rPr>
                <w:noProof/>
                <w:webHidden/>
              </w:rPr>
              <w:tab/>
            </w:r>
            <w:r w:rsidR="00F340A3">
              <w:rPr>
                <w:noProof/>
                <w:webHidden/>
              </w:rPr>
              <w:fldChar w:fldCharType="begin"/>
            </w:r>
            <w:r w:rsidR="00F340A3">
              <w:rPr>
                <w:noProof/>
                <w:webHidden/>
              </w:rPr>
              <w:instrText xml:space="preserve"> PAGEREF _Toc530565107 \h </w:instrText>
            </w:r>
            <w:r w:rsidR="00F340A3">
              <w:rPr>
                <w:noProof/>
                <w:webHidden/>
              </w:rPr>
            </w:r>
            <w:r w:rsidR="00F340A3">
              <w:rPr>
                <w:noProof/>
                <w:webHidden/>
              </w:rPr>
              <w:fldChar w:fldCharType="separate"/>
            </w:r>
            <w:r w:rsidR="00F05192">
              <w:rPr>
                <w:noProof/>
                <w:webHidden/>
              </w:rPr>
              <w:t>230</w:t>
            </w:r>
            <w:r w:rsidR="00F340A3">
              <w:rPr>
                <w:noProof/>
                <w:webHidden/>
              </w:rPr>
              <w:fldChar w:fldCharType="end"/>
            </w:r>
          </w:hyperlink>
        </w:p>
        <w:p w14:paraId="1F07E93F" w14:textId="77777777" w:rsidR="00F340A3" w:rsidRDefault="00DF3C4F">
          <w:pPr>
            <w:pStyle w:val="Spistreci2"/>
            <w:rPr>
              <w:rFonts w:eastAsiaTheme="minorEastAsia"/>
              <w:noProof/>
              <w:lang w:eastAsia="pl-PL"/>
            </w:rPr>
          </w:pPr>
          <w:hyperlink w:anchor="_Toc530565108" w:history="1">
            <w:r w:rsidR="00F340A3" w:rsidRPr="00C77770">
              <w:rPr>
                <w:rStyle w:val="Hipercze"/>
                <w:rFonts w:cstheme="minorHAnsi"/>
                <w:noProof/>
              </w:rPr>
              <w:t>Ustawa z dnia 19 grudnia 2014 r. o rybołówstwie morskim (Dz. U. z 2018 r. poz. 514 i 650)</w:t>
            </w:r>
            <w:r w:rsidR="00F340A3">
              <w:rPr>
                <w:noProof/>
                <w:webHidden/>
              </w:rPr>
              <w:tab/>
            </w:r>
            <w:r w:rsidR="00F340A3">
              <w:rPr>
                <w:noProof/>
                <w:webHidden/>
              </w:rPr>
              <w:fldChar w:fldCharType="begin"/>
            </w:r>
            <w:r w:rsidR="00F340A3">
              <w:rPr>
                <w:noProof/>
                <w:webHidden/>
              </w:rPr>
              <w:instrText xml:space="preserve"> PAGEREF _Toc530565108 \h </w:instrText>
            </w:r>
            <w:r w:rsidR="00F340A3">
              <w:rPr>
                <w:noProof/>
                <w:webHidden/>
              </w:rPr>
            </w:r>
            <w:r w:rsidR="00F340A3">
              <w:rPr>
                <w:noProof/>
                <w:webHidden/>
              </w:rPr>
              <w:fldChar w:fldCharType="separate"/>
            </w:r>
            <w:r w:rsidR="00F05192">
              <w:rPr>
                <w:noProof/>
                <w:webHidden/>
              </w:rPr>
              <w:t>230</w:t>
            </w:r>
            <w:r w:rsidR="00F340A3">
              <w:rPr>
                <w:noProof/>
                <w:webHidden/>
              </w:rPr>
              <w:fldChar w:fldCharType="end"/>
            </w:r>
          </w:hyperlink>
        </w:p>
        <w:p w14:paraId="0D8BCB50" w14:textId="77777777" w:rsidR="00F340A3" w:rsidRDefault="00DF3C4F">
          <w:pPr>
            <w:pStyle w:val="Spistreci2"/>
            <w:rPr>
              <w:rFonts w:eastAsiaTheme="minorEastAsia"/>
              <w:noProof/>
              <w:lang w:eastAsia="pl-PL"/>
            </w:rPr>
          </w:pPr>
          <w:hyperlink w:anchor="_Toc530565109" w:history="1">
            <w:r w:rsidR="00F340A3" w:rsidRPr="00C77770">
              <w:rPr>
                <w:rStyle w:val="Hipercze"/>
                <w:rFonts w:cstheme="minorHAnsi"/>
                <w:noProof/>
              </w:rPr>
              <w:t>Ustawa z dnia 20 lutego 2015 r. o odnawialnych źródłach energii (Dz. U. z 2018 r. poz. 1269, 1544, 1629 i 1669)</w:t>
            </w:r>
            <w:r w:rsidR="00F340A3">
              <w:rPr>
                <w:noProof/>
                <w:webHidden/>
              </w:rPr>
              <w:tab/>
            </w:r>
            <w:r w:rsidR="00F340A3">
              <w:rPr>
                <w:noProof/>
                <w:webHidden/>
              </w:rPr>
              <w:fldChar w:fldCharType="begin"/>
            </w:r>
            <w:r w:rsidR="00F340A3">
              <w:rPr>
                <w:noProof/>
                <w:webHidden/>
              </w:rPr>
              <w:instrText xml:space="preserve"> PAGEREF _Toc530565109 \h </w:instrText>
            </w:r>
            <w:r w:rsidR="00F340A3">
              <w:rPr>
                <w:noProof/>
                <w:webHidden/>
              </w:rPr>
            </w:r>
            <w:r w:rsidR="00F340A3">
              <w:rPr>
                <w:noProof/>
                <w:webHidden/>
              </w:rPr>
              <w:fldChar w:fldCharType="separate"/>
            </w:r>
            <w:r w:rsidR="00F05192">
              <w:rPr>
                <w:noProof/>
                <w:webHidden/>
              </w:rPr>
              <w:t>231</w:t>
            </w:r>
            <w:r w:rsidR="00F340A3">
              <w:rPr>
                <w:noProof/>
                <w:webHidden/>
              </w:rPr>
              <w:fldChar w:fldCharType="end"/>
            </w:r>
          </w:hyperlink>
        </w:p>
        <w:p w14:paraId="47038318" w14:textId="77777777" w:rsidR="00F340A3" w:rsidRDefault="00DF3C4F">
          <w:pPr>
            <w:pStyle w:val="Spistreci2"/>
            <w:rPr>
              <w:rFonts w:eastAsiaTheme="minorEastAsia"/>
              <w:noProof/>
              <w:lang w:eastAsia="pl-PL"/>
            </w:rPr>
          </w:pPr>
          <w:hyperlink w:anchor="_Toc530565110" w:history="1">
            <w:r w:rsidR="00F340A3" w:rsidRPr="00C77770">
              <w:rPr>
                <w:rStyle w:val="Hipercze"/>
                <w:rFonts w:cstheme="minorHAnsi"/>
                <w:noProof/>
              </w:rPr>
              <w:t>Ustawa z dnia 20 marca 2015 r. o działaczach opozycji antykomunistycznej oraz osobach represjonowanych z powodów politycznych (Dz. U. z 2018 r. poz. 690)</w:t>
            </w:r>
            <w:r w:rsidR="00F340A3">
              <w:rPr>
                <w:noProof/>
                <w:webHidden/>
              </w:rPr>
              <w:tab/>
            </w:r>
            <w:r w:rsidR="00F340A3">
              <w:rPr>
                <w:noProof/>
                <w:webHidden/>
              </w:rPr>
              <w:fldChar w:fldCharType="begin"/>
            </w:r>
            <w:r w:rsidR="00F340A3">
              <w:rPr>
                <w:noProof/>
                <w:webHidden/>
              </w:rPr>
              <w:instrText xml:space="preserve"> PAGEREF _Toc530565110 \h </w:instrText>
            </w:r>
            <w:r w:rsidR="00F340A3">
              <w:rPr>
                <w:noProof/>
                <w:webHidden/>
              </w:rPr>
            </w:r>
            <w:r w:rsidR="00F340A3">
              <w:rPr>
                <w:noProof/>
                <w:webHidden/>
              </w:rPr>
              <w:fldChar w:fldCharType="separate"/>
            </w:r>
            <w:r w:rsidR="00F05192">
              <w:rPr>
                <w:noProof/>
                <w:webHidden/>
              </w:rPr>
              <w:t>232</w:t>
            </w:r>
            <w:r w:rsidR="00F340A3">
              <w:rPr>
                <w:noProof/>
                <w:webHidden/>
              </w:rPr>
              <w:fldChar w:fldCharType="end"/>
            </w:r>
          </w:hyperlink>
        </w:p>
        <w:p w14:paraId="6CC9110C" w14:textId="77777777" w:rsidR="00F340A3" w:rsidRDefault="00DF3C4F">
          <w:pPr>
            <w:pStyle w:val="Spistreci2"/>
            <w:rPr>
              <w:rFonts w:eastAsiaTheme="minorEastAsia"/>
              <w:noProof/>
              <w:lang w:eastAsia="pl-PL"/>
            </w:rPr>
          </w:pPr>
          <w:hyperlink w:anchor="_Toc530565111" w:history="1">
            <w:r w:rsidR="00F340A3" w:rsidRPr="00C77770">
              <w:rPr>
                <w:rStyle w:val="Hipercze"/>
                <w:rFonts w:cstheme="minorHAnsi"/>
                <w:noProof/>
              </w:rPr>
              <w:t>Ustawa z dnia 12 czerwca 2015 r. o systemie handlu uprawnieniami do emisji gazów cieplarnianych (Dz. U. z 2018 r. poz. 1201)</w:t>
            </w:r>
            <w:r w:rsidR="00F340A3">
              <w:rPr>
                <w:noProof/>
                <w:webHidden/>
              </w:rPr>
              <w:tab/>
            </w:r>
            <w:r w:rsidR="00F340A3">
              <w:rPr>
                <w:noProof/>
                <w:webHidden/>
              </w:rPr>
              <w:fldChar w:fldCharType="begin"/>
            </w:r>
            <w:r w:rsidR="00F340A3">
              <w:rPr>
                <w:noProof/>
                <w:webHidden/>
              </w:rPr>
              <w:instrText xml:space="preserve"> PAGEREF _Toc530565111 \h </w:instrText>
            </w:r>
            <w:r w:rsidR="00F340A3">
              <w:rPr>
                <w:noProof/>
                <w:webHidden/>
              </w:rPr>
            </w:r>
            <w:r w:rsidR="00F340A3">
              <w:rPr>
                <w:noProof/>
                <w:webHidden/>
              </w:rPr>
              <w:fldChar w:fldCharType="separate"/>
            </w:r>
            <w:r w:rsidR="00F05192">
              <w:rPr>
                <w:noProof/>
                <w:webHidden/>
              </w:rPr>
              <w:t>232</w:t>
            </w:r>
            <w:r w:rsidR="00F340A3">
              <w:rPr>
                <w:noProof/>
                <w:webHidden/>
              </w:rPr>
              <w:fldChar w:fldCharType="end"/>
            </w:r>
          </w:hyperlink>
        </w:p>
        <w:p w14:paraId="789FF7AF" w14:textId="77777777" w:rsidR="00F340A3" w:rsidRDefault="00DF3C4F">
          <w:pPr>
            <w:pStyle w:val="Spistreci2"/>
            <w:rPr>
              <w:rFonts w:eastAsiaTheme="minorEastAsia"/>
              <w:noProof/>
              <w:lang w:eastAsia="pl-PL"/>
            </w:rPr>
          </w:pPr>
          <w:hyperlink w:anchor="_Toc530565112" w:history="1">
            <w:r w:rsidR="00F340A3" w:rsidRPr="00C77770">
              <w:rPr>
                <w:rStyle w:val="Hipercze"/>
                <w:rFonts w:cstheme="minorHAnsi"/>
                <w:noProof/>
              </w:rPr>
              <w:t>Ustawa z dnia 25 czerwca 2015 r. o leczeniu niepłodności (Dz. U. z 2017 r. poz. 865)</w:t>
            </w:r>
            <w:r w:rsidR="00F340A3">
              <w:rPr>
                <w:noProof/>
                <w:webHidden/>
              </w:rPr>
              <w:tab/>
            </w:r>
            <w:r w:rsidR="00F340A3">
              <w:rPr>
                <w:noProof/>
                <w:webHidden/>
              </w:rPr>
              <w:fldChar w:fldCharType="begin"/>
            </w:r>
            <w:r w:rsidR="00F340A3">
              <w:rPr>
                <w:noProof/>
                <w:webHidden/>
              </w:rPr>
              <w:instrText xml:space="preserve"> PAGEREF _Toc530565112 \h </w:instrText>
            </w:r>
            <w:r w:rsidR="00F340A3">
              <w:rPr>
                <w:noProof/>
                <w:webHidden/>
              </w:rPr>
            </w:r>
            <w:r w:rsidR="00F340A3">
              <w:rPr>
                <w:noProof/>
                <w:webHidden/>
              </w:rPr>
              <w:fldChar w:fldCharType="separate"/>
            </w:r>
            <w:r w:rsidR="00F05192">
              <w:rPr>
                <w:noProof/>
                <w:webHidden/>
              </w:rPr>
              <w:t>233</w:t>
            </w:r>
            <w:r w:rsidR="00F340A3">
              <w:rPr>
                <w:noProof/>
                <w:webHidden/>
              </w:rPr>
              <w:fldChar w:fldCharType="end"/>
            </w:r>
          </w:hyperlink>
        </w:p>
        <w:p w14:paraId="2BEDFE5E" w14:textId="77777777" w:rsidR="00F340A3" w:rsidRDefault="00DF3C4F">
          <w:pPr>
            <w:pStyle w:val="Spistreci2"/>
            <w:rPr>
              <w:rFonts w:eastAsiaTheme="minorEastAsia"/>
              <w:noProof/>
              <w:lang w:eastAsia="pl-PL"/>
            </w:rPr>
          </w:pPr>
          <w:hyperlink w:anchor="_Toc530565113" w:history="1">
            <w:r w:rsidR="00F340A3" w:rsidRPr="00C77770">
              <w:rPr>
                <w:rStyle w:val="Hipercze"/>
                <w:rFonts w:cstheme="minorHAnsi"/>
                <w:noProof/>
              </w:rPr>
              <w:t>Ustawa z dnia 10 lipca 2015 r. o wspieraniu zrównoważonego rozwoju sektora rybackiego z udziałem Europejskiego Funduszu Morskiego i Rybackiego (Dz. U. z 2017 r. poz. 1267)</w:t>
            </w:r>
            <w:r w:rsidR="00F340A3">
              <w:rPr>
                <w:noProof/>
                <w:webHidden/>
              </w:rPr>
              <w:tab/>
            </w:r>
            <w:r w:rsidR="00F340A3">
              <w:rPr>
                <w:noProof/>
                <w:webHidden/>
              </w:rPr>
              <w:fldChar w:fldCharType="begin"/>
            </w:r>
            <w:r w:rsidR="00F340A3">
              <w:rPr>
                <w:noProof/>
                <w:webHidden/>
              </w:rPr>
              <w:instrText xml:space="preserve"> PAGEREF _Toc530565113 \h </w:instrText>
            </w:r>
            <w:r w:rsidR="00F340A3">
              <w:rPr>
                <w:noProof/>
                <w:webHidden/>
              </w:rPr>
            </w:r>
            <w:r w:rsidR="00F340A3">
              <w:rPr>
                <w:noProof/>
                <w:webHidden/>
              </w:rPr>
              <w:fldChar w:fldCharType="separate"/>
            </w:r>
            <w:r w:rsidR="00F05192">
              <w:rPr>
                <w:noProof/>
                <w:webHidden/>
              </w:rPr>
              <w:t>233</w:t>
            </w:r>
            <w:r w:rsidR="00F340A3">
              <w:rPr>
                <w:noProof/>
                <w:webHidden/>
              </w:rPr>
              <w:fldChar w:fldCharType="end"/>
            </w:r>
          </w:hyperlink>
        </w:p>
        <w:p w14:paraId="6444377C" w14:textId="77777777" w:rsidR="00F340A3" w:rsidRDefault="00DF3C4F">
          <w:pPr>
            <w:pStyle w:val="Spistreci2"/>
            <w:rPr>
              <w:rFonts w:eastAsiaTheme="minorEastAsia"/>
              <w:noProof/>
              <w:lang w:eastAsia="pl-PL"/>
            </w:rPr>
          </w:pPr>
          <w:hyperlink w:anchor="_Toc530565114" w:history="1">
            <w:r w:rsidR="00F340A3" w:rsidRPr="00C77770">
              <w:rPr>
                <w:rStyle w:val="Hipercze"/>
                <w:rFonts w:cstheme="minorHAnsi"/>
                <w:noProof/>
              </w:rPr>
              <w:t>Ustawa z dnia 11 września 2015 r. o działalności ubezpieczeniowej i reasekuracyjnej (Dz. U. z 2018 r. poz. 999, 1000 i 1669)</w:t>
            </w:r>
            <w:r w:rsidR="00F340A3">
              <w:rPr>
                <w:noProof/>
                <w:webHidden/>
              </w:rPr>
              <w:tab/>
            </w:r>
            <w:r w:rsidR="00F340A3">
              <w:rPr>
                <w:noProof/>
                <w:webHidden/>
              </w:rPr>
              <w:fldChar w:fldCharType="begin"/>
            </w:r>
            <w:r w:rsidR="00F340A3">
              <w:rPr>
                <w:noProof/>
                <w:webHidden/>
              </w:rPr>
              <w:instrText xml:space="preserve"> PAGEREF _Toc530565114 \h </w:instrText>
            </w:r>
            <w:r w:rsidR="00F340A3">
              <w:rPr>
                <w:noProof/>
                <w:webHidden/>
              </w:rPr>
            </w:r>
            <w:r w:rsidR="00F340A3">
              <w:rPr>
                <w:noProof/>
                <w:webHidden/>
              </w:rPr>
              <w:fldChar w:fldCharType="separate"/>
            </w:r>
            <w:r w:rsidR="00F05192">
              <w:rPr>
                <w:noProof/>
                <w:webHidden/>
              </w:rPr>
              <w:t>233</w:t>
            </w:r>
            <w:r w:rsidR="00F340A3">
              <w:rPr>
                <w:noProof/>
                <w:webHidden/>
              </w:rPr>
              <w:fldChar w:fldCharType="end"/>
            </w:r>
          </w:hyperlink>
        </w:p>
        <w:p w14:paraId="281179FF" w14:textId="77777777" w:rsidR="00F340A3" w:rsidRDefault="00DF3C4F">
          <w:pPr>
            <w:pStyle w:val="Spistreci2"/>
            <w:rPr>
              <w:rFonts w:eastAsiaTheme="minorEastAsia"/>
              <w:noProof/>
              <w:lang w:eastAsia="pl-PL"/>
            </w:rPr>
          </w:pPr>
          <w:hyperlink w:anchor="_Toc530565115" w:history="1">
            <w:r w:rsidR="00F340A3" w:rsidRPr="00C77770">
              <w:rPr>
                <w:rStyle w:val="Hipercze"/>
                <w:rFonts w:cstheme="minorHAnsi"/>
                <w:noProof/>
              </w:rPr>
              <w:t>Ustawa z dnia 9 października 2015 r. o wykonywaniu Umowy między Rządem Rzeczypospolitej Polskiej a Rządem Stanów Zjednoczonych Ameryki w sprawie poprawy wypełniania międzynarodowych obowiązków podatkowych oraz wdrożenia ustawodawstwa FATCA (Dz. U. z 2017 r. poz. 1858)</w:t>
            </w:r>
            <w:r w:rsidR="00F340A3">
              <w:rPr>
                <w:noProof/>
                <w:webHidden/>
              </w:rPr>
              <w:tab/>
            </w:r>
            <w:r w:rsidR="00F340A3">
              <w:rPr>
                <w:noProof/>
                <w:webHidden/>
              </w:rPr>
              <w:fldChar w:fldCharType="begin"/>
            </w:r>
            <w:r w:rsidR="00F340A3">
              <w:rPr>
                <w:noProof/>
                <w:webHidden/>
              </w:rPr>
              <w:instrText xml:space="preserve"> PAGEREF _Toc530565115 \h </w:instrText>
            </w:r>
            <w:r w:rsidR="00F340A3">
              <w:rPr>
                <w:noProof/>
                <w:webHidden/>
              </w:rPr>
            </w:r>
            <w:r w:rsidR="00F340A3">
              <w:rPr>
                <w:noProof/>
                <w:webHidden/>
              </w:rPr>
              <w:fldChar w:fldCharType="separate"/>
            </w:r>
            <w:r w:rsidR="00F05192">
              <w:rPr>
                <w:noProof/>
                <w:webHidden/>
              </w:rPr>
              <w:t>239</w:t>
            </w:r>
            <w:r w:rsidR="00F340A3">
              <w:rPr>
                <w:noProof/>
                <w:webHidden/>
              </w:rPr>
              <w:fldChar w:fldCharType="end"/>
            </w:r>
          </w:hyperlink>
        </w:p>
        <w:p w14:paraId="4181FF55" w14:textId="77777777" w:rsidR="00F340A3" w:rsidRDefault="00DF3C4F">
          <w:pPr>
            <w:pStyle w:val="Spistreci2"/>
            <w:rPr>
              <w:rFonts w:eastAsiaTheme="minorEastAsia"/>
              <w:noProof/>
              <w:lang w:eastAsia="pl-PL"/>
            </w:rPr>
          </w:pPr>
          <w:hyperlink w:anchor="_Toc530565116" w:history="1">
            <w:r w:rsidR="00F340A3" w:rsidRPr="00C77770">
              <w:rPr>
                <w:rStyle w:val="Hipercze"/>
                <w:rFonts w:cstheme="minorHAnsi"/>
                <w:noProof/>
              </w:rPr>
              <w:t>Ustawa z dnia 9 października 2015 r. o rewitalizacji (Dz. U. z 2018 r. poz. 1398)</w:t>
            </w:r>
            <w:r w:rsidR="00F340A3">
              <w:rPr>
                <w:noProof/>
                <w:webHidden/>
              </w:rPr>
              <w:tab/>
            </w:r>
            <w:r w:rsidR="00F340A3">
              <w:rPr>
                <w:noProof/>
                <w:webHidden/>
              </w:rPr>
              <w:fldChar w:fldCharType="begin"/>
            </w:r>
            <w:r w:rsidR="00F340A3">
              <w:rPr>
                <w:noProof/>
                <w:webHidden/>
              </w:rPr>
              <w:instrText xml:space="preserve"> PAGEREF _Toc530565116 \h </w:instrText>
            </w:r>
            <w:r w:rsidR="00F340A3">
              <w:rPr>
                <w:noProof/>
                <w:webHidden/>
              </w:rPr>
            </w:r>
            <w:r w:rsidR="00F340A3">
              <w:rPr>
                <w:noProof/>
                <w:webHidden/>
              </w:rPr>
              <w:fldChar w:fldCharType="separate"/>
            </w:r>
            <w:r w:rsidR="00F05192">
              <w:rPr>
                <w:noProof/>
                <w:webHidden/>
              </w:rPr>
              <w:t>239</w:t>
            </w:r>
            <w:r w:rsidR="00F340A3">
              <w:rPr>
                <w:noProof/>
                <w:webHidden/>
              </w:rPr>
              <w:fldChar w:fldCharType="end"/>
            </w:r>
          </w:hyperlink>
        </w:p>
        <w:p w14:paraId="332D3599" w14:textId="77777777" w:rsidR="00F340A3" w:rsidRDefault="00DF3C4F">
          <w:pPr>
            <w:pStyle w:val="Spistreci2"/>
            <w:rPr>
              <w:rFonts w:eastAsiaTheme="minorEastAsia"/>
              <w:noProof/>
              <w:lang w:eastAsia="pl-PL"/>
            </w:rPr>
          </w:pPr>
          <w:hyperlink w:anchor="_Toc530565117" w:history="1">
            <w:r w:rsidR="00F340A3" w:rsidRPr="00C77770">
              <w:rPr>
                <w:rStyle w:val="Hipercze"/>
                <w:rFonts w:cstheme="minorHAnsi"/>
                <w:noProof/>
              </w:rPr>
              <w:t>Ustawa z dnia 11 lutego 2016 r. o pomocy państwa w wychowywaniu dzieci (Dz. U. z 2018 r. poz. 2134)</w:t>
            </w:r>
            <w:r w:rsidR="00F340A3">
              <w:rPr>
                <w:noProof/>
                <w:webHidden/>
              </w:rPr>
              <w:tab/>
            </w:r>
            <w:r w:rsidR="00F340A3">
              <w:rPr>
                <w:noProof/>
                <w:webHidden/>
              </w:rPr>
              <w:fldChar w:fldCharType="begin"/>
            </w:r>
            <w:r w:rsidR="00F340A3">
              <w:rPr>
                <w:noProof/>
                <w:webHidden/>
              </w:rPr>
              <w:instrText xml:space="preserve"> PAGEREF _Toc530565117 \h </w:instrText>
            </w:r>
            <w:r w:rsidR="00F340A3">
              <w:rPr>
                <w:noProof/>
                <w:webHidden/>
              </w:rPr>
            </w:r>
            <w:r w:rsidR="00F340A3">
              <w:rPr>
                <w:noProof/>
                <w:webHidden/>
              </w:rPr>
              <w:fldChar w:fldCharType="separate"/>
            </w:r>
            <w:r w:rsidR="00F05192">
              <w:rPr>
                <w:noProof/>
                <w:webHidden/>
              </w:rPr>
              <w:t>240</w:t>
            </w:r>
            <w:r w:rsidR="00F340A3">
              <w:rPr>
                <w:noProof/>
                <w:webHidden/>
              </w:rPr>
              <w:fldChar w:fldCharType="end"/>
            </w:r>
          </w:hyperlink>
        </w:p>
        <w:p w14:paraId="686E00A0" w14:textId="77777777" w:rsidR="00F340A3" w:rsidRDefault="00DF3C4F">
          <w:pPr>
            <w:pStyle w:val="Spistreci2"/>
            <w:rPr>
              <w:rFonts w:eastAsiaTheme="minorEastAsia"/>
              <w:noProof/>
              <w:lang w:eastAsia="pl-PL"/>
            </w:rPr>
          </w:pPr>
          <w:hyperlink w:anchor="_Toc530565118" w:history="1">
            <w:r w:rsidR="00F340A3" w:rsidRPr="00C77770">
              <w:rPr>
                <w:rStyle w:val="Hipercze"/>
                <w:rFonts w:cstheme="minorHAnsi"/>
                <w:noProof/>
              </w:rPr>
              <w:t>Ustawa z dnia 25 lutego 2016 r. o ponownym wykorzystywaniu informacji sektora publicznego (Dz. U. z 2018 r. poz. 1243 i 1669)</w:t>
            </w:r>
            <w:r w:rsidR="00F340A3">
              <w:rPr>
                <w:noProof/>
                <w:webHidden/>
              </w:rPr>
              <w:tab/>
            </w:r>
            <w:r w:rsidR="00F340A3">
              <w:rPr>
                <w:noProof/>
                <w:webHidden/>
              </w:rPr>
              <w:fldChar w:fldCharType="begin"/>
            </w:r>
            <w:r w:rsidR="00F340A3">
              <w:rPr>
                <w:noProof/>
                <w:webHidden/>
              </w:rPr>
              <w:instrText xml:space="preserve"> PAGEREF _Toc530565118 \h </w:instrText>
            </w:r>
            <w:r w:rsidR="00F340A3">
              <w:rPr>
                <w:noProof/>
                <w:webHidden/>
              </w:rPr>
            </w:r>
            <w:r w:rsidR="00F340A3">
              <w:rPr>
                <w:noProof/>
                <w:webHidden/>
              </w:rPr>
              <w:fldChar w:fldCharType="separate"/>
            </w:r>
            <w:r w:rsidR="00F05192">
              <w:rPr>
                <w:noProof/>
                <w:webHidden/>
              </w:rPr>
              <w:t>242</w:t>
            </w:r>
            <w:r w:rsidR="00F340A3">
              <w:rPr>
                <w:noProof/>
                <w:webHidden/>
              </w:rPr>
              <w:fldChar w:fldCharType="end"/>
            </w:r>
          </w:hyperlink>
        </w:p>
        <w:p w14:paraId="5F1AF65B" w14:textId="77777777" w:rsidR="00F340A3" w:rsidRDefault="00DF3C4F">
          <w:pPr>
            <w:pStyle w:val="Spistreci2"/>
            <w:rPr>
              <w:rFonts w:eastAsiaTheme="minorEastAsia"/>
              <w:noProof/>
              <w:lang w:eastAsia="pl-PL"/>
            </w:rPr>
          </w:pPr>
          <w:hyperlink w:anchor="_Toc530565119" w:history="1">
            <w:r w:rsidR="00F340A3" w:rsidRPr="00C77770">
              <w:rPr>
                <w:rStyle w:val="Hipercze"/>
                <w:rFonts w:eastAsia="Times New Roman" w:cstheme="minorHAnsi"/>
                <w:noProof/>
              </w:rPr>
              <w:t>Ustawa z dnia 29 kwietnia 2016 r. o szczególnych zasadach wykonywania niektórych zadań z zakresu informatyzacji działalności organów Krajowej Administracji Skarbowej (Dz. U. z 2017 r. poz. 2192)</w:t>
            </w:r>
            <w:r w:rsidR="00F340A3">
              <w:rPr>
                <w:noProof/>
                <w:webHidden/>
              </w:rPr>
              <w:tab/>
            </w:r>
            <w:r w:rsidR="00F340A3">
              <w:rPr>
                <w:noProof/>
                <w:webHidden/>
              </w:rPr>
              <w:fldChar w:fldCharType="begin"/>
            </w:r>
            <w:r w:rsidR="00F340A3">
              <w:rPr>
                <w:noProof/>
                <w:webHidden/>
              </w:rPr>
              <w:instrText xml:space="preserve"> PAGEREF _Toc530565119 \h </w:instrText>
            </w:r>
            <w:r w:rsidR="00F340A3">
              <w:rPr>
                <w:noProof/>
                <w:webHidden/>
              </w:rPr>
            </w:r>
            <w:r w:rsidR="00F340A3">
              <w:rPr>
                <w:noProof/>
                <w:webHidden/>
              </w:rPr>
              <w:fldChar w:fldCharType="separate"/>
            </w:r>
            <w:r w:rsidR="00F05192">
              <w:rPr>
                <w:noProof/>
                <w:webHidden/>
              </w:rPr>
              <w:t>245</w:t>
            </w:r>
            <w:r w:rsidR="00F340A3">
              <w:rPr>
                <w:noProof/>
                <w:webHidden/>
              </w:rPr>
              <w:fldChar w:fldCharType="end"/>
            </w:r>
          </w:hyperlink>
        </w:p>
        <w:p w14:paraId="2869E10B" w14:textId="77777777" w:rsidR="00F340A3" w:rsidRDefault="00DF3C4F">
          <w:pPr>
            <w:pStyle w:val="Spistreci2"/>
            <w:rPr>
              <w:rFonts w:eastAsiaTheme="minorEastAsia"/>
              <w:noProof/>
              <w:lang w:eastAsia="pl-PL"/>
            </w:rPr>
          </w:pPr>
          <w:hyperlink w:anchor="_Toc530565120" w:history="1">
            <w:r w:rsidR="00F340A3" w:rsidRPr="00C77770">
              <w:rPr>
                <w:rStyle w:val="Hipercze"/>
                <w:rFonts w:eastAsia="Times New Roman" w:cstheme="minorHAnsi"/>
                <w:noProof/>
              </w:rPr>
              <w:t>Ustawa z dnia 13 maja 2016 r. o przeciwdziałaniu zagrożeniom przestępczością na tle seksualnym (Dz. U. z 2018 r. poz. 405)</w:t>
            </w:r>
            <w:r w:rsidR="00F340A3">
              <w:rPr>
                <w:noProof/>
                <w:webHidden/>
              </w:rPr>
              <w:tab/>
            </w:r>
            <w:r w:rsidR="00F340A3">
              <w:rPr>
                <w:noProof/>
                <w:webHidden/>
              </w:rPr>
              <w:fldChar w:fldCharType="begin"/>
            </w:r>
            <w:r w:rsidR="00F340A3">
              <w:rPr>
                <w:noProof/>
                <w:webHidden/>
              </w:rPr>
              <w:instrText xml:space="preserve"> PAGEREF _Toc530565120 \h </w:instrText>
            </w:r>
            <w:r w:rsidR="00F340A3">
              <w:rPr>
                <w:noProof/>
                <w:webHidden/>
              </w:rPr>
            </w:r>
            <w:r w:rsidR="00F340A3">
              <w:rPr>
                <w:noProof/>
                <w:webHidden/>
              </w:rPr>
              <w:fldChar w:fldCharType="separate"/>
            </w:r>
            <w:r w:rsidR="00F05192">
              <w:rPr>
                <w:noProof/>
                <w:webHidden/>
              </w:rPr>
              <w:t>246</w:t>
            </w:r>
            <w:r w:rsidR="00F340A3">
              <w:rPr>
                <w:noProof/>
                <w:webHidden/>
              </w:rPr>
              <w:fldChar w:fldCharType="end"/>
            </w:r>
          </w:hyperlink>
        </w:p>
        <w:p w14:paraId="00EB30A0" w14:textId="77777777" w:rsidR="00F340A3" w:rsidRDefault="00DF3C4F">
          <w:pPr>
            <w:pStyle w:val="Spistreci2"/>
            <w:rPr>
              <w:rFonts w:eastAsiaTheme="minorEastAsia"/>
              <w:noProof/>
              <w:lang w:eastAsia="pl-PL"/>
            </w:rPr>
          </w:pPr>
          <w:hyperlink w:anchor="_Toc530565121" w:history="1">
            <w:r w:rsidR="00F340A3" w:rsidRPr="00C77770">
              <w:rPr>
                <w:rStyle w:val="Hipercze"/>
                <w:rFonts w:eastAsia="Times New Roman" w:cstheme="minorHAnsi"/>
                <w:noProof/>
              </w:rPr>
              <w:t>Ustawa z dnia 10 czerwca 2016 r. o Bankowym Funduszu Gwarancyjnym, systemie gwarantowania depozytów oraz przymusowej restrukturyzacji (Dz. U. z 2017 r. poz. 1937 i 2491 oraz z 2018 r. poz. 685, 723 i 1637)</w:t>
            </w:r>
            <w:r w:rsidR="00F340A3">
              <w:rPr>
                <w:noProof/>
                <w:webHidden/>
              </w:rPr>
              <w:tab/>
            </w:r>
            <w:r w:rsidR="00F340A3">
              <w:rPr>
                <w:noProof/>
                <w:webHidden/>
              </w:rPr>
              <w:fldChar w:fldCharType="begin"/>
            </w:r>
            <w:r w:rsidR="00F340A3">
              <w:rPr>
                <w:noProof/>
                <w:webHidden/>
              </w:rPr>
              <w:instrText xml:space="preserve"> PAGEREF _Toc530565121 \h </w:instrText>
            </w:r>
            <w:r w:rsidR="00F340A3">
              <w:rPr>
                <w:noProof/>
                <w:webHidden/>
              </w:rPr>
            </w:r>
            <w:r w:rsidR="00F340A3">
              <w:rPr>
                <w:noProof/>
                <w:webHidden/>
              </w:rPr>
              <w:fldChar w:fldCharType="separate"/>
            </w:r>
            <w:r w:rsidR="00F05192">
              <w:rPr>
                <w:noProof/>
                <w:webHidden/>
              </w:rPr>
              <w:t>246</w:t>
            </w:r>
            <w:r w:rsidR="00F340A3">
              <w:rPr>
                <w:noProof/>
                <w:webHidden/>
              </w:rPr>
              <w:fldChar w:fldCharType="end"/>
            </w:r>
          </w:hyperlink>
        </w:p>
        <w:p w14:paraId="59B5247E" w14:textId="77777777" w:rsidR="00F340A3" w:rsidRDefault="00DF3C4F">
          <w:pPr>
            <w:pStyle w:val="Spistreci2"/>
            <w:rPr>
              <w:rFonts w:eastAsiaTheme="minorEastAsia"/>
              <w:noProof/>
              <w:lang w:eastAsia="pl-PL"/>
            </w:rPr>
          </w:pPr>
          <w:hyperlink w:anchor="_Toc530565122" w:history="1">
            <w:r w:rsidR="00F340A3" w:rsidRPr="00C77770">
              <w:rPr>
                <w:rStyle w:val="Hipercze"/>
                <w:rFonts w:eastAsia="Times New Roman" w:cstheme="minorHAnsi"/>
                <w:noProof/>
              </w:rPr>
              <w:t>Ustawa z dnia 21 października 2016 r. o umowie koncesji na roboty budowlane lub usługi (Dz. U. poz. 1920 oraz z 2018 r. poz. 1669 i 1693)</w:t>
            </w:r>
            <w:r w:rsidR="00F340A3">
              <w:rPr>
                <w:noProof/>
                <w:webHidden/>
              </w:rPr>
              <w:tab/>
            </w:r>
            <w:r w:rsidR="00F340A3">
              <w:rPr>
                <w:noProof/>
                <w:webHidden/>
              </w:rPr>
              <w:fldChar w:fldCharType="begin"/>
            </w:r>
            <w:r w:rsidR="00F340A3">
              <w:rPr>
                <w:noProof/>
                <w:webHidden/>
              </w:rPr>
              <w:instrText xml:space="preserve"> PAGEREF _Toc530565122 \h </w:instrText>
            </w:r>
            <w:r w:rsidR="00F340A3">
              <w:rPr>
                <w:noProof/>
                <w:webHidden/>
              </w:rPr>
            </w:r>
            <w:r w:rsidR="00F340A3">
              <w:rPr>
                <w:noProof/>
                <w:webHidden/>
              </w:rPr>
              <w:fldChar w:fldCharType="separate"/>
            </w:r>
            <w:r w:rsidR="00F05192">
              <w:rPr>
                <w:noProof/>
                <w:webHidden/>
              </w:rPr>
              <w:t>248</w:t>
            </w:r>
            <w:r w:rsidR="00F340A3">
              <w:rPr>
                <w:noProof/>
                <w:webHidden/>
              </w:rPr>
              <w:fldChar w:fldCharType="end"/>
            </w:r>
          </w:hyperlink>
        </w:p>
        <w:p w14:paraId="1545E2B9" w14:textId="77777777" w:rsidR="00F340A3" w:rsidRDefault="00DF3C4F">
          <w:pPr>
            <w:pStyle w:val="Spistreci2"/>
            <w:rPr>
              <w:rFonts w:eastAsiaTheme="minorEastAsia"/>
              <w:noProof/>
              <w:lang w:eastAsia="pl-PL"/>
            </w:rPr>
          </w:pPr>
          <w:hyperlink w:anchor="_Toc530565123" w:history="1">
            <w:r w:rsidR="00F340A3" w:rsidRPr="00C77770">
              <w:rPr>
                <w:rStyle w:val="Hipercze"/>
                <w:rFonts w:eastAsia="Times New Roman" w:cstheme="minorHAnsi"/>
                <w:noProof/>
              </w:rPr>
              <w:t>Ustawa z dnia 16 listopada 2016 r. o Krajowej Administracji Skarbowej (Dz. U. z 2018 r. poz. 508, 650, 723, 1000, 1039, 1499, 1544, 1577 i 1654)</w:t>
            </w:r>
            <w:r w:rsidR="00F340A3">
              <w:rPr>
                <w:noProof/>
                <w:webHidden/>
              </w:rPr>
              <w:tab/>
            </w:r>
            <w:r w:rsidR="00F340A3">
              <w:rPr>
                <w:noProof/>
                <w:webHidden/>
              </w:rPr>
              <w:fldChar w:fldCharType="begin"/>
            </w:r>
            <w:r w:rsidR="00F340A3">
              <w:rPr>
                <w:noProof/>
                <w:webHidden/>
              </w:rPr>
              <w:instrText xml:space="preserve"> PAGEREF _Toc530565123 \h </w:instrText>
            </w:r>
            <w:r w:rsidR="00F340A3">
              <w:rPr>
                <w:noProof/>
                <w:webHidden/>
              </w:rPr>
            </w:r>
            <w:r w:rsidR="00F340A3">
              <w:rPr>
                <w:noProof/>
                <w:webHidden/>
              </w:rPr>
              <w:fldChar w:fldCharType="separate"/>
            </w:r>
            <w:r w:rsidR="00F05192">
              <w:rPr>
                <w:noProof/>
                <w:webHidden/>
              </w:rPr>
              <w:t>256</w:t>
            </w:r>
            <w:r w:rsidR="00F340A3">
              <w:rPr>
                <w:noProof/>
                <w:webHidden/>
              </w:rPr>
              <w:fldChar w:fldCharType="end"/>
            </w:r>
          </w:hyperlink>
        </w:p>
        <w:p w14:paraId="35179632" w14:textId="77777777" w:rsidR="00F340A3" w:rsidRDefault="00DF3C4F">
          <w:pPr>
            <w:pStyle w:val="Spistreci2"/>
            <w:rPr>
              <w:rFonts w:eastAsiaTheme="minorEastAsia"/>
              <w:noProof/>
              <w:lang w:eastAsia="pl-PL"/>
            </w:rPr>
          </w:pPr>
          <w:hyperlink w:anchor="_Toc530565124" w:history="1">
            <w:r w:rsidR="00F340A3" w:rsidRPr="00C77770">
              <w:rPr>
                <w:rStyle w:val="Hipercze"/>
                <w:rFonts w:eastAsia="Times New Roman" w:cstheme="minorHAnsi"/>
                <w:noProof/>
              </w:rPr>
              <w:t>Ustawa z dnia 30 listopada 2016 r. o organizacji i trybie postępowania przed Trybunałem Konstytucyjnym (Dz. U. poz. 2072)</w:t>
            </w:r>
            <w:r w:rsidR="00F340A3">
              <w:rPr>
                <w:noProof/>
                <w:webHidden/>
              </w:rPr>
              <w:tab/>
            </w:r>
            <w:r w:rsidR="00F340A3">
              <w:rPr>
                <w:noProof/>
                <w:webHidden/>
              </w:rPr>
              <w:fldChar w:fldCharType="begin"/>
            </w:r>
            <w:r w:rsidR="00F340A3">
              <w:rPr>
                <w:noProof/>
                <w:webHidden/>
              </w:rPr>
              <w:instrText xml:space="preserve"> PAGEREF _Toc530565124 \h </w:instrText>
            </w:r>
            <w:r w:rsidR="00F340A3">
              <w:rPr>
                <w:noProof/>
                <w:webHidden/>
              </w:rPr>
            </w:r>
            <w:r w:rsidR="00F340A3">
              <w:rPr>
                <w:noProof/>
                <w:webHidden/>
              </w:rPr>
              <w:fldChar w:fldCharType="separate"/>
            </w:r>
            <w:r w:rsidR="00F05192">
              <w:rPr>
                <w:noProof/>
                <w:webHidden/>
              </w:rPr>
              <w:t>260</w:t>
            </w:r>
            <w:r w:rsidR="00F340A3">
              <w:rPr>
                <w:noProof/>
                <w:webHidden/>
              </w:rPr>
              <w:fldChar w:fldCharType="end"/>
            </w:r>
          </w:hyperlink>
        </w:p>
        <w:p w14:paraId="64E9BE79" w14:textId="77777777" w:rsidR="00F340A3" w:rsidRDefault="00DF3C4F">
          <w:pPr>
            <w:pStyle w:val="Spistreci2"/>
            <w:rPr>
              <w:rFonts w:eastAsiaTheme="minorEastAsia"/>
              <w:noProof/>
              <w:lang w:eastAsia="pl-PL"/>
            </w:rPr>
          </w:pPr>
          <w:hyperlink w:anchor="_Toc530565125" w:history="1">
            <w:r w:rsidR="00F340A3" w:rsidRPr="00C77770">
              <w:rPr>
                <w:rStyle w:val="Hipercze"/>
                <w:rFonts w:eastAsia="Times New Roman" w:cstheme="minorHAnsi"/>
                <w:noProof/>
              </w:rPr>
              <w:t>Ustawa z dnia 14 grudnia 2016 r. – Prawo oświatowe (Dz. U. z 2018 r. poz. 996, 1000, 1290 i 1669)</w:t>
            </w:r>
            <w:r w:rsidR="00F340A3">
              <w:rPr>
                <w:noProof/>
                <w:webHidden/>
              </w:rPr>
              <w:tab/>
            </w:r>
            <w:r w:rsidR="00F340A3">
              <w:rPr>
                <w:noProof/>
                <w:webHidden/>
              </w:rPr>
              <w:fldChar w:fldCharType="begin"/>
            </w:r>
            <w:r w:rsidR="00F340A3">
              <w:rPr>
                <w:noProof/>
                <w:webHidden/>
              </w:rPr>
              <w:instrText xml:space="preserve"> PAGEREF _Toc530565125 \h </w:instrText>
            </w:r>
            <w:r w:rsidR="00F340A3">
              <w:rPr>
                <w:noProof/>
                <w:webHidden/>
              </w:rPr>
            </w:r>
            <w:r w:rsidR="00F340A3">
              <w:rPr>
                <w:noProof/>
                <w:webHidden/>
              </w:rPr>
              <w:fldChar w:fldCharType="separate"/>
            </w:r>
            <w:r w:rsidR="00F05192">
              <w:rPr>
                <w:noProof/>
                <w:webHidden/>
              </w:rPr>
              <w:t>260</w:t>
            </w:r>
            <w:r w:rsidR="00F340A3">
              <w:rPr>
                <w:noProof/>
                <w:webHidden/>
              </w:rPr>
              <w:fldChar w:fldCharType="end"/>
            </w:r>
          </w:hyperlink>
        </w:p>
        <w:p w14:paraId="763D1EA4" w14:textId="77777777" w:rsidR="00F340A3" w:rsidRDefault="00DF3C4F">
          <w:pPr>
            <w:pStyle w:val="Spistreci2"/>
            <w:rPr>
              <w:rFonts w:eastAsiaTheme="minorEastAsia"/>
              <w:noProof/>
              <w:lang w:eastAsia="pl-PL"/>
            </w:rPr>
          </w:pPr>
          <w:hyperlink w:anchor="_Toc530565126" w:history="1">
            <w:r w:rsidR="00F340A3" w:rsidRPr="00C77770">
              <w:rPr>
                <w:rStyle w:val="Hipercze"/>
                <w:rFonts w:eastAsia="Times New Roman" w:cstheme="minorHAnsi"/>
                <w:noProof/>
              </w:rPr>
              <w:t>Ustawa z dnia 15 grudnia 2016 r. o Prokuratorii Generalnej Rzeczypospolitej Polskiej (Dz. U. poz. 2261 oraz z 2018 r. poz. 723, 1544 i 1669)</w:t>
            </w:r>
            <w:r w:rsidR="00F340A3">
              <w:rPr>
                <w:noProof/>
                <w:webHidden/>
              </w:rPr>
              <w:tab/>
            </w:r>
            <w:r w:rsidR="00F340A3">
              <w:rPr>
                <w:noProof/>
                <w:webHidden/>
              </w:rPr>
              <w:fldChar w:fldCharType="begin"/>
            </w:r>
            <w:r w:rsidR="00F340A3">
              <w:rPr>
                <w:noProof/>
                <w:webHidden/>
              </w:rPr>
              <w:instrText xml:space="preserve"> PAGEREF _Toc530565126 \h </w:instrText>
            </w:r>
            <w:r w:rsidR="00F340A3">
              <w:rPr>
                <w:noProof/>
                <w:webHidden/>
              </w:rPr>
            </w:r>
            <w:r w:rsidR="00F340A3">
              <w:rPr>
                <w:noProof/>
                <w:webHidden/>
              </w:rPr>
              <w:fldChar w:fldCharType="separate"/>
            </w:r>
            <w:r w:rsidR="00F05192">
              <w:rPr>
                <w:noProof/>
                <w:webHidden/>
              </w:rPr>
              <w:t>261</w:t>
            </w:r>
            <w:r w:rsidR="00F340A3">
              <w:rPr>
                <w:noProof/>
                <w:webHidden/>
              </w:rPr>
              <w:fldChar w:fldCharType="end"/>
            </w:r>
          </w:hyperlink>
        </w:p>
        <w:p w14:paraId="21CD6EFE" w14:textId="77777777" w:rsidR="00F340A3" w:rsidRDefault="00DF3C4F">
          <w:pPr>
            <w:pStyle w:val="Spistreci2"/>
            <w:rPr>
              <w:rFonts w:eastAsiaTheme="minorEastAsia"/>
              <w:noProof/>
              <w:lang w:eastAsia="pl-PL"/>
            </w:rPr>
          </w:pPr>
          <w:hyperlink w:anchor="_Toc530565127" w:history="1">
            <w:r w:rsidR="00F340A3" w:rsidRPr="00C77770">
              <w:rPr>
                <w:rStyle w:val="Hipercze"/>
                <w:rFonts w:eastAsia="Times New Roman" w:cstheme="minorHAnsi"/>
                <w:noProof/>
              </w:rPr>
              <w:t>Ustawa z dnia 16 grudnia 2016 r. o zasadach zarządzania mieniem państwowym (Dz. U. z 2018 r. poz. 1182, 1669, 1735 i 2024)</w:t>
            </w:r>
            <w:r w:rsidR="00F340A3">
              <w:rPr>
                <w:noProof/>
                <w:webHidden/>
              </w:rPr>
              <w:tab/>
            </w:r>
            <w:r w:rsidR="00F340A3">
              <w:rPr>
                <w:noProof/>
                <w:webHidden/>
              </w:rPr>
              <w:fldChar w:fldCharType="begin"/>
            </w:r>
            <w:r w:rsidR="00F340A3">
              <w:rPr>
                <w:noProof/>
                <w:webHidden/>
              </w:rPr>
              <w:instrText xml:space="preserve"> PAGEREF _Toc530565127 \h </w:instrText>
            </w:r>
            <w:r w:rsidR="00F340A3">
              <w:rPr>
                <w:noProof/>
                <w:webHidden/>
              </w:rPr>
            </w:r>
            <w:r w:rsidR="00F340A3">
              <w:rPr>
                <w:noProof/>
                <w:webHidden/>
              </w:rPr>
              <w:fldChar w:fldCharType="separate"/>
            </w:r>
            <w:r w:rsidR="00F05192">
              <w:rPr>
                <w:noProof/>
                <w:webHidden/>
              </w:rPr>
              <w:t>268</w:t>
            </w:r>
            <w:r w:rsidR="00F340A3">
              <w:rPr>
                <w:noProof/>
                <w:webHidden/>
              </w:rPr>
              <w:fldChar w:fldCharType="end"/>
            </w:r>
          </w:hyperlink>
        </w:p>
        <w:p w14:paraId="6127D206" w14:textId="7F8B9B7B" w:rsidR="00F340A3" w:rsidRDefault="00DF3C4F">
          <w:pPr>
            <w:pStyle w:val="Spistreci2"/>
            <w:rPr>
              <w:rFonts w:eastAsiaTheme="minorEastAsia"/>
              <w:noProof/>
              <w:lang w:eastAsia="pl-PL"/>
            </w:rPr>
          </w:pPr>
          <w:hyperlink w:anchor="_Toc530565128" w:history="1">
            <w:r w:rsidR="00F340A3" w:rsidRPr="00C77770">
              <w:rPr>
                <w:rStyle w:val="Hipercze"/>
                <w:rFonts w:eastAsia="Times New Roman" w:cstheme="minorHAnsi"/>
                <w:noProof/>
              </w:rPr>
              <w:t>Ustawa z dnia 16 grudnia 2016 r. – Przepisy wprowadzające ustawę o zasadach zarządzania mieniem państwowym (Dz. U. poz. 2260 oraz z 2018 r. poz. 1669</w:t>
            </w:r>
            <w:r w:rsidR="00280C01">
              <w:rPr>
                <w:rStyle w:val="Hipercze"/>
                <w:rFonts w:eastAsia="Times New Roman" w:cstheme="minorHAnsi"/>
                <w:noProof/>
              </w:rPr>
              <w:t xml:space="preserve"> i 2159</w:t>
            </w:r>
            <w:r w:rsidR="00F340A3" w:rsidRPr="00C77770">
              <w:rPr>
                <w:rStyle w:val="Hipercze"/>
                <w:rFonts w:eastAsia="Times New Roman" w:cstheme="minorHAnsi"/>
                <w:noProof/>
              </w:rPr>
              <w:t>)</w:t>
            </w:r>
            <w:r w:rsidR="00F340A3">
              <w:rPr>
                <w:noProof/>
                <w:webHidden/>
              </w:rPr>
              <w:tab/>
            </w:r>
            <w:r w:rsidR="00F340A3">
              <w:rPr>
                <w:noProof/>
                <w:webHidden/>
              </w:rPr>
              <w:fldChar w:fldCharType="begin"/>
            </w:r>
            <w:r w:rsidR="00F340A3">
              <w:rPr>
                <w:noProof/>
                <w:webHidden/>
              </w:rPr>
              <w:instrText xml:space="preserve"> PAGEREF _Toc530565128 \h </w:instrText>
            </w:r>
            <w:r w:rsidR="00F340A3">
              <w:rPr>
                <w:noProof/>
                <w:webHidden/>
              </w:rPr>
            </w:r>
            <w:r w:rsidR="00F340A3">
              <w:rPr>
                <w:noProof/>
                <w:webHidden/>
              </w:rPr>
              <w:fldChar w:fldCharType="separate"/>
            </w:r>
            <w:r w:rsidR="00F05192">
              <w:rPr>
                <w:noProof/>
                <w:webHidden/>
              </w:rPr>
              <w:t>269</w:t>
            </w:r>
            <w:r w:rsidR="00F340A3">
              <w:rPr>
                <w:noProof/>
                <w:webHidden/>
              </w:rPr>
              <w:fldChar w:fldCharType="end"/>
            </w:r>
          </w:hyperlink>
        </w:p>
        <w:p w14:paraId="4FB12285" w14:textId="77777777" w:rsidR="00F340A3" w:rsidRDefault="00DF3C4F">
          <w:pPr>
            <w:pStyle w:val="Spistreci2"/>
            <w:rPr>
              <w:rFonts w:eastAsiaTheme="minorEastAsia"/>
              <w:noProof/>
              <w:lang w:eastAsia="pl-PL"/>
            </w:rPr>
          </w:pPr>
          <w:hyperlink w:anchor="_Toc530565129" w:history="1">
            <w:r w:rsidR="00F340A3" w:rsidRPr="00C77770">
              <w:rPr>
                <w:rStyle w:val="Hipercze"/>
                <w:rFonts w:eastAsia="Times New Roman" w:cstheme="minorHAnsi"/>
                <w:noProof/>
              </w:rPr>
              <w:t>Ustawa z dnia 9 marca 2017 r. o wymianie informacji podatkowych z innymi państwami (Dz. U. poz. 648 oraz z 2018 r. poz. 723 i 1499)</w:t>
            </w:r>
            <w:r w:rsidR="00F340A3">
              <w:rPr>
                <w:noProof/>
                <w:webHidden/>
              </w:rPr>
              <w:tab/>
            </w:r>
            <w:r w:rsidR="00F340A3">
              <w:rPr>
                <w:noProof/>
                <w:webHidden/>
              </w:rPr>
              <w:fldChar w:fldCharType="begin"/>
            </w:r>
            <w:r w:rsidR="00F340A3">
              <w:rPr>
                <w:noProof/>
                <w:webHidden/>
              </w:rPr>
              <w:instrText xml:space="preserve"> PAGEREF _Toc530565129 \h </w:instrText>
            </w:r>
            <w:r w:rsidR="00F340A3">
              <w:rPr>
                <w:noProof/>
                <w:webHidden/>
              </w:rPr>
            </w:r>
            <w:r w:rsidR="00F340A3">
              <w:rPr>
                <w:noProof/>
                <w:webHidden/>
              </w:rPr>
              <w:fldChar w:fldCharType="separate"/>
            </w:r>
            <w:r w:rsidR="00F05192">
              <w:rPr>
                <w:noProof/>
                <w:webHidden/>
              </w:rPr>
              <w:t>269</w:t>
            </w:r>
            <w:r w:rsidR="00F340A3">
              <w:rPr>
                <w:noProof/>
                <w:webHidden/>
              </w:rPr>
              <w:fldChar w:fldCharType="end"/>
            </w:r>
          </w:hyperlink>
        </w:p>
        <w:p w14:paraId="59862933" w14:textId="77777777" w:rsidR="00F340A3" w:rsidRDefault="00DF3C4F">
          <w:pPr>
            <w:pStyle w:val="Spistreci2"/>
            <w:rPr>
              <w:rFonts w:eastAsiaTheme="minorEastAsia"/>
              <w:noProof/>
              <w:lang w:eastAsia="pl-PL"/>
            </w:rPr>
          </w:pPr>
          <w:hyperlink w:anchor="_Toc530565130" w:history="1">
            <w:r w:rsidR="00F340A3" w:rsidRPr="00C77770">
              <w:rPr>
                <w:rStyle w:val="Hipercze"/>
                <w:rFonts w:eastAsia="Times New Roman" w:cstheme="minorHAnsi"/>
                <w:noProof/>
              </w:rPr>
              <w:t>Ustawa z dnia 9 marca 2017 r. o systemie monitorowania drogowego przewozu towarów (Dz. U. poz. 708 oraz z 2018 r. poz. 138, 1000, 1039 i 1539)</w:t>
            </w:r>
            <w:r w:rsidR="00F340A3">
              <w:rPr>
                <w:noProof/>
                <w:webHidden/>
              </w:rPr>
              <w:tab/>
            </w:r>
            <w:r w:rsidR="00F340A3">
              <w:rPr>
                <w:noProof/>
                <w:webHidden/>
              </w:rPr>
              <w:fldChar w:fldCharType="begin"/>
            </w:r>
            <w:r w:rsidR="00F340A3">
              <w:rPr>
                <w:noProof/>
                <w:webHidden/>
              </w:rPr>
              <w:instrText xml:space="preserve"> PAGEREF _Toc530565130 \h </w:instrText>
            </w:r>
            <w:r w:rsidR="00F340A3">
              <w:rPr>
                <w:noProof/>
                <w:webHidden/>
              </w:rPr>
            </w:r>
            <w:r w:rsidR="00F340A3">
              <w:rPr>
                <w:noProof/>
                <w:webHidden/>
              </w:rPr>
              <w:fldChar w:fldCharType="separate"/>
            </w:r>
            <w:r w:rsidR="00F05192">
              <w:rPr>
                <w:noProof/>
                <w:webHidden/>
              </w:rPr>
              <w:t>270</w:t>
            </w:r>
            <w:r w:rsidR="00F340A3">
              <w:rPr>
                <w:noProof/>
                <w:webHidden/>
              </w:rPr>
              <w:fldChar w:fldCharType="end"/>
            </w:r>
          </w:hyperlink>
        </w:p>
        <w:p w14:paraId="0AE75E0D" w14:textId="77777777" w:rsidR="00F340A3" w:rsidRDefault="00DF3C4F">
          <w:pPr>
            <w:pStyle w:val="Spistreci2"/>
            <w:rPr>
              <w:rFonts w:eastAsiaTheme="minorEastAsia"/>
              <w:noProof/>
              <w:lang w:eastAsia="pl-PL"/>
            </w:rPr>
          </w:pPr>
          <w:hyperlink w:anchor="_Toc530565131" w:history="1">
            <w:r w:rsidR="00F340A3" w:rsidRPr="00C77770">
              <w:rPr>
                <w:rStyle w:val="Hipercze"/>
                <w:rFonts w:eastAsia="Times New Roman" w:cstheme="minorHAnsi"/>
                <w:noProof/>
              </w:rPr>
              <w:t>Ustawa z dnia 21 kwietnia 2017 r. o zwalczaniu dopingu w sporcie (Dz. U. poz. 1051)</w:t>
            </w:r>
            <w:r w:rsidR="00F340A3">
              <w:rPr>
                <w:noProof/>
                <w:webHidden/>
              </w:rPr>
              <w:tab/>
            </w:r>
            <w:r w:rsidR="00F340A3">
              <w:rPr>
                <w:noProof/>
                <w:webHidden/>
              </w:rPr>
              <w:fldChar w:fldCharType="begin"/>
            </w:r>
            <w:r w:rsidR="00F340A3">
              <w:rPr>
                <w:noProof/>
                <w:webHidden/>
              </w:rPr>
              <w:instrText xml:space="preserve"> PAGEREF _Toc530565131 \h </w:instrText>
            </w:r>
            <w:r w:rsidR="00F340A3">
              <w:rPr>
                <w:noProof/>
                <w:webHidden/>
              </w:rPr>
            </w:r>
            <w:r w:rsidR="00F340A3">
              <w:rPr>
                <w:noProof/>
                <w:webHidden/>
              </w:rPr>
              <w:fldChar w:fldCharType="separate"/>
            </w:r>
            <w:r w:rsidR="00F05192">
              <w:rPr>
                <w:noProof/>
                <w:webHidden/>
              </w:rPr>
              <w:t>270</w:t>
            </w:r>
            <w:r w:rsidR="00F340A3">
              <w:rPr>
                <w:noProof/>
                <w:webHidden/>
              </w:rPr>
              <w:fldChar w:fldCharType="end"/>
            </w:r>
          </w:hyperlink>
        </w:p>
        <w:p w14:paraId="690FC800" w14:textId="77777777" w:rsidR="00F340A3" w:rsidRDefault="00DF3C4F">
          <w:pPr>
            <w:pStyle w:val="Spistreci2"/>
            <w:rPr>
              <w:rFonts w:eastAsiaTheme="minorEastAsia"/>
              <w:noProof/>
              <w:lang w:eastAsia="pl-PL"/>
            </w:rPr>
          </w:pPr>
          <w:hyperlink w:anchor="_Toc530565132" w:history="1">
            <w:r w:rsidR="00F340A3" w:rsidRPr="00C77770">
              <w:rPr>
                <w:rStyle w:val="Hipercze"/>
                <w:rFonts w:eastAsia="Times New Roman" w:cstheme="minorHAnsi"/>
                <w:noProof/>
              </w:rPr>
              <w:t>Ustawa z dnia 11 maja 2017 r. o biegłych rewidentach, firmach audytorskich oraz nadzorze publicznym (Dz. U. poz. 1089 oraz z 2018 r. poz. 398 i 1669)</w:t>
            </w:r>
            <w:r w:rsidR="00F340A3">
              <w:rPr>
                <w:noProof/>
                <w:webHidden/>
              </w:rPr>
              <w:tab/>
            </w:r>
            <w:r w:rsidR="00F340A3">
              <w:rPr>
                <w:noProof/>
                <w:webHidden/>
              </w:rPr>
              <w:fldChar w:fldCharType="begin"/>
            </w:r>
            <w:r w:rsidR="00F340A3">
              <w:rPr>
                <w:noProof/>
                <w:webHidden/>
              </w:rPr>
              <w:instrText xml:space="preserve"> PAGEREF _Toc530565132 \h </w:instrText>
            </w:r>
            <w:r w:rsidR="00F340A3">
              <w:rPr>
                <w:noProof/>
                <w:webHidden/>
              </w:rPr>
            </w:r>
            <w:r w:rsidR="00F340A3">
              <w:rPr>
                <w:noProof/>
                <w:webHidden/>
              </w:rPr>
              <w:fldChar w:fldCharType="separate"/>
            </w:r>
            <w:r w:rsidR="00F05192">
              <w:rPr>
                <w:noProof/>
                <w:webHidden/>
              </w:rPr>
              <w:t>272</w:t>
            </w:r>
            <w:r w:rsidR="00F340A3">
              <w:rPr>
                <w:noProof/>
                <w:webHidden/>
              </w:rPr>
              <w:fldChar w:fldCharType="end"/>
            </w:r>
          </w:hyperlink>
        </w:p>
        <w:p w14:paraId="1D789972" w14:textId="77777777" w:rsidR="00F340A3" w:rsidRDefault="00DF3C4F">
          <w:pPr>
            <w:pStyle w:val="Spistreci2"/>
            <w:rPr>
              <w:rFonts w:eastAsiaTheme="minorEastAsia"/>
              <w:noProof/>
              <w:lang w:eastAsia="pl-PL"/>
            </w:rPr>
          </w:pPr>
          <w:hyperlink w:anchor="_Toc530565133" w:history="1">
            <w:r w:rsidR="00F340A3" w:rsidRPr="00C77770">
              <w:rPr>
                <w:rStyle w:val="Hipercze"/>
                <w:rFonts w:eastAsia="Times New Roman" w:cstheme="minorHAnsi"/>
                <w:noProof/>
              </w:rPr>
              <w:t>Ustawa z dnia 27 października 2017 r. o podstawowej opiece zdrowotnej (Dz. U. poz. 2217 oraz z 2018 r. poz. 1000 i 1544)</w:t>
            </w:r>
            <w:r w:rsidR="00F340A3">
              <w:rPr>
                <w:noProof/>
                <w:webHidden/>
              </w:rPr>
              <w:tab/>
            </w:r>
            <w:r w:rsidR="00F340A3">
              <w:rPr>
                <w:noProof/>
                <w:webHidden/>
              </w:rPr>
              <w:fldChar w:fldCharType="begin"/>
            </w:r>
            <w:r w:rsidR="00F340A3">
              <w:rPr>
                <w:noProof/>
                <w:webHidden/>
              </w:rPr>
              <w:instrText xml:space="preserve"> PAGEREF _Toc530565133 \h </w:instrText>
            </w:r>
            <w:r w:rsidR="00F340A3">
              <w:rPr>
                <w:noProof/>
                <w:webHidden/>
              </w:rPr>
            </w:r>
            <w:r w:rsidR="00F340A3">
              <w:rPr>
                <w:noProof/>
                <w:webHidden/>
              </w:rPr>
              <w:fldChar w:fldCharType="separate"/>
            </w:r>
            <w:r w:rsidR="00F05192">
              <w:rPr>
                <w:noProof/>
                <w:webHidden/>
              </w:rPr>
              <w:t>273</w:t>
            </w:r>
            <w:r w:rsidR="00F340A3">
              <w:rPr>
                <w:noProof/>
                <w:webHidden/>
              </w:rPr>
              <w:fldChar w:fldCharType="end"/>
            </w:r>
          </w:hyperlink>
        </w:p>
        <w:p w14:paraId="36A35E0A" w14:textId="77777777" w:rsidR="00F340A3" w:rsidRDefault="00DF3C4F">
          <w:pPr>
            <w:pStyle w:val="Spistreci2"/>
            <w:rPr>
              <w:rFonts w:eastAsiaTheme="minorEastAsia"/>
              <w:noProof/>
              <w:lang w:eastAsia="pl-PL"/>
            </w:rPr>
          </w:pPr>
          <w:hyperlink w:anchor="_Toc530565134" w:history="1">
            <w:r w:rsidR="00F340A3" w:rsidRPr="00C77770">
              <w:rPr>
                <w:rStyle w:val="Hipercze"/>
                <w:rFonts w:eastAsia="Times New Roman" w:cstheme="minorHAnsi"/>
                <w:noProof/>
              </w:rPr>
              <w:t>Ustawa z dnia 8 grudnia 2017 r. o Sądzie Najwyższym (Dz. U. z 2018 r. poz. 5, 650, 771, 847, 848, 1045 i 1443)</w:t>
            </w:r>
            <w:r w:rsidR="00F340A3">
              <w:rPr>
                <w:noProof/>
                <w:webHidden/>
              </w:rPr>
              <w:tab/>
            </w:r>
            <w:r w:rsidR="00F340A3">
              <w:rPr>
                <w:noProof/>
                <w:webHidden/>
              </w:rPr>
              <w:fldChar w:fldCharType="begin"/>
            </w:r>
            <w:r w:rsidR="00F340A3">
              <w:rPr>
                <w:noProof/>
                <w:webHidden/>
              </w:rPr>
              <w:instrText xml:space="preserve"> PAGEREF _Toc530565134 \h </w:instrText>
            </w:r>
            <w:r w:rsidR="00F340A3">
              <w:rPr>
                <w:noProof/>
                <w:webHidden/>
              </w:rPr>
            </w:r>
            <w:r w:rsidR="00F340A3">
              <w:rPr>
                <w:noProof/>
                <w:webHidden/>
              </w:rPr>
              <w:fldChar w:fldCharType="separate"/>
            </w:r>
            <w:r w:rsidR="00F05192">
              <w:rPr>
                <w:noProof/>
                <w:webHidden/>
              </w:rPr>
              <w:t>273</w:t>
            </w:r>
            <w:r w:rsidR="00F340A3">
              <w:rPr>
                <w:noProof/>
                <w:webHidden/>
              </w:rPr>
              <w:fldChar w:fldCharType="end"/>
            </w:r>
          </w:hyperlink>
        </w:p>
        <w:p w14:paraId="345B853E" w14:textId="77777777" w:rsidR="00F340A3" w:rsidRDefault="00DF3C4F">
          <w:pPr>
            <w:pStyle w:val="Spistreci2"/>
            <w:rPr>
              <w:rFonts w:eastAsiaTheme="minorEastAsia"/>
              <w:noProof/>
              <w:lang w:eastAsia="pl-PL"/>
            </w:rPr>
          </w:pPr>
          <w:hyperlink w:anchor="_Toc530565135" w:history="1">
            <w:r w:rsidR="00F340A3" w:rsidRPr="00C77770">
              <w:rPr>
                <w:rStyle w:val="Hipercze"/>
                <w:rFonts w:eastAsia="Times New Roman" w:cstheme="minorHAnsi"/>
                <w:noProof/>
              </w:rPr>
              <w:t>Ustawa z dnia 10 stycznia 2018 r. o zmianie niektórych ustaw w związku ze skróceniem okresu przechowywania akt pracowniczych oraz ich elektronizacją (Dz. U. poz. 357)</w:t>
            </w:r>
            <w:r w:rsidR="00F340A3">
              <w:rPr>
                <w:noProof/>
                <w:webHidden/>
              </w:rPr>
              <w:tab/>
            </w:r>
            <w:r w:rsidR="00F340A3">
              <w:rPr>
                <w:noProof/>
                <w:webHidden/>
              </w:rPr>
              <w:fldChar w:fldCharType="begin"/>
            </w:r>
            <w:r w:rsidR="00F340A3">
              <w:rPr>
                <w:noProof/>
                <w:webHidden/>
              </w:rPr>
              <w:instrText xml:space="preserve"> PAGEREF _Toc530565135 \h </w:instrText>
            </w:r>
            <w:r w:rsidR="00F340A3">
              <w:rPr>
                <w:noProof/>
                <w:webHidden/>
              </w:rPr>
            </w:r>
            <w:r w:rsidR="00F340A3">
              <w:rPr>
                <w:noProof/>
                <w:webHidden/>
              </w:rPr>
              <w:fldChar w:fldCharType="separate"/>
            </w:r>
            <w:r w:rsidR="00F05192">
              <w:rPr>
                <w:noProof/>
                <w:webHidden/>
              </w:rPr>
              <w:t>274</w:t>
            </w:r>
            <w:r w:rsidR="00F340A3">
              <w:rPr>
                <w:noProof/>
                <w:webHidden/>
              </w:rPr>
              <w:fldChar w:fldCharType="end"/>
            </w:r>
          </w:hyperlink>
        </w:p>
        <w:p w14:paraId="36136CAC" w14:textId="77777777" w:rsidR="00F340A3" w:rsidRDefault="00DF3C4F">
          <w:pPr>
            <w:pStyle w:val="Spistreci2"/>
            <w:rPr>
              <w:rFonts w:eastAsiaTheme="minorEastAsia"/>
              <w:noProof/>
              <w:lang w:eastAsia="pl-PL"/>
            </w:rPr>
          </w:pPr>
          <w:hyperlink w:anchor="_Toc530565136" w:history="1">
            <w:r w:rsidR="00F340A3" w:rsidRPr="00C77770">
              <w:rPr>
                <w:rStyle w:val="Hipercze"/>
                <w:rFonts w:eastAsia="Times New Roman" w:cstheme="minorHAnsi"/>
                <w:noProof/>
              </w:rPr>
              <w:t>Ustawa z dnia 1 marca 2018 r. o przeciwdziałaniu praniu pieniędzy oraz finansowaniu terroryzmu (Dz. U. poz. 723, 1075 i 1499)</w:t>
            </w:r>
            <w:r w:rsidR="00F340A3">
              <w:rPr>
                <w:noProof/>
                <w:webHidden/>
              </w:rPr>
              <w:tab/>
            </w:r>
            <w:r w:rsidR="00F340A3">
              <w:rPr>
                <w:noProof/>
                <w:webHidden/>
              </w:rPr>
              <w:fldChar w:fldCharType="begin"/>
            </w:r>
            <w:r w:rsidR="00F340A3">
              <w:rPr>
                <w:noProof/>
                <w:webHidden/>
              </w:rPr>
              <w:instrText xml:space="preserve"> PAGEREF _Toc530565136 \h </w:instrText>
            </w:r>
            <w:r w:rsidR="00F340A3">
              <w:rPr>
                <w:noProof/>
                <w:webHidden/>
              </w:rPr>
            </w:r>
            <w:r w:rsidR="00F340A3">
              <w:rPr>
                <w:noProof/>
                <w:webHidden/>
              </w:rPr>
              <w:fldChar w:fldCharType="separate"/>
            </w:r>
            <w:r w:rsidR="00F05192">
              <w:rPr>
                <w:noProof/>
                <w:webHidden/>
              </w:rPr>
              <w:t>274</w:t>
            </w:r>
            <w:r w:rsidR="00F340A3">
              <w:rPr>
                <w:noProof/>
                <w:webHidden/>
              </w:rPr>
              <w:fldChar w:fldCharType="end"/>
            </w:r>
          </w:hyperlink>
        </w:p>
        <w:p w14:paraId="223CD176" w14:textId="77777777" w:rsidR="00F340A3" w:rsidRDefault="00DF3C4F">
          <w:pPr>
            <w:pStyle w:val="Spistreci2"/>
            <w:rPr>
              <w:rFonts w:eastAsiaTheme="minorEastAsia"/>
              <w:noProof/>
              <w:lang w:eastAsia="pl-PL"/>
            </w:rPr>
          </w:pPr>
          <w:hyperlink w:anchor="_Toc530565137" w:history="1">
            <w:r w:rsidR="00F340A3" w:rsidRPr="00C77770">
              <w:rPr>
                <w:rStyle w:val="Hipercze"/>
                <w:rFonts w:eastAsia="Times New Roman" w:cstheme="minorHAnsi"/>
                <w:noProof/>
              </w:rPr>
              <w:t>Ustawa z dnia 6 marca 2018 r. o Centralnej Ewidencji i Informacji o Działalności Gospodarczej i Punkcie Informacji dla Przedsiębiorcy (Dz. U. poz. 647, 1544 i 1629)</w:t>
            </w:r>
            <w:r w:rsidR="00F340A3">
              <w:rPr>
                <w:noProof/>
                <w:webHidden/>
              </w:rPr>
              <w:tab/>
            </w:r>
            <w:r w:rsidR="00F340A3">
              <w:rPr>
                <w:noProof/>
                <w:webHidden/>
              </w:rPr>
              <w:fldChar w:fldCharType="begin"/>
            </w:r>
            <w:r w:rsidR="00F340A3">
              <w:rPr>
                <w:noProof/>
                <w:webHidden/>
              </w:rPr>
              <w:instrText xml:space="preserve"> PAGEREF _Toc530565137 \h </w:instrText>
            </w:r>
            <w:r w:rsidR="00F340A3">
              <w:rPr>
                <w:noProof/>
                <w:webHidden/>
              </w:rPr>
            </w:r>
            <w:r w:rsidR="00F340A3">
              <w:rPr>
                <w:noProof/>
                <w:webHidden/>
              </w:rPr>
              <w:fldChar w:fldCharType="separate"/>
            </w:r>
            <w:r w:rsidR="00F05192">
              <w:rPr>
                <w:noProof/>
                <w:webHidden/>
              </w:rPr>
              <w:t>274</w:t>
            </w:r>
            <w:r w:rsidR="00F340A3">
              <w:rPr>
                <w:noProof/>
                <w:webHidden/>
              </w:rPr>
              <w:fldChar w:fldCharType="end"/>
            </w:r>
          </w:hyperlink>
        </w:p>
        <w:p w14:paraId="123C6094" w14:textId="77777777" w:rsidR="00F340A3" w:rsidRDefault="00DF3C4F">
          <w:pPr>
            <w:pStyle w:val="Spistreci2"/>
            <w:rPr>
              <w:rFonts w:eastAsiaTheme="minorEastAsia"/>
              <w:noProof/>
              <w:lang w:eastAsia="pl-PL"/>
            </w:rPr>
          </w:pPr>
          <w:hyperlink w:anchor="_Toc530565138" w:history="1">
            <w:r w:rsidR="00F340A3" w:rsidRPr="00C77770">
              <w:rPr>
                <w:rStyle w:val="Hipercze"/>
                <w:rFonts w:eastAsia="Times New Roman" w:cstheme="minorHAnsi"/>
                <w:noProof/>
              </w:rPr>
              <w:t>Ustawa z dnia 22 marca 2018 r. o komornikach sądowych  (Dz. U. z 2018 r. poz. 771, 1443 i 1669)</w:t>
            </w:r>
            <w:r w:rsidR="00F340A3">
              <w:rPr>
                <w:noProof/>
                <w:webHidden/>
              </w:rPr>
              <w:tab/>
            </w:r>
            <w:r w:rsidR="00F340A3">
              <w:rPr>
                <w:noProof/>
                <w:webHidden/>
              </w:rPr>
              <w:fldChar w:fldCharType="begin"/>
            </w:r>
            <w:r w:rsidR="00F340A3">
              <w:rPr>
                <w:noProof/>
                <w:webHidden/>
              </w:rPr>
              <w:instrText xml:space="preserve"> PAGEREF _Toc530565138 \h </w:instrText>
            </w:r>
            <w:r w:rsidR="00F340A3">
              <w:rPr>
                <w:noProof/>
                <w:webHidden/>
              </w:rPr>
            </w:r>
            <w:r w:rsidR="00F340A3">
              <w:rPr>
                <w:noProof/>
                <w:webHidden/>
              </w:rPr>
              <w:fldChar w:fldCharType="separate"/>
            </w:r>
            <w:r w:rsidR="00F05192">
              <w:rPr>
                <w:noProof/>
                <w:webHidden/>
              </w:rPr>
              <w:t>275</w:t>
            </w:r>
            <w:r w:rsidR="00F340A3">
              <w:rPr>
                <w:noProof/>
                <w:webHidden/>
              </w:rPr>
              <w:fldChar w:fldCharType="end"/>
            </w:r>
          </w:hyperlink>
        </w:p>
        <w:p w14:paraId="3151D6E6" w14:textId="77777777" w:rsidR="00F340A3" w:rsidRDefault="00DF3C4F">
          <w:pPr>
            <w:pStyle w:val="Spistreci2"/>
            <w:rPr>
              <w:rFonts w:eastAsiaTheme="minorEastAsia"/>
              <w:noProof/>
              <w:lang w:eastAsia="pl-PL"/>
            </w:rPr>
          </w:pPr>
          <w:hyperlink w:anchor="_Toc530565139" w:history="1">
            <w:r w:rsidR="00F340A3" w:rsidRPr="00C77770">
              <w:rPr>
                <w:rStyle w:val="Hipercze"/>
                <w:rFonts w:eastAsia="Times New Roman" w:cstheme="minorHAnsi"/>
                <w:noProof/>
              </w:rPr>
              <w:t>Ustawa z dnia 10 maja 2018 r. o ochronie danych osobowych (Dz. U. poz. 1000 i 1669)</w:t>
            </w:r>
            <w:r w:rsidR="00F340A3">
              <w:rPr>
                <w:noProof/>
                <w:webHidden/>
              </w:rPr>
              <w:tab/>
            </w:r>
            <w:r w:rsidR="00F340A3">
              <w:rPr>
                <w:noProof/>
                <w:webHidden/>
              </w:rPr>
              <w:fldChar w:fldCharType="begin"/>
            </w:r>
            <w:r w:rsidR="00F340A3">
              <w:rPr>
                <w:noProof/>
                <w:webHidden/>
              </w:rPr>
              <w:instrText xml:space="preserve"> PAGEREF _Toc530565139 \h </w:instrText>
            </w:r>
            <w:r w:rsidR="00F340A3">
              <w:rPr>
                <w:noProof/>
                <w:webHidden/>
              </w:rPr>
            </w:r>
            <w:r w:rsidR="00F340A3">
              <w:rPr>
                <w:noProof/>
                <w:webHidden/>
              </w:rPr>
              <w:fldChar w:fldCharType="separate"/>
            </w:r>
            <w:r w:rsidR="00F05192">
              <w:rPr>
                <w:noProof/>
                <w:webHidden/>
              </w:rPr>
              <w:t>277</w:t>
            </w:r>
            <w:r w:rsidR="00F340A3">
              <w:rPr>
                <w:noProof/>
                <w:webHidden/>
              </w:rPr>
              <w:fldChar w:fldCharType="end"/>
            </w:r>
          </w:hyperlink>
        </w:p>
        <w:p w14:paraId="2BADF3D2" w14:textId="77777777" w:rsidR="00F340A3" w:rsidRDefault="00DF3C4F">
          <w:pPr>
            <w:pStyle w:val="Spistreci2"/>
            <w:rPr>
              <w:rFonts w:eastAsiaTheme="minorEastAsia"/>
              <w:noProof/>
              <w:lang w:eastAsia="pl-PL"/>
            </w:rPr>
          </w:pPr>
          <w:hyperlink w:anchor="_Toc530565140" w:history="1">
            <w:r w:rsidR="00F340A3" w:rsidRPr="00C77770">
              <w:rPr>
                <w:rStyle w:val="Hipercze"/>
                <w:rFonts w:eastAsia="Times New Roman" w:cstheme="minorHAnsi"/>
                <w:noProof/>
              </w:rPr>
              <w:t>Ustawa z dnia 20 lipca 2018 r. – Prawo o szkolnictwie wyższym i nauce (Dz. U. poz. 1668 i 2024)</w:t>
            </w:r>
            <w:r w:rsidR="00F340A3">
              <w:rPr>
                <w:noProof/>
                <w:webHidden/>
              </w:rPr>
              <w:tab/>
            </w:r>
            <w:r w:rsidR="00F340A3">
              <w:rPr>
                <w:noProof/>
                <w:webHidden/>
              </w:rPr>
              <w:fldChar w:fldCharType="begin"/>
            </w:r>
            <w:r w:rsidR="00F340A3">
              <w:rPr>
                <w:noProof/>
                <w:webHidden/>
              </w:rPr>
              <w:instrText xml:space="preserve"> PAGEREF _Toc530565140 \h </w:instrText>
            </w:r>
            <w:r w:rsidR="00F340A3">
              <w:rPr>
                <w:noProof/>
                <w:webHidden/>
              </w:rPr>
            </w:r>
            <w:r w:rsidR="00F340A3">
              <w:rPr>
                <w:noProof/>
                <w:webHidden/>
              </w:rPr>
              <w:fldChar w:fldCharType="separate"/>
            </w:r>
            <w:r w:rsidR="00F05192">
              <w:rPr>
                <w:noProof/>
                <w:webHidden/>
              </w:rPr>
              <w:t>281</w:t>
            </w:r>
            <w:r w:rsidR="00F340A3">
              <w:rPr>
                <w:noProof/>
                <w:webHidden/>
              </w:rPr>
              <w:fldChar w:fldCharType="end"/>
            </w:r>
          </w:hyperlink>
        </w:p>
        <w:p w14:paraId="4B6F96F4" w14:textId="77777777" w:rsidR="00F340A3" w:rsidRDefault="00DF3C4F">
          <w:pPr>
            <w:pStyle w:val="Spistreci2"/>
            <w:rPr>
              <w:rFonts w:eastAsiaTheme="minorEastAsia"/>
              <w:noProof/>
              <w:lang w:eastAsia="pl-PL"/>
            </w:rPr>
          </w:pPr>
          <w:hyperlink w:anchor="_Toc530565141" w:history="1">
            <w:r w:rsidR="00F340A3" w:rsidRPr="00C77770">
              <w:rPr>
                <w:rStyle w:val="Hipercze"/>
                <w:rFonts w:eastAsia="Times New Roman" w:cstheme="minorHAnsi"/>
                <w:noProof/>
              </w:rPr>
              <w:t>Opis końcowy – postanowienia wynikające z Regulaminu pracy Rady Ministrów</w:t>
            </w:r>
            <w:r w:rsidR="00F340A3">
              <w:rPr>
                <w:noProof/>
                <w:webHidden/>
              </w:rPr>
              <w:tab/>
            </w:r>
            <w:r w:rsidR="00F340A3">
              <w:rPr>
                <w:noProof/>
                <w:webHidden/>
              </w:rPr>
              <w:fldChar w:fldCharType="begin"/>
            </w:r>
            <w:r w:rsidR="00F340A3">
              <w:rPr>
                <w:noProof/>
                <w:webHidden/>
              </w:rPr>
              <w:instrText xml:space="preserve"> PAGEREF _Toc530565141 \h </w:instrText>
            </w:r>
            <w:r w:rsidR="00F340A3">
              <w:rPr>
                <w:noProof/>
                <w:webHidden/>
              </w:rPr>
            </w:r>
            <w:r w:rsidR="00F340A3">
              <w:rPr>
                <w:noProof/>
                <w:webHidden/>
              </w:rPr>
              <w:fldChar w:fldCharType="separate"/>
            </w:r>
            <w:r w:rsidR="00F05192">
              <w:rPr>
                <w:noProof/>
                <w:webHidden/>
              </w:rPr>
              <w:t>286</w:t>
            </w:r>
            <w:r w:rsidR="00F340A3">
              <w:rPr>
                <w:noProof/>
                <w:webHidden/>
              </w:rPr>
              <w:fldChar w:fldCharType="end"/>
            </w:r>
          </w:hyperlink>
        </w:p>
        <w:p w14:paraId="7290DB0A" w14:textId="77777777" w:rsidR="00114E2A" w:rsidRDefault="008706DD" w:rsidP="00114E2A">
          <w:pPr>
            <w:spacing w:after="0" w:line="276" w:lineRule="auto"/>
            <w:ind w:left="57" w:right="57"/>
            <w:contextualSpacing/>
            <w:jc w:val="both"/>
            <w:rPr>
              <w:rFonts w:cstheme="minorHAnsi"/>
              <w:b/>
              <w:bCs/>
              <w:color w:val="000000" w:themeColor="text1"/>
              <w:sz w:val="24"/>
              <w:szCs w:val="24"/>
            </w:rPr>
          </w:pPr>
          <w:r w:rsidRPr="00375799">
            <w:rPr>
              <w:rFonts w:cstheme="minorHAnsi"/>
              <w:b/>
              <w:bCs/>
              <w:color w:val="000000" w:themeColor="text1"/>
              <w:sz w:val="24"/>
              <w:szCs w:val="24"/>
            </w:rPr>
            <w:fldChar w:fldCharType="end"/>
          </w:r>
        </w:p>
        <w:p w14:paraId="263C05BB" w14:textId="77777777" w:rsidR="00114E2A" w:rsidRDefault="00114E2A" w:rsidP="00114E2A">
          <w:pPr>
            <w:spacing w:after="0" w:line="276" w:lineRule="auto"/>
            <w:ind w:left="57" w:right="57"/>
            <w:contextualSpacing/>
            <w:jc w:val="both"/>
            <w:rPr>
              <w:rFonts w:cstheme="minorHAnsi"/>
              <w:color w:val="000000" w:themeColor="text1"/>
              <w:sz w:val="24"/>
              <w:szCs w:val="24"/>
            </w:rPr>
          </w:pPr>
        </w:p>
        <w:p w14:paraId="610955A9" w14:textId="77777777" w:rsidR="00114E2A" w:rsidRDefault="00114E2A" w:rsidP="00114E2A">
          <w:pPr>
            <w:spacing w:after="0" w:line="276" w:lineRule="auto"/>
            <w:ind w:left="57" w:right="57"/>
            <w:contextualSpacing/>
            <w:jc w:val="both"/>
            <w:rPr>
              <w:rFonts w:cstheme="minorHAnsi"/>
              <w:color w:val="000000" w:themeColor="text1"/>
              <w:sz w:val="24"/>
              <w:szCs w:val="24"/>
            </w:rPr>
          </w:pPr>
        </w:p>
        <w:p w14:paraId="0D80EB1D" w14:textId="77777777" w:rsidR="00114E2A" w:rsidRDefault="00114E2A" w:rsidP="00114E2A">
          <w:pPr>
            <w:spacing w:after="0" w:line="276" w:lineRule="auto"/>
            <w:ind w:left="57" w:right="57"/>
            <w:contextualSpacing/>
            <w:jc w:val="both"/>
            <w:rPr>
              <w:rFonts w:cstheme="minorHAnsi"/>
              <w:color w:val="000000" w:themeColor="text1"/>
              <w:sz w:val="24"/>
              <w:szCs w:val="24"/>
            </w:rPr>
          </w:pPr>
        </w:p>
        <w:p w14:paraId="25C86D69" w14:textId="77777777" w:rsidR="00114E2A" w:rsidRDefault="00114E2A" w:rsidP="00114E2A">
          <w:pPr>
            <w:spacing w:after="0" w:line="276" w:lineRule="auto"/>
            <w:ind w:left="57" w:right="57"/>
            <w:contextualSpacing/>
            <w:jc w:val="both"/>
            <w:rPr>
              <w:rFonts w:cstheme="minorHAnsi"/>
              <w:color w:val="000000" w:themeColor="text1"/>
              <w:sz w:val="24"/>
              <w:szCs w:val="24"/>
            </w:rPr>
          </w:pPr>
        </w:p>
        <w:p w14:paraId="6F129603" w14:textId="3A301102" w:rsidR="00E65371" w:rsidRPr="00375799" w:rsidRDefault="00DF3C4F" w:rsidP="00114E2A">
          <w:pPr>
            <w:spacing w:after="0" w:line="276" w:lineRule="auto"/>
            <w:ind w:left="57" w:right="57"/>
            <w:contextualSpacing/>
            <w:jc w:val="both"/>
            <w:rPr>
              <w:rFonts w:cstheme="minorHAnsi"/>
              <w:color w:val="000000" w:themeColor="text1"/>
              <w:sz w:val="24"/>
              <w:szCs w:val="24"/>
            </w:rPr>
          </w:pPr>
        </w:p>
      </w:sdtContent>
    </w:sdt>
    <w:p w14:paraId="040EAE70" w14:textId="7A83ADB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0" w:name="_Toc530564973"/>
      <w:r w:rsidRPr="00375799">
        <w:rPr>
          <w:rFonts w:asciiTheme="minorHAnsi" w:hAnsiTheme="minorHAnsi" w:cstheme="minorHAnsi"/>
          <w:color w:val="000000" w:themeColor="text1"/>
          <w:sz w:val="24"/>
          <w:szCs w:val="24"/>
        </w:rPr>
        <w:t>Opis ogólny</w:t>
      </w:r>
      <w:bookmarkEnd w:id="0"/>
      <w:r w:rsidRPr="00375799">
        <w:rPr>
          <w:rFonts w:asciiTheme="minorHAnsi" w:hAnsiTheme="minorHAnsi" w:cstheme="minorHAnsi"/>
          <w:color w:val="000000" w:themeColor="text1"/>
          <w:sz w:val="24"/>
          <w:szCs w:val="24"/>
        </w:rPr>
        <w:t xml:space="preserve"> </w:t>
      </w:r>
    </w:p>
    <w:p w14:paraId="32AABFBF" w14:textId="77777777" w:rsidR="00BF1F34" w:rsidRDefault="00BF1F34" w:rsidP="0055107B">
      <w:pPr>
        <w:spacing w:line="276" w:lineRule="auto"/>
        <w:contextualSpacing/>
        <w:rPr>
          <w:rFonts w:cstheme="minorHAnsi"/>
          <w:color w:val="000000" w:themeColor="text1"/>
          <w:sz w:val="24"/>
          <w:szCs w:val="24"/>
        </w:rPr>
      </w:pPr>
    </w:p>
    <w:p w14:paraId="151A1FA0" w14:textId="77777777" w:rsidR="00114E2A" w:rsidRDefault="00114E2A" w:rsidP="0055107B">
      <w:pPr>
        <w:spacing w:line="276" w:lineRule="auto"/>
        <w:contextualSpacing/>
        <w:rPr>
          <w:rFonts w:cstheme="minorHAnsi"/>
          <w:color w:val="000000" w:themeColor="text1"/>
          <w:sz w:val="24"/>
          <w:szCs w:val="24"/>
        </w:rPr>
      </w:pPr>
    </w:p>
    <w:p w14:paraId="3E282FBA" w14:textId="77777777" w:rsidR="00114E2A" w:rsidRDefault="00114E2A" w:rsidP="0055107B">
      <w:pPr>
        <w:spacing w:line="276" w:lineRule="auto"/>
        <w:contextualSpacing/>
        <w:rPr>
          <w:rFonts w:cstheme="minorHAnsi"/>
          <w:color w:val="000000" w:themeColor="text1"/>
          <w:sz w:val="24"/>
          <w:szCs w:val="24"/>
        </w:rPr>
      </w:pPr>
    </w:p>
    <w:p w14:paraId="26BBCBA9" w14:textId="77777777" w:rsidR="00114E2A" w:rsidRPr="00375799" w:rsidRDefault="00114E2A" w:rsidP="0055107B">
      <w:pPr>
        <w:spacing w:line="276" w:lineRule="auto"/>
        <w:contextualSpacing/>
        <w:rPr>
          <w:rFonts w:cstheme="minorHAnsi"/>
          <w:color w:val="000000" w:themeColor="text1"/>
          <w:sz w:val="24"/>
          <w:szCs w:val="24"/>
        </w:rPr>
      </w:pPr>
    </w:p>
    <w:p w14:paraId="299114C3" w14:textId="2AF6CA59" w:rsidR="00F216BC" w:rsidRPr="00375799" w:rsidRDefault="00B77BA5"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Od</w:t>
      </w:r>
      <w:r w:rsidR="00252AB5" w:rsidRPr="00375799">
        <w:rPr>
          <w:rFonts w:cstheme="minorHAnsi"/>
          <w:color w:val="000000" w:themeColor="text1"/>
          <w:sz w:val="24"/>
          <w:szCs w:val="24"/>
        </w:rPr>
        <w:t xml:space="preserve"> dni</w:t>
      </w:r>
      <w:r>
        <w:rPr>
          <w:rFonts w:cstheme="minorHAnsi"/>
          <w:color w:val="000000" w:themeColor="text1"/>
          <w:sz w:val="24"/>
          <w:szCs w:val="24"/>
        </w:rPr>
        <w:t>a</w:t>
      </w:r>
      <w:r w:rsidR="00252AB5" w:rsidRPr="00375799">
        <w:rPr>
          <w:rFonts w:cstheme="minorHAnsi"/>
          <w:color w:val="000000" w:themeColor="text1"/>
          <w:sz w:val="24"/>
          <w:szCs w:val="24"/>
        </w:rPr>
        <w:t xml:space="preserve"> 25 maja 201</w:t>
      </w:r>
      <w:r>
        <w:rPr>
          <w:rFonts w:cstheme="minorHAnsi"/>
          <w:color w:val="000000" w:themeColor="text1"/>
          <w:sz w:val="24"/>
          <w:szCs w:val="24"/>
        </w:rPr>
        <w:t>8</w:t>
      </w:r>
      <w:r w:rsidR="00252AB5" w:rsidRPr="00375799">
        <w:rPr>
          <w:rFonts w:cstheme="minorHAnsi"/>
          <w:color w:val="000000" w:themeColor="text1"/>
          <w:sz w:val="24"/>
          <w:szCs w:val="24"/>
        </w:rPr>
        <w:t xml:space="preserve"> r. </w:t>
      </w:r>
      <w:r>
        <w:rPr>
          <w:rFonts w:cstheme="minorHAnsi"/>
          <w:color w:val="000000" w:themeColor="text1"/>
          <w:sz w:val="24"/>
          <w:szCs w:val="24"/>
        </w:rPr>
        <w:t xml:space="preserve">zastosowanie ma </w:t>
      </w:r>
      <w:r w:rsidR="00252AB5" w:rsidRPr="00375799">
        <w:rPr>
          <w:rFonts w:cstheme="minorHAnsi"/>
          <w:color w:val="000000" w:themeColor="text1"/>
          <w:sz w:val="24"/>
          <w:szCs w:val="24"/>
        </w:rPr>
        <w:t>rozporządzenie Parlamentu Europejskiego i Rady (UE) 2016/679 z dnia 27 kwietnia 2016 r. w sprawie ochrony osób fizycznych w związku z przetwarzaniem danych osobowych i w sprawie swobodnego przepływu takich danych oraz uchylenia dyrektywy 95/46/WE</w:t>
      </w:r>
      <w:r>
        <w:rPr>
          <w:rFonts w:cstheme="minorHAnsi"/>
          <w:color w:val="000000" w:themeColor="text1"/>
          <w:sz w:val="24"/>
          <w:szCs w:val="24"/>
        </w:rPr>
        <w:t xml:space="preserve"> (ogólne rozporządzenie o ochronie danych) (Dz. Urz. UE L 119 z 04.05.2016, str. 1, z późn. zm.)</w:t>
      </w:r>
      <w:r w:rsidR="00252AB5" w:rsidRPr="00375799">
        <w:rPr>
          <w:rFonts w:cstheme="minorHAnsi"/>
          <w:color w:val="000000" w:themeColor="text1"/>
          <w:sz w:val="24"/>
          <w:szCs w:val="24"/>
        </w:rPr>
        <w:t xml:space="preserve">, zwane dalej „RODO”.  Tym samym, począwszy od tej daty,  polski porządek prawny musi zapewniać skuteczne stosowanie przepisów RODO. W tym celu konieczne stało się, poza uchwaleniem nowej ustawy z dnia </w:t>
      </w:r>
      <w:r>
        <w:rPr>
          <w:rFonts w:cstheme="minorHAnsi"/>
          <w:color w:val="000000" w:themeColor="text1"/>
          <w:sz w:val="24"/>
          <w:szCs w:val="24"/>
        </w:rPr>
        <w:t>10</w:t>
      </w:r>
      <w:r w:rsidR="00252AB5" w:rsidRPr="00375799">
        <w:rPr>
          <w:rFonts w:cstheme="minorHAnsi"/>
          <w:color w:val="000000" w:themeColor="text1"/>
          <w:sz w:val="24"/>
          <w:szCs w:val="24"/>
        </w:rPr>
        <w:t xml:space="preserve"> maja 2018 r. o ochronie danych osobowych</w:t>
      </w:r>
      <w:r>
        <w:rPr>
          <w:rFonts w:cstheme="minorHAnsi"/>
          <w:color w:val="000000" w:themeColor="text1"/>
          <w:sz w:val="24"/>
          <w:szCs w:val="24"/>
        </w:rPr>
        <w:t xml:space="preserve"> (Dz. U. poz. 1000 i 1669)</w:t>
      </w:r>
      <w:r w:rsidR="00252AB5" w:rsidRPr="00375799">
        <w:rPr>
          <w:rFonts w:cstheme="minorHAnsi"/>
          <w:color w:val="000000" w:themeColor="text1"/>
          <w:sz w:val="24"/>
          <w:szCs w:val="24"/>
        </w:rPr>
        <w:t xml:space="preserve">, także dokonanie licznych zmian w innych ustawach. Z uwagi </w:t>
      </w:r>
      <w:r w:rsidR="00CF7B15">
        <w:rPr>
          <w:rFonts w:cstheme="minorHAnsi"/>
          <w:color w:val="000000" w:themeColor="text1"/>
          <w:sz w:val="24"/>
          <w:szCs w:val="24"/>
        </w:rPr>
        <w:t xml:space="preserve">na </w:t>
      </w:r>
      <w:r w:rsidR="00252AB5" w:rsidRPr="00375799">
        <w:rPr>
          <w:rFonts w:cstheme="minorHAnsi"/>
          <w:color w:val="000000" w:themeColor="text1"/>
          <w:sz w:val="24"/>
          <w:szCs w:val="24"/>
        </w:rPr>
        <w:t xml:space="preserve">liczbę i charakter </w:t>
      </w:r>
      <w:r>
        <w:rPr>
          <w:rFonts w:cstheme="minorHAnsi"/>
          <w:color w:val="000000" w:themeColor="text1"/>
          <w:sz w:val="24"/>
          <w:szCs w:val="24"/>
        </w:rPr>
        <w:t xml:space="preserve">zmian </w:t>
      </w:r>
      <w:r w:rsidR="00252AB5" w:rsidRPr="00375799">
        <w:rPr>
          <w:rFonts w:cstheme="minorHAnsi"/>
          <w:color w:val="000000" w:themeColor="text1"/>
          <w:sz w:val="24"/>
          <w:szCs w:val="24"/>
        </w:rPr>
        <w:t xml:space="preserve">koniecznych </w:t>
      </w:r>
      <w:r>
        <w:rPr>
          <w:rFonts w:cstheme="minorHAnsi"/>
          <w:color w:val="000000" w:themeColor="text1"/>
          <w:sz w:val="24"/>
          <w:szCs w:val="24"/>
        </w:rPr>
        <w:t>do wprowadzenia</w:t>
      </w:r>
      <w:r w:rsidR="00252AB5" w:rsidRPr="00375799">
        <w:rPr>
          <w:rFonts w:cstheme="minorHAnsi"/>
          <w:color w:val="000000" w:themeColor="text1"/>
          <w:sz w:val="24"/>
          <w:szCs w:val="24"/>
        </w:rPr>
        <w:t>, a także w trosce o</w:t>
      </w:r>
      <w:r w:rsidR="00BF1F34" w:rsidRPr="00375799">
        <w:rPr>
          <w:rFonts w:cstheme="minorHAnsi"/>
          <w:color w:val="000000" w:themeColor="text1"/>
          <w:sz w:val="24"/>
          <w:szCs w:val="24"/>
        </w:rPr>
        <w:t xml:space="preserve"> zapewnienie spójnego podejścia, </w:t>
      </w:r>
      <w:r w:rsidR="00252AB5" w:rsidRPr="00375799">
        <w:rPr>
          <w:rFonts w:cstheme="minorHAnsi"/>
          <w:color w:val="000000" w:themeColor="text1"/>
          <w:sz w:val="24"/>
          <w:szCs w:val="24"/>
        </w:rPr>
        <w:t>zdecydowano się</w:t>
      </w:r>
      <w:r w:rsidR="00F216BC" w:rsidRPr="00375799">
        <w:rPr>
          <w:rFonts w:cstheme="minorHAnsi"/>
          <w:color w:val="000000" w:themeColor="text1"/>
          <w:sz w:val="24"/>
          <w:szCs w:val="24"/>
        </w:rPr>
        <w:t xml:space="preserve"> </w:t>
      </w:r>
      <w:r w:rsidR="00252AB5" w:rsidRPr="00375799">
        <w:rPr>
          <w:rFonts w:cstheme="minorHAnsi"/>
          <w:color w:val="000000" w:themeColor="text1"/>
          <w:sz w:val="24"/>
          <w:szCs w:val="24"/>
        </w:rPr>
        <w:t>dokonać</w:t>
      </w:r>
      <w:r w:rsidR="00F216BC" w:rsidRPr="00375799">
        <w:rPr>
          <w:rFonts w:cstheme="minorHAnsi"/>
          <w:color w:val="000000" w:themeColor="text1"/>
          <w:sz w:val="24"/>
          <w:szCs w:val="24"/>
        </w:rPr>
        <w:t xml:space="preserve"> </w:t>
      </w:r>
      <w:r w:rsidR="007D052F" w:rsidRPr="00375799">
        <w:rPr>
          <w:rFonts w:cstheme="minorHAnsi"/>
          <w:color w:val="000000" w:themeColor="text1"/>
          <w:sz w:val="24"/>
          <w:szCs w:val="24"/>
        </w:rPr>
        <w:t xml:space="preserve">ich </w:t>
      </w:r>
      <w:r w:rsidR="00252AB5" w:rsidRPr="00375799">
        <w:rPr>
          <w:rFonts w:cstheme="minorHAnsi"/>
          <w:color w:val="000000" w:themeColor="text1"/>
          <w:sz w:val="24"/>
          <w:szCs w:val="24"/>
        </w:rPr>
        <w:t>w jednym projekcie ustawy</w:t>
      </w:r>
      <w:r>
        <w:rPr>
          <w:rFonts w:cstheme="minorHAnsi"/>
          <w:color w:val="000000" w:themeColor="text1"/>
          <w:sz w:val="24"/>
          <w:szCs w:val="24"/>
        </w:rPr>
        <w:t xml:space="preserve"> o zmianie niektórych ustaw w związku z zapewnieniem stosowania rozporządzenia 2016/679</w:t>
      </w:r>
      <w:r w:rsidR="00252AB5" w:rsidRPr="00375799">
        <w:rPr>
          <w:rFonts w:cstheme="minorHAnsi"/>
          <w:color w:val="000000" w:themeColor="text1"/>
          <w:sz w:val="24"/>
          <w:szCs w:val="24"/>
        </w:rPr>
        <w:t xml:space="preserve">. Celem projektu </w:t>
      </w:r>
      <w:r>
        <w:rPr>
          <w:rFonts w:cstheme="minorHAnsi"/>
          <w:color w:val="000000" w:themeColor="text1"/>
          <w:sz w:val="24"/>
          <w:szCs w:val="24"/>
        </w:rPr>
        <w:t xml:space="preserve">ustawy </w:t>
      </w:r>
      <w:r w:rsidR="00252AB5" w:rsidRPr="00375799">
        <w:rPr>
          <w:rFonts w:cstheme="minorHAnsi"/>
          <w:color w:val="000000" w:themeColor="text1"/>
          <w:sz w:val="24"/>
          <w:szCs w:val="24"/>
        </w:rPr>
        <w:t>jest dostosowanie polskiego porządku prawnego do RODO m.in. przez usunięcie przepisów, które są sprzeczne z RODO</w:t>
      </w:r>
      <w:r w:rsidR="00BF1F34" w:rsidRPr="00375799">
        <w:rPr>
          <w:rFonts w:cstheme="minorHAnsi"/>
          <w:color w:val="000000" w:themeColor="text1"/>
          <w:sz w:val="24"/>
          <w:szCs w:val="24"/>
        </w:rPr>
        <w:t xml:space="preserve"> lub </w:t>
      </w:r>
      <w:r w:rsidR="00252AB5" w:rsidRPr="00375799">
        <w:rPr>
          <w:rFonts w:cstheme="minorHAnsi"/>
          <w:color w:val="000000" w:themeColor="text1"/>
          <w:sz w:val="24"/>
          <w:szCs w:val="24"/>
        </w:rPr>
        <w:t xml:space="preserve"> kt</w:t>
      </w:r>
      <w:r w:rsidR="00BF1F34" w:rsidRPr="00375799">
        <w:rPr>
          <w:rFonts w:cstheme="minorHAnsi"/>
          <w:color w:val="000000" w:themeColor="text1"/>
          <w:sz w:val="24"/>
          <w:szCs w:val="24"/>
        </w:rPr>
        <w:t>óre powielają rozwiązania RODO. Celem projekt</w:t>
      </w:r>
      <w:r w:rsidR="00F216BC" w:rsidRPr="00375799">
        <w:rPr>
          <w:rFonts w:cstheme="minorHAnsi"/>
          <w:color w:val="000000" w:themeColor="text1"/>
          <w:sz w:val="24"/>
          <w:szCs w:val="24"/>
        </w:rPr>
        <w:t>u</w:t>
      </w:r>
      <w:r w:rsidR="00BF1F34" w:rsidRPr="00375799">
        <w:rPr>
          <w:rFonts w:cstheme="minorHAnsi"/>
          <w:color w:val="000000" w:themeColor="text1"/>
          <w:sz w:val="24"/>
          <w:szCs w:val="24"/>
        </w:rPr>
        <w:t xml:space="preserve"> </w:t>
      </w:r>
      <w:r>
        <w:rPr>
          <w:rFonts w:cstheme="minorHAnsi"/>
          <w:color w:val="000000" w:themeColor="text1"/>
          <w:sz w:val="24"/>
          <w:szCs w:val="24"/>
        </w:rPr>
        <w:t xml:space="preserve">ustawy </w:t>
      </w:r>
      <w:r w:rsidR="00BF1F34" w:rsidRPr="00375799">
        <w:rPr>
          <w:rFonts w:cstheme="minorHAnsi"/>
          <w:color w:val="000000" w:themeColor="text1"/>
          <w:sz w:val="24"/>
          <w:szCs w:val="24"/>
        </w:rPr>
        <w:t>jest t</w:t>
      </w:r>
      <w:r>
        <w:rPr>
          <w:rFonts w:cstheme="minorHAnsi"/>
          <w:color w:val="000000" w:themeColor="text1"/>
          <w:sz w:val="24"/>
          <w:szCs w:val="24"/>
        </w:rPr>
        <w:t>akże</w:t>
      </w:r>
      <w:r w:rsidR="00BF1F34" w:rsidRPr="00375799">
        <w:rPr>
          <w:rFonts w:cstheme="minorHAnsi"/>
          <w:color w:val="000000" w:themeColor="text1"/>
          <w:sz w:val="24"/>
          <w:szCs w:val="24"/>
        </w:rPr>
        <w:t xml:space="preserve"> dostosowanie </w:t>
      </w:r>
      <w:r w:rsidR="00252AB5" w:rsidRPr="00375799">
        <w:rPr>
          <w:rFonts w:cstheme="minorHAnsi"/>
          <w:color w:val="000000" w:themeColor="text1"/>
          <w:sz w:val="24"/>
          <w:szCs w:val="24"/>
        </w:rPr>
        <w:t xml:space="preserve">RODO </w:t>
      </w:r>
      <w:r w:rsidR="00F216BC" w:rsidRPr="00375799">
        <w:rPr>
          <w:rFonts w:cstheme="minorHAnsi"/>
          <w:color w:val="000000" w:themeColor="text1"/>
          <w:sz w:val="24"/>
          <w:szCs w:val="24"/>
        </w:rPr>
        <w:t xml:space="preserve">(przez implementację </w:t>
      </w:r>
      <w:r w:rsidR="00EF3D8A" w:rsidRPr="00375799">
        <w:rPr>
          <w:rFonts w:cstheme="minorHAnsi"/>
          <w:color w:val="000000" w:themeColor="text1"/>
          <w:sz w:val="24"/>
          <w:szCs w:val="24"/>
        </w:rPr>
        <w:t xml:space="preserve">wymagających </w:t>
      </w:r>
      <w:r w:rsidR="00F216BC" w:rsidRPr="00375799">
        <w:rPr>
          <w:rFonts w:cstheme="minorHAnsi"/>
          <w:color w:val="000000" w:themeColor="text1"/>
          <w:sz w:val="24"/>
          <w:szCs w:val="24"/>
        </w:rPr>
        <w:t>tego</w:t>
      </w:r>
      <w:r w:rsidR="00EF3D8A" w:rsidRPr="00EF3D8A">
        <w:rPr>
          <w:rFonts w:cstheme="minorHAnsi"/>
          <w:color w:val="000000" w:themeColor="text1"/>
          <w:sz w:val="24"/>
          <w:szCs w:val="24"/>
        </w:rPr>
        <w:t xml:space="preserve"> </w:t>
      </w:r>
      <w:r w:rsidR="00EF3D8A" w:rsidRPr="00375799">
        <w:rPr>
          <w:rFonts w:cstheme="minorHAnsi"/>
          <w:color w:val="000000" w:themeColor="text1"/>
          <w:sz w:val="24"/>
          <w:szCs w:val="24"/>
        </w:rPr>
        <w:t>przepisów</w:t>
      </w:r>
      <w:r w:rsidR="00F216BC" w:rsidRPr="00375799">
        <w:rPr>
          <w:rFonts w:cstheme="minorHAnsi"/>
          <w:color w:val="000000" w:themeColor="text1"/>
          <w:sz w:val="24"/>
          <w:szCs w:val="24"/>
        </w:rPr>
        <w:t xml:space="preserve">) </w:t>
      </w:r>
      <w:r w:rsidR="00252AB5" w:rsidRPr="00375799">
        <w:rPr>
          <w:rFonts w:cstheme="minorHAnsi"/>
          <w:color w:val="000000" w:themeColor="text1"/>
          <w:sz w:val="24"/>
          <w:szCs w:val="24"/>
        </w:rPr>
        <w:t>do specyfi</w:t>
      </w:r>
      <w:r w:rsidR="00BF1F34" w:rsidRPr="00375799">
        <w:rPr>
          <w:rFonts w:cstheme="minorHAnsi"/>
          <w:color w:val="000000" w:themeColor="text1"/>
          <w:sz w:val="24"/>
          <w:szCs w:val="24"/>
        </w:rPr>
        <w:t>ki polskiego porządku prawnego</w:t>
      </w:r>
      <w:r w:rsidR="00F216BC" w:rsidRPr="00375799">
        <w:rPr>
          <w:rFonts w:cstheme="minorHAnsi"/>
          <w:color w:val="000000" w:themeColor="text1"/>
          <w:sz w:val="24"/>
          <w:szCs w:val="24"/>
        </w:rPr>
        <w:t>.</w:t>
      </w:r>
    </w:p>
    <w:p w14:paraId="27FF3978" w14:textId="63257C0F" w:rsidR="00252AB5" w:rsidRPr="00375799" w:rsidRDefault="00252AB5" w:rsidP="003E0B08">
      <w:pPr>
        <w:spacing w:after="0" w:line="276" w:lineRule="auto"/>
        <w:ind w:left="57" w:right="57" w:firstLine="651"/>
        <w:contextualSpacing/>
        <w:jc w:val="both"/>
        <w:rPr>
          <w:rFonts w:cstheme="minorHAnsi"/>
          <w:color w:val="000000" w:themeColor="text1"/>
          <w:sz w:val="24"/>
          <w:szCs w:val="24"/>
        </w:rPr>
      </w:pPr>
      <w:r w:rsidRPr="00375799">
        <w:rPr>
          <w:rFonts w:cstheme="minorHAnsi"/>
          <w:color w:val="000000" w:themeColor="text1"/>
          <w:sz w:val="24"/>
          <w:szCs w:val="24"/>
        </w:rPr>
        <w:t>W projekcie ustawy zostały wprowadzone także przepis</w:t>
      </w:r>
      <w:r w:rsidR="00F216BC" w:rsidRPr="00375799">
        <w:rPr>
          <w:rFonts w:cstheme="minorHAnsi"/>
          <w:color w:val="000000" w:themeColor="text1"/>
          <w:sz w:val="24"/>
          <w:szCs w:val="24"/>
        </w:rPr>
        <w:t>y, które stanowią ograniczenia RODO,</w:t>
      </w:r>
      <w:r w:rsidR="00EF3D8A">
        <w:rPr>
          <w:rFonts w:cstheme="minorHAnsi"/>
          <w:color w:val="000000" w:themeColor="text1"/>
          <w:sz w:val="24"/>
          <w:szCs w:val="24"/>
        </w:rPr>
        <w:t xml:space="preserve"> a</w:t>
      </w:r>
      <w:r w:rsidR="00F216BC" w:rsidRPr="00375799">
        <w:rPr>
          <w:rFonts w:cstheme="minorHAnsi"/>
          <w:color w:val="000000" w:themeColor="text1"/>
          <w:sz w:val="24"/>
          <w:szCs w:val="24"/>
        </w:rPr>
        <w:t xml:space="preserve"> które zostały wprowadzone zgodnie </w:t>
      </w:r>
      <w:r w:rsidR="00CF7B15">
        <w:rPr>
          <w:rFonts w:cstheme="minorHAnsi"/>
          <w:color w:val="000000" w:themeColor="text1"/>
          <w:sz w:val="24"/>
          <w:szCs w:val="24"/>
        </w:rPr>
        <w:t xml:space="preserve">z </w:t>
      </w:r>
      <w:r w:rsidRPr="00375799">
        <w:rPr>
          <w:rFonts w:cstheme="minorHAnsi"/>
          <w:color w:val="000000" w:themeColor="text1"/>
          <w:sz w:val="24"/>
          <w:szCs w:val="24"/>
        </w:rPr>
        <w:t xml:space="preserve">art. 23 RODO. </w:t>
      </w:r>
      <w:r w:rsidR="00F216BC" w:rsidRPr="00375799">
        <w:rPr>
          <w:rFonts w:cstheme="minorHAnsi"/>
          <w:color w:val="000000" w:themeColor="text1"/>
          <w:sz w:val="24"/>
          <w:szCs w:val="24"/>
        </w:rPr>
        <w:t>Z</w:t>
      </w:r>
      <w:r w:rsidRPr="00375799">
        <w:rPr>
          <w:rFonts w:cstheme="minorHAnsi"/>
          <w:color w:val="000000" w:themeColor="text1"/>
          <w:sz w:val="24"/>
          <w:szCs w:val="24"/>
        </w:rPr>
        <w:t xml:space="preserve">ostały one wprowadzone wyłącznie </w:t>
      </w:r>
      <w:r w:rsidR="00CF7B15">
        <w:rPr>
          <w:rFonts w:cstheme="minorHAnsi"/>
          <w:color w:val="000000" w:themeColor="text1"/>
          <w:sz w:val="24"/>
          <w:szCs w:val="24"/>
        </w:rPr>
        <w:t>w</w:t>
      </w:r>
      <w:r w:rsidR="00CF7B15" w:rsidRPr="00375799">
        <w:rPr>
          <w:rFonts w:cstheme="minorHAnsi"/>
          <w:color w:val="000000" w:themeColor="text1"/>
          <w:sz w:val="24"/>
          <w:szCs w:val="24"/>
        </w:rPr>
        <w:t xml:space="preserve"> </w:t>
      </w:r>
      <w:r w:rsidRPr="00375799">
        <w:rPr>
          <w:rFonts w:cstheme="minorHAnsi"/>
          <w:color w:val="000000" w:themeColor="text1"/>
          <w:sz w:val="24"/>
          <w:szCs w:val="24"/>
        </w:rPr>
        <w:t>zakresie niezbędnym do prawidłowej realizacji zadań przez administratorów danych</w:t>
      </w:r>
      <w:r w:rsidR="00EF3D8A">
        <w:rPr>
          <w:rFonts w:cstheme="minorHAnsi"/>
          <w:color w:val="000000" w:themeColor="text1"/>
          <w:sz w:val="24"/>
          <w:szCs w:val="24"/>
        </w:rPr>
        <w:t>.</w:t>
      </w:r>
    </w:p>
    <w:p w14:paraId="2B0B9F81" w14:textId="4B78543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toku prac na</w:t>
      </w:r>
      <w:r w:rsidR="00CF7B15">
        <w:rPr>
          <w:rFonts w:cstheme="minorHAnsi"/>
          <w:color w:val="000000" w:themeColor="text1"/>
          <w:sz w:val="24"/>
          <w:szCs w:val="24"/>
        </w:rPr>
        <w:t>d</w:t>
      </w:r>
      <w:r w:rsidRPr="00375799">
        <w:rPr>
          <w:rFonts w:cstheme="minorHAnsi"/>
          <w:color w:val="000000" w:themeColor="text1"/>
          <w:sz w:val="24"/>
          <w:szCs w:val="24"/>
        </w:rPr>
        <w:t xml:space="preserve"> przepisami sektorowymi zapewniającymi stosowanie </w:t>
      </w:r>
      <w:r w:rsidR="00252AB5" w:rsidRPr="00375799">
        <w:rPr>
          <w:rFonts w:cstheme="minorHAnsi"/>
          <w:color w:val="000000" w:themeColor="text1"/>
          <w:sz w:val="24"/>
          <w:szCs w:val="24"/>
        </w:rPr>
        <w:t>RODO</w:t>
      </w:r>
      <w:r w:rsidR="00BF1F34" w:rsidRPr="00375799">
        <w:rPr>
          <w:rFonts w:cstheme="minorHAnsi"/>
          <w:color w:val="000000" w:themeColor="text1"/>
          <w:sz w:val="24"/>
          <w:szCs w:val="24"/>
        </w:rPr>
        <w:t xml:space="preserve"> został powołany </w:t>
      </w:r>
      <w:r w:rsidRPr="00375799">
        <w:rPr>
          <w:rFonts w:cstheme="minorHAnsi"/>
          <w:color w:val="000000" w:themeColor="text1"/>
          <w:sz w:val="24"/>
          <w:szCs w:val="24"/>
        </w:rPr>
        <w:t xml:space="preserve"> zespół roboczy składający się z przedstawicieli Ministra Cyfryzacji, Ministra Spraw Zagranicznych, Rządowego Centrum Legislacji oraz </w:t>
      </w:r>
      <w:r w:rsidR="00EF3D8A">
        <w:rPr>
          <w:rFonts w:cstheme="minorHAnsi"/>
          <w:color w:val="000000" w:themeColor="text1"/>
          <w:sz w:val="24"/>
          <w:szCs w:val="24"/>
        </w:rPr>
        <w:t xml:space="preserve">Prezesa Urzędu Ochrony Danych Osobowych (poprzednio: </w:t>
      </w:r>
      <w:r w:rsidRPr="00375799">
        <w:rPr>
          <w:rFonts w:cstheme="minorHAnsi"/>
          <w:color w:val="000000" w:themeColor="text1"/>
          <w:sz w:val="24"/>
          <w:szCs w:val="24"/>
        </w:rPr>
        <w:t>Generalnego Inspektora Ochrony Danych Osobowych</w:t>
      </w:r>
      <w:r w:rsidR="00EF3D8A">
        <w:rPr>
          <w:rFonts w:cstheme="minorHAnsi"/>
          <w:color w:val="000000" w:themeColor="text1"/>
          <w:sz w:val="24"/>
          <w:szCs w:val="24"/>
        </w:rPr>
        <w:t>)</w:t>
      </w:r>
      <w:r w:rsidR="00BF1F34" w:rsidRPr="00375799">
        <w:rPr>
          <w:rFonts w:cstheme="minorHAnsi"/>
          <w:color w:val="000000" w:themeColor="text1"/>
          <w:sz w:val="24"/>
          <w:szCs w:val="24"/>
        </w:rPr>
        <w:t xml:space="preserve">. Zespół w toku prac i dyskusji </w:t>
      </w:r>
      <w:r w:rsidRPr="00375799">
        <w:rPr>
          <w:rFonts w:cstheme="minorHAnsi"/>
          <w:color w:val="000000" w:themeColor="text1"/>
          <w:sz w:val="24"/>
          <w:szCs w:val="24"/>
        </w:rPr>
        <w:t xml:space="preserve">uzgodnił niżej opisane podejście mające na celu zapewnienie systemowej spójności projektowanych regulacji. </w:t>
      </w:r>
    </w:p>
    <w:p w14:paraId="77F2DA9F" w14:textId="11FC434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W zakresie konieczności regulowania katalogu przetwarzanych danych osobowych uznano, że </w:t>
      </w:r>
      <w:r w:rsidR="00CF7B15" w:rsidRPr="00375799">
        <w:rPr>
          <w:rFonts w:cstheme="minorHAnsi"/>
          <w:color w:val="000000" w:themeColor="text1"/>
          <w:sz w:val="24"/>
          <w:szCs w:val="24"/>
        </w:rPr>
        <w:t>kwesti</w:t>
      </w:r>
      <w:r w:rsidR="00CF7B15">
        <w:rPr>
          <w:rFonts w:cstheme="minorHAnsi"/>
          <w:color w:val="000000" w:themeColor="text1"/>
          <w:sz w:val="24"/>
          <w:szCs w:val="24"/>
        </w:rPr>
        <w:t>a</w:t>
      </w:r>
      <w:r w:rsidR="00CF7B15" w:rsidRPr="00375799">
        <w:rPr>
          <w:rFonts w:cstheme="minorHAnsi"/>
          <w:color w:val="000000" w:themeColor="text1"/>
          <w:sz w:val="24"/>
          <w:szCs w:val="24"/>
        </w:rPr>
        <w:t xml:space="preserve"> </w:t>
      </w:r>
      <w:r w:rsidRPr="00375799">
        <w:rPr>
          <w:rFonts w:cstheme="minorHAnsi"/>
          <w:color w:val="000000" w:themeColor="text1"/>
          <w:sz w:val="24"/>
          <w:szCs w:val="24"/>
        </w:rPr>
        <w:t xml:space="preserve">potrzeby uregulowania w </w:t>
      </w:r>
      <w:r w:rsidR="00114E2A">
        <w:rPr>
          <w:rFonts w:cstheme="minorHAnsi"/>
          <w:color w:val="000000" w:themeColor="text1"/>
          <w:sz w:val="24"/>
          <w:szCs w:val="24"/>
        </w:rPr>
        <w:t>poszczególnych</w:t>
      </w:r>
      <w:r w:rsidR="00EF3D8A">
        <w:rPr>
          <w:rFonts w:cstheme="minorHAnsi"/>
          <w:color w:val="000000" w:themeColor="text1"/>
          <w:sz w:val="24"/>
          <w:szCs w:val="24"/>
        </w:rPr>
        <w:t xml:space="preserve"> ustawach </w:t>
      </w:r>
      <w:r w:rsidRPr="00375799">
        <w:rPr>
          <w:rFonts w:cstheme="minorHAnsi"/>
          <w:color w:val="000000" w:themeColor="text1"/>
          <w:sz w:val="24"/>
          <w:szCs w:val="24"/>
        </w:rPr>
        <w:t xml:space="preserve">katalogu danych osobowych wymaga oceny ad casum. Dokonując analizy, czy istnieje potrzeba regulowania katalogu danych na poziomie ustawowym, należało uwzględnić: </w:t>
      </w:r>
    </w:p>
    <w:p w14:paraId="3AB9FFE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1) czy istotą zadania jest przetwarzanie danych osobowych – jako przykład takiego zadania można wskazać prowadzenie rejestrów publicznych. W tym przypadku istnieje konieczność określenia na poziomie ustawowym, w sposób precyzyjny, zamkniętego katalogu przetwarzanych danych (co już obecnie wynika ze standardów konstytucyjnych); </w:t>
      </w:r>
    </w:p>
    <w:p w14:paraId="0C9AD10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2) czy z zadania określonego w przepisach prawa powszechnie obowiązującego w sposób precyzyjny i jednoznaczny (innego niż zadanie, którego istotą jest przetwarzanie danych) można wywieść konieczność przetwarzania określonych danych osobowych – jeżeli tak, wówczas nie należy tworzyć katalogu danych, gdyż wynika on z samego zadania; </w:t>
      </w:r>
    </w:p>
    <w:p w14:paraId="2A51D568" w14:textId="00C4FFD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3) w przypadku gdy z zadania nie można wyinterpretować, jakie dane osobowe są przetwarzane podczas jego wykonywania, konieczne wydaje się uzupełnienie przepisu materialnego, aby można było wywieść z niego konieczność przetwarzania precyzyjnie określonych danych; przykładowo w przypadku przepisów dotyczących przyznawania świadczeń należy wskazać, jakie wymogi powinna spełnić osoba ubiegająca się o to świadczenie (będą one jednocześnie wyznaczały zakres danych osobowych przetwarzanych w ramach tego zadania). </w:t>
      </w:r>
    </w:p>
    <w:p w14:paraId="2074C4C9" w14:textId="2E9E284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Odnośnie przetwarzania danych osobowych w postępowaniach administracyjnych uznano, że nadmiarowe i niecelowe jest tworzenie w przepisach sektorowych, zawierających materialne podstawy dla prowadzenia postępowań, regulacji, które upoważniają organ prowadzący postępowanie do przetwarzania danych osobowych w toku tego postępowania. Aktualność w tym zakresie zachowuje wyrok Naczelnego Sądu Administracyjnego z dnia 13 grudnia 2011 r., sygn. akt I OSK 521/11, </w:t>
      </w:r>
      <w:r w:rsidR="00EF3D8A">
        <w:rPr>
          <w:rFonts w:cstheme="minorHAnsi"/>
          <w:color w:val="000000" w:themeColor="text1"/>
          <w:sz w:val="24"/>
          <w:szCs w:val="24"/>
        </w:rPr>
        <w:t xml:space="preserve">CBOSA, </w:t>
      </w:r>
      <w:r w:rsidRPr="00375799">
        <w:rPr>
          <w:rFonts w:cstheme="minorHAnsi"/>
          <w:color w:val="000000" w:themeColor="text1"/>
          <w:sz w:val="24"/>
          <w:szCs w:val="24"/>
        </w:rPr>
        <w:t xml:space="preserve">w którym wskazano, że „(…) mimo braku w przepisach kpa upoważnienia do przetwarzania danych osobowych, noszącego cechy upoważnienia o charakterze generalnym, należy przyjąć, że przetwarzanie danych osobowych przez organ administracji dla celów prowadzonego postępowania jest niezbędne dla wykonania uprawnień i obowiązków przyznanych organowi w przepisach kpa. Tym samym takie przetwarzanie danych jest niezbędne dla wykonania uprawnień organu administracji publicznej w znaczeniu, jakie temu pojęciu nadaje przepis art. 23 ust. 1 pkt 2 ustawy o ochronie danych osobowych i jako takie jest działaniem dopuszczalnym”. Aktualnie, taka podstawa znajduje się w art. 6 ust. 1 lit. c </w:t>
      </w:r>
      <w:r w:rsidR="00252AB5" w:rsidRPr="00375799">
        <w:rPr>
          <w:rFonts w:cstheme="minorHAnsi"/>
          <w:color w:val="000000" w:themeColor="text1"/>
          <w:sz w:val="24"/>
          <w:szCs w:val="24"/>
        </w:rPr>
        <w:t>RODO</w:t>
      </w:r>
      <w:r w:rsidRPr="00375799">
        <w:rPr>
          <w:rFonts w:cstheme="minorHAnsi"/>
          <w:color w:val="000000" w:themeColor="text1"/>
          <w:sz w:val="24"/>
          <w:szCs w:val="24"/>
        </w:rPr>
        <w:t>. Powyższe oznacza, że organ nie musi żądać od strony postępowania administracyjnego udzielenia zgody na przetwarzanie danych osobowych w toku postępowania, jak również, że nie ma potrzeby tworzenia szczególnych podstaw prawnych w ustawach pozwalających na przetwarzanie danych w toku postępowań administracyjnych. Dodatkowo w przypadku, gdy oprócz art. 63</w:t>
      </w:r>
      <w:r w:rsidR="00EF3D8A">
        <w:rPr>
          <w:rFonts w:cstheme="minorHAnsi"/>
          <w:color w:val="000000" w:themeColor="text1"/>
          <w:sz w:val="24"/>
          <w:szCs w:val="24"/>
        </w:rPr>
        <w:t xml:space="preserve"> ustawy z dnia </w:t>
      </w:r>
      <w:r w:rsidR="008762ED">
        <w:rPr>
          <w:rFonts w:cstheme="minorHAnsi"/>
          <w:color w:val="000000" w:themeColor="text1"/>
          <w:sz w:val="24"/>
          <w:szCs w:val="24"/>
        </w:rPr>
        <w:t>14 czerwca 1960 r. – Kodeks postępowania administracyjnego</w:t>
      </w:r>
      <w:r w:rsidRPr="00375799">
        <w:rPr>
          <w:rFonts w:cstheme="minorHAnsi"/>
          <w:color w:val="000000" w:themeColor="text1"/>
          <w:sz w:val="24"/>
          <w:szCs w:val="24"/>
        </w:rPr>
        <w:t xml:space="preserve"> (przepis regulujący wniosek o wszczęcie postępowania administracyjnego) przepisy ustawy zawierają dodatkowy katalog danych, który ma być dołączony do wniosku, nie jest konieczne dodawanie odrębnego blankietowego </w:t>
      </w:r>
      <w:r w:rsidRPr="00375799">
        <w:rPr>
          <w:rFonts w:cstheme="minorHAnsi"/>
          <w:color w:val="000000" w:themeColor="text1"/>
          <w:sz w:val="24"/>
          <w:szCs w:val="24"/>
        </w:rPr>
        <w:lastRenderedPageBreak/>
        <w:t>przepisu, że organ, rozpatrując ten wniosek, przetwarza dane osobowe, które zawarte są we wniosku. W przypadku prowadzonego już postępowania administracyjnego, w tym postępowania wyjaśniającego, zgodnie z</w:t>
      </w:r>
      <w:r w:rsidR="008762ED">
        <w:rPr>
          <w:rFonts w:cstheme="minorHAnsi"/>
          <w:color w:val="000000" w:themeColor="text1"/>
          <w:sz w:val="24"/>
          <w:szCs w:val="24"/>
        </w:rPr>
        <w:t xml:space="preserve"> ustawą z dnia 14 czerwca 1960 r. –</w:t>
      </w:r>
      <w:r w:rsidR="004F127E">
        <w:rPr>
          <w:rFonts w:cstheme="minorHAnsi"/>
          <w:color w:val="000000" w:themeColor="text1"/>
          <w:sz w:val="24"/>
          <w:szCs w:val="24"/>
        </w:rPr>
        <w:t xml:space="preserve"> Kodeks</w:t>
      </w:r>
      <w:r w:rsidRPr="00375799">
        <w:rPr>
          <w:rFonts w:cstheme="minorHAnsi"/>
          <w:color w:val="000000" w:themeColor="text1"/>
          <w:sz w:val="24"/>
          <w:szCs w:val="24"/>
        </w:rPr>
        <w:t xml:space="preserve"> postępowania administracyjnego, organ dążąc do wyjaśnienia sprawy</w:t>
      </w:r>
      <w:r w:rsidR="005231C8">
        <w:rPr>
          <w:rFonts w:cstheme="minorHAnsi"/>
          <w:color w:val="000000" w:themeColor="text1"/>
          <w:sz w:val="24"/>
          <w:szCs w:val="24"/>
        </w:rPr>
        <w:t>,</w:t>
      </w:r>
      <w:r w:rsidRPr="00375799">
        <w:rPr>
          <w:rFonts w:cstheme="minorHAnsi"/>
          <w:color w:val="000000" w:themeColor="text1"/>
          <w:sz w:val="24"/>
          <w:szCs w:val="24"/>
        </w:rPr>
        <w:t xml:space="preserve"> zbiera dowody. Stanowi to wystarczającą przesłankę do przetwarzania danych osobowych stron i uczestników postępowania. </w:t>
      </w:r>
    </w:p>
    <w:p w14:paraId="3AAE09DE" w14:textId="53B53AB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zakresie konieczności zawierania w </w:t>
      </w:r>
      <w:r w:rsidR="008762ED">
        <w:rPr>
          <w:rFonts w:cstheme="minorHAnsi"/>
          <w:color w:val="000000" w:themeColor="text1"/>
          <w:sz w:val="24"/>
          <w:szCs w:val="24"/>
        </w:rPr>
        <w:t xml:space="preserve">projektowanych </w:t>
      </w:r>
      <w:r w:rsidRPr="00375799">
        <w:rPr>
          <w:rFonts w:cstheme="minorHAnsi"/>
          <w:color w:val="000000" w:themeColor="text1"/>
          <w:sz w:val="24"/>
          <w:szCs w:val="24"/>
        </w:rPr>
        <w:t>przepisach przepisu literalnie wskazującego administratora</w:t>
      </w:r>
      <w:r w:rsidR="008762ED">
        <w:rPr>
          <w:rFonts w:cstheme="minorHAnsi"/>
          <w:color w:val="000000" w:themeColor="text1"/>
          <w:sz w:val="24"/>
          <w:szCs w:val="24"/>
        </w:rPr>
        <w:t xml:space="preserve"> danych</w:t>
      </w:r>
      <w:r w:rsidRPr="00375799">
        <w:rPr>
          <w:rFonts w:cstheme="minorHAnsi"/>
          <w:color w:val="000000" w:themeColor="text1"/>
          <w:sz w:val="24"/>
          <w:szCs w:val="24"/>
        </w:rPr>
        <w:t xml:space="preserve">, należy wskazać, że zgodnie z art. 4 pkt 7 </w:t>
      </w:r>
      <w:r w:rsidR="00252AB5" w:rsidRPr="00375799">
        <w:rPr>
          <w:rFonts w:cstheme="minorHAnsi"/>
          <w:color w:val="000000" w:themeColor="text1"/>
          <w:sz w:val="24"/>
          <w:szCs w:val="24"/>
        </w:rPr>
        <w:t>RODO</w:t>
      </w:r>
      <w:r w:rsidRPr="00375799">
        <w:rPr>
          <w:rFonts w:cstheme="minorHAnsi"/>
          <w:color w:val="000000" w:themeColor="text1"/>
          <w:sz w:val="24"/>
          <w:szCs w:val="24"/>
        </w:rPr>
        <w:t xml:space="preserve">, pojęcie „administrator” oznacza osobę fizyczną lub prawną, organ publiczny, jednostkę lub inny podmiot, który samodzielnie lub wspólnie z innymi ustala cele i sposoby przetwarzania danych osobowych; jeżeli cele i sposoby takiego przetwarzania są określone w prawie Unii lub w prawie państwa członkowskiego, to również w prawie Unii lub w prawie państwa członkowskiego może zostać wyznaczony administrator lub mogą zostać określone konkretne kryteria jego wyznaczenia. Definicja </w:t>
      </w:r>
      <w:r w:rsidR="008762ED">
        <w:rPr>
          <w:rFonts w:cstheme="minorHAnsi"/>
          <w:color w:val="000000" w:themeColor="text1"/>
          <w:sz w:val="24"/>
          <w:szCs w:val="24"/>
        </w:rPr>
        <w:t>„</w:t>
      </w:r>
      <w:r w:rsidRPr="00375799">
        <w:rPr>
          <w:rFonts w:cstheme="minorHAnsi"/>
          <w:color w:val="000000" w:themeColor="text1"/>
          <w:sz w:val="24"/>
          <w:szCs w:val="24"/>
        </w:rPr>
        <w:t>administratora</w:t>
      </w:r>
      <w:r w:rsidR="008762ED">
        <w:rPr>
          <w:rFonts w:cstheme="minorHAnsi"/>
          <w:color w:val="000000" w:themeColor="text1"/>
          <w:sz w:val="24"/>
          <w:szCs w:val="24"/>
        </w:rPr>
        <w:t>”</w:t>
      </w:r>
      <w:r w:rsidRPr="00375799">
        <w:rPr>
          <w:rFonts w:cstheme="minorHAnsi"/>
          <w:color w:val="000000" w:themeColor="text1"/>
          <w:sz w:val="24"/>
          <w:szCs w:val="24"/>
        </w:rPr>
        <w:t xml:space="preserve"> zawarta w </w:t>
      </w:r>
      <w:r w:rsidR="00252AB5" w:rsidRPr="00375799">
        <w:rPr>
          <w:rFonts w:cstheme="minorHAnsi"/>
          <w:color w:val="000000" w:themeColor="text1"/>
          <w:sz w:val="24"/>
          <w:szCs w:val="24"/>
        </w:rPr>
        <w:t>RODO</w:t>
      </w:r>
      <w:r w:rsidRPr="00375799">
        <w:rPr>
          <w:rFonts w:cstheme="minorHAnsi"/>
          <w:color w:val="000000" w:themeColor="text1"/>
          <w:sz w:val="24"/>
          <w:szCs w:val="24"/>
        </w:rPr>
        <w:t xml:space="preserve"> nie odbiega od dotychczasowej definicji obowiązującej na gruncie ustawy z dnia 29 sierpnia 1997 r. o ochronie danych osobowych</w:t>
      </w:r>
      <w:r w:rsidR="008762ED">
        <w:rPr>
          <w:rFonts w:cstheme="minorHAnsi"/>
          <w:color w:val="000000" w:themeColor="text1"/>
          <w:sz w:val="24"/>
          <w:szCs w:val="24"/>
        </w:rPr>
        <w:t xml:space="preserve"> (Dz. U. z 2016 r. poz. 922 oraz z 2018 r. poz. 138 i 723)</w:t>
      </w:r>
      <w:r w:rsidRPr="00375799">
        <w:rPr>
          <w:rFonts w:cstheme="minorHAnsi"/>
          <w:color w:val="000000" w:themeColor="text1"/>
          <w:sz w:val="24"/>
          <w:szCs w:val="24"/>
        </w:rPr>
        <w:t xml:space="preserve">. Konstytutywnymi elementami tej definicji są: (1) ustalanie celów przetwarzania danych osobowych oraz (2) ustalenie sposobów przetwarzania danych osobowych. Administratorem zatem jest ten, kto decyduje o celach i sposobach przetwarzania danych osobowych. Uznano zatem, że jeżeli z przepisów prawa w sposób jasny i nie budzący wątpliwości wynika, kto ustala cele i sposoby przetwarzania, to nie ma potrzeby wskazywania w przepisie </w:t>
      </w:r>
      <w:proofErr w:type="spellStart"/>
      <w:r w:rsidRPr="00375799">
        <w:rPr>
          <w:rFonts w:cstheme="minorHAnsi"/>
          <w:color w:val="000000" w:themeColor="text1"/>
          <w:sz w:val="24"/>
          <w:szCs w:val="24"/>
        </w:rPr>
        <w:t>expresis</w:t>
      </w:r>
      <w:proofErr w:type="spellEnd"/>
      <w:r w:rsidRPr="00375799">
        <w:rPr>
          <w:rFonts w:cstheme="minorHAnsi"/>
          <w:color w:val="000000" w:themeColor="text1"/>
          <w:sz w:val="24"/>
          <w:szCs w:val="24"/>
        </w:rPr>
        <w:t xml:space="preserve"> verbis, że dany podmiot jest administratorem</w:t>
      </w:r>
      <w:r w:rsidR="008762ED">
        <w:rPr>
          <w:rFonts w:cstheme="minorHAnsi"/>
          <w:color w:val="000000" w:themeColor="text1"/>
          <w:sz w:val="24"/>
          <w:szCs w:val="24"/>
        </w:rPr>
        <w:t xml:space="preserve"> danych</w:t>
      </w:r>
      <w:r w:rsidRPr="00375799">
        <w:rPr>
          <w:rFonts w:cstheme="minorHAnsi"/>
          <w:color w:val="000000" w:themeColor="text1"/>
          <w:sz w:val="24"/>
          <w:szCs w:val="24"/>
        </w:rPr>
        <w:t>.</w:t>
      </w:r>
    </w:p>
    <w:p w14:paraId="41BD61FD" w14:textId="42A67EB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zakresie współadministrowania, zgodnie z art. 26 </w:t>
      </w:r>
      <w:r w:rsidR="00252AB5" w:rsidRPr="00375799">
        <w:rPr>
          <w:rFonts w:cstheme="minorHAnsi"/>
          <w:color w:val="000000" w:themeColor="text1"/>
          <w:sz w:val="24"/>
          <w:szCs w:val="24"/>
        </w:rPr>
        <w:t>RODO</w:t>
      </w:r>
      <w:r w:rsidRPr="00375799">
        <w:rPr>
          <w:rFonts w:cstheme="minorHAnsi"/>
          <w:color w:val="000000" w:themeColor="text1"/>
          <w:sz w:val="24"/>
          <w:szCs w:val="24"/>
        </w:rPr>
        <w:t xml:space="preserve">, jeżeli co najmniej dwóch administratorów wspólnie ustala cele, a także sposoby przetwarzania, są oni współadministratorami. Współadministratorzy mają obowiązek w sposób przejrzysty określić zakresy swojej odpowiedzialności dotyczącej wypełniania obowiązków wynikających z rozporządzenia. Wydaje się, że ten zakres odpowiedzialności powinien wynikać z przepisów prawa, które ustanawiają danych administratorów jako współadministratorów. Współadministratorami w rozumieniu ww. przepisu nie są zatem administrator i podmiot przetwarzający. W przypadku, gdy mamy do czynienia ze współadministrowaniem, konieczne jest uregulowanie zakresów odpowiedzialności współadministratorów w kontekście obowiązków wynikających z </w:t>
      </w:r>
      <w:r w:rsidR="00252AB5"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196506AC" w14:textId="405B74C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Przyjęto również, że niezasadne jest tworzenie regulacji powielającej przepisy </w:t>
      </w:r>
      <w:r w:rsidR="008762ED">
        <w:rPr>
          <w:rFonts w:cstheme="minorHAnsi"/>
          <w:color w:val="000000" w:themeColor="text1"/>
          <w:sz w:val="24"/>
          <w:szCs w:val="24"/>
        </w:rPr>
        <w:t>ustawy z dnia 26 czerwca 1974 r. –</w:t>
      </w:r>
      <w:r w:rsidRPr="00375799">
        <w:rPr>
          <w:rFonts w:cstheme="minorHAnsi"/>
          <w:color w:val="000000" w:themeColor="text1"/>
          <w:sz w:val="24"/>
          <w:szCs w:val="24"/>
        </w:rPr>
        <w:t xml:space="preserve"> </w:t>
      </w:r>
      <w:r w:rsidR="008762ED" w:rsidRPr="00375799">
        <w:rPr>
          <w:rFonts w:cstheme="minorHAnsi"/>
          <w:color w:val="000000" w:themeColor="text1"/>
          <w:sz w:val="24"/>
          <w:szCs w:val="24"/>
        </w:rPr>
        <w:t>Kodeks</w:t>
      </w:r>
      <w:r w:rsidR="008762ED">
        <w:rPr>
          <w:rFonts w:cstheme="minorHAnsi"/>
          <w:color w:val="000000" w:themeColor="text1"/>
          <w:sz w:val="24"/>
          <w:szCs w:val="24"/>
        </w:rPr>
        <w:t xml:space="preserve"> </w:t>
      </w:r>
      <w:r w:rsidRPr="00375799">
        <w:rPr>
          <w:rFonts w:cstheme="minorHAnsi"/>
          <w:color w:val="000000" w:themeColor="text1"/>
          <w:sz w:val="24"/>
          <w:szCs w:val="24"/>
        </w:rPr>
        <w:t xml:space="preserve">pracy. W ustawach, w których znajdują się przepisy dotyczące zatrudnienia, nie jest uzasadnione powielanie przepisów </w:t>
      </w:r>
      <w:r w:rsidR="008762ED">
        <w:rPr>
          <w:rFonts w:cstheme="minorHAnsi"/>
          <w:color w:val="000000" w:themeColor="text1"/>
          <w:sz w:val="24"/>
          <w:szCs w:val="24"/>
        </w:rPr>
        <w:t xml:space="preserve">ustawy z dnia 26 czerwca 1974 r. – </w:t>
      </w:r>
      <w:r w:rsidRPr="00375799">
        <w:rPr>
          <w:rFonts w:cstheme="minorHAnsi"/>
          <w:color w:val="000000" w:themeColor="text1"/>
          <w:sz w:val="24"/>
          <w:szCs w:val="24"/>
        </w:rPr>
        <w:t xml:space="preserve">Kodeks pracy, dotyczących przetwarzania danych osobowych pracowników i osób ubiegających się o zatrudnienie. Jednocześnie, jeżeli zakres wymagań na dane stanowisko wynika z przepisów ustawy, nie ma potrzeby dodatkowego regulowania, jakie dane osobowe są przetwarzane. Należy przy tym mieć na uwadze, że w tzw. pragmatykach często występują </w:t>
      </w:r>
      <w:r w:rsidRPr="00375799">
        <w:rPr>
          <w:rFonts w:cstheme="minorHAnsi"/>
          <w:color w:val="000000" w:themeColor="text1"/>
          <w:sz w:val="24"/>
          <w:szCs w:val="24"/>
        </w:rPr>
        <w:lastRenderedPageBreak/>
        <w:t xml:space="preserve">wprost odwołania do </w:t>
      </w:r>
      <w:r w:rsidR="008762ED">
        <w:rPr>
          <w:rFonts w:cstheme="minorHAnsi"/>
          <w:color w:val="000000" w:themeColor="text1"/>
          <w:sz w:val="24"/>
          <w:szCs w:val="24"/>
        </w:rPr>
        <w:t xml:space="preserve">ustawy z dnia 26 czerwca 1974 r. – </w:t>
      </w:r>
      <w:r w:rsidRPr="00375799">
        <w:rPr>
          <w:rFonts w:cstheme="minorHAnsi"/>
          <w:color w:val="000000" w:themeColor="text1"/>
          <w:sz w:val="24"/>
          <w:szCs w:val="24"/>
        </w:rPr>
        <w:t xml:space="preserve">Kodeks pracy „w zakresie nieuregulowanym”. </w:t>
      </w:r>
    </w:p>
    <w:p w14:paraId="53BDAD34"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Założono także, że w przypadku, gdy z przepisów ustawy wynika uprawnienie organu do przeprowadzania kontroli, za nadmiarowe i zbędne należy uznać dodawanie regulacji, stanowiących expressis verbis, że kontrolujący przetwarzają dane osobowe pozyskane w toku kontroli. Wynika to bowiem z ogólnej kompetencji organu do przeprowadzania kontroli. </w:t>
      </w:r>
    </w:p>
    <w:p w14:paraId="6088FF5E"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02B9A19A" w14:textId="08153FB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 w:name="_Toc530564974"/>
      <w:r w:rsidRPr="00375799">
        <w:rPr>
          <w:rFonts w:asciiTheme="minorHAnsi" w:hAnsiTheme="minorHAnsi" w:cstheme="minorHAnsi"/>
          <w:color w:val="000000" w:themeColor="text1"/>
          <w:sz w:val="24"/>
          <w:szCs w:val="24"/>
        </w:rPr>
        <w:t xml:space="preserve">Ustawa z dnia 14 czerwca 1960 r. − Kodeks postępowania administracyjnego (Dz. U. </w:t>
      </w:r>
      <w:r w:rsidR="000A56FA">
        <w:rPr>
          <w:rFonts w:asciiTheme="minorHAnsi" w:hAnsiTheme="minorHAnsi" w:cstheme="minorHAnsi"/>
          <w:color w:val="000000" w:themeColor="text1"/>
          <w:sz w:val="24"/>
          <w:szCs w:val="24"/>
        </w:rPr>
        <w:t>z 201</w:t>
      </w:r>
      <w:r w:rsidR="00306046">
        <w:rPr>
          <w:rFonts w:asciiTheme="minorHAnsi" w:hAnsiTheme="minorHAnsi" w:cstheme="minorHAnsi"/>
          <w:color w:val="000000" w:themeColor="text1"/>
          <w:sz w:val="24"/>
          <w:szCs w:val="24"/>
        </w:rPr>
        <w:t>8</w:t>
      </w:r>
      <w:r w:rsidR="000A56FA">
        <w:rPr>
          <w:rFonts w:asciiTheme="minorHAnsi" w:hAnsiTheme="minorHAnsi" w:cstheme="minorHAnsi"/>
          <w:color w:val="000000" w:themeColor="text1"/>
          <w:sz w:val="24"/>
          <w:szCs w:val="24"/>
        </w:rPr>
        <w:t xml:space="preserve"> r. </w:t>
      </w:r>
      <w:r w:rsidRPr="00375799">
        <w:rPr>
          <w:rFonts w:asciiTheme="minorHAnsi" w:hAnsiTheme="minorHAnsi" w:cstheme="minorHAnsi"/>
          <w:color w:val="000000" w:themeColor="text1"/>
          <w:sz w:val="24"/>
          <w:szCs w:val="24"/>
        </w:rPr>
        <w:t xml:space="preserve">poz. </w:t>
      </w:r>
      <w:r w:rsidR="00306046">
        <w:rPr>
          <w:rFonts w:asciiTheme="minorHAnsi" w:hAnsiTheme="minorHAnsi" w:cstheme="minorHAnsi"/>
          <w:color w:val="000000" w:themeColor="text1"/>
          <w:sz w:val="24"/>
          <w:szCs w:val="24"/>
        </w:rPr>
        <w:t>2096</w:t>
      </w:r>
      <w:r w:rsidRPr="00375799">
        <w:rPr>
          <w:rFonts w:asciiTheme="minorHAnsi" w:hAnsiTheme="minorHAnsi" w:cstheme="minorHAnsi"/>
          <w:color w:val="000000" w:themeColor="text1"/>
          <w:sz w:val="24"/>
          <w:szCs w:val="24"/>
        </w:rPr>
        <w:t>)</w:t>
      </w:r>
      <w:bookmarkEnd w:id="1"/>
      <w:r w:rsidRPr="00375799">
        <w:rPr>
          <w:rFonts w:asciiTheme="minorHAnsi" w:hAnsiTheme="minorHAnsi" w:cstheme="minorHAnsi"/>
          <w:color w:val="000000" w:themeColor="text1"/>
          <w:sz w:val="24"/>
          <w:szCs w:val="24"/>
        </w:rPr>
        <w:t xml:space="preserve"> </w:t>
      </w:r>
    </w:p>
    <w:p w14:paraId="26794C5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6736734" w14:textId="46B3B94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Należy wskazać, że zgodnie z motywem 1 RODO, ochrona osób fizycznych w związku z przetwarzaniem danych osobowych jest jednym z praw podstawowych. Art. 8 ust. 1 Karty praw podstawowych Unii Europejskiej </w:t>
      </w:r>
      <w:r w:rsidR="004B69A8">
        <w:rPr>
          <w:rFonts w:cstheme="minorHAnsi"/>
          <w:color w:val="000000" w:themeColor="text1"/>
          <w:sz w:val="24"/>
          <w:szCs w:val="24"/>
        </w:rPr>
        <w:t>(</w:t>
      </w:r>
      <w:r w:rsidRPr="00375799">
        <w:rPr>
          <w:rFonts w:cstheme="minorHAnsi"/>
          <w:color w:val="000000" w:themeColor="text1"/>
          <w:sz w:val="24"/>
          <w:szCs w:val="24"/>
        </w:rPr>
        <w:t>dalej „Kart</w:t>
      </w:r>
      <w:r w:rsidR="004B69A8">
        <w:rPr>
          <w:rFonts w:cstheme="minorHAnsi"/>
          <w:color w:val="000000" w:themeColor="text1"/>
          <w:sz w:val="24"/>
          <w:szCs w:val="24"/>
        </w:rPr>
        <w:t>a</w:t>
      </w:r>
      <w:r w:rsidRPr="00375799">
        <w:rPr>
          <w:rFonts w:cstheme="minorHAnsi"/>
          <w:color w:val="000000" w:themeColor="text1"/>
          <w:sz w:val="24"/>
          <w:szCs w:val="24"/>
        </w:rPr>
        <w:t xml:space="preserve"> praw podstawowych”</w:t>
      </w:r>
      <w:r w:rsidR="004B69A8">
        <w:rPr>
          <w:rFonts w:cstheme="minorHAnsi"/>
          <w:color w:val="000000" w:themeColor="text1"/>
          <w:sz w:val="24"/>
          <w:szCs w:val="24"/>
        </w:rPr>
        <w:t>)</w:t>
      </w:r>
      <w:r w:rsidRPr="00375799">
        <w:rPr>
          <w:rFonts w:cstheme="minorHAnsi"/>
          <w:color w:val="000000" w:themeColor="text1"/>
          <w:sz w:val="24"/>
          <w:szCs w:val="24"/>
        </w:rPr>
        <w:t>, oraz art. 16 ust. 1 Traktatu o funkcjonowaniu Unii Europejskiej (dalej „TFUE”) stanowią, że każda osoba ma prawo do ochrony danych osobowych jej dotyczących. Artykuł 8 Karty Praw Podstawowych wskazuje natomiast, że każdy ma prawo do ochrony danych osobowych, które go dotyczą. Dane te muszą być przetwarzane rzetelnie w określonych celach i za zgodą osoby zainteresowanej lub na innej uzasadnionej podstawie przewidzianej ustawą. Każdy ma prawo dostępu do zebranych danych, które go dotyczą, i prawo do dokonania ich sprostowania. Przestrzeganie tych zasad podlega kontroli niezależnego organu.</w:t>
      </w:r>
    </w:p>
    <w:p w14:paraId="644AF115" w14:textId="26E0996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Mając na uwadze powyższe w ramach prac nad projektem ustawy uznano, iż zasadne staje się wprowadzenie do </w:t>
      </w:r>
      <w:r w:rsidR="004B69A8">
        <w:rPr>
          <w:rFonts w:cstheme="minorHAnsi"/>
          <w:color w:val="000000" w:themeColor="text1"/>
          <w:sz w:val="24"/>
          <w:szCs w:val="24"/>
        </w:rPr>
        <w:t>ustawy z dnia 14 czerwca 1960 r. – K</w:t>
      </w:r>
      <w:r w:rsidR="001C38AA">
        <w:rPr>
          <w:rFonts w:cstheme="minorHAnsi"/>
          <w:color w:val="000000" w:themeColor="text1"/>
          <w:sz w:val="24"/>
          <w:szCs w:val="24"/>
        </w:rPr>
        <w:t>odeks</w:t>
      </w:r>
      <w:r w:rsidRPr="00375799">
        <w:rPr>
          <w:rFonts w:cstheme="minorHAnsi"/>
          <w:color w:val="000000" w:themeColor="text1"/>
          <w:sz w:val="24"/>
          <w:szCs w:val="24"/>
        </w:rPr>
        <w:t xml:space="preserve"> postępo</w:t>
      </w:r>
      <w:r w:rsidR="001C38AA">
        <w:rPr>
          <w:rFonts w:cstheme="minorHAnsi"/>
          <w:color w:val="000000" w:themeColor="text1"/>
          <w:sz w:val="24"/>
          <w:szCs w:val="24"/>
        </w:rPr>
        <w:t>wania administracyjnego, zwany</w:t>
      </w:r>
      <w:r w:rsidRPr="00375799">
        <w:rPr>
          <w:rFonts w:cstheme="minorHAnsi"/>
          <w:color w:val="000000" w:themeColor="text1"/>
          <w:sz w:val="24"/>
          <w:szCs w:val="24"/>
        </w:rPr>
        <w:t xml:space="preserve"> dalej „kpa”, tj. aktu, który kodyfikuje administracyjne prawo proceduralne, przepisów, które będą odnosiły się do wymagań i obowiązków ciążących na administratorach danych wynikających z RODO. Jednocześnie intencją ustawodawcy jest, aby stosowanie obowiązków wynikających z RODO odbywało się obok przewidzianych w </w:t>
      </w:r>
      <w:r w:rsidR="004B69A8">
        <w:rPr>
          <w:rFonts w:cstheme="minorHAnsi"/>
          <w:color w:val="000000" w:themeColor="text1"/>
          <w:sz w:val="24"/>
          <w:szCs w:val="24"/>
        </w:rPr>
        <w:t>kpa</w:t>
      </w:r>
      <w:r w:rsidRPr="00375799">
        <w:rPr>
          <w:rFonts w:cstheme="minorHAnsi"/>
          <w:color w:val="000000" w:themeColor="text1"/>
          <w:sz w:val="24"/>
          <w:szCs w:val="24"/>
        </w:rPr>
        <w:t xml:space="preserve"> procedur administracyjnych, w szczególności procedur sprawach indywidualnych rozstrzyganych w drodze decyzji administracyjnych albo załatwianych milcząco. Jak już wskazano w RODO ochrona danych osobowych stanowi prawo podstawowe. Administracyjne prawo proceduralne, w tym uregulowania kodeksu postępowania administracyjnego co do zasady służą natomiast realizacji norm prawa materialnego i ich konkretyzacji (choć oczywiście w ustawach proceduralnych występują również samoistne normy materialno-prawne). Oznacza to tym samym, że przedmiotem decyzji administracyjnej jest rozstrzygnięcie czy stronie postępowania służy lub nie służy uprawnienie albo możliwe lub nie jest niemożliwe nałożenie obowiązku z mocy aktu prawa powszechnie obowiązującego. W efekcie należy uznać, iż przedmiotem postępowań uregulowanych w </w:t>
      </w:r>
      <w:r w:rsidR="004B69A8">
        <w:rPr>
          <w:rFonts w:cstheme="minorHAnsi"/>
          <w:color w:val="000000" w:themeColor="text1"/>
          <w:sz w:val="24"/>
          <w:szCs w:val="24"/>
        </w:rPr>
        <w:t>kpa</w:t>
      </w:r>
      <w:r w:rsidRPr="00375799">
        <w:rPr>
          <w:rFonts w:cstheme="minorHAnsi"/>
          <w:color w:val="000000" w:themeColor="text1"/>
          <w:sz w:val="24"/>
          <w:szCs w:val="24"/>
        </w:rPr>
        <w:t xml:space="preserve"> nie jest ochrona danych osobowych (jako prawo) lecz realizacja obowiązków nałożonych na organ administracji publicznej w postaci wydania decyzji administracyjnej. Oczywiście w toku postępowania administracyjnego organy administracji publicznej winny przestrzegać przepisów dotyczących ochrony danych osobowych oraz realizować obowiązki wynikające z przepisów o ochronie danych osobowych. </w:t>
      </w:r>
      <w:r w:rsidRPr="00375799">
        <w:rPr>
          <w:rFonts w:cstheme="minorHAnsi"/>
          <w:color w:val="000000" w:themeColor="text1"/>
          <w:sz w:val="24"/>
          <w:szCs w:val="24"/>
        </w:rPr>
        <w:lastRenderedPageBreak/>
        <w:t xml:space="preserve">Jednakże realizacja ww. obowiązków nie stanowi głównego celu i przedmiotu postępowania administracyjnego (oczywiście z wyjątkiem postępowań prowadzonych przed Prezesem Urzędu Ochrony Danych Osobowych). </w:t>
      </w:r>
    </w:p>
    <w:p w14:paraId="2A0F9F80" w14:textId="4412206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uwagi na powyższe zdecydowa</w:t>
      </w:r>
      <w:r w:rsidR="004B69A8">
        <w:rPr>
          <w:rFonts w:cstheme="minorHAnsi"/>
          <w:color w:val="000000" w:themeColor="text1"/>
          <w:sz w:val="24"/>
          <w:szCs w:val="24"/>
        </w:rPr>
        <w:t>no</w:t>
      </w:r>
      <w:r w:rsidRPr="00375799">
        <w:rPr>
          <w:rFonts w:cstheme="minorHAnsi"/>
          <w:color w:val="000000" w:themeColor="text1"/>
          <w:sz w:val="24"/>
          <w:szCs w:val="24"/>
        </w:rPr>
        <w:t xml:space="preserve"> się na wprowadzenie do kpa nowego art. </w:t>
      </w:r>
      <w:r w:rsidR="00CC3314" w:rsidRPr="00375799">
        <w:rPr>
          <w:rFonts w:cstheme="minorHAnsi"/>
          <w:color w:val="000000" w:themeColor="text1"/>
          <w:sz w:val="24"/>
          <w:szCs w:val="24"/>
        </w:rPr>
        <w:t>2a</w:t>
      </w:r>
      <w:r w:rsidRPr="00375799">
        <w:rPr>
          <w:rFonts w:cstheme="minorHAnsi"/>
          <w:color w:val="000000" w:themeColor="text1"/>
          <w:sz w:val="24"/>
          <w:szCs w:val="24"/>
        </w:rPr>
        <w:t xml:space="preserve">, który wskazuje, że kodeks normuje również sposób przekazywania w toku postępowań, o których mowa w art. 1 i </w:t>
      </w:r>
      <w:r w:rsidR="004B69A8">
        <w:rPr>
          <w:rFonts w:cstheme="minorHAnsi"/>
          <w:color w:val="000000" w:themeColor="text1"/>
          <w:sz w:val="24"/>
          <w:szCs w:val="24"/>
        </w:rPr>
        <w:t xml:space="preserve">art. </w:t>
      </w:r>
      <w:r w:rsidRPr="00375799">
        <w:rPr>
          <w:rFonts w:cstheme="minorHAnsi"/>
          <w:color w:val="000000" w:themeColor="text1"/>
          <w:sz w:val="24"/>
          <w:szCs w:val="24"/>
        </w:rPr>
        <w:t xml:space="preserve">2 informacji, o których mowa </w:t>
      </w:r>
      <w:r w:rsidR="0031227D">
        <w:rPr>
          <w:rFonts w:cstheme="minorHAnsi"/>
          <w:color w:val="000000" w:themeColor="text1"/>
          <w:sz w:val="24"/>
          <w:szCs w:val="24"/>
        </w:rPr>
        <w:t xml:space="preserve">w art. </w:t>
      </w:r>
      <w:r w:rsidRPr="00375799">
        <w:rPr>
          <w:rFonts w:cstheme="minorHAnsi"/>
          <w:color w:val="000000" w:themeColor="text1"/>
          <w:sz w:val="24"/>
          <w:szCs w:val="24"/>
        </w:rPr>
        <w:t xml:space="preserve">13 ust. 1 i 2 </w:t>
      </w:r>
      <w:r w:rsidR="00C95593">
        <w:rPr>
          <w:rFonts w:cstheme="minorHAnsi"/>
          <w:color w:val="000000" w:themeColor="text1"/>
          <w:sz w:val="24"/>
          <w:szCs w:val="24"/>
        </w:rPr>
        <w:t>RODO</w:t>
      </w:r>
      <w:r w:rsidRPr="00375799">
        <w:rPr>
          <w:rFonts w:cstheme="minorHAnsi"/>
          <w:color w:val="000000" w:themeColor="text1"/>
          <w:sz w:val="24"/>
          <w:szCs w:val="24"/>
        </w:rPr>
        <w:t>. Przekazywanie informacji</w:t>
      </w:r>
      <w:r w:rsidR="00CC3314" w:rsidRPr="00375799">
        <w:rPr>
          <w:rFonts w:cstheme="minorHAnsi"/>
          <w:color w:val="000000" w:themeColor="text1"/>
          <w:sz w:val="24"/>
          <w:szCs w:val="24"/>
        </w:rPr>
        <w:t>,</w:t>
      </w:r>
      <w:r w:rsidRPr="00375799">
        <w:rPr>
          <w:rFonts w:cstheme="minorHAnsi"/>
          <w:color w:val="000000" w:themeColor="text1"/>
          <w:sz w:val="24"/>
          <w:szCs w:val="24"/>
        </w:rPr>
        <w:t xml:space="preserve"> o których mowa </w:t>
      </w:r>
      <w:r w:rsidR="0031227D">
        <w:rPr>
          <w:rFonts w:cstheme="minorHAnsi"/>
          <w:color w:val="000000" w:themeColor="text1"/>
          <w:sz w:val="24"/>
          <w:szCs w:val="24"/>
        </w:rPr>
        <w:t xml:space="preserve">w art. </w:t>
      </w:r>
      <w:r w:rsidRPr="00375799">
        <w:rPr>
          <w:rFonts w:cstheme="minorHAnsi"/>
          <w:color w:val="000000" w:themeColor="text1"/>
          <w:sz w:val="24"/>
          <w:szCs w:val="24"/>
        </w:rPr>
        <w:t>13 ust. 1 i 2 RODO</w:t>
      </w:r>
      <w:r w:rsidR="00CC3314" w:rsidRPr="00375799">
        <w:rPr>
          <w:rFonts w:cstheme="minorHAnsi"/>
          <w:color w:val="000000" w:themeColor="text1"/>
          <w:sz w:val="24"/>
          <w:szCs w:val="24"/>
        </w:rPr>
        <w:t>,</w:t>
      </w:r>
      <w:r w:rsidRPr="00375799">
        <w:rPr>
          <w:rFonts w:cstheme="minorHAnsi"/>
          <w:color w:val="000000" w:themeColor="text1"/>
          <w:sz w:val="24"/>
          <w:szCs w:val="24"/>
        </w:rPr>
        <w:t xml:space="preserve"> odbywa się niezależnie od obowiązków organów administracji publicznej przewidzianych w </w:t>
      </w:r>
      <w:r w:rsidR="004B69A8">
        <w:rPr>
          <w:rFonts w:cstheme="minorHAnsi"/>
          <w:color w:val="000000" w:themeColor="text1"/>
          <w:sz w:val="24"/>
          <w:szCs w:val="24"/>
        </w:rPr>
        <w:t>kpa</w:t>
      </w:r>
      <w:r w:rsidRPr="00375799">
        <w:rPr>
          <w:rFonts w:cstheme="minorHAnsi"/>
          <w:color w:val="000000" w:themeColor="text1"/>
          <w:sz w:val="24"/>
          <w:szCs w:val="24"/>
        </w:rPr>
        <w:t xml:space="preserve"> i nie ma wpływu na ich przebieg i wynik postępowań, o których mowa w art. 1 i </w:t>
      </w:r>
      <w:r w:rsidR="004B69A8">
        <w:rPr>
          <w:rFonts w:cstheme="minorHAnsi"/>
          <w:color w:val="000000" w:themeColor="text1"/>
          <w:sz w:val="24"/>
          <w:szCs w:val="24"/>
        </w:rPr>
        <w:t xml:space="preserve">art. </w:t>
      </w:r>
      <w:r w:rsidRPr="00375799">
        <w:rPr>
          <w:rFonts w:cstheme="minorHAnsi"/>
          <w:color w:val="000000" w:themeColor="text1"/>
          <w:sz w:val="24"/>
          <w:szCs w:val="24"/>
        </w:rPr>
        <w:t>2.</w:t>
      </w:r>
    </w:p>
    <w:p w14:paraId="3466C86B" w14:textId="406188D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Celem powyższej regulacji jest </w:t>
      </w:r>
      <w:r w:rsidR="0031227D" w:rsidRPr="00375799">
        <w:rPr>
          <w:rFonts w:cstheme="minorHAnsi"/>
          <w:color w:val="000000" w:themeColor="text1"/>
          <w:sz w:val="24"/>
          <w:szCs w:val="24"/>
        </w:rPr>
        <w:t>wprowadz</w:t>
      </w:r>
      <w:r w:rsidR="0031227D">
        <w:rPr>
          <w:rFonts w:cstheme="minorHAnsi"/>
          <w:color w:val="000000" w:themeColor="text1"/>
          <w:sz w:val="24"/>
          <w:szCs w:val="24"/>
        </w:rPr>
        <w:t>enie</w:t>
      </w:r>
      <w:r w:rsidR="0031227D" w:rsidRPr="00375799">
        <w:rPr>
          <w:rFonts w:cstheme="minorHAnsi"/>
          <w:color w:val="000000" w:themeColor="text1"/>
          <w:sz w:val="24"/>
          <w:szCs w:val="24"/>
        </w:rPr>
        <w:t xml:space="preserve"> </w:t>
      </w:r>
      <w:r w:rsidRPr="00375799">
        <w:rPr>
          <w:rFonts w:cstheme="minorHAnsi"/>
          <w:color w:val="000000" w:themeColor="text1"/>
          <w:sz w:val="24"/>
          <w:szCs w:val="24"/>
        </w:rPr>
        <w:t xml:space="preserve">do </w:t>
      </w:r>
      <w:r w:rsidR="004B69A8">
        <w:rPr>
          <w:rFonts w:cstheme="minorHAnsi"/>
          <w:color w:val="000000" w:themeColor="text1"/>
          <w:sz w:val="24"/>
          <w:szCs w:val="24"/>
        </w:rPr>
        <w:t>kpa</w:t>
      </w:r>
      <w:r w:rsidRPr="00375799">
        <w:rPr>
          <w:rFonts w:cstheme="minorHAnsi"/>
          <w:color w:val="000000" w:themeColor="text1"/>
          <w:sz w:val="24"/>
          <w:szCs w:val="24"/>
        </w:rPr>
        <w:t xml:space="preserve"> przepisów wskazujących na sytuacje, w których organy administracji publicznej będą zobowiązane realizować art. 13 RODO oraz jednoznaczne podkreślenie odrębności ww. regulacji od postępowania administracyjnego. Od strony proceduralnej przepisy </w:t>
      </w:r>
      <w:r w:rsidR="004B69A8">
        <w:rPr>
          <w:rFonts w:cstheme="minorHAnsi"/>
          <w:color w:val="000000" w:themeColor="text1"/>
          <w:sz w:val="24"/>
          <w:szCs w:val="24"/>
        </w:rPr>
        <w:t>kpa</w:t>
      </w:r>
      <w:r w:rsidRPr="00375799">
        <w:rPr>
          <w:rFonts w:cstheme="minorHAnsi"/>
          <w:color w:val="000000" w:themeColor="text1"/>
          <w:sz w:val="24"/>
          <w:szCs w:val="24"/>
        </w:rPr>
        <w:t xml:space="preserve"> zapewniają stronom i uczestnikom postępowania gwarancje prawno-procesowe związane z ich sytuacją prawną, w tym uwzględniające poszanowanie ich danych osobowych (np. ograniczające jawność akt postępowania). Zasadność podkreślenia na gruncie kpa rozdzielenia sfery ochrony danych osobowych w zakresie obowiązków informacyjnych od postępowań prowadzonych na gruncie kpa potwierdza art. 77 RODO, który wskazuje, iż każda osoba, której dane dotyczą, ma prawo wnieść skargę do organu nadzorczego, w szczególności w państwie członkowskim swojego zwykłego pobytu, swojego miejsca pracy lub miejsca popełnienia domniemanego naruszenia, jeżeli sądzi, że przetwarzanie danych osobowych jej dotyczące narusza </w:t>
      </w:r>
      <w:r w:rsidR="004B69A8">
        <w:rPr>
          <w:rFonts w:cstheme="minorHAnsi"/>
          <w:color w:val="000000" w:themeColor="text1"/>
          <w:sz w:val="24"/>
          <w:szCs w:val="24"/>
        </w:rPr>
        <w:t>RODO</w:t>
      </w:r>
      <w:r w:rsidRPr="00375799">
        <w:rPr>
          <w:rFonts w:cstheme="minorHAnsi"/>
          <w:color w:val="000000" w:themeColor="text1"/>
          <w:sz w:val="24"/>
          <w:szCs w:val="24"/>
        </w:rPr>
        <w:t xml:space="preserve">. W konsekwencji należy uznać, iż osobie której dane dotyczą przysługują na gruncie RODO odrębne od uprawnień wynikających z </w:t>
      </w:r>
      <w:r w:rsidR="004B69A8">
        <w:rPr>
          <w:rFonts w:cstheme="minorHAnsi"/>
          <w:color w:val="000000" w:themeColor="text1"/>
          <w:sz w:val="24"/>
          <w:szCs w:val="24"/>
        </w:rPr>
        <w:t>kpa</w:t>
      </w:r>
      <w:r w:rsidRPr="00375799">
        <w:rPr>
          <w:rFonts w:cstheme="minorHAnsi"/>
          <w:color w:val="000000" w:themeColor="text1"/>
          <w:sz w:val="24"/>
          <w:szCs w:val="24"/>
        </w:rPr>
        <w:t xml:space="preserve"> uprawnienia związane z przetwarzaniem danych osobowych.</w:t>
      </w:r>
    </w:p>
    <w:p w14:paraId="66237F52" w14:textId="65D078A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dotychczasowym stanie prawnym również taki model ochrony danych osobowych funkcjonował i w ocenie ustawodawcy wejście w życie RODO nie zmienia dotychczasowej praktyki stosowania prawa. Nie zmienia to faktu, iż w toku postępowania administracyjnego organ nadzoru</w:t>
      </w:r>
      <w:r w:rsidR="004C0B65" w:rsidRPr="00375799">
        <w:rPr>
          <w:rFonts w:cstheme="minorHAnsi"/>
          <w:color w:val="000000" w:themeColor="text1"/>
          <w:sz w:val="24"/>
          <w:szCs w:val="24"/>
        </w:rPr>
        <w:t>,</w:t>
      </w:r>
      <w:r w:rsidRPr="00375799">
        <w:rPr>
          <w:rFonts w:cstheme="minorHAnsi"/>
          <w:color w:val="000000" w:themeColor="text1"/>
          <w:sz w:val="24"/>
          <w:szCs w:val="24"/>
        </w:rPr>
        <w:t xml:space="preserve"> tj. Prezes Urzędu Ochrony Danych Osobowych</w:t>
      </w:r>
      <w:r w:rsidR="004C0B65" w:rsidRPr="00375799">
        <w:rPr>
          <w:rFonts w:cstheme="minorHAnsi"/>
          <w:color w:val="000000" w:themeColor="text1"/>
          <w:sz w:val="24"/>
          <w:szCs w:val="24"/>
        </w:rPr>
        <w:t>,</w:t>
      </w:r>
      <w:r w:rsidRPr="00375799">
        <w:rPr>
          <w:rFonts w:cstheme="minorHAnsi"/>
          <w:color w:val="000000" w:themeColor="text1"/>
          <w:sz w:val="24"/>
          <w:szCs w:val="24"/>
        </w:rPr>
        <w:t xml:space="preserve"> może względem organu prowadzącego postępowanie administracyjne zastosować środki wynikające </w:t>
      </w:r>
      <w:r w:rsidR="0031227D">
        <w:rPr>
          <w:rFonts w:cstheme="minorHAnsi"/>
          <w:color w:val="000000" w:themeColor="text1"/>
          <w:sz w:val="24"/>
          <w:szCs w:val="24"/>
        </w:rPr>
        <w:t xml:space="preserve">z </w:t>
      </w:r>
      <w:r w:rsidRPr="00375799">
        <w:rPr>
          <w:rFonts w:cstheme="minorHAnsi"/>
          <w:color w:val="000000" w:themeColor="text1"/>
          <w:sz w:val="24"/>
          <w:szCs w:val="24"/>
        </w:rPr>
        <w:t xml:space="preserve">art. 58 RODO. </w:t>
      </w:r>
    </w:p>
    <w:p w14:paraId="7AD84D71" w14:textId="314BB64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Jednocześnie należy wyjaśnić, że nie </w:t>
      </w:r>
      <w:r w:rsidR="004B69A8">
        <w:rPr>
          <w:rFonts w:cstheme="minorHAnsi"/>
          <w:color w:val="000000" w:themeColor="text1"/>
          <w:sz w:val="24"/>
          <w:szCs w:val="24"/>
        </w:rPr>
        <w:t>z</w:t>
      </w:r>
      <w:r w:rsidRPr="00375799">
        <w:rPr>
          <w:rFonts w:cstheme="minorHAnsi"/>
          <w:color w:val="000000" w:themeColor="text1"/>
          <w:sz w:val="24"/>
          <w:szCs w:val="24"/>
        </w:rPr>
        <w:t>decydowa</w:t>
      </w:r>
      <w:r w:rsidR="004B69A8">
        <w:rPr>
          <w:rFonts w:cstheme="minorHAnsi"/>
          <w:color w:val="000000" w:themeColor="text1"/>
          <w:sz w:val="24"/>
          <w:szCs w:val="24"/>
        </w:rPr>
        <w:t>no</w:t>
      </w:r>
      <w:r w:rsidRPr="00375799">
        <w:rPr>
          <w:rFonts w:cstheme="minorHAnsi"/>
          <w:color w:val="000000" w:themeColor="text1"/>
          <w:sz w:val="24"/>
          <w:szCs w:val="24"/>
        </w:rPr>
        <w:t xml:space="preserve"> się na wprowadzenie regulacji dotyczących spełniania obowiązków informacyjnych w RODO w przepisach rozdziału „Zasady ogólne” kpa, gdyż przepisy ww. rozdziału, a w szczególności regulacje zawarte </w:t>
      </w:r>
      <w:r w:rsidR="0031227D">
        <w:rPr>
          <w:rFonts w:cstheme="minorHAnsi"/>
          <w:color w:val="000000" w:themeColor="text1"/>
          <w:sz w:val="24"/>
          <w:szCs w:val="24"/>
        </w:rPr>
        <w:t xml:space="preserve">w </w:t>
      </w:r>
      <w:r w:rsidRPr="00375799">
        <w:rPr>
          <w:rFonts w:cstheme="minorHAnsi"/>
          <w:color w:val="000000" w:themeColor="text1"/>
          <w:sz w:val="24"/>
          <w:szCs w:val="24"/>
        </w:rPr>
        <w:t xml:space="preserve">art. 9 i art. 10 </w:t>
      </w:r>
      <w:r w:rsidR="004B69A8">
        <w:rPr>
          <w:rFonts w:cstheme="minorHAnsi"/>
          <w:color w:val="000000" w:themeColor="text1"/>
          <w:sz w:val="24"/>
          <w:szCs w:val="24"/>
        </w:rPr>
        <w:t>kpa</w:t>
      </w:r>
      <w:r w:rsidRPr="00375799">
        <w:rPr>
          <w:rFonts w:cstheme="minorHAnsi"/>
          <w:color w:val="000000" w:themeColor="text1"/>
          <w:sz w:val="24"/>
          <w:szCs w:val="24"/>
        </w:rPr>
        <w:t xml:space="preserve">, stanowią realizacje uprawnień stron postępowania i dotyczą stricte przedmiotu postępowania, na co wskazuje m.in. treść art. 9 kpa, w którym wskazuje się, że organy administracji publicznej są obowiązane do należytego i wyczerpującego informowania stron o okolicznościach faktycznych i prawnych, które mogą mieć wpływ na ustalenie ich praw i obowiązków będących przedmiotem postępowania administracyjnego. Organy czuwają nad tym, aby strony i inne osoby uczestniczące w postępowaniu nie poniosły szkody z powodu nieznajomości prawa, i w tym celu udzielają im niezbędnych wyjaśnień i wskazówek. Naruszenie art. 9 lub art. 10 kpa może mieć wpływ na wynik postępowania administracyjnego, a w szczególności na możliwość zastosowania przez organ odwoławczy art. 138 § 2 kpa. </w:t>
      </w:r>
      <w:r w:rsidRPr="00375799">
        <w:rPr>
          <w:rFonts w:cstheme="minorHAnsi"/>
          <w:color w:val="000000" w:themeColor="text1"/>
          <w:sz w:val="24"/>
          <w:szCs w:val="24"/>
        </w:rPr>
        <w:lastRenderedPageBreak/>
        <w:t xml:space="preserve">Wprowadzenie regulacji odnoszącej się do RODO w ww. rozdziale mogłoby prowadzić do błędnych wniosków, iż ww. regulacja stanowi element procedury, a ewentualne naruszenie obowiązków informacyjnych wynikających z RODO może mieć wpływ na wynik postępowania, co nie jest intencją </w:t>
      </w:r>
      <w:r w:rsidR="00EC20A4">
        <w:rPr>
          <w:rFonts w:cstheme="minorHAnsi"/>
          <w:color w:val="000000" w:themeColor="text1"/>
          <w:sz w:val="24"/>
          <w:szCs w:val="24"/>
        </w:rPr>
        <w:t>projektodawcy</w:t>
      </w:r>
      <w:r w:rsidRPr="00375799">
        <w:rPr>
          <w:rFonts w:cstheme="minorHAnsi"/>
          <w:color w:val="000000" w:themeColor="text1"/>
          <w:sz w:val="24"/>
          <w:szCs w:val="24"/>
        </w:rPr>
        <w:t>. Należy także wskazać, iż organ administracji publicznej obowiązany jest przekazać informacje, o których mowa w art. 13 ust. 1 i 2 RODO, wyłącznie w takim zakresie w jakim dotyczą one przetwarzanych danych osobowych. Natomiast w zakresie praw, o których mowa w art. 13 ust. 2 lit</w:t>
      </w:r>
      <w:r w:rsidR="0031227D">
        <w:rPr>
          <w:rFonts w:cstheme="minorHAnsi"/>
          <w:color w:val="000000" w:themeColor="text1"/>
          <w:sz w:val="24"/>
          <w:szCs w:val="24"/>
        </w:rPr>
        <w:t>.</w:t>
      </w:r>
      <w:r w:rsidRPr="00375799">
        <w:rPr>
          <w:rFonts w:cstheme="minorHAnsi"/>
          <w:color w:val="000000" w:themeColor="text1"/>
          <w:sz w:val="24"/>
          <w:szCs w:val="24"/>
        </w:rPr>
        <w:t xml:space="preserve"> b RODO</w:t>
      </w:r>
      <w:r w:rsidR="004C0B65" w:rsidRPr="00375799">
        <w:rPr>
          <w:rFonts w:cstheme="minorHAnsi"/>
          <w:color w:val="000000" w:themeColor="text1"/>
          <w:sz w:val="24"/>
          <w:szCs w:val="24"/>
        </w:rPr>
        <w:t>,</w:t>
      </w:r>
      <w:r w:rsidRPr="00375799">
        <w:rPr>
          <w:rFonts w:cstheme="minorHAnsi"/>
          <w:color w:val="000000" w:themeColor="text1"/>
          <w:sz w:val="24"/>
          <w:szCs w:val="24"/>
        </w:rPr>
        <w:t xml:space="preserve"> wyłącznie o takich prawach, które możliwe są do zrealizowania w toku postępowania administracyjnego.</w:t>
      </w:r>
    </w:p>
    <w:p w14:paraId="571FF464" w14:textId="28C9F80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konsekwencji organ administracji publicznej z uwagi na przetwarzanie danych na podstawie art. 6 ust. 1 lit. c </w:t>
      </w:r>
      <w:r w:rsidR="004B69A8">
        <w:rPr>
          <w:rFonts w:cstheme="minorHAnsi"/>
          <w:color w:val="000000" w:themeColor="text1"/>
          <w:sz w:val="24"/>
          <w:szCs w:val="24"/>
        </w:rPr>
        <w:t xml:space="preserve">RODO </w:t>
      </w:r>
      <w:r w:rsidRPr="00375799">
        <w:rPr>
          <w:rFonts w:cstheme="minorHAnsi"/>
          <w:color w:val="000000" w:themeColor="text1"/>
          <w:sz w:val="24"/>
          <w:szCs w:val="24"/>
        </w:rPr>
        <w:t>nie będzie zobowiązany do informowania stron postępowania o prawie do wniesienia sprzeciwu, o prawie do przenoszenia danych, o prawie do zapomnienia, a także o prawie do cofnięcia zgody na przetwarzanie danych osobowych. Korzystanie z ww. praw zostało bowiem wyłączone na gruncie samego RODO w zakresie</w:t>
      </w:r>
      <w:r w:rsidR="004C0B65" w:rsidRPr="00375799">
        <w:rPr>
          <w:rFonts w:cstheme="minorHAnsi"/>
          <w:color w:val="000000" w:themeColor="text1"/>
          <w:sz w:val="24"/>
          <w:szCs w:val="24"/>
        </w:rPr>
        <w:t>,</w:t>
      </w:r>
      <w:r w:rsidRPr="00375799">
        <w:rPr>
          <w:rFonts w:cstheme="minorHAnsi"/>
          <w:color w:val="000000" w:themeColor="text1"/>
          <w:sz w:val="24"/>
          <w:szCs w:val="24"/>
        </w:rPr>
        <w:t xml:space="preserve"> w jakim podstawą przetwarzania danych osobowych jest obowiązek ciążący na administratorze wynikający z przepisów prawa (tj. art. 6 ust. 1 lit. c RODO). Nie jest konieczne w ramach procedury zawartej w kpa dokonywanie uzupełnienia regulacji o obowiązki informacyjne, o których mowa w art. 14 RODO. Zgodnie z art. 14 ust. 5 lit. c RODO administrator danych osobowych, pozyskując dane osobowe nie od osoby, której dane dotyczą nie jest obowiązany spełniać obowiązku informacyjnego z art. 14 ust. 1 i 2</w:t>
      </w:r>
      <w:r w:rsidR="004B69A8">
        <w:rPr>
          <w:rFonts w:cstheme="minorHAnsi"/>
          <w:color w:val="000000" w:themeColor="text1"/>
          <w:sz w:val="24"/>
          <w:szCs w:val="24"/>
        </w:rPr>
        <w:t xml:space="preserve"> RODO</w:t>
      </w:r>
      <w:r w:rsidRPr="00375799">
        <w:rPr>
          <w:rFonts w:cstheme="minorHAnsi"/>
          <w:color w:val="000000" w:themeColor="text1"/>
          <w:sz w:val="24"/>
          <w:szCs w:val="24"/>
        </w:rPr>
        <w:t>, gdy pozyskiwanie lub ujawnianie jest wyraźnie uregulowane prawem Unii lub prawem państwa członkowskiego, któremu podlega administrator, przewidującym odpowiednie środki chroniące prawnie uzasadnione interesy osoby, której dane dotyczą. Wydaje się to również uzasadnione z uwagi na cechy postępowania administracyjnego. Konieczne jest wprowadzenie określonych ograniczeń praw osób których dane dotyczą w zakresie niezbędnym dla prawidłowego prowadzenia postępowania administracyjnego (moment spełnienia obowiązku informacyjnego).</w:t>
      </w:r>
    </w:p>
    <w:p w14:paraId="7FEF8268" w14:textId="3FA44AE0" w:rsidR="003F4602" w:rsidRPr="00375799" w:rsidRDefault="008706DD" w:rsidP="0055107B">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t>Wprowadzone w kp</w:t>
      </w:r>
      <w:r w:rsidR="00143B62">
        <w:rPr>
          <w:rFonts w:cstheme="minorHAnsi"/>
          <w:color w:val="000000" w:themeColor="text1"/>
          <w:sz w:val="24"/>
          <w:szCs w:val="24"/>
        </w:rPr>
        <w:t>a</w:t>
      </w:r>
      <w:r w:rsidRPr="00375799">
        <w:rPr>
          <w:rFonts w:cstheme="minorHAnsi"/>
          <w:color w:val="000000" w:themeColor="text1"/>
          <w:sz w:val="24"/>
          <w:szCs w:val="24"/>
        </w:rPr>
        <w:t xml:space="preserve"> przepisy wskazujące na momenty, w których ma nastąpić spełnienie obowiązku informacyjnego, o którym mowa w art. 13 ust. 1 i 2 </w:t>
      </w:r>
      <w:r w:rsidR="004B69A8">
        <w:rPr>
          <w:rFonts w:cstheme="minorHAnsi"/>
          <w:color w:val="000000" w:themeColor="text1"/>
          <w:sz w:val="24"/>
          <w:szCs w:val="24"/>
        </w:rPr>
        <w:t>RODO</w:t>
      </w:r>
      <w:r w:rsidRPr="00375799">
        <w:rPr>
          <w:rFonts w:cstheme="minorHAnsi"/>
          <w:color w:val="000000" w:themeColor="text1"/>
          <w:sz w:val="24"/>
          <w:szCs w:val="24"/>
        </w:rPr>
        <w:t>, uwzględniają specyfikę działań organów oraz styczności tych organów ze stronami postępowania przy okazji prowadzenia postępowania administracyjnego. Pozwoli to na zrealizowanie celów RODO, a jednocześnie nie będzie wiązało się z dodatkowymi obowiązkami dla organów.</w:t>
      </w:r>
      <w:r w:rsidR="003F4602" w:rsidRPr="00375799">
        <w:rPr>
          <w:rFonts w:cstheme="minorHAnsi"/>
          <w:color w:val="000000" w:themeColor="text1"/>
          <w:sz w:val="24"/>
          <w:szCs w:val="24"/>
        </w:rPr>
        <w:t xml:space="preserve"> Zgodnie z propozycją zawartą w projekcie realizacja obowiązku, o którym mowa w art. 13 </w:t>
      </w:r>
      <w:r w:rsidR="004B69A8">
        <w:rPr>
          <w:rFonts w:cstheme="minorHAnsi"/>
          <w:color w:val="000000" w:themeColor="text1"/>
          <w:sz w:val="24"/>
          <w:szCs w:val="24"/>
        </w:rPr>
        <w:t xml:space="preserve">RODO </w:t>
      </w:r>
      <w:r w:rsidR="003F4602" w:rsidRPr="00375799">
        <w:rPr>
          <w:rFonts w:cstheme="minorHAnsi"/>
          <w:color w:val="000000" w:themeColor="text1"/>
          <w:sz w:val="24"/>
          <w:szCs w:val="24"/>
        </w:rPr>
        <w:t>następuje co do zasady przy pierwszej czynności organu skierowanej do osoby fizycznej (w zawiadomieniu o wszczęciu postępowania, w wezwaniu do uzupełnienia itp. w zależności która z tych czynności następuje jako pierwsza), chyba, że jest już ona w posiadaniu tych informacji np. w formularzu który ściągnęła ze strony intern</w:t>
      </w:r>
      <w:r w:rsidR="004B69A8">
        <w:rPr>
          <w:rFonts w:cstheme="minorHAnsi"/>
          <w:color w:val="000000" w:themeColor="text1"/>
          <w:sz w:val="24"/>
          <w:szCs w:val="24"/>
        </w:rPr>
        <w:t>e</w:t>
      </w:r>
      <w:r w:rsidR="003F4602" w:rsidRPr="00375799">
        <w:rPr>
          <w:rFonts w:cstheme="minorHAnsi"/>
          <w:color w:val="000000" w:themeColor="text1"/>
          <w:sz w:val="24"/>
          <w:szCs w:val="24"/>
        </w:rPr>
        <w:t>towej i go wypełniła celem przesłania do organu.</w:t>
      </w:r>
    </w:p>
    <w:p w14:paraId="7563B79B" w14:textId="359138F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Nie zdecydowano się na wprowadzenie odrębnej regulacji w art. 49 dotyczącej zawiadomienia w formie obwieszczenia dostosowującej do RODO, przepis ww. wskazuje wprost, iż „§ 1. Jeżeli przepis szczególny tak stanowi, zawiadomienie stron o decyzjach i innych czynnościach organu administracji publicznej może nastąpić w formie publicznego </w:t>
      </w:r>
      <w:r w:rsidRPr="00375799">
        <w:rPr>
          <w:rFonts w:cstheme="minorHAnsi"/>
          <w:color w:val="000000" w:themeColor="text1"/>
          <w:sz w:val="24"/>
          <w:szCs w:val="24"/>
        </w:rPr>
        <w:lastRenderedPageBreak/>
        <w:t>obwieszczenia, w innej formie publicznego ogłoszenia zwyczajowo przyjętej w danej miejscowości lub przez udostępnienie pisma w Biuletynie Informacji Publicznej na stronie podmiotowej właściwego organu administracji publicznej.”</w:t>
      </w:r>
      <w:r w:rsidR="0031227D">
        <w:rPr>
          <w:rFonts w:cstheme="minorHAnsi"/>
          <w:color w:val="000000" w:themeColor="text1"/>
          <w:sz w:val="24"/>
          <w:szCs w:val="24"/>
        </w:rPr>
        <w:t>.</w:t>
      </w:r>
      <w:r w:rsidRPr="00375799">
        <w:rPr>
          <w:rFonts w:cstheme="minorHAnsi"/>
          <w:color w:val="000000" w:themeColor="text1"/>
          <w:sz w:val="24"/>
          <w:szCs w:val="24"/>
        </w:rPr>
        <w:t xml:space="preserve"> W ocenie projektodawcy art. 49 </w:t>
      </w:r>
      <w:r w:rsidR="004B69A8">
        <w:rPr>
          <w:rFonts w:cstheme="minorHAnsi"/>
          <w:color w:val="000000" w:themeColor="text1"/>
          <w:sz w:val="24"/>
          <w:szCs w:val="24"/>
        </w:rPr>
        <w:t xml:space="preserve">kpa </w:t>
      </w:r>
      <w:r w:rsidRPr="00375799">
        <w:rPr>
          <w:rFonts w:cstheme="minorHAnsi"/>
          <w:color w:val="000000" w:themeColor="text1"/>
          <w:sz w:val="24"/>
          <w:szCs w:val="24"/>
        </w:rPr>
        <w:t xml:space="preserve">wskazuje na zawiadomienie stron o wszczęciu postępowania, co jednoznacznie wskazuje, iż obwieszczenie nie stanowi nowej instytucji prawnej, a jedynie szczególny przypadek zawiadomienia, o którym mowa w art. 61 kpa. W przypadku milczącej decyzji o obowiązku informacyjnym z art. 13 ust. 1 i 2 RODO można mówić wyłącznie w stosunku do strony, gdyż co do zasady jedynie w przypadku jednej strony postępowania można mówić o milczącym załatwieniu sprawy. </w:t>
      </w:r>
    </w:p>
    <w:p w14:paraId="0D87ACBF" w14:textId="3627E52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Zmiany proponowanie w art. 73 kpa oraz </w:t>
      </w:r>
      <w:r w:rsidR="0031227D">
        <w:rPr>
          <w:rFonts w:cstheme="minorHAnsi"/>
          <w:color w:val="000000" w:themeColor="text1"/>
          <w:sz w:val="24"/>
          <w:szCs w:val="24"/>
        </w:rPr>
        <w:t xml:space="preserve">art. </w:t>
      </w:r>
      <w:r w:rsidRPr="00375799">
        <w:rPr>
          <w:rFonts w:cstheme="minorHAnsi"/>
          <w:color w:val="000000" w:themeColor="text1"/>
          <w:sz w:val="24"/>
          <w:szCs w:val="24"/>
        </w:rPr>
        <w:t>236 kpa mają na celu realizacje artykuł</w:t>
      </w:r>
      <w:r w:rsidR="004B69A8">
        <w:rPr>
          <w:rFonts w:cstheme="minorHAnsi"/>
          <w:color w:val="000000" w:themeColor="text1"/>
          <w:sz w:val="24"/>
          <w:szCs w:val="24"/>
        </w:rPr>
        <w:t>u</w:t>
      </w:r>
      <w:r w:rsidRPr="00375799">
        <w:rPr>
          <w:rFonts w:cstheme="minorHAnsi"/>
          <w:color w:val="000000" w:themeColor="text1"/>
          <w:sz w:val="24"/>
          <w:szCs w:val="24"/>
        </w:rPr>
        <w:t xml:space="preserve"> 86 RODO</w:t>
      </w:r>
      <w:r w:rsidR="00F36E71" w:rsidRPr="00375799">
        <w:rPr>
          <w:rFonts w:cstheme="minorHAnsi"/>
          <w:color w:val="000000" w:themeColor="text1"/>
          <w:sz w:val="24"/>
          <w:szCs w:val="24"/>
        </w:rPr>
        <w:t>,</w:t>
      </w:r>
      <w:r w:rsidRPr="00375799">
        <w:rPr>
          <w:rFonts w:cstheme="minorHAnsi"/>
          <w:color w:val="000000" w:themeColor="text1"/>
          <w:sz w:val="24"/>
          <w:szCs w:val="24"/>
        </w:rPr>
        <w:t xml:space="preserve"> zgodnie z którym dane osobowe zawarte w dokumentach urzędowych, które posiada organ lub podmiot publiczny lub podmiot prywatny w celu wykonania zadania realizowanego w interesie publicznym, mogą zostać przez ten organ lub podmiot ujawnione zgodnie z prawem Unii lub prawem państwa członkowskiego, któremu podlegają ten organ lub podmiot, dla pogodzenia publicznego dostępu do dokumentów urzędowych z prawem do ochrony danych osobowych na mocy </w:t>
      </w:r>
      <w:r w:rsidR="00FA5DF9">
        <w:rPr>
          <w:rFonts w:cstheme="minorHAnsi"/>
          <w:color w:val="000000" w:themeColor="text1"/>
          <w:sz w:val="24"/>
          <w:szCs w:val="24"/>
        </w:rPr>
        <w:t>RODO</w:t>
      </w:r>
      <w:r w:rsidRPr="00375799">
        <w:rPr>
          <w:rFonts w:cstheme="minorHAnsi"/>
          <w:color w:val="000000" w:themeColor="text1"/>
          <w:sz w:val="24"/>
          <w:szCs w:val="24"/>
        </w:rPr>
        <w:t>. Nie zdecydowano się na wprowadzenie w postępowaniu skargowym ogólnego przepisu wskazującego iż art. 226b kpa stanowiący, że organy właściwe w sprawach skarg i wniosków, nie przekazują osobom nieuprawnionym, danych osoby których dane osobowe zostały zamieszczone w skardze lub wniosku, informacji o danych osobowych, chyba że osoba składająca skargę wyraziła na to zgodę. W ocenie projektodawcy uniemożliwiłoby to załatwianie skarg, gdy skarga jest skargą skierowaną na działanie określonego pracownika w związku z wypełnieniem lub niewłaściwym wypełnianiem przez niego obowiązków służbowych oraz uniemożliwiłoby rozpatrywanie skarg i wniosków na organy samorządu terytorialnego (np. wójta) oraz przez organy ustawodawcze samorządu terytorialnego. Osoba która wnosi skargę do organu na działanie organu musi mieć świadomość, iż jej dane osobowe będą przetwarzane przez ten organ w celu rozpatrzenia sk</w:t>
      </w:r>
      <w:r w:rsidR="00A7684C" w:rsidRPr="00375799">
        <w:rPr>
          <w:rFonts w:cstheme="minorHAnsi"/>
          <w:color w:val="000000" w:themeColor="text1"/>
          <w:sz w:val="24"/>
          <w:szCs w:val="24"/>
        </w:rPr>
        <w:t>argi</w:t>
      </w:r>
      <w:r w:rsidR="000A56FA">
        <w:rPr>
          <w:rFonts w:cstheme="minorHAnsi"/>
          <w:color w:val="000000" w:themeColor="text1"/>
          <w:sz w:val="24"/>
          <w:szCs w:val="24"/>
        </w:rPr>
        <w:t xml:space="preserve"> </w:t>
      </w:r>
      <w:r w:rsidRPr="00375799">
        <w:rPr>
          <w:rFonts w:cstheme="minorHAnsi"/>
          <w:color w:val="000000" w:themeColor="text1"/>
          <w:sz w:val="24"/>
          <w:szCs w:val="24"/>
        </w:rPr>
        <w:t>(i prowadzenia w tym zakresie postępowania wyjaśniającego). Z tego też względu ustawodawca w przepisach wskazał, iż brak podstawowych danych osobowych osoby wnoszącej skargę stanowi podstawę do jej nierozpatrywania. Wskazana sytuacja w sposób istotny różni się od sytuacji, w której skarga wpływająca do organu stanowi materiał, który albo będzie dołączony do sprawy i będzie stanowił materiał przemawiający za wszczęciem postępowania wobec innej strony postępowania administracyjnego</w:t>
      </w:r>
      <w:r w:rsidR="00F36E71" w:rsidRPr="00375799">
        <w:rPr>
          <w:rFonts w:cstheme="minorHAnsi"/>
          <w:color w:val="000000" w:themeColor="text1"/>
          <w:sz w:val="24"/>
          <w:szCs w:val="24"/>
        </w:rPr>
        <w:t>,</w:t>
      </w:r>
      <w:r w:rsidRPr="00375799">
        <w:rPr>
          <w:rFonts w:cstheme="minorHAnsi"/>
          <w:color w:val="000000" w:themeColor="text1"/>
          <w:sz w:val="24"/>
          <w:szCs w:val="24"/>
        </w:rPr>
        <w:t xml:space="preserve"> albo stanie się materiałem już prowadzonego postępowania. W takim zakresie w sposób w ramach zabezpieczenia praw i wolności osoby składającej skargę, co do zasady, jej dane osobowe nie powinny być ujawniane stronom i uczestnikom postępowania administracyjnego, chyba że osoba taka jest stroną takiego postępowania. W takim przypadku znajdą zastosowanie ogólne reguły jurysdykcyjnego postępowania administracyjnego. </w:t>
      </w:r>
    </w:p>
    <w:p w14:paraId="3BF82243" w14:textId="338EE8B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Regulacja zawarta w kodeksie reguluje jedynie elementy proceduralne, w których w toku postępowania administracyjnego należy przekazać informacje, o których mowa w art. 13 ust. 1 i 2</w:t>
      </w:r>
      <w:r w:rsidR="004B69A8">
        <w:rPr>
          <w:rFonts w:cstheme="minorHAnsi"/>
          <w:color w:val="000000" w:themeColor="text1"/>
          <w:sz w:val="24"/>
          <w:szCs w:val="24"/>
        </w:rPr>
        <w:t xml:space="preserve"> RODO</w:t>
      </w:r>
      <w:r w:rsidRPr="00375799">
        <w:rPr>
          <w:rFonts w:cstheme="minorHAnsi"/>
          <w:color w:val="000000" w:themeColor="text1"/>
          <w:sz w:val="24"/>
          <w:szCs w:val="24"/>
        </w:rPr>
        <w:t xml:space="preserve">. Sam natomiast obowiązek przekazywania wskazanych informacji reguluje </w:t>
      </w:r>
      <w:r w:rsidR="00252AB5" w:rsidRPr="00375799">
        <w:rPr>
          <w:rFonts w:cstheme="minorHAnsi"/>
          <w:color w:val="000000" w:themeColor="text1"/>
          <w:sz w:val="24"/>
          <w:szCs w:val="24"/>
        </w:rPr>
        <w:lastRenderedPageBreak/>
        <w:t>RODO</w:t>
      </w:r>
      <w:r w:rsidRPr="00375799">
        <w:rPr>
          <w:rFonts w:cstheme="minorHAnsi"/>
          <w:color w:val="000000" w:themeColor="text1"/>
          <w:sz w:val="24"/>
          <w:szCs w:val="24"/>
        </w:rPr>
        <w:t xml:space="preserve">. Należy podkreślić, iż przepis art. 2a </w:t>
      </w:r>
      <w:r w:rsidR="004B69A8">
        <w:rPr>
          <w:rFonts w:cstheme="minorHAnsi"/>
          <w:color w:val="000000" w:themeColor="text1"/>
          <w:sz w:val="24"/>
          <w:szCs w:val="24"/>
        </w:rPr>
        <w:t>k</w:t>
      </w:r>
      <w:r w:rsidRPr="00375799">
        <w:rPr>
          <w:rFonts w:cstheme="minorHAnsi"/>
          <w:color w:val="000000" w:themeColor="text1"/>
          <w:sz w:val="24"/>
          <w:szCs w:val="24"/>
        </w:rPr>
        <w:t>pa nie może być stosowany w oderwaniu od ww. przepisów rozporządzenia oraz ustawy z dnia 10 maja 2018 r. o ochronie danych osobowych. Należy wskazać, że zgodnie z rozporządzeniem oraz art. 6 ww. ustawy o ochronie danych osobowych</w:t>
      </w:r>
      <w:r w:rsidR="000A56FA">
        <w:rPr>
          <w:rFonts w:cstheme="minorHAnsi"/>
          <w:color w:val="000000" w:themeColor="text1"/>
          <w:sz w:val="24"/>
          <w:szCs w:val="24"/>
        </w:rPr>
        <w:t>,</w:t>
      </w:r>
      <w:r w:rsidRPr="00375799">
        <w:rPr>
          <w:rFonts w:cstheme="minorHAnsi"/>
          <w:color w:val="000000" w:themeColor="text1"/>
          <w:sz w:val="24"/>
          <w:szCs w:val="24"/>
        </w:rPr>
        <w:t xml:space="preserve"> ustawy tej oraz </w:t>
      </w:r>
      <w:r w:rsidR="00252AB5" w:rsidRPr="00375799">
        <w:rPr>
          <w:rFonts w:cstheme="minorHAnsi"/>
          <w:color w:val="000000" w:themeColor="text1"/>
          <w:sz w:val="24"/>
          <w:szCs w:val="24"/>
        </w:rPr>
        <w:t>RODO</w:t>
      </w:r>
      <w:r w:rsidRPr="00375799">
        <w:rPr>
          <w:rFonts w:cstheme="minorHAnsi"/>
          <w:color w:val="000000" w:themeColor="text1"/>
          <w:sz w:val="24"/>
          <w:szCs w:val="24"/>
        </w:rPr>
        <w:t xml:space="preserve"> nie stosuje się do:</w:t>
      </w:r>
    </w:p>
    <w:p w14:paraId="39474B38" w14:textId="692D475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 przetwarzania danych osobowych przez jednostki sektora finansów publicznych, o których mowa w art. 9 pkt 1, 3, 5, 6 i 14 ustawy z dnia 27 sierpnia 2009 r. o finansach publicznych (Dz. U. z 2017 r. poz. 2077</w:t>
      </w:r>
      <w:r w:rsidR="00DE1E3C">
        <w:rPr>
          <w:rFonts w:cstheme="minorHAnsi"/>
          <w:color w:val="000000" w:themeColor="text1"/>
          <w:sz w:val="24"/>
          <w:szCs w:val="24"/>
        </w:rPr>
        <w:t>, z późn. zm.</w:t>
      </w:r>
      <w:r w:rsidRPr="00375799">
        <w:rPr>
          <w:rFonts w:cstheme="minorHAnsi"/>
          <w:color w:val="000000" w:themeColor="text1"/>
          <w:sz w:val="24"/>
          <w:szCs w:val="24"/>
        </w:rPr>
        <w:t>), w zakresie, w jakim przetwarzanie to jest konieczne do realizacji zadań mających na celu zapewnienie bezpieczeństwa narodowego, jeżeli przepisy szczególne przewidują niezbędne środki ochrony praw i wolności osoby, której dane dotyczą;</w:t>
      </w:r>
    </w:p>
    <w:p w14:paraId="7F1D65E0" w14:textId="5E79B30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 działalności służb specjalnych w rozumieniu art. 11 ustawy z dnia 24 maja 2002 r. o Agencji Bezpieczeństwa Wewnętrznego oraz Agencji Wywiadu (Dz. U. z 2017 r. poz. 1920</w:t>
      </w:r>
      <w:r w:rsidR="00DE1E3C">
        <w:rPr>
          <w:rFonts w:cstheme="minorHAnsi"/>
          <w:color w:val="000000" w:themeColor="text1"/>
          <w:sz w:val="24"/>
          <w:szCs w:val="24"/>
        </w:rPr>
        <w:t>, z późn. zm.</w:t>
      </w:r>
      <w:r w:rsidRPr="00375799">
        <w:rPr>
          <w:rFonts w:cstheme="minorHAnsi"/>
          <w:color w:val="000000" w:themeColor="text1"/>
          <w:sz w:val="24"/>
          <w:szCs w:val="24"/>
        </w:rPr>
        <w:t>).</w:t>
      </w:r>
    </w:p>
    <w:p w14:paraId="25DA4DF8" w14:textId="0C820B9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Oznacza to tym samym, iż na powyższe podmioty nie zostały nałożone obowiązki wynikające z </w:t>
      </w:r>
      <w:r w:rsidR="00252AB5" w:rsidRPr="00375799">
        <w:rPr>
          <w:rFonts w:cstheme="minorHAnsi"/>
          <w:color w:val="000000" w:themeColor="text1"/>
          <w:sz w:val="24"/>
          <w:szCs w:val="24"/>
        </w:rPr>
        <w:t>RODO</w:t>
      </w:r>
      <w:r w:rsidRPr="00375799">
        <w:rPr>
          <w:rFonts w:cstheme="minorHAnsi"/>
          <w:color w:val="000000" w:themeColor="text1"/>
          <w:sz w:val="24"/>
          <w:szCs w:val="24"/>
        </w:rPr>
        <w:t>, a tym samym także obowiązek przekazywania w toku swojej działalności informacji</w:t>
      </w:r>
      <w:r w:rsidR="00F60DDF" w:rsidRPr="00375799">
        <w:rPr>
          <w:rFonts w:cstheme="minorHAnsi"/>
          <w:color w:val="000000" w:themeColor="text1"/>
          <w:sz w:val="24"/>
          <w:szCs w:val="24"/>
        </w:rPr>
        <w:t>,</w:t>
      </w:r>
      <w:r w:rsidRPr="00375799">
        <w:rPr>
          <w:rFonts w:cstheme="minorHAnsi"/>
          <w:color w:val="000000" w:themeColor="text1"/>
          <w:sz w:val="24"/>
          <w:szCs w:val="24"/>
        </w:rPr>
        <w:t xml:space="preserve"> o których mowa w art. 13 ust 1 i 2 tego rozporządzenia. W takim przypadku przepisy </w:t>
      </w:r>
      <w:r w:rsidR="003A6714">
        <w:rPr>
          <w:rFonts w:cstheme="minorHAnsi"/>
          <w:color w:val="000000" w:themeColor="text1"/>
          <w:sz w:val="24"/>
          <w:szCs w:val="24"/>
        </w:rPr>
        <w:t>kpa</w:t>
      </w:r>
      <w:r w:rsidRPr="00375799">
        <w:rPr>
          <w:rFonts w:cstheme="minorHAnsi"/>
          <w:color w:val="000000" w:themeColor="text1"/>
          <w:sz w:val="24"/>
          <w:szCs w:val="24"/>
        </w:rPr>
        <w:t xml:space="preserve"> odnoszące się do obowiązków informacyjnych oraz innych zagadnień związanych z ochroną danych osobowych</w:t>
      </w:r>
      <w:r w:rsidR="00F60DDF" w:rsidRPr="00375799">
        <w:rPr>
          <w:rFonts w:cstheme="minorHAnsi"/>
          <w:color w:val="000000" w:themeColor="text1"/>
          <w:sz w:val="24"/>
          <w:szCs w:val="24"/>
        </w:rPr>
        <w:t>,</w:t>
      </w:r>
      <w:r w:rsidRPr="00375799">
        <w:rPr>
          <w:rFonts w:cstheme="minorHAnsi"/>
          <w:color w:val="000000" w:themeColor="text1"/>
          <w:sz w:val="24"/>
          <w:szCs w:val="24"/>
        </w:rPr>
        <w:t xml:space="preserve"> np. w przypadku służb specjalnych nie będą miały zastosowania, a strona postępowania lub inna osoba</w:t>
      </w:r>
      <w:r w:rsidR="00F60DDF" w:rsidRPr="00375799">
        <w:rPr>
          <w:rFonts w:cstheme="minorHAnsi"/>
          <w:color w:val="000000" w:themeColor="text1"/>
          <w:sz w:val="24"/>
          <w:szCs w:val="24"/>
        </w:rPr>
        <w:t>,</w:t>
      </w:r>
      <w:r w:rsidRPr="00375799">
        <w:rPr>
          <w:rFonts w:cstheme="minorHAnsi"/>
          <w:color w:val="000000" w:themeColor="text1"/>
          <w:sz w:val="24"/>
          <w:szCs w:val="24"/>
        </w:rPr>
        <w:t xml:space="preserve"> której dane dotyczą</w:t>
      </w:r>
      <w:r w:rsidR="00F60DDF" w:rsidRPr="00375799">
        <w:rPr>
          <w:rFonts w:cstheme="minorHAnsi"/>
          <w:color w:val="000000" w:themeColor="text1"/>
          <w:sz w:val="24"/>
          <w:szCs w:val="24"/>
        </w:rPr>
        <w:t>,</w:t>
      </w:r>
      <w:r w:rsidRPr="00375799">
        <w:rPr>
          <w:rFonts w:cstheme="minorHAnsi"/>
          <w:color w:val="000000" w:themeColor="text1"/>
          <w:sz w:val="24"/>
          <w:szCs w:val="24"/>
        </w:rPr>
        <w:t xml:space="preserve"> powinna posiadać informację </w:t>
      </w:r>
      <w:r w:rsidR="00F60DDF" w:rsidRPr="00375799">
        <w:rPr>
          <w:rFonts w:cstheme="minorHAnsi"/>
          <w:color w:val="000000" w:themeColor="text1"/>
          <w:sz w:val="24"/>
          <w:szCs w:val="24"/>
        </w:rPr>
        <w:t xml:space="preserve">o </w:t>
      </w:r>
      <w:r w:rsidRPr="00375799">
        <w:rPr>
          <w:rFonts w:cstheme="minorHAnsi"/>
          <w:color w:val="000000" w:themeColor="text1"/>
          <w:sz w:val="24"/>
          <w:szCs w:val="24"/>
        </w:rPr>
        <w:t xml:space="preserve">wyłączeniu ww. przepisów kpa w związku z ustawą o ochronie danych osobowych i podstawie prawnej tego wyłączenia. Informacja ta może zostać zawarta w zawiadomieniu o wszczęciu postępowania albo wezwaniu kierowanym do uczestnika postępowania. </w:t>
      </w:r>
    </w:p>
    <w:p w14:paraId="42EDE5DB" w14:textId="5F6BDF2E" w:rsidR="00BD38B5"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wyniku analizy ustawy </w:t>
      </w:r>
      <w:r w:rsidR="003A6714">
        <w:rPr>
          <w:rFonts w:cstheme="minorHAnsi"/>
          <w:color w:val="000000" w:themeColor="text1"/>
          <w:sz w:val="24"/>
          <w:szCs w:val="24"/>
        </w:rPr>
        <w:t xml:space="preserve">z dnia 11 lipca 2014 r. </w:t>
      </w:r>
      <w:r w:rsidRPr="00375799">
        <w:rPr>
          <w:rFonts w:cstheme="minorHAnsi"/>
          <w:color w:val="000000" w:themeColor="text1"/>
          <w:sz w:val="24"/>
          <w:szCs w:val="24"/>
        </w:rPr>
        <w:t>o petycjach</w:t>
      </w:r>
      <w:r w:rsidR="003A6714">
        <w:rPr>
          <w:rFonts w:cstheme="minorHAnsi"/>
          <w:color w:val="000000" w:themeColor="text1"/>
          <w:sz w:val="24"/>
          <w:szCs w:val="24"/>
        </w:rPr>
        <w:t xml:space="preserve"> (Dz. U. z 2018 r. poz. 870)</w:t>
      </w:r>
      <w:r w:rsidRPr="00375799">
        <w:rPr>
          <w:rFonts w:cstheme="minorHAnsi"/>
          <w:color w:val="000000" w:themeColor="text1"/>
          <w:sz w:val="24"/>
          <w:szCs w:val="24"/>
        </w:rPr>
        <w:t xml:space="preserve"> uznano, że na skutek wprowadzonych do </w:t>
      </w:r>
      <w:r w:rsidR="003A6714">
        <w:rPr>
          <w:rFonts w:cstheme="minorHAnsi"/>
          <w:color w:val="000000" w:themeColor="text1"/>
          <w:sz w:val="24"/>
          <w:szCs w:val="24"/>
        </w:rPr>
        <w:t>kpa</w:t>
      </w:r>
      <w:r w:rsidRPr="00375799">
        <w:rPr>
          <w:rFonts w:cstheme="minorHAnsi"/>
          <w:color w:val="000000" w:themeColor="text1"/>
          <w:sz w:val="24"/>
          <w:szCs w:val="24"/>
        </w:rPr>
        <w:t xml:space="preserve"> zmian w przepisach dotyczących przetwarzania danych osobowych (w szczególności w zakresie propozycji dodania art. 61 § 5 kpa oraz nadania nowego brzmienia art. 65 i </w:t>
      </w:r>
      <w:r w:rsidR="003A6714">
        <w:rPr>
          <w:rFonts w:cstheme="minorHAnsi"/>
          <w:color w:val="000000" w:themeColor="text1"/>
          <w:sz w:val="24"/>
          <w:szCs w:val="24"/>
        </w:rPr>
        <w:t xml:space="preserve">art. </w:t>
      </w:r>
      <w:r w:rsidRPr="00375799">
        <w:rPr>
          <w:rFonts w:cstheme="minorHAnsi"/>
          <w:color w:val="000000" w:themeColor="text1"/>
          <w:sz w:val="24"/>
          <w:szCs w:val="24"/>
        </w:rPr>
        <w:t xml:space="preserve">66 kpa), nie jest konieczne dokonywanie zmian prawnych w samej ustawie </w:t>
      </w:r>
      <w:r w:rsidR="003A6714">
        <w:rPr>
          <w:rFonts w:cstheme="minorHAnsi"/>
          <w:color w:val="000000" w:themeColor="text1"/>
          <w:sz w:val="24"/>
          <w:szCs w:val="24"/>
        </w:rPr>
        <w:t xml:space="preserve">z dnia 11 lipca 2014 r. </w:t>
      </w:r>
      <w:r w:rsidRPr="00375799">
        <w:rPr>
          <w:rFonts w:cstheme="minorHAnsi"/>
          <w:color w:val="000000" w:themeColor="text1"/>
          <w:sz w:val="24"/>
          <w:szCs w:val="24"/>
        </w:rPr>
        <w:t xml:space="preserve">o petycjach. Zgodnie bowiem z art. 15 ustawy </w:t>
      </w:r>
      <w:r w:rsidR="003A6714">
        <w:rPr>
          <w:rFonts w:cstheme="minorHAnsi"/>
          <w:color w:val="000000" w:themeColor="text1"/>
          <w:sz w:val="24"/>
          <w:szCs w:val="24"/>
        </w:rPr>
        <w:t xml:space="preserve">z dnia 11 lipca 2014 r. </w:t>
      </w:r>
      <w:r w:rsidRPr="00375799">
        <w:rPr>
          <w:rFonts w:cstheme="minorHAnsi"/>
          <w:color w:val="000000" w:themeColor="text1"/>
          <w:sz w:val="24"/>
          <w:szCs w:val="24"/>
        </w:rPr>
        <w:t xml:space="preserve">o petycjach w zakresie nieuregulowanym w ustawie do petycji stosuje się odpowiednio przepisy ustawy z dnia 14 czerwca 1960 r. </w:t>
      </w:r>
      <w:r w:rsidR="0031227D">
        <w:rPr>
          <w:rFonts w:cstheme="minorHAnsi"/>
          <w:color w:val="000000" w:themeColor="text1"/>
          <w:sz w:val="24"/>
          <w:szCs w:val="24"/>
        </w:rPr>
        <w:t>–</w:t>
      </w:r>
      <w:r w:rsidRPr="00375799">
        <w:rPr>
          <w:rFonts w:cstheme="minorHAnsi"/>
          <w:color w:val="000000" w:themeColor="text1"/>
          <w:sz w:val="24"/>
          <w:szCs w:val="24"/>
        </w:rPr>
        <w:t xml:space="preserve"> Kodeks postępowania administracyjnego (Dz. U. z 201</w:t>
      </w:r>
      <w:r w:rsidR="003A6714">
        <w:rPr>
          <w:rFonts w:cstheme="minorHAnsi"/>
          <w:color w:val="000000" w:themeColor="text1"/>
          <w:sz w:val="24"/>
          <w:szCs w:val="24"/>
        </w:rPr>
        <w:t>8</w:t>
      </w:r>
      <w:r w:rsidRPr="00375799">
        <w:rPr>
          <w:rFonts w:cstheme="minorHAnsi"/>
          <w:color w:val="000000" w:themeColor="text1"/>
          <w:sz w:val="24"/>
          <w:szCs w:val="24"/>
        </w:rPr>
        <w:t xml:space="preserve"> r. poz. </w:t>
      </w:r>
      <w:r w:rsidR="003A6714">
        <w:rPr>
          <w:rFonts w:cstheme="minorHAnsi"/>
          <w:color w:val="000000" w:themeColor="text1"/>
          <w:sz w:val="24"/>
          <w:szCs w:val="24"/>
        </w:rPr>
        <w:t>2096</w:t>
      </w:r>
      <w:r w:rsidRPr="00375799">
        <w:rPr>
          <w:rFonts w:cstheme="minorHAnsi"/>
          <w:color w:val="000000" w:themeColor="text1"/>
          <w:sz w:val="24"/>
          <w:szCs w:val="24"/>
        </w:rPr>
        <w:t xml:space="preserve">). </w:t>
      </w:r>
    </w:p>
    <w:p w14:paraId="3B97D654"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4B063134" w14:textId="485DC0B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2" w:name="_Toc530564975"/>
      <w:r w:rsidRPr="00375799">
        <w:rPr>
          <w:rFonts w:asciiTheme="minorHAnsi" w:hAnsiTheme="minorHAnsi" w:cstheme="minorHAnsi"/>
          <w:color w:val="000000" w:themeColor="text1"/>
          <w:sz w:val="24"/>
          <w:szCs w:val="24"/>
        </w:rPr>
        <w:t>Ustawa z dnia 1 grudnia 1961 r. o izbach morskich</w:t>
      </w:r>
      <w:r w:rsidR="00252AB5" w:rsidRPr="00375799">
        <w:rPr>
          <w:rFonts w:asciiTheme="minorHAnsi" w:hAnsiTheme="minorHAnsi" w:cstheme="minorHAnsi"/>
          <w:color w:val="000000" w:themeColor="text1"/>
          <w:sz w:val="24"/>
          <w:szCs w:val="24"/>
        </w:rPr>
        <w:t xml:space="preserve"> </w:t>
      </w:r>
      <w:r w:rsidR="00252AB5" w:rsidRPr="00375799">
        <w:rPr>
          <w:rFonts w:asciiTheme="minorHAnsi" w:eastAsiaTheme="minorHAnsi" w:hAnsiTheme="minorHAnsi" w:cstheme="minorHAnsi"/>
          <w:color w:val="000000" w:themeColor="text1"/>
          <w:sz w:val="24"/>
          <w:szCs w:val="24"/>
        </w:rPr>
        <w:t>(Dz. U. z 2016 r. poz. 1207)</w:t>
      </w:r>
      <w:bookmarkEnd w:id="2"/>
    </w:p>
    <w:p w14:paraId="479A65D1"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0940D92C" w14:textId="4FB77151"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 art. 19a ustawy z dnia 1 grudnia 1961 r. o izbach morskich określa sposób realizacji obowiązku wynikającego z art. 13 ust. 1 i 2 </w:t>
      </w:r>
      <w:r w:rsidR="003D0090" w:rsidRPr="00375799">
        <w:rPr>
          <w:rFonts w:cstheme="minorHAnsi"/>
          <w:color w:val="000000" w:themeColor="text1"/>
          <w:sz w:val="24"/>
          <w:szCs w:val="24"/>
        </w:rPr>
        <w:t>RODO</w:t>
      </w:r>
      <w:r w:rsidR="0031227D">
        <w:rPr>
          <w:rFonts w:cstheme="minorHAnsi"/>
          <w:color w:val="000000" w:themeColor="text1"/>
          <w:sz w:val="24"/>
          <w:szCs w:val="24"/>
        </w:rPr>
        <w:t xml:space="preserve"> </w:t>
      </w:r>
      <w:r w:rsidRPr="00375799">
        <w:rPr>
          <w:rFonts w:cstheme="minorHAnsi"/>
          <w:color w:val="000000" w:themeColor="text1"/>
          <w:sz w:val="24"/>
          <w:szCs w:val="24"/>
        </w:rPr>
        <w:t>– będzie on realizowany przez izby morskie przy pierwszej czynności skierowanej do osoby, chyba że posiada już ona te informacje a zakres tych informacji lub ich treść nie uległy zmianie.</w:t>
      </w:r>
    </w:p>
    <w:p w14:paraId="17D82316" w14:textId="69457D5D"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Zaproponowane </w:t>
      </w:r>
      <w:r w:rsidR="00231DEE">
        <w:rPr>
          <w:rFonts w:cstheme="minorHAnsi"/>
          <w:color w:val="000000" w:themeColor="text1"/>
          <w:sz w:val="24"/>
          <w:szCs w:val="24"/>
        </w:rPr>
        <w:t>doprecyzowanie</w:t>
      </w:r>
      <w:r w:rsidRPr="00375799">
        <w:rPr>
          <w:rFonts w:cstheme="minorHAnsi"/>
          <w:color w:val="000000" w:themeColor="text1"/>
          <w:sz w:val="24"/>
          <w:szCs w:val="24"/>
        </w:rPr>
        <w:t xml:space="preserve"> stosowania </w:t>
      </w:r>
      <w:r w:rsidR="003D0090" w:rsidRPr="00375799">
        <w:rPr>
          <w:rFonts w:cstheme="minorHAnsi"/>
          <w:color w:val="000000" w:themeColor="text1"/>
          <w:sz w:val="24"/>
          <w:szCs w:val="24"/>
        </w:rPr>
        <w:t>RODO</w:t>
      </w:r>
      <w:r w:rsidRPr="00375799">
        <w:rPr>
          <w:rFonts w:cstheme="minorHAnsi"/>
          <w:color w:val="000000" w:themeColor="text1"/>
          <w:sz w:val="24"/>
          <w:szCs w:val="24"/>
        </w:rPr>
        <w:t xml:space="preserve"> ma na celu umożliwienie izbom morskim sprawną realizację podstawowych funkcji, dla których zostały powołane. Z całą </w:t>
      </w:r>
      <w:r w:rsidRPr="00375799">
        <w:rPr>
          <w:rFonts w:cstheme="minorHAnsi"/>
          <w:color w:val="000000" w:themeColor="text1"/>
          <w:sz w:val="24"/>
          <w:szCs w:val="24"/>
        </w:rPr>
        <w:lastRenderedPageBreak/>
        <w:t xml:space="preserve">pewnością podstawowym oczekiwaniem obywateli w stosunku do organów administracji jest sprawne załatwianie spraw, zarówno o charakterze zbiorowym, jak i indywidualnym. </w:t>
      </w:r>
    </w:p>
    <w:p w14:paraId="59C6BC03" w14:textId="55B5E6A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Zaproponowane </w:t>
      </w:r>
      <w:r w:rsidR="00331531">
        <w:rPr>
          <w:rFonts w:cstheme="minorHAnsi"/>
          <w:color w:val="000000" w:themeColor="text1"/>
          <w:sz w:val="24"/>
          <w:szCs w:val="24"/>
        </w:rPr>
        <w:t>doprecyzowanie</w:t>
      </w:r>
      <w:r w:rsidRPr="00375799">
        <w:rPr>
          <w:rFonts w:cstheme="minorHAnsi"/>
          <w:color w:val="000000" w:themeColor="text1"/>
          <w:sz w:val="24"/>
          <w:szCs w:val="24"/>
        </w:rPr>
        <w:t xml:space="preserve"> jest wi</w:t>
      </w:r>
      <w:r w:rsidR="0031227D">
        <w:rPr>
          <w:rFonts w:cstheme="minorHAnsi"/>
          <w:color w:val="000000" w:themeColor="text1"/>
          <w:sz w:val="24"/>
          <w:szCs w:val="24"/>
        </w:rPr>
        <w:t>ę</w:t>
      </w:r>
      <w:r w:rsidRPr="00375799">
        <w:rPr>
          <w:rFonts w:cstheme="minorHAnsi"/>
          <w:color w:val="000000" w:themeColor="text1"/>
          <w:sz w:val="24"/>
          <w:szCs w:val="24"/>
        </w:rPr>
        <w:t xml:space="preserve">c niezbędne i proporcjonalne, ponieważ przy jego wprowadzaniu należycie wyważono interes publiczny, rozumiany jako zaspokajanie potrzeb obywateli jako ogółu, oraz interes indywidualny, przejawiający się w korzystaniu z pełni praw wskazanych w </w:t>
      </w:r>
      <w:r w:rsidR="003D0090" w:rsidRPr="00375799">
        <w:rPr>
          <w:rFonts w:cstheme="minorHAnsi"/>
          <w:color w:val="000000" w:themeColor="text1"/>
          <w:sz w:val="24"/>
          <w:szCs w:val="24"/>
        </w:rPr>
        <w:t>RODO</w:t>
      </w:r>
      <w:r w:rsidRPr="00375799">
        <w:rPr>
          <w:rFonts w:cstheme="minorHAnsi"/>
          <w:color w:val="000000" w:themeColor="text1"/>
          <w:sz w:val="24"/>
          <w:szCs w:val="24"/>
        </w:rPr>
        <w:t xml:space="preserve">, przy czym </w:t>
      </w:r>
      <w:r w:rsidR="00331531">
        <w:rPr>
          <w:rFonts w:cstheme="minorHAnsi"/>
          <w:color w:val="000000" w:themeColor="text1"/>
          <w:sz w:val="24"/>
          <w:szCs w:val="24"/>
        </w:rPr>
        <w:t>propozycja ta</w:t>
      </w:r>
      <w:r w:rsidRPr="00375799">
        <w:rPr>
          <w:rFonts w:cstheme="minorHAnsi"/>
          <w:color w:val="000000" w:themeColor="text1"/>
          <w:sz w:val="24"/>
          <w:szCs w:val="24"/>
        </w:rPr>
        <w:t xml:space="preserve"> nie narusza istoty podstawowych praw i wolności.</w:t>
      </w:r>
    </w:p>
    <w:p w14:paraId="3827A1B2" w14:textId="3F8ADAD2"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art. 55 ust. 3 </w:t>
      </w:r>
      <w:r w:rsidR="003D0090" w:rsidRPr="00375799">
        <w:rPr>
          <w:rFonts w:cstheme="minorHAnsi"/>
          <w:color w:val="000000" w:themeColor="text1"/>
          <w:sz w:val="24"/>
          <w:szCs w:val="24"/>
        </w:rPr>
        <w:t>RODO</w:t>
      </w:r>
      <w:r w:rsidRPr="00375799">
        <w:rPr>
          <w:rFonts w:cstheme="minorHAnsi"/>
          <w:color w:val="000000" w:themeColor="text1"/>
          <w:sz w:val="24"/>
          <w:szCs w:val="24"/>
        </w:rPr>
        <w:t xml:space="preserve"> organy nadzorcze nie są właściwe do nadzorowania operacji przetwarzania danych dokonywanych przez sądy w ramach sprawowania przez nie wymiaru sprawiedliwości. Art. 55 ust. 3 </w:t>
      </w:r>
      <w:r w:rsidR="003D0090" w:rsidRPr="00375799">
        <w:rPr>
          <w:rFonts w:cstheme="minorHAnsi"/>
          <w:color w:val="000000" w:themeColor="text1"/>
          <w:sz w:val="24"/>
          <w:szCs w:val="24"/>
        </w:rPr>
        <w:t>RODO</w:t>
      </w:r>
      <w:r w:rsidRPr="00375799">
        <w:rPr>
          <w:rFonts w:cstheme="minorHAnsi"/>
          <w:color w:val="000000" w:themeColor="text1"/>
          <w:sz w:val="24"/>
          <w:szCs w:val="24"/>
        </w:rPr>
        <w:t xml:space="preserve"> wprowadza istotny wyłom od ogólnej zasady dotyczącej nadzoru nad przetwarzaniem danych osobowych. Jednakże motyw 20 tego rozporządzenia dopuszcza możliwość powierzenia nadzoru nad operacjami przetwarzania danych osobowych specjalnym organom w systemie wymiaru sprawiedliwości państwa członkowskiego. </w:t>
      </w:r>
    </w:p>
    <w:p w14:paraId="63730500"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Pojęcie sądu i wymiaru sprawiedliwości na gruncie prawa UE ma znaczenie autonomiczne względem prawa krajowego, a izby morskie spełniają definicję sądu w rozumieniu prawa UE.</w:t>
      </w:r>
    </w:p>
    <w:p w14:paraId="4E93BAF3" w14:textId="7E27B91F"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Artykuł 47 Karty Praw Podstawowych Unii Europejskiej (Dz. Urz. UE C 326/391, z 26.10.2012, str. 395</w:t>
      </w:r>
      <w:r w:rsidR="0031227D">
        <w:rPr>
          <w:rFonts w:cstheme="minorHAnsi"/>
          <w:color w:val="000000" w:themeColor="text1"/>
          <w:sz w:val="24"/>
          <w:szCs w:val="24"/>
        </w:rPr>
        <w:t>–</w:t>
      </w:r>
      <w:r w:rsidRPr="00375799">
        <w:rPr>
          <w:rFonts w:cstheme="minorHAnsi"/>
          <w:color w:val="000000" w:themeColor="text1"/>
          <w:sz w:val="24"/>
          <w:szCs w:val="24"/>
        </w:rPr>
        <w:t xml:space="preserve">406), dalej jako „KPP”, ustanawia prawo do sądu (akapit drugi) i do skutecznego środka odwoławczego przed sądem, w razie naruszenia praw i wolności zagwarantowanych przez prawo UE (akapit pierwszy). Stosunek akapitu pierwszego do akapitu drugiego art. 47 KPP wydaje się być podobny do relacji zachodzącej pomiędzy art. 13 i </w:t>
      </w:r>
      <w:r w:rsidR="0031227D">
        <w:rPr>
          <w:rFonts w:cstheme="minorHAnsi"/>
          <w:color w:val="000000" w:themeColor="text1"/>
          <w:sz w:val="24"/>
          <w:szCs w:val="24"/>
        </w:rPr>
        <w:t xml:space="preserve">art. </w:t>
      </w:r>
      <w:r w:rsidRPr="00375799">
        <w:rPr>
          <w:rFonts w:cstheme="minorHAnsi"/>
          <w:color w:val="000000" w:themeColor="text1"/>
          <w:sz w:val="24"/>
          <w:szCs w:val="24"/>
        </w:rPr>
        <w:t>6 ust. 1 Europejskiej Konwencji o Ochronie Praw Człowieka i Podstawowych Wolności, dalej jako „EKPCz”.</w:t>
      </w:r>
    </w:p>
    <w:p w14:paraId="1477CFFA"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Zakres gwarancji art. 13 EKPCz co do zasady zawiera się w treści art. 6 EKPCz. Tym samym ten ostatni przepis stanowi lex specialis względem pierwszego. Podobnie na gruncie art. 47 KPP treść normatywna rekonstruowana z akapitu przed pierwszego zawiera się w treści akapitu drugiego art. 47 KPP. Prawo do środka odwoławczego przed sądem stanowi zatem szczególną egzemplifikację prawa do sądu.</w:t>
      </w:r>
    </w:p>
    <w:p w14:paraId="5372592D"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Artykuł 47 KPP ustanawia prawo dostępu do sądu niezawisłego i bezstronnego, ustanowionego na mocy ustawy. Niezawisłość, bezstronność i ustanowienie na mocy ustawy stanowią zatem cechy ustrojowe organu, jakim jest sąd w rozumieniu art. 47 KPP.</w:t>
      </w:r>
    </w:p>
    <w:p w14:paraId="64D3E564"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Analogiczne wymagania w stosunku do organu krajowego, który można uznać za „sąd” zawarte są w art. 6 ust. 1 EKPCz. Zgodnie z art. 52 ust. 3 KPP w zakresie, w jakim zawiera ona prawa, które odpowiadają tym zagwarantowanym w EKPCz, ich znaczenie i zakres są takie same jak praw przyznanych przez tę konwencję. W efekcie dla określenia standardu prawa do sądu w prawie UE relewantne będzie również orzecznictwo ETPCz. Tym samym rozumienie „sądu” na gruncie KPP powinno być zbieżne z rozumieniem przyjmowanym przez ETPCz.</w:t>
      </w:r>
    </w:p>
    <w:p w14:paraId="3014298F" w14:textId="314D10C6"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Pierwszym z atrybutów „sądu</w:t>
      </w:r>
      <w:r w:rsidR="0031227D">
        <w:rPr>
          <w:rFonts w:cstheme="minorHAnsi"/>
          <w:color w:val="000000" w:themeColor="text1"/>
          <w:sz w:val="24"/>
          <w:szCs w:val="24"/>
        </w:rPr>
        <w:t>”</w:t>
      </w:r>
      <w:r w:rsidRPr="00375799">
        <w:rPr>
          <w:rFonts w:cstheme="minorHAnsi"/>
          <w:color w:val="000000" w:themeColor="text1"/>
          <w:sz w:val="24"/>
          <w:szCs w:val="24"/>
        </w:rPr>
        <w:t xml:space="preserve">, które wymienia art. 47 KPP, jest jego niezawisłość. Problem niezawisłości, a także bezstronności organu sądowego był przedmiotem analizy TSUE </w:t>
      </w:r>
      <w:r w:rsidRPr="00375799">
        <w:rPr>
          <w:rFonts w:cstheme="minorHAnsi"/>
          <w:color w:val="000000" w:themeColor="text1"/>
          <w:sz w:val="24"/>
          <w:szCs w:val="24"/>
        </w:rPr>
        <w:lastRenderedPageBreak/>
        <w:t xml:space="preserve">w wyroku z dnia 31 stycznia 2013 r. w sprawie C-175/11 H.I.D. i B.A. przeciwko </w:t>
      </w:r>
      <w:proofErr w:type="spellStart"/>
      <w:r w:rsidRPr="00375799">
        <w:rPr>
          <w:rFonts w:cstheme="minorHAnsi"/>
          <w:color w:val="000000" w:themeColor="text1"/>
          <w:sz w:val="24"/>
          <w:szCs w:val="24"/>
        </w:rPr>
        <w:t>Refugee</w:t>
      </w:r>
      <w:proofErr w:type="spellEnd"/>
      <w:r w:rsidRPr="00375799">
        <w:rPr>
          <w:rFonts w:cstheme="minorHAnsi"/>
          <w:color w:val="000000" w:themeColor="text1"/>
          <w:sz w:val="24"/>
          <w:szCs w:val="24"/>
        </w:rPr>
        <w:t xml:space="preserve"> Applications </w:t>
      </w:r>
      <w:proofErr w:type="spellStart"/>
      <w:r w:rsidRPr="00375799">
        <w:rPr>
          <w:rFonts w:cstheme="minorHAnsi"/>
          <w:color w:val="000000" w:themeColor="text1"/>
          <w:sz w:val="24"/>
          <w:szCs w:val="24"/>
        </w:rPr>
        <w:t>Commissioner</w:t>
      </w:r>
      <w:proofErr w:type="spellEnd"/>
      <w:r w:rsidRPr="00375799">
        <w:rPr>
          <w:rFonts w:cstheme="minorHAnsi"/>
          <w:color w:val="000000" w:themeColor="text1"/>
          <w:sz w:val="24"/>
          <w:szCs w:val="24"/>
        </w:rPr>
        <w:t xml:space="preserve"> i inni</w:t>
      </w:r>
      <w:r w:rsidR="003A6714">
        <w:rPr>
          <w:rFonts w:cstheme="minorHAnsi"/>
          <w:color w:val="000000" w:themeColor="text1"/>
          <w:sz w:val="24"/>
          <w:szCs w:val="24"/>
        </w:rPr>
        <w:t>, http://curia.europa.eu/juris/</w:t>
      </w:r>
      <w:r w:rsidRPr="00375799">
        <w:rPr>
          <w:rFonts w:cstheme="minorHAnsi"/>
          <w:color w:val="000000" w:themeColor="text1"/>
          <w:sz w:val="24"/>
          <w:szCs w:val="24"/>
        </w:rPr>
        <w:t>.</w:t>
      </w:r>
    </w:p>
    <w:p w14:paraId="108B32F0"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Trybunał przypomniał, że zgodnie z utrwalonym orzecznictwem niezawisłość sądu oznacza, że jest on podmiotem trzecim do organu wydającego skarżone rozstrzygnięcie, najczęściej organu administracyjnego wydającego decyzję. Ponadto stwierdził, że niezależność powinna być rozpatrywana w dwóch aspektach. W aspekcie zewnętrznym „zakłada ochronę organu przed interwencjami i naciskami zewnętrznymi, mogącymi zagrozić niezależności osądu przez jego członków rozpatrywanych przed nim sporów”. Z kolei aspekt wewnętrzny „łączy się z pojęciem bezstronności i dotyczy jednakowego dystansu do stron sporu i ich interesów związanych z przedmiotem tego sporu.” Zdaniem TSUE, „istnienie tych środków zaskarżenia wydaje się samo w sobie zabezpieczać </w:t>
      </w:r>
      <w:proofErr w:type="spellStart"/>
      <w:r w:rsidRPr="00375799">
        <w:rPr>
          <w:rFonts w:cstheme="minorHAnsi"/>
          <w:color w:val="000000" w:themeColor="text1"/>
          <w:sz w:val="24"/>
          <w:szCs w:val="24"/>
        </w:rPr>
        <w:t>Refugee</w:t>
      </w:r>
      <w:proofErr w:type="spellEnd"/>
      <w:r w:rsidRPr="00375799">
        <w:rPr>
          <w:rFonts w:cstheme="minorHAnsi"/>
          <w:color w:val="000000" w:themeColor="text1"/>
          <w:sz w:val="24"/>
          <w:szCs w:val="24"/>
        </w:rPr>
        <w:t xml:space="preserve"> </w:t>
      </w:r>
      <w:proofErr w:type="spellStart"/>
      <w:r w:rsidRPr="00375799">
        <w:rPr>
          <w:rFonts w:cstheme="minorHAnsi"/>
          <w:color w:val="000000" w:themeColor="text1"/>
          <w:sz w:val="24"/>
          <w:szCs w:val="24"/>
        </w:rPr>
        <w:t>Appeals</w:t>
      </w:r>
      <w:proofErr w:type="spellEnd"/>
      <w:r w:rsidRPr="00375799">
        <w:rPr>
          <w:rFonts w:cstheme="minorHAnsi"/>
          <w:color w:val="000000" w:themeColor="text1"/>
          <w:sz w:val="24"/>
          <w:szCs w:val="24"/>
        </w:rPr>
        <w:t xml:space="preserve"> Tribunal przed ewentualnymi próbami poddania się zewnętrznym interwencjom lub naciskom mogącym zagrozić niezawisłości jego członków”.</w:t>
      </w:r>
    </w:p>
    <w:p w14:paraId="472DC873"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przypadku izb morskich mechanizmy zapewnienia niezależności ich orzecznictwa przewidują: </w:t>
      </w:r>
    </w:p>
    <w:p w14:paraId="426FC483"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 art. 7a i art. 9 ust. 1 ustawy z dnia 1 grudnia 1961 r. o izbach morskich – w odniesieniu do sędziów (delegowanie na czas określony lub nieokreślony);</w:t>
      </w:r>
    </w:p>
    <w:p w14:paraId="54D29C2C" w14:textId="3C91EE8B"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2) art. 12 i </w:t>
      </w:r>
      <w:r w:rsidR="003A6714">
        <w:rPr>
          <w:rFonts w:cstheme="minorHAnsi"/>
          <w:color w:val="000000" w:themeColor="text1"/>
          <w:sz w:val="24"/>
          <w:szCs w:val="24"/>
        </w:rPr>
        <w:t xml:space="preserve">art. </w:t>
      </w:r>
      <w:r w:rsidRPr="00375799">
        <w:rPr>
          <w:rFonts w:cstheme="minorHAnsi"/>
          <w:color w:val="000000" w:themeColor="text1"/>
          <w:sz w:val="24"/>
          <w:szCs w:val="24"/>
        </w:rPr>
        <w:t>13 ustawy z dnia 1 grudnia 1961 r. o izbach morskich – w odniesieniu do ławników (kadencyjność);</w:t>
      </w:r>
    </w:p>
    <w:p w14:paraId="2EBE21DF"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 art. 17 ust. 3 ustawy z dnia 1 grudnia 1961 r. o izbach morskich – w odniesieniu do niepodlegania orzecznictwa izb morskich nadzorowi właściwych ministrów lub prezesa sądu okręgowego;</w:t>
      </w:r>
    </w:p>
    <w:p w14:paraId="4F263257"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4) art. 34 ustawy z dnia 1 grudnia 1961 r. o izbach morskich – w zakresie samodzielności izb morskich co do rozstrzygania wszelkich zagadnień wynikających w toku postępowania;</w:t>
      </w:r>
    </w:p>
    <w:p w14:paraId="076614A4" w14:textId="7A8283CB"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5) art. 40, </w:t>
      </w:r>
      <w:r w:rsidR="003A6714">
        <w:rPr>
          <w:rFonts w:cstheme="minorHAnsi"/>
          <w:color w:val="000000" w:themeColor="text1"/>
          <w:sz w:val="24"/>
          <w:szCs w:val="24"/>
        </w:rPr>
        <w:t xml:space="preserve">art. </w:t>
      </w:r>
      <w:r w:rsidRPr="00375799">
        <w:rPr>
          <w:rFonts w:cstheme="minorHAnsi"/>
          <w:color w:val="000000" w:themeColor="text1"/>
          <w:sz w:val="24"/>
          <w:szCs w:val="24"/>
        </w:rPr>
        <w:t xml:space="preserve">41, </w:t>
      </w:r>
      <w:r w:rsidR="003A6714">
        <w:rPr>
          <w:rFonts w:cstheme="minorHAnsi"/>
          <w:color w:val="000000" w:themeColor="text1"/>
          <w:sz w:val="24"/>
          <w:szCs w:val="24"/>
        </w:rPr>
        <w:t xml:space="preserve">art. </w:t>
      </w:r>
      <w:r w:rsidRPr="00375799">
        <w:rPr>
          <w:rFonts w:cstheme="minorHAnsi"/>
          <w:color w:val="000000" w:themeColor="text1"/>
          <w:sz w:val="24"/>
          <w:szCs w:val="24"/>
        </w:rPr>
        <w:t xml:space="preserve">45 i </w:t>
      </w:r>
      <w:r w:rsidR="003A6714">
        <w:rPr>
          <w:rFonts w:cstheme="minorHAnsi"/>
          <w:color w:val="000000" w:themeColor="text1"/>
          <w:sz w:val="24"/>
          <w:szCs w:val="24"/>
        </w:rPr>
        <w:t xml:space="preserve">art. </w:t>
      </w:r>
      <w:r w:rsidRPr="00375799">
        <w:rPr>
          <w:rFonts w:cstheme="minorHAnsi"/>
          <w:color w:val="000000" w:themeColor="text1"/>
          <w:sz w:val="24"/>
          <w:szCs w:val="24"/>
        </w:rPr>
        <w:t>46 ustawy z dnia 1 grudnia 1961 r. o izbach morskich – w zakresie środków odwoławczych;</w:t>
      </w:r>
    </w:p>
    <w:p w14:paraId="723293AB"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6) art. 20 ustawy z dnia 1 grudnia 1961 r. o izbach morskich – odpowiednie stosowanie przepisów Kodeksu postępowania karnego w kwestiach nieuregulowanych w ustawie o izbach morskich do postępowania w sprawie wypadków morskich (podstawowe zadanie izb morskich).</w:t>
      </w:r>
    </w:p>
    <w:p w14:paraId="1957FAE3"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cechą niezależności sądu wiąże się ściśle konieczność ustanowienia go na mocy ustawy. </w:t>
      </w:r>
    </w:p>
    <w:p w14:paraId="5F40A25E" w14:textId="54F5CCC0"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Zdaniem A. Wróbla i N. Półtorak można w tym miejscu odwołać się do analogicznego wymogu sformułowanego na gruncie EKPCz. Ustanowienie na podstawie ustawy zapewnia ustrojową niezależność sądownictwa od władzy wykonawczej. Stąd powinno także odnosić się do stworzenia ustrojowych i organizacyjnych podstaw dla funkcjonowania sądu. W przypadku izb morskich ich zadania oraz pozycja ustrojowa zostały uregulowane w ustawie </w:t>
      </w:r>
      <w:r w:rsidR="003A6714">
        <w:rPr>
          <w:rFonts w:cstheme="minorHAnsi"/>
          <w:color w:val="000000" w:themeColor="text1"/>
          <w:sz w:val="24"/>
          <w:szCs w:val="24"/>
        </w:rPr>
        <w:t xml:space="preserve">z dnia 1 grudnia 1961 r. </w:t>
      </w:r>
      <w:r w:rsidRPr="00375799">
        <w:rPr>
          <w:rFonts w:cstheme="minorHAnsi"/>
          <w:color w:val="000000" w:themeColor="text1"/>
          <w:sz w:val="24"/>
          <w:szCs w:val="24"/>
        </w:rPr>
        <w:t>o izbach morskich.</w:t>
      </w:r>
    </w:p>
    <w:p w14:paraId="4DA1CA10"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Z art. 47 KPP wynika zasada wyłącznej kompetencji zdefiniowanych w powyższy sposób sądów do wykonywania określonych funkcji władczych państwa. Funkcje te, zwane w orzecznictwie TSUE funkcjami sądowymi, polegają na sprawowaniu wymiaru sprawiedliwości. Nieprzypadkowo art. 47 KPP umieszczony został w tytule VI KPP zatytułowanym „Wymiar sprawiedliwości”. Pojęcie to musi zostać zinterpretowane w szerszym kontekście, tj. w świetle EKPCz oraz wspólnych tradycji konstytucyjnych państw członkowskich.</w:t>
      </w:r>
    </w:p>
    <w:p w14:paraId="52D1A074" w14:textId="74BCD091"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Zdaniem B. Banaszaka, „większość definicji władzy sądowniczej i wymiaru sprawiedliwości zawiera wspólne jądro. Jest nim uznanie, że w obu przypadkach chodzi o szczególny rodzaj postępowania, którego rezultatem jest wiążące rozstrzygnięcie sporu prawnego, dokonane przez niezależny organ państwowy na podstawie obowiązującego prawa, po dokładnym rozważeniu wszystkich okoliczności sprawy”. Podobny pogląd prezentuje L.</w:t>
      </w:r>
      <w:r w:rsidR="003A6714">
        <w:rPr>
          <w:rFonts w:cstheme="minorHAnsi"/>
          <w:color w:val="000000" w:themeColor="text1"/>
          <w:sz w:val="24"/>
          <w:szCs w:val="24"/>
        </w:rPr>
        <w:t xml:space="preserve"> </w:t>
      </w:r>
      <w:r w:rsidRPr="00375799">
        <w:rPr>
          <w:rFonts w:cstheme="minorHAnsi"/>
          <w:color w:val="000000" w:themeColor="text1"/>
          <w:sz w:val="24"/>
          <w:szCs w:val="24"/>
        </w:rPr>
        <w:t>Garlicki prowadzący swoje rozważania na gruncie Konstytucji R</w:t>
      </w:r>
      <w:r w:rsidR="003A6714">
        <w:rPr>
          <w:rFonts w:cstheme="minorHAnsi"/>
          <w:color w:val="000000" w:themeColor="text1"/>
          <w:sz w:val="24"/>
          <w:szCs w:val="24"/>
        </w:rPr>
        <w:t xml:space="preserve">zeczypospolitej </w:t>
      </w:r>
      <w:r w:rsidRPr="00375799">
        <w:rPr>
          <w:rFonts w:cstheme="minorHAnsi"/>
          <w:color w:val="000000" w:themeColor="text1"/>
          <w:sz w:val="24"/>
          <w:szCs w:val="24"/>
        </w:rPr>
        <w:t>P</w:t>
      </w:r>
      <w:r w:rsidR="003A6714">
        <w:rPr>
          <w:rFonts w:cstheme="minorHAnsi"/>
          <w:color w:val="000000" w:themeColor="text1"/>
          <w:sz w:val="24"/>
          <w:szCs w:val="24"/>
        </w:rPr>
        <w:t>olskiej</w:t>
      </w:r>
      <w:r w:rsidRPr="00375799">
        <w:rPr>
          <w:rFonts w:cstheme="minorHAnsi"/>
          <w:color w:val="000000" w:themeColor="text1"/>
          <w:sz w:val="24"/>
          <w:szCs w:val="24"/>
        </w:rPr>
        <w:t xml:space="preserve">, który twierdzi, że „pojęcie « wymiaru sprawiedliwości » nigdy nie zyskało jasnego określenia ani w doktrynie, ani w orzecznictwie. (...) Punktem wyjścia jest przedmiotowa (materialna) płaszczyzna rozważań, traktująca « wymiar sprawiedliwości » jako szczególnej postaci władczego działania państwa. Za « wymiar sprawiedliwości » (...) uznać więc należy « wiążące rozstrzyganie sporów o prawo, w których przynajmniej jedną ze stron jest jednostka lub inny podmiot podobny ». Zarazem jednak (...) rozstrzyganie sporów (spraw) tylko wtedy można uznać za « wymiar sprawiedliwości », jeżeli dokonywane jest przez « sądy »” . </w:t>
      </w:r>
    </w:p>
    <w:p w14:paraId="4F055769" w14:textId="63324912"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Odnosząc się z kolei do funkcji sprawowania wymiaru sprawiedliwości na gruncie EKPCz, wskazać można m.in. na wyrok ETPCz z dnia 19 kwietnia 1994 r. w sprawie Van de </w:t>
      </w:r>
      <w:proofErr w:type="spellStart"/>
      <w:r w:rsidRPr="00375799">
        <w:rPr>
          <w:rFonts w:cstheme="minorHAnsi"/>
          <w:color w:val="000000" w:themeColor="text1"/>
          <w:sz w:val="24"/>
          <w:szCs w:val="24"/>
        </w:rPr>
        <w:t>Hurk</w:t>
      </w:r>
      <w:proofErr w:type="spellEnd"/>
      <w:r w:rsidRPr="00375799">
        <w:rPr>
          <w:rFonts w:cstheme="minorHAnsi"/>
          <w:color w:val="000000" w:themeColor="text1"/>
          <w:sz w:val="24"/>
          <w:szCs w:val="24"/>
        </w:rPr>
        <w:t xml:space="preserve"> przeciwko Holandii, sygn. 16034/90</w:t>
      </w:r>
      <w:r w:rsidR="003A6714">
        <w:rPr>
          <w:rFonts w:cstheme="minorHAnsi"/>
          <w:color w:val="000000" w:themeColor="text1"/>
          <w:sz w:val="24"/>
          <w:szCs w:val="24"/>
        </w:rPr>
        <w:t xml:space="preserve"> https://hudoc.echr.coe.int/</w:t>
      </w:r>
      <w:r w:rsidRPr="00375799">
        <w:rPr>
          <w:rFonts w:cstheme="minorHAnsi"/>
          <w:color w:val="000000" w:themeColor="text1"/>
          <w:sz w:val="24"/>
          <w:szCs w:val="24"/>
        </w:rPr>
        <w:t>, w którym ETPCz uznał, że sąd powinien być wyposażony w „kompetencję do wydawania wiążących rozstrzygnięć, które nie mogą być zmieniane przez jakikolwiek organ pozasądowy na niekorzyść strony zainteresowanej”. Takie rozstrzygnięcia poddane muszą być kontroli sądu, którego kognicja pozwalać musi na weryfikację w pełnym zakresie. Wynika z tego, że z zasady monopolu sądów na sprawowanie wymiaru sprawiedliwości wynika przede wszystkim zasada ostateczności ich orzeczeń. Rozumiana jest ona w sposób względny: rozstrzygnięcie sądowe nie może być zmienione przez żaden organ, z wyjątkiem innego sądu (co do zasady wyższego szczebla). Odnosząc powyższe rozważania na grunt KPP należy wskazać, że brzmienie akapitu pierwszego art. 47 KPP wyklucza, aby sprawy raz rozpoznane przez sąd mogły stać się przedmiotem odwołania do organu niebędącego sądem. Innymi słowy, każde naruszenie praw i wolności zagwarantowanych przez prawo Unii (o którym mowa w akapicie pierwszym) czy też sprawa (o której mowa w akapicie drugim) musi ostatecznie podlegać rozpoznaniu przez sąd rozumiany jako organ o określonych cechach ustrojowych.</w:t>
      </w:r>
    </w:p>
    <w:p w14:paraId="1AF725BF"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KPP powierza sprawowanie wymiaru sprawiedliwości w obszarze prawa UE sądom, tj. organom o odpowiednich cechach ustrojowych określonych przez art. 47 KPP.</w:t>
      </w:r>
    </w:p>
    <w:p w14:paraId="166FD89F" w14:textId="5A2F22D1"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Przenosząc powyższe na grunt ustawy z dnia 1 grudnia 1961 r. o izbach morskich należy zauważyć, że mają one określony zakres kognicji (właściwości, cech ustrojowych) wynikający z art. 1</w:t>
      </w:r>
      <w:r w:rsidR="0031227D">
        <w:rPr>
          <w:rFonts w:cstheme="minorHAnsi"/>
          <w:color w:val="000000" w:themeColor="text1"/>
          <w:sz w:val="24"/>
          <w:szCs w:val="24"/>
        </w:rPr>
        <w:t>–</w:t>
      </w:r>
      <w:r w:rsidRPr="00375799">
        <w:rPr>
          <w:rFonts w:cstheme="minorHAnsi"/>
          <w:color w:val="000000" w:themeColor="text1"/>
          <w:sz w:val="24"/>
          <w:szCs w:val="24"/>
        </w:rPr>
        <w:t xml:space="preserve">5 ustawy z dnia 1 grudnia 1961 r. o izbach morskich, a ich orzeczenia podlegają kontroli </w:t>
      </w:r>
      <w:r w:rsidRPr="00375799">
        <w:rPr>
          <w:rFonts w:cstheme="minorHAnsi"/>
          <w:color w:val="000000" w:themeColor="text1"/>
          <w:sz w:val="24"/>
          <w:szCs w:val="24"/>
        </w:rPr>
        <w:lastRenderedPageBreak/>
        <w:t xml:space="preserve">instancyjnej zgodnie z art. 40, </w:t>
      </w:r>
      <w:r w:rsidR="00817BAB">
        <w:rPr>
          <w:rFonts w:cstheme="minorHAnsi"/>
          <w:color w:val="000000" w:themeColor="text1"/>
          <w:sz w:val="24"/>
          <w:szCs w:val="24"/>
        </w:rPr>
        <w:t xml:space="preserve">art. </w:t>
      </w:r>
      <w:r w:rsidRPr="00375799">
        <w:rPr>
          <w:rFonts w:cstheme="minorHAnsi"/>
          <w:color w:val="000000" w:themeColor="text1"/>
          <w:sz w:val="24"/>
          <w:szCs w:val="24"/>
        </w:rPr>
        <w:t xml:space="preserve">41, </w:t>
      </w:r>
      <w:r w:rsidR="00817BAB">
        <w:rPr>
          <w:rFonts w:cstheme="minorHAnsi"/>
          <w:color w:val="000000" w:themeColor="text1"/>
          <w:sz w:val="24"/>
          <w:szCs w:val="24"/>
        </w:rPr>
        <w:t xml:space="preserve">art. </w:t>
      </w:r>
      <w:r w:rsidRPr="00375799">
        <w:rPr>
          <w:rFonts w:cstheme="minorHAnsi"/>
          <w:color w:val="000000" w:themeColor="text1"/>
          <w:sz w:val="24"/>
          <w:szCs w:val="24"/>
        </w:rPr>
        <w:t xml:space="preserve">45 i </w:t>
      </w:r>
      <w:r w:rsidR="00817BAB">
        <w:rPr>
          <w:rFonts w:cstheme="minorHAnsi"/>
          <w:color w:val="000000" w:themeColor="text1"/>
          <w:sz w:val="24"/>
          <w:szCs w:val="24"/>
        </w:rPr>
        <w:t xml:space="preserve">art. </w:t>
      </w:r>
      <w:r w:rsidRPr="00375799">
        <w:rPr>
          <w:rFonts w:cstheme="minorHAnsi"/>
          <w:color w:val="000000" w:themeColor="text1"/>
          <w:sz w:val="24"/>
          <w:szCs w:val="24"/>
        </w:rPr>
        <w:t>46 ustawy z dnia 1 grudnia 1961 r. o izbach morskich, w tym przez Sąd Apelacyjny w Gdańsku. Ich orzeczenia nie mogą być zmienione przez organy nadzoru z uwagi na brzmienie art. 17 ust. 3 ustawy z dnia 1 grudnia 1961 r. o izbach morskich. Ponadto zakres przepisów o postępowaniu przed izbami morskimi wykazuje znaczne podobieństwo do rozwiązań proceduralnych przewidzianych w Kodeksie postępowania cywilnego i Kodeksie postępowania karnego, a także jest odmienny od reguł postępowania przewidzianych w Kodeksie postępowania administracyjnego. Izby morskie wydają orzeczenia (a nie decyzje administracyjne), do których stosuje się posiłkowo przepisy Kodeksu postępowania karnego.</w:t>
      </w:r>
    </w:p>
    <w:p w14:paraId="5BD60322"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art. 267 Traktatu o Funkcjonowaniu Unii Europejskiej, jeżeli sąd państwa członkowskiego poweźmie wątpliwość co do wykładni aktów prawa pierwotnego albo wykładni lub ważności aktów prawa pochodnego UE uprawniony jest do wystąpienia w tym zakresie z pytaniem prejudycjalnym do TSUE. </w:t>
      </w:r>
    </w:p>
    <w:p w14:paraId="3C43121C"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Prawo pierwotne UE nie zawiera definicji „sądu”, o którym tu mowa. Dlatego TSUE zgodnie z zasadą autonomicznej i jednolitej wykładni prawa UE wypracował w orzecznictwie materialne cechy, które powinien spełniać organ krajowy, aby uznać go za uprawniony do skorzystania z procedury prejudycjalnej.</w:t>
      </w:r>
    </w:p>
    <w:p w14:paraId="741A7F14"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Orzecznictwo TSUE wskazuje w pierwszej kolejności na ustrojowe cechy organów sądowych, zwłaszcza na ich umocowanie jako władzy zewnętrznej wobec ciała, które wydało zaskarżoną decyzję.</w:t>
      </w:r>
    </w:p>
    <w:p w14:paraId="378A2A56"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 kolejnych cech należą: niezawisłość członków, stałość, utworzenie na podstawie co najmniej ustawy, obowiązkowa właściwość, orzekanie w procedurze spornej, orzekanie na podstawie prawa, wiążąca moc orzeczeń, wydanie orzeczenia o charakterze sądowym albo wykonywanie funkcji sądowych.</w:t>
      </w:r>
    </w:p>
    <w:p w14:paraId="4A86F9B0"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Wypracowane w orzecznictwie TSUE przesłanki kwalifikacji organów sądowych można ująć w dwóch grupach, tj.: w grupie cech ustrojowych i cech funkcjonalnych organu sądowego. Do cech ustrojowych zaliczyć należy niezależność organu i niezawisłość jego członków, stałość i utworzenie na podstawie co najmniej ustawy. Przesłanki ustrojowe stanowią zatem o cechach, jakie powinien spełniać organ sądowy w znaczeniu instytucjonalnym. </w:t>
      </w:r>
    </w:p>
    <w:p w14:paraId="3725A39D"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kolei przesłanki funkcjonalne, są zbiorem tych cech, które identyfikować można jako „wydawanie orzeczenia o charakterze sądowym” lub „wykonywanie funkcji sądowych”. Do przesłanek funkcjonalnych zalicza się wydanie rozstrzygnięcia o sytuacji prawnej jednostki; obowiązkową właściwość; orzekanie w procedurze spornej; orzekanie na podstawie prawa; wiążącą moc orzeczenia i jego względną ostateczność. Te ostatnie cechy ocenia się na gruncie konkretnego postępowania. Wymienione atrybuty tworzą funkcjonującą w prawie UE materialną definicję organu sądowego w rozumieniu art. 267 TFUE.</w:t>
      </w:r>
    </w:p>
    <w:p w14:paraId="3A028D3C" w14:textId="392DEEFE"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uwagi na ich spełnianie przez izby morskie zasadne jest ich objęcie odrębnym systemem nadzoru, analogicznie do sądów powszechnych</w:t>
      </w:r>
      <w:r w:rsidR="0031227D">
        <w:rPr>
          <w:rFonts w:cstheme="minorHAnsi"/>
          <w:color w:val="000000" w:themeColor="text1"/>
          <w:sz w:val="24"/>
          <w:szCs w:val="24"/>
        </w:rPr>
        <w:t>,</w:t>
      </w:r>
      <w:r w:rsidRPr="00375799">
        <w:rPr>
          <w:rFonts w:cstheme="minorHAnsi"/>
          <w:color w:val="000000" w:themeColor="text1"/>
          <w:sz w:val="24"/>
          <w:szCs w:val="24"/>
        </w:rPr>
        <w:t xml:space="preserve"> przy których działają.</w:t>
      </w:r>
    </w:p>
    <w:p w14:paraId="0EF1106A"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Art. 19b ust. 1 ustawy z dnia 1 grudnia 1961 r. o izbach morskich przewiduje, że nadzór nad przetwarzaniem danych osobowych w postępowaniach przed izbami morskimi sprawują:</w:t>
      </w:r>
    </w:p>
    <w:p w14:paraId="510F6F46"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1) w zakresie działalności Izby Morskiej w Szczecinie oraz Izby Morskiej w Gdańsku – Przewodniczący Odwoławczej Izby Morskiej;</w:t>
      </w:r>
    </w:p>
    <w:p w14:paraId="582CB62E"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 w zakresie działalności Odwoławczej Izby Morskiej – Prezes Sądu Okręgowego w Gdańsku.</w:t>
      </w:r>
    </w:p>
    <w:p w14:paraId="4655F62D" w14:textId="7CBF3315"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Organy te, zgodnie z treścią motywu 20 </w:t>
      </w:r>
      <w:r w:rsidR="00252AB5" w:rsidRPr="00375799">
        <w:rPr>
          <w:rFonts w:cstheme="minorHAnsi"/>
          <w:color w:val="000000" w:themeColor="text1"/>
          <w:sz w:val="24"/>
          <w:szCs w:val="24"/>
        </w:rPr>
        <w:t>RODO</w:t>
      </w:r>
      <w:r w:rsidRPr="00375799">
        <w:rPr>
          <w:rFonts w:cstheme="minorHAnsi"/>
          <w:color w:val="000000" w:themeColor="text1"/>
          <w:sz w:val="24"/>
          <w:szCs w:val="24"/>
        </w:rPr>
        <w:t>, powinny w szczególności zapewnić przestrzeganie przepisów ogólnego rozporządzenia, zwiększać wiedzę w wymiarze sprawiedliwości o jego obowiązkach wynikających z tego rozporządzenia oraz rozpatrywać skargi związane z operacjami przetwarzania danych.</w:t>
      </w:r>
    </w:p>
    <w:p w14:paraId="6AD1F2AA" w14:textId="5D579653"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Zakres zadań i uprawnień organów sprawujących nadzór nad przetwarzaniem danych osobowych w postępowaniach prowadzonych przez izby morskie, o którym mowa w art. 19b ust. 2 i 3 ustawy z dnia 1 grudnia 1961 r. o izbach morskich, został określony w oparciu o zadania i uprawnienia organu nadzorczego uregulowane w art. 57 i </w:t>
      </w:r>
      <w:r w:rsidR="00817BAB">
        <w:rPr>
          <w:rFonts w:cstheme="minorHAnsi"/>
          <w:color w:val="000000" w:themeColor="text1"/>
          <w:sz w:val="24"/>
          <w:szCs w:val="24"/>
        </w:rPr>
        <w:t xml:space="preserve">art. </w:t>
      </w:r>
      <w:r w:rsidRPr="00375799">
        <w:rPr>
          <w:rFonts w:cstheme="minorHAnsi"/>
          <w:color w:val="000000" w:themeColor="text1"/>
          <w:sz w:val="24"/>
          <w:szCs w:val="24"/>
        </w:rPr>
        <w:t xml:space="preserve">58 </w:t>
      </w:r>
      <w:r w:rsidR="003D0090" w:rsidRPr="00375799">
        <w:rPr>
          <w:rFonts w:cstheme="minorHAnsi"/>
          <w:color w:val="000000" w:themeColor="text1"/>
          <w:sz w:val="24"/>
          <w:szCs w:val="24"/>
        </w:rPr>
        <w:t>RODO</w:t>
      </w:r>
      <w:r w:rsidRPr="00375799">
        <w:rPr>
          <w:rFonts w:cstheme="minorHAnsi"/>
          <w:color w:val="000000" w:themeColor="text1"/>
          <w:sz w:val="24"/>
          <w:szCs w:val="24"/>
        </w:rPr>
        <w:t xml:space="preserve">, przy czym ich wybór został dokonany z uwzględnieniem specyfiki izb morskich. Proponowany zakres nadzoru polegać będzie przede wszystkim na: </w:t>
      </w:r>
    </w:p>
    <w:p w14:paraId="13574731" w14:textId="7E9BAA1F"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w:t>
      </w:r>
      <w:r w:rsidRPr="00375799">
        <w:rPr>
          <w:rFonts w:cstheme="minorHAnsi"/>
          <w:color w:val="000000" w:themeColor="text1"/>
          <w:sz w:val="24"/>
          <w:szCs w:val="24"/>
        </w:rPr>
        <w:tab/>
        <w:t xml:space="preserve">ocenie przestrzegania przepisów </w:t>
      </w:r>
      <w:r w:rsidR="003D0090" w:rsidRPr="00375799">
        <w:rPr>
          <w:rFonts w:cstheme="minorHAnsi"/>
          <w:color w:val="000000" w:themeColor="text1"/>
          <w:sz w:val="24"/>
          <w:szCs w:val="24"/>
        </w:rPr>
        <w:t>RODO</w:t>
      </w:r>
      <w:r w:rsidRPr="00375799">
        <w:rPr>
          <w:rFonts w:cstheme="minorHAnsi"/>
          <w:color w:val="000000" w:themeColor="text1"/>
          <w:sz w:val="24"/>
          <w:szCs w:val="24"/>
        </w:rPr>
        <w:t>;</w:t>
      </w:r>
    </w:p>
    <w:p w14:paraId="1652D7C7" w14:textId="34DA5C4D"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w:t>
      </w:r>
      <w:r w:rsidRPr="00375799">
        <w:rPr>
          <w:rFonts w:cstheme="minorHAnsi"/>
          <w:color w:val="000000" w:themeColor="text1"/>
          <w:sz w:val="24"/>
          <w:szCs w:val="24"/>
        </w:rPr>
        <w:tab/>
        <w:t xml:space="preserve">zwiększaniu wiedzy w izbach morskich o obowiązkach wynikających z </w:t>
      </w:r>
      <w:r w:rsidR="003D0090" w:rsidRPr="00375799">
        <w:rPr>
          <w:rFonts w:cstheme="minorHAnsi"/>
          <w:color w:val="000000" w:themeColor="text1"/>
          <w:sz w:val="24"/>
          <w:szCs w:val="24"/>
        </w:rPr>
        <w:t>RODO</w:t>
      </w:r>
      <w:r w:rsidRPr="00375799">
        <w:rPr>
          <w:rFonts w:cstheme="minorHAnsi"/>
          <w:color w:val="000000" w:themeColor="text1"/>
          <w:sz w:val="24"/>
          <w:szCs w:val="24"/>
        </w:rPr>
        <w:t>;</w:t>
      </w:r>
    </w:p>
    <w:p w14:paraId="032CB0E2"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w:t>
      </w:r>
      <w:r w:rsidRPr="00375799">
        <w:rPr>
          <w:rFonts w:cstheme="minorHAnsi"/>
          <w:color w:val="000000" w:themeColor="text1"/>
          <w:sz w:val="24"/>
          <w:szCs w:val="24"/>
        </w:rPr>
        <w:tab/>
        <w:t>rozpatrywaniu skarg związanych z operacjami przetwarzania danych osobowych.</w:t>
      </w:r>
    </w:p>
    <w:p w14:paraId="648A7B6E"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Proponuje się, aby szczególny sposób sprawowania nadzoru nad przetwarzaniem danych osobowych dotyczył prowadzonych przez izby morskie postępowań. W pozostałym zakresie działalności izb morskich – innym niż dotyczący postępowań prowadzonych przez izby morskie – nadzór pozostanie w zakresie właściwości centralnego organu nadzorczego (Prezesa Urzędu Ochrony Danych Osobowych), np. w zakresie dotyczącym kwestii kadrowych czy finansowych. </w:t>
      </w:r>
    </w:p>
    <w:p w14:paraId="2FAE270C"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Generalna zasada nadzoru oparta jest o system kontroli rozproszonej. Oznacza to, że nie wskazuje się jednego organu, który pełniłby funkcję organu nadzorczego, a jedynie istniejącym podmiotom powierza się pełnienie tej funkcji. Podmioty będące organami nadzoru nad poszczególnymi izbami morskimi zachowują samodzielność i niezależność od izb morskich podlegających nadzorowi.</w:t>
      </w:r>
    </w:p>
    <w:p w14:paraId="471CBA0C" w14:textId="77777777" w:rsidR="00B13199"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Proponowane rozwiązania są analogiczne do rozwiązań proponowanych na gruncie ustawy z dnia 27 lipca 2001 r.  – Prawo o ustroju sądów powszechnych. </w:t>
      </w:r>
    </w:p>
    <w:p w14:paraId="341A2B29" w14:textId="77777777" w:rsidR="008706DD" w:rsidRPr="00375799" w:rsidRDefault="00B1319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tego względu w art. 19b ust. 4 ustawy o izbach morskich przyjęto, że do przyjmowania i rozpatrywania skarg związanych z przetwarzaniem danych osobowych przez izby morskie stosuje się odpowiednio przepisy działu I rozdziału 5a ustawy z dnia 27 lipca 2001 r. – Prawo o ustroju sądów powszechnych.</w:t>
      </w:r>
    </w:p>
    <w:p w14:paraId="6AF6A4B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3195AF2" w14:textId="415BB92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3" w:name="_Toc530564976"/>
      <w:r w:rsidRPr="00375799">
        <w:rPr>
          <w:rFonts w:asciiTheme="minorHAnsi" w:hAnsiTheme="minorHAnsi" w:cstheme="minorHAnsi"/>
          <w:color w:val="000000" w:themeColor="text1"/>
          <w:sz w:val="24"/>
          <w:szCs w:val="24"/>
        </w:rPr>
        <w:t>Ustawa z dnia 17 czerwca 1966 r. o postępowaniu egzekucyjnym w administracji</w:t>
      </w:r>
      <w:r w:rsidR="00252AB5" w:rsidRPr="00375799">
        <w:rPr>
          <w:rFonts w:asciiTheme="minorHAnsi" w:hAnsiTheme="minorHAnsi" w:cstheme="minorHAnsi"/>
          <w:color w:val="000000" w:themeColor="text1"/>
          <w:sz w:val="24"/>
          <w:szCs w:val="24"/>
        </w:rPr>
        <w:t xml:space="preserve"> (Dz. U. z 2018 r. poz. 1314</w:t>
      </w:r>
      <w:r w:rsidR="00306046">
        <w:rPr>
          <w:rFonts w:asciiTheme="minorHAnsi" w:hAnsiTheme="minorHAnsi" w:cstheme="minorHAnsi"/>
          <w:color w:val="000000" w:themeColor="text1"/>
          <w:sz w:val="24"/>
          <w:szCs w:val="24"/>
        </w:rPr>
        <w:t>, 1356, 1499 i 1629</w:t>
      </w:r>
      <w:r w:rsidR="00252AB5" w:rsidRPr="00375799">
        <w:rPr>
          <w:rFonts w:asciiTheme="minorHAnsi" w:hAnsiTheme="minorHAnsi" w:cstheme="minorHAnsi"/>
          <w:color w:val="000000" w:themeColor="text1"/>
          <w:sz w:val="24"/>
          <w:szCs w:val="24"/>
        </w:rPr>
        <w:t>)</w:t>
      </w:r>
      <w:bookmarkEnd w:id="3"/>
      <w:r w:rsidRPr="00375799">
        <w:rPr>
          <w:rFonts w:asciiTheme="minorHAnsi" w:hAnsiTheme="minorHAnsi" w:cstheme="minorHAnsi"/>
          <w:color w:val="000000" w:themeColor="text1"/>
          <w:sz w:val="24"/>
          <w:szCs w:val="24"/>
        </w:rPr>
        <w:t xml:space="preserve"> </w:t>
      </w:r>
    </w:p>
    <w:p w14:paraId="4EC2A964"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39566064" w14:textId="3A548CDF" w:rsidR="000F1D4B" w:rsidRPr="00375799" w:rsidRDefault="000F1D4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 art. 5a wprowadza do ustawy </w:t>
      </w:r>
      <w:r w:rsidR="00817BAB">
        <w:rPr>
          <w:rFonts w:cstheme="minorHAnsi"/>
          <w:color w:val="000000" w:themeColor="text1"/>
          <w:sz w:val="24"/>
          <w:szCs w:val="24"/>
        </w:rPr>
        <w:t xml:space="preserve">z dnia 17 czerwca 1966 r. </w:t>
      </w:r>
      <w:r w:rsidRPr="00375799">
        <w:rPr>
          <w:rFonts w:cstheme="minorHAnsi"/>
          <w:color w:val="000000" w:themeColor="text1"/>
          <w:sz w:val="24"/>
          <w:szCs w:val="24"/>
        </w:rPr>
        <w:t>o postępowaniu egzekucyjnym w administracji (dalej „</w:t>
      </w:r>
      <w:proofErr w:type="spellStart"/>
      <w:r w:rsidRPr="00375799">
        <w:rPr>
          <w:rFonts w:cstheme="minorHAnsi"/>
          <w:color w:val="000000" w:themeColor="text1"/>
          <w:sz w:val="24"/>
          <w:szCs w:val="24"/>
        </w:rPr>
        <w:t>u.p.e.a</w:t>
      </w:r>
      <w:proofErr w:type="spellEnd"/>
      <w:r w:rsidRPr="00375799">
        <w:rPr>
          <w:rFonts w:cstheme="minorHAnsi"/>
          <w:color w:val="000000" w:themeColor="text1"/>
          <w:sz w:val="24"/>
          <w:szCs w:val="24"/>
        </w:rPr>
        <w:t xml:space="preserve">.”) określenie minimalnych zabezpieczeń </w:t>
      </w:r>
      <w:r w:rsidRPr="00375799">
        <w:rPr>
          <w:rFonts w:cstheme="minorHAnsi"/>
          <w:color w:val="000000" w:themeColor="text1"/>
          <w:sz w:val="24"/>
          <w:szCs w:val="24"/>
        </w:rPr>
        <w:lastRenderedPageBreak/>
        <w:t xml:space="preserve">zapobiegających nadużyciom lub niezgodnemu z prawem dostępowi lub przekazywaniu danych osobowych przetwarzanych w celu wykonywania zadań wynikających z ustawy. Tak więc do przetwarzania danych osobowych dopuszczone będą wyłącznie osoby do tego uprawnione, zobowiązane na piśmie do zachowania danych w poufności. Przepis zobowiązuje do testowania i doskonalenia środków technicznych i organizacyjnych, zapewnienia bezpiecznej komunikacji w sieciach teleinformatycznych, ochrony przed nieuprawnionym dostępem do systemów informatycznych oraz integralności danych w systemach informatycznych organów. Przepis nakłada również obowiązek określenia zasad bezpieczeństwa przetwarzanych danych osobowych. Analogiczne rozwiązania przewiduje projektowany art. 11a ustawy </w:t>
      </w:r>
      <w:r w:rsidR="00817BAB">
        <w:rPr>
          <w:rFonts w:cstheme="minorHAnsi"/>
          <w:color w:val="000000" w:themeColor="text1"/>
          <w:sz w:val="24"/>
          <w:szCs w:val="24"/>
        </w:rPr>
        <w:t xml:space="preserve">z dnia 11 października 2013 r. </w:t>
      </w:r>
      <w:r w:rsidRPr="00375799">
        <w:rPr>
          <w:rFonts w:cstheme="minorHAnsi"/>
          <w:color w:val="000000" w:themeColor="text1"/>
          <w:sz w:val="24"/>
          <w:szCs w:val="24"/>
        </w:rPr>
        <w:t>o wzajemnej pomocy przy dochodzeniu podatków, należności celnych i innych należności pieniężnych, dalej „ustawy o wzajemnej pomocy”, ponieważ zgodnie z jej art. 4 dochodzenie oraz zabezpieczenie należności pieniężnych państw członkowskich lub państw trzecich odbywa się w trybie ustawy o postępowaniu egzekucyjnym w administracji.</w:t>
      </w:r>
    </w:p>
    <w:p w14:paraId="7DE7D556" w14:textId="3D1E7DC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Ze względu na wprowadzenie do ustawy </w:t>
      </w:r>
      <w:r w:rsidR="00817BAB">
        <w:rPr>
          <w:rFonts w:cstheme="minorHAnsi"/>
          <w:color w:val="000000" w:themeColor="text1"/>
          <w:sz w:val="24"/>
          <w:szCs w:val="24"/>
        </w:rPr>
        <w:t xml:space="preserve">z dnia 10 maja 2018 r. </w:t>
      </w:r>
      <w:r w:rsidRPr="00375799">
        <w:rPr>
          <w:rFonts w:cstheme="minorHAnsi"/>
          <w:color w:val="000000" w:themeColor="text1"/>
          <w:sz w:val="24"/>
          <w:szCs w:val="24"/>
        </w:rPr>
        <w:t>o ochronie danych osobowych przepisów art. 3</w:t>
      </w:r>
      <w:r w:rsidR="0031227D">
        <w:rPr>
          <w:rFonts w:cstheme="minorHAnsi"/>
          <w:color w:val="000000" w:themeColor="text1"/>
          <w:sz w:val="24"/>
          <w:szCs w:val="24"/>
        </w:rPr>
        <w:t>–</w:t>
      </w:r>
      <w:r w:rsidRPr="00375799">
        <w:rPr>
          <w:rFonts w:cstheme="minorHAnsi"/>
          <w:color w:val="000000" w:themeColor="text1"/>
          <w:sz w:val="24"/>
          <w:szCs w:val="24"/>
        </w:rPr>
        <w:t xml:space="preserve">5 przewidujących możliwość ograniczenia/wyłączenia stosowania niektórych przepisów </w:t>
      </w:r>
      <w:r w:rsidR="003D0090" w:rsidRPr="00375799">
        <w:rPr>
          <w:rFonts w:cstheme="minorHAnsi"/>
          <w:color w:val="000000" w:themeColor="text1"/>
          <w:sz w:val="24"/>
          <w:szCs w:val="24"/>
        </w:rPr>
        <w:t>RODO</w:t>
      </w:r>
      <w:r w:rsidR="000F1D4B" w:rsidRPr="00375799">
        <w:rPr>
          <w:rFonts w:cstheme="minorHAnsi"/>
          <w:color w:val="000000" w:themeColor="text1"/>
          <w:sz w:val="24"/>
          <w:szCs w:val="24"/>
        </w:rPr>
        <w:t xml:space="preserve"> </w:t>
      </w:r>
      <w:r w:rsidRPr="00375799">
        <w:rPr>
          <w:rFonts w:cstheme="minorHAnsi"/>
          <w:color w:val="000000" w:themeColor="text1"/>
          <w:sz w:val="24"/>
          <w:szCs w:val="24"/>
        </w:rPr>
        <w:t xml:space="preserve">w odniesieniu do administratorów realizujących zadania publiczne, nie istnieje potrzeba powielania tych przepisów w zmianach dotyczących </w:t>
      </w:r>
      <w:proofErr w:type="spellStart"/>
      <w:r w:rsidR="00817BAB" w:rsidRPr="00375799">
        <w:rPr>
          <w:rFonts w:cstheme="minorHAnsi"/>
          <w:color w:val="000000" w:themeColor="text1"/>
          <w:sz w:val="24"/>
          <w:szCs w:val="24"/>
        </w:rPr>
        <w:t>u.p.e.a</w:t>
      </w:r>
      <w:proofErr w:type="spellEnd"/>
      <w:r w:rsidR="00817BAB" w:rsidRPr="00375799">
        <w:rPr>
          <w:rFonts w:cstheme="minorHAnsi"/>
          <w:color w:val="000000" w:themeColor="text1"/>
          <w:sz w:val="24"/>
          <w:szCs w:val="24"/>
        </w:rPr>
        <w:t xml:space="preserve">. </w:t>
      </w:r>
      <w:r w:rsidRPr="00375799">
        <w:rPr>
          <w:rFonts w:cstheme="minorHAnsi"/>
          <w:color w:val="000000" w:themeColor="text1"/>
          <w:sz w:val="24"/>
          <w:szCs w:val="24"/>
        </w:rPr>
        <w:t>i ustawy o wzajemnej pomocy. Przepisy art. 3</w:t>
      </w:r>
      <w:r w:rsidR="0031227D">
        <w:rPr>
          <w:rFonts w:cstheme="minorHAnsi"/>
          <w:color w:val="000000" w:themeColor="text1"/>
          <w:sz w:val="24"/>
          <w:szCs w:val="24"/>
        </w:rPr>
        <w:t>–</w:t>
      </w:r>
      <w:r w:rsidRPr="00375799">
        <w:rPr>
          <w:rFonts w:cstheme="minorHAnsi"/>
          <w:color w:val="000000" w:themeColor="text1"/>
          <w:sz w:val="24"/>
          <w:szCs w:val="24"/>
        </w:rPr>
        <w:t xml:space="preserve">5 ustawy </w:t>
      </w:r>
      <w:r w:rsidR="00817BAB">
        <w:rPr>
          <w:rFonts w:cstheme="minorHAnsi"/>
          <w:color w:val="000000" w:themeColor="text1"/>
          <w:sz w:val="24"/>
          <w:szCs w:val="24"/>
        </w:rPr>
        <w:t xml:space="preserve">z dnia 10 maja 2018 r. </w:t>
      </w:r>
      <w:r w:rsidRPr="00375799">
        <w:rPr>
          <w:rFonts w:cstheme="minorHAnsi"/>
          <w:color w:val="000000" w:themeColor="text1"/>
          <w:sz w:val="24"/>
          <w:szCs w:val="24"/>
        </w:rPr>
        <w:t xml:space="preserve">o ochronie danych osobowych mają bowiem zastosowanie wprost do organów publicznych i innych podmiotów realizujących zadania publiczne w przypadku zaistnienia przesłanek wskazanych w tych przepisach. Oznacza to, że administratorzy danych realizujący zadania publiczne będą mogli powołać się na treść tych przepisów i w konsekwencji odmowę realizacji praw przysługujących osobie, której dane dotyczą, w szczególności gdy ograniczenie to będzie służyło ważnym celom leżącym w ogólnym interesie publicznym Unii lub państwa członkowskiego, w szczególności ważnemu interesowi gospodarczemu lub finansowemu Unii lub państwa członkowskiego, w tym kwestiom pieniężnym, budżetowym i podatkowym, zdrowiu publicznemu i zabezpieczeniu społecznemu (art. 23 ust. 1 lit. e </w:t>
      </w:r>
      <w:r w:rsidR="003D0090"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41F03695" w14:textId="55CC3A8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Wyłączenia przewidziane w ustawie</w:t>
      </w:r>
      <w:r w:rsidR="00817BAB">
        <w:rPr>
          <w:rFonts w:cstheme="minorHAnsi"/>
          <w:color w:val="000000" w:themeColor="text1"/>
          <w:sz w:val="24"/>
          <w:szCs w:val="24"/>
        </w:rPr>
        <w:t xml:space="preserve"> z dnia 10 maja 2018 r.</w:t>
      </w:r>
      <w:r w:rsidRPr="00375799">
        <w:rPr>
          <w:rFonts w:cstheme="minorHAnsi"/>
          <w:color w:val="000000" w:themeColor="text1"/>
          <w:sz w:val="24"/>
          <w:szCs w:val="24"/>
        </w:rPr>
        <w:t xml:space="preserve"> o ochronie danych osobowych umożliwiają realizację zadań publicznych wynikających z </w:t>
      </w:r>
      <w:proofErr w:type="spellStart"/>
      <w:r w:rsidRPr="00375799">
        <w:rPr>
          <w:rFonts w:cstheme="minorHAnsi"/>
          <w:color w:val="000000" w:themeColor="text1"/>
          <w:sz w:val="24"/>
          <w:szCs w:val="24"/>
        </w:rPr>
        <w:t>u.p.e.a</w:t>
      </w:r>
      <w:proofErr w:type="spellEnd"/>
      <w:r w:rsidRPr="00375799">
        <w:rPr>
          <w:rFonts w:cstheme="minorHAnsi"/>
          <w:color w:val="000000" w:themeColor="text1"/>
          <w:sz w:val="24"/>
          <w:szCs w:val="24"/>
        </w:rPr>
        <w:t>. oraz ustawy o wzajemnej pomocy. Natomiast wprowadzenie zaproponowanych zmian w obu ustawach (</w:t>
      </w:r>
      <w:proofErr w:type="spellStart"/>
      <w:r w:rsidRPr="00375799">
        <w:rPr>
          <w:rFonts w:cstheme="minorHAnsi"/>
          <w:color w:val="000000" w:themeColor="text1"/>
          <w:sz w:val="24"/>
          <w:szCs w:val="24"/>
        </w:rPr>
        <w:t>u.p.e.a</w:t>
      </w:r>
      <w:proofErr w:type="spellEnd"/>
      <w:r w:rsidRPr="00375799">
        <w:rPr>
          <w:rFonts w:cstheme="minorHAnsi"/>
          <w:color w:val="000000" w:themeColor="text1"/>
          <w:sz w:val="24"/>
          <w:szCs w:val="24"/>
        </w:rPr>
        <w:t xml:space="preserve">. i ustawie o wzajemnej pomocy) ma na celu realizację warunku wprowadzenia ograniczeń, o którym mowa w art. 23 ust. 2 lit. d i f </w:t>
      </w:r>
      <w:r w:rsidR="003D0090" w:rsidRPr="00375799">
        <w:rPr>
          <w:rFonts w:cstheme="minorHAnsi"/>
          <w:color w:val="000000" w:themeColor="text1"/>
          <w:sz w:val="24"/>
          <w:szCs w:val="24"/>
        </w:rPr>
        <w:t>RODO</w:t>
      </w:r>
      <w:r w:rsidRPr="00375799">
        <w:rPr>
          <w:rFonts w:cstheme="minorHAnsi"/>
          <w:color w:val="000000" w:themeColor="text1"/>
          <w:sz w:val="24"/>
          <w:szCs w:val="24"/>
        </w:rPr>
        <w:t>, poprzez wprowadzenie obowiązku wprowadzenia zabezpieczeń zapobiegających nadużyciom lub niezgodnemu z prawem dostępowi lub przekazywaniu.</w:t>
      </w:r>
    </w:p>
    <w:p w14:paraId="376AD329" w14:textId="239EEE4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Podkreślić należy, że przepisy </w:t>
      </w:r>
      <w:proofErr w:type="spellStart"/>
      <w:r w:rsidRPr="00375799">
        <w:rPr>
          <w:rFonts w:cstheme="minorHAnsi"/>
          <w:color w:val="000000" w:themeColor="text1"/>
          <w:sz w:val="24"/>
          <w:szCs w:val="24"/>
        </w:rPr>
        <w:t>u.p.e.a</w:t>
      </w:r>
      <w:proofErr w:type="spellEnd"/>
      <w:r w:rsidRPr="00375799">
        <w:rPr>
          <w:rFonts w:cstheme="minorHAnsi"/>
          <w:color w:val="000000" w:themeColor="text1"/>
          <w:sz w:val="24"/>
          <w:szCs w:val="24"/>
        </w:rPr>
        <w:t xml:space="preserve">. oraz ustawy o wzajemnej pomocy zapewniają realizację wymogów określonych w art. 23 ust. 2 </w:t>
      </w:r>
      <w:r w:rsidR="003D0090" w:rsidRPr="00375799">
        <w:rPr>
          <w:rFonts w:cstheme="minorHAnsi"/>
          <w:color w:val="000000" w:themeColor="text1"/>
          <w:sz w:val="24"/>
          <w:szCs w:val="24"/>
        </w:rPr>
        <w:t xml:space="preserve">RODO </w:t>
      </w:r>
      <w:r w:rsidRPr="00375799">
        <w:rPr>
          <w:rFonts w:cstheme="minorHAnsi"/>
          <w:color w:val="000000" w:themeColor="text1"/>
          <w:sz w:val="24"/>
          <w:szCs w:val="24"/>
        </w:rPr>
        <w:t>w sposób następujący:</w:t>
      </w:r>
    </w:p>
    <w:p w14:paraId="1833AE5A" w14:textId="73D5E81C" w:rsidR="008706DD" w:rsidRPr="00375799" w:rsidRDefault="008706DD" w:rsidP="000F5261">
      <w:pPr>
        <w:pStyle w:val="Akapitzlist"/>
        <w:numPr>
          <w:ilvl w:val="0"/>
          <w:numId w:val="9"/>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cele przetwarzania lub kategorie przetwarzania – cele przetwarzania danych osobowych wynikają z treści </w:t>
      </w:r>
      <w:proofErr w:type="spellStart"/>
      <w:r w:rsidRPr="00375799">
        <w:rPr>
          <w:rFonts w:asciiTheme="minorHAnsi" w:hAnsiTheme="minorHAnsi" w:cstheme="minorHAnsi"/>
          <w:color w:val="000000" w:themeColor="text1"/>
          <w:sz w:val="24"/>
          <w:szCs w:val="24"/>
        </w:rPr>
        <w:t>u.p.e.a</w:t>
      </w:r>
      <w:proofErr w:type="spellEnd"/>
      <w:r w:rsidRPr="00375799">
        <w:rPr>
          <w:rFonts w:asciiTheme="minorHAnsi" w:hAnsiTheme="minorHAnsi" w:cstheme="minorHAnsi"/>
          <w:color w:val="000000" w:themeColor="text1"/>
          <w:sz w:val="24"/>
          <w:szCs w:val="24"/>
        </w:rPr>
        <w:t xml:space="preserve">. oraz ustawy o wzajemnej pomocy, które określają ustawowe zadania i sposób ich realizacji przez organy administracji publicznej oraz innych </w:t>
      </w:r>
      <w:r w:rsidRPr="00375799">
        <w:rPr>
          <w:rFonts w:asciiTheme="minorHAnsi" w:hAnsiTheme="minorHAnsi" w:cstheme="minorHAnsi"/>
          <w:color w:val="000000" w:themeColor="text1"/>
          <w:sz w:val="24"/>
          <w:szCs w:val="24"/>
        </w:rPr>
        <w:lastRenderedPageBreak/>
        <w:t>uczestników postępowania egzekucyjnego (zabezpieczającego), przetwarzanie danych jest zatem niezbędne do wykonywania zadań realizowanych w interesie publicznym, w ramach sprawowania władzy publicznej;</w:t>
      </w:r>
    </w:p>
    <w:p w14:paraId="11B48019" w14:textId="70366C5C" w:rsidR="008706DD" w:rsidRPr="00375799" w:rsidRDefault="008706DD" w:rsidP="000F5261">
      <w:pPr>
        <w:pStyle w:val="Akapitzlist"/>
        <w:numPr>
          <w:ilvl w:val="0"/>
          <w:numId w:val="9"/>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kategorie danych osobowych – zadania realizowane w ramach postępowania egzekucyjnego (zabezpieczającego) oraz postępowania dotyczącego realizacji wniosku o pomoc wymagają przetwarzania bardzo szerokiego zakresu danych osobowych, dlatego też przyjmuje się, że jest to zakres określony w art. 4 pkt 1 </w:t>
      </w:r>
      <w:r w:rsidR="003D0090" w:rsidRPr="00375799">
        <w:rPr>
          <w:rFonts w:asciiTheme="minorHAnsi" w:hAnsiTheme="minorHAnsi" w:cstheme="minorHAnsi"/>
          <w:color w:val="000000" w:themeColor="text1"/>
          <w:sz w:val="24"/>
          <w:szCs w:val="24"/>
        </w:rPr>
        <w:t>RODO</w:t>
      </w:r>
      <w:r w:rsidRPr="00375799">
        <w:rPr>
          <w:rFonts w:asciiTheme="minorHAnsi" w:hAnsiTheme="minorHAnsi" w:cstheme="minorHAnsi"/>
          <w:color w:val="000000" w:themeColor="text1"/>
          <w:sz w:val="24"/>
          <w:szCs w:val="24"/>
        </w:rPr>
        <w:t>. Rodzaj przetwarzanych danych jest jednak zdeterminowany celem postępowania, a więc co do zasady są to przede wszystkim dane identyfikacyjne oraz dane dotyczące sytuacji majątkowej zobowiązanego;</w:t>
      </w:r>
    </w:p>
    <w:p w14:paraId="54A30AE9" w14:textId="27033191" w:rsidR="008706DD" w:rsidRPr="00375799" w:rsidRDefault="008706DD" w:rsidP="000F5261">
      <w:pPr>
        <w:pStyle w:val="Akapitzlist"/>
        <w:numPr>
          <w:ilvl w:val="0"/>
          <w:numId w:val="9"/>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zakres wprowadzonych ograniczeń – zakres wprowadzonych ograniczeń odnoszący się do administratora wykonującego zadanie publiczne został określony w ustawie </w:t>
      </w:r>
      <w:r w:rsidR="00817BAB">
        <w:rPr>
          <w:rFonts w:asciiTheme="minorHAnsi" w:hAnsiTheme="minorHAnsi" w:cstheme="minorHAnsi"/>
          <w:color w:val="000000" w:themeColor="text1"/>
          <w:sz w:val="24"/>
          <w:szCs w:val="24"/>
        </w:rPr>
        <w:t xml:space="preserve">z dnia 10 maja 2018 r. </w:t>
      </w:r>
      <w:r w:rsidRPr="00375799">
        <w:rPr>
          <w:rFonts w:asciiTheme="minorHAnsi" w:hAnsiTheme="minorHAnsi" w:cstheme="minorHAnsi"/>
          <w:color w:val="000000" w:themeColor="text1"/>
          <w:sz w:val="24"/>
          <w:szCs w:val="24"/>
        </w:rPr>
        <w:t xml:space="preserve">o ochronie danych osobowych; zaproponowane przepisy </w:t>
      </w:r>
      <w:proofErr w:type="spellStart"/>
      <w:r w:rsidRPr="00375799">
        <w:rPr>
          <w:rFonts w:asciiTheme="minorHAnsi" w:hAnsiTheme="minorHAnsi" w:cstheme="minorHAnsi"/>
          <w:color w:val="000000" w:themeColor="text1"/>
          <w:sz w:val="24"/>
          <w:szCs w:val="24"/>
        </w:rPr>
        <w:t>u.p.e.a</w:t>
      </w:r>
      <w:proofErr w:type="spellEnd"/>
      <w:r w:rsidRPr="00375799">
        <w:rPr>
          <w:rFonts w:asciiTheme="minorHAnsi" w:hAnsiTheme="minorHAnsi" w:cstheme="minorHAnsi"/>
          <w:color w:val="000000" w:themeColor="text1"/>
          <w:sz w:val="24"/>
          <w:szCs w:val="24"/>
        </w:rPr>
        <w:t>. oraz ustawy o wzajemnej pomocy nie przewidują dodatkowych wyłączeń;</w:t>
      </w:r>
    </w:p>
    <w:p w14:paraId="0DE65F98" w14:textId="7E1E98F1" w:rsidR="008706DD" w:rsidRPr="00375799" w:rsidRDefault="008706DD" w:rsidP="000F5261">
      <w:pPr>
        <w:pStyle w:val="Akapitzlist"/>
        <w:numPr>
          <w:ilvl w:val="0"/>
          <w:numId w:val="9"/>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zabezpieczenia zapobiegające nadużyciom lub niezgodnemu z prawem dostępowi lub przekazywaniu – art. 18 </w:t>
      </w:r>
      <w:proofErr w:type="spellStart"/>
      <w:r w:rsidRPr="00375799">
        <w:rPr>
          <w:rFonts w:asciiTheme="minorHAnsi" w:hAnsiTheme="minorHAnsi" w:cstheme="minorHAnsi"/>
          <w:color w:val="000000" w:themeColor="text1"/>
          <w:sz w:val="24"/>
          <w:szCs w:val="24"/>
        </w:rPr>
        <w:t>u.p.e.a</w:t>
      </w:r>
      <w:proofErr w:type="spellEnd"/>
      <w:r w:rsidRPr="00375799">
        <w:rPr>
          <w:rFonts w:asciiTheme="minorHAnsi" w:hAnsiTheme="minorHAnsi" w:cstheme="minorHAnsi"/>
          <w:color w:val="000000" w:themeColor="text1"/>
          <w:sz w:val="24"/>
          <w:szCs w:val="24"/>
        </w:rPr>
        <w:t xml:space="preserve">. oraz art. 4 ust. 2 ustawy o wzajemnej pomocy przewidują odpowiednie stosowanie ustawy z dnia 14 czerwca 1960 r. </w:t>
      </w:r>
      <w:r w:rsidR="0031227D">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Kodeks postępowania administracyjnego</w:t>
      </w:r>
      <w:r w:rsidR="00460DA2">
        <w:rPr>
          <w:rFonts w:asciiTheme="minorHAnsi" w:hAnsiTheme="minorHAnsi" w:cstheme="minorHAnsi"/>
          <w:color w:val="000000" w:themeColor="text1"/>
          <w:sz w:val="24"/>
          <w:szCs w:val="24"/>
        </w:rPr>
        <w:t>.</w:t>
      </w:r>
      <w:r w:rsidR="00817BAB">
        <w:rPr>
          <w:rFonts w:asciiTheme="minorHAnsi" w:hAnsiTheme="minorHAnsi" w:cstheme="minorHAnsi"/>
          <w:color w:val="000000" w:themeColor="text1"/>
          <w:sz w:val="24"/>
          <w:szCs w:val="24"/>
        </w:rPr>
        <w:t xml:space="preserve"> </w:t>
      </w:r>
      <w:r w:rsidR="00460DA2">
        <w:rPr>
          <w:rFonts w:asciiTheme="minorHAnsi" w:hAnsiTheme="minorHAnsi" w:cstheme="minorHAnsi"/>
          <w:color w:val="000000" w:themeColor="text1"/>
          <w:sz w:val="24"/>
          <w:szCs w:val="24"/>
        </w:rPr>
        <w:t>P</w:t>
      </w:r>
      <w:r w:rsidRPr="00375799">
        <w:rPr>
          <w:rFonts w:asciiTheme="minorHAnsi" w:hAnsiTheme="minorHAnsi" w:cstheme="minorHAnsi"/>
          <w:color w:val="000000" w:themeColor="text1"/>
          <w:sz w:val="24"/>
          <w:szCs w:val="24"/>
        </w:rPr>
        <w:t>rzepisy kpa regulują natomiast kwestie udostępniania akt zawierających dane osobowe i ograniczają do nich dostęp. Postępowanie jest jawne wyłącznie dla jego stron; dodatkowo w projektowanych przepisach wprowadzono obowiązek wprowadzenia zabezpieczeń zapobiegającym nadużyciom lub niezgodnemu z prawem dostępowi lub przekazywaniu danych osobowych. Określone zostały w katalogu otwartym środki techniczne i organizacyjne, jakie powinny zostać zastosowane w celu realizacji zasady minimalizacji danych</w:t>
      </w:r>
      <w:r w:rsidR="00817BAB">
        <w:rPr>
          <w:rFonts w:asciiTheme="minorHAnsi" w:hAnsiTheme="minorHAnsi" w:cstheme="minorHAnsi"/>
          <w:color w:val="000000" w:themeColor="text1"/>
          <w:sz w:val="24"/>
          <w:szCs w:val="24"/>
        </w:rPr>
        <w:t>;</w:t>
      </w:r>
    </w:p>
    <w:p w14:paraId="59EE009E" w14:textId="64728A71" w:rsidR="008706DD" w:rsidRPr="00375799" w:rsidRDefault="008706DD" w:rsidP="000F5261">
      <w:pPr>
        <w:pStyle w:val="Akapitzlist"/>
        <w:numPr>
          <w:ilvl w:val="0"/>
          <w:numId w:val="9"/>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określenie administratora lub kategorii administratorów – zgodnie z art. 4 pkt 7 </w:t>
      </w:r>
      <w:r w:rsidR="003D0090" w:rsidRPr="00375799">
        <w:rPr>
          <w:rFonts w:asciiTheme="minorHAnsi" w:hAnsiTheme="minorHAnsi" w:cstheme="minorHAnsi"/>
          <w:color w:val="000000" w:themeColor="text1"/>
          <w:sz w:val="24"/>
          <w:szCs w:val="24"/>
        </w:rPr>
        <w:t>RODO</w:t>
      </w:r>
      <w:r w:rsidRPr="00375799">
        <w:rPr>
          <w:rFonts w:asciiTheme="minorHAnsi" w:hAnsiTheme="minorHAnsi" w:cstheme="minorHAnsi"/>
          <w:color w:val="000000" w:themeColor="text1"/>
          <w:sz w:val="24"/>
          <w:szCs w:val="24"/>
        </w:rPr>
        <w:t xml:space="preserve"> administratorem jest m. in. organ publiczny, który samodzielnie lub wspólnie z innymi ustala cele i sposoby przetwarzania danych osobowych. Cele przetwarzania danych osobowych w postępowaniu egzekucyjnym w administracji oraz w postępowaniu dotyczącym pomocy w dochodzeniu należności są zdeterminowane zadaniami organów egzekucyjnych, wierzycieli oraz innych uczestników tych postępowań. Celem podstawowym postępowania egzekucyjnego jest doprowadzenie do wykonania przez zobowiązanych ich obowiązków o charakterze pieniężnym lub obowiązków o charakterze niepieniężnym, a postępowania zabezpieczającego </w:t>
      </w:r>
      <w:r w:rsidR="0031227D">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zabezpieczenie wykonania tych obowiązków. W postępowaniu dotyczącym pomocy w dochodzeniu należności cele są tożsame, jednak dotyczą tylko należności pieniężnych i międzynarodowej współpracy w ich egzekucji;</w:t>
      </w:r>
    </w:p>
    <w:p w14:paraId="1A9A824B" w14:textId="5DC99A78" w:rsidR="008706DD" w:rsidRPr="00375799" w:rsidRDefault="008706DD" w:rsidP="000F5261">
      <w:pPr>
        <w:pStyle w:val="Akapitzlist"/>
        <w:numPr>
          <w:ilvl w:val="0"/>
          <w:numId w:val="9"/>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okresy przechowywania oraz mające zastosowanie zabezpieczenia z uwzględnieniem charakteru, zakresu i celów przetwarzania lub kategorii przetwarzania – przetwarzanie danych ograniczone jest realizacją zadań ustawowych, okres przechowywania danych osobowych zawartych w aktach spraw egzekucyjnych wynika z instrukcji kancelaryjnych </w:t>
      </w:r>
      <w:r w:rsidRPr="00375799">
        <w:rPr>
          <w:rFonts w:asciiTheme="minorHAnsi" w:hAnsiTheme="minorHAnsi" w:cstheme="minorHAnsi"/>
          <w:color w:val="000000" w:themeColor="text1"/>
          <w:sz w:val="24"/>
          <w:szCs w:val="24"/>
        </w:rPr>
        <w:lastRenderedPageBreak/>
        <w:t>określanych w przepisach wykonawczych wydanych na podstawie ustawy z dnia 14 lipca 1983 r. o narodowym zasobie archiwalnym i archiwach (Dz. U. z 2018 r. poz. 217, z późn. zm.). Okres przechowywania tych akt wynosi najczęściej 10 lat;</w:t>
      </w:r>
    </w:p>
    <w:p w14:paraId="3485495E" w14:textId="3B612BD5" w:rsidR="008706DD" w:rsidRPr="00375799" w:rsidRDefault="008706DD" w:rsidP="000F5261">
      <w:pPr>
        <w:pStyle w:val="Akapitzlist"/>
        <w:numPr>
          <w:ilvl w:val="0"/>
          <w:numId w:val="9"/>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ryzyka naruszenia praw lub wolności osoby, której dane dotyczą – organy administracji działają wyłącznie na podstawie i w grani</w:t>
      </w:r>
      <w:r w:rsidR="0031227D">
        <w:rPr>
          <w:rFonts w:asciiTheme="minorHAnsi" w:hAnsiTheme="minorHAnsi" w:cstheme="minorHAnsi"/>
          <w:color w:val="000000" w:themeColor="text1"/>
          <w:sz w:val="24"/>
          <w:szCs w:val="24"/>
        </w:rPr>
        <w:t>c</w:t>
      </w:r>
      <w:r w:rsidRPr="00375799">
        <w:rPr>
          <w:rFonts w:asciiTheme="minorHAnsi" w:hAnsiTheme="minorHAnsi" w:cstheme="minorHAnsi"/>
          <w:color w:val="000000" w:themeColor="text1"/>
          <w:sz w:val="24"/>
          <w:szCs w:val="24"/>
        </w:rPr>
        <w:t>ach prawa, stronom postępowania przysługują określone przepisami uprawnienia, a także środki zaskarżenia działań organów administracji publicznej;</w:t>
      </w:r>
    </w:p>
    <w:p w14:paraId="785C77FB" w14:textId="19360A96" w:rsidR="008706DD" w:rsidRPr="00375799" w:rsidRDefault="008706DD" w:rsidP="000F5261">
      <w:pPr>
        <w:pStyle w:val="Akapitzlist"/>
        <w:numPr>
          <w:ilvl w:val="0"/>
          <w:numId w:val="9"/>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prawo osób, których dane dotyczą, do uzyskania informacji o ograniczeniach, o ile nie narusza to celu ograniczenia – ograniczenia stosowania </w:t>
      </w:r>
      <w:r w:rsidR="00B42492" w:rsidRPr="00375799">
        <w:rPr>
          <w:rFonts w:asciiTheme="minorHAnsi" w:hAnsiTheme="minorHAnsi" w:cstheme="minorHAnsi"/>
          <w:color w:val="000000" w:themeColor="text1"/>
          <w:sz w:val="24"/>
          <w:szCs w:val="24"/>
        </w:rPr>
        <w:t>RODO</w:t>
      </w:r>
      <w:r w:rsidRPr="00375799">
        <w:rPr>
          <w:rFonts w:asciiTheme="minorHAnsi" w:hAnsiTheme="minorHAnsi" w:cstheme="minorHAnsi"/>
          <w:color w:val="000000" w:themeColor="text1"/>
          <w:sz w:val="24"/>
          <w:szCs w:val="24"/>
        </w:rPr>
        <w:t xml:space="preserve"> zostały zawarte w ustawie </w:t>
      </w:r>
      <w:r w:rsidR="00817BAB">
        <w:rPr>
          <w:rFonts w:asciiTheme="minorHAnsi" w:hAnsiTheme="minorHAnsi" w:cstheme="minorHAnsi"/>
          <w:color w:val="000000" w:themeColor="text1"/>
          <w:sz w:val="24"/>
          <w:szCs w:val="24"/>
        </w:rPr>
        <w:t xml:space="preserve">z dnia 10 maja 2018 r. </w:t>
      </w:r>
      <w:r w:rsidRPr="00375799">
        <w:rPr>
          <w:rFonts w:asciiTheme="minorHAnsi" w:hAnsiTheme="minorHAnsi" w:cstheme="minorHAnsi"/>
          <w:color w:val="000000" w:themeColor="text1"/>
          <w:sz w:val="24"/>
          <w:szCs w:val="24"/>
        </w:rPr>
        <w:t xml:space="preserve">o ochronie danych osobowych, przy czym ograniczenia te związane są z realizacją przez organy administracji publicznej władztwa publicznego, a więc z realizacją nałożonych na organy obowiązków ustawowych. Prawo do uzyskania informacji, o której mowa w art. 23 ust. 2 lit. f </w:t>
      </w:r>
      <w:r w:rsidR="00B42492" w:rsidRPr="00375799">
        <w:rPr>
          <w:rFonts w:asciiTheme="minorHAnsi" w:hAnsiTheme="minorHAnsi" w:cstheme="minorHAnsi"/>
          <w:color w:val="000000" w:themeColor="text1"/>
          <w:sz w:val="24"/>
          <w:szCs w:val="24"/>
        </w:rPr>
        <w:t>RODO</w:t>
      </w:r>
      <w:r w:rsidRPr="00375799">
        <w:rPr>
          <w:rFonts w:asciiTheme="minorHAnsi" w:hAnsiTheme="minorHAnsi" w:cstheme="minorHAnsi"/>
          <w:color w:val="000000" w:themeColor="text1"/>
          <w:sz w:val="24"/>
          <w:szCs w:val="24"/>
        </w:rPr>
        <w:t>, wynika z art. 3</w:t>
      </w:r>
      <w:r w:rsidR="0031227D">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5 ustawy </w:t>
      </w:r>
      <w:r w:rsidR="00817BAB">
        <w:rPr>
          <w:rFonts w:asciiTheme="minorHAnsi" w:hAnsiTheme="minorHAnsi" w:cstheme="minorHAnsi"/>
          <w:color w:val="000000" w:themeColor="text1"/>
          <w:sz w:val="24"/>
          <w:szCs w:val="24"/>
        </w:rPr>
        <w:t xml:space="preserve">z dnia 10 maja 2018 r. </w:t>
      </w:r>
      <w:r w:rsidRPr="00375799">
        <w:rPr>
          <w:rFonts w:asciiTheme="minorHAnsi" w:hAnsiTheme="minorHAnsi" w:cstheme="minorHAnsi"/>
          <w:color w:val="000000" w:themeColor="text1"/>
          <w:sz w:val="24"/>
          <w:szCs w:val="24"/>
        </w:rPr>
        <w:t>o ochronie danych osobowych.</w:t>
      </w:r>
    </w:p>
    <w:p w14:paraId="0E73DA6A" w14:textId="77777777" w:rsidR="001265F4" w:rsidRPr="00375799" w:rsidRDefault="001265F4" w:rsidP="0055107B">
      <w:pPr>
        <w:spacing w:after="0" w:line="276" w:lineRule="auto"/>
        <w:ind w:left="57" w:right="57"/>
        <w:contextualSpacing/>
        <w:jc w:val="both"/>
        <w:rPr>
          <w:rFonts w:cstheme="minorHAnsi"/>
          <w:color w:val="000000" w:themeColor="text1"/>
          <w:sz w:val="24"/>
          <w:szCs w:val="24"/>
        </w:rPr>
      </w:pPr>
    </w:p>
    <w:p w14:paraId="0D8EBC4C" w14:textId="5A0945A4"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4" w:name="_Toc530564977"/>
      <w:r w:rsidRPr="00375799">
        <w:rPr>
          <w:rFonts w:asciiTheme="minorHAnsi" w:hAnsiTheme="minorHAnsi" w:cstheme="minorHAnsi"/>
          <w:color w:val="000000" w:themeColor="text1"/>
          <w:sz w:val="24"/>
          <w:szCs w:val="24"/>
        </w:rPr>
        <w:t xml:space="preserve">Ustawa z dnia 26 czerwca 1974 r. </w:t>
      </w:r>
      <w:r w:rsidR="00BB25C5">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Kodeks pracy </w:t>
      </w:r>
      <w:r w:rsidR="00DD2946" w:rsidRPr="00375799">
        <w:rPr>
          <w:rFonts w:asciiTheme="minorHAnsi" w:hAnsiTheme="minorHAnsi" w:cstheme="minorHAnsi"/>
          <w:color w:val="000000" w:themeColor="text1"/>
          <w:sz w:val="24"/>
          <w:szCs w:val="24"/>
        </w:rPr>
        <w:t>(Dz. U. z 2018 r. poz. 917, 1000</w:t>
      </w:r>
      <w:r w:rsidR="000A56FA">
        <w:rPr>
          <w:rFonts w:asciiTheme="minorHAnsi" w:hAnsiTheme="minorHAnsi" w:cstheme="minorHAnsi"/>
          <w:color w:val="000000" w:themeColor="text1"/>
          <w:sz w:val="24"/>
          <w:szCs w:val="24"/>
        </w:rPr>
        <w:t>,</w:t>
      </w:r>
      <w:r w:rsidR="00DD2946" w:rsidRPr="00375799">
        <w:rPr>
          <w:rFonts w:asciiTheme="minorHAnsi" w:hAnsiTheme="minorHAnsi" w:cstheme="minorHAnsi"/>
          <w:color w:val="000000" w:themeColor="text1"/>
          <w:sz w:val="24"/>
          <w:szCs w:val="24"/>
        </w:rPr>
        <w:t xml:space="preserve"> </w:t>
      </w:r>
      <w:r w:rsidR="000A56FA" w:rsidRPr="00375799">
        <w:rPr>
          <w:rFonts w:asciiTheme="minorHAnsi" w:hAnsiTheme="minorHAnsi" w:cstheme="minorHAnsi"/>
          <w:color w:val="000000" w:themeColor="text1"/>
          <w:sz w:val="24"/>
          <w:szCs w:val="24"/>
        </w:rPr>
        <w:t>10</w:t>
      </w:r>
      <w:r w:rsidR="000A56FA">
        <w:rPr>
          <w:rFonts w:asciiTheme="minorHAnsi" w:hAnsiTheme="minorHAnsi" w:cstheme="minorHAnsi"/>
          <w:color w:val="000000" w:themeColor="text1"/>
          <w:sz w:val="24"/>
          <w:szCs w:val="24"/>
        </w:rPr>
        <w:t>7</w:t>
      </w:r>
      <w:r w:rsidR="000A56FA" w:rsidRPr="00375799">
        <w:rPr>
          <w:rFonts w:asciiTheme="minorHAnsi" w:hAnsiTheme="minorHAnsi" w:cstheme="minorHAnsi"/>
          <w:color w:val="000000" w:themeColor="text1"/>
          <w:sz w:val="24"/>
          <w:szCs w:val="24"/>
        </w:rPr>
        <w:t>6</w:t>
      </w:r>
      <w:r w:rsidR="000A56FA">
        <w:rPr>
          <w:rFonts w:asciiTheme="minorHAnsi" w:hAnsiTheme="minorHAnsi" w:cstheme="minorHAnsi"/>
          <w:color w:val="000000" w:themeColor="text1"/>
          <w:sz w:val="24"/>
          <w:szCs w:val="24"/>
        </w:rPr>
        <w:t>, 1608 i 1629</w:t>
      </w:r>
      <w:r w:rsidR="00DD2946" w:rsidRPr="00375799">
        <w:rPr>
          <w:rFonts w:asciiTheme="minorHAnsi" w:hAnsiTheme="minorHAnsi" w:cstheme="minorHAnsi"/>
          <w:color w:val="000000" w:themeColor="text1"/>
          <w:sz w:val="24"/>
          <w:szCs w:val="24"/>
        </w:rPr>
        <w:t>)</w:t>
      </w:r>
      <w:bookmarkEnd w:id="4"/>
    </w:p>
    <w:p w14:paraId="37DA7465" w14:textId="77777777" w:rsidR="001265F4" w:rsidRPr="00375799" w:rsidRDefault="001265F4" w:rsidP="0055107B">
      <w:pPr>
        <w:spacing w:line="276" w:lineRule="auto"/>
        <w:contextualSpacing/>
        <w:jc w:val="both"/>
        <w:rPr>
          <w:rFonts w:cstheme="minorHAnsi"/>
          <w:color w:val="000000" w:themeColor="text1"/>
          <w:sz w:val="24"/>
          <w:szCs w:val="24"/>
        </w:rPr>
      </w:pPr>
    </w:p>
    <w:p w14:paraId="52B016CA" w14:textId="10BA68DB" w:rsidR="000B043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Zmiany mają na celu przede wszystkim dostosowanie brzmienia obowiązujących przepisów prawa pracy do art. 6 ust. 1 lit</w:t>
      </w:r>
      <w:r w:rsidR="0031227D">
        <w:rPr>
          <w:rFonts w:cstheme="minorHAnsi"/>
          <w:color w:val="000000" w:themeColor="text1"/>
          <w:sz w:val="24"/>
          <w:szCs w:val="24"/>
        </w:rPr>
        <w:t>.</w:t>
      </w:r>
      <w:r w:rsidRPr="00375799">
        <w:rPr>
          <w:rFonts w:cstheme="minorHAnsi"/>
          <w:color w:val="000000" w:themeColor="text1"/>
          <w:sz w:val="24"/>
          <w:szCs w:val="24"/>
        </w:rPr>
        <w:t xml:space="preserve"> c.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który wprowadził przesłankę istnienia „obowiązku prawnego" jako podstawy pobierania danych osobowych. Przepisy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przyznają także państwom członkowskim swobodę w określeniu zasad przetwarzania przez pracodawców danych osobowych pracowników, w tym poprzez uzależnienie ich gromadzenia od wyrażenia zgody osoby ubiegającej się o zatrudnienie bądź pracownika.</w:t>
      </w:r>
    </w:p>
    <w:p w14:paraId="486723E4" w14:textId="30C177D3" w:rsidR="000B043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Nowe brzmienie przepisów Kodeksu pracy w art. 22</w:t>
      </w:r>
      <w:r w:rsidRPr="00375799">
        <w:rPr>
          <w:rFonts w:cstheme="minorHAnsi"/>
          <w:color w:val="000000" w:themeColor="text1"/>
          <w:sz w:val="24"/>
          <w:szCs w:val="24"/>
          <w:vertAlign w:val="superscript"/>
        </w:rPr>
        <w:t>1</w:t>
      </w:r>
      <w:r w:rsidRPr="00375799">
        <w:rPr>
          <w:rFonts w:cstheme="minorHAnsi"/>
          <w:color w:val="000000" w:themeColor="text1"/>
          <w:sz w:val="24"/>
          <w:szCs w:val="24"/>
        </w:rPr>
        <w:t xml:space="preserve"> § 1</w:t>
      </w:r>
      <w:r w:rsidR="0031227D">
        <w:rPr>
          <w:rFonts w:cstheme="minorHAnsi"/>
          <w:color w:val="000000" w:themeColor="text1"/>
          <w:sz w:val="24"/>
          <w:szCs w:val="24"/>
        </w:rPr>
        <w:t>–</w:t>
      </w:r>
      <w:r w:rsidRPr="00375799">
        <w:rPr>
          <w:rFonts w:cstheme="minorHAnsi"/>
          <w:color w:val="000000" w:themeColor="text1"/>
          <w:sz w:val="24"/>
          <w:szCs w:val="24"/>
        </w:rPr>
        <w:t>3 wskazuje na kategorie danych osobowych, które są niezbędne do pozyskania przez pracodawcę</w:t>
      </w:r>
      <w:r w:rsidR="0031227D">
        <w:rPr>
          <w:rFonts w:cstheme="minorHAnsi"/>
          <w:color w:val="000000" w:themeColor="text1"/>
          <w:sz w:val="24"/>
          <w:szCs w:val="24"/>
        </w:rPr>
        <w:t>,</w:t>
      </w:r>
      <w:r w:rsidRPr="00375799">
        <w:rPr>
          <w:rFonts w:cstheme="minorHAnsi"/>
          <w:color w:val="000000" w:themeColor="text1"/>
          <w:sz w:val="24"/>
          <w:szCs w:val="24"/>
        </w:rPr>
        <w:t xml:space="preserve"> w związku z podejmowaniem przez niego działań przed zawarciem umowy o pracę oraz po jej zawarciu.</w:t>
      </w:r>
    </w:p>
    <w:p w14:paraId="37D8B9DF" w14:textId="47E4431A" w:rsidR="000B043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związku z tym, pracodawca żąda ich udostępnienia przez osobę ubiegającą się o zatrudnienie lub pracownika. Udokumentowanie danych osobowych pozyskanych od tych osób może nastąpić tylko w zakresie niezbędnym do ich potwierdzenia. Jednocześnie norma prawna nie zwalnia pracodawców od konieczności oceny, czy wszystkie z gromadzonych danych konieczne są do celu, jakim jest zatrudnienie określonej osoby. Nie każdy stosunek pracy uzasadnia bowiem gromadzenie informacji o wykształceniu, kwalifikacjach zawodowych lub przebiegu dotychczasowego zatrudnienia osoby ubiegającej się o zatrudnienie. W związku z powyższym projekt przewiduje, że pracodawca żąda podania danych osobowych, o których mowa w § 1 pkt 4</w:t>
      </w:r>
      <w:r w:rsidR="0031227D">
        <w:rPr>
          <w:rFonts w:cstheme="minorHAnsi"/>
          <w:color w:val="000000" w:themeColor="text1"/>
          <w:sz w:val="24"/>
          <w:szCs w:val="24"/>
        </w:rPr>
        <w:t>–</w:t>
      </w:r>
      <w:r w:rsidRPr="00375799">
        <w:rPr>
          <w:rFonts w:cstheme="minorHAnsi"/>
          <w:color w:val="000000" w:themeColor="text1"/>
          <w:sz w:val="24"/>
          <w:szCs w:val="24"/>
        </w:rPr>
        <w:t>6, gdy jest to niezbędne do wykonywania pracy określonego rodzaju lub na określonym stanowisku. Powyższa no</w:t>
      </w:r>
      <w:r w:rsidR="0031227D">
        <w:rPr>
          <w:rFonts w:cstheme="minorHAnsi"/>
          <w:color w:val="000000" w:themeColor="text1"/>
          <w:sz w:val="24"/>
          <w:szCs w:val="24"/>
        </w:rPr>
        <w:t>r</w:t>
      </w:r>
      <w:r w:rsidRPr="00375799">
        <w:rPr>
          <w:rFonts w:cstheme="minorHAnsi"/>
          <w:color w:val="000000" w:themeColor="text1"/>
          <w:sz w:val="24"/>
          <w:szCs w:val="24"/>
        </w:rPr>
        <w:t xml:space="preserve">ma służy pełnej realizacji przewidzianej w art. 5 ust. 1 lit. c </w:t>
      </w:r>
      <w:r w:rsidR="00B42492" w:rsidRPr="00375799">
        <w:rPr>
          <w:rFonts w:cstheme="minorHAnsi"/>
          <w:color w:val="000000" w:themeColor="text1"/>
          <w:sz w:val="24"/>
          <w:szCs w:val="24"/>
        </w:rPr>
        <w:t xml:space="preserve">RODO </w:t>
      </w:r>
      <w:r w:rsidRPr="00375799">
        <w:rPr>
          <w:rFonts w:cstheme="minorHAnsi"/>
          <w:color w:val="000000" w:themeColor="text1"/>
          <w:sz w:val="24"/>
          <w:szCs w:val="24"/>
        </w:rPr>
        <w:t xml:space="preserve">zasady minimalizmu przetwarzania danych. Inne dane osobowe (niewymienione w katalogu obligatoryjnych danych pozyskiwanych przez pracodawcę) będą mogły być pobierane m.in. gdy będzie to niezbędne do wypełniania obowiązku pracodawcy nałożonego przepisem </w:t>
      </w:r>
      <w:r w:rsidRPr="00375799">
        <w:rPr>
          <w:rFonts w:cstheme="minorHAnsi"/>
          <w:color w:val="000000" w:themeColor="text1"/>
          <w:sz w:val="24"/>
          <w:szCs w:val="24"/>
        </w:rPr>
        <w:lastRenderedPageBreak/>
        <w:t xml:space="preserve">prawa. Przy czym należy podkreślić, że obowiązek taki wynikać może zarówno z przepisów Kodeksu pracy, jak i odrębnych przepisów prawnych. Przykładem takiej regulacji może być art. 4 ustawy z dnia 21 listopada 2008 r. o służbie cywilnej, zgodnie z którym w służbie cywilnej może być zatrudniona osoba, która nie była skazana prawomocnym wyrokiem za umyślne przestępstwo lub umyślne przestępstwo skarbowe. </w:t>
      </w:r>
    </w:p>
    <w:p w14:paraId="105F63E6" w14:textId="7FD68B57" w:rsidR="000B043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Gromadzenie danych osobowych osoby ubiegającej się o zatrudnienie lub pracownika, zgodnie z projektem, możliwe będzie również na podstawie zgody. Zgoda, o której mowa w projekcie, musi odpowiadać wszystkim wymogom przewidzianym zarówno w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jak również w projektowanych przepisach Kodeksu pracy. W szczególności, w przypadku danych szczególnie chronionych, dane osobowe będą mogły być przetwarzane wyłącznie, gdy przekazanie tych danych osobowych następuje z inicjatywy osoby ubiegającej się o zatrudnienie lub pracownika (w przeciwieństwie do przetwarzania danych zwykłych, które mogą być pozyskiwane z inicjatywy pracodawcy, pracownika lub osoby ubiegającej się o zatrudnienie), co wyraźnie przesądza projekt. Zastosowanie znajdzie tutaj również treść art. 9 </w:t>
      </w:r>
      <w:r w:rsidR="00B42492" w:rsidRPr="00375799">
        <w:rPr>
          <w:rFonts w:cstheme="minorHAnsi"/>
          <w:color w:val="000000" w:themeColor="text1"/>
          <w:sz w:val="24"/>
          <w:szCs w:val="24"/>
        </w:rPr>
        <w:t>RODO</w:t>
      </w:r>
      <w:r w:rsidR="00052847" w:rsidRPr="00375799">
        <w:rPr>
          <w:rFonts w:cstheme="minorHAnsi"/>
          <w:color w:val="000000" w:themeColor="text1"/>
          <w:sz w:val="24"/>
          <w:szCs w:val="24"/>
        </w:rPr>
        <w:t>,</w:t>
      </w:r>
      <w:r w:rsidRPr="00375799">
        <w:rPr>
          <w:rFonts w:cstheme="minorHAnsi"/>
          <w:color w:val="000000" w:themeColor="text1"/>
          <w:sz w:val="24"/>
          <w:szCs w:val="24"/>
        </w:rPr>
        <w:t xml:space="preserve"> który jednoznacznie przesądza wymóg odbierania w takim przypadku zgody ,,wyraźnej</w:t>
      </w:r>
      <w:r w:rsidR="0031227D">
        <w:rPr>
          <w:rFonts w:cstheme="minorHAnsi"/>
          <w:color w:val="000000" w:themeColor="text1"/>
          <w:sz w:val="24"/>
          <w:szCs w:val="24"/>
        </w:rPr>
        <w:t>”</w:t>
      </w:r>
      <w:r w:rsidRPr="00375799">
        <w:rPr>
          <w:rFonts w:cstheme="minorHAnsi"/>
          <w:color w:val="000000" w:themeColor="text1"/>
          <w:sz w:val="24"/>
          <w:szCs w:val="24"/>
        </w:rPr>
        <w:t xml:space="preserve"> </w:t>
      </w:r>
      <w:r w:rsidR="00FA5DF9">
        <w:rPr>
          <w:rFonts w:cstheme="minorHAnsi"/>
          <w:color w:val="000000" w:themeColor="text1"/>
          <w:sz w:val="24"/>
          <w:szCs w:val="24"/>
        </w:rPr>
        <w:t>–</w:t>
      </w:r>
      <w:r w:rsidRPr="00375799">
        <w:rPr>
          <w:rFonts w:cstheme="minorHAnsi"/>
          <w:color w:val="000000" w:themeColor="text1"/>
          <w:sz w:val="24"/>
          <w:szCs w:val="24"/>
        </w:rPr>
        <w:t xml:space="preserve"> czego brak jest w przypadku art. 6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W związku z powyższym w ocenie projektodawcy, zgoda o której mowa w art. 9 </w:t>
      </w:r>
      <w:r w:rsidR="00B42492" w:rsidRPr="00375799">
        <w:rPr>
          <w:rFonts w:cstheme="minorHAnsi"/>
          <w:color w:val="000000" w:themeColor="text1"/>
          <w:sz w:val="24"/>
          <w:szCs w:val="24"/>
        </w:rPr>
        <w:t xml:space="preserve">RODO </w:t>
      </w:r>
      <w:r w:rsidRPr="00375799">
        <w:rPr>
          <w:rFonts w:cstheme="minorHAnsi"/>
          <w:color w:val="000000" w:themeColor="text1"/>
          <w:sz w:val="24"/>
          <w:szCs w:val="24"/>
        </w:rPr>
        <w:t xml:space="preserve">oraz przepisach Kodeksu pracy, powinna mieć formę wyraźnego działania w postaci np. wyraźnego oświadczenia woli pracowników i nie będzie wystarczającym uznanie, że zgodą jest wyraźne działanie potwierdzające, przyzwalające na przetwarzanie danych osobowych. Projekt przesądza także, że do przetwarzania danych osobowych, o których mowa w art. 9 ust. 1 </w:t>
      </w:r>
      <w:r w:rsidR="00B42492" w:rsidRPr="00375799">
        <w:rPr>
          <w:rFonts w:cstheme="minorHAnsi"/>
          <w:color w:val="000000" w:themeColor="text1"/>
          <w:sz w:val="24"/>
          <w:szCs w:val="24"/>
        </w:rPr>
        <w:t>RODO</w:t>
      </w:r>
      <w:r w:rsidRPr="00375799">
        <w:rPr>
          <w:rFonts w:cstheme="minorHAnsi"/>
          <w:color w:val="000000" w:themeColor="text1"/>
          <w:sz w:val="24"/>
          <w:szCs w:val="24"/>
        </w:rPr>
        <w:t>, mogą być dopuszczone wyłącznie osoby posiadające pisemne upoważnienie do przetwarzania takich danych nadane przez pracodawcę, a osoby dopuszczone do ich przetwarzania są obowiązane do zachowania tajemnicy.</w:t>
      </w:r>
    </w:p>
    <w:p w14:paraId="368837C3" w14:textId="627AA2C6" w:rsidR="000B043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możliwości przetwarzania danych osobowych osoby ubiegającej się o zatrudnienie lub pracownika na podstawie ich zgody wyłączone jednak zostaną dane osobowe, o których mowa w art. 10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(tj. dane osobowe dotyczące wyroków skazujących i naruszeń prawa). Oznacza to, iż tego rodzaju dane osobowe będą mogły być przetwarzane wyłącznie w przypadku, kiedy przepis prawa będzie przewidywać obowiązek ich żądania przez pracodawcę lub obowiązek ich </w:t>
      </w:r>
      <w:r w:rsidR="00052847" w:rsidRPr="00375799">
        <w:rPr>
          <w:rFonts w:cstheme="minorHAnsi"/>
          <w:color w:val="000000" w:themeColor="text1"/>
          <w:sz w:val="24"/>
          <w:szCs w:val="24"/>
        </w:rPr>
        <w:t xml:space="preserve">udostępnienia </w:t>
      </w:r>
      <w:r w:rsidRPr="00375799">
        <w:rPr>
          <w:rFonts w:cstheme="minorHAnsi"/>
          <w:color w:val="000000" w:themeColor="text1"/>
          <w:sz w:val="24"/>
          <w:szCs w:val="24"/>
        </w:rPr>
        <w:t xml:space="preserve">przez osobę ubiegającą się o zatrudnienie lub pracownika (na podstawie art. 10 </w:t>
      </w:r>
      <w:r w:rsidR="00B42492" w:rsidRPr="00375799">
        <w:rPr>
          <w:rFonts w:cstheme="minorHAnsi"/>
          <w:color w:val="000000" w:themeColor="text1"/>
          <w:sz w:val="24"/>
          <w:szCs w:val="24"/>
        </w:rPr>
        <w:t>RODO</w:t>
      </w:r>
      <w:r w:rsidRPr="00375799">
        <w:rPr>
          <w:rFonts w:cstheme="minorHAnsi"/>
          <w:color w:val="000000" w:themeColor="text1"/>
          <w:sz w:val="24"/>
          <w:szCs w:val="24"/>
        </w:rPr>
        <w:t>). Biorąc pod uwagę istniejącą praktykę, pokazującą silne dążenie pracodawców do pozyskiwania tego rodzaju danych oraz nierówność stron stosunku pracy, istnieje zbyt duże ryzyko, że dane te byłyby w stosunkach pracy pobierane za zgodą nadmiarowo. Taka regulacja ma zatem zapobiec tego rodzaju sytuacjom.</w:t>
      </w:r>
    </w:p>
    <w:p w14:paraId="22CFF913" w14:textId="6D564573" w:rsidR="000B043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Jednocześnie zgodnie z projektowanymi przepisami brak zgody lub jej późniejsze wycofanie nie będzie mogło powodować żadnych negatywnych konsekwencji dla osoby ubiegającej się o zatrudnienie lub pracownika w zakresie stosunku pracy. </w:t>
      </w:r>
    </w:p>
    <w:p w14:paraId="1F932173" w14:textId="4A037899" w:rsidR="000B043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Mając również na względzie konieczność wyjaśnienia spójności przepisów Kodeksu pracy z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należy wskazać, iż projektowane regulacje opierają się na trzech podstawach prawnych przetwarzania danych osobowych wynikających z ww. rozporządzenia. Pracodawca </w:t>
      </w:r>
      <w:r w:rsidRPr="00375799">
        <w:rPr>
          <w:rFonts w:cstheme="minorHAnsi"/>
          <w:color w:val="000000" w:themeColor="text1"/>
          <w:sz w:val="24"/>
          <w:szCs w:val="24"/>
        </w:rPr>
        <w:lastRenderedPageBreak/>
        <w:t xml:space="preserve">pozyskując obligatoryjne dane osobowe osoby ubiegającej się o zatrudnienie lub pracownika spełni przesłankę niezbędności wypełnienia </w:t>
      </w:r>
      <w:r w:rsidR="00C5477F" w:rsidRPr="00375799">
        <w:rPr>
          <w:rFonts w:cstheme="minorHAnsi"/>
          <w:color w:val="000000" w:themeColor="text1"/>
          <w:sz w:val="24"/>
          <w:szCs w:val="24"/>
        </w:rPr>
        <w:t>„</w:t>
      </w:r>
      <w:r w:rsidRPr="00375799">
        <w:rPr>
          <w:rFonts w:cstheme="minorHAnsi"/>
          <w:color w:val="000000" w:themeColor="text1"/>
          <w:sz w:val="24"/>
          <w:szCs w:val="24"/>
        </w:rPr>
        <w:t>obowiązku prawnego" ciążącego na administratorze</w:t>
      </w:r>
      <w:r w:rsidR="00C5477F" w:rsidRPr="00375799">
        <w:rPr>
          <w:rFonts w:cstheme="minorHAnsi"/>
          <w:color w:val="000000" w:themeColor="text1"/>
          <w:sz w:val="24"/>
          <w:szCs w:val="24"/>
        </w:rPr>
        <w:t>,</w:t>
      </w:r>
      <w:r w:rsidRPr="00375799">
        <w:rPr>
          <w:rFonts w:cstheme="minorHAnsi"/>
          <w:color w:val="000000" w:themeColor="text1"/>
          <w:sz w:val="24"/>
          <w:szCs w:val="24"/>
        </w:rPr>
        <w:t xml:space="preserve"> zawartą w art. 6 ust. 1 lit. c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Dane osobowe, które pracodawca będzie przetwarzał na podstawie zgody pracownika, będą zawarte w podstawie </w:t>
      </w:r>
      <w:r w:rsidR="00946780">
        <w:rPr>
          <w:rFonts w:cstheme="minorHAnsi"/>
          <w:color w:val="000000" w:themeColor="text1"/>
          <w:sz w:val="24"/>
          <w:szCs w:val="24"/>
        </w:rPr>
        <w:t xml:space="preserve">określonej w art. 6 ust. 1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a w przypadku danych szczególnie chronionych </w:t>
      </w:r>
      <w:r w:rsidR="00946780">
        <w:rPr>
          <w:rFonts w:cstheme="minorHAnsi"/>
          <w:color w:val="000000" w:themeColor="text1"/>
          <w:sz w:val="24"/>
          <w:szCs w:val="24"/>
        </w:rPr>
        <w:t>na podstawie art. 9 ust. 2 lit. </w:t>
      </w:r>
      <w:r w:rsidRPr="00375799">
        <w:rPr>
          <w:rFonts w:cstheme="minorHAnsi"/>
          <w:color w:val="000000" w:themeColor="text1"/>
          <w:sz w:val="24"/>
          <w:szCs w:val="24"/>
        </w:rPr>
        <w:t xml:space="preserve">a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W pozostałym zakresie zastosowanie znajdą inne przesłanki przetwarzania danych osobowych przewidziane w art. 6 i art. 9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Przykładem może być chociażby art. 9 ust. 2 lit. c </w:t>
      </w:r>
      <w:r w:rsidR="00B42492" w:rsidRPr="00375799">
        <w:rPr>
          <w:rFonts w:cstheme="minorHAnsi"/>
          <w:color w:val="000000" w:themeColor="text1"/>
          <w:sz w:val="24"/>
          <w:szCs w:val="24"/>
        </w:rPr>
        <w:t>RODO</w:t>
      </w:r>
      <w:r w:rsidRPr="00375799">
        <w:rPr>
          <w:rFonts w:cstheme="minorHAnsi"/>
          <w:color w:val="000000" w:themeColor="text1"/>
          <w:sz w:val="24"/>
          <w:szCs w:val="24"/>
        </w:rPr>
        <w:t>, w którym mowa, że podstawą przetwarzania danych osobowych może być ochrona żywotnych interesów osoby, której dane dotyczą, lub innej osoby fizycznej, a osoba, której dane dotyczą, jest fizycznie lub prawnie niezdolna do wyrażenia zgody. W przypadku danych biometrycznych projektodawca zaproponował, aby mogły być one także pobierane od pracownika i przetwarzane w sytuacjach, w których podanie takich danych będzie niezbędne ze względu na kontrolę dostępu do szczególnie ważnych informacji, których ujawnienie może narazić pracodawcę na szkodę lub dostępu do pomieszczeń wymagających szczególnej ochrony.</w:t>
      </w:r>
    </w:p>
    <w:p w14:paraId="6A77008E" w14:textId="77777777" w:rsidR="000B043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projekcie proponuje się także zmienić brzmienie art. 22</w:t>
      </w:r>
      <w:r w:rsidRPr="00375799">
        <w:rPr>
          <w:rFonts w:cstheme="minorHAnsi"/>
          <w:color w:val="000000" w:themeColor="text1"/>
          <w:sz w:val="24"/>
          <w:szCs w:val="24"/>
          <w:vertAlign w:val="superscript"/>
        </w:rPr>
        <w:t>2</w:t>
      </w:r>
      <w:r w:rsidRPr="00375799">
        <w:rPr>
          <w:rFonts w:cstheme="minorHAnsi"/>
          <w:color w:val="000000" w:themeColor="text1"/>
          <w:sz w:val="24"/>
          <w:szCs w:val="24"/>
        </w:rPr>
        <w:t xml:space="preserve"> Kodeksu pracy, który dotyczy monitoringu zakładu pracy lub terenu wokół zakładu pracy, poprzez wprowadzenie regulacji wyłączającej możliwość monitorowania pomieszczeń zakładowej organizacji związkowej. W opinii projektodawcy monitoring pomieszczeń związkowych rodzi duże prawdopodobieństwo naruszenia zasady wolności i niezależności związków zawodowych.</w:t>
      </w:r>
    </w:p>
    <w:p w14:paraId="725D483C" w14:textId="39A9CF61" w:rsidR="00AE6756" w:rsidRPr="00375799" w:rsidRDefault="000B043D" w:rsidP="0055107B">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t>W ustawie zostało doprecyzowane, że instalacja monitoringu wizyjnego w pomieszczeniach sanitarnych wymaga dodatkowo – oprócz wystąpienia przesłanek wskazanych w art. 22</w:t>
      </w:r>
      <w:r w:rsidRPr="00375799">
        <w:rPr>
          <w:rFonts w:cstheme="minorHAnsi"/>
          <w:color w:val="000000" w:themeColor="text1"/>
          <w:sz w:val="24"/>
          <w:szCs w:val="24"/>
          <w:vertAlign w:val="superscript"/>
        </w:rPr>
        <w:t>2</w:t>
      </w:r>
      <w:r w:rsidRPr="00375799">
        <w:rPr>
          <w:rFonts w:cstheme="minorHAnsi"/>
          <w:color w:val="000000" w:themeColor="text1"/>
          <w:sz w:val="24"/>
          <w:szCs w:val="24"/>
        </w:rPr>
        <w:t xml:space="preserve"> § 2 </w:t>
      </w:r>
      <w:r w:rsidR="00946780">
        <w:rPr>
          <w:rFonts w:cstheme="minorHAnsi"/>
          <w:color w:val="000000" w:themeColor="text1"/>
          <w:sz w:val="24"/>
          <w:szCs w:val="24"/>
        </w:rPr>
        <w:t>zdanie</w:t>
      </w:r>
      <w:r w:rsidR="009435F5">
        <w:rPr>
          <w:rFonts w:cstheme="minorHAnsi"/>
          <w:color w:val="000000" w:themeColor="text1"/>
          <w:sz w:val="24"/>
          <w:szCs w:val="24"/>
        </w:rPr>
        <w:t xml:space="preserve"> pierwsze</w:t>
      </w:r>
      <w:r w:rsidRPr="00375799">
        <w:rPr>
          <w:rFonts w:cstheme="minorHAnsi"/>
          <w:color w:val="000000" w:themeColor="text1"/>
          <w:sz w:val="24"/>
          <w:szCs w:val="24"/>
        </w:rPr>
        <w:t xml:space="preserve">, uzyskania przez pracodawcę uprzedniej zgody zakładowej organizacji związkowej (a jeżeli u pracodawcy nie działa zakładowa organizacja związkowa – uprzedniej zgody przedstawicieli pracowników wybranych w trybie przyjętym u danego pracodawcy). Pozwoli to na </w:t>
      </w:r>
      <w:r w:rsidR="00C5477F" w:rsidRPr="00375799">
        <w:rPr>
          <w:rFonts w:cstheme="minorHAnsi"/>
          <w:color w:val="000000" w:themeColor="text1"/>
          <w:sz w:val="24"/>
          <w:szCs w:val="24"/>
        </w:rPr>
        <w:t xml:space="preserve">ochronę </w:t>
      </w:r>
      <w:r w:rsidRPr="00375799">
        <w:rPr>
          <w:rFonts w:cstheme="minorHAnsi"/>
          <w:color w:val="000000" w:themeColor="text1"/>
          <w:sz w:val="24"/>
          <w:szCs w:val="24"/>
        </w:rPr>
        <w:t>prywatności pracowników</w:t>
      </w:r>
      <w:r w:rsidR="00C5477F" w:rsidRPr="00375799">
        <w:rPr>
          <w:rFonts w:cstheme="minorHAnsi"/>
          <w:color w:val="000000" w:themeColor="text1"/>
          <w:sz w:val="24"/>
          <w:szCs w:val="24"/>
        </w:rPr>
        <w:t>,</w:t>
      </w:r>
      <w:r w:rsidRPr="00375799">
        <w:rPr>
          <w:rFonts w:cstheme="minorHAnsi"/>
          <w:color w:val="000000" w:themeColor="text1"/>
          <w:sz w:val="24"/>
          <w:szCs w:val="24"/>
        </w:rPr>
        <w:t xml:space="preserve"> a jednocześnie pracodawca zyska możliwość przekonania pracowników (w tym związków zawodowych) do stosowania ww. monitoringu w przypadku, gdy przemawiają za tym potrzeby pracodawcy (oraz gdy nie naruszy to godności i innych dóbr osobistych pracowników).</w:t>
      </w:r>
      <w:r w:rsidR="002C3703" w:rsidRPr="00375799">
        <w:rPr>
          <w:rFonts w:cstheme="minorHAnsi"/>
          <w:color w:val="000000" w:themeColor="text1"/>
          <w:sz w:val="24"/>
          <w:szCs w:val="24"/>
        </w:rPr>
        <w:t xml:space="preserve"> </w:t>
      </w:r>
      <w:r w:rsidR="00633235" w:rsidRPr="00375799">
        <w:rPr>
          <w:rFonts w:cstheme="minorHAnsi"/>
          <w:color w:val="000000" w:themeColor="text1"/>
          <w:sz w:val="24"/>
          <w:szCs w:val="24"/>
        </w:rPr>
        <w:t xml:space="preserve">Dodatkowo w art. 229 </w:t>
      </w:r>
      <w:r w:rsidR="00817BAB">
        <w:rPr>
          <w:rFonts w:cstheme="minorHAnsi"/>
          <w:color w:val="000000" w:themeColor="text1"/>
          <w:sz w:val="24"/>
          <w:szCs w:val="24"/>
        </w:rPr>
        <w:t>Kodeks</w:t>
      </w:r>
      <w:r w:rsidR="002A5D0D">
        <w:rPr>
          <w:rFonts w:cstheme="minorHAnsi"/>
          <w:color w:val="000000" w:themeColor="text1"/>
          <w:sz w:val="24"/>
          <w:szCs w:val="24"/>
        </w:rPr>
        <w:t>u</w:t>
      </w:r>
      <w:r w:rsidR="00817BAB">
        <w:rPr>
          <w:rFonts w:cstheme="minorHAnsi"/>
          <w:color w:val="000000" w:themeColor="text1"/>
          <w:sz w:val="24"/>
          <w:szCs w:val="24"/>
        </w:rPr>
        <w:t xml:space="preserve"> pracy </w:t>
      </w:r>
      <w:r w:rsidR="00633235" w:rsidRPr="00375799">
        <w:rPr>
          <w:rFonts w:cstheme="minorHAnsi"/>
          <w:color w:val="000000" w:themeColor="text1"/>
          <w:sz w:val="24"/>
          <w:szCs w:val="24"/>
        </w:rPr>
        <w:t>wprowadzono zmiany redakcyjne</w:t>
      </w:r>
      <w:r w:rsidR="004F35C1" w:rsidRPr="00375799">
        <w:rPr>
          <w:rFonts w:cstheme="minorHAnsi"/>
          <w:color w:val="000000" w:themeColor="text1"/>
          <w:sz w:val="24"/>
          <w:szCs w:val="24"/>
        </w:rPr>
        <w:t xml:space="preserve"> oraz doprecyzowujące zakres orzeczeń lekarskich, których może żądać pracodawca oraz tryb zwrotu orzeczeń.</w:t>
      </w:r>
    </w:p>
    <w:p w14:paraId="7FA92146" w14:textId="77777777" w:rsidR="00AE6756" w:rsidRPr="00375799" w:rsidRDefault="00AE6756" w:rsidP="0055107B">
      <w:pPr>
        <w:spacing w:line="276" w:lineRule="auto"/>
        <w:contextualSpacing/>
        <w:jc w:val="both"/>
        <w:rPr>
          <w:rFonts w:cstheme="minorHAnsi"/>
          <w:color w:val="000000" w:themeColor="text1"/>
          <w:sz w:val="24"/>
          <w:szCs w:val="24"/>
        </w:rPr>
      </w:pPr>
    </w:p>
    <w:p w14:paraId="166E87D2" w14:textId="62D1FDE6"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5" w:name="_Toc530564978"/>
      <w:r w:rsidRPr="00375799">
        <w:rPr>
          <w:rFonts w:asciiTheme="minorHAnsi" w:hAnsiTheme="minorHAnsi" w:cstheme="minorHAnsi"/>
          <w:color w:val="000000" w:themeColor="text1"/>
          <w:sz w:val="24"/>
          <w:szCs w:val="24"/>
        </w:rPr>
        <w:t xml:space="preserve">Ustawa z dnia 26 stycznia 1982 r. – Karta Nauczyciela </w:t>
      </w:r>
      <w:r w:rsidR="00DD2946" w:rsidRPr="00375799">
        <w:rPr>
          <w:rFonts w:asciiTheme="minorHAnsi" w:hAnsiTheme="minorHAnsi" w:cstheme="minorHAnsi"/>
          <w:color w:val="000000" w:themeColor="text1"/>
          <w:sz w:val="24"/>
          <w:szCs w:val="24"/>
        </w:rPr>
        <w:t>(</w:t>
      </w:r>
      <w:r w:rsidR="00DD2946" w:rsidRPr="00375799">
        <w:rPr>
          <w:rFonts w:asciiTheme="minorHAnsi" w:eastAsiaTheme="minorHAnsi" w:hAnsiTheme="minorHAnsi" w:cstheme="minorHAnsi"/>
          <w:color w:val="000000" w:themeColor="text1"/>
          <w:sz w:val="24"/>
          <w:szCs w:val="24"/>
        </w:rPr>
        <w:t>Dz. U. z 2018 r. poz. 967)</w:t>
      </w:r>
      <w:bookmarkEnd w:id="5"/>
    </w:p>
    <w:p w14:paraId="295D53D7"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C661CB1"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 w art. 85w ust. 4 ustawy z dnia 26 stycznia 1982 r. – Karta Nauczyciela ma charakter dostosowawczy i polega na pominięciu w dotychczasowej treści przepisu powołania ustawy z dnia 29 sierpnia 1997 r. o ochronie danych osobowych.</w:t>
      </w:r>
    </w:p>
    <w:p w14:paraId="7467BE57"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4AFDFC2D" w14:textId="07A2D15B"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6" w:name="_Toc530564979"/>
      <w:r w:rsidRPr="00375799">
        <w:rPr>
          <w:rFonts w:asciiTheme="minorHAnsi" w:hAnsiTheme="minorHAnsi" w:cstheme="minorHAnsi"/>
          <w:color w:val="000000" w:themeColor="text1"/>
          <w:sz w:val="24"/>
          <w:szCs w:val="24"/>
        </w:rPr>
        <w:lastRenderedPageBreak/>
        <w:t>Ustawa z dnia 26 marca 1982 r. o Trybunale Stanu</w:t>
      </w:r>
      <w:r w:rsidR="00DD2946" w:rsidRPr="00375799">
        <w:rPr>
          <w:rFonts w:asciiTheme="minorHAnsi" w:hAnsiTheme="minorHAnsi" w:cstheme="minorHAnsi"/>
          <w:color w:val="000000" w:themeColor="text1"/>
          <w:sz w:val="24"/>
          <w:szCs w:val="24"/>
        </w:rPr>
        <w:t xml:space="preserve"> (Dz. U. z 2016 r. poz. 2050)</w:t>
      </w:r>
      <w:bookmarkEnd w:id="6"/>
    </w:p>
    <w:p w14:paraId="0CC02BD5" w14:textId="5969A2B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Uzasadnienie wspólne do zmian projektowanych w następujących ustawach: </w:t>
      </w:r>
      <w:r w:rsidR="0031227D">
        <w:rPr>
          <w:rFonts w:cstheme="minorHAnsi"/>
          <w:color w:val="000000" w:themeColor="text1"/>
          <w:sz w:val="24"/>
          <w:szCs w:val="24"/>
        </w:rPr>
        <w:t>u</w:t>
      </w:r>
      <w:r w:rsidRPr="00375799">
        <w:rPr>
          <w:rFonts w:cstheme="minorHAnsi"/>
          <w:color w:val="000000" w:themeColor="text1"/>
          <w:sz w:val="24"/>
          <w:szCs w:val="24"/>
        </w:rPr>
        <w:t>stawa z dnia 27 lipca 2001 r. – Prawo o ustroju s</w:t>
      </w:r>
      <w:r w:rsidR="0031227D">
        <w:rPr>
          <w:rFonts w:cstheme="minorHAnsi"/>
          <w:color w:val="000000" w:themeColor="text1"/>
          <w:sz w:val="24"/>
          <w:szCs w:val="24"/>
        </w:rPr>
        <w:t>ą</w:t>
      </w:r>
      <w:r w:rsidRPr="00375799">
        <w:rPr>
          <w:rFonts w:cstheme="minorHAnsi"/>
          <w:color w:val="000000" w:themeColor="text1"/>
          <w:sz w:val="24"/>
          <w:szCs w:val="24"/>
        </w:rPr>
        <w:t>dów powszechnych, ustawa z dnia 21 sierpnia 1997 r. – Prawo o ustroju sądów wojskowych, ustawa z dnia 25 lipca 2002 r. – Prawo o ustroju sądów administracyjnych, ustawa z dnia 8 grudnia 2017 r. o Sądzie Najwyższym, ustawa z dnia 23 stycznia 2009 r. o Krajowej Szkole Sądownictwa i Prokuratury, ustawa z dnia 11 maja 2011 r. o Krajowej Radzie Sądownictwa, ustawa z dnia 30 listopada 2016 r. o organizacji i trybie postępowania przed Trybunałem Konstytucyjnym, ustawa z dnia 26 marca 1982 r. o Trybunale Stanu</w:t>
      </w:r>
      <w:r w:rsidR="00DD2946" w:rsidRPr="00375799">
        <w:rPr>
          <w:rFonts w:cstheme="minorHAnsi"/>
          <w:color w:val="000000" w:themeColor="text1"/>
          <w:sz w:val="24"/>
          <w:szCs w:val="24"/>
        </w:rPr>
        <w:t xml:space="preserve"> </w:t>
      </w:r>
      <w:r w:rsidR="00DD2946" w:rsidRPr="00375799">
        <w:rPr>
          <w:rFonts w:eastAsiaTheme="majorEastAsia" w:cstheme="minorHAnsi"/>
          <w:color w:val="000000" w:themeColor="text1"/>
          <w:sz w:val="24"/>
          <w:szCs w:val="24"/>
        </w:rPr>
        <w:t xml:space="preserve">znajduje się na stronie </w:t>
      </w:r>
      <w:r w:rsidR="00D918BF" w:rsidRPr="00375799">
        <w:rPr>
          <w:rFonts w:eastAsiaTheme="majorEastAsia" w:cstheme="minorHAnsi"/>
          <w:color w:val="000000" w:themeColor="text1"/>
          <w:sz w:val="24"/>
          <w:szCs w:val="24"/>
        </w:rPr>
        <w:t xml:space="preserve">124 </w:t>
      </w:r>
      <w:r w:rsidR="00DD2946" w:rsidRPr="00375799">
        <w:rPr>
          <w:rFonts w:eastAsiaTheme="majorEastAsia" w:cstheme="minorHAnsi"/>
          <w:color w:val="000000" w:themeColor="text1"/>
          <w:sz w:val="24"/>
          <w:szCs w:val="24"/>
        </w:rPr>
        <w:t>uzasadnienia</w:t>
      </w:r>
      <w:r w:rsidRPr="00375799">
        <w:rPr>
          <w:rFonts w:cstheme="minorHAnsi"/>
          <w:color w:val="000000" w:themeColor="text1"/>
          <w:sz w:val="24"/>
          <w:szCs w:val="24"/>
        </w:rPr>
        <w:t>.</w:t>
      </w:r>
    </w:p>
    <w:p w14:paraId="435E49EB"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3469769" w14:textId="4D26B66D"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7" w:name="_Toc530564980"/>
      <w:r w:rsidRPr="00375799">
        <w:rPr>
          <w:rFonts w:asciiTheme="minorHAnsi" w:hAnsiTheme="minorHAnsi" w:cstheme="minorHAnsi"/>
          <w:color w:val="000000" w:themeColor="text1"/>
          <w:sz w:val="24"/>
          <w:szCs w:val="24"/>
        </w:rPr>
        <w:t>Ustawa z dnia 26 maja 1982</w:t>
      </w:r>
      <w:r w:rsidR="000E0903">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r. – Prawo o adwokaturze</w:t>
      </w:r>
      <w:r w:rsidR="00DD2946" w:rsidRPr="00375799">
        <w:rPr>
          <w:rFonts w:asciiTheme="minorHAnsi" w:hAnsiTheme="minorHAnsi" w:cstheme="minorHAnsi"/>
          <w:color w:val="000000" w:themeColor="text1"/>
          <w:sz w:val="24"/>
          <w:szCs w:val="24"/>
        </w:rPr>
        <w:t xml:space="preserve"> (Dz. U. z 2018 r. poz. 1184</w:t>
      </w:r>
      <w:r w:rsidR="00306046">
        <w:rPr>
          <w:rFonts w:asciiTheme="minorHAnsi" w:hAnsiTheme="minorHAnsi" w:cstheme="minorHAnsi"/>
          <w:color w:val="000000" w:themeColor="text1"/>
          <w:sz w:val="24"/>
          <w:szCs w:val="24"/>
        </w:rPr>
        <w:t>, 1467 i 1669</w:t>
      </w:r>
      <w:r w:rsidR="00DD2946" w:rsidRPr="00375799">
        <w:rPr>
          <w:rFonts w:asciiTheme="minorHAnsi" w:hAnsiTheme="minorHAnsi" w:cstheme="minorHAnsi"/>
          <w:color w:val="000000" w:themeColor="text1"/>
          <w:sz w:val="24"/>
          <w:szCs w:val="24"/>
        </w:rPr>
        <w:t>)</w:t>
      </w:r>
      <w:r w:rsidR="00406959" w:rsidRPr="00375799">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 xml:space="preserve">i </w:t>
      </w:r>
      <w:r w:rsidR="00DD6D24" w:rsidRPr="00375799">
        <w:rPr>
          <w:rFonts w:asciiTheme="minorHAnsi" w:hAnsiTheme="minorHAnsi" w:cstheme="minorHAnsi"/>
          <w:color w:val="000000" w:themeColor="text1"/>
          <w:sz w:val="24"/>
          <w:szCs w:val="24"/>
        </w:rPr>
        <w:t xml:space="preserve">ustawa </w:t>
      </w:r>
      <w:r w:rsidRPr="00375799">
        <w:rPr>
          <w:rFonts w:asciiTheme="minorHAnsi" w:hAnsiTheme="minorHAnsi" w:cstheme="minorHAnsi"/>
          <w:color w:val="000000" w:themeColor="text1"/>
          <w:sz w:val="24"/>
          <w:szCs w:val="24"/>
        </w:rPr>
        <w:t xml:space="preserve">z dnia 6 lipca 1982 r. o radcach prawnych </w:t>
      </w:r>
      <w:r w:rsidR="00DD2946" w:rsidRPr="00375799">
        <w:rPr>
          <w:rFonts w:asciiTheme="minorHAnsi" w:hAnsiTheme="minorHAnsi" w:cstheme="minorHAnsi"/>
          <w:color w:val="000000" w:themeColor="text1"/>
          <w:sz w:val="24"/>
          <w:szCs w:val="24"/>
        </w:rPr>
        <w:t>(Dz. U. z 201</w:t>
      </w:r>
      <w:r w:rsidR="00306046">
        <w:rPr>
          <w:rFonts w:asciiTheme="minorHAnsi" w:hAnsiTheme="minorHAnsi" w:cstheme="minorHAnsi"/>
          <w:color w:val="000000" w:themeColor="text1"/>
          <w:sz w:val="24"/>
          <w:szCs w:val="24"/>
        </w:rPr>
        <w:t>8</w:t>
      </w:r>
      <w:r w:rsidR="00DD2946" w:rsidRPr="00375799">
        <w:rPr>
          <w:rFonts w:asciiTheme="minorHAnsi" w:hAnsiTheme="minorHAnsi" w:cstheme="minorHAnsi"/>
          <w:color w:val="000000" w:themeColor="text1"/>
          <w:sz w:val="24"/>
          <w:szCs w:val="24"/>
        </w:rPr>
        <w:t xml:space="preserve"> r. poz. </w:t>
      </w:r>
      <w:r w:rsidR="00306046">
        <w:rPr>
          <w:rFonts w:asciiTheme="minorHAnsi" w:hAnsiTheme="minorHAnsi" w:cstheme="minorHAnsi"/>
          <w:color w:val="000000" w:themeColor="text1"/>
          <w:sz w:val="24"/>
          <w:szCs w:val="24"/>
        </w:rPr>
        <w:t>2115</w:t>
      </w:r>
      <w:r w:rsidR="00DD2946" w:rsidRPr="00375799">
        <w:rPr>
          <w:rFonts w:asciiTheme="minorHAnsi" w:hAnsiTheme="minorHAnsi" w:cstheme="minorHAnsi"/>
          <w:color w:val="000000" w:themeColor="text1"/>
          <w:sz w:val="24"/>
          <w:szCs w:val="24"/>
        </w:rPr>
        <w:t>)</w:t>
      </w:r>
      <w:bookmarkEnd w:id="7"/>
    </w:p>
    <w:p w14:paraId="162B6539" w14:textId="77777777" w:rsidR="00173A66" w:rsidRPr="00375799" w:rsidRDefault="00173A66" w:rsidP="0055107B">
      <w:pPr>
        <w:spacing w:line="276" w:lineRule="auto"/>
        <w:contextualSpacing/>
        <w:rPr>
          <w:rFonts w:cstheme="minorHAnsi"/>
          <w:color w:val="000000" w:themeColor="text1"/>
          <w:sz w:val="24"/>
          <w:szCs w:val="24"/>
        </w:rPr>
      </w:pPr>
    </w:p>
    <w:p w14:paraId="672F5DE6" w14:textId="4C780DC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Przepisy </w:t>
      </w:r>
      <w:r w:rsidR="00B02E53">
        <w:rPr>
          <w:rFonts w:cstheme="minorHAnsi"/>
          <w:color w:val="000000" w:themeColor="text1"/>
          <w:sz w:val="24"/>
          <w:szCs w:val="24"/>
        </w:rPr>
        <w:t xml:space="preserve">RODO </w:t>
      </w:r>
      <w:r w:rsidRPr="00375799">
        <w:rPr>
          <w:rFonts w:cstheme="minorHAnsi"/>
          <w:color w:val="000000" w:themeColor="text1"/>
          <w:sz w:val="24"/>
          <w:szCs w:val="24"/>
        </w:rPr>
        <w:t>dotyczą w dużej mierze zadań realizowanych na podstawie ustawy z dnia 26 maja 1982 r. – Prawo o adwokaturze oraz ustawy z dnia 6 lipca 1982 r. o radcach prawnych</w:t>
      </w:r>
      <w:r w:rsidR="00FA58FF" w:rsidRPr="00375799">
        <w:rPr>
          <w:rFonts w:cstheme="minorHAnsi"/>
          <w:color w:val="000000" w:themeColor="text1"/>
          <w:sz w:val="24"/>
          <w:szCs w:val="24"/>
        </w:rPr>
        <w:t>,</w:t>
      </w:r>
      <w:r w:rsidRPr="00375799">
        <w:rPr>
          <w:rFonts w:cstheme="minorHAnsi"/>
          <w:color w:val="000000" w:themeColor="text1"/>
          <w:sz w:val="24"/>
          <w:szCs w:val="24"/>
        </w:rPr>
        <w:t xml:space="preserve"> wykonywanych przez Ministra Sprawiedliwości, organy samorządu zawodowego adwokatów i radców prawnych oraz adwokatów i radców prawnych w ramach prowadzonej działalności zawodowej. Odrębne określanie administratorów danych osobowych w ustawie – Prawo o adwokaturze oraz w ustawie o radcach prawnych nie jest jednak konieczne albowiem wprost z ww. ustaw wynika kto jest administratorem danych osobowych oraz jaki jest zakres przetwarzanych danych osobowych. </w:t>
      </w:r>
    </w:p>
    <w:p w14:paraId="611CDB80" w14:textId="395E55C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Analiza przepisów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pozwala na wniosek, że stosowanie przewidzianej tam regulacji </w:t>
      </w:r>
      <w:r w:rsidR="000E0903">
        <w:rPr>
          <w:rFonts w:cstheme="minorHAnsi"/>
          <w:color w:val="000000" w:themeColor="text1"/>
          <w:sz w:val="24"/>
          <w:szCs w:val="24"/>
        </w:rPr>
        <w:t>w</w:t>
      </w:r>
      <w:r w:rsidR="000E0903" w:rsidRPr="00375799">
        <w:rPr>
          <w:rFonts w:cstheme="minorHAnsi"/>
          <w:color w:val="000000" w:themeColor="text1"/>
          <w:sz w:val="24"/>
          <w:szCs w:val="24"/>
        </w:rPr>
        <w:t xml:space="preserve"> </w:t>
      </w:r>
      <w:r w:rsidRPr="00375799">
        <w:rPr>
          <w:rFonts w:cstheme="minorHAnsi"/>
          <w:color w:val="000000" w:themeColor="text1"/>
          <w:sz w:val="24"/>
          <w:szCs w:val="24"/>
        </w:rPr>
        <w:t>pełnym zakresie skutkować będzie naruszeniem jednego z podstawowych obowiązków ciążących na adwokatach i radcach prawnych, jako osobach zaufania publicznego, tj. obowiązku zachowania tajemnicy zawodowej. Stąd niezbędne jest wprowadzenie ograniczeń stosowania niektórych przepisów rozporządzenia.</w:t>
      </w:r>
    </w:p>
    <w:p w14:paraId="2B1D95FE" w14:textId="730CCE9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Zgodnie z art. 6 ust. 1</w:t>
      </w:r>
      <w:r w:rsidR="000E0903">
        <w:rPr>
          <w:rFonts w:cstheme="minorHAnsi"/>
          <w:color w:val="000000" w:themeColor="text1"/>
          <w:sz w:val="24"/>
          <w:szCs w:val="24"/>
        </w:rPr>
        <w:t>–</w:t>
      </w:r>
      <w:r w:rsidRPr="00375799">
        <w:rPr>
          <w:rFonts w:cstheme="minorHAnsi"/>
          <w:color w:val="000000" w:themeColor="text1"/>
          <w:sz w:val="24"/>
          <w:szCs w:val="24"/>
        </w:rPr>
        <w:t xml:space="preserve">3 ustawy – Prawo o adwokaturze adwokat obowiązany jest zachować w tajemnicy wszystko, o czym dowiedział się w związku z udzielaniem pomocy prawnej. Obowiązek zachowania tajemnicy nie może być ograniczony w czasie. Adwokata nie można zwolnić od obowiązku zachowania tajemnicy zawodowej co do faktów, o których dowiedział się udzielając pomocy prawnej lub prowadząc sprawę. </w:t>
      </w:r>
    </w:p>
    <w:p w14:paraId="290FF89B" w14:textId="4D5E4BE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Analogiczne uregulowania w odniesieniu do radców </w:t>
      </w:r>
      <w:r w:rsidR="000E0903">
        <w:rPr>
          <w:rFonts w:cstheme="minorHAnsi"/>
          <w:color w:val="000000" w:themeColor="text1"/>
          <w:sz w:val="24"/>
          <w:szCs w:val="24"/>
        </w:rPr>
        <w:t>prawnych przewiduje art. 3 ust. </w:t>
      </w:r>
      <w:r w:rsidRPr="00375799">
        <w:rPr>
          <w:rFonts w:cstheme="minorHAnsi"/>
          <w:color w:val="000000" w:themeColor="text1"/>
          <w:sz w:val="24"/>
          <w:szCs w:val="24"/>
        </w:rPr>
        <w:t>1</w:t>
      </w:r>
      <w:r w:rsidR="000E0903">
        <w:rPr>
          <w:rFonts w:cstheme="minorHAnsi"/>
          <w:color w:val="000000" w:themeColor="text1"/>
          <w:sz w:val="24"/>
          <w:szCs w:val="24"/>
        </w:rPr>
        <w:noBreakHyphen/>
      </w:r>
      <w:r w:rsidRPr="00375799">
        <w:rPr>
          <w:rFonts w:cstheme="minorHAnsi"/>
          <w:color w:val="000000" w:themeColor="text1"/>
          <w:sz w:val="24"/>
          <w:szCs w:val="24"/>
        </w:rPr>
        <w:t xml:space="preserve">3 ustawy o radcach prawnych. </w:t>
      </w:r>
    </w:p>
    <w:p w14:paraId="64C12926" w14:textId="359296B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Zakres tajemnicy zawodowej adwokata i radcy prawnego jest więc bardzo szeroki. Cytowane przepisy posługują się pojemnym zwrotem „zachować w tajemnicy wszystko”. Obejmuje on wszelkie fakty, o których adwokat i radca prawny powziął wiadomość w związku z udzielaniem pomocy prawnej. Zauważenia wymaga, że tajemnica zawodowa tzw. prawniczych zawodów regulowanych zaufania publicznego była także wielokrotnie przedmiotem analizy Trybunału Sprawiedliwości Unii Europejskiej, zwłaszcza w odniesieniu do adwokatów prowadzących własne kancelarie. Prezentowane w tym zakresie rozstrzygnięcia są </w:t>
      </w:r>
      <w:r w:rsidRPr="00375799">
        <w:rPr>
          <w:rFonts w:cstheme="minorHAnsi"/>
          <w:color w:val="000000" w:themeColor="text1"/>
          <w:sz w:val="24"/>
          <w:szCs w:val="24"/>
        </w:rPr>
        <w:lastRenderedPageBreak/>
        <w:t>aktualne także względem radców prawnych. Utrwalony jest także kierunek orzecznictwa Trybunału, zgodnie z którym – biorąc pod uwagę kryteria wspólnotowe oraz występujące w przepisach prawa wewnętrznego państw członkowskich – tajemnica zawodowa między adwokatem (radc</w:t>
      </w:r>
      <w:r w:rsidR="000E0903">
        <w:rPr>
          <w:rFonts w:cstheme="minorHAnsi"/>
          <w:color w:val="000000" w:themeColor="text1"/>
          <w:sz w:val="24"/>
          <w:szCs w:val="24"/>
        </w:rPr>
        <w:t>ą</w:t>
      </w:r>
      <w:r w:rsidRPr="00375799">
        <w:rPr>
          <w:rFonts w:cstheme="minorHAnsi"/>
          <w:color w:val="000000" w:themeColor="text1"/>
          <w:sz w:val="24"/>
          <w:szCs w:val="24"/>
        </w:rPr>
        <w:t xml:space="preserve"> prawnym) a klientem powinna być również przedmiotem ochrony w przepisach unijnych. Konsekwencją takiego stanowiska, jak się wydaje, jest treść regulacji zawartej w art. 90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0271B916" w14:textId="53ABB98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uwagi na powyższe, wprowadzenie regulacji, zgodnie </w:t>
      </w:r>
      <w:r w:rsidR="000E0903">
        <w:rPr>
          <w:rFonts w:cstheme="minorHAnsi"/>
          <w:color w:val="000000" w:themeColor="text1"/>
          <w:sz w:val="24"/>
          <w:szCs w:val="24"/>
        </w:rPr>
        <w:t>z</w:t>
      </w:r>
      <w:r w:rsidR="000E0903" w:rsidRPr="00375799">
        <w:rPr>
          <w:rFonts w:cstheme="minorHAnsi"/>
          <w:color w:val="000000" w:themeColor="text1"/>
          <w:sz w:val="24"/>
          <w:szCs w:val="24"/>
        </w:rPr>
        <w:t xml:space="preserve"> </w:t>
      </w:r>
      <w:r w:rsidRPr="00375799">
        <w:rPr>
          <w:rFonts w:cstheme="minorHAnsi"/>
          <w:color w:val="000000" w:themeColor="text1"/>
          <w:sz w:val="24"/>
          <w:szCs w:val="24"/>
        </w:rPr>
        <w:t xml:space="preserve">którą, przepisy art. 15 ust. 1 i 3, art. 18, art. 19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stosuje się w zakresie, w jakim nie naruszają obowiązku zachowania przez adwokata i radcę prawnego tajemnicy zawodowej, o której mowa w art. 6 ustawy – Prawo o adwokaturze oraz art. 3 ustawy o radcach prawnych. </w:t>
      </w:r>
    </w:p>
    <w:p w14:paraId="5FD6403B" w14:textId="2349C2A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Przede wszystkim podkreślenia wymaga, że podstawy ograniczeń w zakresie ochrony danych osobowych, które proponuje się w art. </w:t>
      </w:r>
      <w:r w:rsidR="00B02E53">
        <w:rPr>
          <w:rFonts w:cstheme="minorHAnsi"/>
          <w:color w:val="000000" w:themeColor="text1"/>
          <w:sz w:val="24"/>
          <w:szCs w:val="24"/>
        </w:rPr>
        <w:t>7</w:t>
      </w:r>
      <w:r w:rsidRPr="00375799">
        <w:rPr>
          <w:rFonts w:cstheme="minorHAnsi"/>
          <w:color w:val="000000" w:themeColor="text1"/>
          <w:sz w:val="24"/>
          <w:szCs w:val="24"/>
        </w:rPr>
        <w:t xml:space="preserve"> i art. </w:t>
      </w:r>
      <w:r w:rsidR="00B02E53">
        <w:rPr>
          <w:rFonts w:cstheme="minorHAnsi"/>
          <w:color w:val="000000" w:themeColor="text1"/>
          <w:sz w:val="24"/>
          <w:szCs w:val="24"/>
        </w:rPr>
        <w:t>8</w:t>
      </w:r>
      <w:r w:rsidRPr="00375799">
        <w:rPr>
          <w:rFonts w:cstheme="minorHAnsi"/>
          <w:color w:val="000000" w:themeColor="text1"/>
          <w:sz w:val="24"/>
          <w:szCs w:val="24"/>
        </w:rPr>
        <w:t xml:space="preserve"> projektowanej ustawy, mieszczą się w katalogu określonym w art. 23 ust. 1 </w:t>
      </w:r>
      <w:r w:rsidR="00B42492" w:rsidRPr="00375799">
        <w:rPr>
          <w:rFonts w:cstheme="minorHAnsi"/>
          <w:color w:val="000000" w:themeColor="text1"/>
          <w:sz w:val="24"/>
          <w:szCs w:val="24"/>
        </w:rPr>
        <w:t>RODO</w:t>
      </w:r>
      <w:r w:rsidRPr="00375799">
        <w:rPr>
          <w:rFonts w:cstheme="minorHAnsi"/>
          <w:color w:val="000000" w:themeColor="text1"/>
          <w:sz w:val="24"/>
          <w:szCs w:val="24"/>
        </w:rPr>
        <w:t>, nie wykraczają poza zakres określony w Konstytucji RP, a także są zgodne z zasadą proporcjonalności. Wprowadzane regulacje mogą wprawdzie ograniczać prawa osób, których dane osobowe dotyczą, zwłaszcza w sytuacji, gdy dotyczą osoby trzeciej</w:t>
      </w:r>
      <w:r w:rsidR="00B02E53">
        <w:rPr>
          <w:rFonts w:cstheme="minorHAnsi"/>
          <w:color w:val="000000" w:themeColor="text1"/>
          <w:sz w:val="24"/>
          <w:szCs w:val="24"/>
        </w:rPr>
        <w:t>,</w:t>
      </w:r>
      <w:r w:rsidRPr="00375799">
        <w:rPr>
          <w:rFonts w:cstheme="minorHAnsi"/>
          <w:color w:val="000000" w:themeColor="text1"/>
          <w:sz w:val="24"/>
          <w:szCs w:val="24"/>
        </w:rPr>
        <w:t xml:space="preserve"> a nie klienta adwokata czy radcy prawnego, jednak są one niezbędne dla prawidłowego wykonywania przez adwokatów i radców prawnych obowiązku zachowania tajemnicy zawodowej. Wprowadzane ograniczenia znajdują umocowanie w art. 23 ust. 1 lit. g</w:t>
      </w:r>
      <w:r w:rsidR="007914E8" w:rsidRPr="00375799">
        <w:rPr>
          <w:rFonts w:cstheme="minorHAnsi"/>
          <w:color w:val="000000" w:themeColor="text1"/>
          <w:sz w:val="24"/>
          <w:szCs w:val="24"/>
        </w:rPr>
        <w:t>,</w:t>
      </w:r>
      <w:r w:rsidRPr="00375799">
        <w:rPr>
          <w:rFonts w:cstheme="minorHAnsi"/>
          <w:color w:val="000000" w:themeColor="text1"/>
          <w:sz w:val="24"/>
          <w:szCs w:val="24"/>
        </w:rPr>
        <w:t xml:space="preserve"> tj. zapobieganie naruszeniom zasad etyki w zawodach regulowanych oraz art. 23 ust. 1 lit. i</w:t>
      </w:r>
      <w:r w:rsidR="007914E8" w:rsidRPr="00375799">
        <w:rPr>
          <w:rFonts w:cstheme="minorHAnsi"/>
          <w:color w:val="000000" w:themeColor="text1"/>
          <w:sz w:val="24"/>
          <w:szCs w:val="24"/>
        </w:rPr>
        <w:t>,</w:t>
      </w:r>
      <w:r w:rsidRPr="00375799">
        <w:rPr>
          <w:rFonts w:cstheme="minorHAnsi"/>
          <w:color w:val="000000" w:themeColor="text1"/>
          <w:sz w:val="24"/>
          <w:szCs w:val="24"/>
        </w:rPr>
        <w:t xml:space="preserve"> tj. ochronie osoby, której dane dotyczą lub praw i wolności innych osób.</w:t>
      </w:r>
    </w:p>
    <w:p w14:paraId="396AFCF7" w14:textId="7A29EE3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Zastosowanie podstaw derogacyjnych zawartych w art. 23 ust. 1 lit. g oraz lit. i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w odniesieniu do adwokatów i radców prawnych znajduje uzasadnienie w przepisie art. 17 ust. 1 Konstytucji RP, który stanowi, że w drodze ustawy można tworzyć samorządy zawodowe, reprezentujące osoby wykonujące zawody zaufania publicznego i sprawujące pieczę na</w:t>
      </w:r>
      <w:r w:rsidR="000E0903">
        <w:rPr>
          <w:rFonts w:cstheme="minorHAnsi"/>
          <w:color w:val="000000" w:themeColor="text1"/>
          <w:sz w:val="24"/>
          <w:szCs w:val="24"/>
        </w:rPr>
        <w:t>d</w:t>
      </w:r>
      <w:r w:rsidRPr="00375799">
        <w:rPr>
          <w:rFonts w:cstheme="minorHAnsi"/>
          <w:color w:val="000000" w:themeColor="text1"/>
          <w:sz w:val="24"/>
          <w:szCs w:val="24"/>
        </w:rPr>
        <w:t xml:space="preserve"> należytym wykonywaniem tych zawodów w granicach interesu publicznego i dla jego ochrony. Umieszczenie tego przepisu w pierwszym rozdziale Konstytucji RP zatytułowanym „Rzeczpospolita” świadczy o zaliczeniu przez ustawodawcę normy z niego wynikającej do zasad ustrojowych. Orzecznictwo Trybunału Konstytucyjnego ukształtowało zakres podmiotowy przepisu art. 17 ust. 1 Konstytucji RP i nie ulega wątpliwości, że obejmuje on zwłaszcza samorządy zawodowe adwokatów, radców prawnych i notariuszy. Wskazana norma konstytucyjna uzasadnia także pozycję adwokatów i radców prawnych w zakresie obowiązków dotyczących ochrony danych osobowych.</w:t>
      </w:r>
    </w:p>
    <w:p w14:paraId="58775EE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Podkreślenia wymaga, że obowiązek zachowania tajemnicy zawodowej ma charakter publicznoprawny. Zgodnie z orzecznictwem Trybunału Konstytucyjnego ustanowiono go w interesie klientów, a nie prawniczych zawodów regulowanych, przy czym nie jest on wyrazem uprzywilejowania grupy zawodowej, lecz właśnie obowiązkiem związanym z wykonywaniem zawodu zaufania publicznego . Oznacza to, że prawo do prywatności i poufności informacji nie przysługuje adwokatom i radcom prawnym, lecz ich klientom. Na przedstawicielach tych zawodów ciąży zatem obowiązek respektowania tego prawa, bowiem ich relacje z klientami opierają się właśnie przede wszystkim na zaufaniu. Klienci mają więc prawo oczekiwać, że w </w:t>
      </w:r>
      <w:r w:rsidRPr="00375799">
        <w:rPr>
          <w:rFonts w:cstheme="minorHAnsi"/>
          <w:color w:val="000000" w:themeColor="text1"/>
          <w:sz w:val="24"/>
          <w:szCs w:val="24"/>
        </w:rPr>
        <w:lastRenderedPageBreak/>
        <w:t xml:space="preserve">każdym przypadku ich prawo do prywatności będzie stanowiło dobro najwyższe podlegające szczególnej ochronie. W konsekwencji w przypadku, gdy dane osobowe pozyskane przez adwokata i radcę prawnego dotyczą osoby trzeciej a nie klienta (np. jego małżonka w przypadku sprawy o rozwód), będzie dochodziło do kolizji prawa do prywatności klienta (którego realizację zapewnia tajemnica zawodowa) z prawem do żądania ochrony danych osobowych, osoby, której dane zostały adwokatowi (radcy prawnemu) ujawnione. </w:t>
      </w:r>
    </w:p>
    <w:p w14:paraId="7681AA12" w14:textId="35A532F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Proponowane ograniczenie zakresu obowiązków wynikających z art. 15 ust. 1 i 3, art. 18 i </w:t>
      </w:r>
      <w:r w:rsidR="000E0903">
        <w:rPr>
          <w:rFonts w:cstheme="minorHAnsi"/>
          <w:color w:val="000000" w:themeColor="text1"/>
          <w:sz w:val="24"/>
          <w:szCs w:val="24"/>
        </w:rPr>
        <w:t xml:space="preserve">art. </w:t>
      </w:r>
      <w:r w:rsidRPr="00375799">
        <w:rPr>
          <w:rFonts w:cstheme="minorHAnsi"/>
          <w:color w:val="000000" w:themeColor="text1"/>
          <w:sz w:val="24"/>
          <w:szCs w:val="24"/>
        </w:rPr>
        <w:t xml:space="preserve">19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co do adwokatów i radców prawnych jest ściśle związane z charakterem wykonywanego zawodu i bezwzględnym obowiązkiem zachowania tajemnicy zawodowej oraz niezbędne dla ochrony praw i wolności innych osób (art. 23 ust. 1 lit. i </w:t>
      </w:r>
      <w:r w:rsidR="00B42492" w:rsidRPr="00375799">
        <w:rPr>
          <w:rFonts w:cstheme="minorHAnsi"/>
          <w:color w:val="000000" w:themeColor="text1"/>
          <w:sz w:val="24"/>
          <w:szCs w:val="24"/>
        </w:rPr>
        <w:t>RODO</w:t>
      </w:r>
      <w:r w:rsidRPr="00375799">
        <w:rPr>
          <w:rFonts w:cstheme="minorHAnsi"/>
          <w:color w:val="000000" w:themeColor="text1"/>
          <w:sz w:val="24"/>
          <w:szCs w:val="24"/>
        </w:rPr>
        <w:t>). Adwokaci i radcowie prawni będą przetwarzać dane osobowe osób trzecich uzyskane od klientów dla potrzeb prowadzonych spraw, co podlega rygorystycznej tajemnicy adwokackiej (radcowskiej), w tym obrończej. Obowiązek zachowania tajemnicy zawodowej jest nieograniczony w czasie. Oznacza to, że nawet jeżeli ustanie stosunek łączący adwokata (radcę prawnego) z klientem czy członkostwo</w:t>
      </w:r>
      <w:r w:rsidR="00903DC7" w:rsidRPr="00375799">
        <w:rPr>
          <w:rFonts w:cstheme="minorHAnsi"/>
          <w:color w:val="000000" w:themeColor="text1"/>
          <w:sz w:val="24"/>
          <w:szCs w:val="24"/>
        </w:rPr>
        <w:t xml:space="preserve"> </w:t>
      </w:r>
      <w:r w:rsidRPr="00375799">
        <w:rPr>
          <w:rFonts w:cstheme="minorHAnsi"/>
          <w:color w:val="000000" w:themeColor="text1"/>
          <w:sz w:val="24"/>
          <w:szCs w:val="24"/>
        </w:rPr>
        <w:t xml:space="preserve">w samorządzie zawodowym, to nie spowoduje wygaśnięcia obowiązku zachowania tajemnicy zawodowej obejmującej uzyskane informacje. Jest zatem oczywiste, że nałożenie na nich obowiązków wynikających ze wskazanych przepisów </w:t>
      </w:r>
      <w:r w:rsidR="00B02E53">
        <w:rPr>
          <w:rFonts w:cstheme="minorHAnsi"/>
          <w:color w:val="000000" w:themeColor="text1"/>
          <w:sz w:val="24"/>
          <w:szCs w:val="24"/>
        </w:rPr>
        <w:t xml:space="preserve">RODO </w:t>
      </w:r>
      <w:r w:rsidRPr="00375799">
        <w:rPr>
          <w:rFonts w:cstheme="minorHAnsi"/>
          <w:color w:val="000000" w:themeColor="text1"/>
          <w:sz w:val="24"/>
          <w:szCs w:val="24"/>
        </w:rPr>
        <w:t xml:space="preserve">oznaczałoby automatycznie naruszenie interesów prawnych ich klientów, w tym konstytucyjnego prawa do sądu, ale także innych wolności i praw konstytucyjnych oraz środków ich ochrony, którym służy uzyskiwanie pomocy prawnej świadczonej przez profesjonalnych pełnomocników. </w:t>
      </w:r>
    </w:p>
    <w:p w14:paraId="67667E0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Dochodzenie swoich praw przez obywateli wiąże się z koniecznością przetwarzania przez ich pełnomocników danych osób trzecich, które w te prawa godzą. W tym kontekście przykładowo można wskazać, że nie do przyjęcia byłoby informowanie sprawcy przestępstwa oszustwa o celu przetwarzania jego danych w momencie uzyskania tych danych od pokrzywdzonego klienta, w celu zawiadomienia organów ścigania o popełnionym przestępstwie, ani informowanie osoby, wobec której ma być wytoczone powództwo o ustalenie ojcostwa, która ukrywa swoją tożsamość. Podobnie w przypadku postępowania spadkowego, kiedy od uzyskania określonych danych osobowych zależy ostateczne rozstrzygnięcie sprawy. W takich przypadkach stosowanie przepisów art. 15 ust. 1 i 3 prowadziłoby do ujawnienia faktu przetwarzania danych osobowych do celów procesowych i naruszałoby prawo mandantów do ochrony ich interesów. </w:t>
      </w:r>
    </w:p>
    <w:p w14:paraId="61FDDEBB" w14:textId="1DA0E60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Uzasadnione jest natomiast także ograniczenie stosowania art. 18 i </w:t>
      </w:r>
      <w:r w:rsidR="000E0903">
        <w:rPr>
          <w:rFonts w:cstheme="minorHAnsi"/>
          <w:color w:val="000000" w:themeColor="text1"/>
          <w:sz w:val="24"/>
          <w:szCs w:val="24"/>
        </w:rPr>
        <w:t xml:space="preserve">art. </w:t>
      </w:r>
      <w:r w:rsidRPr="00375799">
        <w:rPr>
          <w:rFonts w:cstheme="minorHAnsi"/>
          <w:color w:val="000000" w:themeColor="text1"/>
          <w:sz w:val="24"/>
          <w:szCs w:val="24"/>
        </w:rPr>
        <w:t xml:space="preserve">19 </w:t>
      </w:r>
      <w:r w:rsidR="00B02E53">
        <w:rPr>
          <w:rFonts w:cstheme="minorHAnsi"/>
          <w:color w:val="000000" w:themeColor="text1"/>
          <w:sz w:val="24"/>
          <w:szCs w:val="24"/>
        </w:rPr>
        <w:t>RODO</w:t>
      </w:r>
      <w:r w:rsidR="00B02E53" w:rsidRPr="00375799">
        <w:rPr>
          <w:rFonts w:cstheme="minorHAnsi"/>
          <w:color w:val="000000" w:themeColor="text1"/>
          <w:sz w:val="24"/>
          <w:szCs w:val="24"/>
        </w:rPr>
        <w:t xml:space="preserve"> </w:t>
      </w:r>
      <w:r w:rsidRPr="00375799">
        <w:rPr>
          <w:rFonts w:cstheme="minorHAnsi"/>
          <w:color w:val="000000" w:themeColor="text1"/>
          <w:sz w:val="24"/>
          <w:szCs w:val="24"/>
        </w:rPr>
        <w:t xml:space="preserve">w zakresie, w jakim stosowanie tych przepisów kolidowałoby z obowiązkiem zachowania tajemnicy zawodowej. Zatem w sytuacji zgłoszenia żądania z art. 18 </w:t>
      </w:r>
      <w:r w:rsidR="00B02E53">
        <w:rPr>
          <w:rFonts w:cstheme="minorHAnsi"/>
          <w:color w:val="000000" w:themeColor="text1"/>
          <w:sz w:val="24"/>
          <w:szCs w:val="24"/>
        </w:rPr>
        <w:t xml:space="preserve">RODO </w:t>
      </w:r>
      <w:r w:rsidRPr="00375799">
        <w:rPr>
          <w:rFonts w:cstheme="minorHAnsi"/>
          <w:color w:val="000000" w:themeColor="text1"/>
          <w:sz w:val="24"/>
          <w:szCs w:val="24"/>
        </w:rPr>
        <w:t xml:space="preserve">przez osobę trzecią, w przypadku, gdy jej dane osobowe zostały ujawnione adwokatowi czy radcy prawnemu przez klienta kancelarii, przyznawanie pierwszeństwa wykonaniu obowiązków określonych w powołanym przepisie nad obowiązkiem zachowania tajemnicy zawodowej (w tym obrończej), skutkować będzie naruszeniem praw i interesów klienta oraz podważeniem wiarygodności zawodu adwokata i radcy prawnego. Będzie także narażało interesy mandanta, uniemożliwiając mu skuteczne dochodzenie swoich praw i roszczeń. </w:t>
      </w:r>
    </w:p>
    <w:p w14:paraId="6356A65D" w14:textId="1075757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Podobny skutek miałoby stosowanie art. 18 oraz art. 19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(prawo do ograniczenia przetwarzania i związany z nim obowiązek informacyjny) w toku postępowania toczącego się w sprawach klientów adwokatów lub radców prawnych, w których są dochodzone roszczenia wobec osób fizycznych, albo w których reprezentacja procesowa dotyczy osób pozwanych. W niektórych kategoriach spraw dane osobowe są kluczowe dla rozstrzygnięcia, jak np. w sprawach o ustalenie obowiązku alimentacyjnego, rozwód, zniesienie współwłasności, czy też roszczeń wynikających z deliktu. </w:t>
      </w:r>
    </w:p>
    <w:p w14:paraId="0E393659" w14:textId="19D92E4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Wyłączenie stosowania przepisu art. 19 </w:t>
      </w:r>
      <w:r w:rsidR="00B02E53">
        <w:rPr>
          <w:rFonts w:cstheme="minorHAnsi"/>
          <w:color w:val="000000" w:themeColor="text1"/>
          <w:sz w:val="24"/>
          <w:szCs w:val="24"/>
        </w:rPr>
        <w:t xml:space="preserve">RODO </w:t>
      </w:r>
      <w:r w:rsidRPr="00375799">
        <w:rPr>
          <w:rFonts w:cstheme="minorHAnsi"/>
          <w:color w:val="000000" w:themeColor="text1"/>
          <w:sz w:val="24"/>
          <w:szCs w:val="24"/>
        </w:rPr>
        <w:t xml:space="preserve">wobec adwokatów i radców prawnych w zakresie, w jakim jego stosowanie naruszałoby obowiązek zachowania tajemnicy zawodowej jest również uzasadnione. Podkreślenia wymaga, że adwokaci (radcowie prawni) sporządzają projekty umów, które zawierają dane osobowe nie tylko stron (klientów kancelarii) ale także osób trzecich. W sytuacji, gdy klient rezygnuje z usług adwokata (radcy prawnego), a klient żąda usunięcia jego danych osobowych, adwokat jest zobowiązany do zachowania tajemnicy zawodowej mimo, że do zawarcia umowy nie dochodzi. W takiej sytuacji realizacja przez adwokata obowiązku, o którym mowa w zdaniu drugim art. 19 </w:t>
      </w:r>
      <w:r w:rsidR="00B02E53">
        <w:rPr>
          <w:rFonts w:cstheme="minorHAnsi"/>
          <w:color w:val="000000" w:themeColor="text1"/>
          <w:sz w:val="24"/>
          <w:szCs w:val="24"/>
        </w:rPr>
        <w:t xml:space="preserve">RODO </w:t>
      </w:r>
      <w:r w:rsidRPr="00375799">
        <w:rPr>
          <w:rFonts w:cstheme="minorHAnsi"/>
          <w:color w:val="000000" w:themeColor="text1"/>
          <w:sz w:val="24"/>
          <w:szCs w:val="24"/>
        </w:rPr>
        <w:t xml:space="preserve">(zawiadomienia o usunięciu danych osobowych także osoby trzecie, której dane dotyczą) skutkowałaby naruszeniem obowiązku zachowania tajemnicy zawodowej. </w:t>
      </w:r>
    </w:p>
    <w:p w14:paraId="43E6B1C6" w14:textId="3BD255F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Powyższe przykłady obrazują że wyłączenie przepisów art. 15 ust. 1 i 3, art. 18 i art. 19 </w:t>
      </w:r>
      <w:r w:rsidR="00B02E53">
        <w:rPr>
          <w:rFonts w:cstheme="minorHAnsi"/>
          <w:color w:val="000000" w:themeColor="text1"/>
          <w:sz w:val="24"/>
          <w:szCs w:val="24"/>
        </w:rPr>
        <w:t xml:space="preserve">RODO </w:t>
      </w:r>
      <w:r w:rsidRPr="00375799">
        <w:rPr>
          <w:rFonts w:cstheme="minorHAnsi"/>
          <w:color w:val="000000" w:themeColor="text1"/>
          <w:sz w:val="24"/>
          <w:szCs w:val="24"/>
        </w:rPr>
        <w:t>w zakresie ujętym w projekcie jest niezbędne dla ochrony tajemnicy zawodowej adwokata i radcy prawnego, a tym samym służy zapobieganiu naruszeniom zasad etyki zawodowej (art. 23 ust. 1 lit. g). W konsekwencji jest jednak także niezbędne dla ochrony praw i wolności innych osób (art. 23 ust. 1 lit. i)</w:t>
      </w:r>
      <w:r w:rsidR="000E0903">
        <w:rPr>
          <w:rFonts w:cstheme="minorHAnsi"/>
          <w:color w:val="000000" w:themeColor="text1"/>
          <w:sz w:val="24"/>
          <w:szCs w:val="24"/>
        </w:rPr>
        <w:t>,</w:t>
      </w:r>
      <w:r w:rsidRPr="00375799">
        <w:rPr>
          <w:rFonts w:cstheme="minorHAnsi"/>
          <w:color w:val="000000" w:themeColor="text1"/>
          <w:sz w:val="24"/>
          <w:szCs w:val="24"/>
        </w:rPr>
        <w:t xml:space="preserve"> tj. osób które korzystają z usług adwokata i radcy prawnego i działają w przekonaniu, że informacje o tym nie zostaną ujawnione innym osobom. Ograniczenia dotyczą wyłącznie danych osób trzecich a nie klientów, stąd też uznać należy je za proporcjonalne. </w:t>
      </w:r>
    </w:p>
    <w:p w14:paraId="043ED0AD" w14:textId="40A477A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Podkreślenia wymaga jednak, że opisane wyżej ograniczenia stosowania wymienionych przepisów </w:t>
      </w:r>
      <w:r w:rsidR="00B02E53">
        <w:rPr>
          <w:rFonts w:cstheme="minorHAnsi"/>
          <w:color w:val="000000" w:themeColor="text1"/>
          <w:sz w:val="24"/>
          <w:szCs w:val="24"/>
        </w:rPr>
        <w:t>RODO</w:t>
      </w:r>
      <w:r w:rsidR="00B02E53" w:rsidRPr="00375799">
        <w:rPr>
          <w:rFonts w:cstheme="minorHAnsi"/>
          <w:color w:val="000000" w:themeColor="text1"/>
          <w:sz w:val="24"/>
          <w:szCs w:val="24"/>
        </w:rPr>
        <w:t xml:space="preserve"> </w:t>
      </w:r>
      <w:r w:rsidRPr="00375799">
        <w:rPr>
          <w:rFonts w:cstheme="minorHAnsi"/>
          <w:color w:val="000000" w:themeColor="text1"/>
          <w:sz w:val="24"/>
          <w:szCs w:val="24"/>
        </w:rPr>
        <w:t xml:space="preserve">wobec adwokatów i radców prawnych nie będzie oznaczało, że dane osobowe, o których adwokat (radca prawny) dowiedział się przy udzielaniu pomocy prawnej nie podlegają żadnej ochronie. W istocie bowiem przepisy ustawy – Prawo o adwokaturze oraz ustawy o radcach prawnych zapewniają wzmożoną ochronę tajemnicy zawodowej. Zatem, istniejące w ustawie rygory i ograniczenia w zakresie dotyczącym przetwarzania i ujawniania danych osobowych osób korzystających z ich usług, uzasadniają wprowadzenie odstępstw od stosowania niektórych przepisów rozporządzenia. </w:t>
      </w:r>
    </w:p>
    <w:p w14:paraId="78D824DB" w14:textId="0806169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odniesieniu do przepisu art. 21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zauważyć należy, że ustawodawca unijny przyznał uprawnienie do zgłoszenia sprzeciwu jedynie w przypadku, gdy dane przetwarzane są na podstawie art. 6 ust. 1 lit. e lub f. Te podstawy przetwarzania mogą zaistnieć w przypadku adwokatów lub radców prawnych. Nie można zatem wykluczyć sytuacji, gdy takie żądanie zostanie zgłoszone przez osobę, której dane dotyczą, co uniemożliwi przetwarzanie danych osobowych, a w konsekwencji zablokuje możliwość dochodzenia roszczeń na rzecz klienta, czy uniemożliwi dalsze prowadzenie tego postępowania sądowego, prowadząc do jego </w:t>
      </w:r>
      <w:r w:rsidRPr="00375799">
        <w:rPr>
          <w:rFonts w:cstheme="minorHAnsi"/>
          <w:color w:val="000000" w:themeColor="text1"/>
          <w:sz w:val="24"/>
          <w:szCs w:val="24"/>
        </w:rPr>
        <w:lastRenderedPageBreak/>
        <w:t xml:space="preserve">przewlekłości. Spektakularnym przykładem ukazującym niezbędność wyłączenia jest także zastosowanie prawa do sprzeciwu wobec przetwarzania danych osobowych, które paraliżowałoby wykonywanie funkcji pełnomocników procesowych i uniemożliwiałoby wykonywanie jakichkolwiek czynności </w:t>
      </w:r>
      <w:proofErr w:type="spellStart"/>
      <w:r w:rsidRPr="00375799">
        <w:rPr>
          <w:rFonts w:cstheme="minorHAnsi"/>
          <w:color w:val="000000" w:themeColor="text1"/>
          <w:sz w:val="24"/>
          <w:szCs w:val="24"/>
        </w:rPr>
        <w:t>przedprocesowych</w:t>
      </w:r>
      <w:proofErr w:type="spellEnd"/>
      <w:r w:rsidRPr="00375799">
        <w:rPr>
          <w:rFonts w:cstheme="minorHAnsi"/>
          <w:color w:val="000000" w:themeColor="text1"/>
          <w:sz w:val="24"/>
          <w:szCs w:val="24"/>
        </w:rPr>
        <w:t xml:space="preserve"> na rzecz klientów, tym samym rażąco naruszając ich prawa konstytucyjne. </w:t>
      </w:r>
    </w:p>
    <w:p w14:paraId="170AE59D" w14:textId="1146249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tej sytuacji uzasadnione jest wyłączenie stosowania tej regulacji w odniesieniu do danych osobowych pozyskanych przez adwokata i radcę prawnego przy świadczeniu pomocy prawnej. Wyłączenie znajduje uzasadnienie w art. 23 ust. 1 lit. e i f. Zapewnienie prawidłowego i sprawnego prowadzenia postępowań sądowych jest zadaniem nadrzędnym, podlegającym ochronie, a zaproponowane wyłączenie stanowi środek niezbędny i proporcjonalny do osiągnięcia tego celu. </w:t>
      </w:r>
    </w:p>
    <w:p w14:paraId="18177BD9" w14:textId="53A8AF3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Jednocześnie należy wskazać, że zakres obowiązków nałożonych na adwokata i radcę prawnego w zakresie dotyczącym ochrony tajemnicy zawodowej w tym danych osobowych, minimalizuje potencjalne ryzyka naruszenia praw lub wolności osoby, której dane dotyczą, stąd nie ma potrzeby dodatkowej regulacji określającej te ryzyka (art. 23 ust. 2 lit. g </w:t>
      </w:r>
      <w:r w:rsidR="00B42492"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57F6F611" w14:textId="3B8DABE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Podkreślenia wymaga także, że wprowadzane ograniczenia są niezbędne, a dodatkowo, niezależnie od tego, że służą ochronie praw i wolności innych osób (art. 23 ust. 1 lit. i </w:t>
      </w:r>
      <w:r w:rsidR="00B42492" w:rsidRPr="00375799">
        <w:rPr>
          <w:rFonts w:cstheme="minorHAnsi"/>
          <w:color w:val="000000" w:themeColor="text1"/>
          <w:sz w:val="24"/>
          <w:szCs w:val="24"/>
        </w:rPr>
        <w:t>RODO</w:t>
      </w:r>
      <w:r w:rsidRPr="00375799">
        <w:rPr>
          <w:rFonts w:cstheme="minorHAnsi"/>
          <w:color w:val="000000" w:themeColor="text1"/>
          <w:sz w:val="24"/>
          <w:szCs w:val="24"/>
        </w:rPr>
        <w:t>), służą też interesowi publicznemu, przez umożliwienie efektywnego korzystania z prawa do pomocy prawnej, a w konsekwencji prawa do sądu.</w:t>
      </w:r>
    </w:p>
    <w:p w14:paraId="384AD9E5" w14:textId="4AF65C7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proponuje się wprowadzenie przepisu, zgodnie z którym obowiązek zachowania tajemnicy zawodowej nie ustaje w przypadku, gdy z żądaniem ujawnienia informacji uzyskanych przez adwokata oraz radcę prawnego w związku </w:t>
      </w:r>
      <w:r w:rsidR="00202A53" w:rsidRPr="00375799">
        <w:rPr>
          <w:rFonts w:cstheme="minorHAnsi"/>
          <w:color w:val="000000" w:themeColor="text1"/>
          <w:sz w:val="24"/>
          <w:szCs w:val="24"/>
        </w:rPr>
        <w:t>z</w:t>
      </w:r>
      <w:r w:rsidRPr="00375799">
        <w:rPr>
          <w:rFonts w:cstheme="minorHAnsi"/>
          <w:color w:val="000000" w:themeColor="text1"/>
          <w:sz w:val="24"/>
          <w:szCs w:val="24"/>
        </w:rPr>
        <w:t xml:space="preserve">e świadczeniem pomocy prawnej występuje Prezes Urzędu Ochrony Danych Osobowych. Nie oznacza to, że dane osobowe gromadzone przez adwokata (radcę prawnego) nie będą ochronione. Podstawową ochronę zapewnia im bowiem tajemnica zawodowa, do przestrzegania której przedstawiciele ww. zawodów są zobowiązani i za naruszenie której ponoszą odpowiedzialność dyscyplinarną. Kwestia przestrzegania tajemnicy zawodowej podlega wnikliwej kontroli organów nadzoru, realizowanej przez państwo w interesie publicznym . </w:t>
      </w:r>
    </w:p>
    <w:p w14:paraId="2A95F95D" w14:textId="3A572AC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Obowiązek zachowania tajemnicy zawodowej ma charakter publicznoprawny. Ustanowiono go w interesie klientów i nie jest on wyrazem uprzywilejowania grupy zawodowej, lecz właśnie obowiązkiem związanym z wykonywaniem zawodu zaufania publicznego. Oznacza to, że prawo do prywatności i poufności informacji nie przysługuje adwokatom (radcom prawnym), lecz ich klientom. Na przedstawicielach tych zawodów ciąży zatem obowiązek respektowania tego prawa, bowiem ich relacje z klientami opierają się właśnie przede wszystkim na zaufaniu.</w:t>
      </w:r>
    </w:p>
    <w:p w14:paraId="568C301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kontekście powyższego, podkreślić należy, że brak jest podstaw by przedkładać uprawnienia kontrolne organu nadzorczego nad prawo osób fizycznych lub prawnych korzystających z usług przedstawicieli ww. zawodów. Tajemnica zawodowa chroni prawo tych osób w szerokim zakresie, a nadto, chroni ich dane osobowe.</w:t>
      </w:r>
    </w:p>
    <w:p w14:paraId="5B1DAAE2" w14:textId="1D5A77B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Zgodnie z wytycznymi przewidzianymi w art. 23 ust. 2 </w:t>
      </w:r>
      <w:r w:rsidR="001668C0" w:rsidRPr="00375799">
        <w:rPr>
          <w:rFonts w:cstheme="minorHAnsi"/>
          <w:color w:val="000000" w:themeColor="text1"/>
          <w:sz w:val="24"/>
          <w:szCs w:val="24"/>
        </w:rPr>
        <w:t>RODO</w:t>
      </w:r>
      <w:r w:rsidRPr="00375799">
        <w:rPr>
          <w:rFonts w:cstheme="minorHAnsi"/>
          <w:color w:val="000000" w:themeColor="text1"/>
          <w:sz w:val="24"/>
          <w:szCs w:val="24"/>
        </w:rPr>
        <w:t xml:space="preserve">, projektowane przepisy przewidują także okresy przechowywania danych osobowych, w zakresie, w jakim nie były one dotychczas uregulowane. </w:t>
      </w:r>
    </w:p>
    <w:p w14:paraId="1C3199B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Jako zasadę przyjęto termin 5 lat od zakończenia postępowania, w którym dane osobowe zostały zgromadzone (art. 16c ust. 1 pkt 1 ustawy – Prawo o adwokaturze i art. 5c ust. 1 pkt 1 ustawy o radcach prawnych). Regulacje szczególne wynikają ze specyfiki poszczególnych kategorii spraw.</w:t>
      </w:r>
    </w:p>
    <w:p w14:paraId="35E2AD64"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Proponowany okres 10 lat od zakończenia postępowania, w którym dane osobowe zostały zgromadzone – w przypadku opisanych w art. 16c ust. 1 pkt 2 ustawy – Prawo o adwokaturze i art. 5c ust. 1 pkt 2 ustawy o radcach prawnych wynika w zakresie danych adwokatów i radców prawnych oraz absolwentów odpowiedniej aplikacji z regulacji ustawowych dotyczących możliwości ponownego wpisu bez egzaminu na listę adwokatów lub radców prawnych osób skreślonych z listy oraz uprawnienia do wpisu w terminie 10 lat od zdania egzaminu, a w przypadku danych osobowych przetwarzanych przez adwokatów i radców prawnych w ramach wykonywania zawodu – z możliwości zgłoszenia roszczeń cywilnoprawnych przez klienta lub osobę trzecią.</w:t>
      </w:r>
    </w:p>
    <w:p w14:paraId="542299BD" w14:textId="77E1B57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Proponowany okres 15 </w:t>
      </w:r>
      <w:r w:rsidR="000E0903">
        <w:rPr>
          <w:rFonts w:cstheme="minorHAnsi"/>
          <w:color w:val="000000" w:themeColor="text1"/>
          <w:sz w:val="24"/>
          <w:szCs w:val="24"/>
        </w:rPr>
        <w:t xml:space="preserve">lat </w:t>
      </w:r>
      <w:r w:rsidRPr="00375799">
        <w:rPr>
          <w:rFonts w:cstheme="minorHAnsi"/>
          <w:color w:val="000000" w:themeColor="text1"/>
          <w:sz w:val="24"/>
          <w:szCs w:val="24"/>
        </w:rPr>
        <w:t>od zakończenia postępowania, w którym dane osobowe zostały zgromadzone, w przypadku danych osobowych przetwarzanych w toku prowadzonych przez organy adwokatury oraz organy izb adwokackich postępowań dyscyplinarnych wobec adwokatów i aplikantów adwokackich oraz podczas wykonywania przewidzianych przez ustawę kompetencji nadzorczych nad postępowaniami dyscyplinarnymi w sprawach adwokatów i aplikantów adwokackich, wynika z terminów zatarcia kar dyscyplinarnych.</w:t>
      </w:r>
    </w:p>
    <w:p w14:paraId="4E70BB48" w14:textId="77777777" w:rsidR="00EA17A7" w:rsidRPr="00375799" w:rsidRDefault="00EA17A7" w:rsidP="0055107B">
      <w:pPr>
        <w:spacing w:after="0" w:line="276" w:lineRule="auto"/>
        <w:ind w:left="57" w:right="57"/>
        <w:contextualSpacing/>
        <w:jc w:val="both"/>
        <w:rPr>
          <w:rFonts w:cstheme="minorHAnsi"/>
          <w:b/>
          <w:color w:val="000000" w:themeColor="text1"/>
          <w:sz w:val="24"/>
          <w:szCs w:val="24"/>
        </w:rPr>
      </w:pPr>
    </w:p>
    <w:p w14:paraId="55CD87E8" w14:textId="07C1AC7B" w:rsidR="00EA17A7" w:rsidRPr="00375799" w:rsidRDefault="00EA17A7"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8" w:name="_Toc530564981"/>
      <w:r w:rsidRPr="00375799">
        <w:rPr>
          <w:rFonts w:asciiTheme="minorHAnsi" w:hAnsiTheme="minorHAnsi" w:cstheme="minorHAnsi"/>
          <w:color w:val="000000" w:themeColor="text1"/>
          <w:sz w:val="24"/>
          <w:szCs w:val="24"/>
        </w:rPr>
        <w:t>Ustawa z dnia 6 lipca 1982 r. o księgach wieczystych i hipotece</w:t>
      </w:r>
      <w:r w:rsidR="00315986" w:rsidRPr="00375799">
        <w:rPr>
          <w:rFonts w:asciiTheme="minorHAnsi" w:hAnsiTheme="minorHAnsi" w:cstheme="minorHAnsi"/>
          <w:color w:val="000000" w:themeColor="text1"/>
          <w:sz w:val="24"/>
          <w:szCs w:val="24"/>
        </w:rPr>
        <w:t xml:space="preserve"> (Dz. U. z 201</w:t>
      </w:r>
      <w:r w:rsidR="00306046">
        <w:rPr>
          <w:rFonts w:asciiTheme="minorHAnsi" w:hAnsiTheme="minorHAnsi" w:cstheme="minorHAnsi"/>
          <w:color w:val="000000" w:themeColor="text1"/>
          <w:sz w:val="24"/>
          <w:szCs w:val="24"/>
        </w:rPr>
        <w:t>8</w:t>
      </w:r>
      <w:r w:rsidR="000E0903">
        <w:rPr>
          <w:rFonts w:asciiTheme="minorHAnsi" w:hAnsiTheme="minorHAnsi" w:cstheme="minorHAnsi"/>
          <w:color w:val="000000" w:themeColor="text1"/>
          <w:sz w:val="24"/>
          <w:szCs w:val="24"/>
        </w:rPr>
        <w:t xml:space="preserve"> r. poz.</w:t>
      </w:r>
      <w:r w:rsidR="00306046">
        <w:rPr>
          <w:rFonts w:asciiTheme="minorHAnsi" w:hAnsiTheme="minorHAnsi" w:cstheme="minorHAnsi"/>
          <w:color w:val="000000" w:themeColor="text1"/>
          <w:sz w:val="24"/>
          <w:szCs w:val="24"/>
        </w:rPr>
        <w:t xml:space="preserve"> 1916</w:t>
      </w:r>
      <w:r w:rsidR="00315986" w:rsidRPr="00375799">
        <w:rPr>
          <w:rFonts w:asciiTheme="minorHAnsi" w:hAnsiTheme="minorHAnsi" w:cstheme="minorHAnsi"/>
          <w:color w:val="000000" w:themeColor="text1"/>
          <w:sz w:val="24"/>
          <w:szCs w:val="24"/>
        </w:rPr>
        <w:t>)</w:t>
      </w:r>
      <w:bookmarkEnd w:id="8"/>
    </w:p>
    <w:p w14:paraId="48E3A573" w14:textId="77777777" w:rsidR="001973BE" w:rsidRPr="00375799" w:rsidRDefault="001973BE" w:rsidP="0055107B">
      <w:pPr>
        <w:spacing w:after="0" w:line="276" w:lineRule="auto"/>
        <w:ind w:left="57" w:right="57" w:firstLine="0"/>
        <w:contextualSpacing/>
        <w:jc w:val="both"/>
        <w:rPr>
          <w:rFonts w:cstheme="minorHAnsi"/>
          <w:color w:val="000000" w:themeColor="text1"/>
          <w:sz w:val="24"/>
          <w:szCs w:val="24"/>
        </w:rPr>
      </w:pPr>
    </w:p>
    <w:p w14:paraId="604F0245" w14:textId="0BFC94DD" w:rsidR="00EA17A7" w:rsidRPr="00375799" w:rsidRDefault="00EA17A7" w:rsidP="0055107B">
      <w:pPr>
        <w:spacing w:after="0" w:line="276" w:lineRule="auto"/>
        <w:ind w:left="57" w:right="57" w:firstLine="0"/>
        <w:contextualSpacing/>
        <w:jc w:val="both"/>
        <w:rPr>
          <w:rFonts w:cstheme="minorHAnsi"/>
          <w:color w:val="000000" w:themeColor="text1"/>
          <w:sz w:val="24"/>
          <w:szCs w:val="24"/>
        </w:rPr>
      </w:pPr>
      <w:r w:rsidRPr="00375799">
        <w:rPr>
          <w:rFonts w:cstheme="minorHAnsi"/>
          <w:color w:val="000000" w:themeColor="text1"/>
          <w:sz w:val="24"/>
          <w:szCs w:val="24"/>
        </w:rPr>
        <w:t xml:space="preserve">Zmiana w ustawie </w:t>
      </w:r>
      <w:r w:rsidR="00B02E53">
        <w:rPr>
          <w:rFonts w:cstheme="minorHAnsi"/>
          <w:color w:val="000000" w:themeColor="text1"/>
          <w:sz w:val="24"/>
          <w:szCs w:val="24"/>
        </w:rPr>
        <w:t xml:space="preserve">z dnia 6 lipca 1982 r. </w:t>
      </w:r>
      <w:r w:rsidRPr="00375799">
        <w:rPr>
          <w:rFonts w:cstheme="minorHAnsi"/>
          <w:color w:val="000000" w:themeColor="text1"/>
          <w:sz w:val="24"/>
          <w:szCs w:val="24"/>
        </w:rPr>
        <w:t>o księgach wieczystych i hipotece jest podyktowana koniecznością uregulowania w akcie prawnym rangi ustawy zakresu danych osób fizycznych, podlegających ujawnieniu w księdze wieczystej. Obecnie rodzaj danych osobowych wpisywanych w księgach wieczystych określa rozporządzenie Ministra Sprawiedliwości z dnia 15 lutego 2016 r. w sprawie zakładania i prowadzenia ksiąg wieczystych w systemie teleinformatycznym (Dz. U. poz. 312, z późn. zm.). Zaproponowany w projektowanym art. 25 ust. 4 i art. 68</w:t>
      </w:r>
      <w:r w:rsidRPr="00375799">
        <w:rPr>
          <w:rFonts w:cstheme="minorHAnsi"/>
          <w:color w:val="000000" w:themeColor="text1"/>
          <w:sz w:val="24"/>
          <w:szCs w:val="24"/>
          <w:vertAlign w:val="superscript"/>
        </w:rPr>
        <w:t>2</w:t>
      </w:r>
      <w:r w:rsidRPr="00375799">
        <w:rPr>
          <w:rFonts w:cstheme="minorHAnsi"/>
          <w:color w:val="000000" w:themeColor="text1"/>
          <w:sz w:val="24"/>
          <w:szCs w:val="24"/>
        </w:rPr>
        <w:t xml:space="preserve"> ust. 5</w:t>
      </w:r>
      <w:r w:rsidRPr="00375799">
        <w:rPr>
          <w:rFonts w:cstheme="minorHAnsi"/>
          <w:color w:val="000000" w:themeColor="text1"/>
          <w:sz w:val="24"/>
          <w:szCs w:val="24"/>
          <w:vertAlign w:val="superscript"/>
        </w:rPr>
        <w:t>1</w:t>
      </w:r>
      <w:r w:rsidRPr="00375799">
        <w:rPr>
          <w:rFonts w:cstheme="minorHAnsi"/>
          <w:color w:val="000000" w:themeColor="text1"/>
          <w:sz w:val="24"/>
          <w:szCs w:val="24"/>
        </w:rPr>
        <w:t xml:space="preserve"> ustawy </w:t>
      </w:r>
      <w:r w:rsidR="00B02E53">
        <w:rPr>
          <w:rFonts w:cstheme="minorHAnsi"/>
          <w:color w:val="000000" w:themeColor="text1"/>
          <w:sz w:val="24"/>
          <w:szCs w:val="24"/>
        </w:rPr>
        <w:t xml:space="preserve">z dnia 6 lipca 1982 r. </w:t>
      </w:r>
      <w:r w:rsidRPr="00375799">
        <w:rPr>
          <w:rFonts w:cstheme="minorHAnsi"/>
          <w:color w:val="000000" w:themeColor="text1"/>
          <w:sz w:val="24"/>
          <w:szCs w:val="24"/>
        </w:rPr>
        <w:t>o księgach wieczystych i hipotece zakres danych jest identyczny jak ten określony w § 33 rozporządzenia w sprawie zakładania i prowadzenia ksiąg wieczystych w systemie teleinformatycznym.</w:t>
      </w:r>
    </w:p>
    <w:p w14:paraId="5216F492" w14:textId="77777777" w:rsidR="00EA17A7" w:rsidRPr="00375799" w:rsidRDefault="00EA17A7" w:rsidP="0055107B">
      <w:pPr>
        <w:spacing w:after="0" w:line="276" w:lineRule="auto"/>
        <w:ind w:left="57" w:right="57"/>
        <w:contextualSpacing/>
        <w:jc w:val="both"/>
        <w:rPr>
          <w:rFonts w:cstheme="minorHAnsi"/>
          <w:color w:val="000000" w:themeColor="text1"/>
          <w:sz w:val="24"/>
          <w:szCs w:val="24"/>
        </w:rPr>
      </w:pPr>
    </w:p>
    <w:p w14:paraId="11D3A0EE" w14:textId="7E2C3D86"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9" w:name="_Toc530564982"/>
      <w:r w:rsidRPr="00375799">
        <w:rPr>
          <w:rFonts w:asciiTheme="minorHAnsi" w:hAnsiTheme="minorHAnsi" w:cstheme="minorHAnsi"/>
          <w:color w:val="000000" w:themeColor="text1"/>
          <w:sz w:val="24"/>
          <w:szCs w:val="24"/>
        </w:rPr>
        <w:t>Ustawa z dnia 16 września 1982 r. – Prawo spółdzielcze (Dz.</w:t>
      </w:r>
      <w:r w:rsidR="000E0903">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U. z 201</w:t>
      </w:r>
      <w:r w:rsidR="00306046">
        <w:rPr>
          <w:rFonts w:asciiTheme="minorHAnsi" w:hAnsiTheme="minorHAnsi" w:cstheme="minorHAnsi"/>
          <w:color w:val="000000" w:themeColor="text1"/>
          <w:sz w:val="24"/>
          <w:szCs w:val="24"/>
        </w:rPr>
        <w:t>8</w:t>
      </w:r>
      <w:r w:rsidRPr="00375799">
        <w:rPr>
          <w:rFonts w:asciiTheme="minorHAnsi" w:hAnsiTheme="minorHAnsi" w:cstheme="minorHAnsi"/>
          <w:color w:val="000000" w:themeColor="text1"/>
          <w:sz w:val="24"/>
          <w:szCs w:val="24"/>
        </w:rPr>
        <w:t xml:space="preserve"> r. poz. 1</w:t>
      </w:r>
      <w:r w:rsidR="00306046">
        <w:rPr>
          <w:rFonts w:asciiTheme="minorHAnsi" w:hAnsiTheme="minorHAnsi" w:cstheme="minorHAnsi"/>
          <w:color w:val="000000" w:themeColor="text1"/>
          <w:sz w:val="24"/>
          <w:szCs w:val="24"/>
        </w:rPr>
        <w:t>285</w:t>
      </w:r>
      <w:r w:rsidRPr="00375799">
        <w:rPr>
          <w:rFonts w:asciiTheme="minorHAnsi" w:hAnsiTheme="minorHAnsi" w:cstheme="minorHAnsi"/>
          <w:color w:val="000000" w:themeColor="text1"/>
          <w:sz w:val="24"/>
          <w:szCs w:val="24"/>
        </w:rPr>
        <w:t>)</w:t>
      </w:r>
      <w:bookmarkEnd w:id="9"/>
      <w:r w:rsidRPr="00375799">
        <w:rPr>
          <w:rFonts w:asciiTheme="minorHAnsi" w:hAnsiTheme="minorHAnsi" w:cstheme="minorHAnsi"/>
          <w:color w:val="000000" w:themeColor="text1"/>
          <w:sz w:val="24"/>
          <w:szCs w:val="24"/>
        </w:rPr>
        <w:t xml:space="preserve"> </w:t>
      </w:r>
    </w:p>
    <w:p w14:paraId="7ED17C49"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4599F4B4" w14:textId="2332ED5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celu ochrony osób biorących udział w ramach postępowań lustracyjnych zasadne jest ograniczenie uprawnienia wynikającego z art. 15 ust. 1 lit. g </w:t>
      </w:r>
      <w:r w:rsidR="001668C0" w:rsidRPr="00375799">
        <w:rPr>
          <w:rFonts w:cstheme="minorHAnsi"/>
          <w:color w:val="000000" w:themeColor="text1"/>
          <w:sz w:val="24"/>
          <w:szCs w:val="24"/>
        </w:rPr>
        <w:t>RODO</w:t>
      </w:r>
      <w:r w:rsidRPr="00375799">
        <w:rPr>
          <w:rFonts w:cstheme="minorHAnsi"/>
          <w:color w:val="000000" w:themeColor="text1"/>
          <w:sz w:val="24"/>
          <w:szCs w:val="24"/>
        </w:rPr>
        <w:t xml:space="preserve">. Charakter </w:t>
      </w:r>
      <w:r w:rsidR="003D129F" w:rsidRPr="00375799">
        <w:rPr>
          <w:rFonts w:cstheme="minorHAnsi"/>
          <w:color w:val="000000" w:themeColor="text1"/>
          <w:sz w:val="24"/>
          <w:szCs w:val="24"/>
        </w:rPr>
        <w:t xml:space="preserve">postępowań </w:t>
      </w:r>
      <w:r w:rsidRPr="00375799">
        <w:rPr>
          <w:rFonts w:cstheme="minorHAnsi"/>
          <w:color w:val="000000" w:themeColor="text1"/>
          <w:sz w:val="24"/>
          <w:szCs w:val="24"/>
        </w:rPr>
        <w:lastRenderedPageBreak/>
        <w:t>lustracyjnych, prowadzonych często w oparciu o informacje uzyskane od osób trzecich</w:t>
      </w:r>
      <w:r w:rsidR="003D129F" w:rsidRPr="00375799">
        <w:rPr>
          <w:rFonts w:cstheme="minorHAnsi"/>
          <w:color w:val="000000" w:themeColor="text1"/>
          <w:sz w:val="24"/>
          <w:szCs w:val="24"/>
        </w:rPr>
        <w:t>,</w:t>
      </w:r>
      <w:r w:rsidRPr="00375799">
        <w:rPr>
          <w:rFonts w:cstheme="minorHAnsi"/>
          <w:color w:val="000000" w:themeColor="text1"/>
          <w:sz w:val="24"/>
          <w:szCs w:val="24"/>
        </w:rPr>
        <w:t xml:space="preserve"> w pełni uzasadnia wprowadzenie ochrony ich danych osobowych. Prawo, o którym mowa w art. 15 ust. 1 lit. g </w:t>
      </w:r>
      <w:r w:rsidR="001668C0" w:rsidRPr="00375799">
        <w:rPr>
          <w:rFonts w:cstheme="minorHAnsi"/>
          <w:color w:val="000000" w:themeColor="text1"/>
          <w:sz w:val="24"/>
          <w:szCs w:val="24"/>
        </w:rPr>
        <w:t>RODO</w:t>
      </w:r>
      <w:r w:rsidR="003D129F" w:rsidRPr="00375799">
        <w:rPr>
          <w:rFonts w:cstheme="minorHAnsi"/>
          <w:color w:val="000000" w:themeColor="text1"/>
          <w:sz w:val="24"/>
          <w:szCs w:val="24"/>
        </w:rPr>
        <w:t>,</w:t>
      </w:r>
      <w:r w:rsidRPr="00375799">
        <w:rPr>
          <w:rFonts w:cstheme="minorHAnsi"/>
          <w:color w:val="000000" w:themeColor="text1"/>
          <w:sz w:val="24"/>
          <w:szCs w:val="24"/>
        </w:rPr>
        <w:t xml:space="preserve"> w zakresie wystąpień zawierających dane osobowe osób trzecich, przysługiwać będzie w zakresie, w jakimi nie ma wpływu na ochronę praw i wolności osób, od których dane pozyskano. Skorzystanie z przedmiotowego ograniczenia nie będzie zatem automatyczne i zależeć będzie od oceny spełnienia odpowiednich przesłanek przez organ przetwarzając</w:t>
      </w:r>
      <w:r w:rsidR="000E0903">
        <w:rPr>
          <w:rFonts w:cstheme="minorHAnsi"/>
          <w:color w:val="000000" w:themeColor="text1"/>
          <w:sz w:val="24"/>
          <w:szCs w:val="24"/>
        </w:rPr>
        <w:t>y</w:t>
      </w:r>
      <w:r w:rsidRPr="00375799">
        <w:rPr>
          <w:rFonts w:cstheme="minorHAnsi"/>
          <w:color w:val="000000" w:themeColor="text1"/>
          <w:sz w:val="24"/>
          <w:szCs w:val="24"/>
        </w:rPr>
        <w:t xml:space="preserve"> dane osobowe. </w:t>
      </w:r>
      <w:r w:rsidR="00B94361" w:rsidRPr="00375799">
        <w:rPr>
          <w:rFonts w:cstheme="minorHAnsi"/>
          <w:color w:val="000000" w:themeColor="text1"/>
          <w:sz w:val="24"/>
          <w:szCs w:val="24"/>
        </w:rPr>
        <w:t xml:space="preserve">Jednocześnie wskazano, że z uwagi na ww. ograniczenie art. 15 ust. 1 lit. g RODO dodano dodatkowe gwarancje dla osób, których dane dotyczą w postaci zobowiązania administratora o poinformowaniu o ograniczeniu osoby, której dane dotyczą przy pierwszej </w:t>
      </w:r>
      <w:r w:rsidR="008960E2" w:rsidRPr="00375799">
        <w:rPr>
          <w:rFonts w:cstheme="minorHAnsi"/>
          <w:color w:val="000000" w:themeColor="text1"/>
          <w:sz w:val="24"/>
          <w:szCs w:val="24"/>
        </w:rPr>
        <w:t>czynności do niej skierowanej</w:t>
      </w:r>
      <w:r w:rsidR="00B94361" w:rsidRPr="00375799">
        <w:rPr>
          <w:rFonts w:cstheme="minorHAnsi"/>
          <w:color w:val="000000" w:themeColor="text1"/>
          <w:sz w:val="24"/>
          <w:szCs w:val="24"/>
        </w:rPr>
        <w:t xml:space="preserve">. </w:t>
      </w:r>
      <w:r w:rsidR="008960E2" w:rsidRPr="00375799">
        <w:rPr>
          <w:rFonts w:cstheme="minorHAnsi"/>
          <w:color w:val="000000" w:themeColor="text1"/>
          <w:sz w:val="24"/>
          <w:szCs w:val="24"/>
        </w:rPr>
        <w:t xml:space="preserve">Ponadto </w:t>
      </w:r>
      <w:r w:rsidR="00B94361" w:rsidRPr="00375799">
        <w:rPr>
          <w:rFonts w:cstheme="minorHAnsi"/>
          <w:color w:val="000000" w:themeColor="text1"/>
          <w:sz w:val="24"/>
          <w:szCs w:val="24"/>
        </w:rPr>
        <w:t>wskazano, że w przypadku gdy okres przechowywania danych osobowych</w:t>
      </w:r>
      <w:r w:rsidR="00EF66C9" w:rsidRPr="00375799">
        <w:rPr>
          <w:rFonts w:cstheme="minorHAnsi"/>
          <w:color w:val="000000" w:themeColor="text1"/>
          <w:sz w:val="24"/>
          <w:szCs w:val="24"/>
        </w:rPr>
        <w:t xml:space="preserve"> </w:t>
      </w:r>
      <w:r w:rsidR="00B94361" w:rsidRPr="00375799">
        <w:rPr>
          <w:rFonts w:cstheme="minorHAnsi"/>
          <w:color w:val="000000" w:themeColor="text1"/>
          <w:sz w:val="24"/>
          <w:szCs w:val="24"/>
        </w:rPr>
        <w:t xml:space="preserve">nie wynika z przepisów ustawy z dnia 14 lipca 1983 r. o narodowym zasobie archiwalnym i archiwach (Dz. U. z 2018 r. poz. 217, 357, 398 i 650) minister właściwy do spraw budownictwa, planowania i zagospodarowania przestrzennego oraz mieszkalnictwa samodzielnie ustala okres ich przechowywania w przepisach wydawanych na podstawie art. 6 ust. 1 i 2 tej ustawy. Wprowadzono też zabezpieczenie w postaci </w:t>
      </w:r>
      <w:r w:rsidR="008960E2" w:rsidRPr="00375799">
        <w:rPr>
          <w:rFonts w:cstheme="minorHAnsi"/>
          <w:color w:val="000000" w:themeColor="text1"/>
          <w:sz w:val="24"/>
          <w:szCs w:val="24"/>
        </w:rPr>
        <w:t xml:space="preserve">nałożenia obowiązku </w:t>
      </w:r>
      <w:r w:rsidR="00B94361" w:rsidRPr="00375799">
        <w:rPr>
          <w:rFonts w:cstheme="minorHAnsi"/>
          <w:color w:val="000000" w:themeColor="text1"/>
          <w:sz w:val="24"/>
          <w:szCs w:val="24"/>
        </w:rPr>
        <w:t>dopuszczenia do przetwarzania danych osobowych wyłącznie osób posiadających pisemne upoważnienie wydane przez administratora oraz konieczności udzielania pisemnego zobowiązania osób upoważnionych do przetwarzania danych osobowych do zachowania ich w tajemnicy.</w:t>
      </w:r>
    </w:p>
    <w:p w14:paraId="3E4D84B8" w14:textId="1D208B2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wyraźnie wskazano, że wystąpienie z żądaniem, o którym mowa w art. 18 ust. 1 </w:t>
      </w:r>
      <w:r w:rsidR="001668C0" w:rsidRPr="00375799">
        <w:rPr>
          <w:rFonts w:cstheme="minorHAnsi"/>
          <w:color w:val="000000" w:themeColor="text1"/>
          <w:sz w:val="24"/>
          <w:szCs w:val="24"/>
        </w:rPr>
        <w:t>RODO</w:t>
      </w:r>
      <w:r w:rsidRPr="00375799">
        <w:rPr>
          <w:rFonts w:cstheme="minorHAnsi"/>
          <w:color w:val="000000" w:themeColor="text1"/>
          <w:sz w:val="24"/>
          <w:szCs w:val="24"/>
        </w:rPr>
        <w:t xml:space="preserve"> (tj. prawo żądania przez osobę, której dane osobowe dotyczą, ograniczenia przetwarzania jej danych)</w:t>
      </w:r>
      <w:r w:rsidR="003D129F" w:rsidRPr="00375799">
        <w:rPr>
          <w:rFonts w:cstheme="minorHAnsi"/>
          <w:color w:val="000000" w:themeColor="text1"/>
          <w:sz w:val="24"/>
          <w:szCs w:val="24"/>
        </w:rPr>
        <w:t>,</w:t>
      </w:r>
      <w:r w:rsidRPr="00375799">
        <w:rPr>
          <w:rFonts w:cstheme="minorHAnsi"/>
          <w:color w:val="000000" w:themeColor="text1"/>
          <w:sz w:val="24"/>
          <w:szCs w:val="24"/>
        </w:rPr>
        <w:t xml:space="preserve"> nie wpływa na przebieg postępowań kontrolnych związanych z lustracją spółdzielni. Powyższe ma na celu umożliwienie skutecznego i efektywnego wykonywania ww. zadań (uniemożliwienie wykorzystywania prawa do ograniczenia przetwarzania danych w celu przedłużania lub blokowania działań ministra właściwego do spraw budownictwa, planowania i zagospodarowania przestrzennego oraz mieszkalnictwa w ww. zakresie).</w:t>
      </w:r>
    </w:p>
    <w:p w14:paraId="3EE94CD4" w14:textId="7777777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17352D8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6E200C3F" w14:textId="7BFF6893"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0" w:name="_Toc530564983"/>
      <w:r w:rsidRPr="00375799">
        <w:rPr>
          <w:rFonts w:asciiTheme="minorHAnsi" w:hAnsiTheme="minorHAnsi" w:cstheme="minorHAnsi"/>
          <w:color w:val="000000" w:themeColor="text1"/>
          <w:sz w:val="24"/>
          <w:szCs w:val="24"/>
        </w:rPr>
        <w:t xml:space="preserve">Ustawa z dnia 26 października 1982 r. o wychowaniu w trzeźwości i przeciwdziałaniu alkoholizmowi </w:t>
      </w:r>
      <w:r w:rsidR="00315986" w:rsidRPr="00375799">
        <w:rPr>
          <w:rFonts w:asciiTheme="minorHAnsi" w:hAnsiTheme="minorHAnsi" w:cstheme="minorHAnsi"/>
          <w:color w:val="000000" w:themeColor="text1"/>
          <w:sz w:val="24"/>
          <w:szCs w:val="24"/>
        </w:rPr>
        <w:t xml:space="preserve">(Dz. U. z </w:t>
      </w:r>
      <w:r w:rsidR="00EC1C6D">
        <w:rPr>
          <w:rFonts w:asciiTheme="minorHAnsi" w:hAnsiTheme="minorHAnsi" w:cstheme="minorHAnsi"/>
          <w:color w:val="000000" w:themeColor="text1"/>
          <w:sz w:val="24"/>
          <w:szCs w:val="24"/>
        </w:rPr>
        <w:t>2018 r. poz. 2</w:t>
      </w:r>
      <w:r w:rsidR="00811CE3">
        <w:rPr>
          <w:rFonts w:asciiTheme="minorHAnsi" w:hAnsiTheme="minorHAnsi" w:cstheme="minorHAnsi"/>
          <w:color w:val="000000" w:themeColor="text1"/>
          <w:sz w:val="24"/>
          <w:szCs w:val="24"/>
        </w:rPr>
        <w:t>137</w:t>
      </w:r>
      <w:r w:rsidR="00315986" w:rsidRPr="00375799">
        <w:rPr>
          <w:rFonts w:asciiTheme="minorHAnsi" w:hAnsiTheme="minorHAnsi" w:cstheme="minorHAnsi"/>
          <w:color w:val="000000" w:themeColor="text1"/>
          <w:sz w:val="24"/>
          <w:szCs w:val="24"/>
        </w:rPr>
        <w:t>)</w:t>
      </w:r>
      <w:bookmarkEnd w:id="10"/>
    </w:p>
    <w:p w14:paraId="5E82D149" w14:textId="77777777" w:rsidR="008706DD" w:rsidRDefault="008706DD" w:rsidP="0055107B">
      <w:pPr>
        <w:spacing w:after="0" w:line="276" w:lineRule="auto"/>
        <w:ind w:left="57" w:right="57"/>
        <w:contextualSpacing/>
        <w:jc w:val="both"/>
        <w:rPr>
          <w:rFonts w:cstheme="minorHAnsi"/>
          <w:color w:val="000000" w:themeColor="text1"/>
          <w:sz w:val="24"/>
          <w:szCs w:val="24"/>
        </w:rPr>
      </w:pPr>
    </w:p>
    <w:p w14:paraId="3ABB51D8" w14:textId="77777777" w:rsidR="00EC1C6D" w:rsidRPr="00375799" w:rsidRDefault="00EC1C6D" w:rsidP="0055107B">
      <w:pPr>
        <w:spacing w:after="0" w:line="276" w:lineRule="auto"/>
        <w:ind w:left="57" w:right="57"/>
        <w:contextualSpacing/>
        <w:jc w:val="both"/>
        <w:rPr>
          <w:rFonts w:cstheme="minorHAnsi"/>
          <w:color w:val="000000" w:themeColor="text1"/>
          <w:sz w:val="24"/>
          <w:szCs w:val="24"/>
        </w:rPr>
      </w:pPr>
    </w:p>
    <w:p w14:paraId="5BA3B5DC" w14:textId="0E39BF1F" w:rsidR="008706DD" w:rsidRPr="00375799" w:rsidRDefault="008706DD" w:rsidP="0055107B">
      <w:pPr>
        <w:spacing w:after="0" w:line="276" w:lineRule="auto"/>
        <w:ind w:left="57" w:right="57"/>
        <w:contextualSpacing/>
        <w:jc w:val="both"/>
        <w:rPr>
          <w:rFonts w:cstheme="minorHAnsi"/>
          <w:b/>
          <w:color w:val="000000" w:themeColor="text1"/>
          <w:sz w:val="24"/>
          <w:szCs w:val="24"/>
        </w:rPr>
      </w:pPr>
      <w:r w:rsidRPr="00375799">
        <w:rPr>
          <w:rFonts w:cstheme="minorHAnsi"/>
          <w:color w:val="000000" w:themeColor="text1"/>
          <w:sz w:val="24"/>
          <w:szCs w:val="24"/>
        </w:rPr>
        <w:t>W projekcie zawarto zmiany w ustawie z dnia 26 października 1982 r. o wychowaniu w trzeźwości i przeciwdziałaniu alkoholizmowi</w:t>
      </w:r>
      <w:r w:rsidR="000E0903">
        <w:rPr>
          <w:rFonts w:cstheme="minorHAnsi"/>
          <w:color w:val="000000" w:themeColor="text1"/>
          <w:sz w:val="24"/>
          <w:szCs w:val="24"/>
        </w:rPr>
        <w:t>.</w:t>
      </w:r>
      <w:r w:rsidRPr="00375799">
        <w:rPr>
          <w:rFonts w:cstheme="minorHAnsi"/>
          <w:color w:val="000000" w:themeColor="text1"/>
          <w:sz w:val="24"/>
          <w:szCs w:val="24"/>
        </w:rPr>
        <w:t xml:space="preserve"> Z uwagi na </w:t>
      </w:r>
      <w:r w:rsidR="00B02E53">
        <w:rPr>
          <w:rFonts w:cstheme="minorHAnsi"/>
          <w:color w:val="000000" w:themeColor="text1"/>
          <w:sz w:val="24"/>
          <w:szCs w:val="24"/>
        </w:rPr>
        <w:t>zawarte</w:t>
      </w:r>
      <w:r w:rsidR="00B02E53" w:rsidRPr="00375799">
        <w:rPr>
          <w:rFonts w:cstheme="minorHAnsi"/>
          <w:color w:val="000000" w:themeColor="text1"/>
          <w:sz w:val="24"/>
          <w:szCs w:val="24"/>
        </w:rPr>
        <w:t xml:space="preserve"> </w:t>
      </w:r>
      <w:r w:rsidRPr="00375799">
        <w:rPr>
          <w:rFonts w:cstheme="minorHAnsi"/>
          <w:color w:val="000000" w:themeColor="text1"/>
          <w:sz w:val="24"/>
          <w:szCs w:val="24"/>
        </w:rPr>
        <w:t xml:space="preserve">w RODO definicje m.in. administratora danych osobowych, pojawiają się wątpliwości kto jest administratorem danych osobowych. Istnieje wysokie prawdopodobieństwo, że to gminne komisje rozwiązywania problemów alkoholowych zostaną uznane za administratora danych osobowych. Należy pamiętać, że gminne komisje to ciała społeczne, które powoływane są przez wójta, burmistrza, prezydenta miasta do realizacji określonych zadań, np. podejmowania czynności </w:t>
      </w:r>
      <w:r w:rsidRPr="00375799">
        <w:rPr>
          <w:rFonts w:cstheme="minorHAnsi"/>
          <w:color w:val="000000" w:themeColor="text1"/>
          <w:sz w:val="24"/>
          <w:szCs w:val="24"/>
        </w:rPr>
        <w:lastRenderedPageBreak/>
        <w:t>zmierzających do orzeczenia o zastosowaniu wobec osoby uzależnionej od alkoholu obowiązku poddania się leczeniu w zakładzie lecznictwa odwykowego. Gminne komisje, w skład których wchodzą przede wszystkim osoby przeszkolone w zakresie profilaktyki i rozwiązywania problemów alkoholowych, nie posiadają odpowiednich narzędzi i środków, by być uznane za administratora danych osobowych, zwłaszcza, że ich obsługą administracyjną zajmują się zazwyczaj urzędy miasta/gminy. Dlatego też w obecnym stanie prawnym przyjmowano (w tym Państwowa Agencja Rozwiązywania Problemów Alkoholowych, Urząd Ochrony Danych Osobowych, Najwyższa Izba Kontroli), że administratorem danych przetwarzanych przez komisje jest wójt, burmistrz albo prezydent miasta, co potwierdza brzmienie art. 25a ust. 4 ustawy z dnia 26 października 1982 r. o wychowaniu w trzeźwości i przeciwdziałaniu alkoholizmowi: „Przed przystąpieniem do wykonywania czynności związanych z procedurą zobowiązania do poddania się leczeniu odwykowemu członkowie gminnej komisji rozwiązywania problemów alkoholowych składają, w formie pisemnej, wójtowi (burmistrzowi, prezydentowi miasta), oświadczenie o następującej treści (…)”. Mając na uwadze powyższe, wydaje się zasadne uregulowanie tej kwestii bezpośrednio w przepisach prawa przez dodanie w ww. ustawie art. 25b w zaproponowanym brzmieniu.</w:t>
      </w:r>
    </w:p>
    <w:p w14:paraId="328498AE" w14:textId="50D79F3B" w:rsidR="00567918" w:rsidRPr="00375799" w:rsidRDefault="00567918"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Znowelizowano </w:t>
      </w:r>
      <w:r w:rsidR="00B02E53">
        <w:rPr>
          <w:rFonts w:cstheme="minorHAnsi"/>
          <w:color w:val="000000" w:themeColor="text1"/>
          <w:sz w:val="24"/>
          <w:szCs w:val="24"/>
        </w:rPr>
        <w:t xml:space="preserve">także </w:t>
      </w:r>
      <w:r w:rsidRPr="00375799">
        <w:rPr>
          <w:rFonts w:cstheme="minorHAnsi"/>
          <w:color w:val="000000" w:themeColor="text1"/>
          <w:sz w:val="24"/>
          <w:szCs w:val="24"/>
        </w:rPr>
        <w:t xml:space="preserve">art. 42 ust. 14 ustawy tak, by </w:t>
      </w:r>
      <w:r w:rsidRPr="00375799">
        <w:rPr>
          <w:rFonts w:cstheme="minorHAnsi"/>
          <w:bCs/>
          <w:color w:val="000000" w:themeColor="text1"/>
          <w:sz w:val="24"/>
          <w:szCs w:val="24"/>
        </w:rPr>
        <w:t xml:space="preserve">nie odnosił się do ustawy </w:t>
      </w:r>
      <w:r w:rsidR="00B02E53" w:rsidRPr="00375799">
        <w:rPr>
          <w:rFonts w:cstheme="minorHAnsi"/>
          <w:bCs/>
          <w:color w:val="000000" w:themeColor="text1"/>
          <w:sz w:val="24"/>
          <w:szCs w:val="24"/>
        </w:rPr>
        <w:t xml:space="preserve">z dnia 29 sierpnia 1997 r </w:t>
      </w:r>
      <w:r w:rsidRPr="00375799">
        <w:rPr>
          <w:rFonts w:cstheme="minorHAnsi"/>
          <w:bCs/>
          <w:color w:val="000000" w:themeColor="text1"/>
          <w:sz w:val="24"/>
          <w:szCs w:val="24"/>
        </w:rPr>
        <w:t>o ochronie danych osobowych.</w:t>
      </w:r>
    </w:p>
    <w:p w14:paraId="23E22A4C" w14:textId="77777777" w:rsidR="008706DD" w:rsidRPr="00375799" w:rsidRDefault="008706DD" w:rsidP="0055107B">
      <w:pPr>
        <w:spacing w:after="0" w:line="276" w:lineRule="auto"/>
        <w:ind w:left="57" w:right="57"/>
        <w:contextualSpacing/>
        <w:jc w:val="center"/>
        <w:rPr>
          <w:rFonts w:cstheme="minorHAnsi"/>
          <w:color w:val="000000" w:themeColor="text1"/>
          <w:sz w:val="24"/>
          <w:szCs w:val="24"/>
        </w:rPr>
      </w:pPr>
    </w:p>
    <w:p w14:paraId="367D6C58" w14:textId="7B046F53"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1" w:name="_Toc530564984"/>
      <w:r w:rsidRPr="00375799">
        <w:rPr>
          <w:rFonts w:asciiTheme="minorHAnsi" w:hAnsiTheme="minorHAnsi" w:cstheme="minorHAnsi"/>
          <w:color w:val="000000" w:themeColor="text1"/>
          <w:sz w:val="24"/>
          <w:szCs w:val="24"/>
        </w:rPr>
        <w:t>Ustawa z dnia 14 lipca 1983 r. o narodowym zasobie archiwalnym i archiwach</w:t>
      </w:r>
      <w:r w:rsidR="00315986" w:rsidRPr="00375799">
        <w:rPr>
          <w:rFonts w:asciiTheme="minorHAnsi" w:hAnsiTheme="minorHAnsi" w:cstheme="minorHAnsi"/>
          <w:color w:val="000000" w:themeColor="text1"/>
          <w:sz w:val="24"/>
          <w:szCs w:val="24"/>
        </w:rPr>
        <w:t xml:space="preserve"> (Dz. U. z 2018 r. poz. 217, 357, 398 i 650)</w:t>
      </w:r>
      <w:bookmarkEnd w:id="11"/>
    </w:p>
    <w:p w14:paraId="04B2316E" w14:textId="77777777" w:rsidR="00173A66" w:rsidRPr="00375799" w:rsidRDefault="00173A66" w:rsidP="0055107B">
      <w:pPr>
        <w:spacing w:line="276" w:lineRule="auto"/>
        <w:contextualSpacing/>
        <w:jc w:val="both"/>
        <w:rPr>
          <w:rFonts w:cstheme="minorHAnsi"/>
          <w:color w:val="000000" w:themeColor="text1"/>
          <w:spacing w:val="-6"/>
          <w:sz w:val="24"/>
          <w:szCs w:val="24"/>
        </w:rPr>
      </w:pPr>
    </w:p>
    <w:p w14:paraId="431F0B0C" w14:textId="565B0C56" w:rsidR="002475E0" w:rsidRPr="00375799" w:rsidRDefault="002475E0" w:rsidP="0055107B">
      <w:pPr>
        <w:spacing w:line="276" w:lineRule="auto"/>
        <w:contextualSpacing/>
        <w:jc w:val="both"/>
        <w:rPr>
          <w:rFonts w:cstheme="minorHAnsi"/>
          <w:color w:val="000000" w:themeColor="text1"/>
          <w:sz w:val="24"/>
          <w:szCs w:val="24"/>
        </w:rPr>
      </w:pPr>
      <w:r w:rsidRPr="00375799">
        <w:rPr>
          <w:rFonts w:cstheme="minorHAnsi"/>
          <w:color w:val="000000" w:themeColor="text1"/>
          <w:spacing w:val="-6"/>
          <w:sz w:val="24"/>
          <w:szCs w:val="24"/>
        </w:rPr>
        <w:t>Celem proponowanych zmian w ustawie z dnia 14 lipca 1983 r. o narodowym zasobie</w:t>
      </w:r>
      <w:r w:rsidRPr="00375799">
        <w:rPr>
          <w:rFonts w:cstheme="minorHAnsi"/>
          <w:color w:val="000000" w:themeColor="text1"/>
          <w:sz w:val="24"/>
          <w:szCs w:val="24"/>
        </w:rPr>
        <w:t xml:space="preserve"> archiwalnym i archiwach</w:t>
      </w:r>
      <w:r w:rsidR="008960E2" w:rsidRPr="00375799">
        <w:rPr>
          <w:rFonts w:cstheme="minorHAnsi"/>
          <w:color w:val="000000" w:themeColor="text1"/>
          <w:sz w:val="24"/>
          <w:szCs w:val="24"/>
        </w:rPr>
        <w:t xml:space="preserve">, </w:t>
      </w:r>
      <w:r w:rsidRPr="00375799">
        <w:rPr>
          <w:rFonts w:cstheme="minorHAnsi"/>
          <w:color w:val="000000" w:themeColor="text1"/>
          <w:sz w:val="24"/>
          <w:szCs w:val="24"/>
        </w:rPr>
        <w:t xml:space="preserve">zwanej dalej „ustawą” – jest zharmonizowanie jej z wymogami </w:t>
      </w:r>
      <w:r w:rsidR="001668C0" w:rsidRPr="00375799">
        <w:rPr>
          <w:rFonts w:cstheme="minorHAnsi"/>
          <w:color w:val="000000" w:themeColor="text1"/>
          <w:sz w:val="24"/>
          <w:szCs w:val="24"/>
        </w:rPr>
        <w:t>RODO</w:t>
      </w:r>
      <w:r w:rsidR="000E0903">
        <w:rPr>
          <w:rFonts w:cstheme="minorHAnsi"/>
          <w:color w:val="000000" w:themeColor="text1"/>
          <w:sz w:val="24"/>
          <w:szCs w:val="24"/>
        </w:rPr>
        <w:t>.</w:t>
      </w:r>
      <w:r w:rsidR="001668C0" w:rsidRPr="00375799">
        <w:rPr>
          <w:rFonts w:cstheme="minorHAnsi"/>
          <w:color w:val="000000" w:themeColor="text1"/>
          <w:sz w:val="24"/>
          <w:szCs w:val="24"/>
        </w:rPr>
        <w:t xml:space="preserve"> </w:t>
      </w:r>
      <w:r w:rsidRPr="00375799">
        <w:rPr>
          <w:rFonts w:cstheme="minorHAnsi"/>
          <w:color w:val="000000" w:themeColor="text1"/>
          <w:spacing w:val="-6"/>
          <w:sz w:val="24"/>
          <w:szCs w:val="24"/>
        </w:rPr>
        <w:t xml:space="preserve">Ustawowe zmiany realizują również wskazania zawarte w art. 6 ust. 2 oraz </w:t>
      </w:r>
      <w:r w:rsidRPr="00375799">
        <w:rPr>
          <w:rFonts w:cstheme="minorHAnsi"/>
          <w:color w:val="000000" w:themeColor="text1"/>
          <w:spacing w:val="-4"/>
          <w:sz w:val="24"/>
          <w:szCs w:val="24"/>
        </w:rPr>
        <w:t xml:space="preserve">art. 89 ust. 3 </w:t>
      </w:r>
      <w:r w:rsidR="00CA3E2C" w:rsidRPr="00375799">
        <w:rPr>
          <w:rFonts w:cstheme="minorHAnsi"/>
          <w:color w:val="000000" w:themeColor="text1"/>
          <w:sz w:val="24"/>
          <w:szCs w:val="24"/>
        </w:rPr>
        <w:t>RODO</w:t>
      </w:r>
      <w:r w:rsidRPr="00375799">
        <w:rPr>
          <w:rFonts w:cstheme="minorHAnsi"/>
          <w:color w:val="000000" w:themeColor="text1"/>
          <w:spacing w:val="-4"/>
          <w:sz w:val="24"/>
          <w:szCs w:val="24"/>
        </w:rPr>
        <w:t>, które dotyczą wprowadzania przez państwa</w:t>
      </w:r>
      <w:r w:rsidRPr="00375799">
        <w:rPr>
          <w:rFonts w:cstheme="minorHAnsi"/>
          <w:color w:val="000000" w:themeColor="text1"/>
          <w:sz w:val="24"/>
          <w:szCs w:val="24"/>
        </w:rPr>
        <w:t xml:space="preserve"> </w:t>
      </w:r>
      <w:r w:rsidRPr="00375799">
        <w:rPr>
          <w:rFonts w:cstheme="minorHAnsi"/>
          <w:color w:val="000000" w:themeColor="text1"/>
          <w:spacing w:val="-4"/>
          <w:sz w:val="24"/>
          <w:szCs w:val="24"/>
        </w:rPr>
        <w:t>członkowskie przepisów dostosowujących, a także stanowienia w prawie krajowym</w:t>
      </w:r>
      <w:r w:rsidRPr="00375799">
        <w:rPr>
          <w:rFonts w:cstheme="minorHAnsi"/>
          <w:color w:val="000000" w:themeColor="text1"/>
          <w:sz w:val="24"/>
          <w:szCs w:val="24"/>
        </w:rPr>
        <w:t xml:space="preserve"> wyjątków od praw osób, których dane dotyczą. </w:t>
      </w:r>
    </w:p>
    <w:p w14:paraId="18F7AD25" w14:textId="77777777" w:rsidR="002475E0" w:rsidRPr="00375799" w:rsidRDefault="002475E0" w:rsidP="0055107B">
      <w:pPr>
        <w:spacing w:line="276" w:lineRule="auto"/>
        <w:contextualSpacing/>
        <w:jc w:val="both"/>
        <w:rPr>
          <w:rFonts w:cstheme="minorHAnsi"/>
          <w:color w:val="000000" w:themeColor="text1"/>
          <w:sz w:val="24"/>
          <w:szCs w:val="24"/>
        </w:rPr>
      </w:pPr>
      <w:r w:rsidRPr="00375799">
        <w:rPr>
          <w:rFonts w:cstheme="minorHAnsi"/>
          <w:color w:val="000000" w:themeColor="text1"/>
          <w:spacing w:val="-6"/>
          <w:sz w:val="24"/>
          <w:szCs w:val="24"/>
        </w:rPr>
        <w:t>Projektowane przepisy zmierzają do zrównoważenia ochrony danych osobowych</w:t>
      </w:r>
      <w:r w:rsidRPr="00375799">
        <w:rPr>
          <w:rFonts w:cstheme="minorHAnsi"/>
          <w:color w:val="000000" w:themeColor="text1"/>
          <w:sz w:val="24"/>
          <w:szCs w:val="24"/>
        </w:rPr>
        <w:t xml:space="preserve"> z działalnością archiwalną, a w szczególności gromadzeniem i zapewnieniem dostępności publicznych zasobów informacyjnych. Ustawodawca uznał bowiem, że szerokie korzystanie z nich ma doniosłe znaczenie naukowe i kulturotwórcze, a </w:t>
      </w:r>
      <w:r w:rsidRPr="00375799">
        <w:rPr>
          <w:rFonts w:cstheme="minorHAnsi"/>
          <w:color w:val="000000" w:themeColor="text1"/>
          <w:spacing w:val="-2"/>
          <w:sz w:val="24"/>
          <w:szCs w:val="24"/>
        </w:rPr>
        <w:t>przez</w:t>
      </w:r>
      <w:r w:rsidRPr="00375799">
        <w:rPr>
          <w:rFonts w:cstheme="minorHAnsi"/>
          <w:color w:val="000000" w:themeColor="text1"/>
          <w:sz w:val="24"/>
          <w:szCs w:val="24"/>
        </w:rPr>
        <w:t xml:space="preserve"> </w:t>
      </w:r>
      <w:r w:rsidRPr="00375799">
        <w:rPr>
          <w:rFonts w:cstheme="minorHAnsi"/>
          <w:color w:val="000000" w:themeColor="text1"/>
          <w:spacing w:val="-2"/>
          <w:sz w:val="24"/>
          <w:szCs w:val="24"/>
        </w:rPr>
        <w:t>to leży w interesie publicznym. Dał temu wyraz m.in. poprzez gwarancję bezpłatności</w:t>
      </w:r>
      <w:r w:rsidRPr="00375799">
        <w:rPr>
          <w:rFonts w:cstheme="minorHAnsi"/>
          <w:color w:val="000000" w:themeColor="text1"/>
          <w:sz w:val="24"/>
          <w:szCs w:val="24"/>
        </w:rPr>
        <w:t xml:space="preserve"> udostępniania państwowego zasobu archiwalnego. </w:t>
      </w:r>
    </w:p>
    <w:p w14:paraId="70BA197D" w14:textId="77777777" w:rsidR="002475E0" w:rsidRPr="00375799" w:rsidRDefault="002475E0" w:rsidP="0055107B">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t>W obowiązującym brzmieniu ustawa stanowi, że udostępnianie materiałów archiwalnych w sposób określony w art. 16d ust. 2 pkt 1 następuje „po pisemnym zgłoszeniu”. Nie określa natomiast informacyjnej zawartości zgłoszenia. Kontekst przepisu wskazuje, że czynność ta, utrwalona na piśmie, jest spersonalizowana, służy zidentyfikowaniu osoby zainteresowanej. Wobec tego zachodzi potrzeba sprecyzowania zakresu danych przetwarzanych w zgłoszeniu, odpowiednio do jego celu związanego z działalnością archiwalną.</w:t>
      </w:r>
    </w:p>
    <w:p w14:paraId="2E70C154" w14:textId="17480ECA" w:rsidR="002475E0" w:rsidRPr="00375799" w:rsidRDefault="002475E0" w:rsidP="0055107B">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W związku ze zmianami w ustawie, które wprost wynikają z </w:t>
      </w:r>
      <w:r w:rsidR="00CA3E2C" w:rsidRPr="00375799">
        <w:rPr>
          <w:rFonts w:cstheme="minorHAnsi"/>
          <w:color w:val="000000" w:themeColor="text1"/>
          <w:sz w:val="24"/>
          <w:szCs w:val="24"/>
        </w:rPr>
        <w:t>RODO</w:t>
      </w:r>
      <w:r w:rsidR="00B17BAC" w:rsidRPr="00375799">
        <w:rPr>
          <w:rFonts w:cstheme="minorHAnsi"/>
          <w:color w:val="000000" w:themeColor="text1"/>
          <w:spacing w:val="-6"/>
          <w:sz w:val="24"/>
          <w:szCs w:val="24"/>
        </w:rPr>
        <w:t xml:space="preserve">, </w:t>
      </w:r>
      <w:r w:rsidRPr="00375799">
        <w:rPr>
          <w:rFonts w:cstheme="minorHAnsi"/>
          <w:color w:val="000000" w:themeColor="text1"/>
          <w:spacing w:val="-6"/>
          <w:sz w:val="24"/>
          <w:szCs w:val="24"/>
        </w:rPr>
        <w:t>zachodzi również potrzeba zmodyfikowania przepisu określającego zakres</w:t>
      </w:r>
      <w:r w:rsidRPr="00375799">
        <w:rPr>
          <w:rFonts w:cstheme="minorHAnsi"/>
          <w:color w:val="000000" w:themeColor="text1"/>
          <w:spacing w:val="-4"/>
          <w:sz w:val="24"/>
          <w:szCs w:val="24"/>
        </w:rPr>
        <w:t xml:space="preserve"> działania Naczelnego Dyrektora Archiwów Państwowych. W obowiązującym</w:t>
      </w:r>
      <w:r w:rsidRPr="00375799">
        <w:rPr>
          <w:rFonts w:cstheme="minorHAnsi"/>
          <w:color w:val="000000" w:themeColor="text1"/>
          <w:sz w:val="24"/>
          <w:szCs w:val="24"/>
        </w:rPr>
        <w:t xml:space="preserve"> </w:t>
      </w:r>
      <w:r w:rsidRPr="00375799">
        <w:rPr>
          <w:rFonts w:cstheme="minorHAnsi"/>
          <w:color w:val="000000" w:themeColor="text1"/>
          <w:spacing w:val="-4"/>
          <w:sz w:val="24"/>
          <w:szCs w:val="24"/>
        </w:rPr>
        <w:t>brzmieniu wskazuje on mylnie na odpowiedzialność tego organu za zabezpieczenie</w:t>
      </w:r>
      <w:r w:rsidRPr="00375799">
        <w:rPr>
          <w:rFonts w:cstheme="minorHAnsi"/>
          <w:color w:val="000000" w:themeColor="text1"/>
          <w:sz w:val="24"/>
          <w:szCs w:val="24"/>
        </w:rPr>
        <w:t xml:space="preserve"> </w:t>
      </w:r>
      <w:r w:rsidRPr="00375799">
        <w:rPr>
          <w:rFonts w:cstheme="minorHAnsi"/>
          <w:color w:val="000000" w:themeColor="text1"/>
          <w:spacing w:val="-8"/>
          <w:sz w:val="24"/>
          <w:szCs w:val="24"/>
        </w:rPr>
        <w:t>danych osobowych w systemach informatycznych i teleinformatycznych obsługujących</w:t>
      </w:r>
      <w:r w:rsidRPr="00375799">
        <w:rPr>
          <w:rFonts w:cstheme="minorHAnsi"/>
          <w:color w:val="000000" w:themeColor="text1"/>
          <w:sz w:val="24"/>
          <w:szCs w:val="24"/>
        </w:rPr>
        <w:t xml:space="preserve"> działalność </w:t>
      </w:r>
      <w:r w:rsidRPr="00375799">
        <w:rPr>
          <w:rFonts w:cstheme="minorHAnsi"/>
          <w:color w:val="000000" w:themeColor="text1"/>
          <w:spacing w:val="-4"/>
          <w:sz w:val="24"/>
          <w:szCs w:val="24"/>
        </w:rPr>
        <w:t>archiwalną, w stosunku do których nie jest on administratorem ani przetwarzającym</w:t>
      </w:r>
      <w:r w:rsidRPr="00375799">
        <w:rPr>
          <w:rFonts w:cstheme="minorHAnsi"/>
          <w:color w:val="000000" w:themeColor="text1"/>
          <w:sz w:val="24"/>
          <w:szCs w:val="24"/>
        </w:rPr>
        <w:t xml:space="preserve"> dane. Jednocześnie uwzględnić należało przypadki, w których organ </w:t>
      </w:r>
      <w:r w:rsidRPr="00375799">
        <w:rPr>
          <w:rFonts w:cstheme="minorHAnsi"/>
          <w:color w:val="000000" w:themeColor="text1"/>
          <w:spacing w:val="-2"/>
          <w:sz w:val="24"/>
          <w:szCs w:val="24"/>
        </w:rPr>
        <w:t>ten pełni funkcję administratora systemów informatycznych i teleinformatycznych</w:t>
      </w:r>
      <w:r w:rsidRPr="00375799">
        <w:rPr>
          <w:rFonts w:cstheme="minorHAnsi"/>
          <w:color w:val="000000" w:themeColor="text1"/>
          <w:sz w:val="24"/>
          <w:szCs w:val="24"/>
        </w:rPr>
        <w:t>, a wówczas na zasadach ogólnych odpowiada za bezpieczeństwo przetwarzanych w nich danych osobowych.</w:t>
      </w:r>
    </w:p>
    <w:p w14:paraId="36B5832A" w14:textId="1176A400" w:rsidR="002475E0" w:rsidRPr="00375799" w:rsidRDefault="002475E0" w:rsidP="0055107B">
      <w:pPr>
        <w:spacing w:line="276" w:lineRule="auto"/>
        <w:contextualSpacing/>
        <w:jc w:val="both"/>
        <w:rPr>
          <w:rFonts w:cstheme="minorHAnsi"/>
          <w:color w:val="000000" w:themeColor="text1"/>
          <w:sz w:val="24"/>
          <w:szCs w:val="24"/>
        </w:rPr>
      </w:pPr>
      <w:r w:rsidRPr="00375799">
        <w:rPr>
          <w:rFonts w:cstheme="minorHAnsi"/>
          <w:color w:val="000000" w:themeColor="text1"/>
          <w:spacing w:val="-6"/>
          <w:sz w:val="24"/>
          <w:szCs w:val="24"/>
        </w:rPr>
        <w:t>Ponadto dodano uprawnienie Naczelnego Dyrektora A</w:t>
      </w:r>
      <w:r w:rsidR="00B02E53">
        <w:rPr>
          <w:rFonts w:cstheme="minorHAnsi"/>
          <w:color w:val="000000" w:themeColor="text1"/>
          <w:spacing w:val="-6"/>
          <w:sz w:val="24"/>
          <w:szCs w:val="24"/>
        </w:rPr>
        <w:t xml:space="preserve">rchiwów </w:t>
      </w:r>
      <w:r w:rsidRPr="00375799">
        <w:rPr>
          <w:rFonts w:cstheme="minorHAnsi"/>
          <w:color w:val="000000" w:themeColor="text1"/>
          <w:spacing w:val="-6"/>
          <w:sz w:val="24"/>
          <w:szCs w:val="24"/>
        </w:rPr>
        <w:t>P</w:t>
      </w:r>
      <w:r w:rsidR="00B02E53">
        <w:rPr>
          <w:rFonts w:cstheme="minorHAnsi"/>
          <w:color w:val="000000" w:themeColor="text1"/>
          <w:spacing w:val="-6"/>
          <w:sz w:val="24"/>
          <w:szCs w:val="24"/>
        </w:rPr>
        <w:t>aństwowych</w:t>
      </w:r>
      <w:r w:rsidRPr="00375799">
        <w:rPr>
          <w:rFonts w:cstheme="minorHAnsi"/>
          <w:color w:val="000000" w:themeColor="text1"/>
          <w:spacing w:val="-6"/>
          <w:sz w:val="24"/>
          <w:szCs w:val="24"/>
        </w:rPr>
        <w:t xml:space="preserve"> do stanowienia aktów prawa</w:t>
      </w:r>
      <w:r w:rsidRPr="00375799">
        <w:rPr>
          <w:rFonts w:cstheme="minorHAnsi"/>
          <w:color w:val="000000" w:themeColor="text1"/>
          <w:sz w:val="24"/>
          <w:szCs w:val="24"/>
        </w:rPr>
        <w:t xml:space="preserve"> wewnętrznego w zakresie działania polegającego na koordynacji projektowania, </w:t>
      </w:r>
      <w:r w:rsidR="00B02E53">
        <w:rPr>
          <w:rFonts w:cstheme="minorHAnsi"/>
          <w:color w:val="000000" w:themeColor="text1"/>
          <w:spacing w:val="-6"/>
          <w:sz w:val="24"/>
          <w:szCs w:val="24"/>
        </w:rPr>
        <w:t xml:space="preserve">tworzenia i </w:t>
      </w:r>
      <w:r w:rsidRPr="00375799">
        <w:rPr>
          <w:rFonts w:cstheme="minorHAnsi"/>
          <w:color w:val="000000" w:themeColor="text1"/>
          <w:spacing w:val="-6"/>
          <w:sz w:val="24"/>
          <w:szCs w:val="24"/>
        </w:rPr>
        <w:t>funkcjonowania takich systemów. Niezbędne było również rozszerzenie</w:t>
      </w:r>
      <w:r w:rsidRPr="00375799">
        <w:rPr>
          <w:rFonts w:cstheme="minorHAnsi"/>
          <w:color w:val="000000" w:themeColor="text1"/>
          <w:spacing w:val="-4"/>
          <w:sz w:val="24"/>
          <w:szCs w:val="24"/>
        </w:rPr>
        <w:t xml:space="preserve"> na systemy informatyczne ustawowego upoważnienia do korzystania z systemów na podstawie umowy</w:t>
      </w:r>
      <w:r w:rsidRPr="00375799">
        <w:rPr>
          <w:rFonts w:cstheme="minorHAnsi"/>
          <w:color w:val="000000" w:themeColor="text1"/>
          <w:sz w:val="24"/>
          <w:szCs w:val="24"/>
        </w:rPr>
        <w:t xml:space="preserve"> przez jednostki państwowej sieci archiwalnej niepodlegające Naczelnemu Dyrektorowi</w:t>
      </w:r>
      <w:r w:rsidR="00B02E53">
        <w:rPr>
          <w:rFonts w:cstheme="minorHAnsi"/>
          <w:color w:val="000000" w:themeColor="text1"/>
          <w:sz w:val="24"/>
          <w:szCs w:val="24"/>
        </w:rPr>
        <w:t xml:space="preserve"> Archiwów Państwowych</w:t>
      </w:r>
      <w:r w:rsidRPr="00375799">
        <w:rPr>
          <w:rFonts w:cstheme="minorHAnsi"/>
          <w:color w:val="000000" w:themeColor="text1"/>
          <w:sz w:val="24"/>
          <w:szCs w:val="24"/>
        </w:rPr>
        <w:t>.</w:t>
      </w:r>
    </w:p>
    <w:p w14:paraId="6C75BF51" w14:textId="05C37DFE" w:rsidR="002475E0" w:rsidRPr="00375799" w:rsidRDefault="002475E0" w:rsidP="0055107B">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t xml:space="preserve">Wymogi integralności i autentyczności materiałów archiwalnych jako świadectw historii wykluczają ingerencję w nie poprzez literalne sprostowanie lub uzupełnienie danych osobowych, o którym mowa w art. 16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Zmiana treści tych materiałów </w:t>
      </w:r>
      <w:r w:rsidRPr="00375799">
        <w:rPr>
          <w:rFonts w:cstheme="minorHAnsi"/>
          <w:color w:val="000000" w:themeColor="text1"/>
          <w:spacing w:val="-4"/>
          <w:sz w:val="24"/>
          <w:szCs w:val="24"/>
        </w:rPr>
        <w:t>rażąco kolidowałoby z celami działalności archiwalnej. Powyższe wymogi nie sprzeciwiają</w:t>
      </w:r>
      <w:r w:rsidRPr="00375799">
        <w:rPr>
          <w:rFonts w:cstheme="minorHAnsi"/>
          <w:color w:val="000000" w:themeColor="text1"/>
          <w:sz w:val="24"/>
          <w:szCs w:val="24"/>
        </w:rPr>
        <w:t xml:space="preserve"> się natomiast dołączaniu dodatkowych informacji  przez </w:t>
      </w:r>
      <w:r w:rsidRPr="00375799">
        <w:rPr>
          <w:rFonts w:cstheme="minorHAnsi"/>
          <w:color w:val="000000" w:themeColor="text1"/>
          <w:spacing w:val="-4"/>
          <w:sz w:val="24"/>
          <w:szCs w:val="24"/>
        </w:rPr>
        <w:t>osoby zainteresowane. Wykładnia językowa może jednak prowadzić do rozumienia</w:t>
      </w:r>
      <w:r w:rsidRPr="00375799">
        <w:rPr>
          <w:rFonts w:cstheme="minorHAnsi"/>
          <w:color w:val="000000" w:themeColor="text1"/>
          <w:sz w:val="24"/>
          <w:szCs w:val="24"/>
        </w:rPr>
        <w:t xml:space="preserve"> sprostowania jako całkowitego zatarcia informacji kwestionowanych i zastąpienie ich innymi, </w:t>
      </w:r>
      <w:r w:rsidRPr="00375799">
        <w:rPr>
          <w:rFonts w:cstheme="minorHAnsi"/>
          <w:color w:val="000000" w:themeColor="text1"/>
          <w:spacing w:val="-4"/>
          <w:sz w:val="24"/>
          <w:szCs w:val="24"/>
        </w:rPr>
        <w:t>uważanymi za poprawne. Odpowiednio, uzupełnienie mogłoby być rozumiane jako zastąpienie pierwotnego zestawu danych przez zestaw poszerzony, bez wyróżniania (zaznaczania) różnicy między nimi. Osoby te zasadnie mogą więc przyjmować projektowane</w:t>
      </w:r>
      <w:r w:rsidRPr="00375799">
        <w:rPr>
          <w:rFonts w:cstheme="minorHAnsi"/>
          <w:color w:val="000000" w:themeColor="text1"/>
          <w:sz w:val="24"/>
          <w:szCs w:val="24"/>
        </w:rPr>
        <w:t xml:space="preserve"> rozwiązanie jako ograniczenie ich praw. Niezbędne jest wobec tego wyraźne wyłączenie oczekiwanego przez zainteresowanych usunięcia wybranych informacji, odpowiadające przepisom art. 89 ust. 3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7C397731" w14:textId="742FBBA2" w:rsidR="002475E0" w:rsidRPr="00375799" w:rsidRDefault="002475E0" w:rsidP="0055107B">
      <w:pPr>
        <w:spacing w:line="276" w:lineRule="auto"/>
        <w:contextualSpacing/>
        <w:jc w:val="both"/>
        <w:rPr>
          <w:rFonts w:cstheme="minorHAnsi"/>
          <w:color w:val="000000" w:themeColor="text1"/>
          <w:sz w:val="24"/>
          <w:szCs w:val="24"/>
        </w:rPr>
      </w:pPr>
      <w:r w:rsidRPr="00375799">
        <w:rPr>
          <w:rFonts w:cstheme="minorHAnsi"/>
          <w:color w:val="000000" w:themeColor="text1"/>
          <w:spacing w:val="-4"/>
          <w:sz w:val="24"/>
          <w:szCs w:val="24"/>
        </w:rPr>
        <w:t xml:space="preserve">Przesłanki ograniczenia przetwarzania danych, określone w art. 18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są niespójne lub wprost kolidują z przesłankami podejmowania działalności archiwalnej (realizacji celów archiwalnych w interesie publicznym). Materiały archiwalne gromadzone są przez archiwa ze względu na </w:t>
      </w:r>
      <w:r w:rsidRPr="00375799">
        <w:rPr>
          <w:rFonts w:cstheme="minorHAnsi"/>
          <w:color w:val="000000" w:themeColor="text1"/>
          <w:spacing w:val="-2"/>
          <w:sz w:val="24"/>
          <w:szCs w:val="24"/>
        </w:rPr>
        <w:t>ich trwałą wartość informacyjną, a ich ewentualne wady – w tym nieprawidłowość</w:t>
      </w:r>
      <w:r w:rsidRPr="00375799">
        <w:rPr>
          <w:rFonts w:cstheme="minorHAnsi"/>
          <w:color w:val="000000" w:themeColor="text1"/>
          <w:sz w:val="24"/>
          <w:szCs w:val="24"/>
        </w:rPr>
        <w:t xml:space="preserve"> </w:t>
      </w:r>
      <w:r w:rsidRPr="00375799">
        <w:rPr>
          <w:rFonts w:cstheme="minorHAnsi"/>
          <w:color w:val="000000" w:themeColor="text1"/>
          <w:spacing w:val="-4"/>
          <w:sz w:val="24"/>
          <w:szCs w:val="24"/>
        </w:rPr>
        <w:t>lub sprzeczność z prawem – uważane są za chronioną cechę oryginalną, świadectwo</w:t>
      </w:r>
      <w:r w:rsidRPr="00375799">
        <w:rPr>
          <w:rFonts w:cstheme="minorHAnsi"/>
          <w:color w:val="000000" w:themeColor="text1"/>
          <w:sz w:val="24"/>
          <w:szCs w:val="24"/>
        </w:rPr>
        <w:t xml:space="preserve"> przeszłości. Wady te, w świetle ustawy, nie sprzeciwiają się przetwarzaniu informacji, w tym danych osobowych, z zastrzeżeniem odrębnego statusu ich udostępniania. Ograniczenie przetwarzania danych, o którym mowa w art. 18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byłoby natomiast równoznaczne ze zredukowaniem </w:t>
      </w:r>
      <w:r w:rsidRPr="00375799">
        <w:rPr>
          <w:rFonts w:cstheme="minorHAnsi"/>
          <w:color w:val="000000" w:themeColor="text1"/>
          <w:spacing w:val="-4"/>
          <w:sz w:val="24"/>
          <w:szCs w:val="24"/>
        </w:rPr>
        <w:t>działalności archiwalnej w stosunku do nich do przechowywania, z wykluczeniem</w:t>
      </w:r>
      <w:r w:rsidRPr="00375799">
        <w:rPr>
          <w:rFonts w:cstheme="minorHAnsi"/>
          <w:color w:val="000000" w:themeColor="text1"/>
          <w:sz w:val="24"/>
          <w:szCs w:val="24"/>
        </w:rPr>
        <w:t xml:space="preserve"> ich ewidencjonowania, opracowania, a także zabezpieczenia, w tym konserwacji ewentualnie niezbędnej do zapobieżenia utracie dokumentów. Ograniczenie praw osób, których dane dotyczą, należy odnieść do art. 18 ust. 1 lit. a</w:t>
      </w:r>
      <w:r w:rsidR="00B02E53">
        <w:rPr>
          <w:rFonts w:cstheme="minorHAnsi"/>
          <w:color w:val="000000" w:themeColor="text1"/>
          <w:sz w:val="24"/>
          <w:szCs w:val="24"/>
        </w:rPr>
        <w:t xml:space="preserve"> i </w:t>
      </w:r>
      <w:r w:rsidRPr="00375799">
        <w:rPr>
          <w:rFonts w:cstheme="minorHAnsi"/>
          <w:color w:val="000000" w:themeColor="text1"/>
          <w:sz w:val="24"/>
          <w:szCs w:val="24"/>
        </w:rPr>
        <w:t xml:space="preserve">b, gdyż w tym zakresie </w:t>
      </w:r>
      <w:r w:rsidRPr="00375799">
        <w:rPr>
          <w:rFonts w:cstheme="minorHAnsi"/>
          <w:color w:val="000000" w:themeColor="text1"/>
          <w:spacing w:val="-4"/>
          <w:sz w:val="24"/>
          <w:szCs w:val="24"/>
        </w:rPr>
        <w:t>wykonywanie tych praw poważnie utrudniałoby lub uniemożliwiało prowadzenie</w:t>
      </w:r>
      <w:r w:rsidRPr="00375799">
        <w:rPr>
          <w:rFonts w:cstheme="minorHAnsi"/>
          <w:color w:val="000000" w:themeColor="text1"/>
          <w:sz w:val="24"/>
          <w:szCs w:val="24"/>
        </w:rPr>
        <w:t xml:space="preserve"> działalności archiwalnej – co stanowi przesłankę wyjątku z art. 89 ust. 3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439E7AE0" w14:textId="77777777" w:rsidR="002475E0" w:rsidRPr="00375799" w:rsidRDefault="002475E0" w:rsidP="0055107B">
      <w:pPr>
        <w:spacing w:line="276" w:lineRule="auto"/>
        <w:contextualSpacing/>
        <w:jc w:val="both"/>
        <w:rPr>
          <w:rFonts w:cstheme="minorHAnsi"/>
          <w:color w:val="000000" w:themeColor="text1"/>
          <w:sz w:val="24"/>
          <w:szCs w:val="24"/>
        </w:rPr>
      </w:pPr>
      <w:r w:rsidRPr="00375799">
        <w:rPr>
          <w:rFonts w:cstheme="minorHAnsi"/>
          <w:color w:val="000000" w:themeColor="text1"/>
          <w:spacing w:val="-4"/>
          <w:sz w:val="24"/>
          <w:szCs w:val="24"/>
        </w:rPr>
        <w:lastRenderedPageBreak/>
        <w:t xml:space="preserve">Powyższe ograniczenie obowiązków i praw nie powoduje ryzyka bezprawnego udostępniania </w:t>
      </w:r>
      <w:r w:rsidRPr="00375799">
        <w:rPr>
          <w:rFonts w:cstheme="minorHAnsi"/>
          <w:color w:val="000000" w:themeColor="text1"/>
          <w:spacing w:val="-12"/>
          <w:sz w:val="24"/>
          <w:szCs w:val="24"/>
        </w:rPr>
        <w:t>chronionych danych osobowych, gdyż podlega ono odrębnie określonym zabezpieczeniom,</w:t>
      </w:r>
      <w:r w:rsidRPr="00375799">
        <w:rPr>
          <w:rFonts w:cstheme="minorHAnsi"/>
          <w:color w:val="000000" w:themeColor="text1"/>
          <w:sz w:val="24"/>
          <w:szCs w:val="24"/>
        </w:rPr>
        <w:t xml:space="preserve"> zarówno w zakresie projektowanych zmian w ustawie, jak i jej </w:t>
      </w:r>
      <w:r w:rsidRPr="00375799">
        <w:rPr>
          <w:rFonts w:cstheme="minorHAnsi"/>
          <w:color w:val="000000" w:themeColor="text1"/>
          <w:spacing w:val="-4"/>
          <w:sz w:val="24"/>
          <w:szCs w:val="24"/>
        </w:rPr>
        <w:t>obowiązujących przepisów. Nie wyłącza też wewnętrznych procedur w archiwach,</w:t>
      </w:r>
      <w:r w:rsidRPr="00375799">
        <w:rPr>
          <w:rFonts w:cstheme="minorHAnsi"/>
          <w:color w:val="000000" w:themeColor="text1"/>
          <w:sz w:val="24"/>
          <w:szCs w:val="24"/>
        </w:rPr>
        <w:t xml:space="preserve"> </w:t>
      </w:r>
      <w:r w:rsidRPr="00375799">
        <w:rPr>
          <w:rFonts w:cstheme="minorHAnsi"/>
          <w:color w:val="000000" w:themeColor="text1"/>
          <w:spacing w:val="-6"/>
          <w:sz w:val="24"/>
          <w:szCs w:val="24"/>
        </w:rPr>
        <w:t>które mają na celu uniemożliwienie wglądu w dane nieupoważnionym pracownikom.</w:t>
      </w:r>
      <w:r w:rsidRPr="00375799">
        <w:rPr>
          <w:rFonts w:cstheme="minorHAnsi"/>
          <w:color w:val="000000" w:themeColor="text1"/>
          <w:sz w:val="24"/>
          <w:szCs w:val="24"/>
        </w:rPr>
        <w:t xml:space="preserve"> Te zabezpieczenia i procedury zapobiegają naruszeniu istoty ochrony danych. </w:t>
      </w:r>
    </w:p>
    <w:p w14:paraId="31DCC8C1" w14:textId="77777777" w:rsidR="002475E0" w:rsidRPr="00375799" w:rsidRDefault="002475E0" w:rsidP="0055107B">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t xml:space="preserve">Z drugiej strony należy jednak wziąć pod uwagę, że bezpieczeństwo danych osobowych nie jest wartością bezwzględnie nadrzędną w stosunku do innych prawnie chronionych wartości, w tym m.in. wolności badań naukowych. Z tego </w:t>
      </w:r>
      <w:r w:rsidRPr="00375799">
        <w:rPr>
          <w:rFonts w:cstheme="minorHAnsi"/>
          <w:color w:val="000000" w:themeColor="text1"/>
          <w:spacing w:val="-4"/>
          <w:sz w:val="24"/>
          <w:szCs w:val="24"/>
        </w:rPr>
        <w:t>względu nie można całkowicie wykluczyć warunkowego udostępniania materiałów</w:t>
      </w:r>
      <w:r w:rsidRPr="00375799">
        <w:rPr>
          <w:rFonts w:cstheme="minorHAnsi"/>
          <w:color w:val="000000" w:themeColor="text1"/>
          <w:sz w:val="24"/>
          <w:szCs w:val="24"/>
        </w:rPr>
        <w:t xml:space="preserve"> </w:t>
      </w:r>
      <w:r w:rsidRPr="00375799">
        <w:rPr>
          <w:rFonts w:cstheme="minorHAnsi"/>
          <w:color w:val="000000" w:themeColor="text1"/>
          <w:spacing w:val="-6"/>
          <w:sz w:val="24"/>
          <w:szCs w:val="24"/>
        </w:rPr>
        <w:t>archiwalnych zawierających niezabezpieczone dane osobowe, jeśli jest to uzasadnione</w:t>
      </w:r>
      <w:r w:rsidRPr="00375799">
        <w:rPr>
          <w:rFonts w:cstheme="minorHAnsi"/>
          <w:color w:val="000000" w:themeColor="text1"/>
          <w:sz w:val="24"/>
          <w:szCs w:val="24"/>
        </w:rPr>
        <w:t xml:space="preserve"> celami udostępnienia, a wynikowe opracowania byłyby zanonimizowane. </w:t>
      </w:r>
    </w:p>
    <w:p w14:paraId="7E0E64BC" w14:textId="109016C9" w:rsidR="002475E0" w:rsidRPr="00375799" w:rsidRDefault="002475E0" w:rsidP="0055107B">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t xml:space="preserve">Ze względu na ograniczenia wiedzy archiwów co do zawartości materiałów archiwalnych przejmowanych od ich wytwórców albo dysponentów, powstaje ryzyko niepełnej realizacji przez archiwa prawa dostępu przysługującego osobie, </w:t>
      </w:r>
      <w:r w:rsidRPr="00375799">
        <w:rPr>
          <w:rFonts w:cstheme="minorHAnsi"/>
          <w:color w:val="000000" w:themeColor="text1"/>
          <w:spacing w:val="-4"/>
          <w:sz w:val="24"/>
          <w:szCs w:val="24"/>
        </w:rPr>
        <w:t xml:space="preserve">której dane dotyczą – na podstawie art. 15 </w:t>
      </w:r>
      <w:r w:rsidR="00CA3E2C" w:rsidRPr="00375799">
        <w:rPr>
          <w:rFonts w:cstheme="minorHAnsi"/>
          <w:color w:val="000000" w:themeColor="text1"/>
          <w:sz w:val="24"/>
          <w:szCs w:val="24"/>
        </w:rPr>
        <w:t>RODO</w:t>
      </w:r>
      <w:r w:rsidRPr="00375799">
        <w:rPr>
          <w:rFonts w:cstheme="minorHAnsi"/>
          <w:color w:val="000000" w:themeColor="text1"/>
          <w:spacing w:val="-4"/>
          <w:sz w:val="24"/>
          <w:szCs w:val="24"/>
        </w:rPr>
        <w:t>. Niemożność zapewnienia dostępu nie znajduje oparcia w odrębnie ustanowionym</w:t>
      </w:r>
      <w:r w:rsidRPr="00375799">
        <w:rPr>
          <w:rFonts w:cstheme="minorHAnsi"/>
          <w:color w:val="000000" w:themeColor="text1"/>
          <w:sz w:val="24"/>
          <w:szCs w:val="24"/>
        </w:rPr>
        <w:t xml:space="preserve"> </w:t>
      </w:r>
      <w:r w:rsidRPr="00375799">
        <w:rPr>
          <w:rFonts w:cstheme="minorHAnsi"/>
          <w:color w:val="000000" w:themeColor="text1"/>
          <w:spacing w:val="-6"/>
          <w:sz w:val="24"/>
          <w:szCs w:val="24"/>
        </w:rPr>
        <w:t>przyzwoleniu na ograniczone wykonywanie obowiązków</w:t>
      </w:r>
      <w:r w:rsidRPr="00375799">
        <w:rPr>
          <w:rFonts w:cstheme="minorHAnsi"/>
          <w:color w:val="000000" w:themeColor="text1"/>
          <w:sz w:val="24"/>
          <w:szCs w:val="24"/>
        </w:rPr>
        <w:t xml:space="preserve"> informacyjnych, a więc wymaga odrębnego zastrzeżenia w prawie krajowym. </w:t>
      </w:r>
    </w:p>
    <w:p w14:paraId="093B6B39" w14:textId="0DB4685A" w:rsidR="002475E0" w:rsidRPr="00375799" w:rsidRDefault="002475E0" w:rsidP="0055107B">
      <w:pPr>
        <w:spacing w:line="276" w:lineRule="auto"/>
        <w:contextualSpacing/>
        <w:jc w:val="both"/>
        <w:rPr>
          <w:rFonts w:cstheme="minorHAnsi"/>
          <w:color w:val="000000" w:themeColor="text1"/>
          <w:spacing w:val="-6"/>
          <w:sz w:val="24"/>
          <w:szCs w:val="24"/>
        </w:rPr>
      </w:pPr>
      <w:r w:rsidRPr="00375799">
        <w:rPr>
          <w:rFonts w:cstheme="minorHAnsi"/>
          <w:color w:val="000000" w:themeColor="text1"/>
          <w:spacing w:val="-2"/>
          <w:sz w:val="24"/>
          <w:szCs w:val="24"/>
        </w:rPr>
        <w:t>Archiwa nie używają danych osobowych tak, jak czynią to urzędy administracji i</w:t>
      </w:r>
      <w:r w:rsidRPr="00375799">
        <w:rPr>
          <w:rFonts w:cstheme="minorHAnsi"/>
          <w:color w:val="000000" w:themeColor="text1"/>
          <w:spacing w:val="-8"/>
          <w:sz w:val="24"/>
          <w:szCs w:val="24"/>
        </w:rPr>
        <w:t xml:space="preserve"> </w:t>
      </w:r>
      <w:r w:rsidRPr="00375799">
        <w:rPr>
          <w:rFonts w:cstheme="minorHAnsi"/>
          <w:color w:val="000000" w:themeColor="text1"/>
          <w:sz w:val="24"/>
          <w:szCs w:val="24"/>
        </w:rPr>
        <w:t>organy</w:t>
      </w:r>
      <w:r w:rsidRPr="00375799">
        <w:rPr>
          <w:rFonts w:cstheme="minorHAnsi"/>
          <w:color w:val="000000" w:themeColor="text1"/>
          <w:spacing w:val="-8"/>
          <w:sz w:val="24"/>
          <w:szCs w:val="24"/>
        </w:rPr>
        <w:t xml:space="preserve"> władzy publicznej, ale przede</w:t>
      </w:r>
      <w:r w:rsidRPr="00375799">
        <w:rPr>
          <w:rFonts w:cstheme="minorHAnsi"/>
          <w:color w:val="000000" w:themeColor="text1"/>
          <w:spacing w:val="-6"/>
          <w:sz w:val="24"/>
          <w:szCs w:val="24"/>
        </w:rPr>
        <w:t xml:space="preserve"> wszystkim </w:t>
      </w:r>
      <w:r w:rsidRPr="00375799">
        <w:rPr>
          <w:rFonts w:cstheme="minorHAnsi"/>
          <w:color w:val="000000" w:themeColor="text1"/>
          <w:sz w:val="24"/>
          <w:szCs w:val="24"/>
        </w:rPr>
        <w:t>zapewniają warunki korzystani</w:t>
      </w:r>
      <w:r w:rsidR="00D74EBD">
        <w:rPr>
          <w:rFonts w:cstheme="minorHAnsi"/>
          <w:color w:val="000000" w:themeColor="text1"/>
          <w:sz w:val="24"/>
          <w:szCs w:val="24"/>
        </w:rPr>
        <w:t xml:space="preserve">a z </w:t>
      </w:r>
      <w:r w:rsidR="000E0903">
        <w:rPr>
          <w:rFonts w:cstheme="minorHAnsi"/>
          <w:color w:val="000000" w:themeColor="text1"/>
          <w:sz w:val="24"/>
          <w:szCs w:val="24"/>
        </w:rPr>
        <w:t xml:space="preserve">nich przez osoby trzecie. Z </w:t>
      </w:r>
      <w:r w:rsidRPr="00375799">
        <w:rPr>
          <w:rFonts w:cstheme="minorHAnsi"/>
          <w:color w:val="000000" w:themeColor="text1"/>
          <w:sz w:val="24"/>
          <w:szCs w:val="24"/>
        </w:rPr>
        <w:t xml:space="preserve">reguły nie dysponują ani nie sporządzają ewidencji </w:t>
      </w:r>
      <w:r w:rsidRPr="00375799">
        <w:rPr>
          <w:rFonts w:cstheme="minorHAnsi"/>
          <w:color w:val="000000" w:themeColor="text1"/>
          <w:spacing w:val="-4"/>
          <w:sz w:val="24"/>
          <w:szCs w:val="24"/>
        </w:rPr>
        <w:t xml:space="preserve">na poziomie danych jednostkowych. </w:t>
      </w:r>
      <w:r w:rsidRPr="00375799">
        <w:rPr>
          <w:rFonts w:cstheme="minorHAnsi"/>
          <w:color w:val="000000" w:themeColor="text1"/>
          <w:spacing w:val="-6"/>
          <w:sz w:val="24"/>
          <w:szCs w:val="24"/>
        </w:rPr>
        <w:t>Typowe, zgodne</w:t>
      </w:r>
      <w:r w:rsidRPr="00375799">
        <w:rPr>
          <w:rFonts w:cstheme="minorHAnsi"/>
          <w:color w:val="000000" w:themeColor="text1"/>
          <w:spacing w:val="-4"/>
          <w:sz w:val="24"/>
          <w:szCs w:val="24"/>
        </w:rPr>
        <w:t xml:space="preserve"> z przyjętą metodyką środki ewidencji zasobu archiwalnego odznaczają się wysoką skutecznością wyszukiwania, </w:t>
      </w:r>
      <w:r w:rsidRPr="00375799">
        <w:rPr>
          <w:rFonts w:cstheme="minorHAnsi"/>
          <w:color w:val="000000" w:themeColor="text1"/>
          <w:sz w:val="24"/>
          <w:szCs w:val="24"/>
        </w:rPr>
        <w:t>ale nie dają całkowitej gwarancji poprawnego wyniku. Natomiast lustrowanie</w:t>
      </w:r>
      <w:r w:rsidRPr="00375799">
        <w:rPr>
          <w:rFonts w:cstheme="minorHAnsi"/>
          <w:color w:val="000000" w:themeColor="text1"/>
          <w:spacing w:val="-4"/>
          <w:sz w:val="24"/>
          <w:szCs w:val="24"/>
        </w:rPr>
        <w:t xml:space="preserve"> zgromadzonych zasobów w celu</w:t>
      </w:r>
      <w:r w:rsidRPr="00375799">
        <w:rPr>
          <w:rFonts w:cstheme="minorHAnsi"/>
          <w:color w:val="000000" w:themeColor="text1"/>
          <w:sz w:val="24"/>
          <w:szCs w:val="24"/>
        </w:rPr>
        <w:t xml:space="preserve"> pełnej identyfikacji zawartych w nich danych </w:t>
      </w:r>
      <w:r w:rsidRPr="00375799">
        <w:rPr>
          <w:rFonts w:cstheme="minorHAnsi"/>
          <w:color w:val="000000" w:themeColor="text1"/>
          <w:spacing w:val="-4"/>
          <w:sz w:val="24"/>
          <w:szCs w:val="24"/>
        </w:rPr>
        <w:t>osobowych, a także rozszerzenie szczegółowego indeksowania na całość materiałów</w:t>
      </w:r>
      <w:r w:rsidRPr="00375799">
        <w:rPr>
          <w:rFonts w:cstheme="minorHAnsi"/>
          <w:color w:val="000000" w:themeColor="text1"/>
          <w:sz w:val="24"/>
          <w:szCs w:val="24"/>
        </w:rPr>
        <w:t xml:space="preserve"> archiwalnych, </w:t>
      </w:r>
      <w:r w:rsidRPr="00375799">
        <w:rPr>
          <w:rFonts w:cstheme="minorHAnsi"/>
          <w:color w:val="000000" w:themeColor="text1"/>
          <w:spacing w:val="-4"/>
          <w:sz w:val="24"/>
          <w:szCs w:val="24"/>
        </w:rPr>
        <w:t>które mogą zawierać chronione, dane osobowe poważnie utrudniłoby wykonywanie</w:t>
      </w:r>
      <w:r w:rsidRPr="00375799">
        <w:rPr>
          <w:rFonts w:cstheme="minorHAnsi"/>
          <w:color w:val="000000" w:themeColor="text1"/>
          <w:sz w:val="24"/>
          <w:szCs w:val="24"/>
        </w:rPr>
        <w:t xml:space="preserve"> innych </w:t>
      </w:r>
      <w:r w:rsidRPr="00375799">
        <w:rPr>
          <w:rFonts w:cstheme="minorHAnsi"/>
          <w:color w:val="000000" w:themeColor="text1"/>
          <w:spacing w:val="-6"/>
          <w:sz w:val="24"/>
          <w:szCs w:val="24"/>
        </w:rPr>
        <w:t xml:space="preserve">zadań zaliczanych do działalności archiwalnej w rozumieniu ustawy. </w:t>
      </w:r>
      <w:r w:rsidRPr="00375799">
        <w:rPr>
          <w:rFonts w:cstheme="minorHAnsi"/>
          <w:color w:val="000000" w:themeColor="text1"/>
          <w:spacing w:val="-4"/>
          <w:sz w:val="24"/>
          <w:szCs w:val="24"/>
        </w:rPr>
        <w:t>Projektowane</w:t>
      </w:r>
      <w:r w:rsidRPr="00375799">
        <w:rPr>
          <w:rFonts w:cstheme="minorHAnsi"/>
          <w:color w:val="000000" w:themeColor="text1"/>
          <w:sz w:val="24"/>
          <w:szCs w:val="24"/>
        </w:rPr>
        <w:t xml:space="preserve"> ograniczenie </w:t>
      </w:r>
      <w:r w:rsidRPr="00375799">
        <w:rPr>
          <w:rFonts w:cstheme="minorHAnsi"/>
          <w:color w:val="000000" w:themeColor="text1"/>
          <w:spacing w:val="-6"/>
          <w:sz w:val="24"/>
          <w:szCs w:val="24"/>
        </w:rPr>
        <w:t xml:space="preserve">obowiązków i praw wynikłych z art. 15 ust. 1 i 3 </w:t>
      </w:r>
      <w:r w:rsidR="00CA3E2C" w:rsidRPr="00375799">
        <w:rPr>
          <w:rFonts w:cstheme="minorHAnsi"/>
          <w:color w:val="000000" w:themeColor="text1"/>
          <w:spacing w:val="-6"/>
          <w:sz w:val="24"/>
          <w:szCs w:val="24"/>
        </w:rPr>
        <w:t>RODO</w:t>
      </w:r>
      <w:r w:rsidRPr="00375799">
        <w:rPr>
          <w:rFonts w:cstheme="minorHAnsi"/>
          <w:color w:val="000000" w:themeColor="text1"/>
          <w:spacing w:val="-6"/>
          <w:sz w:val="24"/>
          <w:szCs w:val="24"/>
        </w:rPr>
        <w:t xml:space="preserve"> spełnia więc warunki art. 89 ust. 3 tego rozporządzenia. </w:t>
      </w:r>
    </w:p>
    <w:p w14:paraId="478D24FA" w14:textId="77777777" w:rsidR="002475E0" w:rsidRPr="00375799" w:rsidRDefault="002475E0" w:rsidP="0055107B">
      <w:pPr>
        <w:spacing w:line="276" w:lineRule="auto"/>
        <w:contextualSpacing/>
        <w:jc w:val="both"/>
        <w:rPr>
          <w:rFonts w:cstheme="minorHAnsi"/>
          <w:color w:val="000000" w:themeColor="text1"/>
          <w:spacing w:val="-6"/>
          <w:sz w:val="24"/>
          <w:szCs w:val="24"/>
        </w:rPr>
      </w:pPr>
      <w:r w:rsidRPr="00375799">
        <w:rPr>
          <w:rFonts w:cstheme="minorHAnsi"/>
          <w:color w:val="000000" w:themeColor="text1"/>
          <w:spacing w:val="-6"/>
          <w:sz w:val="24"/>
          <w:szCs w:val="24"/>
        </w:rPr>
        <w:t xml:space="preserve">Zabezpieczenia danych osobowych obejmują typowe środki – zwłaszcza </w:t>
      </w:r>
      <w:proofErr w:type="spellStart"/>
      <w:r w:rsidRPr="00375799">
        <w:rPr>
          <w:rFonts w:cstheme="minorHAnsi"/>
          <w:color w:val="000000" w:themeColor="text1"/>
          <w:spacing w:val="-6"/>
          <w:sz w:val="24"/>
          <w:szCs w:val="24"/>
        </w:rPr>
        <w:t>anonimizację</w:t>
      </w:r>
      <w:proofErr w:type="spellEnd"/>
      <w:r w:rsidRPr="00375799">
        <w:rPr>
          <w:rFonts w:cstheme="minorHAnsi"/>
          <w:color w:val="000000" w:themeColor="text1"/>
          <w:spacing w:val="-6"/>
          <w:sz w:val="24"/>
          <w:szCs w:val="24"/>
        </w:rPr>
        <w:t xml:space="preserve"> i </w:t>
      </w:r>
      <w:proofErr w:type="spellStart"/>
      <w:r w:rsidRPr="00375799">
        <w:rPr>
          <w:rFonts w:cstheme="minorHAnsi"/>
          <w:color w:val="000000" w:themeColor="text1"/>
          <w:spacing w:val="-6"/>
          <w:sz w:val="24"/>
          <w:szCs w:val="24"/>
        </w:rPr>
        <w:t>pseudonimizację</w:t>
      </w:r>
      <w:proofErr w:type="spellEnd"/>
      <w:r w:rsidRPr="00375799">
        <w:rPr>
          <w:rFonts w:cstheme="minorHAnsi"/>
          <w:color w:val="000000" w:themeColor="text1"/>
          <w:spacing w:val="-6"/>
          <w:sz w:val="24"/>
          <w:szCs w:val="24"/>
        </w:rPr>
        <w:t xml:space="preserve"> – a także utrwalone w ustawie ograniczenia prawa do korzystania z informacyjnych zasobów, określane jako przesłanki odmowy dostępu do materiałów archiwalnych. Szczególne miejsce wśród tych ograniczeń zajmują wyspecjalizowane karencje dostępowe, odniesione do wybranych typów dokumentacji zawierającej dane osobowe. Na wypadek kolizji pozytywnych i negatywnych uprawnień informacyjnych – w sytuacjach, gdy gwarancje korzystania z informacji nie mogłyby zostać urzeczywistnione w razie anonimizacji albo pseudonimizacji danych – przewiduje się umowne zobowiązywanie użytkowników zasobu archiwalnego do nierozpowszechniania danych jednostkowych, z którymi się zapoznali w archiwum. Wśród tego rodzaju gwarancji wolność badań naukowych ma rangę wartości konstytucyjnej. Wyjątki na rzecz udostępniania danych osobowych byłyby dopuszczalne pod warunkiem nadrzędności potrzeb poznawczych w stosunku do przesłanek </w:t>
      </w:r>
      <w:r w:rsidRPr="00375799">
        <w:rPr>
          <w:rFonts w:cstheme="minorHAnsi"/>
          <w:color w:val="000000" w:themeColor="text1"/>
          <w:spacing w:val="-6"/>
          <w:sz w:val="24"/>
          <w:szCs w:val="24"/>
        </w:rPr>
        <w:lastRenderedPageBreak/>
        <w:t xml:space="preserve">ochrony danych (zwłaszcza w razie niepewnej ochrony danych i pomniejszej istotności jej naruszenia), a także z wyłączeniem tzw. danych sensytywnych.  </w:t>
      </w:r>
    </w:p>
    <w:p w14:paraId="0CD0584D" w14:textId="77777777" w:rsidR="002475E0" w:rsidRPr="00375799" w:rsidRDefault="002475E0" w:rsidP="0055107B">
      <w:pPr>
        <w:spacing w:line="276" w:lineRule="auto"/>
        <w:contextualSpacing/>
        <w:jc w:val="both"/>
        <w:rPr>
          <w:rFonts w:cstheme="minorHAnsi"/>
          <w:color w:val="000000" w:themeColor="text1"/>
          <w:spacing w:val="-6"/>
          <w:sz w:val="24"/>
          <w:szCs w:val="24"/>
        </w:rPr>
      </w:pPr>
      <w:r w:rsidRPr="00375799">
        <w:rPr>
          <w:rFonts w:cstheme="minorHAnsi"/>
          <w:color w:val="000000" w:themeColor="text1"/>
          <w:spacing w:val="-6"/>
          <w:sz w:val="24"/>
          <w:szCs w:val="24"/>
        </w:rPr>
        <w:t xml:space="preserve">Powyższe zabezpieczenia należało rozszerzyć również na dokumentację niestanowiącą materiałów archiwalnych, gdyż na mocy przepisów szczególnych również ona podlega przechowywaniu – z zasady przejściowo – przez archiwa. </w:t>
      </w:r>
    </w:p>
    <w:p w14:paraId="2FD82E68" w14:textId="6632D276" w:rsidR="002475E0" w:rsidRPr="00375799" w:rsidRDefault="002475E0" w:rsidP="0055107B">
      <w:pPr>
        <w:spacing w:line="276" w:lineRule="auto"/>
        <w:contextualSpacing/>
        <w:jc w:val="both"/>
        <w:rPr>
          <w:rFonts w:cstheme="minorHAnsi"/>
          <w:color w:val="000000" w:themeColor="text1"/>
          <w:sz w:val="24"/>
          <w:szCs w:val="24"/>
        </w:rPr>
      </w:pPr>
      <w:r w:rsidRPr="00375799">
        <w:rPr>
          <w:rFonts w:cstheme="minorHAnsi"/>
          <w:color w:val="000000" w:themeColor="text1"/>
          <w:spacing w:val="-6"/>
          <w:sz w:val="24"/>
          <w:szCs w:val="24"/>
        </w:rPr>
        <w:t>Archiwa przetwarzają dane osobowe w celu wykonywania bieżących zadań ustawowych i statutowych, a także dane osobowe zawarte w przechowywanym przez nie zasobie archiwalnym. Okresy przetwarzania tych pierwszych skorelowane są z okresami przechowywania akt spraw i zbio</w:t>
      </w:r>
      <w:r w:rsidR="00D74EBD">
        <w:rPr>
          <w:rFonts w:cstheme="minorHAnsi"/>
          <w:color w:val="000000" w:themeColor="text1"/>
          <w:spacing w:val="-6"/>
          <w:sz w:val="24"/>
          <w:szCs w:val="24"/>
        </w:rPr>
        <w:t xml:space="preserve">rów dokumentacji, określonymi w </w:t>
      </w:r>
      <w:r w:rsidRPr="00375799">
        <w:rPr>
          <w:rFonts w:cstheme="minorHAnsi"/>
          <w:color w:val="000000" w:themeColor="text1"/>
          <w:spacing w:val="-6"/>
          <w:sz w:val="24"/>
          <w:szCs w:val="24"/>
        </w:rPr>
        <w:t>przepisach kancelaryjnych, wydawanych na podstawie ustawy i odpowiednich przepisów wykonawczych</w:t>
      </w:r>
      <w:r w:rsidRPr="00375799">
        <w:rPr>
          <w:rFonts w:cstheme="minorHAnsi"/>
          <w:color w:val="000000" w:themeColor="text1"/>
          <w:sz w:val="24"/>
          <w:szCs w:val="24"/>
        </w:rPr>
        <w:t>. Tak ustalane okresy obejmują czas bezpośredniej przydatności dokumentacji oraz czas, w którym zachowuje ona ewentualne znaczenie dowodowe, przydatna jest ze względu na roszczenia, kontrole, dochodzenia itp. Natomiast składniki narodowego zasobu archiwalnego z mocy ustawy przechowywane są bezterminowo (wieczyście).</w:t>
      </w:r>
    </w:p>
    <w:p w14:paraId="13791A9C"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7FE8972" w14:textId="74BBF8B2"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2" w:name="_Toc530564985"/>
      <w:r w:rsidRPr="00375799">
        <w:rPr>
          <w:rFonts w:asciiTheme="minorHAnsi" w:hAnsiTheme="minorHAnsi" w:cstheme="minorHAnsi"/>
          <w:color w:val="000000" w:themeColor="text1"/>
          <w:sz w:val="24"/>
          <w:szCs w:val="24"/>
        </w:rPr>
        <w:t>Ustawa z dnia 21 marca 1985 r. o drogach publicznych (Dz. U. z 201</w:t>
      </w:r>
      <w:r w:rsidR="00306046">
        <w:rPr>
          <w:rFonts w:asciiTheme="minorHAnsi" w:hAnsiTheme="minorHAnsi" w:cstheme="minorHAnsi"/>
          <w:color w:val="000000" w:themeColor="text1"/>
          <w:sz w:val="24"/>
          <w:szCs w:val="24"/>
        </w:rPr>
        <w:t>8</w:t>
      </w:r>
      <w:r w:rsidRPr="00375799">
        <w:rPr>
          <w:rFonts w:asciiTheme="minorHAnsi" w:hAnsiTheme="minorHAnsi" w:cstheme="minorHAnsi"/>
          <w:color w:val="000000" w:themeColor="text1"/>
          <w:sz w:val="24"/>
          <w:szCs w:val="24"/>
        </w:rPr>
        <w:t xml:space="preserve"> r. poz. </w:t>
      </w:r>
      <w:r w:rsidR="00306046">
        <w:rPr>
          <w:rFonts w:asciiTheme="minorHAnsi" w:hAnsiTheme="minorHAnsi" w:cstheme="minorHAnsi"/>
          <w:color w:val="000000" w:themeColor="text1"/>
          <w:sz w:val="24"/>
          <w:szCs w:val="24"/>
        </w:rPr>
        <w:t>2068</w:t>
      </w:r>
      <w:r w:rsidRPr="00375799">
        <w:rPr>
          <w:rFonts w:asciiTheme="minorHAnsi" w:hAnsiTheme="minorHAnsi" w:cstheme="minorHAnsi"/>
          <w:color w:val="000000" w:themeColor="text1"/>
          <w:sz w:val="24"/>
          <w:szCs w:val="24"/>
        </w:rPr>
        <w:t>)</w:t>
      </w:r>
      <w:bookmarkEnd w:id="12"/>
      <w:r w:rsidRPr="00375799">
        <w:rPr>
          <w:rFonts w:asciiTheme="minorHAnsi" w:hAnsiTheme="minorHAnsi" w:cstheme="minorHAnsi"/>
          <w:color w:val="000000" w:themeColor="text1"/>
          <w:sz w:val="24"/>
          <w:szCs w:val="24"/>
        </w:rPr>
        <w:t xml:space="preserve"> </w:t>
      </w:r>
    </w:p>
    <w:p w14:paraId="6AEBABC9" w14:textId="4BF9E6A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pierwszej kolejności wskazać należy, że w projektowanej ustawie wprowadzono przepisy mające na celu zapewnienie, że organy realizujące poszczególne zadania na podstawie ustawy </w:t>
      </w:r>
      <w:r w:rsidR="00B02E53">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w sposób jednolity będą realizować obowiązki informacyjne, o których mowa w art. 13 ust. 1 i 2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Szczególne rozwiązanie zaproponowano wyłącznie dla przypadku, w którym zarząd drogi albo zarządca drogi przetwarza dane osobowe w związku z poborem opłat za postój pojazdów samochodowych na drogach publicznych w strefie płatnego parkowania. Przy poborze tych opłat zasadą jest, że podmiot zobowiązany do uiszczenia opłaty nie kontaktuje się z podmiotem je pobierającym (np. za pośrednictwem korespondencji pisemnej). Jednocześnie ww. opłata jest skierowana do nieograniczonego kręgu osób korzystających z dróg publicznych. Dlatego też część obowiązków z art. 13 </w:t>
      </w:r>
      <w:r w:rsidR="00CA3E2C" w:rsidRPr="00375799">
        <w:rPr>
          <w:rFonts w:cstheme="minorHAnsi"/>
          <w:color w:val="000000" w:themeColor="text1"/>
          <w:sz w:val="24"/>
          <w:szCs w:val="24"/>
        </w:rPr>
        <w:t>RODO</w:t>
      </w:r>
      <w:r w:rsidR="00CA3E2C" w:rsidRPr="00375799" w:rsidDel="00CA3E2C">
        <w:rPr>
          <w:rFonts w:cstheme="minorHAnsi"/>
          <w:color w:val="000000" w:themeColor="text1"/>
          <w:sz w:val="24"/>
          <w:szCs w:val="24"/>
        </w:rPr>
        <w:t xml:space="preserve"> </w:t>
      </w:r>
      <w:r w:rsidRPr="00375799">
        <w:rPr>
          <w:rFonts w:cstheme="minorHAnsi"/>
          <w:color w:val="000000" w:themeColor="text1"/>
          <w:sz w:val="24"/>
          <w:szCs w:val="24"/>
        </w:rPr>
        <w:t xml:space="preserve">pobierający opłatę będzie wykonywał poprzez zamieszczenie stosownych informacji w miejscu, w którym opłata ta jest wnoszona, a więc będzie je bezpośrednio przekazywał obowiązanemu do uiszczenia opłaty umieszczając je np. na parkometrze. Pozostałe informacje wymagane zgodnie z art. 13 ust. 1 i 2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będą zamieszczane na stronie podmiotowej w Biuletynie Informacji Publicznej podmiotu pobierającego opłatę, przy czym, co istotne, informacja o tym (odnośnik do strony BIP) będzie dostępna w miejscu, w którym opłata jest pobierana. Przedmiotowe regulacje znajdą się w art. 13b ust. 8 ustawy </w:t>
      </w:r>
      <w:r w:rsidR="00B02E53">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w:t>
      </w:r>
    </w:p>
    <w:p w14:paraId="6E2A21E5" w14:textId="155B475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ocenie projektodawcy opisane powyżej rozwiązanie, z którego wynika, że część obowiązków informacyjnych nie będzie realizowana poprzez bezpośrednie udzielenie ich osobie korzystającej z drogi publicznej stanowi ograniczenie stosowania art. 13 ust. 1 i 2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Ograniczenie to nie narusza jednak istoty podstawowych praw i wolności, jak również jest środkiem niezbędnym i proporcjonalnym służącym ważnemu interesowi państwa członkowskiego. Przede wszystkim, wskazanym w rozporządzeniu warunkiem wprowadzenia </w:t>
      </w:r>
      <w:r w:rsidRPr="00375799">
        <w:rPr>
          <w:rFonts w:cstheme="minorHAnsi"/>
          <w:color w:val="000000" w:themeColor="text1"/>
          <w:sz w:val="24"/>
          <w:szCs w:val="24"/>
        </w:rPr>
        <w:lastRenderedPageBreak/>
        <w:t>ograniczeń jest zagwarantowanie, że nie będzie ono naruszało istoty podstawowych praw i wolności. Generalnie bowiem najważniejsze informacje, dotyczące m. in. administratora danych osobowych, celu przetwarzania danych osobowych oraz jego podstawy prawnej, będą bezpośrednio przekazywane korzystającemu z drogi publicznej. Dostęp do pozostałych informacji będzie zapewniony za pośrednictwem strony internetowej podmiotu pobierającego opłatę, przy czym co istotne wyjaśnienie w jaki sposób można uzyskać dostęp do tych informacji, będzie również bezpośrednio przekazywane zainteresowanej osobie, w miejscu, w którym opłata jest wnoszona.</w:t>
      </w:r>
    </w:p>
    <w:p w14:paraId="61635356" w14:textId="4F38282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Kolejnym wskazanym w </w:t>
      </w:r>
      <w:r w:rsidR="00CA3E2C" w:rsidRPr="00375799">
        <w:rPr>
          <w:rFonts w:cstheme="minorHAnsi"/>
          <w:color w:val="000000" w:themeColor="text1"/>
          <w:sz w:val="24"/>
          <w:szCs w:val="24"/>
        </w:rPr>
        <w:t>RODO</w:t>
      </w:r>
      <w:r w:rsidR="00CA3E2C" w:rsidRPr="00375799" w:rsidDel="00CA3E2C">
        <w:rPr>
          <w:rFonts w:cstheme="minorHAnsi"/>
          <w:color w:val="000000" w:themeColor="text1"/>
          <w:sz w:val="24"/>
          <w:szCs w:val="24"/>
        </w:rPr>
        <w:t xml:space="preserve"> </w:t>
      </w:r>
      <w:r w:rsidRPr="00375799">
        <w:rPr>
          <w:rFonts w:cstheme="minorHAnsi"/>
          <w:color w:val="000000" w:themeColor="text1"/>
          <w:sz w:val="24"/>
          <w:szCs w:val="24"/>
        </w:rPr>
        <w:t>warunkiem wprowadzenia ograniczeń jest wykazanie, że są one niezbędne i proporcjonalne w demokratycznym społeczeństwie. W tym kontekście zauważyć należy, że celem istnienia i funkcjonowania organów administracji publicznej jest sprawne zarządzanie państwem przejawiające się poprzez zasp</w:t>
      </w:r>
      <w:r w:rsidR="000E0903">
        <w:rPr>
          <w:rFonts w:cstheme="minorHAnsi"/>
          <w:color w:val="000000" w:themeColor="text1"/>
          <w:sz w:val="24"/>
          <w:szCs w:val="24"/>
        </w:rPr>
        <w:t>o</w:t>
      </w:r>
      <w:r w:rsidRPr="00375799">
        <w:rPr>
          <w:rFonts w:cstheme="minorHAnsi"/>
          <w:color w:val="000000" w:themeColor="text1"/>
          <w:sz w:val="24"/>
          <w:szCs w:val="24"/>
        </w:rPr>
        <w:t xml:space="preserve">kajanie zbiorowych i indywidualnych potrzeb obywateli, wynikających ze współżycia ludzi w społecznościach (patrz próba definicji pojęcia administracja publiczna w: J. Boć (red.), Administracja publiczna, Wrocław 2002, s. 10). Administracja publiczna działa więc na rzecz dobra wspólnego, którego synonimem jest interes publiczny. Z tego względu istotnym jest zapewnienie organom administracji możliwości skutecznego i efektywnego wykonywania powierzonych jej zadań, co leży w interesie wszystkich obywateli. Jednocześnie z punktu widzenia państwa istotnym jest zapewnienie, że administrowanie państwem organizowane jest w sposób możliwie jak najbardziej oszczędny, nie obciążając przy tym nadmiernie obywateli, którzy w praktyce w dużej części pokrywają koszty funkcjonowania administracji publicznej. Zaproponowane rozwiązanie w zakresie sposobu wykonywania obowiązków informacyjnych wymaganych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ma na celu zapewnienie, że w przypadku poboru opłat za postój pojazdów samochodowych na drogach publicznych w strefie płatnego parkowania jego realizacja nie będzie skutkowała koniecznością poniesienia nadmiernych kosztów przez administrację samorządową, przy jednoczesnym zagwarantowaniu, że nie jest naruszana istota podstawowych praw i wolności obywateli. Mając powyższe na względzie, zaproponowane ograniczenie stosowania </w:t>
      </w:r>
      <w:r w:rsidR="00CA3E2C" w:rsidRPr="00375799">
        <w:rPr>
          <w:rFonts w:cstheme="minorHAnsi"/>
          <w:color w:val="000000" w:themeColor="text1"/>
          <w:sz w:val="24"/>
          <w:szCs w:val="24"/>
        </w:rPr>
        <w:t>RODO</w:t>
      </w:r>
      <w:r w:rsidR="00EF66C9" w:rsidRPr="00375799">
        <w:rPr>
          <w:rFonts w:cstheme="minorHAnsi"/>
          <w:color w:val="000000" w:themeColor="text1"/>
          <w:sz w:val="24"/>
          <w:szCs w:val="24"/>
        </w:rPr>
        <w:t xml:space="preserve"> </w:t>
      </w:r>
      <w:r w:rsidR="00CA3E2C" w:rsidRPr="00375799" w:rsidDel="00CA3E2C">
        <w:rPr>
          <w:rFonts w:cstheme="minorHAnsi"/>
          <w:color w:val="000000" w:themeColor="text1"/>
          <w:sz w:val="24"/>
          <w:szCs w:val="24"/>
        </w:rPr>
        <w:t xml:space="preserve"> </w:t>
      </w:r>
      <w:r w:rsidRPr="00375799">
        <w:rPr>
          <w:rFonts w:cstheme="minorHAnsi"/>
          <w:color w:val="000000" w:themeColor="text1"/>
          <w:sz w:val="24"/>
          <w:szCs w:val="24"/>
        </w:rPr>
        <w:t>jest niezbędne i proporcjonalne w demokratycznym społeczeństwie.</w:t>
      </w:r>
    </w:p>
    <w:p w14:paraId="3A8101E7" w14:textId="4D3B2DC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Jednocześnie w art. 13b ust. 9</w:t>
      </w:r>
      <w:r w:rsidR="000E0903">
        <w:rPr>
          <w:rFonts w:cstheme="minorHAnsi"/>
          <w:color w:val="000000" w:themeColor="text1"/>
          <w:sz w:val="24"/>
          <w:szCs w:val="24"/>
        </w:rPr>
        <w:t>–</w:t>
      </w:r>
      <w:r w:rsidR="00C4272C">
        <w:rPr>
          <w:rFonts w:cstheme="minorHAnsi"/>
          <w:color w:val="000000" w:themeColor="text1"/>
          <w:sz w:val="24"/>
          <w:szCs w:val="24"/>
        </w:rPr>
        <w:t>11</w:t>
      </w:r>
      <w:r w:rsidRPr="00375799">
        <w:rPr>
          <w:rFonts w:cstheme="minorHAnsi"/>
          <w:color w:val="000000" w:themeColor="text1"/>
          <w:sz w:val="24"/>
          <w:szCs w:val="24"/>
        </w:rPr>
        <w:t xml:space="preserve"> ustawy </w:t>
      </w:r>
      <w:r w:rsidR="00B02E53">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zamieszczono regulacje wymagane zgodnie z art. 23 ust. 2 </w:t>
      </w:r>
      <w:r w:rsidR="00CA3E2C" w:rsidRPr="00375799">
        <w:rPr>
          <w:rFonts w:cstheme="minorHAnsi"/>
          <w:color w:val="000000" w:themeColor="text1"/>
          <w:sz w:val="24"/>
          <w:szCs w:val="24"/>
        </w:rPr>
        <w:t>RODO</w:t>
      </w:r>
      <w:r w:rsidRPr="00375799">
        <w:rPr>
          <w:rFonts w:cstheme="minorHAnsi"/>
          <w:color w:val="000000" w:themeColor="text1"/>
          <w:sz w:val="24"/>
          <w:szCs w:val="24"/>
        </w:rPr>
        <w:t>. Uregulowano w szczególności kwestie związane z zabezpieczeniami mającymi na celu zapobieganie nadużyciom lub niezgodnemu z prawem dostępowi lub przekazywaniu, okresem przechowywania danych osobowych oraz prawie osób, której dane dotyczą, do uzyskania informacji o ograniczeniu.</w:t>
      </w:r>
    </w:p>
    <w:p w14:paraId="0232D7D5" w14:textId="57F52B4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zakresie regulacji zawartych w ustawie o drogach publicznych dotyczących poboru opłat za postój pojazdów samochodowych w strefie płatnego parkowania dodaje się również art. 13ba, w którym wskazuje się, że wystąpienie z żądaniem do ograniczenia przetwarzania danych osobowych, o którym mowa w art. 18 ust. 1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przez osobę, której dane dotyczą, nie wpływa na obowiązek wniesienia tych opłat. Przedmiotowy przepis nie jest ograniczeniem </w:t>
      </w:r>
      <w:r w:rsidRPr="00375799">
        <w:rPr>
          <w:rFonts w:cstheme="minorHAnsi"/>
          <w:color w:val="000000" w:themeColor="text1"/>
          <w:sz w:val="24"/>
          <w:szCs w:val="24"/>
        </w:rPr>
        <w:lastRenderedPageBreak/>
        <w:t xml:space="preserve">stosowania przepisów </w:t>
      </w:r>
      <w:r w:rsidR="00CA3E2C" w:rsidRPr="00375799">
        <w:rPr>
          <w:rFonts w:cstheme="minorHAnsi"/>
          <w:color w:val="000000" w:themeColor="text1"/>
          <w:sz w:val="24"/>
          <w:szCs w:val="24"/>
        </w:rPr>
        <w:t>RODO</w:t>
      </w:r>
      <w:r w:rsidR="00CA3E2C" w:rsidRPr="00375799" w:rsidDel="00CA3E2C">
        <w:rPr>
          <w:rFonts w:cstheme="minorHAnsi"/>
          <w:color w:val="000000" w:themeColor="text1"/>
          <w:sz w:val="24"/>
          <w:szCs w:val="24"/>
        </w:rPr>
        <w:t xml:space="preserve"> </w:t>
      </w:r>
      <w:r w:rsidRPr="00375799">
        <w:rPr>
          <w:rFonts w:cstheme="minorHAnsi"/>
          <w:color w:val="000000" w:themeColor="text1"/>
          <w:sz w:val="24"/>
          <w:szCs w:val="24"/>
        </w:rPr>
        <w:t xml:space="preserve">w rozumieniu jego art. 23 ust. 1, lecz jasno wskazuje, że realizacja praw związanych z ochroną danych osobowych odbywa się niezależnie od konieczności wykonania obowiązku uiszczenia opłaty za postój. Zainteresowana osoba ma więc prawo do skorzystania z prawa, o którym mowa w art. 18 ust. 1 </w:t>
      </w:r>
      <w:r w:rsidR="00B02E53">
        <w:rPr>
          <w:rFonts w:cstheme="minorHAnsi"/>
          <w:color w:val="000000" w:themeColor="text1"/>
          <w:sz w:val="24"/>
          <w:szCs w:val="24"/>
        </w:rPr>
        <w:t>RODO</w:t>
      </w:r>
      <w:r w:rsidRPr="00375799">
        <w:rPr>
          <w:rFonts w:cstheme="minorHAnsi"/>
          <w:color w:val="000000" w:themeColor="text1"/>
          <w:sz w:val="24"/>
          <w:szCs w:val="24"/>
        </w:rPr>
        <w:t xml:space="preserve">, ale nie skutkuje to brakiem konieczności wniesienia opłaty pobieranej na podstawie powszechnie obowiązujących przepisów prawa. </w:t>
      </w:r>
    </w:p>
    <w:p w14:paraId="738EC2D8" w14:textId="7389F96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Zastrzec w tym miejscu należy, że nie jest konieczne wprowadzenie do powyższego przepisu analogicznej regulacji, która dotyczyłaby prawa do sprzeciwu, o którym mowa w art. 21 ust. 1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Sprzeciw ten przysługuje bowiem wyłącznie w przypadku gdy przetwarzanie danych osobowych odbywa się na podstawie art. 6 ust. 1 lit. e lub f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Tymczasem przetwarzanie danych osobowych w zakresie niezbędnym do poboru opłat za postój pojazdów samochodowych na drogach publicznych w strefie płatnego parkowania ma miejsce na podstawie art. 6 ust. 1 lit. c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to znaczy jest niezbędne do wypełnienia obowiązku prawnego ciążącego na administratorze. Opłatę, o której mowa w art. 13 ust. 1 pkt 1, pobiera wprawdzie zarząd drogi, a w przypadku jego braku </w:t>
      </w:r>
      <w:r w:rsidR="000E0903">
        <w:rPr>
          <w:rFonts w:cstheme="minorHAnsi"/>
          <w:color w:val="000000" w:themeColor="text1"/>
          <w:sz w:val="24"/>
          <w:szCs w:val="24"/>
        </w:rPr>
        <w:t>–</w:t>
      </w:r>
      <w:r w:rsidRPr="00375799">
        <w:rPr>
          <w:rFonts w:cstheme="minorHAnsi"/>
          <w:color w:val="000000" w:themeColor="text1"/>
          <w:sz w:val="24"/>
          <w:szCs w:val="24"/>
        </w:rPr>
        <w:t xml:space="preserve"> zarządca drogi, ale obowiązek ten spoczywa na tym podmiocie na podstawie powszechnie obowiązujących przepisów prawa, a więc ustawy </w:t>
      </w:r>
      <w:r w:rsidR="00B02E53">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oraz uchwały rady gminy (rady miasta), uchwalanej na podstawie art. 13b ust. 3 tej ustawy. W konsekwencji, przy przetwarzaniu danych osobowych na tej podstawie prawo do sprzeciwu nie przysługuje i nie ma potrzeby wskazywania w przepisach ustawy </w:t>
      </w:r>
      <w:r w:rsidR="00B02E53">
        <w:rPr>
          <w:rFonts w:cstheme="minorHAnsi"/>
          <w:color w:val="000000" w:themeColor="text1"/>
          <w:sz w:val="24"/>
          <w:szCs w:val="24"/>
        </w:rPr>
        <w:t xml:space="preserve">z dnia 21 marca 1985 r. </w:t>
      </w:r>
      <w:r w:rsidRPr="00375799">
        <w:rPr>
          <w:rFonts w:cstheme="minorHAnsi"/>
          <w:color w:val="000000" w:themeColor="text1"/>
          <w:sz w:val="24"/>
          <w:szCs w:val="24"/>
        </w:rPr>
        <w:t>o drogach publicznych, że skorzystanie z tego prawa nie wpływa na obowiązek uiszczenia opłaty za postój.</w:t>
      </w:r>
      <w:r w:rsidR="00BF6CA5" w:rsidRPr="00375799">
        <w:rPr>
          <w:rFonts w:cstheme="minorHAnsi"/>
          <w:color w:val="000000" w:themeColor="text1"/>
          <w:sz w:val="24"/>
          <w:szCs w:val="24"/>
        </w:rPr>
        <w:t xml:space="preserve"> </w:t>
      </w:r>
      <w:r w:rsidRPr="00375799">
        <w:rPr>
          <w:rFonts w:cstheme="minorHAnsi"/>
          <w:color w:val="000000" w:themeColor="text1"/>
          <w:sz w:val="24"/>
          <w:szCs w:val="24"/>
        </w:rPr>
        <w:t xml:space="preserve">W związku z wprowadzeniem opisanych powyżej regulacji dotyczących stosowania niektórych przepisów </w:t>
      </w:r>
      <w:r w:rsidR="00CA3E2C" w:rsidRPr="00375799">
        <w:rPr>
          <w:rFonts w:cstheme="minorHAnsi"/>
          <w:color w:val="000000" w:themeColor="text1"/>
          <w:sz w:val="24"/>
          <w:szCs w:val="24"/>
        </w:rPr>
        <w:t>RODO</w:t>
      </w:r>
      <w:r w:rsidR="00CA3E2C" w:rsidRPr="00375799" w:rsidDel="00CA3E2C">
        <w:rPr>
          <w:rFonts w:cstheme="minorHAnsi"/>
          <w:color w:val="000000" w:themeColor="text1"/>
          <w:sz w:val="24"/>
          <w:szCs w:val="24"/>
        </w:rPr>
        <w:t xml:space="preserve"> </w:t>
      </w:r>
      <w:r w:rsidRPr="00375799">
        <w:rPr>
          <w:rFonts w:cstheme="minorHAnsi"/>
          <w:color w:val="000000" w:themeColor="text1"/>
          <w:sz w:val="24"/>
          <w:szCs w:val="24"/>
        </w:rPr>
        <w:t xml:space="preserve">w odniesieniu do opłat za postój pojazdów samochodowych na drogach publicznych w strefie płatnego parkowania, konieczne jest dodanie odpowiednich przepisów, które stosownie uregulują te kwestie w odniesieniu do opłaty dodatkowej, którą pobiera się w przypadku nieuiszczenia opłaty za postój. Przedmiotowe zmiany wprowadza się w art. 13f ustawy </w:t>
      </w:r>
      <w:r w:rsidR="00B02E53">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w:t>
      </w:r>
    </w:p>
    <w:p w14:paraId="46D5C8B7" w14:textId="1600397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w:t>
      </w:r>
      <w:r w:rsidR="00357EAC">
        <w:rPr>
          <w:rFonts w:cstheme="minorHAnsi"/>
          <w:color w:val="000000" w:themeColor="text1"/>
          <w:sz w:val="24"/>
          <w:szCs w:val="24"/>
        </w:rPr>
        <w:t xml:space="preserve">art. 13f </w:t>
      </w:r>
      <w:r w:rsidRPr="00375799">
        <w:rPr>
          <w:rFonts w:cstheme="minorHAnsi"/>
          <w:color w:val="000000" w:themeColor="text1"/>
          <w:sz w:val="24"/>
          <w:szCs w:val="24"/>
        </w:rPr>
        <w:t xml:space="preserve">ust. 4 wskazuje się w jaki sposób realizowane są </w:t>
      </w:r>
      <w:r w:rsidR="000E0903">
        <w:rPr>
          <w:rFonts w:cstheme="minorHAnsi"/>
          <w:color w:val="000000" w:themeColor="text1"/>
          <w:sz w:val="24"/>
          <w:szCs w:val="24"/>
        </w:rPr>
        <w:t>–</w:t>
      </w:r>
      <w:r w:rsidRPr="00375799">
        <w:rPr>
          <w:rFonts w:cstheme="minorHAnsi"/>
          <w:color w:val="000000" w:themeColor="text1"/>
          <w:sz w:val="24"/>
          <w:szCs w:val="24"/>
        </w:rPr>
        <w:t xml:space="preserve"> w przypadku poboru opłaty dodatkowej </w:t>
      </w:r>
      <w:r w:rsidR="000E0903">
        <w:rPr>
          <w:rFonts w:cstheme="minorHAnsi"/>
          <w:color w:val="000000" w:themeColor="text1"/>
          <w:sz w:val="24"/>
          <w:szCs w:val="24"/>
        </w:rPr>
        <w:t>–</w:t>
      </w:r>
      <w:r w:rsidRPr="00375799">
        <w:rPr>
          <w:rFonts w:cstheme="minorHAnsi"/>
          <w:color w:val="000000" w:themeColor="text1"/>
          <w:sz w:val="24"/>
          <w:szCs w:val="24"/>
        </w:rPr>
        <w:t xml:space="preserve"> obowiązki informacyjne, o których mowa w art. 13 ust. 1 i 2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Określa się, że obowiązki te wykonuje się przy pierwszej czynności skierowanej do osoby, której dane osobowe są przetwarzane. Przedmiotowy przepis jest niezbędny z tego powodu, że w omawianej procedurze nie stosuje się przepisów Kpa. Konieczne jest wprowadzenie w powyższym zakresie rozwiązań analogicznych do tych, które projektodawca proponuje wprowadzić w Kpa, tak aby zapewnić spójność krajowego systemu prawnego w zakresie realizacji obowiązków informacyjnych z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przez organy administracji publicznej. </w:t>
      </w:r>
    </w:p>
    <w:p w14:paraId="1281E2C9" w14:textId="6EDAA0A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w:t>
      </w:r>
      <w:r w:rsidR="00357EAC">
        <w:rPr>
          <w:rFonts w:cstheme="minorHAnsi"/>
          <w:color w:val="000000" w:themeColor="text1"/>
          <w:sz w:val="24"/>
          <w:szCs w:val="24"/>
        </w:rPr>
        <w:t xml:space="preserve">art. 13f </w:t>
      </w:r>
      <w:r w:rsidRPr="00375799">
        <w:rPr>
          <w:rFonts w:cstheme="minorHAnsi"/>
          <w:color w:val="000000" w:themeColor="text1"/>
          <w:sz w:val="24"/>
          <w:szCs w:val="24"/>
        </w:rPr>
        <w:t xml:space="preserve">ust. 5 wprowadza się natomiast analogiczny przepis do tego, który dodaje się w art. 13ba ustawy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przez co również w przypadku opłaty dodatkowej jednoznacznie przesądza się, że wystąpienie z żądaniem do ograniczenia przetwarzania danych osobowych, o którym mowa w art. 18 ust. 1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przez osobę, której dane dotyczą, nie wpływa na obowiązek wniesienia tej opłaty. Uzasadnienie </w:t>
      </w:r>
      <w:r w:rsidRPr="00375799">
        <w:rPr>
          <w:rFonts w:cstheme="minorHAnsi"/>
          <w:color w:val="000000" w:themeColor="text1"/>
          <w:sz w:val="24"/>
          <w:szCs w:val="24"/>
        </w:rPr>
        <w:lastRenderedPageBreak/>
        <w:t xml:space="preserve">przedmiotowego przepisu jest przy tym identyczne do tego jakie przedstawiono przy art. 13ba ustawy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w:t>
      </w:r>
    </w:p>
    <w:p w14:paraId="1BE5E561" w14:textId="54527F8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Również w tym przypadku nie ma konieczności wprowadzenia do omawianego przepisu regulacji, która dotyczyłaby prawa do sprzeciwu, o którym mowa w art. 21 ust. 1 </w:t>
      </w:r>
      <w:r w:rsidR="00CA3E2C" w:rsidRPr="00375799">
        <w:rPr>
          <w:rFonts w:cstheme="minorHAnsi"/>
          <w:color w:val="000000" w:themeColor="text1"/>
          <w:sz w:val="24"/>
          <w:szCs w:val="24"/>
        </w:rPr>
        <w:t>RODO</w:t>
      </w:r>
      <w:r w:rsidR="00A116DA">
        <w:rPr>
          <w:rFonts w:cstheme="minorHAnsi"/>
          <w:color w:val="000000" w:themeColor="text1"/>
          <w:sz w:val="24"/>
          <w:szCs w:val="24"/>
        </w:rPr>
        <w:t>.</w:t>
      </w:r>
      <w:r w:rsidRPr="00375799">
        <w:rPr>
          <w:rFonts w:cstheme="minorHAnsi"/>
          <w:color w:val="000000" w:themeColor="text1"/>
          <w:sz w:val="24"/>
          <w:szCs w:val="24"/>
        </w:rPr>
        <w:t xml:space="preserve"> Obowiązek poboru opłaty dodatkowej przez zarząd drogi albo zarządcę drogi wynika bowiem bezpośrednio z art. 13f ust. 1 ustawy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Oznacza to, że w przedmiotowym przypadku przetwarzanie danych osobowych odbywa się na podstawie art. 6 ust. 1 lit. c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i prawo do sprzeciwu nie przysługuje. </w:t>
      </w:r>
    </w:p>
    <w:p w14:paraId="5D9D8218" w14:textId="5B95866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Konsekwentnie, projektodawca proponuje wprowadzenie w art. 13hba regulacji dotyczące stosowania niektórych przepisów </w:t>
      </w:r>
      <w:r w:rsidR="00CA3E2C" w:rsidRPr="00375799">
        <w:rPr>
          <w:rFonts w:cstheme="minorHAnsi"/>
          <w:color w:val="000000" w:themeColor="text1"/>
          <w:sz w:val="24"/>
          <w:szCs w:val="24"/>
        </w:rPr>
        <w:t>RODO</w:t>
      </w:r>
      <w:r w:rsidR="00CA3E2C" w:rsidRPr="00375799" w:rsidDel="00CA3E2C">
        <w:rPr>
          <w:rFonts w:cstheme="minorHAnsi"/>
          <w:color w:val="000000" w:themeColor="text1"/>
          <w:sz w:val="24"/>
          <w:szCs w:val="24"/>
        </w:rPr>
        <w:t xml:space="preserve"> </w:t>
      </w:r>
      <w:r w:rsidRPr="00375799">
        <w:rPr>
          <w:rFonts w:cstheme="minorHAnsi"/>
          <w:color w:val="000000" w:themeColor="text1"/>
          <w:sz w:val="24"/>
          <w:szCs w:val="24"/>
        </w:rPr>
        <w:t xml:space="preserve">w odniesieniu do wykonywania zadania ustawowego jakim jest pobór opłaty elektronicznej. </w:t>
      </w:r>
    </w:p>
    <w:p w14:paraId="7E94B3F9" w14:textId="6F8F758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 1 powyższego przepisu wskazuje się w jaki sposób realizowane są </w:t>
      </w:r>
      <w:r w:rsidR="00A116DA">
        <w:rPr>
          <w:rFonts w:cstheme="minorHAnsi"/>
          <w:color w:val="000000" w:themeColor="text1"/>
          <w:sz w:val="24"/>
          <w:szCs w:val="24"/>
        </w:rPr>
        <w:t>–</w:t>
      </w:r>
      <w:r w:rsidRPr="00375799">
        <w:rPr>
          <w:rFonts w:cstheme="minorHAnsi"/>
          <w:color w:val="000000" w:themeColor="text1"/>
          <w:sz w:val="24"/>
          <w:szCs w:val="24"/>
        </w:rPr>
        <w:t xml:space="preserve"> w przypadku poboru opłaty elektronicznej </w:t>
      </w:r>
      <w:r w:rsidR="00A116DA">
        <w:rPr>
          <w:rFonts w:cstheme="minorHAnsi"/>
          <w:color w:val="000000" w:themeColor="text1"/>
          <w:sz w:val="24"/>
          <w:szCs w:val="24"/>
        </w:rPr>
        <w:t>–</w:t>
      </w:r>
      <w:r w:rsidRPr="00375799">
        <w:rPr>
          <w:rFonts w:cstheme="minorHAnsi"/>
          <w:color w:val="000000" w:themeColor="text1"/>
          <w:sz w:val="24"/>
          <w:szCs w:val="24"/>
        </w:rPr>
        <w:t xml:space="preserve"> obowiązki informacyjne, o których mowa w art. 13 ust. 1 i 2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Po pierwsze, przesądza się, że przedmiotowe obowiązki wykonuje się przy pierwszej czynności skierowanej do osoby, której dane osobowe są przetwarzane. Przedmiotowy przepis jest niezbędny z tego powodu, że w omawianej procedurze nie stosuje się przepisów Kpa. Konieczne jest wprowadzenie w powyższym zakresie rozwiązań analogicznych do tych, które projektodawca proponuje wprowadzić w Kpa, tak aby zapewnić spójność krajowego systemu prawnego w zakresie realizacji obowiązków informacyjnych z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przez organy administracji publicznej. Po drugie, projektodawca uważa za bezwzględnie konieczne, aby ww. informacje znalazły się również na stronie internetowej zawierającej informacje dotyczące poboru opłaty elektronicznej. Przedmiotowe rozwiązanie ma na celu zapewnienie szerokiego dostępu do omawianych informacji dla wszystkich użytkowników, którzy korzystają z dróg krajowych na terytorium RP, objętych obowiązkiem wnoszenia opłaty elektronicznej.</w:t>
      </w:r>
    </w:p>
    <w:p w14:paraId="29C94ED2" w14:textId="4226A9C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 2 dodawanym w art. 13hba ustawy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analogicznie jak w przypadku opłat za postój pojazdów samochodowych na drogach publicznych w strefie płatnego parkowania oraz opłaty dodatkowej, o której mowa w art. 13f ust. 1 ustawy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wprowadza się regulację wskazującą, że wystąpienie z żądaniem do ograniczenia przetwarzania danych osobowych, o którym mowa w art. 18 ust. 1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przez osobę, której dane dotyczą, nie wpływa na obowiązek wniesienia opłaty elektronicznej. Uzasadnienie dla przedmiotowego rozwiązania jest identyczne do tego jakie przedstawiono przy zmianach wprowadzanych w art. 13ba oraz art. 13f ustawy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w:t>
      </w:r>
    </w:p>
    <w:p w14:paraId="2AE18F67" w14:textId="604B616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Również w tym przypadku nie ma konieczności wprowadzenia do omawianego przepisu regulacji, która dotyczyłaby prawa do sprzeciwu, o którym mowa w art. 21 ust. 1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Obowiązek poboru opłaty elektronicznej wynika bowiem bezpośrednio z art. 13hb ustawy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Oznacza to, że w przedmiotowym przypadku przetwarzanie danych osobowych odbywa się na podstawie art. 6 ust. 1 lit. c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i prawo do sprzeciwu nie przysługuje. </w:t>
      </w:r>
    </w:p>
    <w:p w14:paraId="2A473657" w14:textId="6D9C98F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Zmiany zaproponowane w art. 16i ustawy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o drogach publicznych mają na celu jednoznaczne wskazanie, że w związku ze świadczeniem Europejskiej Usługi Opłaty Elektronicznej (EETS) dostawca EETS jest obowiązany przekazywać dane osobowe użytkowników EETS podmiotom pobierającym opłaty za przejazd oraz kontrolującym prawidłowość uiszczenia opłaty elektronicznej. Dane te są bowiem niezbędne dla prawidłowej realizacji umów zawartych z dostawcami EETS przez podmioty pobierające opłaty oraz dla skutecznego wykonywania ustawowych uprawnień kontrolnych przez Głównego Inspektora Transportu Drogowego, w tym do prowadzenia postępowań administracyjnych w sprawie nałożenia kar pieniężnych, o których mowa w art. 13k ust. 1 i 2 ustawy</w:t>
      </w:r>
      <w:r w:rsidR="00357EAC">
        <w:rPr>
          <w:rFonts w:cstheme="minorHAnsi"/>
          <w:color w:val="000000" w:themeColor="text1"/>
          <w:sz w:val="24"/>
          <w:szCs w:val="24"/>
        </w:rPr>
        <w:t xml:space="preserve"> z dnia 21 marca 1985 r. </w:t>
      </w:r>
      <w:r w:rsidRPr="00375799">
        <w:rPr>
          <w:rFonts w:cstheme="minorHAnsi"/>
          <w:color w:val="000000" w:themeColor="text1"/>
          <w:sz w:val="24"/>
          <w:szCs w:val="24"/>
        </w:rPr>
        <w:t>o drogach publicznych.</w:t>
      </w:r>
    </w:p>
    <w:p w14:paraId="08FC6BDE" w14:textId="67530AE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projektowanym art. 20h uregulowano tryb udostępniania danych zgromadzonych przez podmioty realizujące ustawowe obowiązki na mocy ustawy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w związku z poborem opłaty elektronicznej oraz działaniami mającymi na celu przeciwdziałanie niszczeniu dróg (np. system wag preselekcyjnych) uprawnionym organom państwa. Znaczna część ww. danych jest nie tylko niezbędna do wykonywania zadań ustawowych przez ww. podmioty, ale jest również pomocna dla służb nadzorujących przestrzeganie prawa, w tym Krajowej Administracji Skarbowej, która odpowiada za nadzór nad realizacją dochodów z podatków. Niezbędne jest więc stworzenie rozwiązania prawnego na szczeblu ustawowym umożliwiającego zinformatyzowanie wymiany informacji pomiędzy podmiotami działającymi na podstawie ustawy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a uprawnionymi organami państwa. Zaproponowane zmiany wpłyną na poprawę efektywności działania organów aparatu administracji publicznej, a także na obniżenie kosztów funkcjonowania systemów informatycznych, obsługujących każdą z instytucji współpracujących. Wskazano zamknięty katalog służb i innych podmiotów, które będą miały dostęp do danych gromadzonych na podstawie ustawy o drogach publicznych w zakresie niezbędnym do realizacji przez nie ustawowych zadań. W powyższym katalogu wymieniono służby i inne podmioty, które wykonują zadania istotne z punktu widzenia interesu publicznego, takie jak ochrona bezpieczeństwa państwa, ochrona bezpieczeństwa i porządku publicznego, ochrona ważnego interesu finansowego RP lub UE. Podkreślić w tym miejscu należy, że proponowane przepisy nie nakładają na podmioty wskazane w ustawie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obowiązku gromadzenia i przetwarzania danych, które nie są lub nie mogą być pozyskiwane w związku z wykonywaniem zadań ustawowych przez dany podmiot. Wymaga podkreślenia, że proponowane rozwiązania będą miały zastosowanie wyłącznie w przypadku, gdy odrębne przepisy, regulujące funkcjonowanie właściwych organów państwa, nie określają w inny sposób pozyskiwania przez nie danych. Intencją projektodawców nie jest bowiem w przedmiotowym zakresie wprowadzenie dodatkowych utrudnień dla podmiotów, które już pozyskują obecnie dane w trybie pisemnym. Powinno więc to się odbywać na dotychczas obowiązujących zasadach uregulowanych w przepisach odrębnych. W projektowanych przepisach uregulowano tryb udostępniania danych znajdujących się w posiadaniu właściwych administratorów ze względu na potrzebę </w:t>
      </w:r>
      <w:r w:rsidRPr="00375799">
        <w:rPr>
          <w:rFonts w:cstheme="minorHAnsi"/>
          <w:color w:val="000000" w:themeColor="text1"/>
          <w:sz w:val="24"/>
          <w:szCs w:val="24"/>
        </w:rPr>
        <w:lastRenderedPageBreak/>
        <w:t>zabezpieczenia bezpieczeństwa narodowego i obronności, bezpieczeństwa publicznego, prowadzonych czynności dochodzeniowo-śledczych i prokuratorskich w sprawach karnych oraz ważnego interesu ekonomicznego i finansowego Państwa, za pomocą środków komunikacji elektronicznej. Zaproponowane rozwiązanie ma na celu przede wszystkim usprawnienie wymiany danych poprzez umożliwienie ich przekazywania w trybie automatycznym. W tym przypadku zastosowano więc inną konstrukcję niż w zakresie udostępniania tych danych w trybie pisemnym. Zasadą więc będzie, że udostępnianie danych w trybie automatycznym będzie następować zgodnie z rozwiązaniami wprowadzanymi w ust. 3</w:t>
      </w:r>
      <w:r w:rsidR="00A116DA">
        <w:rPr>
          <w:rFonts w:cstheme="minorHAnsi"/>
          <w:color w:val="000000" w:themeColor="text1"/>
          <w:sz w:val="24"/>
          <w:szCs w:val="24"/>
        </w:rPr>
        <w:t>–</w:t>
      </w:r>
      <w:r w:rsidRPr="00375799">
        <w:rPr>
          <w:rFonts w:cstheme="minorHAnsi"/>
          <w:color w:val="000000" w:themeColor="text1"/>
          <w:sz w:val="24"/>
          <w:szCs w:val="24"/>
        </w:rPr>
        <w:t>5, a nie przepisami właściwych ustaw regulujących funkcjonowanie poszczególnych organów, służb i innych instytucji państwow</w:t>
      </w:r>
      <w:r w:rsidR="00A116DA">
        <w:rPr>
          <w:rFonts w:cstheme="minorHAnsi"/>
          <w:color w:val="000000" w:themeColor="text1"/>
          <w:sz w:val="24"/>
          <w:szCs w:val="24"/>
        </w:rPr>
        <w:t>ych</w:t>
      </w:r>
      <w:r w:rsidRPr="00375799">
        <w:rPr>
          <w:rFonts w:cstheme="minorHAnsi"/>
          <w:color w:val="000000" w:themeColor="text1"/>
          <w:sz w:val="24"/>
          <w:szCs w:val="24"/>
        </w:rPr>
        <w:t xml:space="preserve">. Jako, że poszczególne ustawy ustrojowe w różny sposób regulują kwestię dostępu ww. podmiotów do danych za pośrednictwem środków komunikacji elektronicznej albo w ogóle nie przewidują tego typu rozwiązań, zasadnym jest wprowadzenie przepisu umożliwiającego dostęp wszystkim podmiotom wymienionym w projektowanym ust. 3, za pomocą środków komunikacji elektronicznej, na takich samych zasadach. W celu uzyskania danych w trybie automatycznym właściwe organy muszą spełniać dodatkowe warunki. Zasadą będzie pozyskiwanie danych za pomocą środków komunikacji elektronicznej wyłącznie w przypadku uzyskania stosownej zgody administratora danych osobowych. Wprowadza się jednocześnie gwarancję, że w ramach udostępniania danych nie będą przekazywane dane wrażliwe, o których mowa w art. 9 ust. 1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 jedynym wyjątkiem będzie przypadek, w którym podmiot wnioskujący posiada stosowne upoważnienie do przetwarzania tego typu danych na podstawie właściwych przepisów odrębnych.</w:t>
      </w:r>
    </w:p>
    <w:p w14:paraId="56C2E955" w14:textId="14333EFA" w:rsidR="00FA78C3"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art. 24n ustawy </w:t>
      </w:r>
      <w:r w:rsidR="00357EAC">
        <w:rPr>
          <w:rFonts w:cstheme="minorHAnsi"/>
          <w:color w:val="000000" w:themeColor="text1"/>
          <w:sz w:val="24"/>
          <w:szCs w:val="24"/>
        </w:rPr>
        <w:t xml:space="preserve">z dnia 21 marca 1985 r. </w:t>
      </w:r>
      <w:r w:rsidRPr="00375799">
        <w:rPr>
          <w:rFonts w:cstheme="minorHAnsi"/>
          <w:color w:val="000000" w:themeColor="text1"/>
          <w:sz w:val="24"/>
          <w:szCs w:val="24"/>
        </w:rPr>
        <w:t xml:space="preserve">o drogach publicznych dodaje się ust. 10, który określa sposób realizacji obowiązków informacyjnych określonych w art. 13 ust. 1 i 2 </w:t>
      </w:r>
      <w:r w:rsidR="00CA3E2C" w:rsidRPr="00375799">
        <w:rPr>
          <w:rFonts w:cstheme="minorHAnsi"/>
          <w:color w:val="000000" w:themeColor="text1"/>
          <w:sz w:val="24"/>
          <w:szCs w:val="24"/>
        </w:rPr>
        <w:t>RODO</w:t>
      </w:r>
      <w:r w:rsidRPr="00375799">
        <w:rPr>
          <w:rFonts w:cstheme="minorHAnsi"/>
          <w:color w:val="000000" w:themeColor="text1"/>
          <w:sz w:val="24"/>
          <w:szCs w:val="24"/>
        </w:rPr>
        <w:t xml:space="preserve"> przez ministra właściwego do spraw transportu przy wykonywaniu zadania obejmującego wydawanie i przedłużanie certyfikatów audytorów bezpieczeństwa ruchu drogowego na podstawie art. 24n ust. 5 i 6 ww. ustawy. Dodawany przepis przesądza, że obowiązek informacyjny jest wykonywany przy pierwszej czynności skierowanej do osoby, której dane osobowe są przetwarzane. Przedmiotowa regulacja jest niezbędna z tego powodu, że w omawianej procedurze co do zasady nie stosuje się przepisów Kpa (procedury Kpa stosuje się wyłącznie w przypadku odmowy wydania albo przedłużenia certyfikatu). Konieczne jest wprowadzenie w powyższym zakresie rozwiązań analogicznych do tych, które projektodawca proponuje uregulować w Kpa, tak aby zapewnić spójność krajowego systemu prawnego w zakresie realizacji obowiązków informacyjnych z </w:t>
      </w:r>
      <w:r w:rsidR="00CA3E2C" w:rsidRPr="00375799">
        <w:rPr>
          <w:rFonts w:cstheme="minorHAnsi"/>
          <w:color w:val="000000" w:themeColor="text1"/>
          <w:sz w:val="24"/>
          <w:szCs w:val="24"/>
        </w:rPr>
        <w:t>RODO</w:t>
      </w:r>
      <w:r w:rsidR="00CA3E2C" w:rsidRPr="00375799" w:rsidDel="00CA3E2C">
        <w:rPr>
          <w:rFonts w:cstheme="minorHAnsi"/>
          <w:color w:val="000000" w:themeColor="text1"/>
          <w:sz w:val="24"/>
          <w:szCs w:val="24"/>
        </w:rPr>
        <w:t xml:space="preserve"> </w:t>
      </w:r>
      <w:r w:rsidRPr="00375799">
        <w:rPr>
          <w:rFonts w:cstheme="minorHAnsi"/>
          <w:color w:val="000000" w:themeColor="text1"/>
          <w:sz w:val="24"/>
          <w:szCs w:val="24"/>
        </w:rPr>
        <w:t>przez organy administracji publicznej.</w:t>
      </w:r>
    </w:p>
    <w:p w14:paraId="0E7E38E0" w14:textId="77777777" w:rsidR="00FF627E" w:rsidRPr="00375799" w:rsidRDefault="00FF627E" w:rsidP="0055107B">
      <w:pPr>
        <w:spacing w:after="0" w:line="276" w:lineRule="auto"/>
        <w:ind w:left="57" w:right="57"/>
        <w:contextualSpacing/>
        <w:jc w:val="both"/>
        <w:rPr>
          <w:rFonts w:cstheme="minorHAnsi"/>
          <w:color w:val="000000" w:themeColor="text1"/>
          <w:sz w:val="24"/>
          <w:szCs w:val="24"/>
        </w:rPr>
      </w:pPr>
    </w:p>
    <w:p w14:paraId="1B58986F" w14:textId="093B757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3" w:name="_Toc530564986"/>
      <w:r w:rsidRPr="00375799">
        <w:rPr>
          <w:rFonts w:asciiTheme="minorHAnsi" w:hAnsiTheme="minorHAnsi" w:cstheme="minorHAnsi"/>
          <w:color w:val="000000" w:themeColor="text1"/>
          <w:sz w:val="24"/>
          <w:szCs w:val="24"/>
        </w:rPr>
        <w:t>Ustawa z dnia 18 kwietnia 1985 r. o rybactwie śródlądowym</w:t>
      </w:r>
      <w:r w:rsidR="00315986" w:rsidRPr="00375799">
        <w:rPr>
          <w:rFonts w:asciiTheme="minorHAnsi" w:hAnsiTheme="minorHAnsi" w:cstheme="minorHAnsi"/>
          <w:color w:val="000000" w:themeColor="text1"/>
          <w:sz w:val="24"/>
          <w:szCs w:val="24"/>
        </w:rPr>
        <w:t xml:space="preserve"> (Dz. U. z</w:t>
      </w:r>
      <w:r w:rsidR="00306046">
        <w:rPr>
          <w:rFonts w:asciiTheme="minorHAnsi" w:hAnsiTheme="minorHAnsi" w:cstheme="minorHAnsi"/>
          <w:color w:val="000000" w:themeColor="text1"/>
          <w:sz w:val="24"/>
          <w:szCs w:val="24"/>
        </w:rPr>
        <w:t xml:space="preserve"> </w:t>
      </w:r>
      <w:r w:rsidR="00315986" w:rsidRPr="00375799">
        <w:rPr>
          <w:rFonts w:asciiTheme="minorHAnsi" w:hAnsiTheme="minorHAnsi" w:cstheme="minorHAnsi"/>
          <w:color w:val="000000" w:themeColor="text1"/>
          <w:sz w:val="24"/>
          <w:szCs w:val="24"/>
        </w:rPr>
        <w:t>201</w:t>
      </w:r>
      <w:r w:rsidR="00306046">
        <w:rPr>
          <w:rFonts w:asciiTheme="minorHAnsi" w:hAnsiTheme="minorHAnsi" w:cstheme="minorHAnsi"/>
          <w:color w:val="000000" w:themeColor="text1"/>
          <w:sz w:val="24"/>
          <w:szCs w:val="24"/>
        </w:rPr>
        <w:t xml:space="preserve">8 </w:t>
      </w:r>
      <w:r w:rsidR="00315986" w:rsidRPr="00375799">
        <w:rPr>
          <w:rFonts w:asciiTheme="minorHAnsi" w:hAnsiTheme="minorHAnsi" w:cstheme="minorHAnsi"/>
          <w:color w:val="000000" w:themeColor="text1"/>
          <w:sz w:val="24"/>
          <w:szCs w:val="24"/>
        </w:rPr>
        <w:t xml:space="preserve">r. poz. </w:t>
      </w:r>
      <w:r w:rsidR="00306046">
        <w:rPr>
          <w:rFonts w:asciiTheme="minorHAnsi" w:hAnsiTheme="minorHAnsi" w:cstheme="minorHAnsi"/>
          <w:color w:val="000000" w:themeColor="text1"/>
          <w:sz w:val="24"/>
          <w:szCs w:val="24"/>
        </w:rPr>
        <w:t>1476</w:t>
      </w:r>
      <w:r w:rsidR="00315986" w:rsidRPr="00375799">
        <w:rPr>
          <w:rFonts w:asciiTheme="minorHAnsi" w:hAnsiTheme="minorHAnsi" w:cstheme="minorHAnsi"/>
          <w:color w:val="000000" w:themeColor="text1"/>
          <w:sz w:val="24"/>
          <w:szCs w:val="24"/>
        </w:rPr>
        <w:t>)</w:t>
      </w:r>
      <w:bookmarkEnd w:id="13"/>
      <w:r w:rsidRPr="00375799">
        <w:rPr>
          <w:rFonts w:asciiTheme="minorHAnsi" w:hAnsiTheme="minorHAnsi" w:cstheme="minorHAnsi"/>
          <w:color w:val="000000" w:themeColor="text1"/>
          <w:sz w:val="24"/>
          <w:szCs w:val="24"/>
        </w:rPr>
        <w:t xml:space="preserve">  </w:t>
      </w:r>
    </w:p>
    <w:p w14:paraId="30DC9080" w14:textId="0D03BB5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art. 6d ust. 25a ustawy </w:t>
      </w:r>
      <w:r w:rsidR="00357EAC">
        <w:rPr>
          <w:rFonts w:cstheme="minorHAnsi"/>
          <w:color w:val="000000" w:themeColor="text1"/>
          <w:sz w:val="24"/>
          <w:szCs w:val="24"/>
        </w:rPr>
        <w:t xml:space="preserve">z dnia 18 kwietnia 1985 r. </w:t>
      </w:r>
      <w:r w:rsidRPr="00375799">
        <w:rPr>
          <w:rFonts w:cstheme="minorHAnsi"/>
          <w:color w:val="000000" w:themeColor="text1"/>
          <w:sz w:val="24"/>
          <w:szCs w:val="24"/>
        </w:rPr>
        <w:t xml:space="preserve">o rybactwie śródlądowym przewidziano, iż dyrektor regionalnego zarządu gospodarki wodnej Państwowego </w:t>
      </w:r>
      <w:r w:rsidRPr="00375799">
        <w:rPr>
          <w:rFonts w:cstheme="minorHAnsi"/>
          <w:color w:val="000000" w:themeColor="text1"/>
          <w:sz w:val="24"/>
          <w:szCs w:val="24"/>
        </w:rPr>
        <w:lastRenderedPageBreak/>
        <w:t xml:space="preserve">Gospodarstwa Wodnego Wody Polskie będzie zamieszczał na swojej stronie internetowej, tak jak to jest obecnie praktykowane w ramach udostępniania informacji publicznej, wykaz obwodów rybackich wraz z uprawnionymi do rybactwa w tych obwodach rybackich, ich dane kontaktowe oraz okres obowiązywania umów użytkowania obwodu rybackiego. </w:t>
      </w:r>
    </w:p>
    <w:p w14:paraId="18A03E7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Katalog zamieszczanych danych został ograniczony do niezbędnego minimum i danych wskazanych przez uprawnionego do rybactwa, zgodnie z zasadą minimalizacji zamieszczanych danych osobowych. Katalog ten dotyczy zarówno osób fizycznych, jak i uprawnionych do rybactwa niebędących osobami fizycznymi.</w:t>
      </w:r>
    </w:p>
    <w:p w14:paraId="568A1FE5" w14:textId="3C711AE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Informacje te są niezbędne do uzyskania od użytkownika rybackiego zezwolenia na amatorski połów ryb, o którym mowa w art. 7 ust. 2a ustawy </w:t>
      </w:r>
      <w:r w:rsidR="00357EAC">
        <w:rPr>
          <w:rFonts w:cstheme="minorHAnsi"/>
          <w:color w:val="000000" w:themeColor="text1"/>
          <w:sz w:val="24"/>
          <w:szCs w:val="24"/>
        </w:rPr>
        <w:t xml:space="preserve">z dnia 18 kwietnia 1985 r. </w:t>
      </w:r>
      <w:r w:rsidRPr="00375799">
        <w:rPr>
          <w:rFonts w:cstheme="minorHAnsi"/>
          <w:color w:val="000000" w:themeColor="text1"/>
          <w:sz w:val="24"/>
          <w:szCs w:val="24"/>
        </w:rPr>
        <w:t>o rybactwie śródlądowym, a także do celów kontrolnych.</w:t>
      </w:r>
    </w:p>
    <w:p w14:paraId="0BF66FE8" w14:textId="4915FF8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Brak stosownego wskazania w ustawie mógłby prowadzić do kwestionowania podstaw prawnych publicznego zamieszczania takiej informacji (danych osobowych), zwłaszcza w kontekście wymogów z art. 6 ust. 1 lit. c oraz ust. 3 lit. b </w:t>
      </w:r>
      <w:r w:rsidR="00CA3E2C" w:rsidRPr="00375799">
        <w:rPr>
          <w:rFonts w:cstheme="minorHAnsi"/>
          <w:color w:val="000000" w:themeColor="text1"/>
          <w:sz w:val="24"/>
          <w:szCs w:val="24"/>
        </w:rPr>
        <w:t>RODO</w:t>
      </w:r>
      <w:r w:rsidRPr="00375799">
        <w:rPr>
          <w:rFonts w:cstheme="minorHAnsi"/>
          <w:color w:val="000000" w:themeColor="text1"/>
          <w:sz w:val="24"/>
          <w:szCs w:val="24"/>
        </w:rPr>
        <w:t>.</w:t>
      </w:r>
    </w:p>
    <w:p w14:paraId="082FD75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E65306C" w14:textId="3CE65DA2" w:rsidR="008706DD" w:rsidRPr="00375799" w:rsidRDefault="00684B25"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4" w:name="_Toc530564987"/>
      <w:r w:rsidRPr="00375799">
        <w:rPr>
          <w:rFonts w:asciiTheme="minorHAnsi" w:hAnsiTheme="minorHAnsi" w:cstheme="minorHAnsi"/>
          <w:color w:val="000000" w:themeColor="text1"/>
          <w:sz w:val="24"/>
          <w:szCs w:val="24"/>
        </w:rPr>
        <w:t xml:space="preserve">Ustawa </w:t>
      </w:r>
      <w:r w:rsidR="00BB25C5">
        <w:rPr>
          <w:rFonts w:asciiTheme="minorHAnsi" w:hAnsiTheme="minorHAnsi" w:cstheme="minorHAnsi"/>
          <w:color w:val="000000" w:themeColor="text1"/>
          <w:sz w:val="24"/>
          <w:szCs w:val="24"/>
        </w:rPr>
        <w:t xml:space="preserve">z dnia </w:t>
      </w:r>
      <w:r w:rsidR="00306046">
        <w:rPr>
          <w:rFonts w:asciiTheme="minorHAnsi" w:hAnsiTheme="minorHAnsi" w:cstheme="minorHAnsi"/>
          <w:color w:val="000000" w:themeColor="text1"/>
          <w:sz w:val="24"/>
          <w:szCs w:val="24"/>
        </w:rPr>
        <w:t xml:space="preserve">15 lipca 1987 r. </w:t>
      </w:r>
      <w:r w:rsidR="008706DD" w:rsidRPr="00375799">
        <w:rPr>
          <w:rFonts w:asciiTheme="minorHAnsi" w:hAnsiTheme="minorHAnsi" w:cstheme="minorHAnsi"/>
          <w:color w:val="000000" w:themeColor="text1"/>
          <w:sz w:val="24"/>
          <w:szCs w:val="24"/>
        </w:rPr>
        <w:t>o Rzeczniku Praw Obywatelskich</w:t>
      </w:r>
      <w:r w:rsidR="00315986" w:rsidRPr="00375799">
        <w:rPr>
          <w:rFonts w:asciiTheme="minorHAnsi" w:hAnsiTheme="minorHAnsi" w:cstheme="minorHAnsi"/>
          <w:color w:val="000000" w:themeColor="text1"/>
          <w:sz w:val="24"/>
          <w:szCs w:val="24"/>
        </w:rPr>
        <w:t xml:space="preserve"> (Dz. U.</w:t>
      </w:r>
      <w:r w:rsidR="0093086C">
        <w:rPr>
          <w:rFonts w:asciiTheme="minorHAnsi" w:hAnsiTheme="minorHAnsi" w:cstheme="minorHAnsi"/>
          <w:color w:val="000000" w:themeColor="text1"/>
          <w:sz w:val="24"/>
          <w:szCs w:val="24"/>
        </w:rPr>
        <w:t xml:space="preserve"> z 2018 r. poz. 2179</w:t>
      </w:r>
      <w:r w:rsidR="00315986" w:rsidRPr="00375799">
        <w:rPr>
          <w:rFonts w:asciiTheme="minorHAnsi" w:hAnsiTheme="minorHAnsi" w:cstheme="minorHAnsi"/>
          <w:color w:val="000000" w:themeColor="text1"/>
          <w:sz w:val="24"/>
          <w:szCs w:val="24"/>
        </w:rPr>
        <w:t>)</w:t>
      </w:r>
      <w:bookmarkEnd w:id="14"/>
    </w:p>
    <w:p w14:paraId="7AFF76D3" w14:textId="78B377C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Zmiana w ustawie </w:t>
      </w:r>
      <w:r w:rsidR="00357EAC">
        <w:rPr>
          <w:rFonts w:cstheme="minorHAnsi"/>
          <w:color w:val="000000" w:themeColor="text1"/>
          <w:sz w:val="24"/>
          <w:szCs w:val="24"/>
        </w:rPr>
        <w:t xml:space="preserve">z dnia 15 lipca 1987 r. </w:t>
      </w:r>
      <w:r w:rsidRPr="00375799">
        <w:rPr>
          <w:rFonts w:cstheme="minorHAnsi"/>
          <w:color w:val="000000" w:themeColor="text1"/>
          <w:sz w:val="24"/>
          <w:szCs w:val="24"/>
        </w:rPr>
        <w:t xml:space="preserve">o Rzeczniku Praw Obywatelskich ma charakter dostosowawczy. Rzecznik ma prawo również przetwarzać dane osobowe, o których mowa w art. 9 ust. 1 i </w:t>
      </w:r>
      <w:r w:rsidR="00357EAC">
        <w:rPr>
          <w:rFonts w:cstheme="minorHAnsi"/>
          <w:color w:val="000000" w:themeColor="text1"/>
          <w:sz w:val="24"/>
          <w:szCs w:val="24"/>
        </w:rPr>
        <w:t xml:space="preserve">art. </w:t>
      </w:r>
      <w:r w:rsidRPr="00375799">
        <w:rPr>
          <w:rFonts w:cstheme="minorHAnsi"/>
          <w:color w:val="000000" w:themeColor="text1"/>
          <w:sz w:val="24"/>
          <w:szCs w:val="24"/>
        </w:rPr>
        <w:t xml:space="preserve">10 </w:t>
      </w:r>
      <w:r w:rsidR="00362F61" w:rsidRPr="00375799">
        <w:rPr>
          <w:rFonts w:cstheme="minorHAnsi"/>
          <w:color w:val="000000" w:themeColor="text1"/>
          <w:sz w:val="24"/>
          <w:szCs w:val="24"/>
        </w:rPr>
        <w:t>RODO</w:t>
      </w:r>
      <w:r w:rsidRPr="00375799">
        <w:rPr>
          <w:rFonts w:cstheme="minorHAnsi"/>
          <w:color w:val="000000" w:themeColor="text1"/>
          <w:sz w:val="24"/>
          <w:szCs w:val="24"/>
        </w:rPr>
        <w:t xml:space="preserve"> wyłącznie w celu ochrony wolności i praw człowieka i obywatela przy realizacji swoich ustawowych zadań.</w:t>
      </w:r>
    </w:p>
    <w:p w14:paraId="357E6374" w14:textId="6FDF98EB" w:rsidR="00236320" w:rsidRPr="00375799" w:rsidRDefault="0070021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Wykonywanie zadań konstytucyjnych i ustawowych przez Rzecznika Praw Obywatelskich wiąże się z koniecznością przetwarzania danych osobowych, o których mowa w art. 9 ust. 1 i </w:t>
      </w:r>
      <w:r w:rsidR="00357EAC">
        <w:rPr>
          <w:rFonts w:cstheme="minorHAnsi"/>
          <w:color w:val="000000" w:themeColor="text1"/>
          <w:sz w:val="24"/>
          <w:szCs w:val="24"/>
        </w:rPr>
        <w:t xml:space="preserve">art. </w:t>
      </w:r>
      <w:r w:rsidRPr="00375799">
        <w:rPr>
          <w:rFonts w:cstheme="minorHAnsi"/>
          <w:color w:val="000000" w:themeColor="text1"/>
          <w:sz w:val="24"/>
          <w:szCs w:val="24"/>
        </w:rPr>
        <w:t xml:space="preserve">10 </w:t>
      </w:r>
      <w:r w:rsidR="00EF66C9" w:rsidRPr="00375799">
        <w:rPr>
          <w:rFonts w:cstheme="minorHAnsi"/>
          <w:color w:val="000000" w:themeColor="text1"/>
          <w:sz w:val="24"/>
          <w:szCs w:val="24"/>
        </w:rPr>
        <w:t>RODO</w:t>
      </w:r>
      <w:r w:rsidRPr="00375799">
        <w:rPr>
          <w:rFonts w:cstheme="minorHAnsi"/>
          <w:color w:val="000000" w:themeColor="text1"/>
          <w:sz w:val="24"/>
          <w:szCs w:val="24"/>
        </w:rPr>
        <w:t xml:space="preserve">. Przepisy te, dopuszczając odstępstwo od zakazu przetwarzania danych osobowych o charakterze szczególnym, ustanawiają jednocześnie wymóg zapewnienia odpowiednich i konkretnych środków ochrony praw podstawowych. Z tego względu konieczne jest dodanie w art. 17c ustawy </w:t>
      </w:r>
      <w:r w:rsidR="00357EAC">
        <w:rPr>
          <w:rFonts w:cstheme="minorHAnsi"/>
          <w:color w:val="000000" w:themeColor="text1"/>
          <w:sz w:val="24"/>
          <w:szCs w:val="24"/>
        </w:rPr>
        <w:t xml:space="preserve">z dnia 15 lipca 1987 r. </w:t>
      </w:r>
      <w:r w:rsidRPr="00375799">
        <w:rPr>
          <w:rFonts w:cstheme="minorHAnsi"/>
          <w:color w:val="000000" w:themeColor="text1"/>
          <w:sz w:val="24"/>
          <w:szCs w:val="24"/>
        </w:rPr>
        <w:t xml:space="preserve">o Rzeczniku Praw Obywatelskich ust. 3, zgodnie z którym Rzecznik dopuszcza do przetwarzania danych osobowych osoby posiadające pisemne upoważnienie nadane przez administratora danych. Warunkiem udzielenia pisemnego upoważnienia jest pisemne zobowiązanie się osoby upoważnianej do zachowania w </w:t>
      </w:r>
      <w:r w:rsidR="003F3117" w:rsidRPr="00375799">
        <w:rPr>
          <w:rFonts w:cstheme="minorHAnsi"/>
          <w:color w:val="000000" w:themeColor="text1"/>
          <w:sz w:val="24"/>
          <w:szCs w:val="24"/>
        </w:rPr>
        <w:t>poufności</w:t>
      </w:r>
      <w:r w:rsidRPr="00375799">
        <w:rPr>
          <w:rFonts w:cstheme="minorHAnsi"/>
          <w:color w:val="000000" w:themeColor="text1"/>
          <w:sz w:val="24"/>
          <w:szCs w:val="24"/>
        </w:rPr>
        <w:t xml:space="preserve"> przetwarzanych danych osobowych.  Wprowadzenie tego przepisu realizuje wymogi wynikające z art. 9 ust. 2 i </w:t>
      </w:r>
      <w:r w:rsidR="00357EAC">
        <w:rPr>
          <w:rFonts w:cstheme="minorHAnsi"/>
          <w:color w:val="000000" w:themeColor="text1"/>
          <w:sz w:val="24"/>
          <w:szCs w:val="24"/>
        </w:rPr>
        <w:t xml:space="preserve">art. </w:t>
      </w:r>
      <w:r w:rsidRPr="00375799">
        <w:rPr>
          <w:rFonts w:cstheme="minorHAnsi"/>
          <w:color w:val="000000" w:themeColor="text1"/>
          <w:sz w:val="24"/>
          <w:szCs w:val="24"/>
        </w:rPr>
        <w:t xml:space="preserve">10 </w:t>
      </w:r>
      <w:r w:rsidR="00EF66C9" w:rsidRPr="00375799">
        <w:rPr>
          <w:rFonts w:cstheme="minorHAnsi"/>
          <w:color w:val="000000" w:themeColor="text1"/>
          <w:sz w:val="24"/>
          <w:szCs w:val="24"/>
        </w:rPr>
        <w:t xml:space="preserve">RODO. </w:t>
      </w:r>
    </w:p>
    <w:p w14:paraId="4CBA3B12" w14:textId="77777777" w:rsidR="00236320" w:rsidRPr="00375799" w:rsidRDefault="00236320"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1F790AE4" w14:textId="3EC9D58C"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5" w:name="_Toc530564988"/>
      <w:r w:rsidRPr="00375799">
        <w:rPr>
          <w:rFonts w:asciiTheme="minorHAnsi" w:hAnsiTheme="minorHAnsi" w:cstheme="minorHAnsi"/>
          <w:color w:val="000000" w:themeColor="text1"/>
          <w:sz w:val="24"/>
          <w:szCs w:val="24"/>
        </w:rPr>
        <w:t>Ustawa z dnia 17 maja 1989 r. – Prawo geodezyjne i kartograficzne (Dz. U. z 2017 r. poz. 2101 oraz z 2018 r. poz. 650 i 1</w:t>
      </w:r>
      <w:r w:rsidR="00357EAC">
        <w:rPr>
          <w:rFonts w:asciiTheme="minorHAnsi" w:hAnsiTheme="minorHAnsi" w:cstheme="minorHAnsi"/>
          <w:color w:val="000000" w:themeColor="text1"/>
          <w:sz w:val="24"/>
          <w:szCs w:val="24"/>
        </w:rPr>
        <w:t>669</w:t>
      </w:r>
      <w:r w:rsidRPr="00375799">
        <w:rPr>
          <w:rFonts w:asciiTheme="minorHAnsi" w:hAnsiTheme="minorHAnsi" w:cstheme="minorHAnsi"/>
          <w:color w:val="000000" w:themeColor="text1"/>
          <w:sz w:val="24"/>
          <w:szCs w:val="24"/>
        </w:rPr>
        <w:t>)</w:t>
      </w:r>
      <w:bookmarkEnd w:id="15"/>
    </w:p>
    <w:p w14:paraId="01A38F25"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7AB7286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przetwarzaniem danych osobowych uzyskanych przy realizacji zadań związanych z: </w:t>
      </w:r>
    </w:p>
    <w:p w14:paraId="5F95C67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w:t>
      </w:r>
      <w:r w:rsidRPr="00375799">
        <w:rPr>
          <w:rFonts w:cstheme="minorHAnsi"/>
          <w:color w:val="000000" w:themeColor="text1"/>
          <w:sz w:val="24"/>
          <w:szCs w:val="24"/>
        </w:rPr>
        <w:tab/>
        <w:t xml:space="preserve">prowadzeniem państwowego zasobu geodezyjnego i kartograficznego, </w:t>
      </w:r>
    </w:p>
    <w:p w14:paraId="0FEBC0E3" w14:textId="3263D2A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2)</w:t>
      </w:r>
      <w:r w:rsidRPr="00375799">
        <w:rPr>
          <w:rFonts w:cstheme="minorHAnsi"/>
          <w:color w:val="000000" w:themeColor="text1"/>
          <w:sz w:val="24"/>
          <w:szCs w:val="24"/>
        </w:rPr>
        <w:tab/>
        <w:t xml:space="preserve">przechowywaniem kopii zabezpieczających baz danych, o którym mowa w art. 7b ust. 1 pkt 4 </w:t>
      </w:r>
      <w:r w:rsidR="00357EAC">
        <w:rPr>
          <w:rFonts w:cstheme="minorHAnsi"/>
          <w:color w:val="000000" w:themeColor="text1"/>
          <w:sz w:val="24"/>
          <w:szCs w:val="24"/>
        </w:rPr>
        <w:t xml:space="preserve">ustawy </w:t>
      </w:r>
      <w:r w:rsidR="009B1F34">
        <w:rPr>
          <w:rFonts w:cstheme="minorHAnsi"/>
          <w:color w:val="000000" w:themeColor="text1"/>
          <w:sz w:val="24"/>
          <w:szCs w:val="24"/>
        </w:rPr>
        <w:t>z dnia 17 maja 1989 r. – Prawo geodezyjne i k</w:t>
      </w:r>
      <w:r w:rsidR="00357EAC">
        <w:rPr>
          <w:rFonts w:cstheme="minorHAnsi"/>
          <w:color w:val="000000" w:themeColor="text1"/>
          <w:sz w:val="24"/>
          <w:szCs w:val="24"/>
        </w:rPr>
        <w:t xml:space="preserve">artograficzne, dalej </w:t>
      </w:r>
      <w:proofErr w:type="spellStart"/>
      <w:r w:rsidRPr="00375799">
        <w:rPr>
          <w:rFonts w:cstheme="minorHAnsi"/>
          <w:color w:val="000000" w:themeColor="text1"/>
          <w:sz w:val="24"/>
          <w:szCs w:val="24"/>
        </w:rPr>
        <w:t>Pgik</w:t>
      </w:r>
      <w:proofErr w:type="spellEnd"/>
      <w:r w:rsidRPr="00375799">
        <w:rPr>
          <w:rFonts w:cstheme="minorHAnsi"/>
          <w:color w:val="000000" w:themeColor="text1"/>
          <w:sz w:val="24"/>
          <w:szCs w:val="24"/>
        </w:rPr>
        <w:t>,</w:t>
      </w:r>
    </w:p>
    <w:p w14:paraId="62538F64"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w:t>
      </w:r>
      <w:r w:rsidRPr="00375799">
        <w:rPr>
          <w:rFonts w:cstheme="minorHAnsi"/>
          <w:color w:val="000000" w:themeColor="text1"/>
          <w:sz w:val="24"/>
          <w:szCs w:val="24"/>
        </w:rPr>
        <w:tab/>
        <w:t>koordynacją usytuowania projektowanych sieci uzbrojenia terenu,</w:t>
      </w:r>
    </w:p>
    <w:p w14:paraId="3AB0E1B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4)</w:t>
      </w:r>
      <w:r w:rsidRPr="00375799">
        <w:rPr>
          <w:rFonts w:cstheme="minorHAnsi"/>
          <w:color w:val="000000" w:themeColor="text1"/>
          <w:sz w:val="24"/>
          <w:szCs w:val="24"/>
        </w:rPr>
        <w:tab/>
        <w:t>tworzeniem i utrzymywaniem zintegrowanego systemu informacji o nieruchomościach,</w:t>
      </w:r>
    </w:p>
    <w:p w14:paraId="2ED11DE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5)</w:t>
      </w:r>
      <w:r w:rsidRPr="00375799">
        <w:rPr>
          <w:rFonts w:cstheme="minorHAnsi"/>
          <w:color w:val="000000" w:themeColor="text1"/>
          <w:sz w:val="24"/>
          <w:szCs w:val="24"/>
        </w:rPr>
        <w:tab/>
        <w:t xml:space="preserve">prowadzeniem kontroli, o których mowa w art. 9 </w:t>
      </w:r>
      <w:proofErr w:type="spellStart"/>
      <w:r w:rsidRPr="00375799">
        <w:rPr>
          <w:rFonts w:cstheme="minorHAnsi"/>
          <w:color w:val="000000" w:themeColor="text1"/>
          <w:sz w:val="24"/>
          <w:szCs w:val="24"/>
        </w:rPr>
        <w:t>Pgik</w:t>
      </w:r>
      <w:proofErr w:type="spellEnd"/>
      <w:r w:rsidRPr="00375799">
        <w:rPr>
          <w:rFonts w:cstheme="minorHAnsi"/>
          <w:color w:val="000000" w:themeColor="text1"/>
          <w:sz w:val="24"/>
          <w:szCs w:val="24"/>
        </w:rPr>
        <w:t>,</w:t>
      </w:r>
    </w:p>
    <w:p w14:paraId="2773EAC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6)</w:t>
      </w:r>
      <w:r w:rsidRPr="00375799">
        <w:rPr>
          <w:rFonts w:cstheme="minorHAnsi"/>
          <w:color w:val="000000" w:themeColor="text1"/>
          <w:sz w:val="24"/>
          <w:szCs w:val="24"/>
        </w:rPr>
        <w:tab/>
        <w:t xml:space="preserve">wydawaniem dzienników praktyki zawodowej, o których mowa w art. 44b ust. 5 </w:t>
      </w:r>
      <w:proofErr w:type="spellStart"/>
      <w:r w:rsidRPr="00375799">
        <w:rPr>
          <w:rFonts w:cstheme="minorHAnsi"/>
          <w:color w:val="000000" w:themeColor="text1"/>
          <w:sz w:val="24"/>
          <w:szCs w:val="24"/>
        </w:rPr>
        <w:t>Pgik</w:t>
      </w:r>
      <w:proofErr w:type="spellEnd"/>
      <w:r w:rsidRPr="00375799">
        <w:rPr>
          <w:rFonts w:cstheme="minorHAnsi"/>
          <w:color w:val="000000" w:themeColor="text1"/>
          <w:sz w:val="24"/>
          <w:szCs w:val="24"/>
        </w:rPr>
        <w:t>, oraz prowadzeniem rejestrów wydanych dzienników praktyki zawodowej,</w:t>
      </w:r>
    </w:p>
    <w:p w14:paraId="250283F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7)</w:t>
      </w:r>
      <w:r w:rsidRPr="00375799">
        <w:rPr>
          <w:rFonts w:cstheme="minorHAnsi"/>
          <w:color w:val="000000" w:themeColor="text1"/>
          <w:sz w:val="24"/>
          <w:szCs w:val="24"/>
        </w:rPr>
        <w:tab/>
        <w:t>nadawaniem uprawnień zawodowych w dziedzinie geodezji i kartografii oraz prowadzeniem centralnego rejestru osób posiadających uprawnienia zawodowe w dziedzinie geodezji i kartografii,</w:t>
      </w:r>
    </w:p>
    <w:p w14:paraId="6C8CC8D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8)</w:t>
      </w:r>
      <w:r w:rsidRPr="00375799">
        <w:rPr>
          <w:rFonts w:cstheme="minorHAnsi"/>
          <w:color w:val="000000" w:themeColor="text1"/>
          <w:sz w:val="24"/>
          <w:szCs w:val="24"/>
        </w:rPr>
        <w:tab/>
        <w:t>prowadzeniem postępowań dyscyplinarnych</w:t>
      </w:r>
    </w:p>
    <w:p w14:paraId="70017F20" w14:textId="15B19DA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ograniczono stosowanie art. 15 ust. 1 lit. g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(tj. jeżeli dane osobowe nie zostały zebrane od osoby, której dane dotyczą, osobie tej przysługuje prawo dostępu do wszelkich dostępnych informacji o źródle pozyskania jej danych osobowych). Prawo, o którym mowa w art. 15 ust. 1 lit. g </w:t>
      </w:r>
      <w:r w:rsidR="00262CDB" w:rsidRPr="00375799">
        <w:rPr>
          <w:rFonts w:cstheme="minorHAnsi"/>
          <w:color w:val="000000" w:themeColor="text1"/>
          <w:sz w:val="24"/>
          <w:szCs w:val="24"/>
        </w:rPr>
        <w:t>RODO</w:t>
      </w:r>
      <w:r w:rsidR="00C0462F" w:rsidRPr="00375799">
        <w:rPr>
          <w:rFonts w:cstheme="minorHAnsi"/>
          <w:color w:val="000000" w:themeColor="text1"/>
          <w:sz w:val="24"/>
          <w:szCs w:val="24"/>
        </w:rPr>
        <w:t>,</w:t>
      </w:r>
      <w:r w:rsidRPr="00375799">
        <w:rPr>
          <w:rFonts w:cstheme="minorHAnsi"/>
          <w:color w:val="000000" w:themeColor="text1"/>
          <w:sz w:val="24"/>
          <w:szCs w:val="24"/>
        </w:rPr>
        <w:t xml:space="preserve"> w zakresie wystąpień zawierających dane osobowe osób trzecich, które nie skutkują wszczęciem postępowania administracyjnego, przysługiwać będzie w zakresie, w jakimi nie ma wpływu na ochronę praw i wolności osób, od których dane pozyskano. Chodzi tu np. o sytuację, w której wszczęto kontrolę działalności przedsiębiorcy wykonującego prace geodezyjne lub kartograficzne pod kątem rzetelności ich wykonywania na podstawie zawiadomienia osoby trzeciej czy np. sytuację postępowania dyscyplinarnego w którym pozyskano informacje o nieprawidłowościach od takiej osoby. W sytuacjach takich dane osoby będącej źródłem informacji nie powinny być udostępniane wnioskującemu podmiotowi.</w:t>
      </w:r>
    </w:p>
    <w:p w14:paraId="0476D043" w14:textId="3DBCE73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Zarówno w ww. przykładach jak i w innych sytuacjach wskazanych przepisem skorzystanie z przedmiotowego ograniczenia nie jest automatyczne i zależy od oceny spełnienia odpowiednich przesłanek przez organ przetwarzając</w:t>
      </w:r>
      <w:r w:rsidR="00A116DA">
        <w:rPr>
          <w:rFonts w:cstheme="minorHAnsi"/>
          <w:color w:val="000000" w:themeColor="text1"/>
          <w:sz w:val="24"/>
          <w:szCs w:val="24"/>
        </w:rPr>
        <w:t>y</w:t>
      </w:r>
      <w:r w:rsidRPr="00375799">
        <w:rPr>
          <w:rFonts w:cstheme="minorHAnsi"/>
          <w:color w:val="000000" w:themeColor="text1"/>
          <w:sz w:val="24"/>
          <w:szCs w:val="24"/>
        </w:rPr>
        <w:t xml:space="preserve"> dane osobowe. </w:t>
      </w:r>
    </w:p>
    <w:p w14:paraId="4EFB2B06" w14:textId="18BDA095" w:rsidR="00EF66C9" w:rsidRPr="00375799" w:rsidRDefault="00EF66C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Jednocześnie wskazano, że z uwagi na ww. ograniczenie art. 15 ust. 1 lit. g RODO dodano dodatkowe gwarancje dla osób, których dane dotyczą w postaci zobowiązania administratora o poinformowaniu o ograniczeniu osoby, której dane dotyczą przy pierwszej czynności do niej skierowanej. Ponadto wskazano, że w przypadku gdy okres przechowywania danych osobowych, nie wynika z przepisów ustawy z dnia 14 lipca 1983 r. o narodowym zasobie archiwalnym i archiwach (Dz. U. z 2018 r. poz. 217, 357, 398 i 650) </w:t>
      </w:r>
      <w:r w:rsidR="00A72CAC" w:rsidRPr="00375799">
        <w:rPr>
          <w:rFonts w:cstheme="minorHAnsi"/>
          <w:color w:val="000000" w:themeColor="text1"/>
          <w:sz w:val="24"/>
          <w:szCs w:val="24"/>
        </w:rPr>
        <w:t xml:space="preserve">lub z innych przepisów Główny Geodeta Kraju, marszałkowie województw, starostowie albo prezydenci miast na prawach powiatu, wojewodowie, organy i podmioty tworzące i utrzymujące zintegrowany system informacji o nieruchomościach oraz wojewódzcy inspektorzy nadzoru geodezyjnego i kartograficznego </w:t>
      </w:r>
      <w:r w:rsidRPr="00375799">
        <w:rPr>
          <w:rFonts w:cstheme="minorHAnsi"/>
          <w:color w:val="000000" w:themeColor="text1"/>
          <w:sz w:val="24"/>
          <w:szCs w:val="24"/>
        </w:rPr>
        <w:t>ustala</w:t>
      </w:r>
      <w:r w:rsidR="00A72CAC" w:rsidRPr="00375799">
        <w:rPr>
          <w:rFonts w:cstheme="minorHAnsi"/>
          <w:color w:val="000000" w:themeColor="text1"/>
          <w:sz w:val="24"/>
          <w:szCs w:val="24"/>
        </w:rPr>
        <w:t xml:space="preserve">ją </w:t>
      </w:r>
      <w:r w:rsidRPr="00375799">
        <w:rPr>
          <w:rFonts w:cstheme="minorHAnsi"/>
          <w:color w:val="000000" w:themeColor="text1"/>
          <w:sz w:val="24"/>
          <w:szCs w:val="24"/>
        </w:rPr>
        <w:t xml:space="preserve"> okres ich przechowywania w przepisach wydawanych na podstawie art. 6 ust. 1 i 2 tej ustawy. Wprowadzono też zabezpieczenie w postaci nałożenia obowiązku dopuszczenia do przetwarzania danych osobowych wyłącznie osób posiadających pisemne upoważnienie wydane przez administratora oraz konieczności </w:t>
      </w:r>
      <w:r w:rsidRPr="00375799">
        <w:rPr>
          <w:rFonts w:cstheme="minorHAnsi"/>
          <w:color w:val="000000" w:themeColor="text1"/>
          <w:sz w:val="24"/>
          <w:szCs w:val="24"/>
        </w:rPr>
        <w:lastRenderedPageBreak/>
        <w:t>udzielania pisemnego zobowiązania osób upoważnionych do przetwarzania danych osobowych do zachowania ich w tajemnicy.</w:t>
      </w:r>
    </w:p>
    <w:p w14:paraId="5D204187" w14:textId="36D538A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wyraźnie wskazano, iż wystąpienie z żądaniem, o którym mowa w art. 18 ust. 1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(tj. prawo żądania przez osobę, której dane osobowe dotyczą, ograniczenia przetwarzania jej danych) nie wpływa na realizację zadań wskazanych w art. 5a ust. 1 pkt 1</w:t>
      </w:r>
      <w:r w:rsidR="00A116DA">
        <w:rPr>
          <w:rFonts w:cstheme="minorHAnsi"/>
          <w:color w:val="000000" w:themeColor="text1"/>
          <w:sz w:val="24"/>
          <w:szCs w:val="24"/>
        </w:rPr>
        <w:t>–</w:t>
      </w:r>
      <w:r w:rsidRPr="00375799">
        <w:rPr>
          <w:rFonts w:cstheme="minorHAnsi"/>
          <w:color w:val="000000" w:themeColor="text1"/>
          <w:sz w:val="24"/>
          <w:szCs w:val="24"/>
        </w:rPr>
        <w:t xml:space="preserve">5, 7 i 8, czyli zadań związanych z: </w:t>
      </w:r>
    </w:p>
    <w:p w14:paraId="397EB1C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w:t>
      </w:r>
      <w:r w:rsidRPr="00375799">
        <w:rPr>
          <w:rFonts w:cstheme="minorHAnsi"/>
          <w:color w:val="000000" w:themeColor="text1"/>
          <w:sz w:val="24"/>
          <w:szCs w:val="24"/>
        </w:rPr>
        <w:tab/>
        <w:t>prowadzeniem państwowego zasobu geodezyjnego i kartograficznego,</w:t>
      </w:r>
    </w:p>
    <w:p w14:paraId="4C781CE7"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w:t>
      </w:r>
      <w:r w:rsidRPr="00375799">
        <w:rPr>
          <w:rFonts w:cstheme="minorHAnsi"/>
          <w:color w:val="000000" w:themeColor="text1"/>
          <w:sz w:val="24"/>
          <w:szCs w:val="24"/>
        </w:rPr>
        <w:tab/>
        <w:t xml:space="preserve">przechowywaniem kopii zabezpieczających baz danych, o którym mowa w art. 7b ust. 1 pkt 4 </w:t>
      </w:r>
      <w:proofErr w:type="spellStart"/>
      <w:r w:rsidRPr="00375799">
        <w:rPr>
          <w:rFonts w:cstheme="minorHAnsi"/>
          <w:color w:val="000000" w:themeColor="text1"/>
          <w:sz w:val="24"/>
          <w:szCs w:val="24"/>
        </w:rPr>
        <w:t>Pgik</w:t>
      </w:r>
      <w:proofErr w:type="spellEnd"/>
      <w:r w:rsidRPr="00375799">
        <w:rPr>
          <w:rFonts w:cstheme="minorHAnsi"/>
          <w:color w:val="000000" w:themeColor="text1"/>
          <w:sz w:val="24"/>
          <w:szCs w:val="24"/>
        </w:rPr>
        <w:t>,</w:t>
      </w:r>
    </w:p>
    <w:p w14:paraId="36F9A76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w:t>
      </w:r>
      <w:r w:rsidRPr="00375799">
        <w:rPr>
          <w:rFonts w:cstheme="minorHAnsi"/>
          <w:color w:val="000000" w:themeColor="text1"/>
          <w:sz w:val="24"/>
          <w:szCs w:val="24"/>
        </w:rPr>
        <w:tab/>
        <w:t>koordynacją usytuowania projektowanych sieci uzbrojenia terenu,</w:t>
      </w:r>
    </w:p>
    <w:p w14:paraId="2298F4D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4)</w:t>
      </w:r>
      <w:r w:rsidRPr="00375799">
        <w:rPr>
          <w:rFonts w:cstheme="minorHAnsi"/>
          <w:color w:val="000000" w:themeColor="text1"/>
          <w:sz w:val="24"/>
          <w:szCs w:val="24"/>
        </w:rPr>
        <w:tab/>
        <w:t>tworzeniem i utrzymywaniem zintegrowanego systemu informacji o nieruchomościach,</w:t>
      </w:r>
    </w:p>
    <w:p w14:paraId="60F49ED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5)</w:t>
      </w:r>
      <w:r w:rsidRPr="00375799">
        <w:rPr>
          <w:rFonts w:cstheme="minorHAnsi"/>
          <w:color w:val="000000" w:themeColor="text1"/>
          <w:sz w:val="24"/>
          <w:szCs w:val="24"/>
        </w:rPr>
        <w:tab/>
        <w:t xml:space="preserve">prowadzeniem kontroli, o których mowa w art. 9 </w:t>
      </w:r>
      <w:proofErr w:type="spellStart"/>
      <w:r w:rsidRPr="00375799">
        <w:rPr>
          <w:rFonts w:cstheme="minorHAnsi"/>
          <w:color w:val="000000" w:themeColor="text1"/>
          <w:sz w:val="24"/>
          <w:szCs w:val="24"/>
        </w:rPr>
        <w:t>Pgik</w:t>
      </w:r>
      <w:proofErr w:type="spellEnd"/>
      <w:r w:rsidRPr="00375799">
        <w:rPr>
          <w:rFonts w:cstheme="minorHAnsi"/>
          <w:color w:val="000000" w:themeColor="text1"/>
          <w:sz w:val="24"/>
          <w:szCs w:val="24"/>
        </w:rPr>
        <w:t>,</w:t>
      </w:r>
    </w:p>
    <w:p w14:paraId="410F4729" w14:textId="2CEA842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6)</w:t>
      </w:r>
      <w:r w:rsidRPr="00375799">
        <w:rPr>
          <w:rFonts w:cstheme="minorHAnsi"/>
          <w:color w:val="000000" w:themeColor="text1"/>
          <w:sz w:val="24"/>
          <w:szCs w:val="24"/>
        </w:rPr>
        <w:tab/>
        <w:t>nadawaniem uprawnień zawodowych w dziedzinie geodezji i kartografii oraz prowadzeniem centralnego rejestru osób posiadających uprawnienia zawodowe w dziedzinie geodezji i kartografii,</w:t>
      </w:r>
    </w:p>
    <w:p w14:paraId="0229D607"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7)</w:t>
      </w:r>
      <w:r w:rsidRPr="00375799">
        <w:rPr>
          <w:rFonts w:cstheme="minorHAnsi"/>
          <w:color w:val="000000" w:themeColor="text1"/>
          <w:sz w:val="24"/>
          <w:szCs w:val="24"/>
        </w:rPr>
        <w:tab/>
        <w:t>prowadzeniem postępowań dyscyplinarnych.</w:t>
      </w:r>
    </w:p>
    <w:p w14:paraId="1A046DC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Powyższe ma na celu umożliwienie skutecznego i efektywnego wykonywania ww. zadań (uniemożliwienie wykorzystywania prawa do ograniczenia przetwarzania danych w celu przedłużania lub blokowania działań organów w ww. zakresie).</w:t>
      </w:r>
    </w:p>
    <w:p w14:paraId="36F3938E" w14:textId="1E2C461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przedmiotowej ustawie nie wprowadzono ograniczeń stosowania art. 21 ust. 1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(tj. prawo osoby, której dane osobowe dotyczą do sprzeciwu wobec przetwarzania jej danych osobowych opartego na art. 6 ust.</w:t>
      </w:r>
      <w:r w:rsidR="00A116DA">
        <w:rPr>
          <w:rFonts w:cstheme="minorHAnsi"/>
          <w:color w:val="000000" w:themeColor="text1"/>
          <w:sz w:val="24"/>
          <w:szCs w:val="24"/>
        </w:rPr>
        <w:t xml:space="preserve"> </w:t>
      </w:r>
      <w:r w:rsidRPr="00375799">
        <w:rPr>
          <w:rFonts w:cstheme="minorHAnsi"/>
          <w:color w:val="000000" w:themeColor="text1"/>
          <w:sz w:val="24"/>
          <w:szCs w:val="24"/>
        </w:rPr>
        <w:t xml:space="preserve">1 lit. e lub f </w:t>
      </w:r>
      <w:r w:rsidR="00357EAC">
        <w:rPr>
          <w:rFonts w:cstheme="minorHAnsi"/>
          <w:color w:val="000000" w:themeColor="text1"/>
          <w:sz w:val="24"/>
          <w:szCs w:val="24"/>
        </w:rPr>
        <w:t>RODO</w:t>
      </w:r>
      <w:r w:rsidRPr="00375799">
        <w:rPr>
          <w:rFonts w:cstheme="minorHAnsi"/>
          <w:color w:val="000000" w:themeColor="text1"/>
          <w:sz w:val="24"/>
          <w:szCs w:val="24"/>
        </w:rPr>
        <w:t xml:space="preserve">), bowiem podstawą przetwarzania danych osobowych przez organy realizujące zadania wskazane w ww. ustawie jest art. 6 ust. 1 lit. c </w:t>
      </w:r>
      <w:r w:rsidR="00262CDB" w:rsidRPr="00375799">
        <w:rPr>
          <w:rFonts w:cstheme="minorHAnsi"/>
          <w:color w:val="000000" w:themeColor="text1"/>
          <w:sz w:val="24"/>
          <w:szCs w:val="24"/>
        </w:rPr>
        <w:t>RODO</w:t>
      </w:r>
      <w:r w:rsidR="00262CDB" w:rsidRPr="00375799" w:rsidDel="00262CDB">
        <w:rPr>
          <w:rFonts w:cstheme="minorHAnsi"/>
          <w:color w:val="000000" w:themeColor="text1"/>
          <w:sz w:val="24"/>
          <w:szCs w:val="24"/>
        </w:rPr>
        <w:t xml:space="preserve"> </w:t>
      </w:r>
      <w:r w:rsidRPr="00375799">
        <w:rPr>
          <w:rFonts w:cstheme="minorHAnsi"/>
          <w:color w:val="000000" w:themeColor="text1"/>
          <w:sz w:val="24"/>
          <w:szCs w:val="24"/>
        </w:rPr>
        <w:t xml:space="preserve">(przetwarzanie jest niezbędne do wypełnienia obowiązku prawnego ciążącego na administratorze). Oznacza to, że art. 21 ust. 1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nie ma wówczas zastosowania. </w:t>
      </w:r>
    </w:p>
    <w:p w14:paraId="39708488" w14:textId="77777777" w:rsidR="008706DD" w:rsidRPr="00375799" w:rsidRDefault="008706DD" w:rsidP="0055107B">
      <w:pPr>
        <w:spacing w:after="0" w:line="276" w:lineRule="auto"/>
        <w:ind w:left="57" w:right="57"/>
        <w:contextualSpacing/>
        <w:jc w:val="both"/>
        <w:rPr>
          <w:rFonts w:cstheme="minorHAnsi"/>
          <w:b/>
          <w:color w:val="000000" w:themeColor="text1"/>
          <w:sz w:val="24"/>
          <w:szCs w:val="24"/>
        </w:rPr>
      </w:pPr>
    </w:p>
    <w:p w14:paraId="2C9915FF" w14:textId="238ACE15" w:rsidR="008706DD" w:rsidRPr="00375799" w:rsidRDefault="001265F4"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6" w:name="_Toc530564989"/>
      <w:r w:rsidRPr="00375799">
        <w:rPr>
          <w:rFonts w:asciiTheme="minorHAnsi" w:hAnsiTheme="minorHAnsi" w:cstheme="minorHAnsi"/>
          <w:color w:val="000000" w:themeColor="text1"/>
          <w:sz w:val="24"/>
          <w:szCs w:val="24"/>
        </w:rPr>
        <w:t xml:space="preserve">Ustawa </w:t>
      </w:r>
      <w:r w:rsidR="008706DD" w:rsidRPr="00375799">
        <w:rPr>
          <w:rFonts w:asciiTheme="minorHAnsi" w:hAnsiTheme="minorHAnsi" w:cstheme="minorHAnsi"/>
          <w:color w:val="000000" w:themeColor="text1"/>
          <w:sz w:val="24"/>
          <w:szCs w:val="24"/>
        </w:rPr>
        <w:t xml:space="preserve">z dnia 14 lutego 1991 r. – Prawo o notariacie </w:t>
      </w:r>
      <w:r w:rsidR="00315986" w:rsidRPr="00375799">
        <w:rPr>
          <w:rFonts w:asciiTheme="minorHAnsi" w:hAnsiTheme="minorHAnsi" w:cstheme="minorHAnsi"/>
          <w:color w:val="000000" w:themeColor="text1"/>
          <w:sz w:val="24"/>
          <w:szCs w:val="24"/>
        </w:rPr>
        <w:t>(Dz. U. z 2017 r. poz. 2291 oraz z 2018 r. poz. 398</w:t>
      </w:r>
      <w:r w:rsidR="00306046">
        <w:rPr>
          <w:rFonts w:asciiTheme="minorHAnsi" w:hAnsiTheme="minorHAnsi" w:cstheme="minorHAnsi"/>
          <w:color w:val="000000" w:themeColor="text1"/>
          <w:sz w:val="24"/>
          <w:szCs w:val="24"/>
        </w:rPr>
        <w:t xml:space="preserve">, </w:t>
      </w:r>
      <w:r w:rsidR="00315986" w:rsidRPr="00375799">
        <w:rPr>
          <w:rFonts w:asciiTheme="minorHAnsi" w:hAnsiTheme="minorHAnsi" w:cstheme="minorHAnsi"/>
          <w:color w:val="000000" w:themeColor="text1"/>
          <w:sz w:val="24"/>
          <w:szCs w:val="24"/>
        </w:rPr>
        <w:t>723</w:t>
      </w:r>
      <w:r w:rsidR="00306046">
        <w:rPr>
          <w:rFonts w:asciiTheme="minorHAnsi" w:hAnsiTheme="minorHAnsi" w:cstheme="minorHAnsi"/>
          <w:color w:val="000000" w:themeColor="text1"/>
          <w:sz w:val="24"/>
          <w:szCs w:val="24"/>
        </w:rPr>
        <w:t>, 1469, 1629 i 1669</w:t>
      </w:r>
      <w:r w:rsidR="00315986" w:rsidRPr="00375799">
        <w:rPr>
          <w:rFonts w:asciiTheme="minorHAnsi" w:hAnsiTheme="minorHAnsi" w:cstheme="minorHAnsi"/>
          <w:color w:val="000000" w:themeColor="text1"/>
          <w:sz w:val="24"/>
          <w:szCs w:val="24"/>
        </w:rPr>
        <w:t>)</w:t>
      </w:r>
      <w:bookmarkEnd w:id="16"/>
    </w:p>
    <w:p w14:paraId="07EDA125"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424BC32F" w14:textId="1F10C5A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Przepisy </w:t>
      </w:r>
      <w:r w:rsidR="00E63FE5" w:rsidRPr="00375799">
        <w:rPr>
          <w:rFonts w:cstheme="minorHAnsi"/>
          <w:color w:val="000000" w:themeColor="text1"/>
          <w:sz w:val="24"/>
          <w:szCs w:val="24"/>
        </w:rPr>
        <w:t>RODO</w:t>
      </w:r>
      <w:r w:rsidRPr="00375799">
        <w:rPr>
          <w:rFonts w:cstheme="minorHAnsi"/>
          <w:color w:val="000000" w:themeColor="text1"/>
          <w:sz w:val="24"/>
          <w:szCs w:val="24"/>
        </w:rPr>
        <w:t xml:space="preserve"> dotyczą w dużej mierze zadań realizowanych na podstawie ustawy z dnia 14 lutego 1991 r. – Prawo o notariacie wykonywanych przez Ministra Sprawiedliwości, organy samorządu zawodowego notariuszy oraz notariuszy w ramach prowadzonej działalności zawodowej. Podkreślić jednak należy, że odrębne określanie administratorów danych osobowych w ustawie </w:t>
      </w:r>
      <w:r w:rsidR="00357EAC">
        <w:rPr>
          <w:rFonts w:cstheme="minorHAnsi"/>
          <w:color w:val="000000" w:themeColor="text1"/>
          <w:sz w:val="24"/>
          <w:szCs w:val="24"/>
        </w:rPr>
        <w:t xml:space="preserve">z dnia 14 lutego 1991 r. </w:t>
      </w:r>
      <w:r w:rsidRPr="00375799">
        <w:rPr>
          <w:rFonts w:cstheme="minorHAnsi"/>
          <w:color w:val="000000" w:themeColor="text1"/>
          <w:sz w:val="24"/>
          <w:szCs w:val="24"/>
        </w:rPr>
        <w:t>– Prawo o notariacie</w:t>
      </w:r>
      <w:r w:rsidR="00383B39">
        <w:rPr>
          <w:rFonts w:cstheme="minorHAnsi"/>
          <w:color w:val="000000" w:themeColor="text1"/>
          <w:sz w:val="24"/>
          <w:szCs w:val="24"/>
        </w:rPr>
        <w:t xml:space="preserve">, dalej ustawa – Prawo o notariacie, </w:t>
      </w:r>
      <w:r w:rsidRPr="00375799">
        <w:rPr>
          <w:rFonts w:cstheme="minorHAnsi"/>
          <w:color w:val="000000" w:themeColor="text1"/>
          <w:sz w:val="24"/>
          <w:szCs w:val="24"/>
        </w:rPr>
        <w:t xml:space="preserve">nie jest konieczne albowiem wprost z ustawy wynika kto jest administratorem danych osobowych oraz jaki jest zakres przetwarzanych danych osobowych. </w:t>
      </w:r>
    </w:p>
    <w:p w14:paraId="6F8BCB7F" w14:textId="6024792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Analiza przepisów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pozwala na wniosek, że stosowanie przewidzianej tam regulacji </w:t>
      </w:r>
      <w:r w:rsidR="00A116DA">
        <w:rPr>
          <w:rFonts w:cstheme="minorHAnsi"/>
          <w:color w:val="000000" w:themeColor="text1"/>
          <w:sz w:val="24"/>
          <w:szCs w:val="24"/>
        </w:rPr>
        <w:t>w</w:t>
      </w:r>
      <w:r w:rsidR="00A116DA" w:rsidRPr="00375799">
        <w:rPr>
          <w:rFonts w:cstheme="minorHAnsi"/>
          <w:color w:val="000000" w:themeColor="text1"/>
          <w:sz w:val="24"/>
          <w:szCs w:val="24"/>
        </w:rPr>
        <w:t xml:space="preserve"> </w:t>
      </w:r>
      <w:r w:rsidRPr="00375799">
        <w:rPr>
          <w:rFonts w:cstheme="minorHAnsi"/>
          <w:color w:val="000000" w:themeColor="text1"/>
          <w:sz w:val="24"/>
          <w:szCs w:val="24"/>
        </w:rPr>
        <w:t xml:space="preserve">pełnym zakresie skutkować będzie naruszeniem jednego z podstawowych </w:t>
      </w:r>
      <w:r w:rsidRPr="00375799">
        <w:rPr>
          <w:rFonts w:cstheme="minorHAnsi"/>
          <w:color w:val="000000" w:themeColor="text1"/>
          <w:sz w:val="24"/>
          <w:szCs w:val="24"/>
        </w:rPr>
        <w:lastRenderedPageBreak/>
        <w:t xml:space="preserve">obowiązków ciążących na notariuszu, jako osobie zaufania publicznego (art. 2 § 1 ustawy – Prawo o notariacie), tj. obowiązku zachowania tajemnicy zawodowej. Stąd niezbędne jest ograniczenie stosowania niektórych przepisów </w:t>
      </w:r>
      <w:r w:rsidR="00383B39">
        <w:rPr>
          <w:rFonts w:cstheme="minorHAnsi"/>
          <w:color w:val="000000" w:themeColor="text1"/>
          <w:sz w:val="24"/>
          <w:szCs w:val="24"/>
        </w:rPr>
        <w:t>RODO</w:t>
      </w:r>
      <w:r w:rsidRPr="00375799">
        <w:rPr>
          <w:rFonts w:cstheme="minorHAnsi"/>
          <w:color w:val="000000" w:themeColor="text1"/>
          <w:sz w:val="24"/>
          <w:szCs w:val="24"/>
        </w:rPr>
        <w:t>.</w:t>
      </w:r>
    </w:p>
    <w:p w14:paraId="610AB6C7" w14:textId="77645AC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Zgodnie z art. 18 § 1 ustawy – Prawo o notariacie, notariusz obowiązany jest zachować w tajemnicy okoliczności spraw, o których powziął wiadomość ze względu na wykonywane czynności notarialne. Zakres tajemnicy zawodowej notariusza, wyznaczony przez art. 18 § 1 ustawy – Prawo o notariacie, jest szeroki. Cytowany przepis posługuje się bowiem pojemnym zwrotem „zachować w tajemnicy okoliczności sprawy</w:t>
      </w:r>
      <w:r w:rsidR="00A116DA">
        <w:rPr>
          <w:rFonts w:cstheme="minorHAnsi"/>
          <w:color w:val="000000" w:themeColor="text1"/>
          <w:sz w:val="24"/>
          <w:szCs w:val="24"/>
        </w:rPr>
        <w:t>”</w:t>
      </w:r>
      <w:r w:rsidRPr="00375799">
        <w:rPr>
          <w:rFonts w:cstheme="minorHAnsi"/>
          <w:color w:val="000000" w:themeColor="text1"/>
          <w:sz w:val="24"/>
          <w:szCs w:val="24"/>
        </w:rPr>
        <w:t xml:space="preserve">. Lege non </w:t>
      </w:r>
      <w:proofErr w:type="spellStart"/>
      <w:r w:rsidRPr="00375799">
        <w:rPr>
          <w:rFonts w:cstheme="minorHAnsi"/>
          <w:color w:val="000000" w:themeColor="text1"/>
          <w:sz w:val="24"/>
          <w:szCs w:val="24"/>
        </w:rPr>
        <w:t>distinguente</w:t>
      </w:r>
      <w:proofErr w:type="spellEnd"/>
      <w:r w:rsidRPr="00375799">
        <w:rPr>
          <w:rFonts w:cstheme="minorHAnsi"/>
          <w:color w:val="000000" w:themeColor="text1"/>
          <w:sz w:val="24"/>
          <w:szCs w:val="24"/>
        </w:rPr>
        <w:t xml:space="preserve"> obejmuje on wszelkie okoliczności sprawy, o których notariusz powziął wiadomość ze względu na wykonywane czynności notarialne. W doktrynie podkreśla się przy tym, że użyty w powyższym przepisie zwrot „okoliczności sprawy</w:t>
      </w:r>
      <w:r w:rsidR="00A116DA">
        <w:rPr>
          <w:rFonts w:cstheme="minorHAnsi"/>
          <w:color w:val="000000" w:themeColor="text1"/>
          <w:sz w:val="24"/>
          <w:szCs w:val="24"/>
        </w:rPr>
        <w:t>”</w:t>
      </w:r>
      <w:r w:rsidRPr="00375799">
        <w:rPr>
          <w:rFonts w:cstheme="minorHAnsi"/>
          <w:color w:val="000000" w:themeColor="text1"/>
          <w:sz w:val="24"/>
          <w:szCs w:val="24"/>
        </w:rPr>
        <w:t xml:space="preserve"> dotyczy wiadomości nie tylko bezpośrednio związanych z czynnością notarialną, lecz także wiążących się z prywatnością stron czynności. Kierunek ten nawiązuje do szerokiego ujmowania czynności notarialnej i obejmuje zarówno okoliczności poprzedzające dokonanie czynności, jak i „ze względu na wykonane czynności” . </w:t>
      </w:r>
    </w:p>
    <w:p w14:paraId="7312E301" w14:textId="6E3D9A3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Zauważenia wymaga, że tajemnica zawodowa</w:t>
      </w:r>
      <w:r w:rsidR="00A116DA">
        <w:rPr>
          <w:rFonts w:cstheme="minorHAnsi"/>
          <w:color w:val="000000" w:themeColor="text1"/>
          <w:sz w:val="24"/>
          <w:szCs w:val="24"/>
        </w:rPr>
        <w:t>,</w:t>
      </w:r>
      <w:r w:rsidRPr="00375799">
        <w:rPr>
          <w:rFonts w:cstheme="minorHAnsi"/>
          <w:color w:val="000000" w:themeColor="text1"/>
          <w:sz w:val="24"/>
          <w:szCs w:val="24"/>
        </w:rPr>
        <w:t xml:space="preserve"> tzw. prawniczych zawodów regulowanych zaufania publicznego była także wielokrotnie przedmiotem analizy Trybunału Sprawiedliwości Unii Europejskiej, zwłaszcza w odniesieniu do adwokatów prowadzących własne kancelarie. Prezentowane w tym zakresie rozstrzygnięcia są aktualne także względem notariuszy. Utrwalony jest także kierunek orzecznictwa Trybunału, zgodnie z którym – biorąc pod uwagę kryteria wspólnotowe oraz występujące w przepisach prawa wewnętrznego państw członkowskich – tajemnica zawodowa między notariuszem a klientem powinna być również przedmiotem ochrony w przepisach unijnych. Konsekwencją takiego stanowiska, jak się wydaje, jest treść regulacji zawartej w art. 90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369BA117" w14:textId="7727007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Zachowanie tajemnicy zawodowej, stanowi jedną z podstawowych zasad obowiązujących notariusza, wymienionych w Kodeksie Etyki Zawodowej (§ 6 uchwały </w:t>
      </w:r>
      <w:r w:rsidR="00383B39">
        <w:rPr>
          <w:rFonts w:cstheme="minorHAnsi"/>
          <w:color w:val="000000" w:themeColor="text1"/>
          <w:sz w:val="24"/>
          <w:szCs w:val="24"/>
        </w:rPr>
        <w:t xml:space="preserve">nr 19/97 </w:t>
      </w:r>
      <w:r w:rsidRPr="00375799">
        <w:rPr>
          <w:rFonts w:cstheme="minorHAnsi"/>
          <w:color w:val="000000" w:themeColor="text1"/>
          <w:sz w:val="24"/>
          <w:szCs w:val="24"/>
        </w:rPr>
        <w:t xml:space="preserve">Krajowej Rady Notarialnej z dnia 12 grudnia 1997 r. </w:t>
      </w:r>
      <w:r w:rsidR="00383B39">
        <w:rPr>
          <w:rFonts w:cstheme="minorHAnsi"/>
          <w:color w:val="000000" w:themeColor="text1"/>
          <w:sz w:val="24"/>
          <w:szCs w:val="24"/>
        </w:rPr>
        <w:t xml:space="preserve">w sprawie </w:t>
      </w:r>
      <w:r w:rsidRPr="00375799">
        <w:rPr>
          <w:rFonts w:cstheme="minorHAnsi"/>
          <w:color w:val="000000" w:themeColor="text1"/>
          <w:sz w:val="24"/>
          <w:szCs w:val="24"/>
        </w:rPr>
        <w:t>Kodeks</w:t>
      </w:r>
      <w:r w:rsidR="00383B39">
        <w:rPr>
          <w:rFonts w:cstheme="minorHAnsi"/>
          <w:color w:val="000000" w:themeColor="text1"/>
          <w:sz w:val="24"/>
          <w:szCs w:val="24"/>
        </w:rPr>
        <w:t>u</w:t>
      </w:r>
      <w:r w:rsidRPr="00375799">
        <w:rPr>
          <w:rFonts w:cstheme="minorHAnsi"/>
          <w:color w:val="000000" w:themeColor="text1"/>
          <w:sz w:val="24"/>
          <w:szCs w:val="24"/>
        </w:rPr>
        <w:t xml:space="preserve"> Etyki Zawodowej Notariusza). </w:t>
      </w:r>
    </w:p>
    <w:p w14:paraId="0B7FAF6C" w14:textId="2E49115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uwagi na powyższe, wprowadzenie regulacji, zgodnie </w:t>
      </w:r>
      <w:r w:rsidR="00A116DA">
        <w:rPr>
          <w:rFonts w:cstheme="minorHAnsi"/>
          <w:color w:val="000000" w:themeColor="text1"/>
          <w:sz w:val="24"/>
          <w:szCs w:val="24"/>
        </w:rPr>
        <w:t>z</w:t>
      </w:r>
      <w:r w:rsidR="00A116DA" w:rsidRPr="00375799">
        <w:rPr>
          <w:rFonts w:cstheme="minorHAnsi"/>
          <w:color w:val="000000" w:themeColor="text1"/>
          <w:sz w:val="24"/>
          <w:szCs w:val="24"/>
        </w:rPr>
        <w:t xml:space="preserve"> </w:t>
      </w:r>
      <w:r w:rsidRPr="00375799">
        <w:rPr>
          <w:rFonts w:cstheme="minorHAnsi"/>
          <w:color w:val="000000" w:themeColor="text1"/>
          <w:sz w:val="24"/>
          <w:szCs w:val="24"/>
        </w:rPr>
        <w:t xml:space="preserve">którą przepisy art. 15 ust. 1 i 3, art. 18 i art. 19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stosuje się w zakresie w jakim nie naruszają obowiązku zachowania przez notariusza tajemnicy, o której mowa w art. 18, jest niezbędne dla ochrony tajemnicy zawodowej. </w:t>
      </w:r>
    </w:p>
    <w:p w14:paraId="3C798153" w14:textId="53BA3C2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Przede wszystkim podkreślenia wymaga, że podstawy ograniczeń w zakresie ochrony danych osobowych, które wprowadzono w art. 1</w:t>
      </w:r>
      <w:r w:rsidR="00383B39">
        <w:rPr>
          <w:rFonts w:cstheme="minorHAnsi"/>
          <w:color w:val="000000" w:themeColor="text1"/>
          <w:sz w:val="24"/>
          <w:szCs w:val="24"/>
        </w:rPr>
        <w:t>7</w:t>
      </w:r>
      <w:r w:rsidRPr="00375799">
        <w:rPr>
          <w:rFonts w:cstheme="minorHAnsi"/>
          <w:color w:val="000000" w:themeColor="text1"/>
          <w:sz w:val="24"/>
          <w:szCs w:val="24"/>
        </w:rPr>
        <w:t xml:space="preserve"> projektowanej ustawy, mieszczą się w katalogu określonym w art. 23 ust. 1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nie wykraczają poza zakres określony w Konstytucji RP, a także są zgodne z zasadą proporcjonalności. Wprowadzane regulacje mogą wprawdzie ograniczać prawa osób, których dane osobowe dotyczą, zwłaszcza w sytuacji, gdy dotyczą osoby trzeciej a nie klienta kancelarii notarialnej, jednak są one niezbędne dla prawidłowego wykonywania przez notariuszy obowiązku zachowania tajemnicy zawodowej. Wprowadzane ograniczenia znajdują umocowanie w art. 23 ust. 1 lit. g tj. zapobieganie </w:t>
      </w:r>
      <w:r w:rsidRPr="00375799">
        <w:rPr>
          <w:rFonts w:cstheme="minorHAnsi"/>
          <w:color w:val="000000" w:themeColor="text1"/>
          <w:sz w:val="24"/>
          <w:szCs w:val="24"/>
        </w:rPr>
        <w:lastRenderedPageBreak/>
        <w:t>naruszeniom zasad etyki w zawodach regulowanych oraz art. 23 ust. 1 lit. i tj. ochronie osoby, której dane dotyczą lub praw i wolności innych osób.</w:t>
      </w:r>
    </w:p>
    <w:p w14:paraId="1C6324BF" w14:textId="13841A9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Zastosowanie podstaw derogacyjnych zawartych w art. 23 ust. 1 lit. g oraz lit. i </w:t>
      </w:r>
      <w:r w:rsidR="00262CDB" w:rsidRPr="00375799">
        <w:rPr>
          <w:rFonts w:cstheme="minorHAnsi"/>
          <w:color w:val="000000" w:themeColor="text1"/>
          <w:sz w:val="24"/>
          <w:szCs w:val="24"/>
        </w:rPr>
        <w:t>RODO</w:t>
      </w:r>
      <w:r w:rsidR="00262CDB" w:rsidRPr="00375799" w:rsidDel="00262CDB">
        <w:rPr>
          <w:rFonts w:cstheme="minorHAnsi"/>
          <w:color w:val="000000" w:themeColor="text1"/>
          <w:sz w:val="24"/>
          <w:szCs w:val="24"/>
        </w:rPr>
        <w:t xml:space="preserve"> </w:t>
      </w:r>
      <w:r w:rsidRPr="00375799">
        <w:rPr>
          <w:rFonts w:cstheme="minorHAnsi"/>
          <w:color w:val="000000" w:themeColor="text1"/>
          <w:sz w:val="24"/>
          <w:szCs w:val="24"/>
        </w:rPr>
        <w:t>w odniesieniu do notariuszy znajduje uzasadnienie w przepisie art. 17 ust. 1 Konstytucji RP, który stanowi, że w drodze ustawy można tworzyć samorządy zawodowe, reprezentujące osoby wykonujące zawody zaufania publicznego i sprawujące pieczę na</w:t>
      </w:r>
      <w:r w:rsidR="00A116DA">
        <w:rPr>
          <w:rFonts w:cstheme="minorHAnsi"/>
          <w:color w:val="000000" w:themeColor="text1"/>
          <w:sz w:val="24"/>
          <w:szCs w:val="24"/>
        </w:rPr>
        <w:t>d</w:t>
      </w:r>
      <w:r w:rsidRPr="00375799">
        <w:rPr>
          <w:rFonts w:cstheme="minorHAnsi"/>
          <w:color w:val="000000" w:themeColor="text1"/>
          <w:sz w:val="24"/>
          <w:szCs w:val="24"/>
        </w:rPr>
        <w:t xml:space="preserve"> należytym wykonywaniem tych zawodów w granicach interesu publicznego i dla jego ochrony. Umieszczenie tego przepisu w pierwszym rozdziale Konstytucji RP zatytułowanym „Rzeczpospolita” świadczy o zaliczeniu przez ustawodawcę normy z niego wynikającej do zasad ustrojowych. Orzecznictwo Trybunału Konstytucyjnego ukształtowało zakres podmiotowy przepisu art. 17 ust. 1 Konstytucji RP i nie ulega wątpliwości, że obejmuje on zwłaszcza samorządy zawodowe adwokatów, radców prawnych i notariuszy. Wskazana norma konstytucyjna uzasadnia także pozycję notariuszy w zakresie obowiązków dotyczących ochrony danych osobowych.</w:t>
      </w:r>
    </w:p>
    <w:p w14:paraId="228573D4" w14:textId="4DFDBBD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Podkreślenia wymaga, że obowiązek notariusza zachowania tajemnicy zawodowej ma charakter publicznoprawny. Zgodnie z orzecznictwem Trybunału Konstytucyjnego ustanowiono go w interesie klientów, a nie prawniczych zawodów regulowanych, przy czym nie jest on wyrazem uprzywilejowania grupy zawodowej, lecz właśnie obowiązkiem związanym z wykonywaniem zawodu zaufania publicznego. Oznacza to, że prawo do prywatności i poufności informacji nie przysługuje notariuszom, lecz ich klientom. </w:t>
      </w:r>
    </w:p>
    <w:p w14:paraId="74B94795" w14:textId="1A1D34C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 przedstawicielach tych zawodów ciąży zatem obowiązek respektowania tego prawa, bowiem ich relacje z klientami opierają się właśnie przede wszystkim na zaufaniu. Klienci mają więc prawo oczekiwać, że w każdym przypadku ich prawo do prywatności będzie stanowiło dobro najwyższe podlegające szczególnej ochronie. W konsekwencji, w przypadku, gdy dane osobowe pozyskane przez notariusza, dotyczą osoby trzeciej a nie jego klienta, będzie dochodziło do kolizji prawa do prywatności klienta kancelarii notarialnej (którego realizację zapewnia tajemnica zawodowa) z prawem do żądania na podstawie przepisów </w:t>
      </w:r>
      <w:r w:rsidR="00383B39">
        <w:rPr>
          <w:rFonts w:cstheme="minorHAnsi"/>
          <w:color w:val="000000" w:themeColor="text1"/>
          <w:sz w:val="24"/>
          <w:szCs w:val="24"/>
        </w:rPr>
        <w:t>RODO</w:t>
      </w:r>
      <w:r w:rsidRPr="00375799">
        <w:rPr>
          <w:rFonts w:cstheme="minorHAnsi"/>
          <w:color w:val="000000" w:themeColor="text1"/>
          <w:sz w:val="24"/>
          <w:szCs w:val="24"/>
        </w:rPr>
        <w:t xml:space="preserve"> ochrony danych osobowych, osoby, której dane zostały notariuszowi ujawnione. </w:t>
      </w:r>
    </w:p>
    <w:p w14:paraId="02FC087B" w14:textId="02FD2BB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Tak będzie np. w przypadku wykonania przez notariusza obowiązków, o których mowa w art. 15 ust. 1 i 3 </w:t>
      </w:r>
      <w:r w:rsidR="00262CDB" w:rsidRPr="00375799">
        <w:rPr>
          <w:rFonts w:cstheme="minorHAnsi"/>
          <w:color w:val="000000" w:themeColor="text1"/>
          <w:sz w:val="24"/>
          <w:szCs w:val="24"/>
        </w:rPr>
        <w:t>RODO</w:t>
      </w:r>
      <w:r w:rsidRPr="00375799">
        <w:rPr>
          <w:rFonts w:cstheme="minorHAnsi"/>
          <w:color w:val="000000" w:themeColor="text1"/>
          <w:sz w:val="24"/>
          <w:szCs w:val="24"/>
        </w:rPr>
        <w:t>, przewidującego uprawnienie osoby, której dane dotyczą, uzyskania dostępu do szczegółowo wymienionych tam danych oraz kopii danych osobowych podlegających przetwarzaniu. Dotyczy np. sytuacji, gdy notariusz sporządził testament, w którym powołano do dziedziczenia osobę X. Testator podał notariuszowi dane osobowe spadkobiercy testamentowego, przy czym z różnych względów, nie chciał, żeby jego ostatnia wola została ujawniona prze</w:t>
      </w:r>
      <w:r w:rsidR="00A116DA">
        <w:rPr>
          <w:rFonts w:cstheme="minorHAnsi"/>
          <w:color w:val="000000" w:themeColor="text1"/>
          <w:sz w:val="24"/>
          <w:szCs w:val="24"/>
        </w:rPr>
        <w:t>d</w:t>
      </w:r>
      <w:r w:rsidRPr="00375799">
        <w:rPr>
          <w:rFonts w:cstheme="minorHAnsi"/>
          <w:color w:val="000000" w:themeColor="text1"/>
          <w:sz w:val="24"/>
          <w:szCs w:val="24"/>
        </w:rPr>
        <w:t xml:space="preserve"> śmiercią. Nie zastrzeżono zatem w akcie notarialnym obejmującym testament, by ktokolwiek mógł otrzymywać wypisy tego aktu notarialnego. Testator ma gwarancję, że tajemnica zawodowa, do dochowania której zobowiązany jest notariusz zapobiegnie ujawnieniu jego ostatniej woli, jednak notariusz, na mocy art. 15 ust. 1 i 3 </w:t>
      </w:r>
      <w:r w:rsidR="00383B39">
        <w:rPr>
          <w:rFonts w:cstheme="minorHAnsi"/>
          <w:color w:val="000000" w:themeColor="text1"/>
          <w:sz w:val="24"/>
          <w:szCs w:val="24"/>
        </w:rPr>
        <w:t>RODO</w:t>
      </w:r>
      <w:r w:rsidR="00383B39" w:rsidRPr="00375799">
        <w:rPr>
          <w:rFonts w:cstheme="minorHAnsi"/>
          <w:color w:val="000000" w:themeColor="text1"/>
          <w:sz w:val="24"/>
          <w:szCs w:val="24"/>
        </w:rPr>
        <w:t xml:space="preserve"> </w:t>
      </w:r>
      <w:r w:rsidRPr="00375799">
        <w:rPr>
          <w:rFonts w:cstheme="minorHAnsi"/>
          <w:color w:val="000000" w:themeColor="text1"/>
          <w:sz w:val="24"/>
          <w:szCs w:val="24"/>
        </w:rPr>
        <w:t xml:space="preserve">miałby obowiązek ujawnienia dokonanej czynności notarialnej (celów przetwarzania), w przypadku, gdy wystąpiłaby do niego o wykonanie tych obowiązków osoba powołana do dziedziczenia. </w:t>
      </w:r>
    </w:p>
    <w:p w14:paraId="19DE192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Jeszcze bardziej drastyczny przypadek kolizji dóbr klienta notariusza oraz osoby, której dane dotyczą, będzie w sytuacji, gdy testator (klient kancelarii notarialnej) w testamencie sporządzonym u notariusza, wydziedziczył swojego syna, albowiem kilkakrotnie dotkliwie go pobił (art. 1008 pkt 2 k.c.). Zdecydował się na wydziedziczenie, mimo że obawia się o swoje zdrowie i życie, mając pewność, że syn przed jego śmiercią nie dowie się o wydziedziczeniu, bowiem notariusz związany jest tajemnicą zawodową. </w:t>
      </w:r>
    </w:p>
    <w:p w14:paraId="78777EB3" w14:textId="5987981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konsekwencji wykonanie przez notariusza obowiązków, o których mowa w art. 15 ust. 1 i 3</w:t>
      </w:r>
      <w:r w:rsidR="00383B39">
        <w:rPr>
          <w:rFonts w:cstheme="minorHAnsi"/>
          <w:color w:val="000000" w:themeColor="text1"/>
          <w:sz w:val="24"/>
          <w:szCs w:val="24"/>
        </w:rPr>
        <w:t xml:space="preserve"> RODO</w:t>
      </w:r>
      <w:r w:rsidRPr="00375799">
        <w:rPr>
          <w:rFonts w:cstheme="minorHAnsi"/>
          <w:color w:val="000000" w:themeColor="text1"/>
          <w:sz w:val="24"/>
          <w:szCs w:val="24"/>
        </w:rPr>
        <w:t xml:space="preserve">, oznaczało będzie naruszenie tajemnicy zawodowej. Nadto, w opisanej sytuacji może też mieć dotkliwe konsekwencje dla testatora (dla jego życia lub zdrowia), nie sposób bowiem przewidzieć reakcji wydziedziczonego. Przedłożenie przez notariusza wykonania obowiązków wynikających z rozporządzenia nad obowiązek zachowania tajemnicy zawodowej podważy zaufanie obywateli do notariatu oraz zasadność uznania notariuszy za osoby zaufania publicznego. </w:t>
      </w:r>
    </w:p>
    <w:p w14:paraId="1B449D34" w14:textId="5C58D96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 art. 17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zgodnie z ust. 3 lit. b, nie będzie miał zastosowania do notariuszy i innych administratorów określonych w ustawie – Prawo o notariacie albowiem, przepisy prawa nakładają na nich obowiązek przetwarzania danych osobowych przez ściśle określone okresy (np. w przypadku notariuszy jest to okres 10 lat, kiedy notariusz przechowuje akty notarialne i inne czynności notarialne w kancelarii jest uprawniony w tym okresie od wydawania ich wypisów, odpisów lub wyciągów).  </w:t>
      </w:r>
    </w:p>
    <w:p w14:paraId="324F9741" w14:textId="4583515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Uzasadnione jest także ograniczenie stosowania art. 18 i </w:t>
      </w:r>
      <w:r w:rsidR="00383B39">
        <w:rPr>
          <w:rFonts w:cstheme="minorHAnsi"/>
          <w:color w:val="000000" w:themeColor="text1"/>
          <w:sz w:val="24"/>
          <w:szCs w:val="24"/>
        </w:rPr>
        <w:t xml:space="preserve">art. </w:t>
      </w:r>
      <w:r w:rsidRPr="00375799">
        <w:rPr>
          <w:rFonts w:cstheme="minorHAnsi"/>
          <w:color w:val="000000" w:themeColor="text1"/>
          <w:sz w:val="24"/>
          <w:szCs w:val="24"/>
        </w:rPr>
        <w:t xml:space="preserve">19 </w:t>
      </w:r>
      <w:r w:rsidR="00383B39">
        <w:rPr>
          <w:rFonts w:cstheme="minorHAnsi"/>
          <w:color w:val="000000" w:themeColor="text1"/>
          <w:sz w:val="24"/>
          <w:szCs w:val="24"/>
        </w:rPr>
        <w:t>RODO</w:t>
      </w:r>
      <w:r w:rsidRPr="00375799">
        <w:rPr>
          <w:rFonts w:cstheme="minorHAnsi"/>
          <w:color w:val="000000" w:themeColor="text1"/>
          <w:sz w:val="24"/>
          <w:szCs w:val="24"/>
        </w:rPr>
        <w:t xml:space="preserve"> w zakresie w jakim stosowanie tych przepisów naruszałoby obowiązek zachowania tajemnicy zawodowej notariusza. W sytuacji zgłoszenia żądania z art. 18 </w:t>
      </w:r>
      <w:r w:rsidR="00383B39">
        <w:rPr>
          <w:rFonts w:cstheme="minorHAnsi"/>
          <w:color w:val="000000" w:themeColor="text1"/>
          <w:sz w:val="24"/>
          <w:szCs w:val="24"/>
        </w:rPr>
        <w:t xml:space="preserve">RODO </w:t>
      </w:r>
      <w:r w:rsidRPr="00375799">
        <w:rPr>
          <w:rFonts w:cstheme="minorHAnsi"/>
          <w:color w:val="000000" w:themeColor="text1"/>
          <w:sz w:val="24"/>
          <w:szCs w:val="24"/>
        </w:rPr>
        <w:t xml:space="preserve">przez osobę trzecią, w przypadku gdy jej dane osobowe zostały ujawnione notariuszowi, przyznawanie pierwszeństwa wykonaniu obowiązków określonych w powołanym przepisie nad obowiązkiem zachowania tajemnicy zawodowej notariusza, skutkować będzie naruszeniem praw i interesów klienta kancelarii, podważeniem wiarygodności zawodu notariusza oraz zagrożeniem bezpieczeństwa obrotu prawnego. </w:t>
      </w:r>
    </w:p>
    <w:p w14:paraId="326A5768" w14:textId="67B6B19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Przykładowo w przypadku zawarcia umowy zbycia udziałów w spółce, gdy jeden ze wspólników jest cudzoziemcem. Umowa taka ma formę pisemną z podpisami notarialnie poświadczonymi, w której wskazano dane osobowe pozostałych osób posiadających udziały w spółce. W opisanym przypadku, gdyby osoba, której dane osobowe zostały wskazane w umowie, wystąpiła do notariusza z żądaniem ograniczenia przetwarzania danych na podstawie art. 18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notariusz spełniając jej żądanie, nie mógłby przesłać kopii umowy do ministra właściwego </w:t>
      </w:r>
      <w:r w:rsidR="00D74EBD">
        <w:rPr>
          <w:rFonts w:cstheme="minorHAnsi"/>
          <w:color w:val="000000" w:themeColor="text1"/>
          <w:sz w:val="24"/>
          <w:szCs w:val="24"/>
        </w:rPr>
        <w:t>do</w:t>
      </w:r>
      <w:r w:rsidRPr="00375799">
        <w:rPr>
          <w:rFonts w:cstheme="minorHAnsi"/>
          <w:color w:val="000000" w:themeColor="text1"/>
          <w:sz w:val="24"/>
          <w:szCs w:val="24"/>
        </w:rPr>
        <w:t xml:space="preserve"> spraw administracji, a informując o wstrzymaniu przetwarzania, uchybiłby obowiązkowi zachowania tajemnicy zawodowej. </w:t>
      </w:r>
    </w:p>
    <w:p w14:paraId="34A7EC80" w14:textId="66C802E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Jeszcze bardziej jaskrawy przykład naruszenia interesów klienta kancelarii dotyczy sytuacji, gdy w umowie sprzedaży lokalu mieszkalnego, sporządzonej w formie aktu notarialnego, wskazano dane osobowe krewnych zbywcy, którzy zamieszkują w tym lokalu i co do których zbywca zapewnił, że opuszczą lokal prze</w:t>
      </w:r>
      <w:r w:rsidR="00D74EBD">
        <w:rPr>
          <w:rFonts w:cstheme="minorHAnsi"/>
          <w:color w:val="000000" w:themeColor="text1"/>
          <w:sz w:val="24"/>
          <w:szCs w:val="24"/>
        </w:rPr>
        <w:t>d</w:t>
      </w:r>
      <w:r w:rsidRPr="00375799">
        <w:rPr>
          <w:rFonts w:cstheme="minorHAnsi"/>
          <w:color w:val="000000" w:themeColor="text1"/>
          <w:sz w:val="24"/>
          <w:szCs w:val="24"/>
        </w:rPr>
        <w:t xml:space="preserve"> wydaniem go nabywcy. Zgłoszenie przez te osoby żądania ograniczenia przetwarzania ich danych osobowych (art. 18), skutkowałoby </w:t>
      </w:r>
      <w:r w:rsidRPr="00375799">
        <w:rPr>
          <w:rFonts w:cstheme="minorHAnsi"/>
          <w:color w:val="000000" w:themeColor="text1"/>
          <w:sz w:val="24"/>
          <w:szCs w:val="24"/>
        </w:rPr>
        <w:lastRenderedPageBreak/>
        <w:t>wstrzymaniem przetwarzania danych osobowych, a w niektórych przypadkach mogłoby wstrzymać skuteczne złożenie wniosku o wpis do księgi wieczystej (art. 92 § 4 ustawy – Prawo o notariacie). Naruszyłoby to prawa stron umowy i zagroziło bezpieczeństwu obrotu (brak wniosku o wpis do księgi wieczystej skutkującego automatycznym ujawnianiem w księdze wzmianki o wniosku, skutkowałoby możliwością ponownego zbycia nieruchomości</w:t>
      </w:r>
      <w:r w:rsidR="00D74EBD">
        <w:rPr>
          <w:rFonts w:cstheme="minorHAnsi"/>
          <w:color w:val="000000" w:themeColor="text1"/>
          <w:sz w:val="24"/>
          <w:szCs w:val="24"/>
        </w:rPr>
        <w:t>)</w:t>
      </w:r>
      <w:r w:rsidRPr="00375799">
        <w:rPr>
          <w:rFonts w:cstheme="minorHAnsi"/>
          <w:color w:val="000000" w:themeColor="text1"/>
          <w:sz w:val="24"/>
          <w:szCs w:val="24"/>
        </w:rPr>
        <w:t xml:space="preserve">. </w:t>
      </w:r>
    </w:p>
    <w:p w14:paraId="2928BB6D" w14:textId="3471588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Wyłączenie stosowania przepisu art. 19 </w:t>
      </w:r>
      <w:r w:rsidR="00383B39">
        <w:rPr>
          <w:rFonts w:cstheme="minorHAnsi"/>
          <w:color w:val="000000" w:themeColor="text1"/>
          <w:sz w:val="24"/>
          <w:szCs w:val="24"/>
        </w:rPr>
        <w:t xml:space="preserve">RODO </w:t>
      </w:r>
      <w:r w:rsidRPr="00375799">
        <w:rPr>
          <w:rFonts w:cstheme="minorHAnsi"/>
          <w:color w:val="000000" w:themeColor="text1"/>
          <w:sz w:val="24"/>
          <w:szCs w:val="24"/>
        </w:rPr>
        <w:t xml:space="preserve">wobec notariuszy w zakresie w jakim jego stosowanie naruszałoby obowiązek zachowania tajemnicy zawodowej jest również uzasadnione. Podkreślenia wymaga, że notariusze sporządzają projekty aktów notarialnych. Również one mogą zawierać dane osobowe nie tylko stron (klientów kancelarii) ale także osób trzecich. W sytuacji, gdy klient rezygnuje z usług notariusza, a klient żąda usunięcia jego danych osobowych, notariusz jest zobowiązany do zachowania tajemnicy zawodowej mimo, że do zawarcia umowy nie dochodzi. W takiej sytuacji realizacja przez notariusza obowiązku, o którym mowa w zdaniu drugim art. 19 (zawiadomienia o usunięciu danych osobowych także osoby trzecie, której dane dotyczą) skutkowałaby naruszeniem obowiązku zachowania tajemnicy zawodowej. </w:t>
      </w:r>
    </w:p>
    <w:p w14:paraId="1AAAFEAB" w14:textId="7B5EA60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Powyższe przykłady obrazują</w:t>
      </w:r>
      <w:r w:rsidR="00B70941" w:rsidRPr="00375799">
        <w:rPr>
          <w:rFonts w:cstheme="minorHAnsi"/>
          <w:color w:val="000000" w:themeColor="text1"/>
          <w:sz w:val="24"/>
          <w:szCs w:val="24"/>
        </w:rPr>
        <w:t>,</w:t>
      </w:r>
      <w:r w:rsidRPr="00375799">
        <w:rPr>
          <w:rFonts w:cstheme="minorHAnsi"/>
          <w:color w:val="000000" w:themeColor="text1"/>
          <w:sz w:val="24"/>
          <w:szCs w:val="24"/>
        </w:rPr>
        <w:t xml:space="preserve"> że wyłączenie przepisów art. 15 ust. 1 i 3, art. 18 i art. 19 </w:t>
      </w:r>
      <w:r w:rsidR="00383B39">
        <w:rPr>
          <w:rFonts w:cstheme="minorHAnsi"/>
          <w:color w:val="000000" w:themeColor="text1"/>
          <w:sz w:val="24"/>
          <w:szCs w:val="24"/>
        </w:rPr>
        <w:t xml:space="preserve">RODO </w:t>
      </w:r>
      <w:r w:rsidRPr="00375799">
        <w:rPr>
          <w:rFonts w:cstheme="minorHAnsi"/>
          <w:color w:val="000000" w:themeColor="text1"/>
          <w:sz w:val="24"/>
          <w:szCs w:val="24"/>
        </w:rPr>
        <w:t>w zakresie ujętym w projekcie jest niezbędne dla ochrony tajemnicy zawodowej notariusza, a tym samym służy zapobieganiu naruszeniom zasad etyki w zawodzie regulowanym – zawodzie notariusza (art. 23 ust. 1 lit. g). W konsekwencji jest jednak także niezbędne dla ochrony praw i wolności innych osób (art. 23 ust. 1 lit. i)</w:t>
      </w:r>
      <w:r w:rsidR="00D74EBD">
        <w:rPr>
          <w:rFonts w:cstheme="minorHAnsi"/>
          <w:color w:val="000000" w:themeColor="text1"/>
          <w:sz w:val="24"/>
          <w:szCs w:val="24"/>
        </w:rPr>
        <w:t>,</w:t>
      </w:r>
      <w:r w:rsidRPr="00375799">
        <w:rPr>
          <w:rFonts w:cstheme="minorHAnsi"/>
          <w:color w:val="000000" w:themeColor="text1"/>
          <w:sz w:val="24"/>
          <w:szCs w:val="24"/>
        </w:rPr>
        <w:t xml:space="preserve"> tj. osób które korzystają z usług notariusza i działają w przekonaniu, że informacje o tym nie zostaną ujawnione innym osobom. Wprowadzane ograniczenia są istotnie minimalizowane i dotyczą wyłącznie danych osób trzecich a nie klientów notariusza, stąd też ograniczenie uznać należy za proporcjonalne. </w:t>
      </w:r>
    </w:p>
    <w:p w14:paraId="2CF8B732" w14:textId="2223A32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Podkreślenia wymaga, że opisane wyżej ograniczenia stosowania wymienionych przepisów </w:t>
      </w:r>
      <w:r w:rsidR="00383B39">
        <w:rPr>
          <w:rFonts w:cstheme="minorHAnsi"/>
          <w:color w:val="000000" w:themeColor="text1"/>
          <w:sz w:val="24"/>
          <w:szCs w:val="24"/>
        </w:rPr>
        <w:t>RODO</w:t>
      </w:r>
      <w:r w:rsidR="00383B39" w:rsidRPr="00375799">
        <w:rPr>
          <w:rFonts w:cstheme="minorHAnsi"/>
          <w:color w:val="000000" w:themeColor="text1"/>
          <w:sz w:val="24"/>
          <w:szCs w:val="24"/>
        </w:rPr>
        <w:t xml:space="preserve"> </w:t>
      </w:r>
      <w:r w:rsidRPr="00375799">
        <w:rPr>
          <w:rFonts w:cstheme="minorHAnsi"/>
          <w:color w:val="000000" w:themeColor="text1"/>
          <w:sz w:val="24"/>
          <w:szCs w:val="24"/>
        </w:rPr>
        <w:t xml:space="preserve">wobec notariuszy nie będzie oznaczało, że dane osobowe, o których notariusz dowiedział się ze względu na dokonywane czynności notarialne nie podlegają żadnej ochronie. W istocie bowiem przepisy ustawy – Prawo o notariacie zapewniają wzmożoną ochronę tajemnicy zawodowej. Istniejące rygory i ograniczenia w zakresie dotyczącym przetwarzania i ujawniania danych osobowych osób korzystających z ich usług, uzasadniają wprowadzenie odstępstw od stosowania niektórych przepisów rozporządzenia. </w:t>
      </w:r>
    </w:p>
    <w:p w14:paraId="5C98C12B" w14:textId="6C531E4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odniesieniu do przepisu art. 21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zauważyć należy, że osoby wykonujące zawód notariusza przetwarzają dane osobowe na podstawie art. 6 ust. 1 lit. c </w:t>
      </w:r>
      <w:r w:rsidR="00383B39">
        <w:rPr>
          <w:rFonts w:cstheme="minorHAnsi"/>
          <w:color w:val="000000" w:themeColor="text1"/>
          <w:sz w:val="24"/>
          <w:szCs w:val="24"/>
        </w:rPr>
        <w:t xml:space="preserve">RODO </w:t>
      </w:r>
      <w:r w:rsidRPr="00375799">
        <w:rPr>
          <w:rFonts w:cstheme="minorHAnsi"/>
          <w:color w:val="000000" w:themeColor="text1"/>
          <w:sz w:val="24"/>
          <w:szCs w:val="24"/>
        </w:rPr>
        <w:t xml:space="preserve">(przetwarzanie jest niezbędne do wypełnienia obowiązku prawnego ciążącego na administratorze). Prawnym obowiązkiem notariuszy jest dokonywanie czynności notarialnych i są to jedyne podmioty, którym ustawodawca w polskim porządku prawnym przyznał taką kompetencję. Należy jednak zauważyć, że równocześnie w przypadku notariuszy przetwarzanie jest niezbędne do wykonania zadania realizowanego w interesie publicznym (art. 6 ust. 1 lit. e) </w:t>
      </w:r>
      <w:r w:rsidR="00D74EBD">
        <w:rPr>
          <w:rFonts w:cstheme="minorHAnsi"/>
          <w:color w:val="000000" w:themeColor="text1"/>
          <w:sz w:val="24"/>
          <w:szCs w:val="24"/>
        </w:rPr>
        <w:t>–</w:t>
      </w:r>
      <w:r w:rsidRPr="00375799">
        <w:rPr>
          <w:rFonts w:cstheme="minorHAnsi"/>
          <w:color w:val="000000" w:themeColor="text1"/>
          <w:sz w:val="24"/>
          <w:szCs w:val="24"/>
        </w:rPr>
        <w:t xml:space="preserve"> dokonywanie czynności notarialnych, w szczególności sporządzanie aktów notarialnych dotyczących obrotu nieruchomościami ma na celu zapewnienie bezpieczeństwa obrotu, a zatem wykonywane jest </w:t>
      </w:r>
      <w:r w:rsidRPr="00375799">
        <w:rPr>
          <w:rFonts w:cstheme="minorHAnsi"/>
          <w:color w:val="000000" w:themeColor="text1"/>
          <w:sz w:val="24"/>
          <w:szCs w:val="24"/>
        </w:rPr>
        <w:lastRenderedPageBreak/>
        <w:t>w interesie publicznym. Ustawodawca unijny przyznał uprawnienie do zgłoszenia sprzeciwu jedynie w przypadku, gdy dane przetwarzane są na podstawie art. 6 ust. 1 lit. e lub f. Nie można zatem wykluczyć sytuacji, gdy takie zadanie zostanie zgłoszone przez osobę, której dane dotyczą, co w konsekwencji uniemożliwi notariuszowi przetwarzanie danych osobowych, a tym samym dokonywanie takich czynności jak wydawanie wypisów, odpisów, wyciągów. W przypadku, gdy dotyczyło to będzie dany</w:t>
      </w:r>
      <w:r w:rsidR="00D74EBD">
        <w:rPr>
          <w:rFonts w:cstheme="minorHAnsi"/>
          <w:color w:val="000000" w:themeColor="text1"/>
          <w:sz w:val="24"/>
          <w:szCs w:val="24"/>
        </w:rPr>
        <w:t>ch</w:t>
      </w:r>
      <w:r w:rsidRPr="00375799">
        <w:rPr>
          <w:rFonts w:cstheme="minorHAnsi"/>
          <w:color w:val="000000" w:themeColor="text1"/>
          <w:sz w:val="24"/>
          <w:szCs w:val="24"/>
        </w:rPr>
        <w:t xml:space="preserve"> zawartych w akcie notarialnym obejmującym testament, a w tym czasie z żądaniem wydania wypisu testamentu zwróci się sąd w toku postępowania o stwierdzenie nabycia spadku, zgłoszenie sprzeciwu (nawet nieuzasadnionego) uniemożliwi dalsze prowadzenie tego postępowania, prowadząc do jego przewlekłości. W tej sytuacji uzasadnione jest wyłączenie stosowania tej regulacji w odniesieniu do danych osobowych pozyskanych przez notariusza przy dokonywaniu czynności notarialnych. Wyłączenie znajduje uzasadnienie w art. 23 ust. 1 lit. e i f – zapewnienie prawidłowego i sprawnego prowadzenia postępowań sądowych jest zadaniem nadrzędnym, podlegającym ochronie, a zaproponowane wyłączenie stanowi środek niezbędny i proporcjonalny do osiągnięcia tego celu. </w:t>
      </w:r>
    </w:p>
    <w:p w14:paraId="6B377DD0" w14:textId="5C653CE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Jednocześnie należy wskazać, że obowiązki nałożone na notariusza w zakresie dotyczącym ochrony danych osobowych minimalizuje potencjalne ryzyka naruszenia praw lub wolności osoby, której dane dotyczą, stąd nie ma potrzeby dodatkowej regulacji określającej te ryzyka (art. 23 ust. 2 lit. g </w:t>
      </w:r>
      <w:r w:rsidR="00262CDB" w:rsidRPr="00375799">
        <w:rPr>
          <w:rFonts w:cstheme="minorHAnsi"/>
          <w:color w:val="000000" w:themeColor="text1"/>
          <w:sz w:val="24"/>
          <w:szCs w:val="24"/>
        </w:rPr>
        <w:t>RODO</w:t>
      </w:r>
      <w:r w:rsidRPr="00375799">
        <w:rPr>
          <w:rFonts w:cstheme="minorHAnsi"/>
          <w:color w:val="000000" w:themeColor="text1"/>
          <w:sz w:val="24"/>
          <w:szCs w:val="24"/>
        </w:rPr>
        <w:t xml:space="preserve">). Nie ma również zastosowania dyrektywa zawarta w art. 23 ust. 2 lit. h </w:t>
      </w:r>
      <w:r w:rsidR="00262CDB" w:rsidRPr="00375799">
        <w:rPr>
          <w:rFonts w:cstheme="minorHAnsi"/>
          <w:color w:val="000000" w:themeColor="text1"/>
          <w:sz w:val="24"/>
          <w:szCs w:val="24"/>
        </w:rPr>
        <w:t>RODO</w:t>
      </w:r>
      <w:r w:rsidRPr="00375799">
        <w:rPr>
          <w:rFonts w:cstheme="minorHAnsi"/>
          <w:color w:val="000000" w:themeColor="text1"/>
          <w:sz w:val="24"/>
          <w:szCs w:val="24"/>
        </w:rPr>
        <w:t>.</w:t>
      </w:r>
    </w:p>
    <w:p w14:paraId="4AE283AE" w14:textId="20AB863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proponuje się wprowadzenie przepisu, zgodnie z którym obowiązek zachowania tajemnicy zawodowej nie ustaje w przypadku, gdy z żądaniem ujawnienia informacji uzyskanych przez notariusza w związku z dokonywaniem czynności notarialnych występuje Prezes Urzędu Ochrony Danych Osobowych. Nie oznacza to, że dane osobowe gromadzone przez notariusza nie będą ochronione. Podstawową ochronę zapewnia im bowiem tajemnica zawodowa, do przestrzegania której przedstawiciele ww. zawodów są zobowiązani i za naruszenie której ponoszą odpowiedzialność dyscyplinarną. Kwestia przestrzegania tajemnicy zawodowej podlega wnikliwej kontroli organów nadzoru, realizowanej przez państwo w interesie publicznym. </w:t>
      </w:r>
    </w:p>
    <w:p w14:paraId="6EE2926F" w14:textId="6F49B39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Obowiązek notariusza zachowania tajemnicy zawodowej ma charakter publicznoprawny. Ustanowiono go w interesie klientów i nie jest on wyrazem uprzywilejowania grupy zawodowej, lecz właśnie obowiązkiem związanym z wykonywaniem zawodu zaufania publicznego. Oznacza to, że prawo do prywatności i poufności informacji nie przysługuje notariuszom, lecz ich klientom. Na przedstawicielach tych zawodów ciąży zatem obowiązek respektowania tego prawa, bowiem ich relacje z klientami opierają się właśnie przede wszystkim na zaufaniu.</w:t>
      </w:r>
    </w:p>
    <w:p w14:paraId="05189F91"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kontekście powyższego, podkreślić należy, że brak jest podstaw by przedkładać uprawnienia kontrolne organu nadzorczego nad prawo osób fizycznych lub prawnych korzystających z usług przedstawicieli ww. zawodów. Tajemnica zawodowa chroni prawo tych osób w szerokim zakresie, a nadto, chroni ich dane osobowe.</w:t>
      </w:r>
    </w:p>
    <w:p w14:paraId="1CAE3F3E" w14:textId="56FDCA19" w:rsidR="00FA78C3"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Zgodnie z wytycznymi przewidzianymi w art. 23 ust. 2 </w:t>
      </w:r>
      <w:r w:rsidR="00262CDB" w:rsidRPr="00375799">
        <w:rPr>
          <w:rFonts w:cstheme="minorHAnsi"/>
          <w:color w:val="000000" w:themeColor="text1"/>
          <w:sz w:val="24"/>
          <w:szCs w:val="24"/>
        </w:rPr>
        <w:t>RODO</w:t>
      </w:r>
      <w:r w:rsidRPr="00375799">
        <w:rPr>
          <w:rFonts w:cstheme="minorHAnsi"/>
          <w:color w:val="000000" w:themeColor="text1"/>
          <w:sz w:val="24"/>
          <w:szCs w:val="24"/>
        </w:rPr>
        <w:t>, projektowane przepisy przewidują także okresy przechowywania danych osobowych, w zakresie, w jakim nie były one dotychczas uregulowane. Dotyczy to okresu przechowywania danych osobowych gromadzonych przez rady izb notarialnych i Krajową Radę Notarialną. Okres ten został określony na 10 lat od zakończenia postępowania, w którym dane zostały zgromadzone. Jest to termin zbieżny z okresem przechowywania danych osobowych przez notariuszy. Po upływie tego okresu, procedura postępowania z danymi osobowymi będzie analogiczna jak w przypadku aktów notarialnych.</w:t>
      </w:r>
    </w:p>
    <w:p w14:paraId="63BCDE86" w14:textId="77777777" w:rsidR="00B70941" w:rsidRPr="00375799" w:rsidRDefault="00B70941" w:rsidP="0055107B">
      <w:pPr>
        <w:spacing w:after="0" w:line="276" w:lineRule="auto"/>
        <w:ind w:left="57" w:right="57"/>
        <w:contextualSpacing/>
        <w:jc w:val="both"/>
        <w:rPr>
          <w:rFonts w:cstheme="minorHAnsi"/>
          <w:color w:val="000000" w:themeColor="text1"/>
          <w:sz w:val="24"/>
          <w:szCs w:val="24"/>
        </w:rPr>
      </w:pPr>
    </w:p>
    <w:p w14:paraId="5FB1B2F0" w14:textId="10D49C49"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7" w:name="_Toc530564990"/>
      <w:r w:rsidRPr="00375799">
        <w:rPr>
          <w:rFonts w:asciiTheme="minorHAnsi" w:hAnsiTheme="minorHAnsi" w:cstheme="minorHAnsi"/>
          <w:color w:val="000000" w:themeColor="text1"/>
          <w:sz w:val="24"/>
          <w:szCs w:val="24"/>
        </w:rPr>
        <w:t>Ustawa z dnia 21 marca 1991 r. o obszarach morskich Rzeczypospolitej Polskiej i administracji morskiej</w:t>
      </w:r>
      <w:r w:rsidR="00E63FE5" w:rsidRPr="00375799">
        <w:rPr>
          <w:rFonts w:asciiTheme="minorHAnsi" w:hAnsiTheme="minorHAnsi" w:cstheme="minorHAnsi"/>
          <w:color w:val="000000" w:themeColor="text1"/>
          <w:sz w:val="24"/>
          <w:szCs w:val="24"/>
        </w:rPr>
        <w:t xml:space="preserve"> (Dz. U. z 2017 r. poz. 2205 oraz z 2018 r. poz. 317</w:t>
      </w:r>
      <w:r w:rsidR="00306046">
        <w:rPr>
          <w:rFonts w:asciiTheme="minorHAnsi" w:hAnsiTheme="minorHAnsi" w:cstheme="minorHAnsi"/>
          <w:color w:val="000000" w:themeColor="text1"/>
          <w:sz w:val="24"/>
          <w:szCs w:val="24"/>
        </w:rPr>
        <w:t>, 1338 i 1563</w:t>
      </w:r>
      <w:r w:rsidR="00E63FE5" w:rsidRPr="00375799">
        <w:rPr>
          <w:rFonts w:asciiTheme="minorHAnsi" w:hAnsiTheme="minorHAnsi" w:cstheme="minorHAnsi"/>
          <w:color w:val="000000" w:themeColor="text1"/>
          <w:sz w:val="24"/>
          <w:szCs w:val="24"/>
        </w:rPr>
        <w:t>)</w:t>
      </w:r>
      <w:bookmarkEnd w:id="17"/>
      <w:r w:rsidRPr="00375799">
        <w:rPr>
          <w:rFonts w:asciiTheme="minorHAnsi" w:hAnsiTheme="minorHAnsi" w:cstheme="minorHAnsi"/>
          <w:color w:val="000000" w:themeColor="text1"/>
          <w:sz w:val="24"/>
          <w:szCs w:val="24"/>
        </w:rPr>
        <w:t xml:space="preserve">  </w:t>
      </w:r>
    </w:p>
    <w:p w14:paraId="3F2A8F7B" w14:textId="2691ED1F" w:rsidR="00EB4B9A" w:rsidRPr="00375799" w:rsidRDefault="00EB4B9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Dyrektorzy urzędów morskich, realizując zadania publiczne na podstawie ustawy z dnia 21 marca 1991 r. o obszarach morskich Rzeczypospolitej Polskiej i administracji morskiej oraz innych ustaw szczególnych, przetwarzają dane osobowe osób fizycznych wykonujących czynności związane przede wszystkim z transportem towarów oraz przewozem pasażerów. </w:t>
      </w:r>
    </w:p>
    <w:p w14:paraId="5ECF49E8" w14:textId="4742746F" w:rsidR="00EB4B9A" w:rsidRPr="00375799" w:rsidRDefault="00EB4B9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Należy wskazać, że organy administracji morskiej prowadzą kontrolę spełniania wymogów bezpieczeństwa. Podejmowane przez te organy działania mają m.in. zapobiec potencjalnym naruszeniom. Ponadto w przypadku wystąpienia naruszeń ww. organy podejmują działania, które zapobiegają wypadkom w obszarach morskich, zapewniając tym samym bezpieczeństwo publiczne. Charakter części zadań wykonywanych przez dyrektorów urzędów morskich jest zbliżony więc do tych wykonywanych przez Policję lub Inspekcję Transportu Drogowego w zakresie kontroli przestrzegania przepisów ruchu drogowego.</w:t>
      </w:r>
    </w:p>
    <w:p w14:paraId="24D857F2" w14:textId="30D04264" w:rsidR="008706DD" w:rsidRPr="00375799" w:rsidRDefault="00C41700"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P</w:t>
      </w:r>
      <w:r w:rsidR="00EB4B9A" w:rsidRPr="00375799">
        <w:rPr>
          <w:rFonts w:cstheme="minorHAnsi"/>
          <w:color w:val="000000" w:themeColor="text1"/>
          <w:sz w:val="24"/>
          <w:szCs w:val="24"/>
        </w:rPr>
        <w:t xml:space="preserve">roponowany art. 49a ust. 2 wskazuje, że wystąpienie z żądaniem do ograniczenia przetwarzania danych osobowych, o którym mowa w art. 18 ust. 1 </w:t>
      </w:r>
      <w:r w:rsidR="00383B39">
        <w:rPr>
          <w:rFonts w:cstheme="minorHAnsi"/>
          <w:color w:val="000000" w:themeColor="text1"/>
          <w:sz w:val="24"/>
          <w:szCs w:val="24"/>
        </w:rPr>
        <w:t>RODO</w:t>
      </w:r>
      <w:r w:rsidR="00EB4B9A" w:rsidRPr="00375799">
        <w:rPr>
          <w:rFonts w:cstheme="minorHAnsi"/>
          <w:color w:val="000000" w:themeColor="text1"/>
          <w:sz w:val="24"/>
          <w:szCs w:val="24"/>
        </w:rPr>
        <w:t xml:space="preserve">, przez osobę, której dane dotyczą, nie wpływa na realizację przeprowadzanej przez dyrektora urzędu żeglugi śródlądowej kontroli lub inspekcji. Przedmiotowy przepis nie jest ograniczeniem stosowania przepisów </w:t>
      </w:r>
      <w:r w:rsidR="00262CDB" w:rsidRPr="00375799">
        <w:rPr>
          <w:rFonts w:cstheme="minorHAnsi"/>
          <w:color w:val="000000" w:themeColor="text1"/>
          <w:sz w:val="24"/>
          <w:szCs w:val="24"/>
        </w:rPr>
        <w:t>RODO</w:t>
      </w:r>
      <w:r w:rsidR="00262CDB" w:rsidRPr="00375799" w:rsidDel="00262CDB">
        <w:rPr>
          <w:rFonts w:cstheme="minorHAnsi"/>
          <w:color w:val="000000" w:themeColor="text1"/>
          <w:sz w:val="24"/>
          <w:szCs w:val="24"/>
        </w:rPr>
        <w:t xml:space="preserve"> </w:t>
      </w:r>
      <w:r w:rsidR="00EB4B9A" w:rsidRPr="00375799">
        <w:rPr>
          <w:rFonts w:cstheme="minorHAnsi"/>
          <w:color w:val="000000" w:themeColor="text1"/>
          <w:sz w:val="24"/>
          <w:szCs w:val="24"/>
        </w:rPr>
        <w:t>w rozumieniu jego art. 23 ust. 1, lecz jasno wskazuje, że realizacja praw związanych z ochroną danych osobowych odbywa się niezależnie od realizacji obowiązków organu administracji morskiej określonych w rozdziale 4 działu III ustawy z dnia 21 marca 1991 r. o obszarach morskich Rzeczypospolitej Polskiej i administracji morskiej. Doprecyzowanie to ma na celu zapobieżenie sytuacji, w której armatorzy oraz członkowie załóg statków będą nadużywać ww. prawa, co w praktyce skutkowałoby znaczącym utrudnieniem, w tym wydłużeniem, postępowań mających na celu zapewnienie odpowiedniego poziom</w:t>
      </w:r>
      <w:r w:rsidR="00B459F8">
        <w:rPr>
          <w:rFonts w:cstheme="minorHAnsi"/>
          <w:color w:val="000000" w:themeColor="text1"/>
          <w:sz w:val="24"/>
          <w:szCs w:val="24"/>
        </w:rPr>
        <w:t>u</w:t>
      </w:r>
      <w:r w:rsidR="00EB4B9A" w:rsidRPr="00375799">
        <w:rPr>
          <w:rFonts w:cstheme="minorHAnsi"/>
          <w:color w:val="000000" w:themeColor="text1"/>
          <w:sz w:val="24"/>
          <w:szCs w:val="24"/>
        </w:rPr>
        <w:t xml:space="preserve"> bezpieczeństwa publicznego.</w:t>
      </w:r>
    </w:p>
    <w:p w14:paraId="1AB2B19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452A233" w14:textId="6B2E2EB4"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8" w:name="_Toc530564991"/>
      <w:r w:rsidRPr="00375799">
        <w:rPr>
          <w:rFonts w:asciiTheme="minorHAnsi" w:hAnsiTheme="minorHAnsi" w:cstheme="minorHAnsi"/>
          <w:color w:val="000000" w:themeColor="text1"/>
          <w:sz w:val="24"/>
          <w:szCs w:val="24"/>
        </w:rPr>
        <w:t xml:space="preserve">Ustawa </w:t>
      </w:r>
      <w:r w:rsidR="00BB25C5">
        <w:rPr>
          <w:rFonts w:asciiTheme="minorHAnsi" w:hAnsiTheme="minorHAnsi" w:cstheme="minorHAnsi"/>
          <w:color w:val="000000" w:themeColor="text1"/>
          <w:sz w:val="24"/>
          <w:szCs w:val="24"/>
        </w:rPr>
        <w:t xml:space="preserve">z </w:t>
      </w:r>
      <w:r w:rsidRPr="00375799">
        <w:rPr>
          <w:rFonts w:asciiTheme="minorHAnsi" w:hAnsiTheme="minorHAnsi" w:cstheme="minorHAnsi"/>
          <w:color w:val="000000" w:themeColor="text1"/>
          <w:sz w:val="24"/>
          <w:szCs w:val="24"/>
        </w:rPr>
        <w:t xml:space="preserve">dnia 23 maja 1991 r. o rozwiązywaniu sporów zbiorowych </w:t>
      </w:r>
      <w:r w:rsidR="00E63FE5" w:rsidRPr="00375799">
        <w:rPr>
          <w:rFonts w:asciiTheme="minorHAnsi" w:hAnsiTheme="minorHAnsi" w:cstheme="minorHAnsi"/>
          <w:color w:val="000000" w:themeColor="text1"/>
          <w:sz w:val="24"/>
          <w:szCs w:val="24"/>
        </w:rPr>
        <w:t>(Dz. U. z 2018 r. poz. 399</w:t>
      </w:r>
      <w:r w:rsidR="00306046">
        <w:rPr>
          <w:rFonts w:asciiTheme="minorHAnsi" w:hAnsiTheme="minorHAnsi" w:cstheme="minorHAnsi"/>
          <w:color w:val="000000" w:themeColor="text1"/>
          <w:sz w:val="24"/>
          <w:szCs w:val="24"/>
        </w:rPr>
        <w:t>,</w:t>
      </w:r>
      <w:r w:rsidR="00E63FE5" w:rsidRPr="00375799">
        <w:rPr>
          <w:rFonts w:asciiTheme="minorHAnsi" w:hAnsiTheme="minorHAnsi" w:cstheme="minorHAnsi"/>
          <w:color w:val="000000" w:themeColor="text1"/>
          <w:sz w:val="24"/>
          <w:szCs w:val="24"/>
        </w:rPr>
        <w:t xml:space="preserve"> 730</w:t>
      </w:r>
      <w:r w:rsidR="00306046">
        <w:rPr>
          <w:rFonts w:asciiTheme="minorHAnsi" w:hAnsiTheme="minorHAnsi" w:cstheme="minorHAnsi"/>
          <w:color w:val="000000" w:themeColor="text1"/>
          <w:sz w:val="24"/>
          <w:szCs w:val="24"/>
        </w:rPr>
        <w:t xml:space="preserve"> i 1608</w:t>
      </w:r>
      <w:r w:rsidR="00E63FE5" w:rsidRPr="00375799">
        <w:rPr>
          <w:rFonts w:asciiTheme="minorHAnsi" w:hAnsiTheme="minorHAnsi" w:cstheme="minorHAnsi"/>
          <w:color w:val="000000" w:themeColor="text1"/>
          <w:sz w:val="24"/>
          <w:szCs w:val="24"/>
        </w:rPr>
        <w:t>)</w:t>
      </w:r>
      <w:bookmarkEnd w:id="18"/>
    </w:p>
    <w:p w14:paraId="012563E9"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12768BE8" w14:textId="76DA62C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art. 11 ust. 1 ustawy, mediatorem może być osoba z listy ustalonej przez ministra właściwego do spraw pracy w uzgodnieniu z organizacjami związkowymi oraz </w:t>
      </w:r>
      <w:r w:rsidRPr="00375799">
        <w:rPr>
          <w:rFonts w:cstheme="minorHAnsi"/>
          <w:color w:val="000000" w:themeColor="text1"/>
          <w:sz w:val="24"/>
          <w:szCs w:val="24"/>
        </w:rPr>
        <w:lastRenderedPageBreak/>
        <w:t>organizacjami pracodawców reprezentatywnymi w rozumieniu ustawy z dnia 24 lipca 2015 r. o Radzie Dialogu Społecznego i innych instytucjach dialogu społecznego (Dz.</w:t>
      </w:r>
      <w:r w:rsidR="00B459F8">
        <w:rPr>
          <w:rFonts w:cstheme="minorHAnsi"/>
          <w:color w:val="000000" w:themeColor="text1"/>
          <w:sz w:val="24"/>
          <w:szCs w:val="24"/>
        </w:rPr>
        <w:t xml:space="preserve"> </w:t>
      </w:r>
      <w:r w:rsidRPr="00375799">
        <w:rPr>
          <w:rFonts w:cstheme="minorHAnsi"/>
          <w:color w:val="000000" w:themeColor="text1"/>
          <w:sz w:val="24"/>
          <w:szCs w:val="24"/>
        </w:rPr>
        <w:t>U. poz. 1240</w:t>
      </w:r>
      <w:r w:rsidR="00383B39">
        <w:rPr>
          <w:rFonts w:cstheme="minorHAnsi"/>
          <w:color w:val="000000" w:themeColor="text1"/>
          <w:sz w:val="24"/>
          <w:szCs w:val="24"/>
        </w:rPr>
        <w:t>,</w:t>
      </w:r>
      <w:r w:rsidRPr="00375799">
        <w:rPr>
          <w:rFonts w:cstheme="minorHAnsi"/>
          <w:color w:val="000000" w:themeColor="text1"/>
          <w:sz w:val="24"/>
          <w:szCs w:val="24"/>
        </w:rPr>
        <w:t xml:space="preserve"> z</w:t>
      </w:r>
      <w:r w:rsidR="00383B39">
        <w:rPr>
          <w:rFonts w:cstheme="minorHAnsi"/>
          <w:color w:val="000000" w:themeColor="text1"/>
          <w:sz w:val="24"/>
          <w:szCs w:val="24"/>
        </w:rPr>
        <w:t xml:space="preserve"> późn. zm.</w:t>
      </w:r>
      <w:r w:rsidRPr="00375799">
        <w:rPr>
          <w:rFonts w:cstheme="minorHAnsi"/>
          <w:color w:val="000000" w:themeColor="text1"/>
          <w:sz w:val="24"/>
          <w:szCs w:val="24"/>
        </w:rPr>
        <w:t>). W obecnie obowiązującej ustawie brak jest jednak jakichkolwiek przepisów dotyczących zakresu danych osobowych gromadzonych przez ministra. Zgodnie z zasadą minimalizacji danych, dla celów związanych z prowadzeniem listy mediatorów niezbędne będzie podanie imienia (imion) i nazwiska oraz danych kontaktowych osoby ubiegającej się o wpis na listę. Przetwarzanie innych danych osobowych niż wyżej wymienione będzie możliwe za zgodą osoby ubiegającej się o uzyskanie wpisu.</w:t>
      </w:r>
    </w:p>
    <w:p w14:paraId="68E207D7"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4253B02A" w14:textId="3EF65312"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9" w:name="_Toc530564992"/>
      <w:r w:rsidRPr="00375799">
        <w:rPr>
          <w:rFonts w:asciiTheme="minorHAnsi" w:hAnsiTheme="minorHAnsi" w:cstheme="minorHAnsi"/>
          <w:color w:val="000000" w:themeColor="text1"/>
          <w:sz w:val="24"/>
          <w:szCs w:val="24"/>
        </w:rPr>
        <w:t>Ustawa z dnia 20 lipca 1991 r. o Inspekcji Ochrony Środowiska</w:t>
      </w:r>
      <w:r w:rsidR="005622CA" w:rsidRPr="00375799">
        <w:rPr>
          <w:rFonts w:asciiTheme="minorHAnsi" w:hAnsiTheme="minorHAnsi" w:cstheme="minorHAnsi"/>
          <w:color w:val="000000" w:themeColor="text1"/>
          <w:sz w:val="24"/>
          <w:szCs w:val="24"/>
        </w:rPr>
        <w:t xml:space="preserve"> (Dz. U. z 2018 r. poz. 1471 i 1479)</w:t>
      </w:r>
      <w:bookmarkEnd w:id="19"/>
    </w:p>
    <w:p w14:paraId="1F9A1061"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747319E6" w14:textId="72305D7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Przedstawiona propozycja dodania w ustawie z dnia 20 lipca 1991 r. o Inspekcji Ochrony Środowiska w art. 2 po ust. 3 kolejnych przepisów, tj. ust. 4</w:t>
      </w:r>
      <w:r w:rsidR="00B459F8">
        <w:rPr>
          <w:rFonts w:cstheme="minorHAnsi"/>
          <w:color w:val="000000" w:themeColor="text1"/>
          <w:sz w:val="24"/>
          <w:szCs w:val="24"/>
        </w:rPr>
        <w:t>–</w:t>
      </w:r>
      <w:r w:rsidRPr="00375799">
        <w:rPr>
          <w:rFonts w:cstheme="minorHAnsi"/>
          <w:color w:val="000000" w:themeColor="text1"/>
          <w:sz w:val="24"/>
          <w:szCs w:val="24"/>
        </w:rPr>
        <w:t>8</w:t>
      </w:r>
      <w:r w:rsidR="007C23D9" w:rsidRPr="00375799">
        <w:rPr>
          <w:rFonts w:cstheme="minorHAnsi"/>
          <w:color w:val="000000" w:themeColor="text1"/>
          <w:sz w:val="24"/>
          <w:szCs w:val="24"/>
        </w:rPr>
        <w:t>,</w:t>
      </w:r>
      <w:r w:rsidRPr="00375799">
        <w:rPr>
          <w:rFonts w:cstheme="minorHAnsi"/>
          <w:color w:val="000000" w:themeColor="text1"/>
          <w:sz w:val="24"/>
          <w:szCs w:val="24"/>
        </w:rPr>
        <w:t xml:space="preserve"> ma na celu </w:t>
      </w:r>
      <w:r w:rsidR="00722707">
        <w:rPr>
          <w:rFonts w:cstheme="minorHAnsi"/>
          <w:color w:val="000000" w:themeColor="text1"/>
          <w:sz w:val="24"/>
          <w:szCs w:val="24"/>
        </w:rPr>
        <w:t xml:space="preserve">m.in. </w:t>
      </w:r>
      <w:r w:rsidRPr="00375799">
        <w:rPr>
          <w:rFonts w:cstheme="minorHAnsi"/>
          <w:color w:val="000000" w:themeColor="text1"/>
          <w:sz w:val="24"/>
          <w:szCs w:val="24"/>
        </w:rPr>
        <w:t xml:space="preserve">wskazanie wyłączenia stosowania </w:t>
      </w:r>
      <w:r w:rsidR="005E1B8D" w:rsidRPr="00375799">
        <w:rPr>
          <w:rFonts w:cstheme="minorHAnsi"/>
          <w:color w:val="000000" w:themeColor="text1"/>
          <w:sz w:val="24"/>
          <w:szCs w:val="24"/>
        </w:rPr>
        <w:t xml:space="preserve">RODO </w:t>
      </w:r>
      <w:r w:rsidRPr="00375799">
        <w:rPr>
          <w:rFonts w:cstheme="minorHAnsi"/>
          <w:color w:val="000000" w:themeColor="text1"/>
          <w:sz w:val="24"/>
          <w:szCs w:val="24"/>
        </w:rPr>
        <w:t xml:space="preserve">w zakresie </w:t>
      </w:r>
      <w:r w:rsidR="001401FF" w:rsidRPr="00375799">
        <w:rPr>
          <w:rFonts w:cstheme="minorHAnsi"/>
          <w:color w:val="000000" w:themeColor="text1"/>
          <w:sz w:val="24"/>
          <w:szCs w:val="24"/>
        </w:rPr>
        <w:t xml:space="preserve">art. 15 ust. 1 lit. g </w:t>
      </w:r>
      <w:r w:rsidRPr="00375799">
        <w:rPr>
          <w:rFonts w:cstheme="minorHAnsi"/>
          <w:color w:val="000000" w:themeColor="text1"/>
          <w:sz w:val="24"/>
          <w:szCs w:val="24"/>
        </w:rPr>
        <w:t>w związku z art. 23 ust. 1 lit h RODO dopuszczającym ograniczenie w prawie państw członkowskich lub w Unii Europejskiej zakresu niektórych wyraźnie w nim wskazanych obowiązków i praw przewidzianych w rozporządzeniu</w:t>
      </w:r>
      <w:r w:rsidR="007C23D9" w:rsidRPr="00375799">
        <w:rPr>
          <w:rFonts w:cstheme="minorHAnsi"/>
          <w:color w:val="000000" w:themeColor="text1"/>
          <w:sz w:val="24"/>
          <w:szCs w:val="24"/>
        </w:rPr>
        <w:t>,</w:t>
      </w:r>
      <w:r w:rsidRPr="00375799">
        <w:rPr>
          <w:rFonts w:cstheme="minorHAnsi"/>
          <w:color w:val="000000" w:themeColor="text1"/>
          <w:sz w:val="24"/>
          <w:szCs w:val="24"/>
        </w:rPr>
        <w:t xml:space="preserve"> o ile takie wyłączenie nie narusza istoty podstawowych praw i wolności oraz jest w demokratycznym społeczeństwie środkiem niezbędnym i proporcjonalnym, służącym „funkcjom kontrolnym, inspekcyjnym lub regulacyjnym związanym, nawet sporadycznie, ze sprawowaniem władzy publicznej w przypadkach, o których mowa w lit a</w:t>
      </w:r>
      <w:r w:rsidR="00383B39">
        <w:rPr>
          <w:rFonts w:cstheme="minorHAnsi"/>
          <w:color w:val="000000" w:themeColor="text1"/>
          <w:sz w:val="24"/>
          <w:szCs w:val="24"/>
        </w:rPr>
        <w:t>–</w:t>
      </w:r>
      <w:r w:rsidRPr="00375799">
        <w:rPr>
          <w:rFonts w:cstheme="minorHAnsi"/>
          <w:color w:val="000000" w:themeColor="text1"/>
          <w:sz w:val="24"/>
          <w:szCs w:val="24"/>
        </w:rPr>
        <w:t xml:space="preserve">e oraz g”. </w:t>
      </w:r>
    </w:p>
    <w:p w14:paraId="7EB58363" w14:textId="03C7A90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Wskazany przepis odwołuje się do bezpieczeństwa narodowego, obrony, bezpieczeństwa publicznego w szczególności do ważnego interesu gospodarczego lub finansowego Unii lub państwa członkowskiego, w tym m. in. kwestii pieniężnych, budżetowych i podatkowych. Wskazane pojęcia bezpieczeństwa narodowego i bezpieczeństwa publicznego są znane od czasów dyrektywy 95/46/WE wzbudzają one jednak dyskusje w doktrynie, ponieważ ani </w:t>
      </w:r>
      <w:r w:rsidR="005E1B8D" w:rsidRPr="00375799">
        <w:rPr>
          <w:rFonts w:cstheme="minorHAnsi"/>
          <w:color w:val="000000" w:themeColor="text1"/>
          <w:sz w:val="24"/>
          <w:szCs w:val="24"/>
        </w:rPr>
        <w:t>RODO</w:t>
      </w:r>
      <w:r w:rsidRPr="00375799">
        <w:rPr>
          <w:rFonts w:cstheme="minorHAnsi"/>
          <w:color w:val="000000" w:themeColor="text1"/>
          <w:sz w:val="24"/>
          <w:szCs w:val="24"/>
        </w:rPr>
        <w:t>, ani dyrektywa 2016/680 ich nie definiuje i w ogóle problematycznym pozostaje objęcie tej tematyki przez prawo Unii Europejskiej, czy też pozostawienie jej w wyłącznej kompetencji państw członkowskich. Natomiast w związku z odwołaniem się do kwestii pieniężnych, budżetowych, podatkowych należy wskazać, iż w piśmiennictwie podnosi się, iż pojęcia te mają charakter generalny i mogą być rozumiane szeroko.</w:t>
      </w:r>
    </w:p>
    <w:p w14:paraId="147E7078" w14:textId="3757945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Charakteryzując pozycję ustrojową Inspekcji Ochrony Środowiska </w:t>
      </w:r>
      <w:r w:rsidR="006E6B5F">
        <w:rPr>
          <w:rFonts w:cstheme="minorHAnsi"/>
          <w:color w:val="000000" w:themeColor="text1"/>
          <w:sz w:val="24"/>
          <w:szCs w:val="24"/>
        </w:rPr>
        <w:t xml:space="preserve">dalej IOŚ </w:t>
      </w:r>
      <w:r w:rsidRPr="00375799">
        <w:rPr>
          <w:rFonts w:cstheme="minorHAnsi"/>
          <w:color w:val="000000" w:themeColor="text1"/>
          <w:sz w:val="24"/>
          <w:szCs w:val="24"/>
        </w:rPr>
        <w:t xml:space="preserve">należy wskazać, iż zgodnie z art. 1 ustawy </w:t>
      </w:r>
      <w:r w:rsidR="006E6B5F">
        <w:rPr>
          <w:rFonts w:cstheme="minorHAnsi"/>
          <w:color w:val="000000" w:themeColor="text1"/>
          <w:sz w:val="24"/>
          <w:szCs w:val="24"/>
        </w:rPr>
        <w:t xml:space="preserve">z dnia 20 lipca 1991 r. </w:t>
      </w:r>
      <w:r w:rsidRPr="00375799">
        <w:rPr>
          <w:rFonts w:cstheme="minorHAnsi"/>
          <w:color w:val="000000" w:themeColor="text1"/>
          <w:sz w:val="24"/>
          <w:szCs w:val="24"/>
        </w:rPr>
        <w:t xml:space="preserve">o Inspekcji Ochrony Środowiska, jest ona powołana do kontroli przestrzegania przepisów o ochronie środowiska oraz badania i oceny stanu środowiska. Wykonuje zadania kontrolne, monitoringowe, podejmuje decyzje wstrzymujące działalność prowadzoną z naruszeniem wymagań dotyczących środowiska, przeciwdziała poważnym awariom. IOŚ gwarantuje bezpieczeństwo ekologiczne państwa stanowiące element bezpieczeństwa narodowego. Inspekcja realizując zadania w ramach walki z szarą strefą w gospodarce odpadowej działa w ramach opisanego powyżej ważnego </w:t>
      </w:r>
      <w:r w:rsidRPr="00375799">
        <w:rPr>
          <w:rFonts w:cstheme="minorHAnsi"/>
          <w:color w:val="000000" w:themeColor="text1"/>
          <w:sz w:val="24"/>
          <w:szCs w:val="24"/>
        </w:rPr>
        <w:lastRenderedPageBreak/>
        <w:t>interesu finansowego państwa. Należy ponadto wskazać, iż ochrona środowiska stanowi klauzulę konstytucyjną limitującą ochronę danych osobowych.</w:t>
      </w:r>
    </w:p>
    <w:p w14:paraId="01E315B3" w14:textId="35E1F4B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Stosowanie art. 13 </w:t>
      </w:r>
      <w:r w:rsidR="006E6B5F">
        <w:rPr>
          <w:rFonts w:cstheme="minorHAnsi"/>
          <w:color w:val="000000" w:themeColor="text1"/>
          <w:sz w:val="24"/>
          <w:szCs w:val="24"/>
        </w:rPr>
        <w:t xml:space="preserve">RODO </w:t>
      </w:r>
      <w:r w:rsidRPr="00375799">
        <w:rPr>
          <w:rFonts w:cstheme="minorHAnsi"/>
          <w:color w:val="000000" w:themeColor="text1"/>
          <w:sz w:val="24"/>
          <w:szCs w:val="24"/>
        </w:rPr>
        <w:t xml:space="preserve">w formie przewidzianej przez unijnego ustawodawcę wiązałoby się z ewentualnym utrudnieniem prowadzonego postępowania kontrolnego, które w przypadku IOŚ ma charakter niezwykle złożone (wielokrotnie prowadzone jest na podstawie licznych przepisów prawnych) i ukierunkowane jest na zapewnienie bezpieczeństwa ekologicznego. Pozyskiwanie danych osobowych ma charakter podrzędny w stosunku do wskazanego powyżej celu, dlatego też dopełnienie obowiązku z art. 13 ust. 1 i 2 poprzez publikowanie informacji w niezbędnym zakresie w BIP albo na stronie podmiotowej administratora danych umożliwi również kontrolowanemu skupienie się na tematyce ochrony środowiska i w sposób radykalny uprości postępowanie. </w:t>
      </w:r>
    </w:p>
    <w:p w14:paraId="653F1F49" w14:textId="3876E687" w:rsidR="001401FF"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Stosowanie art. 15 ust. 1 lit. g </w:t>
      </w:r>
      <w:r w:rsidR="006E6B5F">
        <w:rPr>
          <w:rFonts w:cstheme="minorHAnsi"/>
          <w:color w:val="000000" w:themeColor="text1"/>
          <w:sz w:val="24"/>
          <w:szCs w:val="24"/>
        </w:rPr>
        <w:t xml:space="preserve">RODO </w:t>
      </w:r>
      <w:r w:rsidRPr="00375799">
        <w:rPr>
          <w:rFonts w:cstheme="minorHAnsi"/>
          <w:color w:val="000000" w:themeColor="text1"/>
          <w:sz w:val="24"/>
          <w:szCs w:val="24"/>
        </w:rPr>
        <w:t>gwarantuje realizację osobie, której dane dotyczą, prawa do uzyskania informacji o wszelkich źródłach pozyskania danych jej dotyczących, w przypadku kiedy dane osobowe zostały pozyskane z innych źródeł (nie od niej). W sytuacji prowadzenia w IOŚ spraw dotyczących nielegalnych działań w gospodarowaniu odpadami, kiedy IOŚ w szerokim zakresie współpracuje z organami ścigania, KAS czy Strażą Graniczną oraz pozyskuje informacje od osób fizycznych, przekazanie informacji o źródłach danych ograniczy, czy wręcz uniemożliwi skuteczne prowadzenie sankcyjnych działań przez szereg organów. Ww. prawo dostępu umożliwi osobom fizycznym wcześniej kontrolowanym w obszarze szarej strefy uzyskiwanie informacji od kogo ich dane osobowe zostały pozyskane oraz podejmowanie działań odwetowych.</w:t>
      </w:r>
      <w:r w:rsidR="001401FF" w:rsidRPr="00375799">
        <w:rPr>
          <w:rFonts w:cstheme="minorHAnsi"/>
          <w:color w:val="000000" w:themeColor="text1"/>
          <w:sz w:val="24"/>
          <w:szCs w:val="24"/>
        </w:rPr>
        <w:t xml:space="preserve"> Projektowany przepis art. 2 ust. 6 jest tylko dodatkowym sposobem przekazywania informacji o ograniczeniach stosowania RODO. Stąd wystarczające wydaje się spełnienie obowiązku informowania o tych ograniczeniach tylko w jeden z wymienionych w projektowanym art. 2 ust. 6 sposobów.</w:t>
      </w:r>
    </w:p>
    <w:p w14:paraId="41A0264F" w14:textId="2D949959" w:rsidR="001401FF" w:rsidRPr="00375799" w:rsidRDefault="001401F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Przepis projektowanego art. 2 ust. 7 przewiduje wymóg wprowadzenia dodatkowego zabezpieczenia praw i wolności osób, których dane dotyczą.  Zgodnie z tym przepisem do przetwarzania danych osobowych, będą dopuszczone wyłącznie osoby posiadające pisemne upoważnienie. Ponadto osoby te będą obowiązane do zachowania powyższych danych osobowych w poufności.</w:t>
      </w:r>
    </w:p>
    <w:p w14:paraId="2349103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uwagi na uprawnienia kontrolne Inspekcji realizacja uprawnienia osoby, której dane dotyczą, gwarantowana w art. 18 ust. 1 wiązałoby się z istotnym utrudnieniem prowadzenia postępowania kontrolnego.</w:t>
      </w:r>
    </w:p>
    <w:p w14:paraId="45010825" w14:textId="3B97B3B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Propozycja dodania tych przepisów stanowi spełnienie wymagania zawartego w art. 6 ust. 3 w związku z art. 6 ust. 1 lit. e </w:t>
      </w:r>
      <w:r w:rsidR="005E1B8D" w:rsidRPr="00375799">
        <w:rPr>
          <w:rFonts w:cstheme="minorHAnsi"/>
          <w:color w:val="000000" w:themeColor="text1"/>
          <w:sz w:val="24"/>
          <w:szCs w:val="24"/>
        </w:rPr>
        <w:t>RODO</w:t>
      </w:r>
      <w:r w:rsidRPr="00375799">
        <w:rPr>
          <w:rFonts w:cstheme="minorHAnsi"/>
          <w:color w:val="000000" w:themeColor="text1"/>
          <w:sz w:val="24"/>
          <w:szCs w:val="24"/>
        </w:rPr>
        <w:t>, który wymaga, aby przepis prawa krajowego określał obowiązek, którego realizacja wiązałaby się z koniecznością przetwarzania danych osobowych.</w:t>
      </w:r>
    </w:p>
    <w:p w14:paraId="53A2435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2FD4608" w14:textId="24A70EC8"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20" w:name="_Toc530564993"/>
      <w:r w:rsidRPr="00375799">
        <w:rPr>
          <w:rFonts w:asciiTheme="minorHAnsi" w:hAnsiTheme="minorHAnsi" w:cstheme="minorHAnsi"/>
          <w:color w:val="000000" w:themeColor="text1"/>
          <w:sz w:val="24"/>
          <w:szCs w:val="24"/>
        </w:rPr>
        <w:t>Ustawa z</w:t>
      </w:r>
      <w:r w:rsidR="00BB25C5">
        <w:rPr>
          <w:rFonts w:asciiTheme="minorHAnsi" w:hAnsiTheme="minorHAnsi" w:cstheme="minorHAnsi"/>
          <w:color w:val="000000" w:themeColor="text1"/>
          <w:sz w:val="24"/>
          <w:szCs w:val="24"/>
        </w:rPr>
        <w:t xml:space="preserve"> dnia</w:t>
      </w:r>
      <w:r w:rsidRPr="00375799">
        <w:rPr>
          <w:rFonts w:asciiTheme="minorHAnsi" w:hAnsiTheme="minorHAnsi" w:cstheme="minorHAnsi"/>
          <w:color w:val="000000" w:themeColor="text1"/>
          <w:sz w:val="24"/>
          <w:szCs w:val="24"/>
        </w:rPr>
        <w:t xml:space="preserve"> 24 sierpnia 1991 r. o ochronie przeciwpożarowej (Dz. U. z 2018 r. poz. 620</w:t>
      </w:r>
      <w:r w:rsidR="00306046">
        <w:rPr>
          <w:rFonts w:asciiTheme="minorHAnsi" w:hAnsiTheme="minorHAnsi" w:cstheme="minorHAnsi"/>
          <w:color w:val="000000" w:themeColor="text1"/>
          <w:sz w:val="24"/>
          <w:szCs w:val="24"/>
        </w:rPr>
        <w:t xml:space="preserve"> i 1669</w:t>
      </w:r>
      <w:r w:rsidRPr="00375799">
        <w:rPr>
          <w:rFonts w:asciiTheme="minorHAnsi" w:hAnsiTheme="minorHAnsi" w:cstheme="minorHAnsi"/>
          <w:color w:val="000000" w:themeColor="text1"/>
          <w:sz w:val="24"/>
          <w:szCs w:val="24"/>
        </w:rPr>
        <w:t>)</w:t>
      </w:r>
      <w:bookmarkEnd w:id="20"/>
      <w:r w:rsidRPr="00375799">
        <w:rPr>
          <w:rFonts w:asciiTheme="minorHAnsi" w:hAnsiTheme="minorHAnsi" w:cstheme="minorHAnsi"/>
          <w:color w:val="000000" w:themeColor="text1"/>
          <w:sz w:val="24"/>
          <w:szCs w:val="24"/>
        </w:rPr>
        <w:t xml:space="preserve"> </w:t>
      </w:r>
    </w:p>
    <w:p w14:paraId="19745EF3"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0C72D301" w14:textId="1CE68A8E" w:rsidR="00E22322" w:rsidRPr="00375799" w:rsidRDefault="00E2232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Projektowana zmiana ustawy z dnia z 24 sierpnia 1991 r</w:t>
      </w:r>
      <w:r w:rsidR="006E6B5F">
        <w:rPr>
          <w:rFonts w:cstheme="minorHAnsi"/>
          <w:color w:val="000000" w:themeColor="text1"/>
          <w:sz w:val="24"/>
          <w:szCs w:val="24"/>
        </w:rPr>
        <w:t>.</w:t>
      </w:r>
      <w:r w:rsidRPr="00375799">
        <w:rPr>
          <w:rFonts w:cstheme="minorHAnsi"/>
          <w:color w:val="000000" w:themeColor="text1"/>
          <w:sz w:val="24"/>
          <w:szCs w:val="24"/>
        </w:rPr>
        <w:t xml:space="preserve"> o ochronie przeciwpożarowej dotyczy zmiany treści przepis</w:t>
      </w:r>
      <w:r w:rsidR="006E6B5F">
        <w:rPr>
          <w:rFonts w:cstheme="minorHAnsi"/>
          <w:color w:val="000000" w:themeColor="text1"/>
          <w:sz w:val="24"/>
          <w:szCs w:val="24"/>
        </w:rPr>
        <w:t>ów</w:t>
      </w:r>
      <w:r w:rsidRPr="00375799">
        <w:rPr>
          <w:rFonts w:cstheme="minorHAnsi"/>
          <w:color w:val="000000" w:themeColor="text1"/>
          <w:sz w:val="24"/>
          <w:szCs w:val="24"/>
        </w:rPr>
        <w:t xml:space="preserve"> art. 14g i </w:t>
      </w:r>
      <w:r w:rsidR="006E6B5F">
        <w:rPr>
          <w:rFonts w:cstheme="minorHAnsi"/>
          <w:color w:val="000000" w:themeColor="text1"/>
          <w:sz w:val="24"/>
          <w:szCs w:val="24"/>
        </w:rPr>
        <w:t xml:space="preserve">art. </w:t>
      </w:r>
      <w:r w:rsidRPr="00375799">
        <w:rPr>
          <w:rFonts w:cstheme="minorHAnsi"/>
          <w:color w:val="000000" w:themeColor="text1"/>
          <w:sz w:val="24"/>
          <w:szCs w:val="24"/>
        </w:rPr>
        <w:t xml:space="preserve">14h oraz dodania art. 14ha w zakresie przetwarzania danych osobowych w </w:t>
      </w:r>
      <w:r w:rsidR="006E6B5F">
        <w:rPr>
          <w:rFonts w:cstheme="minorHAnsi"/>
          <w:color w:val="000000" w:themeColor="text1"/>
          <w:sz w:val="24"/>
          <w:szCs w:val="24"/>
        </w:rPr>
        <w:t>System</w:t>
      </w:r>
      <w:r w:rsidR="00FB3CB5">
        <w:rPr>
          <w:rFonts w:cstheme="minorHAnsi"/>
          <w:color w:val="000000" w:themeColor="text1"/>
          <w:sz w:val="24"/>
          <w:szCs w:val="24"/>
        </w:rPr>
        <w:t>ie</w:t>
      </w:r>
      <w:r w:rsidR="006E6B5F">
        <w:rPr>
          <w:rFonts w:cstheme="minorHAnsi"/>
          <w:color w:val="000000" w:themeColor="text1"/>
          <w:sz w:val="24"/>
          <w:szCs w:val="24"/>
        </w:rPr>
        <w:t xml:space="preserve"> Wspomagania Decyzji Państwowej Straży Pożarnej, dalej </w:t>
      </w:r>
      <w:r w:rsidRPr="00375799">
        <w:rPr>
          <w:rFonts w:cstheme="minorHAnsi"/>
          <w:color w:val="000000" w:themeColor="text1"/>
          <w:sz w:val="24"/>
          <w:szCs w:val="24"/>
        </w:rPr>
        <w:t xml:space="preserve">SWD PSP. Zmiana ta jest podyktowana wejściem w życie z dniem 25 maja 2018 r. RODO. Nowelizacja odnosi się do uregulowania kwestii ochrony danych osobowych w PSP oraz jednostkach ochrony przeciwpożarowej, które przetwarzane są następnie w SWD PSP, w kontekście możliwości ograniczenia praw podmiotów danych wskazanych w art. 13 i </w:t>
      </w:r>
      <w:r w:rsidR="00B459F8">
        <w:rPr>
          <w:rFonts w:cstheme="minorHAnsi"/>
          <w:color w:val="000000" w:themeColor="text1"/>
          <w:sz w:val="24"/>
          <w:szCs w:val="24"/>
        </w:rPr>
        <w:t>art.</w:t>
      </w:r>
      <w:r w:rsidRPr="00375799">
        <w:rPr>
          <w:rFonts w:cstheme="minorHAnsi"/>
          <w:color w:val="000000" w:themeColor="text1"/>
          <w:sz w:val="24"/>
          <w:szCs w:val="24"/>
        </w:rPr>
        <w:t>15 RODO. Ograniczenie praw podmiotów danych jest możliwe na podstawie art. 23 ust. 1 lit. c i e RODO, o ile ograniczenie takie nie narusza istoty podstawowych praw i wolności oraz jest w demokratycznym społeczeństwie środkiem niezbędnym i proporcjonalnym służącym bezpieczeństwu publicznemu oraz innym ważnym celom leżącym w ogólnym interesie publicznym Unii lub państwa członkowskiego, w szczególności ważnemu interesowi gospodarczemu lub finansowemu Unii lub państwa członkowskiego, w tym kwestiom pieniężnym, budżetowym i podatkowym, zdrowiu publicznemu i zabezpieczeniu społecznemu.</w:t>
      </w:r>
    </w:p>
    <w:p w14:paraId="2C1580FE" w14:textId="77777777" w:rsidR="00E22322" w:rsidRPr="00375799" w:rsidRDefault="00E2232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Działania ratownicze realizowane przez jednostki ochrony przeciwpożarowej, w tym PSP, związane są z szeroko pojętym bezpieczeństwem publicznym, w tym ratowaniem życia, zdrowia i mienia osób, co stanowi jedno z kluczowych zadań państwa. W procesie działań ratowniczych jednym z najistotniejszych elementów, wręcz kluczowym, jest czas. Zanim jednostka OSP lub PSP podejmie działania ratownicze musi nastąpić zgłoszenie zdarzenia. Im szybciej to nastąpi, tym szybciej ta jednostka podejmie przedmiotowe działania. Konieczne jest zatem aby proces obsługi zgłoszenia zdarzenia był skrócony oraz uproszczony w celu oszczędzania czasu. Dla optymalnego przyjęcia zgłoszenia niezbędne jest zatem wprowadzenie szczególnego trybu realizacji obowiązku informacyjnego, o którym mowa w art. 13 ust. 1 i 2 RODO oraz prawa dostępu do danych, o którym mowa w art. 15 RODO. Nie jest bowiem wskazane, aby osoba zgłaszająca zdarzenie zagrażające życiu, zdrowiu lub mieniu musiała np. wysłuchiwać w słuchawce telefonu formułek dotyczących m.in.: kto i w jakim celu przetwarza jej dane osobowe, do czego ona ma prawo oraz jakie są obowiązki PSP lub jednostki ochrony przeciwpożarowej w tym zakresie (art. 13 ust. 1 i 2 RODO). Takie czynności powodują stratę cennego czasu, a na to państwo i obywatele nie mogą sobie pozwolić. W zakresie przepisu art. 15 RODO wprowadzono rozwiązanie, w którym osoba, zwracająca się w trybie tego przepisu z żądaniem udostępnienia danych osobowych na swój temat znajdujących się w SWD PSP, obowiązana będzie do podania informacji o okolicznościach zdarzenia, którego to żądanie dotyczy, w tym jego datę, miejsce i numer telefonu, z którego dokonano zgłoszenia zdarzenia. Takie rozwiązanie powoduje, że PSP będzie mogło udzielić stosownej informacji osobie zainteresowanej swymi danymi osobowymi w sytuacji, gdy doprecyzuje ona okoliczności zgłoszenia zdarzenia, gdyż ilość oraz różnorodność danych gromadzonych w SWD PSP, a zwłaszcza dotyczących osób mających to samo imię i nazwisko, może skutkować podaniem błędnych informacji.</w:t>
      </w:r>
    </w:p>
    <w:p w14:paraId="50024985" w14:textId="77777777" w:rsidR="00E22322" w:rsidRPr="00375799" w:rsidRDefault="00E2232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Rozwiązania przyjęte w projekcie wskazują na sposób realizacji przedmiotowych obowiązków z RODO przez publikację informacji o ograniczeniach w Biuletynie Informacji </w:t>
      </w:r>
      <w:r w:rsidRPr="00375799">
        <w:rPr>
          <w:rFonts w:cstheme="minorHAnsi"/>
          <w:color w:val="000000" w:themeColor="text1"/>
          <w:sz w:val="24"/>
          <w:szCs w:val="24"/>
        </w:rPr>
        <w:lastRenderedPageBreak/>
        <w:t>Publicznej lub stronach internetowych albo w widocznym miejscu w siedzibach jednostek, gdzie zostaną wskazane informacje niezbędne dla osoby, której dane są przetwarzane, odnośnie kontaktu z administratorem w celu umożliwienia weryfikacji tych danych. Jednocześnie wprowadzono ustawową gwarancję, że dane osobowe są przechowywane wyłącznie przez okres niezbędny do realizacji zadań wynikających z ustawy oraz podlegają przeglądowi, nie rzadziej niż co 5 lat od dnia ich uzyskania.</w:t>
      </w:r>
    </w:p>
    <w:p w14:paraId="02CB4478" w14:textId="54D5FC75" w:rsidR="00E22322" w:rsidRPr="00375799" w:rsidRDefault="00E22322" w:rsidP="0055107B">
      <w:pPr>
        <w:spacing w:after="0" w:line="276" w:lineRule="auto"/>
        <w:contextualSpacing/>
        <w:jc w:val="both"/>
        <w:rPr>
          <w:rFonts w:cstheme="minorHAnsi"/>
          <w:color w:val="000000" w:themeColor="text1"/>
          <w:sz w:val="24"/>
          <w:szCs w:val="24"/>
        </w:rPr>
      </w:pPr>
      <w:r w:rsidRPr="00375799">
        <w:rPr>
          <w:rFonts w:cstheme="minorHAnsi"/>
          <w:color w:val="000000" w:themeColor="text1"/>
          <w:sz w:val="24"/>
          <w:szCs w:val="24"/>
        </w:rPr>
        <w:t xml:space="preserve">W tym kontekście wskazać należy, iż w pełni zrozumiałe jest, że prawa wynikające z art. 51 Konstytucji RP muszą być przestrzegane, lecz jednocześnie wskazać należy, iż przepis art. 31 pkt 3 Konstytucji RP stanowi, że w szczególnych przypadkach związanych z bezpieczeństwem, porządkiem publicznym, ochroną środowiska oraz ochroną zdrowia prawa te mogą być ograniczone drogą ustawy. Powyższe oznacza, że test proporcjonalności, który odnosi się do ochrony wartości określonych Konstytucją RP, przeniesiony na grunt ustawy </w:t>
      </w:r>
      <w:r w:rsidR="006E6B5F">
        <w:rPr>
          <w:rFonts w:cstheme="minorHAnsi"/>
          <w:color w:val="000000" w:themeColor="text1"/>
          <w:sz w:val="24"/>
          <w:szCs w:val="24"/>
        </w:rPr>
        <w:t xml:space="preserve">z dnia 24 sierpnia 1991 r. </w:t>
      </w:r>
      <w:r w:rsidRPr="00375799">
        <w:rPr>
          <w:rFonts w:cstheme="minorHAnsi"/>
          <w:color w:val="000000" w:themeColor="text1"/>
          <w:sz w:val="24"/>
          <w:szCs w:val="24"/>
        </w:rPr>
        <w:t>o ochronie przeciwpożarowej, wykazuje konieczność wprowadzenia postulowanych rozwiązań prawnych w kontekście istoty ochrony interesu obywateli RP, których życie, zdrowie i mienie są wartościami równie mocno chronionymi przez Konstytucję RP, o ile nie mocniej, a co za tym idzie stanowią one argumenty przemawiające za ograniczeniami z RODO zawartymi w projekcie, który to projekt wprowadza również stosowne gwarancje ochrony danych osobowych.</w:t>
      </w:r>
    </w:p>
    <w:p w14:paraId="4B0E5834" w14:textId="3C89A284" w:rsidR="00E22322" w:rsidRPr="00375799" w:rsidRDefault="00E22322" w:rsidP="0055107B">
      <w:pPr>
        <w:spacing w:after="0" w:line="276" w:lineRule="auto"/>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Projektowane zmiany w ustawie </w:t>
      </w:r>
      <w:r w:rsidR="006E6B5F">
        <w:rPr>
          <w:rFonts w:cstheme="minorHAnsi"/>
          <w:color w:val="000000" w:themeColor="text1"/>
          <w:sz w:val="24"/>
          <w:szCs w:val="24"/>
        </w:rPr>
        <w:t xml:space="preserve">z dnia 24 sierpnia 1991 r. </w:t>
      </w:r>
      <w:r w:rsidRPr="00375799">
        <w:rPr>
          <w:rFonts w:cstheme="minorHAnsi"/>
          <w:color w:val="000000" w:themeColor="text1"/>
          <w:sz w:val="24"/>
          <w:szCs w:val="24"/>
        </w:rPr>
        <w:t>o ochronie przeciwpożarowej, zawierające wskazane ograniczenia, zostały zastosowane w zakresie niezbędnym dla zapewnienia bezpieczeństwa publicznego oraz realizacji zadań publicznych przez jednostki organizacyjne PSP i jednostki ochrony przeciwpożarowej, zajmujące się: ratownictwem, ochroną przeciwpożarową, ochroną przeciwpowodziową, a także przeciwdziałaniem negatywnym skutkom klęsk żywiołowych i tzw. miejscowych zagrożeń. Ze względu na fakt, że centralnym organem administracji rządowej w sprawach organizacji krajowego systemu ratowniczo-gaśniczego oraz ochrony przeciwpożarowej jest Komendant Główny Państwowej Straży Pożarnej, który kieruje formacją korzystającą z SWD PSP, to należało uwzględnić w projekcie przedmiotowej nowelizacji również jednostki ochrony przeciwpożarowej wymienione w art. 15 pkt 1a–8 ustawy. Jednostki te bowiem współpracują w ramach tego systemu z PSP, a także samodzielnie realizują zadania z ustawy, w tym przyjmują zgłoszenia alarmowe i prowadzą działania ratownicze.</w:t>
      </w:r>
    </w:p>
    <w:p w14:paraId="005AADF8" w14:textId="55399584" w:rsidR="00E22322" w:rsidRPr="00375799" w:rsidRDefault="00E22322" w:rsidP="0055107B">
      <w:pPr>
        <w:spacing w:after="0" w:line="276" w:lineRule="auto"/>
        <w:contextualSpacing/>
        <w:jc w:val="both"/>
        <w:rPr>
          <w:rFonts w:cstheme="minorHAnsi"/>
          <w:color w:val="000000" w:themeColor="text1"/>
          <w:sz w:val="24"/>
          <w:szCs w:val="24"/>
        </w:rPr>
      </w:pPr>
      <w:r w:rsidRPr="00375799">
        <w:rPr>
          <w:rFonts w:cstheme="minorHAnsi"/>
          <w:color w:val="000000" w:themeColor="text1"/>
          <w:sz w:val="24"/>
          <w:szCs w:val="24"/>
        </w:rPr>
        <w:t>Szeroki katalog podmiotów oraz liczba osób, których dane osobowe gromadzone są</w:t>
      </w:r>
      <w:r w:rsidRPr="00375799">
        <w:rPr>
          <w:rFonts w:cstheme="minorHAnsi"/>
          <w:color w:val="000000" w:themeColor="text1"/>
          <w:sz w:val="24"/>
          <w:szCs w:val="24"/>
        </w:rPr>
        <w:br/>
        <w:t xml:space="preserve">i przetwarzane w systemie SWD PSP w związku z prowadzeniem działań ratowniczych oraz obsługą zgłoszenia alarmowego (szacunkowo około kilka mln rocznie) wyklucza, aby administrator informował wszystkie te osoby, których dane dotyczą o prawach im przysługującym z RODO, a szczególnie, że dane większości tych samych osób przetwarzanych w SWD PSP są jednocześnie przetwarzane w szerszym zakresie w innych systemach (np. SWD Policji, czy przez Państwowe Ratownictwo Medyczne). Proponowane ograniczenia w zakresie art. 13 i </w:t>
      </w:r>
      <w:r w:rsidR="00B459F8">
        <w:rPr>
          <w:rFonts w:cstheme="minorHAnsi"/>
          <w:color w:val="000000" w:themeColor="text1"/>
          <w:sz w:val="24"/>
          <w:szCs w:val="24"/>
        </w:rPr>
        <w:t xml:space="preserve">art. </w:t>
      </w:r>
      <w:r w:rsidRPr="00375799">
        <w:rPr>
          <w:rFonts w:cstheme="minorHAnsi"/>
          <w:color w:val="000000" w:themeColor="text1"/>
          <w:sz w:val="24"/>
          <w:szCs w:val="24"/>
        </w:rPr>
        <w:t xml:space="preserve">15 RODO wynikają zatem z konieczności zapewnienia prawidłowego oraz sprawnego wykonywania przez PSP oraz jednostki ochrony przeciwpożarowej przypisanych im </w:t>
      </w:r>
      <w:r w:rsidRPr="00375799">
        <w:rPr>
          <w:rFonts w:cstheme="minorHAnsi"/>
          <w:color w:val="000000" w:themeColor="text1"/>
          <w:sz w:val="24"/>
          <w:szCs w:val="24"/>
        </w:rPr>
        <w:lastRenderedPageBreak/>
        <w:t xml:space="preserve">ustawowo zadań. Ograniczenia znajdują swoje uzasadnienie w treści art. 23 ust. 1 RODO: w lit. c (bezpieczeństwo publiczne), częściowo w lit. d (ochrona przed zagrożeniami dla bezpieczeństwa publicznego i zapobieganie takim zagrożeniom), częściowo w lit. e (ważne cele leżące w ogólnym interesie publicznym), oraz częściowo w lit. h (funkcje kontrolne i regulacyjne związane ze sprawowaniem władzy publicznej w przypadkach, o których mowa w lit. c, e i g). </w:t>
      </w:r>
    </w:p>
    <w:p w14:paraId="31D0BCDD" w14:textId="1FF648CA" w:rsidR="00E22322" w:rsidRPr="00375799" w:rsidRDefault="00E22322" w:rsidP="0055107B">
      <w:pPr>
        <w:spacing w:after="0" w:line="276" w:lineRule="auto"/>
        <w:contextualSpacing/>
        <w:jc w:val="both"/>
        <w:rPr>
          <w:rFonts w:cstheme="minorHAnsi"/>
          <w:color w:val="000000" w:themeColor="text1"/>
          <w:sz w:val="24"/>
          <w:szCs w:val="24"/>
        </w:rPr>
      </w:pPr>
      <w:r w:rsidRPr="00375799">
        <w:rPr>
          <w:rFonts w:cstheme="minorHAnsi"/>
          <w:color w:val="000000" w:themeColor="text1"/>
          <w:sz w:val="24"/>
          <w:szCs w:val="24"/>
        </w:rPr>
        <w:t xml:space="preserve">Nowelizacja przepisu art. 14g ustawy związana jest z koniecznością zmodyfikowania SWD PSP pod kątem wdrożenia rozwiązań teleinformatycznych odnoszących się do RODO, gdyż z dniem jego wejścia w życie stracił rację bytu przepis art. 14h ust. 5 ustawy w dotychczasowym brzmieniu: „W odniesieniu do danych, o których mowa w ust. 1, nie stosuje się obowiązku określonego w art. 24 ust. 1 ustawy z dnia 29 sierpnia 1997 r. o ochronie danych osobowych”. Ustawa z dnia 29 sierpnia 1997 r. już nie obowiązuje, a zatem przepisy RODO stanowią obecnie wyznacznik dla nowych rozwiązań w SWD PSP, co wymaga stosownych zmian w ustawie oraz akcie wykonawczym do niej. Wprowadzenie przepisu art. 14ha do ustawy stanowi konsekwencję przyjęcia rozwiązań chroniących dane osobowe w SWD PSP w oparciu o przepisy art. 14g i </w:t>
      </w:r>
      <w:r w:rsidR="006E6B5F">
        <w:rPr>
          <w:rFonts w:cstheme="minorHAnsi"/>
          <w:color w:val="000000" w:themeColor="text1"/>
          <w:sz w:val="24"/>
          <w:szCs w:val="24"/>
        </w:rPr>
        <w:t xml:space="preserve">art. </w:t>
      </w:r>
      <w:r w:rsidRPr="00375799">
        <w:rPr>
          <w:rFonts w:cstheme="minorHAnsi"/>
          <w:color w:val="000000" w:themeColor="text1"/>
          <w:sz w:val="24"/>
          <w:szCs w:val="24"/>
        </w:rPr>
        <w:t>14h ustawy. Przepis ten odnosi się do współadministratorów SWD PSP oraz wskazuje na techniczne aspekty, które służą funkcjonowaniu i utrzymaniu tego systemu.</w:t>
      </w:r>
    </w:p>
    <w:p w14:paraId="2FEA45DA" w14:textId="46532F18" w:rsidR="00E22322" w:rsidRPr="00375799" w:rsidRDefault="00E22322" w:rsidP="0055107B">
      <w:pPr>
        <w:spacing w:after="0" w:line="276" w:lineRule="auto"/>
        <w:contextualSpacing/>
        <w:jc w:val="both"/>
        <w:rPr>
          <w:rFonts w:cstheme="minorHAnsi"/>
          <w:color w:val="000000" w:themeColor="text1"/>
          <w:sz w:val="24"/>
          <w:szCs w:val="24"/>
        </w:rPr>
      </w:pPr>
      <w:r w:rsidRPr="00375799">
        <w:rPr>
          <w:rFonts w:cstheme="minorHAnsi"/>
          <w:color w:val="000000" w:themeColor="text1"/>
          <w:sz w:val="24"/>
          <w:szCs w:val="24"/>
        </w:rPr>
        <w:t xml:space="preserve">Projekt nowelizacji ustawy </w:t>
      </w:r>
      <w:r w:rsidR="006E6B5F">
        <w:rPr>
          <w:rFonts w:cstheme="minorHAnsi"/>
          <w:color w:val="000000" w:themeColor="text1"/>
          <w:sz w:val="24"/>
          <w:szCs w:val="24"/>
        </w:rPr>
        <w:t xml:space="preserve">z dnia 24 sierpnia 1991 r. </w:t>
      </w:r>
      <w:r w:rsidRPr="00375799">
        <w:rPr>
          <w:rFonts w:cstheme="minorHAnsi"/>
          <w:color w:val="000000" w:themeColor="text1"/>
          <w:sz w:val="24"/>
          <w:szCs w:val="24"/>
        </w:rPr>
        <w:t>o ochronie przeciwpożarowej został uzupełniony o wymaganą przez przepisy unijne regulację zobowiązującą administratora danych do wdrożenia odpowiednich zabezpieczeń zapobiegających nadużyciom lub niezgodnemu z prawem dostępowi lub przekazywaniu danych osobowych.</w:t>
      </w:r>
    </w:p>
    <w:p w14:paraId="476B14A7" w14:textId="072C7427" w:rsidR="00E22322" w:rsidRPr="00375799" w:rsidRDefault="00E22322" w:rsidP="0055107B">
      <w:pPr>
        <w:spacing w:after="0" w:line="276" w:lineRule="auto"/>
        <w:contextualSpacing/>
        <w:jc w:val="both"/>
        <w:rPr>
          <w:rFonts w:cstheme="minorHAnsi"/>
          <w:color w:val="000000" w:themeColor="text1"/>
          <w:sz w:val="24"/>
          <w:szCs w:val="24"/>
        </w:rPr>
      </w:pPr>
      <w:r w:rsidRPr="00375799">
        <w:rPr>
          <w:rFonts w:cstheme="minorHAnsi"/>
          <w:color w:val="000000" w:themeColor="text1"/>
          <w:sz w:val="24"/>
          <w:szCs w:val="24"/>
        </w:rPr>
        <w:t>Wejście w życie</w:t>
      </w:r>
      <w:r w:rsidR="006E6B5F">
        <w:rPr>
          <w:rFonts w:cstheme="minorHAnsi"/>
          <w:color w:val="000000" w:themeColor="text1"/>
          <w:sz w:val="24"/>
          <w:szCs w:val="24"/>
        </w:rPr>
        <w:t xml:space="preserve"> projektowanych zmian</w:t>
      </w:r>
      <w:r w:rsidRPr="00375799">
        <w:rPr>
          <w:rFonts w:cstheme="minorHAnsi"/>
          <w:color w:val="000000" w:themeColor="text1"/>
          <w:sz w:val="24"/>
          <w:szCs w:val="24"/>
        </w:rPr>
        <w:t xml:space="preserve"> ustawy nie spowoduje powstania dodatkowych obciążeń dla budżetu państwa ponad przewidziane w ustawie budżetowej na 2018 </w:t>
      </w:r>
      <w:r w:rsidR="006E6B5F">
        <w:rPr>
          <w:rFonts w:cstheme="minorHAnsi"/>
          <w:color w:val="000000" w:themeColor="text1"/>
          <w:sz w:val="24"/>
          <w:szCs w:val="24"/>
        </w:rPr>
        <w:t>r</w:t>
      </w:r>
      <w:r w:rsidRPr="00375799">
        <w:rPr>
          <w:rFonts w:cstheme="minorHAnsi"/>
          <w:color w:val="000000" w:themeColor="text1"/>
          <w:sz w:val="24"/>
          <w:szCs w:val="24"/>
        </w:rPr>
        <w:t>.</w:t>
      </w:r>
    </w:p>
    <w:p w14:paraId="7F83934D"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5B6E3FC" w14:textId="328D6D6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21" w:name="_Toc530564994"/>
      <w:r w:rsidRPr="00375799">
        <w:rPr>
          <w:rFonts w:asciiTheme="minorHAnsi" w:hAnsiTheme="minorHAnsi" w:cstheme="minorHAnsi"/>
          <w:color w:val="000000" w:themeColor="text1"/>
          <w:sz w:val="24"/>
          <w:szCs w:val="24"/>
        </w:rPr>
        <w:t>Ustawa z dnia 24 sierpnia 1991 r. o Państwowej Straży Pożarnej (Dz. U. z 201</w:t>
      </w:r>
      <w:r w:rsidR="00306046">
        <w:rPr>
          <w:rFonts w:asciiTheme="minorHAnsi" w:hAnsiTheme="minorHAnsi" w:cstheme="minorHAnsi"/>
          <w:color w:val="000000" w:themeColor="text1"/>
          <w:sz w:val="24"/>
          <w:szCs w:val="24"/>
        </w:rPr>
        <w:t>8</w:t>
      </w:r>
      <w:r w:rsidRPr="00375799">
        <w:rPr>
          <w:rFonts w:asciiTheme="minorHAnsi" w:hAnsiTheme="minorHAnsi" w:cstheme="minorHAnsi"/>
          <w:color w:val="000000" w:themeColor="text1"/>
          <w:sz w:val="24"/>
          <w:szCs w:val="24"/>
        </w:rPr>
        <w:t xml:space="preserve"> r. poz. </w:t>
      </w:r>
      <w:r w:rsidR="00306046">
        <w:rPr>
          <w:rFonts w:asciiTheme="minorHAnsi" w:hAnsiTheme="minorHAnsi" w:cstheme="minorHAnsi"/>
          <w:color w:val="000000" w:themeColor="text1"/>
          <w:sz w:val="24"/>
          <w:szCs w:val="24"/>
        </w:rPr>
        <w:t>1313, 1592 i 1669</w:t>
      </w:r>
      <w:r w:rsidRPr="00375799">
        <w:rPr>
          <w:rFonts w:asciiTheme="minorHAnsi" w:hAnsiTheme="minorHAnsi" w:cstheme="minorHAnsi"/>
          <w:color w:val="000000" w:themeColor="text1"/>
          <w:sz w:val="24"/>
          <w:szCs w:val="24"/>
        </w:rPr>
        <w:t>)</w:t>
      </w:r>
      <w:bookmarkEnd w:id="21"/>
      <w:r w:rsidRPr="00375799">
        <w:rPr>
          <w:rFonts w:asciiTheme="minorHAnsi" w:hAnsiTheme="minorHAnsi" w:cstheme="minorHAnsi"/>
          <w:color w:val="000000" w:themeColor="text1"/>
          <w:sz w:val="24"/>
          <w:szCs w:val="24"/>
        </w:rPr>
        <w:t xml:space="preserve"> </w:t>
      </w:r>
    </w:p>
    <w:p w14:paraId="045533DC"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706FE020" w14:textId="0DF55F30" w:rsidR="00E22322" w:rsidRPr="00375799" w:rsidRDefault="00E22322" w:rsidP="0055107B">
      <w:pPr>
        <w:spacing w:after="0" w:line="276" w:lineRule="auto"/>
        <w:contextualSpacing/>
        <w:jc w:val="both"/>
        <w:rPr>
          <w:rFonts w:cstheme="minorHAnsi"/>
          <w:color w:val="000000" w:themeColor="text1"/>
          <w:sz w:val="24"/>
          <w:szCs w:val="24"/>
        </w:rPr>
      </w:pPr>
      <w:r w:rsidRPr="00375799">
        <w:rPr>
          <w:rFonts w:cstheme="minorHAnsi"/>
          <w:color w:val="000000" w:themeColor="text1"/>
          <w:sz w:val="24"/>
          <w:szCs w:val="24"/>
        </w:rPr>
        <w:t>Projektowana zmiana w postaci dodania do ustawy z dnia 24 sierpnia 1991 r. o Państwowej Straży Pożarnej zwanej dalej „ustawą o PSP”, nowego przepisu art. 28b dotyczącego przetwarzania danych osobowych podyktowana jest koniecznością uregulowania przedmiotowej materii w tej ustawie w kontekście wejścia w życie z dniem 25 maja 2018 r. RODO. Przetwarzanie danych osobowych w PSP, dotyczących kandydatów do służby oraz obecnych i byłych strażaków, od dnia 25 maja 2018 r., poddane zostało reżimowi RODO oraz przepisom nowej ustawy z dnia 10 maja 2018 r. o ochronie danych osobowych (Dz. U. poz. 1000</w:t>
      </w:r>
      <w:r w:rsidR="006E6B5F">
        <w:rPr>
          <w:rFonts w:cstheme="minorHAnsi"/>
          <w:color w:val="000000" w:themeColor="text1"/>
          <w:sz w:val="24"/>
          <w:szCs w:val="24"/>
        </w:rPr>
        <w:t xml:space="preserve"> i 1669</w:t>
      </w:r>
      <w:r w:rsidRPr="00375799">
        <w:rPr>
          <w:rFonts w:cstheme="minorHAnsi"/>
          <w:color w:val="000000" w:themeColor="text1"/>
          <w:sz w:val="24"/>
          <w:szCs w:val="24"/>
        </w:rPr>
        <w:t xml:space="preserve">), dla których to danych administratorami będą wszyscy kierownicy jednostek organizacyjnych PSP, o których mowa w art. 8 ust. 1 ustawy o PSP. </w:t>
      </w:r>
    </w:p>
    <w:p w14:paraId="0EF61A00" w14:textId="77777777" w:rsidR="00E22322" w:rsidRPr="00375799" w:rsidRDefault="00E22322" w:rsidP="0055107B">
      <w:pPr>
        <w:spacing w:after="0" w:line="276" w:lineRule="auto"/>
        <w:contextualSpacing/>
        <w:jc w:val="both"/>
        <w:rPr>
          <w:rFonts w:cstheme="minorHAnsi"/>
          <w:color w:val="000000" w:themeColor="text1"/>
          <w:sz w:val="24"/>
          <w:szCs w:val="24"/>
        </w:rPr>
      </w:pPr>
      <w:r w:rsidRPr="00375799">
        <w:rPr>
          <w:rFonts w:cstheme="minorHAnsi"/>
          <w:color w:val="000000" w:themeColor="text1"/>
          <w:sz w:val="24"/>
          <w:szCs w:val="24"/>
        </w:rPr>
        <w:t xml:space="preserve">Na podstawie art. 37 ust. 1 lit. a RODO organ publiczny jako podmiot przetwarzający dane ma obowiązek powołania inspektora ochrony danych (w przypadku PSP 357 inspektorów). Przepis art. 37 ust. 3 RODO umożliwia wyznaczenie jednego inspektora ochrony danych dla kilku takich organów z uwzględnieniem struktury organizacyjnej i wielkości. Korzystając z tego przepisu proponuje się w PSP budowę systemu ochrony danych osobowych na poziomie </w:t>
      </w:r>
      <w:r w:rsidRPr="00375799">
        <w:rPr>
          <w:rFonts w:cstheme="minorHAnsi"/>
          <w:color w:val="000000" w:themeColor="text1"/>
          <w:sz w:val="24"/>
          <w:szCs w:val="24"/>
        </w:rPr>
        <w:lastRenderedPageBreak/>
        <w:t>Komendy Głównej PSP, SGSP, Szkół PSP, CNBOP-PIB, CMP, Komend Wojewódzkich PSP oraz Komend Miejskich PSP I kategorii. Koncepcja stworzenia takiej struktury w PSP uzyskała pełną akceptację Komendanta Głównego Państwowej Straży Pożarnej. Możliwość budowy takiej struktury wynika wprost z przepisów art. 37 RODO, niemniej jednak wprowadzenie takiej regulacji do ustawy o PSP jest wskazane ze względu na specyfikę działania i organizacji PSP. Tego typu konstrukcja systemu ochrony danych osobowych ma wpływ nie tylko na ograniczenie ilości inspektorów ochrony danych, co wiąże się nierozłącznie z ograniczeniem ilości etatów i oszczędnościami dla budżetu, ale również pozwoli na lepszy dobór kadry i przygotowanie merytoryczne mniejszej jej liczby na szczeblu wojewódzkim, co przełoży się na lepszy poziom zapewnienia bezpieczeństwa osób fizycznych w związku z przetwarzaniem danych osobowych w sytuacji podległych komend powiatowych/miejskich PSP, które nie przetwarzają dużej ilości tego rodzaju danych. Na poziomie komend powiatowych/miejskich PSP (nie dot. Komend Miejskich PSP I kategorii) bowiem zostanie wskazana jedna osoba odpowiedzialna za koordynację działań i kontakty z inspektorem ochrony danych na poziomie komendy wojewódzkiej PSP, co pozwoli w sposób racjonalny zarządzać posiadanymi zasobami kadrowymi.</w:t>
      </w:r>
    </w:p>
    <w:p w14:paraId="12502016" w14:textId="77777777" w:rsidR="00E22322" w:rsidRPr="00375799" w:rsidRDefault="00E22322" w:rsidP="0055107B">
      <w:pPr>
        <w:spacing w:after="0" w:line="276" w:lineRule="auto"/>
        <w:contextualSpacing/>
        <w:jc w:val="both"/>
        <w:rPr>
          <w:rFonts w:cstheme="minorHAnsi"/>
          <w:color w:val="000000" w:themeColor="text1"/>
          <w:sz w:val="24"/>
          <w:szCs w:val="24"/>
        </w:rPr>
      </w:pPr>
      <w:r w:rsidRPr="00375799">
        <w:rPr>
          <w:rFonts w:cstheme="minorHAnsi"/>
          <w:color w:val="000000" w:themeColor="text1"/>
          <w:sz w:val="24"/>
          <w:szCs w:val="24"/>
        </w:rPr>
        <w:t>Projekt nowelizacji ustawy o PSP został uzupełniony o wymaganą przez przepisy unijne regulację zobowiązującą administratora danych do wdrożenia odpowiednich zabezpieczeń zapobiegających nadużyciom lub niezgodnemu z prawem dostępowi lub przekazywaniu danych osobowych (procedury prawne określą administratorzy), jak również ich przechowywaniu przez okres niezbędny oraz zobowiązanie do weryfikacji tych danych nie rzadziej niż co 10 lat od dnia ich uzyskania.</w:t>
      </w:r>
    </w:p>
    <w:p w14:paraId="714221BD" w14:textId="77777777" w:rsidR="00A71D3E" w:rsidRPr="00375799" w:rsidRDefault="00A71D3E" w:rsidP="0055107B">
      <w:pPr>
        <w:pStyle w:val="Nagwek2"/>
        <w:spacing w:before="0" w:line="276" w:lineRule="auto"/>
        <w:ind w:left="57" w:right="57"/>
        <w:contextualSpacing/>
        <w:rPr>
          <w:rFonts w:asciiTheme="minorHAnsi" w:eastAsiaTheme="minorHAnsi" w:hAnsiTheme="minorHAnsi" w:cstheme="minorHAnsi"/>
          <w:color w:val="000000" w:themeColor="text1"/>
          <w:sz w:val="24"/>
          <w:szCs w:val="24"/>
        </w:rPr>
      </w:pPr>
    </w:p>
    <w:p w14:paraId="2381DA63" w14:textId="6653BEEB"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22" w:name="_Toc530564995"/>
      <w:r w:rsidRPr="00375799">
        <w:rPr>
          <w:rFonts w:asciiTheme="minorHAnsi" w:hAnsiTheme="minorHAnsi" w:cstheme="minorHAnsi"/>
          <w:color w:val="000000" w:themeColor="text1"/>
          <w:sz w:val="24"/>
          <w:szCs w:val="24"/>
        </w:rPr>
        <w:t xml:space="preserve">Ustawa z dnia 7 września 1991 r. o systemie oświaty </w:t>
      </w:r>
      <w:r w:rsidR="00E63FE5" w:rsidRPr="00375799">
        <w:rPr>
          <w:rFonts w:asciiTheme="minorHAnsi" w:hAnsiTheme="minorHAnsi" w:cstheme="minorHAnsi"/>
          <w:color w:val="000000" w:themeColor="text1"/>
          <w:sz w:val="24"/>
          <w:szCs w:val="24"/>
        </w:rPr>
        <w:t>(Dz. U. z 201</w:t>
      </w:r>
      <w:r w:rsidR="000661CB">
        <w:rPr>
          <w:rFonts w:asciiTheme="minorHAnsi" w:hAnsiTheme="minorHAnsi" w:cstheme="minorHAnsi"/>
          <w:color w:val="000000" w:themeColor="text1"/>
          <w:sz w:val="24"/>
          <w:szCs w:val="24"/>
        </w:rPr>
        <w:t>8</w:t>
      </w:r>
      <w:r w:rsidR="00E63FE5" w:rsidRPr="00375799">
        <w:rPr>
          <w:rFonts w:asciiTheme="minorHAnsi" w:hAnsiTheme="minorHAnsi" w:cstheme="minorHAnsi"/>
          <w:color w:val="000000" w:themeColor="text1"/>
          <w:sz w:val="24"/>
          <w:szCs w:val="24"/>
        </w:rPr>
        <w:t xml:space="preserve"> r. poz. </w:t>
      </w:r>
      <w:r w:rsidR="000661CB">
        <w:rPr>
          <w:rFonts w:asciiTheme="minorHAnsi" w:hAnsiTheme="minorHAnsi" w:cstheme="minorHAnsi"/>
          <w:color w:val="000000" w:themeColor="text1"/>
          <w:sz w:val="24"/>
          <w:szCs w:val="24"/>
        </w:rPr>
        <w:t>1457, 1560 i 1669</w:t>
      </w:r>
      <w:r w:rsidR="00E63FE5" w:rsidRPr="00375799">
        <w:rPr>
          <w:rFonts w:asciiTheme="minorHAnsi" w:hAnsiTheme="minorHAnsi" w:cstheme="minorHAnsi"/>
          <w:color w:val="000000" w:themeColor="text1"/>
          <w:sz w:val="24"/>
          <w:szCs w:val="24"/>
        </w:rPr>
        <w:t>)</w:t>
      </w:r>
      <w:bookmarkEnd w:id="22"/>
    </w:p>
    <w:p w14:paraId="47A3CEB2"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723D6E7C" w14:textId="35D025F9" w:rsidR="008706DD" w:rsidRPr="00375799" w:rsidRDefault="006E6B5F"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1. </w:t>
      </w:r>
      <w:r w:rsidR="008706DD" w:rsidRPr="00375799">
        <w:rPr>
          <w:rFonts w:cstheme="minorHAnsi"/>
          <w:color w:val="000000" w:themeColor="text1"/>
          <w:sz w:val="24"/>
          <w:szCs w:val="24"/>
        </w:rPr>
        <w:t xml:space="preserve">Dodanie art. 13b: </w:t>
      </w:r>
      <w:r>
        <w:rPr>
          <w:rFonts w:cstheme="minorHAnsi"/>
          <w:color w:val="000000" w:themeColor="text1"/>
          <w:sz w:val="24"/>
          <w:szCs w:val="24"/>
        </w:rPr>
        <w:t>p</w:t>
      </w:r>
      <w:r w:rsidR="008706DD" w:rsidRPr="00375799">
        <w:rPr>
          <w:rFonts w:cstheme="minorHAnsi"/>
          <w:color w:val="000000" w:themeColor="text1"/>
          <w:sz w:val="24"/>
          <w:szCs w:val="24"/>
        </w:rPr>
        <w:t>rojektowane dodanie nowego art. 13b w ustawie z dnia 7 września 1991 r. o systemie oświaty ma na celu doprecyzowanie obowiązków jednostek organizacyjnych i innych podmiotów realizujących zadania i obowiązki określone w tej ustawie, związanych z przetwarzaniem danych osobowych. Zmiana uwzględnia przesłanki przetwarzania danych osobowych określone w RODO.</w:t>
      </w:r>
    </w:p>
    <w:p w14:paraId="39C4737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przepis art. 13b ust. 2 nakładający na nauczycieli oraz innych pracowników podmiotów wymienionych w ust. 1, realizujących czynności związane z przetwarzaniem tzw. danych wrażliwych, obowiązek zachowania w poufności informacji, które powzięli w toku wykonywania czynności służbowych, stanowi wzmocnienie gwarancji ochrony podstawowych praw i interesów osób, których dane są przetwarzane na podstawie przepisów prawa w celu realizacji praw i obowiązków edukacyjnych.</w:t>
      </w:r>
    </w:p>
    <w:p w14:paraId="408FB111" w14:textId="0D4D8AD1" w:rsidR="008706DD" w:rsidRPr="00375799" w:rsidRDefault="006E6B5F"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2. </w:t>
      </w:r>
      <w:r w:rsidR="008706DD" w:rsidRPr="00375799">
        <w:rPr>
          <w:rFonts w:cstheme="minorHAnsi"/>
          <w:color w:val="000000" w:themeColor="text1"/>
          <w:sz w:val="24"/>
          <w:szCs w:val="24"/>
        </w:rPr>
        <w:t>Zmiana w art. 92k ust. 2 pkt 2 lit. g</w:t>
      </w:r>
      <w:r>
        <w:rPr>
          <w:rFonts w:cstheme="minorHAnsi"/>
          <w:color w:val="000000" w:themeColor="text1"/>
          <w:sz w:val="24"/>
          <w:szCs w:val="24"/>
        </w:rPr>
        <w:t>:</w:t>
      </w:r>
      <w:r w:rsidR="008706DD" w:rsidRPr="00375799">
        <w:rPr>
          <w:rFonts w:cstheme="minorHAnsi"/>
          <w:color w:val="000000" w:themeColor="text1"/>
          <w:sz w:val="24"/>
          <w:szCs w:val="24"/>
        </w:rPr>
        <w:t xml:space="preserve"> </w:t>
      </w:r>
      <w:r>
        <w:rPr>
          <w:rFonts w:cstheme="minorHAnsi"/>
          <w:color w:val="000000" w:themeColor="text1"/>
          <w:sz w:val="24"/>
          <w:szCs w:val="24"/>
        </w:rPr>
        <w:t xml:space="preserve">zmiana </w:t>
      </w:r>
      <w:r w:rsidR="008706DD" w:rsidRPr="00375799">
        <w:rPr>
          <w:rFonts w:cstheme="minorHAnsi"/>
          <w:color w:val="000000" w:themeColor="text1"/>
          <w:sz w:val="24"/>
          <w:szCs w:val="24"/>
        </w:rPr>
        <w:t>ma charakter dostosowawczy i polega na pominięciu w dotychczasowej treści przepisu powołania ustawy z dnia 29 sierpnia 1997 r. o ochronie danych osobowych.</w:t>
      </w:r>
    </w:p>
    <w:p w14:paraId="6388C286" w14:textId="77777777" w:rsidR="002700FA" w:rsidRPr="00375799" w:rsidRDefault="002700FA" w:rsidP="0055107B">
      <w:pPr>
        <w:spacing w:after="0" w:line="276" w:lineRule="auto"/>
        <w:ind w:left="57" w:right="57"/>
        <w:contextualSpacing/>
        <w:jc w:val="both"/>
        <w:rPr>
          <w:rFonts w:cstheme="minorHAnsi"/>
          <w:color w:val="000000" w:themeColor="text1"/>
          <w:sz w:val="24"/>
          <w:szCs w:val="24"/>
        </w:rPr>
      </w:pPr>
    </w:p>
    <w:p w14:paraId="109B775C" w14:textId="289B979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23" w:name="_Toc530564996"/>
      <w:r w:rsidRPr="00375799">
        <w:rPr>
          <w:rFonts w:asciiTheme="minorHAnsi" w:hAnsiTheme="minorHAnsi" w:cstheme="minorHAnsi"/>
          <w:color w:val="000000" w:themeColor="text1"/>
          <w:sz w:val="24"/>
          <w:szCs w:val="24"/>
        </w:rPr>
        <w:t>Ustawa z dnia 25 października 1991 r. o organizowaniu i prowad</w:t>
      </w:r>
      <w:r w:rsidR="006E6B5F">
        <w:rPr>
          <w:rFonts w:asciiTheme="minorHAnsi" w:hAnsiTheme="minorHAnsi" w:cstheme="minorHAnsi"/>
          <w:color w:val="000000" w:themeColor="text1"/>
          <w:sz w:val="24"/>
          <w:szCs w:val="24"/>
        </w:rPr>
        <w:t xml:space="preserve">zeniu działalności kulturalnej </w:t>
      </w:r>
      <w:r w:rsidR="00AF73AC" w:rsidRPr="00375799">
        <w:rPr>
          <w:rFonts w:asciiTheme="minorHAnsi" w:hAnsiTheme="minorHAnsi" w:cstheme="minorHAnsi"/>
          <w:color w:val="000000" w:themeColor="text1"/>
          <w:sz w:val="24"/>
          <w:szCs w:val="24"/>
        </w:rPr>
        <w:t>(Dz. U. z 201</w:t>
      </w:r>
      <w:r w:rsidR="000661CB">
        <w:rPr>
          <w:rFonts w:asciiTheme="minorHAnsi" w:hAnsiTheme="minorHAnsi" w:cstheme="minorHAnsi"/>
          <w:color w:val="000000" w:themeColor="text1"/>
          <w:sz w:val="24"/>
          <w:szCs w:val="24"/>
        </w:rPr>
        <w:t>8</w:t>
      </w:r>
      <w:r w:rsidR="00AF73AC" w:rsidRPr="00375799">
        <w:rPr>
          <w:rFonts w:asciiTheme="minorHAnsi" w:hAnsiTheme="minorHAnsi" w:cstheme="minorHAnsi"/>
          <w:color w:val="000000" w:themeColor="text1"/>
          <w:sz w:val="24"/>
          <w:szCs w:val="24"/>
        </w:rPr>
        <w:t xml:space="preserve"> r. poz. </w:t>
      </w:r>
      <w:r w:rsidR="000661CB">
        <w:rPr>
          <w:rFonts w:asciiTheme="minorHAnsi" w:hAnsiTheme="minorHAnsi" w:cstheme="minorHAnsi"/>
          <w:color w:val="000000" w:themeColor="text1"/>
          <w:sz w:val="24"/>
          <w:szCs w:val="24"/>
        </w:rPr>
        <w:t>1983</w:t>
      </w:r>
      <w:r w:rsidR="00AF73AC" w:rsidRPr="00375799">
        <w:rPr>
          <w:rFonts w:asciiTheme="minorHAnsi" w:hAnsiTheme="minorHAnsi" w:cstheme="minorHAnsi"/>
          <w:color w:val="000000" w:themeColor="text1"/>
          <w:sz w:val="24"/>
          <w:szCs w:val="24"/>
        </w:rPr>
        <w:t>)</w:t>
      </w:r>
      <w:bookmarkEnd w:id="23"/>
    </w:p>
    <w:p w14:paraId="373EAE62" w14:textId="129D577D" w:rsidR="00FA2366" w:rsidRPr="00375799" w:rsidRDefault="00FA2366" w:rsidP="0055107B">
      <w:pPr>
        <w:pStyle w:val="NIEARTTEKSTtekstnieartykuowanynppodstprawnarozplubpreambua"/>
        <w:spacing w:line="276" w:lineRule="auto"/>
        <w:contextualSpacing/>
        <w:rPr>
          <w:rFonts w:asciiTheme="minorHAnsi" w:hAnsiTheme="minorHAnsi" w:cstheme="minorHAnsi"/>
          <w:color w:val="000000" w:themeColor="text1"/>
          <w:szCs w:val="24"/>
        </w:rPr>
      </w:pPr>
      <w:r w:rsidRPr="00375799">
        <w:rPr>
          <w:rFonts w:asciiTheme="minorHAnsi" w:hAnsiTheme="minorHAnsi" w:cstheme="minorHAnsi"/>
          <w:color w:val="000000" w:themeColor="text1"/>
          <w:szCs w:val="24"/>
        </w:rPr>
        <w:t>W projektowanej zmianie przepisów ustawy z dnia 25 października 1991 r. o organizowaniu i prowadzeniu działalności kulturalnej</w:t>
      </w:r>
      <w:r w:rsidR="00AF73AC" w:rsidRPr="00375799">
        <w:rPr>
          <w:rFonts w:asciiTheme="minorHAnsi" w:hAnsiTheme="minorHAnsi" w:cstheme="minorHAnsi"/>
          <w:color w:val="000000" w:themeColor="text1"/>
          <w:szCs w:val="24"/>
        </w:rPr>
        <w:t>,</w:t>
      </w:r>
      <w:r w:rsidRPr="00375799">
        <w:rPr>
          <w:rFonts w:asciiTheme="minorHAnsi" w:hAnsiTheme="minorHAnsi" w:cstheme="minorHAnsi"/>
          <w:color w:val="000000" w:themeColor="text1"/>
          <w:szCs w:val="24"/>
        </w:rPr>
        <w:t xml:space="preserve"> uwzględniono brzmienie art. 6 ust. 1 lit. c </w:t>
      </w:r>
      <w:r w:rsidR="00F03863" w:rsidRPr="00375799">
        <w:rPr>
          <w:rFonts w:asciiTheme="minorHAnsi" w:hAnsiTheme="minorHAnsi" w:cstheme="minorHAnsi"/>
          <w:color w:val="000000" w:themeColor="text1"/>
          <w:szCs w:val="24"/>
        </w:rPr>
        <w:t>RODO</w:t>
      </w:r>
      <w:r w:rsidRPr="00375799">
        <w:rPr>
          <w:rFonts w:asciiTheme="minorHAnsi" w:hAnsiTheme="minorHAnsi" w:cstheme="minorHAnsi"/>
          <w:color w:val="000000" w:themeColor="text1"/>
          <w:szCs w:val="24"/>
        </w:rPr>
        <w:t xml:space="preserve"> (określającego podstawę przetwarzania danych osobowych), zgodnie z którym przepis prawa krajowego powinien określać obowiązek, którego realizacja wiązałaby się z koniecznością przetwarzania danych osobowych.</w:t>
      </w:r>
    </w:p>
    <w:p w14:paraId="7AB4B4A6" w14:textId="77777777" w:rsidR="000C6BC1" w:rsidRPr="00375799" w:rsidRDefault="00FA2366" w:rsidP="0055107B">
      <w:pPr>
        <w:pStyle w:val="NIEARTTEKSTtekstnieartykuowanynppodstprawnarozplubpreambua"/>
        <w:spacing w:line="276" w:lineRule="auto"/>
        <w:contextualSpacing/>
        <w:rPr>
          <w:rFonts w:asciiTheme="minorHAnsi" w:hAnsiTheme="minorHAnsi" w:cstheme="minorHAnsi"/>
          <w:color w:val="000000" w:themeColor="text1"/>
          <w:szCs w:val="24"/>
        </w:rPr>
      </w:pPr>
      <w:r w:rsidRPr="00375799">
        <w:rPr>
          <w:rFonts w:asciiTheme="minorHAnsi" w:hAnsiTheme="minorHAnsi" w:cstheme="minorHAnsi"/>
          <w:color w:val="000000" w:themeColor="text1"/>
          <w:szCs w:val="24"/>
        </w:rPr>
        <w:t>W związku z powyższym w przepisach ustawy zaproponowano zmiany polegające na określeniu zakresu przetwarzanych danych.</w:t>
      </w:r>
    </w:p>
    <w:p w14:paraId="0183365A" w14:textId="7413B78C" w:rsidR="00FA2366" w:rsidRPr="00375799" w:rsidRDefault="000C6BC1" w:rsidP="0055107B">
      <w:pPr>
        <w:pStyle w:val="NIEARTTEKSTtekstnieartykuowanynppodstprawnarozplubpreambua"/>
        <w:spacing w:line="276" w:lineRule="auto"/>
        <w:contextualSpacing/>
        <w:rPr>
          <w:rFonts w:asciiTheme="minorHAnsi" w:hAnsiTheme="minorHAnsi" w:cstheme="minorHAnsi"/>
          <w:color w:val="000000" w:themeColor="text1"/>
          <w:szCs w:val="24"/>
        </w:rPr>
      </w:pPr>
      <w:r w:rsidRPr="00375799">
        <w:rPr>
          <w:rFonts w:asciiTheme="minorHAnsi" w:hAnsiTheme="minorHAnsi" w:cstheme="minorHAnsi"/>
          <w:color w:val="000000" w:themeColor="text1"/>
          <w:szCs w:val="24"/>
        </w:rPr>
        <w:t>W szczególności zmiany wprowadzane do art. 14 ustawy z dnia 25 października 1991 r. o organizowaniu i prowadzeniu działalności kulturalnej mają na celu określenie na poziomie ustawowym, w sposób precyzyjny, zamkniętego katalogu danych osobowych przetwarzanych w rejestrach publicznych</w:t>
      </w:r>
      <w:r w:rsidR="00B459F8">
        <w:rPr>
          <w:rFonts w:asciiTheme="minorHAnsi" w:hAnsiTheme="minorHAnsi" w:cstheme="minorHAnsi"/>
          <w:color w:val="000000" w:themeColor="text1"/>
          <w:szCs w:val="24"/>
        </w:rPr>
        <w:t>,</w:t>
      </w:r>
      <w:r w:rsidRPr="00375799">
        <w:rPr>
          <w:rFonts w:asciiTheme="minorHAnsi" w:hAnsiTheme="minorHAnsi" w:cstheme="minorHAnsi"/>
          <w:color w:val="000000" w:themeColor="text1"/>
          <w:szCs w:val="24"/>
        </w:rPr>
        <w:t xml:space="preserve"> tj. rejestrach instytucji kultury prowadzonych przez poszczególnych organizatorów. Przewidziane w dodawanym ust.</w:t>
      </w:r>
      <w:r w:rsidR="00A71D3E" w:rsidRPr="00375799">
        <w:rPr>
          <w:rFonts w:asciiTheme="minorHAnsi" w:hAnsiTheme="minorHAnsi" w:cstheme="minorHAnsi"/>
          <w:color w:val="000000" w:themeColor="text1"/>
          <w:szCs w:val="24"/>
        </w:rPr>
        <w:t xml:space="preserve"> </w:t>
      </w:r>
      <w:r w:rsidRPr="00375799">
        <w:rPr>
          <w:rFonts w:asciiTheme="minorHAnsi" w:hAnsiTheme="minorHAnsi" w:cstheme="minorHAnsi"/>
          <w:color w:val="000000" w:themeColor="text1"/>
          <w:szCs w:val="24"/>
        </w:rPr>
        <w:t>1a katalogi danych obejmują jedynie te dane osobowe, które są aktualnie przetwarzane w ww. rejestrach publicznych.</w:t>
      </w:r>
      <w:r w:rsidR="00FA2366" w:rsidRPr="00375799">
        <w:rPr>
          <w:rFonts w:asciiTheme="minorHAnsi" w:hAnsiTheme="minorHAnsi" w:cstheme="minorHAnsi"/>
          <w:color w:val="000000" w:themeColor="text1"/>
          <w:szCs w:val="24"/>
        </w:rPr>
        <w:t xml:space="preserve"> </w:t>
      </w:r>
    </w:p>
    <w:p w14:paraId="21C8B97E" w14:textId="77777777" w:rsidR="00FA2366" w:rsidRPr="00375799" w:rsidRDefault="00FA2366" w:rsidP="0055107B">
      <w:pPr>
        <w:pStyle w:val="NIEARTTEKSTtekstnieartykuowanynppodstprawnarozplubpreambua"/>
        <w:spacing w:line="276" w:lineRule="auto"/>
        <w:contextualSpacing/>
        <w:rPr>
          <w:rFonts w:asciiTheme="minorHAnsi" w:hAnsiTheme="minorHAnsi" w:cstheme="minorHAnsi"/>
          <w:color w:val="000000" w:themeColor="text1"/>
          <w:szCs w:val="24"/>
        </w:rPr>
      </w:pPr>
      <w:r w:rsidRPr="00375799">
        <w:rPr>
          <w:rFonts w:asciiTheme="minorHAnsi" w:hAnsiTheme="minorHAnsi" w:cstheme="minorHAnsi"/>
          <w:color w:val="000000" w:themeColor="text1"/>
          <w:szCs w:val="24"/>
        </w:rPr>
        <w:t xml:space="preserve">Natomiast w zakresie okresu przechowywania danych osobowych doprecyzowano poszczególne przepisy. Proponuje się wskazanie 80-letniego okresu przechowywania danych osobowych w związku z nadaniem odznaki honorowej „Zasłużony dla Kultury Polskiej”, nadaniem Medalu „Zasłużony Kulturze Gloria Artis”, przyznaniem nagrody za osiągnięcia w dziedzinie twórczości artystycznej, upowszechniania i ochrony kultury oraz przyznaniem stypendium osobom zajmującym się twórczością artystyczną, upowszechnianiem kultury oraz opieką nad zabytkami. Natomiast w przypadku danych zawartych we wnioskach o przyznanie stypendium albo o przyznanie dorocznych nagród, proponuje się aby dane były przetwarzane, przez okres niezbędny do realizacji zadań związanych z przyznawaniem tych stypendiów albo dorocznych nagród. Z zastrzeżeniem obowiązku przeglądu tych danych co 5 lat przez organy przyznające stypendia albo doroczne nagrody. </w:t>
      </w:r>
    </w:p>
    <w:p w14:paraId="2C80E35A" w14:textId="123CE46F" w:rsidR="00FA2366" w:rsidRPr="00375799" w:rsidRDefault="00FA2366" w:rsidP="0055107B">
      <w:pPr>
        <w:pStyle w:val="NIEARTTEKSTtekstnieartykuowanynppodstprawnarozplubpreambua"/>
        <w:spacing w:line="276" w:lineRule="auto"/>
        <w:contextualSpacing/>
        <w:rPr>
          <w:rFonts w:asciiTheme="minorHAnsi" w:hAnsiTheme="minorHAnsi" w:cstheme="minorHAnsi"/>
          <w:color w:val="000000" w:themeColor="text1"/>
          <w:szCs w:val="24"/>
        </w:rPr>
      </w:pPr>
      <w:r w:rsidRPr="00375799">
        <w:rPr>
          <w:rFonts w:asciiTheme="minorHAnsi" w:hAnsiTheme="minorHAnsi" w:cstheme="minorHAnsi"/>
          <w:color w:val="000000" w:themeColor="text1"/>
          <w:szCs w:val="24"/>
        </w:rPr>
        <w:t xml:space="preserve">Dane osobowe laureatów trzystopniowego Medalu „Zasłużony Kulturze Gloria Artis” (złotego, srebrnego i brązowego) i odznaki honorowej „Zasłużony dla Kultury Polskiej” powinny być przechowywane tak długo z kilku powodów. Po pierwsze: każde z tych odznaczeń można otrzymać tylko raz. Nie zawsze jednak wnioskodawca ma wiedzę na temat otrzymanych przez kandydata odznaczeniach i zdarzają się powtórne wnioski o to samo odznaczenie. Po drugie: ustawa </w:t>
      </w:r>
      <w:r w:rsidR="001043FA">
        <w:rPr>
          <w:rFonts w:asciiTheme="minorHAnsi" w:hAnsiTheme="minorHAnsi" w:cstheme="minorHAnsi"/>
          <w:color w:val="000000" w:themeColor="text1"/>
          <w:szCs w:val="24"/>
        </w:rPr>
        <w:t xml:space="preserve">z dnia 25 października 1991 r. </w:t>
      </w:r>
      <w:r w:rsidRPr="00375799">
        <w:rPr>
          <w:rFonts w:asciiTheme="minorHAnsi" w:hAnsiTheme="minorHAnsi" w:cstheme="minorHAnsi"/>
          <w:color w:val="000000" w:themeColor="text1"/>
          <w:szCs w:val="24"/>
        </w:rPr>
        <w:t xml:space="preserve">o organizowaniu i prowadzeniu działalności kulturalnej określa minimum 5-letni okres między przyznaniem kolejnych stopni Medalu „Zasłużony Kulturze Gloria Artis”, a ich nadanie uzasadnione jest wyłącznie znaczącymi osiągnięciami kandydata po otrzymaniu stopnia niższego. W związku z tym okres przyznania następnego stopnia Medalu może wydłużyć się. Po trzecie: laureaci odznaczeń resortowych lub ich spadkobiercy występują o potwierdzenie przyznania odznaczenia (np. przy wystąpieniach o świadczenia specjalne na podstawie art. 82 ust. 1 ustawy z dnia 17 grudnia 1998 r. o emeryturach i rentach z Funduszu Ubezpieczeń Społecznych), wydanie miniatury oraz duplikatu </w:t>
      </w:r>
      <w:r w:rsidRPr="00375799">
        <w:rPr>
          <w:rFonts w:asciiTheme="minorHAnsi" w:hAnsiTheme="minorHAnsi" w:cstheme="minorHAnsi"/>
          <w:color w:val="000000" w:themeColor="text1"/>
          <w:szCs w:val="24"/>
        </w:rPr>
        <w:lastRenderedPageBreak/>
        <w:t>medalu i legitymacji nawet po kilkudziesięciu latach. Przykładem jest tu nieistniejąca już od 2005 roku odznaka „Zasłużony Działacz Kultury”, w której sprawie wpływa do MKiDN kilka wystąpień rocznie. Tak długie przechowywanie danych osobowych służyć będzie wyłącznie laureatom odznaczeń resortowych.</w:t>
      </w:r>
    </w:p>
    <w:p w14:paraId="679ECB19" w14:textId="77777777" w:rsidR="00FA2366" w:rsidRPr="00375799" w:rsidRDefault="00FA2366" w:rsidP="0055107B">
      <w:pPr>
        <w:pStyle w:val="NIEARTTEKSTtekstnieartykuowanynppodstprawnarozplubpreambua"/>
        <w:spacing w:line="276" w:lineRule="auto"/>
        <w:contextualSpacing/>
        <w:rPr>
          <w:rFonts w:asciiTheme="minorHAnsi" w:hAnsiTheme="minorHAnsi" w:cstheme="minorHAnsi"/>
          <w:color w:val="000000" w:themeColor="text1"/>
          <w:szCs w:val="24"/>
        </w:rPr>
      </w:pPr>
      <w:r w:rsidRPr="00375799">
        <w:rPr>
          <w:rFonts w:asciiTheme="minorHAnsi" w:hAnsiTheme="minorHAnsi" w:cstheme="minorHAnsi"/>
          <w:color w:val="000000" w:themeColor="text1"/>
          <w:szCs w:val="24"/>
        </w:rPr>
        <w:t xml:space="preserve">W efekcie wprowadzanych zmian nie ma konieczności wydania żadnego nowego aktu wykonawczego wynikającego z upoważnień zawartych w danej ustawie. </w:t>
      </w:r>
    </w:p>
    <w:p w14:paraId="51E266A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588A0F4" w14:textId="7A03A070"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24" w:name="_Toc530564997"/>
      <w:r w:rsidRPr="00375799">
        <w:rPr>
          <w:rFonts w:asciiTheme="minorHAnsi" w:hAnsiTheme="minorHAnsi" w:cstheme="minorHAnsi"/>
          <w:color w:val="000000" w:themeColor="text1"/>
          <w:sz w:val="24"/>
          <w:szCs w:val="24"/>
        </w:rPr>
        <w:t xml:space="preserve">Ustawa z dnia 16 października 1992 r. o orderach i odznaczeniach </w:t>
      </w:r>
      <w:r w:rsidR="00AF73AC" w:rsidRPr="00375799">
        <w:rPr>
          <w:rFonts w:asciiTheme="minorHAnsi" w:hAnsiTheme="minorHAnsi" w:cstheme="minorHAnsi"/>
          <w:color w:val="000000" w:themeColor="text1"/>
          <w:sz w:val="24"/>
          <w:szCs w:val="24"/>
        </w:rPr>
        <w:t>(Dz. U. z 2018 r. poz. 400</w:t>
      </w:r>
      <w:r w:rsidR="000661CB">
        <w:rPr>
          <w:rFonts w:asciiTheme="minorHAnsi" w:hAnsiTheme="minorHAnsi" w:cstheme="minorHAnsi"/>
          <w:color w:val="000000" w:themeColor="text1"/>
          <w:sz w:val="24"/>
          <w:szCs w:val="24"/>
        </w:rPr>
        <w:t>, 730 i 1567</w:t>
      </w:r>
      <w:r w:rsidR="00AF73AC" w:rsidRPr="00375799">
        <w:rPr>
          <w:rFonts w:asciiTheme="minorHAnsi" w:hAnsiTheme="minorHAnsi" w:cstheme="minorHAnsi"/>
          <w:color w:val="000000" w:themeColor="text1"/>
          <w:sz w:val="24"/>
          <w:szCs w:val="24"/>
        </w:rPr>
        <w:t>)</w:t>
      </w:r>
      <w:bookmarkEnd w:id="24"/>
    </w:p>
    <w:p w14:paraId="1593A8C1"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5CBDAE2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Stosownie do art. 2 ust. 2 i 3 ustawy z dnia 16 października 1992 r. o orderach i odznaczeniach, Prezydent Rzeczypospolitej Polskiej nadaje ordery z własnej inicjatywy lub na wniosek Prezesa Rady Ministrów oraz Kapituł Orderów. Odznaczenia nadawane są z inicjatywy własnej Prezydenta lub na wniosek Prezesa Rady Ministrów, ministrów, kierowników urzędów centralnych oraz wojewodów. </w:t>
      </w:r>
    </w:p>
    <w:p w14:paraId="73D0122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Nadawanie odznaczeń państwowych z inicjatywy własnej Prezydenta Rzeczypospolitej Polskiej, w szczególności mając na względzie nadawanie orderów, może być zainicjowane przez: Kancelarię Prezydenta Rzeczypospolitej Polskiej, a także ministrów, kierowników urzędów centralnych, wojewodów lub jednostki organizacyjne podległe tym organom oraz osoby fizyczne, organy samorządowe, organizacje społeczne i zawodowe. W przypadkach takich inicjatyw niezbędne może okazać się uzupełnienie bądź zasięgnięcie dodatkowej opinii o osobie proponowanej do odznaczenia. Kancelaria Prezydenta Rzeczypospolitej Polskiej musi zwrócić się wówczas do właściwych organów, organizacji lub instytucji o przekazanie informacji lub opinii w zakresie tej sfery działalności osoby proponowanej do odznaczenia, za którą ma ona być uhonorowana, czy też mogących mieć wpływ na podjęcie decyzji o nadaniu odznaczenia państwowego. Uzyskane informacje pozwalają na rzetelną ocenę zasług osoby proponowanej do odznaczenia.</w:t>
      </w:r>
    </w:p>
    <w:p w14:paraId="105503D0" w14:textId="3C4D74D7" w:rsidR="00F54D0E" w:rsidRPr="00375799" w:rsidRDefault="00F54D0E"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 polegająca na uchyleniu art. 37a ustawy</w:t>
      </w:r>
      <w:r w:rsidR="001043FA">
        <w:rPr>
          <w:rFonts w:cstheme="minorHAnsi"/>
          <w:color w:val="000000" w:themeColor="text1"/>
          <w:sz w:val="24"/>
          <w:szCs w:val="24"/>
        </w:rPr>
        <w:t xml:space="preserve"> z dnia 16 października 1992 r. </w:t>
      </w:r>
      <w:r w:rsidRPr="00375799">
        <w:rPr>
          <w:rFonts w:cstheme="minorHAnsi"/>
          <w:color w:val="000000" w:themeColor="text1"/>
          <w:sz w:val="24"/>
          <w:szCs w:val="24"/>
        </w:rPr>
        <w:t xml:space="preserve">o orderach i odznaczeniach jest zmianą o charakterze technicznym, polegającą na uchyleniu zawartego w tym artykule odesłania do art. 27 ust. 1 i art. 28 ust. 1 ustawy z dnia 29 sierpnia 1997 r. o ochronie danych osobowych. Po wejściu w życie ustawy z dnia 10 maja 2018 r. o ochronie danych osobowych odesłanie do art. 27 ust. 1 stało się </w:t>
      </w:r>
      <w:r w:rsidR="001043FA">
        <w:rPr>
          <w:rFonts w:cstheme="minorHAnsi"/>
          <w:color w:val="000000" w:themeColor="text1"/>
          <w:sz w:val="24"/>
          <w:szCs w:val="24"/>
        </w:rPr>
        <w:t>bezprzedmiotowe</w:t>
      </w:r>
      <w:r w:rsidR="001043FA" w:rsidRPr="00375799">
        <w:rPr>
          <w:rFonts w:cstheme="minorHAnsi"/>
          <w:color w:val="000000" w:themeColor="text1"/>
          <w:sz w:val="24"/>
          <w:szCs w:val="24"/>
        </w:rPr>
        <w:t xml:space="preserve"> </w:t>
      </w:r>
      <w:r w:rsidRPr="00375799">
        <w:rPr>
          <w:rFonts w:cstheme="minorHAnsi"/>
          <w:color w:val="000000" w:themeColor="text1"/>
          <w:sz w:val="24"/>
          <w:szCs w:val="24"/>
        </w:rPr>
        <w:t xml:space="preserve">w związku z czym należy je usunąć z systemu prawa. Również odesłanie do art. 28 ust. 1 należało uchylić, gdyż ust. 1 w tym artykule został uchylony już przez ustawę z dnia 25 sierpnia 2001 r. o zmianie ustawy o ochronie danych osobowych. </w:t>
      </w:r>
    </w:p>
    <w:p w14:paraId="28800B7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344CA51" w14:textId="48780AE1"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25" w:name="_Toc530564998"/>
      <w:r w:rsidRPr="00375799">
        <w:rPr>
          <w:rFonts w:asciiTheme="minorHAnsi" w:hAnsiTheme="minorHAnsi" w:cstheme="minorHAnsi"/>
          <w:color w:val="000000" w:themeColor="text1"/>
          <w:sz w:val="24"/>
          <w:szCs w:val="24"/>
        </w:rPr>
        <w:t xml:space="preserve">Ustawa z dnia 10 grudnia 1993 r. o zaopatrzeniu emerytalnym żołnierzy zawodowych oraz ich rodzin </w:t>
      </w:r>
      <w:r w:rsidR="00AF73AC" w:rsidRPr="00375799">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Dz. U. z 2017 r. poz. 2225 oraz z 2018 r. poz. 138 i 730)</w:t>
      </w:r>
      <w:bookmarkEnd w:id="25"/>
      <w:r w:rsidRPr="00375799">
        <w:rPr>
          <w:rFonts w:asciiTheme="minorHAnsi" w:hAnsiTheme="minorHAnsi" w:cstheme="minorHAnsi"/>
          <w:color w:val="000000" w:themeColor="text1"/>
          <w:sz w:val="24"/>
          <w:szCs w:val="24"/>
        </w:rPr>
        <w:t xml:space="preserve">  </w:t>
      </w:r>
    </w:p>
    <w:p w14:paraId="11126975" w14:textId="77777777" w:rsidR="001973BE" w:rsidRPr="00375799" w:rsidRDefault="001973BE" w:rsidP="0055107B">
      <w:pPr>
        <w:spacing w:after="0" w:line="276" w:lineRule="auto"/>
        <w:ind w:left="57" w:right="57"/>
        <w:contextualSpacing/>
        <w:jc w:val="both"/>
        <w:rPr>
          <w:rFonts w:cstheme="minorHAnsi"/>
          <w:color w:val="000000" w:themeColor="text1"/>
          <w:sz w:val="24"/>
          <w:szCs w:val="24"/>
        </w:rPr>
      </w:pPr>
    </w:p>
    <w:p w14:paraId="0A6473CA" w14:textId="24018D1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Celem projektowanej zmiany art. 35 ustawy z dnia 10 grudnia 1993 r. o zaopatrzeniu emerytalnym żołnierzy zawodowych oraz ich rodzin jest dostosowanie przepisów tej ustawy, zwanej dalej „wojskową ustawą zaopatrzeniową”, do unijnego systemu ochrony danych osobowych.</w:t>
      </w:r>
    </w:p>
    <w:p w14:paraId="4ABACE65" w14:textId="1C26BE0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Stosownie do obecnie obowiązujących przepisów, osoby zainteresowane nabyciem uprawnień do wojskowego zaopatrzenia emerytalnego, zgodnie z rozporządzeniem Ministra Obrony Narodowej z dnia 10 lutego 2012 r. w sprawie trybu postępowania i właściwości organów w sprawach zaopatrzenia emerytalnego żołnierzy zawodowych oraz uprawnionych członków ich rodzin (Dz. U. poz. 194</w:t>
      </w:r>
      <w:r w:rsidR="001043FA">
        <w:rPr>
          <w:rFonts w:cstheme="minorHAnsi"/>
          <w:color w:val="000000" w:themeColor="text1"/>
          <w:sz w:val="24"/>
          <w:szCs w:val="24"/>
        </w:rPr>
        <w:t xml:space="preserve"> oraz z 2018 r. poz. 1797</w:t>
      </w:r>
      <w:r w:rsidRPr="00375799">
        <w:rPr>
          <w:rFonts w:cstheme="minorHAnsi"/>
          <w:color w:val="000000" w:themeColor="text1"/>
          <w:sz w:val="24"/>
          <w:szCs w:val="24"/>
        </w:rPr>
        <w:t>), zobowiązane są do złożenia szeregu dokumentów uzasadniających przyznanie prawa do tych świadczeń. Jednakże przedkładane dokumenty, w ocenie wojskowych organów emerytalnych, często budzą zastrzeżenia i wątpliwości na etapie ich weryfikacji. Zapewnienie dostępu do rejestrów usprawni postępowanie organów w zakresie ustalania prawa do świadczeń emerytalno-rentowych. Konieczne jest zatem stworzenie materialno-prawnej podstawy do udostępniania danych osobowych wojskowym biurom emerytalnym, które są z kolei niezbędne do wykonywania obowiązków ustawowych.</w:t>
      </w:r>
    </w:p>
    <w:p w14:paraId="7B8CD38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Nowelizacja art. 35 wojskowej ustawy zaopatrzeniowej polega na uzupełnieniu katalogu organów i instytucji zobligowanych do pomocy i udzielania informacji wojskowym organom emerytalnym w sprawach świadczeń (emerytur, rent inwalidzkich i rent rodzinnych). Zaproponowane brzmienie art. 35 oparto na jego dotychczasowym brzmieniu oraz doprecyzowano w zakresie szkół i uczelni wyższych, a także wprowadzono rozwiązania wzorujące się na art. 23b ust. 4 i 6 ustawy z dnia 28 listopada 2003 r. o świadczeniach rodzinnych (Dz. U. z 2017 r. poz. 1952, z późn. zm.). </w:t>
      </w:r>
    </w:p>
    <w:p w14:paraId="649ADB65" w14:textId="3B629AE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Jednoznaczne potwierdzenie prawa dostępu do rejestrów publicznych ma znaczenie dla sprawnego wykonywania zadań wojskowych biur emerytalnych, np. w zakresie dostępu do aktualnych danych adresowych (rejestr PESEL), w sytuacji konieczności skontaktowania się ze świadczeniobiorcą, który jest niedostępny pod adresem, którym dysponuje organ emerytalny. Dostęp wojskowych organów emerytalnych do rejestrów ewidencji ludności jest konieczny w przypadku potrzeby potwierdzenia życia lub ustalenia daty zgonu </w:t>
      </w:r>
      <w:r w:rsidR="00B459F8">
        <w:rPr>
          <w:rFonts w:cstheme="minorHAnsi"/>
          <w:color w:val="000000" w:themeColor="text1"/>
          <w:sz w:val="24"/>
          <w:szCs w:val="24"/>
        </w:rPr>
        <w:t>–</w:t>
      </w:r>
      <w:r w:rsidRPr="00375799">
        <w:rPr>
          <w:rFonts w:cstheme="minorHAnsi"/>
          <w:color w:val="000000" w:themeColor="text1"/>
          <w:sz w:val="24"/>
          <w:szCs w:val="24"/>
        </w:rPr>
        <w:t xml:space="preserve"> w sytuacji zwrotu korespondencji oraz zwrotu świadczeń przekazywanych przez operatora pocztowego. Dostęp do danych umożliwi również wojskowym organom emerytalnym uniknięcie nadpłat w przypadku zgonu świadczeniobiorcy lub pobierania tego świadczenia przez osobę nieuprawnioną (najczęściej osobę zamieszkującą z tą osobą), lub na podstawie upoważnień do konta bankowego, na które przekazywane jest świadczenie. Obecnie procedura pozyskania powyższych informacji odbywa się w drodze indywidualnych zapytań kierowanych do MSWiA, co w sposób znaczący wydłuża postępowanie wyjaśniające i możliwość dochodzenia zwrotu nienależnie pobranych świadczeń. Ponadto dostęp do danych z rejestru ewidencji jest niezbędny w sytuacji weryfikacji danych osobowych wnioskodawcy, kiedy występują rozbieżności w przedstawionych dokumentach. </w:t>
      </w:r>
    </w:p>
    <w:p w14:paraId="23DFA25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W zakresie projektowanego udostępnienia danych z systemu informacji oświatowej, ogólnopolskiego wykazu studentów i ogólnopolskiego wykazu doktorantów wskazać należy, że osoby pobierające wojskową rentę rodzinną są zobowiązane do przedłożenia zaświadczenia potwierdzającego naukę w szkole. Dotyczy to osób, które przekroczyły wiek 16 lat i mogą uzyskać prawo do renty rodzinnej z tytułu nauki do 25. roku życia. Pracownicy wojskowych biur emerytalnych zajmujący się ustalaniem świadczeń napotykają problemy, np. chcąc w ramach kontroli uzyskać zaświadczenie z uczelni wyższej, potwierdzające faktyczny okres nauki, w przypadku weryfikacji prawa do wojskowej renty rodzinnej. </w:t>
      </w:r>
    </w:p>
    <w:p w14:paraId="55628AC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odpowiedzi na wnioski wojskowych biur emerytalnych, uczelnie wyższe odmawiają wystawienia zaświadczenia, potwierdzającego faktyczny okres nauki, argumentując to brakiem podstawy prawnej dla organu emerytalnego do żądania ww. dokumentu. Z tego powodu postępowanie wyjaśniające prowadzone przez wojskowe organy emerytalne jest niejednokrotnie wydłużone w czasie. Dochodzenie zwrotu nienależnie pobranych rent rodzinnych jest największym problemem wojskowych organów emerytalnych. W wielu przypadkach organ nawet nie może dochodzić zwrotu świadczeń z uwagi na upływ terminu. Udostępnienie rejestrów skróci procedurę dochodzenia tych świadczeń, co tym samym może spowodować skrócenie okresu pobierania nienależnego świadczenia i poprawić ściągalność tych zwrotów.    </w:t>
      </w:r>
    </w:p>
    <w:p w14:paraId="4072416B"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zakresie projektowanego dostępu do danych z Centralnego Wykazu Ubezpieczonych zaznaczyć trzeba, że w myśl art. 7 wojskowej ustawy zaopatrzeniowej, w razie zbiegu prawa do emerytury lub renty przewidzianych w tej ustawie z prawem do emerytury lub renty albo do uposażenia w stanie spoczynku lub uposażenia rodzinnego przewidzianych w odrębnych przepisach wypłaca się świadczenie wyższe lub wybrane przez osobę uprawnioną, jeżeli przepisy szczególne nie stanowią inaczej. Dostęp do wspomnianego wykazu umożliwi organom emerytalnym wyeliminowanie sytuacji, w których dochodziłoby do wypłaty dwóch świadczeń emerytalnych – np. z ZUS i WBE (pomimo wskazanego zakazu ustawowego). </w:t>
      </w:r>
    </w:p>
    <w:p w14:paraId="7A4472E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wielu przypadkach dochodzenie zwrotu nadpłat nie jest możliwe, gdy wypłata świadczeń przekracza trzyletni okres ich pobierania. Dostęp do tego rejestru zmniejszy skalę wypłat podwójnych świadczeń emerytalno-rentowych, co w większości przypadków jest skutkiem świadomego działania osób mających uprawnienia do dwóch świadczeń: z systemu powszechnego i z systemu zaopatrzeniowego. </w:t>
      </w:r>
    </w:p>
    <w:p w14:paraId="2EF8B0E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Wprowadzenie projektowanej nowelizacji przepisu art. 35 wojskowej ustawy zaopatrzeniowej znacząco przyspieszy zainicjowanie procedury wstrzymania wypłaty nienależnych świadczeń oraz skróci tok postępowania dotyczącego dochodzenia zwrotu tych świadczeń. Wojskowe organy emerytalne, tak jak pozostałe jednostki sektora finansów publicznych, stosownie do art. 44 ust. 3 ustawy z dnia 27 sierpnia 2009 r. o finansach publicznych (Dz. U. z 2017 r. poz. 2077, z późn. zm.), są obowiązane do dokonywania wydatków publicznych w sposób celowy. Projektowana zmiana art. 35 wojskowej ustawy zaopatrzeniowej pozwoli również, wzorem Zakładu Emerytalno-Rentowego MSWiA, na </w:t>
      </w:r>
      <w:r w:rsidRPr="00375799">
        <w:rPr>
          <w:rFonts w:cstheme="minorHAnsi"/>
          <w:color w:val="000000" w:themeColor="text1"/>
          <w:sz w:val="24"/>
          <w:szCs w:val="24"/>
        </w:rPr>
        <w:lastRenderedPageBreak/>
        <w:t>ujednolicenie i uporządkowanie stosowanych praktyk w tym zakresie oraz uproszczenie procedur, a tym samym wyeliminowanie zbędnej biurokracji.</w:t>
      </w:r>
    </w:p>
    <w:p w14:paraId="15A7758C" w14:textId="77777777" w:rsidR="0051073B" w:rsidRPr="00375799" w:rsidRDefault="0051073B" w:rsidP="0055107B">
      <w:pPr>
        <w:spacing w:after="0" w:line="276" w:lineRule="auto"/>
        <w:ind w:left="57" w:right="57"/>
        <w:contextualSpacing/>
        <w:jc w:val="both"/>
        <w:rPr>
          <w:rFonts w:cstheme="minorHAnsi"/>
          <w:color w:val="000000" w:themeColor="text1"/>
          <w:sz w:val="24"/>
          <w:szCs w:val="24"/>
        </w:rPr>
      </w:pPr>
    </w:p>
    <w:p w14:paraId="5455375A" w14:textId="50DE569B" w:rsidR="008706DD" w:rsidRPr="00375799" w:rsidRDefault="008706DD" w:rsidP="00FB3FEE">
      <w:pPr>
        <w:pStyle w:val="Nagwek2"/>
        <w:spacing w:line="276" w:lineRule="auto"/>
        <w:ind w:left="57" w:right="57"/>
        <w:contextualSpacing/>
        <w:rPr>
          <w:rFonts w:asciiTheme="minorHAnsi" w:hAnsiTheme="minorHAnsi" w:cstheme="minorHAnsi"/>
          <w:color w:val="000000" w:themeColor="text1"/>
          <w:sz w:val="24"/>
          <w:szCs w:val="24"/>
        </w:rPr>
      </w:pPr>
      <w:bookmarkStart w:id="26" w:name="_Toc530564999"/>
      <w:r w:rsidRPr="00375799">
        <w:rPr>
          <w:rFonts w:asciiTheme="minorHAnsi" w:hAnsiTheme="minorHAnsi" w:cstheme="minorHAnsi"/>
          <w:color w:val="000000" w:themeColor="text1"/>
          <w:sz w:val="24"/>
          <w:szCs w:val="24"/>
        </w:rPr>
        <w:t>Ustawa z dnia 18 lutego 199</w:t>
      </w:r>
      <w:r w:rsidR="00AF73AC" w:rsidRPr="00375799">
        <w:rPr>
          <w:rFonts w:asciiTheme="minorHAnsi" w:hAnsiTheme="minorHAnsi" w:cstheme="minorHAnsi"/>
          <w:color w:val="000000" w:themeColor="text1"/>
          <w:sz w:val="24"/>
          <w:szCs w:val="24"/>
        </w:rPr>
        <w:t>4</w:t>
      </w:r>
      <w:r w:rsidRPr="00375799">
        <w:rPr>
          <w:rFonts w:asciiTheme="minorHAnsi" w:hAnsiTheme="minorHAnsi" w:cstheme="minorHAnsi"/>
          <w:color w:val="000000" w:themeColor="text1"/>
          <w:sz w:val="24"/>
          <w:szCs w:val="24"/>
        </w:rPr>
        <w:t xml:space="preserve">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w:t>
      </w:r>
      <w:r w:rsidR="00FB3FEE" w:rsidRPr="00375799">
        <w:rPr>
          <w:rFonts w:asciiTheme="minorHAnsi" w:hAnsiTheme="minorHAnsi" w:cstheme="minorHAnsi"/>
          <w:color w:val="000000" w:themeColor="text1"/>
          <w:sz w:val="24"/>
          <w:szCs w:val="24"/>
        </w:rPr>
        <w:t>(Dz. U. z 2018 r. poz. 132, 138, 730</w:t>
      </w:r>
      <w:r w:rsidR="000661CB">
        <w:rPr>
          <w:rFonts w:asciiTheme="minorHAnsi" w:hAnsiTheme="minorHAnsi" w:cstheme="minorHAnsi"/>
          <w:color w:val="000000" w:themeColor="text1"/>
          <w:sz w:val="24"/>
          <w:szCs w:val="24"/>
        </w:rPr>
        <w:t xml:space="preserve"> i</w:t>
      </w:r>
      <w:r w:rsidR="00FB3FEE" w:rsidRPr="00375799">
        <w:rPr>
          <w:rFonts w:asciiTheme="minorHAnsi" w:hAnsiTheme="minorHAnsi" w:cstheme="minorHAnsi"/>
          <w:color w:val="000000" w:themeColor="text1"/>
          <w:sz w:val="24"/>
          <w:szCs w:val="24"/>
        </w:rPr>
        <w:t xml:space="preserve"> 912)</w:t>
      </w:r>
      <w:bookmarkEnd w:id="26"/>
    </w:p>
    <w:p w14:paraId="4F526985" w14:textId="77777777" w:rsidR="00FB3FEE" w:rsidRPr="00375799" w:rsidRDefault="00FB3FEE" w:rsidP="00FB3FEE">
      <w:pPr>
        <w:rPr>
          <w:color w:val="000000" w:themeColor="text1"/>
        </w:rPr>
      </w:pPr>
    </w:p>
    <w:p w14:paraId="64395A13" w14:textId="1FC129D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Projektowane zmiany przepisów wynikają z</w:t>
      </w:r>
      <w:r w:rsidR="001043FA">
        <w:rPr>
          <w:rFonts w:cstheme="minorHAnsi"/>
          <w:color w:val="000000" w:themeColor="text1"/>
          <w:sz w:val="24"/>
          <w:szCs w:val="24"/>
        </w:rPr>
        <w:t xml:space="preserve"> wejścia w życie przepisów </w:t>
      </w:r>
      <w:r w:rsidR="00F03863" w:rsidRPr="00375799">
        <w:rPr>
          <w:rFonts w:cstheme="minorHAnsi"/>
          <w:color w:val="000000" w:themeColor="text1"/>
          <w:sz w:val="24"/>
          <w:szCs w:val="24"/>
        </w:rPr>
        <w:t>RODO</w:t>
      </w:r>
      <w:r w:rsidRPr="00375799">
        <w:rPr>
          <w:rFonts w:cstheme="minorHAnsi"/>
          <w:color w:val="000000" w:themeColor="text1"/>
          <w:sz w:val="24"/>
          <w:szCs w:val="24"/>
        </w:rPr>
        <w:t xml:space="preserve">. Celem projektowanych zmian jest dostosowanie przepisów ustawy z dnia 18 lutego 1994 r. o zaopatrzeniu emerytalnym funkcjonariuszy Policji, Agencji Bezpieczeństwa Wewnętrznego, Agencji Wywiadu, Służby Kontrwywiadu Wojskowego, Służby Wywiadu Wojskowego, Centralnego Biura Antykorupcyjnego, Straży Granicznej, Służby Ochrony Państwa, Państwowej Straży Pożarnej, Służby Celno-Skarbowej i Służby Więziennej oraz ich rodzin zwanej dalej „ustawą zaopatrzeniową”, do unijnego systemu ochrony danych osobowych. </w:t>
      </w:r>
    </w:p>
    <w:p w14:paraId="074177B4" w14:textId="4FB6290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Konieczna jest sanacja obowiązującego stanu prawnego i stworzenie materialno</w:t>
      </w:r>
      <w:r w:rsidR="00B459F8">
        <w:rPr>
          <w:rFonts w:cstheme="minorHAnsi"/>
          <w:color w:val="000000" w:themeColor="text1"/>
          <w:sz w:val="24"/>
          <w:szCs w:val="24"/>
        </w:rPr>
        <w:noBreakHyphen/>
      </w:r>
      <w:r w:rsidRPr="00375799">
        <w:rPr>
          <w:rFonts w:cstheme="minorHAnsi"/>
          <w:color w:val="000000" w:themeColor="text1"/>
          <w:sz w:val="24"/>
          <w:szCs w:val="24"/>
        </w:rPr>
        <w:t>prawnej podstawy dla podmiotów do udostępniania danych osobowych Zakładowi Emerytalno-Rentowemu Ministerstwa Spraw Wewnętrznych i Administracji, które są niezbędne do wykonywania obowiązków ustawowych tego organu.</w:t>
      </w:r>
    </w:p>
    <w:p w14:paraId="7599DDF9" w14:textId="37CE310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Nowelizacja art. 36 ustawy zaopatrzeniowej, polega na uzupełnieniu katalogu organów i instytucji zobligowanych do pomocy i udzielania informacji organom emerytalnym w sprawach świadczeń. Powyższe wynika z problemów na jakie napotykają pracownicy zajmujący się ustalaniem świadczeń, np. chcąc uzyskać zaświadczenie z uczelni wyższej, potwierdzające faktyczny okres nauki, w przypadku weryfikacji prawa do świadczenia (renty rodzinnej). W odpowiedzi na wnioski Zakładu Emerytalno-Rentowego Ministerstwa Spraw Wewnętrznych i Administracji o udostępnienie danych, uczelnie wyższe odmawiają wystawienia zaświadczenia, argumentując to brakiem umocowania prawnego organu emerytalnego do żądania ww. dokumentu. Zaproponowane brzmienie art. 36 oparto na jego dotychczasowym brzmieniu oraz doprecyzowano w zakresie szkół i uczelni wyższych oraz wprowadzono rozwiązania wzorujące się na art. 23b ust. 4 i 6 ustawy z dnia 28 listopada 2003 r. o świadczeniach rodzinnych (Dz. U. z 201</w:t>
      </w:r>
      <w:r w:rsidR="001043FA">
        <w:rPr>
          <w:rFonts w:cstheme="minorHAnsi"/>
          <w:color w:val="000000" w:themeColor="text1"/>
          <w:sz w:val="24"/>
          <w:szCs w:val="24"/>
        </w:rPr>
        <w:t>7</w:t>
      </w:r>
      <w:r w:rsidRPr="00375799">
        <w:rPr>
          <w:rFonts w:cstheme="minorHAnsi"/>
          <w:color w:val="000000" w:themeColor="text1"/>
          <w:sz w:val="24"/>
          <w:szCs w:val="24"/>
        </w:rPr>
        <w:t xml:space="preserve"> r. poz. </w:t>
      </w:r>
      <w:r w:rsidR="001043FA">
        <w:rPr>
          <w:rFonts w:cstheme="minorHAnsi"/>
          <w:color w:val="000000" w:themeColor="text1"/>
          <w:sz w:val="24"/>
          <w:szCs w:val="24"/>
        </w:rPr>
        <w:t>1952</w:t>
      </w:r>
      <w:r w:rsidRPr="00375799">
        <w:rPr>
          <w:rFonts w:cstheme="minorHAnsi"/>
          <w:color w:val="000000" w:themeColor="text1"/>
          <w:sz w:val="24"/>
          <w:szCs w:val="24"/>
        </w:rPr>
        <w:t>, z późn. zm.). Jednoznaczne potwierdzenie prawa dostępu do rejestrów publicznych ma znaczenie dla sprawnego wykonywania zadań organów emerytalnych, np. w zakresie dostępu do aktualnych danych adresowych (rejestr PESEL) w sytuacji konieczności skontaktowania się ze świadczeniobiorcą, który jest niedostępny pod adresem, którym dysponuje organ emerytalny.</w:t>
      </w:r>
    </w:p>
    <w:p w14:paraId="442DE6C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FFA97EA" w14:textId="27584744"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27" w:name="_Toc530565000"/>
      <w:r w:rsidRPr="00375799">
        <w:rPr>
          <w:rFonts w:asciiTheme="minorHAnsi" w:hAnsiTheme="minorHAnsi" w:cstheme="minorHAnsi"/>
          <w:color w:val="000000" w:themeColor="text1"/>
          <w:sz w:val="24"/>
          <w:szCs w:val="24"/>
        </w:rPr>
        <w:t>Ustawa z dnia 4 marca 1994 r. o zakładowym funduszu świadczeń socjalnych</w:t>
      </w:r>
      <w:r w:rsidR="00364B42" w:rsidRPr="00375799">
        <w:rPr>
          <w:rFonts w:asciiTheme="minorHAnsi" w:hAnsiTheme="minorHAnsi" w:cstheme="minorHAnsi"/>
          <w:color w:val="000000" w:themeColor="text1"/>
          <w:sz w:val="24"/>
          <w:szCs w:val="24"/>
        </w:rPr>
        <w:t xml:space="preserve"> (Dz. U. z 201</w:t>
      </w:r>
      <w:r w:rsidR="000661CB">
        <w:rPr>
          <w:rFonts w:asciiTheme="minorHAnsi" w:hAnsiTheme="minorHAnsi" w:cstheme="minorHAnsi"/>
          <w:color w:val="000000" w:themeColor="text1"/>
          <w:sz w:val="24"/>
          <w:szCs w:val="24"/>
        </w:rPr>
        <w:t>8</w:t>
      </w:r>
      <w:r w:rsidR="00364B42" w:rsidRPr="00375799">
        <w:rPr>
          <w:rFonts w:asciiTheme="minorHAnsi" w:hAnsiTheme="minorHAnsi" w:cstheme="minorHAnsi"/>
          <w:color w:val="000000" w:themeColor="text1"/>
          <w:sz w:val="24"/>
          <w:szCs w:val="24"/>
        </w:rPr>
        <w:t xml:space="preserve"> r. poz. </w:t>
      </w:r>
      <w:r w:rsidR="000661CB">
        <w:rPr>
          <w:rFonts w:asciiTheme="minorHAnsi" w:hAnsiTheme="minorHAnsi" w:cstheme="minorHAnsi"/>
          <w:color w:val="000000" w:themeColor="text1"/>
          <w:sz w:val="24"/>
          <w:szCs w:val="24"/>
        </w:rPr>
        <w:t>1316, 1608 i 1669</w:t>
      </w:r>
      <w:r w:rsidR="00364B42" w:rsidRPr="00375799">
        <w:rPr>
          <w:rFonts w:asciiTheme="minorHAnsi" w:hAnsiTheme="minorHAnsi" w:cstheme="minorHAnsi"/>
          <w:color w:val="000000" w:themeColor="text1"/>
          <w:sz w:val="24"/>
          <w:szCs w:val="24"/>
        </w:rPr>
        <w:t>)</w:t>
      </w:r>
      <w:bookmarkEnd w:id="27"/>
    </w:p>
    <w:p w14:paraId="3BA2B404"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6BE0C648" w14:textId="09FC0000" w:rsidR="000B043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Art. 8 ustawy </w:t>
      </w:r>
      <w:r w:rsidR="001043FA">
        <w:rPr>
          <w:rFonts w:cstheme="minorHAnsi"/>
          <w:color w:val="000000" w:themeColor="text1"/>
          <w:sz w:val="24"/>
          <w:szCs w:val="24"/>
        </w:rPr>
        <w:t xml:space="preserve">z dnia 4 marca 1994 r. </w:t>
      </w:r>
      <w:r w:rsidRPr="00375799">
        <w:rPr>
          <w:rFonts w:cstheme="minorHAnsi"/>
          <w:color w:val="000000" w:themeColor="text1"/>
          <w:sz w:val="24"/>
          <w:szCs w:val="24"/>
        </w:rPr>
        <w:t>o</w:t>
      </w:r>
      <w:r w:rsidR="001043FA">
        <w:rPr>
          <w:rFonts w:cstheme="minorHAnsi"/>
          <w:color w:val="000000" w:themeColor="text1"/>
          <w:sz w:val="24"/>
          <w:szCs w:val="24"/>
        </w:rPr>
        <w:t xml:space="preserve"> zakładowym funduszu świadczeń socjalnych, dalej: </w:t>
      </w:r>
      <w:proofErr w:type="spellStart"/>
      <w:r w:rsidRPr="00375799">
        <w:rPr>
          <w:rFonts w:cstheme="minorHAnsi"/>
          <w:color w:val="000000" w:themeColor="text1"/>
          <w:sz w:val="24"/>
          <w:szCs w:val="24"/>
        </w:rPr>
        <w:t>zfśs</w:t>
      </w:r>
      <w:proofErr w:type="spellEnd"/>
      <w:r w:rsidRPr="00375799">
        <w:rPr>
          <w:rFonts w:cstheme="minorHAnsi"/>
          <w:color w:val="000000" w:themeColor="text1"/>
          <w:sz w:val="24"/>
          <w:szCs w:val="24"/>
        </w:rPr>
        <w:t xml:space="preserve"> zawiera generalną zasadę uwzględniania sytuacji życiowej, rodzinnej i materialnej osoby uprawnionej do korzystania z </w:t>
      </w:r>
      <w:proofErr w:type="spellStart"/>
      <w:r w:rsidRPr="00375799">
        <w:rPr>
          <w:rFonts w:cstheme="minorHAnsi"/>
          <w:color w:val="000000" w:themeColor="text1"/>
          <w:sz w:val="24"/>
          <w:szCs w:val="24"/>
        </w:rPr>
        <w:t>zfśs</w:t>
      </w:r>
      <w:proofErr w:type="spellEnd"/>
      <w:r w:rsidRPr="00375799">
        <w:rPr>
          <w:rFonts w:cstheme="minorHAnsi"/>
          <w:color w:val="000000" w:themeColor="text1"/>
          <w:sz w:val="24"/>
          <w:szCs w:val="24"/>
        </w:rPr>
        <w:t xml:space="preserve"> przy przyznawaniu jej ulgowych usług i świadczeń z funduszu oraz ustalaniu ich wysokości. Szczegółowe zasady i warunki ustalania sytuacji socjalnej osób uprawnionych, w tym ich potwierdzania są przedmiotem regulaminu </w:t>
      </w:r>
      <w:proofErr w:type="spellStart"/>
      <w:r w:rsidRPr="00375799">
        <w:rPr>
          <w:rFonts w:cstheme="minorHAnsi"/>
          <w:color w:val="000000" w:themeColor="text1"/>
          <w:sz w:val="24"/>
          <w:szCs w:val="24"/>
        </w:rPr>
        <w:t>zfśs</w:t>
      </w:r>
      <w:proofErr w:type="spellEnd"/>
      <w:r w:rsidRPr="00375799">
        <w:rPr>
          <w:rFonts w:cstheme="minorHAnsi"/>
          <w:color w:val="000000" w:themeColor="text1"/>
          <w:sz w:val="24"/>
          <w:szCs w:val="24"/>
        </w:rPr>
        <w:t xml:space="preserve">. Realizacja zasady zawartej w tym przepisie w zakresie obowiązku przetwarzania przez pracodawcę danych osobowych osób uprawnionych do korzystania z funduszu, w tym danych wrażliwych, gdyż dotyczących ich sytuacji zdrowotnej, na potrzeby zakładowej działalności socjalnej wymaga jej sprecyzowania i dostosowania do regulacji zawartych w </w:t>
      </w:r>
      <w:r w:rsidR="001043FA">
        <w:rPr>
          <w:rFonts w:cstheme="minorHAnsi"/>
          <w:color w:val="000000" w:themeColor="text1"/>
          <w:sz w:val="24"/>
          <w:szCs w:val="24"/>
        </w:rPr>
        <w:t>RODO</w:t>
      </w:r>
      <w:r w:rsidRPr="00375799">
        <w:rPr>
          <w:rFonts w:cstheme="minorHAnsi"/>
          <w:color w:val="000000" w:themeColor="text1"/>
          <w:sz w:val="24"/>
          <w:szCs w:val="24"/>
        </w:rPr>
        <w:t xml:space="preserve">. </w:t>
      </w:r>
    </w:p>
    <w:p w14:paraId="2923A747" w14:textId="0E019BCF" w:rsidR="000B043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Proponuje się wprowadzić formę oświadczenia przy udostępnianiu  pracodawcy informacji o sytuacji socjalnej osób uprawnionych z zachowaniem możliwości żądania ich udokumentowania jed</w:t>
      </w:r>
      <w:r w:rsidR="00B459F8">
        <w:rPr>
          <w:rFonts w:cstheme="minorHAnsi"/>
          <w:color w:val="000000" w:themeColor="text1"/>
          <w:sz w:val="24"/>
          <w:szCs w:val="24"/>
        </w:rPr>
        <w:t>y</w:t>
      </w:r>
      <w:r w:rsidRPr="00375799">
        <w:rPr>
          <w:rFonts w:cstheme="minorHAnsi"/>
          <w:color w:val="000000" w:themeColor="text1"/>
          <w:sz w:val="24"/>
          <w:szCs w:val="24"/>
        </w:rPr>
        <w:t xml:space="preserve">nie w zakresie niezbędnym do ich potwierdzenia, w szczególności na podstawie oświadczeń i zaświadczeń o sytuacji życiowej (w tym zdrowotnej), rodzinnej i materialnej. </w:t>
      </w:r>
    </w:p>
    <w:p w14:paraId="57D510A7" w14:textId="77777777" w:rsidR="000B043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Mając na względzie specjalny charakter danych osobowych obejmujących informacje o sytuacji prywatnej osób uprawnionych, niezbędnych w celu przyznania i ustalenia wysokości usług i świadczeń  socjalnych (w szczególności danych o sytuacji zdrowotnej), proponuje się, aby do przetwarzania tych danych były uprawnione wyłącznie osoby upoważnione przez pracodawcę. Przechowywanie takich danych będzie wyznaczone przez okres niezbędny do przyznania tych świadczeń. </w:t>
      </w:r>
    </w:p>
    <w:p w14:paraId="23ECC9E9" w14:textId="2398BCEB" w:rsidR="008706DD" w:rsidRPr="00375799" w:rsidRDefault="000B04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Zabezpieczeniu danych socjalnych służyć ma również wprowadzane do art. 8 ustawy o </w:t>
      </w:r>
      <w:proofErr w:type="spellStart"/>
      <w:r w:rsidRPr="00375799">
        <w:rPr>
          <w:rFonts w:cstheme="minorHAnsi"/>
          <w:color w:val="000000" w:themeColor="text1"/>
          <w:sz w:val="24"/>
          <w:szCs w:val="24"/>
        </w:rPr>
        <w:t>zfśs</w:t>
      </w:r>
      <w:proofErr w:type="spellEnd"/>
      <w:r w:rsidRPr="00375799">
        <w:rPr>
          <w:rFonts w:cstheme="minorHAnsi"/>
          <w:color w:val="000000" w:themeColor="text1"/>
          <w:sz w:val="24"/>
          <w:szCs w:val="24"/>
        </w:rPr>
        <w:t xml:space="preserve"> rozwiązanie o corocznym przeglądzie przez pracodawcę  danych socjalnych w celu ustalenia niezbędności ich przechowywania, z tym, że termin  przeglądu danych za rok 2018 proponuje się ustalić przepisem przejściowym  do końca marca 2019 r.</w:t>
      </w:r>
    </w:p>
    <w:p w14:paraId="4E0AB10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0B3755E2" w14:textId="7F9EEBC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28" w:name="_Toc530565001"/>
      <w:r w:rsidRPr="00375799">
        <w:rPr>
          <w:rFonts w:asciiTheme="minorHAnsi" w:hAnsiTheme="minorHAnsi" w:cstheme="minorHAnsi"/>
          <w:color w:val="000000" w:themeColor="text1"/>
          <w:sz w:val="24"/>
          <w:szCs w:val="24"/>
        </w:rPr>
        <w:t xml:space="preserve">Ustawa z dnia 7 lipca 1994 r. – Prawo budowlane </w:t>
      </w:r>
      <w:r w:rsidR="00364B42" w:rsidRPr="00375799">
        <w:rPr>
          <w:rFonts w:asciiTheme="minorHAnsi" w:hAnsiTheme="minorHAnsi" w:cstheme="minorHAnsi"/>
          <w:color w:val="000000" w:themeColor="text1"/>
          <w:sz w:val="24"/>
          <w:szCs w:val="24"/>
        </w:rPr>
        <w:t>(Dz. U. z 201</w:t>
      </w:r>
      <w:r w:rsidR="000661CB">
        <w:rPr>
          <w:rFonts w:asciiTheme="minorHAnsi" w:hAnsiTheme="minorHAnsi" w:cstheme="minorHAnsi"/>
          <w:color w:val="000000" w:themeColor="text1"/>
          <w:sz w:val="24"/>
          <w:szCs w:val="24"/>
        </w:rPr>
        <w:t>8</w:t>
      </w:r>
      <w:r w:rsidR="00364B42" w:rsidRPr="00375799">
        <w:rPr>
          <w:rFonts w:asciiTheme="minorHAnsi" w:hAnsiTheme="minorHAnsi" w:cstheme="minorHAnsi"/>
          <w:color w:val="000000" w:themeColor="text1"/>
          <w:sz w:val="24"/>
          <w:szCs w:val="24"/>
        </w:rPr>
        <w:t xml:space="preserve"> r. poz. </w:t>
      </w:r>
      <w:r w:rsidR="000661CB">
        <w:rPr>
          <w:rFonts w:asciiTheme="minorHAnsi" w:hAnsiTheme="minorHAnsi" w:cstheme="minorHAnsi"/>
          <w:color w:val="000000" w:themeColor="text1"/>
          <w:sz w:val="24"/>
          <w:szCs w:val="24"/>
        </w:rPr>
        <w:t>1202, 1276, 1469 i 1669</w:t>
      </w:r>
      <w:r w:rsidR="00364B42" w:rsidRPr="00375799">
        <w:rPr>
          <w:rFonts w:asciiTheme="minorHAnsi" w:hAnsiTheme="minorHAnsi" w:cstheme="minorHAnsi"/>
          <w:color w:val="000000" w:themeColor="text1"/>
          <w:sz w:val="24"/>
          <w:szCs w:val="24"/>
        </w:rPr>
        <w:t>)</w:t>
      </w:r>
      <w:bookmarkEnd w:id="28"/>
    </w:p>
    <w:p w14:paraId="64E672E0"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77D1E8EB" w14:textId="0EC8A32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Wprowadzono ograniczenie stosowanie art. 15 ust. 1 lit. g </w:t>
      </w:r>
      <w:r w:rsidR="0071571F" w:rsidRPr="00375799">
        <w:rPr>
          <w:rFonts w:cstheme="minorHAnsi"/>
          <w:color w:val="000000" w:themeColor="text1"/>
          <w:sz w:val="24"/>
          <w:szCs w:val="24"/>
        </w:rPr>
        <w:t>RODO</w:t>
      </w:r>
      <w:r w:rsidRPr="00375799">
        <w:rPr>
          <w:rFonts w:cstheme="minorHAnsi"/>
          <w:color w:val="000000" w:themeColor="text1"/>
          <w:sz w:val="24"/>
          <w:szCs w:val="24"/>
        </w:rPr>
        <w:t xml:space="preserve"> w zakresie wystąpień zawierających dane osobowe osób trzecich, które nie skutkują wszczęciem postępowania administracyjnego i tylko w zakresie, w jakim ma to wpływ na ochronę praw i wolności osób, których dane dotyczą. Chodzi tu w szczególności o kontrole organów nadzoru budowlanego w zakresie przestrzegania i stosowania przepisów (dot</w:t>
      </w:r>
      <w:r w:rsidR="001043FA">
        <w:rPr>
          <w:rFonts w:cstheme="minorHAnsi"/>
          <w:color w:val="000000" w:themeColor="text1"/>
          <w:sz w:val="24"/>
          <w:szCs w:val="24"/>
        </w:rPr>
        <w:t>yczące</w:t>
      </w:r>
      <w:r w:rsidRPr="00375799">
        <w:rPr>
          <w:rFonts w:cstheme="minorHAnsi"/>
          <w:color w:val="000000" w:themeColor="text1"/>
          <w:sz w:val="24"/>
          <w:szCs w:val="24"/>
        </w:rPr>
        <w:t xml:space="preserve"> np. samowolnego wykonywania robót budowlanych lub budowy obiektów budowlanych, samowolnych zmian sposobu użytkowania obiektu budowlanego lub jego części, samowolnego przystąpienia do użytkowania obiektu budowlanego), które bardzo często są inicjowane wskutek zawiadomień przez postronne w sprawie osoby fizyczne. W sytuacji zgłoszenia przez osobę fizyczną do organów nadzoru budowlanego prawdopodobieństwa nieprzestrzegania przepisów prawa budowlanego przez inną osobę fizyczną zasadne jest wyłączenie obowiązku organu nadzoru budowlanego polegającego na poinformowaniu osoby fizycznej podejrzanej o </w:t>
      </w:r>
      <w:r w:rsidRPr="00375799">
        <w:rPr>
          <w:rFonts w:cstheme="minorHAnsi"/>
          <w:color w:val="000000" w:themeColor="text1"/>
          <w:sz w:val="24"/>
          <w:szCs w:val="24"/>
        </w:rPr>
        <w:lastRenderedPageBreak/>
        <w:t xml:space="preserve">nieprzestrzeganie przepisów prawa budowlanego o wszelkich danych dotyczących źródła pozyskania jej danych osobowych. Wykonanie ww. obowiązków przez organy nadzoru budowlanego spowodowałoby z kolei naruszenie prawa do ochrony danych osobowych osoby zgłaszającej nieprawidłowości. </w:t>
      </w:r>
    </w:p>
    <w:p w14:paraId="5A709CAA" w14:textId="77777777" w:rsidR="000876B1" w:rsidRPr="00375799" w:rsidRDefault="000876B1"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Jednocześnie wskazano, że z uwagi na ww. ograniczenie art. 15 ust. 1 lit. g RODO dodano dodatkowe gwarancje dla osób, których dane dotyczą w postaci zobowiązania administratora o poinformowaniu o ograniczeniu osoby, której dane dotyczą przy pierwszej czynności do niej skierowanej. Ponadto wskazano, że w przypadku gdy okres przechowywania danych osobowych, nie wynika z przepisów ustawy z dnia 14 lipca 1983 r. o narodowym zasobie archiwalnym i archiwach (Dz. U. z 2018 r. poz. 217, 357, 398 i 650) organy administracji architektoniczno-budowlanej i nadzoru budowlanego ustalają  okres ich przechowywania w przepisach wydawanych na podstawie art. 6 ust. 1 i 2 tej ustawy. Wprowadzono też zabezpieczenie w postaci nałożenia obowiązku dopuszczenia do przetwarzania danych osobowych wyłącznie osób posiadających pisemne upoważnienie wydane przez administratora oraz konieczności udzielania pisemnego zobowiązania osób upoważnionych do przetwarzania danych osobowych do zachowania ich w tajemnicy.</w:t>
      </w:r>
    </w:p>
    <w:p w14:paraId="4AE16EA4" w14:textId="4228429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wyraźnie wskazano, iż wystąpienie z żądaniem, o którym mowa w art. 18 ust. 1 </w:t>
      </w:r>
      <w:r w:rsidR="0071571F" w:rsidRPr="00375799">
        <w:rPr>
          <w:rFonts w:cstheme="minorHAnsi"/>
          <w:color w:val="000000" w:themeColor="text1"/>
          <w:sz w:val="24"/>
          <w:szCs w:val="24"/>
        </w:rPr>
        <w:t>RODO</w:t>
      </w:r>
      <w:r w:rsidRPr="00375799">
        <w:rPr>
          <w:rFonts w:cstheme="minorHAnsi"/>
          <w:color w:val="000000" w:themeColor="text1"/>
          <w:sz w:val="24"/>
          <w:szCs w:val="24"/>
        </w:rPr>
        <w:t xml:space="preserve"> (tj. prawo żądania przez osobę, której dane osobowe dotyczą, ograniczenia przetwarzania jej danych) nie wpływa na: </w:t>
      </w:r>
    </w:p>
    <w:p w14:paraId="4F97A2DF" w14:textId="1D90A8BA" w:rsidR="008706DD" w:rsidRPr="00375799" w:rsidRDefault="00B459F8"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1</w:t>
      </w:r>
      <w:r w:rsidR="008706DD" w:rsidRPr="00375799">
        <w:rPr>
          <w:rFonts w:cstheme="minorHAnsi"/>
          <w:color w:val="000000" w:themeColor="text1"/>
          <w:sz w:val="24"/>
          <w:szCs w:val="24"/>
        </w:rPr>
        <w:t>)</w:t>
      </w:r>
      <w:r w:rsidR="008706DD" w:rsidRPr="00375799">
        <w:rPr>
          <w:rFonts w:cstheme="minorHAnsi"/>
          <w:color w:val="000000" w:themeColor="text1"/>
          <w:sz w:val="24"/>
          <w:szCs w:val="24"/>
        </w:rPr>
        <w:tab/>
        <w:t xml:space="preserve">prowadzenie rejestrów i ewidencji, o których mowa w art. 82b ust. 1 i ust. 7, w art. 84 ust. 2 i w art. 88a ust. 1 pkt 3 ustawy, </w:t>
      </w:r>
    </w:p>
    <w:p w14:paraId="07502D8A" w14:textId="51A5AEAD" w:rsidR="008706DD" w:rsidRPr="00375799" w:rsidRDefault="00B459F8"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2</w:t>
      </w:r>
      <w:r w:rsidR="008706DD" w:rsidRPr="00375799">
        <w:rPr>
          <w:rFonts w:cstheme="minorHAnsi"/>
          <w:color w:val="000000" w:themeColor="text1"/>
          <w:sz w:val="24"/>
          <w:szCs w:val="24"/>
        </w:rPr>
        <w:t>)</w:t>
      </w:r>
      <w:r w:rsidR="008706DD" w:rsidRPr="00375799">
        <w:rPr>
          <w:rFonts w:cstheme="minorHAnsi"/>
          <w:color w:val="000000" w:themeColor="text1"/>
          <w:sz w:val="24"/>
          <w:szCs w:val="24"/>
        </w:rPr>
        <w:tab/>
        <w:t>przebieg i wynik postępowań, o których mowa w art. 97 ust. 1 ustawy (wszczynanie postępowań w sprawie odpowiedzialności zawodowej w budownictwie),</w:t>
      </w:r>
    </w:p>
    <w:p w14:paraId="29EFC985" w14:textId="5C2B0B25" w:rsidR="008706DD" w:rsidRPr="00375799" w:rsidRDefault="00B459F8"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3</w:t>
      </w:r>
      <w:r w:rsidR="008706DD" w:rsidRPr="00375799">
        <w:rPr>
          <w:rFonts w:cstheme="minorHAnsi"/>
          <w:color w:val="000000" w:themeColor="text1"/>
          <w:sz w:val="24"/>
          <w:szCs w:val="24"/>
        </w:rPr>
        <w:t>)</w:t>
      </w:r>
      <w:r w:rsidR="008706DD" w:rsidRPr="00375799">
        <w:rPr>
          <w:rFonts w:cstheme="minorHAnsi"/>
          <w:color w:val="000000" w:themeColor="text1"/>
          <w:sz w:val="24"/>
          <w:szCs w:val="24"/>
        </w:rPr>
        <w:tab/>
        <w:t xml:space="preserve">czynności związane z kontrolą przestrzegania i stosowania prawa budowlanego. </w:t>
      </w:r>
    </w:p>
    <w:p w14:paraId="6F12CA9B"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Powyższe ma na celu umożliwienie skutecznego i efektywnego wykonywania ww. zadań (uniemożliwienie wykorzystywania prawa do ograniczenia przetwarzania danych w celu przedłużania lub blokowania działań organów w ww. zakresie).</w:t>
      </w:r>
    </w:p>
    <w:p w14:paraId="3EF38D9A" w14:textId="0481B4E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przedmiotowej ustawie nie wprowadzono ograniczeń stosowania art. 21 ust. 1 </w:t>
      </w:r>
      <w:r w:rsidR="0071571F" w:rsidRPr="00375799">
        <w:rPr>
          <w:rFonts w:cstheme="minorHAnsi"/>
          <w:color w:val="000000" w:themeColor="text1"/>
          <w:sz w:val="24"/>
          <w:szCs w:val="24"/>
        </w:rPr>
        <w:t>RODO</w:t>
      </w:r>
      <w:r w:rsidR="0071571F" w:rsidRPr="00375799" w:rsidDel="0071571F">
        <w:rPr>
          <w:rFonts w:cstheme="minorHAnsi"/>
          <w:color w:val="000000" w:themeColor="text1"/>
          <w:sz w:val="24"/>
          <w:szCs w:val="24"/>
        </w:rPr>
        <w:t xml:space="preserve"> </w:t>
      </w:r>
      <w:r w:rsidRPr="00375799">
        <w:rPr>
          <w:rFonts w:cstheme="minorHAnsi"/>
          <w:color w:val="000000" w:themeColor="text1"/>
          <w:sz w:val="24"/>
          <w:szCs w:val="24"/>
        </w:rPr>
        <w:t>(tj. prawo osoby, której dane osobowe dotyczą do sprzeciwu wobec przetwarzania jej danych osobowych opartego na art. 6 ust.</w:t>
      </w:r>
      <w:r w:rsidR="00B459F8">
        <w:rPr>
          <w:rFonts w:cstheme="minorHAnsi"/>
          <w:color w:val="000000" w:themeColor="text1"/>
          <w:sz w:val="24"/>
          <w:szCs w:val="24"/>
        </w:rPr>
        <w:t xml:space="preserve"> </w:t>
      </w:r>
      <w:r w:rsidRPr="00375799">
        <w:rPr>
          <w:rFonts w:cstheme="minorHAnsi"/>
          <w:color w:val="000000" w:themeColor="text1"/>
          <w:sz w:val="24"/>
          <w:szCs w:val="24"/>
        </w:rPr>
        <w:t xml:space="preserve">1 lit. e lub f </w:t>
      </w:r>
      <w:r w:rsidR="0071571F" w:rsidRPr="00375799">
        <w:rPr>
          <w:rFonts w:cstheme="minorHAnsi"/>
          <w:color w:val="000000" w:themeColor="text1"/>
          <w:sz w:val="24"/>
          <w:szCs w:val="24"/>
        </w:rPr>
        <w:t>RODO</w:t>
      </w:r>
      <w:r w:rsidRPr="00375799">
        <w:rPr>
          <w:rFonts w:cstheme="minorHAnsi"/>
          <w:color w:val="000000" w:themeColor="text1"/>
          <w:sz w:val="24"/>
          <w:szCs w:val="24"/>
        </w:rPr>
        <w:t xml:space="preserve">), bowiem podstawą przetwarzania danych osobowych przez organy realizujące zadania wskazane w ww. ustawie jest art. 6 ust. 1 lit. c </w:t>
      </w:r>
      <w:r w:rsidR="0071571F" w:rsidRPr="00375799">
        <w:rPr>
          <w:rFonts w:cstheme="minorHAnsi"/>
          <w:color w:val="000000" w:themeColor="text1"/>
          <w:sz w:val="24"/>
          <w:szCs w:val="24"/>
        </w:rPr>
        <w:t>RODO</w:t>
      </w:r>
      <w:r w:rsidR="0071571F" w:rsidRPr="00375799" w:rsidDel="0071571F">
        <w:rPr>
          <w:rFonts w:cstheme="minorHAnsi"/>
          <w:color w:val="000000" w:themeColor="text1"/>
          <w:sz w:val="24"/>
          <w:szCs w:val="24"/>
        </w:rPr>
        <w:t xml:space="preserve"> </w:t>
      </w:r>
      <w:r w:rsidRPr="00375799">
        <w:rPr>
          <w:rFonts w:cstheme="minorHAnsi"/>
          <w:color w:val="000000" w:themeColor="text1"/>
          <w:sz w:val="24"/>
          <w:szCs w:val="24"/>
        </w:rPr>
        <w:t xml:space="preserve">(przetwarzanie jest niezbędne do wypełnienia obowiązku prawnego ciążącego na administratorze). Oznacza to, że art. 21 ust. 1 </w:t>
      </w:r>
      <w:r w:rsidR="0071571F" w:rsidRPr="00375799">
        <w:rPr>
          <w:rFonts w:cstheme="minorHAnsi"/>
          <w:color w:val="000000" w:themeColor="text1"/>
          <w:sz w:val="24"/>
          <w:szCs w:val="24"/>
        </w:rPr>
        <w:t>RODO</w:t>
      </w:r>
      <w:r w:rsidR="0071571F" w:rsidRPr="00375799" w:rsidDel="0071571F">
        <w:rPr>
          <w:rFonts w:cstheme="minorHAnsi"/>
          <w:color w:val="000000" w:themeColor="text1"/>
          <w:sz w:val="24"/>
          <w:szCs w:val="24"/>
        </w:rPr>
        <w:t xml:space="preserve"> </w:t>
      </w:r>
      <w:r w:rsidRPr="00375799">
        <w:rPr>
          <w:rFonts w:cstheme="minorHAnsi"/>
          <w:color w:val="000000" w:themeColor="text1"/>
          <w:sz w:val="24"/>
          <w:szCs w:val="24"/>
        </w:rPr>
        <w:t>nie ma wówczas zastosowania.</w:t>
      </w:r>
    </w:p>
    <w:p w14:paraId="1A0BC053" w14:textId="77777777" w:rsidR="000876B1" w:rsidRPr="00375799" w:rsidRDefault="000876B1" w:rsidP="0055107B">
      <w:pPr>
        <w:spacing w:after="0" w:line="276" w:lineRule="auto"/>
        <w:ind w:left="57" w:right="57"/>
        <w:contextualSpacing/>
        <w:jc w:val="both"/>
        <w:rPr>
          <w:rFonts w:cstheme="minorHAnsi"/>
          <w:color w:val="000000" w:themeColor="text1"/>
          <w:sz w:val="24"/>
          <w:szCs w:val="24"/>
        </w:rPr>
      </w:pPr>
    </w:p>
    <w:p w14:paraId="39A7D67D" w14:textId="2D04A879"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29" w:name="_Toc530565002"/>
      <w:r w:rsidRPr="00375799">
        <w:rPr>
          <w:rFonts w:asciiTheme="minorHAnsi" w:hAnsiTheme="minorHAnsi" w:cstheme="minorHAnsi"/>
          <w:color w:val="000000" w:themeColor="text1"/>
          <w:sz w:val="24"/>
          <w:szCs w:val="24"/>
        </w:rPr>
        <w:t xml:space="preserve">Ustawa z dnia 19 sierpnia 1994 r. o ochronie zdrowia psychicznego </w:t>
      </w:r>
      <w:r w:rsidR="00364B42" w:rsidRPr="00375799">
        <w:rPr>
          <w:rFonts w:asciiTheme="minorHAnsi" w:hAnsiTheme="minorHAnsi" w:cstheme="minorHAnsi"/>
          <w:color w:val="000000" w:themeColor="text1"/>
          <w:sz w:val="24"/>
          <w:szCs w:val="24"/>
        </w:rPr>
        <w:t>(Dz. U. z 201</w:t>
      </w:r>
      <w:r w:rsidR="000661CB">
        <w:rPr>
          <w:rFonts w:asciiTheme="minorHAnsi" w:hAnsiTheme="minorHAnsi" w:cstheme="minorHAnsi"/>
          <w:color w:val="000000" w:themeColor="text1"/>
          <w:sz w:val="24"/>
          <w:szCs w:val="24"/>
        </w:rPr>
        <w:t>8</w:t>
      </w:r>
      <w:r w:rsidR="00364B42" w:rsidRPr="00375799">
        <w:rPr>
          <w:rFonts w:asciiTheme="minorHAnsi" w:hAnsiTheme="minorHAnsi" w:cstheme="minorHAnsi"/>
          <w:color w:val="000000" w:themeColor="text1"/>
          <w:sz w:val="24"/>
          <w:szCs w:val="24"/>
        </w:rPr>
        <w:t xml:space="preserve"> r. poz. </w:t>
      </w:r>
      <w:r w:rsidR="000661CB">
        <w:rPr>
          <w:rFonts w:asciiTheme="minorHAnsi" w:hAnsiTheme="minorHAnsi" w:cstheme="minorHAnsi"/>
          <w:color w:val="000000" w:themeColor="text1"/>
          <w:sz w:val="24"/>
          <w:szCs w:val="24"/>
        </w:rPr>
        <w:t>1878</w:t>
      </w:r>
      <w:r w:rsidR="00364B42" w:rsidRPr="00375799">
        <w:rPr>
          <w:rFonts w:asciiTheme="minorHAnsi" w:hAnsiTheme="minorHAnsi" w:cstheme="minorHAnsi"/>
          <w:color w:val="000000" w:themeColor="text1"/>
          <w:sz w:val="24"/>
          <w:szCs w:val="24"/>
        </w:rPr>
        <w:t>)</w:t>
      </w:r>
      <w:bookmarkEnd w:id="29"/>
    </w:p>
    <w:p w14:paraId="76DC49C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C086037" w14:textId="15C0D04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Wprowadzone zmiany w ustawie z dnia 19 sierpnia 1994 r. o ochronie zdrowia psychicznego mają na celu wprowadzenie systemowej spójności przepisów tej ustawy i ustawy </w:t>
      </w:r>
      <w:r w:rsidRPr="00375799">
        <w:rPr>
          <w:rFonts w:cstheme="minorHAnsi"/>
          <w:color w:val="000000" w:themeColor="text1"/>
          <w:sz w:val="24"/>
          <w:szCs w:val="24"/>
        </w:rPr>
        <w:lastRenderedPageBreak/>
        <w:t>z dnia 6 listopada 2008 r. o prawach pacjenta i Rzeczniku Praw Pacjenta (Dz. U. z 2017 r. poz. 1318, z późn. zm.), w zakresie organu obowiązanego do ochrony praw osób korzystających ze świadczeń zdrowotnych udzielanych przez szpital psychiatryczny. W nowelizowanym art. 10b ust. 1 ustawy z dnia 19 sierpnia 1994 r. o ochronie zdrowia psychicznego, jednoznacznie stanowi się, że organem takim jest Rzecznik Praw Pacjenta, który realizuje swoje zadanie w szczególności przy pomocy Rzeczników Praw Pacjenta Szpitala Psychiatrycznego. Zgodnie z art. 42 ust. 1 ustawy z dnia 6 listopada 2008 r. o prawach pacjenta i Rzeczniku Praw Pacjenta, to Rzecznik Praw Pacjenta jest centralnym organem administracji rządowej właściwym w sprawach ochrony praw pacjentów, określonych w tej ustawie oraz w przepisach odrębnych. Natomiast, jak wynika z art. 10d ustawy z dnia 19 sierpnia 1994 r. o ochronie zdrowia psychicznego, Rzecznicy Praw Pacjenta Szpitala Psychiatrycznego, są jedynie pracownikami Biura Rzecznika Praw Pacjenta. W projektowanej zmianie art. 18e ust. 5 tej ustawy doprecyzowano przepisy o tzw. monitoringu wizyjnym.</w:t>
      </w:r>
    </w:p>
    <w:p w14:paraId="68600BE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47B56260" w14:textId="1859C89B"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30" w:name="_Toc530565003"/>
      <w:r w:rsidRPr="00375799">
        <w:rPr>
          <w:rFonts w:asciiTheme="minorHAnsi" w:hAnsiTheme="minorHAnsi" w:cstheme="minorHAnsi"/>
          <w:color w:val="000000" w:themeColor="text1"/>
          <w:sz w:val="24"/>
          <w:szCs w:val="24"/>
        </w:rPr>
        <w:t>Ustawa z dnia 27 października 1994 r. o autostradach płatnych oraz o Krajowym Funduszu Drogowym (Dz. U. z 201</w:t>
      </w:r>
      <w:r w:rsidR="000661CB">
        <w:rPr>
          <w:rFonts w:asciiTheme="minorHAnsi" w:hAnsiTheme="minorHAnsi" w:cstheme="minorHAnsi"/>
          <w:color w:val="000000" w:themeColor="text1"/>
          <w:sz w:val="24"/>
          <w:szCs w:val="24"/>
        </w:rPr>
        <w:t>8</w:t>
      </w:r>
      <w:r w:rsidRPr="00375799">
        <w:rPr>
          <w:rFonts w:asciiTheme="minorHAnsi" w:hAnsiTheme="minorHAnsi" w:cstheme="minorHAnsi"/>
          <w:color w:val="000000" w:themeColor="text1"/>
          <w:sz w:val="24"/>
          <w:szCs w:val="24"/>
        </w:rPr>
        <w:t xml:space="preserve"> r. poz. </w:t>
      </w:r>
      <w:r w:rsidR="000661CB">
        <w:rPr>
          <w:rFonts w:asciiTheme="minorHAnsi" w:hAnsiTheme="minorHAnsi" w:cstheme="minorHAnsi"/>
          <w:color w:val="000000" w:themeColor="text1"/>
          <w:sz w:val="24"/>
          <w:szCs w:val="24"/>
        </w:rPr>
        <w:t>2014</w:t>
      </w:r>
      <w:r w:rsidRPr="00375799">
        <w:rPr>
          <w:rFonts w:asciiTheme="minorHAnsi" w:hAnsiTheme="minorHAnsi" w:cstheme="minorHAnsi"/>
          <w:color w:val="000000" w:themeColor="text1"/>
          <w:sz w:val="24"/>
          <w:szCs w:val="24"/>
        </w:rPr>
        <w:t>)</w:t>
      </w:r>
      <w:bookmarkEnd w:id="30"/>
    </w:p>
    <w:p w14:paraId="148BE554"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w:t>
      </w:r>
    </w:p>
    <w:p w14:paraId="55E982EF" w14:textId="2C79D1D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Analogicznie jak to zaproponowano w przepisach ustawy o drogach publicznych regulujących pobór opłaty elektronicznej, w art. 37aa ust. 1 dodawanym w ustawie </w:t>
      </w:r>
      <w:r w:rsidR="001043FA">
        <w:rPr>
          <w:rFonts w:cstheme="minorHAnsi"/>
          <w:color w:val="000000" w:themeColor="text1"/>
          <w:sz w:val="24"/>
          <w:szCs w:val="24"/>
        </w:rPr>
        <w:t xml:space="preserve">z dnia 27 października 1994 r. </w:t>
      </w:r>
      <w:r w:rsidRPr="00375799">
        <w:rPr>
          <w:rFonts w:cstheme="minorHAnsi"/>
          <w:color w:val="000000" w:themeColor="text1"/>
          <w:sz w:val="24"/>
          <w:szCs w:val="24"/>
        </w:rPr>
        <w:t xml:space="preserve">o autostradach płatnych oraz o Krajowym Funduszu Drogowym, określa się zasady wykonywania obowiązków informacyjnych, o których mowa w art. 13 ust. 1 i 2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przez podmioty pobierające opłaty za przejazd autostradą. Po pierwsze, przesądza się, że przedmiotowe obowiązki wykonuje się przy pierwszej czynności skierowanej do osoby, której dane osobowe są przetwarzane. Przedmiotowy przepis jest niezbędny z tego powodu, że w omawianej procedurze nie stosuje się przepisów Kpa. Konieczne jest wprowadzenie w powyższym zakresie rozwiązań analogicznych do tych, które projektodawca proponuje uregulować w Kpa, tak aby zapewnić spójność krajowego systemu prawnego w zakresie realizacji obowiązków informacyjnych z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przez organy administracji publicznej. Po drugie, projektodawca uważa za bezwzględnie konieczne, aby ww. informacje znalazły się również na stronie internetowej zawierającej informacje dotyczące poboru opłat za przejazd autostradą. Przedmiotowe rozwiązanie ma na celu zapewnienie szerokiego dostępu do omawianych informacji dla wszystkich użytkowników, którzy korzystają z autostrad płatnych na terytorium RP.</w:t>
      </w:r>
    </w:p>
    <w:p w14:paraId="7A50E63C" w14:textId="786D788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 2 dodawanym w art. 37aa ustawy </w:t>
      </w:r>
      <w:r w:rsidR="001043FA">
        <w:rPr>
          <w:rFonts w:cstheme="minorHAnsi"/>
          <w:color w:val="000000" w:themeColor="text1"/>
          <w:sz w:val="24"/>
          <w:szCs w:val="24"/>
        </w:rPr>
        <w:t xml:space="preserve">z dnia 27 października 1994 r. </w:t>
      </w:r>
      <w:r w:rsidRPr="00375799">
        <w:rPr>
          <w:rFonts w:cstheme="minorHAnsi"/>
          <w:color w:val="000000" w:themeColor="text1"/>
          <w:sz w:val="24"/>
          <w:szCs w:val="24"/>
        </w:rPr>
        <w:t xml:space="preserve">o autostradach płatnych oraz o Krajowym Funduszu Drogowym, analogicznie jak w przypadku opłaty elektronicznej, wprowadza się regulację wskazującą, że wystąpienie z żądaniem do ograniczenia przetwarzania danych osobowych, o którym mowa w art. 18 ust. 1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przez osobę, której dane dotyczą, nie wpływa na obowiązek wniesienia opłaty za przejazd autostradą. Uzasadnienie przedmiotowego przepisu jest przy tym identyczne do tego jakie przedstawiono przy zmianach wprowadzanych w ustawie o drogach publicznych w odniesieniu </w:t>
      </w:r>
      <w:r w:rsidRPr="00375799">
        <w:rPr>
          <w:rFonts w:cstheme="minorHAnsi"/>
          <w:color w:val="000000" w:themeColor="text1"/>
          <w:sz w:val="24"/>
          <w:szCs w:val="24"/>
        </w:rPr>
        <w:lastRenderedPageBreak/>
        <w:t xml:space="preserve">do przepisów regulujących pobór opłat za korzystanie z dróg krajowych. Również w tym przypadku nie ma konieczności wprowadzenia do omawianego przepisu regulacji, która dotyczyłaby prawa do sprzeciwu, o którym mowa w art. 21 ust. 1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Obowiązek poboru opłaty za przejazd autostradą wynika bowiem bezpośrednio z art. 37a ust. 1 i 1a ustawy </w:t>
      </w:r>
      <w:r w:rsidR="001043FA">
        <w:rPr>
          <w:rFonts w:cstheme="minorHAnsi"/>
          <w:color w:val="000000" w:themeColor="text1"/>
          <w:sz w:val="24"/>
          <w:szCs w:val="24"/>
        </w:rPr>
        <w:t xml:space="preserve">z dnia 27 października 1994 r. </w:t>
      </w:r>
      <w:r w:rsidRPr="00375799">
        <w:rPr>
          <w:rFonts w:cstheme="minorHAnsi"/>
          <w:color w:val="000000" w:themeColor="text1"/>
          <w:sz w:val="24"/>
          <w:szCs w:val="24"/>
        </w:rPr>
        <w:t xml:space="preserve">o autostradach płatnych oraz o Krajowym Funduszu Drogowym. Oznacza to, że w przedmiotowym przypadku przetwarzanie danych osobowych odbywa się na podstawie art. 6 ust. 1 lit. c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i prawo do sprzeciwu nie przysługuje. </w:t>
      </w:r>
    </w:p>
    <w:p w14:paraId="0C9D7CB8" w14:textId="6B69933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art. 37ab ustawy </w:t>
      </w:r>
      <w:r w:rsidR="001043FA">
        <w:rPr>
          <w:rFonts w:cstheme="minorHAnsi"/>
          <w:color w:val="000000" w:themeColor="text1"/>
          <w:sz w:val="24"/>
          <w:szCs w:val="24"/>
        </w:rPr>
        <w:t xml:space="preserve">z dnia 27 października 1994 r. </w:t>
      </w:r>
      <w:r w:rsidRPr="00375799">
        <w:rPr>
          <w:rFonts w:cstheme="minorHAnsi"/>
          <w:color w:val="000000" w:themeColor="text1"/>
          <w:sz w:val="24"/>
          <w:szCs w:val="24"/>
        </w:rPr>
        <w:t>o autostradach płatnych oraz o Krajowym Funduszu Drogowym wprowadza się regulacje dotyczące trybu udostępniania uprawnionym organom państwa danych osobowych zgromadzonych w związku z poborem opłat za przejazd autostradą. Uzasadnienie dla wprowadzenia przedmiotowych przepisów jest analogiczne do tego, które przedstawiono w uzasadnieniu do art. 20h ustawy o drogach publicznych, dotyczącym udostępniania danych osobowych przetwarzanych m.in. w związku z poborem opłaty elektronicznej.</w:t>
      </w:r>
    </w:p>
    <w:p w14:paraId="10C64822" w14:textId="0DA49FE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Kolejne zmiany w ustawie </w:t>
      </w:r>
      <w:r w:rsidR="001043FA">
        <w:rPr>
          <w:rFonts w:cstheme="minorHAnsi"/>
          <w:color w:val="000000" w:themeColor="text1"/>
          <w:sz w:val="24"/>
          <w:szCs w:val="24"/>
        </w:rPr>
        <w:t xml:space="preserve">z dnia 27 października 1994 r. </w:t>
      </w:r>
      <w:r w:rsidRPr="00375799">
        <w:rPr>
          <w:rFonts w:cstheme="minorHAnsi"/>
          <w:color w:val="000000" w:themeColor="text1"/>
          <w:sz w:val="24"/>
          <w:szCs w:val="24"/>
        </w:rPr>
        <w:t xml:space="preserve">o autostradach płatnych oraz o Krajowym Funduszu Drogowym proponuje się w art. 63d, który reguluje kwestię kontroli budowy i eksploatacji autostrady w zakresie przestrzegania warunków umowy o budowę i eksploatację autostrady. </w:t>
      </w:r>
    </w:p>
    <w:p w14:paraId="21C9F70D" w14:textId="65D4CC1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pierwszej kolejności dodaje się ust. 5, w którym wyraźnie wskazano, że w przypadku przetwarzania danych osobowych w związku z prowadzoną kontrolą, organ kontrolny realizuje obowiązki, o których mowa w art. 13 ust. 1 i 2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przy pierwszej czynności skierowanej do tej osoby. Przedmiotowy przepis jest niezbędny z tego powodu, że w omawianej procedurze kontrolnej nie stosuje się przepisów Kpa. Konieczne jest wprowadzenie w powyższym zakresie rozwiązań analogicznych do tych, które projektodawca proponuje uregulować w Kpa, tak aby zapewnić spójność krajowego systemu prawnego w zakresie realizacji obowiązków informacyjnych z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przez organy administracji publicznej.</w:t>
      </w:r>
    </w:p>
    <w:p w14:paraId="5C177820" w14:textId="31816E2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Oprócz tego dodaje się ust. 6, w którym wprowadza się regulację wskazującą, że wystąpienie z żądaniem do ograniczenia przetwarzania danych osobowych, o którym mowa w art. 18 ust. 1 </w:t>
      </w:r>
      <w:r w:rsidR="00EC0F13" w:rsidRPr="00375799">
        <w:rPr>
          <w:rFonts w:cstheme="minorHAnsi"/>
          <w:color w:val="000000" w:themeColor="text1"/>
          <w:sz w:val="24"/>
          <w:szCs w:val="24"/>
        </w:rPr>
        <w:t>RODO</w:t>
      </w:r>
      <w:r w:rsidRPr="00375799">
        <w:rPr>
          <w:rFonts w:cstheme="minorHAnsi"/>
          <w:color w:val="000000" w:themeColor="text1"/>
          <w:sz w:val="24"/>
          <w:szCs w:val="24"/>
        </w:rPr>
        <w:t>, przez osobę, której dane dotyczą, nie wpływa na uprawnienia Generalnego Dyrektora Dróg Krajowych i Autostrad oraz drogowej spółki specjalnego przeznaczenia, przysługujące tym podmiotom na mocy art. 63d ust. 1</w:t>
      </w:r>
      <w:r w:rsidR="00B459F8">
        <w:rPr>
          <w:rFonts w:cstheme="minorHAnsi"/>
          <w:color w:val="000000" w:themeColor="text1"/>
          <w:sz w:val="24"/>
          <w:szCs w:val="24"/>
        </w:rPr>
        <w:t>–</w:t>
      </w:r>
      <w:r w:rsidRPr="00375799">
        <w:rPr>
          <w:rFonts w:cstheme="minorHAnsi"/>
          <w:color w:val="000000" w:themeColor="text1"/>
          <w:sz w:val="24"/>
          <w:szCs w:val="24"/>
        </w:rPr>
        <w:t xml:space="preserve">4 ustawy o autostradach płatnych oraz o Krajowym Funduszu Drogowym. Uprawnienia te obejmują nie tylko prawo do kontroli przestrzegania warunków umowy o budowę i eksploatację albo wyłącznie eksploatację autostrady, lecz również wezwanie spółki do usunięcia, w wyznaczonym terminie, stwierdzonych nieprawidłowości, a nawet do wypowiedzenia umowy o budowę i eksploatację autostrady albo wyłącznie eksploatację autostrady. Omawiany przepis ust. 6 nie jest ograniczeniem stosowania przepisów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w rozumieniu jego art. 23 ust. 1, lecz jasno wskazuje, że realizacja praw związanych z ochroną danych osobowych odbywa się niezależnie od ww. uprawnień wykonywanych przez Generalnego Dyrektora Dróg Krajowych i Autostrad oraz drogową spółkę specjalnego przeznaczenia. Zainteresowana osoba </w:t>
      </w:r>
      <w:r w:rsidRPr="00375799">
        <w:rPr>
          <w:rFonts w:cstheme="minorHAnsi"/>
          <w:color w:val="000000" w:themeColor="text1"/>
          <w:sz w:val="24"/>
          <w:szCs w:val="24"/>
        </w:rPr>
        <w:lastRenderedPageBreak/>
        <w:t xml:space="preserve">ma więc prawo do skorzystania z prawa, o którym mowa w art. 18 ust. 1 </w:t>
      </w:r>
      <w:r w:rsidR="00EC0F13" w:rsidRPr="00375799">
        <w:rPr>
          <w:rFonts w:cstheme="minorHAnsi"/>
          <w:color w:val="000000" w:themeColor="text1"/>
          <w:sz w:val="24"/>
          <w:szCs w:val="24"/>
        </w:rPr>
        <w:t>RODO</w:t>
      </w:r>
      <w:r w:rsidRPr="00375799">
        <w:rPr>
          <w:rFonts w:cstheme="minorHAnsi"/>
          <w:color w:val="000000" w:themeColor="text1"/>
          <w:sz w:val="24"/>
          <w:szCs w:val="24"/>
        </w:rPr>
        <w:t>, ale nie skutkuje to pozbawieniem możliwości wykonywania uprawnień określonych w art. 63d ust. 1</w:t>
      </w:r>
      <w:r w:rsidR="00B459F8">
        <w:rPr>
          <w:rFonts w:cstheme="minorHAnsi"/>
          <w:color w:val="000000" w:themeColor="text1"/>
          <w:sz w:val="24"/>
          <w:szCs w:val="24"/>
        </w:rPr>
        <w:t>–</w:t>
      </w:r>
      <w:r w:rsidRPr="00375799">
        <w:rPr>
          <w:rFonts w:cstheme="minorHAnsi"/>
          <w:color w:val="000000" w:themeColor="text1"/>
          <w:sz w:val="24"/>
          <w:szCs w:val="24"/>
        </w:rPr>
        <w:t xml:space="preserve">4 ustawy </w:t>
      </w:r>
      <w:r w:rsidR="001043FA">
        <w:rPr>
          <w:rFonts w:cstheme="minorHAnsi"/>
          <w:color w:val="000000" w:themeColor="text1"/>
          <w:sz w:val="24"/>
          <w:szCs w:val="24"/>
        </w:rPr>
        <w:t xml:space="preserve">z dnia 27 października 1994 r. </w:t>
      </w:r>
      <w:r w:rsidRPr="00375799">
        <w:rPr>
          <w:rFonts w:cstheme="minorHAnsi"/>
          <w:color w:val="000000" w:themeColor="text1"/>
          <w:sz w:val="24"/>
          <w:szCs w:val="24"/>
        </w:rPr>
        <w:t>o autostradach płatnych oraz o Krajowym Funduszu Drogowym przez podmioty wskazane w tych przepisach.</w:t>
      </w:r>
    </w:p>
    <w:p w14:paraId="0B684BA1" w14:textId="4D6C3E3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Zastrzec w tym miejscu należy, że nie jest konieczne wprowadzenie do powyższego przepisu analogicznej regulacji, która dotyczyłaby prawa do sprzeciwu, o którym mowa w art. 21 ust. 1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Sprzeciw ten przysługuje bowiem wyłącznie w przypadku gdy przetwarzanie danych osobowych odbywa się na podstawie art. 6 ust. 1 lit. e lub f </w:t>
      </w:r>
      <w:r w:rsidR="00EC0F13" w:rsidRPr="00375799">
        <w:rPr>
          <w:rFonts w:cstheme="minorHAnsi"/>
          <w:color w:val="000000" w:themeColor="text1"/>
          <w:sz w:val="24"/>
          <w:szCs w:val="24"/>
        </w:rPr>
        <w:t>RODO</w:t>
      </w:r>
      <w:r w:rsidRPr="00375799">
        <w:rPr>
          <w:rFonts w:cstheme="minorHAnsi"/>
          <w:color w:val="000000" w:themeColor="text1"/>
          <w:sz w:val="24"/>
          <w:szCs w:val="24"/>
        </w:rPr>
        <w:t>. Tymczasem przetwarzanie danych osobowych w zakresie niezbędnym do wykonywania zadań określonych w art. 63d ust. 1</w:t>
      </w:r>
      <w:r w:rsidR="00B459F8">
        <w:rPr>
          <w:rFonts w:cstheme="minorHAnsi"/>
          <w:color w:val="000000" w:themeColor="text1"/>
          <w:sz w:val="24"/>
          <w:szCs w:val="24"/>
        </w:rPr>
        <w:t>–</w:t>
      </w:r>
      <w:r w:rsidRPr="00375799">
        <w:rPr>
          <w:rFonts w:cstheme="minorHAnsi"/>
          <w:color w:val="000000" w:themeColor="text1"/>
          <w:sz w:val="24"/>
          <w:szCs w:val="24"/>
        </w:rPr>
        <w:t xml:space="preserve">4 ustawy </w:t>
      </w:r>
      <w:r w:rsidR="001043FA">
        <w:rPr>
          <w:rFonts w:cstheme="minorHAnsi"/>
          <w:color w:val="000000" w:themeColor="text1"/>
          <w:sz w:val="24"/>
          <w:szCs w:val="24"/>
        </w:rPr>
        <w:t xml:space="preserve">z dnia 27 października 1994 r. </w:t>
      </w:r>
      <w:r w:rsidRPr="00375799">
        <w:rPr>
          <w:rFonts w:cstheme="minorHAnsi"/>
          <w:color w:val="000000" w:themeColor="text1"/>
          <w:sz w:val="24"/>
          <w:szCs w:val="24"/>
        </w:rPr>
        <w:t xml:space="preserve">o autostradach płatnych oraz o Krajowym Funduszu Drogowym ma miejsce na podstawie art. 6 ust. 1 lit. c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to znaczy jest niezbędne do wypełnienia obowiązku prawnego ciążącego na administratorze. W konsekwencji, przy przetwarzaniu danych osobowych na tej podstawie prawo do sprzeciwu nie przysługuje i nie ma potrzeby wskazywania w przepisach ustawy </w:t>
      </w:r>
      <w:r w:rsidR="001043FA">
        <w:rPr>
          <w:rFonts w:cstheme="minorHAnsi"/>
          <w:color w:val="000000" w:themeColor="text1"/>
          <w:sz w:val="24"/>
          <w:szCs w:val="24"/>
        </w:rPr>
        <w:t xml:space="preserve">z dnia 27 października 1994 r. </w:t>
      </w:r>
      <w:r w:rsidRPr="00375799">
        <w:rPr>
          <w:rFonts w:cstheme="minorHAnsi"/>
          <w:color w:val="000000" w:themeColor="text1"/>
          <w:sz w:val="24"/>
          <w:szCs w:val="24"/>
        </w:rPr>
        <w:t>o autostradach płatnych oraz o Krajowym Funduszu Drogowym, że skorzystanie z tego prawa nie wpływa na realizację zadań przez Generalnego Dyrektora Dróg Krajowych i Autostrad oraz drogową spółkę specjalnego przeznaczenia.</w:t>
      </w:r>
    </w:p>
    <w:p w14:paraId="3B2A1776" w14:textId="77777777" w:rsidR="00F45409" w:rsidRPr="00375799" w:rsidRDefault="00F45409" w:rsidP="0055107B">
      <w:pPr>
        <w:spacing w:after="0" w:line="276" w:lineRule="auto"/>
        <w:ind w:left="57" w:right="57"/>
        <w:contextualSpacing/>
        <w:jc w:val="both"/>
        <w:rPr>
          <w:rFonts w:cstheme="minorHAnsi"/>
          <w:color w:val="000000" w:themeColor="text1"/>
          <w:sz w:val="24"/>
          <w:szCs w:val="24"/>
        </w:rPr>
      </w:pPr>
    </w:p>
    <w:p w14:paraId="58D2D7A4" w14:textId="5D7CE8D5"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31" w:name="_Toc530565004"/>
      <w:r w:rsidRPr="00375799">
        <w:rPr>
          <w:rFonts w:asciiTheme="minorHAnsi" w:hAnsiTheme="minorHAnsi" w:cstheme="minorHAnsi"/>
          <w:color w:val="000000" w:themeColor="text1"/>
          <w:sz w:val="24"/>
          <w:szCs w:val="24"/>
        </w:rPr>
        <w:t>Ustawa</w:t>
      </w:r>
      <w:r w:rsidR="00202A53" w:rsidRPr="00375799">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 xml:space="preserve">z dnia 29 czerwca 1995 r. o statystyce publicznej </w:t>
      </w:r>
      <w:r w:rsidR="00364B42" w:rsidRPr="00375799">
        <w:rPr>
          <w:rFonts w:asciiTheme="minorHAnsi" w:hAnsiTheme="minorHAnsi" w:cstheme="minorHAnsi"/>
          <w:color w:val="000000" w:themeColor="text1"/>
          <w:sz w:val="24"/>
          <w:szCs w:val="24"/>
        </w:rPr>
        <w:t>(Dz. U. z 2018 r. poz. 997, 1000</w:t>
      </w:r>
      <w:r w:rsidR="000661CB">
        <w:rPr>
          <w:rFonts w:asciiTheme="minorHAnsi" w:hAnsiTheme="minorHAnsi" w:cstheme="minorHAnsi"/>
          <w:color w:val="000000" w:themeColor="text1"/>
          <w:sz w:val="24"/>
          <w:szCs w:val="24"/>
        </w:rPr>
        <w:t>, 1629</w:t>
      </w:r>
      <w:r w:rsidR="00364B42" w:rsidRPr="00375799">
        <w:rPr>
          <w:rFonts w:asciiTheme="minorHAnsi" w:hAnsiTheme="minorHAnsi" w:cstheme="minorHAnsi"/>
          <w:color w:val="000000" w:themeColor="text1"/>
          <w:sz w:val="24"/>
          <w:szCs w:val="24"/>
        </w:rPr>
        <w:t xml:space="preserve"> i 1669)</w:t>
      </w:r>
      <w:bookmarkEnd w:id="31"/>
    </w:p>
    <w:p w14:paraId="2BA79D4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8485E97" w14:textId="7136F62E"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Projektowana nowelizacja ustawy z dnia 29 czerwca 1995 r. o statystyce publicznej, zwanej dalej „ustawą” lub „ustawą o statystyce publicznej”, ma przede wszystkim za zadanie dostosowanie przepisów ustawy do wymogów zasad przetwarzania danych osobowych, wprowadzonych przepisami </w:t>
      </w:r>
      <w:r w:rsidR="00EC0F13" w:rsidRPr="00375799">
        <w:rPr>
          <w:rFonts w:cstheme="minorHAnsi"/>
          <w:color w:val="000000" w:themeColor="text1"/>
          <w:sz w:val="24"/>
          <w:szCs w:val="24"/>
        </w:rPr>
        <w:t>RODO</w:t>
      </w:r>
      <w:r w:rsidRPr="00375799">
        <w:rPr>
          <w:rFonts w:cstheme="minorHAnsi"/>
          <w:color w:val="000000" w:themeColor="text1"/>
          <w:sz w:val="24"/>
          <w:szCs w:val="24"/>
        </w:rPr>
        <w:t>.</w:t>
      </w:r>
    </w:p>
    <w:p w14:paraId="6B61A57D" w14:textId="648F3041"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tym celu została dokonana analiza obowiązujących przepisów ustawy w zakresie zasad przetwarzania danych osobowych dla celów statystycznych, zawartych w rozdziale 4a ustawy oraz w jej przepisach ogólnych. W konsekwencji konieczne okazało się przeprowadzenie szeregu zmian, tak aby wprowadzone rozwiązania legislacyjne, wynikające z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były spójne i miały zastosowanie do całokształtu działań służb statystyki publicznej. </w:t>
      </w:r>
    </w:p>
    <w:p w14:paraId="1C169610" w14:textId="643B1D08"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przypadku statystyki publicznej dane osobowe stanowią część zbieranych, opracowywanych, gromadzonych i przechowywanych danych statystycznych. Dane osobowe, tak samo jak inne dane, z chwilą ich zebrania przez służby statystyki publicznej, stają się danymi statystycznymi i są objęte tajemnicą statystyczną. Tajemnica statystyczna jest określona w art. 10 ustawy i gwarantuje pełną poufność zebranych danych. Jednakże z uwagi na postanowienia </w:t>
      </w:r>
      <w:r w:rsidR="00EC0F13" w:rsidRPr="00375799">
        <w:rPr>
          <w:rFonts w:cstheme="minorHAnsi"/>
          <w:color w:val="000000" w:themeColor="text1"/>
          <w:sz w:val="24"/>
          <w:szCs w:val="24"/>
        </w:rPr>
        <w:t>RODO</w:t>
      </w:r>
      <w:r w:rsidR="00EC0F13" w:rsidRPr="00375799" w:rsidDel="00EC0F13">
        <w:rPr>
          <w:rFonts w:cstheme="minorHAnsi"/>
          <w:color w:val="000000" w:themeColor="text1"/>
          <w:sz w:val="24"/>
          <w:szCs w:val="24"/>
        </w:rPr>
        <w:t xml:space="preserve"> </w:t>
      </w:r>
      <w:r w:rsidRPr="00375799">
        <w:rPr>
          <w:rFonts w:cstheme="minorHAnsi"/>
          <w:color w:val="000000" w:themeColor="text1"/>
          <w:sz w:val="24"/>
          <w:szCs w:val="24"/>
        </w:rPr>
        <w:t xml:space="preserve">konieczne stało się szersze ujęcie zmian. </w:t>
      </w:r>
    </w:p>
    <w:p w14:paraId="29879BC9"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Wprowadzone zmiany obejmują: przepisy dotyczące przetwarzania danych osobowych, na które składają się zmiany w obowiązującym rozdziale 4a, w przepisach ogólnych, wprowadzenie nowego rozdziału 5a oraz zmiany wynikowe związane z zamieszczeniem w ustawie przepisów projektowanej nowelizacji. </w:t>
      </w:r>
    </w:p>
    <w:p w14:paraId="52703BCB"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W pkt 1 wprowadzającym zmiany w art. 2 ustawy o statystyce publicznej, modyfikacji w stosunku do obecnie obowiązujących definicji uległy definicje danych statystycznych i operatu do badań statystycznych. Definicja osoby fizycznej prowadzącej działalność gospodarczą została przeniesiona z art. 42 ust. 2 ustawy. Wprowadzenie nowej definicji niepublicznych systemów informacyjnych wynika ze wskazania tych systemów jako jednego ze źródeł danych, z których statystyka publiczna może zbierać dane, jeżeli jest to konieczne w celu realizacji zadań ustawowych. Związane jest to również z faktem, że zgodnie z obowiązującym art. 13 ust. 5 i art. 18 ust. 3 ustawy służby statystyki publicznej są obowiązane do wykorzystywania danych już zgromadzonych i przechowywanych w istniejących rejestrach i systemach informacyjnych prowadzonych przez różnego rodzaju podmioty i organy. Możliwość pozyskiwania danych z tych systemów stanowić będzie istotne źródło danych ze względu na ich duży wpływ na efektywny proces tworzenia oficjalnych statystyk. Korzyści z wykorzystania danych z niepublicznych systemów informacyjnych wyrażają się w:</w:t>
      </w:r>
    </w:p>
    <w:p w14:paraId="36B2C96B"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p>
    <w:p w14:paraId="03E5CC37" w14:textId="4C9C8319"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1) redukcji obciążeń administracyjnych </w:t>
      </w:r>
      <w:r w:rsidR="00B459F8">
        <w:rPr>
          <w:rFonts w:cstheme="minorHAnsi"/>
          <w:color w:val="000000" w:themeColor="text1"/>
          <w:sz w:val="24"/>
          <w:szCs w:val="24"/>
        </w:rPr>
        <w:t>–</w:t>
      </w:r>
      <w:r w:rsidRPr="00375799">
        <w:rPr>
          <w:rFonts w:cstheme="minorHAnsi"/>
          <w:color w:val="000000" w:themeColor="text1"/>
          <w:sz w:val="24"/>
          <w:szCs w:val="24"/>
        </w:rPr>
        <w:t xml:space="preserve"> zmniejszeniu obciążeń respondentów obowiązkami związanymi z dostarczaniem informacji dla statystyki: ograniczenie zakresu i częstotliwości zbieranych danych bezpośrednio od respondentów,</w:t>
      </w:r>
    </w:p>
    <w:p w14:paraId="21D81241" w14:textId="2B5E473A"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2) większej elastyczności i szybszej reakcji na nowe potrzeby informacyjne użytkowników </w:t>
      </w:r>
      <w:r w:rsidR="00B459F8">
        <w:rPr>
          <w:rFonts w:cstheme="minorHAnsi"/>
          <w:color w:val="000000" w:themeColor="text1"/>
          <w:sz w:val="24"/>
          <w:szCs w:val="24"/>
        </w:rPr>
        <w:t>–</w:t>
      </w:r>
      <w:r w:rsidRPr="00375799">
        <w:rPr>
          <w:rFonts w:cstheme="minorHAnsi"/>
          <w:color w:val="000000" w:themeColor="text1"/>
          <w:sz w:val="24"/>
          <w:szCs w:val="24"/>
        </w:rPr>
        <w:t xml:space="preserve"> dostarczaniu informacji adekwatnych do ich potrzeb (zakresu informacyjnego, </w:t>
      </w:r>
      <w:proofErr w:type="spellStart"/>
      <w:r w:rsidRPr="00375799">
        <w:rPr>
          <w:rFonts w:cstheme="minorHAnsi"/>
          <w:color w:val="000000" w:themeColor="text1"/>
          <w:sz w:val="24"/>
          <w:szCs w:val="24"/>
        </w:rPr>
        <w:t>dezagregacji</w:t>
      </w:r>
      <w:proofErr w:type="spellEnd"/>
      <w:r w:rsidRPr="00375799">
        <w:rPr>
          <w:rFonts w:cstheme="minorHAnsi"/>
          <w:color w:val="000000" w:themeColor="text1"/>
          <w:sz w:val="24"/>
          <w:szCs w:val="24"/>
        </w:rPr>
        <w:t xml:space="preserve"> przestrzennej i dziedzinowej),</w:t>
      </w:r>
    </w:p>
    <w:p w14:paraId="79410AE5"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 poprawie efektywności tworzenia statystyk,</w:t>
      </w:r>
    </w:p>
    <w:p w14:paraId="4F4BF7BD"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4) zwiększeniu dokładności danych wynikowych, oszacowań,</w:t>
      </w:r>
    </w:p>
    <w:p w14:paraId="306BF3F0" w14:textId="5ADF3A2F"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5) zwiększeniu aktualności danych wynikowych </w:t>
      </w:r>
      <w:r w:rsidR="00B459F8">
        <w:rPr>
          <w:rFonts w:cstheme="minorHAnsi"/>
          <w:color w:val="000000" w:themeColor="text1"/>
          <w:sz w:val="24"/>
          <w:szCs w:val="24"/>
        </w:rPr>
        <w:t>–</w:t>
      </w:r>
      <w:r w:rsidRPr="00375799">
        <w:rPr>
          <w:rFonts w:cstheme="minorHAnsi"/>
          <w:color w:val="000000" w:themeColor="text1"/>
          <w:sz w:val="24"/>
          <w:szCs w:val="24"/>
        </w:rPr>
        <w:t xml:space="preserve"> skróceniu czasu przetwarzania danych,</w:t>
      </w:r>
    </w:p>
    <w:p w14:paraId="387A15B4"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6) możliwości rezygnacji z tradycyjnego zbierania danych na formularzach statystycznych w całości lub części.</w:t>
      </w:r>
    </w:p>
    <w:p w14:paraId="3E9F7A39"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ocenie projektodawcy wskazane korzyści przeważają nałożone na przedsiębiorców obciążenia związane z przekazywaniem danych z niepublicznych systemów informacyjnych na potrzeby statystyki publicznej. </w:t>
      </w:r>
    </w:p>
    <w:p w14:paraId="0720C2C3"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Warto podkreślić, że wykorzystywanie danych z tego typu źródeł informacji miało już miejsce w przypadku narodowego spisu powszechnego ludności i mieszkań w 2011 r. Wówczas wykorzystywane były dane, będące w posiadaniu zarządców zasobów mieszkaniowych, przedsiębiorców wykonujących działalność gospodarczą w zakresie sprzedaży energii elektrycznej oraz dostawców publicznie dostępnych usług telekomunikacyjnych. Ich wartość informacyjna pozwala na traktowanie ich jako cennych źródeł informacji wykorzystywanych do celów statystycznych. </w:t>
      </w:r>
    </w:p>
    <w:p w14:paraId="0EDC7574"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pkt 2 wprowadzone zostało nowe brzmienie art. 5 w celu jednoznacznego wskazania działań wykonywanych przez służby statystyki publicznej w związku z realizowaniem zadań określonych w ustawie. Podkreślona została funkcjonująca zasada nieodpłatnego dostępu do danych i ich przekazywania do celów statystycznych przez podmioty obowiązane, co koreluje z </w:t>
      </w:r>
      <w:r w:rsidRPr="00375799">
        <w:rPr>
          <w:rFonts w:cstheme="minorHAnsi"/>
          <w:color w:val="000000" w:themeColor="text1"/>
          <w:sz w:val="24"/>
          <w:szCs w:val="24"/>
        </w:rPr>
        <w:lastRenderedPageBreak/>
        <w:t xml:space="preserve">rozstrzygnięciami przewidzianymi przez ustawodawcę w obowiązujących przepisach art. 13 ust. 1 oraz art. 53 ustawy. </w:t>
      </w:r>
    </w:p>
    <w:p w14:paraId="3A92A8F9" w14:textId="40C80D2B"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pkt 3 w dodawanym art. 5a wskazane zostały źródła danych wykorzystywanych przez służby statystyki publicznej. W art. 5a ust. 1 został przeniesiony z aktualnie obowiązującego art. 5 ust. 1 pkt 1. Natomiast ust. 2 i 3 odnoszą się do źródeł danych wykorzystywanych do celów służb statystyki publicznej. Przepisy porządkują i określają źródła danych. Zakłada się, że głównymi źródłami danych, wykorzystywanych do celów statystycznych będą rejestry urzędowe i systemy informacyjne administracji publicznej, następnie niepubliczne systemy informacyjne i dane pozyskiwane bezpośrednio od respondentów. Działanie takie związane jest z dążeniem służb statystyki publicznej do redukcji obciążeń informacyjnych respondentów na rzecz wykorzystywania danych już znajdujących się w systemach informacyjnych i rejestrach publicznych i niepublicznych. Jednocześnie, mając na względzie konieczność zapewnienia rzetelnego, obiektywnego i systematycznego informowania o sytuacji ekonomicznej, demograficznej, społecznej oraz środowiska naturalnego projektodawca odniósł się również do źródeł danych, które pojawiają się w wyniku stałego i postępującego rozwoju technologicznego oraz rozwoju sposobów eksplorowania informacji będących jego efektem i narzędzi umożliwiających analizę tych danych. Należy mieć na względzie, że ustawodawca pozostawia otwarty krąg tematów badań statystycznych, wskazując w art. 4 ustawy, że badania statystyczne mogą dotyczyć każdej dziedziny życia społecznego i gospodarczego oraz występujących w nim zjawisk dających się obserwować i analizować z wykorzystaniem metod statystycznych. Tym samym konieczne jest zapewnienie możliwości faktycznej realizacji ustawowych zadań służb statystyki publicznej. A jednocześnie wykorzystywanie nowych źródeł informacji może mieć wpływ na redukcję obciążeń informacyjnych respondentów, która to przesłanka była już powyżej wskazana. Z kolei ust. 5 projektowanego art. 5a precyzuje format przekazywanych lub udostępnianych danych, odwołując się w tym zakresie do obowiązującego przepisu art. 18a ust. 2 i 3 ustawy. Przepis ten określa techniczne zasady przekazywania danych.</w:t>
      </w:r>
      <w:r w:rsidR="00FD1592" w:rsidRPr="00375799">
        <w:rPr>
          <w:rFonts w:cstheme="minorHAnsi"/>
          <w:color w:val="000000" w:themeColor="text1"/>
          <w:sz w:val="24"/>
          <w:szCs w:val="24"/>
        </w:rPr>
        <w:t xml:space="preserve"> Efektywne wykorzystanie wszystkich istniejących źródeł informacji oraz możliwość wdrożenia nowych, wymaga odpowiednich sposobów eksplorowania informacji i wykorzystania narzędzi umożliwiających analizę tych danych. W ust. 4 ustawodawca wskazał, że w tym celu będzie wykorzystywał dostępne techniki i odpowiednie narzędzia</w:t>
      </w:r>
      <w:r w:rsidR="001043FA">
        <w:rPr>
          <w:rFonts w:cstheme="minorHAnsi"/>
          <w:color w:val="000000" w:themeColor="text1"/>
          <w:sz w:val="24"/>
          <w:szCs w:val="24"/>
        </w:rPr>
        <w:t>.</w:t>
      </w:r>
    </w:p>
    <w:p w14:paraId="27693D63" w14:textId="1B62605F"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pkt 4 wprowadzana jest zmiana w art. 6. W ust. 1 doprecyzowane zostały metody zbierania danych od respondentów. Natomiast dodawane ust. 4 i 5 odnoszą się do zasad udziału</w:t>
      </w:r>
      <w:r w:rsidR="00985838" w:rsidRPr="00375799">
        <w:rPr>
          <w:rFonts w:cstheme="minorHAnsi"/>
          <w:color w:val="000000" w:themeColor="text1"/>
          <w:sz w:val="24"/>
          <w:szCs w:val="24"/>
        </w:rPr>
        <w:t xml:space="preserve"> </w:t>
      </w:r>
      <w:r w:rsidRPr="00375799">
        <w:rPr>
          <w:rFonts w:cstheme="minorHAnsi"/>
          <w:color w:val="000000" w:themeColor="text1"/>
          <w:sz w:val="24"/>
          <w:szCs w:val="24"/>
        </w:rPr>
        <w:t xml:space="preserve">w badaniach statystycznych osób fizycznych i osób fizycznych prowadzących działalność gospodarczą. W szczególności w przypadku badań, dotyczących działalności gospodarczej osób fizycznych konieczne było uszczegółowienie ogólnej zasady dobrowolnego udziału osób fizycznych w badaniach statystycznych prowadzonych przez służby statystyki publicznej. Uszczegółowienie to polega na wskazaniu, zgodnie z dotychczasową metodologią i praktyką badań statystycznych, że badania, dotyczące działalności gospodarczej prowadzonej przez osoby fizyczne, prowadzone są na zasadzie ich obowiązkowego udziału. Podkreślić </w:t>
      </w:r>
      <w:r w:rsidRPr="00375799">
        <w:rPr>
          <w:rFonts w:cstheme="minorHAnsi"/>
          <w:color w:val="000000" w:themeColor="text1"/>
          <w:sz w:val="24"/>
          <w:szCs w:val="24"/>
        </w:rPr>
        <w:lastRenderedPageBreak/>
        <w:t xml:space="preserve">należy, że badania te dotyczą prowadzonej działalności gospodarczej, a nie samych osób prowadzących taką działalność. Przedmiotowa nowelizacja nie wprowadza nowych rozwiązań w tym zakresie. Dodawany ust. 5 tego przepisu został przeniesiony z obowiązującego art. 35b ust. 4. W ocenie projektodawcy zabieg taki, ze względu na treść przepisu uzasadnia przeniesienie go do przepisów ogólnych ustawy. </w:t>
      </w:r>
    </w:p>
    <w:p w14:paraId="0B64CC25" w14:textId="55ADFA45"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pkt 5 zaproponowane zostało doprecyzowanie brzmienia obecnego art. 8 ustawy. W obowiązującym brzmieniu przepis art. 8 wylicza dane wrażliwe, o których mowa w ustawie z dnia 29 sierpnia 1997 r. o ochronie danych osobowych (Dz. U. z 2016 r. poz. 922, z późn. zm.) – art. 27 ust. 1. W związku z utratą mocy tego aktu konieczne stało się odwołanie do obowiązujących przepisów w tym zakresie. Zasada, że dane te nie mogą być zbierane na zasadzie obowiązku w badaniach statystycznych prowadzonych z udziałem osób fizycznych została utrzymana. </w:t>
      </w:r>
    </w:p>
    <w:p w14:paraId="34F85E5D"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pkt 6, dotyczącym art. 10 ustawy wprowadzono wyrazy „statystykę publiczną” w odniesieniu do zbierania danych, które objęte są tajemnicą statystyczną, tak aby jednoznacznie wskazać, że dane jednostkowe identyfikowalne zbierane na potrzeby statystyczne są nią objęte. Pozostała część konstrukcji przepisu nie uległa zmianie w stosunku do brzmienia obecnie obowiązującego.</w:t>
      </w:r>
    </w:p>
    <w:p w14:paraId="3748F518"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pkt 7, dotyczącym art. 13 ustawy o statystyce publicznej</w:t>
      </w:r>
      <w:r w:rsidR="0033121E" w:rsidRPr="00375799">
        <w:rPr>
          <w:rFonts w:cstheme="minorHAnsi"/>
          <w:color w:val="000000" w:themeColor="text1"/>
          <w:sz w:val="24"/>
          <w:szCs w:val="24"/>
        </w:rPr>
        <w:t>,</w:t>
      </w:r>
      <w:r w:rsidRPr="00375799">
        <w:rPr>
          <w:rFonts w:cstheme="minorHAnsi"/>
          <w:color w:val="000000" w:themeColor="text1"/>
          <w:sz w:val="24"/>
          <w:szCs w:val="24"/>
        </w:rPr>
        <w:t xml:space="preserve"> zmiany wynikają z wprowadzenia do przepisów ustawy konstrukcji niepublicznych systemów informacyjnych. W ocenie projektodawcy jest to wartościowe źródło informacji. Niemniej jednak ze względu na fakt, że prowadzone jest przez inne podmioty niż podmioty publiczne odstąpiono od wymogu stosowania przez te systemy standardów klasyfikacyjnych, numeru identyfikacyjnego i oznaczeń kodowych przyjętych w krajowym rejestrze urzędowym podziału terytorialnego kraju, przekazywania informacji o zawartości informacyjnej eksploatowanych systemów oraz informowania o projektowanym zakresie informacyjnym, uznając to za nadmierne obciążenie. Również wyłączone zostało uprawnienie Prezesa Głównego Urzędu Statystycznego wobec podmiotów prowadzących niepubliczne systemy informacyjne zgłaszania wniosków dotyczących zawartości informacyjnej i wymogów jakości danych.</w:t>
      </w:r>
    </w:p>
    <w:p w14:paraId="04EF755C" w14:textId="6DFA15D3"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pkt 8</w:t>
      </w:r>
      <w:r w:rsidR="00B459F8">
        <w:rPr>
          <w:rFonts w:cstheme="minorHAnsi"/>
          <w:color w:val="000000" w:themeColor="text1"/>
          <w:sz w:val="24"/>
          <w:szCs w:val="24"/>
        </w:rPr>
        <w:t>–</w:t>
      </w:r>
      <w:r w:rsidR="00B4783F">
        <w:rPr>
          <w:rFonts w:cstheme="minorHAnsi"/>
          <w:color w:val="000000" w:themeColor="text1"/>
          <w:sz w:val="24"/>
          <w:szCs w:val="24"/>
        </w:rPr>
        <w:t>16</w:t>
      </w:r>
      <w:r w:rsidRPr="00375799">
        <w:rPr>
          <w:rFonts w:cstheme="minorHAnsi"/>
          <w:color w:val="000000" w:themeColor="text1"/>
          <w:sz w:val="24"/>
          <w:szCs w:val="24"/>
        </w:rPr>
        <w:t xml:space="preserve"> wprowadzone zostały zmiany w rozdziale 4a Przetwarzanie danych osobowych dla celów statystycznych. Zmiany te związane są z wprowadzeniem przepisów dostosowujących do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oraz wynikami analizy ex post obowiązujących przepisów. W ocenie projektodawcy wprowadzenie przepisów, o których mowa w art. 35aa</w:t>
      </w:r>
      <w:r w:rsidR="00B459F8">
        <w:rPr>
          <w:rFonts w:cstheme="minorHAnsi"/>
          <w:color w:val="000000" w:themeColor="text1"/>
          <w:sz w:val="24"/>
          <w:szCs w:val="24"/>
        </w:rPr>
        <w:t>–</w:t>
      </w:r>
      <w:r w:rsidRPr="00375799">
        <w:rPr>
          <w:rFonts w:cstheme="minorHAnsi"/>
          <w:color w:val="000000" w:themeColor="text1"/>
          <w:sz w:val="24"/>
          <w:szCs w:val="24"/>
        </w:rPr>
        <w:t xml:space="preserve">35ac pozwala na realizację zasady przejrzystości. </w:t>
      </w:r>
    </w:p>
    <w:p w14:paraId="71760384"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projektowanym art. 35a określone zostały cele statystyczne, w realizacji których niezbędne jest przetwarzanie danych osobowych. Zaproponowane rozwiązanie wychodzi na przeciw dyspozycji ustawodawcy unijnego, który w art. 5 ust. 1 lit. b jako jedną z zasad przetwarzania danych osobowych wskazuje zbieranie ich w konkretnych, wyraźnych i prawnie uzasadnionych celach. Art. 35 ust. 3 odnosi się do krajowego rejestru urzędowego podmiotów gospodarki narodowej, którego prowadzenie jest jednym z zadań Prezesa Głównego Urzędu </w:t>
      </w:r>
      <w:r w:rsidRPr="00375799">
        <w:rPr>
          <w:rFonts w:cstheme="minorHAnsi"/>
          <w:color w:val="000000" w:themeColor="text1"/>
          <w:sz w:val="24"/>
          <w:szCs w:val="24"/>
        </w:rPr>
        <w:lastRenderedPageBreak/>
        <w:t xml:space="preserve">Statystycznego, realizowanym w ramach odrębnego od statystyki publicznej systemu informacyjnego administracji publicznej – art. 41 ust. 2. </w:t>
      </w:r>
    </w:p>
    <w:p w14:paraId="5771C887" w14:textId="685D5EE0"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Dodawany nowy art. 35aa stanowi, że dane osobowe, bez względu na źródło ich pozyskania, z chwilą ich zebrania przez służby statystyki publicznej, stają się danymi statystycznymi i są objęte tajemnicą statystyczną.</w:t>
      </w:r>
    </w:p>
    <w:p w14:paraId="4326BA56" w14:textId="2B14D6DB"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Wprowadzone w art. 35b zmiany wynikają z analizy obowiązującego art. 35b ustawy. Ze względu na konieczność prowadzenia badań statystycznych z obszaru statystyki społecznej i demografii konieczne okazało się uszczegółowienie katalogu danych osobowych, do których przetwarzania na mocy ustawy obowiązane są służby statystyki publicznej. Jednocześnie katalog obszarów, w jakich przetwarzane są te dane został skorelowany z obszarami badań realizowanymi w ramach programu badań statystycznych statystyki publicznej. Katalog został ponadto rozszerzony o dane sensytywne określone w art. 8. Zgodnie z motywem 52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możliwe są wyjątki od zakazu przetwarzania szczególnych kategorii danych osobowych – o ile przewiduje to prawo Unii lub prawo państwa członkowskiego i podlega to odpowiednim zabezpieczeniom chroniącym dane osobowe i inne prawa podstawowe. Wprowadzenie danych biometrycznych i danych genetycznych do katalogu wynika z rozwoju technik i narzędzi analitycznych oraz zmian w podejściu do badań demograficznych. Interpretacja trendów demograficznych wymaga uwzględnienia zmiennych biologicznych (nie tylko w przypadku umieralności, ale i rozrodczości). W demografii coraz więcej na znaczeniu zyskuje </w:t>
      </w:r>
      <w:proofErr w:type="spellStart"/>
      <w:r w:rsidRPr="00375799">
        <w:rPr>
          <w:rFonts w:cstheme="minorHAnsi"/>
          <w:color w:val="000000" w:themeColor="text1"/>
          <w:sz w:val="24"/>
          <w:szCs w:val="24"/>
        </w:rPr>
        <w:t>biodemografia</w:t>
      </w:r>
      <w:proofErr w:type="spellEnd"/>
      <w:r w:rsidRPr="00375799">
        <w:rPr>
          <w:rFonts w:cstheme="minorHAnsi"/>
          <w:color w:val="000000" w:themeColor="text1"/>
          <w:sz w:val="24"/>
          <w:szCs w:val="24"/>
        </w:rPr>
        <w:t xml:space="preserve"> (dziedzina demografii zajmująca się wyjaśnianiem biologicznych i demograficznych zależności pomiędzy procesami narodzin i śmierci, które kształtują jednostki, grupy i populacje</w:t>
      </w:r>
      <w:r w:rsidR="00B459F8">
        <w:rPr>
          <w:rFonts w:cstheme="minorHAnsi"/>
          <w:color w:val="000000" w:themeColor="text1"/>
          <w:sz w:val="24"/>
          <w:szCs w:val="24"/>
        </w:rPr>
        <w:t>)</w:t>
      </w:r>
      <w:r w:rsidRPr="00375799">
        <w:rPr>
          <w:rFonts w:cstheme="minorHAnsi"/>
          <w:color w:val="000000" w:themeColor="text1"/>
          <w:sz w:val="24"/>
          <w:szCs w:val="24"/>
        </w:rPr>
        <w:t>. Bardziej wnikliwa analiza czynników biologicznych np. dziedziczenia pewnych cech przez człowieka może pozwolić na objaśnienie zjawisk i trendów demograficznych, które trudno wytłumaczyć odwołując się jedynie do czynników społecznych np. nadumieralność mężczyzn, która zwiększa się w miarę upływu czasu, mniejsza rodność, zachorowalność na określone choroby czy umieralność z powodu określonych przyczyn zgonów, jak również coraz dłuższe trwanie życia. Z kolei rozszerzenie katalogu o dane dotyczące seksualności lub orientacji seksualnej oraz pozyskanie informacji o pozostawaniu we wspólnym pożyciu pozwala na realizację obowiązków informacyjnych Polski wobec Unii Europejskiej, gdzie dane dotyczące m.in. statusu członków rodziny/osób pozostających we wspólnym gospodarstwie domowym w zakresie stanu małżeńskiego lub partnerskiego stanowią jedną z informacji wykorzystywanych w badaniach statystycznych. Zauważyć należy, że dane te będą wykorzystywane wyłącznie wtedy, jeżeli cel statystyczny, np. realizacja badania statystycznego zawartego w programie badań statystycznych statystyki publicznej, nie będzie możliwy do osiągnięcia w inny sposób i nie będą wykorzystywane w innym celu niż cel statystyczny, w szczególności do podejmowania decyzji lub indywidualnych rozstrzygnięć wobec konkretnej osoby fizycznej. Dane te objęte są również tajemnicą statystyczną, która gwarantuje im poufność. Polska ustawa nie byłaby odosobniona w tym względzie. Podkreślić należy, że katalog danych osobowych, określony w art. 35b ust.</w:t>
      </w:r>
      <w:r w:rsidR="00B459F8">
        <w:rPr>
          <w:rFonts w:cstheme="minorHAnsi"/>
          <w:color w:val="000000" w:themeColor="text1"/>
          <w:sz w:val="24"/>
          <w:szCs w:val="24"/>
        </w:rPr>
        <w:t xml:space="preserve"> </w:t>
      </w:r>
      <w:r w:rsidRPr="00375799">
        <w:rPr>
          <w:rFonts w:cstheme="minorHAnsi"/>
          <w:color w:val="000000" w:themeColor="text1"/>
          <w:sz w:val="24"/>
          <w:szCs w:val="24"/>
        </w:rPr>
        <w:t xml:space="preserve">1 ustawy, jest maksymalnym zakresem informacji, które służby statystyki publicznej mogą pozyskiwać. Adekwatność i </w:t>
      </w:r>
      <w:r w:rsidRPr="00375799">
        <w:rPr>
          <w:rFonts w:cstheme="minorHAnsi"/>
          <w:color w:val="000000" w:themeColor="text1"/>
          <w:sz w:val="24"/>
          <w:szCs w:val="24"/>
        </w:rPr>
        <w:lastRenderedPageBreak/>
        <w:t>niezbędność wykorzystania danych osobowych z tego katalogu jest każdorazowo oceniana na etapie projektowania badania statystycznego, a dane osobowe są wykorzystywane jedynie w sytuacji, gdy nie można celu osiągnąć w inny sposób, np. w drodze wykorzystania zagregowanych danych.</w:t>
      </w:r>
    </w:p>
    <w:p w14:paraId="3FC7402C"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Dodawany ust. 2a dotyczy informacji uzyskiwanych w wyniku analizy danych osobowych pozyskanych bezpośrednio od osoby fizycznej lub z rejestrów i systemów informacyjnych, tj. danych wywiedzionych i danych wywnioskowanych. </w:t>
      </w:r>
    </w:p>
    <w:p w14:paraId="59F5A409"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 w art. 35b ust. 3 polega na dodaniu niepublicznych systemów informacyjnych, jako potencjalnego źródła danych osobowych. W art. 35b ust. 4, który nakładał obowiązek informacyjny na służby statystyki publicznej w przypadku prowadzenia badań statystycznych, w których osoby fizyczne udzielają bezpośrednio odpowiedzi, został uchylony w związku z przeniesieniem jego treści do art. 6 ust. 5.</w:t>
      </w:r>
    </w:p>
    <w:p w14:paraId="3FA2D51F" w14:textId="438C614F"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Zmiany w art. 35c w stosunku do obecnego brzmienia tego przepisu polegają na wprowadzeniu </w:t>
      </w:r>
      <w:r w:rsidR="001043FA">
        <w:rPr>
          <w:rFonts w:cstheme="minorHAnsi"/>
          <w:color w:val="000000" w:themeColor="text1"/>
          <w:sz w:val="24"/>
          <w:szCs w:val="24"/>
        </w:rPr>
        <w:t>c</w:t>
      </w:r>
      <w:r w:rsidRPr="00375799">
        <w:rPr>
          <w:rFonts w:cstheme="minorHAnsi"/>
          <w:color w:val="000000" w:themeColor="text1"/>
          <w:sz w:val="24"/>
          <w:szCs w:val="24"/>
        </w:rPr>
        <w:t xml:space="preserve">entralnej </w:t>
      </w:r>
      <w:r w:rsidR="001043FA">
        <w:rPr>
          <w:rFonts w:cstheme="minorHAnsi"/>
          <w:color w:val="000000" w:themeColor="text1"/>
          <w:sz w:val="24"/>
          <w:szCs w:val="24"/>
        </w:rPr>
        <w:t>b</w:t>
      </w:r>
      <w:r w:rsidR="001043FA" w:rsidRPr="00375799">
        <w:rPr>
          <w:rFonts w:cstheme="minorHAnsi"/>
          <w:color w:val="000000" w:themeColor="text1"/>
          <w:sz w:val="24"/>
          <w:szCs w:val="24"/>
        </w:rPr>
        <w:t xml:space="preserve">azy </w:t>
      </w:r>
      <w:r w:rsidR="001043FA">
        <w:rPr>
          <w:rFonts w:cstheme="minorHAnsi"/>
          <w:color w:val="000000" w:themeColor="text1"/>
          <w:sz w:val="24"/>
          <w:szCs w:val="24"/>
        </w:rPr>
        <w:t>d</w:t>
      </w:r>
      <w:r w:rsidRPr="00375799">
        <w:rPr>
          <w:rFonts w:cstheme="minorHAnsi"/>
          <w:color w:val="000000" w:themeColor="text1"/>
          <w:sz w:val="24"/>
          <w:szCs w:val="24"/>
        </w:rPr>
        <w:t xml:space="preserve">anych </w:t>
      </w:r>
      <w:r w:rsidR="001043FA">
        <w:rPr>
          <w:rFonts w:cstheme="minorHAnsi"/>
          <w:color w:val="000000" w:themeColor="text1"/>
          <w:sz w:val="24"/>
          <w:szCs w:val="24"/>
        </w:rPr>
        <w:t>k</w:t>
      </w:r>
      <w:r w:rsidRPr="00375799">
        <w:rPr>
          <w:rFonts w:cstheme="minorHAnsi"/>
          <w:color w:val="000000" w:themeColor="text1"/>
          <w:sz w:val="24"/>
          <w:szCs w:val="24"/>
        </w:rPr>
        <w:t xml:space="preserve">siąg </w:t>
      </w:r>
      <w:r w:rsidR="001043FA">
        <w:rPr>
          <w:rFonts w:cstheme="minorHAnsi"/>
          <w:color w:val="000000" w:themeColor="text1"/>
          <w:sz w:val="24"/>
          <w:szCs w:val="24"/>
        </w:rPr>
        <w:t>w</w:t>
      </w:r>
      <w:r w:rsidRPr="00375799">
        <w:rPr>
          <w:rFonts w:cstheme="minorHAnsi"/>
          <w:color w:val="000000" w:themeColor="text1"/>
          <w:sz w:val="24"/>
          <w:szCs w:val="24"/>
        </w:rPr>
        <w:t>ieczystych do katalogu źródeł danych oraz doprecyzowaniu obowiązujących przepisów w związku z wprowadzeniem niepublicznych systemów administracyjnych, jako potencjalnego źródła danych osobowych dla potrzeb realizacji celów statystycznych.</w:t>
      </w:r>
    </w:p>
    <w:p w14:paraId="64D6D6A8" w14:textId="7B7DDF39"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Art. 35d koresponduje z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które wymienia </w:t>
      </w:r>
      <w:proofErr w:type="spellStart"/>
      <w:r w:rsidRPr="00375799">
        <w:rPr>
          <w:rFonts w:cstheme="minorHAnsi"/>
          <w:color w:val="000000" w:themeColor="text1"/>
          <w:sz w:val="24"/>
          <w:szCs w:val="24"/>
        </w:rPr>
        <w:t>pseudonimizację</w:t>
      </w:r>
      <w:proofErr w:type="spellEnd"/>
      <w:r w:rsidRPr="00375799">
        <w:rPr>
          <w:rFonts w:cstheme="minorHAnsi"/>
          <w:color w:val="000000" w:themeColor="text1"/>
          <w:sz w:val="24"/>
          <w:szCs w:val="24"/>
        </w:rPr>
        <w:t xml:space="preserve">, jako jeden z możliwych środków zabezpieczenia danych osobowych. Zakłada się, że czynność ta będzie następowała niezwłocznie, po wykorzystaniu danych osobowych do celów statystycznych. Co do zasady opracowywanie danych statystycznych, a takimi danymi są również i dane osobowe zebrane w ramach statystyki publicznej, odbywa się z odłączeniem lub zakodowaniem informacji pozwalających na identyfikację konkretnego podmiotu obserwacji statystycznej. Zarówno informacje pozwalające na zidentyfikowanie konkretnej osoby (numer PESEL, imię i nazwisko), jak też informacje pozwalające na odszukanie i połączenie danych będą przechowywane osobno. Odwrócenie tego procesu będzie następowało wyłącznie w przypadku, i tylko w takim zakresie, w jakim będzie to niezbędne </w:t>
      </w:r>
      <w:r w:rsidR="00B459F8">
        <w:rPr>
          <w:rFonts w:cstheme="minorHAnsi"/>
          <w:color w:val="000000" w:themeColor="text1"/>
          <w:sz w:val="24"/>
          <w:szCs w:val="24"/>
        </w:rPr>
        <w:t>d</w:t>
      </w:r>
      <w:r w:rsidRPr="00375799">
        <w:rPr>
          <w:rFonts w:cstheme="minorHAnsi"/>
          <w:color w:val="000000" w:themeColor="text1"/>
          <w:sz w:val="24"/>
          <w:szCs w:val="24"/>
        </w:rPr>
        <w:t xml:space="preserve">o osiągnięcia celu statystycznego np.: łączenia danych lub ich porównania, a następnie dane będą dalej opracowywane, zgodnie </w:t>
      </w:r>
      <w:r w:rsidR="00B459F8">
        <w:rPr>
          <w:rFonts w:cstheme="minorHAnsi"/>
          <w:color w:val="000000" w:themeColor="text1"/>
          <w:sz w:val="24"/>
          <w:szCs w:val="24"/>
        </w:rPr>
        <w:t xml:space="preserve">z </w:t>
      </w:r>
      <w:r w:rsidRPr="00375799">
        <w:rPr>
          <w:rFonts w:cstheme="minorHAnsi"/>
          <w:color w:val="000000" w:themeColor="text1"/>
          <w:sz w:val="24"/>
          <w:szCs w:val="24"/>
        </w:rPr>
        <w:t xml:space="preserve">zasadami, czyli z odłączeniem lub zakodowaniem informacji pozwalających na zidentyfikowanie konkretnej osoby fizycznej. Sposób i tryb pseudonimizacji danych osobowych na potrzeby realizacji przez służby statystyki publicznej zadań określonych w ustawie będzie określał dokument opracowany i wydany przez Prezesa Głównego Urzędu Statystycznego, w drodze zarządzenia. </w:t>
      </w:r>
    </w:p>
    <w:p w14:paraId="20F5E76A" w14:textId="26E99182"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Art. 35e </w:t>
      </w:r>
      <w:r w:rsidR="00B459F8">
        <w:rPr>
          <w:rFonts w:cstheme="minorHAnsi"/>
          <w:color w:val="000000" w:themeColor="text1"/>
          <w:sz w:val="24"/>
          <w:szCs w:val="24"/>
        </w:rPr>
        <w:t>–</w:t>
      </w:r>
      <w:r w:rsidRPr="00375799">
        <w:rPr>
          <w:rFonts w:cstheme="minorHAnsi"/>
          <w:color w:val="000000" w:themeColor="text1"/>
          <w:sz w:val="24"/>
          <w:szCs w:val="24"/>
        </w:rPr>
        <w:t xml:space="preserve"> specyfika badań statystycznych wymaga wielokrotnego sięgania do danych już pozyskanych, zebranych w badaniach statystycznych. W przypadku danych osobowych czynność ta jest dokonywana w uzasadnionych przypadkach z poszanowaniem zasady minimalizacji danych. Działanie takie podyktowane jest również dążeniem do wtórnego wykorzystania danych zgromadzonych w różnego rodzaju rejestrach i systemach informacyjnych lub zebranych na potrzeby innych badań statystycznych, tak by stale zmniejszać poziom obciążeń respondentów i ograniczać obowiązki informacyjne obywateli i </w:t>
      </w:r>
      <w:r w:rsidRPr="00375799">
        <w:rPr>
          <w:rFonts w:cstheme="minorHAnsi"/>
          <w:color w:val="000000" w:themeColor="text1"/>
          <w:sz w:val="24"/>
          <w:szCs w:val="24"/>
        </w:rPr>
        <w:lastRenderedPageBreak/>
        <w:t xml:space="preserve">przedsiębiorców. Jednocześnie w ust. 2 tego przepisu wprowadzona została gwarancja, że dane osobowe będą wykorzystywane wyłącznie w celu statystycznym, a wykorzystanie ich w innym celu, a w szczególności do podejmowania decyzji lub indywidualnych rozstrzygnięć wobec danej osoby jest zabronione. Należy ponownie powtórzyć, że dane osobowe są traktowane jak dane statystyczne, wobec czego są objęte bezwzględną ochroną na podstawie art. 10 ustawy o statystyce publicznej. Naruszenie ukonstytuowanej w tym przepisie tajemnicy statystycznej na mocy art. 54 ustawy jest zagrożone karą pozbawienia wolności do lat 3. Ponadto należy podnieść, że ustawodawca unijny pozwala na dalsze przetwarzanie danych osobowych i wskazuje, że takie działanie w myśl art. 89 ust. 1 </w:t>
      </w:r>
      <w:r w:rsidR="00EC0F13" w:rsidRPr="00375799">
        <w:rPr>
          <w:rFonts w:cstheme="minorHAnsi"/>
          <w:color w:val="000000" w:themeColor="text1"/>
          <w:sz w:val="24"/>
          <w:szCs w:val="24"/>
        </w:rPr>
        <w:t>RODO</w:t>
      </w:r>
      <w:r w:rsidR="00EC0F13" w:rsidRPr="00375799" w:rsidDel="00EC0F13">
        <w:rPr>
          <w:rFonts w:cstheme="minorHAnsi"/>
          <w:color w:val="000000" w:themeColor="text1"/>
          <w:sz w:val="24"/>
          <w:szCs w:val="24"/>
        </w:rPr>
        <w:t xml:space="preserve"> </w:t>
      </w:r>
      <w:r w:rsidRPr="00375799">
        <w:rPr>
          <w:rFonts w:cstheme="minorHAnsi"/>
          <w:color w:val="000000" w:themeColor="text1"/>
          <w:sz w:val="24"/>
          <w:szCs w:val="24"/>
        </w:rPr>
        <w:t>w celu statystycznym nie jest niezgodne z kardynalnymi zasadami przetwarzania danych osobowych określonymi w art. 5 ust. 1 lit. b ww. rozporządzenia.</w:t>
      </w:r>
    </w:p>
    <w:p w14:paraId="14BB9511" w14:textId="4B7189B4" w:rsidR="00FD1592" w:rsidRPr="00375799" w:rsidRDefault="009E24D9"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W pkt 13 został uchylony art. 35f.</w:t>
      </w:r>
      <w:r w:rsidR="00FD1592" w:rsidRPr="00375799">
        <w:rPr>
          <w:rFonts w:cstheme="minorHAnsi"/>
          <w:color w:val="000000" w:themeColor="text1"/>
          <w:sz w:val="24"/>
          <w:szCs w:val="24"/>
        </w:rPr>
        <w:t xml:space="preserve"> Zmiana ta wynika z dodania Rozdziału 5 Operat do badań statystycznych. Rozdział ten </w:t>
      </w:r>
      <w:r w:rsidR="00D61FF8">
        <w:rPr>
          <w:rFonts w:cstheme="minorHAnsi"/>
          <w:color w:val="000000" w:themeColor="text1"/>
          <w:sz w:val="24"/>
          <w:szCs w:val="24"/>
        </w:rPr>
        <w:t xml:space="preserve">reguluje  w sposób kompleksowy </w:t>
      </w:r>
      <w:r w:rsidR="00FD1592" w:rsidRPr="00375799">
        <w:rPr>
          <w:rFonts w:cstheme="minorHAnsi"/>
          <w:color w:val="000000" w:themeColor="text1"/>
          <w:sz w:val="24"/>
          <w:szCs w:val="24"/>
        </w:rPr>
        <w:t>zasady prowadzenia i aktualizacji operatu do badań statystycznych.</w:t>
      </w:r>
    </w:p>
    <w:p w14:paraId="7B52728E" w14:textId="4259F0E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Projektowany art. 35h jest nowym rozwiązaniem i w całości jest związany z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Zgodnie z motywem 162, jeżeli dane osobowe są przetwarzane do celów statystycznych, ww. rozporządzenie powinno mieć zastosowanie do takiego przetwarzania. Niemniej jednak, ze względu na specyfikę takiego przetwarzania ustawodawca unijny postanowił w art. 89 ust. 2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że możliwe jest zastosowanie wyjątków od praw, o których mowa w art. 15, </w:t>
      </w:r>
      <w:r w:rsidR="00EE6D95">
        <w:rPr>
          <w:rFonts w:cstheme="minorHAnsi"/>
          <w:color w:val="000000" w:themeColor="text1"/>
          <w:sz w:val="24"/>
          <w:szCs w:val="24"/>
        </w:rPr>
        <w:t xml:space="preserve">art. </w:t>
      </w:r>
      <w:r w:rsidRPr="00375799">
        <w:rPr>
          <w:rFonts w:cstheme="minorHAnsi"/>
          <w:color w:val="000000" w:themeColor="text1"/>
          <w:sz w:val="24"/>
          <w:szCs w:val="24"/>
        </w:rPr>
        <w:t xml:space="preserve">16, </w:t>
      </w:r>
      <w:r w:rsidR="00EE6D95">
        <w:rPr>
          <w:rFonts w:cstheme="minorHAnsi"/>
          <w:color w:val="000000" w:themeColor="text1"/>
          <w:sz w:val="24"/>
          <w:szCs w:val="24"/>
        </w:rPr>
        <w:t xml:space="preserve">art. </w:t>
      </w:r>
      <w:r w:rsidRPr="00375799">
        <w:rPr>
          <w:rFonts w:cstheme="minorHAnsi"/>
          <w:color w:val="000000" w:themeColor="text1"/>
          <w:sz w:val="24"/>
          <w:szCs w:val="24"/>
        </w:rPr>
        <w:t xml:space="preserve">18 i </w:t>
      </w:r>
      <w:r w:rsidR="00EE6D95">
        <w:rPr>
          <w:rFonts w:cstheme="minorHAnsi"/>
          <w:color w:val="000000" w:themeColor="text1"/>
          <w:sz w:val="24"/>
          <w:szCs w:val="24"/>
        </w:rPr>
        <w:t xml:space="preserve">art. </w:t>
      </w:r>
      <w:r w:rsidRPr="00375799">
        <w:rPr>
          <w:rFonts w:cstheme="minorHAnsi"/>
          <w:color w:val="000000" w:themeColor="text1"/>
          <w:sz w:val="24"/>
          <w:szCs w:val="24"/>
        </w:rPr>
        <w:t xml:space="preserve">21, na poziomie prawa krajowego lub unijnego, z zastrzeżeniem warunków i zabezpieczeń dla praw i wolności osoby, której dane dotyczą. Przy czym zabezpieczenia te mają polegać na wdrożeniu środków technicznych i organizacyjnych zapewniających poszanowanie zasady minimalizacji danych (art. 89 ust. 1, motyw 156). Zaznaczyć należy, że przesłanką do zastosowania takich wyjątków jest samo istnienie prawdopodobieństwa, że korzystanie z tych praw uniemożliwi lub poważnie utrudni przetwarzanie danych dla wskazanych celów, a wyjątki takie są konieczne – do realizacji tych celów. </w:t>
      </w:r>
    </w:p>
    <w:p w14:paraId="2501B96F" w14:textId="697FEF2E"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Kwestie zastosowania ww. derogacji do celów statystycznych są przedmiotem zainteresowania Eurostatu i kierowników krajowych urzędów statystycznych (KUS) w ramach tzw. </w:t>
      </w:r>
      <w:proofErr w:type="spellStart"/>
      <w:r w:rsidRPr="00375799">
        <w:rPr>
          <w:rFonts w:cstheme="minorHAnsi"/>
          <w:color w:val="000000" w:themeColor="text1"/>
          <w:sz w:val="24"/>
          <w:szCs w:val="24"/>
        </w:rPr>
        <w:t>DGs</w:t>
      </w:r>
      <w:proofErr w:type="spellEnd"/>
      <w:r w:rsidRPr="00375799">
        <w:rPr>
          <w:rFonts w:cstheme="minorHAnsi"/>
          <w:color w:val="000000" w:themeColor="text1"/>
          <w:sz w:val="24"/>
          <w:szCs w:val="24"/>
        </w:rPr>
        <w:t xml:space="preserve"> </w:t>
      </w:r>
      <w:proofErr w:type="spellStart"/>
      <w:r w:rsidRPr="00375799">
        <w:rPr>
          <w:rFonts w:cstheme="minorHAnsi"/>
          <w:color w:val="000000" w:themeColor="text1"/>
          <w:sz w:val="24"/>
          <w:szCs w:val="24"/>
        </w:rPr>
        <w:t>workshop</w:t>
      </w:r>
      <w:proofErr w:type="spellEnd"/>
      <w:r w:rsidRPr="00375799">
        <w:rPr>
          <w:rFonts w:cstheme="minorHAnsi"/>
          <w:color w:val="000000" w:themeColor="text1"/>
          <w:sz w:val="24"/>
          <w:szCs w:val="24"/>
        </w:rPr>
        <w:t xml:space="preserve">. Statystyka publiczna, tak samo jak statystyki innych krajów członkowskich dostrzegają znaczenie i rolę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jako narzędzia umożliwiającego podnoszenie zaufania respondentów do statystyki i prowadzonych przez nią działań. W dniu 8 lutego 2018 r. odbyło się spotkanie poświęcone skutkom implementacji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dla statystyk europejskich. Przyjęto kierunkowe rozwiązanie, zgodnie z którym odstępstwa od stosowania przepisów określonych w art. 89 ust. 2 rozporządzenia będą wprowadzane przez poszczególne państwa członkowskie do krajowych porządków prawnych. Uznano, że pozwoli to w sposób najbardziej efektywny zaspokoić specyficzne potrzeby statystyk krajowych. Jednocześnie w celu harmonizacji ochrony podmiotów praw rozważane jest wprowadzenie jednolitych odstępstw w przepisach rozporządzenia Parlamentu Europejskiego</w:t>
      </w:r>
      <w:r w:rsidR="0003196A" w:rsidRPr="00375799">
        <w:rPr>
          <w:rFonts w:cstheme="minorHAnsi"/>
          <w:color w:val="000000" w:themeColor="text1"/>
          <w:sz w:val="24"/>
          <w:szCs w:val="24"/>
        </w:rPr>
        <w:t xml:space="preserve"> </w:t>
      </w:r>
      <w:r w:rsidRPr="00375799">
        <w:rPr>
          <w:rFonts w:cstheme="minorHAnsi"/>
          <w:color w:val="000000" w:themeColor="text1"/>
          <w:sz w:val="24"/>
          <w:szCs w:val="24"/>
        </w:rPr>
        <w:t xml:space="preserve">i Rady (WE) nr 223/2009 z dnia 11 marca 2009 r. w sprawie statystyki europejskiej oraz uchylającego rozporządzenie Parlamentu Europejskiego i Rady (WE, Euratom) nr 1101/2008 w sprawie przekazywania do Urzędu Statystycznego </w:t>
      </w:r>
      <w:r w:rsidRPr="00375799">
        <w:rPr>
          <w:rFonts w:cstheme="minorHAnsi"/>
          <w:color w:val="000000" w:themeColor="text1"/>
          <w:sz w:val="24"/>
          <w:szCs w:val="24"/>
        </w:rPr>
        <w:lastRenderedPageBreak/>
        <w:t>Wspólnot Europejskich danych statystycznych objętych zasadą poufności, rozporządzenie Rady (WE) nr 322/97 w sprawie statystyk Wspólnoty oraz decyzję Rady 89/382/EWG, Euratom w sprawie ustanowienia Komitetu ds. Programów Statystycznych Wspólnot Europejskich (Dz. Urz. UE L 87 z 31.03.2009, str. 164, z późn. zm.), zwan</w:t>
      </w:r>
      <w:r w:rsidR="00EE6D95">
        <w:rPr>
          <w:rFonts w:cstheme="minorHAnsi"/>
          <w:color w:val="000000" w:themeColor="text1"/>
          <w:sz w:val="24"/>
          <w:szCs w:val="24"/>
        </w:rPr>
        <w:t>ego</w:t>
      </w:r>
      <w:r w:rsidRPr="00375799">
        <w:rPr>
          <w:rFonts w:cstheme="minorHAnsi"/>
          <w:color w:val="000000" w:themeColor="text1"/>
          <w:sz w:val="24"/>
          <w:szCs w:val="24"/>
        </w:rPr>
        <w:t xml:space="preserve"> dalej „rozporządzeniem 223/2009”. </w:t>
      </w:r>
    </w:p>
    <w:p w14:paraId="4E3396F0" w14:textId="650B4244"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ocenie projektodawcy wprowadzenie ograniczeń w zakresie wykonywania niektórych praw, wynikających z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jest konieczne. Mając na uwadze wyrok Trybunału Sprawiedliwości UE wydany w połączonych sprawach C-92/09 i C-93/09</w:t>
      </w:r>
      <w:r w:rsidRPr="003654A8">
        <w:rPr>
          <w:rFonts w:cstheme="minorHAnsi"/>
          <w:color w:val="000000" w:themeColor="text1"/>
          <w:sz w:val="24"/>
          <w:szCs w:val="24"/>
          <w:vertAlign w:val="superscript"/>
        </w:rPr>
        <w:footnoteReference w:id="1"/>
      </w:r>
      <w:r w:rsidRPr="00375799">
        <w:rPr>
          <w:rFonts w:cstheme="minorHAnsi"/>
          <w:color w:val="000000" w:themeColor="text1"/>
          <w:sz w:val="24"/>
          <w:szCs w:val="24"/>
        </w:rPr>
        <w:t>, w którym Trybunał podkreślił, że „prawo do ochrony danych osobowych nie jest prawem absolutnym i powinno być analizowane w kontekście funkcji jaką pełni w społeczeństwie” oraz wyrok Trybunału Konstytucyjnego z dnia 13 grudnia 2011 r.</w:t>
      </w:r>
      <w:r w:rsidR="00EE6D95">
        <w:rPr>
          <w:rFonts w:cstheme="minorHAnsi"/>
          <w:color w:val="000000" w:themeColor="text1"/>
          <w:sz w:val="24"/>
          <w:szCs w:val="24"/>
        </w:rPr>
        <w:t>,</w:t>
      </w:r>
      <w:r w:rsidRPr="00375799">
        <w:rPr>
          <w:rFonts w:cstheme="minorHAnsi"/>
          <w:color w:val="000000" w:themeColor="text1"/>
          <w:sz w:val="24"/>
          <w:szCs w:val="24"/>
        </w:rPr>
        <w:t xml:space="preserve"> sygn. akt K 33/08</w:t>
      </w:r>
      <w:r w:rsidR="00EE6D95">
        <w:rPr>
          <w:rFonts w:cstheme="minorHAnsi"/>
          <w:color w:val="000000" w:themeColor="text1"/>
          <w:sz w:val="24"/>
          <w:szCs w:val="24"/>
        </w:rPr>
        <w:t xml:space="preserve"> (Dz. U. poz. 1645),</w:t>
      </w:r>
      <w:r w:rsidRPr="00375799">
        <w:rPr>
          <w:rFonts w:cstheme="minorHAnsi"/>
          <w:color w:val="000000" w:themeColor="text1"/>
          <w:sz w:val="24"/>
          <w:szCs w:val="24"/>
        </w:rPr>
        <w:t xml:space="preserve"> w którym wskazano, że prawidłowo funkcjonująca statystyka publiczna stanowi istotny element prawidłowo funkcjonującego państwa, dokonana została analiza zasadności zastosowania wyłączeń, o których mowa w art. 89 ust. 2 </w:t>
      </w:r>
      <w:r w:rsidR="00EC0F13" w:rsidRPr="00375799">
        <w:rPr>
          <w:rFonts w:cstheme="minorHAnsi"/>
          <w:color w:val="000000" w:themeColor="text1"/>
          <w:sz w:val="24"/>
          <w:szCs w:val="24"/>
        </w:rPr>
        <w:t>RODO</w:t>
      </w:r>
      <w:r w:rsidRPr="00375799">
        <w:rPr>
          <w:rFonts w:cstheme="minorHAnsi"/>
          <w:color w:val="000000" w:themeColor="text1"/>
          <w:sz w:val="24"/>
          <w:szCs w:val="24"/>
        </w:rPr>
        <w:t xml:space="preserve">. W projektowanym art. 35h w ust. 1 zaproponowano wyłączenie </w:t>
      </w:r>
      <w:r w:rsidR="00B459F8">
        <w:rPr>
          <w:rFonts w:cstheme="minorHAnsi"/>
          <w:color w:val="000000" w:themeColor="text1"/>
          <w:sz w:val="24"/>
          <w:szCs w:val="24"/>
        </w:rPr>
        <w:t>–</w:t>
      </w:r>
      <w:r w:rsidRPr="00375799">
        <w:rPr>
          <w:rFonts w:cstheme="minorHAnsi"/>
          <w:color w:val="000000" w:themeColor="text1"/>
          <w:sz w:val="24"/>
          <w:szCs w:val="24"/>
        </w:rPr>
        <w:t xml:space="preserve"> w przypadku wykorzystywania danych osobowych do celów statystycznych </w:t>
      </w:r>
      <w:r w:rsidR="00B459F8">
        <w:rPr>
          <w:rFonts w:cstheme="minorHAnsi"/>
          <w:color w:val="000000" w:themeColor="text1"/>
          <w:sz w:val="24"/>
          <w:szCs w:val="24"/>
        </w:rPr>
        <w:t>–</w:t>
      </w:r>
      <w:r w:rsidRPr="00375799">
        <w:rPr>
          <w:rFonts w:cstheme="minorHAnsi"/>
          <w:color w:val="000000" w:themeColor="text1"/>
          <w:sz w:val="24"/>
          <w:szCs w:val="24"/>
        </w:rPr>
        <w:t xml:space="preserve"> uprawnienia wynikające z art. 15 (prawo dostępu), art. 16 (prawo do sprostowania danych), art. 18 (prawo do ograniczenia przetwarzania) i art. 21 (prawo do sprzeciwu). </w:t>
      </w:r>
    </w:p>
    <w:p w14:paraId="2C325732"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Analizując przepisy ustawy o statystyce publicznej można wyraźnie wskazać zasady, które określają sposób postępowania z danymi osobowymi. Przepis art. 35a ust. 2 stanowi, że dane osobowe są zbierane dla celów statystycznych, wyłącznie jeżeli nie można tego celu osiągnąć za pomocą innych danych. Ustawa zawiera zamknięty katalog danych osobowych, które mogą być przetwarzane. Zgodnie z jej art. 18 ust. 1 pkt 8 lit. a, każde badanie zawiera m.in.: szczegółowy zakres danych osobowych z katalogu określonego w art. 35b ust. 1. Zatem na etapie projektowania badania następuje każdorazowo ocena niezbędności i adekwatności wykorzystania danych osobowych, co wpisuje się w praktyczne zastosowanie zasady minimalizacji danych. Niebagatelne znaczenie ma też fakt, że program badań statystycznych jest przyjmowany w drodze aktu prawnego powszechnie obowiązującego, tj.: rozporządzenia Rady Ministrów. Wobec czego jego treść podlega każdorazowo ocenie organów i podmiotów biorących udział w procesie legislacyjnym, w tym przedstawicieli organu właściwego w sprawach ochrony danych osobowych. I ta zasada została utrzymana w projektowanych przepisach. </w:t>
      </w:r>
    </w:p>
    <w:p w14:paraId="2247E31F"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Mając na uwadze niezbywalne prawo osoby do poszanowania prywatności i autonomii informacyjnej utrzymane zostały obowiązujące rozwiązania, które w przypadku zbierania danych bezpośrednio od osób fizycznych zakładają dobrowolność udziału w badaniu i dobrowolność udzielania odpowiedzi, w szczególności w zakresie tzw. danych sensytywnych – art. 6 ust. 3 i art. 8 ustawy. Ze względu na charakter badania przewidziana została możliwość </w:t>
      </w:r>
      <w:r w:rsidRPr="00375799">
        <w:rPr>
          <w:rFonts w:cstheme="minorHAnsi"/>
          <w:color w:val="000000" w:themeColor="text1"/>
          <w:sz w:val="24"/>
          <w:szCs w:val="24"/>
        </w:rPr>
        <w:lastRenderedPageBreak/>
        <w:t>wyłączenia dobrowolności udziału w badaniu w przypadku spisów powszechnych, co będzie regulowane przepisami ustaw, dotyczących spisów, oraz w przypadku badań statystycznych, dotyczących przedsiębiorców będących osobami fizycznymi. Podkreślenia wymaga, że przetwarzanie danych w celach statystycznych skutkuje tym, że wynikiem takiego przetwarzania nie są dane osobowe, lecz dane zbiorcze (wynikowe informacje statystyczne), a dodatkowo sam wynik, ani dane osobowe nie służą za podstawę środków czy decyzji dotyczących konkretnych osób fizycznych.</w:t>
      </w:r>
    </w:p>
    <w:p w14:paraId="3AE0DA74" w14:textId="083E514B" w:rsidR="00081450" w:rsidRPr="00375799" w:rsidRDefault="00EC0F1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RODO</w:t>
      </w:r>
      <w:r w:rsidRPr="00375799" w:rsidDel="00EC0F13">
        <w:rPr>
          <w:rFonts w:cstheme="minorHAnsi"/>
          <w:color w:val="000000" w:themeColor="text1"/>
          <w:sz w:val="24"/>
          <w:szCs w:val="24"/>
        </w:rPr>
        <w:t xml:space="preserve"> </w:t>
      </w:r>
      <w:r w:rsidR="00081450" w:rsidRPr="00375799">
        <w:rPr>
          <w:rFonts w:cstheme="minorHAnsi"/>
          <w:color w:val="000000" w:themeColor="text1"/>
          <w:sz w:val="24"/>
          <w:szCs w:val="24"/>
        </w:rPr>
        <w:t>w motywie 163 podkreśla konieczność ochrony informacji poufnych</w:t>
      </w:r>
      <w:r w:rsidR="00B459F8">
        <w:rPr>
          <w:rFonts w:cstheme="minorHAnsi"/>
          <w:color w:val="000000" w:themeColor="text1"/>
          <w:sz w:val="24"/>
          <w:szCs w:val="24"/>
        </w:rPr>
        <w:t>,</w:t>
      </w:r>
      <w:r w:rsidR="00081450" w:rsidRPr="00375799">
        <w:rPr>
          <w:rFonts w:cstheme="minorHAnsi"/>
          <w:color w:val="000000" w:themeColor="text1"/>
          <w:sz w:val="24"/>
          <w:szCs w:val="24"/>
        </w:rPr>
        <w:t xml:space="preserve"> które organy statystyczne Unii i państw członkowskich gromadzą do celów opracowywania oficjalnych statystyk europejskich i krajowych, odwołując się do zasad wynikających z art. 338 ust. 2 Traktatu o funkcjonowaniu Unii Europejskiej i zasad określonych w rozporządzeniu 223/2009. Na gruncie prawa krajowego wszystkie zebrane w celach statystycznych dane, w tym dane osobowe, są objęte tajemnicą statystyczną, która gwarantuje zachowanie danych w poufności i wykorzystywanie ich wyłącznie w celach określonych w ustawie o statystyce publicznej. Naruszenie tajemnicy statystycznej, a także wykorzystanie danych statystycznych w celu osiągnięcia korzyści majątkowej lub osobistej jest penalizowane na mocy art. 54 i </w:t>
      </w:r>
      <w:r w:rsidR="00B459F8">
        <w:rPr>
          <w:rFonts w:cstheme="minorHAnsi"/>
          <w:color w:val="000000" w:themeColor="text1"/>
          <w:sz w:val="24"/>
          <w:szCs w:val="24"/>
        </w:rPr>
        <w:t xml:space="preserve">art. </w:t>
      </w:r>
      <w:r w:rsidR="00081450" w:rsidRPr="00375799">
        <w:rPr>
          <w:rFonts w:cstheme="minorHAnsi"/>
          <w:color w:val="000000" w:themeColor="text1"/>
          <w:sz w:val="24"/>
          <w:szCs w:val="24"/>
        </w:rPr>
        <w:t xml:space="preserve">55 ustawy. Tajemnica statystyczna jest podstawowym instrumentem uzyskania i utrzymania zaufania respondentów do statystyki publicznej. Jej nieprzestrzeganie doprowadziłoby do trudnych do oszacowania skutków, a w konsekwencji do utraty rzetelności i wiarygodności oficjalnych danych statystycznych, wynikających z przekazywania przez respondentów nieprawdziwych danych lub odmowy ich przekazania. Tak rozumiana tajemnica określona w art. 10 ustawy jest jednym z elementów praktycznej realizacji zasady poszanowania prywatności jednostki. </w:t>
      </w:r>
    </w:p>
    <w:p w14:paraId="5F2964D6"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Samo opracowywanie danych statystycznych zakłada przetwarzanie danych z odłączeniem lub zakodowaniem informacji pozwalających na zidentyfikowanie konkretnego podmiotu gospodarki narodowej albo osoby fizycznej i prowadzenie obliczeń, opracowań i analiz już na podstawie takich danych. Ponadto w projektowanym art. 35d wprowadzono </w:t>
      </w:r>
      <w:proofErr w:type="spellStart"/>
      <w:r w:rsidRPr="00375799">
        <w:rPr>
          <w:rFonts w:cstheme="minorHAnsi"/>
          <w:color w:val="000000" w:themeColor="text1"/>
          <w:sz w:val="24"/>
          <w:szCs w:val="24"/>
        </w:rPr>
        <w:t>pseudonimizację</w:t>
      </w:r>
      <w:proofErr w:type="spellEnd"/>
      <w:r w:rsidRPr="00375799">
        <w:rPr>
          <w:rFonts w:cstheme="minorHAnsi"/>
          <w:color w:val="000000" w:themeColor="text1"/>
          <w:sz w:val="24"/>
          <w:szCs w:val="24"/>
        </w:rPr>
        <w:t xml:space="preserve">, o czym była mowa powyżej. Dane osobowe będą </w:t>
      </w:r>
      <w:proofErr w:type="spellStart"/>
      <w:r w:rsidRPr="00375799">
        <w:rPr>
          <w:rFonts w:cstheme="minorHAnsi"/>
          <w:color w:val="000000" w:themeColor="text1"/>
          <w:sz w:val="24"/>
          <w:szCs w:val="24"/>
        </w:rPr>
        <w:t>pseudonimizowane</w:t>
      </w:r>
      <w:proofErr w:type="spellEnd"/>
      <w:r w:rsidRPr="00375799">
        <w:rPr>
          <w:rFonts w:cstheme="minorHAnsi"/>
          <w:color w:val="000000" w:themeColor="text1"/>
          <w:sz w:val="24"/>
          <w:szCs w:val="24"/>
        </w:rPr>
        <w:t xml:space="preserve">, o ile cel ich przetwarzania nie będzie wymagał pozostawienia ich w niezmienionej formie. </w:t>
      </w:r>
      <w:proofErr w:type="spellStart"/>
      <w:r w:rsidRPr="00375799">
        <w:rPr>
          <w:rFonts w:cstheme="minorHAnsi"/>
          <w:color w:val="000000" w:themeColor="text1"/>
          <w:sz w:val="24"/>
          <w:szCs w:val="24"/>
        </w:rPr>
        <w:t>Pseudonimizacja</w:t>
      </w:r>
      <w:proofErr w:type="spellEnd"/>
      <w:r w:rsidRPr="00375799">
        <w:rPr>
          <w:rFonts w:cstheme="minorHAnsi"/>
          <w:color w:val="000000" w:themeColor="text1"/>
          <w:sz w:val="24"/>
          <w:szCs w:val="24"/>
        </w:rPr>
        <w:t xml:space="preserve"> będzie dokonywana niezwłocznie. Zarówno informacje pozwalające na zidentyfikowanie konkretnej osoby (numer PESEL, imię i nazwisko), jak też informacje pozwalające na odszukanie i połączenie danych będą przechowywane osobno. Odwrócenie tego procesu będzie następowało wyłącznie w przypadku, i tylko w takim zakresie, w jakim będzie to niezbędne do osiągnięcia celu statystycznego, a następnie dane będą dalej opracowywane, zgodnie zasadami, o czym było powyżej. Zatem oprócz czysto technicznych środków ochrony wynikających z zasad zabezpieczania systemów informatycznych i polityk bezpieczeństwa stosowane będą zabezpieczania wynikające z pseudonimizacji i ochrony poufności, jaką gwarantuje tajemnica statystyczna.</w:t>
      </w:r>
    </w:p>
    <w:p w14:paraId="520E57A2" w14:textId="44953740"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przypadku specyfiki działań statystyki publicznej rozwiązania przyjęte w art. 15, </w:t>
      </w:r>
      <w:r w:rsidR="00EE6D95">
        <w:rPr>
          <w:rFonts w:cstheme="minorHAnsi"/>
          <w:color w:val="000000" w:themeColor="text1"/>
          <w:sz w:val="24"/>
          <w:szCs w:val="24"/>
        </w:rPr>
        <w:t xml:space="preserve">art. </w:t>
      </w:r>
      <w:r w:rsidRPr="00375799">
        <w:rPr>
          <w:rFonts w:cstheme="minorHAnsi"/>
          <w:color w:val="000000" w:themeColor="text1"/>
          <w:sz w:val="24"/>
          <w:szCs w:val="24"/>
        </w:rPr>
        <w:t xml:space="preserve">16, </w:t>
      </w:r>
      <w:r w:rsidR="00EE6D95">
        <w:rPr>
          <w:rFonts w:cstheme="minorHAnsi"/>
          <w:color w:val="000000" w:themeColor="text1"/>
          <w:sz w:val="24"/>
          <w:szCs w:val="24"/>
        </w:rPr>
        <w:t xml:space="preserve">art. </w:t>
      </w:r>
      <w:r w:rsidRPr="00375799">
        <w:rPr>
          <w:rFonts w:cstheme="minorHAnsi"/>
          <w:color w:val="000000" w:themeColor="text1"/>
          <w:sz w:val="24"/>
          <w:szCs w:val="24"/>
        </w:rPr>
        <w:t xml:space="preserve">18 i </w:t>
      </w:r>
      <w:r w:rsidR="00EE6D95">
        <w:rPr>
          <w:rFonts w:cstheme="minorHAnsi"/>
          <w:color w:val="000000" w:themeColor="text1"/>
          <w:sz w:val="24"/>
          <w:szCs w:val="24"/>
        </w:rPr>
        <w:t xml:space="preserve">art. </w:t>
      </w:r>
      <w:r w:rsidRPr="00375799">
        <w:rPr>
          <w:rFonts w:cstheme="minorHAnsi"/>
          <w:color w:val="000000" w:themeColor="text1"/>
          <w:sz w:val="24"/>
          <w:szCs w:val="24"/>
        </w:rPr>
        <w:t xml:space="preserve">21 </w:t>
      </w:r>
      <w:r w:rsidR="00B75ED1" w:rsidRPr="00375799">
        <w:rPr>
          <w:rFonts w:cstheme="minorHAnsi"/>
          <w:color w:val="000000" w:themeColor="text1"/>
          <w:sz w:val="24"/>
          <w:szCs w:val="24"/>
        </w:rPr>
        <w:t>RODO</w:t>
      </w:r>
      <w:r w:rsidRPr="00375799">
        <w:rPr>
          <w:rFonts w:cstheme="minorHAnsi"/>
          <w:color w:val="000000" w:themeColor="text1"/>
          <w:sz w:val="24"/>
          <w:szCs w:val="24"/>
        </w:rPr>
        <w:t xml:space="preserve"> spowodowałyby niekorzystne konsekwencje dla realizacji zadań </w:t>
      </w:r>
      <w:r w:rsidRPr="00375799">
        <w:rPr>
          <w:rFonts w:cstheme="minorHAnsi"/>
          <w:color w:val="000000" w:themeColor="text1"/>
          <w:sz w:val="24"/>
          <w:szCs w:val="24"/>
        </w:rPr>
        <w:lastRenderedPageBreak/>
        <w:t xml:space="preserve">określonych w ustawie z dnia 29 czerwca 1995 r. o statystyce publicznej. W ocenie projektodawcy już istniejące oraz wprowadzane w projekcie rozwiązania w zakresie wdrożenia odpowiednich zabezpieczeń dla praw i wolności osoby, o których mowa w art. 89 ust. 1 </w:t>
      </w:r>
      <w:r w:rsidR="00B75ED1" w:rsidRPr="00375799">
        <w:rPr>
          <w:rFonts w:cstheme="minorHAnsi"/>
          <w:color w:val="000000" w:themeColor="text1"/>
          <w:sz w:val="24"/>
          <w:szCs w:val="24"/>
        </w:rPr>
        <w:t>RODO</w:t>
      </w:r>
      <w:r w:rsidRPr="00375799">
        <w:rPr>
          <w:rFonts w:cstheme="minorHAnsi"/>
          <w:color w:val="000000" w:themeColor="text1"/>
          <w:sz w:val="24"/>
          <w:szCs w:val="24"/>
        </w:rPr>
        <w:t xml:space="preserve"> uprawniają do zastosowania przewidzianych przez unijnego ustawodawcę wyjątków. Z uwagi na fakt, iż dane wykorzystywane są wyłącznie dla celów statystycznych, osoba fizyczna, której dane są przetwarzane nie ponosi żadnych szkód w przypadku zastosowania wyjątków przewidzianych dla celów statystycznych w </w:t>
      </w:r>
      <w:r w:rsidR="00B75ED1" w:rsidRPr="00375799">
        <w:rPr>
          <w:rFonts w:cstheme="minorHAnsi"/>
          <w:color w:val="000000" w:themeColor="text1"/>
          <w:sz w:val="24"/>
          <w:szCs w:val="24"/>
        </w:rPr>
        <w:t>RODO</w:t>
      </w:r>
      <w:r w:rsidRPr="00375799">
        <w:rPr>
          <w:rFonts w:cstheme="minorHAnsi"/>
          <w:color w:val="000000" w:themeColor="text1"/>
          <w:sz w:val="24"/>
          <w:szCs w:val="24"/>
        </w:rPr>
        <w:t xml:space="preserve"> w przypadku statystyki publicznej w powyższych przepisach. Nie spowoduje to również jakiegokolwiek uszczerbku dla ochrony danych osobowych przetwarzanych przez statystykę publiczną, i nie będzie miało jakiegokolwiek wpływu na sytuację jednostki gdyż dane osobowe są i nadal będą przetwarzane tylko i wyłącznie w celu statystycznym, tj.: wyłącznie do opracowywania i tworzenia wyników oraz analiz statystycznych. Dane osobowe są i nadal będą dostępne tylko i wyłącznie określonemu kręgowi osób, w związku z wykonywaniem przez nie zadań służbowych, po złożeniu pisemnego oświadczenia o przestrzeganiu zasad poufności przetwarzanych danych i ich ochrony. Z kolei skuteczne realizowanie prawa dostępu osoby fizycznej, której dane dotyczą w przypadku statystyki publicznej jest trudne do wykonania ze względu na prowadzone w jej ramach duże badania wykorzystujące dane zebrane z kilku źródeł, w tym źródeł administracyjnych lub badania obejmujące całe społeczeństwo (spisy powszechne). Trzeba mieć również na uwadze fakt, że żądanie dostępu do danych, ich sprostowania lub sprzeciwu wobec ich przetwarzania (określone w art. 15, </w:t>
      </w:r>
      <w:r w:rsidR="00EE6D95">
        <w:rPr>
          <w:rFonts w:cstheme="minorHAnsi"/>
          <w:color w:val="000000" w:themeColor="text1"/>
          <w:sz w:val="24"/>
          <w:szCs w:val="24"/>
        </w:rPr>
        <w:t xml:space="preserve">art. </w:t>
      </w:r>
      <w:r w:rsidRPr="00375799">
        <w:rPr>
          <w:rFonts w:cstheme="minorHAnsi"/>
          <w:color w:val="000000" w:themeColor="text1"/>
          <w:sz w:val="24"/>
          <w:szCs w:val="24"/>
        </w:rPr>
        <w:t xml:space="preserve">16, </w:t>
      </w:r>
      <w:r w:rsidR="00EE6D95">
        <w:rPr>
          <w:rFonts w:cstheme="minorHAnsi"/>
          <w:color w:val="000000" w:themeColor="text1"/>
          <w:sz w:val="24"/>
          <w:szCs w:val="24"/>
        </w:rPr>
        <w:t xml:space="preserve">art. </w:t>
      </w:r>
      <w:r w:rsidRPr="00375799">
        <w:rPr>
          <w:rFonts w:cstheme="minorHAnsi"/>
          <w:color w:val="000000" w:themeColor="text1"/>
          <w:sz w:val="24"/>
          <w:szCs w:val="24"/>
        </w:rPr>
        <w:t>21 rozporządzenia 223/2009) przez podmiot może nastąpić po opracowaniu danych statystycznych (</w:t>
      </w:r>
      <w:proofErr w:type="spellStart"/>
      <w:r w:rsidRPr="00375799">
        <w:rPr>
          <w:rFonts w:cstheme="minorHAnsi"/>
          <w:color w:val="000000" w:themeColor="text1"/>
          <w:sz w:val="24"/>
          <w:szCs w:val="24"/>
        </w:rPr>
        <w:t>spseudonimizowaniu</w:t>
      </w:r>
      <w:proofErr w:type="spellEnd"/>
      <w:r w:rsidRPr="00375799">
        <w:rPr>
          <w:rFonts w:cstheme="minorHAnsi"/>
          <w:color w:val="000000" w:themeColor="text1"/>
          <w:sz w:val="24"/>
          <w:szCs w:val="24"/>
        </w:rPr>
        <w:t xml:space="preserve"> i zanonimizowaniu) oraz publikacji wynikowych informacji statystycznych, do których opracowania posłużyły. Tym samym dotarcie do danych konkretnego podmiotu tych danych będzie obiektywnie niemożliwe. Ponadto należy podkreślić, że wyłączenie stosowania art. 15 nie zmienia faktu, że podmioty danych będą informowane o okolicznościach przetwarzania ich danych osobowych w przyjęty w projekcie sposób. Wyłączenie możliwości aktywnego sprostowania danych (art. 16 </w:t>
      </w:r>
      <w:r w:rsidR="00B75ED1" w:rsidRPr="00375799">
        <w:rPr>
          <w:rFonts w:cstheme="minorHAnsi"/>
          <w:color w:val="000000" w:themeColor="text1"/>
          <w:sz w:val="24"/>
          <w:szCs w:val="24"/>
        </w:rPr>
        <w:t>RODO</w:t>
      </w:r>
      <w:r w:rsidRPr="00375799">
        <w:rPr>
          <w:rFonts w:cstheme="minorHAnsi"/>
          <w:color w:val="000000" w:themeColor="text1"/>
          <w:sz w:val="24"/>
          <w:szCs w:val="24"/>
        </w:rPr>
        <w:t xml:space="preserve">) nie oznacza, że służby statystyki publicznej nie będą obowiązane do zachowania aktualności i poprawności danych. Nie przewiduje się bowiem wyłączenia zasady prawidłowości danych (art. 5 ust. 1 lit. d). W przypadku prawa do ograniczania przetwarzania danych </w:t>
      </w:r>
      <w:r w:rsidR="00B459F8">
        <w:rPr>
          <w:rFonts w:cstheme="minorHAnsi"/>
          <w:color w:val="000000" w:themeColor="text1"/>
          <w:sz w:val="24"/>
          <w:szCs w:val="24"/>
        </w:rPr>
        <w:t>–</w:t>
      </w:r>
      <w:r w:rsidRPr="00375799">
        <w:rPr>
          <w:rFonts w:cstheme="minorHAnsi"/>
          <w:color w:val="000000" w:themeColor="text1"/>
          <w:sz w:val="24"/>
          <w:szCs w:val="24"/>
        </w:rPr>
        <w:t xml:space="preserve"> art. 18 ww. rozporządzenia, należy podnieść, że przedmiotowa nowelizacja umacnia podstawy prawne przetwarzania danych osobowych, zgodnie z wymogami stawianymi przez przepisy </w:t>
      </w:r>
      <w:r w:rsidR="00B75ED1" w:rsidRPr="00375799">
        <w:rPr>
          <w:rFonts w:cstheme="minorHAnsi"/>
          <w:color w:val="000000" w:themeColor="text1"/>
          <w:sz w:val="24"/>
          <w:szCs w:val="24"/>
        </w:rPr>
        <w:t>RODO</w:t>
      </w:r>
      <w:r w:rsidRPr="00375799">
        <w:rPr>
          <w:rFonts w:cstheme="minorHAnsi"/>
          <w:color w:val="000000" w:themeColor="text1"/>
          <w:sz w:val="24"/>
          <w:szCs w:val="24"/>
        </w:rPr>
        <w:t>.</w:t>
      </w:r>
    </w:p>
    <w:p w14:paraId="0B44BF4A" w14:textId="479E56EA"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Odnośnie do art. 21 </w:t>
      </w:r>
      <w:r w:rsidR="00B75ED1" w:rsidRPr="00375799">
        <w:rPr>
          <w:rFonts w:cstheme="minorHAnsi"/>
          <w:color w:val="000000" w:themeColor="text1"/>
          <w:sz w:val="24"/>
          <w:szCs w:val="24"/>
        </w:rPr>
        <w:t>RODO</w:t>
      </w:r>
      <w:r w:rsidRPr="00375799">
        <w:rPr>
          <w:rFonts w:cstheme="minorHAnsi"/>
          <w:color w:val="000000" w:themeColor="text1"/>
          <w:sz w:val="24"/>
          <w:szCs w:val="24"/>
        </w:rPr>
        <w:t xml:space="preserve"> (prawo sprzeciwu) należy wskazać, że miałby on ograniczone zastosowanie do służb statystyki publicznej z uwagi na to, iż zadania służb statystycznych oparte są o przepisy prawa. W zakresie w jakim prawo sprzeciwu miałoby jednak zastosowanie, korzystanie przez podmioty danych z tego uprawnienia utrudniłoby realizację zadań. Należałoby bowiem każdorazowo wskazać nadrzędność podstaw prawnych nad prawami i wolnościami podmiotów danych, co w przypadku badań statystycznych wydaje się niecelowe.</w:t>
      </w:r>
    </w:p>
    <w:p w14:paraId="676B40C3" w14:textId="7C7CCE6D"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W cytowanym już wyroku Trybunału Konstytucyjnego K 33/08 podniesiono, że „jak wynika z preambuły do Konstytucji, jedną z wartości jest zapewnienie rzetelności i sprawności działani</w:t>
      </w:r>
      <w:r w:rsidR="00B459F8">
        <w:rPr>
          <w:rFonts w:cstheme="minorHAnsi"/>
          <w:color w:val="000000" w:themeColor="text1"/>
          <w:sz w:val="24"/>
          <w:szCs w:val="24"/>
        </w:rPr>
        <w:t>a</w:t>
      </w:r>
      <w:r w:rsidRPr="00375799">
        <w:rPr>
          <w:rFonts w:cstheme="minorHAnsi"/>
          <w:color w:val="000000" w:themeColor="text1"/>
          <w:sz w:val="24"/>
          <w:szCs w:val="24"/>
        </w:rPr>
        <w:t xml:space="preserve"> instytucji publicznych. Dla efektywnego funkcjonowania państwa niezbędne jest oparcie działań organów państwowych na wiedzy o rzeczywistym obrazie społeczeństwa i gospodarki. Informacje te konieczne są również w celu realizacji określonych norm zawartych w Konstytucji, wyznaczających treść i sposób działania organów państwowych, takich jak zasada zrównoważonego rozwoju (art. 5) czy społeczna gospodarka rynkowa (art. 20)”. Zatem wychodząc z założenia, że prawidłowe funkcjonowanie statystyki publicznej mieści się w celu leżącym w ogólnym interesie publicznym, który jest w art. 23 ust. 1 lit. c </w:t>
      </w:r>
      <w:r w:rsidR="00B75ED1" w:rsidRPr="00375799">
        <w:rPr>
          <w:rFonts w:cstheme="minorHAnsi"/>
          <w:color w:val="000000" w:themeColor="text1"/>
          <w:sz w:val="24"/>
          <w:szCs w:val="24"/>
        </w:rPr>
        <w:t>RODO</w:t>
      </w:r>
      <w:r w:rsidRPr="00375799">
        <w:rPr>
          <w:rFonts w:cstheme="minorHAnsi"/>
          <w:color w:val="000000" w:themeColor="text1"/>
          <w:sz w:val="24"/>
          <w:szCs w:val="24"/>
        </w:rPr>
        <w:t xml:space="preserve"> wskazany jako jedna z przesłanek pozwalających na ograniczenie obowiązków i praw przewidzianych w art. 12</w:t>
      </w:r>
      <w:r w:rsidR="00B459F8">
        <w:rPr>
          <w:rFonts w:cstheme="minorHAnsi"/>
          <w:color w:val="000000" w:themeColor="text1"/>
          <w:sz w:val="24"/>
          <w:szCs w:val="24"/>
        </w:rPr>
        <w:t>–</w:t>
      </w:r>
      <w:r w:rsidRPr="00375799">
        <w:rPr>
          <w:rFonts w:cstheme="minorHAnsi"/>
          <w:color w:val="000000" w:themeColor="text1"/>
          <w:sz w:val="24"/>
          <w:szCs w:val="24"/>
        </w:rPr>
        <w:t xml:space="preserve">22 i art. 34 zaproponowane zostały w projektowanym art. 35h ust. </w:t>
      </w:r>
      <w:r w:rsidR="003D41A7" w:rsidRPr="00375799">
        <w:rPr>
          <w:rFonts w:cstheme="minorHAnsi"/>
          <w:color w:val="000000" w:themeColor="text1"/>
          <w:sz w:val="24"/>
          <w:szCs w:val="24"/>
        </w:rPr>
        <w:t xml:space="preserve">1 </w:t>
      </w:r>
      <w:r w:rsidRPr="00375799">
        <w:rPr>
          <w:rFonts w:cstheme="minorHAnsi"/>
          <w:color w:val="000000" w:themeColor="text1"/>
          <w:sz w:val="24"/>
          <w:szCs w:val="24"/>
        </w:rPr>
        <w:t xml:space="preserve">rozwiązania w zakresie stosowania niektórych przepisów </w:t>
      </w:r>
      <w:r w:rsidR="00EE6D95">
        <w:rPr>
          <w:rFonts w:cstheme="minorHAnsi"/>
          <w:color w:val="000000" w:themeColor="text1"/>
          <w:sz w:val="24"/>
          <w:szCs w:val="24"/>
        </w:rPr>
        <w:t>RODO</w:t>
      </w:r>
      <w:r w:rsidRPr="00375799">
        <w:rPr>
          <w:rFonts w:cstheme="minorHAnsi"/>
          <w:color w:val="000000" w:themeColor="text1"/>
          <w:sz w:val="24"/>
          <w:szCs w:val="24"/>
        </w:rPr>
        <w:t xml:space="preserve">. Jednocześnie w ocenie projektodawcy przepisy ustawy o statystyce publicznej spełniają przesłanki określone w ust. 2 art. 23 </w:t>
      </w:r>
      <w:r w:rsidR="00B75ED1" w:rsidRPr="00375799">
        <w:rPr>
          <w:rFonts w:cstheme="minorHAnsi"/>
          <w:color w:val="000000" w:themeColor="text1"/>
          <w:sz w:val="24"/>
          <w:szCs w:val="24"/>
        </w:rPr>
        <w:t>RODO</w:t>
      </w:r>
      <w:r w:rsidRPr="00375799">
        <w:rPr>
          <w:rFonts w:cstheme="minorHAnsi"/>
          <w:color w:val="000000" w:themeColor="text1"/>
          <w:sz w:val="24"/>
          <w:szCs w:val="24"/>
        </w:rPr>
        <w:t>.</w:t>
      </w:r>
    </w:p>
    <w:p w14:paraId="18A0729A" w14:textId="50E207CD"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projektowanym art. 35h ust. 2 wprowadzona została zasada, że informacje, do których przekazania jest obowiązany administrator zgodnie z art. 13 ust. 1 i</w:t>
      </w:r>
      <w:r w:rsidR="003D41A7" w:rsidRPr="00375799">
        <w:rPr>
          <w:rFonts w:cstheme="minorHAnsi"/>
          <w:color w:val="000000" w:themeColor="text1"/>
          <w:sz w:val="24"/>
          <w:szCs w:val="24"/>
        </w:rPr>
        <w:t xml:space="preserve"> 2</w:t>
      </w:r>
      <w:r w:rsidRPr="00375799">
        <w:rPr>
          <w:rFonts w:cstheme="minorHAnsi"/>
          <w:color w:val="000000" w:themeColor="text1"/>
          <w:sz w:val="24"/>
          <w:szCs w:val="24"/>
        </w:rPr>
        <w:t xml:space="preserve"> </w:t>
      </w:r>
      <w:r w:rsidR="00B75ED1" w:rsidRPr="00375799">
        <w:rPr>
          <w:rFonts w:cstheme="minorHAnsi"/>
          <w:color w:val="000000" w:themeColor="text1"/>
          <w:sz w:val="24"/>
          <w:szCs w:val="24"/>
        </w:rPr>
        <w:t>RODO</w:t>
      </w:r>
      <w:r w:rsidRPr="00375799">
        <w:rPr>
          <w:rFonts w:cstheme="minorHAnsi"/>
          <w:color w:val="000000" w:themeColor="text1"/>
          <w:sz w:val="24"/>
          <w:szCs w:val="24"/>
        </w:rPr>
        <w:t xml:space="preserve">, zostaną zamieszczone na stronie internetowej Głównego Urzędu Statystycznego oraz na stronie podmiotowej Biuletynu Informacji Publicznej (BIP). Powyższa propozycja pozwala na zapewnienie pełnej informacji, a tym samym realizację obowiązku informacyjnego ciążącego na administratorze. Podkreślić należy, że obowiązek sprawozdawczy jest realizowany przez respondentów albo w postaci udzielania odpowiedzi w ramach wywiadu przeprowadzanego przez ankietera statystycznego albo w postaci elektronicznej z wykorzystaniem elektronicznej platformy gromadzenia danych, o której mowa w art. 28a ust. 1 ustawy (Portal Sprawozdawczy). Zatem, w przypadku przekazywania danych na cele statystycznie, co do zasady nie jest przewidziana możliwość realizacji tego obowiązku w urzędzie. Stąd zaproponowano, by informacje, o których mowa w art. 13 ust. 1 i 2 </w:t>
      </w:r>
      <w:r w:rsidR="00B75ED1" w:rsidRPr="00375799">
        <w:rPr>
          <w:rFonts w:cstheme="minorHAnsi"/>
          <w:color w:val="000000" w:themeColor="text1"/>
          <w:sz w:val="24"/>
          <w:szCs w:val="24"/>
        </w:rPr>
        <w:t>RODO</w:t>
      </w:r>
      <w:r w:rsidR="009D1DB1" w:rsidRPr="00375799">
        <w:rPr>
          <w:rFonts w:cstheme="minorHAnsi"/>
          <w:color w:val="000000" w:themeColor="text1"/>
          <w:sz w:val="24"/>
          <w:szCs w:val="24"/>
        </w:rPr>
        <w:t>,</w:t>
      </w:r>
      <w:r w:rsidRPr="00375799">
        <w:rPr>
          <w:rFonts w:cstheme="minorHAnsi"/>
          <w:color w:val="000000" w:themeColor="text1"/>
          <w:sz w:val="24"/>
          <w:szCs w:val="24"/>
        </w:rPr>
        <w:t xml:space="preserve"> były zamieszczone na stronie internetowej Urzędu i w BIP Urzędu, a informacja o sposobie ich udostępnienia będzie przekazywana albo w ramach realizowania istniejącego obecnie obowiązku informacyjnego, o czym mowa w projektowanym art. 35h ust. 3</w:t>
      </w:r>
      <w:r w:rsidR="009D1DB1" w:rsidRPr="00375799">
        <w:rPr>
          <w:rFonts w:cstheme="minorHAnsi"/>
          <w:color w:val="000000" w:themeColor="text1"/>
          <w:sz w:val="24"/>
          <w:szCs w:val="24"/>
        </w:rPr>
        <w:t>,</w:t>
      </w:r>
      <w:r w:rsidRPr="00375799">
        <w:rPr>
          <w:rFonts w:cstheme="minorHAnsi"/>
          <w:color w:val="000000" w:themeColor="text1"/>
          <w:sz w:val="24"/>
          <w:szCs w:val="24"/>
        </w:rPr>
        <w:t xml:space="preserve"> albo na stronie logowania do Portalu Sprawozdawczego. </w:t>
      </w:r>
    </w:p>
    <w:p w14:paraId="5E5937CA" w14:textId="5B081386"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Odnosząc się do projektowanego brzmienia art. 35h ust. 3 należy podkreślić, że ustawodawca mając na względzie zapewnienie wszechstronnej informacji w zakresie wykorzystywania przez służby statystyki danych pozyskiwanych bezpośrednio od respondentów stanowi w obecnie obowiązujących przepisach ustawy, iż przed rozpoczęciem badania, tj. przed przystąpieniem do udzielania odpowiedzi na pytania przez osobę fizyczną, osoba ta, informowana jest o podstawie prawnej badania, celu badania, gwarancjach zachowania tajemnicy statystycznej oraz czy badanie prowadzone jest na zasadzie obowiązku czy dobrowolności – obecny przepis art. 35b ust. 4 ustawy. Tym samym, mając na uwadze wieloletnią praktykę w tym zakresie, projektodawca postanowił w art. 35h ust. 3, że informacja o sposobie wykonania obowiązku informacyjnego, o którym mowa w art. 13 ust. 1 i </w:t>
      </w:r>
      <w:r w:rsidRPr="00375799">
        <w:rPr>
          <w:rFonts w:cstheme="minorHAnsi"/>
          <w:color w:val="000000" w:themeColor="text1"/>
          <w:sz w:val="24"/>
          <w:szCs w:val="24"/>
        </w:rPr>
        <w:lastRenderedPageBreak/>
        <w:t xml:space="preserve">2 </w:t>
      </w:r>
      <w:r w:rsidR="00B75ED1" w:rsidRPr="00375799">
        <w:rPr>
          <w:rFonts w:cstheme="minorHAnsi"/>
          <w:color w:val="000000" w:themeColor="text1"/>
          <w:sz w:val="24"/>
          <w:szCs w:val="24"/>
        </w:rPr>
        <w:t>RODO</w:t>
      </w:r>
      <w:r w:rsidR="0007157D" w:rsidRPr="00375799">
        <w:rPr>
          <w:rFonts w:cstheme="minorHAnsi"/>
          <w:color w:val="000000" w:themeColor="text1"/>
          <w:sz w:val="24"/>
          <w:szCs w:val="24"/>
        </w:rPr>
        <w:t>,</w:t>
      </w:r>
      <w:r w:rsidRPr="00375799">
        <w:rPr>
          <w:rFonts w:cstheme="minorHAnsi"/>
          <w:color w:val="000000" w:themeColor="text1"/>
          <w:sz w:val="24"/>
          <w:szCs w:val="24"/>
        </w:rPr>
        <w:t xml:space="preserve"> będzie przekazywana razem z informacjami, do których przekazania obowiązane są służby statystyki publicznej w projektowanym art. 6 ust. 5 (obecny art. 35b ust. 4 ustawy).</w:t>
      </w:r>
    </w:p>
    <w:p w14:paraId="1FBE22EA" w14:textId="0A9C2063"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Wobec zapewnienia możliwości bezpośredniej informacji o sposobie wykonania  obowiązku, o którym mowa w art. 13 ust. 1 i 2 </w:t>
      </w:r>
      <w:r w:rsidR="00B75ED1" w:rsidRPr="00375799">
        <w:rPr>
          <w:rFonts w:cstheme="minorHAnsi"/>
          <w:color w:val="000000" w:themeColor="text1"/>
          <w:sz w:val="24"/>
          <w:szCs w:val="24"/>
        </w:rPr>
        <w:t>RODO</w:t>
      </w:r>
      <w:r w:rsidRPr="00375799">
        <w:rPr>
          <w:rFonts w:cstheme="minorHAnsi"/>
          <w:color w:val="000000" w:themeColor="text1"/>
          <w:sz w:val="24"/>
          <w:szCs w:val="24"/>
        </w:rPr>
        <w:t xml:space="preserve">, projektodawca odstąpił od jego wykonania w drodze umieszczenia informacji w postaci papierowej w widocznym miejscu w budynku urzędu. Jednocześnie należy podnieść, że  w urzędach statystycznych i w budynku Głównego Urzędu Statystycznego funkcjonują wydzielone miejsca tzw. </w:t>
      </w:r>
      <w:proofErr w:type="spellStart"/>
      <w:r w:rsidRPr="00375799">
        <w:rPr>
          <w:rFonts w:cstheme="minorHAnsi"/>
          <w:color w:val="000000" w:themeColor="text1"/>
          <w:sz w:val="24"/>
          <w:szCs w:val="24"/>
        </w:rPr>
        <w:t>informatoria</w:t>
      </w:r>
      <w:proofErr w:type="spellEnd"/>
      <w:r w:rsidRPr="00375799">
        <w:rPr>
          <w:rFonts w:cstheme="minorHAnsi"/>
          <w:color w:val="000000" w:themeColor="text1"/>
          <w:sz w:val="24"/>
          <w:szCs w:val="24"/>
        </w:rPr>
        <w:t xml:space="preserve"> statystyczne, których celem jest zapewnienie możliwości, zarówno bezpośredniego, jak i elektronicznego korzystania ze zbiorów informacyjnych statystyki publicznej. Każdy zainteresowany będzie mógł uzyskać dostęp do ww. informacji zamieszczonych na stronie internetowej Urzędu lub BIP Urzędu na wydzielonych stanowiskach komputerowych umieszczonych w </w:t>
      </w:r>
      <w:proofErr w:type="spellStart"/>
      <w:r w:rsidRPr="00375799">
        <w:rPr>
          <w:rFonts w:cstheme="minorHAnsi"/>
          <w:color w:val="000000" w:themeColor="text1"/>
          <w:sz w:val="24"/>
          <w:szCs w:val="24"/>
        </w:rPr>
        <w:t>informatoriach</w:t>
      </w:r>
      <w:proofErr w:type="spellEnd"/>
      <w:r w:rsidRPr="00375799">
        <w:rPr>
          <w:rFonts w:cstheme="minorHAnsi"/>
          <w:color w:val="000000" w:themeColor="text1"/>
          <w:sz w:val="24"/>
          <w:szCs w:val="24"/>
        </w:rPr>
        <w:t xml:space="preserve"> oraz skorzystać z pomocy pracowników </w:t>
      </w:r>
      <w:proofErr w:type="spellStart"/>
      <w:r w:rsidRPr="00375799">
        <w:rPr>
          <w:rFonts w:cstheme="minorHAnsi"/>
          <w:color w:val="000000" w:themeColor="text1"/>
          <w:sz w:val="24"/>
          <w:szCs w:val="24"/>
        </w:rPr>
        <w:t>informatoriów</w:t>
      </w:r>
      <w:proofErr w:type="spellEnd"/>
      <w:r w:rsidRPr="00375799">
        <w:rPr>
          <w:rFonts w:cstheme="minorHAnsi"/>
          <w:color w:val="000000" w:themeColor="text1"/>
          <w:sz w:val="24"/>
          <w:szCs w:val="24"/>
        </w:rPr>
        <w:t xml:space="preserve">. Warto zauważyć, że </w:t>
      </w:r>
      <w:proofErr w:type="spellStart"/>
      <w:r w:rsidRPr="00375799">
        <w:rPr>
          <w:rFonts w:cstheme="minorHAnsi"/>
          <w:color w:val="000000" w:themeColor="text1"/>
          <w:sz w:val="24"/>
          <w:szCs w:val="24"/>
        </w:rPr>
        <w:t>informatoria</w:t>
      </w:r>
      <w:proofErr w:type="spellEnd"/>
      <w:r w:rsidRPr="00375799">
        <w:rPr>
          <w:rFonts w:cstheme="minorHAnsi"/>
          <w:color w:val="000000" w:themeColor="text1"/>
          <w:sz w:val="24"/>
          <w:szCs w:val="24"/>
        </w:rPr>
        <w:t xml:space="preserve"> są również dostosowane do potrzeb osób z ograniczeniami ruchowymi, a w przypadku trudności w komunikowaniu się jest możliwość uzyskania informacji w języku migowym.</w:t>
      </w:r>
    </w:p>
    <w:p w14:paraId="75B068EB" w14:textId="7DBAAAB1" w:rsidR="00081450" w:rsidRPr="00375799" w:rsidRDefault="006F2E9F"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W pkt 14</w:t>
      </w:r>
      <w:r w:rsidR="00FD1592" w:rsidRPr="00375799">
        <w:rPr>
          <w:rFonts w:cstheme="minorHAnsi"/>
          <w:color w:val="000000" w:themeColor="text1"/>
          <w:sz w:val="24"/>
          <w:szCs w:val="24"/>
        </w:rPr>
        <w:t xml:space="preserve"> zaproponowane zostało doprecyzowanie brzmienia obecnego art. 35g. Do prowadzenia badań statystycznych dopuszcza się możliwość uczestnictwa innych podmiotów, o których mowa w art. 20 ustawy o statystyce publicznej. Mając na względzie zapewnienie ochrony danych osobowych pozyskanych w badaniach statystycznych w ramach całej statystyki publicznej wskazano, że w tym zakresie przepisy muszą być przestrzegane również przez te jednostki, w zakresie prowadzonych przez nie badań statystycznych.</w:t>
      </w:r>
      <w:r w:rsidR="00CB56B3" w:rsidRPr="00375799">
        <w:rPr>
          <w:rFonts w:cstheme="minorHAnsi"/>
          <w:color w:val="000000" w:themeColor="text1"/>
          <w:sz w:val="24"/>
          <w:szCs w:val="24"/>
        </w:rPr>
        <w:t xml:space="preserve"> </w:t>
      </w:r>
      <w:r>
        <w:rPr>
          <w:rFonts w:cstheme="minorHAnsi"/>
          <w:color w:val="000000" w:themeColor="text1"/>
          <w:sz w:val="24"/>
          <w:szCs w:val="24"/>
        </w:rPr>
        <w:t>W pkt 16</w:t>
      </w:r>
      <w:r w:rsidR="00081450" w:rsidRPr="00375799">
        <w:rPr>
          <w:rFonts w:cstheme="minorHAnsi"/>
          <w:color w:val="000000" w:themeColor="text1"/>
          <w:sz w:val="24"/>
          <w:szCs w:val="24"/>
        </w:rPr>
        <w:t xml:space="preserve"> zmiana w art. 39 związana jest ze zmianami w rozdziale 4a.</w:t>
      </w:r>
      <w:r w:rsidR="00CB56B3" w:rsidRPr="00375799">
        <w:rPr>
          <w:rFonts w:cstheme="minorHAnsi"/>
          <w:color w:val="000000" w:themeColor="text1"/>
          <w:sz w:val="24"/>
          <w:szCs w:val="24"/>
        </w:rPr>
        <w:t xml:space="preserve"> </w:t>
      </w:r>
      <w:r>
        <w:rPr>
          <w:rFonts w:cstheme="minorHAnsi"/>
          <w:color w:val="000000" w:themeColor="text1"/>
          <w:sz w:val="24"/>
          <w:szCs w:val="24"/>
        </w:rPr>
        <w:t>W pkt 17</w:t>
      </w:r>
      <w:r w:rsidR="00081450" w:rsidRPr="00375799">
        <w:rPr>
          <w:rFonts w:cstheme="minorHAnsi"/>
          <w:color w:val="000000" w:themeColor="text1"/>
          <w:sz w:val="24"/>
          <w:szCs w:val="24"/>
        </w:rPr>
        <w:t xml:space="preserve"> wprowadzony został nowy rozdział 5a Operat do badań statystycznych.</w:t>
      </w:r>
      <w:r w:rsidR="00CB56B3" w:rsidRPr="00375799">
        <w:rPr>
          <w:rFonts w:cstheme="minorHAnsi"/>
          <w:color w:val="000000" w:themeColor="text1"/>
          <w:sz w:val="24"/>
          <w:szCs w:val="24"/>
        </w:rPr>
        <w:t xml:space="preserve"> </w:t>
      </w:r>
      <w:r w:rsidR="00081450" w:rsidRPr="00375799">
        <w:rPr>
          <w:rFonts w:cstheme="minorHAnsi"/>
          <w:color w:val="000000" w:themeColor="text1"/>
          <w:sz w:val="24"/>
          <w:szCs w:val="24"/>
        </w:rPr>
        <w:t>Operat do badań statystycznych (OBS) jest narzędziem ułatwiającym prowadzenie badań statystycznych, w tym spisów powszechnych. Ze względu na jego istotną rolę w pracach służb statystyki publicznej i przetwarzanie w nim danych osobowych, dotychczasowe przepisy ustawy o statystyce publicznej dotyczące operatu do badań statystycznych zostały przeniesione do nowego rozdziału i uszczegółowione. Głównym celem funkcjonowania OBS jest zapewnienie informacji służących realizacji przez statystykę publiczną badań prowadzonych we wszystkich obszarach badawczych ujętych w Programach Badań Statystycznych Statystyki Publicznej, zgodnie z zapotrzebowaniem zgłaszanym przez użytkowników krajowych i zagranicznych, w tym zgodnie z wymogam</w:t>
      </w:r>
      <w:r w:rsidR="00CB56B3" w:rsidRPr="00375799">
        <w:rPr>
          <w:rFonts w:cstheme="minorHAnsi"/>
          <w:color w:val="000000" w:themeColor="text1"/>
          <w:sz w:val="24"/>
          <w:szCs w:val="24"/>
        </w:rPr>
        <w:t xml:space="preserve">i organizacji międzynarodowych. </w:t>
      </w:r>
      <w:r w:rsidR="00081450" w:rsidRPr="00375799">
        <w:rPr>
          <w:rFonts w:cstheme="minorHAnsi"/>
          <w:color w:val="000000" w:themeColor="text1"/>
          <w:sz w:val="24"/>
          <w:szCs w:val="24"/>
        </w:rPr>
        <w:t>OBS:</w:t>
      </w:r>
    </w:p>
    <w:p w14:paraId="0BB5F9BC" w14:textId="77777777" w:rsidR="00081450" w:rsidRPr="00375799" w:rsidRDefault="00081450" w:rsidP="000F5261">
      <w:pPr>
        <w:pStyle w:val="Akapitzlist"/>
        <w:numPr>
          <w:ilvl w:val="0"/>
          <w:numId w:val="2"/>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zawiera wszystkie typy jednostek podlegających obserwacjom statystycznym, </w:t>
      </w:r>
    </w:p>
    <w:p w14:paraId="5F3A463C" w14:textId="77777777" w:rsidR="00081450" w:rsidRPr="00375799" w:rsidRDefault="00081450" w:rsidP="000F5261">
      <w:pPr>
        <w:pStyle w:val="Akapitzlist"/>
        <w:numPr>
          <w:ilvl w:val="0"/>
          <w:numId w:val="2"/>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zawiera minimalny zakres cech identyfikujących badaną jednostkę,</w:t>
      </w:r>
    </w:p>
    <w:p w14:paraId="59A55AB1" w14:textId="77777777" w:rsidR="00081450" w:rsidRPr="00375799" w:rsidRDefault="00081450" w:rsidP="000F5261">
      <w:pPr>
        <w:pStyle w:val="Akapitzlist"/>
        <w:numPr>
          <w:ilvl w:val="0"/>
          <w:numId w:val="2"/>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umożliwia precyzyjny wybór próby pod względem podmiotowym i przestrzennym, co służy minimalizacji obciążenia respondentów i minimalizuje koszty badań, oraz poprawia precyzje wyników uzyskiwanych w badaniach reprezentacyjnych,</w:t>
      </w:r>
    </w:p>
    <w:p w14:paraId="37950B8C" w14:textId="77777777" w:rsidR="00081450" w:rsidRPr="00375799" w:rsidRDefault="00081450" w:rsidP="000F5261">
      <w:pPr>
        <w:pStyle w:val="Akapitzlist"/>
        <w:numPr>
          <w:ilvl w:val="0"/>
          <w:numId w:val="2"/>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pozwala na ograniczenie dostępu do niezbędnego minimum informacji, w zależności od celu statystycznego. </w:t>
      </w:r>
    </w:p>
    <w:p w14:paraId="6BE8CC21" w14:textId="18C6F4DF"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Wychodząc naprzeciw oczekiwaniom Europejskiej Komisji Gospodarczej ONZ o przechowywaniu zbiorów danych jednostkowych ze spisów zaproponowany został przepis określający okres przetwarzania danych osobowych w OBS. Podkreślić należy, że również ustawodawca unijny w art. 5 ust. 1 lit. e wskazał na możliwość dłuższego przechowywania danych, jeżeli są one przetwarzane do celów statystycznych, zgodnie z art. 89 ust. 1. Przyjęty</w:t>
      </w:r>
      <w:r w:rsidR="00D7792F" w:rsidRPr="00375799">
        <w:rPr>
          <w:rFonts w:cstheme="minorHAnsi"/>
          <w:color w:val="000000" w:themeColor="text1"/>
          <w:sz w:val="24"/>
          <w:szCs w:val="24"/>
        </w:rPr>
        <w:t xml:space="preserve"> </w:t>
      </w:r>
      <w:r w:rsidRPr="00375799">
        <w:rPr>
          <w:rFonts w:cstheme="minorHAnsi"/>
          <w:color w:val="000000" w:themeColor="text1"/>
          <w:sz w:val="24"/>
          <w:szCs w:val="24"/>
        </w:rPr>
        <w:t xml:space="preserve">w projekcie okres przechowywania danych znajduje swoje uzasadnienie w specyfice działalności służb statystyki publicznej. </w:t>
      </w:r>
    </w:p>
    <w:p w14:paraId="5CEBF8C2" w14:textId="229336EE"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Europejska Komisja Gospodarcza ONZ dokonując w 2013 r. analizy wyników spisów i wydając rekomendacje do spisów w roku 2020 przedstawiła zalecenie, dotyczące wydłużenia okresu przechowywania danych zebranych w spisach z uwagi na potrzebę przeprowadzenia porównań w długich szeregach czasowych, pozwalających na wskazanie zmian zachodzących w czasie. W ocenie projektodawcy, zakładany 100 letni okres przechowywania danych w OBS, umożliwi dokonywanie przez statystykę publiczną na przestrzeni wielu lat ciągłej obserwacji populacji oraz porównywanie danych również w retrospekcji. Będzie to stanowiło bezcenne źródło dla badań</w:t>
      </w:r>
      <w:r w:rsidR="007B366E" w:rsidRPr="00375799">
        <w:rPr>
          <w:rFonts w:cstheme="minorHAnsi"/>
          <w:color w:val="000000" w:themeColor="text1"/>
          <w:sz w:val="24"/>
          <w:szCs w:val="24"/>
        </w:rPr>
        <w:t>,</w:t>
      </w:r>
      <w:r w:rsidRPr="00375799">
        <w:rPr>
          <w:rFonts w:cstheme="minorHAnsi"/>
          <w:color w:val="000000" w:themeColor="text1"/>
          <w:sz w:val="24"/>
          <w:szCs w:val="24"/>
        </w:rPr>
        <w:t xml:space="preserve"> np. charakteryzujących rodziny, gospodarstwa domowe, wybrane grupy społeczne, w tym grupy osób zagrożonych wykluczeniem społecznym, imigrantów, w tym imigrantów zarobkowych oraz warunki życia ludności. Posiadanie takich informacji jest istotnym źródłem informacji służących tworzeniu nowych polityk społecznych, gospodarczych, migracyjnych i środowiskowych, a także gospodarczych oraz ocenie ich skuteczności. Wpisuje się także w szeroko pojęte dziedzictwo narodowe, pozwalające na prowadzenie badań naukowych i historycznych. W wielu krajach dane statystyczne, w tym dane osobowe</w:t>
      </w:r>
      <w:r w:rsidR="007B366E" w:rsidRPr="00375799">
        <w:rPr>
          <w:rFonts w:cstheme="minorHAnsi"/>
          <w:color w:val="000000" w:themeColor="text1"/>
          <w:sz w:val="24"/>
          <w:szCs w:val="24"/>
        </w:rPr>
        <w:t>,</w:t>
      </w:r>
      <w:r w:rsidRPr="00375799">
        <w:rPr>
          <w:rFonts w:cstheme="minorHAnsi"/>
          <w:color w:val="000000" w:themeColor="text1"/>
          <w:sz w:val="24"/>
          <w:szCs w:val="24"/>
        </w:rPr>
        <w:t xml:space="preserve"> np. pochodzące ze spisów powszechnych</w:t>
      </w:r>
      <w:r w:rsidR="007B366E" w:rsidRPr="00375799">
        <w:rPr>
          <w:rFonts w:cstheme="minorHAnsi"/>
          <w:color w:val="000000" w:themeColor="text1"/>
          <w:sz w:val="24"/>
          <w:szCs w:val="24"/>
        </w:rPr>
        <w:t>,</w:t>
      </w:r>
      <w:r w:rsidRPr="00375799">
        <w:rPr>
          <w:rFonts w:cstheme="minorHAnsi"/>
          <w:color w:val="000000" w:themeColor="text1"/>
          <w:sz w:val="24"/>
          <w:szCs w:val="24"/>
        </w:rPr>
        <w:t xml:space="preserve"> są przechowywane przez kilkudziesięcioletnie okresy </w:t>
      </w:r>
      <w:r w:rsidRPr="00375799">
        <w:rPr>
          <w:rFonts w:cstheme="minorHAnsi"/>
          <w:color w:val="000000" w:themeColor="text1"/>
          <w:sz w:val="24"/>
          <w:szCs w:val="24"/>
        </w:rPr>
        <w:br/>
        <w:t xml:space="preserve">i udostępniane do publicznego użytku po 100 latach, jak to ma miejsce w przypadku Wielkiej Brytanii lub 72 latach w przypadku USA. W przypadku OBS dane takie nie będą udostępniane w sposób inny niż określony w art. 20 ust. 4 ustawy o statystyce publicznej, który zakłada udostępnienie danych adresowych podmiotów wylosowanych do badania lub wybranych na podstawie wskazanych przez prowadzącego badanie cech, z wyłączeniem danych adresowych osób fizycznych nieprowadzących działalności gospodarczej. </w:t>
      </w:r>
    </w:p>
    <w:p w14:paraId="63B32488" w14:textId="5FE1D31F"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Statystyka publiczna jest obowiązana do stosowania kilkudziesięcioletnich okresów retencji danych również w przypadkach, gdy dane dotyczą przedsiębiorstw, ze względu na prowadzone analizy statystyczne. Zgodnie z art. 8 ust. 4 rozporządzenia Parlamentu Europejskiego i Rady (WE) nr 177/2008 z dnia 20 lutego 2008 r. ustanawiającego wspólne ramy dla rejestrów przedsiębiorstw do celów statystycznych i uchylającego rozporządzenie Rady (EWG) nr 2186/93 (Dz. Urz. UE L 61 z 05.03.2008, str. 6) państwa członkowskie corocznie sporządzają kopię, która przedstawia stan rejestrów na koniec roku, i zachowują tę kopię przez okres co najmniej 30 lat do celów analizy.</w:t>
      </w:r>
    </w:p>
    <w:p w14:paraId="6A8D717C" w14:textId="7777777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Dla zapewnienia wysokiej jakości i kompletności OBS wykorzystywane będą różne źródła aktualizacji, m.in.: systemy informacyjne administracyjne i niepubliczne oraz informacje pochodzące od jednostek sprawozdawczych.</w:t>
      </w:r>
    </w:p>
    <w:p w14:paraId="4F479A75" w14:textId="35800927" w:rsidR="00081450" w:rsidRPr="00375799" w:rsidRDefault="0008145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Projektowane rozwiązanie zapewnia gwarancje ochrony przetwarzanych danych statystycznych przez odesłanie do bezwzględnej tajemnicy, jaką jest tajemnica statystyczna. Sposób prowadzenia operatu do badań statystycznych zapewnia właściwą ochronę danych zgromadzonych w operacie, w tym danych osobowych. Są one umieszczane w bezpiecznym środowisku w odrębnych tabelach. W celu zachowania zasady poufności dostęp do danych identyfikujących osoby jest ograniczony wyłącznie do osób prowadzących badanie. Dane jednostkowe z OBS zgodnie z ustawą o statystyce publicznej są udostępniane wyłącznie jednostkom prowadzącym badania statystyczne określane corocznie w drodze rozporządzenia Rady Ministrów w sprawie programu badań statystycznych statystyki publicznej. </w:t>
      </w:r>
    </w:p>
    <w:p w14:paraId="08FD5060" w14:textId="6D0C8832" w:rsidR="00081450" w:rsidRPr="00375799" w:rsidRDefault="00F70B14"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Zmiana określona w pkt 18</w:t>
      </w:r>
      <w:r w:rsidR="00081450" w:rsidRPr="00375799">
        <w:rPr>
          <w:rFonts w:cstheme="minorHAnsi"/>
          <w:color w:val="000000" w:themeColor="text1"/>
          <w:sz w:val="24"/>
          <w:szCs w:val="24"/>
        </w:rPr>
        <w:t xml:space="preserve"> związana jest z przeniesieniem definicji osoby fizycznej prowadzącej działalność gospodarczą do art. 2 ustawy (projektowany pkt 11b).</w:t>
      </w:r>
    </w:p>
    <w:p w14:paraId="79012C7E" w14:textId="3272DFA4" w:rsidR="00F45409" w:rsidRPr="00375799" w:rsidRDefault="00F70B14" w:rsidP="0055107B">
      <w:pPr>
        <w:suppressAutoHyphens/>
        <w:autoSpaceDE w:val="0"/>
        <w:autoSpaceDN w:val="0"/>
        <w:adjustRightInd w:val="0"/>
        <w:spacing w:before="120" w:after="0" w:line="276" w:lineRule="auto"/>
        <w:ind w:firstLine="510"/>
        <w:contextualSpacing/>
        <w:jc w:val="both"/>
        <w:rPr>
          <w:rFonts w:eastAsiaTheme="minorEastAsia" w:cstheme="minorHAnsi"/>
          <w:bCs/>
          <w:color w:val="000000" w:themeColor="text1"/>
          <w:sz w:val="24"/>
          <w:szCs w:val="24"/>
          <w:lang w:eastAsia="pl-PL"/>
        </w:rPr>
      </w:pPr>
      <w:r>
        <w:rPr>
          <w:rFonts w:cstheme="minorHAnsi"/>
          <w:color w:val="000000" w:themeColor="text1"/>
          <w:sz w:val="24"/>
          <w:szCs w:val="24"/>
        </w:rPr>
        <w:t>W pkt 19</w:t>
      </w:r>
      <w:r w:rsidR="00081450" w:rsidRPr="00375799">
        <w:rPr>
          <w:rFonts w:cstheme="minorHAnsi"/>
          <w:color w:val="000000" w:themeColor="text1"/>
          <w:sz w:val="24"/>
          <w:szCs w:val="24"/>
        </w:rPr>
        <w:t xml:space="preserve"> zmiana w art. 53 związana jest z wprowadzeniem do ustawy konstrukcji niepublicznego systemu informacyjnego.</w:t>
      </w:r>
    </w:p>
    <w:p w14:paraId="3D14D1C3" w14:textId="77777777" w:rsidR="008706DD" w:rsidRPr="00375799" w:rsidRDefault="008706DD" w:rsidP="0055107B">
      <w:pPr>
        <w:spacing w:after="0" w:line="276" w:lineRule="auto"/>
        <w:ind w:right="57"/>
        <w:contextualSpacing/>
        <w:jc w:val="both"/>
        <w:rPr>
          <w:rFonts w:cstheme="minorHAnsi"/>
          <w:color w:val="000000" w:themeColor="text1"/>
          <w:sz w:val="24"/>
          <w:szCs w:val="24"/>
        </w:rPr>
      </w:pPr>
    </w:p>
    <w:p w14:paraId="62C00692" w14:textId="756D2520"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32" w:name="_Toc530565005"/>
      <w:r w:rsidRPr="00375799">
        <w:rPr>
          <w:rFonts w:asciiTheme="minorHAnsi" w:hAnsiTheme="minorHAnsi" w:cstheme="minorHAnsi"/>
          <w:color w:val="000000" w:themeColor="text1"/>
          <w:sz w:val="24"/>
          <w:szCs w:val="24"/>
        </w:rPr>
        <w:t>Ustawa z dnia 13 października 1995 r. o zasadach ewidencji i identyfikacji podatników i płatników</w:t>
      </w:r>
      <w:r w:rsidR="00364B42" w:rsidRPr="00375799">
        <w:rPr>
          <w:rFonts w:asciiTheme="minorHAnsi" w:hAnsiTheme="minorHAnsi" w:cstheme="minorHAnsi"/>
          <w:color w:val="000000" w:themeColor="text1"/>
          <w:sz w:val="24"/>
          <w:szCs w:val="24"/>
        </w:rPr>
        <w:t xml:space="preserve"> (Dz. U. z 2017 r. poz. 869 i 2491 oraz z 2018 r. poz. 106, 650</w:t>
      </w:r>
      <w:r w:rsidR="000661CB">
        <w:rPr>
          <w:rFonts w:asciiTheme="minorHAnsi" w:hAnsiTheme="minorHAnsi" w:cstheme="minorHAnsi"/>
          <w:color w:val="000000" w:themeColor="text1"/>
          <w:sz w:val="24"/>
          <w:szCs w:val="24"/>
        </w:rPr>
        <w:t>,</w:t>
      </w:r>
      <w:r w:rsidR="00364B42" w:rsidRPr="00375799">
        <w:rPr>
          <w:rFonts w:asciiTheme="minorHAnsi" w:hAnsiTheme="minorHAnsi" w:cstheme="minorHAnsi"/>
          <w:color w:val="000000" w:themeColor="text1"/>
          <w:sz w:val="24"/>
          <w:szCs w:val="24"/>
        </w:rPr>
        <w:t xml:space="preserve"> 771</w:t>
      </w:r>
      <w:r w:rsidR="000661CB">
        <w:rPr>
          <w:rFonts w:asciiTheme="minorHAnsi" w:hAnsiTheme="minorHAnsi" w:cstheme="minorHAnsi"/>
          <w:color w:val="000000" w:themeColor="text1"/>
          <w:sz w:val="24"/>
          <w:szCs w:val="24"/>
        </w:rPr>
        <w:t>, 1629 i 2126</w:t>
      </w:r>
      <w:r w:rsidR="00364B42" w:rsidRPr="00375799">
        <w:rPr>
          <w:rFonts w:asciiTheme="minorHAnsi" w:hAnsiTheme="minorHAnsi" w:cstheme="minorHAnsi"/>
          <w:color w:val="000000" w:themeColor="text1"/>
          <w:sz w:val="24"/>
          <w:szCs w:val="24"/>
        </w:rPr>
        <w:t>)</w:t>
      </w:r>
      <w:bookmarkEnd w:id="32"/>
    </w:p>
    <w:p w14:paraId="7BC8FBFB"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6877D06E" w14:textId="412339F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Należy zauważyć, że dane gromadzone i przetwarzane w CRP KEP (i podatkowych systemach informatycznych korzystających z tych danych, np. w związku z art. 35 ust. 3 pkt 2 ustawy o Krajowej Administracji Skarbowej) na podstawie ustawy o zasadach ewidencji i identyfikacji podatników i płatników są wykorzystywane przez ministra właściwego do spraw finansów publicznych oraz organy Krajowej Administracji Skarbowej do realizacji celów i zadań ustawowych (art. 14a ww. ustawy). Zatem istnieje ustawowe umocowanie do gromadzenia, przetwarzania i wykorzystywania przez administrację skarbową przedmiotowych danych. Konieczność realizacji ustawowych celów i zadań wymusza identyfikację i ewidencję podmiotów systemu podatkowego, co prowadzi do wejścia w posiadanie danych osobowych wyłącznie ze względu na realizowanie swoich ustawowych funkcji i niektórych ustawowych funkcji ZUS. Działania te w żadnym zakresie nie służyły i nie służą celom komercyjnym. W katalogu zadań wykonywanych przez administrację skarbową znajdują się zadania określone w przepisach podatkowych i realizacja ustawowych zobowiązań przez podmioty systemu podatkowego, w tym osoby fizyczne. Cel przetwarzania tych danych służy reprezentowanemu przez administrację publiczną (skarbową) ważnemu interesowi gospodarczemu i finansowemu państwa, w tym kwestiom budżetowym i </w:t>
      </w:r>
      <w:r w:rsidR="00525EEA">
        <w:rPr>
          <w:rFonts w:cstheme="minorHAnsi"/>
          <w:color w:val="000000" w:themeColor="text1"/>
          <w:sz w:val="24"/>
          <w:szCs w:val="24"/>
        </w:rPr>
        <w:t>–</w:t>
      </w:r>
      <w:r w:rsidRPr="00375799">
        <w:rPr>
          <w:rFonts w:cstheme="minorHAnsi"/>
          <w:color w:val="000000" w:themeColor="text1"/>
          <w:sz w:val="24"/>
          <w:szCs w:val="24"/>
        </w:rPr>
        <w:t xml:space="preserve"> w szczególności </w:t>
      </w:r>
      <w:r w:rsidR="00525EEA">
        <w:rPr>
          <w:rFonts w:cstheme="minorHAnsi"/>
          <w:color w:val="000000" w:themeColor="text1"/>
          <w:sz w:val="24"/>
          <w:szCs w:val="24"/>
        </w:rPr>
        <w:t>–</w:t>
      </w:r>
      <w:r w:rsidRPr="00375799">
        <w:rPr>
          <w:rFonts w:cstheme="minorHAnsi"/>
          <w:color w:val="000000" w:themeColor="text1"/>
          <w:sz w:val="24"/>
          <w:szCs w:val="24"/>
        </w:rPr>
        <w:t xml:space="preserve"> podatkowym. Zadania tej administracji są realizowane w interesie publicznym, a także </w:t>
      </w:r>
      <w:r w:rsidR="00525EEA">
        <w:rPr>
          <w:rFonts w:cstheme="minorHAnsi"/>
          <w:color w:val="000000" w:themeColor="text1"/>
          <w:sz w:val="24"/>
          <w:szCs w:val="24"/>
        </w:rPr>
        <w:t>–</w:t>
      </w:r>
      <w:r w:rsidRPr="00375799">
        <w:rPr>
          <w:rFonts w:cstheme="minorHAnsi"/>
          <w:color w:val="000000" w:themeColor="text1"/>
          <w:sz w:val="24"/>
          <w:szCs w:val="24"/>
        </w:rPr>
        <w:t xml:space="preserve"> w pewnym zakresie </w:t>
      </w:r>
      <w:r w:rsidR="00525EEA">
        <w:rPr>
          <w:rFonts w:cstheme="minorHAnsi"/>
          <w:color w:val="000000" w:themeColor="text1"/>
          <w:sz w:val="24"/>
          <w:szCs w:val="24"/>
        </w:rPr>
        <w:t>–</w:t>
      </w:r>
      <w:r w:rsidRPr="00375799">
        <w:rPr>
          <w:rFonts w:cstheme="minorHAnsi"/>
          <w:color w:val="000000" w:themeColor="text1"/>
          <w:sz w:val="24"/>
          <w:szCs w:val="24"/>
        </w:rPr>
        <w:t xml:space="preserve"> w ramach sprawowania władzy publicznej przez administratora, któremu zadanie to zostało powierzone jako sekretarzowi stanu (art. 14 ust. 1 ww. ustawy). </w:t>
      </w:r>
    </w:p>
    <w:p w14:paraId="5783FCBA" w14:textId="4D5BBDC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Wykonywanie przez administrację skarbową ustawowych zadań wymaga korzystania z danych osobowych, które są niezbędne dla zapewnienia prawidłowej i bezpiecznej obsługi podatników oraz zabezpieczenia finansów publicznych przez ograniczenie ryzyka nieprawidłowej identyfikacji podatnika w systemie finansowym. Systemy informatyczne </w:t>
      </w:r>
      <w:r w:rsidRPr="00375799">
        <w:rPr>
          <w:rFonts w:cstheme="minorHAnsi"/>
          <w:color w:val="000000" w:themeColor="text1"/>
          <w:sz w:val="24"/>
          <w:szCs w:val="24"/>
        </w:rPr>
        <w:lastRenderedPageBreak/>
        <w:t>wspierają realizację zadań ustawowych, w tym w zakresie zobowiązań podatkowych i niepodatkowych należności budżetowych, do których poboru są zobowiązane organy podatkowe i celne. CRP KEP jest zasilany danymi osobowymi pozyskiwanymi od podmiotów systemu podatkowego w ramach dokonywanych zgłoszeń lub danymi pozyskiwanymi z rejestru PESEL (art. 14 ust. 2 pkt 1 ww. ustawy) oraz z KRS (art. 5 ust. 2b pkt 1 ww. ustawy i art. 20 ust. 1c ustawy o Krajowym Rejestrze Sądowym), w celu ułatwienia podmiotom wywiązywania się z zobowiązań ewidencyjnych.</w:t>
      </w:r>
    </w:p>
    <w:p w14:paraId="7D835391"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Zakres podmiotowy danych dotyczy wielomilionowej rzeszy podmiotów (podatników), jest zatem niezwykle szeroki i trudno zaspokoić tu możliwość informowania każdej osoby, której dane są przetwarzane, wydaje się to również niezasadne skoro wszystko jest szczegółowo uregulowane ustawowo. </w:t>
      </w:r>
    </w:p>
    <w:p w14:paraId="3229E660" w14:textId="7E4F171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Katalog danych osobowych jest ograniczony do danych niezbędnych dla realizacji ustawowo określonych celów i zasad przetwarzania i gromadzenia danych. Zakres danych, w tym danych osobowych, osób fizycznych został skonkretyzowany w art. 5 ust. 2, 2b, 3</w:t>
      </w:r>
      <w:r w:rsidR="00525EEA">
        <w:rPr>
          <w:rFonts w:cstheme="minorHAnsi"/>
          <w:color w:val="000000" w:themeColor="text1"/>
          <w:sz w:val="24"/>
          <w:szCs w:val="24"/>
        </w:rPr>
        <w:t>–</w:t>
      </w:r>
      <w:r w:rsidRPr="00375799">
        <w:rPr>
          <w:rFonts w:cstheme="minorHAnsi"/>
          <w:color w:val="000000" w:themeColor="text1"/>
          <w:sz w:val="24"/>
          <w:szCs w:val="24"/>
        </w:rPr>
        <w:t xml:space="preserve">4. W CRP KEP gromadzone są również dane związane z NIP. Uszczegółowienie gromadzonych w CRP KEP danych objętych zgłoszeniem identyfikacyjnym, o którym mowa w art. 5 ust. 1 i art. 9 ust. 1 ww. ustawy, stanowią wzory formularzy zgłoszeń określone przez ministra właściwego do spraw finansów publicznych w rozporządzeniu wydawanym na podstawie art. 5 ust. 5 ww. ustawy (rozporządzenie Ministra Rozwoju i Finansów z dnia 19 grudnia 2017 r. w sprawie wzorów formularzy zgłoszeń identyfikacyjnych i zgłoszeń aktualizacyjnych oraz zgłoszeń w zakresie danych uzupełniających </w:t>
      </w:r>
      <w:r w:rsidR="00EE6D95">
        <w:rPr>
          <w:rFonts w:cstheme="minorHAnsi"/>
          <w:color w:val="000000" w:themeColor="text1"/>
          <w:sz w:val="24"/>
          <w:szCs w:val="24"/>
        </w:rPr>
        <w:t>(</w:t>
      </w:r>
      <w:r w:rsidRPr="00375799">
        <w:rPr>
          <w:rFonts w:cstheme="minorHAnsi"/>
          <w:color w:val="000000" w:themeColor="text1"/>
          <w:sz w:val="24"/>
          <w:szCs w:val="24"/>
        </w:rPr>
        <w:t xml:space="preserve">Dz. U. poz. 2452). W zgłoszeniach </w:t>
      </w:r>
      <w:r w:rsidR="00525EEA">
        <w:rPr>
          <w:rFonts w:cstheme="minorHAnsi"/>
          <w:color w:val="000000" w:themeColor="text1"/>
          <w:sz w:val="24"/>
          <w:szCs w:val="24"/>
        </w:rPr>
        <w:t>–</w:t>
      </w:r>
      <w:r w:rsidRPr="00375799">
        <w:rPr>
          <w:rFonts w:cstheme="minorHAnsi"/>
          <w:color w:val="000000" w:themeColor="text1"/>
          <w:sz w:val="24"/>
          <w:szCs w:val="24"/>
        </w:rPr>
        <w:t xml:space="preserve"> dodatkowo </w:t>
      </w:r>
      <w:r w:rsidR="00525EEA">
        <w:rPr>
          <w:rFonts w:cstheme="minorHAnsi"/>
          <w:color w:val="000000" w:themeColor="text1"/>
          <w:sz w:val="24"/>
          <w:szCs w:val="24"/>
        </w:rPr>
        <w:t>–</w:t>
      </w:r>
      <w:r w:rsidRPr="00375799">
        <w:rPr>
          <w:rFonts w:cstheme="minorHAnsi"/>
          <w:color w:val="000000" w:themeColor="text1"/>
          <w:sz w:val="24"/>
          <w:szCs w:val="24"/>
        </w:rPr>
        <w:t xml:space="preserve"> jest również możliwość dobrowolnego podania informacji o osobistym rachunku, na który ma być dokonywany zwrot podatku lub nadpłaty.</w:t>
      </w:r>
    </w:p>
    <w:p w14:paraId="0C77BEBB" w14:textId="25CD84E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Należy zauważyć, że </w:t>
      </w:r>
      <w:r w:rsidR="00525EEA">
        <w:rPr>
          <w:rFonts w:cstheme="minorHAnsi"/>
          <w:color w:val="000000" w:themeColor="text1"/>
          <w:sz w:val="24"/>
          <w:szCs w:val="24"/>
        </w:rPr>
        <w:t>–</w:t>
      </w:r>
      <w:r w:rsidRPr="00375799">
        <w:rPr>
          <w:rFonts w:cstheme="minorHAnsi"/>
          <w:color w:val="000000" w:themeColor="text1"/>
          <w:sz w:val="24"/>
          <w:szCs w:val="24"/>
        </w:rPr>
        <w:t xml:space="preserve"> w związku z instytucją tzw. „jednego okienka” </w:t>
      </w:r>
      <w:r w:rsidR="00525EEA">
        <w:rPr>
          <w:rFonts w:cstheme="minorHAnsi"/>
          <w:color w:val="000000" w:themeColor="text1"/>
          <w:sz w:val="24"/>
          <w:szCs w:val="24"/>
        </w:rPr>
        <w:t>–</w:t>
      </w:r>
      <w:r w:rsidRPr="00375799">
        <w:rPr>
          <w:rFonts w:cstheme="minorHAnsi"/>
          <w:color w:val="000000" w:themeColor="text1"/>
          <w:sz w:val="24"/>
          <w:szCs w:val="24"/>
        </w:rPr>
        <w:t xml:space="preserve"> niektóre dane gromadzone są w oparciu o wniosek o wpis do CEIDG, którego integralną częścią jest zgłoszenie identyfikacyjne albo aktualizacyjne (art. 5 ust. 5a i art. 5a ww. ustawy) i o dane objęte treścią wpisu w Krajowym Rejestrze Sądowym (art. 5 ust. 2b pkt 1 ww. ustawy). Ponadto w celu zapewnienia danych (uzupełniających) dla krajowego rejestru urzędowego podmiotów gospodarki narodowej (w GUS) i Centralnego Rejestru Płatników Składek (w ZUS) i w związku z pośrednictwem CRP KEP w przekazywaniu danych podmiotów objętych wpisem w KRS (art. 14 ust. 3a i 3b ww. ustawy), w CRP KEP gromadzone są też dane określone w art. 3 i</w:t>
      </w:r>
      <w:r w:rsidR="00525EEA">
        <w:rPr>
          <w:rFonts w:cstheme="minorHAnsi"/>
          <w:color w:val="000000" w:themeColor="text1"/>
          <w:sz w:val="24"/>
          <w:szCs w:val="24"/>
        </w:rPr>
        <w:t xml:space="preserve"> art.</w:t>
      </w:r>
      <w:r w:rsidRPr="00375799">
        <w:rPr>
          <w:rFonts w:cstheme="minorHAnsi"/>
          <w:color w:val="000000" w:themeColor="text1"/>
          <w:sz w:val="24"/>
          <w:szCs w:val="24"/>
        </w:rPr>
        <w:t xml:space="preserve"> 5 ustawy z dnia 26 czerwca 2014 r. o zmianie ustawy o Krajowym Rejestrze Sądowym oraz o zmianie niektórych innych ustaw (Dz. U. poz. 1161), wskazane również w art. 5 ust. 5 ustawy o zasadach ewidencji i identyfikacji podatników i płatników. </w:t>
      </w:r>
    </w:p>
    <w:p w14:paraId="68DCB4D8" w14:textId="3895CE0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Należy zwrócić uwagę, że nie wszystkie prawa i obowiązki przewidziane w </w:t>
      </w:r>
      <w:r w:rsidR="00B75ED1" w:rsidRPr="00375799">
        <w:rPr>
          <w:rFonts w:cstheme="minorHAnsi"/>
          <w:color w:val="000000" w:themeColor="text1"/>
          <w:sz w:val="24"/>
          <w:szCs w:val="24"/>
        </w:rPr>
        <w:t>RODO</w:t>
      </w:r>
      <w:r w:rsidRPr="00375799">
        <w:rPr>
          <w:rFonts w:cstheme="minorHAnsi"/>
          <w:color w:val="000000" w:themeColor="text1"/>
          <w:sz w:val="24"/>
          <w:szCs w:val="24"/>
        </w:rPr>
        <w:t xml:space="preserve"> będą wykonywane w odniesieniu do danych osobowych przetwarzanych w CRP KEP. Zastosowanie znaleźć mogą bowiem wyłączenia przewidziane w art. 12</w:t>
      </w:r>
      <w:r w:rsidR="00525EEA">
        <w:rPr>
          <w:rFonts w:cstheme="minorHAnsi"/>
          <w:color w:val="000000" w:themeColor="text1"/>
          <w:sz w:val="24"/>
          <w:szCs w:val="24"/>
        </w:rPr>
        <w:t>–</w:t>
      </w:r>
      <w:r w:rsidRPr="00375799">
        <w:rPr>
          <w:rFonts w:cstheme="minorHAnsi"/>
          <w:color w:val="000000" w:themeColor="text1"/>
          <w:sz w:val="24"/>
          <w:szCs w:val="24"/>
        </w:rPr>
        <w:t xml:space="preserve">22 i art. 34 </w:t>
      </w:r>
      <w:r w:rsidR="00B75ED1" w:rsidRPr="00375799">
        <w:rPr>
          <w:rFonts w:cstheme="minorHAnsi"/>
          <w:color w:val="000000" w:themeColor="text1"/>
          <w:sz w:val="24"/>
          <w:szCs w:val="24"/>
        </w:rPr>
        <w:t>RODO</w:t>
      </w:r>
      <w:r w:rsidRPr="00375799">
        <w:rPr>
          <w:rFonts w:cstheme="minorHAnsi"/>
          <w:color w:val="000000" w:themeColor="text1"/>
          <w:sz w:val="24"/>
          <w:szCs w:val="24"/>
        </w:rPr>
        <w:t xml:space="preserve"> oraz w art. 3</w:t>
      </w:r>
      <w:r w:rsidR="00525EEA">
        <w:rPr>
          <w:rFonts w:cstheme="minorHAnsi"/>
          <w:color w:val="000000" w:themeColor="text1"/>
          <w:sz w:val="24"/>
          <w:szCs w:val="24"/>
        </w:rPr>
        <w:t>–</w:t>
      </w:r>
      <w:r w:rsidRPr="00375799">
        <w:rPr>
          <w:rFonts w:cstheme="minorHAnsi"/>
          <w:color w:val="000000" w:themeColor="text1"/>
          <w:sz w:val="24"/>
          <w:szCs w:val="24"/>
        </w:rPr>
        <w:t xml:space="preserve">5 ustawy </w:t>
      </w:r>
      <w:r w:rsidR="00EE6D95">
        <w:rPr>
          <w:rFonts w:cstheme="minorHAnsi"/>
          <w:color w:val="000000" w:themeColor="text1"/>
          <w:sz w:val="24"/>
          <w:szCs w:val="24"/>
        </w:rPr>
        <w:t xml:space="preserve">z dnia 10 maja 2018 r. </w:t>
      </w:r>
      <w:r w:rsidRPr="00375799">
        <w:rPr>
          <w:rFonts w:cstheme="minorHAnsi"/>
          <w:color w:val="000000" w:themeColor="text1"/>
          <w:sz w:val="24"/>
          <w:szCs w:val="24"/>
        </w:rPr>
        <w:t xml:space="preserve">o ochronie danych osobowych. W odniesieniu do CRP KEP wyłączenia te będą proporcjonalne i konieczne do osiągnięcia interesu publicznego w związku ze stabilnością budżetową państwa, a co z tym się wiąże z bezpieczeństwem publicznym i </w:t>
      </w:r>
      <w:r w:rsidRPr="00375799">
        <w:rPr>
          <w:rFonts w:cstheme="minorHAnsi"/>
          <w:color w:val="000000" w:themeColor="text1"/>
          <w:sz w:val="24"/>
          <w:szCs w:val="24"/>
        </w:rPr>
        <w:lastRenderedPageBreak/>
        <w:t xml:space="preserve">finansami publicznymi </w:t>
      </w:r>
      <w:r w:rsidR="00525EEA">
        <w:rPr>
          <w:rFonts w:cstheme="minorHAnsi"/>
          <w:color w:val="000000" w:themeColor="text1"/>
          <w:sz w:val="24"/>
          <w:szCs w:val="24"/>
        </w:rPr>
        <w:t>–</w:t>
      </w:r>
      <w:r w:rsidRPr="00375799">
        <w:rPr>
          <w:rFonts w:cstheme="minorHAnsi"/>
          <w:color w:val="000000" w:themeColor="text1"/>
          <w:sz w:val="24"/>
          <w:szCs w:val="24"/>
        </w:rPr>
        <w:t xml:space="preserve"> w zakresie wynikającym z prawidłowego działania systemu podatkowego, u podstaw którego leży ewidencja podatników (CRP KEP). W związku z kluczowym znaczeniem CRP KEP dla działania systemu podatkowego, w tym platformy integracji aplikacji, uzyskał on status krytyczny, co oznacza jego wysoką wagę i poziom ochrony dla zapewnienia ciągłości jego funkcjonowania, w tym CRP KEP należy do infrastruktury krytycznej Ministerstwa Finansów. CRP KEP został zgłoszony do Narodowego Programu Ochrony Infrastruktury Krytycznej.</w:t>
      </w:r>
    </w:p>
    <w:p w14:paraId="7612A30C" w14:textId="6E0F8B7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Należy podkreślić, że dane gromadzone w CRP KEP podlegają tajemnicy skarbowej (art. 15 ust. 1 ww. ustawy z </w:t>
      </w:r>
      <w:r w:rsidR="00CA61F3" w:rsidRPr="00375799">
        <w:rPr>
          <w:rFonts w:cstheme="minorHAnsi"/>
          <w:color w:val="000000" w:themeColor="text1"/>
          <w:sz w:val="24"/>
          <w:szCs w:val="24"/>
        </w:rPr>
        <w:t>wyjątkami określonymi w ust. 1b</w:t>
      </w:r>
      <w:r w:rsidR="00525EEA">
        <w:rPr>
          <w:rFonts w:cstheme="minorHAnsi"/>
          <w:color w:val="000000" w:themeColor="text1"/>
          <w:sz w:val="24"/>
          <w:szCs w:val="24"/>
        </w:rPr>
        <w:t>)</w:t>
      </w:r>
      <w:r w:rsidRPr="00375799">
        <w:rPr>
          <w:rFonts w:cstheme="minorHAnsi"/>
          <w:color w:val="000000" w:themeColor="text1"/>
          <w:sz w:val="24"/>
          <w:szCs w:val="24"/>
        </w:rPr>
        <w:t xml:space="preserve">. Dostęp do CRP KEP mają wyłącznie osoby upoważnione do przetwarzania danych osobowych zgromadzonych w CRP KEP. Upoważnienie może być wydane na wniosek przełożonego złożony w formie pisemnej do administratora danych osobowych. Przetwarzanie (dostęp do) danych może odbywać się wyłącznie w obszarach do tego celu przeznaczonych. Istnieje również zobowiązanie do przestrzegania tajemnicy skarbowej wobec danych zgromadzonych w CRP KEP przez osoby określone w art. 15 ust. 1a. </w:t>
      </w:r>
    </w:p>
    <w:p w14:paraId="440608BB"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Udostępnianie danych zgromadzonych w CRP KEP, w zakresie wykraczającym poza art. 14a ww. ustawy, jest możliwe jedynie dla osób i instytucji enumeratywnie wymienionych w art. 15 ust. 2 ww. ustawy, w tym podmiotu (podatnika). </w:t>
      </w:r>
    </w:p>
    <w:p w14:paraId="3689D41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Pozyskiwane dane osobowe służą także do kontaktów z podmiotami lub ich reprezentantami, w szczególności w sytuacji, gdy w przekazanych dokumentach zostały wykryte nieprawidłowości. </w:t>
      </w:r>
    </w:p>
    <w:p w14:paraId="60993364"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uwagi na spójność otrzymywanych od podmiotu dokumentów, poprawa danych w nich zawartych nie jest możliwa. Podmioty mogą dokonywać sprostowania poprzez przesłanie kolejnej wersji dokumentu (aktualizacje stanu danych). </w:t>
      </w:r>
    </w:p>
    <w:p w14:paraId="3FF3326A" w14:textId="6687B4BF" w:rsidR="00CA61F3"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Proponowane przepisy art. 15c ust. 1 uszczegóławiają sposób realizacji obowiązków wynikających z art. 13 ust. 1 i 2 </w:t>
      </w:r>
      <w:r w:rsidR="00EE6D95">
        <w:rPr>
          <w:rFonts w:cstheme="minorHAnsi"/>
          <w:color w:val="000000" w:themeColor="text1"/>
          <w:sz w:val="24"/>
          <w:szCs w:val="24"/>
        </w:rPr>
        <w:t xml:space="preserve">RODO </w:t>
      </w:r>
      <w:r w:rsidRPr="00375799">
        <w:rPr>
          <w:rFonts w:cstheme="minorHAnsi"/>
          <w:color w:val="000000" w:themeColor="text1"/>
          <w:sz w:val="24"/>
          <w:szCs w:val="24"/>
        </w:rPr>
        <w:t>wskazując, że organy KAS realizują te obowiązki poprzez zamieszczenie informacji o zbieraniu danych osobowych w miejscu publicznie dostępnym w siedzibie organu, formularzach urzędowych, pismach kierowanych do osób fizycznych oraz na stronie podmiotowej w Biuletynie Informacji Publicznej lub na swojej stronie internetowej. Powyższe rozwiązanie nie ingeruje w istotę praw osób fizycznych uregulowanych w RODO.</w:t>
      </w:r>
      <w:r w:rsidR="00CA61F3" w:rsidRPr="00375799">
        <w:rPr>
          <w:rFonts w:cstheme="minorHAnsi"/>
          <w:color w:val="000000" w:themeColor="text1"/>
          <w:sz w:val="24"/>
          <w:szCs w:val="24"/>
        </w:rPr>
        <w:t xml:space="preserve"> </w:t>
      </w:r>
    </w:p>
    <w:p w14:paraId="291409B5" w14:textId="65670A5B" w:rsidR="00CA61F3" w:rsidRPr="00375799" w:rsidRDefault="00CA61F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projekcie wskazano też że organy właściwe zabezpieczają dane osobow</w:t>
      </w:r>
      <w:r w:rsidR="00525EEA">
        <w:rPr>
          <w:rFonts w:cstheme="minorHAnsi"/>
          <w:color w:val="000000" w:themeColor="text1"/>
          <w:sz w:val="24"/>
          <w:szCs w:val="24"/>
        </w:rPr>
        <w:t>e</w:t>
      </w:r>
      <w:r w:rsidRPr="00375799">
        <w:rPr>
          <w:rFonts w:cstheme="minorHAnsi"/>
          <w:color w:val="000000" w:themeColor="text1"/>
          <w:sz w:val="24"/>
          <w:szCs w:val="24"/>
        </w:rPr>
        <w:t>, a zabezpieczenia te polegają co najmniej na:</w:t>
      </w:r>
    </w:p>
    <w:p w14:paraId="00C524D2" w14:textId="77777777" w:rsidR="00CA61F3" w:rsidRPr="00375799" w:rsidRDefault="00CA61F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w:t>
      </w:r>
      <w:r w:rsidRPr="00375799">
        <w:rPr>
          <w:rFonts w:cstheme="minorHAnsi"/>
          <w:color w:val="000000" w:themeColor="text1"/>
          <w:sz w:val="24"/>
          <w:szCs w:val="24"/>
        </w:rPr>
        <w:tab/>
        <w:t>dopuszczeniu przez administratora danych do przetwarzania danych osobowych wyłącznie osób do tego uprawnionych;</w:t>
      </w:r>
    </w:p>
    <w:p w14:paraId="26224B61" w14:textId="77777777" w:rsidR="00CA61F3" w:rsidRPr="00375799" w:rsidRDefault="00CA61F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w:t>
      </w:r>
      <w:r w:rsidRPr="00375799">
        <w:rPr>
          <w:rFonts w:cstheme="minorHAnsi"/>
          <w:color w:val="000000" w:themeColor="text1"/>
          <w:sz w:val="24"/>
          <w:szCs w:val="24"/>
        </w:rPr>
        <w:tab/>
        <w:t>pisemnym zobowiązaniu osób upoważnionych do przetwarzania danych osobowych do zachowania ich w tajemnicy;</w:t>
      </w:r>
    </w:p>
    <w:p w14:paraId="0CB29FD6" w14:textId="77777777" w:rsidR="00CA61F3" w:rsidRPr="00375799" w:rsidRDefault="00CA61F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w:t>
      </w:r>
      <w:r w:rsidRPr="00375799">
        <w:rPr>
          <w:rFonts w:cstheme="minorHAnsi"/>
          <w:color w:val="000000" w:themeColor="text1"/>
          <w:sz w:val="24"/>
          <w:szCs w:val="24"/>
        </w:rPr>
        <w:tab/>
        <w:t>testowaniu i doskonaleniu stosowanych środków technicznych i organizacyjnych;</w:t>
      </w:r>
    </w:p>
    <w:p w14:paraId="3BAA7A52" w14:textId="77777777" w:rsidR="00CA61F3" w:rsidRPr="00375799" w:rsidRDefault="00CA61F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4)</w:t>
      </w:r>
      <w:r w:rsidRPr="00375799">
        <w:rPr>
          <w:rFonts w:cstheme="minorHAnsi"/>
          <w:color w:val="000000" w:themeColor="text1"/>
          <w:sz w:val="24"/>
          <w:szCs w:val="24"/>
        </w:rPr>
        <w:tab/>
        <w:t>zapewnieniu bezpiecznej komunikacji w sieciach teleinformatycznych, w szczególności przez pozyskiwanie i przekazywanie danych osobowych podmiotom zewnętrznym z wykorzystaniem technik kryptograficznych;</w:t>
      </w:r>
    </w:p>
    <w:p w14:paraId="16236602" w14:textId="77777777" w:rsidR="00CA61F3" w:rsidRPr="00375799" w:rsidRDefault="00CA61F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5)</w:t>
      </w:r>
      <w:r w:rsidRPr="00375799">
        <w:rPr>
          <w:rFonts w:cstheme="minorHAnsi"/>
          <w:color w:val="000000" w:themeColor="text1"/>
          <w:sz w:val="24"/>
          <w:szCs w:val="24"/>
        </w:rPr>
        <w:tab/>
        <w:t>zapewnieniu ochrony przed nieuprawnionym dostępem do CRP KEP;</w:t>
      </w:r>
    </w:p>
    <w:p w14:paraId="670D1E29" w14:textId="77777777" w:rsidR="00CA61F3" w:rsidRPr="00375799" w:rsidRDefault="00CA61F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6)</w:t>
      </w:r>
      <w:r w:rsidRPr="00375799">
        <w:rPr>
          <w:rFonts w:cstheme="minorHAnsi"/>
          <w:color w:val="000000" w:themeColor="text1"/>
          <w:sz w:val="24"/>
          <w:szCs w:val="24"/>
        </w:rPr>
        <w:tab/>
        <w:t>zapewnieniu integralności danych w CRP KEP;</w:t>
      </w:r>
    </w:p>
    <w:p w14:paraId="7D4AF703" w14:textId="7424FF38" w:rsidR="00CA61F3" w:rsidRPr="00375799" w:rsidRDefault="00CA61F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7)</w:t>
      </w:r>
      <w:r w:rsidRPr="00375799">
        <w:rPr>
          <w:rFonts w:cstheme="minorHAnsi"/>
          <w:color w:val="000000" w:themeColor="text1"/>
          <w:sz w:val="24"/>
          <w:szCs w:val="24"/>
        </w:rPr>
        <w:tab/>
        <w:t>określeniu zasad bezpieczeństwa przetwarzanych danych osobowych.</w:t>
      </w:r>
    </w:p>
    <w:p w14:paraId="70556B67" w14:textId="77D17E6A"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9B62BF6" w14:textId="119C8341"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33" w:name="_Toc530565006"/>
      <w:r w:rsidRPr="00375799">
        <w:rPr>
          <w:rFonts w:asciiTheme="minorHAnsi" w:hAnsiTheme="minorHAnsi" w:cstheme="minorHAnsi"/>
          <w:color w:val="000000" w:themeColor="text1"/>
          <w:sz w:val="24"/>
          <w:szCs w:val="24"/>
        </w:rPr>
        <w:t xml:space="preserve">Ustawa z dnia 13 października 1995 r. </w:t>
      </w:r>
      <w:r w:rsidR="00BB25C5">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Prawo łowieckie </w:t>
      </w:r>
      <w:r w:rsidR="00364B42" w:rsidRPr="00375799">
        <w:rPr>
          <w:rFonts w:asciiTheme="minorHAnsi" w:hAnsiTheme="minorHAnsi" w:cstheme="minorHAnsi"/>
          <w:color w:val="000000" w:themeColor="text1"/>
          <w:sz w:val="24"/>
          <w:szCs w:val="24"/>
        </w:rPr>
        <w:t>(Dz. U. z 201</w:t>
      </w:r>
      <w:r w:rsidR="000661CB">
        <w:rPr>
          <w:rFonts w:asciiTheme="minorHAnsi" w:hAnsiTheme="minorHAnsi" w:cstheme="minorHAnsi"/>
          <w:color w:val="000000" w:themeColor="text1"/>
          <w:sz w:val="24"/>
          <w:szCs w:val="24"/>
        </w:rPr>
        <w:t>8</w:t>
      </w:r>
      <w:r w:rsidR="00364B42" w:rsidRPr="00375799">
        <w:rPr>
          <w:rFonts w:asciiTheme="minorHAnsi" w:hAnsiTheme="minorHAnsi" w:cstheme="minorHAnsi"/>
          <w:color w:val="000000" w:themeColor="text1"/>
          <w:sz w:val="24"/>
          <w:szCs w:val="24"/>
        </w:rPr>
        <w:t xml:space="preserve"> r. poz. </w:t>
      </w:r>
      <w:r w:rsidR="000661CB">
        <w:rPr>
          <w:rFonts w:asciiTheme="minorHAnsi" w:hAnsiTheme="minorHAnsi" w:cstheme="minorHAnsi"/>
          <w:color w:val="000000" w:themeColor="text1"/>
          <w:sz w:val="24"/>
          <w:szCs w:val="24"/>
        </w:rPr>
        <w:t>2033</w:t>
      </w:r>
      <w:r w:rsidR="00364B42" w:rsidRPr="00375799">
        <w:rPr>
          <w:rFonts w:asciiTheme="minorHAnsi" w:hAnsiTheme="minorHAnsi" w:cstheme="minorHAnsi"/>
          <w:color w:val="000000" w:themeColor="text1"/>
          <w:sz w:val="24"/>
          <w:szCs w:val="24"/>
        </w:rPr>
        <w:t>)</w:t>
      </w:r>
      <w:bookmarkEnd w:id="33"/>
    </w:p>
    <w:p w14:paraId="5CC183E9"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06EE721E" w14:textId="492DCC91" w:rsidR="00156FBE" w:rsidRPr="00375799" w:rsidRDefault="00156FBE"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art. 21 ust. 1 ustawy z dnia 13 października 1995 r. </w:t>
      </w:r>
      <w:r w:rsidR="00525EEA">
        <w:rPr>
          <w:rFonts w:cstheme="minorHAnsi"/>
          <w:color w:val="000000" w:themeColor="text1"/>
          <w:sz w:val="24"/>
          <w:szCs w:val="24"/>
        </w:rPr>
        <w:t>–</w:t>
      </w:r>
      <w:r w:rsidRPr="00375799">
        <w:rPr>
          <w:rFonts w:cstheme="minorHAnsi"/>
          <w:color w:val="000000" w:themeColor="text1"/>
          <w:sz w:val="24"/>
          <w:szCs w:val="24"/>
        </w:rPr>
        <w:t xml:space="preserve"> Prawo łowieckie egzamin ze znajomości wykonywania polowania oraz zasad ochrony przyrody przeprowadza komisja egzaminacyjna powoła</w:t>
      </w:r>
      <w:r w:rsidR="00525EEA">
        <w:rPr>
          <w:rFonts w:cstheme="minorHAnsi"/>
          <w:color w:val="000000" w:themeColor="text1"/>
          <w:sz w:val="24"/>
          <w:szCs w:val="24"/>
        </w:rPr>
        <w:t xml:space="preserve">na przez ministra właściwego do </w:t>
      </w:r>
      <w:r w:rsidRPr="00375799">
        <w:rPr>
          <w:rFonts w:cstheme="minorHAnsi"/>
          <w:color w:val="000000" w:themeColor="text1"/>
          <w:sz w:val="24"/>
          <w:szCs w:val="24"/>
        </w:rPr>
        <w:t>spraw środowiska. W toku procedury przeprowadzani</w:t>
      </w:r>
      <w:r w:rsidR="00525EEA">
        <w:rPr>
          <w:rFonts w:cstheme="minorHAnsi"/>
          <w:color w:val="000000" w:themeColor="text1"/>
          <w:sz w:val="24"/>
          <w:szCs w:val="24"/>
        </w:rPr>
        <w:t xml:space="preserve">a tego egzaminu przetwarzane są </w:t>
      </w:r>
      <w:r w:rsidRPr="00375799">
        <w:rPr>
          <w:rFonts w:cstheme="minorHAnsi"/>
          <w:color w:val="000000" w:themeColor="text1"/>
          <w:sz w:val="24"/>
          <w:szCs w:val="24"/>
        </w:rPr>
        <w:t>następujące dane osobowe: imię i nazwisko, adres zamieszk</w:t>
      </w:r>
      <w:r w:rsidR="00525EEA">
        <w:rPr>
          <w:rFonts w:cstheme="minorHAnsi"/>
          <w:color w:val="000000" w:themeColor="text1"/>
          <w:sz w:val="24"/>
          <w:szCs w:val="24"/>
        </w:rPr>
        <w:t>ania, data i miejsce urodzenia,</w:t>
      </w:r>
      <w:r w:rsidRPr="00375799">
        <w:rPr>
          <w:rFonts w:cstheme="minorHAnsi"/>
          <w:color w:val="000000" w:themeColor="text1"/>
          <w:sz w:val="24"/>
          <w:szCs w:val="24"/>
        </w:rPr>
        <w:t xml:space="preserve"> numer PESEL, dane kontaktowe wnioskodawcy, wizerunek osoby (wery</w:t>
      </w:r>
      <w:r w:rsidR="00525EEA">
        <w:rPr>
          <w:rFonts w:cstheme="minorHAnsi"/>
          <w:color w:val="000000" w:themeColor="text1"/>
          <w:sz w:val="24"/>
          <w:szCs w:val="24"/>
        </w:rPr>
        <w:t xml:space="preserve">fikacja osoby przystępującej do </w:t>
      </w:r>
      <w:r w:rsidRPr="00375799">
        <w:rPr>
          <w:rFonts w:cstheme="minorHAnsi"/>
          <w:color w:val="000000" w:themeColor="text1"/>
          <w:sz w:val="24"/>
          <w:szCs w:val="24"/>
        </w:rPr>
        <w:t xml:space="preserve">egzaminu przez okazanie dowodu osobistego) oraz podpis. Proponowana zmiana ustawy </w:t>
      </w:r>
      <w:r w:rsidR="00525EEA">
        <w:rPr>
          <w:rFonts w:cstheme="minorHAnsi"/>
          <w:color w:val="000000" w:themeColor="text1"/>
          <w:sz w:val="24"/>
          <w:szCs w:val="24"/>
        </w:rPr>
        <w:t>–</w:t>
      </w:r>
      <w:r w:rsidRPr="00375799">
        <w:rPr>
          <w:rFonts w:cstheme="minorHAnsi"/>
          <w:color w:val="000000" w:themeColor="text1"/>
          <w:sz w:val="24"/>
          <w:szCs w:val="24"/>
        </w:rPr>
        <w:t xml:space="preserve"> Prawo łowieckie ma na celu przeniesienie zakresu danych osobowych przetwarzanych na potrzeby przeprowadzania egzaminu z wydanego</w:t>
      </w:r>
      <w:r w:rsidR="00EE6D95">
        <w:rPr>
          <w:rFonts w:cstheme="minorHAnsi"/>
          <w:color w:val="000000" w:themeColor="text1"/>
          <w:sz w:val="24"/>
          <w:szCs w:val="24"/>
        </w:rPr>
        <w:t>,</w:t>
      </w:r>
      <w:r w:rsidRPr="00375799">
        <w:rPr>
          <w:rFonts w:cstheme="minorHAnsi"/>
          <w:color w:val="000000" w:themeColor="text1"/>
          <w:sz w:val="24"/>
          <w:szCs w:val="24"/>
        </w:rPr>
        <w:t xml:space="preserve"> na podstawie art. 21 ust. 3 </w:t>
      </w:r>
      <w:r w:rsidR="00EE6D95">
        <w:rPr>
          <w:rFonts w:cstheme="minorHAnsi"/>
          <w:color w:val="000000" w:themeColor="text1"/>
          <w:sz w:val="24"/>
          <w:szCs w:val="24"/>
        </w:rPr>
        <w:t xml:space="preserve">ustawy, </w:t>
      </w:r>
      <w:r w:rsidRPr="00375799">
        <w:rPr>
          <w:rFonts w:cstheme="minorHAnsi"/>
          <w:color w:val="000000" w:themeColor="text1"/>
          <w:sz w:val="24"/>
          <w:szCs w:val="24"/>
        </w:rPr>
        <w:t>rozporządzenia Ministra Środowiska z dnia 7 lutego 2005 r. w sprawie egzaminu ze</w:t>
      </w:r>
      <w:r w:rsidR="00525EEA">
        <w:rPr>
          <w:rFonts w:cstheme="minorHAnsi"/>
          <w:color w:val="000000" w:themeColor="text1"/>
          <w:sz w:val="24"/>
          <w:szCs w:val="24"/>
        </w:rPr>
        <w:t xml:space="preserve"> </w:t>
      </w:r>
      <w:r w:rsidRPr="00375799">
        <w:rPr>
          <w:rFonts w:cstheme="minorHAnsi"/>
          <w:color w:val="000000" w:themeColor="text1"/>
          <w:sz w:val="24"/>
          <w:szCs w:val="24"/>
        </w:rPr>
        <w:t xml:space="preserve">znajomości wykonywania polowania oraz zasad ochrony przyrody (Dz. U. poz. 230). </w:t>
      </w:r>
    </w:p>
    <w:p w14:paraId="049C8EAB" w14:textId="30FEF178" w:rsidR="00156FBE" w:rsidRPr="00375799" w:rsidRDefault="00156FBE"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w związku z faktem, że powyższe rozporządzenie Ministra Środowiska zawiera </w:t>
      </w:r>
      <w:r w:rsidR="008F0D04" w:rsidRPr="00375799">
        <w:rPr>
          <w:rFonts w:cstheme="minorHAnsi"/>
          <w:color w:val="000000" w:themeColor="text1"/>
          <w:sz w:val="24"/>
          <w:szCs w:val="24"/>
        </w:rPr>
        <w:t xml:space="preserve">przepis </w:t>
      </w:r>
      <w:r w:rsidRPr="00375799">
        <w:rPr>
          <w:rFonts w:cstheme="minorHAnsi"/>
          <w:color w:val="000000" w:themeColor="text1"/>
          <w:sz w:val="24"/>
          <w:szCs w:val="24"/>
        </w:rPr>
        <w:t xml:space="preserve">o konieczności okazywania dowodu tożsamości komisji egzaminacyjnej powołanej przez Ministra Środowiska, a celem takiego działania jest umożliwienie jednoznacznej identyfikacji osoby przystępującej do egzaminu, której wizerunek również podlega ochronie, proponuje się dodatkowo przeniesienie ww. </w:t>
      </w:r>
      <w:r w:rsidR="008F0D04" w:rsidRPr="00375799">
        <w:rPr>
          <w:rFonts w:cstheme="minorHAnsi"/>
          <w:color w:val="000000" w:themeColor="text1"/>
          <w:sz w:val="24"/>
          <w:szCs w:val="24"/>
        </w:rPr>
        <w:t xml:space="preserve">przepisu </w:t>
      </w:r>
      <w:r w:rsidRPr="00375799">
        <w:rPr>
          <w:rFonts w:cstheme="minorHAnsi"/>
          <w:color w:val="000000" w:themeColor="text1"/>
          <w:sz w:val="24"/>
          <w:szCs w:val="24"/>
        </w:rPr>
        <w:t>z rozporządzenia do ustawy – Prawo łowieckie przez dodanie w art. 21a ust. 2 w następującym brzmieniu:</w:t>
      </w:r>
    </w:p>
    <w:p w14:paraId="0519D838" w14:textId="77777777" w:rsidR="008706DD" w:rsidRPr="00375799" w:rsidRDefault="00156FBE"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 W celu weryfikacji tożsamości osoba przystępująca do egzaminu, o którym mowa w art. 21 ust. 1, okazuje komisji egzaminacyjnej dowód osobisty lub inny dokument potwierdzający tożsamość.”.</w:t>
      </w:r>
    </w:p>
    <w:p w14:paraId="4B888242" w14:textId="7777777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4EF9F45E" w14:textId="4E8A8D18"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34" w:name="_Toc530565007"/>
      <w:r w:rsidRPr="00375799">
        <w:rPr>
          <w:rFonts w:asciiTheme="minorHAnsi" w:hAnsiTheme="minorHAnsi" w:cstheme="minorHAnsi"/>
          <w:color w:val="000000" w:themeColor="text1"/>
          <w:sz w:val="24"/>
          <w:szCs w:val="24"/>
        </w:rPr>
        <w:t>Ustawa z dnia 31 maja 1996 r. o osob</w:t>
      </w:r>
      <w:r w:rsidR="00EE6D95">
        <w:rPr>
          <w:rFonts w:asciiTheme="minorHAnsi" w:hAnsiTheme="minorHAnsi" w:cstheme="minorHAnsi"/>
          <w:color w:val="000000" w:themeColor="text1"/>
          <w:sz w:val="24"/>
          <w:szCs w:val="24"/>
        </w:rPr>
        <w:t>ach</w:t>
      </w:r>
      <w:r w:rsidRPr="00375799">
        <w:rPr>
          <w:rFonts w:asciiTheme="minorHAnsi" w:hAnsiTheme="minorHAnsi" w:cstheme="minorHAnsi"/>
          <w:color w:val="000000" w:themeColor="text1"/>
          <w:sz w:val="24"/>
          <w:szCs w:val="24"/>
        </w:rPr>
        <w:t xml:space="preserve"> </w:t>
      </w:r>
      <w:r w:rsidR="00EE6D95" w:rsidRPr="00375799">
        <w:rPr>
          <w:rFonts w:asciiTheme="minorHAnsi" w:hAnsiTheme="minorHAnsi" w:cstheme="minorHAnsi"/>
          <w:color w:val="000000" w:themeColor="text1"/>
          <w:sz w:val="24"/>
          <w:szCs w:val="24"/>
        </w:rPr>
        <w:t>deportowany</w:t>
      </w:r>
      <w:r w:rsidR="00EE6D95">
        <w:rPr>
          <w:rFonts w:asciiTheme="minorHAnsi" w:hAnsiTheme="minorHAnsi" w:cstheme="minorHAnsi"/>
          <w:color w:val="000000" w:themeColor="text1"/>
          <w:sz w:val="24"/>
          <w:szCs w:val="24"/>
        </w:rPr>
        <w:t>ch</w:t>
      </w:r>
      <w:r w:rsidR="00EE6D95" w:rsidRPr="00375799">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do pracy przymusowej oraz osadzony</w:t>
      </w:r>
      <w:r w:rsidR="00EE6D95">
        <w:rPr>
          <w:rFonts w:asciiTheme="minorHAnsi" w:hAnsiTheme="minorHAnsi" w:cstheme="minorHAnsi"/>
          <w:color w:val="000000" w:themeColor="text1"/>
          <w:sz w:val="24"/>
          <w:szCs w:val="24"/>
        </w:rPr>
        <w:t>ch</w:t>
      </w:r>
      <w:r w:rsidRPr="00375799">
        <w:rPr>
          <w:rFonts w:asciiTheme="minorHAnsi" w:hAnsiTheme="minorHAnsi" w:cstheme="minorHAnsi"/>
          <w:color w:val="000000" w:themeColor="text1"/>
          <w:sz w:val="24"/>
          <w:szCs w:val="24"/>
        </w:rPr>
        <w:t xml:space="preserve"> w obozach pracy przez III Rzeszę i Związek Socjalistycznych Republik Radzieckich (Dz. U. z 2014 r. poz. 1001</w:t>
      </w:r>
      <w:r w:rsidR="000661CB">
        <w:rPr>
          <w:rFonts w:asciiTheme="minorHAnsi" w:hAnsiTheme="minorHAnsi" w:cstheme="minorHAnsi"/>
          <w:color w:val="000000" w:themeColor="text1"/>
          <w:sz w:val="24"/>
          <w:szCs w:val="24"/>
        </w:rPr>
        <w:t xml:space="preserve"> oraz z 2018 r. poz. 1552</w:t>
      </w:r>
      <w:r w:rsidRPr="00375799">
        <w:rPr>
          <w:rFonts w:asciiTheme="minorHAnsi" w:hAnsiTheme="minorHAnsi" w:cstheme="minorHAnsi"/>
          <w:color w:val="000000" w:themeColor="text1"/>
          <w:sz w:val="24"/>
          <w:szCs w:val="24"/>
        </w:rPr>
        <w:t>)</w:t>
      </w:r>
      <w:bookmarkEnd w:id="34"/>
      <w:r w:rsidRPr="00375799">
        <w:rPr>
          <w:rFonts w:asciiTheme="minorHAnsi" w:hAnsiTheme="minorHAnsi" w:cstheme="minorHAnsi"/>
          <w:color w:val="000000" w:themeColor="text1"/>
          <w:sz w:val="24"/>
          <w:szCs w:val="24"/>
        </w:rPr>
        <w:t xml:space="preserve"> </w:t>
      </w:r>
    </w:p>
    <w:p w14:paraId="6620A48B" w14:textId="77777777" w:rsidR="00173A66"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w:t>
      </w:r>
    </w:p>
    <w:p w14:paraId="1CE176F5" w14:textId="744235D0" w:rsidR="00633AC2"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Zmiana w art. </w:t>
      </w:r>
      <w:r w:rsidR="008855B6" w:rsidRPr="00375799">
        <w:rPr>
          <w:rFonts w:cstheme="minorHAnsi"/>
          <w:color w:val="000000" w:themeColor="text1"/>
          <w:sz w:val="24"/>
          <w:szCs w:val="24"/>
        </w:rPr>
        <w:t xml:space="preserve">35 </w:t>
      </w:r>
      <w:r w:rsidRPr="00375799">
        <w:rPr>
          <w:rFonts w:cstheme="minorHAnsi"/>
          <w:color w:val="000000" w:themeColor="text1"/>
          <w:sz w:val="24"/>
          <w:szCs w:val="24"/>
        </w:rPr>
        <w:t xml:space="preserve">pkt 1 usuwa z katalogu środków dowodowych, wykorzystywanych w postępowaniu o przyznanie prawa do świadczenia pieniężnego, opinie stowarzyszeń zrzeszających osoby represjonowane na temat wniosków stron. Wartość takiego dowodu w postępowaniu prowadzonym w Urzędzie do Spraw Kombatantów i Osób Represjonowanych była znikoma, a strony i stowarzyszenia były obarczane niepotrzebnym, biurokratycznym obowiązkiem. Zmiana ta ma też swoją wagę w kontekście procesów przetwarzania danych </w:t>
      </w:r>
      <w:r w:rsidRPr="00375799">
        <w:rPr>
          <w:rFonts w:cstheme="minorHAnsi"/>
          <w:color w:val="000000" w:themeColor="text1"/>
          <w:sz w:val="24"/>
          <w:szCs w:val="24"/>
        </w:rPr>
        <w:lastRenderedPageBreak/>
        <w:t>osobowych w postępowaniu o przyznanie świadczenia poprzez ograniczenie liczby podmiotów przetwarzających dane osobowe.</w:t>
      </w:r>
      <w:r w:rsidR="000372EB" w:rsidRPr="00375799">
        <w:rPr>
          <w:rFonts w:cstheme="minorHAnsi"/>
          <w:color w:val="000000" w:themeColor="text1"/>
          <w:sz w:val="24"/>
          <w:szCs w:val="24"/>
        </w:rPr>
        <w:t xml:space="preserve"> </w:t>
      </w:r>
      <w:r w:rsidR="00633AC2" w:rsidRPr="00375799">
        <w:rPr>
          <w:rFonts w:eastAsia="Times New Roman" w:cstheme="minorHAnsi"/>
          <w:color w:val="000000" w:themeColor="text1"/>
          <w:sz w:val="24"/>
          <w:szCs w:val="24"/>
          <w:lang w:eastAsia="pl-PL"/>
        </w:rPr>
        <w:t xml:space="preserve">Konieczność szczegółowego określenia wymaganych danych kontaktowych jest podyktowana  </w:t>
      </w:r>
      <w:r w:rsidR="00633AC2" w:rsidRPr="00375799">
        <w:rPr>
          <w:rFonts w:cstheme="minorHAnsi"/>
          <w:color w:val="000000" w:themeColor="text1"/>
          <w:sz w:val="24"/>
          <w:szCs w:val="24"/>
        </w:rPr>
        <w:t>stanem zdrowia i zaawansowanym wiekiem klientów, co wymusza bezpośrednie wskazanie i sprecyzowanie niezbędnych środków komunikacji bezpośredniej. Służy to wygodzie klientów.</w:t>
      </w:r>
      <w:r w:rsidR="000372EB" w:rsidRPr="00375799">
        <w:rPr>
          <w:rFonts w:cstheme="minorHAnsi"/>
          <w:color w:val="000000" w:themeColor="text1"/>
          <w:sz w:val="24"/>
          <w:szCs w:val="24"/>
        </w:rPr>
        <w:t xml:space="preserve"> </w:t>
      </w:r>
      <w:r w:rsidR="00633AC2" w:rsidRPr="00375799">
        <w:rPr>
          <w:rFonts w:cstheme="minorHAnsi"/>
          <w:color w:val="000000" w:themeColor="text1"/>
          <w:sz w:val="24"/>
          <w:szCs w:val="24"/>
        </w:rPr>
        <w:t>Jednoznaczne określenie tego, o co może prosić urząd będzie powodować mniej błędów i nieporozumień oraz będzie sprzyjać podniesieniu jakości obsługi klienta. Należy zauważyć, że osoby wypełniające wnioski są w starszym wieku, co powoduje konieczność jasnego i bezpośredniego, niebudzącego wątpliwości określenia zakresu wymaganych informacji.</w:t>
      </w:r>
      <w:r w:rsidR="000372EB" w:rsidRPr="00375799">
        <w:rPr>
          <w:rFonts w:cstheme="minorHAnsi"/>
          <w:color w:val="000000" w:themeColor="text1"/>
          <w:sz w:val="24"/>
          <w:szCs w:val="24"/>
        </w:rPr>
        <w:t xml:space="preserve"> Wskazano też zakres wniosku (w tym zakres danych osobowych)  o przyznanie świadczenia. </w:t>
      </w:r>
    </w:p>
    <w:p w14:paraId="2036F15B" w14:textId="497DEFB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Z kolei zmiana w pkt 3 przewiduje uchylenie delegacji dla Ministra Rodziny, Pracy</w:t>
      </w:r>
      <w:r w:rsidR="00202A53" w:rsidRPr="00375799">
        <w:rPr>
          <w:rFonts w:cstheme="minorHAnsi"/>
          <w:color w:val="000000" w:themeColor="text1"/>
          <w:sz w:val="24"/>
          <w:szCs w:val="24"/>
        </w:rPr>
        <w:t xml:space="preserve"> </w:t>
      </w:r>
      <w:r w:rsidRPr="00375799">
        <w:rPr>
          <w:rFonts w:cstheme="minorHAnsi"/>
          <w:color w:val="000000" w:themeColor="text1"/>
          <w:sz w:val="24"/>
          <w:szCs w:val="24"/>
        </w:rPr>
        <w:t xml:space="preserve">i Polityki Społecznej do wydania rozporządzenia o trybie postępowania i środkach dowodowych w sprawach o przyznanie prawa do świadczenia pieniężnego. Przepisy takie są zbędne, skoro art. 4 ust. 4 ustawy </w:t>
      </w:r>
      <w:r w:rsidR="00EE6D95">
        <w:rPr>
          <w:rFonts w:cstheme="minorHAnsi"/>
          <w:color w:val="000000" w:themeColor="text1"/>
          <w:sz w:val="24"/>
          <w:szCs w:val="24"/>
        </w:rPr>
        <w:t xml:space="preserve">o </w:t>
      </w:r>
      <w:r w:rsidR="008C5FF2" w:rsidRPr="00375799">
        <w:rPr>
          <w:rFonts w:cstheme="minorHAnsi"/>
          <w:color w:val="000000" w:themeColor="text1"/>
          <w:sz w:val="24"/>
          <w:szCs w:val="24"/>
        </w:rPr>
        <w:t>osob</w:t>
      </w:r>
      <w:r w:rsidR="00EE6D95">
        <w:rPr>
          <w:rFonts w:cstheme="minorHAnsi"/>
          <w:color w:val="000000" w:themeColor="text1"/>
          <w:sz w:val="24"/>
          <w:szCs w:val="24"/>
        </w:rPr>
        <w:t>ach</w:t>
      </w:r>
      <w:r w:rsidR="008C5FF2" w:rsidRPr="00375799">
        <w:rPr>
          <w:rFonts w:cstheme="minorHAnsi"/>
          <w:color w:val="000000" w:themeColor="text1"/>
          <w:sz w:val="24"/>
          <w:szCs w:val="24"/>
        </w:rPr>
        <w:t xml:space="preserve"> deportowany</w:t>
      </w:r>
      <w:r w:rsidR="00EE6D95">
        <w:rPr>
          <w:rFonts w:cstheme="minorHAnsi"/>
          <w:color w:val="000000" w:themeColor="text1"/>
          <w:sz w:val="24"/>
          <w:szCs w:val="24"/>
        </w:rPr>
        <w:t>ch</w:t>
      </w:r>
      <w:r w:rsidR="008C5FF2" w:rsidRPr="00375799">
        <w:rPr>
          <w:rFonts w:cstheme="minorHAnsi"/>
          <w:color w:val="000000" w:themeColor="text1"/>
          <w:sz w:val="24"/>
          <w:szCs w:val="24"/>
        </w:rPr>
        <w:t xml:space="preserve"> do pracy przymusowej oraz osadzony</w:t>
      </w:r>
      <w:r w:rsidR="00EE6D95">
        <w:rPr>
          <w:rFonts w:cstheme="minorHAnsi"/>
          <w:color w:val="000000" w:themeColor="text1"/>
          <w:sz w:val="24"/>
          <w:szCs w:val="24"/>
        </w:rPr>
        <w:t>ch</w:t>
      </w:r>
      <w:r w:rsidR="008C5FF2" w:rsidRPr="00375799">
        <w:rPr>
          <w:rFonts w:cstheme="minorHAnsi"/>
          <w:color w:val="000000" w:themeColor="text1"/>
          <w:sz w:val="24"/>
          <w:szCs w:val="24"/>
        </w:rPr>
        <w:t xml:space="preserve"> w obozach pracy przez III Rzeszę i Związek Socjalistycznych Republik Radzieckich </w:t>
      </w:r>
      <w:r w:rsidRPr="00375799">
        <w:rPr>
          <w:rFonts w:cstheme="minorHAnsi"/>
          <w:color w:val="000000" w:themeColor="text1"/>
          <w:sz w:val="24"/>
          <w:szCs w:val="24"/>
        </w:rPr>
        <w:t>przesądza, że w sprawach przyznania prawa do świadczenia stosuje się kodeks postępowania administracyjnego, który wszak kompleksowo reguluje tryb postępowania i stosowane w nim środki dowodowe.</w:t>
      </w:r>
    </w:p>
    <w:p w14:paraId="76D6045A"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C08348F" w14:textId="7F62DFE0" w:rsidR="00EE719F" w:rsidRDefault="008706DD" w:rsidP="00EE719F">
      <w:pPr>
        <w:pStyle w:val="Nagwek2"/>
        <w:spacing w:before="0" w:line="276" w:lineRule="auto"/>
        <w:ind w:left="57" w:right="57"/>
        <w:contextualSpacing/>
        <w:rPr>
          <w:rFonts w:asciiTheme="minorHAnsi" w:hAnsiTheme="minorHAnsi" w:cstheme="minorHAnsi"/>
          <w:color w:val="000000" w:themeColor="text1"/>
          <w:sz w:val="24"/>
          <w:szCs w:val="24"/>
        </w:rPr>
      </w:pPr>
      <w:bookmarkStart w:id="35" w:name="_Toc530565008"/>
      <w:r w:rsidRPr="00375799">
        <w:rPr>
          <w:rFonts w:asciiTheme="minorHAnsi" w:hAnsiTheme="minorHAnsi" w:cstheme="minorHAnsi"/>
          <w:color w:val="000000" w:themeColor="text1"/>
          <w:sz w:val="24"/>
          <w:szCs w:val="24"/>
        </w:rPr>
        <w:t>Ustawa z dnia 5 lipca 1996 r. o doradztwie podatkowym</w:t>
      </w:r>
      <w:r w:rsidR="00364B42" w:rsidRPr="00375799">
        <w:rPr>
          <w:rFonts w:asciiTheme="minorHAnsi" w:hAnsiTheme="minorHAnsi" w:cstheme="minorHAnsi"/>
          <w:color w:val="000000" w:themeColor="text1"/>
          <w:sz w:val="24"/>
          <w:szCs w:val="24"/>
        </w:rPr>
        <w:t xml:space="preserve"> (Dz. U. z 2018 r. poz. 377, 650</w:t>
      </w:r>
      <w:r w:rsidR="000661CB">
        <w:rPr>
          <w:rFonts w:asciiTheme="minorHAnsi" w:hAnsiTheme="minorHAnsi" w:cstheme="minorHAnsi"/>
          <w:color w:val="000000" w:themeColor="text1"/>
          <w:sz w:val="24"/>
          <w:szCs w:val="24"/>
        </w:rPr>
        <w:t>,</w:t>
      </w:r>
      <w:r w:rsidR="00364B42" w:rsidRPr="00375799">
        <w:rPr>
          <w:rFonts w:asciiTheme="minorHAnsi" w:hAnsiTheme="minorHAnsi" w:cstheme="minorHAnsi"/>
          <w:color w:val="000000" w:themeColor="text1"/>
          <w:sz w:val="24"/>
          <w:szCs w:val="24"/>
        </w:rPr>
        <w:t xml:space="preserve"> 723</w:t>
      </w:r>
      <w:r w:rsidR="000661CB">
        <w:rPr>
          <w:rFonts w:asciiTheme="minorHAnsi" w:hAnsiTheme="minorHAnsi" w:cstheme="minorHAnsi"/>
          <w:color w:val="000000" w:themeColor="text1"/>
          <w:sz w:val="24"/>
          <w:szCs w:val="24"/>
        </w:rPr>
        <w:t xml:space="preserve"> i 1669</w:t>
      </w:r>
      <w:r w:rsidR="00364B42" w:rsidRPr="00375799">
        <w:rPr>
          <w:rFonts w:asciiTheme="minorHAnsi" w:hAnsiTheme="minorHAnsi" w:cstheme="minorHAnsi"/>
          <w:color w:val="000000" w:themeColor="text1"/>
          <w:sz w:val="24"/>
          <w:szCs w:val="24"/>
        </w:rPr>
        <w:t>)</w:t>
      </w:r>
      <w:bookmarkEnd w:id="35"/>
      <w:r w:rsidR="00CF7B15">
        <w:rPr>
          <w:rFonts w:asciiTheme="minorHAnsi" w:hAnsiTheme="minorHAnsi" w:cstheme="minorHAnsi"/>
          <w:color w:val="000000" w:themeColor="text1"/>
          <w:sz w:val="24"/>
          <w:szCs w:val="24"/>
        </w:rPr>
        <w:t xml:space="preserve"> </w:t>
      </w:r>
    </w:p>
    <w:p w14:paraId="3D7F5B50" w14:textId="7A4B4162"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Przepisy RODO dotyczą zadań wykonywanych przez Ministra Finansów i samorząd zawodowy doradców podatkowych – w zakresie wynikającym z ustawy z dnia 5 lipca 1996 r. o doradztwie podatkowym. Wymieniona ustawa nie przewiduje regulacji związanych z ochroną danych osobowych, jednak określa zadania publiczne realizowane przez wskazane podmioty, prowadzące do gromadzenia i przetwarzania danych osobowych.</w:t>
      </w:r>
    </w:p>
    <w:p w14:paraId="59DED2F2" w14:textId="08BE3ABF"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 xml:space="preserve">Podmiotem wykonującym zadania publiczne na podstawie ww. ustawy jest Minister Finansów, który wykonuje zadania w zakresie trzech obszarów: nadzoru nad samorządem zawodowym doradców podatkowych, związane z postępowaniami administracyjnymi prowadzonymi na podstawie ustawy o doradztwie podatkowym oraz zadania związane z funkcjonowaniem Państwowej Komisji Egzaminacyjnej do Spraw Doradztwa Podatkowego. </w:t>
      </w:r>
    </w:p>
    <w:p w14:paraId="544F614F" w14:textId="67218BFE"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 xml:space="preserve">Z kolei Krajowa Izba Doradców Podatkowych będąca samorządem zawodowym doradców podatkowych wykonuje, poprzez organy Izby, zadania publiczne związane m.in. z prowadzeniem listy doradców podatkowych oraz wydaje decyzje administracyjne w tych sprawach oraz nadzorem nad wykonywaniem doradztwa podatkowego. </w:t>
      </w:r>
    </w:p>
    <w:p w14:paraId="0454F3E9" w14:textId="7A189F9B"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 xml:space="preserve">Podmioty te wykonują zadania publiczne, w związku z czym w świetle nowych regulacji prawa Unii Europejskiej zachodzi konieczność zdefiniowania ich ze względu na ograniczenie stosowania RODO poprzez wyłączenie m.in. art. 15 tego rozporządzenia, wynikające z ustawy z dnia 10 maja 2018 r. o ochronie danych osobowych. Zgodnie z art. 23 ust. 2 lit. e RODO wyłączenie stosowania niektórych przepisów rozporządzenia jest możliwe pod warunkiem </w:t>
      </w:r>
      <w:r w:rsidRPr="00EE719F">
        <w:rPr>
          <w:rFonts w:cstheme="minorHAnsi"/>
          <w:color w:val="000000" w:themeColor="text1"/>
          <w:sz w:val="24"/>
          <w:szCs w:val="24"/>
        </w:rPr>
        <w:lastRenderedPageBreak/>
        <w:t>jednakże, że zostanie określony administrator lub kategorie administratorów. Stąd też zaproponowano regulację art. 5a, stosowne do wymogów określonych w art. 23 ust. 2 RODO.</w:t>
      </w:r>
    </w:p>
    <w:p w14:paraId="4A1DEDD0" w14:textId="564D6359"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Samorządy zawodowe są publicznymi korporacjami opartymi na więziach zawodowych. Z art. 17 ust. 1 Konstytucji RP wynikają funkcje samorządów zawodowych, do których prawidłowego wykonywania niezbędne jest wyposażenie ich w stosowne ustawowe kompetencje. Funkcje te obejmują reprezentację osób wykonujących dany zawód oraz sprawowanie pieczy nad jego należytym wykonywaniem w granicach interesu publicznego i dla jego ochrony. W tym kontekście Trybunał Konstytucyjny stwierdził, że „piecza” samorządów zawodów zaufania publicznego nad należytym wykonywaniem tych zawodów ma charakter działalności (funkcji) o cechach władztwa publicznego (wyrok TK z</w:t>
      </w:r>
      <w:r w:rsidR="00EE6D95">
        <w:rPr>
          <w:rFonts w:cstheme="minorHAnsi"/>
          <w:color w:val="000000" w:themeColor="text1"/>
          <w:sz w:val="24"/>
          <w:szCs w:val="24"/>
        </w:rPr>
        <w:t xml:space="preserve"> dnia</w:t>
      </w:r>
      <w:r w:rsidRPr="00EE719F">
        <w:rPr>
          <w:rFonts w:cstheme="minorHAnsi"/>
          <w:color w:val="000000" w:themeColor="text1"/>
          <w:sz w:val="24"/>
          <w:szCs w:val="24"/>
        </w:rPr>
        <w:t xml:space="preserve"> 18 lutego 2004 r., sygn. akt P 21/02</w:t>
      </w:r>
      <w:r w:rsidR="00EE6D95">
        <w:rPr>
          <w:rFonts w:cstheme="minorHAnsi"/>
          <w:color w:val="000000" w:themeColor="text1"/>
          <w:sz w:val="24"/>
          <w:szCs w:val="24"/>
        </w:rPr>
        <w:t>, Dz. U. poz. 303</w:t>
      </w:r>
      <w:r w:rsidRPr="00EE719F">
        <w:rPr>
          <w:rFonts w:cstheme="minorHAnsi"/>
          <w:color w:val="000000" w:themeColor="text1"/>
          <w:sz w:val="24"/>
          <w:szCs w:val="24"/>
        </w:rPr>
        <w:t>). Stąd też, usprawnienie wykonywania zadań samorządów i związanych z nimi kompetencji nadzorczych Ministra Finansów służy właściwemu wypełnianiu zasady prymatu interesu publicznego, wynikającej bezpośrednio ze wskazanej normy konstytucyjnej. Dotyczy to również postępowań administracyjnych skutkujących nabyciem bądź utratą uprawnień do wykonywania zawodu zaufania publicznego, wszczynanych na wniosek jak i z urzędu. Podkreślenia wymaga, że funkcje kontrolne Ministra Finansów wobec zawodu zaufania publicznego doradcy podatkowego obejmują także proces dochodzenia do tych zawodów, stąd też, w ramach przesłanki określonej w art. 23 ust. 1 pkt e i h RODO celowe jest ograniczenie stosowania tego rozporządzenia także w zakresie realizowanych zadań związanych z działalnością Państwowej Komisji Egzaminacyjnej do Spraw Doradztwa Podatkowego oraz organizacją egzaminu na doradcę podatkowego, także w obszarze kompetencji przyznanych w tym procesie Krajowej Izbie Doradców Podatkowych.</w:t>
      </w:r>
    </w:p>
    <w:p w14:paraId="793918EE" w14:textId="0F3399C0"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 xml:space="preserve">Analiza przepisów RODO prowadzi do wniosku, że stosowanie przewidzianych w nim regulacji </w:t>
      </w:r>
      <w:r w:rsidR="00525EEA">
        <w:rPr>
          <w:rFonts w:cstheme="minorHAnsi"/>
          <w:color w:val="000000" w:themeColor="text1"/>
          <w:sz w:val="24"/>
          <w:szCs w:val="24"/>
        </w:rPr>
        <w:t>w</w:t>
      </w:r>
      <w:r w:rsidRPr="00EE719F">
        <w:rPr>
          <w:rFonts w:cstheme="minorHAnsi"/>
          <w:color w:val="000000" w:themeColor="text1"/>
          <w:sz w:val="24"/>
          <w:szCs w:val="24"/>
        </w:rPr>
        <w:t xml:space="preserve"> pełnym zakresie skutkować będzie naruszeniem jednego z podstawowych obowiązków ciążących na doradcach podatkowych, jako osobach zaufania publicznego, tj. obowiązku zachowania tajemnicy zawodowej. </w:t>
      </w:r>
    </w:p>
    <w:p w14:paraId="1E7E5088" w14:textId="04A14DCD"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 xml:space="preserve">Zgodnie z art. 37 ust. 1 ustawy o doradztwie podatkowym, doradca podatkowy jest obowiązany zachować w tajemnicy fakty i informacje, z którymi zapoznał się w związku z wykonywaniem zawodu. Obowiązek zachowania tajemnicy zawodowej nie może być ograniczony w czasie. </w:t>
      </w:r>
    </w:p>
    <w:p w14:paraId="6EE444CD" w14:textId="795F066C"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 xml:space="preserve">Ze względu na ryzyko, iż realizacja niektórych obowiązków informacyjnych wynikających z rozporządzenia RODO może naruszać obowiązek zachowania tajemnicy zawodowej doradców podatkowych, wprowadzono regulację stanowiącą, iż art. 15 ust. 1 i 3, art. 18 i </w:t>
      </w:r>
      <w:r w:rsidR="00525EEA">
        <w:rPr>
          <w:rFonts w:cstheme="minorHAnsi"/>
          <w:color w:val="000000" w:themeColor="text1"/>
          <w:sz w:val="24"/>
          <w:szCs w:val="24"/>
        </w:rPr>
        <w:t xml:space="preserve">art. </w:t>
      </w:r>
      <w:r w:rsidRPr="00EE719F">
        <w:rPr>
          <w:rFonts w:cstheme="minorHAnsi"/>
          <w:color w:val="000000" w:themeColor="text1"/>
          <w:sz w:val="24"/>
          <w:szCs w:val="24"/>
        </w:rPr>
        <w:t>19 rozporządzenia RODO nie wyłączają obowiązku zachowania tajemnicy zawodowej, a art. 21 rozporządzenia RODO w przypadku danych osobowych pozyskanych przez doradcę podatkowego w związku z wykonywaniem  doradztwa podatkowego, nie będzie stosowany.</w:t>
      </w:r>
    </w:p>
    <w:p w14:paraId="46304CAE" w14:textId="516C0388"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Regulacje te są niezbędne dla prawidłowego wykonywania przez doradców podatkowych zawodu i związanego z tym nierozerwalnie obowiązku zachowania tajemnicy zawodowej. Wprowadzane ograniczenia znajdują umocowanie w art. 23 ust. 1 lit. g</w:t>
      </w:r>
      <w:r w:rsidR="000E6C9A">
        <w:rPr>
          <w:rFonts w:cstheme="minorHAnsi"/>
          <w:color w:val="000000" w:themeColor="text1"/>
          <w:sz w:val="24"/>
          <w:szCs w:val="24"/>
        </w:rPr>
        <w:t>,</w:t>
      </w:r>
      <w:r w:rsidRPr="00EE719F">
        <w:rPr>
          <w:rFonts w:cstheme="minorHAnsi"/>
          <w:color w:val="000000" w:themeColor="text1"/>
          <w:sz w:val="24"/>
          <w:szCs w:val="24"/>
        </w:rPr>
        <w:t xml:space="preserve"> tj. </w:t>
      </w:r>
      <w:r w:rsidRPr="00EE719F">
        <w:rPr>
          <w:rFonts w:cstheme="minorHAnsi"/>
          <w:color w:val="000000" w:themeColor="text1"/>
          <w:sz w:val="24"/>
          <w:szCs w:val="24"/>
        </w:rPr>
        <w:lastRenderedPageBreak/>
        <w:t>zapobieganie naruszeniom zasad etyki w zawodach regulowanych oraz art. 23 ust. 1 lit. i</w:t>
      </w:r>
      <w:r w:rsidR="000E6C9A">
        <w:rPr>
          <w:rFonts w:cstheme="minorHAnsi"/>
          <w:color w:val="000000" w:themeColor="text1"/>
          <w:sz w:val="24"/>
          <w:szCs w:val="24"/>
        </w:rPr>
        <w:t>,</w:t>
      </w:r>
      <w:r w:rsidRPr="00EE719F">
        <w:rPr>
          <w:rFonts w:cstheme="minorHAnsi"/>
          <w:color w:val="000000" w:themeColor="text1"/>
          <w:sz w:val="24"/>
          <w:szCs w:val="24"/>
        </w:rPr>
        <w:t xml:space="preserve"> tj. ochronie osoby, której dane dotyczą lub praw i wolności innych osób. Rozwiązanie takie jest bowiem konieczne dla ochrony praw i wolności osób, które korzystają z usług doradcy podatkowego i działają w przekonaniu, że informacje o tym nie zostaną ujawnione innym osobom.</w:t>
      </w:r>
    </w:p>
    <w:p w14:paraId="45FA91BE" w14:textId="6010E533"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 xml:space="preserve">Podkreślenia wymaga, że podstawy ograniczeń w zakresie ochrony danych osobowych, które proponuje się w art. 37 ustawy o doradztwie podatkowym, mieszczą się w katalogu określonym w art. 23 ust. 1 RODO i są zgodne z zasadą proporcjonalności. Wprowadzane regulacje są niezbędne dla prawidłowego realizowania przez doradcę podatkowego obowiązku zachowania tajemnicy zawodowej. </w:t>
      </w:r>
    </w:p>
    <w:p w14:paraId="38B5FA65" w14:textId="4D865F62"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Zapobieganie naruszeniom zasad etyki w zawodach regulowanych, prowadzenie postępowań w takich sprawach, ich wykrywanie oraz ściganie (art. 23 ust. 1 pkt g RODO)</w:t>
      </w:r>
      <w:r w:rsidR="00525EEA">
        <w:rPr>
          <w:rFonts w:cstheme="minorHAnsi"/>
          <w:color w:val="000000" w:themeColor="text1"/>
          <w:sz w:val="24"/>
          <w:szCs w:val="24"/>
        </w:rPr>
        <w:t>,</w:t>
      </w:r>
      <w:r w:rsidRPr="00EE719F">
        <w:rPr>
          <w:rFonts w:cstheme="minorHAnsi"/>
          <w:color w:val="000000" w:themeColor="text1"/>
          <w:sz w:val="24"/>
          <w:szCs w:val="24"/>
        </w:rPr>
        <w:t xml:space="preserve"> stanowi z kolei podstawę do wprowadzenia ograniczeń w przypadku przetwarzania danych osobowych w związku z prowadzonymi przeciwko doradcom podatkowym postępowaniami dyscyplinarnymi, jak również ma związek z ochroną tajemnicy zawodowej.</w:t>
      </w:r>
    </w:p>
    <w:p w14:paraId="3853BC66" w14:textId="349419E8"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Z uwagi na brzmienie art. 23 ust. 2 RODO nowelizacja powinna określić cele przetwarzania i administratorów, dlatego też proponuje się wskazanie jako celu przetwarzania danych, realizację ustawowych zadań, obowiązków lub uprawnień przez samorząd zawodowy doradców podatkowych oraz Ministra Finansów, z jednoczesnym wskazaniem jako administratorów tych organów, którym są przypisane ustawowo zadania nadzorcze i kontrolne w ramach postępowań, wynikających z nowelizowanej ustawy.</w:t>
      </w:r>
    </w:p>
    <w:p w14:paraId="7F6F685F" w14:textId="6F389202"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 xml:space="preserve">Wykonując przesłankę zawartą w art. 23 ust. 2 lit. d – w zakresie konieczności określenia zabezpieczeń zapobiegających nadużyciom lub niezgodnemu z prawem dostępowi lub przekazywaniu – przewidziano, że zabezpieczeniem przetwarzania danych osobowych będzie dopuszczenie do przetwarzania jedynie osób posiadających pisemne upoważnienie nadane przez administratora danych. Dane osobowe objęte tajemnicą zawodową, o której mowa w art. 37 ust. 1 i 3 ustawy o doradztwie podatkowym, podlegać będą zabezpieczeniom wynikającym z obowiązku zachowania tej tajemnicy. </w:t>
      </w:r>
    </w:p>
    <w:p w14:paraId="7004041D" w14:textId="146EA9DD"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 xml:space="preserve">Dane osobowe będą podlegać przeglądowi nie rzadziej niż co 5 lat od dnia ich uzyskania, a w konsekwencji okresy przechowywania danych będą powiązane z koniecznością wykazania celu ich przetwarzania. Należy także nadmienić, że w przypadku danych przetwarzanych przez doradców podatkowych – istnieje prawny obowiązek – określony w art. 38 ustawy o doradztwie podatkowym przechowywania dokumentacji związanej z udzielonymi podatnikom poradami, po 5 latach zaś doradcy obowiązani są dokumenty zniszczyć. </w:t>
      </w:r>
    </w:p>
    <w:p w14:paraId="651EB343" w14:textId="3D26496E" w:rsidR="00A823CE" w:rsidRPr="00EE719F" w:rsidRDefault="00A823CE"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 xml:space="preserve">Jednocześnie należy wskazać, że zakres obowiązków nałożonych na doradcę podatkowego w zakresie dotyczącym ochrony tajemnicy zawodowej w tym danych osobowych, minimalizuje potencjalne ryzyka naruszenia praw lub wolności osoby, której dane dotyczą, stąd nie ma potrzeby dodatkowej regulacji określającej te ryzyka (art. 23 ust. 2 lit. g RODO). </w:t>
      </w:r>
    </w:p>
    <w:p w14:paraId="58C6B10F" w14:textId="37062013" w:rsidR="008706DD" w:rsidRPr="00375799" w:rsidRDefault="00A823CE" w:rsidP="00EE719F">
      <w:pPr>
        <w:spacing w:after="0" w:line="276" w:lineRule="auto"/>
        <w:ind w:left="57" w:right="57"/>
        <w:contextualSpacing/>
        <w:jc w:val="both"/>
      </w:pPr>
      <w:r w:rsidRPr="00EE719F">
        <w:rPr>
          <w:rFonts w:cstheme="minorHAnsi"/>
          <w:color w:val="000000" w:themeColor="text1"/>
          <w:sz w:val="24"/>
          <w:szCs w:val="24"/>
        </w:rPr>
        <w:lastRenderedPageBreak/>
        <w:t xml:space="preserve">Ponadto proponuje się wprowadzenie przepisu, zgodnie z którym obowiązek zachowania tajemnicy zawodowej nie ustaje w przypadku, gdy z żądaniem ujawnienia informacji uzyskanych w związku </w:t>
      </w:r>
      <w:r w:rsidR="00525EEA">
        <w:rPr>
          <w:rFonts w:cstheme="minorHAnsi"/>
          <w:color w:val="000000" w:themeColor="text1"/>
          <w:sz w:val="24"/>
          <w:szCs w:val="24"/>
        </w:rPr>
        <w:t xml:space="preserve">z </w:t>
      </w:r>
      <w:r w:rsidRPr="00EE719F">
        <w:rPr>
          <w:rFonts w:cstheme="minorHAnsi"/>
          <w:color w:val="000000" w:themeColor="text1"/>
          <w:sz w:val="24"/>
          <w:szCs w:val="24"/>
        </w:rPr>
        <w:t>wykonywaniem doradztwa podatkowego przez doradcę podatkowego występuje Prezes Urzędu Ochrony Danych Osobowych. Oznacza to, że dane osobowe gromadzone przez doradcę podatkowego będą ochronione gdyż podstawową ochronę zapewnia im tajemnica zawodowa, do przestrzegania której przedstawiciele tego zawodu są zobowiązani i za naruszenie której ponoszą odpowiedzialność dyscyplinarną. Stosownie do preambuły RODO, państwa członkowskie mogą przyjąć przepisy szczegółowe mające chronić obowiązek zachowania tajemnicy zawodowej o ile jest to niezbędne by pogodzić prawo do ochrony danych osobowych z obowiązkiem zachowania tej tajemnicy. Konkretyzacje tego przepisu stanowi art. 90 RODO.</w:t>
      </w:r>
      <w:r w:rsidR="008706DD" w:rsidRPr="00EE719F">
        <w:rPr>
          <w:rFonts w:cstheme="minorHAnsi"/>
          <w:color w:val="000000" w:themeColor="text1"/>
          <w:sz w:val="24"/>
          <w:szCs w:val="24"/>
        </w:rPr>
        <w:t xml:space="preserve"> </w:t>
      </w:r>
    </w:p>
    <w:p w14:paraId="59836FE1" w14:textId="77777777" w:rsidR="00F50614" w:rsidRPr="00375799" w:rsidRDefault="00F50614" w:rsidP="0055107B">
      <w:pPr>
        <w:spacing w:after="0" w:line="276" w:lineRule="auto"/>
        <w:ind w:left="57" w:right="57"/>
        <w:contextualSpacing/>
        <w:jc w:val="both"/>
        <w:rPr>
          <w:rFonts w:eastAsiaTheme="majorEastAsia" w:cstheme="minorHAnsi"/>
          <w:color w:val="000000" w:themeColor="text1"/>
          <w:sz w:val="24"/>
          <w:szCs w:val="24"/>
        </w:rPr>
      </w:pPr>
    </w:p>
    <w:p w14:paraId="2267E601" w14:textId="501233FC"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36" w:name="_Toc530565009"/>
      <w:r w:rsidRPr="00375799">
        <w:rPr>
          <w:rFonts w:asciiTheme="minorHAnsi" w:hAnsiTheme="minorHAnsi" w:cstheme="minorHAnsi"/>
          <w:color w:val="000000" w:themeColor="text1"/>
          <w:sz w:val="24"/>
          <w:szCs w:val="24"/>
        </w:rPr>
        <w:t xml:space="preserve">Ustawa z dnia 8 sierpnia 1996 r. o Radzie Ministrów </w:t>
      </w:r>
      <w:r w:rsidR="00364B42" w:rsidRPr="00375799">
        <w:rPr>
          <w:rFonts w:asciiTheme="minorHAnsi" w:hAnsiTheme="minorHAnsi" w:cstheme="minorHAnsi"/>
          <w:color w:val="000000" w:themeColor="text1"/>
          <w:sz w:val="24"/>
          <w:szCs w:val="24"/>
        </w:rPr>
        <w:t>(Dz. U. z 2012 r. poz. 392</w:t>
      </w:r>
      <w:r w:rsidR="000661CB">
        <w:rPr>
          <w:rFonts w:asciiTheme="minorHAnsi" w:hAnsiTheme="minorHAnsi" w:cstheme="minorHAnsi"/>
          <w:color w:val="000000" w:themeColor="text1"/>
          <w:sz w:val="24"/>
          <w:szCs w:val="24"/>
        </w:rPr>
        <w:t>,</w:t>
      </w:r>
      <w:r w:rsidR="00364B42" w:rsidRPr="00375799">
        <w:rPr>
          <w:rFonts w:asciiTheme="minorHAnsi" w:hAnsiTheme="minorHAnsi" w:cstheme="minorHAnsi"/>
          <w:color w:val="000000" w:themeColor="text1"/>
          <w:sz w:val="24"/>
          <w:szCs w:val="24"/>
        </w:rPr>
        <w:t xml:space="preserve"> z 2015 r. poz. 1064</w:t>
      </w:r>
      <w:r w:rsidR="000661CB">
        <w:rPr>
          <w:rFonts w:asciiTheme="minorHAnsi" w:hAnsiTheme="minorHAnsi" w:cstheme="minorHAnsi"/>
          <w:color w:val="000000" w:themeColor="text1"/>
          <w:sz w:val="24"/>
          <w:szCs w:val="24"/>
        </w:rPr>
        <w:t xml:space="preserve"> oraz z 2018 r. poz. 1669</w:t>
      </w:r>
      <w:r w:rsidR="00364B42" w:rsidRPr="00375799">
        <w:rPr>
          <w:rFonts w:asciiTheme="minorHAnsi" w:hAnsiTheme="minorHAnsi" w:cstheme="minorHAnsi"/>
          <w:color w:val="000000" w:themeColor="text1"/>
          <w:sz w:val="24"/>
          <w:szCs w:val="24"/>
        </w:rPr>
        <w:t>)</w:t>
      </w:r>
      <w:bookmarkEnd w:id="36"/>
    </w:p>
    <w:p w14:paraId="2ACE2500" w14:textId="21D9570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Propozycja stanowi ustawową normę kompetencyjną do realizacji zadań polegających na przygotowaniu i prowadzeniu uzgodnień, konsultacji publicznych i opiniowania projektów dokumentów rządowych w ramach rządowego procesu stanowienia prawa, które w obecnym systemie prawnym wynikają z ustanowionej w art. 20 Konstytucji RP zasady współpracy i dialogu społecznego i regulowane są głównie normami </w:t>
      </w:r>
      <w:r w:rsidR="00525EEA">
        <w:rPr>
          <w:rFonts w:cstheme="minorHAnsi"/>
          <w:color w:val="000000" w:themeColor="text1"/>
          <w:sz w:val="24"/>
          <w:szCs w:val="24"/>
        </w:rPr>
        <w:t>u</w:t>
      </w:r>
      <w:r w:rsidRPr="00375799">
        <w:rPr>
          <w:rFonts w:cstheme="minorHAnsi"/>
          <w:color w:val="000000" w:themeColor="text1"/>
          <w:sz w:val="24"/>
          <w:szCs w:val="24"/>
        </w:rPr>
        <w:t xml:space="preserve">chwały </w:t>
      </w:r>
      <w:r w:rsidR="00525EEA">
        <w:rPr>
          <w:rFonts w:cstheme="minorHAnsi"/>
          <w:color w:val="000000" w:themeColor="text1"/>
          <w:sz w:val="24"/>
          <w:szCs w:val="24"/>
        </w:rPr>
        <w:t>n</w:t>
      </w:r>
      <w:r w:rsidRPr="00375799">
        <w:rPr>
          <w:rFonts w:cstheme="minorHAnsi"/>
          <w:color w:val="000000" w:themeColor="text1"/>
          <w:sz w:val="24"/>
          <w:szCs w:val="24"/>
        </w:rPr>
        <w:t xml:space="preserve">r 190 Rady Ministrów z dnia 29 października 2013 r. </w:t>
      </w:r>
      <w:r w:rsidR="00525EEA">
        <w:rPr>
          <w:rFonts w:cstheme="minorHAnsi"/>
          <w:color w:val="000000" w:themeColor="text1"/>
          <w:sz w:val="24"/>
          <w:szCs w:val="24"/>
        </w:rPr>
        <w:t>–</w:t>
      </w:r>
      <w:r w:rsidRPr="00375799">
        <w:rPr>
          <w:rFonts w:cstheme="minorHAnsi"/>
          <w:color w:val="000000" w:themeColor="text1"/>
          <w:sz w:val="24"/>
          <w:szCs w:val="24"/>
        </w:rPr>
        <w:t xml:space="preserve"> Regulamin pracy Rady Ministrów. Prowadzenie konsultacji publicznych z interesariuszami wynika również ze zobowiązań międzynarodowych, wśród których można wymienić Rekomendacje Rady Organizacji Współpracy Gospodarczej i Rozwoju z dnia 22 marca 2012 </w:t>
      </w:r>
      <w:r w:rsidR="00AA44EB">
        <w:rPr>
          <w:rFonts w:cstheme="minorHAnsi"/>
          <w:color w:val="000000" w:themeColor="text1"/>
          <w:sz w:val="24"/>
          <w:szCs w:val="24"/>
        </w:rPr>
        <w:t xml:space="preserve">r. </w:t>
      </w:r>
      <w:r w:rsidRPr="00375799">
        <w:rPr>
          <w:rFonts w:cstheme="minorHAnsi"/>
          <w:color w:val="000000" w:themeColor="text1"/>
          <w:sz w:val="24"/>
          <w:szCs w:val="24"/>
        </w:rPr>
        <w:t xml:space="preserve">w sprawie polityki regulacyjnej i zarządzania [C(2012)37], wydane na podstawie art. 5 lit. b Konwencji o Organizacji Współpracy Gospodarczej i Rozwoju, wraz z Protokołami dodatkowymi nr 1 i 2 do tej konwencji, stanowiącymi jej integralną część, sporządzone w Paryżu dnia 14 grudnia 1960 r. (Dz. U. </w:t>
      </w:r>
      <w:r w:rsidR="00525EEA">
        <w:rPr>
          <w:rFonts w:cstheme="minorHAnsi"/>
          <w:color w:val="000000" w:themeColor="text1"/>
          <w:sz w:val="24"/>
          <w:szCs w:val="24"/>
        </w:rPr>
        <w:t xml:space="preserve">z </w:t>
      </w:r>
      <w:r w:rsidRPr="00375799">
        <w:rPr>
          <w:rFonts w:cstheme="minorHAnsi"/>
          <w:color w:val="000000" w:themeColor="text1"/>
          <w:sz w:val="24"/>
          <w:szCs w:val="24"/>
        </w:rPr>
        <w:t xml:space="preserve">1998 </w:t>
      </w:r>
      <w:r w:rsidR="00525EEA">
        <w:rPr>
          <w:rFonts w:cstheme="minorHAnsi"/>
          <w:color w:val="000000" w:themeColor="text1"/>
          <w:sz w:val="24"/>
          <w:szCs w:val="24"/>
        </w:rPr>
        <w:t xml:space="preserve">r. </w:t>
      </w:r>
      <w:r w:rsidRPr="00375799">
        <w:rPr>
          <w:rFonts w:cstheme="minorHAnsi"/>
          <w:color w:val="000000" w:themeColor="text1"/>
          <w:sz w:val="24"/>
          <w:szCs w:val="24"/>
        </w:rPr>
        <w:t>poz. 490). Rzeczypospolita Polska przystąpiła do konwencji ustanawiającej OECD w 1996 r</w:t>
      </w:r>
      <w:r w:rsidR="00EE6D95">
        <w:rPr>
          <w:rFonts w:cstheme="minorHAnsi"/>
          <w:color w:val="000000" w:themeColor="text1"/>
          <w:sz w:val="24"/>
          <w:szCs w:val="24"/>
        </w:rPr>
        <w:t>.</w:t>
      </w:r>
      <w:r w:rsidRPr="00375799">
        <w:rPr>
          <w:rFonts w:cstheme="minorHAnsi"/>
          <w:color w:val="000000" w:themeColor="text1"/>
          <w:sz w:val="24"/>
          <w:szCs w:val="24"/>
        </w:rPr>
        <w:t xml:space="preserve"> przyjmując na siebie zobowiązania w zakresie stosowania wydawanych przez Radę OECD rekomendacji. </w:t>
      </w:r>
    </w:p>
    <w:p w14:paraId="416E4658" w14:textId="1B4D33A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trakcie przygotowania i rozpatrywania projektu dokumentu rządowego, w szczególności w toku przygotowania i prowadzenia procesu uzgodnień, opiniowania i konsultacji publicznych, dochodzi do przetwarzania danych osobowych osób zaangażowanych w proces stanowienia prawa. Chodzi zarówno o dane osobowe osób będących reprezentantami organizacji, o których obecnie mowa w art. 7 ustawy </w:t>
      </w:r>
      <w:r w:rsidR="00EE6D95">
        <w:rPr>
          <w:rFonts w:cstheme="minorHAnsi"/>
          <w:color w:val="000000" w:themeColor="text1"/>
          <w:sz w:val="24"/>
          <w:szCs w:val="24"/>
        </w:rPr>
        <w:t xml:space="preserve">z dnia 8 sierpnia 1996 r. </w:t>
      </w:r>
      <w:r w:rsidRPr="00375799">
        <w:rPr>
          <w:rFonts w:cstheme="minorHAnsi"/>
          <w:color w:val="000000" w:themeColor="text1"/>
          <w:sz w:val="24"/>
          <w:szCs w:val="24"/>
        </w:rPr>
        <w:t xml:space="preserve">o Radzie Ministrów czy art. 38. ust 1 ustawy o działach administracji rządowej (dane osób podpisujących pisma kierowane do organizatora konsultacji publicznych przez organizacje społeczne), ale również o dane autorów pism, opinii i uwag, które przedkładane są przez takie organizacje (np. w załączeniu). W ramach konsultacji publicznych dochodzi również do przetwarzania danych osobowych obywateli, którzy nie są zrzeszeni i nie reprezentują żadnej z organizacji wymienianych obecnie przez ustawę o Radzie Ministrów lub ustawę o działach </w:t>
      </w:r>
      <w:r w:rsidRPr="00375799">
        <w:rPr>
          <w:rFonts w:cstheme="minorHAnsi"/>
          <w:color w:val="000000" w:themeColor="text1"/>
          <w:sz w:val="24"/>
          <w:szCs w:val="24"/>
        </w:rPr>
        <w:lastRenderedPageBreak/>
        <w:t xml:space="preserve">administracji rządowej, a to wówczas, gdy w ramach konsultacji publicznych obywatele zdecydują się w nich wziąć udział indywidualnie. </w:t>
      </w:r>
    </w:p>
    <w:p w14:paraId="3E8D738A"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Przetwarzanie danych osobowych związanych z przygotowaniem konsultacji publicznych oraz ich przeprowadzeniem przybiera różnorodną formę. Organizator konsultacji publicznych – przygotowując ocenę społeczno-gospodarczą projektowanych interwencji legislacyjnych, identyfikuje podmioty, na które dana regulacja może wpływać i identyfikuje podmioty, które następnie zostaną zaproszone do udziału w konsultacjach. Poza przygotowaniem „rozdzielnika” napływające w ramach konsultacji opinie i uwagi zawierają w sobie dane osobowe ich nadawców (będą to osoby, których dane dotyczą), ale również mogą zawierać dane osobowe innych osób, jak np. załączone opinie, ekspertyzy, publikacje, stanowiska (chodzi zatem o dane osobowe, które są gromadzone od innych osób, których dane dotyczą). Poza uwzględnieniem informacji zgromadzonych w toku konsultacji publicznych w dokumencie Oceny Skutków Regulacji, dane osobowe podmiotów uczestniczących w konsultacjach mogą znaleźć się w zestawieniu uwag zgłoszonych w trakcie konsultacji, a także w raporcie z konsultacji, których przygotowanie wynika z Regulaminu pracy Rady Ministrów. </w:t>
      </w:r>
    </w:p>
    <w:p w14:paraId="5396393E" w14:textId="7BC2A7C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Wszystkie dokumenty dotyczące prac nad projektami aktów prawnych (ustaw, rozporządzeń) powinny być opublikowane w Biuletynie Informacji Publicznej, realizując w ten sposób zasadę jawności procesu stanowienia prawa. Podstawą normatywną takiej publikacji jest art. 6 ustawy z dnia 7 lipca 2005 r. o działalności lobbingowej w procesie stanowienia prawa („udostępnieniu w Biuletynie Informacji Publicznej podlegają również wszelkie dokumenty dotyczące prac nad projektem</w:t>
      </w:r>
      <w:r w:rsidR="00525EEA">
        <w:rPr>
          <w:rFonts w:cstheme="minorHAnsi"/>
          <w:color w:val="000000" w:themeColor="text1"/>
          <w:sz w:val="24"/>
          <w:szCs w:val="24"/>
        </w:rPr>
        <w:t>”</w:t>
      </w:r>
      <w:r w:rsidRPr="00375799">
        <w:rPr>
          <w:rFonts w:cstheme="minorHAnsi"/>
          <w:color w:val="000000" w:themeColor="text1"/>
          <w:sz w:val="24"/>
          <w:szCs w:val="24"/>
        </w:rPr>
        <w:t xml:space="preserve">). </w:t>
      </w:r>
    </w:p>
    <w:p w14:paraId="451EDDA2" w14:textId="225F310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Istniejące w powszechnie obowiązującym systemie prawnym normy związane z realizacją konstytucyjnej zasady dialogu społecznego (art. 20 Konstytucji RP) nie przewidują instytucji konsultacji publicznych związanych z opracowywaniem aktów prawnych w ramach rządowego procesu legislacyjnego. Kwestie te normowane są w </w:t>
      </w:r>
      <w:r w:rsidR="00525EEA">
        <w:rPr>
          <w:rFonts w:cstheme="minorHAnsi"/>
          <w:color w:val="000000" w:themeColor="text1"/>
          <w:sz w:val="24"/>
          <w:szCs w:val="24"/>
        </w:rPr>
        <w:t>R</w:t>
      </w:r>
      <w:r w:rsidRPr="00375799">
        <w:rPr>
          <w:rFonts w:cstheme="minorHAnsi"/>
          <w:color w:val="000000" w:themeColor="text1"/>
          <w:sz w:val="24"/>
          <w:szCs w:val="24"/>
        </w:rPr>
        <w:t xml:space="preserve">egulaminie pracy Rady Ministrów (który nie ma waloru powszechnie obowiązującego aktu prawnego), do którego ustawa o Radzie Ministrów się odwołuje: zgodnie z ustawą o Radzie Ministrów – </w:t>
      </w:r>
      <w:r w:rsidR="00EE6D95">
        <w:rPr>
          <w:rFonts w:cstheme="minorHAnsi"/>
          <w:color w:val="000000" w:themeColor="text1"/>
          <w:sz w:val="24"/>
          <w:szCs w:val="24"/>
        </w:rPr>
        <w:t>c</w:t>
      </w:r>
      <w:r w:rsidRPr="00375799">
        <w:rPr>
          <w:rFonts w:cstheme="minorHAnsi"/>
          <w:color w:val="000000" w:themeColor="text1"/>
          <w:sz w:val="24"/>
          <w:szCs w:val="24"/>
        </w:rPr>
        <w:t xml:space="preserve">złonek Rady Ministrów jest obowiązany, w zakresie swojego działania, do przedkładania „inicjatyw, projektów założeń projektów ustaw i projektów aktów normatywnych na posiedzenia Rady Ministrów – na zasadach i w trybie określonych w </w:t>
      </w:r>
      <w:r w:rsidR="00525EEA">
        <w:rPr>
          <w:rFonts w:cstheme="minorHAnsi"/>
          <w:color w:val="000000" w:themeColor="text1"/>
          <w:sz w:val="24"/>
          <w:szCs w:val="24"/>
        </w:rPr>
        <w:t>R</w:t>
      </w:r>
      <w:r w:rsidRPr="00375799">
        <w:rPr>
          <w:rFonts w:cstheme="minorHAnsi"/>
          <w:color w:val="000000" w:themeColor="text1"/>
          <w:sz w:val="24"/>
          <w:szCs w:val="24"/>
        </w:rPr>
        <w:t xml:space="preserve">egulaminie pracy Rady Ministrów”. Wynikająca z art. 7 ust. 4 pkt 3 ustawy o Radzie Ministrów norma, zgodnie z którą </w:t>
      </w:r>
      <w:r w:rsidR="00EE6D95">
        <w:rPr>
          <w:rFonts w:cstheme="minorHAnsi"/>
          <w:color w:val="000000" w:themeColor="text1"/>
          <w:sz w:val="24"/>
          <w:szCs w:val="24"/>
        </w:rPr>
        <w:t>c</w:t>
      </w:r>
      <w:r w:rsidRPr="00375799">
        <w:rPr>
          <w:rFonts w:cstheme="minorHAnsi"/>
          <w:color w:val="000000" w:themeColor="text1"/>
          <w:sz w:val="24"/>
          <w:szCs w:val="24"/>
        </w:rPr>
        <w:t>złonek Rady Ministrów „współdziała z samorządem terytorialnym, organizacjami społecznymi i przedstawicielstwami środowisk zawodowych i twórczych” jedynie w ogólnych ramach</w:t>
      </w:r>
      <w:r w:rsidR="000E6C9A">
        <w:rPr>
          <w:rFonts w:cstheme="minorHAnsi"/>
          <w:color w:val="000000" w:themeColor="text1"/>
          <w:sz w:val="24"/>
          <w:szCs w:val="24"/>
        </w:rPr>
        <w:t>,</w:t>
      </w:r>
      <w:r w:rsidRPr="00375799">
        <w:rPr>
          <w:rFonts w:cstheme="minorHAnsi"/>
          <w:color w:val="000000" w:themeColor="text1"/>
          <w:sz w:val="24"/>
          <w:szCs w:val="24"/>
        </w:rPr>
        <w:t xml:space="preserve"> określa konieczność realizacji zasady dialogu społecznego ze wszystkimi potencjalnymi interesariuszami. Art. 38 ust. 1 ustawy z dnia 4 września 1997 r. o działach administracji rządowej rozszerza postanowienia ustawy o Radzie Ministrów stwierdzając, że „w celu realizacji swoich zadań minister kierujący określonym działem współdziała, na zasadach i w trybie określonych w odrębnych przepisach oraz w zakresie wynikającym z potrzeb danego działu, z innymi członkami Rady Ministrów oraz innymi organami administracji rządowej i </w:t>
      </w:r>
      <w:r w:rsidRPr="00375799">
        <w:rPr>
          <w:rFonts w:cstheme="minorHAnsi"/>
          <w:color w:val="000000" w:themeColor="text1"/>
          <w:sz w:val="24"/>
          <w:szCs w:val="24"/>
        </w:rPr>
        <w:lastRenderedPageBreak/>
        <w:t>państwowymi jednostkami organizacyjnymi, organami samorządu terytorialnego, jak również z organami samorządu gospodarczego, zawodowego, związków zawodowych i organizacji pracodawców oraz innych organizacji społecznych i przedstawicielstw środowisk zawodowych i twórczych”. Na gruncie § 20 ust</w:t>
      </w:r>
      <w:r w:rsidR="00525EEA">
        <w:rPr>
          <w:rFonts w:cstheme="minorHAnsi"/>
          <w:color w:val="000000" w:themeColor="text1"/>
          <w:sz w:val="24"/>
          <w:szCs w:val="24"/>
        </w:rPr>
        <w:t>.</w:t>
      </w:r>
      <w:r w:rsidR="00223386">
        <w:rPr>
          <w:rFonts w:cstheme="minorHAnsi"/>
          <w:color w:val="000000" w:themeColor="text1"/>
          <w:sz w:val="24"/>
          <w:szCs w:val="24"/>
        </w:rPr>
        <w:t xml:space="preserve"> 2 obowiązującego R</w:t>
      </w:r>
      <w:r w:rsidRPr="00375799">
        <w:rPr>
          <w:rFonts w:cstheme="minorHAnsi"/>
          <w:color w:val="000000" w:themeColor="text1"/>
          <w:sz w:val="24"/>
          <w:szCs w:val="24"/>
        </w:rPr>
        <w:t>egulaminu pracy Rady Ministrów – „Minister może upoważnić do opracowania lub do prowadzenia procesu uzgodnień, konsultacji publicznych lub opiniowania projektu dokumentu rządowego centralny organ administracji rządowej podległy temu ministrowi lub przez niego nadzorowany. W takim przypadku do upoważnionego organu stosuje się przepisy dotyczące organu wnioskującego”. Upoważnienie wydane na gruncie § 20 ust</w:t>
      </w:r>
      <w:r w:rsidR="00525EEA">
        <w:rPr>
          <w:rFonts w:cstheme="minorHAnsi"/>
          <w:color w:val="000000" w:themeColor="text1"/>
          <w:sz w:val="24"/>
          <w:szCs w:val="24"/>
        </w:rPr>
        <w:t>.</w:t>
      </w:r>
      <w:r w:rsidRPr="00375799">
        <w:rPr>
          <w:rFonts w:cstheme="minorHAnsi"/>
          <w:color w:val="000000" w:themeColor="text1"/>
          <w:sz w:val="24"/>
          <w:szCs w:val="24"/>
        </w:rPr>
        <w:t xml:space="preserve"> 2 regulaminu w zakresie, w jakim stanowi „samoistną podstawę” prowadzenia konsultacji publicznych bez innej podstawy określonej w przepisach rangi ustawowej (np. w przepisach określających kompetencje danego organu administracji centralnej), może stanowić naruszenie zasad przetwarzania danych osobowych obywateli. </w:t>
      </w:r>
    </w:p>
    <w:p w14:paraId="4C296F16" w14:textId="6D22C34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związku z tym, że w toku konsultacji publicznych realizowanych w ramach rządowego procesu legislacyjnego dochodzi do przetwarzania danych osobowych</w:t>
      </w:r>
      <w:r w:rsidR="00525EEA">
        <w:rPr>
          <w:rFonts w:cstheme="minorHAnsi"/>
          <w:color w:val="000000" w:themeColor="text1"/>
          <w:sz w:val="24"/>
          <w:szCs w:val="24"/>
        </w:rPr>
        <w:t>,</w:t>
      </w:r>
      <w:r w:rsidRPr="00375799">
        <w:rPr>
          <w:rFonts w:cstheme="minorHAnsi"/>
          <w:color w:val="000000" w:themeColor="text1"/>
          <w:sz w:val="24"/>
          <w:szCs w:val="24"/>
        </w:rPr>
        <w:t xml:space="preserve"> niezbędne jest uwzględnienie konsultacji publicznych wśród ustawowych zadań ministrów oraz osób przez nich upoważnionych, które realizowane są obecnie na podstawie Regulaminu pracy Rady Ministrów, a także ustawowe określenie zakresu, w którym przetwarzanie danych osobowych obywateli biorących udział w rządowym procesie legislacyjnym może być realizowane.  Jednocześnie będzie to stanowić uzupełnienie przepisów ustawy o działalności lobbingowej w procesie stanowienia prawa w zakresie, w którym przepisy te określają zasady jawności procesu stanowienia prawa, co następuje m.in. przez obowiązek publikacji wszelkich dokumentów dotyczących prac nad projektami aktów normatywnych. Dokumenty związane z prowadzeniem procesu legislacyjnego stanowią materiały archiwalne wchodzące do narodowego zasobu archiwalnego (art. 1 ustawy z dnia 14 lipca 1983 r. o narodowym zasobie archiwaln</w:t>
      </w:r>
      <w:r w:rsidR="00C27DCB">
        <w:rPr>
          <w:rFonts w:cstheme="minorHAnsi"/>
          <w:color w:val="000000" w:themeColor="text1"/>
          <w:sz w:val="24"/>
          <w:szCs w:val="24"/>
        </w:rPr>
        <w:t>ym i archiwach) i – jako takie –</w:t>
      </w:r>
      <w:r w:rsidRPr="00375799">
        <w:rPr>
          <w:rFonts w:cstheme="minorHAnsi"/>
          <w:color w:val="000000" w:themeColor="text1"/>
          <w:sz w:val="24"/>
          <w:szCs w:val="24"/>
        </w:rPr>
        <w:t xml:space="preserve"> przechowuje się je wieczyście (art. 3. ustawy z dnia 14 lipca 1983 r. o narodowym zasobie archiwalnym i archiwach).</w:t>
      </w:r>
    </w:p>
    <w:p w14:paraId="6C9773A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praktyce stosowania przepisów o ochronie danych osobowych w procesie przygotowania i przeprowadzania konsultacji publicznych należy uwzględnić konieczność spełnienia obowiązku informacyjnego, o którym mowa w art. 13 RODO (informacje podawane w przypadku zbierania danych od osoby, której dane dotyczą). Nastąpi to zarówno w piśmie kierującym projekt do konsultacji publicznych, jak również przez publikację stosownych danych w Biuletynie Informacji Publicznych organizujących dokumenty publikowane w ramach realizacji obowiązku wynikającego z art. 6 ustawy z dnia 7 lipca 2005 r. o działalności lobbingowej w procesie stanowienia prawa.</w:t>
      </w:r>
    </w:p>
    <w:p w14:paraId="093CFDFA" w14:textId="24EB3F4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zakresie obowiązku informacyjnego wynikającego z art. 14 RODO (w przypadku pozyskiwania danych osobowych w sposób inny niż od osoby, której dane dotyczą) – ust</w:t>
      </w:r>
      <w:r w:rsidR="00C27DCB">
        <w:rPr>
          <w:rFonts w:cstheme="minorHAnsi"/>
          <w:color w:val="000000" w:themeColor="text1"/>
          <w:sz w:val="24"/>
          <w:szCs w:val="24"/>
        </w:rPr>
        <w:t>.</w:t>
      </w:r>
      <w:r w:rsidRPr="00375799">
        <w:rPr>
          <w:rFonts w:cstheme="minorHAnsi"/>
          <w:color w:val="000000" w:themeColor="text1"/>
          <w:sz w:val="24"/>
          <w:szCs w:val="24"/>
        </w:rPr>
        <w:t xml:space="preserve"> 1</w:t>
      </w:r>
      <w:r w:rsidR="00525EEA">
        <w:rPr>
          <w:rFonts w:cstheme="minorHAnsi"/>
          <w:color w:val="000000" w:themeColor="text1"/>
          <w:sz w:val="24"/>
          <w:szCs w:val="24"/>
        </w:rPr>
        <w:t>–</w:t>
      </w:r>
      <w:r w:rsidRPr="00375799">
        <w:rPr>
          <w:rFonts w:cstheme="minorHAnsi"/>
          <w:color w:val="000000" w:themeColor="text1"/>
          <w:sz w:val="24"/>
          <w:szCs w:val="24"/>
        </w:rPr>
        <w:t>4 tego przepisu nie będą miały zastosowania ze względu na to, że pozyskiwanie lub ujawnianie danych jest wyraźnie uregulowane prawem państwa członkowskiego (</w:t>
      </w:r>
      <w:r w:rsidR="000E6C9A">
        <w:rPr>
          <w:rFonts w:cstheme="minorHAnsi"/>
          <w:color w:val="000000" w:themeColor="text1"/>
          <w:sz w:val="24"/>
          <w:szCs w:val="24"/>
        </w:rPr>
        <w:t>a</w:t>
      </w:r>
      <w:r w:rsidR="00525EEA">
        <w:rPr>
          <w:rFonts w:cstheme="minorHAnsi"/>
          <w:color w:val="000000" w:themeColor="text1"/>
          <w:sz w:val="24"/>
          <w:szCs w:val="24"/>
        </w:rPr>
        <w:t>rt.</w:t>
      </w:r>
      <w:r w:rsidRPr="00375799">
        <w:rPr>
          <w:rFonts w:cstheme="minorHAnsi"/>
          <w:color w:val="000000" w:themeColor="text1"/>
          <w:sz w:val="24"/>
          <w:szCs w:val="24"/>
        </w:rPr>
        <w:t xml:space="preserve"> 14 ust</w:t>
      </w:r>
      <w:r w:rsidR="008F2EFF">
        <w:rPr>
          <w:rFonts w:cstheme="minorHAnsi"/>
          <w:color w:val="000000" w:themeColor="text1"/>
          <w:sz w:val="24"/>
          <w:szCs w:val="24"/>
        </w:rPr>
        <w:t>.</w:t>
      </w:r>
      <w:r w:rsidRPr="00375799">
        <w:rPr>
          <w:rFonts w:cstheme="minorHAnsi"/>
          <w:color w:val="000000" w:themeColor="text1"/>
          <w:sz w:val="24"/>
          <w:szCs w:val="24"/>
        </w:rPr>
        <w:t xml:space="preserve"> 5. RODO).</w:t>
      </w:r>
    </w:p>
    <w:p w14:paraId="03E822BC"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Uprawnienie do uzyskania kopii danych osobowych podlegających przetwarzaniu, o którym mowa w art. 15 ust 3. RODO, pozostaje w związku z realizacją obowiązku prawnego publikacji w BIP wszelkich materiałów związanych z procesem legislacyjnym. </w:t>
      </w:r>
    </w:p>
    <w:p w14:paraId="7B8941A3" w14:textId="256AF68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przypadku przetwarzania danych osobowych związanych z konsultacjami publicznymi w rządowym procesie legislacyjnym nie będą miały zastosowania przepisy art. 17 ust</w:t>
      </w:r>
      <w:r w:rsidR="00F3474D">
        <w:rPr>
          <w:rFonts w:cstheme="minorHAnsi"/>
          <w:color w:val="000000" w:themeColor="text1"/>
          <w:sz w:val="24"/>
          <w:szCs w:val="24"/>
        </w:rPr>
        <w:t>.</w:t>
      </w:r>
      <w:r w:rsidRPr="00375799">
        <w:rPr>
          <w:rFonts w:cstheme="minorHAnsi"/>
          <w:color w:val="000000" w:themeColor="text1"/>
          <w:sz w:val="24"/>
          <w:szCs w:val="24"/>
        </w:rPr>
        <w:t xml:space="preserve"> 1</w:t>
      </w:r>
      <w:r w:rsidR="00EE6D95">
        <w:rPr>
          <w:rFonts w:cstheme="minorHAnsi"/>
          <w:color w:val="000000" w:themeColor="text1"/>
          <w:sz w:val="24"/>
          <w:szCs w:val="24"/>
        </w:rPr>
        <w:t xml:space="preserve"> i </w:t>
      </w:r>
      <w:r w:rsidRPr="00375799">
        <w:rPr>
          <w:rFonts w:cstheme="minorHAnsi"/>
          <w:color w:val="000000" w:themeColor="text1"/>
          <w:sz w:val="24"/>
          <w:szCs w:val="24"/>
        </w:rPr>
        <w:t>2 RODO (prawo do bycia zapomnianym) ze względu na to, że przetwarzanie danych jest niezbędne do wywiązania się z prawnego obowiązku wymagającego przetwarzania na mocy prawa Unii lub prawa państwa członkowskiego (art. 17 ust</w:t>
      </w:r>
      <w:r w:rsidR="00525EEA">
        <w:rPr>
          <w:rFonts w:cstheme="minorHAnsi"/>
          <w:color w:val="000000" w:themeColor="text1"/>
          <w:sz w:val="24"/>
          <w:szCs w:val="24"/>
        </w:rPr>
        <w:t>.</w:t>
      </w:r>
      <w:r w:rsidRPr="00375799">
        <w:rPr>
          <w:rFonts w:cstheme="minorHAnsi"/>
          <w:color w:val="000000" w:themeColor="text1"/>
          <w:sz w:val="24"/>
          <w:szCs w:val="24"/>
        </w:rPr>
        <w:t xml:space="preserve"> 3 lit. b RODO), a także do celów archiwalnych w interesie publicznym, do celów badań naukowych lub historycznych lub do celów statystycznych (art</w:t>
      </w:r>
      <w:r w:rsidR="000E6C9A">
        <w:rPr>
          <w:rFonts w:cstheme="minorHAnsi"/>
          <w:color w:val="000000" w:themeColor="text1"/>
          <w:sz w:val="24"/>
          <w:szCs w:val="24"/>
        </w:rPr>
        <w:t>.</w:t>
      </w:r>
      <w:r w:rsidRPr="00375799">
        <w:rPr>
          <w:rFonts w:cstheme="minorHAnsi"/>
          <w:color w:val="000000" w:themeColor="text1"/>
          <w:sz w:val="24"/>
          <w:szCs w:val="24"/>
        </w:rPr>
        <w:t xml:space="preserve"> 17 ust</w:t>
      </w:r>
      <w:r w:rsidR="000E6C9A">
        <w:rPr>
          <w:rFonts w:cstheme="minorHAnsi"/>
          <w:color w:val="000000" w:themeColor="text1"/>
          <w:sz w:val="24"/>
          <w:szCs w:val="24"/>
        </w:rPr>
        <w:t>.</w:t>
      </w:r>
      <w:r w:rsidRPr="00375799">
        <w:rPr>
          <w:rFonts w:cstheme="minorHAnsi"/>
          <w:color w:val="000000" w:themeColor="text1"/>
          <w:sz w:val="24"/>
          <w:szCs w:val="24"/>
        </w:rPr>
        <w:t xml:space="preserve"> 3 lit. d RODO).</w:t>
      </w:r>
    </w:p>
    <w:p w14:paraId="5BA80505" w14:textId="19AB1DF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zakresie prawa do ograniczenia przetwarzania danych zastosowanie będzie miał art. 18 ust</w:t>
      </w:r>
      <w:r w:rsidR="000E6C9A">
        <w:rPr>
          <w:rFonts w:cstheme="minorHAnsi"/>
          <w:color w:val="000000" w:themeColor="text1"/>
          <w:sz w:val="24"/>
          <w:szCs w:val="24"/>
        </w:rPr>
        <w:t>.</w:t>
      </w:r>
      <w:r w:rsidRPr="00375799">
        <w:rPr>
          <w:rFonts w:cstheme="minorHAnsi"/>
          <w:color w:val="000000" w:themeColor="text1"/>
          <w:sz w:val="24"/>
          <w:szCs w:val="24"/>
        </w:rPr>
        <w:t xml:space="preserve"> 2 RODO, uwzględniający możliwość przetwarzania danych z uwagi na ważne względy interesu publicznego Unii lub państwa członkowskiego, do których należy zapewnienie przejrzystości i jawność procesu podejmowania decyzji w demokratycznym państwie prawnym.</w:t>
      </w:r>
    </w:p>
    <w:p w14:paraId="57D585E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357FD1A1" w14:textId="62BC6685"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37" w:name="_Toc530565010"/>
      <w:r w:rsidRPr="00375799">
        <w:rPr>
          <w:rFonts w:asciiTheme="minorHAnsi" w:hAnsiTheme="minorHAnsi" w:cstheme="minorHAnsi"/>
          <w:color w:val="000000" w:themeColor="text1"/>
          <w:sz w:val="24"/>
          <w:szCs w:val="24"/>
        </w:rPr>
        <w:t xml:space="preserve">Ustawa z dnia 13 września 1996 r. o utrzymaniu czystości i porządku w gminach </w:t>
      </w:r>
      <w:r w:rsidR="00364B42" w:rsidRPr="00375799">
        <w:rPr>
          <w:rFonts w:asciiTheme="minorHAnsi" w:hAnsiTheme="minorHAnsi" w:cstheme="minorHAnsi"/>
          <w:color w:val="000000" w:themeColor="text1"/>
          <w:sz w:val="24"/>
          <w:szCs w:val="24"/>
        </w:rPr>
        <w:t>(Dz. U. z 201</w:t>
      </w:r>
      <w:r w:rsidR="000661CB">
        <w:rPr>
          <w:rFonts w:asciiTheme="minorHAnsi" w:hAnsiTheme="minorHAnsi" w:cstheme="minorHAnsi"/>
          <w:color w:val="000000" w:themeColor="text1"/>
          <w:sz w:val="24"/>
          <w:szCs w:val="24"/>
        </w:rPr>
        <w:t>8</w:t>
      </w:r>
      <w:r w:rsidR="00364B42" w:rsidRPr="00375799">
        <w:rPr>
          <w:rFonts w:asciiTheme="minorHAnsi" w:hAnsiTheme="minorHAnsi" w:cstheme="minorHAnsi"/>
          <w:color w:val="000000" w:themeColor="text1"/>
          <w:sz w:val="24"/>
          <w:szCs w:val="24"/>
        </w:rPr>
        <w:t xml:space="preserve"> r. poz. </w:t>
      </w:r>
      <w:r w:rsidR="000661CB">
        <w:rPr>
          <w:rFonts w:asciiTheme="minorHAnsi" w:hAnsiTheme="minorHAnsi" w:cstheme="minorHAnsi"/>
          <w:color w:val="000000" w:themeColor="text1"/>
          <w:sz w:val="24"/>
          <w:szCs w:val="24"/>
        </w:rPr>
        <w:t>1454 i 1629</w:t>
      </w:r>
      <w:r w:rsidR="00364B42" w:rsidRPr="00375799">
        <w:rPr>
          <w:rFonts w:asciiTheme="minorHAnsi" w:hAnsiTheme="minorHAnsi" w:cstheme="minorHAnsi"/>
          <w:color w:val="000000" w:themeColor="text1"/>
          <w:sz w:val="24"/>
          <w:szCs w:val="24"/>
        </w:rPr>
        <w:t>)</w:t>
      </w:r>
      <w:bookmarkEnd w:id="37"/>
    </w:p>
    <w:p w14:paraId="0399E2FC" w14:textId="77777777" w:rsidR="00173A66" w:rsidRPr="00375799" w:rsidRDefault="00173A66" w:rsidP="00F31C4C">
      <w:pPr>
        <w:spacing w:after="0" w:line="276" w:lineRule="auto"/>
        <w:ind w:left="57" w:right="57"/>
        <w:contextualSpacing/>
        <w:jc w:val="both"/>
        <w:rPr>
          <w:rFonts w:cstheme="minorHAnsi"/>
          <w:color w:val="000000" w:themeColor="text1"/>
          <w:sz w:val="24"/>
          <w:szCs w:val="24"/>
        </w:rPr>
      </w:pPr>
    </w:p>
    <w:p w14:paraId="41A59AB0" w14:textId="1051EFB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upoważnieniu dla rady gminy do określenia wzoru deklaracji o wysokości opłaty za gospodarowanie odpadami komunalnymi, o którym mowa w art. 6n ustawy z dnia 13 września 1996 r. o utrzymaniu czystości i porządku w gminach</w:t>
      </w:r>
      <w:r w:rsidR="00EE6D95">
        <w:rPr>
          <w:rFonts w:cstheme="minorHAnsi"/>
          <w:color w:val="000000" w:themeColor="text1"/>
          <w:sz w:val="24"/>
          <w:szCs w:val="24"/>
        </w:rPr>
        <w:t xml:space="preserve">, </w:t>
      </w:r>
      <w:r w:rsidRPr="00375799">
        <w:rPr>
          <w:rFonts w:cstheme="minorHAnsi"/>
          <w:color w:val="000000" w:themeColor="text1"/>
          <w:sz w:val="24"/>
          <w:szCs w:val="24"/>
        </w:rPr>
        <w:t>dodano podstawę do podania we wzorze deklaracji informacji o przetwarzaniu danych osobowych zbi</w:t>
      </w:r>
      <w:r w:rsidR="00EA7DEC" w:rsidRPr="00375799">
        <w:rPr>
          <w:rFonts w:cstheme="minorHAnsi"/>
          <w:color w:val="000000" w:themeColor="text1"/>
          <w:sz w:val="24"/>
          <w:szCs w:val="24"/>
        </w:rPr>
        <w:t>eranych na podstawie deklaracji.</w:t>
      </w:r>
      <w:r w:rsidRPr="00375799">
        <w:rPr>
          <w:rFonts w:cstheme="minorHAnsi"/>
          <w:color w:val="000000" w:themeColor="text1"/>
          <w:sz w:val="24"/>
          <w:szCs w:val="24"/>
        </w:rPr>
        <w:t xml:space="preserve"> W związku ze zmianą upoważnienia do wydania uchwały rady gminy konieczne jest dodanie przepisu przejściowego utrzymującego uchwały wydane dotychczas na podstawie zmienianego przepisu w mocy, z możliwością zmiany uchwał w celu dodania tych informacji. </w:t>
      </w:r>
    </w:p>
    <w:p w14:paraId="092C342C"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FDA347A" w14:textId="34FFDC30"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38" w:name="_Toc530565011"/>
      <w:r w:rsidRPr="00375799">
        <w:rPr>
          <w:rFonts w:asciiTheme="minorHAnsi" w:hAnsiTheme="minorHAnsi" w:cstheme="minorHAnsi"/>
          <w:color w:val="000000" w:themeColor="text1"/>
          <w:sz w:val="24"/>
          <w:szCs w:val="24"/>
        </w:rPr>
        <w:t xml:space="preserve">Ustawa z dnia 5 grudnia 1996 r. o zawodach lekarza i lekarza dentysty </w:t>
      </w:r>
      <w:r w:rsidR="00364B42" w:rsidRPr="00375799">
        <w:rPr>
          <w:rFonts w:asciiTheme="minorHAnsi" w:hAnsiTheme="minorHAnsi" w:cstheme="minorHAnsi"/>
          <w:color w:val="000000" w:themeColor="text1"/>
          <w:sz w:val="24"/>
          <w:szCs w:val="24"/>
        </w:rPr>
        <w:t>(Dz.</w:t>
      </w:r>
      <w:r w:rsidR="006E758F">
        <w:rPr>
          <w:rFonts w:asciiTheme="minorHAnsi" w:hAnsiTheme="minorHAnsi" w:cstheme="minorHAnsi"/>
          <w:color w:val="000000" w:themeColor="text1"/>
          <w:sz w:val="24"/>
          <w:szCs w:val="24"/>
        </w:rPr>
        <w:t xml:space="preserve"> </w:t>
      </w:r>
      <w:r w:rsidR="00364B42" w:rsidRPr="00375799">
        <w:rPr>
          <w:rFonts w:asciiTheme="minorHAnsi" w:hAnsiTheme="minorHAnsi" w:cstheme="minorHAnsi"/>
          <w:color w:val="000000" w:themeColor="text1"/>
          <w:sz w:val="24"/>
          <w:szCs w:val="24"/>
        </w:rPr>
        <w:t>U. z 2018 r. poz. 617, 650</w:t>
      </w:r>
      <w:r w:rsidR="000661CB">
        <w:rPr>
          <w:rFonts w:asciiTheme="minorHAnsi" w:hAnsiTheme="minorHAnsi" w:cstheme="minorHAnsi"/>
          <w:color w:val="000000" w:themeColor="text1"/>
          <w:sz w:val="24"/>
          <w:szCs w:val="24"/>
        </w:rPr>
        <w:t xml:space="preserve">, </w:t>
      </w:r>
      <w:r w:rsidR="00364B42" w:rsidRPr="00375799">
        <w:rPr>
          <w:rFonts w:asciiTheme="minorHAnsi" w:hAnsiTheme="minorHAnsi" w:cstheme="minorHAnsi"/>
          <w:color w:val="000000" w:themeColor="text1"/>
          <w:sz w:val="24"/>
          <w:szCs w:val="24"/>
        </w:rPr>
        <w:t>697</w:t>
      </w:r>
      <w:r w:rsidR="000661CB">
        <w:rPr>
          <w:rFonts w:asciiTheme="minorHAnsi" w:hAnsiTheme="minorHAnsi" w:cstheme="minorHAnsi"/>
          <w:color w:val="000000" w:themeColor="text1"/>
          <w:sz w:val="24"/>
          <w:szCs w:val="24"/>
        </w:rPr>
        <w:t>, 1515, 1532, 1544, 1629 i 1669</w:t>
      </w:r>
      <w:r w:rsidR="00364B42" w:rsidRPr="00375799">
        <w:rPr>
          <w:rFonts w:asciiTheme="minorHAnsi" w:hAnsiTheme="minorHAnsi" w:cstheme="minorHAnsi"/>
          <w:color w:val="000000" w:themeColor="text1"/>
          <w:sz w:val="24"/>
          <w:szCs w:val="24"/>
        </w:rPr>
        <w:t>)</w:t>
      </w:r>
      <w:bookmarkEnd w:id="38"/>
    </w:p>
    <w:p w14:paraId="711C2ADF"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60A5A545" w14:textId="4459E60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ustawie z dnia 5 grudnia 1996 r. o zawodach lekarza i lekarza dentysty dodano przepisy wskazujące jakie dane lekarzy i lekarzy dentystów związane z realizacją stażu podyplomowego lekarzy i lekarzy dentystów mogą przetwarzać marszałek województwa, Minister Obrony Narodowej oraz wojewoda. Wskazano również, że te dane nie mogą być przetwarzane w celu innym niż finansowanie stażu podyplomowego, przedłużenie stażu podyplomowego i nadzór nad odbywaniem stażu podyplomowego, a dostęp do nich mogą mieć wyłącznie osoby posiadające pisemne upoważnienie do przetwarzania tych danych wydane przez marszałka województwa, Ministra Obrony Narodowej lub wojewodę. Osoby posiadające takie upoważnienie będą zobowiązane do zachowania tych danych w poufności. Zgodnie z art. 9 RODO, zabrania się przetwarzania danych osobowych dotyczących zdrowia. </w:t>
      </w:r>
      <w:r w:rsidRPr="00375799">
        <w:rPr>
          <w:rFonts w:cstheme="minorHAnsi"/>
          <w:color w:val="000000" w:themeColor="text1"/>
          <w:sz w:val="24"/>
          <w:szCs w:val="24"/>
        </w:rPr>
        <w:lastRenderedPageBreak/>
        <w:t>Natomiast zgodnie z ust. 2 lit. g art. 9 zakaz ten nie ma zastosowania w sytuacji, gdy przetwarzanie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 Z uwagi na fakt, że marszałek województwa oraz Minister Obrony Narodowej, zgodnie z art. 15 ustawy z dnia 5 grudnia 1996 r. o zawodach lekarza i lekarza dentysty, organizują, finansują oraz zapewniają warunki odbywania stażu podyplomowego przez absolwentów studiów lekarskich i lekarsko dentystycznych, a wojewoda sprawuje nadzór nad odbywaniem stażu podyplomowego lekarzy, konieczne jest, aby przetwarzali oni dane osobowe. Analogiczne przepisy dotyczą szkoleń specjalizacyjnych lekarzy.</w:t>
      </w:r>
    </w:p>
    <w:p w14:paraId="4DC2366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EAF2F85" w14:textId="56AEFE78"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39" w:name="_Toc530565012"/>
      <w:r w:rsidRPr="00375799">
        <w:rPr>
          <w:rFonts w:asciiTheme="minorHAnsi" w:hAnsiTheme="minorHAnsi" w:cstheme="minorHAnsi"/>
          <w:color w:val="000000" w:themeColor="text1"/>
          <w:sz w:val="24"/>
          <w:szCs w:val="24"/>
        </w:rPr>
        <w:t>Ustawa z dnia 10 kwietnia 1997 r. – Prawo energetyczne</w:t>
      </w:r>
      <w:r w:rsidR="00364B42" w:rsidRPr="00375799">
        <w:rPr>
          <w:rFonts w:asciiTheme="minorHAnsi" w:hAnsiTheme="minorHAnsi" w:cstheme="minorHAnsi"/>
          <w:color w:val="000000" w:themeColor="text1"/>
          <w:sz w:val="24"/>
          <w:szCs w:val="24"/>
        </w:rPr>
        <w:t xml:space="preserve"> (Dz. U. z 2018 r. poz. 755, 650, 685, 771</w:t>
      </w:r>
      <w:r w:rsidR="000661CB">
        <w:rPr>
          <w:rFonts w:asciiTheme="minorHAnsi" w:hAnsiTheme="minorHAnsi" w:cstheme="minorHAnsi"/>
          <w:color w:val="000000" w:themeColor="text1"/>
          <w:sz w:val="24"/>
          <w:szCs w:val="24"/>
        </w:rPr>
        <w:t>,</w:t>
      </w:r>
      <w:r w:rsidR="00364B42" w:rsidRPr="00375799">
        <w:rPr>
          <w:rFonts w:asciiTheme="minorHAnsi" w:hAnsiTheme="minorHAnsi" w:cstheme="minorHAnsi"/>
          <w:color w:val="000000" w:themeColor="text1"/>
          <w:sz w:val="24"/>
          <w:szCs w:val="24"/>
        </w:rPr>
        <w:t xml:space="preserve"> 1000</w:t>
      </w:r>
      <w:r w:rsidR="000661CB">
        <w:rPr>
          <w:rFonts w:asciiTheme="minorHAnsi" w:hAnsiTheme="minorHAnsi" w:cstheme="minorHAnsi"/>
          <w:color w:val="000000" w:themeColor="text1"/>
          <w:sz w:val="24"/>
          <w:szCs w:val="24"/>
        </w:rPr>
        <w:t>, 1356, 1629 i 1637</w:t>
      </w:r>
      <w:r w:rsidR="00364B42" w:rsidRPr="00375799">
        <w:rPr>
          <w:rFonts w:asciiTheme="minorHAnsi" w:hAnsiTheme="minorHAnsi" w:cstheme="minorHAnsi"/>
          <w:color w:val="000000" w:themeColor="text1"/>
          <w:sz w:val="24"/>
          <w:szCs w:val="24"/>
        </w:rPr>
        <w:t>)</w:t>
      </w:r>
      <w:bookmarkEnd w:id="39"/>
    </w:p>
    <w:p w14:paraId="11BECA13"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09668671" w14:textId="1265240D" w:rsidR="00E94957" w:rsidRPr="00375799" w:rsidRDefault="00E94957"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Proponowana zmiana wynika z konieczności określenia, iż wzór wniosku o wypłatę dodatku energetycznego określa, w drodze uchwały, rada gminy. Jednocześnie proponuje się wskazanie maksymalnego 5-letniego okresu przechowywania danych osobowych w związku </w:t>
      </w:r>
      <w:r w:rsidRPr="00375799">
        <w:rPr>
          <w:rFonts w:cstheme="minorHAnsi"/>
          <w:color w:val="000000" w:themeColor="text1"/>
          <w:sz w:val="24"/>
          <w:szCs w:val="24"/>
        </w:rPr>
        <w:br/>
        <w:t>z wypłaceni</w:t>
      </w:r>
      <w:r w:rsidR="000E6C9A">
        <w:rPr>
          <w:rFonts w:cstheme="minorHAnsi"/>
          <w:color w:val="000000" w:themeColor="text1"/>
          <w:sz w:val="24"/>
          <w:szCs w:val="24"/>
        </w:rPr>
        <w:t>em</w:t>
      </w:r>
      <w:r w:rsidRPr="00375799">
        <w:rPr>
          <w:rFonts w:cstheme="minorHAnsi"/>
          <w:color w:val="000000" w:themeColor="text1"/>
          <w:sz w:val="24"/>
          <w:szCs w:val="24"/>
        </w:rPr>
        <w:t xml:space="preserve"> dodatku energetycznego, który liczy się od dnia zaprzestania wypłacania tego dodatku. </w:t>
      </w:r>
    </w:p>
    <w:p w14:paraId="3D4041B1" w14:textId="32803CD7" w:rsidR="00E94957" w:rsidRPr="00375799" w:rsidRDefault="00E94957"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Zastąpienie wyrazu „przekazuje” wyrazem „udostępnia” ma charakter doprecyzowujący z uwagi na fakt, iż udostępnianie danych osobowych jest jednym ze sposobów przetwarzania danych osobowych określonych w RODO. </w:t>
      </w:r>
      <w:r w:rsidR="00844EC3" w:rsidRPr="00375799">
        <w:rPr>
          <w:rFonts w:cstheme="minorHAnsi"/>
          <w:color w:val="000000" w:themeColor="text1"/>
          <w:sz w:val="24"/>
          <w:szCs w:val="24"/>
        </w:rPr>
        <w:t xml:space="preserve">Zmiana </w:t>
      </w:r>
      <w:r w:rsidR="00CE2A48">
        <w:rPr>
          <w:rFonts w:cstheme="minorHAnsi"/>
          <w:color w:val="000000" w:themeColor="text1"/>
          <w:sz w:val="24"/>
          <w:szCs w:val="24"/>
        </w:rPr>
        <w:t xml:space="preserve">przedstawiona </w:t>
      </w:r>
      <w:r w:rsidR="00844EC3" w:rsidRPr="00375799">
        <w:rPr>
          <w:rFonts w:cstheme="minorHAnsi"/>
          <w:color w:val="000000" w:themeColor="text1"/>
          <w:sz w:val="24"/>
          <w:szCs w:val="24"/>
        </w:rPr>
        <w:t xml:space="preserve">w art. 40 pkt 2 ma charakter redakcyjny. </w:t>
      </w:r>
    </w:p>
    <w:p w14:paraId="409CD83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C1F5526" w14:textId="7B5A8415"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40" w:name="_Toc530565013"/>
      <w:r w:rsidRPr="00375799">
        <w:rPr>
          <w:rFonts w:asciiTheme="minorHAnsi" w:hAnsiTheme="minorHAnsi" w:cstheme="minorHAnsi"/>
          <w:color w:val="000000" w:themeColor="text1"/>
          <w:sz w:val="24"/>
          <w:szCs w:val="24"/>
        </w:rPr>
        <w:t>Ustawa z dnia 6 czerwca 1997 r. – Kodeks karny</w:t>
      </w:r>
      <w:r w:rsidR="00A43C7E" w:rsidRPr="00375799">
        <w:rPr>
          <w:rFonts w:asciiTheme="minorHAnsi" w:hAnsiTheme="minorHAnsi" w:cstheme="minorHAnsi"/>
          <w:color w:val="000000" w:themeColor="text1"/>
          <w:sz w:val="24"/>
          <w:szCs w:val="24"/>
        </w:rPr>
        <w:t xml:space="preserve"> (Dz. U. z 201</w:t>
      </w:r>
      <w:r w:rsidR="000661CB">
        <w:rPr>
          <w:rFonts w:asciiTheme="minorHAnsi" w:hAnsiTheme="minorHAnsi" w:cstheme="minorHAnsi"/>
          <w:color w:val="000000" w:themeColor="text1"/>
          <w:sz w:val="24"/>
          <w:szCs w:val="24"/>
        </w:rPr>
        <w:t>8</w:t>
      </w:r>
      <w:r w:rsidR="00A43C7E" w:rsidRPr="00375799">
        <w:rPr>
          <w:rFonts w:asciiTheme="minorHAnsi" w:hAnsiTheme="minorHAnsi" w:cstheme="minorHAnsi"/>
          <w:color w:val="000000" w:themeColor="text1"/>
          <w:sz w:val="24"/>
          <w:szCs w:val="24"/>
        </w:rPr>
        <w:t xml:space="preserve"> r. poz. </w:t>
      </w:r>
      <w:r w:rsidR="000661CB">
        <w:rPr>
          <w:rFonts w:asciiTheme="minorHAnsi" w:hAnsiTheme="minorHAnsi" w:cstheme="minorHAnsi"/>
          <w:color w:val="000000" w:themeColor="text1"/>
          <w:sz w:val="24"/>
          <w:szCs w:val="24"/>
        </w:rPr>
        <w:t>1600 i 2077</w:t>
      </w:r>
      <w:r w:rsidR="00A43C7E" w:rsidRPr="00375799">
        <w:rPr>
          <w:rFonts w:asciiTheme="minorHAnsi" w:hAnsiTheme="minorHAnsi" w:cstheme="minorHAnsi"/>
          <w:color w:val="000000" w:themeColor="text1"/>
          <w:sz w:val="24"/>
          <w:szCs w:val="24"/>
        </w:rPr>
        <w:t>)</w:t>
      </w:r>
      <w:bookmarkEnd w:id="40"/>
    </w:p>
    <w:p w14:paraId="39128239"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161AA25F" w14:textId="1FF11F2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pierwszej kolejności należy wskazać, że z informacji uzyskanych przez </w:t>
      </w:r>
      <w:r w:rsidR="00CE2A48">
        <w:rPr>
          <w:rFonts w:cstheme="minorHAnsi"/>
          <w:color w:val="000000" w:themeColor="text1"/>
          <w:sz w:val="24"/>
          <w:szCs w:val="24"/>
        </w:rPr>
        <w:t>projektodawcę</w:t>
      </w:r>
      <w:r w:rsidRPr="00375799">
        <w:rPr>
          <w:rFonts w:cstheme="minorHAnsi"/>
          <w:color w:val="000000" w:themeColor="text1"/>
          <w:sz w:val="24"/>
          <w:szCs w:val="24"/>
        </w:rPr>
        <w:t xml:space="preserve"> wynika, że obok licznych wiadomości wysyłanych po 25 maja 2018 r. informujących o przetwarzaniu danych osobowych są również takie, które mogą być ukierunkowane na oszustwa. Obok informacji zawierających linki bądź załączniki z dokumentami z których skorzystanie zapewnić ma pozornie pełną zgodność z </w:t>
      </w:r>
      <w:r w:rsidR="00604557" w:rsidRPr="00375799">
        <w:rPr>
          <w:rFonts w:cstheme="minorHAnsi"/>
          <w:color w:val="000000" w:themeColor="text1"/>
          <w:sz w:val="24"/>
          <w:szCs w:val="24"/>
        </w:rPr>
        <w:t>RODO</w:t>
      </w:r>
      <w:r w:rsidRPr="00375799">
        <w:rPr>
          <w:rFonts w:cstheme="minorHAnsi"/>
          <w:color w:val="000000" w:themeColor="text1"/>
          <w:sz w:val="24"/>
          <w:szCs w:val="24"/>
        </w:rPr>
        <w:t xml:space="preserve">, a faktycznie może skutkować zainstalowaniem tzw. wirusa, coraz częściej wysyłane są oferty usług doradczych w obszarze ochrony danych osobowych z informacją, że odmowa skorzystania z usług skutkować może złożeniem skargi do Prezesa Urzędu Ochrony Danych Osobowych. Wiadomości zawierają również często adresowane świadomie nieprawdziwe informacje o prawnej konieczności nabycia szaf zapewniających zgodność z RODO, krat w oknach, szczególnych kategorii niszczarek, nakładek na ekrany monitorów, kłódek oraz innych dedykowanych RODO rozwiązań. Nie ulega więc wątpliwości, że konieczne jest objęcie takich działań podejmowanych na ogromną skalę, regulacjami kodeksu karnego. </w:t>
      </w:r>
    </w:p>
    <w:p w14:paraId="16D3CBF0" w14:textId="37ED3D9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Pojęcie groźby bezprawnej — zdefiniowanej w przepisie </w:t>
      </w:r>
      <w:r w:rsidR="00F9627D" w:rsidRPr="00375799">
        <w:rPr>
          <w:rFonts w:cstheme="minorHAnsi"/>
          <w:color w:val="000000" w:themeColor="text1"/>
          <w:sz w:val="24"/>
          <w:szCs w:val="24"/>
        </w:rPr>
        <w:t>art.</w:t>
      </w:r>
      <w:r w:rsidRPr="00375799">
        <w:rPr>
          <w:rFonts w:cstheme="minorHAnsi"/>
          <w:color w:val="000000" w:themeColor="text1"/>
          <w:sz w:val="24"/>
          <w:szCs w:val="24"/>
        </w:rPr>
        <w:t xml:space="preserve"> 115 § 12 ustawy z dnia 6 czerwca 1997 r. — Kodeks karny (dalej jako: k.k.) zostało ujęte identycznie jak w poprzednio obowiązującym Kodeksie karnym (art. 120 § 10 ustawy karnej z 1969 r.), w związku z tym poglądy doktryny, jak i orzecznictwo na gruncie tamtej ustawy w pełni zachowują swoją aktualność. Ustawodawca karny wprowadził pojęcie groźby bezprawnej w celu ułatwienia interpretacji niektórych przestępstw. Groźba bezprawna należy bowiem do znamion wielu typów czynów zabronionych, charakteryzując sposób zachowania sprawcy. Do katalogu tych czynów należą przestępstwa dotyczące: handlu ludźmi (art. 189a k.k. w nawiązaniu do art. 115 § 22 k.k.), zamachów przeciwko grupie ludności (art. 118a § 2 k.k.), dyskryminacji (art. 119 § 1 k.k.), zamachów przeciwko ofiarom wojny (art. 124 § 1 k.k.), wpływania na czynności urzędowe organu konstytucyjnego (</w:t>
      </w:r>
      <w:r w:rsidR="000E6C9A">
        <w:rPr>
          <w:rFonts w:cstheme="minorHAnsi"/>
          <w:color w:val="000000" w:themeColor="text1"/>
          <w:sz w:val="24"/>
          <w:szCs w:val="24"/>
        </w:rPr>
        <w:t>art.</w:t>
      </w:r>
      <w:r w:rsidRPr="00375799">
        <w:rPr>
          <w:rFonts w:cstheme="minorHAnsi"/>
          <w:color w:val="000000" w:themeColor="text1"/>
          <w:sz w:val="24"/>
          <w:szCs w:val="24"/>
        </w:rPr>
        <w:t xml:space="preserve"> 128 § 3 k.k.), przerwania ciąży (art. 153 § 1 k.k.), zmuszania (art. 191 k.k.), utrwalania wizerunku nagiej osoby bez jej zgody (art. 191a k.k.), zgwałcenia (art. 197 § 1 i 2 k.k.), nawiązywania kontaktu z małoletnim w celu wykorzystania seksualnego (art. 200a § 1 k.k.), zmuszania do prostytucji (art. 203 k.k.), wywierania wpływu na czynności urzędowe lub czynności służbowe funkcjonariusza (art. 224 k.k.), wywierania wpływu na czynności urzędowe sądu (art. 232 k.k.), wywierania wpływu na uczestników postępowania sądowego (art. 245 k.k.), wymuszania zeznań, wyjaśnień, informacji lub oświadczenia (art. 246 k.k.), przeszkadzania w wyborach (art. 249 k.k.), wywierania wpływu na zachowanie osoby uprawnionej do głosowania (art</w:t>
      </w:r>
      <w:r w:rsidR="000E6C9A">
        <w:rPr>
          <w:rFonts w:cstheme="minorHAnsi"/>
          <w:color w:val="000000" w:themeColor="text1"/>
          <w:sz w:val="24"/>
          <w:szCs w:val="24"/>
        </w:rPr>
        <w:t>.</w:t>
      </w:r>
      <w:r w:rsidRPr="00375799">
        <w:rPr>
          <w:rFonts w:cstheme="minorHAnsi"/>
          <w:color w:val="000000" w:themeColor="text1"/>
          <w:sz w:val="24"/>
          <w:szCs w:val="24"/>
        </w:rPr>
        <w:t xml:space="preserve"> 250 k.k.), udaremniania lub rozpraszania zgromadzenia (art. 260 k.k.), nielegalnego przekroczenia granicy (</w:t>
      </w:r>
      <w:r w:rsidR="00F47330">
        <w:rPr>
          <w:rFonts w:cstheme="minorHAnsi"/>
          <w:color w:val="000000" w:themeColor="text1"/>
          <w:sz w:val="24"/>
          <w:szCs w:val="24"/>
        </w:rPr>
        <w:t xml:space="preserve">art. </w:t>
      </w:r>
      <w:r w:rsidRPr="00375799">
        <w:rPr>
          <w:rFonts w:cstheme="minorHAnsi"/>
          <w:color w:val="000000" w:themeColor="text1"/>
          <w:sz w:val="24"/>
          <w:szCs w:val="24"/>
        </w:rPr>
        <w:t>264 § 2 k.k.), przeszkadzania przełożonemu w czynności służbowej lub zmuszania do jej przedsięwzięcia albo zaniechania (a</w:t>
      </w:r>
      <w:r w:rsidR="000E6C9A">
        <w:rPr>
          <w:rFonts w:cstheme="minorHAnsi"/>
          <w:color w:val="000000" w:themeColor="text1"/>
          <w:sz w:val="24"/>
          <w:szCs w:val="24"/>
        </w:rPr>
        <w:t>r</w:t>
      </w:r>
      <w:r w:rsidRPr="00375799">
        <w:rPr>
          <w:rFonts w:cstheme="minorHAnsi"/>
          <w:color w:val="000000" w:themeColor="text1"/>
          <w:sz w:val="24"/>
          <w:szCs w:val="24"/>
        </w:rPr>
        <w:t>t</w:t>
      </w:r>
      <w:r w:rsidR="000E6C9A">
        <w:rPr>
          <w:rFonts w:cstheme="minorHAnsi"/>
          <w:color w:val="000000" w:themeColor="text1"/>
          <w:sz w:val="24"/>
          <w:szCs w:val="24"/>
        </w:rPr>
        <w:t>.</w:t>
      </w:r>
      <w:r w:rsidRPr="00375799">
        <w:rPr>
          <w:rFonts w:cstheme="minorHAnsi"/>
          <w:color w:val="000000" w:themeColor="text1"/>
          <w:sz w:val="24"/>
          <w:szCs w:val="24"/>
        </w:rPr>
        <w:t xml:space="preserve"> 346 § 1 k.k.).</w:t>
      </w:r>
    </w:p>
    <w:p w14:paraId="56437D38" w14:textId="4F93327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Zgodnie z art. 115 § 12 k</w:t>
      </w:r>
      <w:r w:rsidR="000E6C9A">
        <w:rPr>
          <w:rFonts w:cstheme="minorHAnsi"/>
          <w:color w:val="000000" w:themeColor="text1"/>
          <w:sz w:val="24"/>
          <w:szCs w:val="24"/>
        </w:rPr>
        <w:t>.</w:t>
      </w:r>
      <w:r w:rsidRPr="00375799">
        <w:rPr>
          <w:rFonts w:cstheme="minorHAnsi"/>
          <w:color w:val="000000" w:themeColor="text1"/>
          <w:sz w:val="24"/>
          <w:szCs w:val="24"/>
        </w:rPr>
        <w:t>k. groźbą bezprawną jest zarówno groźba, o której mowa w art. 190 (tzw. groźba karalna), jak i groźba spowodowania postępowania karnego lub rozgłoszenia wiadomości uwłaczającej czci zagrożonego lub jego osoby najbliższej. Przy czym nie stanowi groźby zapowiedź spowodowania postępowania karnego, jeżeli ma ona jedynie na celu ochronę prawa naruszonego przestępstwem. Istotą groźby jest zatem zapowiedź naruszenia prawnego dobra (K. Daszkiewicz, Groźba w polskim prawie, s. 9), tj. zapowiedź spowodowania negatywnych konsekwencji, jakie mogą spotkać osobę zagrożoną lub jego osoby najbliższe. Innymi słowy, grożenie polega na ukazaniu innej osobie, że jeżeli nie wykona ona określonych działań korzystnych z punktu widzenia osoby wypowiadającej groźby, to może spotkać ją lub jej najbliższego niekorzystne zdarzenie, pogarszające jego sytuację, niż gdyby działanie to wykonał (Filar (red.), Kodeks karny, s. 524).</w:t>
      </w:r>
    </w:p>
    <w:p w14:paraId="7627AEAC" w14:textId="45887C8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Groźba spowodowania postępowania karnego polega na zapowiedzi wszczęcia takiego postępowania, którego przedmiotem jest docelowo oskarżenie zagrożonego o popełnienie przestępstwa lub przestępstwa skarbowego, ale nie o wykroczenie lub wykroczenie skarbowe (Wąsek, w: Wąsek, Kodeks karny, s. 843; także J. Majewski, w: Zol</w:t>
      </w:r>
      <w:r w:rsidR="000E6C9A">
        <w:rPr>
          <w:rFonts w:cstheme="minorHAnsi"/>
          <w:color w:val="000000" w:themeColor="text1"/>
          <w:sz w:val="24"/>
          <w:szCs w:val="24"/>
        </w:rPr>
        <w:t>l</w:t>
      </w:r>
      <w:r w:rsidRPr="00375799">
        <w:rPr>
          <w:rFonts w:cstheme="minorHAnsi"/>
          <w:color w:val="000000" w:themeColor="text1"/>
          <w:sz w:val="24"/>
          <w:szCs w:val="24"/>
        </w:rPr>
        <w:t xml:space="preserve"> (red.), Kodeks karny, s. 1448). Przepis art. 115 § 12 k.k. nie precyzuje, czy postępowanie wobec zagrożonej osoby ma mieć związek z jego uprzednim czynem, tak więc można przyjąć, że groźba ta obejmuje zarówno sytuację szantażu, gdy zagrożony faktycznie popełnił zarzucany mu groźbą czyn, jak i </w:t>
      </w:r>
      <w:r w:rsidRPr="00375799">
        <w:rPr>
          <w:rFonts w:cstheme="minorHAnsi"/>
          <w:color w:val="000000" w:themeColor="text1"/>
          <w:sz w:val="24"/>
          <w:szCs w:val="24"/>
        </w:rPr>
        <w:lastRenderedPageBreak/>
        <w:t>wtedy, gdy wyrażone groźbą oskarżenie jest bezpodstawne. Istotą bowiem tej postaci groźby nie jest to, czy postępowanie karne jest uzasadnione i powinno się toczyć, lecz jedynie groźba jego spowodowania, co stanowi element nacisku na osobę zagrożoną. Ustawodawca ogranicza jednak zakres groźby spowodowania postępowania karnego, wyłączając z jej treści przypadki, gdy ma ona jedynie na celu ochronę prawa naruszonego przestępstwem, przy czym wydaje się, że musi zachodzić ścisły związek między potrzebą ochrony dobra prawnego a przedmiotem postępowania karnego, które grożący zapowiada (W. Wolter, w: Kodeks karny z komentarzem, s. 380).</w:t>
      </w:r>
    </w:p>
    <w:p w14:paraId="6B64FAD0" w14:textId="4246903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orzecznictwie stwierdzono, że ograniczenie to należy rozumieć literalnie i nie może być ono modyfikowane w taki sposób, że unormowany tam wyjątek miałby dotyczyć groźby spowodowania postępowania dyscyplinarnego w celu ochrony prawa naruszonego deliktem dyscyplinarnym, albowiem byłoby to nielogiczne i sprzeczne z celem tego wyjątku, który nie może być interpretowany rozszerzająco (post</w:t>
      </w:r>
      <w:r w:rsidR="00F47330">
        <w:rPr>
          <w:rFonts w:cstheme="minorHAnsi"/>
          <w:color w:val="000000" w:themeColor="text1"/>
          <w:sz w:val="24"/>
          <w:szCs w:val="24"/>
        </w:rPr>
        <w:t xml:space="preserve">anowienie </w:t>
      </w:r>
      <w:r w:rsidRPr="00375799">
        <w:rPr>
          <w:rFonts w:cstheme="minorHAnsi"/>
          <w:color w:val="000000" w:themeColor="text1"/>
          <w:sz w:val="24"/>
          <w:szCs w:val="24"/>
        </w:rPr>
        <w:t>S</w:t>
      </w:r>
      <w:r w:rsidR="00F47330">
        <w:rPr>
          <w:rFonts w:cstheme="minorHAnsi"/>
          <w:color w:val="000000" w:themeColor="text1"/>
          <w:sz w:val="24"/>
          <w:szCs w:val="24"/>
        </w:rPr>
        <w:t xml:space="preserve">ądu </w:t>
      </w:r>
      <w:r w:rsidRPr="00375799">
        <w:rPr>
          <w:rFonts w:cstheme="minorHAnsi"/>
          <w:color w:val="000000" w:themeColor="text1"/>
          <w:sz w:val="24"/>
          <w:szCs w:val="24"/>
        </w:rPr>
        <w:t>N</w:t>
      </w:r>
      <w:r w:rsidR="00F47330">
        <w:rPr>
          <w:rFonts w:cstheme="minorHAnsi"/>
          <w:color w:val="000000" w:themeColor="text1"/>
          <w:sz w:val="24"/>
          <w:szCs w:val="24"/>
        </w:rPr>
        <w:t>ajwyższego</w:t>
      </w:r>
      <w:r w:rsidRPr="00375799">
        <w:rPr>
          <w:rFonts w:cstheme="minorHAnsi"/>
          <w:color w:val="000000" w:themeColor="text1"/>
          <w:sz w:val="24"/>
          <w:szCs w:val="24"/>
        </w:rPr>
        <w:t xml:space="preserve"> z</w:t>
      </w:r>
      <w:r w:rsidR="00F47330">
        <w:rPr>
          <w:rFonts w:cstheme="minorHAnsi"/>
          <w:color w:val="000000" w:themeColor="text1"/>
          <w:sz w:val="24"/>
          <w:szCs w:val="24"/>
        </w:rPr>
        <w:t xml:space="preserve"> dnia</w:t>
      </w:r>
      <w:r w:rsidRPr="00375799">
        <w:rPr>
          <w:rFonts w:cstheme="minorHAnsi"/>
          <w:color w:val="000000" w:themeColor="text1"/>
          <w:sz w:val="24"/>
          <w:szCs w:val="24"/>
        </w:rPr>
        <w:t xml:space="preserve"> 9</w:t>
      </w:r>
      <w:r w:rsidR="00F47330">
        <w:rPr>
          <w:rFonts w:cstheme="minorHAnsi"/>
          <w:color w:val="000000" w:themeColor="text1"/>
          <w:sz w:val="24"/>
          <w:szCs w:val="24"/>
        </w:rPr>
        <w:t xml:space="preserve"> października </w:t>
      </w:r>
      <w:r w:rsidRPr="00375799">
        <w:rPr>
          <w:rFonts w:cstheme="minorHAnsi"/>
          <w:color w:val="000000" w:themeColor="text1"/>
          <w:sz w:val="24"/>
          <w:szCs w:val="24"/>
        </w:rPr>
        <w:t>2013 r., SD</w:t>
      </w:r>
      <w:r w:rsidR="00F47330">
        <w:rPr>
          <w:rFonts w:cstheme="minorHAnsi"/>
          <w:color w:val="000000" w:themeColor="text1"/>
          <w:sz w:val="24"/>
          <w:szCs w:val="24"/>
        </w:rPr>
        <w:t xml:space="preserve"> </w:t>
      </w:r>
      <w:r w:rsidRPr="00375799">
        <w:rPr>
          <w:rFonts w:cstheme="minorHAnsi"/>
          <w:color w:val="000000" w:themeColor="text1"/>
          <w:sz w:val="24"/>
          <w:szCs w:val="24"/>
        </w:rPr>
        <w:t xml:space="preserve">127/13, </w:t>
      </w:r>
      <w:proofErr w:type="spellStart"/>
      <w:r w:rsidRPr="00375799">
        <w:rPr>
          <w:rFonts w:cstheme="minorHAnsi"/>
          <w:color w:val="000000" w:themeColor="text1"/>
          <w:sz w:val="24"/>
          <w:szCs w:val="24"/>
        </w:rPr>
        <w:t>Legalis</w:t>
      </w:r>
      <w:proofErr w:type="spellEnd"/>
      <w:r w:rsidRPr="00375799">
        <w:rPr>
          <w:rFonts w:cstheme="minorHAnsi"/>
          <w:color w:val="000000" w:themeColor="text1"/>
          <w:sz w:val="24"/>
          <w:szCs w:val="24"/>
        </w:rPr>
        <w:t>)</w:t>
      </w:r>
      <w:r w:rsidR="00F47330">
        <w:rPr>
          <w:rFonts w:cstheme="minorHAnsi"/>
          <w:color w:val="000000" w:themeColor="text1"/>
          <w:sz w:val="24"/>
          <w:szCs w:val="24"/>
        </w:rPr>
        <w:t>.</w:t>
      </w:r>
    </w:p>
    <w:p w14:paraId="1BF6E0FF" w14:textId="2817A17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doktrynie podnosi się, że groźba spowodowania postępowania karnego może być skierowana zarówno wobec adresata tej groźby, jak i jego osoby najbliższej (A. Wąsek, w: Wąsek, Kodeks karny, s. 798; tak</w:t>
      </w:r>
      <w:r w:rsidR="000E6C9A">
        <w:rPr>
          <w:rFonts w:cstheme="minorHAnsi"/>
          <w:color w:val="000000" w:themeColor="text1"/>
          <w:sz w:val="24"/>
          <w:szCs w:val="24"/>
        </w:rPr>
        <w:t>ż</w:t>
      </w:r>
      <w:r w:rsidRPr="00375799">
        <w:rPr>
          <w:rFonts w:cstheme="minorHAnsi"/>
          <w:color w:val="000000" w:themeColor="text1"/>
          <w:sz w:val="24"/>
          <w:szCs w:val="24"/>
        </w:rPr>
        <w:t>e J. Majewski, w: Zoll (red.), Kodeks karny, s. 1211). Ponadto omawiana postać groźby jest zapowiedzią spowodowania wszczęcia postępowania karnego, a zatem nie może dotyczyć postępowania, które już się toczy. Groźby skierowane wobec innej osoby w trakcie toczącego się postępowania, o ile nie będą stanowić innych postaci groźby bezprawnej wskazanych w art. 115 § 12 k.k., nie mieszczą, się w zakresie treściowym omawianej postaci.</w:t>
      </w:r>
    </w:p>
    <w:p w14:paraId="69224B9C" w14:textId="3A113EA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powyższym, wprowadzenie zmian w k.k. wydaje się być niezbędne. Na chwilę obecną nie można odnotować większej różnicy pomiędzy administracyjną karą pieniężną, która de facto przybiera postać zdecydowanie wyższej, a karą grzywny, orzekanej na podstawie przepisów karnych. Należy jednocześnie podkreślić, że rzeczona interwencja legislacyjna niejako uzupełnia lukę prawną (lacuna iuris), która </w:t>
      </w:r>
      <w:r w:rsidR="000E6C9A">
        <w:rPr>
          <w:rFonts w:cstheme="minorHAnsi"/>
          <w:color w:val="000000" w:themeColor="text1"/>
          <w:sz w:val="24"/>
          <w:szCs w:val="24"/>
        </w:rPr>
        <w:t>–</w:t>
      </w:r>
      <w:r w:rsidRPr="00375799">
        <w:rPr>
          <w:rFonts w:cstheme="minorHAnsi"/>
          <w:color w:val="000000" w:themeColor="text1"/>
          <w:sz w:val="24"/>
          <w:szCs w:val="24"/>
        </w:rPr>
        <w:t xml:space="preserve"> analizując stan faktyczny sprawy </w:t>
      </w:r>
      <w:r w:rsidR="000E6C9A">
        <w:rPr>
          <w:rFonts w:cstheme="minorHAnsi"/>
          <w:color w:val="000000" w:themeColor="text1"/>
          <w:sz w:val="24"/>
          <w:szCs w:val="24"/>
        </w:rPr>
        <w:t>–</w:t>
      </w:r>
      <w:r w:rsidRPr="00375799">
        <w:rPr>
          <w:rFonts w:cstheme="minorHAnsi"/>
          <w:color w:val="000000" w:themeColor="text1"/>
          <w:sz w:val="24"/>
          <w:szCs w:val="24"/>
        </w:rPr>
        <w:t xml:space="preserve"> ujrzała światło dzienne w przededniu wprowadzenia </w:t>
      </w:r>
      <w:r w:rsidR="00604557" w:rsidRPr="00375799">
        <w:rPr>
          <w:rFonts w:cstheme="minorHAnsi"/>
          <w:color w:val="000000" w:themeColor="text1"/>
          <w:sz w:val="24"/>
          <w:szCs w:val="24"/>
        </w:rPr>
        <w:t>RODO</w:t>
      </w:r>
      <w:r w:rsidRPr="00375799">
        <w:rPr>
          <w:rFonts w:cstheme="minorHAnsi"/>
          <w:color w:val="000000" w:themeColor="text1"/>
          <w:sz w:val="24"/>
          <w:szCs w:val="24"/>
        </w:rPr>
        <w:t xml:space="preserve"> polegająca na tym, że niektóre podmioty </w:t>
      </w:r>
      <w:r w:rsidR="000E6C9A">
        <w:rPr>
          <w:rFonts w:cstheme="minorHAnsi"/>
          <w:color w:val="000000" w:themeColor="text1"/>
          <w:sz w:val="24"/>
          <w:szCs w:val="24"/>
        </w:rPr>
        <w:t>–</w:t>
      </w:r>
      <w:r w:rsidRPr="00375799">
        <w:rPr>
          <w:rFonts w:cstheme="minorHAnsi"/>
          <w:color w:val="000000" w:themeColor="text1"/>
          <w:sz w:val="24"/>
          <w:szCs w:val="24"/>
        </w:rPr>
        <w:t xml:space="preserve"> o czym była już mowa powyżej, wykorzystując ogólnie panujący strach przedsiębiorców w związku z wejściem w życie rzeczonego rozporządzenia, szantażują ich tym, że jeżeli nie uiszczą pewnej kwoty na ich rzecz, to złożą oni zawiadomienie o nieprawidłowościach panujących w ich przedsiębiorstwach do Prezesa Urzędu Ochrony Danych Osobowych, czy też samej prokuratury.</w:t>
      </w:r>
    </w:p>
    <w:p w14:paraId="63BB899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Mając powyższe na uwadze, należy podjąć działania legislacyjne mające na celu wyeliminowanie rzeczonej luki prawnej. </w:t>
      </w:r>
    </w:p>
    <w:p w14:paraId="2C9B6C7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619C9A38" w14:textId="0930457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41" w:name="_Toc530565014"/>
      <w:r w:rsidRPr="00375799">
        <w:rPr>
          <w:rFonts w:asciiTheme="minorHAnsi" w:hAnsiTheme="minorHAnsi" w:cstheme="minorHAnsi"/>
          <w:color w:val="000000" w:themeColor="text1"/>
          <w:sz w:val="24"/>
          <w:szCs w:val="24"/>
        </w:rPr>
        <w:t xml:space="preserve">Ustawa </w:t>
      </w:r>
      <w:r w:rsidR="00CF7B15">
        <w:rPr>
          <w:rFonts w:asciiTheme="minorHAnsi" w:hAnsiTheme="minorHAnsi" w:cstheme="minorHAnsi"/>
          <w:color w:val="000000" w:themeColor="text1"/>
          <w:sz w:val="24"/>
          <w:szCs w:val="24"/>
        </w:rPr>
        <w:t xml:space="preserve">z dnia </w:t>
      </w:r>
      <w:r w:rsidRPr="00375799">
        <w:rPr>
          <w:rFonts w:asciiTheme="minorHAnsi" w:hAnsiTheme="minorHAnsi" w:cstheme="minorHAnsi"/>
          <w:color w:val="000000" w:themeColor="text1"/>
          <w:sz w:val="24"/>
          <w:szCs w:val="24"/>
        </w:rPr>
        <w:t>20 czerwca 1997 r. – Prawo o ruchu drogowym (Dz. U. z 201</w:t>
      </w:r>
      <w:r w:rsidR="000661CB">
        <w:rPr>
          <w:rFonts w:asciiTheme="minorHAnsi" w:hAnsiTheme="minorHAnsi" w:cstheme="minorHAnsi"/>
          <w:color w:val="000000" w:themeColor="text1"/>
          <w:sz w:val="24"/>
          <w:szCs w:val="24"/>
        </w:rPr>
        <w:t>8</w:t>
      </w:r>
      <w:r w:rsidRPr="00375799">
        <w:rPr>
          <w:rFonts w:asciiTheme="minorHAnsi" w:hAnsiTheme="minorHAnsi" w:cstheme="minorHAnsi"/>
          <w:color w:val="000000" w:themeColor="text1"/>
          <w:sz w:val="24"/>
          <w:szCs w:val="24"/>
        </w:rPr>
        <w:t xml:space="preserve"> r. poz. </w:t>
      </w:r>
      <w:r w:rsidR="000661CB">
        <w:rPr>
          <w:rFonts w:asciiTheme="minorHAnsi" w:hAnsiTheme="minorHAnsi" w:cstheme="minorHAnsi"/>
          <w:color w:val="000000" w:themeColor="text1"/>
          <w:sz w:val="24"/>
          <w:szCs w:val="24"/>
        </w:rPr>
        <w:t>1990</w:t>
      </w:r>
      <w:r w:rsidRPr="00375799">
        <w:rPr>
          <w:rFonts w:asciiTheme="minorHAnsi" w:hAnsiTheme="minorHAnsi" w:cstheme="minorHAnsi"/>
          <w:color w:val="000000" w:themeColor="text1"/>
          <w:sz w:val="24"/>
          <w:szCs w:val="24"/>
        </w:rPr>
        <w:t>)</w:t>
      </w:r>
      <w:bookmarkEnd w:id="41"/>
      <w:r w:rsidRPr="00375799">
        <w:rPr>
          <w:rFonts w:asciiTheme="minorHAnsi" w:hAnsiTheme="minorHAnsi" w:cstheme="minorHAnsi"/>
          <w:color w:val="000000" w:themeColor="text1"/>
          <w:sz w:val="24"/>
          <w:szCs w:val="24"/>
        </w:rPr>
        <w:t xml:space="preserve"> </w:t>
      </w:r>
    </w:p>
    <w:p w14:paraId="4FD54EC1"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453B17FB" w14:textId="0B5D497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Do prowadzenia kontroli ruchu drogowego nie stosuje się przepisów kodeksu postępowania administracyjnego. W celu umożliwienia przeprowadzenia kontroli oraz nałożenia stosownej kary należy wprowadzić przepis, który zapobiegnie utrudnianiu i blokowaniu postępowania w związku ze stosowaniem prawa do ograniczenia przetwarzania danych osobowych na podstawie art. 18 ust. 1 </w:t>
      </w:r>
      <w:r w:rsidR="00A43C7E" w:rsidRPr="00375799">
        <w:rPr>
          <w:rFonts w:cstheme="minorHAnsi"/>
          <w:color w:val="000000" w:themeColor="text1"/>
          <w:sz w:val="24"/>
          <w:szCs w:val="24"/>
        </w:rPr>
        <w:t>RODO</w:t>
      </w:r>
      <w:r w:rsidRPr="00375799">
        <w:rPr>
          <w:rFonts w:cstheme="minorHAnsi"/>
          <w:color w:val="000000" w:themeColor="text1"/>
          <w:sz w:val="24"/>
          <w:szCs w:val="24"/>
        </w:rPr>
        <w:t>.</w:t>
      </w:r>
    </w:p>
    <w:p w14:paraId="0713D82C" w14:textId="61FBF17F" w:rsidR="002D42A7" w:rsidRPr="00375799" w:rsidRDefault="002D42A7"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Uchylenie art. 80b ust. 4, art. 100ab ust. 2 i art. 100g ust. 7 ustawy z dnia 20 czerwca 1997 r. – Prawo o ruchu drogowym, ma na celu wyeliminowanie przepisów odnoszących się do uchylonych przepisów ustawy z dnia 29 sierpnia 1997 r. o ochronie danych osobowych</w:t>
      </w:r>
      <w:r w:rsidR="00F47330">
        <w:rPr>
          <w:rFonts w:cstheme="minorHAnsi"/>
          <w:color w:val="000000" w:themeColor="text1"/>
          <w:sz w:val="24"/>
          <w:szCs w:val="24"/>
        </w:rPr>
        <w:t>.</w:t>
      </w:r>
    </w:p>
    <w:p w14:paraId="1F58B740" w14:textId="77777777" w:rsidR="00533ECE" w:rsidRPr="00375799" w:rsidRDefault="00533ECE" w:rsidP="0055107B">
      <w:pPr>
        <w:pStyle w:val="Nagwek2"/>
        <w:spacing w:before="0" w:line="276" w:lineRule="auto"/>
        <w:ind w:left="57" w:right="57"/>
        <w:contextualSpacing/>
        <w:rPr>
          <w:rFonts w:asciiTheme="minorHAnsi" w:hAnsiTheme="minorHAnsi" w:cstheme="minorHAnsi"/>
          <w:b/>
          <w:color w:val="000000" w:themeColor="text1"/>
          <w:sz w:val="24"/>
          <w:szCs w:val="24"/>
        </w:rPr>
      </w:pPr>
    </w:p>
    <w:p w14:paraId="297ACC9F" w14:textId="62A9CFAE" w:rsidR="00533ECE" w:rsidRPr="00375799" w:rsidRDefault="00533ECE"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42" w:name="_Toc530565015"/>
      <w:r w:rsidRPr="00375799">
        <w:rPr>
          <w:rFonts w:asciiTheme="minorHAnsi" w:hAnsiTheme="minorHAnsi" w:cstheme="minorHAnsi"/>
          <w:color w:val="000000" w:themeColor="text1"/>
          <w:sz w:val="24"/>
          <w:szCs w:val="24"/>
        </w:rPr>
        <w:t>U</w:t>
      </w:r>
      <w:r w:rsidR="008706DD" w:rsidRPr="00375799">
        <w:rPr>
          <w:rFonts w:asciiTheme="minorHAnsi" w:hAnsiTheme="minorHAnsi" w:cstheme="minorHAnsi"/>
          <w:color w:val="000000" w:themeColor="text1"/>
          <w:sz w:val="24"/>
          <w:szCs w:val="24"/>
        </w:rPr>
        <w:t>staw</w:t>
      </w:r>
      <w:r w:rsidRPr="00375799">
        <w:rPr>
          <w:rFonts w:asciiTheme="minorHAnsi" w:hAnsiTheme="minorHAnsi" w:cstheme="minorHAnsi"/>
          <w:color w:val="000000" w:themeColor="text1"/>
          <w:sz w:val="24"/>
          <w:szCs w:val="24"/>
        </w:rPr>
        <w:t xml:space="preserve">a </w:t>
      </w:r>
      <w:r w:rsidR="008706DD" w:rsidRPr="00375799">
        <w:rPr>
          <w:rFonts w:asciiTheme="minorHAnsi" w:hAnsiTheme="minorHAnsi" w:cstheme="minorHAnsi"/>
          <w:color w:val="000000" w:themeColor="text1"/>
          <w:sz w:val="24"/>
          <w:szCs w:val="24"/>
        </w:rPr>
        <w:t>z dnia 21 sierpnia 1997 r. – Prawo o ustroju sądów wojskowych</w:t>
      </w:r>
      <w:r w:rsidR="00A43C7E" w:rsidRPr="00375799">
        <w:rPr>
          <w:rFonts w:asciiTheme="minorHAnsi" w:hAnsiTheme="minorHAnsi" w:cstheme="minorHAnsi"/>
          <w:color w:val="000000" w:themeColor="text1"/>
          <w:sz w:val="24"/>
          <w:szCs w:val="24"/>
        </w:rPr>
        <w:t xml:space="preserve"> (Dz. U. z 201</w:t>
      </w:r>
      <w:r w:rsidR="00F47330">
        <w:rPr>
          <w:rFonts w:asciiTheme="minorHAnsi" w:hAnsiTheme="minorHAnsi" w:cstheme="minorHAnsi"/>
          <w:color w:val="000000" w:themeColor="text1"/>
          <w:sz w:val="24"/>
          <w:szCs w:val="24"/>
        </w:rPr>
        <w:t>8</w:t>
      </w:r>
      <w:r w:rsidR="00A43C7E" w:rsidRPr="00375799">
        <w:rPr>
          <w:rFonts w:asciiTheme="minorHAnsi" w:hAnsiTheme="minorHAnsi" w:cstheme="minorHAnsi"/>
          <w:color w:val="000000" w:themeColor="text1"/>
          <w:sz w:val="24"/>
          <w:szCs w:val="24"/>
        </w:rPr>
        <w:t xml:space="preserve"> r. poz</w:t>
      </w:r>
      <w:r w:rsidR="00F47330">
        <w:rPr>
          <w:rFonts w:asciiTheme="minorHAnsi" w:hAnsiTheme="minorHAnsi" w:cstheme="minorHAnsi"/>
          <w:color w:val="000000" w:themeColor="text1"/>
          <w:sz w:val="24"/>
          <w:szCs w:val="24"/>
        </w:rPr>
        <w:t>. 1921</w:t>
      </w:r>
      <w:r w:rsidR="00A43C7E" w:rsidRPr="00375799">
        <w:rPr>
          <w:rFonts w:asciiTheme="minorHAnsi" w:hAnsiTheme="minorHAnsi" w:cstheme="minorHAnsi"/>
          <w:color w:val="000000" w:themeColor="text1"/>
          <w:sz w:val="24"/>
          <w:szCs w:val="24"/>
        </w:rPr>
        <w:t>)</w:t>
      </w:r>
      <w:bookmarkEnd w:id="42"/>
    </w:p>
    <w:p w14:paraId="6708B658"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75B65D33" w14:textId="462F4727" w:rsidR="007871CA" w:rsidRPr="00375799" w:rsidRDefault="007871CA" w:rsidP="0055107B">
      <w:pPr>
        <w:spacing w:after="0" w:line="276" w:lineRule="auto"/>
        <w:ind w:left="57" w:right="57"/>
        <w:contextualSpacing/>
        <w:jc w:val="both"/>
        <w:rPr>
          <w:rFonts w:eastAsiaTheme="majorEastAsia" w:cstheme="minorHAnsi"/>
          <w:color w:val="000000" w:themeColor="text1"/>
          <w:sz w:val="24"/>
          <w:szCs w:val="24"/>
        </w:rPr>
      </w:pPr>
      <w:r w:rsidRPr="00375799">
        <w:rPr>
          <w:rFonts w:eastAsiaTheme="majorEastAsia" w:cstheme="minorHAnsi"/>
          <w:color w:val="000000" w:themeColor="text1"/>
          <w:sz w:val="24"/>
          <w:szCs w:val="24"/>
        </w:rPr>
        <w:t xml:space="preserve">Uzasadnienie wspólne do zmian projektowanych w następujących ustawach: </w:t>
      </w:r>
      <w:r w:rsidR="000E6C9A">
        <w:rPr>
          <w:rFonts w:eastAsiaTheme="majorEastAsia" w:cstheme="minorHAnsi"/>
          <w:color w:val="000000" w:themeColor="text1"/>
          <w:sz w:val="24"/>
          <w:szCs w:val="24"/>
        </w:rPr>
        <w:t>u</w:t>
      </w:r>
      <w:r w:rsidRPr="00375799">
        <w:rPr>
          <w:rFonts w:eastAsiaTheme="majorEastAsia" w:cstheme="minorHAnsi"/>
          <w:color w:val="000000" w:themeColor="text1"/>
          <w:sz w:val="24"/>
          <w:szCs w:val="24"/>
        </w:rPr>
        <w:t>stawa z dnia 27 lipca 2001 r. – Prawo o ustroju s</w:t>
      </w:r>
      <w:r w:rsidR="000E6C9A">
        <w:rPr>
          <w:rFonts w:eastAsiaTheme="majorEastAsia" w:cstheme="minorHAnsi"/>
          <w:color w:val="000000" w:themeColor="text1"/>
          <w:sz w:val="24"/>
          <w:szCs w:val="24"/>
        </w:rPr>
        <w:t>ą</w:t>
      </w:r>
      <w:r w:rsidRPr="00375799">
        <w:rPr>
          <w:rFonts w:eastAsiaTheme="majorEastAsia" w:cstheme="minorHAnsi"/>
          <w:color w:val="000000" w:themeColor="text1"/>
          <w:sz w:val="24"/>
          <w:szCs w:val="24"/>
        </w:rPr>
        <w:t xml:space="preserve">dów powszechnych, ustawa z dnia 21 sierpnia 1997 r. – Prawo o ustroju sądów wojskowych, ustawa z dnia 25 lipca 2002 r. – Prawo o ustroju sądów administracyjnych, ustawa z dnia 8 grudnia 2017 r. o Sądzie Najwyższym, ustawa z dnia 23 stycznia 2009 r. o Krajowej Szkole Sądownictwa i Prokuratury, ustawa z dnia 11 maja 2011 r. o Krajowej Radzie Sądownictwa, ustawa z dnia 30 listopada 2016 r. o organizacji i trybie postępowania przed Trybunałem Konstytucyjnym, ustawa z dnia 26 marca 1982 r. o Trybunale Stanu znajduje się na stronie </w:t>
      </w:r>
      <w:r w:rsidR="00D918BF" w:rsidRPr="00375799">
        <w:rPr>
          <w:rFonts w:eastAsiaTheme="majorEastAsia" w:cstheme="minorHAnsi"/>
          <w:color w:val="000000" w:themeColor="text1"/>
          <w:sz w:val="24"/>
          <w:szCs w:val="24"/>
        </w:rPr>
        <w:t xml:space="preserve">124 </w:t>
      </w:r>
      <w:r w:rsidRPr="00375799">
        <w:rPr>
          <w:rFonts w:eastAsiaTheme="majorEastAsia" w:cstheme="minorHAnsi"/>
          <w:color w:val="000000" w:themeColor="text1"/>
          <w:sz w:val="24"/>
          <w:szCs w:val="24"/>
        </w:rPr>
        <w:t>uzasadnienia.</w:t>
      </w:r>
    </w:p>
    <w:p w14:paraId="1E6A7926"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p>
    <w:p w14:paraId="05010C01" w14:textId="35264C5F"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43" w:name="_Toc530565016"/>
      <w:r w:rsidRPr="00375799">
        <w:rPr>
          <w:rFonts w:asciiTheme="minorHAnsi" w:hAnsiTheme="minorHAnsi" w:cstheme="minorHAnsi"/>
          <w:color w:val="000000" w:themeColor="text1"/>
          <w:sz w:val="24"/>
          <w:szCs w:val="24"/>
        </w:rPr>
        <w:t xml:space="preserve">Ustawa z dnia 22 sierpnia 1997 r. o publicznej służbie krwi </w:t>
      </w:r>
      <w:r w:rsidR="00634740" w:rsidRPr="00375799">
        <w:rPr>
          <w:rFonts w:asciiTheme="minorHAnsi" w:hAnsiTheme="minorHAnsi" w:cstheme="minorHAnsi"/>
          <w:color w:val="000000" w:themeColor="text1"/>
          <w:sz w:val="24"/>
          <w:szCs w:val="24"/>
        </w:rPr>
        <w:t>(Dz. U. z 201</w:t>
      </w:r>
      <w:r w:rsidR="00431995">
        <w:rPr>
          <w:rFonts w:asciiTheme="minorHAnsi" w:hAnsiTheme="minorHAnsi" w:cstheme="minorHAnsi"/>
          <w:color w:val="000000" w:themeColor="text1"/>
          <w:sz w:val="24"/>
          <w:szCs w:val="24"/>
        </w:rPr>
        <w:t>7</w:t>
      </w:r>
      <w:r w:rsidR="00634740" w:rsidRPr="00375799">
        <w:rPr>
          <w:rFonts w:asciiTheme="minorHAnsi" w:hAnsiTheme="minorHAnsi" w:cstheme="minorHAnsi"/>
          <w:color w:val="000000" w:themeColor="text1"/>
          <w:sz w:val="24"/>
          <w:szCs w:val="24"/>
        </w:rPr>
        <w:t xml:space="preserve"> r. poz. </w:t>
      </w:r>
      <w:r w:rsidR="00431995">
        <w:rPr>
          <w:rFonts w:asciiTheme="minorHAnsi" w:hAnsiTheme="minorHAnsi" w:cstheme="minorHAnsi"/>
          <w:color w:val="000000" w:themeColor="text1"/>
          <w:sz w:val="24"/>
          <w:szCs w:val="24"/>
        </w:rPr>
        <w:t>1371 oraz z 2018 r. poz. 1375</w:t>
      </w:r>
      <w:r w:rsidR="00634740" w:rsidRPr="00375799">
        <w:rPr>
          <w:rFonts w:asciiTheme="minorHAnsi" w:hAnsiTheme="minorHAnsi" w:cstheme="minorHAnsi"/>
          <w:color w:val="000000" w:themeColor="text1"/>
          <w:sz w:val="24"/>
          <w:szCs w:val="24"/>
        </w:rPr>
        <w:t>)</w:t>
      </w:r>
      <w:bookmarkEnd w:id="43"/>
    </w:p>
    <w:p w14:paraId="14362941" w14:textId="7777777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7CD96080" w14:textId="682924A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ustawie z dnia 22 sierpnia 1997 r. o publicznej służbie krwi wskazano, że administratorem systemu e-krew jest minister właściwy do spraw zdrowia. </w:t>
      </w:r>
    </w:p>
    <w:p w14:paraId="3A58100D"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F6C9ECF" w14:textId="2BB9B705"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44" w:name="_Toc530565017"/>
      <w:r w:rsidRPr="00375799">
        <w:rPr>
          <w:rFonts w:asciiTheme="minorHAnsi" w:hAnsiTheme="minorHAnsi" w:cstheme="minorHAnsi"/>
          <w:color w:val="000000" w:themeColor="text1"/>
          <w:sz w:val="24"/>
          <w:szCs w:val="24"/>
        </w:rPr>
        <w:t>Ustawa z dnia 27 sierpnia 1997 r. o rehabilitacji zawodowej i społecznej oraz zatrudni</w:t>
      </w:r>
      <w:r w:rsidR="000E6C9A">
        <w:rPr>
          <w:rFonts w:asciiTheme="minorHAnsi" w:hAnsiTheme="minorHAnsi" w:cstheme="minorHAnsi"/>
          <w:color w:val="000000" w:themeColor="text1"/>
          <w:sz w:val="24"/>
          <w:szCs w:val="24"/>
        </w:rPr>
        <w:t>a</w:t>
      </w:r>
      <w:r w:rsidRPr="00375799">
        <w:rPr>
          <w:rFonts w:asciiTheme="minorHAnsi" w:hAnsiTheme="minorHAnsi" w:cstheme="minorHAnsi"/>
          <w:color w:val="000000" w:themeColor="text1"/>
          <w:sz w:val="24"/>
          <w:szCs w:val="24"/>
        </w:rPr>
        <w:t>niu osób niepełnosprawnych</w:t>
      </w:r>
      <w:r w:rsidR="00634740" w:rsidRPr="00375799">
        <w:rPr>
          <w:rFonts w:asciiTheme="minorHAnsi" w:hAnsiTheme="minorHAnsi" w:cstheme="minorHAnsi"/>
          <w:color w:val="000000" w:themeColor="text1"/>
          <w:sz w:val="24"/>
          <w:szCs w:val="24"/>
        </w:rPr>
        <w:t xml:space="preserve"> (Dz. U. z 2018 r. poz. 511, 1000</w:t>
      </w:r>
      <w:r w:rsidR="00431995">
        <w:rPr>
          <w:rFonts w:asciiTheme="minorHAnsi" w:hAnsiTheme="minorHAnsi" w:cstheme="minorHAnsi"/>
          <w:color w:val="000000" w:themeColor="text1"/>
          <w:sz w:val="24"/>
          <w:szCs w:val="24"/>
        </w:rPr>
        <w:t>,</w:t>
      </w:r>
      <w:r w:rsidR="00634740" w:rsidRPr="00375799">
        <w:rPr>
          <w:rFonts w:asciiTheme="minorHAnsi" w:hAnsiTheme="minorHAnsi" w:cstheme="minorHAnsi"/>
          <w:color w:val="000000" w:themeColor="text1"/>
          <w:sz w:val="24"/>
          <w:szCs w:val="24"/>
        </w:rPr>
        <w:t xml:space="preserve"> 1076</w:t>
      </w:r>
      <w:r w:rsidR="00431995">
        <w:rPr>
          <w:rFonts w:asciiTheme="minorHAnsi" w:hAnsiTheme="minorHAnsi" w:cstheme="minorHAnsi"/>
          <w:color w:val="000000" w:themeColor="text1"/>
          <w:sz w:val="24"/>
          <w:szCs w:val="24"/>
        </w:rPr>
        <w:t xml:space="preserve"> i 1925</w:t>
      </w:r>
      <w:r w:rsidR="00634740" w:rsidRPr="00375799">
        <w:rPr>
          <w:rFonts w:asciiTheme="minorHAnsi" w:hAnsiTheme="minorHAnsi" w:cstheme="minorHAnsi"/>
          <w:color w:val="000000" w:themeColor="text1"/>
          <w:sz w:val="24"/>
          <w:szCs w:val="24"/>
        </w:rPr>
        <w:t>)</w:t>
      </w:r>
      <w:bookmarkEnd w:id="44"/>
    </w:p>
    <w:p w14:paraId="04CA83A6" w14:textId="77777777" w:rsidR="00E33907" w:rsidRPr="00375799" w:rsidRDefault="00E33907" w:rsidP="0055107B">
      <w:pPr>
        <w:spacing w:line="276" w:lineRule="auto"/>
        <w:contextualSpacing/>
        <w:rPr>
          <w:rFonts w:cstheme="minorHAnsi"/>
          <w:color w:val="000000" w:themeColor="text1"/>
          <w:sz w:val="24"/>
          <w:szCs w:val="24"/>
        </w:rPr>
      </w:pPr>
    </w:p>
    <w:p w14:paraId="65154E1A" w14:textId="690CBDB8" w:rsidR="00686DD6"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RODO, od dnia 25 maja 2018 r. niezbędne jest uporządkowanie zagadnień dotyczących przetwarzania danych osobowych w związku z  realizacją celów określonych w ustawie z dnia 27 sierpnia 1997 r. o rehabilitacji zawodowej i społecznej oraz zatrudnianiu osób niepełnosprawnych, zwanej dalej „ustawą o rehabilitacji”, zmienianą w art. 45 projektu ustawy. </w:t>
      </w:r>
    </w:p>
    <w:p w14:paraId="7D6232A7" w14:textId="77777777" w:rsidR="00686DD6"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Zmiany zaproponowane w pkt 1 projektu ustawy w dodawanym art. 2b ustawy o rehabilitacji przewidują doprecyzowanie podstawy prawnej do przetwarzania danych osobowych, w tym danych o stanie zdrowia, przez pracodawców, a także określają  dodatkowe obowiązki dla podmiotów i osób realizujących zadania wynikające z ustawy o rehabilitacji. </w:t>
      </w:r>
    </w:p>
    <w:p w14:paraId="3B3E307F" w14:textId="77371F28" w:rsidR="00686DD6"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W art. 2b ust. 1 ustawy o rehabilitacji w przypadku pracodawców projekt ustawy określił zakres podmiotowy dotyczący osób, których dane osobowe, w tym dane o stanie zdrowia, są przez niego przetwarzane. W związku z realizacją przez pracodawcę obowiązków wobec osób niepełnosprawnych i korzystaniem z uprawnień wynikających z zatrudnienia tych osób oraz biorąc pod uwagę zmianę regulacji UE dotyczących ochrony danych osobowych, ustawa o rehabilitacji modyfikuje przepisy dotyczące przetwarzania przez pracodawcę danych osobowych, w tym danych o stanie zdrowia. Na tej podstawie pracodawca przetwarza dane osobowe pracownika dotyczące jego stanu zdrowia (informacji o niepełnosprawności, stopniu niepełnosprawności czy też szczególnym schorzeniu). Dodatkowo przepis art. 2b ust. 1 ustawy o rehabilitacji wskazuje inne grupy osób, poza pracownikami, których dane osobowe, w tym dane o stanie zdrowia pracodawca przetwarza w celu realizacji przepisów ustawy: niepracujących byłych pracowników, osób niepełnosprawnych wykonujących pracę nakładczą, osób uczestniczących w procesie rekrutacji, odbywających szkolenie, staż, przygotowanie zawodowe albo praktyki zawodowe lub absolwenckie, osób należących do grup wymienionych w art. 5 załącznika nr 1 do rozporządzenia Komisji (WE) nr 800/2008 z dnia 6 sierpnia 2008 r. uznającego niektóre rodzaje pomocy za zgodne ze wspólnym rynkiem w zastosowaniu art. 87 i 88 Traktatu (ogólnego rozporządzenia w sprawie wyłączeń blokowych) (Dz. Urz. WE L 214 z 09.08.2008, str. 3</w:t>
      </w:r>
      <w:r w:rsidR="00AB6443">
        <w:rPr>
          <w:rFonts w:cstheme="minorHAnsi"/>
          <w:color w:val="000000" w:themeColor="text1"/>
          <w:sz w:val="24"/>
          <w:szCs w:val="24"/>
        </w:rPr>
        <w:t>, z późn. zm.</w:t>
      </w:r>
      <w:r w:rsidRPr="00375799">
        <w:rPr>
          <w:rFonts w:cstheme="minorHAnsi"/>
          <w:color w:val="000000" w:themeColor="text1"/>
          <w:sz w:val="24"/>
          <w:szCs w:val="24"/>
        </w:rPr>
        <w:t xml:space="preserve">) oraz do rozporządzenia Komisji (UE) nr 651/2014 z dnia 17 czerwca 2014 r. uznającego niektóre rodzaje pomocy za zgodne z rynkiem wewnętrznym w zastosowaniu art. 107 i </w:t>
      </w:r>
      <w:r w:rsidR="000E6C9A">
        <w:rPr>
          <w:rFonts w:cstheme="minorHAnsi"/>
          <w:color w:val="000000" w:themeColor="text1"/>
          <w:sz w:val="24"/>
          <w:szCs w:val="24"/>
        </w:rPr>
        <w:t xml:space="preserve">art. </w:t>
      </w:r>
      <w:r w:rsidRPr="00375799">
        <w:rPr>
          <w:rFonts w:cstheme="minorHAnsi"/>
          <w:color w:val="000000" w:themeColor="text1"/>
          <w:sz w:val="24"/>
          <w:szCs w:val="24"/>
        </w:rPr>
        <w:t>108 Traktatu (Dz. Urz. UE L 187 z 26.06.2014, str. 1</w:t>
      </w:r>
      <w:r w:rsidR="00AB6443">
        <w:rPr>
          <w:rFonts w:cstheme="minorHAnsi"/>
          <w:color w:val="000000" w:themeColor="text1"/>
          <w:sz w:val="24"/>
          <w:szCs w:val="24"/>
        </w:rPr>
        <w:t>, z późn. zm.</w:t>
      </w:r>
      <w:r w:rsidRPr="00375799">
        <w:rPr>
          <w:rFonts w:cstheme="minorHAnsi"/>
          <w:color w:val="000000" w:themeColor="text1"/>
          <w:sz w:val="24"/>
          <w:szCs w:val="24"/>
        </w:rPr>
        <w:t>), członków rodzin pracowników i byłych niepracujących pracowników, a także osób wymienionych w art. 21 ust. 2c ustawy o rehabilitacji, które są wliczane do wskaźnika zatrudnienia osób niepełnosprawnych (dane osobowe dzieci, wychowanków, uczniów, studentów lub słuchaczy będących osobami niepełnosprawnymi i uczących się lub studiujących w ramach ogólnie obowiązującej w danej jednostce regulaminów nauczania i studiowania) oraz w art. 21 ust. 2e pkt 3 ustawy o rehabilitacji (dane osobowe beneficjentów publicznych i niepublicznych jednostek organizacyjnych w zakresie realizacji spełniania wymogu rehabilitacji społecznej i leczniczej osób niepełnosprawnych, edukacji lub opieki nad nimi).</w:t>
      </w:r>
    </w:p>
    <w:p w14:paraId="5BD74D7B" w14:textId="77777777" w:rsidR="00686DD6"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Zaproponowana regulacja wyraźnie wskazuje, że przedstawienie pracodawcy dokumentów, potwierdzających dane osobowe o stanie zdrowia jest dobrowolne (w art. 2b ust. 2 ustawy o rehabilitacji). </w:t>
      </w:r>
    </w:p>
    <w:p w14:paraId="6DC43D40" w14:textId="28D73980" w:rsidR="00686DD6"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Natomiast art. 2b ust. 3</w:t>
      </w:r>
      <w:r w:rsidR="000E6C9A">
        <w:rPr>
          <w:rFonts w:cstheme="minorHAnsi"/>
          <w:color w:val="000000" w:themeColor="text1"/>
          <w:sz w:val="24"/>
          <w:szCs w:val="24"/>
        </w:rPr>
        <w:t>–</w:t>
      </w:r>
      <w:r w:rsidRPr="00375799">
        <w:rPr>
          <w:rFonts w:cstheme="minorHAnsi"/>
          <w:color w:val="000000" w:themeColor="text1"/>
          <w:sz w:val="24"/>
          <w:szCs w:val="24"/>
        </w:rPr>
        <w:t>5 określają zadania z ustawy, których realizacja może odbywać się w oparciu o zautomatyzowane przetwarzanie danych przez Państwowy Fundusz Rehabilitacji Osób Niepełnosprawnych.</w:t>
      </w:r>
    </w:p>
    <w:p w14:paraId="1C6EAABA" w14:textId="31C17E04" w:rsidR="00686DD6"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W przypadku podejmowania działań w sposób zautomatyzowany, w zakresie refundacji składek na ubezpieczenia społeczne (art. 25a</w:t>
      </w:r>
      <w:r w:rsidR="000E6C9A">
        <w:rPr>
          <w:rFonts w:cstheme="minorHAnsi"/>
          <w:color w:val="000000" w:themeColor="text1"/>
          <w:sz w:val="24"/>
          <w:szCs w:val="24"/>
        </w:rPr>
        <w:t>–</w:t>
      </w:r>
      <w:r w:rsidRPr="00375799">
        <w:rPr>
          <w:rFonts w:cstheme="minorHAnsi"/>
          <w:color w:val="000000" w:themeColor="text1"/>
          <w:sz w:val="24"/>
          <w:szCs w:val="24"/>
        </w:rPr>
        <w:t>25d ustawy o rehabilitacji) oraz miesięcznego dofinansowania do wynagrodzeń pracowników niepełnosprawnych (art. 26a</w:t>
      </w:r>
      <w:r w:rsidR="000E6C9A">
        <w:rPr>
          <w:rFonts w:cstheme="minorHAnsi"/>
          <w:color w:val="000000" w:themeColor="text1"/>
          <w:sz w:val="24"/>
          <w:szCs w:val="24"/>
        </w:rPr>
        <w:t>–</w:t>
      </w:r>
      <w:r w:rsidRPr="00375799">
        <w:rPr>
          <w:rFonts w:cstheme="minorHAnsi"/>
          <w:color w:val="000000" w:themeColor="text1"/>
          <w:sz w:val="24"/>
          <w:szCs w:val="24"/>
        </w:rPr>
        <w:t xml:space="preserve">26c ustawy o rehabilitacji) administrator zapewnia odpowiednie środki służące ochronie interesu lub podstawowych praw, wolności i prawnie uzasadnionych interesów osoby, której </w:t>
      </w:r>
      <w:r w:rsidRPr="00375799">
        <w:rPr>
          <w:rFonts w:cstheme="minorHAnsi"/>
          <w:color w:val="000000" w:themeColor="text1"/>
          <w:sz w:val="24"/>
          <w:szCs w:val="24"/>
        </w:rPr>
        <w:lastRenderedPageBreak/>
        <w:t>dane dotyczą, w tym w szczególności prawo do uzyskania interwencji ludzkiej, prawo do wyrażenia własnego stanowiska oraz zakwestionowania działań podjętej w sposób zautomatyzowany. Osoba uzyskująca ww. decyzje (podjęte w sposób zautomatyzowany), ma zgodnie z przepisami ustawy o rehabilitacji zagwarantowane prawo uzyskania  informacji o sposobie ustalenia kwoty do wypłaty jeżeli różni się ona od kwoty wskazanej we wniosku (na podstawie której wnioskodawca może złożyć wniosek o wydanie decyzji o wysokości refundacji lub dofinansowania). W informacjach i decyzjach generowanych w sposób zautomatyzowany zawarte są właściwe dla danej sprawy pouczenia. Administrator na każdym etapie umożliwia wnioskodawcy korzystanie z prawa do uzyskania interwencji ludzkiej, do wyrażenia własnego stanowiska oraz do zakwestionowania decyzji podjętej w sposób zautomatyzowany.</w:t>
      </w:r>
    </w:p>
    <w:p w14:paraId="5C985964" w14:textId="3A96E4D1" w:rsidR="00686DD6"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Zadania dotyczące refundacji składek na ubezpieczenia społeczne oraz  miesięcznego dofinansowania do wynagrodzeń pracowników niepełnosprawnych są jednymi z  szeregu mechanizmów wsparcia osób niepełnosprawnych – ich rehabilitacji społecznej oraz aktywizacji zawodowej. W celu ich realizacji dochodzi do przetwarzania danych o stanie zdrowia osób niepełnosprawnych. Stanowią one istotną pomoc, której efektem jest aktywizacja zawodowa osób niepełnosprawnych oraz ich rehabilitacja społeczna. Realizowanie zaś zadań związanych z aktywizacją zawodową oraz rehabilitacją społeczną osób niepełnosprawnych spełnia kryterium ważnego interesu publicznego, o którym mowa w art. 9 ust. 2 lit. g RODO. W odniesieniu do zautomatyzowanego wydawania decyzji opierających się na danych o stanie zdrowia zastosowanie ma art. 22 ust. 4 RODO. Stanowi on podstawę prawną do przetwarzania „danych wrażliwych”, jeżeli odbywa się ono na podstawie art. 9 ust. 2 lit. g RODO. Bez możliwości przetwarzania danych o stanie zdrowia osób niepełnosprawnych niemożliwa byłaby realizacja  zadania ustawowego w postaci wsparcia osób niepełnosprawnych. Przetwarzanie danych o stanie zdrowia osób niepełnosprawnych realizowane w celu wykonywania zadań określonych w ustawie o rehabilitacji nie narusza istoty prawa do ochrony danych a proponowane zapisy przewidują odpowiednie środki ochrony praw i interesów osób, których przetwarzanie dotyczy.</w:t>
      </w:r>
    </w:p>
    <w:p w14:paraId="5BAA3787" w14:textId="670C20F0" w:rsidR="00686DD6"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Przepisy w art. 2b ust. 6 ustawy o rehabilitacji precyzują zagadnienia dotyczące zabezpieczenia przetwarzania danych osobowych podmioty i osoby realizujących zadania wynikające z ustawy. </w:t>
      </w:r>
    </w:p>
    <w:p w14:paraId="2C212CF5" w14:textId="77777777" w:rsidR="00686DD6"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Przepisy art. 2 ust. 7 określają termin przeglądu przydatności przetwarzania danych osobowych przez pracodawców, podmioty i osoby realizujących zadania wynikające z ustawy oraz w ust. 8 termin przechowywania danych osobowych przez powiatowe i wojewódzkie zespoły do spraw orzekania o niepełnosprawności. Wyznaczenie w ust. 8 pięćdziesięcioletniego okresu przechowywania danych wynika z art. 6b</w:t>
      </w:r>
      <w:r w:rsidRPr="003654A8">
        <w:rPr>
          <w:rFonts w:cstheme="minorHAnsi"/>
          <w:color w:val="000000" w:themeColor="text1"/>
          <w:sz w:val="24"/>
          <w:szCs w:val="24"/>
          <w:vertAlign w:val="superscript"/>
        </w:rPr>
        <w:t>1</w:t>
      </w:r>
      <w:r w:rsidRPr="00375799">
        <w:rPr>
          <w:rFonts w:cstheme="minorHAnsi"/>
          <w:color w:val="000000" w:themeColor="text1"/>
          <w:sz w:val="24"/>
          <w:szCs w:val="24"/>
        </w:rPr>
        <w:t xml:space="preserve"> ust. 10 ustawy o rehabilitacji określającego pięćdziesięcioletni termin po upływie którego dokonywane jest niszczenie formularzy specjalistycznych badań osób ubiegających się o wydanie orzeczenia o niepełnosprawności lub stopniu niepełnosprawności oraz dodawanych do nich załączników. Formularze badań dołączone są do akt sprawy i zawierają dane osobowe, w tym dane o stanie </w:t>
      </w:r>
      <w:r w:rsidRPr="00375799">
        <w:rPr>
          <w:rFonts w:cstheme="minorHAnsi"/>
          <w:color w:val="000000" w:themeColor="text1"/>
          <w:sz w:val="24"/>
          <w:szCs w:val="24"/>
        </w:rPr>
        <w:lastRenderedPageBreak/>
        <w:t xml:space="preserve">zdrowia. W związku z powyższym w pełni uzasadnione jest wyznaczenie takiego samego okresu przetwarzania akt jaki wskazany jest do przechowywania dokumentów będących wynikami specjalistycznych badań. </w:t>
      </w:r>
    </w:p>
    <w:p w14:paraId="4ADA5CE5" w14:textId="2614C517" w:rsidR="00686DD6"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Zaproponowana zmiana w pkt 3 art. 45 projektu ustawy dotycząca art. 6c ust. 6 ustawy o rehabilitacji ma na celu uniknięcie dublowania przez wojewodę przetwarzania danych osobowych szczególnie wrażliwych w sytuacji, w której dane te przetwarzają już wojewódzkie zespoły w związku z realizowaniem przez siebie ustawowych zadań. W obowiązującym stanie prawnym zadanie wojewody w zakresie nadzoru już na dzień dzisiejszy realizują wojewódzkie zespoły do spraw orzekania o niepełnosprawności na podstawie stosownych upoważnień, przy czym mając na względzie regulacje </w:t>
      </w:r>
      <w:r w:rsidR="0020170B" w:rsidRPr="00375799">
        <w:rPr>
          <w:rFonts w:cstheme="minorHAnsi"/>
          <w:color w:val="000000" w:themeColor="text1"/>
          <w:sz w:val="24"/>
          <w:szCs w:val="24"/>
        </w:rPr>
        <w:t>RODO</w:t>
      </w:r>
      <w:r w:rsidR="0020170B" w:rsidRPr="00375799" w:rsidDel="0020170B">
        <w:rPr>
          <w:rFonts w:cstheme="minorHAnsi"/>
          <w:color w:val="000000" w:themeColor="text1"/>
          <w:sz w:val="24"/>
          <w:szCs w:val="24"/>
        </w:rPr>
        <w:t xml:space="preserve"> </w:t>
      </w:r>
      <w:r w:rsidRPr="00375799">
        <w:rPr>
          <w:rFonts w:cstheme="minorHAnsi"/>
          <w:color w:val="000000" w:themeColor="text1"/>
          <w:sz w:val="24"/>
          <w:szCs w:val="24"/>
        </w:rPr>
        <w:t xml:space="preserve">niezbędne jest uregulowanie tej kwestii na gruncie przepisów ustawy, aby wojewódzkie zespoły miały podstawę prawną do przetwarzania danych w celu realizacji zadań powierzonych przez wojewodę.  </w:t>
      </w:r>
    </w:p>
    <w:p w14:paraId="362AA9B0" w14:textId="18B34628" w:rsidR="00686DD6"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pkt 4 art. 45 projektu ustawy</w:t>
      </w:r>
      <w:r w:rsidR="00AB6443">
        <w:rPr>
          <w:rFonts w:cstheme="minorHAnsi"/>
          <w:color w:val="000000" w:themeColor="text1"/>
          <w:sz w:val="24"/>
          <w:szCs w:val="24"/>
        </w:rPr>
        <w:t>,</w:t>
      </w:r>
      <w:r w:rsidRPr="00375799">
        <w:rPr>
          <w:rFonts w:cstheme="minorHAnsi"/>
          <w:color w:val="000000" w:themeColor="text1"/>
          <w:sz w:val="24"/>
          <w:szCs w:val="24"/>
        </w:rPr>
        <w:t xml:space="preserve"> w art. 6ca ustawy o rehabilitacji zmiana w ust. 1 zdania pierwszego ma na celu jednoznaczne wskazanie podmiotu wydającego legitymację dokumentującą niepełnosprawność albo stopień niepełnosprawności, który przetwarza dane osobowe osób ubiegających się o wydanie legitymacji. Zakres przetwarzanych danych osobowych wymaganych do podania we wniosku został doprecyzowany w ust. 1a. Podanie określonych danych jest niezbędne w celu weryfikacji tożsamości osoby ubiegającej się o wydanie legitymacji. Podanie pełnych danych o dokumencie tożsamości, czyli np. ksera dokumentu tożsamości jest konieczne jeżeli wnioskodawca nie składa wniosku osobiście, tylko przez osobę umocowaną do tego prawnie lub pocztą. Umożliwi to zespołowi orzekającemu weryfikację, czy fotografia wnioskodawcy dołączona do wniosku o wydanie legitymacji odpowiada wizerunkowi tej osoby widniejącemu na fotografii w dowodzie osobistym.  Legitymacja osoby niepełnosprawnej, jako dokument potwierdzający jej status jako osoby niepełnosprawnej zawiera m. in zdjęcie tej osoby, przy czym w przypadku posługiwania się legitymacją osoby niepełnosprawnej nie jest wymagane okazanie się dokumentem tożsamości w rozumieniu przepisów prawa polskiego. Mając powyższe na uwadze uprawniony organ dokonuje weryfikacji tożsamości posiadacza legitymacji osoby niepełnosprawnej na podstawie umieszczonej na niej fotografii. W związku z tym konieczne jest zweryfikowanie czy dołączona do wniosku fotografia faktycznie przedstawia wizerunek wnioskodawcy.</w:t>
      </w:r>
    </w:p>
    <w:p w14:paraId="16B3BFD4" w14:textId="1900759D" w:rsidR="008706DD" w:rsidRPr="00375799" w:rsidRDefault="00686DD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Zaproponowana zmiana w pkt 5 projektu ustawy dotycząca art. 6d ust. 4 pkt 4 ustawy o rehabilitacji ma charakter wyłącznie techniczny i polega na wskazaniu danych (imię i nazwisko, płeć, numer PESEL i obywatelstwo) innych osób zatrudnionych w zespołach do spraw orzekania o niepełnosprawności, które w chwili obecnej w tym systemie są już gromadzone, tak by jednoznacznie określić ich zakres.</w:t>
      </w:r>
    </w:p>
    <w:p w14:paraId="08D2D86C"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BC567C0" w14:textId="160DD848"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45" w:name="_Toc530565018"/>
      <w:r w:rsidRPr="00375799">
        <w:rPr>
          <w:rFonts w:asciiTheme="minorHAnsi" w:hAnsiTheme="minorHAnsi" w:cstheme="minorHAnsi"/>
          <w:color w:val="000000" w:themeColor="text1"/>
          <w:sz w:val="24"/>
          <w:szCs w:val="24"/>
        </w:rPr>
        <w:t>Ustawa z dnia 29 sierpnia 1997 r. o komornikach sądowych i egzekucji</w:t>
      </w:r>
      <w:r w:rsidR="00634740" w:rsidRPr="00375799">
        <w:rPr>
          <w:rFonts w:asciiTheme="minorHAnsi" w:hAnsiTheme="minorHAnsi" w:cstheme="minorHAnsi"/>
          <w:color w:val="000000" w:themeColor="text1"/>
          <w:sz w:val="24"/>
          <w:szCs w:val="24"/>
        </w:rPr>
        <w:t xml:space="preserve"> (Dz. U. z </w:t>
      </w:r>
      <w:r w:rsidR="00221A13" w:rsidRPr="00375799">
        <w:rPr>
          <w:rFonts w:asciiTheme="minorHAnsi" w:hAnsiTheme="minorHAnsi" w:cstheme="minorHAnsi"/>
          <w:color w:val="000000" w:themeColor="text1"/>
          <w:sz w:val="24"/>
          <w:szCs w:val="24"/>
        </w:rPr>
        <w:t>201</w:t>
      </w:r>
      <w:r w:rsidR="00221A13">
        <w:rPr>
          <w:rFonts w:asciiTheme="minorHAnsi" w:hAnsiTheme="minorHAnsi" w:cstheme="minorHAnsi"/>
          <w:color w:val="000000" w:themeColor="text1"/>
          <w:sz w:val="24"/>
          <w:szCs w:val="24"/>
        </w:rPr>
        <w:t>8</w:t>
      </w:r>
      <w:r w:rsidR="00221A13" w:rsidRPr="00375799">
        <w:rPr>
          <w:rFonts w:asciiTheme="minorHAnsi" w:hAnsiTheme="minorHAnsi" w:cstheme="minorHAnsi"/>
          <w:color w:val="000000" w:themeColor="text1"/>
          <w:sz w:val="24"/>
          <w:szCs w:val="24"/>
        </w:rPr>
        <w:t xml:space="preserve"> </w:t>
      </w:r>
      <w:r w:rsidR="00634740" w:rsidRPr="00375799">
        <w:rPr>
          <w:rFonts w:asciiTheme="minorHAnsi" w:hAnsiTheme="minorHAnsi" w:cstheme="minorHAnsi"/>
          <w:color w:val="000000" w:themeColor="text1"/>
          <w:sz w:val="24"/>
          <w:szCs w:val="24"/>
        </w:rPr>
        <w:t xml:space="preserve">r. poz. </w:t>
      </w:r>
      <w:r w:rsidR="00221A13">
        <w:rPr>
          <w:rFonts w:asciiTheme="minorHAnsi" w:hAnsiTheme="minorHAnsi" w:cstheme="minorHAnsi"/>
          <w:color w:val="000000" w:themeColor="text1"/>
          <w:sz w:val="24"/>
          <w:szCs w:val="24"/>
        </w:rPr>
        <w:t>1309 i 1669</w:t>
      </w:r>
      <w:r w:rsidR="00634740" w:rsidRPr="00375799">
        <w:rPr>
          <w:rFonts w:asciiTheme="minorHAnsi" w:hAnsiTheme="minorHAnsi" w:cstheme="minorHAnsi"/>
          <w:color w:val="000000" w:themeColor="text1"/>
          <w:sz w:val="24"/>
          <w:szCs w:val="24"/>
        </w:rPr>
        <w:t>)</w:t>
      </w:r>
      <w:bookmarkEnd w:id="45"/>
      <w:r w:rsidRPr="00375799">
        <w:rPr>
          <w:rFonts w:asciiTheme="minorHAnsi" w:hAnsiTheme="minorHAnsi" w:cstheme="minorHAnsi"/>
          <w:color w:val="000000" w:themeColor="text1"/>
          <w:sz w:val="24"/>
          <w:szCs w:val="24"/>
        </w:rPr>
        <w:t xml:space="preserve"> </w:t>
      </w:r>
    </w:p>
    <w:p w14:paraId="7F29F34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9C6B484" w14:textId="190AD715"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Komornik sądowy jest monokratycznym, państwowym organem egzekucyjnym, który na zasadzie wyłączności wykonuje czynności egzekucyjne w sprawach cywilnych. Został ustawowo wyposażony w kompetencje władcze z możliwością wykorzystania pozostających w monopolu państwa środków przymusu. Rolą bowiem i zadaniem państwa jest zapewnienie wierzycielowi przymusowego wyegzekwowania świadczenia od opornego dłużnika, który nie chce go spełnić dobrowolnie. Forma i sposób realizacji tych zadań uregulowane są w normach o charakterze publicznoprawnym. Wobec tego komornik działa jako organ pozostający wobec stron postępowania egzekucyjnego w stosunku nadrzędności, a nie równorzędności. Tym samym nie wchodzi z uczestnikami tego postępowania w stosunki zobowiązaniowe (cywilnoprawne), a stosunek zachodzący w postępowaniu egzekucyjnym pomiędzy wierzycielem, na którego wniosek wszczęto to postępowanie, a komornikiem, który je prowadzi jako organ egzekucyjny, jest stosunkiem o charakterze publicznoprawnym (uchwała SN z </w:t>
      </w:r>
      <w:r w:rsidR="00AB6443">
        <w:rPr>
          <w:rFonts w:cstheme="minorHAnsi"/>
          <w:color w:val="000000" w:themeColor="text1"/>
          <w:sz w:val="24"/>
          <w:szCs w:val="24"/>
        </w:rPr>
        <w:t xml:space="preserve">dnia </w:t>
      </w:r>
      <w:r w:rsidRPr="00375799">
        <w:rPr>
          <w:rFonts w:cstheme="minorHAnsi"/>
          <w:color w:val="000000" w:themeColor="text1"/>
          <w:sz w:val="24"/>
          <w:szCs w:val="24"/>
        </w:rPr>
        <w:t>22 października 2002 r., sygn. akt III CZP 65/02, OSNC</w:t>
      </w:r>
      <w:r w:rsidR="00AB6443">
        <w:rPr>
          <w:rFonts w:cstheme="minorHAnsi"/>
          <w:color w:val="000000" w:themeColor="text1"/>
          <w:sz w:val="24"/>
          <w:szCs w:val="24"/>
        </w:rPr>
        <w:t xml:space="preserve"> 2003,</w:t>
      </w:r>
      <w:r w:rsidRPr="00375799">
        <w:rPr>
          <w:rFonts w:cstheme="minorHAnsi"/>
          <w:color w:val="000000" w:themeColor="text1"/>
          <w:sz w:val="24"/>
          <w:szCs w:val="24"/>
        </w:rPr>
        <w:t xml:space="preserve"> nr 7</w:t>
      </w:r>
      <w:r w:rsidR="000E6C9A">
        <w:rPr>
          <w:rFonts w:cstheme="minorHAnsi"/>
          <w:color w:val="000000" w:themeColor="text1"/>
          <w:sz w:val="24"/>
          <w:szCs w:val="24"/>
        </w:rPr>
        <w:t>–</w:t>
      </w:r>
      <w:r w:rsidRPr="00375799">
        <w:rPr>
          <w:rFonts w:cstheme="minorHAnsi"/>
          <w:color w:val="000000" w:themeColor="text1"/>
          <w:sz w:val="24"/>
          <w:szCs w:val="24"/>
        </w:rPr>
        <w:t xml:space="preserve">8, poz. 100). Symbolicznym wyrazem publicznoprawnego statusu komornika jest prawo do używania pieczęci urzędowej z godłem państwa – art. 4 ustawy z dnia 29 sierpnia 1997 r. o komornikach sądowych i egzekucji (wyrok </w:t>
      </w:r>
      <w:r w:rsidR="00AB6443">
        <w:rPr>
          <w:rFonts w:cstheme="minorHAnsi"/>
          <w:color w:val="000000" w:themeColor="text1"/>
          <w:sz w:val="24"/>
          <w:szCs w:val="24"/>
        </w:rPr>
        <w:t xml:space="preserve">Trybunału Konstytucyjnego </w:t>
      </w:r>
      <w:r w:rsidRPr="00375799">
        <w:rPr>
          <w:rFonts w:cstheme="minorHAnsi"/>
          <w:color w:val="000000" w:themeColor="text1"/>
          <w:sz w:val="24"/>
          <w:szCs w:val="24"/>
        </w:rPr>
        <w:t>z dnia 13 października 2015 r., syg</w:t>
      </w:r>
      <w:r w:rsidR="00AB6443">
        <w:rPr>
          <w:rFonts w:cstheme="minorHAnsi"/>
          <w:color w:val="000000" w:themeColor="text1"/>
          <w:sz w:val="24"/>
          <w:szCs w:val="24"/>
        </w:rPr>
        <w:t>n</w:t>
      </w:r>
      <w:r w:rsidRPr="00375799">
        <w:rPr>
          <w:rFonts w:cstheme="minorHAnsi"/>
          <w:color w:val="000000" w:themeColor="text1"/>
          <w:sz w:val="24"/>
          <w:szCs w:val="24"/>
        </w:rPr>
        <w:t xml:space="preserve">. akt </w:t>
      </w:r>
      <w:r w:rsidR="00AB6443">
        <w:rPr>
          <w:rFonts w:cstheme="minorHAnsi"/>
          <w:color w:val="000000" w:themeColor="text1"/>
          <w:sz w:val="24"/>
          <w:szCs w:val="24"/>
        </w:rPr>
        <w:t xml:space="preserve">P </w:t>
      </w:r>
      <w:r w:rsidRPr="00375799">
        <w:rPr>
          <w:rFonts w:cstheme="minorHAnsi"/>
          <w:color w:val="000000" w:themeColor="text1"/>
          <w:sz w:val="24"/>
          <w:szCs w:val="24"/>
        </w:rPr>
        <w:t>3/14</w:t>
      </w:r>
      <w:r w:rsidR="00AB6443">
        <w:rPr>
          <w:rFonts w:cstheme="minorHAnsi"/>
          <w:color w:val="000000" w:themeColor="text1"/>
          <w:sz w:val="24"/>
          <w:szCs w:val="24"/>
        </w:rPr>
        <w:t>, Dz. U. poz. 1670</w:t>
      </w:r>
      <w:r w:rsidRPr="00375799">
        <w:rPr>
          <w:rFonts w:cstheme="minorHAnsi"/>
          <w:color w:val="000000" w:themeColor="text1"/>
          <w:sz w:val="24"/>
          <w:szCs w:val="24"/>
        </w:rPr>
        <w:t xml:space="preserve">). </w:t>
      </w:r>
    </w:p>
    <w:p w14:paraId="7707D95B" w14:textId="40626E8C"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Komornik został organizacyjnie i funkcjonalnie powiązany z organami sądowymi – działa przy sądzie rejonowym. Nadzór nad komornikami sprawowany jest w sposób ciągły i wielopłaszczyznowy. Sprawuje go sąd na podstawie przepisów ustawy z dnia 17 listopada 1964 r. – Kodeks postępowania cywilnego (Dz. U. z 2018 r. poz. </w:t>
      </w:r>
      <w:r w:rsidR="00221A13">
        <w:rPr>
          <w:rFonts w:cstheme="minorHAnsi"/>
          <w:color w:val="000000" w:themeColor="text1"/>
          <w:sz w:val="24"/>
          <w:szCs w:val="24"/>
        </w:rPr>
        <w:t>1360, z późn. zm.</w:t>
      </w:r>
      <w:r w:rsidRPr="00375799">
        <w:rPr>
          <w:rFonts w:cstheme="minorHAnsi"/>
          <w:color w:val="000000" w:themeColor="text1"/>
          <w:sz w:val="24"/>
          <w:szCs w:val="24"/>
        </w:rPr>
        <w:t xml:space="preserve">), prezes sądu rejonowego poprzez kontrole i rozpoznawanie skarg niestanowiących przedmiotu nadzoru judykacyjnego, prezesi sądów okręgowych i apelacyjnych oraz Minister Sprawiedliwości (art. 3, art. 11 ust. 1, art. 64 ust. 1 i 2 </w:t>
      </w:r>
      <w:proofErr w:type="spellStart"/>
      <w:r w:rsidRPr="00375799">
        <w:rPr>
          <w:rFonts w:cstheme="minorHAnsi"/>
          <w:color w:val="000000" w:themeColor="text1"/>
          <w:sz w:val="24"/>
          <w:szCs w:val="24"/>
        </w:rPr>
        <w:t>u.k.s.e</w:t>
      </w:r>
      <w:proofErr w:type="spellEnd"/>
      <w:r w:rsidRPr="00375799">
        <w:rPr>
          <w:rFonts w:cstheme="minorHAnsi"/>
          <w:color w:val="000000" w:themeColor="text1"/>
          <w:sz w:val="24"/>
          <w:szCs w:val="24"/>
        </w:rPr>
        <w:t>).</w:t>
      </w:r>
    </w:p>
    <w:p w14:paraId="032A7B1D" w14:textId="77777777"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Czynnikiem odróżniającym przedstawicieli zawodów polegających na pełnieniu służby publicznej od zawodów zaufania publicznego (będących co do zasady „wolnymi zawodami”) jest element świadczenia usług. Notariusz, adwokat czy radca prawny wchodzi ze stronami stosownych czynności w relacje cywilnoprawne oparte na zasadzie dobrowolności i swobody kontraktowej, wynagrodzenie zaś ustalane jest, co do zasady, w sposób uznaniowy. Komornik wprawdzie prowadzi postępowanie egzekucyjne na wniosek wierzyciela, ale działa w tym zakresie autonomicznie jako organ państwa. Tym samym stosunek pomiędzy wierzycielem</w:t>
      </w:r>
      <w:r w:rsidR="00077AB4" w:rsidRPr="00375799">
        <w:rPr>
          <w:rFonts w:cstheme="minorHAnsi"/>
          <w:color w:val="000000" w:themeColor="text1"/>
          <w:sz w:val="24"/>
          <w:szCs w:val="24"/>
        </w:rPr>
        <w:t xml:space="preserve"> </w:t>
      </w:r>
      <w:r w:rsidRPr="00375799">
        <w:rPr>
          <w:rFonts w:cstheme="minorHAnsi"/>
          <w:color w:val="000000" w:themeColor="text1"/>
          <w:sz w:val="24"/>
          <w:szCs w:val="24"/>
        </w:rPr>
        <w:t>a organem państwowym jest wyłącznie stosunkiem prawa publicznego, którego treść nie podlega dyspozycji stron. Wierzyciel, postawiwszy wniosek, nie ma wpływu na dalszy przebieg postępowania egzekucyjnego, o ile ustawa nie przyznaje mu wyraźnie tego wpływu.</w:t>
      </w:r>
    </w:p>
    <w:p w14:paraId="146A0833" w14:textId="03B64485"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Komornik nie może odmówić przyjęcia wniosku o wszczęcie egzekucji, wykonania postanowienia o udzieleniu zabezpieczenia lub europejskiego nakazu zabezpieczenia na rachunku bankowym, do przeprowadzenia których jest właściwy zgodnie z k.p.c. (art. 8 ust. 4 </w:t>
      </w:r>
      <w:proofErr w:type="spellStart"/>
      <w:r w:rsidRPr="00375799">
        <w:rPr>
          <w:rFonts w:cstheme="minorHAnsi"/>
          <w:color w:val="000000" w:themeColor="text1"/>
          <w:sz w:val="24"/>
          <w:szCs w:val="24"/>
        </w:rPr>
        <w:t>u.k.s.e</w:t>
      </w:r>
      <w:proofErr w:type="spellEnd"/>
      <w:r w:rsidRPr="00375799">
        <w:rPr>
          <w:rFonts w:cstheme="minorHAnsi"/>
          <w:color w:val="000000" w:themeColor="text1"/>
          <w:sz w:val="24"/>
          <w:szCs w:val="24"/>
        </w:rPr>
        <w:t xml:space="preserve">.), zaś wynagrodzenie za wykonywane czynności komornik ustala postanowieniem (art. 49 ust. 3 </w:t>
      </w:r>
      <w:proofErr w:type="spellStart"/>
      <w:r w:rsidRPr="00375799">
        <w:rPr>
          <w:rFonts w:cstheme="minorHAnsi"/>
          <w:color w:val="000000" w:themeColor="text1"/>
          <w:sz w:val="24"/>
          <w:szCs w:val="24"/>
        </w:rPr>
        <w:t>u.k.s.e</w:t>
      </w:r>
      <w:proofErr w:type="spellEnd"/>
      <w:r w:rsidRPr="00375799">
        <w:rPr>
          <w:rFonts w:cstheme="minorHAnsi"/>
          <w:color w:val="000000" w:themeColor="text1"/>
          <w:sz w:val="24"/>
          <w:szCs w:val="24"/>
        </w:rPr>
        <w:t xml:space="preserve">.). Komornik nie uzgadnia swojego wynagrodzenia ze stronami, lecz ustala je w sposób władczy w trybie i w wysokości przewidzianej w ustawie. </w:t>
      </w:r>
    </w:p>
    <w:p w14:paraId="42C95582" w14:textId="730C9AE2"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W postępowaniu z udziałem komornika regułą jest, że zawsze jedna ze stron, jaką jest dłużnik, wolałaby uniknąć jakiegokolwiek kontaktu z komornikiem i w toku prowadzonego postępowania jest ona w położeniu przymusowym. Komornik, jak każdy organ państwowy, prowadzi postępowanie według ściśle określonych reguł przewidzianych przepisami stosownej ustawy (w tym wypadku k.p.c.). W uzasadnieniu wyroku z dnia 3 grudnia 2003 r. </w:t>
      </w:r>
      <w:r w:rsidR="00AB6443">
        <w:rPr>
          <w:rFonts w:cstheme="minorHAnsi"/>
          <w:color w:val="000000" w:themeColor="text1"/>
          <w:sz w:val="24"/>
          <w:szCs w:val="24"/>
        </w:rPr>
        <w:t xml:space="preserve">OTK-A 2003, nr 9, </w:t>
      </w:r>
      <w:r w:rsidRPr="00375799">
        <w:rPr>
          <w:rFonts w:cstheme="minorHAnsi"/>
          <w:color w:val="000000" w:themeColor="text1"/>
          <w:sz w:val="24"/>
          <w:szCs w:val="24"/>
        </w:rPr>
        <w:t xml:space="preserve">sygn. </w:t>
      </w:r>
      <w:r w:rsidR="00AB6443">
        <w:rPr>
          <w:rFonts w:cstheme="minorHAnsi"/>
          <w:color w:val="000000" w:themeColor="text1"/>
          <w:sz w:val="24"/>
          <w:szCs w:val="24"/>
        </w:rPr>
        <w:t xml:space="preserve">akt </w:t>
      </w:r>
      <w:r w:rsidRPr="00375799">
        <w:rPr>
          <w:rFonts w:cstheme="minorHAnsi"/>
          <w:color w:val="000000" w:themeColor="text1"/>
          <w:sz w:val="24"/>
          <w:szCs w:val="24"/>
        </w:rPr>
        <w:t>K 5/02</w:t>
      </w:r>
      <w:r w:rsidR="00AB6443">
        <w:rPr>
          <w:rFonts w:cstheme="minorHAnsi"/>
          <w:color w:val="000000" w:themeColor="text1"/>
          <w:sz w:val="24"/>
          <w:szCs w:val="24"/>
        </w:rPr>
        <w:t>,</w:t>
      </w:r>
      <w:r w:rsidRPr="00375799">
        <w:rPr>
          <w:rFonts w:cstheme="minorHAnsi"/>
          <w:color w:val="000000" w:themeColor="text1"/>
          <w:sz w:val="24"/>
          <w:szCs w:val="24"/>
        </w:rPr>
        <w:t xml:space="preserve"> Trybunał Konstytucyjny wskazał, że „zgodnie z zasadą państwa prawnego przymusowe wykonywanie wyroków w sprawach cywilnych nie odbywa się w drodze osobistych działań wierzyciela ani osób, którym zleca on wykonanie konkretnego wyroku. </w:t>
      </w:r>
    </w:p>
    <w:p w14:paraId="40E232EB" w14:textId="62CB37A4"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uwagi na przyjęte we współczesnym państwie prawnym założenie, iż stosowanie środków przymusu stanowi w zasadzie monopol państwa, przymusowa egzekucja wyroków sądowych odbywa się w drodze działań organów państwa, które nie działają na zlecenie wierzyciela, ale w ramach własnych, przyznanych im przez państwo uprawnień. Innymi słowy wierzyciela i komornika nie łączy stosunek zlecenia, komornik działa bowiem formalnie rzecz biorąc w imieniu państwa, którego zadaniem jest zapewnienie wykonania wyroków sądowych. Tylko faktycznie działa on w interesie wierzyciela jako osoby, której sąd w odpowiednim orzeczeniu zapewnił ochronę publicznoprawną.”. Pogląd ów powtórzony został przez Trybunał Konstytucyjny zarówno w wyroku z dnia 20 stycz</w:t>
      </w:r>
      <w:r w:rsidR="00077AB4" w:rsidRPr="00375799">
        <w:rPr>
          <w:rFonts w:cstheme="minorHAnsi"/>
          <w:color w:val="000000" w:themeColor="text1"/>
          <w:sz w:val="24"/>
          <w:szCs w:val="24"/>
        </w:rPr>
        <w:t>nia 2004 r.</w:t>
      </w:r>
      <w:r w:rsidR="00AB6443">
        <w:rPr>
          <w:rFonts w:cstheme="minorHAnsi"/>
          <w:color w:val="000000" w:themeColor="text1"/>
          <w:sz w:val="24"/>
          <w:szCs w:val="24"/>
        </w:rPr>
        <w:t>,</w:t>
      </w:r>
      <w:r w:rsidR="00077AB4" w:rsidRPr="00375799">
        <w:rPr>
          <w:rFonts w:cstheme="minorHAnsi"/>
          <w:color w:val="000000" w:themeColor="text1"/>
          <w:sz w:val="24"/>
          <w:szCs w:val="24"/>
        </w:rPr>
        <w:t xml:space="preserve"> sygn. </w:t>
      </w:r>
      <w:r w:rsidR="00AB6443">
        <w:rPr>
          <w:rFonts w:cstheme="minorHAnsi"/>
          <w:color w:val="000000" w:themeColor="text1"/>
          <w:sz w:val="24"/>
          <w:szCs w:val="24"/>
        </w:rPr>
        <w:t xml:space="preserve">akt </w:t>
      </w:r>
      <w:r w:rsidR="00077AB4" w:rsidRPr="00375799">
        <w:rPr>
          <w:rFonts w:cstheme="minorHAnsi"/>
          <w:color w:val="000000" w:themeColor="text1"/>
          <w:sz w:val="24"/>
          <w:szCs w:val="24"/>
        </w:rPr>
        <w:t>SK 26/03</w:t>
      </w:r>
      <w:r w:rsidR="00AB6443">
        <w:rPr>
          <w:rFonts w:cstheme="minorHAnsi"/>
          <w:color w:val="000000" w:themeColor="text1"/>
          <w:sz w:val="24"/>
          <w:szCs w:val="24"/>
        </w:rPr>
        <w:t xml:space="preserve"> (Dz. U. poz. 101)</w:t>
      </w:r>
      <w:r w:rsidR="00077AB4" w:rsidRPr="00375799">
        <w:rPr>
          <w:rFonts w:cstheme="minorHAnsi"/>
          <w:color w:val="000000" w:themeColor="text1"/>
          <w:sz w:val="24"/>
          <w:szCs w:val="24"/>
        </w:rPr>
        <w:t xml:space="preserve">, jak </w:t>
      </w:r>
      <w:r w:rsidRPr="00375799">
        <w:rPr>
          <w:rFonts w:cstheme="minorHAnsi"/>
          <w:color w:val="000000" w:themeColor="text1"/>
          <w:sz w:val="24"/>
          <w:szCs w:val="24"/>
        </w:rPr>
        <w:t xml:space="preserve">i w wyroku z </w:t>
      </w:r>
      <w:r w:rsidR="00AB6443">
        <w:rPr>
          <w:rFonts w:cstheme="minorHAnsi"/>
          <w:color w:val="000000" w:themeColor="text1"/>
          <w:sz w:val="24"/>
          <w:szCs w:val="24"/>
        </w:rPr>
        <w:t xml:space="preserve">dnia </w:t>
      </w:r>
      <w:r w:rsidRPr="00375799">
        <w:rPr>
          <w:rFonts w:cstheme="minorHAnsi"/>
          <w:color w:val="000000" w:themeColor="text1"/>
          <w:sz w:val="24"/>
          <w:szCs w:val="24"/>
        </w:rPr>
        <w:t>14 maja 2009 r.</w:t>
      </w:r>
      <w:r w:rsidR="00AB6443">
        <w:rPr>
          <w:rFonts w:cstheme="minorHAnsi"/>
          <w:color w:val="000000" w:themeColor="text1"/>
          <w:sz w:val="24"/>
          <w:szCs w:val="24"/>
        </w:rPr>
        <w:t>,</w:t>
      </w:r>
      <w:r w:rsidRPr="00375799">
        <w:rPr>
          <w:rFonts w:cstheme="minorHAnsi"/>
          <w:color w:val="000000" w:themeColor="text1"/>
          <w:sz w:val="24"/>
          <w:szCs w:val="24"/>
        </w:rPr>
        <w:t xml:space="preserve"> sygn. </w:t>
      </w:r>
      <w:r w:rsidR="00AB6443">
        <w:rPr>
          <w:rFonts w:cstheme="minorHAnsi"/>
          <w:color w:val="000000" w:themeColor="text1"/>
          <w:sz w:val="24"/>
          <w:szCs w:val="24"/>
        </w:rPr>
        <w:t xml:space="preserve">akt </w:t>
      </w:r>
      <w:r w:rsidRPr="00375799">
        <w:rPr>
          <w:rFonts w:cstheme="minorHAnsi"/>
          <w:color w:val="000000" w:themeColor="text1"/>
          <w:sz w:val="24"/>
          <w:szCs w:val="24"/>
        </w:rPr>
        <w:t>K 21/08</w:t>
      </w:r>
      <w:r w:rsidR="00AB6443">
        <w:rPr>
          <w:rFonts w:cstheme="minorHAnsi"/>
          <w:color w:val="000000" w:themeColor="text1"/>
          <w:sz w:val="24"/>
          <w:szCs w:val="24"/>
        </w:rPr>
        <w:t>, OTK-A 2009, nr 5, poz. 67</w:t>
      </w:r>
      <w:r w:rsidRPr="00375799">
        <w:rPr>
          <w:rFonts w:cstheme="minorHAnsi"/>
          <w:color w:val="000000" w:themeColor="text1"/>
          <w:sz w:val="24"/>
          <w:szCs w:val="24"/>
        </w:rPr>
        <w:t>, gdzie dodatkowo wskazaną myśl rozwinięto w sposób następujący: „We współczesnym państwie przyjmuje się założenie, iż stosowanie środków przymusu jest monopolem państwa. Egzekucja wyroków sądowych odbywa się więc w ramach kompetencji przyznanych egzekutorowi przez ustawę, nie zaś na zlecenie wierzyciela. Komornik działa w interesie wierzyciela, jednakże dlatego tylko, że tej osobie sąd w egzekwowanym orzeczeniu zapewnił ochronę publicznoprawną.”. W cytowanym uzasadnieniu TK powołał się dodatkowo na uchwałę Sądu Najwyższego z dnia 22 października 2002 r.</w:t>
      </w:r>
      <w:r w:rsidR="00AB6443">
        <w:rPr>
          <w:rFonts w:cstheme="minorHAnsi"/>
          <w:color w:val="000000" w:themeColor="text1"/>
          <w:sz w:val="24"/>
          <w:szCs w:val="24"/>
        </w:rPr>
        <w:t>,</w:t>
      </w:r>
      <w:r w:rsidRPr="00375799">
        <w:rPr>
          <w:rFonts w:cstheme="minorHAnsi"/>
          <w:color w:val="000000" w:themeColor="text1"/>
          <w:sz w:val="24"/>
          <w:szCs w:val="24"/>
        </w:rPr>
        <w:t xml:space="preserve"> sygn.</w:t>
      </w:r>
      <w:r w:rsidR="00AB6443">
        <w:rPr>
          <w:rFonts w:cstheme="minorHAnsi"/>
          <w:color w:val="000000" w:themeColor="text1"/>
          <w:sz w:val="24"/>
          <w:szCs w:val="24"/>
        </w:rPr>
        <w:t xml:space="preserve"> akt</w:t>
      </w:r>
      <w:r w:rsidRPr="00375799">
        <w:rPr>
          <w:rFonts w:cstheme="minorHAnsi"/>
          <w:color w:val="000000" w:themeColor="text1"/>
          <w:sz w:val="24"/>
          <w:szCs w:val="24"/>
        </w:rPr>
        <w:t xml:space="preserve"> III CZP 65/02</w:t>
      </w:r>
      <w:r w:rsidR="00AB6443">
        <w:rPr>
          <w:rFonts w:cstheme="minorHAnsi"/>
          <w:color w:val="000000" w:themeColor="text1"/>
          <w:sz w:val="24"/>
          <w:szCs w:val="24"/>
        </w:rPr>
        <w:t>, OSNC 2003, nr 7–8, poz. 100</w:t>
      </w:r>
      <w:r w:rsidRPr="00375799">
        <w:rPr>
          <w:rFonts w:cstheme="minorHAnsi"/>
          <w:color w:val="000000" w:themeColor="text1"/>
          <w:sz w:val="24"/>
          <w:szCs w:val="24"/>
        </w:rPr>
        <w:t xml:space="preserve"> w której wskazano, że „na status prawny komornika jako funkcjonariusza publicznego realizującego określone zadania państwa nie wpływa to, że obecnie wykonuje on czynności na rachunek własny, nie będąc pracownikiem sądu”.  O ile zatem świadczenie usług, w ramach wolnego zawodu odbywa się zawsze według określonych prawideł sztuki właściwej temu zawodowi przy zaangażowaniu wiedzy i umiejętności posiadanych przez daną osobę, to komornik wykonuje swoje zadania ści</w:t>
      </w:r>
      <w:r w:rsidR="005C5F18">
        <w:rPr>
          <w:rFonts w:cstheme="minorHAnsi"/>
          <w:color w:val="000000" w:themeColor="text1"/>
          <w:sz w:val="24"/>
          <w:szCs w:val="24"/>
        </w:rPr>
        <w:t>ś</w:t>
      </w:r>
      <w:r w:rsidR="000C6EF8">
        <w:rPr>
          <w:rFonts w:cstheme="minorHAnsi"/>
          <w:color w:val="000000" w:themeColor="text1"/>
          <w:sz w:val="24"/>
          <w:szCs w:val="24"/>
        </w:rPr>
        <w:t>l</w:t>
      </w:r>
      <w:r w:rsidRPr="00375799">
        <w:rPr>
          <w:rFonts w:cstheme="minorHAnsi"/>
          <w:color w:val="000000" w:themeColor="text1"/>
          <w:sz w:val="24"/>
          <w:szCs w:val="24"/>
        </w:rPr>
        <w:t xml:space="preserve">e według przykazań prawa publicznego do jakich zaliczają się regulacje postępowania cywilnego. Przepisy te w warstwie adresowanej do organu egzekucyjnego mają w przeważającej większości charakter przepisów </w:t>
      </w:r>
      <w:proofErr w:type="spellStart"/>
      <w:r w:rsidRPr="003654A8">
        <w:rPr>
          <w:rFonts w:cstheme="minorHAnsi"/>
          <w:i/>
          <w:color w:val="000000" w:themeColor="text1"/>
          <w:sz w:val="24"/>
          <w:szCs w:val="24"/>
        </w:rPr>
        <w:t>ius</w:t>
      </w:r>
      <w:proofErr w:type="spellEnd"/>
      <w:r w:rsidRPr="003654A8">
        <w:rPr>
          <w:rFonts w:cstheme="minorHAnsi"/>
          <w:i/>
          <w:color w:val="000000" w:themeColor="text1"/>
          <w:sz w:val="24"/>
          <w:szCs w:val="24"/>
        </w:rPr>
        <w:t xml:space="preserve"> </w:t>
      </w:r>
      <w:proofErr w:type="spellStart"/>
      <w:r w:rsidRPr="003654A8">
        <w:rPr>
          <w:rFonts w:cstheme="minorHAnsi"/>
          <w:i/>
          <w:color w:val="000000" w:themeColor="text1"/>
          <w:sz w:val="24"/>
          <w:szCs w:val="24"/>
        </w:rPr>
        <w:t>cogens</w:t>
      </w:r>
      <w:proofErr w:type="spellEnd"/>
      <w:r w:rsidRPr="00375799">
        <w:rPr>
          <w:rFonts w:cstheme="minorHAnsi"/>
          <w:color w:val="000000" w:themeColor="text1"/>
          <w:sz w:val="24"/>
          <w:szCs w:val="24"/>
        </w:rPr>
        <w:t xml:space="preserve">. Konsekwencją takiego założenia jest zresztą art. 767 k.p.c., zgodnie z którym zaskarżona do sądu może być każda czynność komornika, nie tylko orzecznicza, ale i faktyczna. Tym samym całokształt działań komornika jako funkcjonariusza publicznego, któremu powierzono egzekucję należności stwierdzonych tytułem wykonawczym, podlega ścisłym regułom proceduralnym i pełnej kontroli sądu. Oparcie działań komornika wyłącznie na przepisach prawa jest zresztą w naturalny sposób emanacją art. 7 Konstytucji RP, zgodnie z którym </w:t>
      </w:r>
      <w:r w:rsidRPr="00375799">
        <w:rPr>
          <w:rFonts w:cstheme="minorHAnsi"/>
          <w:color w:val="000000" w:themeColor="text1"/>
          <w:sz w:val="24"/>
          <w:szCs w:val="24"/>
        </w:rPr>
        <w:lastRenderedPageBreak/>
        <w:t>organy władzy publicznej działają na podstawie i w granicach prawa. W odniesieniu do przedstawicieli zawodów zaufania publicznego rozwiązań takich, co oczywiste, nie spotkamy.</w:t>
      </w:r>
    </w:p>
    <w:p w14:paraId="40C84148" w14:textId="5638360B"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Pozycja ustrojowa komornika jest podobna do pozycji sędziów i prokuratorów, jak i do przedstawicieli służb mundurowych, służby zagranicznej czy też administracji podatkowej. W każdym niemal przypadku samo wykonywanie przez państwo zadań publicznych wiąże się</w:t>
      </w:r>
      <w:r w:rsidR="000C6EF8">
        <w:rPr>
          <w:rFonts w:cstheme="minorHAnsi"/>
          <w:color w:val="000000" w:themeColor="text1"/>
          <w:sz w:val="24"/>
          <w:szCs w:val="24"/>
        </w:rPr>
        <w:t>,</w:t>
      </w:r>
      <w:r w:rsidRPr="00375799">
        <w:rPr>
          <w:rFonts w:cstheme="minorHAnsi"/>
          <w:color w:val="000000" w:themeColor="text1"/>
          <w:sz w:val="24"/>
          <w:szCs w:val="24"/>
        </w:rPr>
        <w:t xml:space="preserve"> z jednej strony z dostępem do wrażliwych informacji dotyczących jednostek (co przejawia się najwyraźniej w pracy sądów, organów ścigania i organów podatkowych), z drugiej zaś strony pragmatyki służbowe zawodów działających w wymienionych sektorach zakładają obowiązek zachowania tajemnicy służbowej przez pracowników. Jest to zresztą konieczne, nie tylko dla ochrony ważnych interesów indywidualnych, lecz przede wszystkim dla bezpieczeństwa państwa. Podobnie też w odniesieniu do wielu zawodów wiążących się z pełnieniem służby publicznej ustawy szczególne wymagają od kandydatów wyższego wykształcenia (nierzadko właśnie prawniczego), wysokich standardów etycznych (wymóg nieskazitelnego charakteru co do sędziów, prokuratorów czy referendarzy sądowych), jak również odbycia specjalistycznego szkolenia, nierzadko przyjmującego postać właśnie aplikacji (sądowej, prokuratorskiej, dyplomatycznej, legislacyjnej). Jest rzeczą oczywistą, że istotą nowoczesnego demokratycznego państwa prawa jest ochrona własnych obywateli oraz pełnienie przez nie funkcji służebnej wobec potrzeb zbiorowości, na którą składają się ci obywatele (vide art. 1, 2, 5 oraz 6 Konstytucji</w:t>
      </w:r>
      <w:r w:rsidR="00221A13">
        <w:rPr>
          <w:rFonts w:cstheme="minorHAnsi"/>
          <w:color w:val="000000" w:themeColor="text1"/>
          <w:sz w:val="24"/>
          <w:szCs w:val="24"/>
        </w:rPr>
        <w:t xml:space="preserve"> Rzeczypospolitej Polskiej</w:t>
      </w:r>
      <w:r w:rsidRPr="00375799">
        <w:rPr>
          <w:rFonts w:cstheme="minorHAnsi"/>
          <w:color w:val="000000" w:themeColor="text1"/>
          <w:sz w:val="24"/>
          <w:szCs w:val="24"/>
        </w:rPr>
        <w:t>).</w:t>
      </w:r>
    </w:p>
    <w:p w14:paraId="5D7D2DD0" w14:textId="2E077258"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wyroku Europejskiego Trybunału Praw Człowieka z dnia 28 lipca 1999 r. (22774/93</w:t>
      </w:r>
      <w:r w:rsidR="00AB6443">
        <w:rPr>
          <w:rFonts w:cstheme="minorHAnsi"/>
          <w:color w:val="000000" w:themeColor="text1"/>
          <w:sz w:val="24"/>
          <w:szCs w:val="24"/>
        </w:rPr>
        <w:t>, https://hudoc.echr.coe.int/</w:t>
      </w:r>
      <w:r w:rsidRPr="00375799">
        <w:rPr>
          <w:rFonts w:cstheme="minorHAnsi"/>
          <w:color w:val="000000" w:themeColor="text1"/>
          <w:sz w:val="24"/>
          <w:szCs w:val="24"/>
        </w:rPr>
        <w:t>) stwierdzono, że „Ingerencja, zwłaszcza ingerencja rozpatrywana na podstawie drugiego akapitu art. 1 Protokołu nr 1, musi zachowywać „sprawiedliwą równowagę” pomiędzy wymogami interesu powszechnego a wymogami ochrony praw podstawowych osoby. Troska o osiągnięcie tej równowagi została odzwierciedlona w strukturze art. 1 Protokołu nr 1 jako takiego, a tym samym również w jego drugim akapicie. Musi zostać zachowana rozsądna relacja proporcjonalności pomiędzy stosowanymi środkami a realizowanym celem. Dokonując rozstrzygnięcia czy warunek ten został spełniony, Trybunał uznaje, iż państwo cieszy się szerokim marginesem uznania zarówno w odniesieniu do wyboru sposobu jego realizacji, jak i w zakresie oceny tego, czy konsekwencje tejże realizacji są uzasadnione wobec interesu powszechnego w osiągnięciu celu danej ustawy”. Podniesiono ponadto, że długotrwałe postępowania egzekucyjne naruszają art. 6 ust</w:t>
      </w:r>
      <w:r w:rsidR="000C6EF8">
        <w:rPr>
          <w:rFonts w:cstheme="minorHAnsi"/>
          <w:color w:val="000000" w:themeColor="text1"/>
          <w:sz w:val="24"/>
          <w:szCs w:val="24"/>
        </w:rPr>
        <w:t>.</w:t>
      </w:r>
      <w:r w:rsidRPr="00375799">
        <w:rPr>
          <w:rFonts w:cstheme="minorHAnsi"/>
          <w:color w:val="000000" w:themeColor="text1"/>
          <w:sz w:val="24"/>
          <w:szCs w:val="24"/>
        </w:rPr>
        <w:t xml:space="preserve"> 1 Konwencji.</w:t>
      </w:r>
      <w:r w:rsidRPr="00375799">
        <w:rPr>
          <w:rFonts w:cstheme="minorHAnsi"/>
          <w:color w:val="000000" w:themeColor="text1"/>
          <w:sz w:val="24"/>
          <w:szCs w:val="24"/>
        </w:rPr>
        <w:tab/>
        <w:t xml:space="preserve"> </w:t>
      </w:r>
    </w:p>
    <w:p w14:paraId="2653696B" w14:textId="29227FDF"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Projektowany art. </w:t>
      </w:r>
      <w:r w:rsidR="00221A13" w:rsidRPr="00375799">
        <w:rPr>
          <w:rFonts w:cstheme="minorHAnsi"/>
          <w:color w:val="000000" w:themeColor="text1"/>
          <w:sz w:val="24"/>
          <w:szCs w:val="24"/>
        </w:rPr>
        <w:t>37</w:t>
      </w:r>
      <w:r w:rsidR="00221A13">
        <w:rPr>
          <w:rFonts w:cstheme="minorHAnsi"/>
          <w:color w:val="000000" w:themeColor="text1"/>
          <w:sz w:val="24"/>
          <w:szCs w:val="24"/>
        </w:rPr>
        <w:t>c</w:t>
      </w:r>
      <w:r w:rsidR="00221A13" w:rsidRPr="00375799">
        <w:rPr>
          <w:rFonts w:cstheme="minorHAnsi"/>
          <w:color w:val="000000" w:themeColor="text1"/>
          <w:sz w:val="24"/>
          <w:szCs w:val="24"/>
        </w:rPr>
        <w:t xml:space="preserve"> </w:t>
      </w:r>
      <w:r w:rsidRPr="00375799">
        <w:rPr>
          <w:rFonts w:cstheme="minorHAnsi"/>
          <w:color w:val="000000" w:themeColor="text1"/>
          <w:sz w:val="24"/>
          <w:szCs w:val="24"/>
        </w:rPr>
        <w:t xml:space="preserve">zawiera przepisy określające zasady wykonywania przez komorników sądowych obowiązków wynikających z </w:t>
      </w:r>
      <w:r w:rsidR="00AB6443">
        <w:rPr>
          <w:rFonts w:cstheme="minorHAnsi"/>
          <w:color w:val="000000" w:themeColor="text1"/>
          <w:sz w:val="24"/>
          <w:szCs w:val="24"/>
        </w:rPr>
        <w:t>RODO</w:t>
      </w:r>
      <w:r w:rsidRPr="00375799">
        <w:rPr>
          <w:rFonts w:cstheme="minorHAnsi"/>
          <w:color w:val="000000" w:themeColor="text1"/>
          <w:sz w:val="24"/>
          <w:szCs w:val="24"/>
        </w:rPr>
        <w:t>.</w:t>
      </w:r>
    </w:p>
    <w:p w14:paraId="68FFF414" w14:textId="2B905A11"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 1 przewidziano, że komornik zbierając dane od osoby, której dane dotyczą, będzie każdorazowo podawał jej swoją tożsamość i dane kontaktowe oraz cele przetwarzania danych i podstawę prawną ich przetwarzania. W pozostałym zakresie, odnoszącym się do udzielenia informacji wymaganych przez art. 13 ust. 1 lit. b oraz ust. 2 lit. a, b i d-e </w:t>
      </w:r>
      <w:r w:rsidR="00AB6443">
        <w:rPr>
          <w:rFonts w:cstheme="minorHAnsi"/>
          <w:color w:val="000000" w:themeColor="text1"/>
          <w:sz w:val="24"/>
          <w:szCs w:val="24"/>
        </w:rPr>
        <w:t>RODO</w:t>
      </w:r>
      <w:r w:rsidR="00221A13">
        <w:rPr>
          <w:rFonts w:cstheme="minorHAnsi"/>
          <w:color w:val="000000" w:themeColor="text1"/>
          <w:sz w:val="24"/>
          <w:szCs w:val="24"/>
        </w:rPr>
        <w:t xml:space="preserve"> </w:t>
      </w:r>
      <w:r w:rsidRPr="00375799">
        <w:rPr>
          <w:rFonts w:cstheme="minorHAnsi"/>
          <w:color w:val="000000" w:themeColor="text1"/>
          <w:sz w:val="24"/>
          <w:szCs w:val="24"/>
        </w:rPr>
        <w:t xml:space="preserve">komornik ogólne informacje w tym przedmiocie może zamieścić w miejscu publicznie dostępnym w siedzibie kancelarii lub na stronie internetowej kancelarii, pod warunkiem </w:t>
      </w:r>
      <w:r w:rsidRPr="00375799">
        <w:rPr>
          <w:rFonts w:cstheme="minorHAnsi"/>
          <w:color w:val="000000" w:themeColor="text1"/>
          <w:sz w:val="24"/>
          <w:szCs w:val="24"/>
        </w:rPr>
        <w:lastRenderedPageBreak/>
        <w:t>jednak poinformowania o tym osoby, której informacje dotyczą, podczas pozyskiwania od niej danych osobowych.</w:t>
      </w:r>
    </w:p>
    <w:p w14:paraId="3E4384AC" w14:textId="55D139E2"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projekcie świadomie odstąpiono od regulacji zakresu wyłączenia stosowania art. 14 ust. 1 </w:t>
      </w:r>
      <w:r w:rsidR="00AB6443">
        <w:rPr>
          <w:rFonts w:cstheme="minorHAnsi"/>
          <w:color w:val="000000" w:themeColor="text1"/>
          <w:sz w:val="24"/>
          <w:szCs w:val="24"/>
        </w:rPr>
        <w:t>RODO</w:t>
      </w:r>
      <w:r w:rsidRPr="00375799">
        <w:rPr>
          <w:rFonts w:cstheme="minorHAnsi"/>
          <w:color w:val="000000" w:themeColor="text1"/>
          <w:sz w:val="24"/>
          <w:szCs w:val="24"/>
        </w:rPr>
        <w:t xml:space="preserve">, albowiem wyłączenie stosowania tego przepisu w odniesieniu do komorników sądowych wynika wprost z art. 14 ust. 5 lit. c </w:t>
      </w:r>
      <w:r w:rsidR="00AB6443">
        <w:rPr>
          <w:rFonts w:cstheme="minorHAnsi"/>
          <w:color w:val="000000" w:themeColor="text1"/>
          <w:sz w:val="24"/>
          <w:szCs w:val="24"/>
        </w:rPr>
        <w:t>RODO</w:t>
      </w:r>
      <w:r w:rsidRPr="00375799">
        <w:rPr>
          <w:rFonts w:cstheme="minorHAnsi"/>
          <w:color w:val="000000" w:themeColor="text1"/>
          <w:sz w:val="24"/>
          <w:szCs w:val="24"/>
        </w:rPr>
        <w:t>.</w:t>
      </w:r>
      <w:r w:rsidR="00077AB4" w:rsidRPr="00375799">
        <w:rPr>
          <w:rFonts w:cstheme="minorHAnsi"/>
          <w:color w:val="000000" w:themeColor="text1"/>
          <w:sz w:val="24"/>
          <w:szCs w:val="24"/>
        </w:rPr>
        <w:t xml:space="preserve"> </w:t>
      </w:r>
      <w:r w:rsidRPr="00375799">
        <w:rPr>
          <w:rFonts w:cstheme="minorHAnsi"/>
          <w:color w:val="000000" w:themeColor="text1"/>
          <w:sz w:val="24"/>
          <w:szCs w:val="24"/>
        </w:rPr>
        <w:t xml:space="preserve">W ust. 2 określono, że wynikające z art. 15 </w:t>
      </w:r>
      <w:r w:rsidR="0075056A" w:rsidRPr="00375799">
        <w:rPr>
          <w:rFonts w:cstheme="minorHAnsi"/>
          <w:color w:val="000000" w:themeColor="text1"/>
          <w:sz w:val="24"/>
          <w:szCs w:val="24"/>
        </w:rPr>
        <w:t>RODO</w:t>
      </w:r>
      <w:r w:rsidR="0075056A" w:rsidRPr="00375799" w:rsidDel="0075056A">
        <w:rPr>
          <w:rFonts w:cstheme="minorHAnsi"/>
          <w:color w:val="000000" w:themeColor="text1"/>
          <w:sz w:val="24"/>
          <w:szCs w:val="24"/>
        </w:rPr>
        <w:t xml:space="preserve"> </w:t>
      </w:r>
      <w:r w:rsidRPr="00375799">
        <w:rPr>
          <w:rFonts w:cstheme="minorHAnsi"/>
          <w:color w:val="000000" w:themeColor="text1"/>
          <w:sz w:val="24"/>
          <w:szCs w:val="24"/>
        </w:rPr>
        <w:t xml:space="preserve">uprawnienie do dostępu do danych osobowych realizowane jest wyłącznie na zasadach określonych w art. 9 k.p.c. i to jedynie w zakresie, w jakim nie narusza to obowiązku zachowania przez komornika tajemnicy zawodowej. Rozwiązanie takie znajduje podstawę w treści art. 23 ust. 1 lit. j </w:t>
      </w:r>
      <w:r w:rsidR="00AB6443">
        <w:rPr>
          <w:rFonts w:cstheme="minorHAnsi"/>
          <w:color w:val="000000" w:themeColor="text1"/>
          <w:sz w:val="24"/>
          <w:szCs w:val="24"/>
        </w:rPr>
        <w:t>RODO</w:t>
      </w:r>
      <w:r w:rsidRPr="00375799">
        <w:rPr>
          <w:rFonts w:cstheme="minorHAnsi"/>
          <w:color w:val="000000" w:themeColor="text1"/>
          <w:sz w:val="24"/>
          <w:szCs w:val="24"/>
        </w:rPr>
        <w:t xml:space="preserve">, który w przypadku egzekucji roszczeń cywilnoprawnych pozwala ograniczyć aktem prawnym zakres obowiązków i praw przewidzianych w art. 15 </w:t>
      </w:r>
      <w:r w:rsidR="00AB6443">
        <w:rPr>
          <w:rFonts w:cstheme="minorHAnsi"/>
          <w:color w:val="000000" w:themeColor="text1"/>
          <w:sz w:val="24"/>
          <w:szCs w:val="24"/>
        </w:rPr>
        <w:t>RODO</w:t>
      </w:r>
      <w:r w:rsidRPr="00375799">
        <w:rPr>
          <w:rFonts w:cstheme="minorHAnsi"/>
          <w:color w:val="000000" w:themeColor="text1"/>
          <w:sz w:val="24"/>
          <w:szCs w:val="24"/>
        </w:rPr>
        <w:t xml:space="preserve">. Należy zwrócić uwagę, że k.p.c. w sposób całościowy reguluje zasady dostępu stron do akt sprawy, co odpowiada wymogom art. 23 ust. 2 </w:t>
      </w:r>
      <w:r w:rsidR="00AB6443">
        <w:rPr>
          <w:rFonts w:cstheme="minorHAnsi"/>
          <w:color w:val="000000" w:themeColor="text1"/>
          <w:sz w:val="24"/>
          <w:szCs w:val="24"/>
        </w:rPr>
        <w:t>RODO</w:t>
      </w:r>
      <w:r w:rsidRPr="00375799">
        <w:rPr>
          <w:rFonts w:cstheme="minorHAnsi"/>
          <w:color w:val="000000" w:themeColor="text1"/>
          <w:sz w:val="24"/>
          <w:szCs w:val="24"/>
        </w:rPr>
        <w:t>. Rozwiązanie takie jest również komplementarne w stosunku do regulacji zawartych w art. 5 ustawy z dnia 10 maja 2018 r. o ochronie danych osobowych</w:t>
      </w:r>
      <w:r w:rsidR="00AB6443">
        <w:rPr>
          <w:rFonts w:cstheme="minorHAnsi"/>
          <w:color w:val="000000" w:themeColor="text1"/>
          <w:sz w:val="24"/>
          <w:szCs w:val="24"/>
        </w:rPr>
        <w:t>.</w:t>
      </w:r>
      <w:r w:rsidRPr="00375799">
        <w:rPr>
          <w:rFonts w:cstheme="minorHAnsi"/>
          <w:color w:val="000000" w:themeColor="text1"/>
          <w:sz w:val="24"/>
          <w:szCs w:val="24"/>
        </w:rPr>
        <w:t xml:space="preserve"> </w:t>
      </w:r>
    </w:p>
    <w:p w14:paraId="3F45996B" w14:textId="56A684EB"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 3 przyjęto, że w zakresie prowadzonych postępowań lub czynności podejmowanych przez komornika na podstawie art. 2 ust. 3 i 4 pkt 1 i 3, a zatem w zakresie, w jakim działania komornika podlegają kontroli orzeczniczej sądu, art. 16 </w:t>
      </w:r>
      <w:r w:rsidR="007728F2">
        <w:rPr>
          <w:rFonts w:cstheme="minorHAnsi"/>
          <w:color w:val="000000" w:themeColor="text1"/>
          <w:sz w:val="24"/>
          <w:szCs w:val="24"/>
        </w:rPr>
        <w:t>RODO</w:t>
      </w:r>
      <w:r w:rsidR="00221A13">
        <w:rPr>
          <w:rFonts w:cstheme="minorHAnsi"/>
          <w:color w:val="000000" w:themeColor="text1"/>
          <w:sz w:val="24"/>
          <w:szCs w:val="24"/>
        </w:rPr>
        <w:t xml:space="preserve"> </w:t>
      </w:r>
      <w:r w:rsidRPr="00375799">
        <w:rPr>
          <w:rFonts w:cstheme="minorHAnsi"/>
          <w:color w:val="000000" w:themeColor="text1"/>
          <w:sz w:val="24"/>
          <w:szCs w:val="24"/>
        </w:rPr>
        <w:t>stosuje się wyłącznie w zakresie i na zasadach przewidzianych w k.p.c.</w:t>
      </w:r>
    </w:p>
    <w:p w14:paraId="6C1B7D07" w14:textId="59BCAD35"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 4 przewidziano, że w ramach wykonywania przez komornika zadań, o których mowa w art. 2 ust. 3 i 4 pkt 1 i 3, skorzystanie przez daną osobę z prawa do ograniczenia przetwarzania danych osobowych, o którym mowa w art. 18 ust. 1 </w:t>
      </w:r>
      <w:r w:rsidR="007728F2">
        <w:rPr>
          <w:rFonts w:cstheme="minorHAnsi"/>
          <w:color w:val="000000" w:themeColor="text1"/>
          <w:sz w:val="24"/>
          <w:szCs w:val="24"/>
        </w:rPr>
        <w:t>RODO</w:t>
      </w:r>
      <w:r w:rsidRPr="00375799">
        <w:rPr>
          <w:rFonts w:cstheme="minorHAnsi"/>
          <w:color w:val="000000" w:themeColor="text1"/>
          <w:sz w:val="24"/>
          <w:szCs w:val="24"/>
        </w:rPr>
        <w:t>, odbywać się będzie wyłącznie w sposób przewidziany</w:t>
      </w:r>
      <w:r w:rsidR="001B10D4" w:rsidRPr="00375799">
        <w:rPr>
          <w:rFonts w:cstheme="minorHAnsi"/>
          <w:color w:val="000000" w:themeColor="text1"/>
          <w:sz w:val="24"/>
          <w:szCs w:val="24"/>
        </w:rPr>
        <w:t xml:space="preserve"> w</w:t>
      </w:r>
      <w:r w:rsidRPr="00375799">
        <w:rPr>
          <w:rFonts w:cstheme="minorHAnsi"/>
          <w:color w:val="000000" w:themeColor="text1"/>
          <w:sz w:val="24"/>
          <w:szCs w:val="24"/>
        </w:rPr>
        <w:t xml:space="preserve"> art. 767 k.p.c. Rozwiązanie takie znajduje podstawę w treści art. 23 ust. 1 lit. j </w:t>
      </w:r>
      <w:r w:rsidR="007728F2">
        <w:rPr>
          <w:rFonts w:cstheme="minorHAnsi"/>
          <w:color w:val="000000" w:themeColor="text1"/>
          <w:sz w:val="24"/>
          <w:szCs w:val="24"/>
        </w:rPr>
        <w:t>RODO</w:t>
      </w:r>
      <w:r w:rsidRPr="00375799">
        <w:rPr>
          <w:rFonts w:cstheme="minorHAnsi"/>
          <w:color w:val="000000" w:themeColor="text1"/>
          <w:sz w:val="24"/>
          <w:szCs w:val="24"/>
        </w:rPr>
        <w:t>, który w przypadku egzekucji roszczeń cywilnoprawnych pozwala ograniczyć aktem prawnym zakres praw i obowiązków przewidzianych w art. 18. Należy zwrócić uwagę</w:t>
      </w:r>
      <w:r w:rsidR="000C6EF8">
        <w:rPr>
          <w:rFonts w:cstheme="minorHAnsi"/>
          <w:color w:val="000000" w:themeColor="text1"/>
          <w:sz w:val="24"/>
          <w:szCs w:val="24"/>
        </w:rPr>
        <w:t>,</w:t>
      </w:r>
      <w:r w:rsidRPr="00375799">
        <w:rPr>
          <w:rFonts w:cstheme="minorHAnsi"/>
          <w:color w:val="000000" w:themeColor="text1"/>
          <w:sz w:val="24"/>
          <w:szCs w:val="24"/>
        </w:rPr>
        <w:t xml:space="preserve"> że k.p.c. w sposób całościowy reguluje zasady nadzoru sprawowanego przez sąd nad komornikiem, co odpowiada wymogom art. 23 ust. 2 </w:t>
      </w:r>
      <w:r w:rsidR="007728F2">
        <w:rPr>
          <w:rFonts w:cstheme="minorHAnsi"/>
          <w:color w:val="000000" w:themeColor="text1"/>
          <w:sz w:val="24"/>
          <w:szCs w:val="24"/>
        </w:rPr>
        <w:t>RODO</w:t>
      </w:r>
      <w:r w:rsidRPr="00375799">
        <w:rPr>
          <w:rFonts w:cstheme="minorHAnsi"/>
          <w:color w:val="000000" w:themeColor="text1"/>
          <w:sz w:val="24"/>
          <w:szCs w:val="24"/>
        </w:rPr>
        <w:t xml:space="preserve">. Nadzór sprawowany przez sąd w trybie art. 759 § 2 k.p.c. i art. 767 k.p.c. nie jest ograniczony przedmiotowo ani podmiotowo. Zgodnie z tym przepisem skarga może dotyczyć każdego działania lub zaniechania komornika, a złożyć ją może nie tylko strona, lecz również inna osoba, której prawa zostały przez czynności lub zaniechanie komornika naruszone bądź zagrożone. Co istotne, na mocy art. 4 ust. 3 ustawy z dnia 22 marca 2018 r. o komornikach sądowych możliwość wniesienia skargi na czynność komornika została rozszerzona na czynności komornika niebędące czynnościami prowadzonymi w ramach postępowania cywilnego, takie jak doręczenie korespondencji i sporządzenie protokołu stanu faktycznego. </w:t>
      </w:r>
    </w:p>
    <w:p w14:paraId="7598699B" w14:textId="77777777"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 przyjęciem proponowanej w ust. 4 konstrukcji przemawia szereg ważkich argumentów natury prawnej. Ma ona przede wszystkim na celu wyeliminowanie sytuacji, w której oceny działań komornika podejmował się jednocześnie sąd i organ administracji publicznej właściwy do ochrony danych osobowych. W zakresie decydowania o czynnościach komornika sąd powszechny ma bowiem pełną autonomię, a do czynności podejmowanych w ramach postępowania nadzorczego nie mają zastosowania art. 95 i art. 96 ustawy z dnia 10 </w:t>
      </w:r>
      <w:r w:rsidRPr="00375799">
        <w:rPr>
          <w:rFonts w:cstheme="minorHAnsi"/>
          <w:color w:val="000000" w:themeColor="text1"/>
          <w:sz w:val="24"/>
          <w:szCs w:val="24"/>
        </w:rPr>
        <w:lastRenderedPageBreak/>
        <w:t xml:space="preserve">maja 2018 r. o ochronie danych osobowych. Nadzór judykacyjny nie mieści się bowiem w dyspozycji przepisu art. 92 tej ustawy. W razie braku wyraźnego zastrzeżenia, że korzystanie z prawa do ograniczenia przetwarzania danych odbywa się wyłącznie w granicach przewidzianych przez k.p.c. mogłoby dojść do sytuacji, w której zainteresowany zaskarżyłby zaniechanie komornika zarówno na podstawie przepisów o ochronie danych osobowych, jak i przepisów k.p.c. W konsekwencji zaś istniałoby ryzyko podjęcia na gruncie tej samej sprawy dwóch wykluczających się rozstrzygnięć. Mogłoby również dojść do poddania jednego rozstrzygnięcia jednoczesnej kontroli sądu powszechnego i sądu administracyjnego. Nie bez znaczenia jest też okoliczność, że zakres przetwarzanych przez komornika danych jest nierzadko bardzo szeroki i w ramach jednego postępowania gromadzone są wrażliwe informacje dotyczące wielu podmiotów. Stosownie zaś do art. 20 ust. 1 </w:t>
      </w:r>
      <w:proofErr w:type="spellStart"/>
      <w:r w:rsidRPr="00375799">
        <w:rPr>
          <w:rFonts w:cstheme="minorHAnsi"/>
          <w:color w:val="000000" w:themeColor="text1"/>
          <w:sz w:val="24"/>
          <w:szCs w:val="24"/>
        </w:rPr>
        <w:t>u.k.s.e</w:t>
      </w:r>
      <w:proofErr w:type="spellEnd"/>
      <w:r w:rsidRPr="00375799">
        <w:rPr>
          <w:rFonts w:cstheme="minorHAnsi"/>
          <w:color w:val="000000" w:themeColor="text1"/>
          <w:sz w:val="24"/>
          <w:szCs w:val="24"/>
        </w:rPr>
        <w:t xml:space="preserve">. komornik jest obowiązany zachować w tajemnicy okoliczności sprawy, o których powziął wiadomość ze względu na wykonywane czynności. </w:t>
      </w:r>
    </w:p>
    <w:p w14:paraId="73184715" w14:textId="364DA392" w:rsidR="001257D0"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Niezależnie od powyższego należy zauważyć, że pełne stosowanie art. 18 </w:t>
      </w:r>
      <w:r w:rsidR="007728F2">
        <w:rPr>
          <w:rFonts w:cstheme="minorHAnsi"/>
          <w:color w:val="000000" w:themeColor="text1"/>
          <w:sz w:val="24"/>
          <w:szCs w:val="24"/>
        </w:rPr>
        <w:t>RODO</w:t>
      </w:r>
      <w:r w:rsidRPr="00375799">
        <w:rPr>
          <w:rFonts w:cstheme="minorHAnsi"/>
          <w:color w:val="000000" w:themeColor="text1"/>
          <w:sz w:val="24"/>
          <w:szCs w:val="24"/>
        </w:rPr>
        <w:t xml:space="preserve"> nie daje się pogodzić z samą istotą prowadzonych przez komornika postępowań. Jest tak, gdyż komornik jako organ władzy publicznej działa na podstawie i w granicach prawa, a zasady tego postępowania określają przede wszystkim przepisy k.p.c. Przepisy k.p.c. określają przy tym również zasady, cele i granice przetwarzania danych dotyczących osób zaangażowanych w toczące się postępowanie. W tym zakresie k.p.c. odpowiada wymogom art. 23 ust. 2 </w:t>
      </w:r>
      <w:r w:rsidR="0075056A" w:rsidRPr="00375799">
        <w:rPr>
          <w:rFonts w:cstheme="minorHAnsi"/>
          <w:color w:val="000000" w:themeColor="text1"/>
          <w:sz w:val="24"/>
          <w:szCs w:val="24"/>
        </w:rPr>
        <w:t>RODO</w:t>
      </w:r>
      <w:r w:rsidRPr="00375799">
        <w:rPr>
          <w:rFonts w:cstheme="minorHAnsi"/>
          <w:color w:val="000000" w:themeColor="text1"/>
          <w:sz w:val="24"/>
          <w:szCs w:val="24"/>
        </w:rPr>
        <w:t xml:space="preserve">. Jedynym zaś organem kompetentnym do dokonywania ustaleń czy działania komornika naruszają wymienione przepisy jest sąd powszechny sprawujący nadzór judykacyjny nad komornikiem. Należy przy tym pamiętać, że większość podejmowanych przez komornika czynności ma charakter przymusowy oraz ma na celu uniemożliwienie podejmowania przez strony prowadzonych postępowań takich działań, które uniemożliwiałyby szybkie i efektywne dokonywanie czynności. Przyznanie dłużnikowi lub osobom trzecim zbyt szerokich uprawnień mogłoby poważnie utrudnić realizację celów związanych z egzekucją roszczeń cywilnoprawnych. Tym samym, dla uniknięcia ryzyka sparaliżowania działań komornika poprzez nadużywanie uprawnień przewidzianych w art. 18 </w:t>
      </w:r>
      <w:r w:rsidR="0075056A" w:rsidRPr="00375799">
        <w:rPr>
          <w:rFonts w:cstheme="minorHAnsi"/>
          <w:color w:val="000000" w:themeColor="text1"/>
          <w:sz w:val="24"/>
          <w:szCs w:val="24"/>
        </w:rPr>
        <w:t>RODO</w:t>
      </w:r>
      <w:r w:rsidRPr="00375799">
        <w:rPr>
          <w:rFonts w:cstheme="minorHAnsi"/>
          <w:color w:val="000000" w:themeColor="text1"/>
          <w:sz w:val="24"/>
          <w:szCs w:val="24"/>
        </w:rPr>
        <w:t xml:space="preserve">, konieczne jest ograniczenie możliwości korzystania z tych uprawnień przez ten przepis gwarantowanych do form przewidzianych przez ustawę procesową. W odniesieniu zaś do pozostałych przypisanych komornikowi ustawowo zadań realizuje on je w sposób ściśle związany z funkcjonowaniem wymiaru sprawiedliwości, co również uzasadnia zastosowanie omawianych wyłączeń, stosownie do art. 23 ust. 1 lit. f </w:t>
      </w:r>
      <w:r w:rsidR="0075056A"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056BE080" w14:textId="1FDDC338" w:rsidR="008706DD" w:rsidRPr="00375799" w:rsidRDefault="001257D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projekcie świadomie odstąpiono od regulacji wyłączeń w stosowaniu art. 21 </w:t>
      </w:r>
      <w:r w:rsidR="0075056A" w:rsidRPr="00375799">
        <w:rPr>
          <w:rFonts w:cstheme="minorHAnsi"/>
          <w:color w:val="000000" w:themeColor="text1"/>
          <w:sz w:val="24"/>
          <w:szCs w:val="24"/>
        </w:rPr>
        <w:t xml:space="preserve">RODO </w:t>
      </w:r>
      <w:r w:rsidRPr="00375799">
        <w:rPr>
          <w:rFonts w:cstheme="minorHAnsi"/>
          <w:color w:val="000000" w:themeColor="text1"/>
          <w:sz w:val="24"/>
          <w:szCs w:val="24"/>
        </w:rPr>
        <w:t>z uwagi na fakt, że podstawą działań podejmowanych przez komorników nie jest art. 6 ust. 1 lit. e, lecz lit. c. Komornicy podejmując czynności realizują bowiem obowiązek prawny wynikający z orzeczenia sądu, a jego źródłem jest w przeważającej większości przypadków nakaz wynikający z treści klauzuli wykonalności. Komornik nie ma zresztą prawa odmówić podjęcia czynności lub przeprowadzenia postępowania, do których jest właściwy (art. 8 ust. 4 ustawy).</w:t>
      </w:r>
    </w:p>
    <w:p w14:paraId="16904952" w14:textId="77777777" w:rsidR="00077AB4" w:rsidRPr="00375799" w:rsidRDefault="00077AB4" w:rsidP="0055107B">
      <w:pPr>
        <w:spacing w:after="0" w:line="276" w:lineRule="auto"/>
        <w:ind w:left="57" w:right="57"/>
        <w:contextualSpacing/>
        <w:jc w:val="both"/>
        <w:rPr>
          <w:rFonts w:cstheme="minorHAnsi"/>
          <w:color w:val="000000" w:themeColor="text1"/>
          <w:sz w:val="24"/>
          <w:szCs w:val="24"/>
        </w:rPr>
      </w:pPr>
    </w:p>
    <w:p w14:paraId="385998D2" w14:textId="31BE9D26"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46" w:name="_Toc530565019"/>
      <w:r w:rsidRPr="00375799">
        <w:rPr>
          <w:rFonts w:asciiTheme="minorHAnsi" w:hAnsiTheme="minorHAnsi" w:cstheme="minorHAnsi"/>
          <w:color w:val="000000" w:themeColor="text1"/>
          <w:sz w:val="24"/>
          <w:szCs w:val="24"/>
        </w:rPr>
        <w:lastRenderedPageBreak/>
        <w:t xml:space="preserve">Ustawa z dnia 29 sierpnia 1997 r. </w:t>
      </w:r>
      <w:r w:rsidR="00CF7B15">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Ordynacja podatkowa</w:t>
      </w:r>
      <w:r w:rsidR="005D4EE9" w:rsidRPr="00375799">
        <w:rPr>
          <w:rFonts w:asciiTheme="minorHAnsi" w:hAnsiTheme="minorHAnsi" w:cstheme="minorHAnsi"/>
          <w:color w:val="000000" w:themeColor="text1"/>
          <w:sz w:val="24"/>
          <w:szCs w:val="24"/>
        </w:rPr>
        <w:t xml:space="preserve"> (Dz. U. z 2018 r. poz. 800, 650, 723, 771, 1000, 1039</w:t>
      </w:r>
      <w:r w:rsidR="00343546">
        <w:rPr>
          <w:rFonts w:asciiTheme="minorHAnsi" w:hAnsiTheme="minorHAnsi" w:cstheme="minorHAnsi"/>
          <w:color w:val="000000" w:themeColor="text1"/>
          <w:sz w:val="24"/>
          <w:szCs w:val="24"/>
        </w:rPr>
        <w:t>,</w:t>
      </w:r>
      <w:r w:rsidR="005D4EE9" w:rsidRPr="00375799">
        <w:rPr>
          <w:rFonts w:asciiTheme="minorHAnsi" w:hAnsiTheme="minorHAnsi" w:cstheme="minorHAnsi"/>
          <w:color w:val="000000" w:themeColor="text1"/>
          <w:sz w:val="24"/>
          <w:szCs w:val="24"/>
        </w:rPr>
        <w:t xml:space="preserve"> 1075</w:t>
      </w:r>
      <w:r w:rsidR="00343546">
        <w:rPr>
          <w:rFonts w:asciiTheme="minorHAnsi" w:hAnsiTheme="minorHAnsi" w:cstheme="minorHAnsi"/>
          <w:color w:val="000000" w:themeColor="text1"/>
          <w:sz w:val="24"/>
          <w:szCs w:val="24"/>
        </w:rPr>
        <w:t xml:space="preserve">, </w:t>
      </w:r>
      <w:r w:rsidR="00343546" w:rsidRPr="00343546">
        <w:rPr>
          <w:rFonts w:asciiTheme="minorHAnsi" w:hAnsiTheme="minorHAnsi" w:cstheme="minorHAnsi"/>
          <w:color w:val="000000" w:themeColor="text1"/>
          <w:sz w:val="24"/>
          <w:szCs w:val="24"/>
        </w:rPr>
        <w:t>1499</w:t>
      </w:r>
      <w:r w:rsidR="00431995" w:rsidRPr="00343546">
        <w:rPr>
          <w:rFonts w:asciiTheme="minorHAnsi" w:hAnsiTheme="minorHAnsi" w:cstheme="minorHAnsi"/>
          <w:color w:val="000000" w:themeColor="text1"/>
          <w:sz w:val="24"/>
          <w:szCs w:val="24"/>
        </w:rPr>
        <w:t>,</w:t>
      </w:r>
      <w:r w:rsidR="00431995">
        <w:rPr>
          <w:rFonts w:asciiTheme="minorHAnsi" w:hAnsiTheme="minorHAnsi" w:cstheme="minorHAnsi"/>
          <w:color w:val="000000" w:themeColor="text1"/>
          <w:sz w:val="24"/>
          <w:szCs w:val="24"/>
        </w:rPr>
        <w:t xml:space="preserve"> 1540, </w:t>
      </w:r>
      <w:r w:rsidR="00F05192">
        <w:rPr>
          <w:rFonts w:asciiTheme="minorHAnsi" w:hAnsiTheme="minorHAnsi" w:cstheme="minorHAnsi"/>
          <w:color w:val="000000" w:themeColor="text1"/>
          <w:sz w:val="24"/>
          <w:szCs w:val="24"/>
        </w:rPr>
        <w:t xml:space="preserve">1544, </w:t>
      </w:r>
      <w:r w:rsidR="00431995">
        <w:rPr>
          <w:rFonts w:asciiTheme="minorHAnsi" w:hAnsiTheme="minorHAnsi" w:cstheme="minorHAnsi"/>
          <w:color w:val="000000" w:themeColor="text1"/>
          <w:sz w:val="24"/>
          <w:szCs w:val="24"/>
        </w:rPr>
        <w:t xml:space="preserve">1629, </w:t>
      </w:r>
      <w:r w:rsidR="00343546" w:rsidRPr="00343546">
        <w:rPr>
          <w:rFonts w:asciiTheme="minorHAnsi" w:hAnsiTheme="minorHAnsi" w:cstheme="minorHAnsi"/>
          <w:color w:val="000000" w:themeColor="text1"/>
          <w:sz w:val="24"/>
          <w:szCs w:val="24"/>
        </w:rPr>
        <w:t>1693</w:t>
      </w:r>
      <w:r w:rsidR="00431995">
        <w:rPr>
          <w:rFonts w:asciiTheme="minorHAnsi" w:hAnsiTheme="minorHAnsi" w:cstheme="minorHAnsi"/>
          <w:color w:val="000000" w:themeColor="text1"/>
          <w:sz w:val="24"/>
          <w:szCs w:val="24"/>
        </w:rPr>
        <w:t xml:space="preserve"> i 2126</w:t>
      </w:r>
      <w:r w:rsidR="005D4EE9" w:rsidRPr="00375799">
        <w:rPr>
          <w:rFonts w:asciiTheme="minorHAnsi" w:hAnsiTheme="minorHAnsi" w:cstheme="minorHAnsi"/>
          <w:color w:val="000000" w:themeColor="text1"/>
          <w:sz w:val="24"/>
          <w:szCs w:val="24"/>
        </w:rPr>
        <w:t>)</w:t>
      </w:r>
      <w:bookmarkEnd w:id="46"/>
    </w:p>
    <w:p w14:paraId="60487572"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0397F055" w14:textId="7C97810B"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I. Obowiązki organów podatkowych w zakresie ochrony danych osobowych</w:t>
      </w:r>
      <w:r w:rsidR="007728F2">
        <w:rPr>
          <w:rFonts w:eastAsia="Times New Roman" w:cstheme="minorHAnsi"/>
          <w:bCs/>
          <w:color w:val="000000" w:themeColor="text1"/>
          <w:sz w:val="24"/>
          <w:szCs w:val="24"/>
          <w:lang w:eastAsia="pl-PL"/>
        </w:rPr>
        <w:t>.</w:t>
      </w:r>
    </w:p>
    <w:p w14:paraId="76EB8F1E" w14:textId="1EFEDDA7"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color w:val="000000" w:themeColor="text1"/>
          <w:sz w:val="24"/>
          <w:szCs w:val="24"/>
          <w:u w:val="single"/>
          <w:lang w:eastAsia="pl-PL"/>
        </w:rPr>
      </w:pPr>
      <w:r w:rsidRPr="00375799">
        <w:rPr>
          <w:rFonts w:eastAsia="Times New Roman" w:cstheme="minorHAnsi"/>
          <w:bCs/>
          <w:color w:val="000000" w:themeColor="text1"/>
          <w:sz w:val="24"/>
          <w:szCs w:val="24"/>
          <w:lang w:eastAsia="pl-PL"/>
        </w:rPr>
        <w:t xml:space="preserve">Dane osobowe zawarte w aktach spraw podatkowych są przetwarzane w celu wykonywania kompetencji organów podatkowych określonych w art. 13 </w:t>
      </w:r>
      <w:r w:rsidR="007728F2">
        <w:rPr>
          <w:rFonts w:eastAsia="Times New Roman" w:cstheme="minorHAnsi"/>
          <w:bCs/>
          <w:color w:val="000000" w:themeColor="text1"/>
          <w:sz w:val="24"/>
          <w:szCs w:val="24"/>
          <w:lang w:eastAsia="pl-PL"/>
        </w:rPr>
        <w:t>ustawy z dnia 29 sierpnia 1997 r. – Ordynacja po</w:t>
      </w:r>
      <w:r w:rsidR="004C6263">
        <w:rPr>
          <w:rFonts w:eastAsia="Times New Roman" w:cstheme="minorHAnsi"/>
          <w:bCs/>
          <w:color w:val="000000" w:themeColor="text1"/>
          <w:sz w:val="24"/>
          <w:szCs w:val="24"/>
          <w:lang w:eastAsia="pl-PL"/>
        </w:rPr>
        <w:t>datkowa, zwanej dalej „Ordynacją</w:t>
      </w:r>
      <w:r w:rsidR="007728F2">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 Wszystkie czynności podejmowane przez organy podatkowe w ramach swoich kompetencji mają oparcie w przepisach prawa podatkowego. Zgodnie z zasadą legalizmu wyrażoną w art. 120 Ordynacji organy podatkowe działają na podstawie przepisów prawa. Istnieje zatem ustawowe umocowanie do przetwarzania danych osobowych przez organy podatkowe. Podejmując czynności w ramach swoich ustawowych kompetencji</w:t>
      </w:r>
      <w:r w:rsidR="005C5F18">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 xml:space="preserve"> organy podatkowe wchodzą w posiadanie danych osobowych. Przetwarzanie danych osobowych przez te organy jest niezbędne do wykonywania zadań realizowanych w interesie publicznym oraz w ramach sprawowania powierzonej im władzy publicznej. </w:t>
      </w:r>
    </w:p>
    <w:p w14:paraId="45DE727A" w14:textId="77777777" w:rsidR="005D4EE9" w:rsidRPr="00375799" w:rsidRDefault="005D4EE9" w:rsidP="0055107B">
      <w:pPr>
        <w:spacing w:before="120" w:after="0" w:line="276" w:lineRule="auto"/>
        <w:ind w:left="20" w:right="4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Zakres danych chronionych tajemnicą skarbową określa art. 293 Ordynacji podatkowej. Tajemnicą skarbową objęte są indywidualne dane zawarte w deklaracji oraz innych dokumentach składanych przez podatników, płatników lub inkasentów oraz dane zawarte w:</w:t>
      </w:r>
    </w:p>
    <w:p w14:paraId="01DA807A" w14:textId="77777777" w:rsidR="005D4EE9" w:rsidRPr="00375799" w:rsidRDefault="005D4EE9" w:rsidP="0055107B">
      <w:pPr>
        <w:tabs>
          <w:tab w:val="left" w:pos="715"/>
        </w:tabs>
        <w:spacing w:before="120" w:after="0" w:line="276" w:lineRule="auto"/>
        <w:ind w:right="4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informacjach podatkowych przekazywanych organom podatkowym przez inne podmioty;</w:t>
      </w:r>
    </w:p>
    <w:p w14:paraId="367F66BE" w14:textId="77777777" w:rsidR="005D4EE9" w:rsidRPr="00375799" w:rsidRDefault="005D4EE9" w:rsidP="0055107B">
      <w:pPr>
        <w:tabs>
          <w:tab w:val="left" w:pos="710"/>
        </w:tabs>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aktach dokumentujących czynności sprawdzające;</w:t>
      </w:r>
    </w:p>
    <w:p w14:paraId="50955720" w14:textId="77777777" w:rsidR="005D4EE9" w:rsidRPr="00375799" w:rsidRDefault="005D4EE9" w:rsidP="0055107B">
      <w:pPr>
        <w:tabs>
          <w:tab w:val="left" w:pos="710"/>
        </w:tabs>
        <w:spacing w:before="120" w:after="0" w:line="276" w:lineRule="auto"/>
        <w:ind w:right="4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aktach postępowania podatkowego, kontroli podatkowej, kontroli celno-skarbowej oraz aktach postępowania w sprawach o przestępstwa skarbowe lub wykroczenia skarbowe;</w:t>
      </w:r>
    </w:p>
    <w:p w14:paraId="0C3C37C7" w14:textId="77777777" w:rsidR="005D4EE9" w:rsidRPr="00375799" w:rsidRDefault="005D4EE9" w:rsidP="0055107B">
      <w:pPr>
        <w:tabs>
          <w:tab w:val="left" w:pos="706"/>
        </w:tabs>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dokumentacji rachunkowej organu podatkowego;</w:t>
      </w:r>
    </w:p>
    <w:p w14:paraId="7D3475E7" w14:textId="77777777" w:rsidR="005D4EE9" w:rsidRPr="00375799" w:rsidRDefault="005D4EE9" w:rsidP="0055107B">
      <w:pPr>
        <w:tabs>
          <w:tab w:val="left" w:pos="706"/>
        </w:tabs>
        <w:spacing w:before="120" w:after="0" w:line="276" w:lineRule="auto"/>
        <w:ind w:right="4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informacjach uzyskanych przez organy Krajowej Administracji Skarbowej z banków oraz z innych źródeł;</w:t>
      </w:r>
    </w:p>
    <w:p w14:paraId="609C09FD" w14:textId="6120EEEE" w:rsidR="005D4EE9" w:rsidRPr="00375799" w:rsidRDefault="005D4EE9" w:rsidP="0055107B">
      <w:pPr>
        <w:tabs>
          <w:tab w:val="left" w:pos="715"/>
        </w:tabs>
        <w:spacing w:before="120" w:after="0" w:line="276" w:lineRule="auto"/>
        <w:ind w:right="4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informacjach uzyskanych w toku postępowania w sprawie zawarcia porozumień, o których mowa w dziale IIA O</w:t>
      </w:r>
      <w:r w:rsidR="007728F2">
        <w:rPr>
          <w:rFonts w:eastAsia="Times New Roman" w:cstheme="minorHAnsi"/>
          <w:color w:val="000000" w:themeColor="text1"/>
          <w:sz w:val="24"/>
          <w:szCs w:val="24"/>
          <w:lang w:eastAsia="pl-PL"/>
        </w:rPr>
        <w:t>rdynacji</w:t>
      </w:r>
      <w:r w:rsidRPr="00375799">
        <w:rPr>
          <w:rFonts w:eastAsia="Times New Roman" w:cstheme="minorHAnsi"/>
          <w:color w:val="000000" w:themeColor="text1"/>
          <w:sz w:val="24"/>
          <w:szCs w:val="24"/>
          <w:lang w:eastAsia="pl-PL"/>
        </w:rPr>
        <w:t>;</w:t>
      </w:r>
    </w:p>
    <w:p w14:paraId="5D381E7A" w14:textId="77777777" w:rsidR="005D4EE9" w:rsidRPr="00375799" w:rsidRDefault="005D4EE9" w:rsidP="0055107B">
      <w:pPr>
        <w:tabs>
          <w:tab w:val="left" w:pos="706"/>
        </w:tabs>
        <w:spacing w:before="120" w:after="0" w:line="276" w:lineRule="auto"/>
        <w:ind w:right="4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aktach dokumentujących kontrolę, o której mowa w rozdziale 9 działu III ustawy z dnia 9 marca 2017 r. o wymianie informacji podatkowych z innymi państwami;</w:t>
      </w:r>
    </w:p>
    <w:p w14:paraId="4CF619EB" w14:textId="477B1D11" w:rsidR="005D4EE9" w:rsidRPr="00375799" w:rsidRDefault="005D4EE9" w:rsidP="0055107B">
      <w:pPr>
        <w:tabs>
          <w:tab w:val="left" w:pos="710"/>
        </w:tabs>
        <w:spacing w:before="120" w:after="0" w:line="276" w:lineRule="auto"/>
        <w:ind w:right="4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informacjach o wynikach analizy ryzyka, o której mowa w art. 119zn § 1 O</w:t>
      </w:r>
      <w:r w:rsidR="007728F2">
        <w:rPr>
          <w:rFonts w:eastAsia="Times New Roman" w:cstheme="minorHAnsi"/>
          <w:color w:val="000000" w:themeColor="text1"/>
          <w:sz w:val="24"/>
          <w:szCs w:val="24"/>
          <w:lang w:eastAsia="pl-PL"/>
        </w:rPr>
        <w:t>rdynacji</w:t>
      </w:r>
      <w:r w:rsidRPr="00375799">
        <w:rPr>
          <w:rFonts w:eastAsia="Times New Roman" w:cstheme="minorHAnsi"/>
          <w:color w:val="000000" w:themeColor="text1"/>
          <w:sz w:val="24"/>
          <w:szCs w:val="24"/>
          <w:lang w:eastAsia="pl-PL"/>
        </w:rPr>
        <w:t>, oraz innych informacjach i dokumentach, o których mowa w dziale IIIB tej ustawy.</w:t>
      </w:r>
    </w:p>
    <w:p w14:paraId="184D1FEB" w14:textId="1E9EC764" w:rsidR="005D4EE9" w:rsidRPr="00375799" w:rsidRDefault="005D4EE9" w:rsidP="0055107B">
      <w:pPr>
        <w:spacing w:before="120" w:after="0" w:line="276" w:lineRule="auto"/>
        <w:ind w:left="20"/>
        <w:contextualSpacing/>
        <w:jc w:val="both"/>
        <w:rPr>
          <w:rFonts w:eastAsia="Cambria" w:cstheme="minorHAnsi"/>
          <w:color w:val="000000" w:themeColor="text1"/>
          <w:sz w:val="24"/>
          <w:szCs w:val="24"/>
        </w:rPr>
      </w:pPr>
      <w:r w:rsidRPr="00375799">
        <w:rPr>
          <w:rFonts w:eastAsia="Times New Roman" w:cstheme="minorHAnsi"/>
          <w:color w:val="000000" w:themeColor="text1"/>
          <w:sz w:val="24"/>
          <w:szCs w:val="24"/>
          <w:lang w:eastAsia="pl-PL"/>
        </w:rPr>
        <w:t>Dane gromadzone przez organy podatkowe podlegają szczególnej ochronie tajemnicą skarbową (art. 293 Ordynacji). Przepis art. 294 Ordynacji wymienia enumeratywnie katalog osób obowiązanych do przestrzegania tajemnicy skarbowej oraz zobowiązuje do przestrzegania tej tajemnicy również inne osoby, którym udostępniono informacje objęte tą tajemnicą. Dane objęte tajemnicą skarbową mogą być udostępniane przez organy podatkowe tylko ściśle określonym podmiotom i w ściśle określonym celu, w przypadkach i na zasadach określonych w Ordynacji oraz odrębnych ustawach.</w:t>
      </w:r>
      <w:r w:rsidRPr="00375799">
        <w:rPr>
          <w:rFonts w:eastAsia="Cambria" w:cstheme="minorHAnsi"/>
          <w:color w:val="000000" w:themeColor="text1"/>
          <w:sz w:val="24"/>
          <w:szCs w:val="24"/>
        </w:rPr>
        <w:t xml:space="preserve"> </w:t>
      </w:r>
    </w:p>
    <w:p w14:paraId="61CE4227" w14:textId="32E8A530" w:rsidR="005D4EE9" w:rsidRPr="00375799" w:rsidRDefault="005D4EE9" w:rsidP="0055107B">
      <w:pPr>
        <w:spacing w:before="120" w:after="0" w:line="276" w:lineRule="auto"/>
        <w:ind w:left="2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lastRenderedPageBreak/>
        <w:t>Ujawnienie informacji objętych tajemnicą skarbową jest penalizowane karą pozbawienia wolności (art. 306 Ordynacji).</w:t>
      </w:r>
    </w:p>
    <w:p w14:paraId="40CCAC75" w14:textId="2215FDC7" w:rsidR="005D4EE9" w:rsidRPr="00375799" w:rsidRDefault="005D4EE9" w:rsidP="0055107B">
      <w:pPr>
        <w:spacing w:before="120" w:after="0" w:line="276" w:lineRule="auto"/>
        <w:ind w:left="2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Administratorami danych objętych tajemnicą skarbową są organy podatkowe enumeratywnie wymienione w art. 13 Ordynacji.</w:t>
      </w:r>
    </w:p>
    <w:p w14:paraId="0700D9A0" w14:textId="40B57EE1" w:rsidR="005D4EE9" w:rsidRPr="00375799" w:rsidRDefault="005D4EE9" w:rsidP="0055107B">
      <w:pPr>
        <w:spacing w:before="120" w:after="0" w:line="276" w:lineRule="auto"/>
        <w:ind w:left="2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Administratorem danych podatników, płatników, inkasentów, ich następców prawnych oraz osób trzecich korzystających z portalu podatkowego jest minister właściwy do spraw finansów publicznych (art. 14 § 4 Ordynacji).</w:t>
      </w:r>
    </w:p>
    <w:p w14:paraId="46A98FCA" w14:textId="0DD15170" w:rsidR="005D4EE9" w:rsidRPr="00375799" w:rsidRDefault="005D4EE9" w:rsidP="0055107B">
      <w:pPr>
        <w:spacing w:before="120" w:after="0" w:line="276" w:lineRule="auto"/>
        <w:ind w:left="2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Okres przechowywania danych osobowych zawartych w aktach spraw podatkowych wynika z instrukcji kancelaryjnych określanych w przepisach wykonawczych wydanych na podstawie art. 6 ustawy z dnia 14 lipca 1983 r. o narodowym zasobie archiwalnym i archiwach. Okres przechowywania akt spraw podatkowych wynosi najczęściej 10 lat i zasadniczo jest liczony od dnia 1 stycznia roku następującego po roku, w którym zakończono sprawę.</w:t>
      </w:r>
    </w:p>
    <w:p w14:paraId="71FE08DA" w14:textId="322DE50B" w:rsidR="005D4EE9" w:rsidRPr="00375799" w:rsidRDefault="005D4EE9" w:rsidP="0055107B">
      <w:pPr>
        <w:spacing w:before="120" w:after="0" w:line="276" w:lineRule="auto"/>
        <w:ind w:left="2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xml:space="preserve">Dane osobowe objęte tajemnicą skarbową dotyczą ogromnej liczby podmiotów (podatników, płatników, inkasentów, kontrahentów podatników, następców prawnych, osób trzecich). Informowanie o przyjętych ograniczeniach każdej osoby, której dane są przetwarzane, byłoby z jednej strony trudne do zrealizowania, a z drugiej strony </w:t>
      </w:r>
      <w:r w:rsidR="000C6EF8">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 niezasadne, skoro wszystkie działania organów podatkowych muszą mieć oparcie w przepisach prawa i są podejmowane w celu wykonywania władztwa </w:t>
      </w:r>
      <w:proofErr w:type="spellStart"/>
      <w:r w:rsidRPr="00375799">
        <w:rPr>
          <w:rFonts w:eastAsia="Times New Roman" w:cstheme="minorHAnsi"/>
          <w:color w:val="000000" w:themeColor="text1"/>
          <w:sz w:val="24"/>
          <w:szCs w:val="24"/>
          <w:lang w:eastAsia="pl-PL"/>
        </w:rPr>
        <w:t>daninowego</w:t>
      </w:r>
      <w:proofErr w:type="spellEnd"/>
      <w:r w:rsidRPr="00375799">
        <w:rPr>
          <w:rFonts w:eastAsia="Times New Roman" w:cstheme="minorHAnsi"/>
          <w:color w:val="000000" w:themeColor="text1"/>
          <w:sz w:val="24"/>
          <w:szCs w:val="24"/>
          <w:lang w:eastAsia="pl-PL"/>
        </w:rPr>
        <w:t>.</w:t>
      </w:r>
    </w:p>
    <w:p w14:paraId="39A6968C" w14:textId="1F745E45"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Dodawany art. 1a § 1 Ordynacji służy uzupełnieniu określenia przedmiotu ustawy</w:t>
      </w:r>
      <w:r w:rsidR="00343546">
        <w:rPr>
          <w:rFonts w:eastAsia="Times New Roman" w:cstheme="minorHAnsi"/>
          <w:bCs/>
          <w:color w:val="000000" w:themeColor="text1"/>
          <w:sz w:val="24"/>
          <w:szCs w:val="24"/>
          <w:lang w:eastAsia="pl-PL"/>
        </w:rPr>
        <w:t xml:space="preserve"> </w:t>
      </w:r>
      <w:r w:rsidRPr="00375799">
        <w:rPr>
          <w:rFonts w:eastAsia="Times New Roman" w:cstheme="minorHAnsi"/>
          <w:bCs/>
          <w:color w:val="000000" w:themeColor="text1"/>
          <w:sz w:val="24"/>
          <w:szCs w:val="24"/>
          <w:lang w:eastAsia="pl-PL"/>
        </w:rPr>
        <w:t>o sposób wykonywania przez organy podatkowe obowiązku informacyjnego, o który</w:t>
      </w:r>
      <w:r w:rsidR="000C6EF8">
        <w:rPr>
          <w:rFonts w:eastAsia="Times New Roman" w:cstheme="minorHAnsi"/>
          <w:bCs/>
          <w:color w:val="000000" w:themeColor="text1"/>
          <w:sz w:val="24"/>
          <w:szCs w:val="24"/>
          <w:lang w:eastAsia="pl-PL"/>
        </w:rPr>
        <w:t>m</w:t>
      </w:r>
      <w:r w:rsidRPr="00375799">
        <w:rPr>
          <w:rFonts w:eastAsia="Times New Roman" w:cstheme="minorHAnsi"/>
          <w:bCs/>
          <w:color w:val="000000" w:themeColor="text1"/>
          <w:sz w:val="24"/>
          <w:szCs w:val="24"/>
          <w:lang w:eastAsia="pl-PL"/>
        </w:rPr>
        <w:t xml:space="preserve"> mowa w art. 13 ust. 1 i 2 </w:t>
      </w:r>
      <w:r w:rsidR="00F93DA0" w:rsidRPr="00375799">
        <w:rPr>
          <w:rFonts w:eastAsia="Times New Roman" w:cstheme="minorHAnsi"/>
          <w:bCs/>
          <w:color w:val="000000" w:themeColor="text1"/>
          <w:sz w:val="24"/>
          <w:szCs w:val="24"/>
          <w:lang w:eastAsia="pl-PL"/>
        </w:rPr>
        <w:t>RODO</w:t>
      </w:r>
      <w:r w:rsidRPr="00375799">
        <w:rPr>
          <w:rFonts w:eastAsia="Times New Roman" w:cstheme="minorHAnsi"/>
          <w:bCs/>
          <w:color w:val="000000" w:themeColor="text1"/>
          <w:sz w:val="24"/>
          <w:szCs w:val="24"/>
          <w:lang w:eastAsia="pl-PL"/>
        </w:rPr>
        <w:t xml:space="preserve">. Przepis art. 1a § 2 tej ustawy ma na celu wskazanie, że wykonywanie wymienionego obowiązku informacyjnego odbywa się niezależnie od obowiązków organów podatkowych przewidzianych w ustawie oraz nie wpływa na tok i wynik procedur podatkowych. Dodawany art. 1a Ordynacji stanowi przeniesienie na grunt procedur podatkowych regulacji zawartej w projektowanym art. 2a Kodeksu postępowania administracyjnego. </w:t>
      </w:r>
    </w:p>
    <w:p w14:paraId="46EA3C5F" w14:textId="091DA4DB"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 xml:space="preserve">Zmiany proponowane w przepisach art. 159 § 1b, art. 165 § 9, art. 165a § 1, art. 170 § 1a, art. 171 § 1 i art. 306aa Ordynacji, analogicznie jak w przypadku zmian w Kodeksie postępowania administracyjnego, mają na celu określenie sytuacji, w których organy podatkowe będą zobowiązane przekazywać informacje, o których mowa w art. 13 ust. 1 i 2 </w:t>
      </w:r>
      <w:r w:rsidR="00F93DA0" w:rsidRPr="00375799">
        <w:rPr>
          <w:rFonts w:eastAsia="Times New Roman" w:cstheme="minorHAnsi"/>
          <w:bCs/>
          <w:color w:val="000000" w:themeColor="text1"/>
          <w:sz w:val="24"/>
          <w:szCs w:val="24"/>
          <w:lang w:eastAsia="pl-PL"/>
        </w:rPr>
        <w:t>RODO</w:t>
      </w:r>
      <w:r w:rsidRPr="00375799">
        <w:rPr>
          <w:rFonts w:eastAsia="Times New Roman" w:cstheme="minorHAnsi"/>
          <w:bCs/>
          <w:color w:val="000000" w:themeColor="text1"/>
          <w:sz w:val="24"/>
          <w:szCs w:val="24"/>
          <w:lang w:eastAsia="pl-PL"/>
        </w:rPr>
        <w:t xml:space="preserve">. Z kolei celem dodania art. 179a Ordynacji (odpowiednik projektowanego art. 74a Kodeksu postępowania administracyjnego) jest wskazanie, że prawo wglądu strony w akta sprawy nie narusza prawa osoby, której dane dotyczą, do skorzystania z uprawnień wynikających z art. 15 </w:t>
      </w:r>
      <w:r w:rsidR="00F93DA0" w:rsidRPr="00375799">
        <w:rPr>
          <w:rFonts w:eastAsia="Times New Roman" w:cstheme="minorHAnsi"/>
          <w:bCs/>
          <w:color w:val="000000" w:themeColor="text1"/>
          <w:sz w:val="24"/>
          <w:szCs w:val="24"/>
          <w:lang w:eastAsia="pl-PL"/>
        </w:rPr>
        <w:t>RODO</w:t>
      </w:r>
      <w:r w:rsidRPr="00375799">
        <w:rPr>
          <w:rFonts w:eastAsia="Times New Roman" w:cstheme="minorHAnsi"/>
          <w:bCs/>
          <w:color w:val="000000" w:themeColor="text1"/>
          <w:sz w:val="24"/>
          <w:szCs w:val="24"/>
          <w:lang w:eastAsia="pl-PL"/>
        </w:rPr>
        <w:t xml:space="preserve">. </w:t>
      </w:r>
    </w:p>
    <w:p w14:paraId="231AD53E" w14:textId="21CB4CE5"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Cambria" w:cstheme="minorHAnsi"/>
          <w:color w:val="000000" w:themeColor="text1"/>
          <w:sz w:val="24"/>
          <w:szCs w:val="24"/>
        </w:rPr>
        <w:t xml:space="preserve">Dodanie pkt 9 w art. 283 § 2 </w:t>
      </w:r>
      <w:r w:rsidR="007728F2">
        <w:rPr>
          <w:rFonts w:eastAsia="Cambria" w:cstheme="minorHAnsi"/>
          <w:color w:val="000000" w:themeColor="text1"/>
          <w:sz w:val="24"/>
          <w:szCs w:val="24"/>
        </w:rPr>
        <w:t xml:space="preserve">Ordynacji </w:t>
      </w:r>
      <w:r w:rsidRPr="00375799">
        <w:rPr>
          <w:rFonts w:eastAsia="Cambria" w:cstheme="minorHAnsi"/>
          <w:color w:val="000000" w:themeColor="text1"/>
          <w:sz w:val="24"/>
          <w:szCs w:val="24"/>
        </w:rPr>
        <w:t xml:space="preserve">wynika z potrzeby określenia sposobu realizacji przez organy podatkowe obowiązku przekazywania informacji, o których mowa w art. 13 ust. 1 i 2 </w:t>
      </w:r>
      <w:r w:rsidR="00F93DA0" w:rsidRPr="00375799">
        <w:rPr>
          <w:rFonts w:eastAsia="Times New Roman" w:cstheme="minorHAnsi"/>
          <w:bCs/>
          <w:color w:val="000000" w:themeColor="text1"/>
          <w:sz w:val="24"/>
          <w:szCs w:val="24"/>
          <w:lang w:eastAsia="pl-PL"/>
        </w:rPr>
        <w:t>RODO</w:t>
      </w:r>
      <w:r w:rsidR="000C6EF8">
        <w:rPr>
          <w:rFonts w:eastAsia="Times New Roman" w:cstheme="minorHAnsi"/>
          <w:bCs/>
          <w:color w:val="000000" w:themeColor="text1"/>
          <w:sz w:val="24"/>
          <w:szCs w:val="24"/>
          <w:lang w:eastAsia="pl-PL"/>
        </w:rPr>
        <w:t>,</w:t>
      </w:r>
      <w:r w:rsidRPr="00375799">
        <w:rPr>
          <w:rFonts w:eastAsia="Cambria" w:cstheme="minorHAnsi"/>
          <w:color w:val="000000" w:themeColor="text1"/>
          <w:sz w:val="24"/>
          <w:szCs w:val="24"/>
        </w:rPr>
        <w:t xml:space="preserve"> w razie wszczęcia kontroli podatkowej.</w:t>
      </w:r>
    </w:p>
    <w:p w14:paraId="57735F00" w14:textId="514A1D14"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 xml:space="preserve">II. Zmiany w przepisach działu IIIB  Ordynacji (art. 119zn § 2 i 5).  </w:t>
      </w:r>
    </w:p>
    <w:p w14:paraId="001054AD" w14:textId="1AF7E0DD"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1. Na mocy art. 119zn § 1 Ordynacj</w:t>
      </w:r>
      <w:r w:rsidR="007728F2">
        <w:rPr>
          <w:rFonts w:eastAsia="Times New Roman" w:cstheme="minorHAnsi"/>
          <w:bCs/>
          <w:color w:val="000000" w:themeColor="text1"/>
          <w:sz w:val="24"/>
          <w:szCs w:val="24"/>
          <w:lang w:eastAsia="pl-PL"/>
        </w:rPr>
        <w:t>i</w:t>
      </w:r>
      <w:r w:rsidRPr="00375799">
        <w:rPr>
          <w:rFonts w:eastAsia="Times New Roman" w:cstheme="minorHAnsi"/>
          <w:bCs/>
          <w:color w:val="000000" w:themeColor="text1"/>
          <w:sz w:val="24"/>
          <w:szCs w:val="24"/>
          <w:lang w:eastAsia="pl-PL"/>
        </w:rPr>
        <w:t xml:space="preserve"> organem, który dokonuje analizy ryzyka i stosuje środki prawne wymienione w dziale IIIB tej ustawy</w:t>
      </w:r>
      <w:r w:rsidR="007728F2">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 xml:space="preserve"> jest Szef Krajowej Administracji Skarbowej</w:t>
      </w:r>
      <w:r w:rsidR="000C6EF8">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 xml:space="preserve"> zwany dalej „Szefem KAS”. Kompetencje Szefa KAS zasadniczo są normowane w ustawie o </w:t>
      </w:r>
      <w:r w:rsidRPr="00375799">
        <w:rPr>
          <w:rFonts w:eastAsia="Times New Roman" w:cstheme="minorHAnsi"/>
          <w:bCs/>
          <w:color w:val="000000" w:themeColor="text1"/>
          <w:sz w:val="24"/>
          <w:szCs w:val="24"/>
          <w:lang w:eastAsia="pl-PL"/>
        </w:rPr>
        <w:lastRenderedPageBreak/>
        <w:t xml:space="preserve">Krajowej Administracji Skarbowej. Ogólne regulacje dotyczące stosowania przepisów o ochronie danych osobowych zawarte w ustawie o Krajowej Administracji Skarbowej, a wprowadzone niniejszą ustawą, będą mieć więc zastosowanie także do Szefa KAS (np. art. 34a, art. 47a-47d ustawy o Krajowej Administracji Skarbowej). </w:t>
      </w:r>
    </w:p>
    <w:p w14:paraId="0D8D23E1" w14:textId="0EE061ED"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2. Obowiązki określone w dziale IIIB Ordynacji</w:t>
      </w:r>
      <w:r w:rsidR="007728F2">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 xml:space="preserve"> nałożone na podmioty, które przetwarzają dane osobowe (np. Szef KAS, izba rozliczeniowa, banki i spółdzielcze kasy oszczędnościowo-kredytowe)</w:t>
      </w:r>
      <w:r w:rsidR="007728F2">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 xml:space="preserve"> są wykonywane w ramach zadań publicznych. Z przepisów działu IIIB Ordynacji wynika, że celem tych przepisów jest zapobieganie wykorzystywania działalności banków i spółdzielczych kas oszczędnościowo-kredytowych do celów mających związek z wyłudzeniami skarbowymi. W tym przypadku izba rozliczeniowa oraz banki i spółdzielcze kasy oszczędnościowo-kredytowe, które nie są organami władzy publicznej, na podstawie przepisów działu IIIB O</w:t>
      </w:r>
      <w:r w:rsidR="007728F2">
        <w:rPr>
          <w:rFonts w:eastAsia="Times New Roman" w:cstheme="minorHAnsi"/>
          <w:bCs/>
          <w:color w:val="000000" w:themeColor="text1"/>
          <w:sz w:val="24"/>
          <w:szCs w:val="24"/>
          <w:lang w:eastAsia="pl-PL"/>
        </w:rPr>
        <w:t>rdynacji</w:t>
      </w:r>
      <w:r w:rsidRPr="00375799">
        <w:rPr>
          <w:rFonts w:eastAsia="Times New Roman" w:cstheme="minorHAnsi"/>
          <w:bCs/>
          <w:color w:val="000000" w:themeColor="text1"/>
          <w:sz w:val="24"/>
          <w:szCs w:val="24"/>
          <w:lang w:eastAsia="pl-PL"/>
        </w:rPr>
        <w:t xml:space="preserve"> realizują zadania publiczne. Zgodnie z art. 23 </w:t>
      </w:r>
      <w:r w:rsidR="00D1659E">
        <w:rPr>
          <w:rFonts w:eastAsia="Times New Roman" w:cstheme="minorHAnsi"/>
          <w:bCs/>
          <w:color w:val="000000" w:themeColor="text1"/>
          <w:sz w:val="24"/>
          <w:szCs w:val="24"/>
          <w:lang w:eastAsia="pl-PL"/>
        </w:rPr>
        <w:t>RODO</w:t>
      </w:r>
      <w:r w:rsidRPr="00375799">
        <w:rPr>
          <w:rFonts w:eastAsia="Times New Roman" w:cstheme="minorHAnsi"/>
          <w:bCs/>
          <w:color w:val="000000" w:themeColor="text1"/>
          <w:sz w:val="24"/>
          <w:szCs w:val="24"/>
          <w:lang w:eastAsia="pl-PL"/>
        </w:rPr>
        <w:t xml:space="preserve"> realizacja celu publicznego może uzasadniać wyłączenie stosowania przepisów tego rozporządzenia wymienionych w art. 23. Ogólne wyłączenia zostały zawarte w art. 3</w:t>
      </w:r>
      <w:r w:rsidR="000C6EF8">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5 ustawy o ochronie danych osobowych. Wyłączenia te mają zastosowanie do podmiotów wykonujących zadania publiczne, w tym także do podmiotów prywatnych realizujących takie zadania. Wyłączenia zawarte w art. 3</w:t>
      </w:r>
      <w:r w:rsidR="000C6EF8">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 xml:space="preserve">5 ww. ustawy mają zastosowanie w przypadku spełnienia warunków określonych w art. 23 ust. 2 </w:t>
      </w:r>
      <w:r w:rsidR="007728F2">
        <w:rPr>
          <w:rFonts w:eastAsia="Times New Roman" w:cstheme="minorHAnsi"/>
          <w:bCs/>
          <w:color w:val="000000" w:themeColor="text1"/>
          <w:sz w:val="24"/>
          <w:szCs w:val="24"/>
          <w:lang w:eastAsia="pl-PL"/>
        </w:rPr>
        <w:t>RODO</w:t>
      </w:r>
      <w:r w:rsidRPr="00375799">
        <w:rPr>
          <w:rFonts w:eastAsia="Times New Roman" w:cstheme="minorHAnsi"/>
          <w:bCs/>
          <w:color w:val="000000" w:themeColor="text1"/>
          <w:sz w:val="24"/>
          <w:szCs w:val="24"/>
          <w:lang w:eastAsia="pl-PL"/>
        </w:rPr>
        <w:t>. W odniesieniu do podmiotów przetwarzających dane osobowe na podstawie przepisów działu IIIB O</w:t>
      </w:r>
      <w:r w:rsidR="007728F2">
        <w:rPr>
          <w:rFonts w:eastAsia="Times New Roman" w:cstheme="minorHAnsi"/>
          <w:bCs/>
          <w:color w:val="000000" w:themeColor="text1"/>
          <w:sz w:val="24"/>
          <w:szCs w:val="24"/>
          <w:lang w:eastAsia="pl-PL"/>
        </w:rPr>
        <w:t>rdynacji</w:t>
      </w:r>
      <w:r w:rsidRPr="00375799">
        <w:rPr>
          <w:rFonts w:eastAsia="Times New Roman" w:cstheme="minorHAnsi"/>
          <w:bCs/>
          <w:color w:val="000000" w:themeColor="text1"/>
          <w:sz w:val="24"/>
          <w:szCs w:val="24"/>
          <w:lang w:eastAsia="pl-PL"/>
        </w:rPr>
        <w:t xml:space="preserve"> (np. izba rozliczeniowa, banki i spółdzielcze kasy oszczędnościowo-kredytowe) warunki te zostały spełnione. </w:t>
      </w:r>
    </w:p>
    <w:p w14:paraId="7AA61699" w14:textId="0DD9D7B4"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 xml:space="preserve">3. </w:t>
      </w:r>
      <w:bookmarkStart w:id="47" w:name="bookmark0"/>
      <w:r w:rsidRPr="00375799">
        <w:rPr>
          <w:rFonts w:eastAsia="Times New Roman" w:cstheme="minorHAnsi"/>
          <w:bCs/>
          <w:color w:val="000000" w:themeColor="text1"/>
          <w:sz w:val="24"/>
          <w:szCs w:val="24"/>
          <w:lang w:eastAsia="pl-PL"/>
        </w:rPr>
        <w:t xml:space="preserve">Spełnienie przesłanek z art. 23 ust. 2 </w:t>
      </w:r>
      <w:bookmarkEnd w:id="47"/>
      <w:r w:rsidR="00F93DA0" w:rsidRPr="00375799">
        <w:rPr>
          <w:rFonts w:eastAsia="Times New Roman" w:cstheme="minorHAnsi"/>
          <w:bCs/>
          <w:color w:val="000000" w:themeColor="text1"/>
          <w:sz w:val="24"/>
          <w:szCs w:val="24"/>
          <w:lang w:eastAsia="pl-PL"/>
        </w:rPr>
        <w:t>RODO</w:t>
      </w:r>
      <w:r w:rsidR="007728F2">
        <w:rPr>
          <w:rFonts w:eastAsia="Times New Roman" w:cstheme="minorHAnsi"/>
          <w:bCs/>
          <w:color w:val="000000" w:themeColor="text1"/>
          <w:sz w:val="24"/>
          <w:szCs w:val="24"/>
          <w:lang w:eastAsia="pl-PL"/>
        </w:rPr>
        <w:t>.</w:t>
      </w:r>
    </w:p>
    <w:p w14:paraId="50BDEB5A" w14:textId="7934CCF5"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a) Cel przetwarzania</w:t>
      </w:r>
      <w:r w:rsidR="007728F2">
        <w:rPr>
          <w:rFonts w:eastAsia="Times New Roman" w:cstheme="minorHAnsi"/>
          <w:bCs/>
          <w:color w:val="000000" w:themeColor="text1"/>
          <w:sz w:val="24"/>
          <w:szCs w:val="24"/>
          <w:lang w:eastAsia="pl-PL"/>
        </w:rPr>
        <w:t>.</w:t>
      </w:r>
    </w:p>
    <w:p w14:paraId="20FAC891" w14:textId="51197AB8"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 xml:space="preserve">Cel przetwarzania jest ściśle związany z celem analizy ryzyka dokonywanej przez Szefa KAS na podstawie art. 119zn § 1 Ordynacji. Celem analizy ryzyka jest przeciwdziałanie wykorzystywaniu sektora finansowego do celów mających związek z wyłudzeniami skarbowymi. Przetwarzanie danych osobowych jest niezbędne do realizacji tego zadania. </w:t>
      </w:r>
    </w:p>
    <w:p w14:paraId="4FED3998" w14:textId="791C8653"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 xml:space="preserve">Pojęcie wyłudzeń skarbowych zostało zdefiniowane w art. 119zg pkt 9 Ordynacji. Definicja obejmuje zamknięty katalog przestępstw skarbowych przeciwko obowiązkom podatkowym (lit. a) oraz przestępstw najczęściej z nimi związanych (lit. b i c). Katalog nie obejmuje wykroczeń skarbowych. Intencją ustawodawcy jest, aby przetwarzanie danych służyło zapobieganiu wykorzystywania sektora finansowego do popełniania najpoważniejszych przestępstw skarbowych i ściśle określonych przestępstw z nimi związanych. </w:t>
      </w:r>
    </w:p>
    <w:p w14:paraId="5AC74AAB" w14:textId="12F27810"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b) Kategorie danych osobowych</w:t>
      </w:r>
      <w:r w:rsidR="00D1659E">
        <w:rPr>
          <w:rFonts w:eastAsia="Times New Roman" w:cstheme="minorHAnsi"/>
          <w:bCs/>
          <w:color w:val="000000" w:themeColor="text1"/>
          <w:sz w:val="24"/>
          <w:szCs w:val="24"/>
          <w:lang w:eastAsia="pl-PL"/>
        </w:rPr>
        <w:t>.</w:t>
      </w:r>
    </w:p>
    <w:p w14:paraId="2A8862C8" w14:textId="21DBA385"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Kategorie przetwarzanych danych osobowych wynikają wprost z przepisów działu IIIB Ordynacji oraz z przepisów przejściowych ustawy z dnia 24 listopada 2017 r. o zmianie niektórych ustaw w celu przeciwdziałania wykorzystywaniu sektora finansowego do wyłudzeń skarbowych (Dz. U. poz. 2491).</w:t>
      </w:r>
      <w:r w:rsidR="00476B2E">
        <w:rPr>
          <w:rFonts w:eastAsia="Times New Roman" w:cstheme="minorHAnsi"/>
          <w:bCs/>
          <w:color w:val="000000" w:themeColor="text1"/>
          <w:sz w:val="24"/>
          <w:szCs w:val="24"/>
          <w:lang w:eastAsia="pl-PL"/>
        </w:rPr>
        <w:t xml:space="preserve"> </w:t>
      </w:r>
    </w:p>
    <w:p w14:paraId="4D425245" w14:textId="7AF4BD6C"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c) Zakres wprowadzonych ograniczeń</w:t>
      </w:r>
      <w:r w:rsidR="00D1659E">
        <w:rPr>
          <w:rFonts w:eastAsia="Times New Roman" w:cstheme="minorHAnsi"/>
          <w:bCs/>
          <w:color w:val="000000" w:themeColor="text1"/>
          <w:sz w:val="24"/>
          <w:szCs w:val="24"/>
          <w:lang w:eastAsia="pl-PL"/>
        </w:rPr>
        <w:t>.</w:t>
      </w:r>
    </w:p>
    <w:p w14:paraId="79497C69" w14:textId="77777777" w:rsidR="00476B2E"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Zakres wprowadzonych ogólnych ograniczeń wynika z art. 3</w:t>
      </w:r>
      <w:r w:rsidR="000C6EF8">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 xml:space="preserve">5 ustawy o ochronie danych osobowych. Ograniczenia dotyczą stosowania art. 13 ust. 3, art. 14 ust. 1, 2 i 4 oraz </w:t>
      </w:r>
    </w:p>
    <w:p w14:paraId="045B0314" w14:textId="0DCE1996" w:rsidR="005D4EE9" w:rsidRPr="00375799" w:rsidRDefault="00476B2E"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Pr>
          <w:rFonts w:eastAsia="Times New Roman" w:cstheme="minorHAnsi"/>
          <w:bCs/>
          <w:color w:val="000000" w:themeColor="text1"/>
          <w:sz w:val="24"/>
          <w:szCs w:val="24"/>
          <w:lang w:eastAsia="pl-PL"/>
        </w:rPr>
        <w:t>art. </w:t>
      </w:r>
      <w:r w:rsidR="005D4EE9" w:rsidRPr="00375799">
        <w:rPr>
          <w:rFonts w:eastAsia="Times New Roman" w:cstheme="minorHAnsi"/>
          <w:bCs/>
          <w:color w:val="000000" w:themeColor="text1"/>
          <w:sz w:val="24"/>
          <w:szCs w:val="24"/>
          <w:lang w:eastAsia="pl-PL"/>
        </w:rPr>
        <w:t xml:space="preserve">15 </w:t>
      </w:r>
      <w:r w:rsidR="005D4EE9" w:rsidRPr="00375799">
        <w:rPr>
          <w:rFonts w:eastAsia="Times New Roman" w:cstheme="minorHAnsi"/>
          <w:bCs/>
          <w:color w:val="000000" w:themeColor="text1"/>
          <w:sz w:val="24"/>
          <w:szCs w:val="24"/>
          <w:lang w:eastAsia="pl-PL"/>
        </w:rPr>
        <w:lastRenderedPageBreak/>
        <w:t>ust. 1</w:t>
      </w:r>
      <w:r w:rsidR="000C6EF8">
        <w:rPr>
          <w:rFonts w:eastAsia="Times New Roman" w:cstheme="minorHAnsi"/>
          <w:bCs/>
          <w:color w:val="000000" w:themeColor="text1"/>
          <w:sz w:val="24"/>
          <w:szCs w:val="24"/>
          <w:lang w:eastAsia="pl-PL"/>
        </w:rPr>
        <w:t>–</w:t>
      </w:r>
      <w:r w:rsidR="005D4EE9" w:rsidRPr="00375799">
        <w:rPr>
          <w:rFonts w:eastAsia="Times New Roman" w:cstheme="minorHAnsi"/>
          <w:bCs/>
          <w:color w:val="000000" w:themeColor="text1"/>
          <w:sz w:val="24"/>
          <w:szCs w:val="24"/>
          <w:lang w:eastAsia="pl-PL"/>
        </w:rPr>
        <w:t xml:space="preserve">3 </w:t>
      </w:r>
      <w:r w:rsidR="00F93DA0" w:rsidRPr="00375799">
        <w:rPr>
          <w:rFonts w:eastAsia="Times New Roman" w:cstheme="minorHAnsi"/>
          <w:bCs/>
          <w:color w:val="000000" w:themeColor="text1"/>
          <w:sz w:val="24"/>
          <w:szCs w:val="24"/>
          <w:lang w:eastAsia="pl-PL"/>
        </w:rPr>
        <w:t>RODO</w:t>
      </w:r>
      <w:r w:rsidR="005D4EE9" w:rsidRPr="00375799">
        <w:rPr>
          <w:rFonts w:eastAsia="Times New Roman" w:cstheme="minorHAnsi"/>
          <w:bCs/>
          <w:color w:val="000000" w:themeColor="text1"/>
          <w:sz w:val="24"/>
          <w:szCs w:val="24"/>
          <w:lang w:eastAsia="pl-PL"/>
        </w:rPr>
        <w:t xml:space="preserve">. Wskazane ograniczenia są środkiem niezbędnym oraz proporcjonalnym, służącym ważnemu interesowi publicznemu wymienionemu w art. 23 ust. </w:t>
      </w:r>
      <w:r w:rsidR="00D1659E">
        <w:rPr>
          <w:rFonts w:eastAsia="Times New Roman" w:cstheme="minorHAnsi"/>
          <w:bCs/>
          <w:color w:val="000000" w:themeColor="text1"/>
          <w:sz w:val="24"/>
          <w:szCs w:val="24"/>
          <w:lang w:eastAsia="pl-PL"/>
        </w:rPr>
        <w:t>1</w:t>
      </w:r>
      <w:r w:rsidR="005D4EE9" w:rsidRPr="00375799">
        <w:rPr>
          <w:rFonts w:eastAsia="Times New Roman" w:cstheme="minorHAnsi"/>
          <w:bCs/>
          <w:color w:val="000000" w:themeColor="text1"/>
          <w:sz w:val="24"/>
          <w:szCs w:val="24"/>
          <w:lang w:eastAsia="pl-PL"/>
        </w:rPr>
        <w:t xml:space="preserve"> lit. e </w:t>
      </w:r>
      <w:r w:rsidR="00F93DA0" w:rsidRPr="00375799">
        <w:rPr>
          <w:rFonts w:eastAsia="Times New Roman" w:cstheme="minorHAnsi"/>
          <w:bCs/>
          <w:color w:val="000000" w:themeColor="text1"/>
          <w:sz w:val="24"/>
          <w:szCs w:val="24"/>
          <w:lang w:eastAsia="pl-PL"/>
        </w:rPr>
        <w:t>RODO</w:t>
      </w:r>
      <w:r w:rsidR="005D4EE9" w:rsidRPr="00375799">
        <w:rPr>
          <w:rFonts w:eastAsia="Times New Roman" w:cstheme="minorHAnsi"/>
          <w:bCs/>
          <w:color w:val="000000" w:themeColor="text1"/>
          <w:sz w:val="24"/>
          <w:szCs w:val="24"/>
          <w:lang w:eastAsia="pl-PL"/>
        </w:rPr>
        <w:t xml:space="preserve">. </w:t>
      </w:r>
    </w:p>
    <w:p w14:paraId="3291B9DC" w14:textId="52972811" w:rsidR="005D4EE9" w:rsidRPr="00375799" w:rsidRDefault="005D4EE9" w:rsidP="0055107B">
      <w:pPr>
        <w:suppressAutoHyphens/>
        <w:autoSpaceDE w:val="0"/>
        <w:autoSpaceDN w:val="0"/>
        <w:adjustRightInd w:val="0"/>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d) Zabezpieczenia zapobiegające nadużyciom oraz niezgodnemu z prawem dostępowi lub przekazywaniu</w:t>
      </w:r>
      <w:r w:rsidR="00D1659E">
        <w:rPr>
          <w:rFonts w:eastAsia="Times New Roman" w:cstheme="minorHAnsi"/>
          <w:bCs/>
          <w:color w:val="000000" w:themeColor="text1"/>
          <w:sz w:val="24"/>
          <w:szCs w:val="24"/>
          <w:lang w:eastAsia="pl-PL"/>
        </w:rPr>
        <w:t>.</w:t>
      </w:r>
    </w:p>
    <w:p w14:paraId="1B93EB1D" w14:textId="77777777" w:rsidR="005D4EE9" w:rsidRPr="00375799" w:rsidRDefault="005D4EE9" w:rsidP="0055107B">
      <w:pPr>
        <w:tabs>
          <w:tab w:val="left" w:pos="250"/>
        </w:tabs>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xml:space="preserve">Na każdym etapie przetwarzania dane będą zabezpieczone przez podmioty uprawnione do przetwarzania danych oraz zabezpieczone przed nieuprawnionym dostępem i ujawnieniem. </w:t>
      </w:r>
    </w:p>
    <w:p w14:paraId="14AF883C" w14:textId="1E8CA5A8" w:rsidR="005D4EE9" w:rsidRPr="00375799" w:rsidRDefault="005D4EE9" w:rsidP="0055107B">
      <w:pPr>
        <w:tabs>
          <w:tab w:val="left" w:pos="250"/>
        </w:tabs>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da) Podkreślić należy, że banki i spółdzielcze kasy oszczędnościowe zbierają dane, przetwarzane następnie na podstawie przepisów działu IIIB O</w:t>
      </w:r>
      <w:r w:rsidR="00D1659E">
        <w:rPr>
          <w:rFonts w:eastAsia="Times New Roman" w:cstheme="minorHAnsi"/>
          <w:color w:val="000000" w:themeColor="text1"/>
          <w:sz w:val="24"/>
          <w:szCs w:val="24"/>
          <w:lang w:eastAsia="pl-PL"/>
        </w:rPr>
        <w:t>rdynacji</w:t>
      </w:r>
      <w:r w:rsidRPr="00375799">
        <w:rPr>
          <w:rFonts w:eastAsia="Times New Roman" w:cstheme="minorHAnsi"/>
          <w:color w:val="000000" w:themeColor="text1"/>
          <w:sz w:val="24"/>
          <w:szCs w:val="24"/>
          <w:lang w:eastAsia="pl-PL"/>
        </w:rPr>
        <w:t>, w związku z czynnościami wykonywanymi na podstawie ustaw regulujących ich działalność (ustawa z dnia 29 s</w:t>
      </w:r>
      <w:r w:rsidR="00476B2E">
        <w:rPr>
          <w:rFonts w:eastAsia="Times New Roman" w:cstheme="minorHAnsi"/>
          <w:color w:val="000000" w:themeColor="text1"/>
          <w:sz w:val="24"/>
          <w:szCs w:val="24"/>
          <w:lang w:eastAsia="pl-PL"/>
        </w:rPr>
        <w:t>ierpnia 1997 r. – Prawo bankowe</w:t>
      </w:r>
      <w:r w:rsidR="00D1659E">
        <w:rPr>
          <w:rFonts w:eastAsia="Times New Roman" w:cstheme="minorHAnsi"/>
          <w:color w:val="000000" w:themeColor="text1"/>
          <w:sz w:val="24"/>
          <w:szCs w:val="24"/>
          <w:lang w:eastAsia="pl-PL"/>
        </w:rPr>
        <w:t xml:space="preserve"> </w:t>
      </w:r>
      <w:r w:rsidRPr="00375799">
        <w:rPr>
          <w:rFonts w:eastAsia="Times New Roman" w:cstheme="minorHAnsi"/>
          <w:color w:val="000000" w:themeColor="text1"/>
          <w:sz w:val="24"/>
          <w:szCs w:val="24"/>
          <w:lang w:eastAsia="pl-PL"/>
        </w:rPr>
        <w:t>oraz ustawa z dnia 5 listopada 2009 r. o spółdzielczych kasach oszczędnościowo-kredytowych</w:t>
      </w:r>
      <w:r w:rsidR="00476B2E">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 Dane te są objęte odpowiednio tajemnicą bankową i tajemnicą zawodową SKOK i zabezpieczane w sposób wymagany przez te ustawy. </w:t>
      </w:r>
    </w:p>
    <w:p w14:paraId="2D0A3153" w14:textId="0CBC0771" w:rsidR="005D4EE9" w:rsidRPr="00375799" w:rsidRDefault="005D4EE9" w:rsidP="0055107B">
      <w:pPr>
        <w:tabs>
          <w:tab w:val="left" w:pos="250"/>
        </w:tabs>
        <w:spacing w:before="120" w:after="0" w:line="276" w:lineRule="auto"/>
        <w:contextualSpacing/>
        <w:jc w:val="both"/>
        <w:rPr>
          <w:rFonts w:eastAsia="Times New Roman" w:cstheme="minorHAnsi"/>
          <w:color w:val="000000" w:themeColor="text1"/>
          <w:sz w:val="24"/>
          <w:szCs w:val="24"/>
          <w:lang w:eastAsia="pl-PL"/>
        </w:rPr>
      </w:pPr>
      <w:proofErr w:type="spellStart"/>
      <w:r w:rsidRPr="00375799">
        <w:rPr>
          <w:rFonts w:eastAsia="Times New Roman" w:cstheme="minorHAnsi"/>
          <w:color w:val="000000" w:themeColor="text1"/>
          <w:sz w:val="24"/>
          <w:szCs w:val="24"/>
          <w:lang w:eastAsia="pl-PL"/>
        </w:rPr>
        <w:t>db</w:t>
      </w:r>
      <w:proofErr w:type="spellEnd"/>
      <w:r w:rsidRPr="00375799">
        <w:rPr>
          <w:rFonts w:eastAsia="Times New Roman" w:cstheme="minorHAnsi"/>
          <w:color w:val="000000" w:themeColor="text1"/>
          <w:sz w:val="24"/>
          <w:szCs w:val="24"/>
          <w:lang w:eastAsia="pl-PL"/>
        </w:rPr>
        <w:t xml:space="preserve">) Krajowa Izba Rozliczeniowa S.A. (dalej </w:t>
      </w:r>
      <w:r w:rsidR="00D1659E">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KIR</w:t>
      </w:r>
      <w:r w:rsidR="00D1659E">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 także zapewnia najwyższy poziom bezpieczeństwa tych danych. Zgodnie z profilem prowadzonej działalności KIR dostarcza usług rozliczeniowych o najwyższych parametrach w zakresie niezawodności i bezpieczeństwa. System teleinformatyczny izby rozliczeniowej (dalej </w:t>
      </w:r>
      <w:r w:rsidR="00D1659E">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STIR</w:t>
      </w:r>
      <w:r w:rsidR="00D1659E">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będzie posiadał niezbędny poziom zabezpieczeń, kontroli dostępu i autoryzacji oraz separację kanałów wymiany informacji. Zabezpieczenie i separacja STIR od środowiska dostępowego z banków i JAP będzie zapewniona na poziomie szyfrowanych i dedykowanych kanałów dostępowych:</w:t>
      </w:r>
    </w:p>
    <w:p w14:paraId="7B131A96" w14:textId="247626A3" w:rsidR="005D4EE9" w:rsidRPr="00375799" w:rsidRDefault="005D4EE9" w:rsidP="000F5261">
      <w:pPr>
        <w:pStyle w:val="Akapitzlist"/>
        <w:numPr>
          <w:ilvl w:val="0"/>
          <w:numId w:val="3"/>
        </w:numPr>
        <w:tabs>
          <w:tab w:val="left" w:pos="250"/>
        </w:tabs>
        <w:spacing w:before="120" w:after="0"/>
        <w:rPr>
          <w:rFonts w:asciiTheme="minorHAnsi" w:eastAsia="Times New Roman" w:hAnsiTheme="minorHAnsi" w:cstheme="minorHAnsi"/>
          <w:color w:val="000000" w:themeColor="text1"/>
          <w:sz w:val="24"/>
          <w:szCs w:val="24"/>
          <w:lang w:eastAsia="pl-PL"/>
        </w:rPr>
      </w:pPr>
      <w:r w:rsidRPr="00375799">
        <w:rPr>
          <w:rFonts w:asciiTheme="minorHAnsi" w:eastAsia="Times New Roman" w:hAnsiTheme="minorHAnsi" w:cstheme="minorHAnsi"/>
          <w:color w:val="000000" w:themeColor="text1"/>
          <w:sz w:val="24"/>
          <w:szCs w:val="24"/>
          <w:lang w:eastAsia="pl-PL"/>
        </w:rPr>
        <w:t>dedykowanych i separowanych oraz szyfrowanych kanałów wymiany informacji plikowej</w:t>
      </w:r>
      <w:r w:rsidR="00D1659E">
        <w:rPr>
          <w:rFonts w:asciiTheme="minorHAnsi" w:eastAsia="Times New Roman" w:hAnsiTheme="minorHAnsi" w:cstheme="minorHAnsi"/>
          <w:color w:val="000000" w:themeColor="text1"/>
          <w:sz w:val="24"/>
          <w:szCs w:val="24"/>
          <w:lang w:eastAsia="pl-PL"/>
        </w:rPr>
        <w:t>,</w:t>
      </w:r>
    </w:p>
    <w:p w14:paraId="26EFD9BD" w14:textId="63B4F19C" w:rsidR="005D4EE9" w:rsidRPr="00375799" w:rsidRDefault="005D4EE9" w:rsidP="000F5261">
      <w:pPr>
        <w:pStyle w:val="Akapitzlist"/>
        <w:numPr>
          <w:ilvl w:val="0"/>
          <w:numId w:val="3"/>
        </w:numPr>
        <w:tabs>
          <w:tab w:val="left" w:pos="250"/>
        </w:tabs>
        <w:spacing w:before="120" w:after="0"/>
        <w:rPr>
          <w:rFonts w:asciiTheme="minorHAnsi" w:eastAsia="Times New Roman" w:hAnsiTheme="minorHAnsi" w:cstheme="minorHAnsi"/>
          <w:color w:val="000000" w:themeColor="text1"/>
          <w:sz w:val="24"/>
          <w:szCs w:val="24"/>
          <w:lang w:eastAsia="pl-PL"/>
        </w:rPr>
      </w:pPr>
      <w:r w:rsidRPr="00375799">
        <w:rPr>
          <w:rFonts w:asciiTheme="minorHAnsi" w:eastAsia="Times New Roman" w:hAnsiTheme="minorHAnsi" w:cstheme="minorHAnsi"/>
          <w:color w:val="000000" w:themeColor="text1"/>
          <w:sz w:val="24"/>
          <w:szCs w:val="24"/>
          <w:lang w:eastAsia="pl-PL"/>
        </w:rPr>
        <w:t>dedykowanych dla banków i JAP kanałów on-line opart</w:t>
      </w:r>
      <w:r w:rsidR="00D1659E">
        <w:rPr>
          <w:rFonts w:asciiTheme="minorHAnsi" w:eastAsia="Times New Roman" w:hAnsiTheme="minorHAnsi" w:cstheme="minorHAnsi"/>
          <w:color w:val="000000" w:themeColor="text1"/>
          <w:sz w:val="24"/>
          <w:szCs w:val="24"/>
          <w:lang w:eastAsia="pl-PL"/>
        </w:rPr>
        <w:t>ych</w:t>
      </w:r>
      <w:r w:rsidRPr="00375799">
        <w:rPr>
          <w:rFonts w:asciiTheme="minorHAnsi" w:eastAsia="Times New Roman" w:hAnsiTheme="minorHAnsi" w:cstheme="minorHAnsi"/>
          <w:color w:val="000000" w:themeColor="text1"/>
          <w:sz w:val="24"/>
          <w:szCs w:val="24"/>
          <w:lang w:eastAsia="pl-PL"/>
        </w:rPr>
        <w:t xml:space="preserve"> o konta imienne i certyfikaty imienne.</w:t>
      </w:r>
    </w:p>
    <w:p w14:paraId="5A80FB34" w14:textId="2FA5E8EE" w:rsidR="005D4EE9" w:rsidRPr="00375799" w:rsidRDefault="005D4EE9" w:rsidP="0055107B">
      <w:pPr>
        <w:tabs>
          <w:tab w:val="left" w:pos="250"/>
        </w:tabs>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W izbie rozliczeniowej czynności związane z realizacją obowiązków tej izby wynikających z ustawy STIR, mogą być wykonywane wyłącznie przez jej upoważnionych pracowników (art. 119zi § 1 Ordynacji).</w:t>
      </w:r>
    </w:p>
    <w:p w14:paraId="2131E80A" w14:textId="40091C38" w:rsidR="005D4EE9" w:rsidRPr="00375799" w:rsidRDefault="005D4EE9" w:rsidP="0055107B">
      <w:pPr>
        <w:tabs>
          <w:tab w:val="left" w:pos="250"/>
        </w:tabs>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xml:space="preserve">Przepis art. 119zt Ordynacji wprowadza ograniczenia w udostępnianiu przez izbę rozliczeniową informacji i zestawień, o których mowa w art. 119zp § 1 i 119zq Ordynacji, które zawierają dane osobowe. Informacje te i zestawienia mogą być  udostępniane przez izbę rozliczeniową podmiotom innym niż Szef Krajowej Administracji Skarbowej wyłącznie na żądanie podmiotów enumeratywnie </w:t>
      </w:r>
      <w:r w:rsidR="000C6EF8" w:rsidRPr="00375799">
        <w:rPr>
          <w:rFonts w:eastAsia="Times New Roman" w:cstheme="minorHAnsi"/>
          <w:color w:val="000000" w:themeColor="text1"/>
          <w:sz w:val="24"/>
          <w:szCs w:val="24"/>
          <w:lang w:eastAsia="pl-PL"/>
        </w:rPr>
        <w:t>wymieniony</w:t>
      </w:r>
      <w:r w:rsidR="000C6EF8">
        <w:rPr>
          <w:rFonts w:eastAsia="Times New Roman" w:cstheme="minorHAnsi"/>
          <w:color w:val="000000" w:themeColor="text1"/>
          <w:sz w:val="24"/>
          <w:szCs w:val="24"/>
          <w:lang w:eastAsia="pl-PL"/>
        </w:rPr>
        <w:t>ch</w:t>
      </w:r>
      <w:r w:rsidR="000C6EF8" w:rsidRPr="00375799">
        <w:rPr>
          <w:rFonts w:eastAsia="Times New Roman" w:cstheme="minorHAnsi"/>
          <w:color w:val="000000" w:themeColor="text1"/>
          <w:sz w:val="24"/>
          <w:szCs w:val="24"/>
          <w:lang w:eastAsia="pl-PL"/>
        </w:rPr>
        <w:t xml:space="preserve"> </w:t>
      </w:r>
      <w:r w:rsidRPr="00375799">
        <w:rPr>
          <w:rFonts w:eastAsia="Times New Roman" w:cstheme="minorHAnsi"/>
          <w:color w:val="000000" w:themeColor="text1"/>
          <w:sz w:val="24"/>
          <w:szCs w:val="24"/>
          <w:lang w:eastAsia="pl-PL"/>
        </w:rPr>
        <w:t xml:space="preserve">w art. 119zt Ordynacji. </w:t>
      </w:r>
    </w:p>
    <w:p w14:paraId="129F7B90" w14:textId="2A436941" w:rsidR="005D4EE9" w:rsidRPr="00375799" w:rsidRDefault="005D4EE9" w:rsidP="0055107B">
      <w:pPr>
        <w:tabs>
          <w:tab w:val="left" w:pos="250"/>
        </w:tabs>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dc) Dane osobowe przesłane Szefowi KAS na podstawie przepisów działu IIIB Ordynacji oraz z przepisów przejściowych ustawy o zmianie niektórych ustaw w celu przeciwdziałania wykorzystywaniu sektora finansowego do wyłudzeń skarbowych stanowią tajemnicę skarbową (art. 293 § 2 pkt 8 Ordynacji). Udostępnienie tych danych jest ograniczone przez art. 297c Ordynacji.</w:t>
      </w:r>
    </w:p>
    <w:p w14:paraId="0B53F212" w14:textId="68FA309B" w:rsidR="005D4EE9" w:rsidRPr="00375799" w:rsidRDefault="005D4EE9" w:rsidP="0055107B">
      <w:pPr>
        <w:tabs>
          <w:tab w:val="left" w:pos="250"/>
        </w:tabs>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Ujawnienie danych osobowych przetwarzanych na podstawie przepisów działu IIIB O</w:t>
      </w:r>
      <w:r w:rsidR="00D1659E">
        <w:rPr>
          <w:rFonts w:eastAsia="Times New Roman" w:cstheme="minorHAnsi"/>
          <w:color w:val="000000" w:themeColor="text1"/>
          <w:sz w:val="24"/>
          <w:szCs w:val="24"/>
          <w:lang w:eastAsia="pl-PL"/>
        </w:rPr>
        <w:t>rdynacji</w:t>
      </w:r>
      <w:r w:rsidRPr="00375799">
        <w:rPr>
          <w:rFonts w:eastAsia="Times New Roman" w:cstheme="minorHAnsi"/>
          <w:color w:val="000000" w:themeColor="text1"/>
          <w:sz w:val="24"/>
          <w:szCs w:val="24"/>
          <w:lang w:eastAsia="pl-PL"/>
        </w:rPr>
        <w:t xml:space="preserve"> jest penalizowane karą pozbawienia wolności do lat 5 (art. 305r § 1 pkt 2</w:t>
      </w:r>
      <w:r w:rsidR="000C6EF8">
        <w:rPr>
          <w:rFonts w:eastAsia="Times New Roman" w:cstheme="minorHAnsi"/>
          <w:color w:val="000000" w:themeColor="text1"/>
          <w:sz w:val="24"/>
          <w:szCs w:val="24"/>
          <w:lang w:eastAsia="pl-PL"/>
        </w:rPr>
        <w:t>–</w:t>
      </w:r>
      <w:r w:rsidR="00E252D4">
        <w:rPr>
          <w:rFonts w:eastAsia="Times New Roman" w:cstheme="minorHAnsi"/>
          <w:color w:val="000000" w:themeColor="text1"/>
          <w:sz w:val="24"/>
          <w:szCs w:val="24"/>
          <w:lang w:eastAsia="pl-PL"/>
        </w:rPr>
        <w:t>4 Ordynacji).</w:t>
      </w:r>
    </w:p>
    <w:p w14:paraId="2E7A5D34" w14:textId="3CC4AB0C" w:rsidR="005D4EE9" w:rsidRPr="00375799" w:rsidRDefault="005D4EE9" w:rsidP="0055107B">
      <w:pPr>
        <w:tabs>
          <w:tab w:val="left" w:pos="250"/>
        </w:tabs>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lastRenderedPageBreak/>
        <w:t>e) Określenie administratora (kategorii administratorów)</w:t>
      </w:r>
      <w:r w:rsidR="00D1659E">
        <w:rPr>
          <w:rFonts w:eastAsia="Times New Roman" w:cstheme="minorHAnsi"/>
          <w:color w:val="000000" w:themeColor="text1"/>
          <w:sz w:val="24"/>
          <w:szCs w:val="24"/>
          <w:lang w:eastAsia="pl-PL"/>
        </w:rPr>
        <w:t>.</w:t>
      </w:r>
    </w:p>
    <w:p w14:paraId="2756645E" w14:textId="11B58758" w:rsidR="005D4EE9" w:rsidRPr="00375799" w:rsidRDefault="005D4EE9" w:rsidP="0055107B">
      <w:pPr>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xml:space="preserve">Zgodnie z art. 4 pkt 7 </w:t>
      </w:r>
      <w:r w:rsidR="00D1659E">
        <w:rPr>
          <w:rFonts w:eastAsia="Times New Roman" w:cstheme="minorHAnsi"/>
          <w:color w:val="000000" w:themeColor="text1"/>
          <w:sz w:val="24"/>
          <w:szCs w:val="24"/>
          <w:lang w:eastAsia="pl-PL"/>
        </w:rPr>
        <w:t>RODO</w:t>
      </w:r>
      <w:r w:rsidRPr="00375799">
        <w:rPr>
          <w:rFonts w:eastAsia="Times New Roman" w:cstheme="minorHAnsi"/>
          <w:color w:val="000000" w:themeColor="text1"/>
          <w:sz w:val="24"/>
          <w:szCs w:val="24"/>
          <w:lang w:eastAsia="pl-PL"/>
        </w:rPr>
        <w:t xml:space="preserve"> administratorem jest osoba fizyczna lub prawna, organ publiczny, jednostka lub inny podmiot, który samodzielnie lub wspólnie z innymi ustala cele i sposoby przetwarzania danych osobowych. Dane przesyłane Szefowi KAS na podstawie przepisów działu IIIB O</w:t>
      </w:r>
      <w:r w:rsidR="00D1659E">
        <w:rPr>
          <w:rFonts w:eastAsia="Times New Roman" w:cstheme="minorHAnsi"/>
          <w:color w:val="000000" w:themeColor="text1"/>
          <w:sz w:val="24"/>
          <w:szCs w:val="24"/>
          <w:lang w:eastAsia="pl-PL"/>
        </w:rPr>
        <w:t>rdynacji</w:t>
      </w:r>
      <w:r w:rsidRPr="00375799">
        <w:rPr>
          <w:rFonts w:eastAsia="Times New Roman" w:cstheme="minorHAnsi"/>
          <w:color w:val="000000" w:themeColor="text1"/>
          <w:sz w:val="24"/>
          <w:szCs w:val="24"/>
          <w:lang w:eastAsia="pl-PL"/>
        </w:rPr>
        <w:t xml:space="preserve"> są przechowywane w Centralnym Rejestrze Danych Podatkowych. Zgodnie z art. 35 ust. 2 ustawy o KAS administratorem danych zawartych w Centralnym Rejestrze Danych Podatkowych jest Szef KAS. </w:t>
      </w:r>
    </w:p>
    <w:p w14:paraId="385520C6" w14:textId="0DDEC115" w:rsidR="005D4EE9" w:rsidRPr="00375799" w:rsidRDefault="005D4EE9" w:rsidP="0055107B">
      <w:pPr>
        <w:spacing w:before="120" w:after="0" w:line="276" w:lineRule="auto"/>
        <w:contextualSpacing/>
        <w:jc w:val="both"/>
        <w:rPr>
          <w:rFonts w:eastAsia="Calibri" w:cstheme="minorHAnsi"/>
          <w:color w:val="000000" w:themeColor="text1"/>
          <w:sz w:val="24"/>
          <w:szCs w:val="24"/>
          <w:lang w:eastAsia="pl-PL"/>
        </w:rPr>
      </w:pPr>
      <w:r w:rsidRPr="00375799">
        <w:rPr>
          <w:rFonts w:eastAsia="Times New Roman" w:cstheme="minorHAnsi"/>
          <w:color w:val="000000" w:themeColor="text1"/>
          <w:sz w:val="24"/>
          <w:szCs w:val="24"/>
          <w:lang w:eastAsia="pl-PL"/>
        </w:rPr>
        <w:t>f) Okresy przechowywania oraz mające zastosowanie zabezpieczenia, z uwzględnieniem charakteru, zakresu i celów przetwarzania lub kategorii przetwarzania</w:t>
      </w:r>
      <w:r w:rsidR="00D1659E">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 </w:t>
      </w:r>
    </w:p>
    <w:p w14:paraId="34D70F5E" w14:textId="2687C4D7" w:rsidR="005D4EE9" w:rsidRPr="00375799" w:rsidRDefault="005D4EE9" w:rsidP="0055107B">
      <w:pPr>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Okresy przechowywania danych przetwarzanych na podstawie przepisów działu IIIB Ordynacji przez izbę rozliczeniową, banki i SKOK</w:t>
      </w:r>
      <w:r w:rsidR="00D1659E">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i oraz Szefa KAS są uregulowane w art. 119zu § 3 i 4 Ordynacji. Termin przechowywania danych wynosi 5 lat, licząc od pierwszego dnia roku następującego po roku, w którym wymienione podmioty otrzymały te dane (art. 119zu § 3 Ordynacji). Wyjątek dotyczy sytuacji, gdy po 5 latach nie upłynął jeszcze termin przedawnienia zobowiązania podatkowego, zwrotu podatku lub wyłudzenia skarbowego, w związku z którym przechowywane dane mogłyby stanowić dowód w postępowaniu. W takim przypadku dane te, mogą być przechowywane przez Szefa </w:t>
      </w:r>
      <w:r w:rsidR="00D1659E">
        <w:rPr>
          <w:rFonts w:eastAsia="Times New Roman" w:cstheme="minorHAnsi"/>
          <w:color w:val="000000" w:themeColor="text1"/>
          <w:sz w:val="24"/>
          <w:szCs w:val="24"/>
          <w:lang w:eastAsia="pl-PL"/>
        </w:rPr>
        <w:t>KAS</w:t>
      </w:r>
      <w:r w:rsidRPr="00375799">
        <w:rPr>
          <w:rFonts w:eastAsia="Times New Roman" w:cstheme="minorHAnsi"/>
          <w:color w:val="000000" w:themeColor="text1"/>
          <w:sz w:val="24"/>
          <w:szCs w:val="24"/>
          <w:lang w:eastAsia="pl-PL"/>
        </w:rPr>
        <w:t xml:space="preserve"> nie dłużej niż do upływu terminu przedawnienia (art. 119zu § 4 Ordynacji). </w:t>
      </w:r>
    </w:p>
    <w:p w14:paraId="39754EE8" w14:textId="76229872" w:rsidR="005D4EE9" w:rsidRPr="00375799" w:rsidRDefault="005D4EE9" w:rsidP="0055107B">
      <w:pPr>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Zabezpieczenia w przechowywaniu danych osobowych wynikają z odrębnych przepisów, w zależności od podmiotu</w:t>
      </w:r>
      <w:r w:rsidR="00D1659E">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 który przechowuje dane.</w:t>
      </w:r>
    </w:p>
    <w:p w14:paraId="6460F83D" w14:textId="283F52F0" w:rsidR="005D4EE9" w:rsidRPr="00375799" w:rsidRDefault="005D4EE9" w:rsidP="0055107B">
      <w:pPr>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g) Ryzyko naruszenia praw lub wolności osoby, której dane dotyczą</w:t>
      </w:r>
      <w:r w:rsidR="00D1659E">
        <w:rPr>
          <w:rFonts w:eastAsia="Times New Roman" w:cstheme="minorHAnsi"/>
          <w:color w:val="000000" w:themeColor="text1"/>
          <w:sz w:val="24"/>
          <w:szCs w:val="24"/>
          <w:lang w:eastAsia="pl-PL"/>
        </w:rPr>
        <w:t>.</w:t>
      </w:r>
    </w:p>
    <w:p w14:paraId="772033D1" w14:textId="73BF0849" w:rsidR="005D4EE9" w:rsidRPr="00375799" w:rsidRDefault="005D4EE9" w:rsidP="0055107B">
      <w:pPr>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xml:space="preserve">Przepisy działu IIIB Ordynacji oraz przepisy przejściowe ustawy o zmianie niektórych ustaw w celu przeciwdziałania wykorzystywaniu sektora finansowego do wyłudzeń skarbowych nie przewidują sytuacji wystąpienia ryzyk naruszenia praw lub wolności osoby, której dane dotyczą. Wszystkie podmioty przetwarzające dane osobowe działają na podstawie powyższych przepisów i w ich granicach w celu realizacji interesu publicznego. </w:t>
      </w:r>
    </w:p>
    <w:p w14:paraId="2970DC34" w14:textId="1497C338" w:rsidR="005D4EE9" w:rsidRPr="00375799" w:rsidRDefault="005D4EE9" w:rsidP="0055107B">
      <w:pPr>
        <w:tabs>
          <w:tab w:val="left" w:pos="303"/>
        </w:tabs>
        <w:spacing w:before="120" w:after="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h) Prawo osoby, której dane dotyczą, do uzyskania informacji o ograniczeniach, o ile nie narusza to celu ograniczenia</w:t>
      </w:r>
      <w:r w:rsidR="00D1659E">
        <w:rPr>
          <w:rFonts w:eastAsia="Times New Roman" w:cstheme="minorHAnsi"/>
          <w:color w:val="000000" w:themeColor="text1"/>
          <w:sz w:val="24"/>
          <w:szCs w:val="24"/>
          <w:lang w:eastAsia="pl-PL"/>
        </w:rPr>
        <w:t>.</w:t>
      </w:r>
    </w:p>
    <w:p w14:paraId="69BC735B" w14:textId="7177AE1A" w:rsidR="005D4EE9" w:rsidRPr="00375799" w:rsidRDefault="005D4EE9" w:rsidP="0055107B">
      <w:pPr>
        <w:spacing w:after="120" w:line="276" w:lineRule="auto"/>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Ograniczenia wynikają bezpośrednio z przepisów prawa powszechnie obowiązującego (np. art. 3</w:t>
      </w:r>
      <w:r w:rsidR="000C6EF8">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5 ustawy o ochronie danych osobowych). Obowiązek informacyjny dotyczący ograniczeń wynikających z wymienionej ustawy jest realizowany poprzez ogłoszenie ustawy w Dzienniku Ustaw. Organy podatkowe mogą przekazywać informacje o ograniczeniach w miejscu publicznie dostępnym w siedzibie organu, formularzach urzędowych, pismach kierowanych do osób fizycznych oraz na stronie podmiotowej w Biuletynie Informacji Publicznej lub na swojej stronie internetowej (np. art. 47c ustawy o Krajowej Administracji Skarbowej). </w:t>
      </w:r>
    </w:p>
    <w:p w14:paraId="7DA25A4C" w14:textId="175F107C" w:rsidR="005D4EE9" w:rsidRPr="00375799" w:rsidRDefault="005D4EE9" w:rsidP="0055107B">
      <w:pPr>
        <w:spacing w:after="12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Zmiana art. 119zn § 2 Ordynacji</w:t>
      </w:r>
      <w:r w:rsidR="00D1659E">
        <w:rPr>
          <w:rFonts w:eastAsia="Times New Roman" w:cstheme="minorHAnsi"/>
          <w:bCs/>
          <w:color w:val="000000" w:themeColor="text1"/>
          <w:sz w:val="24"/>
          <w:szCs w:val="24"/>
          <w:lang w:eastAsia="pl-PL"/>
        </w:rPr>
        <w:t>.</w:t>
      </w:r>
    </w:p>
    <w:p w14:paraId="586F198F" w14:textId="4EBFBDD7" w:rsidR="005D4EE9" w:rsidRPr="00375799" w:rsidRDefault="005D4EE9" w:rsidP="0055107B">
      <w:pPr>
        <w:spacing w:after="120" w:line="276" w:lineRule="auto"/>
        <w:contextualSpacing/>
        <w:jc w:val="both"/>
        <w:rPr>
          <w:rFonts w:eastAsia="Cambria" w:cstheme="minorHAnsi"/>
          <w:color w:val="000000" w:themeColor="text1"/>
          <w:sz w:val="24"/>
          <w:szCs w:val="24"/>
        </w:rPr>
      </w:pPr>
      <w:r w:rsidRPr="00375799">
        <w:rPr>
          <w:rFonts w:eastAsia="Times New Roman" w:cstheme="minorHAnsi"/>
          <w:bCs/>
          <w:color w:val="000000" w:themeColor="text1"/>
          <w:sz w:val="24"/>
          <w:szCs w:val="24"/>
          <w:lang w:eastAsia="pl-PL"/>
        </w:rPr>
        <w:t>Przepis art. 119zn § 2 Ordynacji dotyczy ustalania wskaźnika ryzyka przez izbę rozliczeniową. Projektowany przepis art. 119zn § 2 O</w:t>
      </w:r>
      <w:r w:rsidR="00D1659E">
        <w:rPr>
          <w:rFonts w:eastAsia="Times New Roman" w:cstheme="minorHAnsi"/>
          <w:bCs/>
          <w:color w:val="000000" w:themeColor="text1"/>
          <w:sz w:val="24"/>
          <w:szCs w:val="24"/>
          <w:lang w:eastAsia="pl-PL"/>
        </w:rPr>
        <w:t>rdynacji</w:t>
      </w:r>
      <w:r w:rsidRPr="00375799">
        <w:rPr>
          <w:rFonts w:eastAsia="Times New Roman" w:cstheme="minorHAnsi"/>
          <w:bCs/>
          <w:color w:val="000000" w:themeColor="text1"/>
          <w:sz w:val="24"/>
          <w:szCs w:val="24"/>
          <w:lang w:eastAsia="pl-PL"/>
        </w:rPr>
        <w:t xml:space="preserve"> przewiduje, że ustalenie wskaźnika ryzyka następuje w oparciu o zautomatyzowane przetwarzanie, w tym profilowanie. W tym przypadku czynnik ludzki nie będzie wykorzystany. Końcowa część przepisu („jeśli </w:t>
      </w:r>
      <w:r w:rsidRPr="00375799">
        <w:rPr>
          <w:rFonts w:eastAsia="Times New Roman" w:cstheme="minorHAnsi"/>
          <w:bCs/>
          <w:color w:val="000000" w:themeColor="text1"/>
          <w:sz w:val="24"/>
          <w:szCs w:val="24"/>
          <w:lang w:eastAsia="pl-PL"/>
        </w:rPr>
        <w:lastRenderedPageBreak/>
        <w:t>zachowane są cele i warunki określone w dziale IIIB”) oznacza, że podejmowanie rozstrzygnięć w oparciu o zautomatyzowane przetwarzanie danych osobowych, w tym profilowanie w każdym przypadku powinno realizować cele i warunki określone w dziale IIIB O</w:t>
      </w:r>
      <w:r w:rsidR="00D1659E">
        <w:rPr>
          <w:rFonts w:eastAsia="Times New Roman" w:cstheme="minorHAnsi"/>
          <w:bCs/>
          <w:color w:val="000000" w:themeColor="text1"/>
          <w:sz w:val="24"/>
          <w:szCs w:val="24"/>
          <w:lang w:eastAsia="pl-PL"/>
        </w:rPr>
        <w:t>rdynacji</w:t>
      </w:r>
      <w:r w:rsidR="001B31E8">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 xml:space="preserve"> Przykładowo</w:t>
      </w:r>
      <w:r w:rsidR="00D1659E">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 xml:space="preserve"> nie jest dopuszczalne przetwarzanie danych osobowych w powyższy sposób na podstawie wadliwych algorytmów, o których mowa w art. 119zn § 3 O</w:t>
      </w:r>
      <w:r w:rsidR="000C6EF8">
        <w:rPr>
          <w:rFonts w:eastAsia="Times New Roman" w:cstheme="minorHAnsi"/>
          <w:bCs/>
          <w:color w:val="000000" w:themeColor="text1"/>
          <w:sz w:val="24"/>
          <w:szCs w:val="24"/>
          <w:lang w:eastAsia="pl-PL"/>
        </w:rPr>
        <w:t>rdynacji. Zachowanie</w:t>
      </w:r>
      <w:r w:rsidRPr="00375799">
        <w:rPr>
          <w:rFonts w:eastAsia="Times New Roman" w:cstheme="minorHAnsi"/>
          <w:bCs/>
          <w:color w:val="000000" w:themeColor="text1"/>
          <w:sz w:val="24"/>
          <w:szCs w:val="24"/>
          <w:lang w:eastAsia="pl-PL"/>
        </w:rPr>
        <w:t xml:space="preserve"> celów i warunków określonych w dziale IIIB O</w:t>
      </w:r>
      <w:r w:rsidR="00D1659E">
        <w:rPr>
          <w:rFonts w:eastAsia="Times New Roman" w:cstheme="minorHAnsi"/>
          <w:bCs/>
          <w:color w:val="000000" w:themeColor="text1"/>
          <w:sz w:val="24"/>
          <w:szCs w:val="24"/>
          <w:lang w:eastAsia="pl-PL"/>
        </w:rPr>
        <w:t>rdynacji</w:t>
      </w:r>
      <w:r w:rsidRPr="00375799">
        <w:rPr>
          <w:rFonts w:eastAsia="Times New Roman" w:cstheme="minorHAnsi"/>
          <w:bCs/>
          <w:color w:val="000000" w:themeColor="text1"/>
          <w:sz w:val="24"/>
          <w:szCs w:val="24"/>
          <w:lang w:eastAsia="pl-PL"/>
        </w:rPr>
        <w:t xml:space="preserve"> będzie równoznaczne ze spełnieniem przesłanki określonej w art. 22 ust. 2 lit. b </w:t>
      </w:r>
      <w:r w:rsidR="00D1659E">
        <w:rPr>
          <w:rFonts w:eastAsia="Times New Roman" w:cstheme="minorHAnsi"/>
          <w:bCs/>
          <w:color w:val="000000" w:themeColor="text1"/>
          <w:sz w:val="24"/>
          <w:szCs w:val="24"/>
          <w:lang w:eastAsia="pl-PL"/>
        </w:rPr>
        <w:t>RODO</w:t>
      </w:r>
      <w:r w:rsidRPr="00375799">
        <w:rPr>
          <w:rFonts w:eastAsia="Times New Roman" w:cstheme="minorHAnsi"/>
          <w:bCs/>
          <w:color w:val="000000" w:themeColor="text1"/>
          <w:sz w:val="24"/>
          <w:szCs w:val="24"/>
          <w:lang w:eastAsia="pl-PL"/>
        </w:rPr>
        <w:t>, który zezwala na zautomatyzowane przetwarzanie, w tym profilowanie, jeśli</w:t>
      </w:r>
      <w:r w:rsidRPr="00375799">
        <w:rPr>
          <w:rFonts w:eastAsia="Cambria" w:cstheme="minorHAnsi"/>
          <w:color w:val="000000" w:themeColor="text1"/>
          <w:sz w:val="24"/>
          <w:szCs w:val="24"/>
        </w:rPr>
        <w:t xml:space="preserve"> jest dozwolone prawem państwa członkowskiego. </w:t>
      </w:r>
    </w:p>
    <w:p w14:paraId="393457D8" w14:textId="16F9B21A" w:rsidR="005D4EE9" w:rsidRPr="00375799" w:rsidRDefault="005D4EE9" w:rsidP="0055107B">
      <w:pPr>
        <w:spacing w:after="120" w:line="276" w:lineRule="auto"/>
        <w:contextualSpacing/>
        <w:jc w:val="both"/>
        <w:rPr>
          <w:rFonts w:eastAsia="Cambria" w:cstheme="minorHAnsi"/>
          <w:color w:val="000000" w:themeColor="text1"/>
          <w:sz w:val="24"/>
          <w:szCs w:val="24"/>
        </w:rPr>
      </w:pPr>
      <w:r w:rsidRPr="00375799">
        <w:rPr>
          <w:rFonts w:eastAsia="Cambria" w:cstheme="minorHAnsi"/>
          <w:color w:val="000000" w:themeColor="text1"/>
          <w:sz w:val="24"/>
          <w:szCs w:val="24"/>
        </w:rPr>
        <w:t>Ordynacja w dziale IIIB reguluje szczegółowo kwestie dotyczące wskaźnika ryzyka, w szczególności podstawy jego ustalania, podmioty, którym jest przekazywana informac</w:t>
      </w:r>
      <w:r w:rsidR="000C6EF8">
        <w:rPr>
          <w:rFonts w:eastAsia="Cambria" w:cstheme="minorHAnsi"/>
          <w:color w:val="000000" w:themeColor="text1"/>
          <w:sz w:val="24"/>
          <w:szCs w:val="24"/>
        </w:rPr>
        <w:t>ja o tym wskaźniku oraz warunki</w:t>
      </w:r>
      <w:r w:rsidRPr="00375799">
        <w:rPr>
          <w:rFonts w:eastAsia="Cambria" w:cstheme="minorHAnsi"/>
          <w:color w:val="000000" w:themeColor="text1"/>
          <w:sz w:val="24"/>
          <w:szCs w:val="24"/>
        </w:rPr>
        <w:t xml:space="preserve"> wykorzystania wskaźnika przez te podmioty. Szczegółowe regulacje w tym zakresie mają umożliwić wykorzystanie wskaźnika ryzyka zgodnie z celami przepisów działu IIIB Ordynacji, tym samym zabezpieczając interesy podmiotu, którego wskaźnik ten dotyczy. </w:t>
      </w:r>
    </w:p>
    <w:p w14:paraId="281ACB98" w14:textId="23E1E27D" w:rsidR="005D4EE9" w:rsidRPr="00375799" w:rsidRDefault="005D4EE9" w:rsidP="0055107B">
      <w:pPr>
        <w:spacing w:after="120" w:line="276" w:lineRule="auto"/>
        <w:contextualSpacing/>
        <w:jc w:val="both"/>
        <w:rPr>
          <w:rFonts w:eastAsia="Cambria" w:cstheme="minorHAnsi"/>
          <w:color w:val="000000" w:themeColor="text1"/>
          <w:sz w:val="24"/>
          <w:szCs w:val="24"/>
        </w:rPr>
      </w:pPr>
      <w:r w:rsidRPr="00375799">
        <w:rPr>
          <w:rFonts w:eastAsia="Cambria" w:cstheme="minorHAnsi"/>
          <w:color w:val="000000" w:themeColor="text1"/>
          <w:sz w:val="24"/>
          <w:szCs w:val="24"/>
        </w:rPr>
        <w:t>Według art. 119zg pkt 8 Ordynacji</w:t>
      </w:r>
      <w:r w:rsidR="00D1659E">
        <w:rPr>
          <w:rFonts w:eastAsia="Cambria" w:cstheme="minorHAnsi"/>
          <w:color w:val="000000" w:themeColor="text1"/>
          <w:sz w:val="24"/>
          <w:szCs w:val="24"/>
        </w:rPr>
        <w:t xml:space="preserve"> </w:t>
      </w:r>
      <w:r w:rsidRPr="00375799">
        <w:rPr>
          <w:rFonts w:eastAsia="Cambria" w:cstheme="minorHAnsi"/>
          <w:color w:val="000000" w:themeColor="text1"/>
          <w:sz w:val="24"/>
          <w:szCs w:val="24"/>
        </w:rPr>
        <w:t>wskaźnik ryzyka to wskaźnik wykorzystywania działalności banków i spółdzielczych kas oszczędnościowo-kredytowych do celów mających związek z wyłudzeniami skarbowymi. Wskaźnik ryzyka jest ustalany w odniesieniu do podmiotu kwalifikowanego (zdefiniowanego w art. 119zg pkt 4 Ordyn</w:t>
      </w:r>
      <w:r w:rsidR="000C6EF8">
        <w:rPr>
          <w:rFonts w:eastAsia="Cambria" w:cstheme="minorHAnsi"/>
          <w:color w:val="000000" w:themeColor="text1"/>
          <w:sz w:val="24"/>
          <w:szCs w:val="24"/>
        </w:rPr>
        <w:t>acji)</w:t>
      </w:r>
      <w:r w:rsidRPr="00375799">
        <w:rPr>
          <w:rFonts w:eastAsia="Cambria" w:cstheme="minorHAnsi"/>
          <w:color w:val="000000" w:themeColor="text1"/>
          <w:sz w:val="24"/>
          <w:szCs w:val="24"/>
        </w:rPr>
        <w:t xml:space="preserve"> automatycznie w STIR na podstawie opracowanych przez izbę rozliczeniową algorytmów uwzględniających najlepsze praktyki sektora bankowego i spółdzielczych kas oszczędnościowo-kredytowych w zakresie przeciwdziałania wykorzystywaniu ich działalności do popełniania przestępstw oraz przestępstw skarbowych, a także ustawowych kryteriów (art. 119zn § 3 Ordynacji podatkowej). Informacja o wskaźniku ryzyka będzie przekazywana przez izbę rozliczeniową niezwłocznie po jego ustaleniu, nie rzadziej niż raz dziennie, wyłącznie Szefowi </w:t>
      </w:r>
      <w:r w:rsidR="00D1659E">
        <w:rPr>
          <w:rFonts w:eastAsia="Cambria" w:cstheme="minorHAnsi"/>
          <w:color w:val="000000" w:themeColor="text1"/>
          <w:sz w:val="24"/>
          <w:szCs w:val="24"/>
        </w:rPr>
        <w:t>KAS</w:t>
      </w:r>
      <w:r w:rsidRPr="00375799">
        <w:rPr>
          <w:rFonts w:eastAsia="Cambria" w:cstheme="minorHAnsi"/>
          <w:color w:val="000000" w:themeColor="text1"/>
          <w:sz w:val="24"/>
          <w:szCs w:val="24"/>
        </w:rPr>
        <w:t xml:space="preserve"> w pełnym zakresie, a bankom i spółdzielczym kasom oszczędnościowo-kredytowym – w zakresie rachunków podmiotów kwalifikowanych prowadzonych przez te banki i spółdzielcze kasy oszczędnościowo-kredytowe (art. 119zo § 1</w:t>
      </w:r>
      <w:r w:rsidR="00343546">
        <w:rPr>
          <w:rFonts w:eastAsia="Cambria" w:cstheme="minorHAnsi"/>
          <w:color w:val="000000" w:themeColor="text1"/>
          <w:sz w:val="24"/>
          <w:szCs w:val="24"/>
        </w:rPr>
        <w:t xml:space="preserve"> i 1a</w:t>
      </w:r>
      <w:r w:rsidRPr="00375799">
        <w:rPr>
          <w:rFonts w:eastAsia="Cambria" w:cstheme="minorHAnsi"/>
          <w:color w:val="000000" w:themeColor="text1"/>
          <w:sz w:val="24"/>
          <w:szCs w:val="24"/>
        </w:rPr>
        <w:t xml:space="preserve"> Ordynacji). </w:t>
      </w:r>
    </w:p>
    <w:p w14:paraId="27013CB2" w14:textId="2F8E846C" w:rsidR="005D4EE9" w:rsidRPr="00375799" w:rsidRDefault="005D4EE9" w:rsidP="0055107B">
      <w:pPr>
        <w:spacing w:after="120" w:line="276" w:lineRule="auto"/>
        <w:contextualSpacing/>
        <w:jc w:val="both"/>
        <w:rPr>
          <w:rFonts w:eastAsia="Cambria" w:cstheme="minorHAnsi"/>
          <w:color w:val="000000" w:themeColor="text1"/>
          <w:sz w:val="24"/>
          <w:szCs w:val="24"/>
        </w:rPr>
      </w:pPr>
      <w:r w:rsidRPr="00375799">
        <w:rPr>
          <w:rFonts w:eastAsia="Cambria" w:cstheme="minorHAnsi"/>
          <w:color w:val="000000" w:themeColor="text1"/>
          <w:sz w:val="24"/>
          <w:szCs w:val="24"/>
        </w:rPr>
        <w:t xml:space="preserve">Szef </w:t>
      </w:r>
      <w:r w:rsidR="00D1659E">
        <w:rPr>
          <w:rFonts w:eastAsia="Cambria" w:cstheme="minorHAnsi"/>
          <w:color w:val="000000" w:themeColor="text1"/>
          <w:sz w:val="24"/>
          <w:szCs w:val="24"/>
        </w:rPr>
        <w:t>KAS</w:t>
      </w:r>
      <w:r w:rsidRPr="00375799">
        <w:rPr>
          <w:rFonts w:eastAsia="Cambria" w:cstheme="minorHAnsi"/>
          <w:color w:val="000000" w:themeColor="text1"/>
          <w:sz w:val="24"/>
          <w:szCs w:val="24"/>
        </w:rPr>
        <w:t xml:space="preserve"> uwzględnia wskaźnik ryzyka przy dokonywaniu analizy ryzyka wykorzystywania działalności banków i spółdzielczych kas oszczędnościowo</w:t>
      </w:r>
      <w:r w:rsidR="000C6EF8">
        <w:rPr>
          <w:rFonts w:eastAsia="Cambria" w:cstheme="minorHAnsi"/>
          <w:color w:val="000000" w:themeColor="text1"/>
          <w:sz w:val="24"/>
          <w:szCs w:val="24"/>
        </w:rPr>
        <w:noBreakHyphen/>
      </w:r>
      <w:r w:rsidRPr="00375799">
        <w:rPr>
          <w:rFonts w:eastAsia="Cambria" w:cstheme="minorHAnsi"/>
          <w:color w:val="000000" w:themeColor="text1"/>
          <w:sz w:val="24"/>
          <w:szCs w:val="24"/>
        </w:rPr>
        <w:t>kredytowych do celów mających związek z wyłudzeniami skarbowymi (art. 119zn § 1 Ordynacji). Rozstrzygnięcia Szefa KAS powodujące skutki prawne dla osoby, której wskaźnik dotyczy</w:t>
      </w:r>
      <w:r w:rsidR="00D1659E">
        <w:rPr>
          <w:rFonts w:eastAsia="Cambria" w:cstheme="minorHAnsi"/>
          <w:color w:val="000000" w:themeColor="text1"/>
          <w:sz w:val="24"/>
          <w:szCs w:val="24"/>
        </w:rPr>
        <w:t>,</w:t>
      </w:r>
      <w:r w:rsidRPr="00375799">
        <w:rPr>
          <w:rFonts w:eastAsia="Cambria" w:cstheme="minorHAnsi"/>
          <w:color w:val="000000" w:themeColor="text1"/>
          <w:sz w:val="24"/>
          <w:szCs w:val="24"/>
        </w:rPr>
        <w:t xml:space="preserve"> np. blokada rachunku tej osoby</w:t>
      </w:r>
      <w:r w:rsidR="000C6EF8">
        <w:rPr>
          <w:rFonts w:eastAsia="Cambria" w:cstheme="minorHAnsi"/>
          <w:color w:val="000000" w:themeColor="text1"/>
          <w:sz w:val="24"/>
          <w:szCs w:val="24"/>
        </w:rPr>
        <w:t>,</w:t>
      </w:r>
      <w:r w:rsidRPr="00375799">
        <w:rPr>
          <w:rFonts w:eastAsia="Cambria" w:cstheme="minorHAnsi"/>
          <w:color w:val="000000" w:themeColor="text1"/>
          <w:sz w:val="24"/>
          <w:szCs w:val="24"/>
        </w:rPr>
        <w:t xml:space="preserve"> są podejmowane zawsze przez człowieka w oparciu o całokształt materiału dowodowego. Wskaźnik ryzyka jest tylko jednym z elementów tego materiału. Rozstrzygnięcia w sprawie blokady rachunku na czas oznaczony, nie dłuższy niż 3 miesiące</w:t>
      </w:r>
      <w:r w:rsidR="000C6EF8">
        <w:rPr>
          <w:rFonts w:eastAsia="Cambria" w:cstheme="minorHAnsi"/>
          <w:color w:val="000000" w:themeColor="text1"/>
          <w:sz w:val="24"/>
          <w:szCs w:val="24"/>
        </w:rPr>
        <w:t>,</w:t>
      </w:r>
      <w:r w:rsidRPr="00375799">
        <w:rPr>
          <w:rFonts w:eastAsia="Cambria" w:cstheme="minorHAnsi"/>
          <w:color w:val="000000" w:themeColor="text1"/>
          <w:sz w:val="24"/>
          <w:szCs w:val="24"/>
        </w:rPr>
        <w:t xml:space="preserve"> mogą być zaskarżone do Szefa </w:t>
      </w:r>
      <w:r w:rsidR="00D1659E">
        <w:rPr>
          <w:rFonts w:eastAsia="Cambria" w:cstheme="minorHAnsi"/>
          <w:color w:val="000000" w:themeColor="text1"/>
          <w:sz w:val="24"/>
          <w:szCs w:val="24"/>
        </w:rPr>
        <w:t>KAS</w:t>
      </w:r>
      <w:r w:rsidRPr="00375799">
        <w:rPr>
          <w:rFonts w:eastAsia="Cambria" w:cstheme="minorHAnsi"/>
          <w:color w:val="000000" w:themeColor="text1"/>
          <w:sz w:val="24"/>
          <w:szCs w:val="24"/>
        </w:rPr>
        <w:t xml:space="preserve"> (art. 119zzb § 1). Obowiązują skrócone terminy na rozpatrzenie środka zaskarżenia oraz skargi do wojewódzkiego sądu administracyjnego (art. 119zzb § 2 i 5 Ordynacji</w:t>
      </w:r>
      <w:r w:rsidR="00FE0F02">
        <w:rPr>
          <w:rFonts w:eastAsia="Cambria" w:cstheme="minorHAnsi"/>
          <w:color w:val="000000" w:themeColor="text1"/>
          <w:sz w:val="24"/>
          <w:szCs w:val="24"/>
        </w:rPr>
        <w:t>)</w:t>
      </w:r>
      <w:r w:rsidRPr="00375799">
        <w:rPr>
          <w:rFonts w:eastAsia="Cambria" w:cstheme="minorHAnsi"/>
          <w:color w:val="000000" w:themeColor="text1"/>
          <w:sz w:val="24"/>
          <w:szCs w:val="24"/>
        </w:rPr>
        <w:t>.</w:t>
      </w:r>
    </w:p>
    <w:p w14:paraId="75822E29" w14:textId="097AFB5B" w:rsidR="005D4EE9" w:rsidRPr="00375799" w:rsidRDefault="005D4EE9" w:rsidP="0055107B">
      <w:pPr>
        <w:spacing w:before="120" w:after="0" w:line="276" w:lineRule="auto"/>
        <w:contextualSpacing/>
        <w:jc w:val="both"/>
        <w:rPr>
          <w:rFonts w:eastAsia="Times New Roman" w:cstheme="minorHAnsi"/>
          <w:bCs/>
          <w:color w:val="000000" w:themeColor="text1"/>
          <w:sz w:val="24"/>
          <w:szCs w:val="24"/>
          <w:lang w:eastAsia="pl-PL"/>
        </w:rPr>
      </w:pPr>
      <w:r w:rsidRPr="00375799">
        <w:rPr>
          <w:rFonts w:eastAsia="Cambria" w:cstheme="minorHAnsi"/>
          <w:color w:val="000000" w:themeColor="text1"/>
          <w:sz w:val="24"/>
          <w:szCs w:val="24"/>
        </w:rPr>
        <w:t>Banki i spółdzielcze kasy oszczędnościowo-kredytowe mogą wykorzystywać informacje o wskaźniku ryzyka wyłącznie w celu wykonywania uprawnień lub obowiązków określonych w art. 119zo § 4 Ordynacji</w:t>
      </w:r>
      <w:r w:rsidR="00FE0F02">
        <w:rPr>
          <w:rFonts w:eastAsia="Cambria" w:cstheme="minorHAnsi"/>
          <w:color w:val="000000" w:themeColor="text1"/>
          <w:sz w:val="24"/>
          <w:szCs w:val="24"/>
        </w:rPr>
        <w:t xml:space="preserve">, </w:t>
      </w:r>
      <w:r w:rsidRPr="00375799">
        <w:rPr>
          <w:rFonts w:eastAsia="Cambria" w:cstheme="minorHAnsi"/>
          <w:color w:val="000000" w:themeColor="text1"/>
          <w:sz w:val="24"/>
          <w:szCs w:val="24"/>
        </w:rPr>
        <w:t>np. do dokonywania oceny ryzyka prania pieniędzy i finansowania terroryzmu, o której mowa w ustawie z dnia 1 marca 2018 r. o przeciwdziałaniu praniu pieniędzy oraz finansowaniu terroryzmu (Dz. U. poz. 723</w:t>
      </w:r>
      <w:r w:rsidR="00343546">
        <w:rPr>
          <w:rFonts w:eastAsia="Cambria" w:cstheme="minorHAnsi"/>
          <w:color w:val="000000" w:themeColor="text1"/>
          <w:sz w:val="24"/>
          <w:szCs w:val="24"/>
        </w:rPr>
        <w:t>, 1075 i 1499</w:t>
      </w:r>
      <w:r w:rsidRPr="00375799">
        <w:rPr>
          <w:rFonts w:eastAsia="Cambria" w:cstheme="minorHAnsi"/>
          <w:color w:val="000000" w:themeColor="text1"/>
          <w:sz w:val="24"/>
          <w:szCs w:val="24"/>
        </w:rPr>
        <w:t xml:space="preserve">). Wykorzystywanie </w:t>
      </w:r>
      <w:r w:rsidRPr="00375799">
        <w:rPr>
          <w:rFonts w:eastAsia="Cambria" w:cstheme="minorHAnsi"/>
          <w:color w:val="000000" w:themeColor="text1"/>
          <w:sz w:val="24"/>
          <w:szCs w:val="24"/>
        </w:rPr>
        <w:lastRenderedPageBreak/>
        <w:t>wskaźnika ryzyka przy wykonywaniu przez banki i SKOK-i tych uprawnień lub obowiązków odbywa się z udziałem czynnika ludzkiego w określonych procedurach, które zawierają zabezpieczenia stanowiące ochronę dla osób, których wskaźnik dotyczy.</w:t>
      </w:r>
    </w:p>
    <w:p w14:paraId="1E31CF43" w14:textId="4E09768C" w:rsidR="005D4EE9" w:rsidRPr="00375799" w:rsidRDefault="005D4EE9" w:rsidP="0055107B">
      <w:pPr>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Dodanie art. 119zn § 5 Ordynacji</w:t>
      </w:r>
      <w:r w:rsidR="00FE0F02">
        <w:rPr>
          <w:rFonts w:eastAsia="Times New Roman" w:cstheme="minorHAnsi"/>
          <w:bCs/>
          <w:color w:val="000000" w:themeColor="text1"/>
          <w:sz w:val="24"/>
          <w:szCs w:val="24"/>
          <w:lang w:eastAsia="pl-PL"/>
        </w:rPr>
        <w:t>.</w:t>
      </w:r>
    </w:p>
    <w:p w14:paraId="77E8F442" w14:textId="6B3743BB" w:rsidR="005D4EE9" w:rsidRPr="00375799" w:rsidRDefault="005D4EE9" w:rsidP="0055107B">
      <w:pPr>
        <w:spacing w:before="120" w:after="0" w:line="276" w:lineRule="auto"/>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Proponowany przepis art. 119zn § 5 Ordynacji wskazuje, że przetwarzanie danych, o którym mowa w art. 119zn § 2 O</w:t>
      </w:r>
      <w:r w:rsidR="00FE0F02">
        <w:rPr>
          <w:rFonts w:eastAsia="Times New Roman" w:cstheme="minorHAnsi"/>
          <w:bCs/>
          <w:color w:val="000000" w:themeColor="text1"/>
          <w:sz w:val="24"/>
          <w:szCs w:val="24"/>
          <w:lang w:eastAsia="pl-PL"/>
        </w:rPr>
        <w:t>rdynacji,</w:t>
      </w:r>
      <w:r w:rsidRPr="00375799">
        <w:rPr>
          <w:rFonts w:eastAsia="Times New Roman" w:cstheme="minorHAnsi"/>
          <w:bCs/>
          <w:color w:val="000000" w:themeColor="text1"/>
          <w:sz w:val="24"/>
          <w:szCs w:val="24"/>
          <w:lang w:eastAsia="pl-PL"/>
        </w:rPr>
        <w:t xml:space="preserve"> może opierać się  na danych osobowych ujawniających pochodzenie rasowe lub etniczne oraz dane biometryczne, </w:t>
      </w:r>
      <w:r w:rsidRPr="00375799">
        <w:rPr>
          <w:rFonts w:eastAsia="Cambria" w:cstheme="minorHAnsi"/>
          <w:color w:val="000000" w:themeColor="text1"/>
          <w:sz w:val="24"/>
          <w:szCs w:val="24"/>
        </w:rPr>
        <w:t>jeśli zachowane są cele i warunki określone w dziale IIIB</w:t>
      </w:r>
      <w:r w:rsidRPr="00375799">
        <w:rPr>
          <w:rFonts w:eastAsia="Times New Roman" w:cstheme="minorHAnsi"/>
          <w:bCs/>
          <w:color w:val="000000" w:themeColor="text1"/>
          <w:sz w:val="24"/>
          <w:szCs w:val="24"/>
          <w:lang w:eastAsia="pl-PL"/>
        </w:rPr>
        <w:t xml:space="preserve">. Przetwarzanie wymienionych danych jest dopuszczalne na mocy art. 9 ust. 2 lit. g </w:t>
      </w:r>
      <w:r w:rsidR="00FE0F02">
        <w:rPr>
          <w:rFonts w:eastAsia="Times New Roman" w:cstheme="minorHAnsi"/>
          <w:bCs/>
          <w:color w:val="000000" w:themeColor="text1"/>
          <w:sz w:val="24"/>
          <w:szCs w:val="24"/>
          <w:lang w:eastAsia="pl-PL"/>
        </w:rPr>
        <w:t>RODO</w:t>
      </w:r>
      <w:r w:rsidRPr="00375799">
        <w:rPr>
          <w:rFonts w:eastAsia="Times New Roman" w:cstheme="minorHAnsi"/>
          <w:bCs/>
          <w:color w:val="000000" w:themeColor="text1"/>
          <w:sz w:val="24"/>
          <w:szCs w:val="24"/>
          <w:lang w:eastAsia="pl-PL"/>
        </w:rPr>
        <w:t>, tj. je</w:t>
      </w:r>
      <w:r w:rsidR="00FE0F02">
        <w:rPr>
          <w:rFonts w:eastAsia="Times New Roman" w:cstheme="minorHAnsi"/>
          <w:bCs/>
          <w:color w:val="000000" w:themeColor="text1"/>
          <w:sz w:val="24"/>
          <w:szCs w:val="24"/>
          <w:lang w:eastAsia="pl-PL"/>
        </w:rPr>
        <w:t>żeli</w:t>
      </w:r>
      <w:r w:rsidRPr="00375799">
        <w:rPr>
          <w:rFonts w:eastAsia="Times New Roman" w:cstheme="minorHAnsi"/>
          <w:bCs/>
          <w:color w:val="000000" w:themeColor="text1"/>
          <w:sz w:val="24"/>
          <w:szCs w:val="24"/>
          <w:lang w:eastAsia="pl-PL"/>
        </w:rPr>
        <w:t xml:space="preserve"> jest niezbędne ze względów związanych z ważnym interesem publicznym, na podstawie prawa Unii lub prawa państwa członkowskiego, które są proporcjonalne do wyznaczonego celu, nie naruszają istoty prawa do ochrony danych i przewidują odpowiednie i konkretne środki ochrony praw podstawowych i interesów osoby, której dane dotyczą. Przepis art. 119zn § 5 Ordynacji wiąże się z uwzględnianiem przy ustalaniu wskaźnika ryzyka określonych w art. 119zn § 3 O</w:t>
      </w:r>
      <w:r w:rsidR="00FE0F02">
        <w:rPr>
          <w:rFonts w:eastAsia="Times New Roman" w:cstheme="minorHAnsi"/>
          <w:bCs/>
          <w:color w:val="000000" w:themeColor="text1"/>
          <w:sz w:val="24"/>
          <w:szCs w:val="24"/>
          <w:lang w:eastAsia="pl-PL"/>
        </w:rPr>
        <w:t>rdynacji</w:t>
      </w:r>
      <w:r w:rsidRPr="00375799">
        <w:rPr>
          <w:rFonts w:eastAsia="Times New Roman" w:cstheme="minorHAnsi"/>
          <w:bCs/>
          <w:color w:val="000000" w:themeColor="text1"/>
          <w:sz w:val="24"/>
          <w:szCs w:val="24"/>
          <w:lang w:eastAsia="pl-PL"/>
        </w:rPr>
        <w:t xml:space="preserve"> kryteriów</w:t>
      </w:r>
      <w:r w:rsidR="00FE0F02">
        <w:rPr>
          <w:rFonts w:eastAsia="Times New Roman" w:cstheme="minorHAnsi"/>
          <w:bCs/>
          <w:color w:val="000000" w:themeColor="text1"/>
          <w:sz w:val="24"/>
          <w:szCs w:val="24"/>
          <w:lang w:eastAsia="pl-PL"/>
        </w:rPr>
        <w:t>,</w:t>
      </w:r>
      <w:r w:rsidRPr="00375799">
        <w:rPr>
          <w:rFonts w:eastAsia="Times New Roman" w:cstheme="minorHAnsi"/>
          <w:bCs/>
          <w:color w:val="000000" w:themeColor="text1"/>
          <w:sz w:val="24"/>
          <w:szCs w:val="24"/>
          <w:lang w:eastAsia="pl-PL"/>
        </w:rPr>
        <w:t xml:space="preserve"> np. kryteriów geograficznych.</w:t>
      </w:r>
    </w:p>
    <w:p w14:paraId="0FAA729A" w14:textId="77777777" w:rsidR="000F04FD" w:rsidRPr="00375799" w:rsidRDefault="000F04FD" w:rsidP="0055107B">
      <w:pPr>
        <w:spacing w:after="0" w:line="276" w:lineRule="auto"/>
        <w:ind w:left="57" w:right="57"/>
        <w:contextualSpacing/>
        <w:jc w:val="both"/>
        <w:rPr>
          <w:rFonts w:cstheme="minorHAnsi"/>
          <w:color w:val="000000" w:themeColor="text1"/>
          <w:sz w:val="24"/>
          <w:szCs w:val="24"/>
        </w:rPr>
      </w:pPr>
    </w:p>
    <w:p w14:paraId="18FB30E6" w14:textId="7CC8E92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48" w:name="_Toc530565020"/>
      <w:r w:rsidRPr="00375799">
        <w:rPr>
          <w:rFonts w:asciiTheme="minorHAnsi" w:hAnsiTheme="minorHAnsi" w:cstheme="minorHAnsi"/>
          <w:color w:val="000000" w:themeColor="text1"/>
          <w:sz w:val="24"/>
          <w:szCs w:val="24"/>
        </w:rPr>
        <w:t>Ustawa z dnia 29 sierpnia 1997 r. o Narodowym Banku Polskim</w:t>
      </w:r>
      <w:r w:rsidR="00634740" w:rsidRPr="00375799">
        <w:rPr>
          <w:rFonts w:asciiTheme="minorHAnsi" w:hAnsiTheme="minorHAnsi" w:cstheme="minorHAnsi"/>
          <w:color w:val="000000" w:themeColor="text1"/>
          <w:sz w:val="24"/>
          <w:szCs w:val="24"/>
        </w:rPr>
        <w:t xml:space="preserve"> (Dz. U. z 2017 r. poz. 1373)</w:t>
      </w:r>
      <w:bookmarkEnd w:id="48"/>
      <w:r w:rsidR="00CF7B15">
        <w:rPr>
          <w:rFonts w:asciiTheme="minorHAnsi" w:hAnsiTheme="minorHAnsi" w:cstheme="minorHAnsi"/>
          <w:color w:val="000000" w:themeColor="text1"/>
          <w:sz w:val="24"/>
          <w:szCs w:val="24"/>
        </w:rPr>
        <w:t xml:space="preserve"> </w:t>
      </w:r>
    </w:p>
    <w:p w14:paraId="778FAECF"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5E32316F" w14:textId="50F9217D" w:rsidR="006A5AF9" w:rsidRPr="00375799" w:rsidRDefault="006A5AF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faktem, iż zakres obowiązywania </w:t>
      </w:r>
      <w:r w:rsidR="00844EC3" w:rsidRPr="00375799">
        <w:rPr>
          <w:rFonts w:cstheme="minorHAnsi"/>
          <w:color w:val="000000" w:themeColor="text1"/>
          <w:sz w:val="24"/>
          <w:szCs w:val="24"/>
        </w:rPr>
        <w:t>RODO</w:t>
      </w:r>
      <w:r w:rsidRPr="00375799">
        <w:rPr>
          <w:rFonts w:cstheme="minorHAnsi"/>
          <w:color w:val="000000" w:themeColor="text1"/>
          <w:sz w:val="24"/>
          <w:szCs w:val="24"/>
        </w:rPr>
        <w:t xml:space="preserve"> </w:t>
      </w:r>
      <w:r w:rsidR="00844EC3" w:rsidRPr="00375799">
        <w:rPr>
          <w:rFonts w:cstheme="minorHAnsi"/>
          <w:color w:val="000000" w:themeColor="text1"/>
          <w:sz w:val="24"/>
          <w:szCs w:val="24"/>
        </w:rPr>
        <w:t>dotyczy</w:t>
      </w:r>
      <w:r w:rsidR="000C6EF8">
        <w:rPr>
          <w:rFonts w:cstheme="minorHAnsi"/>
          <w:color w:val="000000" w:themeColor="text1"/>
          <w:sz w:val="24"/>
          <w:szCs w:val="24"/>
        </w:rPr>
        <w:t>,</w:t>
      </w:r>
      <w:r w:rsidRPr="00375799">
        <w:rPr>
          <w:rFonts w:cstheme="minorHAnsi"/>
          <w:color w:val="000000" w:themeColor="text1"/>
          <w:sz w:val="24"/>
          <w:szCs w:val="24"/>
        </w:rPr>
        <w:t xml:space="preserve"> co do zasady</w:t>
      </w:r>
      <w:r w:rsidR="000C6EF8">
        <w:rPr>
          <w:rFonts w:cstheme="minorHAnsi"/>
          <w:color w:val="000000" w:themeColor="text1"/>
          <w:sz w:val="24"/>
          <w:szCs w:val="24"/>
        </w:rPr>
        <w:t>,</w:t>
      </w:r>
      <w:r w:rsidRPr="00375799">
        <w:rPr>
          <w:rFonts w:cstheme="minorHAnsi"/>
          <w:color w:val="000000" w:themeColor="text1"/>
          <w:sz w:val="24"/>
          <w:szCs w:val="24"/>
        </w:rPr>
        <w:t xml:space="preserve"> zdecydowanej większości aspektów funkcjonowania organów i podmiotów publicznych, do których niewątpliwie można zaliczyć Narodowy Bank Polski, który jest organem przewidzianym w Konstytucji Rzeczypospolitej Polskiej – bezwzględnie uznać należy istotne znaczenie przepisów rozporządzenia</w:t>
      </w:r>
      <w:r w:rsidR="000C6EF8">
        <w:rPr>
          <w:rFonts w:cstheme="minorHAnsi"/>
          <w:color w:val="000000" w:themeColor="text1"/>
          <w:sz w:val="24"/>
          <w:szCs w:val="24"/>
        </w:rPr>
        <w:t>,</w:t>
      </w:r>
      <w:r w:rsidRPr="00375799">
        <w:rPr>
          <w:rFonts w:cstheme="minorHAnsi"/>
          <w:color w:val="000000" w:themeColor="text1"/>
          <w:sz w:val="24"/>
          <w:szCs w:val="24"/>
        </w:rPr>
        <w:t xml:space="preserve"> jak i regulacji implementujących rozporządzenie dla funkcjonowania Narodowego Banku Polskiego (zwanego dalej „NBP”). NBP jest bankiem centralnym Rzeczypospolitej Polskiej. Wypełnia w szczególności zadania określone w Konstytucji RP, ustawie o Narodowym Banku Polskim oraz ustawie </w:t>
      </w:r>
      <w:r w:rsidR="000C6EF8">
        <w:rPr>
          <w:rFonts w:cstheme="minorHAnsi"/>
          <w:color w:val="000000" w:themeColor="text1"/>
          <w:sz w:val="24"/>
          <w:szCs w:val="24"/>
        </w:rPr>
        <w:t>–</w:t>
      </w:r>
      <w:r w:rsidRPr="00375799">
        <w:rPr>
          <w:rFonts w:cstheme="minorHAnsi"/>
          <w:color w:val="000000" w:themeColor="text1"/>
          <w:sz w:val="24"/>
          <w:szCs w:val="24"/>
        </w:rPr>
        <w:t xml:space="preserve"> Prawo bankowe. Działania realizowane przez NBP na podstawie art. 3 ust. 2 pkt 6a i 7 ustawy o Narodowym Banku Polskim – szczególnie w zakresie statystyki </w:t>
      </w:r>
      <w:r w:rsidR="000C6EF8">
        <w:rPr>
          <w:rFonts w:cstheme="minorHAnsi"/>
          <w:color w:val="000000" w:themeColor="text1"/>
          <w:sz w:val="24"/>
          <w:szCs w:val="24"/>
        </w:rPr>
        <w:t>–</w:t>
      </w:r>
      <w:r w:rsidRPr="00375799">
        <w:rPr>
          <w:rFonts w:cstheme="minorHAnsi"/>
          <w:color w:val="000000" w:themeColor="text1"/>
          <w:sz w:val="24"/>
          <w:szCs w:val="24"/>
        </w:rPr>
        <w:t xml:space="preserve"> mają kluczowe znaczenie dla prowadzenia analiz służących do ustalania polityki pieniężnej oraz ryzyka systemowego, jak też badania nierównowag zewnętrznych, czemu służy statystyka bilansu płatniczego, która w myśl art. 23 ust. 1 ustawy o NBP</w:t>
      </w:r>
      <w:r w:rsidR="00FE0F02">
        <w:rPr>
          <w:rFonts w:cstheme="minorHAnsi"/>
          <w:color w:val="000000" w:themeColor="text1"/>
          <w:sz w:val="24"/>
          <w:szCs w:val="24"/>
        </w:rPr>
        <w:t>,</w:t>
      </w:r>
      <w:r w:rsidRPr="00375799">
        <w:rPr>
          <w:rFonts w:cstheme="minorHAnsi"/>
          <w:color w:val="000000" w:themeColor="text1"/>
          <w:sz w:val="24"/>
          <w:szCs w:val="24"/>
        </w:rPr>
        <w:t xml:space="preserve"> jest przekazywana przez Radę Polityki Pieniężnej do Sejmu RP i Radzie Ministrów, co świadczy o wadze tej statystyki również dla prowadzenia polityki gospodarczej </w:t>
      </w:r>
      <w:r w:rsidR="00FE0F02">
        <w:rPr>
          <w:rFonts w:cstheme="minorHAnsi"/>
          <w:color w:val="000000" w:themeColor="text1"/>
          <w:sz w:val="24"/>
          <w:szCs w:val="24"/>
        </w:rPr>
        <w:t>p</w:t>
      </w:r>
      <w:r w:rsidRPr="00375799">
        <w:rPr>
          <w:rFonts w:cstheme="minorHAnsi"/>
          <w:color w:val="000000" w:themeColor="text1"/>
          <w:sz w:val="24"/>
          <w:szCs w:val="24"/>
        </w:rPr>
        <w:t xml:space="preserve">aństwa. Realizacja tych zadań wynika także z uczestnictwa w Europejskim Systemie Banków Centralnych i Europejskiej Radzie do spraw Ryzyka Systemowego. Brak ograniczeń stosowania rozporządzenia może znacząco utrudnić realizację tych zadań, biorąc pod uwagę potencjalne ograniczenia w przetwarzaniu danych w ww. celach. </w:t>
      </w:r>
    </w:p>
    <w:p w14:paraId="469F6171" w14:textId="77777777" w:rsidR="006A5AF9" w:rsidRPr="00375799" w:rsidRDefault="006A5AF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Dane zbierane przez NBP do celów wynikających z realizacji zadań określonych w art. 3 ust. 2 pkt 6a i 7 ustawy o NBP, z chwilą ich zebrania przez NBP, stają się danymi objętymi tajemnicą określoną w art. 23 ust. 6 ustawy o NBP, co zapewnia pewność nieudostępniania ich </w:t>
      </w:r>
      <w:r w:rsidRPr="00375799">
        <w:rPr>
          <w:rFonts w:cstheme="minorHAnsi"/>
          <w:color w:val="000000" w:themeColor="text1"/>
          <w:sz w:val="24"/>
          <w:szCs w:val="24"/>
        </w:rPr>
        <w:lastRenderedPageBreak/>
        <w:t>osobom trzecim. Dodatkowo należy zauważyć, że udostępnianie tych danych zostało poddane ścisłej reglamentacji prawnej poprzez wskazanie wyjątków w ustawie o NBP, określających w jakich sytuacjach mogą być one udostępniane. Podnieść jednocześnie należy, iż dane osobowe są integralną częścią zbieranych, opracowywanych, gromadzonych i przechowywanych danych statystycznych.</w:t>
      </w:r>
    </w:p>
    <w:p w14:paraId="6B69F807" w14:textId="7180E6CA" w:rsidR="006A5AF9" w:rsidRPr="00375799" w:rsidRDefault="006A5AF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Ograniczenia dostępu do zbieranych przez NBP danych dotyczą danych jednostkowych, o których mowa w art. 23 ust. 2, 2a, 3 i 3a ustawy o NBP, a także zestawień statystycznych, opracowań i ocen, </w:t>
      </w:r>
      <w:r w:rsidR="005C78AA">
        <w:rPr>
          <w:rFonts w:cstheme="minorHAnsi"/>
          <w:color w:val="000000" w:themeColor="text1"/>
          <w:sz w:val="24"/>
          <w:szCs w:val="24"/>
        </w:rPr>
        <w:t>o których mowa w art. 23 ust. 6</w:t>
      </w:r>
      <w:r w:rsidRPr="00375799">
        <w:rPr>
          <w:rFonts w:cstheme="minorHAnsi"/>
          <w:color w:val="000000" w:themeColor="text1"/>
          <w:sz w:val="24"/>
          <w:szCs w:val="24"/>
        </w:rPr>
        <w:t xml:space="preserve"> NBP będąc członkiem Europejskiego Systemu Banków Centralnych podlega reżimowi rozporządzenia Rady (WE) nr 2533/98 z dnia 23 listopada 1998 r. dotyczącego zbierania informacji statystycznych przez Europejski Bank Centralny. Zgodnie z art. 8 pkt 1 tego rozporządzenia ESBC wykorzystuje poufne informacje statystyczne wyłącznie w celu realizacji zadań ESBC, z wyjątkiem przypadków enumeratywnie wskazanych w treści tego przepisu. W ramach owych wyjątków nie zostało ujęte przekazywanie posiadanych danych jakimkolwiek podmiotom właściwym w przedmiocie ochrony danych osobowych. W konsekwencji powyższego, w projekcie ustawy wyłączono przewidziane w art. 64 ustawy o ochronie danych osobowych uprawnienie Prezesa Urzędu Ochrony Danych Osobowych</w:t>
      </w:r>
      <w:r w:rsidR="000C6EF8">
        <w:rPr>
          <w:rFonts w:cstheme="minorHAnsi"/>
          <w:color w:val="000000" w:themeColor="text1"/>
          <w:sz w:val="24"/>
          <w:szCs w:val="24"/>
        </w:rPr>
        <w:t xml:space="preserve"> do</w:t>
      </w:r>
      <w:r w:rsidRPr="00375799">
        <w:rPr>
          <w:rFonts w:cstheme="minorHAnsi"/>
          <w:color w:val="000000" w:themeColor="text1"/>
          <w:sz w:val="24"/>
          <w:szCs w:val="24"/>
        </w:rPr>
        <w:t xml:space="preserve"> dostępu do informacji objętych tajemnicą prawnie chronioną (poprzez wyłączenie prawa dostępu do danych jednostkowych, o których mowa w art. 23 ust. 2, 2a, 3 i 3a, zestawień statystycznych, opracowań i ocen, o których mowa w art. 23 ust. 6).</w:t>
      </w:r>
    </w:p>
    <w:p w14:paraId="5B5D056D" w14:textId="619025C7" w:rsidR="006A5AF9" w:rsidRPr="00375799" w:rsidRDefault="006A5AF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projekcie nie proponuje się wyłączenia uprawnienia wskazanego w art. 15 ust. 3 </w:t>
      </w:r>
      <w:r w:rsidR="00FE0F02">
        <w:rPr>
          <w:rFonts w:cstheme="minorHAnsi"/>
          <w:color w:val="000000" w:themeColor="text1"/>
          <w:sz w:val="24"/>
          <w:szCs w:val="24"/>
        </w:rPr>
        <w:t>RODO</w:t>
      </w:r>
      <w:r w:rsidRPr="00375799">
        <w:rPr>
          <w:rFonts w:cstheme="minorHAnsi"/>
          <w:color w:val="000000" w:themeColor="text1"/>
          <w:sz w:val="24"/>
          <w:szCs w:val="24"/>
        </w:rPr>
        <w:t>, dotyczącego przekazywania kopii danych, ale wskazuje się na szczególną, wynikającą ze sposobu przekazywania sprawozdawczości do NBP, metodę pozyskiwania kopii danych osobowych przetwarzanych przez NBP, bezpośrednio przez osoby uprawnione u podmiotów zbierających ich dane osobowe. Powyższe rozwiązanie wydaje się uzasadnione również z uwagi na to, że część danych pozyskiwanych przez NBP jest dodatkowo chroniona tajemnicą bankową i innymi tajemnicami uregulowanymi ustawowo, a zakres tych danych jest rozległy i są to dane przechowywane w różnych systemach informatycznych. Osoba, której dane dotyczą, może zwrócić się wprost do właściwego podmiotu, który w zaproponowanym trybie ma bezpośrednią możliwość pozyskania kopii takich danych. Podkreślenia wymaga, że zaproponowane rozwiązanie nie będzie rodziło żadnego niebezpieczeństwa powstania szkód osób, których dane są przetwarzane przez NBP.</w:t>
      </w:r>
    </w:p>
    <w:p w14:paraId="1AA5FB32" w14:textId="77777777" w:rsidR="006A5AF9" w:rsidRPr="00375799" w:rsidRDefault="006A5AF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Okres retencji danych osobowych określony został poprzez odwołanie do zadań NBP. Dane osobowe przetwarzane przez NBP mają być przechowywane wyłącznie przez okres niezbędny do realizacji zadań NBP. Okres przechowywania danych osobowych ustala administrator danych zgodnie z celami ich przetwarzania, biorąc pod uwagę przepisy odrębne dotyczące terminów. Odwołanie w omawianym zakresie do zadań NBP skutkuje koniecznością wskazania okresu przeglądu przetwarzanych danych osobowych. W projekcie zaproponowano, że NBP dokonuje przeglądu danych osobowych, które odbywają się co 5 lat. </w:t>
      </w:r>
    </w:p>
    <w:p w14:paraId="6CA26369" w14:textId="74FC34F2" w:rsidR="006A5AF9" w:rsidRPr="00375799" w:rsidRDefault="006A5AF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Ponadto specyfika operacji realizowanych przez NBP wymaga niezaprzeczalnej weryfikacji uprawnień związanych z dostępem do krytycznych pomieszczeń</w:t>
      </w:r>
      <w:r w:rsidR="000C6EF8">
        <w:rPr>
          <w:rFonts w:cstheme="minorHAnsi"/>
          <w:color w:val="000000" w:themeColor="text1"/>
          <w:sz w:val="24"/>
          <w:szCs w:val="24"/>
        </w:rPr>
        <w:t>,</w:t>
      </w:r>
      <w:r w:rsidRPr="00375799">
        <w:rPr>
          <w:rFonts w:cstheme="minorHAnsi"/>
          <w:color w:val="000000" w:themeColor="text1"/>
          <w:sz w:val="24"/>
          <w:szCs w:val="24"/>
        </w:rPr>
        <w:t xml:space="preserve"> jakimi są </w:t>
      </w:r>
      <w:r w:rsidRPr="00375799">
        <w:rPr>
          <w:rFonts w:cstheme="minorHAnsi"/>
          <w:color w:val="000000" w:themeColor="text1"/>
          <w:sz w:val="24"/>
          <w:szCs w:val="24"/>
        </w:rPr>
        <w:lastRenderedPageBreak/>
        <w:t>serwerownie oraz pomieszczenia, w których następuje przekazanie wartości pieniężnych transportowanych przez podmioty pozostające w relacjach z NBP. W takich przypadkach stosowane są szczególne wymogi bezpieczeństwa, w których inne metody weryfikacji mogłyby okazać się zawodne. Zaproponowany</w:t>
      </w:r>
      <w:r w:rsidR="00FE0F02">
        <w:rPr>
          <w:rFonts w:cstheme="minorHAnsi"/>
          <w:color w:val="000000" w:themeColor="text1"/>
          <w:sz w:val="24"/>
          <w:szCs w:val="24"/>
        </w:rPr>
        <w:t xml:space="preserve"> w projektowanym art. 59a ust. 6</w:t>
      </w:r>
      <w:r w:rsidRPr="00375799">
        <w:rPr>
          <w:rFonts w:cstheme="minorHAnsi"/>
          <w:color w:val="000000" w:themeColor="text1"/>
          <w:sz w:val="24"/>
          <w:szCs w:val="24"/>
        </w:rPr>
        <w:t xml:space="preserve"> katalog danych biometrycznych ogranicza cel ich przetwarzania jedynie do zapewnienia wysokich standardów wymogów bezpieczeństwa związanych z kontrolą dostępu do informacji oraz pomieszczeń. Realizacja powyższego jest kluczowa ze względu na zadania określone w art. 3 ustawy o Narodowym Banku Polskim. Wprowadzenie przedmiotowego przepisu wyeliminowałoby wątpliwości interpretacyjne oraz praktyczne związane z przetwarzaniem danych biometrycznych w przedstawionym powyżej celu. Powyższe realizować będzie dyspozycję art. 9 ust. 2 lit</w:t>
      </w:r>
      <w:r w:rsidR="000C6EF8">
        <w:rPr>
          <w:rFonts w:cstheme="minorHAnsi"/>
          <w:color w:val="000000" w:themeColor="text1"/>
          <w:sz w:val="24"/>
          <w:szCs w:val="24"/>
        </w:rPr>
        <w:t>.</w:t>
      </w:r>
      <w:r w:rsidRPr="00375799">
        <w:rPr>
          <w:rFonts w:cstheme="minorHAnsi"/>
          <w:color w:val="000000" w:themeColor="text1"/>
          <w:sz w:val="24"/>
          <w:szCs w:val="24"/>
        </w:rPr>
        <w:t xml:space="preserve"> g </w:t>
      </w:r>
      <w:r w:rsidR="00FE0F02">
        <w:rPr>
          <w:rFonts w:cstheme="minorHAnsi"/>
          <w:color w:val="000000" w:themeColor="text1"/>
          <w:sz w:val="24"/>
          <w:szCs w:val="24"/>
        </w:rPr>
        <w:t>RODO</w:t>
      </w:r>
      <w:r w:rsidRPr="00375799">
        <w:rPr>
          <w:rFonts w:cstheme="minorHAnsi"/>
          <w:color w:val="000000" w:themeColor="text1"/>
          <w:sz w:val="24"/>
          <w:szCs w:val="24"/>
        </w:rPr>
        <w:t xml:space="preserve">, ponieważ działania NBP realizowane są w związku z ważnym interesem publicznym, jakim jest funkcjonowanie banku centralnego Rzeczypospolitej Polskiej. Ponadto działania NBP związane są z koniecznością zapewnienia bezpieczeństwa przy realizacji zadań nałożonych przez ustawodawcę w art. 3 ustawy o NBP. Jednocześnie, ze względu na konstrukcję proponowanych </w:t>
      </w:r>
      <w:r w:rsidR="00FE0F02">
        <w:rPr>
          <w:rFonts w:cstheme="minorHAnsi"/>
          <w:color w:val="000000" w:themeColor="text1"/>
          <w:sz w:val="24"/>
          <w:szCs w:val="24"/>
        </w:rPr>
        <w:t>przepisów</w:t>
      </w:r>
      <w:r w:rsidRPr="00375799">
        <w:rPr>
          <w:rFonts w:cstheme="minorHAnsi"/>
          <w:color w:val="000000" w:themeColor="text1"/>
          <w:sz w:val="24"/>
          <w:szCs w:val="24"/>
        </w:rPr>
        <w:t>, nie będą one naruszać istoty prawa do ochrony danych i przewidują odpowiednie i konkretne środki ochrony praw podstawowych i interesów osób, których dane dotyczą.</w:t>
      </w:r>
    </w:p>
    <w:p w14:paraId="2A10C8E5" w14:textId="6A074F58" w:rsidR="00C61AD2" w:rsidRPr="00375799" w:rsidRDefault="00C61AD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projekcie przewidziano także, że dane osobowe, przetwarzane przez NBP</w:t>
      </w:r>
      <w:r w:rsidR="00FE0F02">
        <w:rPr>
          <w:rFonts w:cstheme="minorHAnsi"/>
          <w:color w:val="000000" w:themeColor="text1"/>
          <w:sz w:val="24"/>
          <w:szCs w:val="24"/>
        </w:rPr>
        <w:t>,</w:t>
      </w:r>
      <w:r w:rsidRPr="00375799">
        <w:rPr>
          <w:rFonts w:cstheme="minorHAnsi"/>
          <w:color w:val="000000" w:themeColor="text1"/>
          <w:sz w:val="24"/>
          <w:szCs w:val="24"/>
        </w:rPr>
        <w:t xml:space="preserve"> będą podlegać zabezpieczeniom zapobiegającym nadużyciom lub niezgodnemu z prawem dostępowi lub przekazywaniu polegającym co najmniej na:</w:t>
      </w:r>
    </w:p>
    <w:p w14:paraId="60F7B116" w14:textId="77777777" w:rsidR="00C61AD2" w:rsidRPr="00375799" w:rsidRDefault="00C61AD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w:t>
      </w:r>
      <w:r w:rsidRPr="00375799">
        <w:rPr>
          <w:rFonts w:cstheme="minorHAnsi"/>
          <w:color w:val="000000" w:themeColor="text1"/>
          <w:sz w:val="24"/>
          <w:szCs w:val="24"/>
        </w:rPr>
        <w:tab/>
        <w:t>dopuszczeniu przez administratora danych do przetwarzania danych osobowych wyłącznie osób do tego uprawnionych;</w:t>
      </w:r>
    </w:p>
    <w:p w14:paraId="1951862A" w14:textId="77777777" w:rsidR="00C61AD2" w:rsidRPr="00375799" w:rsidRDefault="00C61AD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w:t>
      </w:r>
      <w:r w:rsidRPr="00375799">
        <w:rPr>
          <w:rFonts w:cstheme="minorHAnsi"/>
          <w:color w:val="000000" w:themeColor="text1"/>
          <w:sz w:val="24"/>
          <w:szCs w:val="24"/>
        </w:rPr>
        <w:tab/>
        <w:t>pisemnym zobowiązaniu osób upoważnionych do przetwarzania danych osobowych do zachowania ich w tajemnicy;</w:t>
      </w:r>
    </w:p>
    <w:p w14:paraId="6794C5AF" w14:textId="77777777" w:rsidR="00C61AD2" w:rsidRPr="00375799" w:rsidRDefault="00C61AD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w:t>
      </w:r>
      <w:r w:rsidRPr="00375799">
        <w:rPr>
          <w:rFonts w:cstheme="minorHAnsi"/>
          <w:color w:val="000000" w:themeColor="text1"/>
          <w:sz w:val="24"/>
          <w:szCs w:val="24"/>
        </w:rPr>
        <w:tab/>
        <w:t>regularnym testowaniu i doskonaleniu stosowanych środków technicznych i organizacyjnych;</w:t>
      </w:r>
    </w:p>
    <w:p w14:paraId="5170AEE7" w14:textId="77777777" w:rsidR="00C61AD2" w:rsidRPr="00375799" w:rsidRDefault="00C61AD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4)</w:t>
      </w:r>
      <w:r w:rsidRPr="00375799">
        <w:rPr>
          <w:rFonts w:cstheme="minorHAnsi"/>
          <w:color w:val="000000" w:themeColor="text1"/>
          <w:sz w:val="24"/>
          <w:szCs w:val="24"/>
        </w:rPr>
        <w:tab/>
        <w:t>zapewnieniu bezpiecznej komunikacji w sieciach teleinformatycznych, w szczególności poprzez zagwarantowanie, by proces pozyskiwania i przekazywania danych osobowych podmiotom zewnętrznym wykorzystywał techniki kryptograficzne;</w:t>
      </w:r>
    </w:p>
    <w:p w14:paraId="6AF2B612" w14:textId="77777777" w:rsidR="00C61AD2" w:rsidRPr="00375799" w:rsidRDefault="00C61AD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5)</w:t>
      </w:r>
      <w:r w:rsidRPr="00375799">
        <w:rPr>
          <w:rFonts w:cstheme="minorHAnsi"/>
          <w:color w:val="000000" w:themeColor="text1"/>
          <w:sz w:val="24"/>
          <w:szCs w:val="24"/>
        </w:rPr>
        <w:tab/>
        <w:t>zapewnieniu ochrony przed nieuprawnionym dostępem do systemów informatycznych NBP;</w:t>
      </w:r>
    </w:p>
    <w:p w14:paraId="7C3FCECA" w14:textId="77777777" w:rsidR="00C61AD2" w:rsidRPr="00375799" w:rsidRDefault="00C61AD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6)</w:t>
      </w:r>
      <w:r w:rsidRPr="00375799">
        <w:rPr>
          <w:rFonts w:cstheme="minorHAnsi"/>
          <w:color w:val="000000" w:themeColor="text1"/>
          <w:sz w:val="24"/>
          <w:szCs w:val="24"/>
        </w:rPr>
        <w:tab/>
        <w:t>zapewnieniu integralności danych w systemach informatycznych NBP;</w:t>
      </w:r>
    </w:p>
    <w:p w14:paraId="24908921" w14:textId="36ED1E22" w:rsidR="00C61AD2" w:rsidRPr="00375799" w:rsidRDefault="00C61AD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7)</w:t>
      </w:r>
      <w:r w:rsidRPr="00375799">
        <w:rPr>
          <w:rFonts w:cstheme="minorHAnsi"/>
          <w:color w:val="000000" w:themeColor="text1"/>
          <w:sz w:val="24"/>
          <w:szCs w:val="24"/>
        </w:rPr>
        <w:tab/>
        <w:t>określeniu zasad bezpieczeństwa przetwarzanych danych osobowych.</w:t>
      </w:r>
    </w:p>
    <w:p w14:paraId="4134CFAB" w14:textId="77777777" w:rsidR="0058782F" w:rsidRPr="00375799" w:rsidRDefault="0058782F" w:rsidP="0055107B">
      <w:pPr>
        <w:spacing w:after="0" w:line="276" w:lineRule="auto"/>
        <w:ind w:left="57" w:right="57"/>
        <w:contextualSpacing/>
        <w:jc w:val="both"/>
        <w:rPr>
          <w:rFonts w:cstheme="minorHAnsi"/>
          <w:color w:val="000000" w:themeColor="text1"/>
          <w:sz w:val="24"/>
          <w:szCs w:val="24"/>
        </w:rPr>
      </w:pPr>
    </w:p>
    <w:p w14:paraId="220FB62E" w14:textId="7FE17671" w:rsidR="008706DD" w:rsidRPr="00375799" w:rsidRDefault="00453774"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49" w:name="_Toc530565021"/>
      <w:r w:rsidRPr="00375799">
        <w:rPr>
          <w:rFonts w:asciiTheme="minorHAnsi" w:hAnsiTheme="minorHAnsi" w:cstheme="minorHAnsi"/>
          <w:color w:val="000000" w:themeColor="text1"/>
          <w:sz w:val="24"/>
          <w:szCs w:val="24"/>
        </w:rPr>
        <w:t xml:space="preserve">Ustawa </w:t>
      </w:r>
      <w:r w:rsidR="008706DD" w:rsidRPr="00375799">
        <w:rPr>
          <w:rFonts w:asciiTheme="minorHAnsi" w:hAnsiTheme="minorHAnsi" w:cstheme="minorHAnsi"/>
          <w:color w:val="000000" w:themeColor="text1"/>
          <w:sz w:val="24"/>
          <w:szCs w:val="24"/>
        </w:rPr>
        <w:t xml:space="preserve">z dnia 29 sierpnia 1997 r. </w:t>
      </w:r>
      <w:r w:rsidR="00CF7B15">
        <w:rPr>
          <w:rFonts w:asciiTheme="minorHAnsi" w:hAnsiTheme="minorHAnsi" w:cstheme="minorHAnsi"/>
          <w:color w:val="000000" w:themeColor="text1"/>
          <w:sz w:val="24"/>
          <w:szCs w:val="24"/>
        </w:rPr>
        <w:t>–</w:t>
      </w:r>
      <w:r w:rsidR="008706DD" w:rsidRPr="00375799">
        <w:rPr>
          <w:rFonts w:asciiTheme="minorHAnsi" w:hAnsiTheme="minorHAnsi" w:cstheme="minorHAnsi"/>
          <w:color w:val="000000" w:themeColor="text1"/>
          <w:sz w:val="24"/>
          <w:szCs w:val="24"/>
        </w:rPr>
        <w:t xml:space="preserve"> Prawo bankowe</w:t>
      </w:r>
      <w:r w:rsidR="00532795" w:rsidRPr="00375799">
        <w:rPr>
          <w:rFonts w:asciiTheme="minorHAnsi" w:hAnsiTheme="minorHAnsi" w:cstheme="minorHAnsi"/>
          <w:color w:val="000000" w:themeColor="text1"/>
          <w:sz w:val="24"/>
          <w:szCs w:val="24"/>
        </w:rPr>
        <w:t xml:space="preserve"> </w:t>
      </w:r>
      <w:r w:rsidR="00532795" w:rsidRPr="00375799">
        <w:rPr>
          <w:rStyle w:val="Kkursywa"/>
          <w:rFonts w:asciiTheme="minorHAnsi" w:hAnsiTheme="minorHAnsi" w:cstheme="minorHAnsi"/>
          <w:i w:val="0"/>
          <w:color w:val="000000" w:themeColor="text1"/>
          <w:sz w:val="24"/>
          <w:szCs w:val="24"/>
        </w:rPr>
        <w:t>(</w:t>
      </w:r>
      <w:r w:rsidR="00532795" w:rsidRPr="00375799">
        <w:rPr>
          <w:rFonts w:asciiTheme="minorHAnsi" w:hAnsiTheme="minorHAnsi" w:cstheme="minorHAnsi"/>
          <w:color w:val="000000" w:themeColor="text1"/>
          <w:sz w:val="24"/>
          <w:szCs w:val="24"/>
        </w:rPr>
        <w:t>Dz. U. z 2017 r. poz. 1876, z późn. zm</w:t>
      </w:r>
      <w:r w:rsidR="000C6EF8">
        <w:rPr>
          <w:rFonts w:asciiTheme="minorHAnsi" w:hAnsiTheme="minorHAnsi" w:cstheme="minorHAnsi"/>
          <w:color w:val="000000" w:themeColor="text1"/>
          <w:sz w:val="24"/>
          <w:szCs w:val="24"/>
        </w:rPr>
        <w:t>.</w:t>
      </w:r>
      <w:r w:rsidR="00532795" w:rsidRPr="00375799">
        <w:rPr>
          <w:rFonts w:asciiTheme="minorHAnsi" w:hAnsiTheme="minorHAnsi" w:cstheme="minorHAnsi"/>
          <w:color w:val="000000" w:themeColor="text1"/>
          <w:sz w:val="24"/>
          <w:szCs w:val="24"/>
        </w:rPr>
        <w:t>)</w:t>
      </w:r>
      <w:bookmarkEnd w:id="49"/>
      <w:r w:rsidR="00CF7B15">
        <w:rPr>
          <w:rFonts w:asciiTheme="minorHAnsi" w:hAnsiTheme="minorHAnsi" w:cstheme="minorHAnsi"/>
          <w:color w:val="000000" w:themeColor="text1"/>
          <w:sz w:val="24"/>
          <w:szCs w:val="24"/>
        </w:rPr>
        <w:t xml:space="preserve"> </w:t>
      </w:r>
    </w:p>
    <w:p w14:paraId="4FCCBB22"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w:t>
      </w:r>
    </w:p>
    <w:p w14:paraId="39C12A67" w14:textId="4AF61AFC"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Zmiana w art. 4 </w:t>
      </w:r>
      <w:r w:rsidR="007F724E">
        <w:rPr>
          <w:rFonts w:cstheme="minorHAnsi"/>
          <w:color w:val="000000" w:themeColor="text1"/>
          <w:sz w:val="24"/>
          <w:szCs w:val="24"/>
        </w:rPr>
        <w:t>–</w:t>
      </w:r>
      <w:r w:rsidRPr="00375799">
        <w:rPr>
          <w:rFonts w:cstheme="minorHAnsi"/>
          <w:color w:val="000000" w:themeColor="text1"/>
          <w:sz w:val="24"/>
          <w:szCs w:val="24"/>
        </w:rPr>
        <w:t xml:space="preserve"> Proponowane uzupełnienie tzw. słowniczka do ustawy wynika z konieczności uwzględnienia odwołań do przepisów RODO w regulacjach ustawy </w:t>
      </w:r>
      <w:r w:rsidR="007F724E">
        <w:rPr>
          <w:rFonts w:cstheme="minorHAnsi"/>
          <w:color w:val="000000" w:themeColor="text1"/>
          <w:sz w:val="24"/>
          <w:szCs w:val="24"/>
        </w:rPr>
        <w:t>–</w:t>
      </w:r>
      <w:r w:rsidRPr="00375799">
        <w:rPr>
          <w:rFonts w:cstheme="minorHAnsi"/>
          <w:color w:val="000000" w:themeColor="text1"/>
          <w:sz w:val="24"/>
          <w:szCs w:val="24"/>
        </w:rPr>
        <w:t xml:space="preserve"> Prawo bankowe.</w:t>
      </w:r>
    </w:p>
    <w:p w14:paraId="41F71385" w14:textId="3C7EFC60" w:rsidR="00D818A9" w:rsidRPr="00375799" w:rsidRDefault="00FE0F02"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lastRenderedPageBreak/>
        <w:t xml:space="preserve">Zmiana w art. 22aa – </w:t>
      </w:r>
      <w:r w:rsidR="00D818A9" w:rsidRPr="00375799">
        <w:rPr>
          <w:rFonts w:cstheme="minorHAnsi"/>
          <w:color w:val="000000" w:themeColor="text1"/>
          <w:sz w:val="24"/>
          <w:szCs w:val="24"/>
        </w:rPr>
        <w:t xml:space="preserve">Wprowadzono przepisy określające katalog danych, do których </w:t>
      </w:r>
      <w:r w:rsidR="0073692F">
        <w:rPr>
          <w:rFonts w:cstheme="minorHAnsi"/>
          <w:color w:val="000000" w:themeColor="text1"/>
          <w:sz w:val="24"/>
          <w:szCs w:val="24"/>
        </w:rPr>
        <w:t>przetwarzania</w:t>
      </w:r>
      <w:r w:rsidR="00D818A9" w:rsidRPr="00375799">
        <w:rPr>
          <w:rFonts w:cstheme="minorHAnsi"/>
          <w:color w:val="000000" w:themeColor="text1"/>
          <w:sz w:val="24"/>
          <w:szCs w:val="24"/>
        </w:rPr>
        <w:t xml:space="preserve"> uprawniony jest bank w celu badania rękojmi, którą powinni dawać członkowie zarządu i rady nadzorczej ba</w:t>
      </w:r>
      <w:r w:rsidR="007F724E">
        <w:rPr>
          <w:rFonts w:cstheme="minorHAnsi"/>
          <w:color w:val="000000" w:themeColor="text1"/>
          <w:sz w:val="24"/>
          <w:szCs w:val="24"/>
        </w:rPr>
        <w:t>nku (rękojmia ta obejmuje m.in.</w:t>
      </w:r>
      <w:r w:rsidR="00D818A9" w:rsidRPr="00375799">
        <w:rPr>
          <w:rFonts w:cstheme="minorHAnsi"/>
          <w:color w:val="000000" w:themeColor="text1"/>
          <w:sz w:val="24"/>
          <w:szCs w:val="24"/>
        </w:rPr>
        <w:t xml:space="preserve"> wiedzę, umiejętności i doświadczenie, odpowiednie do pełnionych przez nich funkcji i powierzonych im obowiązków). Wskazano też że rękojmia odnosi się w szczególności do reputacji, uczciwości i rzetelności danej osoby oraz zdolności do prowadzenia spraw banku w sposób ostrożny i stabilny. Wskazano też, że w celu zapewnienia ostrożnego i stabilnego zarządzania bankiem, bank identyfikuje inne niż kluczowe funkcje w banku, z którymi związany jest zakres obowiązków, uprawnień i odpowiedzialności umożliwiający wywieranie znaczącego wpływu na kierowanie bankiem. Bank zapewnia, że osoby pełniące te funkcje spełniają odpowiednio wymagania dotyczące reputacji, uczciwości i rzetelności danej osoby oraz zdolności do prowadzenia spraw banku w sposób ostrożny i stabilny.  Wskazano, iż w celu badania rękojmi bank żąda</w:t>
      </w:r>
      <w:r>
        <w:rPr>
          <w:rFonts w:cstheme="minorHAnsi"/>
          <w:color w:val="000000" w:themeColor="text1"/>
          <w:sz w:val="24"/>
          <w:szCs w:val="24"/>
        </w:rPr>
        <w:t>:</w:t>
      </w:r>
      <w:r w:rsidR="00D818A9" w:rsidRPr="00375799">
        <w:rPr>
          <w:rFonts w:cstheme="minorHAnsi"/>
          <w:color w:val="000000" w:themeColor="text1"/>
          <w:sz w:val="24"/>
          <w:szCs w:val="24"/>
        </w:rPr>
        <w:t xml:space="preserve"> </w:t>
      </w:r>
    </w:p>
    <w:p w14:paraId="1F77CFB2" w14:textId="5A8C1042" w:rsidR="00D818A9" w:rsidRPr="00375799" w:rsidRDefault="00D818A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1) dokumentów lub oświadczeń dotyczących zmiany imienia, nazwiska lub obywatelstwa </w:t>
      </w:r>
      <w:r w:rsidR="00FE0F02">
        <w:rPr>
          <w:rFonts w:cstheme="minorHAnsi"/>
          <w:color w:val="000000" w:themeColor="text1"/>
          <w:sz w:val="24"/>
          <w:szCs w:val="24"/>
        </w:rPr>
        <w:t>oraz</w:t>
      </w:r>
      <w:r w:rsidRPr="00375799">
        <w:rPr>
          <w:rFonts w:cstheme="minorHAnsi"/>
          <w:color w:val="000000" w:themeColor="text1"/>
          <w:sz w:val="24"/>
          <w:szCs w:val="24"/>
        </w:rPr>
        <w:t xml:space="preserve"> sytuacji materialnej i stanu majątku;</w:t>
      </w:r>
    </w:p>
    <w:p w14:paraId="527440BD" w14:textId="1E3935D0" w:rsidR="00D818A9" w:rsidRPr="00375799" w:rsidRDefault="00D818A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 informacji niezbędnych do oceny rękojmi dotyczących: miejsca zamieszkania lub pobytu, wykształcenia, zawodu, umiejętności i doświadczenia zawodowego, w tym dotychczasowego przebiegu pracy zawodowej, ukończonych szkoleń zawodowych, miejsca i stanowiska pracy, funkcji pełnionych w organach podmiotów sektora finansowego;  postępowań karnych i postępowań w sprawach o przestępstwa skarbowe prowadzonych przeciwko kandydatowi lub osobie ubiegającej się o pełnienie klu</w:t>
      </w:r>
      <w:r w:rsidR="00FE42E3">
        <w:rPr>
          <w:rFonts w:cstheme="minorHAnsi"/>
          <w:color w:val="000000" w:themeColor="text1"/>
          <w:sz w:val="24"/>
          <w:szCs w:val="24"/>
        </w:rPr>
        <w:t xml:space="preserve">czowej funkcji w banku albo </w:t>
      </w:r>
      <w:r w:rsidRPr="00375799">
        <w:rPr>
          <w:rFonts w:cstheme="minorHAnsi"/>
          <w:color w:val="000000" w:themeColor="text1"/>
          <w:sz w:val="24"/>
          <w:szCs w:val="24"/>
        </w:rPr>
        <w:t>nałożonych sankcji administracyjnych</w:t>
      </w:r>
      <w:r w:rsidR="00FE0F02">
        <w:rPr>
          <w:rFonts w:cstheme="minorHAnsi"/>
          <w:color w:val="000000" w:themeColor="text1"/>
          <w:sz w:val="24"/>
          <w:szCs w:val="24"/>
        </w:rPr>
        <w:t>,</w:t>
      </w:r>
      <w:r w:rsidRPr="00375799">
        <w:rPr>
          <w:rFonts w:cstheme="minorHAnsi"/>
          <w:color w:val="000000" w:themeColor="text1"/>
          <w:sz w:val="24"/>
          <w:szCs w:val="24"/>
        </w:rPr>
        <w:t xml:space="preserve"> </w:t>
      </w:r>
      <w:r w:rsidR="00FE0F02">
        <w:rPr>
          <w:rFonts w:cstheme="minorHAnsi"/>
          <w:color w:val="000000" w:themeColor="text1"/>
          <w:sz w:val="24"/>
          <w:szCs w:val="24"/>
        </w:rPr>
        <w:t>s</w:t>
      </w:r>
      <w:r w:rsidRPr="00375799">
        <w:rPr>
          <w:rFonts w:cstheme="minorHAnsi"/>
          <w:color w:val="000000" w:themeColor="text1"/>
          <w:sz w:val="24"/>
          <w:szCs w:val="24"/>
        </w:rPr>
        <w:t>ankcji administracyjnych nałożonych na inne podmioty w związku z zakresem odpowiedzialności kandydata lub osoby ubiegającej się o pełnienie kluczowej funkcji w banku</w:t>
      </w:r>
      <w:r w:rsidR="00FE0F02">
        <w:rPr>
          <w:rFonts w:cstheme="minorHAnsi"/>
          <w:color w:val="000000" w:themeColor="text1"/>
          <w:sz w:val="24"/>
          <w:szCs w:val="24"/>
        </w:rPr>
        <w:t>,</w:t>
      </w:r>
      <w:r w:rsidRPr="00375799">
        <w:rPr>
          <w:rFonts w:cstheme="minorHAnsi"/>
          <w:color w:val="000000" w:themeColor="text1"/>
          <w:sz w:val="24"/>
          <w:szCs w:val="24"/>
        </w:rPr>
        <w:t xml:space="preserve"> </w:t>
      </w:r>
      <w:r w:rsidR="00FE0F02">
        <w:rPr>
          <w:rFonts w:cstheme="minorHAnsi"/>
          <w:color w:val="000000" w:themeColor="text1"/>
          <w:sz w:val="24"/>
          <w:szCs w:val="24"/>
        </w:rPr>
        <w:t>p</w:t>
      </w:r>
      <w:r w:rsidRPr="00375799">
        <w:rPr>
          <w:rFonts w:cstheme="minorHAnsi"/>
          <w:color w:val="000000" w:themeColor="text1"/>
          <w:sz w:val="24"/>
          <w:szCs w:val="24"/>
        </w:rPr>
        <w:t>ostępowań sądowych, które mogą mieć negatywny wpływ na reputację kandydata lub osoby ubiegającej się o pełnienie kluczowej funkcji w banku, oraz postępowań administracyjnych, dyscyplinarnych lub egzekucyjnych, w których występował lub występuje jako strona; znajomości języka polskiego oraz języków obcych;</w:t>
      </w:r>
      <w:r w:rsidR="00FE0F02">
        <w:rPr>
          <w:rFonts w:cstheme="minorHAnsi"/>
          <w:color w:val="000000" w:themeColor="text1"/>
          <w:sz w:val="24"/>
          <w:szCs w:val="24"/>
        </w:rPr>
        <w:t xml:space="preserve"> </w:t>
      </w:r>
      <w:r w:rsidRPr="00375799">
        <w:rPr>
          <w:rFonts w:cstheme="minorHAnsi"/>
          <w:color w:val="000000" w:themeColor="text1"/>
          <w:sz w:val="24"/>
          <w:szCs w:val="24"/>
        </w:rPr>
        <w:t>sposobu działania w życiu, środowisku i kontaktach zawodowych oraz sposobu zachowania się wobec osób pokrzywdzonych przez jego działania.</w:t>
      </w:r>
    </w:p>
    <w:p w14:paraId="07F2588B" w14:textId="7A7EBF1B" w:rsidR="00F93DA0" w:rsidRPr="00375799" w:rsidRDefault="00D818A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Wskazane powyżej dane osobowe przechowuje się nie dłużej niż przez okres 25 lat.</w:t>
      </w:r>
    </w:p>
    <w:p w14:paraId="036860CB" w14:textId="13DA2FCF" w:rsidR="00D818A9" w:rsidRPr="00375799" w:rsidRDefault="00D818A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Wskazany zakres danych oraz okres ich przechowywania jest niezbędny dla prawidłowego badania rękojmi osób, które mają istotny wpływ na sektor finansowy w kraju i  dopuszczeniu do zajmowania funkcji w tym wrażliwym sektorze tylko osób, które w całym swoim życiu zawodowym wykazały się odpowiednim doświadczeniem i postawą. </w:t>
      </w:r>
    </w:p>
    <w:p w14:paraId="773B776D" w14:textId="0B07A201"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Korekta brzmienia art. 105 ust. 1 pkt lit. u ma charakter legislacyjny i wynika z proponowanych zmian ustawy o BFG. W art. 42 ustawy o BFG uchyla się ust. 4, ponieważ dotychczasowa treść tego przepisu zostaje odzwierciedlona w ramach zmian zawartych w pkt 1 (dodanie art. 5a) i 3 (dodanie ust. 2a w art. 45).  Ze zmianą polegającą na uchyleniu art. 42 ust. 4 związana jest korekta w art. 105 w ust. 1 w pkt 2 ustawy </w:t>
      </w:r>
      <w:r w:rsidR="007F724E">
        <w:rPr>
          <w:rFonts w:cstheme="minorHAnsi"/>
          <w:color w:val="000000" w:themeColor="text1"/>
          <w:sz w:val="24"/>
          <w:szCs w:val="24"/>
        </w:rPr>
        <w:t xml:space="preserve">– </w:t>
      </w:r>
      <w:r w:rsidRPr="00375799">
        <w:rPr>
          <w:rFonts w:cstheme="minorHAnsi"/>
          <w:color w:val="000000" w:themeColor="text1"/>
          <w:sz w:val="24"/>
          <w:szCs w:val="24"/>
        </w:rPr>
        <w:t>Prawo bankowe, poprzez odesłanie do nowej właściwej jednostki redakcyjnej nowelizowanej ustawy o BFG.</w:t>
      </w:r>
    </w:p>
    <w:p w14:paraId="3F6193DF" w14:textId="53118A92"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Zmiany w nowelizowanym art. 105a ustawy – Prawo bankowe  uwzględniają ciągły rozwój technologiczny polskiego sektora finansowego, a także konieczność dokonywania przez banki oceny zdolności kredytowej kredytobiorcy przed przyznawaniem kredytów oraz  efektywność tego procesu - projektodawca zdecydował o wprowadzeniu przepisu, na podstawie którego m.in. banki będą mogły podejmować decyzję, która opiera się wyłącznie na zautomatyzowanym przetwarzaniu danych, w tym profilowaniu (dodawany ust. 1a w art. 105a) w procesie dokonywania oceny zdolności kredytowej. Oznacza to, iż taka decyzja </w:t>
      </w:r>
      <w:r w:rsidR="007F724E">
        <w:rPr>
          <w:rFonts w:cstheme="minorHAnsi"/>
          <w:color w:val="000000" w:themeColor="text1"/>
          <w:sz w:val="24"/>
          <w:szCs w:val="24"/>
        </w:rPr>
        <w:t xml:space="preserve">w </w:t>
      </w:r>
      <w:r w:rsidRPr="00375799">
        <w:rPr>
          <w:rFonts w:cstheme="minorHAnsi"/>
          <w:color w:val="000000" w:themeColor="text1"/>
          <w:sz w:val="24"/>
          <w:szCs w:val="24"/>
        </w:rPr>
        <w:t xml:space="preserve">zakresie oceny zdolności kredytowej i analizy ryzyka kredytowego będzie mogła zostać podjęta bez zgody osoby, której dane dotyczą. Jednocześnie wprowadzono przepisy, których celem jest zapewnienie osobie fizycznej zarówno prawa do zakwestionowania takiej decyzji, prawa do wyrażenia własnego stanowiska w tej sprawie oraz do uzyskania interwencji ludzkiej. Ponadto kredytodawca będzie zobowiązany do przedstawienia </w:t>
      </w:r>
      <w:r w:rsidR="007F724E">
        <w:rPr>
          <w:rFonts w:cstheme="minorHAnsi"/>
          <w:color w:val="000000" w:themeColor="text1"/>
          <w:sz w:val="24"/>
          <w:szCs w:val="24"/>
        </w:rPr>
        <w:t>–</w:t>
      </w:r>
      <w:r w:rsidRPr="00375799">
        <w:rPr>
          <w:rFonts w:cstheme="minorHAnsi"/>
          <w:color w:val="000000" w:themeColor="text1"/>
          <w:sz w:val="24"/>
          <w:szCs w:val="24"/>
        </w:rPr>
        <w:t xml:space="preserve"> na wniosek osoby, której dane dotyczą </w:t>
      </w:r>
      <w:r w:rsidR="007F724E">
        <w:rPr>
          <w:rFonts w:cstheme="minorHAnsi"/>
          <w:color w:val="000000" w:themeColor="text1"/>
          <w:sz w:val="24"/>
          <w:szCs w:val="24"/>
        </w:rPr>
        <w:t>–</w:t>
      </w:r>
      <w:r w:rsidRPr="00375799">
        <w:rPr>
          <w:rFonts w:cstheme="minorHAnsi"/>
          <w:color w:val="000000" w:themeColor="text1"/>
          <w:sz w:val="24"/>
          <w:szCs w:val="24"/>
        </w:rPr>
        <w:t xml:space="preserve"> stosownych wyjaśnień co do podstaw decyzji, która została podjęta wyłącznie na podstawie zautomatyzowanego przetwarzania, w tym profilowania. </w:t>
      </w:r>
    </w:p>
    <w:p w14:paraId="1D72B4D8" w14:textId="37A08C06"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Powyższy przepis koresponduje z art. 22 ust. 2 lit. b RODO, który pozwala Państwom Członkowskim na przyznanie zarówno takiego uprawnienia, jak również wymaga wprowadzenia właściwych środków ochrony praw, wolności i prawnie uzasadnionych interesów osoby, której te dane dotyczą. Wydaje się zatem, iż wprowadzany </w:t>
      </w:r>
      <w:r w:rsidR="00364A68">
        <w:rPr>
          <w:rFonts w:cstheme="minorHAnsi"/>
          <w:color w:val="000000" w:themeColor="text1"/>
          <w:sz w:val="24"/>
          <w:szCs w:val="24"/>
        </w:rPr>
        <w:t>(</w:t>
      </w:r>
      <w:r w:rsidR="00364A68" w:rsidRPr="00375799">
        <w:rPr>
          <w:rFonts w:cstheme="minorHAnsi"/>
          <w:color w:val="000000" w:themeColor="text1"/>
          <w:sz w:val="24"/>
          <w:szCs w:val="24"/>
        </w:rPr>
        <w:t xml:space="preserve">w </w:t>
      </w:r>
      <w:r w:rsidR="00364A68">
        <w:rPr>
          <w:rFonts w:cstheme="minorHAnsi"/>
          <w:color w:val="000000" w:themeColor="text1"/>
          <w:sz w:val="24"/>
          <w:szCs w:val="24"/>
        </w:rPr>
        <w:t>P</w:t>
      </w:r>
      <w:r w:rsidR="00364A68" w:rsidRPr="00375799">
        <w:rPr>
          <w:rFonts w:cstheme="minorHAnsi"/>
          <w:color w:val="000000" w:themeColor="text1"/>
          <w:sz w:val="24"/>
          <w:szCs w:val="24"/>
        </w:rPr>
        <w:t>rawie bankowym</w:t>
      </w:r>
      <w:r w:rsidR="00364A68">
        <w:rPr>
          <w:rFonts w:cstheme="minorHAnsi"/>
          <w:color w:val="000000" w:themeColor="text1"/>
          <w:sz w:val="24"/>
          <w:szCs w:val="24"/>
        </w:rPr>
        <w:t>)</w:t>
      </w:r>
      <w:r w:rsidR="00364A68" w:rsidRPr="00375799">
        <w:rPr>
          <w:rFonts w:cstheme="minorHAnsi"/>
          <w:color w:val="000000" w:themeColor="text1"/>
          <w:sz w:val="24"/>
          <w:szCs w:val="24"/>
        </w:rPr>
        <w:t xml:space="preserve"> </w:t>
      </w:r>
      <w:r w:rsidRPr="00375799">
        <w:rPr>
          <w:rFonts w:cstheme="minorHAnsi"/>
          <w:color w:val="000000" w:themeColor="text1"/>
          <w:sz w:val="24"/>
          <w:szCs w:val="24"/>
        </w:rPr>
        <w:t>przepis w pełni odpowiada przepisom RODO dotyczącym decyzji, która opiera się wyłącznie na zautomatyzowanym przetwarzaniu danych, w tym profilowaniu. Rozwiązanie implementowane do prawa polskiego powinno zapewnić możliwość usprawnienia procedury oceny zdolności kredytowej</w:t>
      </w:r>
      <w:r w:rsidR="007F724E">
        <w:rPr>
          <w:rFonts w:cstheme="minorHAnsi"/>
          <w:color w:val="000000" w:themeColor="text1"/>
          <w:sz w:val="24"/>
          <w:szCs w:val="24"/>
        </w:rPr>
        <w:t>,</w:t>
      </w:r>
      <w:r w:rsidRPr="00375799">
        <w:rPr>
          <w:rFonts w:cstheme="minorHAnsi"/>
          <w:color w:val="000000" w:themeColor="text1"/>
          <w:sz w:val="24"/>
          <w:szCs w:val="24"/>
        </w:rPr>
        <w:t xml:space="preserve"> tak aby cały proces był bardziej efektywny przy jednoczesnym zachowaniu praw osoby, której dane są przetwarzane, w tym  prawa żądania wyjaśnień czy interwencji ludzkiej.</w:t>
      </w:r>
    </w:p>
    <w:p w14:paraId="54908C59" w14:textId="4036C18B"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Ponadto w kontekście art. 17 RODO dotyczącego tzw. „prawa do bycia zapomnianym”</w:t>
      </w:r>
      <w:r w:rsidR="00364A68">
        <w:rPr>
          <w:rFonts w:cstheme="minorHAnsi"/>
          <w:color w:val="000000" w:themeColor="text1"/>
          <w:sz w:val="24"/>
          <w:szCs w:val="24"/>
        </w:rPr>
        <w:t>,</w:t>
      </w:r>
      <w:r w:rsidRPr="00375799">
        <w:rPr>
          <w:rFonts w:cstheme="minorHAnsi"/>
          <w:color w:val="000000" w:themeColor="text1"/>
          <w:sz w:val="24"/>
          <w:szCs w:val="24"/>
        </w:rPr>
        <w:t xml:space="preserve"> warto wskazać, iż w przypadku cofnięcia zgody</w:t>
      </w:r>
      <w:r w:rsidR="007F724E">
        <w:rPr>
          <w:rFonts w:cstheme="minorHAnsi"/>
          <w:color w:val="000000" w:themeColor="text1"/>
          <w:sz w:val="24"/>
          <w:szCs w:val="24"/>
        </w:rPr>
        <w:t>,</w:t>
      </w:r>
      <w:r w:rsidRPr="00375799">
        <w:rPr>
          <w:rFonts w:cstheme="minorHAnsi"/>
          <w:color w:val="000000" w:themeColor="text1"/>
          <w:sz w:val="24"/>
          <w:szCs w:val="24"/>
        </w:rPr>
        <w:t xml:space="preserve"> osoba której dane dotyczą</w:t>
      </w:r>
      <w:r w:rsidR="007F724E">
        <w:rPr>
          <w:rFonts w:cstheme="minorHAnsi"/>
          <w:color w:val="000000" w:themeColor="text1"/>
          <w:sz w:val="24"/>
          <w:szCs w:val="24"/>
        </w:rPr>
        <w:t>,</w:t>
      </w:r>
      <w:r w:rsidRPr="00375799">
        <w:rPr>
          <w:rFonts w:cstheme="minorHAnsi"/>
          <w:color w:val="000000" w:themeColor="text1"/>
          <w:sz w:val="24"/>
          <w:szCs w:val="24"/>
        </w:rPr>
        <w:t xml:space="preserve"> ma prawo do żądania od administratora niezwłocznego usunięcia dotyczących jej danych osobowych, a administrator bez zbędnej zwłoki ma obowiązek te dane usunąć chyba, że występuje inna podstawa prawna przetwarzania tych danych. Podo</w:t>
      </w:r>
      <w:r w:rsidR="007F724E">
        <w:rPr>
          <w:rFonts w:cstheme="minorHAnsi"/>
          <w:color w:val="000000" w:themeColor="text1"/>
          <w:sz w:val="24"/>
          <w:szCs w:val="24"/>
        </w:rPr>
        <w:t>bnie jak ma to miejsce obecnie –</w:t>
      </w:r>
      <w:r w:rsidRPr="00375799">
        <w:rPr>
          <w:rFonts w:cstheme="minorHAnsi"/>
          <w:color w:val="000000" w:themeColor="text1"/>
          <w:sz w:val="24"/>
          <w:szCs w:val="24"/>
        </w:rPr>
        <w:t xml:space="preserve"> w  przypadku przetwarzania danych osobowych</w:t>
      </w:r>
      <w:r w:rsidR="007F724E">
        <w:rPr>
          <w:rFonts w:cstheme="minorHAnsi"/>
          <w:color w:val="000000" w:themeColor="text1"/>
          <w:sz w:val="24"/>
          <w:szCs w:val="24"/>
        </w:rPr>
        <w:t>,</w:t>
      </w:r>
      <w:r w:rsidRPr="00375799">
        <w:rPr>
          <w:rFonts w:cstheme="minorHAnsi"/>
          <w:color w:val="000000" w:themeColor="text1"/>
          <w:sz w:val="24"/>
          <w:szCs w:val="24"/>
        </w:rPr>
        <w:t xml:space="preserve"> po wygaśnięciu zobowiązania na podstawie art. 105a ust. 3 i 4, banki oraz instytucje, o których mowa w art. 105 ust. 4,  będą mogły przetwarzać dane osobowe klientów niezależnie od tego czy klient wyrazi lub cofnie wyrażoną zgodę. Projektodawca nie zdecydował się na modyfikacje obecnie obowiązujących przepisów, gdyż przyjęte dotychczas rozwiązanie wpływa na możliwość przeprowadzenia rzetelnej oceny zdolności kredytowej klienta, a co za tym idzie ma znaczenie dla stabilności sektora bankowego.</w:t>
      </w:r>
    </w:p>
    <w:p w14:paraId="48650FEB" w14:textId="0FABBA41"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Dodawany ust. 1b w nowelizowanym art. 105a ustawy – Prawo bankowe specyfikuje kategorie danych osobowych, w oparciu o które będą mogły być podejmowane decyzje  poprzez zautomatyzowane przetwarzanie, w tym profilowanie danych, dla celów oceny zdolności kredytowej i analizy ryzyka kredytowego przez podmioty udzielające kredytu. </w:t>
      </w:r>
      <w:r w:rsidRPr="00375799">
        <w:rPr>
          <w:rFonts w:cstheme="minorHAnsi"/>
          <w:color w:val="000000" w:themeColor="text1"/>
          <w:sz w:val="24"/>
          <w:szCs w:val="24"/>
        </w:rPr>
        <w:lastRenderedPageBreak/>
        <w:t xml:space="preserve">Zgodnie z proponowanym rozwiązaniem w przypadku podejmowania zautomatyzowanych decyzji katalog danych wykorzystywanych dla oceny zdolności kredytowej i analizy ryzyka kredytowego określony został w przepisach ustawowych. Wskazać należy, iż dane uwzględnione w ustawowym katalogu swoim zakresem odpowiadają – co do zasady – danym, które zostały wymienione w obecnie obowiązującym akcie wykonawczym Ministra Finansów, wydanym na podstawie art. 105a ust. 7 ustawy – Prawo bankowe. </w:t>
      </w:r>
    </w:p>
    <w:p w14:paraId="68207F30" w14:textId="0B170227"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Podkreślenia wymaga, iż w celu podj</w:t>
      </w:r>
      <w:r w:rsidR="00882167">
        <w:rPr>
          <w:rFonts w:cstheme="minorHAnsi"/>
          <w:color w:val="000000" w:themeColor="text1"/>
          <w:sz w:val="24"/>
          <w:szCs w:val="24"/>
        </w:rPr>
        <w:t xml:space="preserve">ęcia </w:t>
      </w:r>
      <w:r w:rsidRPr="00375799">
        <w:rPr>
          <w:rFonts w:cstheme="minorHAnsi"/>
          <w:color w:val="000000" w:themeColor="text1"/>
          <w:sz w:val="24"/>
          <w:szCs w:val="24"/>
        </w:rPr>
        <w:t>decyzji w oparciu o dane osobowe przetwarzane wyłącznie automatycznie, w tym poprzez profilowanie, bank będzie mógł wykorzysta</w:t>
      </w:r>
      <w:r w:rsidR="00882167">
        <w:rPr>
          <w:rFonts w:cstheme="minorHAnsi"/>
          <w:color w:val="000000" w:themeColor="text1"/>
          <w:sz w:val="24"/>
          <w:szCs w:val="24"/>
        </w:rPr>
        <w:t xml:space="preserve">ć tylko te dane, które zostały </w:t>
      </w:r>
      <w:r w:rsidRPr="00375799">
        <w:rPr>
          <w:rFonts w:cstheme="minorHAnsi"/>
          <w:color w:val="000000" w:themeColor="text1"/>
          <w:sz w:val="24"/>
          <w:szCs w:val="24"/>
        </w:rPr>
        <w:t xml:space="preserve">określone w dodawanym ust. 1b w art. 105a </w:t>
      </w:r>
      <w:r w:rsidR="00327CF7">
        <w:rPr>
          <w:rFonts w:cstheme="minorHAnsi"/>
          <w:color w:val="000000" w:themeColor="text1"/>
          <w:sz w:val="24"/>
          <w:szCs w:val="24"/>
        </w:rPr>
        <w:t xml:space="preserve">ustawy – </w:t>
      </w:r>
      <w:r w:rsidRPr="00375799">
        <w:rPr>
          <w:rFonts w:cstheme="minorHAnsi"/>
          <w:color w:val="000000" w:themeColor="text1"/>
          <w:sz w:val="24"/>
          <w:szCs w:val="24"/>
        </w:rPr>
        <w:t>Praw</w:t>
      </w:r>
      <w:r w:rsidR="00327CF7">
        <w:rPr>
          <w:rFonts w:cstheme="minorHAnsi"/>
          <w:color w:val="000000" w:themeColor="text1"/>
          <w:sz w:val="24"/>
          <w:szCs w:val="24"/>
        </w:rPr>
        <w:t>o</w:t>
      </w:r>
      <w:r w:rsidRPr="00375799">
        <w:rPr>
          <w:rFonts w:cstheme="minorHAnsi"/>
          <w:color w:val="000000" w:themeColor="text1"/>
          <w:sz w:val="24"/>
          <w:szCs w:val="24"/>
        </w:rPr>
        <w:t xml:space="preserve"> </w:t>
      </w:r>
      <w:r w:rsidR="00882167">
        <w:rPr>
          <w:rFonts w:cstheme="minorHAnsi"/>
          <w:color w:val="000000" w:themeColor="text1"/>
          <w:sz w:val="24"/>
          <w:szCs w:val="24"/>
        </w:rPr>
        <w:t>bankowe. Przyjęte rozwiązanie</w:t>
      </w:r>
      <w:r w:rsidRPr="00375799">
        <w:rPr>
          <w:rFonts w:cstheme="minorHAnsi"/>
          <w:color w:val="000000" w:themeColor="text1"/>
          <w:sz w:val="24"/>
          <w:szCs w:val="24"/>
        </w:rPr>
        <w:t xml:space="preserve"> zapewnia, jak wyżej wskazano, spójność z dotychczas obowiązującymi przepisami, a ponadto zabezpiecza ochronę osoby  przed przetwarzaniem danych, które nie są niezbędne we wskazanych procesach takich</w:t>
      </w:r>
      <w:r w:rsidR="00327CF7">
        <w:rPr>
          <w:rFonts w:cstheme="minorHAnsi"/>
          <w:color w:val="000000" w:themeColor="text1"/>
          <w:sz w:val="24"/>
          <w:szCs w:val="24"/>
        </w:rPr>
        <w:t>,</w:t>
      </w:r>
      <w:r w:rsidRPr="00375799">
        <w:rPr>
          <w:rFonts w:cstheme="minorHAnsi"/>
          <w:color w:val="000000" w:themeColor="text1"/>
          <w:sz w:val="24"/>
          <w:szCs w:val="24"/>
        </w:rPr>
        <w:t xml:space="preserve"> jak przykładowo proces dokonywania oceny zdolności kredytowej.</w:t>
      </w:r>
    </w:p>
    <w:p w14:paraId="41BC45F4" w14:textId="0CBA3E4E"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Zmiana w art. 106d i </w:t>
      </w:r>
      <w:r w:rsidR="007F724E">
        <w:rPr>
          <w:rFonts w:cstheme="minorHAnsi"/>
          <w:color w:val="000000" w:themeColor="text1"/>
          <w:sz w:val="24"/>
          <w:szCs w:val="24"/>
        </w:rPr>
        <w:t xml:space="preserve">art. </w:t>
      </w:r>
      <w:r w:rsidRPr="00375799">
        <w:rPr>
          <w:rFonts w:cstheme="minorHAnsi"/>
          <w:color w:val="000000" w:themeColor="text1"/>
          <w:sz w:val="24"/>
          <w:szCs w:val="24"/>
        </w:rPr>
        <w:t>106e</w:t>
      </w:r>
      <w:r w:rsidR="00327CF7">
        <w:rPr>
          <w:rFonts w:cstheme="minorHAnsi"/>
          <w:color w:val="000000" w:themeColor="text1"/>
          <w:sz w:val="24"/>
          <w:szCs w:val="24"/>
        </w:rPr>
        <w:t xml:space="preserve"> ustawy – Prawo bankowe</w:t>
      </w:r>
      <w:r w:rsidR="00882167">
        <w:rPr>
          <w:rFonts w:cstheme="minorHAnsi"/>
          <w:color w:val="000000" w:themeColor="text1"/>
          <w:sz w:val="24"/>
          <w:szCs w:val="24"/>
        </w:rPr>
        <w:t>.</w:t>
      </w:r>
    </w:p>
    <w:p w14:paraId="6ED48298" w14:textId="25496254"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Art</w:t>
      </w:r>
      <w:r w:rsidR="00327CF7">
        <w:rPr>
          <w:rFonts w:cstheme="minorHAnsi"/>
          <w:color w:val="000000" w:themeColor="text1"/>
          <w:sz w:val="24"/>
          <w:szCs w:val="24"/>
        </w:rPr>
        <w:t>ykuł</w:t>
      </w:r>
      <w:r w:rsidRPr="00375799">
        <w:rPr>
          <w:rFonts w:cstheme="minorHAnsi"/>
          <w:color w:val="000000" w:themeColor="text1"/>
          <w:sz w:val="24"/>
          <w:szCs w:val="24"/>
        </w:rPr>
        <w:t xml:space="preserve"> 106d </w:t>
      </w:r>
      <w:r w:rsidR="00327CF7">
        <w:rPr>
          <w:rFonts w:cstheme="minorHAnsi"/>
          <w:color w:val="000000" w:themeColor="text1"/>
          <w:sz w:val="24"/>
          <w:szCs w:val="24"/>
        </w:rPr>
        <w:t xml:space="preserve">ustawy – Prawo bankowe </w:t>
      </w:r>
      <w:r w:rsidRPr="00375799">
        <w:rPr>
          <w:rFonts w:cstheme="minorHAnsi"/>
          <w:color w:val="000000" w:themeColor="text1"/>
          <w:sz w:val="24"/>
          <w:szCs w:val="24"/>
        </w:rPr>
        <w:t xml:space="preserve">dotyczy przetwarzania i udostępniania informacji na potrzeby tzw. Platformy </w:t>
      </w:r>
      <w:proofErr w:type="spellStart"/>
      <w:r w:rsidRPr="00375799">
        <w:rPr>
          <w:rFonts w:cstheme="minorHAnsi"/>
          <w:color w:val="000000" w:themeColor="text1"/>
          <w:sz w:val="24"/>
          <w:szCs w:val="24"/>
        </w:rPr>
        <w:t>Antyfraudowej</w:t>
      </w:r>
      <w:proofErr w:type="spellEnd"/>
      <w:r w:rsidRPr="00375799">
        <w:rPr>
          <w:rFonts w:cstheme="minorHAnsi"/>
          <w:color w:val="000000" w:themeColor="text1"/>
          <w:sz w:val="24"/>
          <w:szCs w:val="24"/>
        </w:rPr>
        <w:t xml:space="preserve">. </w:t>
      </w:r>
    </w:p>
    <w:p w14:paraId="69A30311" w14:textId="69566AF8"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Przetwarzanie i wymiana danych, o której stanowi przepis art. 106d </w:t>
      </w:r>
      <w:r w:rsidR="00327CF7">
        <w:rPr>
          <w:rFonts w:cstheme="minorHAnsi"/>
          <w:color w:val="000000" w:themeColor="text1"/>
          <w:sz w:val="24"/>
          <w:szCs w:val="24"/>
        </w:rPr>
        <w:t xml:space="preserve">ustawy – </w:t>
      </w:r>
      <w:r w:rsidRPr="00375799">
        <w:rPr>
          <w:rFonts w:cstheme="minorHAnsi"/>
          <w:color w:val="000000" w:themeColor="text1"/>
          <w:sz w:val="24"/>
          <w:szCs w:val="24"/>
        </w:rPr>
        <w:t>Praw</w:t>
      </w:r>
      <w:r w:rsidR="00327CF7">
        <w:rPr>
          <w:rFonts w:cstheme="minorHAnsi"/>
          <w:color w:val="000000" w:themeColor="text1"/>
          <w:sz w:val="24"/>
          <w:szCs w:val="24"/>
        </w:rPr>
        <w:t>o</w:t>
      </w:r>
      <w:r w:rsidR="00006BF9">
        <w:rPr>
          <w:rFonts w:cstheme="minorHAnsi"/>
          <w:color w:val="000000" w:themeColor="text1"/>
          <w:sz w:val="24"/>
          <w:szCs w:val="24"/>
        </w:rPr>
        <w:t xml:space="preserve"> bankowe</w:t>
      </w:r>
      <w:r w:rsidRPr="00375799">
        <w:rPr>
          <w:rFonts w:cstheme="minorHAnsi"/>
          <w:color w:val="000000" w:themeColor="text1"/>
          <w:sz w:val="24"/>
          <w:szCs w:val="24"/>
        </w:rPr>
        <w:t xml:space="preserve"> pozwala na zapobieganie przestępstwom popełnianym na szkodę instytucji finansowych i</w:t>
      </w:r>
      <w:r w:rsidR="00327CF7">
        <w:rPr>
          <w:rFonts w:cstheme="minorHAnsi"/>
          <w:color w:val="000000" w:themeColor="text1"/>
          <w:sz w:val="24"/>
          <w:szCs w:val="24"/>
        </w:rPr>
        <w:t xml:space="preserve"> ich</w:t>
      </w:r>
      <w:r w:rsidRPr="00375799">
        <w:rPr>
          <w:rFonts w:cstheme="minorHAnsi"/>
          <w:color w:val="000000" w:themeColor="text1"/>
          <w:sz w:val="24"/>
          <w:szCs w:val="24"/>
        </w:rPr>
        <w:t xml:space="preserve"> klientów (np. posługiwanie się fałszywymi dokumentami czy składanie fałszywych oświadczeń), wzmacniając bezpieczeństwo prowadzonej działalności oraz środków pieniężnych (depozytów) klientów zgromadzonych w tych podmiotach. </w:t>
      </w:r>
    </w:p>
    <w:p w14:paraId="2DB99B23" w14:textId="77777777"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Efekty przetwarzania danych przez systemy </w:t>
      </w:r>
      <w:proofErr w:type="spellStart"/>
      <w:r w:rsidRPr="00375799">
        <w:rPr>
          <w:rFonts w:cstheme="minorHAnsi"/>
          <w:color w:val="000000" w:themeColor="text1"/>
          <w:sz w:val="24"/>
          <w:szCs w:val="24"/>
        </w:rPr>
        <w:t>antyfraudowe</w:t>
      </w:r>
      <w:proofErr w:type="spellEnd"/>
      <w:r w:rsidRPr="00375799">
        <w:rPr>
          <w:rFonts w:cstheme="minorHAnsi"/>
          <w:color w:val="000000" w:themeColor="text1"/>
          <w:sz w:val="24"/>
          <w:szCs w:val="24"/>
        </w:rPr>
        <w:t xml:space="preserve"> wskazują sytuacje, którym kredytodawca powinien się szczególnie przyjrzeć i dodatkowo zweryfikować (np. osoba, która złożyła wniosek kredytowy w banku lub w innej instytucji udzielającej kredytów posłużyła się dokumentem tożsamości, który został zastrzeżony). </w:t>
      </w:r>
    </w:p>
    <w:p w14:paraId="44816023" w14:textId="0E7D1574"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System wymiany danych pomiędzy bankami </w:t>
      </w:r>
      <w:r w:rsidR="007F724E">
        <w:rPr>
          <w:rFonts w:cstheme="minorHAnsi"/>
          <w:color w:val="000000" w:themeColor="text1"/>
          <w:sz w:val="24"/>
          <w:szCs w:val="24"/>
        </w:rPr>
        <w:t>a</w:t>
      </w:r>
      <w:r w:rsidR="007F724E" w:rsidRPr="00375799">
        <w:rPr>
          <w:rFonts w:cstheme="minorHAnsi"/>
          <w:color w:val="000000" w:themeColor="text1"/>
          <w:sz w:val="24"/>
          <w:szCs w:val="24"/>
        </w:rPr>
        <w:t xml:space="preserve"> </w:t>
      </w:r>
      <w:r w:rsidRPr="00375799">
        <w:rPr>
          <w:rFonts w:cstheme="minorHAnsi"/>
          <w:color w:val="000000" w:themeColor="text1"/>
          <w:sz w:val="24"/>
          <w:szCs w:val="24"/>
        </w:rPr>
        <w:t xml:space="preserve">instytucjami udzielającymi finansowania (kredyt, leasing) z udziałem rejestru kredytowego i przy wykorzystaniu analiz </w:t>
      </w:r>
      <w:proofErr w:type="spellStart"/>
      <w:r w:rsidRPr="00375799">
        <w:rPr>
          <w:rFonts w:cstheme="minorHAnsi"/>
          <w:color w:val="000000" w:themeColor="text1"/>
          <w:sz w:val="24"/>
          <w:szCs w:val="24"/>
        </w:rPr>
        <w:t>antyfraudowych</w:t>
      </w:r>
      <w:proofErr w:type="spellEnd"/>
      <w:r w:rsidRPr="00375799">
        <w:rPr>
          <w:rFonts w:cstheme="minorHAnsi"/>
          <w:color w:val="000000" w:themeColor="text1"/>
          <w:sz w:val="24"/>
          <w:szCs w:val="24"/>
        </w:rPr>
        <w:t xml:space="preserve"> niewątpliwie przyczynia się do ograniczania ryzyka operacyjnego występującego w po</w:t>
      </w:r>
      <w:r w:rsidR="003B33B9">
        <w:rPr>
          <w:rFonts w:cstheme="minorHAnsi"/>
          <w:color w:val="000000" w:themeColor="text1"/>
          <w:sz w:val="24"/>
          <w:szCs w:val="24"/>
        </w:rPr>
        <w:t xml:space="preserve">dmiotach udzielających kredytów, pożyczek oraz </w:t>
      </w:r>
      <w:r w:rsidRPr="00375799">
        <w:rPr>
          <w:rFonts w:cstheme="minorHAnsi"/>
          <w:color w:val="000000" w:themeColor="text1"/>
          <w:sz w:val="24"/>
          <w:szCs w:val="24"/>
        </w:rPr>
        <w:t xml:space="preserve">leasingów i zmniejszenia strat wynikających z przestępstw popełnianych na ich szkodę oraz szkodę ich klientów. Doświadczenia, w tym europejskich biur kredytowych, wskazują na wysoką efektywność systemów </w:t>
      </w:r>
      <w:proofErr w:type="spellStart"/>
      <w:r w:rsidRPr="00375799">
        <w:rPr>
          <w:rFonts w:cstheme="minorHAnsi"/>
          <w:color w:val="000000" w:themeColor="text1"/>
          <w:sz w:val="24"/>
          <w:szCs w:val="24"/>
        </w:rPr>
        <w:t>antyfraudowych</w:t>
      </w:r>
      <w:proofErr w:type="spellEnd"/>
      <w:r w:rsidRPr="00375799">
        <w:rPr>
          <w:rFonts w:cstheme="minorHAnsi"/>
          <w:color w:val="000000" w:themeColor="text1"/>
          <w:sz w:val="24"/>
          <w:szCs w:val="24"/>
        </w:rPr>
        <w:t>.</w:t>
      </w:r>
    </w:p>
    <w:p w14:paraId="3251F110" w14:textId="4EA260E4"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Projektowany art. 106e </w:t>
      </w:r>
      <w:r w:rsidR="00327CF7">
        <w:rPr>
          <w:rFonts w:cstheme="minorHAnsi"/>
          <w:color w:val="000000" w:themeColor="text1"/>
          <w:sz w:val="24"/>
          <w:szCs w:val="24"/>
        </w:rPr>
        <w:t xml:space="preserve">ustawy – Prawo bankowe </w:t>
      </w:r>
      <w:r w:rsidRPr="00375799">
        <w:rPr>
          <w:rFonts w:cstheme="minorHAnsi"/>
          <w:color w:val="000000" w:themeColor="text1"/>
          <w:sz w:val="24"/>
          <w:szCs w:val="24"/>
        </w:rPr>
        <w:t>zakłada wyłączenie obowiązków administratora przewidzianych w art. 15 RODO w zakresie</w:t>
      </w:r>
      <w:r w:rsidR="007F724E">
        <w:rPr>
          <w:rFonts w:cstheme="minorHAnsi"/>
          <w:color w:val="000000" w:themeColor="text1"/>
          <w:sz w:val="24"/>
          <w:szCs w:val="24"/>
        </w:rPr>
        <w:t>,</w:t>
      </w:r>
      <w:r w:rsidRPr="00375799">
        <w:rPr>
          <w:rFonts w:cstheme="minorHAnsi"/>
          <w:color w:val="000000" w:themeColor="text1"/>
          <w:sz w:val="24"/>
          <w:szCs w:val="24"/>
        </w:rPr>
        <w:t xml:space="preserve"> w jakim jest to niezbędne do prawidłowej realizacji zadań dotyczących zapobiegania przestępstwom, zgodnie z art. 106d i art. 106a</w:t>
      </w:r>
      <w:r w:rsidR="00327CF7">
        <w:rPr>
          <w:rFonts w:cstheme="minorHAnsi"/>
          <w:color w:val="000000" w:themeColor="text1"/>
          <w:sz w:val="24"/>
          <w:szCs w:val="24"/>
        </w:rPr>
        <w:t xml:space="preserve"> ustawy – Prawo bankowe</w:t>
      </w:r>
      <w:r w:rsidRPr="00375799">
        <w:rPr>
          <w:rFonts w:cstheme="minorHAnsi"/>
          <w:color w:val="000000" w:themeColor="text1"/>
          <w:sz w:val="24"/>
          <w:szCs w:val="24"/>
        </w:rPr>
        <w:t xml:space="preserve"> oraz przeciwdziałania praniu pieniędzy i fi</w:t>
      </w:r>
      <w:r w:rsidR="00DA4F69">
        <w:rPr>
          <w:rFonts w:cstheme="minorHAnsi"/>
          <w:color w:val="000000" w:themeColor="text1"/>
          <w:sz w:val="24"/>
          <w:szCs w:val="24"/>
        </w:rPr>
        <w:t>nansowaniu terroryzmu (art. 106</w:t>
      </w:r>
      <w:r w:rsidR="00327CF7">
        <w:rPr>
          <w:rFonts w:cstheme="minorHAnsi"/>
          <w:color w:val="000000" w:themeColor="text1"/>
          <w:sz w:val="24"/>
          <w:szCs w:val="24"/>
        </w:rPr>
        <w:t xml:space="preserve"> tej ustawy</w:t>
      </w:r>
      <w:r w:rsidR="00DA4F69">
        <w:rPr>
          <w:rFonts w:cstheme="minorHAnsi"/>
          <w:color w:val="000000" w:themeColor="text1"/>
          <w:sz w:val="24"/>
          <w:szCs w:val="24"/>
        </w:rPr>
        <w:t>)</w:t>
      </w:r>
      <w:r w:rsidR="00327CF7">
        <w:rPr>
          <w:rFonts w:cstheme="minorHAnsi"/>
          <w:color w:val="000000" w:themeColor="text1"/>
          <w:sz w:val="24"/>
          <w:szCs w:val="24"/>
        </w:rPr>
        <w:t>.</w:t>
      </w:r>
      <w:r w:rsidRPr="00375799">
        <w:rPr>
          <w:rFonts w:cstheme="minorHAnsi"/>
          <w:color w:val="000000" w:themeColor="text1"/>
          <w:sz w:val="24"/>
          <w:szCs w:val="24"/>
        </w:rPr>
        <w:t xml:space="preserve"> Wyłączenie to dotyczy prawa dostępu przysługującego danej osobie do informacji o przetwarzaniu jej danych osobowych. </w:t>
      </w:r>
    </w:p>
    <w:p w14:paraId="0C99BE32" w14:textId="228F62EB"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Należy podkreślić, że możliwość wskazanego wyłączenia jest uprawniona w świetle art. 23 ust. 1 lit. d) i e) RODO. Ponadto, mając na uwadze art. 23 ust. 2 tego rozporządzenia, przetwarzanie danych osobowych, o kt</w:t>
      </w:r>
      <w:r w:rsidR="007F724E">
        <w:rPr>
          <w:rFonts w:cstheme="minorHAnsi"/>
          <w:color w:val="000000" w:themeColor="text1"/>
          <w:sz w:val="24"/>
          <w:szCs w:val="24"/>
        </w:rPr>
        <w:t>órych mowa w projektowanym art.</w:t>
      </w:r>
      <w:r w:rsidRPr="00375799">
        <w:rPr>
          <w:rFonts w:cstheme="minorHAnsi"/>
          <w:color w:val="000000" w:themeColor="text1"/>
          <w:sz w:val="24"/>
          <w:szCs w:val="24"/>
        </w:rPr>
        <w:t xml:space="preserve"> 106e</w:t>
      </w:r>
      <w:r w:rsidR="00327CF7">
        <w:rPr>
          <w:rFonts w:cstheme="minorHAnsi"/>
          <w:color w:val="000000" w:themeColor="text1"/>
          <w:sz w:val="24"/>
          <w:szCs w:val="24"/>
        </w:rPr>
        <w:t xml:space="preserve"> ustawy – </w:t>
      </w:r>
      <w:r w:rsidR="00327CF7">
        <w:rPr>
          <w:rFonts w:cstheme="minorHAnsi"/>
          <w:color w:val="000000" w:themeColor="text1"/>
          <w:sz w:val="24"/>
          <w:szCs w:val="24"/>
        </w:rPr>
        <w:lastRenderedPageBreak/>
        <w:t>Prawo bankowe,</w:t>
      </w:r>
      <w:r w:rsidRPr="00375799">
        <w:rPr>
          <w:rFonts w:cstheme="minorHAnsi"/>
          <w:color w:val="000000" w:themeColor="text1"/>
          <w:sz w:val="24"/>
          <w:szCs w:val="24"/>
        </w:rPr>
        <w:t xml:space="preserve"> podlegać będzie zabezpieczeniom i ochronie wynikającej z przepisów o tajemnicy bankowej, a także o innych informacjach objętych prawną ochroną.</w:t>
      </w:r>
    </w:p>
    <w:p w14:paraId="01222D4E" w14:textId="75F0B81D" w:rsidR="00F93DA0" w:rsidRPr="00375799" w:rsidRDefault="00F93DA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Oprócz przedstawionych powyżej zmian wynikających bezpośrednio z w</w:t>
      </w:r>
      <w:r w:rsidR="00ED655C">
        <w:rPr>
          <w:rFonts w:cstheme="minorHAnsi"/>
          <w:color w:val="000000" w:themeColor="text1"/>
          <w:sz w:val="24"/>
          <w:szCs w:val="24"/>
        </w:rPr>
        <w:t xml:space="preserve">ejścia w życie przepisów RODO, </w:t>
      </w:r>
      <w:r w:rsidRPr="00375799">
        <w:rPr>
          <w:rFonts w:cstheme="minorHAnsi"/>
          <w:color w:val="000000" w:themeColor="text1"/>
          <w:sz w:val="24"/>
          <w:szCs w:val="24"/>
        </w:rPr>
        <w:t xml:space="preserve">warto nadmienić, że w dotychczasowym brzmieniu art. 106d zostały wprowadzone zmiany o charakterze redakcyjno-legislacyjnym, polegające na zastąpieniu nieaktualnego już w świetle treści ustawy – Prawo bankowe pojęcia „instytucji finansowych, o których mowa w art. </w:t>
      </w:r>
      <w:r w:rsidR="00327CF7">
        <w:rPr>
          <w:rFonts w:cstheme="minorHAnsi"/>
          <w:color w:val="000000" w:themeColor="text1"/>
          <w:sz w:val="24"/>
          <w:szCs w:val="24"/>
        </w:rPr>
        <w:t xml:space="preserve">4 </w:t>
      </w:r>
      <w:r w:rsidRPr="00375799">
        <w:rPr>
          <w:rFonts w:cstheme="minorHAnsi"/>
          <w:color w:val="000000" w:themeColor="text1"/>
          <w:sz w:val="24"/>
          <w:szCs w:val="24"/>
        </w:rPr>
        <w:t>ust. 1 pkt 7 lit. c” określeniem „podmioty, których podstawowa działalność polega na udostępnianiu składników majątkowych na podstawie umowy leasingu”.</w:t>
      </w:r>
    </w:p>
    <w:p w14:paraId="5EB41738" w14:textId="77777777" w:rsidR="005461CF" w:rsidRPr="00375799" w:rsidRDefault="005461CF" w:rsidP="0055107B">
      <w:pPr>
        <w:autoSpaceDE w:val="0"/>
        <w:autoSpaceDN w:val="0"/>
        <w:adjustRightInd w:val="0"/>
        <w:spacing w:line="276" w:lineRule="auto"/>
        <w:ind w:left="708"/>
        <w:contextualSpacing/>
        <w:rPr>
          <w:rFonts w:eastAsia="Calibri" w:cstheme="minorHAnsi"/>
          <w:bCs/>
          <w:color w:val="000000" w:themeColor="text1"/>
          <w:sz w:val="24"/>
          <w:szCs w:val="24"/>
        </w:rPr>
      </w:pPr>
    </w:p>
    <w:p w14:paraId="3DEBABD7" w14:textId="6297D8C1" w:rsidR="005461CF" w:rsidRPr="00375799" w:rsidRDefault="005461CF"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50" w:name="_Toc530565022"/>
      <w:r w:rsidRPr="00375799">
        <w:rPr>
          <w:rFonts w:asciiTheme="minorHAnsi" w:hAnsiTheme="minorHAnsi" w:cstheme="minorHAnsi"/>
          <w:color w:val="000000" w:themeColor="text1"/>
          <w:sz w:val="24"/>
          <w:szCs w:val="24"/>
        </w:rPr>
        <w:t>Ustawa z dnia 13 października 1998 r. o systemie ubezpieczeń społecznych (Dz. U. z 2017 r. poz. 1778, z późn. zm.).</w:t>
      </w:r>
      <w:bookmarkEnd w:id="50"/>
    </w:p>
    <w:p w14:paraId="152C318C" w14:textId="77777777" w:rsidR="005461CF" w:rsidRPr="00375799" w:rsidRDefault="005461CF" w:rsidP="0055107B">
      <w:pPr>
        <w:spacing w:after="0" w:line="276" w:lineRule="auto"/>
        <w:contextualSpacing/>
        <w:rPr>
          <w:rFonts w:cstheme="minorHAnsi"/>
          <w:color w:val="000000" w:themeColor="text1"/>
          <w:sz w:val="24"/>
          <w:szCs w:val="24"/>
        </w:rPr>
      </w:pPr>
    </w:p>
    <w:p w14:paraId="5B75848D" w14:textId="492B9146" w:rsidR="005461CF" w:rsidRPr="00375799" w:rsidRDefault="005461C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Ponieważ art. 13 RODO</w:t>
      </w:r>
      <w:r w:rsidR="007F724E">
        <w:rPr>
          <w:rFonts w:cstheme="minorHAnsi"/>
          <w:color w:val="000000" w:themeColor="text1"/>
          <w:sz w:val="24"/>
          <w:szCs w:val="24"/>
        </w:rPr>
        <w:t>,</w:t>
      </w:r>
      <w:r w:rsidRPr="00375799">
        <w:rPr>
          <w:rFonts w:cstheme="minorHAnsi"/>
          <w:color w:val="000000" w:themeColor="text1"/>
          <w:sz w:val="24"/>
          <w:szCs w:val="24"/>
        </w:rPr>
        <w:t xml:space="preserve"> nie określając sposobu, w jaki nastąpić ma przekazanie osobie, której dane dotyczą, informacji określonych w wymienionych przepisach, nakłada  na administratora obowiązek podjęcia „odpowiednich środków”, które pozwolą mu na skuteczne wywiązanie się z obowiązków informacyjnych, dlatego też zamieszczenie wymaganych informacji w miejscu publicznie dostępnym w centrali lub terenowych jednostek organizacyjnych oraz na stronie internetowej lub w Biuletynie Informacji Publicznej na stronie podmiotowej Zakładu należy uznać za taki „odpowiedni środek” pozwalający na skuteczną ich realizację.</w:t>
      </w:r>
    </w:p>
    <w:p w14:paraId="466AF402" w14:textId="0CDAF647" w:rsidR="005461CF" w:rsidRPr="00375799" w:rsidRDefault="005461C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Proponowane rozwiązanie jest korzystne z perspektywy zapewnienia odpowiedniej komunikacji pomiędzy Zakładem a</w:t>
      </w:r>
      <w:r w:rsidR="007F724E">
        <w:rPr>
          <w:rFonts w:cstheme="minorHAnsi"/>
          <w:color w:val="000000" w:themeColor="text1"/>
          <w:sz w:val="24"/>
          <w:szCs w:val="24"/>
        </w:rPr>
        <w:t xml:space="preserve"> </w:t>
      </w:r>
      <w:r w:rsidRPr="00375799">
        <w:rPr>
          <w:rFonts w:cstheme="minorHAnsi"/>
          <w:color w:val="000000" w:themeColor="text1"/>
          <w:sz w:val="24"/>
          <w:szCs w:val="24"/>
        </w:rPr>
        <w:t>jego klientami, spełnieni</w:t>
      </w:r>
      <w:r w:rsidR="00327CF7">
        <w:rPr>
          <w:rFonts w:cstheme="minorHAnsi"/>
          <w:color w:val="000000" w:themeColor="text1"/>
          <w:sz w:val="24"/>
          <w:szCs w:val="24"/>
        </w:rPr>
        <w:t>a</w:t>
      </w:r>
      <w:r w:rsidRPr="00375799">
        <w:rPr>
          <w:rFonts w:cstheme="minorHAnsi"/>
          <w:color w:val="000000" w:themeColor="text1"/>
          <w:sz w:val="24"/>
          <w:szCs w:val="24"/>
        </w:rPr>
        <w:t xml:space="preserve"> wymogów informacyjnych, a także </w:t>
      </w:r>
      <w:r w:rsidR="00AC1E37">
        <w:rPr>
          <w:rFonts w:cstheme="minorHAnsi"/>
          <w:color w:val="000000" w:themeColor="text1"/>
          <w:sz w:val="24"/>
          <w:szCs w:val="24"/>
        </w:rPr>
        <w:t xml:space="preserve">ze względu </w:t>
      </w:r>
      <w:r w:rsidRPr="00375799">
        <w:rPr>
          <w:rFonts w:cstheme="minorHAnsi"/>
          <w:color w:val="000000" w:themeColor="text1"/>
          <w:sz w:val="24"/>
          <w:szCs w:val="24"/>
        </w:rPr>
        <w:t>na istotną oszczędność środków publicznych oraz efektywniejsze działanie ZUS.</w:t>
      </w:r>
    </w:p>
    <w:p w14:paraId="101FC1F4" w14:textId="27DC23E4" w:rsidR="005461CF" w:rsidRPr="00375799" w:rsidRDefault="005461C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Przekazywanie osobom, których dane dotyczą, wymaganych informacji w proponowanej formie należy uznać za rozwiązanie  adekwatne, proporcjonalne, a zarazem konieczne dla zapewnienia prawidłowego funkcjonowania ZUS. Choć wymagane informacje nie będą przekazywane osobie, której dane dotyczą, bezpośrednio, projektowany przepis gwarantuje realizację wskazanych obowiązków informacyjnych przez administratora.</w:t>
      </w:r>
    </w:p>
    <w:p w14:paraId="2D605D39" w14:textId="329A8E86" w:rsidR="005461CF" w:rsidRPr="00375799" w:rsidRDefault="005461C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Zwłaszcza, że mając na uwadze skalę działania ZUS, w tym liczbę osób, których dane osobowe są przetwarzane przez ZUS, oraz fakt, że realizacja obowiązków informacyjnych, o których mowa</w:t>
      </w:r>
      <w:r w:rsidR="00173A66" w:rsidRPr="00375799">
        <w:rPr>
          <w:rFonts w:cstheme="minorHAnsi"/>
          <w:color w:val="000000" w:themeColor="text1"/>
          <w:sz w:val="24"/>
          <w:szCs w:val="24"/>
        </w:rPr>
        <w:t xml:space="preserve"> </w:t>
      </w:r>
      <w:r w:rsidRPr="00375799">
        <w:rPr>
          <w:rFonts w:cstheme="minorHAnsi"/>
          <w:color w:val="000000" w:themeColor="text1"/>
          <w:sz w:val="24"/>
          <w:szCs w:val="24"/>
        </w:rPr>
        <w:t>w art. 13 ust. 1 i 2 RODO</w:t>
      </w:r>
      <w:r w:rsidR="007F724E">
        <w:rPr>
          <w:rFonts w:cstheme="minorHAnsi"/>
          <w:color w:val="000000" w:themeColor="text1"/>
          <w:sz w:val="24"/>
          <w:szCs w:val="24"/>
        </w:rPr>
        <w:t>,</w:t>
      </w:r>
      <w:r w:rsidRPr="00375799">
        <w:rPr>
          <w:rFonts w:cstheme="minorHAnsi"/>
          <w:color w:val="000000" w:themeColor="text1"/>
          <w:sz w:val="24"/>
          <w:szCs w:val="24"/>
        </w:rPr>
        <w:t xml:space="preserve"> w formie każdorazowego, bezpośredniego przekazywania wymaganych informacji osobom, których dane dotyczą, np. przy pierwszej czynności podejmowanej wobec strony w toku postępowania administracyjnego, byłaby połączona z niewspółmiernie dużym wysiłkiem, potencjalnie wysokim kosztem realizacji oraz innymi znacznymi nakładami ZUS.</w:t>
      </w:r>
      <w:r w:rsidR="00C13421">
        <w:rPr>
          <w:rFonts w:cstheme="minorHAnsi"/>
          <w:color w:val="000000" w:themeColor="text1"/>
          <w:sz w:val="24"/>
          <w:szCs w:val="24"/>
        </w:rPr>
        <w:t xml:space="preserve"> </w:t>
      </w:r>
      <w:r w:rsidR="00AC1E37">
        <w:rPr>
          <w:rFonts w:eastAsia="Times New Roman" w:cstheme="minorHAnsi"/>
          <w:bCs/>
          <w:color w:val="000000" w:themeColor="text1"/>
          <w:sz w:val="24"/>
          <w:szCs w:val="24"/>
          <w:lang w:eastAsia="pl-PL"/>
        </w:rPr>
        <w:t>Projektowany p</w:t>
      </w:r>
      <w:r w:rsidR="00C13421" w:rsidRPr="00375799">
        <w:rPr>
          <w:rFonts w:eastAsia="Times New Roman" w:cstheme="minorHAnsi"/>
          <w:bCs/>
          <w:color w:val="000000" w:themeColor="text1"/>
          <w:sz w:val="24"/>
          <w:szCs w:val="24"/>
          <w:lang w:eastAsia="pl-PL"/>
        </w:rPr>
        <w:t xml:space="preserve">rzepis art. </w:t>
      </w:r>
      <w:r w:rsidR="00C13421">
        <w:rPr>
          <w:rFonts w:eastAsia="Times New Roman" w:cstheme="minorHAnsi"/>
          <w:bCs/>
          <w:color w:val="000000" w:themeColor="text1"/>
          <w:sz w:val="24"/>
          <w:szCs w:val="24"/>
          <w:lang w:eastAsia="pl-PL"/>
        </w:rPr>
        <w:t>34</w:t>
      </w:r>
      <w:r w:rsidR="00C13421" w:rsidRPr="00375799">
        <w:rPr>
          <w:rFonts w:eastAsia="Times New Roman" w:cstheme="minorHAnsi"/>
          <w:bCs/>
          <w:color w:val="000000" w:themeColor="text1"/>
          <w:sz w:val="24"/>
          <w:szCs w:val="24"/>
          <w:lang w:eastAsia="pl-PL"/>
        </w:rPr>
        <w:t xml:space="preserve">a </w:t>
      </w:r>
      <w:r w:rsidR="00C13421">
        <w:rPr>
          <w:rFonts w:eastAsia="Times New Roman" w:cstheme="minorHAnsi"/>
          <w:bCs/>
          <w:color w:val="000000" w:themeColor="text1"/>
          <w:sz w:val="24"/>
          <w:szCs w:val="24"/>
          <w:lang w:eastAsia="pl-PL"/>
        </w:rPr>
        <w:t>ust.</w:t>
      </w:r>
      <w:r w:rsidR="00C13421" w:rsidRPr="00375799">
        <w:rPr>
          <w:rFonts w:eastAsia="Times New Roman" w:cstheme="minorHAnsi"/>
          <w:bCs/>
          <w:color w:val="000000" w:themeColor="text1"/>
          <w:sz w:val="24"/>
          <w:szCs w:val="24"/>
          <w:lang w:eastAsia="pl-PL"/>
        </w:rPr>
        <w:t xml:space="preserve"> 2 ustawy </w:t>
      </w:r>
      <w:r w:rsidR="00AC1E37">
        <w:rPr>
          <w:rFonts w:eastAsia="Times New Roman" w:cstheme="minorHAnsi"/>
          <w:bCs/>
          <w:color w:val="000000" w:themeColor="text1"/>
          <w:sz w:val="24"/>
          <w:szCs w:val="24"/>
          <w:lang w:eastAsia="pl-PL"/>
        </w:rPr>
        <w:t xml:space="preserve">o systemie ubezpieczeń społecznych </w:t>
      </w:r>
      <w:r w:rsidR="00C13421" w:rsidRPr="00375799">
        <w:rPr>
          <w:rFonts w:eastAsia="Times New Roman" w:cstheme="minorHAnsi"/>
          <w:bCs/>
          <w:color w:val="000000" w:themeColor="text1"/>
          <w:sz w:val="24"/>
          <w:szCs w:val="24"/>
          <w:lang w:eastAsia="pl-PL"/>
        </w:rPr>
        <w:t xml:space="preserve">ma na celu wskazanie, że wykonywanie wymienionego obowiązku informacyjnego odbywa się niezależnie od obowiązków </w:t>
      </w:r>
      <w:r w:rsidR="00C13421">
        <w:rPr>
          <w:rFonts w:eastAsia="Times New Roman" w:cstheme="minorHAnsi"/>
          <w:bCs/>
          <w:color w:val="000000" w:themeColor="text1"/>
          <w:sz w:val="24"/>
          <w:szCs w:val="24"/>
          <w:lang w:eastAsia="pl-PL"/>
        </w:rPr>
        <w:t>ZUS</w:t>
      </w:r>
      <w:r w:rsidR="00C13421" w:rsidRPr="00375799">
        <w:rPr>
          <w:rFonts w:eastAsia="Times New Roman" w:cstheme="minorHAnsi"/>
          <w:bCs/>
          <w:color w:val="000000" w:themeColor="text1"/>
          <w:sz w:val="24"/>
          <w:szCs w:val="24"/>
          <w:lang w:eastAsia="pl-PL"/>
        </w:rPr>
        <w:t xml:space="preserve"> przewidzianych w ustawie oraz nie wpływa na tok i wynik </w:t>
      </w:r>
      <w:r w:rsidR="00C13421" w:rsidRPr="00C13421">
        <w:rPr>
          <w:rFonts w:eastAsia="Times New Roman" w:cstheme="minorHAnsi"/>
          <w:bCs/>
          <w:color w:val="000000" w:themeColor="text1"/>
          <w:sz w:val="24"/>
          <w:szCs w:val="24"/>
          <w:lang w:eastAsia="pl-PL"/>
        </w:rPr>
        <w:t>postępowań prowadzonych przez</w:t>
      </w:r>
      <w:r w:rsidR="00C13421">
        <w:rPr>
          <w:rFonts w:eastAsia="Times New Roman" w:cstheme="minorHAnsi"/>
          <w:bCs/>
          <w:color w:val="000000" w:themeColor="text1"/>
          <w:sz w:val="24"/>
          <w:szCs w:val="24"/>
          <w:lang w:eastAsia="pl-PL"/>
        </w:rPr>
        <w:t xml:space="preserve"> ZUS</w:t>
      </w:r>
      <w:r w:rsidR="00C13421" w:rsidRPr="00375799">
        <w:rPr>
          <w:rFonts w:eastAsia="Times New Roman" w:cstheme="minorHAnsi"/>
          <w:bCs/>
          <w:color w:val="000000" w:themeColor="text1"/>
          <w:sz w:val="24"/>
          <w:szCs w:val="24"/>
          <w:lang w:eastAsia="pl-PL"/>
        </w:rPr>
        <w:t>.</w:t>
      </w:r>
    </w:p>
    <w:p w14:paraId="4D2846A4" w14:textId="6E5A8318"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51" w:name="_Toc530565023"/>
      <w:r w:rsidRPr="00375799">
        <w:rPr>
          <w:rFonts w:asciiTheme="minorHAnsi" w:hAnsiTheme="minorHAnsi" w:cstheme="minorHAnsi"/>
          <w:color w:val="000000" w:themeColor="text1"/>
          <w:sz w:val="24"/>
          <w:szCs w:val="24"/>
        </w:rPr>
        <w:t xml:space="preserve">Ustawa z dnia 17 grudnia 1998 r. o emeryturach i rentach z Funduszu Ubezpieczeń Społecznych </w:t>
      </w:r>
      <w:r w:rsidR="00532795" w:rsidRPr="00375799">
        <w:rPr>
          <w:rFonts w:asciiTheme="minorHAnsi" w:hAnsiTheme="minorHAnsi" w:cstheme="minorHAnsi"/>
          <w:color w:val="000000" w:themeColor="text1"/>
          <w:sz w:val="24"/>
          <w:szCs w:val="24"/>
        </w:rPr>
        <w:t>(Dz. U. z 2018 r. poz. 1270)</w:t>
      </w:r>
      <w:bookmarkEnd w:id="51"/>
    </w:p>
    <w:p w14:paraId="1D2AEB01" w14:textId="77777777" w:rsidR="00BE5F4D" w:rsidRPr="00375799" w:rsidRDefault="00BE5F4D" w:rsidP="0055107B">
      <w:pPr>
        <w:spacing w:line="276" w:lineRule="auto"/>
        <w:contextualSpacing/>
        <w:rPr>
          <w:rFonts w:cstheme="minorHAnsi"/>
          <w:color w:val="000000" w:themeColor="text1"/>
          <w:sz w:val="24"/>
          <w:szCs w:val="24"/>
        </w:rPr>
      </w:pPr>
    </w:p>
    <w:p w14:paraId="12864EA5" w14:textId="17BDEE7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W dodawanym w art. 117 ust.</w:t>
      </w:r>
      <w:r w:rsidR="00294024" w:rsidRPr="00375799">
        <w:rPr>
          <w:rFonts w:cstheme="minorHAnsi"/>
          <w:color w:val="000000" w:themeColor="text1"/>
          <w:sz w:val="24"/>
          <w:szCs w:val="24"/>
        </w:rPr>
        <w:t xml:space="preserve"> </w:t>
      </w:r>
      <w:r w:rsidRPr="00375799">
        <w:rPr>
          <w:rFonts w:cstheme="minorHAnsi"/>
          <w:color w:val="000000" w:themeColor="text1"/>
          <w:sz w:val="24"/>
          <w:szCs w:val="24"/>
        </w:rPr>
        <w:t>4a szczegółowo określono wymagane dane kontaktowe. Bezpośrednie wskazanie i sprecyzowanie niezbędnych środków komunikacji jest konieczne ze względu na stan zdrowia i zaawansowany wiek klientów. Ma to służyć wygodzie klientów. Jednoznaczne określenie tego, o co może prosić urząd będzie powodować mniej błędów i nieporozumień oraz będzie sprzyjać podniesieniu jakości obsługi klienta. Należy zauważyć, że osoby wypełniające wnioski są w starszym wieku, co powoduje konieczność jasnego i bezpośredniego, niebudzącego wątpliwości określenia w przepisach prawa ubezpieczeń społecznych i prawa dot</w:t>
      </w:r>
      <w:r w:rsidR="007F724E">
        <w:rPr>
          <w:rFonts w:cstheme="minorHAnsi"/>
          <w:color w:val="000000" w:themeColor="text1"/>
          <w:sz w:val="24"/>
          <w:szCs w:val="24"/>
        </w:rPr>
        <w:t>yczących</w:t>
      </w:r>
      <w:r w:rsidRPr="00375799">
        <w:rPr>
          <w:rFonts w:cstheme="minorHAnsi"/>
          <w:color w:val="000000" w:themeColor="text1"/>
          <w:sz w:val="24"/>
          <w:szCs w:val="24"/>
        </w:rPr>
        <w:t xml:space="preserve"> kombatantów zakresu wymaganych informacji.</w:t>
      </w:r>
    </w:p>
    <w:p w14:paraId="4583DC2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Ponadto do realizacji przepisów emerytalnych na gruncie krajowym dane identyfikacyjne</w:t>
      </w:r>
      <w:r w:rsidR="00B013AE" w:rsidRPr="00375799">
        <w:rPr>
          <w:rFonts w:cstheme="minorHAnsi"/>
          <w:color w:val="000000" w:themeColor="text1"/>
          <w:sz w:val="24"/>
          <w:szCs w:val="24"/>
        </w:rPr>
        <w:t>,</w:t>
      </w:r>
      <w:r w:rsidRPr="00375799">
        <w:rPr>
          <w:rFonts w:cstheme="minorHAnsi"/>
          <w:color w:val="000000" w:themeColor="text1"/>
          <w:sz w:val="24"/>
          <w:szCs w:val="24"/>
        </w:rPr>
        <w:t xml:space="preserve"> tj. PESEL, imię i nazwisko czy data urodzenia są wystarczające. Jednak przy realizacji umów międzynarodowych w zakresie koordynacji systemów zabezpieczenia społecznego powyższe dane nie są dostateczne. W celu identyfikacji osoby dodatkowe dane</w:t>
      </w:r>
      <w:r w:rsidR="00B013AE" w:rsidRPr="00375799">
        <w:rPr>
          <w:rFonts w:cstheme="minorHAnsi"/>
          <w:color w:val="000000" w:themeColor="text1"/>
          <w:sz w:val="24"/>
          <w:szCs w:val="24"/>
        </w:rPr>
        <w:t>,</w:t>
      </w:r>
      <w:r w:rsidRPr="00375799">
        <w:rPr>
          <w:rFonts w:cstheme="minorHAnsi"/>
          <w:color w:val="000000" w:themeColor="text1"/>
          <w:sz w:val="24"/>
          <w:szCs w:val="24"/>
        </w:rPr>
        <w:t xml:space="preserve"> tj. imion</w:t>
      </w:r>
      <w:r w:rsidR="00B013AE" w:rsidRPr="00375799">
        <w:rPr>
          <w:rFonts w:cstheme="minorHAnsi"/>
          <w:color w:val="000000" w:themeColor="text1"/>
          <w:sz w:val="24"/>
          <w:szCs w:val="24"/>
        </w:rPr>
        <w:t>a</w:t>
      </w:r>
      <w:r w:rsidRPr="00375799">
        <w:rPr>
          <w:rFonts w:cstheme="minorHAnsi"/>
          <w:color w:val="000000" w:themeColor="text1"/>
          <w:sz w:val="24"/>
          <w:szCs w:val="24"/>
        </w:rPr>
        <w:t xml:space="preserve"> rodziców</w:t>
      </w:r>
      <w:r w:rsidR="00B013AE" w:rsidRPr="00375799">
        <w:rPr>
          <w:rFonts w:cstheme="minorHAnsi"/>
          <w:color w:val="000000" w:themeColor="text1"/>
          <w:sz w:val="24"/>
          <w:szCs w:val="24"/>
        </w:rPr>
        <w:t>,</w:t>
      </w:r>
      <w:r w:rsidRPr="00375799">
        <w:rPr>
          <w:rFonts w:cstheme="minorHAnsi"/>
          <w:color w:val="000000" w:themeColor="text1"/>
          <w:sz w:val="24"/>
          <w:szCs w:val="24"/>
        </w:rPr>
        <w:t xml:space="preserve"> są wymagane w formularzach unijnych. Aby spełnić wymogi koordynacyjne konieczne jest wprowadzenie powyższych danych do ustawy o emeryturach i rentach z Funduszu Ubezpieczeń Społecznych.</w:t>
      </w:r>
    </w:p>
    <w:p w14:paraId="6EA146DD"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3C287ACE" w14:textId="638CEC46"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52" w:name="_Toc530565024"/>
      <w:r w:rsidRPr="00375799">
        <w:rPr>
          <w:rFonts w:asciiTheme="minorHAnsi" w:hAnsiTheme="minorHAnsi" w:cstheme="minorHAnsi"/>
          <w:color w:val="000000" w:themeColor="text1"/>
          <w:sz w:val="24"/>
          <w:szCs w:val="24"/>
        </w:rPr>
        <w:t>Ustawa z dnia 6 stycznia 2000 r. o Rzeczniku Praw Dziecka</w:t>
      </w:r>
      <w:r w:rsidR="00532795" w:rsidRPr="00375799">
        <w:rPr>
          <w:rFonts w:asciiTheme="minorHAnsi" w:hAnsiTheme="minorHAnsi" w:cstheme="minorHAnsi"/>
          <w:color w:val="000000" w:themeColor="text1"/>
          <w:sz w:val="24"/>
          <w:szCs w:val="24"/>
        </w:rPr>
        <w:t xml:space="preserve"> (Dz. U. z 2017 r. poz. 922)</w:t>
      </w:r>
      <w:bookmarkEnd w:id="52"/>
    </w:p>
    <w:p w14:paraId="77FC07AD"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5E8528F5" w14:textId="5353248D" w:rsidR="007D7370"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Zmiana w art. 10c ustawy z dnia 6 stycznia 2000 r. o Rzeczniku Praw Dziecka ma charakter dostosowawczy i polega na pominięciu w dotychczasowej treści przepisu powołania ustawy z dnia 29 sierpnia 1997 r. o ochronie danych osobowych. Rzecznik ma prawo przetwarzać dane osobowe, o których mowa w art. 9 ust. 1 i </w:t>
      </w:r>
      <w:r w:rsidR="00C05C56">
        <w:rPr>
          <w:rFonts w:cstheme="minorHAnsi"/>
          <w:color w:val="000000" w:themeColor="text1"/>
          <w:sz w:val="24"/>
          <w:szCs w:val="24"/>
        </w:rPr>
        <w:t xml:space="preserve">art. </w:t>
      </w:r>
      <w:r w:rsidRPr="00375799">
        <w:rPr>
          <w:rFonts w:cstheme="minorHAnsi"/>
          <w:color w:val="000000" w:themeColor="text1"/>
          <w:sz w:val="24"/>
          <w:szCs w:val="24"/>
        </w:rPr>
        <w:t xml:space="preserve">10 </w:t>
      </w:r>
      <w:r w:rsidR="001938BD" w:rsidRPr="00375799">
        <w:rPr>
          <w:rFonts w:cstheme="minorHAnsi"/>
          <w:color w:val="000000" w:themeColor="text1"/>
          <w:sz w:val="24"/>
          <w:szCs w:val="24"/>
        </w:rPr>
        <w:t>RODO</w:t>
      </w:r>
      <w:r w:rsidR="007F724E">
        <w:rPr>
          <w:rFonts w:cstheme="minorHAnsi"/>
          <w:color w:val="000000" w:themeColor="text1"/>
          <w:sz w:val="24"/>
          <w:szCs w:val="24"/>
        </w:rPr>
        <w:t>,</w:t>
      </w:r>
      <w:r w:rsidRPr="00375799">
        <w:rPr>
          <w:rFonts w:cstheme="minorHAnsi"/>
          <w:color w:val="000000" w:themeColor="text1"/>
          <w:sz w:val="24"/>
          <w:szCs w:val="24"/>
        </w:rPr>
        <w:t xml:space="preserve"> wyłącznie w celu ochrony wolności i praw człowieka i obywatela przy realizacji swoich ustawowych zadań.</w:t>
      </w:r>
      <w:r w:rsidR="00992D90" w:rsidRPr="00375799">
        <w:rPr>
          <w:rFonts w:cstheme="minorHAnsi"/>
          <w:color w:val="000000" w:themeColor="text1"/>
          <w:sz w:val="24"/>
          <w:szCs w:val="24"/>
        </w:rPr>
        <w:t xml:space="preserve"> </w:t>
      </w:r>
      <w:r w:rsidR="00C37E97" w:rsidRPr="00375799">
        <w:rPr>
          <w:rFonts w:cstheme="minorHAnsi"/>
          <w:color w:val="000000" w:themeColor="text1"/>
          <w:sz w:val="24"/>
          <w:szCs w:val="24"/>
        </w:rPr>
        <w:t>Wprowadzono też zabezpieczenie w postaci nałożenia obowiązku dopuszczenia do przetwarzania danych osobowych wyłącznie osób posiadających pisemne upoważnienie wydane przez administratora oraz konieczności udzielania pisemnego zobowiązania osób upoważnionych do przetwarzania danych osobowych do zachowania ich w poufności</w:t>
      </w:r>
      <w:r w:rsidR="007F724E">
        <w:rPr>
          <w:rFonts w:cstheme="minorHAnsi"/>
          <w:color w:val="000000" w:themeColor="text1"/>
          <w:sz w:val="24"/>
          <w:szCs w:val="24"/>
        </w:rPr>
        <w:t>.</w:t>
      </w:r>
    </w:p>
    <w:p w14:paraId="3BAD1C3B"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B20D09B" w14:textId="5EB9BEEC"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53" w:name="_Toc530565025"/>
      <w:r w:rsidRPr="00375799">
        <w:rPr>
          <w:rFonts w:asciiTheme="minorHAnsi" w:hAnsiTheme="minorHAnsi" w:cstheme="minorHAnsi"/>
          <w:color w:val="000000" w:themeColor="text1"/>
          <w:sz w:val="24"/>
          <w:szCs w:val="24"/>
        </w:rPr>
        <w:t>Ustawa z dnia 24 maja 2000 r. o Krajowy</w:t>
      </w:r>
      <w:r w:rsidR="007F724E">
        <w:rPr>
          <w:rFonts w:asciiTheme="minorHAnsi" w:hAnsiTheme="minorHAnsi" w:cstheme="minorHAnsi"/>
          <w:color w:val="000000" w:themeColor="text1"/>
          <w:sz w:val="24"/>
          <w:szCs w:val="24"/>
        </w:rPr>
        <w:t>m</w:t>
      </w:r>
      <w:r w:rsidRPr="00375799">
        <w:rPr>
          <w:rFonts w:asciiTheme="minorHAnsi" w:hAnsiTheme="minorHAnsi" w:cstheme="minorHAnsi"/>
          <w:color w:val="000000" w:themeColor="text1"/>
          <w:sz w:val="24"/>
          <w:szCs w:val="24"/>
        </w:rPr>
        <w:t xml:space="preserve"> Rejestrze Karnym</w:t>
      </w:r>
      <w:r w:rsidR="00532795" w:rsidRPr="00375799">
        <w:rPr>
          <w:rFonts w:asciiTheme="minorHAnsi" w:hAnsiTheme="minorHAnsi" w:cstheme="minorHAnsi"/>
          <w:color w:val="000000" w:themeColor="text1"/>
          <w:sz w:val="24"/>
          <w:szCs w:val="24"/>
        </w:rPr>
        <w:t xml:space="preserve"> (Dz. U. z 2018 r. poz. 1218</w:t>
      </w:r>
      <w:r w:rsidR="00431995">
        <w:rPr>
          <w:rFonts w:asciiTheme="minorHAnsi" w:hAnsiTheme="minorHAnsi" w:cstheme="minorHAnsi"/>
          <w:color w:val="000000" w:themeColor="text1"/>
          <w:sz w:val="24"/>
          <w:szCs w:val="24"/>
        </w:rPr>
        <w:t xml:space="preserve"> i 1544</w:t>
      </w:r>
      <w:r w:rsidR="00532795" w:rsidRPr="00375799">
        <w:rPr>
          <w:rFonts w:asciiTheme="minorHAnsi" w:hAnsiTheme="minorHAnsi" w:cstheme="minorHAnsi"/>
          <w:color w:val="000000" w:themeColor="text1"/>
          <w:sz w:val="24"/>
          <w:szCs w:val="24"/>
        </w:rPr>
        <w:t>)</w:t>
      </w:r>
      <w:bookmarkEnd w:id="53"/>
      <w:r w:rsidRPr="00375799">
        <w:rPr>
          <w:rFonts w:asciiTheme="minorHAnsi" w:hAnsiTheme="minorHAnsi" w:cstheme="minorHAnsi"/>
          <w:color w:val="000000" w:themeColor="text1"/>
          <w:sz w:val="24"/>
          <w:szCs w:val="24"/>
        </w:rPr>
        <w:t xml:space="preserve"> </w:t>
      </w:r>
    </w:p>
    <w:p w14:paraId="34EFCDF5"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6EBD0F63" w14:textId="7B95A93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 art. 4 ust. 2 ustawy o Krajowym Rejestrze Karnym ma na celu usunięcie odwołania do ustawy z dnia 29 sierpnia 1997 r. o ochronie danych osobowych, która zosta</w:t>
      </w:r>
      <w:r w:rsidR="00AC1E37">
        <w:rPr>
          <w:rFonts w:cstheme="minorHAnsi"/>
          <w:color w:val="000000" w:themeColor="text1"/>
          <w:sz w:val="24"/>
          <w:szCs w:val="24"/>
        </w:rPr>
        <w:t>ła</w:t>
      </w:r>
      <w:r w:rsidRPr="00375799">
        <w:rPr>
          <w:rFonts w:cstheme="minorHAnsi"/>
          <w:color w:val="000000" w:themeColor="text1"/>
          <w:sz w:val="24"/>
          <w:szCs w:val="24"/>
        </w:rPr>
        <w:t xml:space="preserve"> uchylona w związku z wejściem w życie </w:t>
      </w:r>
      <w:r w:rsidR="001938BD" w:rsidRPr="00375799">
        <w:rPr>
          <w:rFonts w:cstheme="minorHAnsi"/>
          <w:color w:val="000000" w:themeColor="text1"/>
          <w:sz w:val="24"/>
          <w:szCs w:val="24"/>
        </w:rPr>
        <w:t>RODO</w:t>
      </w:r>
      <w:r w:rsidRPr="00375799">
        <w:rPr>
          <w:rFonts w:cstheme="minorHAnsi"/>
          <w:color w:val="000000" w:themeColor="text1"/>
          <w:sz w:val="24"/>
          <w:szCs w:val="24"/>
        </w:rPr>
        <w:t>. Z racji istnienia definicji legalnej administratora danych w ww. rozporządzeniu, nie jest konieczne precyzowanie, że Minister Sprawiedliwości pełni tę funkcję w rozumieniu innego aktu.</w:t>
      </w:r>
    </w:p>
    <w:p w14:paraId="66042B92"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49085B60" w14:textId="0A44EE94"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54" w:name="_Toc530565026"/>
      <w:r w:rsidRPr="00375799">
        <w:rPr>
          <w:rFonts w:asciiTheme="minorHAnsi" w:hAnsiTheme="minorHAnsi" w:cstheme="minorHAnsi"/>
          <w:color w:val="000000" w:themeColor="text1"/>
          <w:sz w:val="24"/>
          <w:szCs w:val="24"/>
        </w:rPr>
        <w:t xml:space="preserve">Ustawa z dnia 29 listopada 2000 r. </w:t>
      </w:r>
      <w:r w:rsidR="00CF7B15">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Prawo atomowe </w:t>
      </w:r>
      <w:r w:rsidR="00532795" w:rsidRPr="00375799">
        <w:rPr>
          <w:rFonts w:asciiTheme="minorHAnsi" w:hAnsiTheme="minorHAnsi" w:cstheme="minorHAnsi"/>
          <w:color w:val="000000" w:themeColor="text1"/>
          <w:sz w:val="24"/>
          <w:szCs w:val="24"/>
        </w:rPr>
        <w:t xml:space="preserve">(Dz. U. z 2018 r. poz. </w:t>
      </w:r>
      <w:r w:rsidR="00431995" w:rsidRPr="00375799">
        <w:rPr>
          <w:rFonts w:asciiTheme="minorHAnsi" w:hAnsiTheme="minorHAnsi" w:cstheme="minorHAnsi"/>
          <w:color w:val="000000" w:themeColor="text1"/>
          <w:sz w:val="24"/>
          <w:szCs w:val="24"/>
        </w:rPr>
        <w:t>79</w:t>
      </w:r>
      <w:r w:rsidR="0020469F">
        <w:rPr>
          <w:rFonts w:asciiTheme="minorHAnsi" w:hAnsiTheme="minorHAnsi" w:cstheme="minorHAnsi"/>
          <w:color w:val="000000" w:themeColor="text1"/>
          <w:sz w:val="24"/>
          <w:szCs w:val="24"/>
        </w:rPr>
        <w:t>2</w:t>
      </w:r>
      <w:r w:rsidR="00431995">
        <w:rPr>
          <w:rFonts w:asciiTheme="minorHAnsi" w:hAnsiTheme="minorHAnsi" w:cstheme="minorHAnsi"/>
          <w:color w:val="000000" w:themeColor="text1"/>
          <w:sz w:val="24"/>
          <w:szCs w:val="24"/>
        </w:rPr>
        <w:t xml:space="preserve"> i 1669</w:t>
      </w:r>
      <w:r w:rsidR="00532795" w:rsidRPr="00375799">
        <w:rPr>
          <w:rFonts w:asciiTheme="minorHAnsi" w:hAnsiTheme="minorHAnsi" w:cstheme="minorHAnsi"/>
          <w:color w:val="000000" w:themeColor="text1"/>
          <w:sz w:val="24"/>
          <w:szCs w:val="24"/>
        </w:rPr>
        <w:t>)</w:t>
      </w:r>
      <w:bookmarkEnd w:id="54"/>
    </w:p>
    <w:p w14:paraId="60A65BD2"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691D8158" w14:textId="5F164D2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Przedstawiona propozycja dodania nowego ust. 2 w art. 86c ustawy z dnia 29 listopada 2000 r. – Prawo atomowe wskazuje sposób wykonywania przez Prezesa Państwowej Agencji Atomistyki obowiązku wynikającego z art. 13 </w:t>
      </w:r>
      <w:r w:rsidR="001938BD" w:rsidRPr="00375799">
        <w:rPr>
          <w:rFonts w:cstheme="minorHAnsi"/>
          <w:color w:val="000000" w:themeColor="text1"/>
          <w:sz w:val="24"/>
          <w:szCs w:val="24"/>
        </w:rPr>
        <w:t>RODO</w:t>
      </w:r>
      <w:r w:rsidRPr="00375799">
        <w:rPr>
          <w:rFonts w:cstheme="minorHAnsi"/>
          <w:color w:val="000000" w:themeColor="text1"/>
          <w:sz w:val="24"/>
          <w:szCs w:val="24"/>
        </w:rPr>
        <w:t xml:space="preserve"> w przypadku przyjmowania, weryfikacji i przetwarzania przez Prezesa Państwowej Agencji Atomistyki zgłoszeń o zdarzeniach radiacyjnych, a także o próbach nielegalnego przywozu na terytorium Polski oraz wywozu z tego terytorium substancji promieniotwórczych. Stosownie do art. 72 ust. 2 pkt 2 i 2a ustawy </w:t>
      </w:r>
      <w:r w:rsidR="007F724E">
        <w:rPr>
          <w:rFonts w:cstheme="minorHAnsi"/>
          <w:color w:val="000000" w:themeColor="text1"/>
          <w:sz w:val="24"/>
          <w:szCs w:val="24"/>
        </w:rPr>
        <w:t>–</w:t>
      </w:r>
      <w:r w:rsidRPr="00375799">
        <w:rPr>
          <w:rFonts w:cstheme="minorHAnsi"/>
          <w:color w:val="000000" w:themeColor="text1"/>
          <w:sz w:val="24"/>
          <w:szCs w:val="24"/>
        </w:rPr>
        <w:t xml:space="preserve"> Prawo atomowe</w:t>
      </w:r>
      <w:r w:rsidR="00AC1E37">
        <w:rPr>
          <w:rFonts w:cstheme="minorHAnsi"/>
          <w:color w:val="000000" w:themeColor="text1"/>
          <w:sz w:val="24"/>
          <w:szCs w:val="24"/>
        </w:rPr>
        <w:t>,</w:t>
      </w:r>
      <w:r w:rsidRPr="00375799">
        <w:rPr>
          <w:rFonts w:cstheme="minorHAnsi"/>
          <w:color w:val="000000" w:themeColor="text1"/>
          <w:sz w:val="24"/>
          <w:szCs w:val="24"/>
        </w:rPr>
        <w:t xml:space="preserve"> Prezes Państwowej Agencji Atomistyki w celu dokonania oceny sytuacji radiacyjnej kraju przyjmuje i weryfikuje informacje o zdarzeniach radiacyjnych, a także informacje uzyskiwane z innych źródeł. Stosownie do art. 72 ust. 3 ustawy </w:t>
      </w:r>
      <w:r w:rsidR="007F724E">
        <w:rPr>
          <w:rFonts w:cstheme="minorHAnsi"/>
          <w:color w:val="000000" w:themeColor="text1"/>
          <w:sz w:val="24"/>
          <w:szCs w:val="24"/>
        </w:rPr>
        <w:t>–</w:t>
      </w:r>
      <w:r w:rsidRPr="00375799">
        <w:rPr>
          <w:rFonts w:cstheme="minorHAnsi"/>
          <w:color w:val="000000" w:themeColor="text1"/>
          <w:sz w:val="24"/>
          <w:szCs w:val="24"/>
        </w:rPr>
        <w:t xml:space="preserve"> Prawo atomowe Prezes Państwowej Agencji Atomistyki wykonuje to zadanie przy pomocy Centrum do Spraw Zdarzeń Radiacyjnych, wydzielonego w strukturze Państwowej Agencji Atomistyki. W praktyce zadanie to jest realizowane poprzez pełnienie całodobowego dyżuru telefonicznego przez pracowników Centrum do Spraw Zdarzeń Radiacyjnych, którzy na telefon alarmowy odbierają zgłoszenia o zdarzeniach radiacyjnych, podejrzeniach takich zdarzeń</w:t>
      </w:r>
      <w:r w:rsidR="007F724E">
        <w:rPr>
          <w:rFonts w:cstheme="minorHAnsi"/>
          <w:color w:val="000000" w:themeColor="text1"/>
          <w:sz w:val="24"/>
          <w:szCs w:val="24"/>
        </w:rPr>
        <w:t>,</w:t>
      </w:r>
      <w:r w:rsidRPr="00375799">
        <w:rPr>
          <w:rFonts w:cstheme="minorHAnsi"/>
          <w:color w:val="000000" w:themeColor="text1"/>
          <w:sz w:val="24"/>
          <w:szCs w:val="24"/>
        </w:rPr>
        <w:t xml:space="preserve"> a także o podejrzeniach przemytu przez granicę państwa substancji promieniotwórczych. Obowiązek powiadomienia Prezesa Państwowej Agencji Atomistyki o zdarzeniu radiacyjnym wynika z art. 83 oraz art. 85 ust. 1 ustawy </w:t>
      </w:r>
      <w:r w:rsidR="007F724E">
        <w:rPr>
          <w:rFonts w:cstheme="minorHAnsi"/>
          <w:color w:val="000000" w:themeColor="text1"/>
          <w:sz w:val="24"/>
          <w:szCs w:val="24"/>
        </w:rPr>
        <w:t>–</w:t>
      </w:r>
      <w:r w:rsidRPr="00375799">
        <w:rPr>
          <w:rFonts w:cstheme="minorHAnsi"/>
          <w:color w:val="000000" w:themeColor="text1"/>
          <w:sz w:val="24"/>
          <w:szCs w:val="24"/>
        </w:rPr>
        <w:t xml:space="preserve"> Prawo atomowe. Natomiast informowanie Prezesa Państwowej Agencji Atomistyki o próbach przemytu przez granicę substancji promieniotwórczych w sytuacji, gdy nie doszło jeszcze do zdarzenia radiacyjnego, następuje na podstawie art. 86a w związku z art. 72 ust. 2 pkt 2 ustawy </w:t>
      </w:r>
      <w:r w:rsidR="007F724E">
        <w:rPr>
          <w:rFonts w:cstheme="minorHAnsi"/>
          <w:color w:val="000000" w:themeColor="text1"/>
          <w:sz w:val="24"/>
          <w:szCs w:val="24"/>
        </w:rPr>
        <w:t>–</w:t>
      </w:r>
      <w:r w:rsidRPr="00375799">
        <w:rPr>
          <w:rFonts w:cstheme="minorHAnsi"/>
          <w:color w:val="000000" w:themeColor="text1"/>
          <w:sz w:val="24"/>
          <w:szCs w:val="24"/>
        </w:rPr>
        <w:t xml:space="preserve"> Prawo atomowe.</w:t>
      </w:r>
    </w:p>
    <w:p w14:paraId="2BF8090D" w14:textId="7FD9974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związku z tym, że w przypadku przyjmowania i weryfikacji zgłoszeń o zdarzeniu radiacyjnym lub o próbie nielegalnego przewozu przez granicę substancji promieniotwórczych kluczowe znaczenie ma szybkość działania</w:t>
      </w:r>
      <w:r w:rsidR="007F724E">
        <w:rPr>
          <w:rFonts w:cstheme="minorHAnsi"/>
          <w:color w:val="000000" w:themeColor="text1"/>
          <w:sz w:val="24"/>
          <w:szCs w:val="24"/>
        </w:rPr>
        <w:t>,</w:t>
      </w:r>
      <w:r w:rsidRPr="00375799">
        <w:rPr>
          <w:rFonts w:cstheme="minorHAnsi"/>
          <w:color w:val="000000" w:themeColor="text1"/>
          <w:sz w:val="24"/>
          <w:szCs w:val="24"/>
        </w:rPr>
        <w:t xml:space="preserve"> proponuje się, żeby w tych przypadkach obowiązek informacyjny wynikający z art. 13 </w:t>
      </w:r>
      <w:r w:rsidR="0001302B" w:rsidRPr="00375799">
        <w:rPr>
          <w:rFonts w:cstheme="minorHAnsi"/>
          <w:color w:val="000000" w:themeColor="text1"/>
          <w:sz w:val="24"/>
          <w:szCs w:val="24"/>
        </w:rPr>
        <w:t>RODO</w:t>
      </w:r>
      <w:r w:rsidRPr="00375799">
        <w:rPr>
          <w:rFonts w:cstheme="minorHAnsi"/>
          <w:color w:val="000000" w:themeColor="text1"/>
          <w:sz w:val="24"/>
          <w:szCs w:val="24"/>
        </w:rPr>
        <w:t xml:space="preserve"> był realizowany poprzez zamieszczenie informacji w Biuletynie Informacji Publicznej na stronie podmiotowej Prezesa Państwowej Agencji Atomistyki. Powyższe rozwiązanie znajduje oparcie w przepisie art. 23 ust. 1 lit. c </w:t>
      </w:r>
      <w:r w:rsidR="0001302B" w:rsidRPr="00375799">
        <w:rPr>
          <w:rFonts w:cstheme="minorHAnsi"/>
          <w:color w:val="000000" w:themeColor="text1"/>
          <w:sz w:val="24"/>
          <w:szCs w:val="24"/>
        </w:rPr>
        <w:t>RODO</w:t>
      </w:r>
      <w:r w:rsidRPr="00375799">
        <w:rPr>
          <w:rFonts w:cstheme="minorHAnsi"/>
          <w:color w:val="000000" w:themeColor="text1"/>
          <w:sz w:val="24"/>
          <w:szCs w:val="24"/>
        </w:rPr>
        <w:t xml:space="preserve">, stosownie do którego wprowadzenie ograniczenia obowiązku informacyjnego wynikającego z art. 13 </w:t>
      </w:r>
      <w:r w:rsidR="0001302B" w:rsidRPr="00375799">
        <w:rPr>
          <w:rFonts w:cstheme="minorHAnsi"/>
          <w:color w:val="000000" w:themeColor="text1"/>
          <w:sz w:val="24"/>
          <w:szCs w:val="24"/>
        </w:rPr>
        <w:t>RODO</w:t>
      </w:r>
      <w:r w:rsidRPr="00375799">
        <w:rPr>
          <w:rFonts w:cstheme="minorHAnsi"/>
          <w:color w:val="000000" w:themeColor="text1"/>
          <w:sz w:val="24"/>
          <w:szCs w:val="24"/>
        </w:rPr>
        <w:t xml:space="preserve"> jest możliwe, jeżeli ograniczenie takie nie narusza istoty podstawowych praw i wolności oraz jest w demokratycznym społeczeństwie środkiem niezbędnym i proporcjonalnym, służącym bezpieczeństwu publicznemu. W przypadku przyjmowania, weryfikacji i przetwarzania przez Prezesa Państwowej Agencji Atomistyki zgłoszeń o zdarzeniach radiacyjnych, a także o próbach nielegalnego przywozu na terytorium Polski oraz wywozu z tego terytorium substancji promieniotwórczych</w:t>
      </w:r>
      <w:r w:rsidR="007F724E">
        <w:rPr>
          <w:rFonts w:cstheme="minorHAnsi"/>
          <w:color w:val="000000" w:themeColor="text1"/>
          <w:sz w:val="24"/>
          <w:szCs w:val="24"/>
        </w:rPr>
        <w:t>,</w:t>
      </w:r>
      <w:r w:rsidRPr="00375799">
        <w:rPr>
          <w:rFonts w:cstheme="minorHAnsi"/>
          <w:color w:val="000000" w:themeColor="text1"/>
          <w:sz w:val="24"/>
          <w:szCs w:val="24"/>
        </w:rPr>
        <w:t xml:space="preserve"> decydujące znaczenie ma szybkość działania, służąca zapewnieniu skutecznej ochrony społeczeństwa, w tym także osoby dokonującej powiadomienia przed skutkami promieniowania jonizującego</w:t>
      </w:r>
      <w:r w:rsidR="007F724E">
        <w:rPr>
          <w:rFonts w:cstheme="minorHAnsi"/>
          <w:color w:val="000000" w:themeColor="text1"/>
          <w:sz w:val="24"/>
          <w:szCs w:val="24"/>
        </w:rPr>
        <w:t>,</w:t>
      </w:r>
      <w:r w:rsidRPr="00375799">
        <w:rPr>
          <w:rFonts w:cstheme="minorHAnsi"/>
          <w:color w:val="000000" w:themeColor="text1"/>
          <w:sz w:val="24"/>
          <w:szCs w:val="24"/>
        </w:rPr>
        <w:t xml:space="preserve"> a w szczególności skutkami skażeń promieniotwórczych, co jest elementem zapewnienia bezpieczeństwa publicznego. Proponowane ograniczenie jest przy tym środkiem niezbędnym i </w:t>
      </w:r>
      <w:r w:rsidRPr="00375799">
        <w:rPr>
          <w:rFonts w:cstheme="minorHAnsi"/>
          <w:color w:val="000000" w:themeColor="text1"/>
          <w:sz w:val="24"/>
          <w:szCs w:val="24"/>
        </w:rPr>
        <w:lastRenderedPageBreak/>
        <w:t>proporcjonalnym</w:t>
      </w:r>
      <w:r w:rsidR="00F94F15" w:rsidRPr="00375799">
        <w:rPr>
          <w:rFonts w:cstheme="minorHAnsi"/>
          <w:color w:val="000000" w:themeColor="text1"/>
          <w:sz w:val="24"/>
          <w:szCs w:val="24"/>
        </w:rPr>
        <w:t>,</w:t>
      </w:r>
      <w:r w:rsidRPr="00375799">
        <w:rPr>
          <w:rFonts w:cstheme="minorHAnsi"/>
          <w:color w:val="000000" w:themeColor="text1"/>
          <w:sz w:val="24"/>
          <w:szCs w:val="24"/>
        </w:rPr>
        <w:t xml:space="preserve"> ponieważ określa szczególną formę powiadomienia nie ograniczając w żaden sposób jego zakresu. </w:t>
      </w:r>
    </w:p>
    <w:p w14:paraId="658009C4" w14:textId="6B1DDB9E" w:rsidR="008706DD" w:rsidRPr="00375799" w:rsidRDefault="0037136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Jednocześnie w art. 86c ust. 3</w:t>
      </w:r>
      <w:r w:rsidR="007F724E">
        <w:rPr>
          <w:rFonts w:cstheme="minorHAnsi"/>
          <w:color w:val="000000" w:themeColor="text1"/>
          <w:sz w:val="24"/>
          <w:szCs w:val="24"/>
        </w:rPr>
        <w:t>–</w:t>
      </w:r>
      <w:r w:rsidRPr="00375799">
        <w:rPr>
          <w:rFonts w:cstheme="minorHAnsi"/>
          <w:color w:val="000000" w:themeColor="text1"/>
          <w:sz w:val="24"/>
          <w:szCs w:val="24"/>
        </w:rPr>
        <w:t xml:space="preserve">5 ustawy – Prawo atomowe zamieszczono regulacje wymagane zgodnie z art. 23 ust. 2 </w:t>
      </w:r>
      <w:r w:rsidR="0001302B" w:rsidRPr="00375799">
        <w:rPr>
          <w:rFonts w:cstheme="minorHAnsi"/>
          <w:color w:val="000000" w:themeColor="text1"/>
          <w:sz w:val="24"/>
          <w:szCs w:val="24"/>
        </w:rPr>
        <w:t>RODO</w:t>
      </w:r>
      <w:r w:rsidRPr="00375799">
        <w:rPr>
          <w:rFonts w:cstheme="minorHAnsi"/>
          <w:color w:val="000000" w:themeColor="text1"/>
          <w:sz w:val="24"/>
          <w:szCs w:val="24"/>
        </w:rPr>
        <w:t>. Uregulowano w szczególności kwestie związane z zabezpieczeniami mającymi na celu zapobieganie nadużyciom lub niezgodnemu z prawem dostępowi lub przekazywaniu, okresem przechowywania danych osobowych oraz prawie osób, któr</w:t>
      </w:r>
      <w:r w:rsidR="007F724E">
        <w:rPr>
          <w:rFonts w:cstheme="minorHAnsi"/>
          <w:color w:val="000000" w:themeColor="text1"/>
          <w:sz w:val="24"/>
          <w:szCs w:val="24"/>
        </w:rPr>
        <w:t>ych</w:t>
      </w:r>
      <w:r w:rsidRPr="00375799">
        <w:rPr>
          <w:rFonts w:cstheme="minorHAnsi"/>
          <w:color w:val="000000" w:themeColor="text1"/>
          <w:sz w:val="24"/>
          <w:szCs w:val="24"/>
        </w:rPr>
        <w:t xml:space="preserve"> dane dotyczą, do uzyskania informacji o ograniczeniu.</w:t>
      </w:r>
    </w:p>
    <w:p w14:paraId="7C03A06E" w14:textId="77777777" w:rsidR="00971A03" w:rsidRPr="00375799" w:rsidRDefault="00971A03" w:rsidP="0055107B">
      <w:pPr>
        <w:pStyle w:val="ZUSTzmustartykuempunktem"/>
        <w:spacing w:line="276" w:lineRule="auto"/>
        <w:contextualSpacing/>
        <w:rPr>
          <w:rFonts w:asciiTheme="minorHAnsi" w:hAnsiTheme="minorHAnsi" w:cstheme="minorHAnsi"/>
          <w:color w:val="000000" w:themeColor="text1"/>
          <w:szCs w:val="24"/>
        </w:rPr>
      </w:pPr>
    </w:p>
    <w:p w14:paraId="322EA24F" w14:textId="260FE98F" w:rsidR="00971A03" w:rsidRPr="00375799" w:rsidRDefault="00971A03"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55" w:name="_Toc530565027"/>
      <w:r w:rsidRPr="00375799">
        <w:rPr>
          <w:rFonts w:asciiTheme="minorHAnsi" w:hAnsiTheme="minorHAnsi" w:cstheme="minorHAnsi"/>
          <w:color w:val="000000" w:themeColor="text1"/>
          <w:sz w:val="24"/>
          <w:szCs w:val="24"/>
        </w:rPr>
        <w:t>Ustawa z dnia 7 grudnia 2000 r. o funkcjonowaniu banków spółdzielczych, ich zrzeszaniu się i bankach zrzeszających (Dz. U. z 2018</w:t>
      </w:r>
      <w:r w:rsidR="007F724E">
        <w:rPr>
          <w:rFonts w:asciiTheme="minorHAnsi" w:hAnsiTheme="minorHAnsi" w:cstheme="minorHAnsi"/>
          <w:color w:val="000000" w:themeColor="text1"/>
          <w:sz w:val="24"/>
          <w:szCs w:val="24"/>
        </w:rPr>
        <w:t xml:space="preserve"> r.</w:t>
      </w:r>
      <w:r w:rsidRPr="00375799">
        <w:rPr>
          <w:rFonts w:asciiTheme="minorHAnsi" w:hAnsiTheme="minorHAnsi" w:cstheme="minorHAnsi"/>
          <w:color w:val="000000" w:themeColor="text1"/>
          <w:sz w:val="24"/>
          <w:szCs w:val="24"/>
        </w:rPr>
        <w:t xml:space="preserve"> poz. 613)</w:t>
      </w:r>
      <w:bookmarkEnd w:id="55"/>
    </w:p>
    <w:p w14:paraId="42157E66"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4D9EF6C1" w14:textId="1A1E90E2" w:rsidR="00971A03" w:rsidRPr="00375799" w:rsidRDefault="00971A0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 w ustawie ma na celu wprowadzenie podstaw prawnych do badania rękojmi wykonywania funkcji przez członków zarządzających banków spółdzielczych. P</w:t>
      </w:r>
      <w:r w:rsidR="00AC1E37">
        <w:rPr>
          <w:rFonts w:cstheme="minorHAnsi"/>
          <w:color w:val="000000" w:themeColor="text1"/>
          <w:sz w:val="24"/>
          <w:szCs w:val="24"/>
        </w:rPr>
        <w:t>roponuje</w:t>
      </w:r>
      <w:r w:rsidRPr="00375799">
        <w:rPr>
          <w:rFonts w:cstheme="minorHAnsi"/>
          <w:color w:val="000000" w:themeColor="text1"/>
          <w:sz w:val="24"/>
          <w:szCs w:val="24"/>
        </w:rPr>
        <w:t xml:space="preserve"> się wprowadzenie regulacji</w:t>
      </w:r>
      <w:r w:rsidR="007F724E">
        <w:rPr>
          <w:rFonts w:cstheme="minorHAnsi"/>
          <w:color w:val="000000" w:themeColor="text1"/>
          <w:sz w:val="24"/>
          <w:szCs w:val="24"/>
        </w:rPr>
        <w:t>,</w:t>
      </w:r>
      <w:r w:rsidR="00162149">
        <w:rPr>
          <w:rFonts w:cstheme="minorHAnsi"/>
          <w:color w:val="000000" w:themeColor="text1"/>
          <w:sz w:val="24"/>
          <w:szCs w:val="24"/>
        </w:rPr>
        <w:t xml:space="preserve"> zgodnie</w:t>
      </w:r>
      <w:r w:rsidRPr="00375799">
        <w:rPr>
          <w:rFonts w:cstheme="minorHAnsi"/>
          <w:color w:val="000000" w:themeColor="text1"/>
          <w:sz w:val="24"/>
          <w:szCs w:val="24"/>
        </w:rPr>
        <w:t xml:space="preserve"> z którą członkowie zarządu jednostki zarządzającej powinni mieć wiedzę, umiejętności i doświadczenie, odpowiednie do pełnionych przez nich funkcji i powierzonych im obowiązków, oraz dawać rękojmię należytego wykonywania tych obowiązków.</w:t>
      </w:r>
    </w:p>
    <w:p w14:paraId="666D32F0" w14:textId="77777777" w:rsidR="00971A03" w:rsidRPr="00375799" w:rsidRDefault="00971A0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Rękojmia powyższa odnosi się w szczególności do reputacji, uczciwości i rzetelności danej osoby oraz zdolności do prowadzenia spraw jednostki zarządzającej w sposób ostrożny i stabilny. </w:t>
      </w:r>
    </w:p>
    <w:p w14:paraId="0647FF73" w14:textId="57D43ECE" w:rsidR="008706DD" w:rsidRPr="00375799" w:rsidRDefault="00971A03"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uwagi na fakt, iż do ww. rękojmi znaj</w:t>
      </w:r>
      <w:r w:rsidR="007F724E">
        <w:rPr>
          <w:rFonts w:cstheme="minorHAnsi"/>
          <w:color w:val="000000" w:themeColor="text1"/>
          <w:sz w:val="24"/>
          <w:szCs w:val="24"/>
        </w:rPr>
        <w:t>d</w:t>
      </w:r>
      <w:r w:rsidRPr="00375799">
        <w:rPr>
          <w:rFonts w:cstheme="minorHAnsi"/>
          <w:color w:val="000000" w:themeColor="text1"/>
          <w:sz w:val="24"/>
          <w:szCs w:val="24"/>
        </w:rPr>
        <w:t>ą zastosowanie odpowiednie przepisy ustawy – Prawo bankowe (art. 22aa ust. 10-</w:t>
      </w:r>
      <w:r w:rsidR="005354DC" w:rsidRPr="00375799">
        <w:rPr>
          <w:rFonts w:cstheme="minorHAnsi"/>
          <w:color w:val="000000" w:themeColor="text1"/>
          <w:sz w:val="24"/>
          <w:szCs w:val="24"/>
        </w:rPr>
        <w:t>12</w:t>
      </w:r>
      <w:r w:rsidRPr="00375799">
        <w:rPr>
          <w:rFonts w:cstheme="minorHAnsi"/>
          <w:color w:val="000000" w:themeColor="text1"/>
          <w:sz w:val="24"/>
          <w:szCs w:val="24"/>
        </w:rPr>
        <w:t>) szczegółowe uzasadnienie do wprowadzanej regulacji znajduje się w uzasadnieniu do ustawy – Prawo bankowe.</w:t>
      </w:r>
    </w:p>
    <w:p w14:paraId="131FA596" w14:textId="77777777" w:rsidR="00971A03" w:rsidRPr="00375799" w:rsidRDefault="00971A03" w:rsidP="0055107B">
      <w:pPr>
        <w:spacing w:after="0" w:line="276" w:lineRule="auto"/>
        <w:ind w:left="57" w:right="57"/>
        <w:contextualSpacing/>
        <w:jc w:val="both"/>
        <w:rPr>
          <w:rFonts w:cstheme="minorHAnsi"/>
          <w:color w:val="000000" w:themeColor="text1"/>
          <w:sz w:val="24"/>
          <w:szCs w:val="24"/>
        </w:rPr>
      </w:pPr>
    </w:p>
    <w:p w14:paraId="402037EB" w14:textId="1E1233F4"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56" w:name="_Toc530565028"/>
      <w:r w:rsidRPr="00375799">
        <w:rPr>
          <w:rFonts w:asciiTheme="minorHAnsi" w:hAnsiTheme="minorHAnsi" w:cstheme="minorHAnsi"/>
          <w:color w:val="000000" w:themeColor="text1"/>
          <w:sz w:val="24"/>
          <w:szCs w:val="24"/>
        </w:rPr>
        <w:t>Ustawa z dnia 15 grudnia 2000 r. o samorządach zawodowych architektów oraz inżynierów budownictwa (Dz. U. z 2016 r. poz. 1725</w:t>
      </w:r>
      <w:r w:rsidR="00431995">
        <w:rPr>
          <w:rFonts w:asciiTheme="minorHAnsi" w:hAnsiTheme="minorHAnsi" w:cstheme="minorHAnsi"/>
          <w:color w:val="000000" w:themeColor="text1"/>
          <w:sz w:val="24"/>
          <w:szCs w:val="24"/>
        </w:rPr>
        <w:t xml:space="preserve"> oraz z 2018 r. poz. 1669</w:t>
      </w:r>
      <w:r w:rsidRPr="00375799">
        <w:rPr>
          <w:rFonts w:asciiTheme="minorHAnsi" w:hAnsiTheme="minorHAnsi" w:cstheme="minorHAnsi"/>
          <w:color w:val="000000" w:themeColor="text1"/>
          <w:sz w:val="24"/>
          <w:szCs w:val="24"/>
        </w:rPr>
        <w:t>)</w:t>
      </w:r>
      <w:bookmarkEnd w:id="56"/>
      <w:r w:rsidRPr="00375799">
        <w:rPr>
          <w:rFonts w:asciiTheme="minorHAnsi" w:hAnsiTheme="minorHAnsi" w:cstheme="minorHAnsi"/>
          <w:color w:val="000000" w:themeColor="text1"/>
          <w:sz w:val="24"/>
          <w:szCs w:val="24"/>
        </w:rPr>
        <w:t xml:space="preserve"> </w:t>
      </w:r>
    </w:p>
    <w:p w14:paraId="2F0E16B4"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4A89B32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przetwarzaniem danych osobowych uzyskanych przy realizacji zadań związanych z: </w:t>
      </w:r>
    </w:p>
    <w:p w14:paraId="1FABE9F8" w14:textId="72514B6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w:t>
      </w:r>
      <w:r w:rsidRPr="00375799">
        <w:rPr>
          <w:rFonts w:cstheme="minorHAnsi"/>
          <w:color w:val="000000" w:themeColor="text1"/>
          <w:sz w:val="24"/>
          <w:szCs w:val="24"/>
        </w:rPr>
        <w:tab/>
        <w:t>uznawaniem kwalifikacji zawodowych, o których mowa w art. 33a, art. 33c, art. 33d oraz art. 33e ustawy</w:t>
      </w:r>
      <w:r w:rsidR="00AC1E37">
        <w:rPr>
          <w:rFonts w:cstheme="minorHAnsi"/>
          <w:color w:val="000000" w:themeColor="text1"/>
          <w:sz w:val="24"/>
          <w:szCs w:val="24"/>
        </w:rPr>
        <w:t xml:space="preserve"> o samorządach zawodowych</w:t>
      </w:r>
      <w:r w:rsidR="009C72A1">
        <w:rPr>
          <w:rFonts w:cstheme="minorHAnsi"/>
          <w:color w:val="000000" w:themeColor="text1"/>
          <w:sz w:val="24"/>
          <w:szCs w:val="24"/>
        </w:rPr>
        <w:t xml:space="preserve"> architektów oraz inżynierów budownictwa</w:t>
      </w:r>
      <w:r w:rsidR="00A0130E">
        <w:rPr>
          <w:rFonts w:cstheme="minorHAnsi"/>
          <w:color w:val="000000" w:themeColor="text1"/>
          <w:sz w:val="24"/>
          <w:szCs w:val="24"/>
        </w:rPr>
        <w:t xml:space="preserve"> (dalej „</w:t>
      </w:r>
      <w:proofErr w:type="spellStart"/>
      <w:r w:rsidR="00A0130E">
        <w:rPr>
          <w:rFonts w:cstheme="minorHAnsi"/>
          <w:color w:val="000000" w:themeColor="text1"/>
          <w:sz w:val="24"/>
          <w:szCs w:val="24"/>
        </w:rPr>
        <w:t>usz</w:t>
      </w:r>
      <w:proofErr w:type="spellEnd"/>
      <w:r w:rsidR="00A0130E">
        <w:rPr>
          <w:rFonts w:cstheme="minorHAnsi"/>
          <w:color w:val="000000" w:themeColor="text1"/>
          <w:sz w:val="24"/>
          <w:szCs w:val="24"/>
        </w:rPr>
        <w:t>”)</w:t>
      </w:r>
      <w:r w:rsidRPr="00375799">
        <w:rPr>
          <w:rFonts w:cstheme="minorHAnsi"/>
          <w:color w:val="000000" w:themeColor="text1"/>
          <w:sz w:val="24"/>
          <w:szCs w:val="24"/>
        </w:rPr>
        <w:t>, tj. np. obejmujących uznanie kwalifikacji obywatela państwa członkowskiego nabytych na terytorium państwa innego niż państwo członkowskie;</w:t>
      </w:r>
    </w:p>
    <w:p w14:paraId="213B850B" w14:textId="07659A0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w:t>
      </w:r>
      <w:r w:rsidRPr="00375799">
        <w:rPr>
          <w:rFonts w:cstheme="minorHAnsi"/>
          <w:color w:val="000000" w:themeColor="text1"/>
          <w:sz w:val="24"/>
          <w:szCs w:val="24"/>
        </w:rPr>
        <w:tab/>
        <w:t xml:space="preserve">świadczeniem usług transgranicznych, o których mowa w art. 20a </w:t>
      </w:r>
      <w:proofErr w:type="spellStart"/>
      <w:r w:rsidR="00A0130E">
        <w:rPr>
          <w:rFonts w:cstheme="minorHAnsi"/>
          <w:color w:val="000000" w:themeColor="text1"/>
          <w:sz w:val="24"/>
          <w:szCs w:val="24"/>
        </w:rPr>
        <w:t>usz</w:t>
      </w:r>
      <w:proofErr w:type="spellEnd"/>
      <w:r w:rsidR="00A0130E" w:rsidRPr="00375799">
        <w:rPr>
          <w:rFonts w:cstheme="minorHAnsi"/>
          <w:color w:val="000000" w:themeColor="text1"/>
          <w:sz w:val="24"/>
          <w:szCs w:val="24"/>
        </w:rPr>
        <w:t xml:space="preserve"> </w:t>
      </w:r>
      <w:r w:rsidRPr="00375799">
        <w:rPr>
          <w:rFonts w:cstheme="minorHAnsi"/>
          <w:color w:val="000000" w:themeColor="text1"/>
          <w:sz w:val="24"/>
          <w:szCs w:val="24"/>
        </w:rPr>
        <w:t>;</w:t>
      </w:r>
    </w:p>
    <w:p w14:paraId="036BC872" w14:textId="661F3D5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w:t>
      </w:r>
      <w:r w:rsidRPr="00375799">
        <w:rPr>
          <w:rFonts w:cstheme="minorHAnsi"/>
          <w:color w:val="000000" w:themeColor="text1"/>
          <w:sz w:val="24"/>
          <w:szCs w:val="24"/>
        </w:rPr>
        <w:tab/>
        <w:t xml:space="preserve">prowadzeniem list rzeczoznawców budowlanych, rejestru ukaranych z tytułu odpowiedzialności dyscyplinarnej członków okręgowych izb, o których mowa odpowiednio w art. 8c, art. 19 ust. 1 pkt 10 oraz art. 39 </w:t>
      </w:r>
      <w:proofErr w:type="spellStart"/>
      <w:r w:rsidR="00A0130E">
        <w:rPr>
          <w:rFonts w:cstheme="minorHAnsi"/>
          <w:color w:val="000000" w:themeColor="text1"/>
          <w:sz w:val="24"/>
          <w:szCs w:val="24"/>
        </w:rPr>
        <w:t>usz</w:t>
      </w:r>
      <w:proofErr w:type="spellEnd"/>
      <w:r w:rsidR="00A0130E">
        <w:rPr>
          <w:rStyle w:val="Odwoaniedokomentarza"/>
          <w:rFonts w:ascii="Times" w:eastAsia="Times New Roman" w:hAnsi="Times" w:cs="Times New Roman"/>
          <w:lang w:eastAsia="pl-PL"/>
        </w:rPr>
        <w:t>,</w:t>
      </w:r>
      <w:r w:rsidRPr="00375799">
        <w:rPr>
          <w:rFonts w:cstheme="minorHAnsi"/>
          <w:color w:val="000000" w:themeColor="text1"/>
          <w:sz w:val="24"/>
          <w:szCs w:val="24"/>
        </w:rPr>
        <w:t xml:space="preserve"> w tym ich tworzeniem, ewidencjonowaniem i utrzymywaniem oraz aktualizacją i udostępnianiem danych;</w:t>
      </w:r>
    </w:p>
    <w:p w14:paraId="58F581E6" w14:textId="5186F34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4)</w:t>
      </w:r>
      <w:r w:rsidRPr="00375799">
        <w:rPr>
          <w:rFonts w:cstheme="minorHAnsi"/>
          <w:color w:val="000000" w:themeColor="text1"/>
          <w:sz w:val="24"/>
          <w:szCs w:val="24"/>
        </w:rPr>
        <w:tab/>
        <w:t xml:space="preserve">prowadzeniem postępowań dyscyplinarnych, o których mowa w rozdziale 5 </w:t>
      </w:r>
      <w:proofErr w:type="spellStart"/>
      <w:r w:rsidR="00A0130E">
        <w:rPr>
          <w:rFonts w:cstheme="minorHAnsi"/>
          <w:color w:val="000000" w:themeColor="text1"/>
          <w:sz w:val="24"/>
          <w:szCs w:val="24"/>
        </w:rPr>
        <w:t>usz</w:t>
      </w:r>
      <w:proofErr w:type="spellEnd"/>
      <w:r w:rsidR="00A0130E">
        <w:rPr>
          <w:rStyle w:val="Odwoaniedokomentarza"/>
          <w:rFonts w:ascii="Times" w:eastAsia="Times New Roman" w:hAnsi="Times" w:cs="Times New Roman"/>
          <w:lang w:eastAsia="pl-PL"/>
        </w:rPr>
        <w:t>,</w:t>
      </w:r>
      <w:r w:rsidRPr="00375799">
        <w:rPr>
          <w:rFonts w:cstheme="minorHAnsi"/>
          <w:color w:val="000000" w:themeColor="text1"/>
          <w:sz w:val="24"/>
          <w:szCs w:val="24"/>
        </w:rPr>
        <w:t xml:space="preserve"> tj. np. w zakresie ustalenia sposobu wywiązywania się przez członków samorządów </w:t>
      </w:r>
      <w:r w:rsidRPr="00375799">
        <w:rPr>
          <w:rFonts w:cstheme="minorHAnsi"/>
          <w:color w:val="000000" w:themeColor="text1"/>
          <w:sz w:val="24"/>
          <w:szCs w:val="24"/>
        </w:rPr>
        <w:lastRenderedPageBreak/>
        <w:t>zawodowych architektów lub inżynierów budownictwa ze swoich obowiązków oraz w zakresie odpowiedzialności zawodowej;</w:t>
      </w:r>
    </w:p>
    <w:p w14:paraId="5D852F24" w14:textId="240063E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5)</w:t>
      </w:r>
      <w:r w:rsidRPr="00375799">
        <w:rPr>
          <w:rFonts w:cstheme="minorHAnsi"/>
          <w:color w:val="000000" w:themeColor="text1"/>
          <w:sz w:val="24"/>
          <w:szCs w:val="24"/>
        </w:rPr>
        <w:tab/>
        <w:t>prowadzeniem postępowań w sprawie wydania decyzji, o których mowa w art. 8b ust. 2 i 4, art. 24 ust. 1 pkt 2 oraz art. 33a ust. 3</w:t>
      </w:r>
      <w:r w:rsidR="00A0130E">
        <w:rPr>
          <w:rStyle w:val="Odwoaniedokomentarza"/>
          <w:rFonts w:ascii="Times" w:eastAsia="Times New Roman" w:hAnsi="Times" w:cs="Times New Roman"/>
          <w:lang w:eastAsia="pl-PL"/>
        </w:rPr>
        <w:t xml:space="preserve"> </w:t>
      </w:r>
      <w:proofErr w:type="spellStart"/>
      <w:r w:rsidR="00A0130E" w:rsidRPr="00A0130E">
        <w:rPr>
          <w:rStyle w:val="Odwoaniedokomentarza"/>
          <w:rFonts w:ascii="Times" w:eastAsia="Times New Roman" w:hAnsi="Times" w:cs="Times New Roman"/>
          <w:sz w:val="24"/>
          <w:szCs w:val="24"/>
          <w:lang w:eastAsia="pl-PL"/>
        </w:rPr>
        <w:t>u</w:t>
      </w:r>
      <w:r w:rsidR="00A0130E" w:rsidRPr="00A0130E">
        <w:rPr>
          <w:rFonts w:cstheme="minorHAnsi"/>
          <w:color w:val="000000" w:themeColor="text1"/>
          <w:sz w:val="24"/>
          <w:szCs w:val="24"/>
        </w:rPr>
        <w:t>sz</w:t>
      </w:r>
      <w:proofErr w:type="spellEnd"/>
      <w:r w:rsidRPr="00375799">
        <w:rPr>
          <w:rFonts w:cstheme="minorHAnsi"/>
          <w:color w:val="000000" w:themeColor="text1"/>
          <w:sz w:val="24"/>
          <w:szCs w:val="24"/>
        </w:rPr>
        <w:t>;</w:t>
      </w:r>
    </w:p>
    <w:p w14:paraId="596E6912" w14:textId="50C1544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6)</w:t>
      </w:r>
      <w:r w:rsidRPr="00375799">
        <w:rPr>
          <w:rFonts w:cstheme="minorHAnsi"/>
          <w:color w:val="000000" w:themeColor="text1"/>
          <w:sz w:val="24"/>
          <w:szCs w:val="24"/>
        </w:rPr>
        <w:tab/>
        <w:t xml:space="preserve">wpisywaniem, skreślaniem i aktualizowaniem danych członków samorządów zawodowych architektów lub inżynierów budownictwa zrzeszonych w izbach, o których mowa odpowiednio w art. 5 ust. 1 i 2 </w:t>
      </w:r>
      <w:proofErr w:type="spellStart"/>
      <w:r w:rsidR="00A0130E">
        <w:rPr>
          <w:rFonts w:cstheme="minorHAnsi"/>
          <w:color w:val="000000" w:themeColor="text1"/>
          <w:sz w:val="24"/>
          <w:szCs w:val="24"/>
        </w:rPr>
        <w:t>usz</w:t>
      </w:r>
      <w:proofErr w:type="spellEnd"/>
    </w:p>
    <w:p w14:paraId="7BC1AE14" w14:textId="462DDA3D" w:rsidR="008706DD" w:rsidRPr="00375799" w:rsidRDefault="001A1951" w:rsidP="0055107B">
      <w:pPr>
        <w:spacing w:after="0" w:line="276" w:lineRule="auto"/>
        <w:ind w:left="57" w:right="57" w:firstLine="0"/>
        <w:contextualSpacing/>
        <w:jc w:val="both"/>
        <w:rPr>
          <w:rFonts w:cstheme="minorHAnsi"/>
          <w:color w:val="000000" w:themeColor="text1"/>
          <w:sz w:val="24"/>
          <w:szCs w:val="24"/>
        </w:rPr>
      </w:pPr>
      <w:r>
        <w:rPr>
          <w:rFonts w:cstheme="minorHAnsi"/>
          <w:color w:val="000000" w:themeColor="text1"/>
          <w:sz w:val="24"/>
          <w:szCs w:val="24"/>
        </w:rPr>
        <w:t xml:space="preserve">– </w:t>
      </w:r>
      <w:r w:rsidR="008706DD" w:rsidRPr="00375799">
        <w:rPr>
          <w:rFonts w:cstheme="minorHAnsi"/>
          <w:color w:val="000000" w:themeColor="text1"/>
          <w:sz w:val="24"/>
          <w:szCs w:val="24"/>
        </w:rPr>
        <w:t xml:space="preserve">ograniczono stosowanie art. 15 ust. 1 lit. g </w:t>
      </w:r>
      <w:r w:rsidR="0015533A" w:rsidRPr="00375799">
        <w:rPr>
          <w:rFonts w:cstheme="minorHAnsi"/>
          <w:color w:val="000000" w:themeColor="text1"/>
          <w:sz w:val="24"/>
          <w:szCs w:val="24"/>
        </w:rPr>
        <w:t>RODO</w:t>
      </w:r>
      <w:r w:rsidR="008706DD" w:rsidRPr="00375799">
        <w:rPr>
          <w:rFonts w:cstheme="minorHAnsi"/>
          <w:color w:val="000000" w:themeColor="text1"/>
          <w:sz w:val="24"/>
          <w:szCs w:val="24"/>
        </w:rPr>
        <w:t xml:space="preserve"> (</w:t>
      </w:r>
      <w:r>
        <w:rPr>
          <w:rFonts w:cstheme="minorHAnsi"/>
          <w:color w:val="000000" w:themeColor="text1"/>
          <w:sz w:val="24"/>
          <w:szCs w:val="24"/>
        </w:rPr>
        <w:t xml:space="preserve">przewidującego, że </w:t>
      </w:r>
      <w:r w:rsidR="008706DD" w:rsidRPr="00375799">
        <w:rPr>
          <w:rFonts w:cstheme="minorHAnsi"/>
          <w:color w:val="000000" w:themeColor="text1"/>
          <w:sz w:val="24"/>
          <w:szCs w:val="24"/>
        </w:rPr>
        <w:t xml:space="preserve">jeżeli dane osobowe nie zostały zebrane od osoby, której dane dotyczą, osobie tej przysługuje prawo dostępu do wszelkich dostępnych informacji o źródle pozyskania jej danych osobowych). </w:t>
      </w:r>
    </w:p>
    <w:p w14:paraId="50402D9A" w14:textId="047A3EE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Ograniczenie to ma miejsce jedynie w zakresie wystąpień zawierających dane osobowe osób trzecich, które nie skutkują wszczęciem postępowania administracyjnego i tylko w zakresie</w:t>
      </w:r>
      <w:r w:rsidR="007F724E">
        <w:rPr>
          <w:rFonts w:cstheme="minorHAnsi"/>
          <w:color w:val="000000" w:themeColor="text1"/>
          <w:sz w:val="24"/>
          <w:szCs w:val="24"/>
        </w:rPr>
        <w:t>,</w:t>
      </w:r>
      <w:r w:rsidRPr="00375799">
        <w:rPr>
          <w:rFonts w:cstheme="minorHAnsi"/>
          <w:color w:val="000000" w:themeColor="text1"/>
          <w:sz w:val="24"/>
          <w:szCs w:val="24"/>
        </w:rPr>
        <w:t xml:space="preserve"> w jakim ma to wpływ na ochronę praw i wolności osób, których dane dotyczą. Chodzi tu np. o sytuacje, w których odpowiednio wszczęto postępowanie dyscyplinarne lub kontrolę na podstawie wniosku/zawiadomienia osoby trzeciej. W sytuacji takiej dane osoby zawiadamiającej nie powinny być udostępniane kontrolowanemu podmiotowi.</w:t>
      </w:r>
    </w:p>
    <w:p w14:paraId="49223BFF" w14:textId="3C05823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wyraźnie wskazano, iż wystąpienie z żądaniem, o którym mowa w art. 18 ust. 1 </w:t>
      </w:r>
      <w:r w:rsidR="0015533A" w:rsidRPr="00375799">
        <w:rPr>
          <w:rFonts w:cstheme="minorHAnsi"/>
          <w:color w:val="000000" w:themeColor="text1"/>
          <w:sz w:val="24"/>
          <w:szCs w:val="24"/>
        </w:rPr>
        <w:t>RODO</w:t>
      </w:r>
      <w:r w:rsidR="0015533A" w:rsidRPr="00375799" w:rsidDel="0015533A">
        <w:rPr>
          <w:rFonts w:cstheme="minorHAnsi"/>
          <w:color w:val="000000" w:themeColor="text1"/>
          <w:sz w:val="24"/>
          <w:szCs w:val="24"/>
        </w:rPr>
        <w:t xml:space="preserve"> </w:t>
      </w:r>
      <w:r w:rsidR="009C72A1">
        <w:rPr>
          <w:rFonts w:cstheme="minorHAnsi"/>
          <w:color w:val="000000" w:themeColor="text1"/>
          <w:sz w:val="24"/>
          <w:szCs w:val="24"/>
        </w:rPr>
        <w:t>(tj. żąda</w:t>
      </w:r>
      <w:r w:rsidRPr="00375799">
        <w:rPr>
          <w:rFonts w:cstheme="minorHAnsi"/>
          <w:color w:val="000000" w:themeColor="text1"/>
          <w:sz w:val="24"/>
          <w:szCs w:val="24"/>
        </w:rPr>
        <w:t>ni</w:t>
      </w:r>
      <w:r w:rsidR="001A1951">
        <w:rPr>
          <w:rFonts w:cstheme="minorHAnsi"/>
          <w:color w:val="000000" w:themeColor="text1"/>
          <w:sz w:val="24"/>
          <w:szCs w:val="24"/>
        </w:rPr>
        <w:t>e</w:t>
      </w:r>
      <w:r w:rsidR="009C72A1">
        <w:rPr>
          <w:rFonts w:cstheme="minorHAnsi"/>
          <w:color w:val="000000" w:themeColor="text1"/>
          <w:sz w:val="24"/>
          <w:szCs w:val="24"/>
        </w:rPr>
        <w:t>m</w:t>
      </w:r>
      <w:r w:rsidRPr="00375799">
        <w:rPr>
          <w:rFonts w:cstheme="minorHAnsi"/>
          <w:color w:val="000000" w:themeColor="text1"/>
          <w:sz w:val="24"/>
          <w:szCs w:val="24"/>
        </w:rPr>
        <w:t xml:space="preserve"> przez osobę, której dane osobowe dotyczą, ograniczenia przetwarzania jej danych)</w:t>
      </w:r>
      <w:r w:rsidR="007F724E">
        <w:rPr>
          <w:rFonts w:cstheme="minorHAnsi"/>
          <w:color w:val="000000" w:themeColor="text1"/>
          <w:sz w:val="24"/>
          <w:szCs w:val="24"/>
        </w:rPr>
        <w:t>,</w:t>
      </w:r>
      <w:r w:rsidRPr="00375799">
        <w:rPr>
          <w:rFonts w:cstheme="minorHAnsi"/>
          <w:color w:val="000000" w:themeColor="text1"/>
          <w:sz w:val="24"/>
          <w:szCs w:val="24"/>
        </w:rPr>
        <w:t xml:space="preserve"> nie wpływa na:</w:t>
      </w:r>
    </w:p>
    <w:p w14:paraId="41647151"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a)</w:t>
      </w:r>
      <w:r w:rsidRPr="00375799">
        <w:rPr>
          <w:rFonts w:cstheme="minorHAnsi"/>
          <w:color w:val="000000" w:themeColor="text1"/>
          <w:sz w:val="24"/>
          <w:szCs w:val="24"/>
        </w:rPr>
        <w:tab/>
        <w:t xml:space="preserve">prowadzenie postępowań kontrolnych, </w:t>
      </w:r>
    </w:p>
    <w:p w14:paraId="455BF56F" w14:textId="06E7488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b)</w:t>
      </w:r>
      <w:r w:rsidRPr="00375799">
        <w:rPr>
          <w:rFonts w:cstheme="minorHAnsi"/>
          <w:color w:val="000000" w:themeColor="text1"/>
          <w:sz w:val="24"/>
          <w:szCs w:val="24"/>
        </w:rPr>
        <w:tab/>
        <w:t>prowadzenie list oraz rejestru, o których mowa w art. 8c, art. 19 ust. 1 pkt 10 oraz art. 39</w:t>
      </w:r>
      <w:r w:rsidR="001A1951">
        <w:rPr>
          <w:rFonts w:cstheme="minorHAnsi"/>
          <w:color w:val="000000" w:themeColor="text1"/>
          <w:sz w:val="24"/>
          <w:szCs w:val="24"/>
        </w:rPr>
        <w:t xml:space="preserve"> </w:t>
      </w:r>
      <w:proofErr w:type="spellStart"/>
      <w:r w:rsidR="00A0130E">
        <w:rPr>
          <w:rFonts w:cstheme="minorHAnsi"/>
          <w:color w:val="000000" w:themeColor="text1"/>
          <w:sz w:val="24"/>
          <w:szCs w:val="24"/>
        </w:rPr>
        <w:t>usz</w:t>
      </w:r>
      <w:proofErr w:type="spellEnd"/>
      <w:r w:rsidRPr="00375799">
        <w:rPr>
          <w:rFonts w:cstheme="minorHAnsi"/>
          <w:color w:val="000000" w:themeColor="text1"/>
          <w:sz w:val="24"/>
          <w:szCs w:val="24"/>
        </w:rPr>
        <w:t xml:space="preserve">, w tym ich tworzenie, ewidencjonowanie i utrzymywanie oraz aktualizację i udostępnianie danych, </w:t>
      </w:r>
    </w:p>
    <w:p w14:paraId="73E38853" w14:textId="2EE0163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c)</w:t>
      </w:r>
      <w:r w:rsidRPr="00375799">
        <w:rPr>
          <w:rFonts w:cstheme="minorHAnsi"/>
          <w:color w:val="000000" w:themeColor="text1"/>
          <w:sz w:val="24"/>
          <w:szCs w:val="24"/>
        </w:rPr>
        <w:tab/>
        <w:t>postępowania w sprawach świadczenia usług transgranicznych, o których mowa w art. 20a</w:t>
      </w:r>
      <w:r w:rsidR="001A1951">
        <w:rPr>
          <w:rFonts w:cstheme="minorHAnsi"/>
          <w:color w:val="000000" w:themeColor="text1"/>
          <w:sz w:val="24"/>
          <w:szCs w:val="24"/>
        </w:rPr>
        <w:t xml:space="preserve"> </w:t>
      </w:r>
      <w:proofErr w:type="spellStart"/>
      <w:r w:rsidR="00A0130E">
        <w:rPr>
          <w:rFonts w:cstheme="minorHAnsi"/>
          <w:color w:val="000000" w:themeColor="text1"/>
          <w:sz w:val="24"/>
          <w:szCs w:val="24"/>
        </w:rPr>
        <w:t>usz</w:t>
      </w:r>
      <w:proofErr w:type="spellEnd"/>
      <w:r w:rsidRPr="00375799">
        <w:rPr>
          <w:rFonts w:cstheme="minorHAnsi"/>
          <w:color w:val="000000" w:themeColor="text1"/>
          <w:sz w:val="24"/>
          <w:szCs w:val="24"/>
        </w:rPr>
        <w:t xml:space="preserve">, </w:t>
      </w:r>
    </w:p>
    <w:p w14:paraId="7AF1D2A8" w14:textId="7067B96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w:t>
      </w:r>
      <w:r w:rsidRPr="00375799">
        <w:rPr>
          <w:rFonts w:cstheme="minorHAnsi"/>
          <w:color w:val="000000" w:themeColor="text1"/>
          <w:sz w:val="24"/>
          <w:szCs w:val="24"/>
        </w:rPr>
        <w:tab/>
        <w:t>uznawanie kwalifikacji zawodowych, o których mowa w art. 33a, art. 33c</w:t>
      </w:r>
      <w:r w:rsidR="001A1951">
        <w:rPr>
          <w:rFonts w:cstheme="minorHAnsi"/>
          <w:color w:val="000000" w:themeColor="text1"/>
          <w:sz w:val="24"/>
          <w:szCs w:val="24"/>
        </w:rPr>
        <w:t>–</w:t>
      </w:r>
      <w:r w:rsidRPr="00375799">
        <w:rPr>
          <w:rFonts w:cstheme="minorHAnsi"/>
          <w:color w:val="000000" w:themeColor="text1"/>
          <w:sz w:val="24"/>
          <w:szCs w:val="24"/>
        </w:rPr>
        <w:t>33e</w:t>
      </w:r>
      <w:r w:rsidR="001A1951">
        <w:rPr>
          <w:rFonts w:cstheme="minorHAnsi"/>
          <w:color w:val="000000" w:themeColor="text1"/>
          <w:sz w:val="24"/>
          <w:szCs w:val="24"/>
        </w:rPr>
        <w:t xml:space="preserve"> </w:t>
      </w:r>
      <w:proofErr w:type="spellStart"/>
      <w:r w:rsidR="00A0130E">
        <w:rPr>
          <w:rFonts w:cstheme="minorHAnsi"/>
          <w:color w:val="000000" w:themeColor="text1"/>
          <w:sz w:val="24"/>
          <w:szCs w:val="24"/>
        </w:rPr>
        <w:t>usz</w:t>
      </w:r>
      <w:proofErr w:type="spellEnd"/>
      <w:r w:rsidRPr="00375799">
        <w:rPr>
          <w:rFonts w:cstheme="minorHAnsi"/>
          <w:color w:val="000000" w:themeColor="text1"/>
          <w:sz w:val="24"/>
          <w:szCs w:val="24"/>
        </w:rPr>
        <w:t>,</w:t>
      </w:r>
    </w:p>
    <w:p w14:paraId="2A2B76A3" w14:textId="582222A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e)</w:t>
      </w:r>
      <w:r w:rsidRPr="00375799">
        <w:rPr>
          <w:rFonts w:cstheme="minorHAnsi"/>
          <w:color w:val="000000" w:themeColor="text1"/>
          <w:sz w:val="24"/>
          <w:szCs w:val="24"/>
        </w:rPr>
        <w:tab/>
        <w:t>prowadzenie postępowań dyscyplinarnych, o których mowa w rozdziale 5</w:t>
      </w:r>
      <w:r w:rsidR="001A1951">
        <w:rPr>
          <w:rFonts w:cstheme="minorHAnsi"/>
          <w:color w:val="000000" w:themeColor="text1"/>
          <w:sz w:val="24"/>
          <w:szCs w:val="24"/>
        </w:rPr>
        <w:t xml:space="preserve"> </w:t>
      </w:r>
      <w:proofErr w:type="spellStart"/>
      <w:r w:rsidR="00A0130E">
        <w:rPr>
          <w:rFonts w:cstheme="minorHAnsi"/>
          <w:color w:val="000000" w:themeColor="text1"/>
          <w:sz w:val="24"/>
          <w:szCs w:val="24"/>
        </w:rPr>
        <w:t>usz</w:t>
      </w:r>
      <w:proofErr w:type="spellEnd"/>
      <w:r w:rsidRPr="00375799">
        <w:rPr>
          <w:rFonts w:cstheme="minorHAnsi"/>
          <w:color w:val="000000" w:themeColor="text1"/>
          <w:sz w:val="24"/>
          <w:szCs w:val="24"/>
        </w:rPr>
        <w:t>.</w:t>
      </w:r>
    </w:p>
    <w:p w14:paraId="60730B94"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Powyższe ma na celu umożliwienie skutecznego i efektywnego wykonywania ww. zadań (uniemożliwienie wykorzystywania prawa do ograniczenia przetwarzania danych w celu przedłużania lub blokowania działań organów w ww. zakresie).</w:t>
      </w:r>
    </w:p>
    <w:p w14:paraId="389007BB" w14:textId="3A61B69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przedmiotowej ustawie nie wprowadzono ograniczeń stosowania art. 21 ust. 1 </w:t>
      </w:r>
      <w:r w:rsidR="0015533A" w:rsidRPr="00375799">
        <w:rPr>
          <w:rFonts w:cstheme="minorHAnsi"/>
          <w:color w:val="000000" w:themeColor="text1"/>
          <w:sz w:val="24"/>
          <w:szCs w:val="24"/>
        </w:rPr>
        <w:t>RODO</w:t>
      </w:r>
      <w:r w:rsidRPr="00375799">
        <w:rPr>
          <w:rFonts w:cstheme="minorHAnsi"/>
          <w:color w:val="000000" w:themeColor="text1"/>
          <w:sz w:val="24"/>
          <w:szCs w:val="24"/>
        </w:rPr>
        <w:t xml:space="preserve"> (tj. prawo osoby, której dane osobowe dotyczą do sprzeciwu wobec przetwarzania jej danych osobowych opartego na art. 6 ust.</w:t>
      </w:r>
      <w:r w:rsidR="007F724E">
        <w:rPr>
          <w:rFonts w:cstheme="minorHAnsi"/>
          <w:color w:val="000000" w:themeColor="text1"/>
          <w:sz w:val="24"/>
          <w:szCs w:val="24"/>
        </w:rPr>
        <w:t xml:space="preserve"> </w:t>
      </w:r>
      <w:r w:rsidRPr="00375799">
        <w:rPr>
          <w:rFonts w:cstheme="minorHAnsi"/>
          <w:color w:val="000000" w:themeColor="text1"/>
          <w:sz w:val="24"/>
          <w:szCs w:val="24"/>
        </w:rPr>
        <w:t xml:space="preserve">1 lit. e lub f </w:t>
      </w:r>
      <w:r w:rsidR="0015533A" w:rsidRPr="00375799">
        <w:rPr>
          <w:rFonts w:cstheme="minorHAnsi"/>
          <w:color w:val="000000" w:themeColor="text1"/>
          <w:sz w:val="24"/>
          <w:szCs w:val="24"/>
        </w:rPr>
        <w:t>RODO</w:t>
      </w:r>
      <w:r w:rsidRPr="00375799">
        <w:rPr>
          <w:rFonts w:cstheme="minorHAnsi"/>
          <w:color w:val="000000" w:themeColor="text1"/>
          <w:sz w:val="24"/>
          <w:szCs w:val="24"/>
        </w:rPr>
        <w:t xml:space="preserve">), bowiem podstawą przetwarzania danych osobowych przez organy realizujące zadania wskazane w ww. ustawie jest art. 6 ust. 1 lit. c </w:t>
      </w:r>
      <w:r w:rsidR="0015533A" w:rsidRPr="00375799">
        <w:rPr>
          <w:rFonts w:cstheme="minorHAnsi"/>
          <w:color w:val="000000" w:themeColor="text1"/>
          <w:sz w:val="24"/>
          <w:szCs w:val="24"/>
        </w:rPr>
        <w:t>RODO</w:t>
      </w:r>
      <w:r w:rsidRPr="00375799">
        <w:rPr>
          <w:rFonts w:cstheme="minorHAnsi"/>
          <w:color w:val="000000" w:themeColor="text1"/>
          <w:sz w:val="24"/>
          <w:szCs w:val="24"/>
        </w:rPr>
        <w:t xml:space="preserve"> (przetwarzanie jest niezbędne do wypełnienia obowiązku prawnego ciążącego na administratorze). Oznacza</w:t>
      </w:r>
      <w:r w:rsidR="001A1951">
        <w:rPr>
          <w:rFonts w:cstheme="minorHAnsi"/>
          <w:color w:val="000000" w:themeColor="text1"/>
          <w:sz w:val="24"/>
          <w:szCs w:val="24"/>
        </w:rPr>
        <w:t xml:space="preserve"> to</w:t>
      </w:r>
      <w:r w:rsidRPr="00375799">
        <w:rPr>
          <w:rFonts w:cstheme="minorHAnsi"/>
          <w:color w:val="000000" w:themeColor="text1"/>
          <w:sz w:val="24"/>
          <w:szCs w:val="24"/>
        </w:rPr>
        <w:t xml:space="preserve">, że art. 21 ust. 1 </w:t>
      </w:r>
      <w:r w:rsidR="0015533A" w:rsidRPr="00375799">
        <w:rPr>
          <w:rFonts w:cstheme="minorHAnsi"/>
          <w:color w:val="000000" w:themeColor="text1"/>
          <w:sz w:val="24"/>
          <w:szCs w:val="24"/>
        </w:rPr>
        <w:t>RODO</w:t>
      </w:r>
      <w:r w:rsidRPr="00375799">
        <w:rPr>
          <w:rFonts w:cstheme="minorHAnsi"/>
          <w:color w:val="000000" w:themeColor="text1"/>
          <w:sz w:val="24"/>
          <w:szCs w:val="24"/>
        </w:rPr>
        <w:t xml:space="preserve"> nie ma </w:t>
      </w:r>
      <w:r w:rsidR="001A1951">
        <w:rPr>
          <w:rFonts w:cstheme="minorHAnsi"/>
          <w:color w:val="000000" w:themeColor="text1"/>
          <w:sz w:val="24"/>
          <w:szCs w:val="24"/>
        </w:rPr>
        <w:t xml:space="preserve">w tym przypadku </w:t>
      </w:r>
      <w:r w:rsidRPr="00375799">
        <w:rPr>
          <w:rFonts w:cstheme="minorHAnsi"/>
          <w:color w:val="000000" w:themeColor="text1"/>
          <w:sz w:val="24"/>
          <w:szCs w:val="24"/>
        </w:rPr>
        <w:t xml:space="preserve">zastosowania. </w:t>
      </w:r>
    </w:p>
    <w:p w14:paraId="7624CEC8" w14:textId="3DC174CA" w:rsidR="00AF7BF7" w:rsidRPr="00375799" w:rsidRDefault="00AF7BF7"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Jednocześnie wskazano, że z uwagi na ww. ograniczenie art. 15 ust. 1 lit. g RODO dodano dodatkowe gwarancje dla osób, których dane dotyczą</w:t>
      </w:r>
      <w:r w:rsidR="007F724E">
        <w:rPr>
          <w:rFonts w:cstheme="minorHAnsi"/>
          <w:color w:val="000000" w:themeColor="text1"/>
          <w:sz w:val="24"/>
          <w:szCs w:val="24"/>
        </w:rPr>
        <w:t>,</w:t>
      </w:r>
      <w:r w:rsidRPr="00375799">
        <w:rPr>
          <w:rFonts w:cstheme="minorHAnsi"/>
          <w:color w:val="000000" w:themeColor="text1"/>
          <w:sz w:val="24"/>
          <w:szCs w:val="24"/>
        </w:rPr>
        <w:t xml:space="preserve"> w postaci zobowiązania </w:t>
      </w:r>
      <w:r w:rsidRPr="00375799">
        <w:rPr>
          <w:rFonts w:cstheme="minorHAnsi"/>
          <w:color w:val="000000" w:themeColor="text1"/>
          <w:sz w:val="24"/>
          <w:szCs w:val="24"/>
        </w:rPr>
        <w:lastRenderedPageBreak/>
        <w:t xml:space="preserve">administratora </w:t>
      </w:r>
      <w:r w:rsidR="001A1951">
        <w:rPr>
          <w:rFonts w:cstheme="minorHAnsi"/>
          <w:color w:val="000000" w:themeColor="text1"/>
          <w:sz w:val="24"/>
          <w:szCs w:val="24"/>
        </w:rPr>
        <w:t>d</w:t>
      </w:r>
      <w:r w:rsidRPr="00375799">
        <w:rPr>
          <w:rFonts w:cstheme="minorHAnsi"/>
          <w:color w:val="000000" w:themeColor="text1"/>
          <w:sz w:val="24"/>
          <w:szCs w:val="24"/>
        </w:rPr>
        <w:t>o poinformowani</w:t>
      </w:r>
      <w:r w:rsidR="001A1951">
        <w:rPr>
          <w:rFonts w:cstheme="minorHAnsi"/>
          <w:color w:val="000000" w:themeColor="text1"/>
          <w:sz w:val="24"/>
          <w:szCs w:val="24"/>
        </w:rPr>
        <w:t>a</w:t>
      </w:r>
      <w:r w:rsidRPr="00375799">
        <w:rPr>
          <w:rFonts w:cstheme="minorHAnsi"/>
          <w:color w:val="000000" w:themeColor="text1"/>
          <w:sz w:val="24"/>
          <w:szCs w:val="24"/>
        </w:rPr>
        <w:t xml:space="preserve"> o ograniczeniu osoby, której dane dotyczą</w:t>
      </w:r>
      <w:r w:rsidR="007F724E">
        <w:rPr>
          <w:rFonts w:cstheme="minorHAnsi"/>
          <w:color w:val="000000" w:themeColor="text1"/>
          <w:sz w:val="24"/>
          <w:szCs w:val="24"/>
        </w:rPr>
        <w:t>,</w:t>
      </w:r>
      <w:r w:rsidRPr="00375799">
        <w:rPr>
          <w:rFonts w:cstheme="minorHAnsi"/>
          <w:color w:val="000000" w:themeColor="text1"/>
          <w:sz w:val="24"/>
          <w:szCs w:val="24"/>
        </w:rPr>
        <w:t xml:space="preserve"> przy pierwszej czynności do niej skierowanej. Ponadto wskazano, że w przypadku gdy okres </w:t>
      </w:r>
      <w:r w:rsidR="008C73ED">
        <w:rPr>
          <w:rFonts w:cstheme="minorHAnsi"/>
          <w:color w:val="000000" w:themeColor="text1"/>
          <w:sz w:val="24"/>
          <w:szCs w:val="24"/>
        </w:rPr>
        <w:t>przechowywania danych osobowych</w:t>
      </w:r>
      <w:r w:rsidRPr="00375799">
        <w:rPr>
          <w:rFonts w:cstheme="minorHAnsi"/>
          <w:color w:val="000000" w:themeColor="text1"/>
          <w:sz w:val="24"/>
          <w:szCs w:val="24"/>
        </w:rPr>
        <w:t xml:space="preserve"> nie wynika z przepisów ustawy o narodowym zasobie archiwalnym i archiwach lub </w:t>
      </w:r>
      <w:r w:rsidR="006B49D5">
        <w:rPr>
          <w:rFonts w:cstheme="minorHAnsi"/>
          <w:color w:val="000000" w:themeColor="text1"/>
          <w:sz w:val="24"/>
          <w:szCs w:val="24"/>
        </w:rPr>
        <w:t xml:space="preserve">z </w:t>
      </w:r>
      <w:r w:rsidRPr="00375799">
        <w:rPr>
          <w:rFonts w:cstheme="minorHAnsi"/>
          <w:color w:val="000000" w:themeColor="text1"/>
          <w:sz w:val="24"/>
          <w:szCs w:val="24"/>
        </w:rPr>
        <w:t>w innych przepis</w:t>
      </w:r>
      <w:r w:rsidR="001A1951">
        <w:rPr>
          <w:rFonts w:cstheme="minorHAnsi"/>
          <w:color w:val="000000" w:themeColor="text1"/>
          <w:sz w:val="24"/>
          <w:szCs w:val="24"/>
        </w:rPr>
        <w:t>ów</w:t>
      </w:r>
      <w:r w:rsidR="005F743B" w:rsidRPr="00375799">
        <w:rPr>
          <w:rFonts w:cstheme="minorHAnsi"/>
          <w:color w:val="000000" w:themeColor="text1"/>
          <w:sz w:val="24"/>
          <w:szCs w:val="24"/>
        </w:rPr>
        <w:t>,</w:t>
      </w:r>
      <w:r w:rsidRPr="00375799">
        <w:rPr>
          <w:rFonts w:cstheme="minorHAnsi"/>
          <w:color w:val="000000" w:themeColor="text1"/>
          <w:sz w:val="24"/>
          <w:szCs w:val="24"/>
        </w:rPr>
        <w:t xml:space="preserve"> właściwe organy krajowych i okręgowych izb samorządu zawodowego architektów i inżynierów budownictwa ustalają  okres ich przechowywania w przepisach wydawanych na podstawie art. 6 ust. 1 i 2 ustawy</w:t>
      </w:r>
      <w:r w:rsidR="00073605">
        <w:rPr>
          <w:rFonts w:cstheme="minorHAnsi"/>
          <w:color w:val="000000" w:themeColor="text1"/>
          <w:sz w:val="24"/>
          <w:szCs w:val="24"/>
        </w:rPr>
        <w:t xml:space="preserve"> o narodowym zasobie archiwalnym i archiwach</w:t>
      </w:r>
      <w:r w:rsidRPr="00375799">
        <w:rPr>
          <w:rFonts w:cstheme="minorHAnsi"/>
          <w:color w:val="000000" w:themeColor="text1"/>
          <w:sz w:val="24"/>
          <w:szCs w:val="24"/>
        </w:rPr>
        <w:t xml:space="preserve">. Wprowadzono też zabezpieczenie w postaci nałożenia obowiązku dopuszczenia do przetwarzania danych osobowych wyłącznie osób posiadających pisemne upoważnienie wydane przez administratora oraz </w:t>
      </w:r>
      <w:r w:rsidR="00073605">
        <w:rPr>
          <w:rFonts w:cstheme="minorHAnsi"/>
          <w:color w:val="000000" w:themeColor="text1"/>
          <w:sz w:val="24"/>
          <w:szCs w:val="24"/>
        </w:rPr>
        <w:t>pisemnym zobowiązaniu osób</w:t>
      </w:r>
      <w:r w:rsidRPr="00375799">
        <w:rPr>
          <w:rFonts w:cstheme="minorHAnsi"/>
          <w:color w:val="000000" w:themeColor="text1"/>
          <w:sz w:val="24"/>
          <w:szCs w:val="24"/>
        </w:rPr>
        <w:t xml:space="preserve"> upoważnionych do przetwarzania danych osobowych do zachowania ich w tajemnicy.</w:t>
      </w:r>
    </w:p>
    <w:p w14:paraId="0885580B" w14:textId="77777777" w:rsidR="002855AB" w:rsidRPr="00375799" w:rsidRDefault="002855AB" w:rsidP="0055107B">
      <w:pPr>
        <w:spacing w:after="0" w:line="276" w:lineRule="auto"/>
        <w:ind w:left="57" w:right="57"/>
        <w:contextualSpacing/>
        <w:jc w:val="both"/>
        <w:rPr>
          <w:rFonts w:cstheme="minorHAnsi"/>
          <w:color w:val="000000" w:themeColor="text1"/>
          <w:sz w:val="24"/>
          <w:szCs w:val="24"/>
        </w:rPr>
      </w:pPr>
    </w:p>
    <w:p w14:paraId="7E8F5FEE" w14:textId="38B33D4B"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57" w:name="_Toc530565029"/>
      <w:r w:rsidRPr="00375799">
        <w:rPr>
          <w:rFonts w:asciiTheme="minorHAnsi" w:hAnsiTheme="minorHAnsi" w:cstheme="minorHAnsi"/>
          <w:color w:val="000000" w:themeColor="text1"/>
          <w:sz w:val="24"/>
          <w:szCs w:val="24"/>
        </w:rPr>
        <w:t>Ustawa z dnia 21 grudnia 2000 r. o żegludze śródlądowej</w:t>
      </w:r>
      <w:r w:rsidR="00532795" w:rsidRPr="00375799">
        <w:rPr>
          <w:rFonts w:asciiTheme="minorHAnsi" w:hAnsiTheme="minorHAnsi" w:cstheme="minorHAnsi"/>
          <w:color w:val="000000" w:themeColor="text1"/>
          <w:sz w:val="24"/>
          <w:szCs w:val="24"/>
        </w:rPr>
        <w:t xml:space="preserve"> (Dz. U. z 2017 r. poz. 2128 oraz z 2018 r. poz. 1137</w:t>
      </w:r>
      <w:r w:rsidR="00431995">
        <w:rPr>
          <w:rFonts w:asciiTheme="minorHAnsi" w:hAnsiTheme="minorHAnsi" w:cstheme="minorHAnsi"/>
          <w:color w:val="000000" w:themeColor="text1"/>
          <w:sz w:val="24"/>
          <w:szCs w:val="24"/>
        </w:rPr>
        <w:t xml:space="preserve"> i 1694</w:t>
      </w:r>
      <w:r w:rsidR="00532795" w:rsidRPr="00375799">
        <w:rPr>
          <w:rFonts w:asciiTheme="minorHAnsi" w:hAnsiTheme="minorHAnsi" w:cstheme="minorHAnsi"/>
          <w:color w:val="000000" w:themeColor="text1"/>
          <w:sz w:val="24"/>
          <w:szCs w:val="24"/>
        </w:rPr>
        <w:t>)</w:t>
      </w:r>
      <w:bookmarkEnd w:id="57"/>
    </w:p>
    <w:p w14:paraId="5D6027AB"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4CDEAEDA" w14:textId="5E720688" w:rsidR="00EB4B9A" w:rsidRPr="00375799" w:rsidRDefault="00EB4B9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Dyrektorzy urzędów żeglugi śródlądowej, realizując zadania publiczne na podstawie ustawy z dnia 21 grudnia 2000 r. o żegludze śródlądowej oraz innych ustaw szczególnych, przetwarzają dane osobowe osób fizycznych wykonujących czynności związane z przewozem towarów oraz pasażerów. Ze względu na ważny interes publiczny w postaci zapewnienia bezpieczeństwa żeglugi konieczne jest wprowadzenie </w:t>
      </w:r>
      <w:r w:rsidR="00073605">
        <w:rPr>
          <w:rFonts w:cstheme="minorHAnsi"/>
          <w:color w:val="000000" w:themeColor="text1"/>
          <w:sz w:val="24"/>
          <w:szCs w:val="24"/>
        </w:rPr>
        <w:t>doprecyzowania sposobu</w:t>
      </w:r>
      <w:r w:rsidRPr="00375799">
        <w:rPr>
          <w:rFonts w:cstheme="minorHAnsi"/>
          <w:color w:val="000000" w:themeColor="text1"/>
          <w:sz w:val="24"/>
          <w:szCs w:val="24"/>
        </w:rPr>
        <w:t xml:space="preserve"> stosowani</w:t>
      </w:r>
      <w:r w:rsidR="00073605">
        <w:rPr>
          <w:rFonts w:cstheme="minorHAnsi"/>
          <w:color w:val="000000" w:themeColor="text1"/>
          <w:sz w:val="24"/>
          <w:szCs w:val="24"/>
        </w:rPr>
        <w:t>a</w:t>
      </w:r>
      <w:r w:rsidRPr="00375799">
        <w:rPr>
          <w:rFonts w:cstheme="minorHAnsi"/>
          <w:color w:val="000000" w:themeColor="text1"/>
          <w:sz w:val="24"/>
          <w:szCs w:val="24"/>
        </w:rPr>
        <w:t xml:space="preserve"> art. 13 ust. 1 i 2 </w:t>
      </w:r>
      <w:r w:rsidR="0015533A" w:rsidRPr="00375799">
        <w:rPr>
          <w:rFonts w:cstheme="minorHAnsi"/>
          <w:color w:val="000000" w:themeColor="text1"/>
          <w:sz w:val="24"/>
          <w:szCs w:val="24"/>
        </w:rPr>
        <w:t>RODO</w:t>
      </w:r>
      <w:r w:rsidRPr="00375799">
        <w:rPr>
          <w:rFonts w:cstheme="minorHAnsi"/>
          <w:color w:val="000000" w:themeColor="text1"/>
          <w:sz w:val="24"/>
          <w:szCs w:val="24"/>
        </w:rPr>
        <w:t xml:space="preserve">, zapewniając tym samym możliwość właściwego wykonywania zadań ustawowych przez ww. organy w sytuacjach niecierpiących zwłoki. </w:t>
      </w:r>
    </w:p>
    <w:p w14:paraId="15E6B1F9" w14:textId="77777777" w:rsidR="00EB4B9A" w:rsidRPr="00375799" w:rsidRDefault="00EB4B9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Należy wskazać, że organy administracji żeglugi śródlądowej prowadzą kontrolę spełniania wymogów bezpieczeństwa, w tym prowadzą postępowania w sprawie wypadków żeglugowych na śródlądowych drogach wodnych. Podejmowane przez te organy działania mają m.in. zapobiec potencjalnym naruszeniom. Ponadto w przypadku wystąpienia naruszeń ww. organy podejmują działania, które zapobiegają wypadkom na śródlądowych drogach wodnych, zapewniając tym samym bezpieczeństwo publiczne. Charakter części zadań wykonywanych przez dyrektorów urzędów żeglugi śródlądowej jest zbliżony więc do tych wykonywanych przez Policję lub Inspekcję Transportu Drogowego w zakresie kontroli przestrzegania przepisów ruchu drogowego. </w:t>
      </w:r>
    </w:p>
    <w:p w14:paraId="728DD478" w14:textId="21B29324" w:rsidR="008706DD" w:rsidRPr="00375799" w:rsidRDefault="00EB4B9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Natomiast proponowany art. 9 ust. 2i wskazuje, że wystąpienie z żądaniem do ograniczenia przetwarzania danych osobowych, o którym mowa w art. 18 ust. 1 </w:t>
      </w:r>
      <w:r w:rsidR="0015533A" w:rsidRPr="00375799">
        <w:rPr>
          <w:rFonts w:cstheme="minorHAnsi"/>
          <w:color w:val="000000" w:themeColor="text1"/>
          <w:sz w:val="24"/>
          <w:szCs w:val="24"/>
        </w:rPr>
        <w:t>RODO</w:t>
      </w:r>
      <w:r w:rsidRPr="00375799">
        <w:rPr>
          <w:rFonts w:cstheme="minorHAnsi"/>
          <w:color w:val="000000" w:themeColor="text1"/>
          <w:sz w:val="24"/>
          <w:szCs w:val="24"/>
        </w:rPr>
        <w:t xml:space="preserve">, przez osobę, której dane dotyczą, nie wpływa na realizację przeprowadzanej przez dyrektora urzędu żeglugi śródlądowej kontroli lub inspekcji. Przedmiotowy przepis nie jest ograniczeniem stosowania przepisów </w:t>
      </w:r>
      <w:r w:rsidR="0015533A" w:rsidRPr="00375799">
        <w:rPr>
          <w:rFonts w:cstheme="minorHAnsi"/>
          <w:color w:val="000000" w:themeColor="text1"/>
          <w:sz w:val="24"/>
          <w:szCs w:val="24"/>
        </w:rPr>
        <w:t>RODO</w:t>
      </w:r>
      <w:r w:rsidRPr="00375799">
        <w:rPr>
          <w:rFonts w:cstheme="minorHAnsi"/>
          <w:color w:val="000000" w:themeColor="text1"/>
          <w:sz w:val="24"/>
          <w:szCs w:val="24"/>
        </w:rPr>
        <w:t xml:space="preserve"> w rozumieniu jego art. 23 ust. 1, lecz jasno wskazuje, że realizacja praw związanych z ochroną danych osobowych odbywa się niezależnie od realizacji obowiązków organu administracji żeglugi śródlądowej określonych w art. 9 ust. 2 pkt 1, 2, 4</w:t>
      </w:r>
      <w:r w:rsidR="007F724E">
        <w:rPr>
          <w:rFonts w:cstheme="minorHAnsi"/>
          <w:color w:val="000000" w:themeColor="text1"/>
          <w:sz w:val="24"/>
          <w:szCs w:val="24"/>
        </w:rPr>
        <w:t>–</w:t>
      </w:r>
      <w:r w:rsidRPr="00375799">
        <w:rPr>
          <w:rFonts w:cstheme="minorHAnsi"/>
          <w:color w:val="000000" w:themeColor="text1"/>
          <w:sz w:val="24"/>
          <w:szCs w:val="24"/>
        </w:rPr>
        <w:t xml:space="preserve">8, 10 ustawy o żegludze śródlądowej. Doprecyzowanie to ma na celu zapobieżenie sytuacji, w której armatorzy oraz członkowie załóg statków będą nadużywać ww. prawa, co w praktyce </w:t>
      </w:r>
      <w:r w:rsidRPr="00375799">
        <w:rPr>
          <w:rFonts w:cstheme="minorHAnsi"/>
          <w:color w:val="000000" w:themeColor="text1"/>
          <w:sz w:val="24"/>
          <w:szCs w:val="24"/>
        </w:rPr>
        <w:lastRenderedPageBreak/>
        <w:t>skutkowałoby znaczącym utrudnieniem, w tym wydłużeniem, postępowań mających na celu zapewnienie odpowiedniego poziom bezpieczeństwa publicznego.</w:t>
      </w:r>
    </w:p>
    <w:p w14:paraId="6077337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7FEA064" w14:textId="485682F0"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58" w:name="_Toc530565030"/>
      <w:r w:rsidRPr="00375799">
        <w:rPr>
          <w:rFonts w:asciiTheme="minorHAnsi" w:hAnsiTheme="minorHAnsi" w:cstheme="minorHAnsi"/>
          <w:color w:val="000000" w:themeColor="text1"/>
          <w:sz w:val="24"/>
          <w:szCs w:val="24"/>
        </w:rPr>
        <w:t>Ustawa z dnia 3 lutego 2001 r. o ochronie dziedzictwa Fryderyka Chopina</w:t>
      </w:r>
      <w:r w:rsidR="00532795" w:rsidRPr="00375799">
        <w:rPr>
          <w:rFonts w:asciiTheme="minorHAnsi" w:hAnsiTheme="minorHAnsi" w:cstheme="minorHAnsi"/>
          <w:color w:val="000000" w:themeColor="text1"/>
          <w:sz w:val="24"/>
          <w:szCs w:val="24"/>
        </w:rPr>
        <w:t xml:space="preserve"> (Dz. U. poz. 168)</w:t>
      </w:r>
      <w:bookmarkEnd w:id="58"/>
      <w:r w:rsidRPr="00375799">
        <w:rPr>
          <w:rFonts w:asciiTheme="minorHAnsi" w:hAnsiTheme="minorHAnsi" w:cstheme="minorHAnsi"/>
          <w:color w:val="000000" w:themeColor="text1"/>
          <w:sz w:val="24"/>
          <w:szCs w:val="24"/>
        </w:rPr>
        <w:t xml:space="preserve"> </w:t>
      </w:r>
    </w:p>
    <w:p w14:paraId="0C133DDC" w14:textId="5AC39A60" w:rsidR="00FA2366" w:rsidRPr="00375799" w:rsidRDefault="00FA2366" w:rsidP="0055107B">
      <w:pPr>
        <w:spacing w:line="276" w:lineRule="auto"/>
        <w:contextualSpacing/>
        <w:jc w:val="both"/>
        <w:rPr>
          <w:rFonts w:cstheme="minorHAnsi"/>
          <w:bCs/>
          <w:color w:val="000000" w:themeColor="text1"/>
          <w:sz w:val="24"/>
          <w:szCs w:val="24"/>
        </w:rPr>
      </w:pPr>
      <w:r w:rsidRPr="00375799">
        <w:rPr>
          <w:rFonts w:cstheme="minorHAnsi"/>
          <w:bCs/>
          <w:color w:val="000000" w:themeColor="text1"/>
          <w:sz w:val="24"/>
          <w:szCs w:val="24"/>
        </w:rPr>
        <w:t xml:space="preserve">W projektowanych zmianach ustawy z dnia 3 lutego 2001 r. o ochronie dziedzictwa Fryderyka Chopina uwzględniono brzmienie art. 6 ust. 1 lit. c </w:t>
      </w:r>
      <w:r w:rsidR="00F81490" w:rsidRPr="00375799">
        <w:rPr>
          <w:rFonts w:cstheme="minorHAnsi"/>
          <w:color w:val="000000" w:themeColor="text1"/>
          <w:sz w:val="24"/>
          <w:szCs w:val="24"/>
        </w:rPr>
        <w:t>RODO</w:t>
      </w:r>
      <w:r w:rsidRPr="00375799">
        <w:rPr>
          <w:rFonts w:cstheme="minorHAnsi"/>
          <w:bCs/>
          <w:color w:val="000000" w:themeColor="text1"/>
          <w:sz w:val="24"/>
          <w:szCs w:val="24"/>
        </w:rPr>
        <w:t xml:space="preserve">, który wymaga, aby przepis prawa krajowego określał obowiązek, którego realizacja wiązałaby się z koniecznością przetwarzania danych osobowych oraz rodzaj przetwarzanych danych osobowych w ramach realizacji zadania ustawowego. </w:t>
      </w:r>
      <w:r w:rsidRPr="00375799">
        <w:rPr>
          <w:rFonts w:cstheme="minorHAnsi"/>
          <w:color w:val="000000" w:themeColor="text1"/>
          <w:sz w:val="24"/>
          <w:szCs w:val="24"/>
        </w:rPr>
        <w:t xml:space="preserve">W związku z nadawaną odznaką honorową </w:t>
      </w:r>
      <w:r w:rsidR="007F724E">
        <w:rPr>
          <w:rFonts w:cstheme="minorHAnsi"/>
          <w:color w:val="000000" w:themeColor="text1"/>
          <w:sz w:val="24"/>
          <w:szCs w:val="24"/>
        </w:rPr>
        <w:t>„</w:t>
      </w:r>
      <w:r w:rsidRPr="00375799">
        <w:rPr>
          <w:rFonts w:cstheme="minorHAnsi"/>
          <w:color w:val="000000" w:themeColor="text1"/>
          <w:sz w:val="24"/>
          <w:szCs w:val="24"/>
        </w:rPr>
        <w:t xml:space="preserve">Zasłużony dla Ochrony Dziedzictwa Fryderyka Chopina" w ustawie został wskazany katalog danych wnioskodawcy zawartych we wniosku oraz wprowadzono przepis regulujący kwestie podawania informacji o nadanych Odznakach w Biuletynie Informacji Publicznej. </w:t>
      </w:r>
      <w:r w:rsidRPr="00375799">
        <w:rPr>
          <w:rFonts w:cstheme="minorHAnsi"/>
          <w:bCs/>
          <w:color w:val="000000" w:themeColor="text1"/>
          <w:sz w:val="24"/>
          <w:szCs w:val="24"/>
        </w:rPr>
        <w:t xml:space="preserve">Proponuje się wskazanie 80-letniego okresu przechowywania danych osobowych zawartych we wniosku o nadanie Odznaki. </w:t>
      </w:r>
    </w:p>
    <w:p w14:paraId="5938E9AD" w14:textId="1D064DF6" w:rsidR="00FA2366" w:rsidRPr="00375799" w:rsidRDefault="00FA2366" w:rsidP="0055107B">
      <w:pPr>
        <w:spacing w:line="276" w:lineRule="auto"/>
        <w:contextualSpacing/>
        <w:jc w:val="both"/>
        <w:rPr>
          <w:rFonts w:cstheme="minorHAnsi"/>
          <w:color w:val="000000" w:themeColor="text1"/>
          <w:sz w:val="24"/>
          <w:szCs w:val="24"/>
        </w:rPr>
      </w:pPr>
      <w:r w:rsidRPr="00375799">
        <w:rPr>
          <w:rFonts w:cstheme="minorHAnsi"/>
          <w:bCs/>
          <w:color w:val="000000" w:themeColor="text1"/>
          <w:sz w:val="24"/>
          <w:szCs w:val="24"/>
        </w:rPr>
        <w:t xml:space="preserve">Ponadto w związku z wprowadzanymi zmianami część materii dotychczasowego aktu wykonawczego regulującego tryb nadawania </w:t>
      </w:r>
      <w:r w:rsidRPr="00375799">
        <w:rPr>
          <w:rFonts w:cstheme="minorHAnsi"/>
          <w:color w:val="000000" w:themeColor="text1"/>
          <w:sz w:val="24"/>
          <w:szCs w:val="24"/>
        </w:rPr>
        <w:t xml:space="preserve">odznaki honorowej </w:t>
      </w:r>
      <w:r w:rsidR="007F724E">
        <w:rPr>
          <w:rFonts w:cstheme="minorHAnsi"/>
          <w:color w:val="000000" w:themeColor="text1"/>
          <w:sz w:val="24"/>
          <w:szCs w:val="24"/>
        </w:rPr>
        <w:t>„</w:t>
      </w:r>
      <w:r w:rsidRPr="00375799">
        <w:rPr>
          <w:rFonts w:cstheme="minorHAnsi"/>
          <w:color w:val="000000" w:themeColor="text1"/>
          <w:sz w:val="24"/>
          <w:szCs w:val="24"/>
        </w:rPr>
        <w:t>Zasłużony dla Ochrony Dziedzictwa Fryderyka Chopina"</w:t>
      </w:r>
      <w:r w:rsidRPr="00375799">
        <w:rPr>
          <w:rFonts w:cstheme="minorHAnsi"/>
          <w:bCs/>
          <w:color w:val="000000" w:themeColor="text1"/>
          <w:sz w:val="24"/>
          <w:szCs w:val="24"/>
        </w:rPr>
        <w:t xml:space="preserve"> zostanie włączona do ustawy, gdyż dotyczy kwestii wymagających uregulowania na </w:t>
      </w:r>
      <w:r w:rsidRPr="00375799">
        <w:rPr>
          <w:rFonts w:cstheme="minorHAnsi"/>
          <w:color w:val="000000" w:themeColor="text1"/>
          <w:sz w:val="24"/>
          <w:szCs w:val="24"/>
        </w:rPr>
        <w:t xml:space="preserve">poziomie przepisów ustawowych. </w:t>
      </w:r>
    </w:p>
    <w:p w14:paraId="776979FF" w14:textId="77777777" w:rsidR="00FA2366" w:rsidRPr="00375799" w:rsidRDefault="00FA2366" w:rsidP="0055107B">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t xml:space="preserve">W efekcie wprowadzanych zmian koniecznym będzie wydanie przez ministra właściwego do spraw kultury i ochrony dziedzictwa narodowego nowego aktu wykonawczego </w:t>
      </w:r>
      <w:r w:rsidRPr="00375799">
        <w:rPr>
          <w:rFonts w:cstheme="minorHAnsi"/>
          <w:bCs/>
          <w:color w:val="000000" w:themeColor="text1"/>
          <w:sz w:val="24"/>
          <w:szCs w:val="24"/>
        </w:rPr>
        <w:t xml:space="preserve">regulującego tryb nadawania danej </w:t>
      </w:r>
      <w:r w:rsidRPr="00375799">
        <w:rPr>
          <w:rFonts w:cstheme="minorHAnsi"/>
          <w:color w:val="000000" w:themeColor="text1"/>
          <w:sz w:val="24"/>
          <w:szCs w:val="24"/>
        </w:rPr>
        <w:t xml:space="preserve">odznaki honorowej. </w:t>
      </w:r>
    </w:p>
    <w:p w14:paraId="247A17E9" w14:textId="3E67D1F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59" w:name="_Toc530565031"/>
      <w:r w:rsidRPr="00375799">
        <w:rPr>
          <w:rFonts w:asciiTheme="minorHAnsi" w:hAnsiTheme="minorHAnsi" w:cstheme="minorHAnsi"/>
          <w:color w:val="000000" w:themeColor="text1"/>
          <w:sz w:val="24"/>
          <w:szCs w:val="24"/>
        </w:rPr>
        <w:t xml:space="preserve">Ustawa z dnia 6 lipca 2001 r. o usługach detektywistycznych </w:t>
      </w:r>
      <w:r w:rsidR="00532795" w:rsidRPr="00375799">
        <w:rPr>
          <w:rFonts w:asciiTheme="minorHAnsi" w:hAnsiTheme="minorHAnsi" w:cstheme="minorHAnsi"/>
          <w:color w:val="000000" w:themeColor="text1"/>
          <w:sz w:val="24"/>
          <w:szCs w:val="24"/>
        </w:rPr>
        <w:t>(Dz. U. z 2017</w:t>
      </w:r>
      <w:r w:rsidR="006E758F">
        <w:rPr>
          <w:rFonts w:asciiTheme="minorHAnsi" w:hAnsiTheme="minorHAnsi" w:cstheme="minorHAnsi"/>
          <w:color w:val="000000" w:themeColor="text1"/>
          <w:sz w:val="24"/>
          <w:szCs w:val="24"/>
        </w:rPr>
        <w:t xml:space="preserve"> </w:t>
      </w:r>
      <w:r w:rsidR="00532795" w:rsidRPr="00375799">
        <w:rPr>
          <w:rFonts w:asciiTheme="minorHAnsi" w:hAnsiTheme="minorHAnsi" w:cstheme="minorHAnsi"/>
          <w:color w:val="000000" w:themeColor="text1"/>
          <w:sz w:val="24"/>
          <w:szCs w:val="24"/>
        </w:rPr>
        <w:t xml:space="preserve">r. poz. 556 oraz z 2018 r. poz. </w:t>
      </w:r>
      <w:r w:rsidR="00431995">
        <w:rPr>
          <w:rFonts w:asciiTheme="minorHAnsi" w:hAnsiTheme="minorHAnsi" w:cstheme="minorHAnsi"/>
          <w:color w:val="000000" w:themeColor="text1"/>
          <w:sz w:val="24"/>
          <w:szCs w:val="24"/>
        </w:rPr>
        <w:t>138, 398, 650 i 1629</w:t>
      </w:r>
      <w:r w:rsidR="00532795" w:rsidRPr="00375799">
        <w:rPr>
          <w:rFonts w:asciiTheme="minorHAnsi" w:hAnsiTheme="minorHAnsi" w:cstheme="minorHAnsi"/>
          <w:color w:val="000000" w:themeColor="text1"/>
          <w:sz w:val="24"/>
          <w:szCs w:val="24"/>
        </w:rPr>
        <w:t>)</w:t>
      </w:r>
      <w:bookmarkEnd w:id="59"/>
    </w:p>
    <w:p w14:paraId="7AF40B40"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7F608CA2" w14:textId="5325E78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 mocy obowiązujących przepisów ustawy z dnia 6 lipca 2001 r. o usługach detektywistycznych, detektyw jest uprawniony do przetwarzania danych osobowych, zebranych w toku wykonywanych przez niego czynności służbowych bez zgody osób, których dane dotyczą, w zakresie sprawy prowadzonej przez przedsiębiorcę. </w:t>
      </w:r>
    </w:p>
    <w:p w14:paraId="360022C1" w14:textId="79D4D12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Charakter czynności detektywistycznych wykonywanych w ramach usług detektywistycznych uniemożliwia wypełnianie obowiązków i praw wynikających z niektórych artykułów rozdziału III </w:t>
      </w:r>
      <w:r w:rsidR="006B06B5"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3E42225A" w14:textId="2FEEC1B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Czynności wykonywane przez detektywa, zgodnie z art. 2 ust. 1 ustawy o usługach detektywistycznych, polegają na uzyskiwaniu, przetwarzaniu i przechowywaniu informacji o osobach, przedmiotach i zdarzeniach, realizowanych na podstawie umowy zawartej ze zleceniodawcą w formach i w zakresach niezastrzeżonych dla organów i instytucji państwowych, a także na zbieraniu informacji, w tym m.in. w sprawach karnych i cywilnych. Uzyskiwanie zgody osób</w:t>
      </w:r>
      <w:r w:rsidR="007F724E">
        <w:rPr>
          <w:rFonts w:cstheme="minorHAnsi"/>
          <w:color w:val="000000" w:themeColor="text1"/>
          <w:sz w:val="24"/>
          <w:szCs w:val="24"/>
        </w:rPr>
        <w:t>,</w:t>
      </w:r>
      <w:r w:rsidRPr="00375799">
        <w:rPr>
          <w:rFonts w:cstheme="minorHAnsi"/>
          <w:color w:val="000000" w:themeColor="text1"/>
          <w:sz w:val="24"/>
          <w:szCs w:val="24"/>
        </w:rPr>
        <w:t xml:space="preserve"> w stosunku do których wykonywane są czynności, wpływałoby na bezprzedmiotowość podejmowanych przez detektywa działań i niemożność wykonywania zawodu regulowanego jakim jest zawód detektywa. </w:t>
      </w:r>
    </w:p>
    <w:p w14:paraId="6D3003F3" w14:textId="6C589468" w:rsidR="008706DD" w:rsidRPr="00375799" w:rsidRDefault="00C70436" w:rsidP="003654A8">
      <w:pPr>
        <w:tabs>
          <w:tab w:val="left" w:pos="742"/>
        </w:tabs>
        <w:spacing w:after="0" w:line="276" w:lineRule="auto"/>
        <w:ind w:left="56" w:right="57" w:firstLine="1"/>
        <w:contextualSpacing/>
        <w:jc w:val="both"/>
        <w:rPr>
          <w:rFonts w:cstheme="minorHAnsi"/>
          <w:color w:val="000000" w:themeColor="text1"/>
          <w:sz w:val="24"/>
          <w:szCs w:val="24"/>
        </w:rPr>
      </w:pPr>
      <w:r>
        <w:rPr>
          <w:rFonts w:cstheme="minorHAnsi"/>
          <w:color w:val="000000" w:themeColor="text1"/>
          <w:sz w:val="24"/>
          <w:szCs w:val="24"/>
        </w:rPr>
        <w:lastRenderedPageBreak/>
        <w:tab/>
      </w:r>
      <w:r w:rsidR="008706DD" w:rsidRPr="00375799">
        <w:rPr>
          <w:rFonts w:cstheme="minorHAnsi"/>
          <w:color w:val="000000" w:themeColor="text1"/>
          <w:sz w:val="24"/>
          <w:szCs w:val="24"/>
        </w:rPr>
        <w:t>Detektyw wykonujący usługi detektywistyczne oraz zatrudniający go przedsiębiorca, współuczestniczą w realizacji funkcji państwa, jaką jest zbieranie informacji m.in. w sprawach,</w:t>
      </w:r>
      <w:r w:rsidR="005231C8">
        <w:rPr>
          <w:rFonts w:cstheme="minorHAnsi"/>
          <w:color w:val="000000" w:themeColor="text1"/>
          <w:sz w:val="24"/>
          <w:szCs w:val="24"/>
        </w:rPr>
        <w:t xml:space="preserve"> </w:t>
      </w:r>
      <w:r w:rsidR="008706DD" w:rsidRPr="00375799">
        <w:rPr>
          <w:rFonts w:cstheme="minorHAnsi"/>
          <w:color w:val="000000" w:themeColor="text1"/>
          <w:sz w:val="24"/>
          <w:szCs w:val="24"/>
        </w:rPr>
        <w:t>w których toczy się postępowanie karne, postępowanie o przestępstwa skarbowe lub wykroczenia skarbowe albo inne</w:t>
      </w:r>
      <w:r w:rsidR="007F724E">
        <w:rPr>
          <w:rFonts w:cstheme="minorHAnsi"/>
          <w:color w:val="000000" w:themeColor="text1"/>
          <w:sz w:val="24"/>
          <w:szCs w:val="24"/>
        </w:rPr>
        <w:t>,</w:t>
      </w:r>
      <w:r w:rsidR="008706DD" w:rsidRPr="00375799">
        <w:rPr>
          <w:rFonts w:cstheme="minorHAnsi"/>
          <w:color w:val="000000" w:themeColor="text1"/>
          <w:sz w:val="24"/>
          <w:szCs w:val="24"/>
        </w:rPr>
        <w:t xml:space="preserve"> jeżeli w toku postępowania można zastosować przepisy prawa karnego, poszukiwanie zaginionych osób w tym dzieci, poszukiwanie mienia. </w:t>
      </w:r>
    </w:p>
    <w:p w14:paraId="661481DA" w14:textId="4E14922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Dlatego też w związku z art. 23 ust. 1 lit. d) i i) </w:t>
      </w:r>
      <w:r w:rsidR="006B06B5" w:rsidRPr="00375799">
        <w:rPr>
          <w:rFonts w:cstheme="minorHAnsi"/>
          <w:color w:val="000000" w:themeColor="text1"/>
          <w:sz w:val="24"/>
          <w:szCs w:val="24"/>
        </w:rPr>
        <w:t>RODO</w:t>
      </w:r>
      <w:r w:rsidRPr="00375799">
        <w:rPr>
          <w:rFonts w:cstheme="minorHAnsi"/>
          <w:color w:val="000000" w:themeColor="text1"/>
          <w:sz w:val="24"/>
          <w:szCs w:val="24"/>
        </w:rPr>
        <w:t>, w art. 28</w:t>
      </w:r>
      <w:r w:rsidR="005F743B" w:rsidRPr="00375799">
        <w:rPr>
          <w:rFonts w:cstheme="minorHAnsi"/>
          <w:color w:val="000000" w:themeColor="text1"/>
          <w:sz w:val="24"/>
          <w:szCs w:val="24"/>
        </w:rPr>
        <w:t>c</w:t>
      </w:r>
      <w:r w:rsidR="002B43B5" w:rsidRPr="00375799">
        <w:rPr>
          <w:rFonts w:cstheme="minorHAnsi"/>
          <w:color w:val="000000" w:themeColor="text1"/>
          <w:sz w:val="24"/>
          <w:szCs w:val="24"/>
        </w:rPr>
        <w:t xml:space="preserve"> </w:t>
      </w:r>
      <w:r w:rsidRPr="00375799">
        <w:rPr>
          <w:rFonts w:cstheme="minorHAnsi"/>
          <w:color w:val="000000" w:themeColor="text1"/>
          <w:sz w:val="24"/>
          <w:szCs w:val="24"/>
        </w:rPr>
        <w:t xml:space="preserve">proponuje się wyłączenie zakresu obowiązków i praw przewidzianych w niektórych przepisach </w:t>
      </w:r>
      <w:r w:rsidR="006B06B5" w:rsidRPr="00375799">
        <w:rPr>
          <w:rFonts w:cstheme="minorHAnsi"/>
          <w:color w:val="000000" w:themeColor="text1"/>
          <w:sz w:val="24"/>
          <w:szCs w:val="24"/>
        </w:rPr>
        <w:t>RODO</w:t>
      </w:r>
      <w:r w:rsidRPr="00375799">
        <w:rPr>
          <w:rFonts w:cstheme="minorHAnsi"/>
          <w:color w:val="000000" w:themeColor="text1"/>
          <w:sz w:val="24"/>
          <w:szCs w:val="24"/>
        </w:rPr>
        <w:t xml:space="preserve">. Wyłączenia dotyczą art. 13 ust. 1 </w:t>
      </w:r>
      <w:r w:rsidR="005F743B" w:rsidRPr="00375799">
        <w:rPr>
          <w:rFonts w:cstheme="minorHAnsi"/>
          <w:color w:val="000000" w:themeColor="text1"/>
          <w:sz w:val="24"/>
          <w:szCs w:val="24"/>
        </w:rPr>
        <w:t>i</w:t>
      </w:r>
      <w:r w:rsidR="002B43B5" w:rsidRPr="00375799">
        <w:rPr>
          <w:rFonts w:cstheme="minorHAnsi"/>
          <w:color w:val="000000" w:themeColor="text1"/>
          <w:sz w:val="24"/>
          <w:szCs w:val="24"/>
        </w:rPr>
        <w:t xml:space="preserve"> 2 </w:t>
      </w:r>
      <w:r w:rsidRPr="00375799">
        <w:rPr>
          <w:rFonts w:cstheme="minorHAnsi"/>
          <w:color w:val="000000" w:themeColor="text1"/>
          <w:sz w:val="24"/>
          <w:szCs w:val="24"/>
        </w:rPr>
        <w:t>oraz art. 15 ust. 1 lit</w:t>
      </w:r>
      <w:r w:rsidR="007F724E">
        <w:rPr>
          <w:rFonts w:cstheme="minorHAnsi"/>
          <w:color w:val="000000" w:themeColor="text1"/>
          <w:sz w:val="24"/>
          <w:szCs w:val="24"/>
        </w:rPr>
        <w:t>.</w:t>
      </w:r>
      <w:r w:rsidR="00256073">
        <w:rPr>
          <w:rFonts w:cstheme="minorHAnsi"/>
          <w:color w:val="000000" w:themeColor="text1"/>
          <w:sz w:val="24"/>
          <w:szCs w:val="24"/>
        </w:rPr>
        <w:t xml:space="preserve"> a, c i g</w:t>
      </w:r>
      <w:r w:rsidRPr="00375799">
        <w:rPr>
          <w:rFonts w:cstheme="minorHAnsi"/>
          <w:color w:val="000000" w:themeColor="text1"/>
          <w:sz w:val="24"/>
          <w:szCs w:val="24"/>
        </w:rPr>
        <w:t xml:space="preserve"> </w:t>
      </w:r>
      <w:r w:rsidR="007B7709">
        <w:rPr>
          <w:rFonts w:cstheme="minorHAnsi"/>
          <w:color w:val="000000" w:themeColor="text1"/>
          <w:sz w:val="24"/>
          <w:szCs w:val="24"/>
        </w:rPr>
        <w:t>RODO</w:t>
      </w:r>
      <w:r w:rsidRPr="00375799">
        <w:rPr>
          <w:rFonts w:cstheme="minorHAnsi"/>
          <w:color w:val="000000" w:themeColor="text1"/>
          <w:sz w:val="24"/>
          <w:szCs w:val="24"/>
        </w:rPr>
        <w:t xml:space="preserve">. </w:t>
      </w:r>
    </w:p>
    <w:p w14:paraId="3BC67CB6" w14:textId="1A620B3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 tej samej podstawie zastosowano ograniczenia z art. 15 </w:t>
      </w:r>
      <w:r w:rsidR="00E02272">
        <w:rPr>
          <w:rFonts w:cstheme="minorHAnsi"/>
          <w:color w:val="000000" w:themeColor="text1"/>
          <w:sz w:val="24"/>
          <w:szCs w:val="24"/>
        </w:rPr>
        <w:t>RODO</w:t>
      </w:r>
      <w:r w:rsidRPr="00375799">
        <w:rPr>
          <w:rFonts w:cstheme="minorHAnsi"/>
          <w:color w:val="000000" w:themeColor="text1"/>
          <w:sz w:val="24"/>
          <w:szCs w:val="24"/>
        </w:rPr>
        <w:t xml:space="preserve">, dotyczące prawa do uzyskania przez osobę, której dane dotyczą, dostępu do informacji o celach przetwarzania, informacji o odbiorcach, którym dane osobowe zostały lub zostaną przekazane oraz informacji o źródłach pochodzenia informacji, jeżeli dane osobowe nie zostały zebrane od osoby, której dane dotyczą. </w:t>
      </w:r>
    </w:p>
    <w:p w14:paraId="48AB16E7"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Powyższe wyłączenia wprowadzono ze względu na udział detektywów w wykrywaniu czynów zabronionych i zapobieganiu zagrożeniom dla bezpieczeństwa publicznego oraz możliwość zbierania danych osobowych bez zgody osób, w stosunku do których wykonywane są czynności detektywistyczne.</w:t>
      </w:r>
    </w:p>
    <w:p w14:paraId="669A6C04" w14:textId="1DCC7D3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Wyłączenia znajdują umocowanie w art. 23 ust. 1 </w:t>
      </w:r>
      <w:r w:rsidR="006B06B5" w:rsidRPr="00375799">
        <w:rPr>
          <w:rFonts w:cstheme="minorHAnsi"/>
          <w:color w:val="000000" w:themeColor="text1"/>
          <w:sz w:val="24"/>
          <w:szCs w:val="24"/>
        </w:rPr>
        <w:t>RODO</w:t>
      </w:r>
      <w:r w:rsidRPr="00375799">
        <w:rPr>
          <w:rFonts w:cstheme="minorHAnsi"/>
          <w:color w:val="000000" w:themeColor="text1"/>
          <w:sz w:val="24"/>
          <w:szCs w:val="24"/>
        </w:rPr>
        <w:t>, a ich wprowadzenie uzasadniają, poza ochroną praw zleceniodawcy: ważne cele leżące w ogólnym interesie publicznym (art. 23 ust. 1 lit. e), zapobieganie naruszeniom zasad etyki w zawodach regulowanych, prowadzenie postępowań w takich sprawach, ich wykrywanie oraz ściganie (art. 23 ust. 1 lit. g) oraz funkcje kontrolne i regulacyjne związane ze sprawowaniem władzy publicznej w przypadkach, o których mowa w lit. e oraz g (art. 23 ust. 1 lit. h).</w:t>
      </w:r>
    </w:p>
    <w:p w14:paraId="4D2EB5F6" w14:textId="6A9328F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Przepisy dotyczące ochrony danych osobowych przeniesiono do odrębnego rozdziału. W rozdziale tym, zgodnie z art. 23 </w:t>
      </w:r>
      <w:r w:rsidR="006B06B5" w:rsidRPr="00375799">
        <w:rPr>
          <w:rFonts w:cstheme="minorHAnsi"/>
          <w:color w:val="000000" w:themeColor="text1"/>
          <w:sz w:val="24"/>
          <w:szCs w:val="24"/>
        </w:rPr>
        <w:t>RODO</w:t>
      </w:r>
      <w:r w:rsidRPr="00375799">
        <w:rPr>
          <w:rFonts w:cstheme="minorHAnsi"/>
          <w:color w:val="000000" w:themeColor="text1"/>
          <w:sz w:val="24"/>
          <w:szCs w:val="24"/>
        </w:rPr>
        <w:t>, określono administratora danych osobowych, z uwagi na regulacje w ustawie odnoszące się tak do samych detektywów, jak i przedsiębiorców. Ograniczono także okres przechowywania danych osobowych. W myśl projektowanego art. 28b ustawy o usługach detektywistycznych, dane osobowe przetwarzane podczas realizowania czynności, o których mowa w art. 2 ust. 1</w:t>
      </w:r>
      <w:r w:rsidR="007F724E">
        <w:rPr>
          <w:rFonts w:cstheme="minorHAnsi"/>
          <w:color w:val="000000" w:themeColor="text1"/>
          <w:sz w:val="24"/>
          <w:szCs w:val="24"/>
        </w:rPr>
        <w:t>,</w:t>
      </w:r>
      <w:r w:rsidRPr="00375799">
        <w:rPr>
          <w:rFonts w:cstheme="minorHAnsi"/>
          <w:color w:val="000000" w:themeColor="text1"/>
          <w:sz w:val="24"/>
          <w:szCs w:val="24"/>
        </w:rPr>
        <w:t xml:space="preserve"> przechowywane będą przez okres 5 lat liczony od daty zakończenia realizacji umowy na wykonanie usługi detektywistycznej.</w:t>
      </w:r>
    </w:p>
    <w:p w14:paraId="14077669" w14:textId="58304A2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Wskazano także miejsca, w których detektyw lub zatrudniający go przedsiębiorca obowiązany jest poinformować o zastosowanych w art. </w:t>
      </w:r>
      <w:r w:rsidR="006B06B5" w:rsidRPr="00375799">
        <w:rPr>
          <w:rFonts w:cstheme="minorHAnsi"/>
          <w:color w:val="000000" w:themeColor="text1"/>
          <w:sz w:val="24"/>
          <w:szCs w:val="24"/>
        </w:rPr>
        <w:t xml:space="preserve">28c </w:t>
      </w:r>
      <w:r w:rsidRPr="00375799">
        <w:rPr>
          <w:rFonts w:cstheme="minorHAnsi"/>
          <w:color w:val="000000" w:themeColor="text1"/>
          <w:sz w:val="24"/>
          <w:szCs w:val="24"/>
        </w:rPr>
        <w:t xml:space="preserve">ograniczeniach w stosunku do przepisów ww. rozporządzenia. </w:t>
      </w:r>
    </w:p>
    <w:p w14:paraId="7D565E07" w14:textId="6756F358" w:rsidR="00C1272D" w:rsidRPr="00375799" w:rsidRDefault="00C1272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Podstawy ograniczeń w zakresie ochrony danych osobowych, o których mowa w </w:t>
      </w:r>
      <w:r w:rsidR="008D7348">
        <w:rPr>
          <w:rFonts w:cstheme="minorHAnsi"/>
          <w:color w:val="000000" w:themeColor="text1"/>
          <w:sz w:val="24"/>
          <w:szCs w:val="24"/>
        </w:rPr>
        <w:t xml:space="preserve">projektowanym </w:t>
      </w:r>
      <w:r w:rsidRPr="00375799">
        <w:rPr>
          <w:rFonts w:cstheme="minorHAnsi"/>
          <w:color w:val="000000" w:themeColor="text1"/>
          <w:sz w:val="24"/>
          <w:szCs w:val="24"/>
        </w:rPr>
        <w:t>art. 28</w:t>
      </w:r>
      <w:r w:rsidR="006B06B5" w:rsidRPr="00375799">
        <w:rPr>
          <w:rFonts w:cstheme="minorHAnsi"/>
          <w:color w:val="000000" w:themeColor="text1"/>
          <w:sz w:val="24"/>
          <w:szCs w:val="24"/>
        </w:rPr>
        <w:t xml:space="preserve">c </w:t>
      </w:r>
      <w:r w:rsidR="008D7348">
        <w:rPr>
          <w:rFonts w:cstheme="minorHAnsi"/>
          <w:color w:val="000000" w:themeColor="text1"/>
          <w:sz w:val="24"/>
          <w:szCs w:val="24"/>
        </w:rPr>
        <w:t>ustawy o usługach detektywistycznych</w:t>
      </w:r>
      <w:r w:rsidRPr="00375799">
        <w:rPr>
          <w:rFonts w:cstheme="minorHAnsi"/>
          <w:color w:val="000000" w:themeColor="text1"/>
          <w:sz w:val="24"/>
          <w:szCs w:val="24"/>
        </w:rPr>
        <w:t xml:space="preserve">, mieszczą się w katalogu określonym w art. 23 ust. 1 </w:t>
      </w:r>
      <w:r w:rsidR="006B06B5" w:rsidRPr="00375799">
        <w:rPr>
          <w:rFonts w:cstheme="minorHAnsi"/>
          <w:color w:val="000000" w:themeColor="text1"/>
          <w:sz w:val="24"/>
          <w:szCs w:val="24"/>
        </w:rPr>
        <w:t>RODO</w:t>
      </w:r>
      <w:r w:rsidRPr="00375799">
        <w:rPr>
          <w:rFonts w:cstheme="minorHAnsi"/>
          <w:color w:val="000000" w:themeColor="text1"/>
          <w:sz w:val="24"/>
          <w:szCs w:val="24"/>
        </w:rPr>
        <w:t>, nie wykraczają poza zakres określony w Konstytucji RP, a także są zgodne z zasadą proporcjonalności. Przede wszystkim ograniczenia w zakresie ochrony danych osobowych, wprowadzane w przedmiotowym przepisie nie naruszają praw i wolności osób</w:t>
      </w:r>
      <w:r w:rsidR="00EA1D47">
        <w:rPr>
          <w:rFonts w:cstheme="minorHAnsi"/>
          <w:color w:val="000000" w:themeColor="text1"/>
          <w:sz w:val="24"/>
          <w:szCs w:val="24"/>
        </w:rPr>
        <w:t>, których dane osobowe dotyczą.</w:t>
      </w:r>
    </w:p>
    <w:p w14:paraId="7562221C"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Realizacja czynności detektywistycznych służy ważnym celom leżącym w ogólnym interesie publicznym, przejawiającym się w konieczności powierzenia wykonywania tego </w:t>
      </w:r>
      <w:r w:rsidRPr="00375799">
        <w:rPr>
          <w:rFonts w:cstheme="minorHAnsi"/>
          <w:color w:val="000000" w:themeColor="text1"/>
          <w:sz w:val="24"/>
          <w:szCs w:val="24"/>
        </w:rPr>
        <w:lastRenderedPageBreak/>
        <w:t xml:space="preserve">zawodu jedynie osobom posiadającym licencję detektywa, co wiąże się z posiadaniem odpowiedniej wiedzy, doświadczenia oraz nieposzlakowanej opinii, a więc dających gwarancję należytej i zgodnej z prawem realizacji swoich kompetencji. Ponadto, konieczne jest wyposażenie osób wykonujących ten zawód w uprawnienia pozwalające na sprawną i skuteczną realizację zleconych im obowiązków, związanych z posiadaną licencją. </w:t>
      </w:r>
    </w:p>
    <w:p w14:paraId="776600A5" w14:textId="14BD4C08" w:rsidR="001527E4" w:rsidRPr="00375799" w:rsidRDefault="001527E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w art. 28b wprowadzono przepisy określające postępowanie z danymi osobowymi po zakończeniu realizacji usługi detektywistycznej. Przepisy te mają na celu  zapobieżenie nieuprawnionemu dostępowi i wykorzystywaniu danych osobowych po zakończeniu realizacji usługi detektywistycznej. </w:t>
      </w:r>
    </w:p>
    <w:p w14:paraId="75D9740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32462E14" w14:textId="542D67BC" w:rsidR="00C1272D" w:rsidRPr="00375799" w:rsidRDefault="00C1272D" w:rsidP="00D918BF">
      <w:pPr>
        <w:pStyle w:val="Nagwek2"/>
        <w:spacing w:before="0" w:line="276" w:lineRule="auto"/>
        <w:ind w:left="57" w:right="57"/>
        <w:contextualSpacing/>
        <w:rPr>
          <w:rFonts w:cstheme="minorHAnsi"/>
          <w:color w:val="000000" w:themeColor="text1"/>
          <w:sz w:val="24"/>
          <w:szCs w:val="24"/>
        </w:rPr>
      </w:pPr>
      <w:bookmarkStart w:id="60" w:name="_Toc530565032"/>
      <w:r w:rsidRPr="00375799">
        <w:rPr>
          <w:rFonts w:asciiTheme="minorHAnsi" w:hAnsiTheme="minorHAnsi" w:cstheme="minorHAnsi"/>
          <w:color w:val="000000" w:themeColor="text1"/>
          <w:sz w:val="24"/>
          <w:szCs w:val="24"/>
        </w:rPr>
        <w:t xml:space="preserve">Ustawa z dnia 27 lipca 2001 r. </w:t>
      </w:r>
      <w:r w:rsidR="00CF7B15">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Prawo o ustroju sądów powszechnych</w:t>
      </w:r>
      <w:r w:rsidR="00532795" w:rsidRPr="00375799">
        <w:rPr>
          <w:rFonts w:asciiTheme="minorHAnsi" w:hAnsiTheme="minorHAnsi" w:cstheme="minorHAnsi"/>
          <w:color w:val="000000" w:themeColor="text1"/>
          <w:sz w:val="24"/>
          <w:szCs w:val="24"/>
        </w:rPr>
        <w:t xml:space="preserve"> (Dz.</w:t>
      </w:r>
      <w:r w:rsidR="006E758F">
        <w:rPr>
          <w:rFonts w:asciiTheme="minorHAnsi" w:hAnsiTheme="minorHAnsi" w:cstheme="minorHAnsi"/>
          <w:color w:val="000000" w:themeColor="text1"/>
          <w:sz w:val="24"/>
          <w:szCs w:val="24"/>
        </w:rPr>
        <w:t xml:space="preserve"> </w:t>
      </w:r>
      <w:r w:rsidR="00532795" w:rsidRPr="00375799">
        <w:rPr>
          <w:rFonts w:asciiTheme="minorHAnsi" w:hAnsiTheme="minorHAnsi" w:cstheme="minorHAnsi"/>
          <w:color w:val="000000" w:themeColor="text1"/>
          <w:sz w:val="24"/>
          <w:szCs w:val="24"/>
        </w:rPr>
        <w:t>U. z 2018 r. poz. 23, 3, 5, 106, 138, 771, 848, 1000</w:t>
      </w:r>
      <w:r w:rsidR="00431995">
        <w:rPr>
          <w:rFonts w:asciiTheme="minorHAnsi" w:hAnsiTheme="minorHAnsi" w:cstheme="minorHAnsi"/>
          <w:color w:val="000000" w:themeColor="text1"/>
          <w:sz w:val="24"/>
          <w:szCs w:val="24"/>
        </w:rPr>
        <w:t>,</w:t>
      </w:r>
      <w:r w:rsidR="00532795" w:rsidRPr="00375799">
        <w:rPr>
          <w:rFonts w:asciiTheme="minorHAnsi" w:hAnsiTheme="minorHAnsi" w:cstheme="minorHAnsi"/>
          <w:color w:val="000000" w:themeColor="text1"/>
          <w:sz w:val="24"/>
          <w:szCs w:val="24"/>
        </w:rPr>
        <w:t xml:space="preserve"> 1045</w:t>
      </w:r>
      <w:r w:rsidR="00431995">
        <w:rPr>
          <w:rFonts w:asciiTheme="minorHAnsi" w:hAnsiTheme="minorHAnsi" w:cstheme="minorHAnsi"/>
          <w:color w:val="000000" w:themeColor="text1"/>
          <w:sz w:val="24"/>
          <w:szCs w:val="24"/>
        </w:rPr>
        <w:t>, 1443, 1544 i 1669</w:t>
      </w:r>
      <w:r w:rsidR="00532795" w:rsidRPr="00375799">
        <w:rPr>
          <w:rFonts w:asciiTheme="minorHAnsi" w:hAnsiTheme="minorHAnsi" w:cstheme="minorHAnsi"/>
          <w:color w:val="000000" w:themeColor="text1"/>
          <w:sz w:val="24"/>
          <w:szCs w:val="24"/>
        </w:rPr>
        <w:t>)</w:t>
      </w:r>
      <w:bookmarkEnd w:id="60"/>
    </w:p>
    <w:p w14:paraId="49628BCF" w14:textId="77777777" w:rsidR="00C1272D" w:rsidRPr="00375799" w:rsidRDefault="00C1272D" w:rsidP="0055107B">
      <w:pPr>
        <w:spacing w:after="0" w:line="276" w:lineRule="auto"/>
        <w:ind w:left="57" w:right="57"/>
        <w:contextualSpacing/>
        <w:jc w:val="both"/>
        <w:rPr>
          <w:rFonts w:eastAsiaTheme="majorEastAsia" w:cstheme="minorHAnsi"/>
          <w:color w:val="000000" w:themeColor="text1"/>
          <w:sz w:val="24"/>
          <w:szCs w:val="24"/>
        </w:rPr>
      </w:pPr>
    </w:p>
    <w:p w14:paraId="75360D7D" w14:textId="34A4C2A8"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Uzasadnienie wspólne do zmian projektowanych w następujących ustawach: Ustawa z dnia 27 lipca 2001 r. – Prawo o ustroju sądów powszechnych, ustawa z dnia 21 sierpnia 1997 r. – Prawo o ustroju sądów wojskowych, ustawa z dnia 25 lipca 2002 r. – Prawo  o ustroju sądów administracyjnych, ustawa z dnia 8 grudnia 2017 r. o Sądzie Najwyższym,  ustawa z dnia 30 listopada 2016 r. o organizacji i trybie postępowania przed Trybunałem Konstytucyjnym, ustawa z dnia 26 marca 1982 r. o Trybunale Stanu</w:t>
      </w:r>
      <w:r w:rsidR="007F724E">
        <w:rPr>
          <w:rFonts w:cstheme="minorHAnsi"/>
          <w:color w:val="000000" w:themeColor="text1"/>
          <w:sz w:val="24"/>
          <w:szCs w:val="24"/>
        </w:rPr>
        <w:t xml:space="preserve">. </w:t>
      </w:r>
      <w:r w:rsidRPr="00375799">
        <w:rPr>
          <w:rFonts w:cstheme="minorHAnsi"/>
          <w:color w:val="000000" w:themeColor="text1"/>
          <w:sz w:val="24"/>
          <w:szCs w:val="24"/>
        </w:rPr>
        <w:t xml:space="preserve">Zgodnie z art. 1 § 2 i 3 ustawy z dnia 27 lipca 2001 r. – Prawo o ustroju sądów powszechnych (Dz. U. z 2018 r. poz. 23, ze zm.) sądy powszechne sprawują wymiar sprawiedliwości oraz wykonują inne zadania z zakresu ochrony prawnej powierzone w drodze ustaw. </w:t>
      </w:r>
    </w:p>
    <w:p w14:paraId="35B07B6F" w14:textId="7424158A"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Wymiar sprawiedliwości, w zakresie wskazanym w stosownych przepisach ustrojowych, sprawują także sądy wojskowe (ustawa z dnia 21 sierpnia 1997 r. – Prawo o ustroju sądów wojskowych</w:t>
      </w:r>
      <w:r w:rsidR="00EA1D47">
        <w:rPr>
          <w:rFonts w:cstheme="minorHAnsi"/>
          <w:color w:val="000000" w:themeColor="text1"/>
          <w:sz w:val="24"/>
          <w:szCs w:val="24"/>
        </w:rPr>
        <w:t>)</w:t>
      </w:r>
      <w:r w:rsidRPr="00375799">
        <w:rPr>
          <w:rFonts w:cstheme="minorHAnsi"/>
          <w:color w:val="000000" w:themeColor="text1"/>
          <w:sz w:val="24"/>
          <w:szCs w:val="24"/>
        </w:rPr>
        <w:t>, sądy administracyjne (ustawa z dnia 25 lipca 2002 r. – Prawo o ustroju sądów administracyjnych</w:t>
      </w:r>
      <w:r w:rsidR="00EA1D47">
        <w:rPr>
          <w:rFonts w:cstheme="minorHAnsi"/>
          <w:color w:val="000000" w:themeColor="text1"/>
          <w:sz w:val="24"/>
          <w:szCs w:val="24"/>
        </w:rPr>
        <w:t>)</w:t>
      </w:r>
      <w:r w:rsidRPr="00375799">
        <w:rPr>
          <w:rFonts w:cstheme="minorHAnsi"/>
          <w:color w:val="000000" w:themeColor="text1"/>
          <w:sz w:val="24"/>
          <w:szCs w:val="24"/>
        </w:rPr>
        <w:t xml:space="preserve"> i Sąd Najwyższy (ustawa z dnia 8 grudnia 2017 r. o Sądzie Najwyższym). Szczególne zadania w zakresie władzy sądowniczej wykonują Trybunał Konstytucyjny (ustawa z dnia 30 listopada 2016 r. o organizacji i trybie postępowania przed Trybunałem Konstytucyjnym, Dz. U. poz. 2072) i Trybunał Stanu (ustawa z dnia 26 marca 1982 r. o Trybunale Stanu, Dz. U. z 2016 r. poz. 2050).</w:t>
      </w:r>
    </w:p>
    <w:p w14:paraId="4E7C1116"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ramach realizacji swoich zadań sądy i trybunały przetwarzają dane osób fizycznych. Jest to bowiem niezbędne dla zapewnienia należytego biegu toczącym się postępowaniom (doręczanie zawiadomień o rozprawach, informacji, pism i orzeczeń sądowych). </w:t>
      </w:r>
    </w:p>
    <w:p w14:paraId="08A868F0"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wymiarze sprawiedliwości przetwarzanie danych osobowych ma miejsce zarówno w systemach teleinformatycznych obsługujących postępowania sądowe (np. elektroniczne postępowanie upominawcze), systemach teleinformatycznych, w których prowadzone są rejestry sądowe (np. elektroniczna księga wieczysta, Krajowy Rejestr Sądowy) oraz w </w:t>
      </w:r>
      <w:r w:rsidRPr="00375799">
        <w:rPr>
          <w:rFonts w:cstheme="minorHAnsi"/>
          <w:color w:val="000000" w:themeColor="text1"/>
          <w:sz w:val="24"/>
          <w:szCs w:val="24"/>
        </w:rPr>
        <w:lastRenderedPageBreak/>
        <w:t xml:space="preserve">sądowych systemach informatycznych (biurowość sądowa), jak również w postępowaniach sądowych prowadzonych w tradycyjny sposób. </w:t>
      </w:r>
    </w:p>
    <w:p w14:paraId="3FCE80E6"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Sposób przetwarzania danych osobowych (elektronicznie albo papierowo) determinuje administratora danych. Sądy w ramach sprawowania wymiaru sprawiedliwości albo realizacji zadań z zakresu ochrony prawnej są administratorem danych osobowych przetwarzanych w prowadzonych papierowo aktach spraw, a także w elektronicznych postępowaniach sądowych oraz rejestrach sądowych. </w:t>
      </w:r>
    </w:p>
    <w:p w14:paraId="7033DCDB"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odniesieniu do niektórych z funkcjonujących w sądach systemów teleinformatycznych administratorem danych osobowych jest również Minister Sprawiedliwości jako podmiot odpowiedzialny za utrzymanie systemu i zapewnienie jego bezpieczeństwa, a także jako zwierzchnik komórki organizacyjnej Ministerstwa Sprawiedliwości wykonującej w systemie czynności określone w przepisach szczególnych (np. udzielanie informacji z rejestrów sądowych, zakładanie konta w systemie teleinformatycznym obsługującym postępowanie sądowe). </w:t>
      </w:r>
    </w:p>
    <w:p w14:paraId="10ACAD94"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odniesieniu do sądowych systemów informatycznych, które wspierają pracę sądów, za administratora danych osobowych oprócz sądów należy również uznać prezesa właściwego sądu. Przepis § 82 zarządzenia Ministra Sprawiedliwości z dnia 12 grudnia 2003 r. w sprawie organizacji i zakresu działania sekretariatów sądowych oraz innych działów administracji sądowej (Dz. Urz. Min. </w:t>
      </w:r>
      <w:proofErr w:type="spellStart"/>
      <w:r w:rsidRPr="00375799">
        <w:rPr>
          <w:rFonts w:cstheme="minorHAnsi"/>
          <w:color w:val="000000" w:themeColor="text1"/>
          <w:sz w:val="24"/>
          <w:szCs w:val="24"/>
        </w:rPr>
        <w:t>Sprawiedl</w:t>
      </w:r>
      <w:proofErr w:type="spellEnd"/>
      <w:r w:rsidRPr="00375799">
        <w:rPr>
          <w:rFonts w:cstheme="minorHAnsi"/>
          <w:color w:val="000000" w:themeColor="text1"/>
          <w:sz w:val="24"/>
          <w:szCs w:val="24"/>
        </w:rPr>
        <w:t xml:space="preserve">. poz. 22, z późn. zm.) upoważnia bowiem prezesa sądu do zarządzenia prowadzenia urządzeń ewidencyjnych przez sekretariaty sądów przy wykorzystaniu systemów informatycznych, zastępujących tradycyjne urządzenia ewidencyjne. </w:t>
      </w:r>
    </w:p>
    <w:p w14:paraId="4B8BCF85" w14:textId="004DE64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Mając powyższe na względzie</w:t>
      </w:r>
      <w:r w:rsidR="00D20C84">
        <w:rPr>
          <w:rFonts w:cstheme="minorHAnsi"/>
          <w:color w:val="000000" w:themeColor="text1"/>
          <w:sz w:val="24"/>
          <w:szCs w:val="24"/>
        </w:rPr>
        <w:t>,</w:t>
      </w:r>
      <w:r w:rsidRPr="00375799">
        <w:rPr>
          <w:rFonts w:cstheme="minorHAnsi"/>
          <w:color w:val="000000" w:themeColor="text1"/>
          <w:sz w:val="24"/>
          <w:szCs w:val="24"/>
        </w:rPr>
        <w:t xml:space="preserve"> w projektowanym art. 175da ustawy – Prawo o ustroju sądów powszechnych jako administratorów danych osobowych w systemach teleinformatycznych obsługujących postępowania sądowe, w systemach teleinformatycznych, w których prowadzone są rejestry sądowe</w:t>
      </w:r>
      <w:r w:rsidR="00D20C84">
        <w:rPr>
          <w:rFonts w:cstheme="minorHAnsi"/>
          <w:color w:val="000000" w:themeColor="text1"/>
          <w:sz w:val="24"/>
          <w:szCs w:val="24"/>
        </w:rPr>
        <w:t>,</w:t>
      </w:r>
      <w:r w:rsidRPr="00375799">
        <w:rPr>
          <w:rFonts w:cstheme="minorHAnsi"/>
          <w:color w:val="000000" w:themeColor="text1"/>
          <w:sz w:val="24"/>
          <w:szCs w:val="24"/>
        </w:rPr>
        <w:t xml:space="preserve"> oraz w sądowych systemach informatycznych wskazano: sądy w ramach sprawowania wymiaru sprawiedliwości albo realizacji zadań z zakresu ochrony prawnej, prezesów właściwych sądów oraz Ministra Sprawiedliwości w ramach realizowanych zadań. </w:t>
      </w:r>
    </w:p>
    <w:p w14:paraId="4DA50977"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Odrębnie natomiast określono administratorów danych osobowych w postępowaniach sądowych prowadzonych poza systemami teleinformatycznymi. Administratorami takich danych są wyłącznie sądy w ramach sprawowania wymiaru sprawiedliwości albo realizacji zadań z zakresu ochrony prawnej (projektowany art. 175db ustawy – Prawo o ustroju sądów powszechnych). </w:t>
      </w:r>
    </w:p>
    <w:p w14:paraId="4F690680"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zakresie, w jakim sądy powszechne przetwarzają dane osobowe w postępowaniach sądowych, w rejestrach sądowych albo w sądowych systemach teleinformatycznych, za celowe i uzasadnione uznano wyłączenie stosowania niektórych przepisów RODO.</w:t>
      </w:r>
    </w:p>
    <w:p w14:paraId="0B2B4866" w14:textId="5D383AE5"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Wyłączenia przewidziane w projektowanych zmianach w ustawie – Prawo o ustroju sądów powszechnych w odniesieniu do przetwarzania danych osobowych na potrzeby sprawowanego przez sądy wymiaru sprawiedliwości dotyczą: prawa dostępu przysługującego osobie, której dane dotyczą (art. 15 </w:t>
      </w:r>
      <w:r w:rsidR="007B7709">
        <w:rPr>
          <w:rFonts w:cstheme="minorHAnsi"/>
          <w:color w:val="000000" w:themeColor="text1"/>
          <w:sz w:val="24"/>
          <w:szCs w:val="24"/>
        </w:rPr>
        <w:t>RODO</w:t>
      </w:r>
      <w:r w:rsidRPr="00375799">
        <w:rPr>
          <w:rFonts w:cstheme="minorHAnsi"/>
          <w:color w:val="000000" w:themeColor="text1"/>
          <w:sz w:val="24"/>
          <w:szCs w:val="24"/>
        </w:rPr>
        <w:t xml:space="preserve">), prawa do sprostowania danych – częściowo (art. </w:t>
      </w:r>
      <w:r w:rsidRPr="00375799">
        <w:rPr>
          <w:rFonts w:cstheme="minorHAnsi"/>
          <w:color w:val="000000" w:themeColor="text1"/>
          <w:sz w:val="24"/>
          <w:szCs w:val="24"/>
        </w:rPr>
        <w:lastRenderedPageBreak/>
        <w:t xml:space="preserve">16 </w:t>
      </w:r>
      <w:r w:rsidR="007B7709">
        <w:rPr>
          <w:rFonts w:cstheme="minorHAnsi"/>
          <w:color w:val="000000" w:themeColor="text1"/>
          <w:sz w:val="24"/>
          <w:szCs w:val="24"/>
        </w:rPr>
        <w:t>RODO</w:t>
      </w:r>
      <w:r w:rsidRPr="00375799">
        <w:rPr>
          <w:rFonts w:cstheme="minorHAnsi"/>
          <w:color w:val="000000" w:themeColor="text1"/>
          <w:sz w:val="24"/>
          <w:szCs w:val="24"/>
        </w:rPr>
        <w:t>), prawa do ograniczenia przetwarzania danych (art. 18</w:t>
      </w:r>
      <w:r w:rsidR="007B7709">
        <w:rPr>
          <w:rFonts w:cstheme="minorHAnsi"/>
          <w:color w:val="000000" w:themeColor="text1"/>
          <w:sz w:val="24"/>
          <w:szCs w:val="24"/>
        </w:rPr>
        <w:t xml:space="preserve"> RODO</w:t>
      </w:r>
      <w:r w:rsidRPr="00375799">
        <w:rPr>
          <w:rFonts w:cstheme="minorHAnsi"/>
          <w:color w:val="000000" w:themeColor="text1"/>
          <w:sz w:val="24"/>
          <w:szCs w:val="24"/>
        </w:rPr>
        <w:t xml:space="preserve">) oraz obowiązku powiadomienia o sprostowaniu lub usunięciu danych osobowych lub o ograniczeniu przetwarzania (art. 19 </w:t>
      </w:r>
      <w:r w:rsidR="007B7709">
        <w:rPr>
          <w:rFonts w:cstheme="minorHAnsi"/>
          <w:color w:val="000000" w:themeColor="text1"/>
          <w:sz w:val="24"/>
          <w:szCs w:val="24"/>
        </w:rPr>
        <w:t>RODO</w:t>
      </w:r>
      <w:r w:rsidRPr="00375799">
        <w:rPr>
          <w:rFonts w:cstheme="minorHAnsi"/>
          <w:color w:val="000000" w:themeColor="text1"/>
          <w:sz w:val="24"/>
          <w:szCs w:val="24"/>
        </w:rPr>
        <w:t xml:space="preserve">). Należy zaznaczyć, że w projektowanych przepisach nie zaproponowano wyłączenia </w:t>
      </w:r>
      <w:r w:rsidRPr="003654A8">
        <w:rPr>
          <w:rFonts w:cstheme="minorHAnsi"/>
          <w:i/>
          <w:color w:val="000000" w:themeColor="text1"/>
          <w:sz w:val="24"/>
          <w:szCs w:val="24"/>
        </w:rPr>
        <w:t>expressis verbis</w:t>
      </w:r>
      <w:r w:rsidRPr="00375799">
        <w:rPr>
          <w:rFonts w:cstheme="minorHAnsi"/>
          <w:color w:val="000000" w:themeColor="text1"/>
          <w:sz w:val="24"/>
          <w:szCs w:val="24"/>
        </w:rPr>
        <w:t xml:space="preserve"> stosowania w omawianym zakresie art. 14, </w:t>
      </w:r>
      <w:r w:rsidR="00D20C84">
        <w:rPr>
          <w:rFonts w:cstheme="minorHAnsi"/>
          <w:color w:val="000000" w:themeColor="text1"/>
          <w:sz w:val="24"/>
          <w:szCs w:val="24"/>
        </w:rPr>
        <w:t xml:space="preserve">art. </w:t>
      </w:r>
      <w:r w:rsidRPr="00375799">
        <w:rPr>
          <w:rFonts w:cstheme="minorHAnsi"/>
          <w:color w:val="000000" w:themeColor="text1"/>
          <w:sz w:val="24"/>
          <w:szCs w:val="24"/>
        </w:rPr>
        <w:t xml:space="preserve">20 i </w:t>
      </w:r>
      <w:r w:rsidR="00D20C84">
        <w:rPr>
          <w:rFonts w:cstheme="minorHAnsi"/>
          <w:color w:val="000000" w:themeColor="text1"/>
          <w:sz w:val="24"/>
          <w:szCs w:val="24"/>
        </w:rPr>
        <w:t xml:space="preserve">art. </w:t>
      </w:r>
      <w:r w:rsidRPr="00375799">
        <w:rPr>
          <w:rFonts w:cstheme="minorHAnsi"/>
          <w:color w:val="000000" w:themeColor="text1"/>
          <w:sz w:val="24"/>
          <w:szCs w:val="24"/>
        </w:rPr>
        <w:t xml:space="preserve">21 </w:t>
      </w:r>
      <w:r w:rsidR="007B7709">
        <w:rPr>
          <w:rFonts w:cstheme="minorHAnsi"/>
          <w:color w:val="000000" w:themeColor="text1"/>
          <w:sz w:val="24"/>
          <w:szCs w:val="24"/>
        </w:rPr>
        <w:t>RODO</w:t>
      </w:r>
      <w:r w:rsidRPr="00375799">
        <w:rPr>
          <w:rFonts w:cstheme="minorHAnsi"/>
          <w:color w:val="000000" w:themeColor="text1"/>
          <w:sz w:val="24"/>
          <w:szCs w:val="24"/>
        </w:rPr>
        <w:t>, ponieważ z istoty swojej nie znajdą one zastosowania już z mocy samych przepisów rozporządzenia (w przypadku art. 14 – z uwagi na treść ust. 5 lit. c; w przypadku art. 20 – z uwagi na to, że przetwarzanie przez sądy danych osobowych nie odbywa się na żadnej z podstaw, o których mowa w ust. 1 lit</w:t>
      </w:r>
      <w:r w:rsidR="00D20C84">
        <w:rPr>
          <w:rFonts w:cstheme="minorHAnsi"/>
          <w:color w:val="000000" w:themeColor="text1"/>
          <w:sz w:val="24"/>
          <w:szCs w:val="24"/>
        </w:rPr>
        <w:t>.</w:t>
      </w:r>
      <w:r w:rsidRPr="00375799">
        <w:rPr>
          <w:rFonts w:cstheme="minorHAnsi"/>
          <w:color w:val="000000" w:themeColor="text1"/>
          <w:sz w:val="24"/>
          <w:szCs w:val="24"/>
        </w:rPr>
        <w:t xml:space="preserve"> a lub b tego artykułu; w przypadku art. 21 – z uwagi na to, że przetwarzanie przez sądy danych osobowych nie odbywa się na podstawie lub na potrzeby, o których mowa w ust. 1 lub 2 tego artykułu). </w:t>
      </w:r>
    </w:p>
    <w:p w14:paraId="16853A1D" w14:textId="77777777" w:rsidR="007871CA"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Jednocześnie – ze względu na potrzebę ochrony postępowań sądowych w aspekcie zapewnienia ich sprawności – proponuje się, ażeby w odniesieniu do obowiązków informacyjnych z art. 13 RODO ich realizacja następowała na stronie podmiotowej Biuletynu Informacji Publicznej oraz w budynku sądu.</w:t>
      </w:r>
    </w:p>
    <w:p w14:paraId="2DA440B8" w14:textId="77777777" w:rsidR="002D07AD" w:rsidRPr="00375799" w:rsidRDefault="002D07AD" w:rsidP="0055107B">
      <w:pPr>
        <w:spacing w:after="0" w:line="276" w:lineRule="auto"/>
        <w:ind w:left="57" w:right="57"/>
        <w:contextualSpacing/>
        <w:jc w:val="both"/>
        <w:rPr>
          <w:rFonts w:cstheme="minorHAnsi"/>
          <w:color w:val="000000" w:themeColor="text1"/>
          <w:sz w:val="24"/>
          <w:szCs w:val="24"/>
        </w:rPr>
      </w:pPr>
    </w:p>
    <w:p w14:paraId="101321D6" w14:textId="29B23451"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Wspomniane wyłączenia są dopuszczalne w świetle art. 23 ust. 1 </w:t>
      </w:r>
      <w:r w:rsidR="007B7709">
        <w:rPr>
          <w:rFonts w:cstheme="minorHAnsi"/>
          <w:color w:val="000000" w:themeColor="text1"/>
          <w:sz w:val="24"/>
          <w:szCs w:val="24"/>
        </w:rPr>
        <w:t>RODO</w:t>
      </w:r>
      <w:r w:rsidRPr="00375799">
        <w:rPr>
          <w:rFonts w:cstheme="minorHAnsi"/>
          <w:color w:val="000000" w:themeColor="text1"/>
          <w:sz w:val="24"/>
          <w:szCs w:val="24"/>
        </w:rPr>
        <w:t>, który stanowi, że prawo Unii lub prawo państwa członkowskiego, któremu podlegają administrator danych lub podmiot przetwarzający, może aktem prawnym ograniczyć zakres obowiązków i praw przewidzianych w art. 12–22 i w art. 34, a także w art. 5 – o ile jego przepisy odpowiadają prawom i obowiązkom przewidzianym w art. 12–22 – jeżeli ograniczenie takie nie narusza istoty podstawowych praw i wolności oraz jest w demokratycznym społeczeństwie środkiem niezbędnym i proporcjonalnym, służącym określonym celom, wymienionym w tym przepisie.</w:t>
      </w:r>
    </w:p>
    <w:p w14:paraId="4905C42A" w14:textId="78029120"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Wspomniane wyłączenia są uzasadnione przede wszystkim celami wskazanymi w art. 23 ust. 1 lit. f i </w:t>
      </w:r>
      <w:proofErr w:type="spellStart"/>
      <w:r w:rsidRPr="00375799">
        <w:rPr>
          <w:rFonts w:cstheme="minorHAnsi"/>
          <w:color w:val="000000" w:themeColor="text1"/>
          <w:sz w:val="24"/>
          <w:szCs w:val="24"/>
        </w:rPr>
        <w:t>i</w:t>
      </w:r>
      <w:proofErr w:type="spellEnd"/>
      <w:r w:rsidRPr="00375799">
        <w:rPr>
          <w:rFonts w:cstheme="minorHAnsi"/>
          <w:color w:val="000000" w:themeColor="text1"/>
          <w:sz w:val="24"/>
          <w:szCs w:val="24"/>
        </w:rPr>
        <w:t xml:space="preserve"> </w:t>
      </w:r>
      <w:r w:rsidR="007B7709">
        <w:rPr>
          <w:rFonts w:cstheme="minorHAnsi"/>
          <w:color w:val="000000" w:themeColor="text1"/>
          <w:sz w:val="24"/>
          <w:szCs w:val="24"/>
        </w:rPr>
        <w:t>RODO</w:t>
      </w:r>
      <w:r w:rsidRPr="00375799">
        <w:rPr>
          <w:rFonts w:cstheme="minorHAnsi"/>
          <w:color w:val="000000" w:themeColor="text1"/>
          <w:sz w:val="24"/>
          <w:szCs w:val="24"/>
        </w:rPr>
        <w:t>, tj. ochroną niezależności sądów i postępowania sądowego oraz ochroną osoby, której dane dotyczą, lub praw i wolności innych osób; posiłkowo wskazać należy również na cel określony w art. 23 ust. 1 lit. c</w:t>
      </w:r>
      <w:r w:rsidR="007B7709">
        <w:rPr>
          <w:rFonts w:cstheme="minorHAnsi"/>
          <w:color w:val="000000" w:themeColor="text1"/>
          <w:sz w:val="24"/>
          <w:szCs w:val="24"/>
        </w:rPr>
        <w:t xml:space="preserve"> RODO</w:t>
      </w:r>
      <w:r w:rsidRPr="00375799">
        <w:rPr>
          <w:rFonts w:cstheme="minorHAnsi"/>
          <w:color w:val="000000" w:themeColor="text1"/>
          <w:sz w:val="24"/>
          <w:szCs w:val="24"/>
        </w:rPr>
        <w:t xml:space="preserve">, tj. bezpieczeństwo publiczne. </w:t>
      </w:r>
    </w:p>
    <w:p w14:paraId="7D436CA6"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przypadku ochrony postępowań sądowych chodzi zwłaszcza o zapewnienie ich integralności i sprawności, niezbędnych dla efektywnej realizacji konstytucyjnego prawa do sądu (art. 45 Konstytucji).</w:t>
      </w:r>
    </w:p>
    <w:p w14:paraId="1EAC2401" w14:textId="2A30F036"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Projektowane wyłączenia są dopuszczalne także w świetle Konstytucji RP. Przepis art. 31 ust. 3 Konstytucji stanowi, że ograniczenia w zakresie korzystania z konstytucyjnych wolności i praw mogą być ustanawiane tylko w ustawie i tylko wtedy, gdy są konieczne w demokratycznym państwie dla jego bezpieczeństwa lub porządku publicznego bądź dla ochrony środowiska, zdrowia i moralności publicznej albo wolności i praw innych osób. Ograniczenia te nie mogą naruszać istoty wolności i praw. Gwarancje dotyczące ochrony danych osobowych, ustanowione w art. 51 Konstytucji, są objęte regułą </w:t>
      </w:r>
      <w:proofErr w:type="spellStart"/>
      <w:r w:rsidRPr="00375799">
        <w:rPr>
          <w:rFonts w:cstheme="minorHAnsi"/>
          <w:color w:val="000000" w:themeColor="text1"/>
          <w:sz w:val="24"/>
          <w:szCs w:val="24"/>
        </w:rPr>
        <w:t>limitacyjną</w:t>
      </w:r>
      <w:proofErr w:type="spellEnd"/>
      <w:r w:rsidRPr="00375799">
        <w:rPr>
          <w:rFonts w:cstheme="minorHAnsi"/>
          <w:color w:val="000000" w:themeColor="text1"/>
          <w:sz w:val="24"/>
          <w:szCs w:val="24"/>
        </w:rPr>
        <w:t xml:space="preserve"> z art. 31 ust. 3. Należy wskazać, że zgodnie z zasadą autonomicznej wykładni Konstytucji i zasadą autonomicznej wykładni prawa Unii Europejskiej użyta w art. 31 ust. 3 Konstytucji klauzula „bezpieczeństwa lub porządku publicznego” bez wątpienia mieści przesłanki określone w art. 23 ust. 1 lit. a</w:t>
      </w:r>
      <w:r w:rsidR="00D20C84">
        <w:rPr>
          <w:rFonts w:cstheme="minorHAnsi"/>
          <w:color w:val="000000" w:themeColor="text1"/>
          <w:sz w:val="24"/>
          <w:szCs w:val="24"/>
        </w:rPr>
        <w:t>–</w:t>
      </w:r>
      <w:r w:rsidRPr="00375799">
        <w:rPr>
          <w:rFonts w:cstheme="minorHAnsi"/>
          <w:color w:val="000000" w:themeColor="text1"/>
          <w:sz w:val="24"/>
          <w:szCs w:val="24"/>
        </w:rPr>
        <w:t xml:space="preserve">d </w:t>
      </w:r>
      <w:r w:rsidR="007B7709">
        <w:rPr>
          <w:rFonts w:cstheme="minorHAnsi"/>
          <w:color w:val="000000" w:themeColor="text1"/>
          <w:sz w:val="24"/>
          <w:szCs w:val="24"/>
        </w:rPr>
        <w:t>RODO</w:t>
      </w:r>
      <w:r w:rsidRPr="00375799">
        <w:rPr>
          <w:rFonts w:cstheme="minorHAnsi"/>
          <w:color w:val="000000" w:themeColor="text1"/>
          <w:sz w:val="24"/>
          <w:szCs w:val="24"/>
        </w:rPr>
        <w:t xml:space="preserve">. Z kolei określona w art. 23 ust. 1 lit. f </w:t>
      </w:r>
      <w:r w:rsidR="007B7709">
        <w:rPr>
          <w:rFonts w:cstheme="minorHAnsi"/>
          <w:color w:val="000000" w:themeColor="text1"/>
          <w:sz w:val="24"/>
          <w:szCs w:val="24"/>
        </w:rPr>
        <w:t>RODO</w:t>
      </w:r>
      <w:r w:rsidR="007B7709" w:rsidRPr="00375799">
        <w:rPr>
          <w:rFonts w:cstheme="minorHAnsi"/>
          <w:color w:val="000000" w:themeColor="text1"/>
          <w:sz w:val="24"/>
          <w:szCs w:val="24"/>
        </w:rPr>
        <w:t xml:space="preserve"> </w:t>
      </w:r>
      <w:r w:rsidRPr="00375799">
        <w:rPr>
          <w:rFonts w:cstheme="minorHAnsi"/>
          <w:color w:val="000000" w:themeColor="text1"/>
          <w:sz w:val="24"/>
          <w:szCs w:val="24"/>
        </w:rPr>
        <w:t xml:space="preserve">przesłanka „ochrony </w:t>
      </w:r>
      <w:r w:rsidRPr="00375799">
        <w:rPr>
          <w:rFonts w:cstheme="minorHAnsi"/>
          <w:color w:val="000000" w:themeColor="text1"/>
          <w:sz w:val="24"/>
          <w:szCs w:val="24"/>
        </w:rPr>
        <w:lastRenderedPageBreak/>
        <w:t>niezależności sądów i postępowania sądowego” mieści się w zakresie konstytucyjnych klauzul zarówno „bezpieczeństwa lub porządku publicznego”, jak i „ochrony wolności i praw innych osób</w:t>
      </w:r>
      <w:r w:rsidR="007B7709">
        <w:rPr>
          <w:rFonts w:cstheme="minorHAnsi"/>
          <w:color w:val="000000" w:themeColor="text1"/>
          <w:sz w:val="24"/>
          <w:szCs w:val="24"/>
        </w:rPr>
        <w:t>”</w:t>
      </w:r>
      <w:r w:rsidRPr="00375799">
        <w:rPr>
          <w:rFonts w:cstheme="minorHAnsi"/>
          <w:color w:val="000000" w:themeColor="text1"/>
          <w:sz w:val="24"/>
          <w:szCs w:val="24"/>
        </w:rPr>
        <w:t>. Sprawne funkcjonowanie niezależnego sądownictwa jest bowiem istotnym elementem zapewnienia porządku publicznego, jak również zapewnienia ochrony wolności i praw – poprzez zagwarantowanie możliwości dochodzenia tej ochrony na drodze sądowej. Należy też mieć na względzie, że – jak wskazano wyżej – prawo do sądu jest prawem umocowanym konstytucyjnie. Warto przy tym odnotować, że obejmuje ono m.in. prawo do jawnego rozpatrzenia sprawy przez sąd.</w:t>
      </w:r>
    </w:p>
    <w:p w14:paraId="4CEDEC0A" w14:textId="149A9C42"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Ze względu na określone w poszczególnych procedurach sądowych zasady dostępu do akt spraw i rejestrów sądowych celowe jest wyłączenie art. 15 RODO. Jeżeli bowiem dane osobowe znajdują się w aktach spraw albo w rejestrach sądowych, to dostęp do tych danych może odbywać się tylko na zasadach określonych w przepisach ustaw szczególnych regulujących dostęp do akt spraw i rejestrów sądowych. Z kolei dostęp do sądowych systemów informatycznych, w których prowadzone są urządzenia ewidencyjne sądów</w:t>
      </w:r>
      <w:r w:rsidR="00D20C84">
        <w:rPr>
          <w:rFonts w:cstheme="minorHAnsi"/>
          <w:color w:val="000000" w:themeColor="text1"/>
          <w:sz w:val="24"/>
          <w:szCs w:val="24"/>
        </w:rPr>
        <w:t>,</w:t>
      </w:r>
      <w:r w:rsidRPr="00375799">
        <w:rPr>
          <w:rFonts w:cstheme="minorHAnsi"/>
          <w:color w:val="000000" w:themeColor="text1"/>
          <w:sz w:val="24"/>
          <w:szCs w:val="24"/>
        </w:rPr>
        <w:t xml:space="preserve"> mają tylko upoważnione osoby. </w:t>
      </w:r>
    </w:p>
    <w:p w14:paraId="5E8525E1" w14:textId="327C1984"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Częściowe wyłączenie art. 16 RODO</w:t>
      </w:r>
      <w:r w:rsidRPr="00375799" w:rsidDel="00A377ED">
        <w:rPr>
          <w:rFonts w:cstheme="minorHAnsi"/>
          <w:color w:val="000000" w:themeColor="text1"/>
          <w:sz w:val="24"/>
          <w:szCs w:val="24"/>
        </w:rPr>
        <w:t xml:space="preserve"> </w:t>
      </w:r>
      <w:r w:rsidRPr="00375799">
        <w:rPr>
          <w:rFonts w:cstheme="minorHAnsi"/>
          <w:color w:val="000000" w:themeColor="text1"/>
          <w:sz w:val="24"/>
          <w:szCs w:val="24"/>
        </w:rPr>
        <w:t>jest konsekwencją faktu, że sprostowania w postępowaniach sądowych oraz rejestrach sądowych</w:t>
      </w:r>
      <w:r w:rsidR="00D20C84">
        <w:rPr>
          <w:rFonts w:cstheme="minorHAnsi"/>
          <w:color w:val="000000" w:themeColor="text1"/>
          <w:sz w:val="24"/>
          <w:szCs w:val="24"/>
        </w:rPr>
        <w:t>,</w:t>
      </w:r>
      <w:r w:rsidRPr="00375799">
        <w:rPr>
          <w:rFonts w:cstheme="minorHAnsi"/>
          <w:color w:val="000000" w:themeColor="text1"/>
          <w:sz w:val="24"/>
          <w:szCs w:val="24"/>
        </w:rPr>
        <w:t xml:space="preserve"> co do zasady</w:t>
      </w:r>
      <w:r w:rsidR="00D20C84">
        <w:rPr>
          <w:rFonts w:cstheme="minorHAnsi"/>
          <w:color w:val="000000" w:themeColor="text1"/>
          <w:sz w:val="24"/>
          <w:szCs w:val="24"/>
        </w:rPr>
        <w:t>,</w:t>
      </w:r>
      <w:r w:rsidRPr="00375799">
        <w:rPr>
          <w:rFonts w:cstheme="minorHAnsi"/>
          <w:color w:val="000000" w:themeColor="text1"/>
          <w:sz w:val="24"/>
          <w:szCs w:val="24"/>
        </w:rPr>
        <w:t xml:space="preserve"> odbywają się zgodnie z przepisami konkretnych ustaw, regulujących procedury sądowe albo rejestry sądowe (np. art. 350 i 626</w:t>
      </w:r>
      <w:r w:rsidRPr="003654A8">
        <w:rPr>
          <w:rFonts w:cstheme="minorHAnsi"/>
          <w:color w:val="000000" w:themeColor="text1"/>
          <w:sz w:val="24"/>
          <w:szCs w:val="24"/>
          <w:vertAlign w:val="superscript"/>
        </w:rPr>
        <w:t>13</w:t>
      </w:r>
      <w:r w:rsidRPr="00375799">
        <w:rPr>
          <w:rFonts w:cstheme="minorHAnsi"/>
          <w:color w:val="000000" w:themeColor="text1"/>
          <w:sz w:val="24"/>
          <w:szCs w:val="24"/>
        </w:rPr>
        <w:t xml:space="preserve"> § 2 Kodeksu postępowania cywilnego, art. 12 ust. 2 ustawy o Krajowym Rejestrze Sądowym). Przepisy te służą zapewnieniu integralności akt (rejestrów), sprzeciwiającej się usuwaniu z akt (rejestrów sądowych) tego, co zostało do nich złożone (wpisane) oraz dokonywaniu zmian w treści akt. Tylko więc w takim zakresie, w jakim wyżej wymienione przepisy nie regulują kwestii sprostowania, zastosowanie będą mogły znaleźć przepisy RODO.</w:t>
      </w:r>
    </w:p>
    <w:p w14:paraId="350B184F" w14:textId="5DEBA4E2"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Przepisy ustaw, o których mowa wyżej, regulują również odrębnie obowiązek powiadomienia o dokonanych przez sąd sprostowaniach w trybie tych ustaw. Realizacja obowiązku powiadamiania o pozostałych sprostowaniach (w trybie art. 16 </w:t>
      </w:r>
      <w:r w:rsidR="007B7709">
        <w:rPr>
          <w:rFonts w:cstheme="minorHAnsi"/>
          <w:color w:val="000000" w:themeColor="text1"/>
          <w:sz w:val="24"/>
          <w:szCs w:val="24"/>
        </w:rPr>
        <w:t>RODO</w:t>
      </w:r>
      <w:r w:rsidRPr="00375799">
        <w:rPr>
          <w:rFonts w:cstheme="minorHAnsi"/>
          <w:color w:val="000000" w:themeColor="text1"/>
          <w:sz w:val="24"/>
          <w:szCs w:val="24"/>
        </w:rPr>
        <w:t>), biorąc pod uwagę ich możliwy zakres</w:t>
      </w:r>
      <w:r w:rsidR="00D20C84">
        <w:rPr>
          <w:rFonts w:cstheme="minorHAnsi"/>
          <w:color w:val="000000" w:themeColor="text1"/>
          <w:sz w:val="24"/>
          <w:szCs w:val="24"/>
        </w:rPr>
        <w:t>,</w:t>
      </w:r>
      <w:r w:rsidRPr="00375799">
        <w:rPr>
          <w:rFonts w:cstheme="minorHAnsi"/>
          <w:color w:val="000000" w:themeColor="text1"/>
          <w:sz w:val="24"/>
          <w:szCs w:val="24"/>
        </w:rPr>
        <w:t xml:space="preserve"> istotnie zagrażałaby sprawności postępowania. Powyższe uzasadnia również wyłączenie art. 19 RODO. </w:t>
      </w:r>
    </w:p>
    <w:p w14:paraId="05B053F0"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wyżej przytoczonych powodów wyłączenia wymaga również art. 18 RODO, jeżeli dane osobowe są gromadzone w postępowaniach sądowych, rejestrach sądowych oraz sądowych systemach informatycznych. </w:t>
      </w:r>
    </w:p>
    <w:p w14:paraId="5890CB5E" w14:textId="6BA8851A"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Jednocześnie wskazać należy, że spełnione są przesłanki ograniczenia stosowania przepisów, o których mowa w art. 23 ust. 2 </w:t>
      </w:r>
      <w:r w:rsidR="007B7709">
        <w:rPr>
          <w:rFonts w:cstheme="minorHAnsi"/>
          <w:color w:val="000000" w:themeColor="text1"/>
          <w:sz w:val="24"/>
          <w:szCs w:val="24"/>
        </w:rPr>
        <w:t>RODO</w:t>
      </w:r>
      <w:r w:rsidRPr="00375799">
        <w:rPr>
          <w:rFonts w:cstheme="minorHAnsi"/>
          <w:color w:val="000000" w:themeColor="text1"/>
          <w:sz w:val="24"/>
          <w:szCs w:val="24"/>
        </w:rPr>
        <w:t>. Właściwe akty prawne regulujące organizację sądów powszechnych, poszczególne procedury sądowe oraz rejestry sądowe zawierają podstawy prawne przetwarzania danych, cel przetwarzania danych (ust. 2 lit. a), rodzaj danych osobowych podlegających przetwarzaniu i osoby, których dane dotyczą (ust. 2 lit. b), zasady zabezpieczania przetwarzanych danych mające zapobiegać nadużyciom lub niezgodnemu z prawem dostępowi lub przekazywaniu, w tym określenie podmiotów, którym można ujawnić dane osobowe (ust. 2 lit. d)</w:t>
      </w:r>
      <w:r w:rsidR="00D20C84">
        <w:rPr>
          <w:rFonts w:cstheme="minorHAnsi"/>
          <w:color w:val="000000" w:themeColor="text1"/>
          <w:sz w:val="24"/>
          <w:szCs w:val="24"/>
        </w:rPr>
        <w:t>,</w:t>
      </w:r>
      <w:r w:rsidRPr="00375799">
        <w:rPr>
          <w:rFonts w:cstheme="minorHAnsi"/>
          <w:color w:val="000000" w:themeColor="text1"/>
          <w:sz w:val="24"/>
          <w:szCs w:val="24"/>
        </w:rPr>
        <w:t xml:space="preserve"> oraz okresy przechowywania danych (ust. 2 lit. f). Proponowane w projekcie nowe przepisy dodatkowo wskazują kto jest administratorem </w:t>
      </w:r>
      <w:r w:rsidRPr="00375799">
        <w:rPr>
          <w:rFonts w:cstheme="minorHAnsi"/>
          <w:color w:val="000000" w:themeColor="text1"/>
          <w:sz w:val="24"/>
          <w:szCs w:val="24"/>
        </w:rPr>
        <w:lastRenderedPageBreak/>
        <w:t>przetwarzanych danych (ust. 2 lit. e) oraz zawierają precyzyjne określ</w:t>
      </w:r>
      <w:r w:rsidR="00D20C84">
        <w:rPr>
          <w:rFonts w:cstheme="minorHAnsi"/>
          <w:color w:val="000000" w:themeColor="text1"/>
          <w:sz w:val="24"/>
          <w:szCs w:val="24"/>
        </w:rPr>
        <w:t>e</w:t>
      </w:r>
      <w:r w:rsidRPr="00375799">
        <w:rPr>
          <w:rFonts w:cstheme="minorHAnsi"/>
          <w:color w:val="000000" w:themeColor="text1"/>
          <w:sz w:val="24"/>
          <w:szCs w:val="24"/>
        </w:rPr>
        <w:t xml:space="preserve">nie ograniczeń wprowadzonych w zakresie stosowania przepisów rozporządzenia (ust. 2 lit. c). </w:t>
      </w:r>
    </w:p>
    <w:p w14:paraId="45D6C34B" w14:textId="7D7E2466"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Zaproponowane w projektowanym art. 175dc ustawy – Prawo o ustroju sądów powszechnych wyłączenie dotyczy przetwarzania danych we wszystkich postępowaniach sądowych prowadzonych w tradycyjny sposób</w:t>
      </w:r>
      <w:r w:rsidR="00D20C84">
        <w:rPr>
          <w:rFonts w:cstheme="minorHAnsi"/>
          <w:color w:val="000000" w:themeColor="text1"/>
          <w:sz w:val="24"/>
          <w:szCs w:val="24"/>
        </w:rPr>
        <w:t>,</w:t>
      </w:r>
      <w:r w:rsidRPr="00375799">
        <w:rPr>
          <w:rFonts w:cstheme="minorHAnsi"/>
          <w:color w:val="000000" w:themeColor="text1"/>
          <w:sz w:val="24"/>
          <w:szCs w:val="24"/>
        </w:rPr>
        <w:t xml:space="preserve"> jak i elektronicznie, obejmuje wszystkie ich etapy i podejmowane w nich czynności nie tylko przez sądy, ale również przez te podmioty, które w postępowaniu sądowym wykonują czynności na zlecenie sądu, np. biegli sądowi czy tłumacze przysięgli. </w:t>
      </w:r>
    </w:p>
    <w:p w14:paraId="5B0EEE89" w14:textId="6B476AF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Należy przyjąć, że zaproponowane w projektowanym art. 175dc ustawy – Prawo o ustroju sądów powszechnych wyłączenie obejmuje również udzielanie informacji z prowadzonych w systemach teleinformatycznych rejestrów sądowych przez utworzone w tym celu komórki organizacyjne Ministerstwa Sprawiedliwości. Wyłączenie to uzasadnia zakres zadań wyznaczonych tym komórkom w ustawach szczególnych. Żadna z centralnych informacji nie jest uprawniona do podejmowania czynności ingerujących w treść danych zamieszczanych w rejestrach. Rejestry prowadzą sądy i co do zasady to one są wyłącznie uprawnione do dokonywania wpisów w rejestrach. Rolą centralnych informacji jest wyłącznie udzielanie informacji o treści danych zamiesz</w:t>
      </w:r>
      <w:r w:rsidR="00D20C84">
        <w:rPr>
          <w:rFonts w:cstheme="minorHAnsi"/>
          <w:color w:val="000000" w:themeColor="text1"/>
          <w:sz w:val="24"/>
          <w:szCs w:val="24"/>
        </w:rPr>
        <w:t>cz</w:t>
      </w:r>
      <w:r w:rsidRPr="00375799">
        <w:rPr>
          <w:rFonts w:cstheme="minorHAnsi"/>
          <w:color w:val="000000" w:themeColor="text1"/>
          <w:sz w:val="24"/>
          <w:szCs w:val="24"/>
        </w:rPr>
        <w:t>onych w rejestrach przez sądy.</w:t>
      </w:r>
    </w:p>
    <w:p w14:paraId="66E1D2E3" w14:textId="1DBDB6EB"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Wprowadzone ograniczenia w odniesieniu do postępowania sądowego i funkcjonowania wymiaru sprawiedliwości są niezbędne. Celem tych ograniczeń jest zapewnienie możliwości sprawnego prowadzenia postępowania sądowego oraz możliwości dochodzenia przed sądem przez strony ochrony swoich praw. Dane osobowe zawarte w aktach sądowych są przetwarzane</w:t>
      </w:r>
      <w:r w:rsidR="00D20C84">
        <w:rPr>
          <w:rFonts w:cstheme="minorHAnsi"/>
          <w:color w:val="000000" w:themeColor="text1"/>
          <w:sz w:val="24"/>
          <w:szCs w:val="24"/>
        </w:rPr>
        <w:t>,</w:t>
      </w:r>
      <w:r w:rsidRPr="00375799">
        <w:rPr>
          <w:rFonts w:cstheme="minorHAnsi"/>
          <w:color w:val="000000" w:themeColor="text1"/>
          <w:sz w:val="24"/>
          <w:szCs w:val="24"/>
        </w:rPr>
        <w:t xml:space="preserve"> co do zasady</w:t>
      </w:r>
      <w:r w:rsidR="00D20C84">
        <w:rPr>
          <w:rFonts w:cstheme="minorHAnsi"/>
          <w:color w:val="000000" w:themeColor="text1"/>
          <w:sz w:val="24"/>
          <w:szCs w:val="24"/>
        </w:rPr>
        <w:t>,</w:t>
      </w:r>
      <w:r w:rsidRPr="00375799">
        <w:rPr>
          <w:rFonts w:cstheme="minorHAnsi"/>
          <w:color w:val="000000" w:themeColor="text1"/>
          <w:sz w:val="24"/>
          <w:szCs w:val="24"/>
        </w:rPr>
        <w:t xml:space="preserve"> tylko na potrzeby postępowań sądowych i tylko w takim zakresie wykorzystywane. Wskazać w tym zakresie należy na przepisy ustaw procesowych regulujące kwestie dostępu do akt, w szczególności art. 9 ustawy – Kodeks postępowania cywilnego, a jednocześnie na przepisy regulujące jawność rozpatrywania spraw przed sądem i przypadki wyłączenia tej jawności.</w:t>
      </w:r>
    </w:p>
    <w:p w14:paraId="0064357F"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Przeciwne twierdzenie, ukierunkowane na przyznanie każdemu prawa do otrzymania informacji, czy jego dane osobowe są przetwarzane w sądzie, już na etapie ich uzyskania przez sąd, prowadziłoby do paraliżu postępowania i skupienia pracy sądu na działaniach niezwiązanych z zasadniczym celem działania sądów, jakim jest sprawowanie wymiaru sprawiedliwości. Dopiero ocena sądu w toku postępowania sądowego – dokonana na podstawie przepisów proceduralnych – w wyniku której sąd uzna, że dana osoba powinna pełnić określoną rolę (np. świadka, pozwanego), skutkować będzie uzyskaniem przez tę osobę informacji o jej roli, a zarazem uzyskaniem informacji o przetwarzaniu jej danych osobowych. Wyraźnie jednak zaznaczyć należy, że uzyskanie tej wiedzy nastąpi w trybie przepisów proceduralnych (tj. np. przez wezwanie do stawienia się w charakterze świadka albo doręczenie pozwu), a nie rozporządzenia.</w:t>
      </w:r>
    </w:p>
    <w:p w14:paraId="1F64F340"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Należy także wskazać, że przyznanie osobom niebędącym stronami postępowania, np. świadkom, prawa do uzyskania informacji na temat tego, jakie dane ich dotyczące zostały przez sąd zebrane, mogłoby wpływać na treść ich zeznań.</w:t>
      </w:r>
    </w:p>
    <w:p w14:paraId="7ED494DF" w14:textId="6E70FF1B"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Również przyznanie tak stronom, jak i osobom trzecim, np. świadkom, prawa do sprostowania dotyczących ich danych zawartych w aktach sądowych w trybie przepisów rozporządzenia stanowiłoby zaprzeczenie celów postępowania sądowego. Kwestionowanie prawdziwości informacji na temat danej osoby, które zostały przedstawione sądowi</w:t>
      </w:r>
      <w:r w:rsidR="007B7709">
        <w:rPr>
          <w:rFonts w:cstheme="minorHAnsi"/>
          <w:color w:val="000000" w:themeColor="text1"/>
          <w:sz w:val="24"/>
          <w:szCs w:val="24"/>
        </w:rPr>
        <w:t>,</w:t>
      </w:r>
      <w:r w:rsidRPr="00375799">
        <w:rPr>
          <w:rFonts w:cstheme="minorHAnsi"/>
          <w:color w:val="000000" w:themeColor="text1"/>
          <w:sz w:val="24"/>
          <w:szCs w:val="24"/>
        </w:rPr>
        <w:t xml:space="preserve"> np. przez przeciwnika procesowego albo świadka, i w konsekwencji możliwości ich przetwarzania (brania pod uwagę przy rozstrzyganiu sprawy) przez sąd powinno następować nie w trybie regulacji rozporządzenia, lecz w trybie procesowym – poprzez zgłaszanie własnych twierdzeń i dowodów na ich poparcie. Wszystkie, w tym wykluczające się wzajemnie</w:t>
      </w:r>
      <w:r w:rsidR="00D20C84">
        <w:rPr>
          <w:rFonts w:cstheme="minorHAnsi"/>
          <w:color w:val="000000" w:themeColor="text1"/>
          <w:sz w:val="24"/>
          <w:szCs w:val="24"/>
        </w:rPr>
        <w:t>,</w:t>
      </w:r>
      <w:r w:rsidRPr="00375799">
        <w:rPr>
          <w:rFonts w:cstheme="minorHAnsi"/>
          <w:color w:val="000000" w:themeColor="text1"/>
          <w:sz w:val="24"/>
          <w:szCs w:val="24"/>
        </w:rPr>
        <w:t xml:space="preserve"> twierdzenia i dowody podlegają bowiem następnie ocenie niezawisłego sądu.</w:t>
      </w:r>
    </w:p>
    <w:p w14:paraId="3C602732" w14:textId="121F1A88"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ocenie projektodawcy tak właśnie należy odczytywać zasadniczy cel przepisów art. 23 ust. 1 lit. f i </w:t>
      </w:r>
      <w:proofErr w:type="spellStart"/>
      <w:r w:rsidRPr="00375799">
        <w:rPr>
          <w:rFonts w:cstheme="minorHAnsi"/>
          <w:color w:val="000000" w:themeColor="text1"/>
          <w:sz w:val="24"/>
          <w:szCs w:val="24"/>
        </w:rPr>
        <w:t>i</w:t>
      </w:r>
      <w:proofErr w:type="spellEnd"/>
      <w:r w:rsidRPr="00375799">
        <w:rPr>
          <w:rFonts w:cstheme="minorHAnsi"/>
          <w:color w:val="000000" w:themeColor="text1"/>
          <w:sz w:val="24"/>
          <w:szCs w:val="24"/>
        </w:rPr>
        <w:t xml:space="preserve"> </w:t>
      </w:r>
      <w:r w:rsidR="007B7709">
        <w:rPr>
          <w:rFonts w:cstheme="minorHAnsi"/>
          <w:color w:val="000000" w:themeColor="text1"/>
          <w:sz w:val="24"/>
          <w:szCs w:val="24"/>
        </w:rPr>
        <w:t>RODO</w:t>
      </w:r>
      <w:r w:rsidRPr="00375799">
        <w:rPr>
          <w:rFonts w:cstheme="minorHAnsi"/>
          <w:color w:val="000000" w:themeColor="text1"/>
          <w:sz w:val="24"/>
          <w:szCs w:val="24"/>
        </w:rPr>
        <w:t>, które dopuszczają określone wyłączenia w celu ochrony niezależności sądów i postępowania sądowego oraz ochrony prawa do sądu.</w:t>
      </w:r>
    </w:p>
    <w:p w14:paraId="4FCC907D"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Odnotować również należy, że procedury sądowe wyposażone są we własne instrumenty ukierunkowane na ograniczenie możliwości przetwarzania w ramach danego postępowania danych z punktu widzenia tego postępowania nieistotnych. Wskazać należy w tym zakresie przede wszystkim na możliwość odmowy przeprowadzenia przez sąd wnioskowanego przez stronę dowodu oraz uchylenia poszczególnych pytań kierowanych do świadków albo stron. Prawdziwość przedstawianych sądowi twierdzeń, w szczególności w przypadku osób, których praw dane postępowanie nie dotyczy w sposób bezpośredni, czyli przede wszystkim świadków, objęta jest także odpowiedzialnością karną za składanie fałszywych zeznań.</w:t>
      </w:r>
    </w:p>
    <w:p w14:paraId="75CFF7C1" w14:textId="0314B159"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uwagi na wskazane powyżej cechy postępowań sądowych, tj. możliwość uzyskania informacji o przetwarzanych danych osobowych w trybie i na zasadach określonych w przepisach proceduralnych oraz przetwarzanie tych danych wyłącznie na potrzeby postępowań, należy stwierdzić, że w związku z ograniczeniami w stosunku do zasad wynikających z rozporządzenia nie dochodzi do naruszenia istoty praw związanych z ochroną danych osobowych oraz ograniczenia te nie są nadmierne, nie wykraczają poza to, co jest niezbędne dla zapewnienia prawidłowego przebiegu postępowania sądowego i dla zagwarantowania stronom możliwości dochodzen</w:t>
      </w:r>
      <w:r w:rsidR="002938C4">
        <w:rPr>
          <w:rFonts w:cstheme="minorHAnsi"/>
          <w:color w:val="000000" w:themeColor="text1"/>
          <w:sz w:val="24"/>
          <w:szCs w:val="24"/>
        </w:rPr>
        <w:t>ia przed sądem ochrony ich praw.</w:t>
      </w:r>
    </w:p>
    <w:p w14:paraId="466099FA" w14:textId="70E6DFB0"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Reasumując, przewidziane w projekcie wyłączenia stosowania przepisów </w:t>
      </w:r>
      <w:r w:rsidR="007B7709">
        <w:rPr>
          <w:rFonts w:cstheme="minorHAnsi"/>
          <w:color w:val="000000" w:themeColor="text1"/>
          <w:sz w:val="24"/>
          <w:szCs w:val="24"/>
        </w:rPr>
        <w:t>rozporządzenia</w:t>
      </w:r>
      <w:r w:rsidR="007B7709" w:rsidRPr="00375799" w:rsidDel="00A377ED">
        <w:rPr>
          <w:rFonts w:cstheme="minorHAnsi"/>
          <w:color w:val="000000" w:themeColor="text1"/>
          <w:sz w:val="24"/>
          <w:szCs w:val="24"/>
        </w:rPr>
        <w:t xml:space="preserve"> </w:t>
      </w:r>
      <w:r w:rsidRPr="00375799">
        <w:rPr>
          <w:rFonts w:cstheme="minorHAnsi"/>
          <w:color w:val="000000" w:themeColor="text1"/>
          <w:sz w:val="24"/>
          <w:szCs w:val="24"/>
        </w:rPr>
        <w:t xml:space="preserve">mieszczą się w katalogu celów określonych w art. 23 ust. 1 </w:t>
      </w:r>
      <w:r w:rsidR="007B7709">
        <w:rPr>
          <w:rFonts w:cstheme="minorHAnsi"/>
          <w:color w:val="000000" w:themeColor="text1"/>
          <w:sz w:val="24"/>
          <w:szCs w:val="24"/>
        </w:rPr>
        <w:t>RODO</w:t>
      </w:r>
      <w:r w:rsidRPr="00375799">
        <w:rPr>
          <w:rFonts w:cstheme="minorHAnsi"/>
          <w:color w:val="000000" w:themeColor="text1"/>
          <w:sz w:val="24"/>
          <w:szCs w:val="24"/>
        </w:rPr>
        <w:t xml:space="preserve">, nie naruszają praw i wolności osób, których dane osobowe dotyczą, są zgodne z zasadą proporcjonalności oraz spełniają wymogi określone w art. 23 ust. 2 </w:t>
      </w:r>
      <w:r w:rsidR="007B7709">
        <w:rPr>
          <w:rFonts w:cstheme="minorHAnsi"/>
          <w:color w:val="000000" w:themeColor="text1"/>
          <w:sz w:val="24"/>
          <w:szCs w:val="24"/>
        </w:rPr>
        <w:t>RODO</w:t>
      </w:r>
      <w:r w:rsidRPr="00375799">
        <w:rPr>
          <w:rFonts w:cstheme="minorHAnsi"/>
          <w:color w:val="000000" w:themeColor="text1"/>
          <w:sz w:val="24"/>
          <w:szCs w:val="24"/>
        </w:rPr>
        <w:t>.</w:t>
      </w:r>
    </w:p>
    <w:p w14:paraId="02FFF732" w14:textId="495A2FE5"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Analogiczne rozwiązania (wyłączenia/ograniczenia stosowania przepisów rozporządzenia) jak w ustawie – Prawo o ustroju sądów powszechnych zaproponowano w ustawie – Prawo o ustroju sądów wojskowych, ustawie – Prawo o ustroju sądów administracyjnych, ustawie o Sądzie Najwyższym, </w:t>
      </w:r>
      <w:r w:rsidR="007B7709">
        <w:rPr>
          <w:rFonts w:cstheme="minorHAnsi"/>
          <w:color w:val="000000" w:themeColor="text1"/>
          <w:sz w:val="24"/>
          <w:szCs w:val="24"/>
        </w:rPr>
        <w:t xml:space="preserve">oraz </w:t>
      </w:r>
      <w:r w:rsidRPr="00375799">
        <w:rPr>
          <w:rFonts w:cstheme="minorHAnsi"/>
          <w:color w:val="000000" w:themeColor="text1"/>
          <w:sz w:val="24"/>
          <w:szCs w:val="24"/>
        </w:rPr>
        <w:t>ustawie o organizacji i trybie postępowania przed Trybunałem Konstytucyjnym.</w:t>
      </w:r>
    </w:p>
    <w:p w14:paraId="30BAF7CE"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Ze względu na specyfikę funkcjonowania sądownictwa w projekcie ustawy należało zawrzeć szczególną regulację dotyczącą nadzoru nad przetwarzaniem danych osobowych </w:t>
      </w:r>
      <w:r w:rsidRPr="00375799">
        <w:rPr>
          <w:rFonts w:cstheme="minorHAnsi"/>
          <w:color w:val="000000" w:themeColor="text1"/>
          <w:sz w:val="24"/>
          <w:szCs w:val="24"/>
        </w:rPr>
        <w:lastRenderedPageBreak/>
        <w:t>przez sądy. Art. 55 ust. 3 RODO</w:t>
      </w:r>
      <w:r w:rsidRPr="00375799" w:rsidDel="00A377ED">
        <w:rPr>
          <w:rFonts w:cstheme="minorHAnsi"/>
          <w:color w:val="000000" w:themeColor="text1"/>
          <w:sz w:val="24"/>
          <w:szCs w:val="24"/>
        </w:rPr>
        <w:t xml:space="preserve"> </w:t>
      </w:r>
      <w:r w:rsidRPr="00375799">
        <w:rPr>
          <w:rFonts w:cstheme="minorHAnsi"/>
          <w:color w:val="000000" w:themeColor="text1"/>
          <w:sz w:val="24"/>
          <w:szCs w:val="24"/>
        </w:rPr>
        <w:t xml:space="preserve">wprowadza istotny wyłom od ogólnej zasady dotyczącej nadzoru nad przetwarzaniem danych osobowych. Jasno wskazuje się w nim, że organy nadzorcze (centralny organ nadzorczy państwa członkowskiego) nie są właściwe do nadzorowania operacji przetwarzania dokonywanych przez sądy w ramach sprawowania przez nie wymiaru sprawiedliwości. Jednakże motyw 20 tego rozporządzenia dopuszcza możliwość powierzenia nadzoru nad operacjami przetwarzania danych osobowych specjalnym organom w systemie wymiaru sprawiedliwości państwa członkowskiego. Organy te, zgodnie z treścią motywu 20 RODO, powinny w szczególności zapewnić przestrzeganie przepisów ogólnego rozporządzenia, zwiększać wiedzę w wymiarze sprawiedliwości o jego obowiązkach wynikających z tego rozporządzenia oraz rozpatrywać skargi związane z operacjami przetwarzania danych. </w:t>
      </w:r>
    </w:p>
    <w:p w14:paraId="0FC16DFC" w14:textId="23EC39C3"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polskim systemie prawnym przetwarzanie danych osobowych w ramach sprawowania wymiaru sprawiedliwości dokonuje się w toku postępowań prowadzonych przez sądy powszechne, sądy wojskowe, sądy administracyjne (Naczelny Sąd Administracyjny i wojewódzkie sądy administracyjne), Sąd Najwyższy, Trybunał Konstytucyjny oraz Trybunał Stanu. </w:t>
      </w:r>
    </w:p>
    <w:p w14:paraId="0AA5265B"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związku z tym proponuje się, aby szczególny sposób sprawowania nadzoru nad przetwarzaniem danych osobowych dotyczył prowadzonych przez te sądy postępowań sądowych. W pozostałym zakresie działalności sądów – innym niż dotyczący postępowań sądowych – nadzór pozostałby w zakresie właściwości centralnego organu nadzorczego.</w:t>
      </w:r>
    </w:p>
    <w:p w14:paraId="7CBD214F"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Generalna zasada nadzoru oparta jest o system kontroli rozproszonej. Oznacza to, że nie wskazuje się jednego organu, który pełniłby funkcję organu nadzorczego, a jedynie istniejącym podmiotom powierza się pełnienie tej funkcji. </w:t>
      </w:r>
    </w:p>
    <w:p w14:paraId="7EB3D300" w14:textId="77777777" w:rsidR="007871CA" w:rsidRPr="00375799" w:rsidRDefault="007871CA" w:rsidP="000F5261">
      <w:pPr>
        <w:spacing w:after="0"/>
        <w:ind w:right="57"/>
        <w:rPr>
          <w:rFonts w:cstheme="minorHAnsi"/>
          <w:color w:val="000000" w:themeColor="text1"/>
          <w:sz w:val="24"/>
          <w:szCs w:val="24"/>
        </w:rPr>
      </w:pPr>
      <w:r w:rsidRPr="00375799">
        <w:rPr>
          <w:rFonts w:cstheme="minorHAnsi"/>
          <w:color w:val="000000" w:themeColor="text1"/>
          <w:sz w:val="24"/>
          <w:szCs w:val="24"/>
        </w:rPr>
        <w:t xml:space="preserve">Planuje się, aby przetwarzanie danych osobowych przez sądy powszechne dokonywane w ramach prowadzonych postępowań sądowych podlegało nadzorowi: </w:t>
      </w:r>
    </w:p>
    <w:p w14:paraId="53B29837" w14:textId="62237C2A" w:rsidR="007871CA" w:rsidRPr="00375799" w:rsidRDefault="007871CA" w:rsidP="000F5261">
      <w:pPr>
        <w:pStyle w:val="Akapitzlist"/>
        <w:numPr>
          <w:ilvl w:val="0"/>
          <w:numId w:val="10"/>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w zakresie działalności sądu rejonowego – prezesa sądu okręgowego, </w:t>
      </w:r>
    </w:p>
    <w:p w14:paraId="05866182" w14:textId="065F3B97" w:rsidR="007871CA" w:rsidRPr="00375799" w:rsidRDefault="007871CA" w:rsidP="000F5261">
      <w:pPr>
        <w:pStyle w:val="Akapitzlist"/>
        <w:numPr>
          <w:ilvl w:val="0"/>
          <w:numId w:val="10"/>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w zakresie działalności sądu okręgowego – prezesa sądu apelacyjnego, </w:t>
      </w:r>
    </w:p>
    <w:p w14:paraId="0F575E71" w14:textId="0E7DCBA7" w:rsidR="007871CA" w:rsidRPr="00375799" w:rsidRDefault="007871CA" w:rsidP="000F5261">
      <w:pPr>
        <w:pStyle w:val="Akapitzlist"/>
        <w:numPr>
          <w:ilvl w:val="0"/>
          <w:numId w:val="10"/>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w zakresie działalności sądu apelacyjnego – Krajowej Rady Sądownictwa. </w:t>
      </w:r>
    </w:p>
    <w:p w14:paraId="25CEE0F4" w14:textId="3870B1F3" w:rsidR="007871CA" w:rsidRPr="00375799" w:rsidRDefault="007871CA" w:rsidP="000F5261">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Następnie, organem właściwym w zakresie nadzoru nad przetwarzaniem danych osobowych przez wojewódzkie sądy administracyjne będzie Prezes Naczelnego Sądu Administracyjnego, a w zakresie nadzoru nad przetwarzaniem danych osobowych przez Naczelny Sąd Administracyjny – Krajowa Rada Sądownictwa. W końcu, organem właściwym w zakresie nadzoru nad przetwarzaniem danych osobowych przez Sąd Najwyższy, Trybunał Konstytucyjny oraz Trybunał Stanu będzie wyłącznie Krajowa Rada Sądownictwa. Wymaga to także zmiany w ustawie o Krajowej Radzie Sądownictwa wskazującej dodatkową kompetencję Rady. </w:t>
      </w:r>
    </w:p>
    <w:p w14:paraId="0C98CA8F" w14:textId="77777777"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Należy zauważyć, że podmioty będące organami nadzoru nad poszczególnymi sądami chociaż same pozostają w strukturze wymiaru sprawiedliwości, to zachowują samodzielność i niezależność od sądów podlegających nadzorowi. </w:t>
      </w:r>
    </w:p>
    <w:p w14:paraId="5C9F823A" w14:textId="56679563" w:rsidR="007871CA" w:rsidRPr="00375799" w:rsidRDefault="007871C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Przewiduje się, że nadzór polegać będzie na ocenie przestrzegania przepisów RODO. Zakres zadań i uprawnień organów sprawujących nadzór nad przetwarzaniem danych osobowych w postępowaniach prowadzonych przez sądy został określony w oparciu o zadania i uprawnienia organu nadzorczego określone w art. 57 i </w:t>
      </w:r>
      <w:r w:rsidR="00D20C84">
        <w:rPr>
          <w:rFonts w:cstheme="minorHAnsi"/>
          <w:color w:val="000000" w:themeColor="text1"/>
          <w:sz w:val="24"/>
          <w:szCs w:val="24"/>
        </w:rPr>
        <w:t xml:space="preserve">art. </w:t>
      </w:r>
      <w:r w:rsidRPr="00375799">
        <w:rPr>
          <w:rFonts w:cstheme="minorHAnsi"/>
          <w:color w:val="000000" w:themeColor="text1"/>
          <w:sz w:val="24"/>
          <w:szCs w:val="24"/>
        </w:rPr>
        <w:t>58 RODO, przy czym ich wybór został dokonany z uwzględnieniem specyfiki wymiaru sprawiedliwości oraz konieczności zachowania zasad jego niezależności i niezawisłości. Wzgląd na ową specyfikę – przy uwzględnieniu możliwości wprowadzenia przez państwo członkowskie regulacji doprecyzowujących w zakresie przetwarzania danych osobowych przez sądy i inne organy wymiaru sprawiedliwości, tak aby chronić niezależność sprawowania wymiaru sprawiedliwości – pozwolił na dostosowanie katalogu uprawnień organu sprawującego nadzór nad przetwarzaniem danych osobowych do charakteru tego organu.</w:t>
      </w:r>
    </w:p>
    <w:p w14:paraId="5E90D486" w14:textId="5EDAD632" w:rsidR="007871CA" w:rsidRPr="00375799" w:rsidRDefault="007871CA" w:rsidP="0055107B">
      <w:pPr>
        <w:spacing w:after="0" w:line="276" w:lineRule="auto"/>
        <w:ind w:left="57" w:right="57"/>
        <w:contextualSpacing/>
        <w:jc w:val="both"/>
        <w:rPr>
          <w:rFonts w:eastAsiaTheme="majorEastAsia" w:cstheme="minorHAnsi"/>
          <w:color w:val="000000" w:themeColor="text1"/>
          <w:sz w:val="24"/>
          <w:szCs w:val="24"/>
        </w:rPr>
      </w:pPr>
      <w:r w:rsidRPr="00375799">
        <w:rPr>
          <w:rFonts w:cstheme="minorHAnsi"/>
          <w:color w:val="000000" w:themeColor="text1"/>
          <w:sz w:val="24"/>
          <w:szCs w:val="24"/>
        </w:rPr>
        <w:t xml:space="preserve">Zgodnie z art. 55 ust. 1 w związku z motywem 20 </w:t>
      </w:r>
      <w:r w:rsidR="007B7709">
        <w:rPr>
          <w:rFonts w:cstheme="minorHAnsi"/>
          <w:color w:val="000000" w:themeColor="text1"/>
          <w:sz w:val="24"/>
          <w:szCs w:val="24"/>
        </w:rPr>
        <w:t xml:space="preserve">RODO </w:t>
      </w:r>
      <w:r w:rsidRPr="00375799">
        <w:rPr>
          <w:rFonts w:cstheme="minorHAnsi"/>
          <w:color w:val="000000" w:themeColor="text1"/>
          <w:sz w:val="24"/>
          <w:szCs w:val="24"/>
        </w:rPr>
        <w:t>szczególny tryb nadzoru proponowany w odniesieniu do wymiaru sprawiedliwości dotyczy jedynie przetwarzania tych danych osobowych, dla których administratorami są sądy zgodnie z art. 175da i art. 175db u.s.p., a zatem przetwarzanych przez sądy w ramach sprawowania wymiaru sprawiedliwości. Przetwarzanie danych osobowych w pozostałym zakresie – a zatem np. w zakresie dotyczącym kwestii kadrowych czy finansowych – będzie podlegać nadzorowi organu ogólnego, tj. Prezesa Urzędu Ochrony Danych Osobowych, w trybie przepisów rozporządzenia. Wskazać przy tym należy, że nowelizowany art. 175a ustawy – Prawo o ustroju sądów powszechnych uzupełniono o wskazanie także innych niż Minister Sprawiedliwości organów, którym w zakresie realizowanych zadań przysługuje status administratora (współadministratora) danych osobowych.</w:t>
      </w:r>
    </w:p>
    <w:p w14:paraId="0FE8A4E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6B0A5634" w14:textId="575E905D"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61" w:name="_Toc530565033"/>
      <w:r w:rsidRPr="00375799">
        <w:rPr>
          <w:rFonts w:asciiTheme="minorHAnsi" w:hAnsiTheme="minorHAnsi" w:cstheme="minorHAnsi"/>
          <w:color w:val="000000" w:themeColor="text1"/>
          <w:sz w:val="24"/>
          <w:szCs w:val="24"/>
        </w:rPr>
        <w:t xml:space="preserve">Ustawa z dnia 27 lipca 2001 r. o kuratorach sądowych </w:t>
      </w:r>
      <w:r w:rsidR="00532795" w:rsidRPr="00375799">
        <w:rPr>
          <w:rFonts w:asciiTheme="minorHAnsi" w:hAnsiTheme="minorHAnsi" w:cstheme="minorHAnsi"/>
          <w:color w:val="000000" w:themeColor="text1"/>
          <w:sz w:val="24"/>
          <w:szCs w:val="24"/>
        </w:rPr>
        <w:t>(Dz. U. z 2018 r. poz. 1014)</w:t>
      </w:r>
      <w:bookmarkEnd w:id="61"/>
    </w:p>
    <w:p w14:paraId="0699FC82"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5C78C531" w14:textId="2F4A5CB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uwagi na to, że zawarte w art. 2 ust. 2 lit. d </w:t>
      </w:r>
      <w:r w:rsidR="007871CA" w:rsidRPr="00375799">
        <w:rPr>
          <w:rFonts w:cstheme="minorHAnsi"/>
          <w:color w:val="000000" w:themeColor="text1"/>
          <w:sz w:val="24"/>
          <w:szCs w:val="24"/>
        </w:rPr>
        <w:t>RODO</w:t>
      </w:r>
      <w:r w:rsidRPr="00375799">
        <w:rPr>
          <w:rFonts w:cstheme="minorHAnsi"/>
          <w:color w:val="000000" w:themeColor="text1"/>
          <w:sz w:val="24"/>
          <w:szCs w:val="24"/>
        </w:rPr>
        <w:t xml:space="preserve"> wyłączenie jego stosowania do przetwarzania danych osobowych przez właściwe organy do celów zapobiegania przestępczości, prowadzenia postępowań przygotowawczych, wykrywania i ścigania czynów zabronionych lub wykonywania kar, w tym ochrony przed zagrożeniami dla bezpieczeństwa publicznego i zapobiegania takim zagrożeniom, które uregulowano </w:t>
      </w:r>
      <w:r w:rsidR="007B7709">
        <w:rPr>
          <w:rFonts w:cstheme="minorHAnsi"/>
          <w:color w:val="000000" w:themeColor="text1"/>
          <w:sz w:val="24"/>
          <w:szCs w:val="24"/>
        </w:rPr>
        <w:t>d</w:t>
      </w:r>
      <w:r w:rsidRPr="00375799">
        <w:rPr>
          <w:rFonts w:cstheme="minorHAnsi"/>
          <w:color w:val="000000" w:themeColor="text1"/>
          <w:sz w:val="24"/>
          <w:szCs w:val="24"/>
        </w:rPr>
        <w:t>yrektywą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uchylającą decyzję ramową Rady 2008/977/WSiSW, nie obejmuje swym zakresem części zadań i czynności wykonywanych przez kuratorów sądowych, w szczególności dotyczy to kuratorów rodzinnych, konieczna jest zmiana ustawy z dnia 27 lipca 2001 r. o kuratorach sądowych (Dz. U. z 2018 r. poz. 1014-j.t.).</w:t>
      </w:r>
    </w:p>
    <w:p w14:paraId="2031CAF6" w14:textId="52D4CE3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Kuratorska służba sądowa funkcjonalnie i organizacyjnie usytuowana jest w sądach powszechnych. Zgodnie z treścią przepisu art. 147 § 2 </w:t>
      </w:r>
      <w:r w:rsidRPr="003654A8">
        <w:rPr>
          <w:rFonts w:cstheme="minorHAnsi"/>
          <w:i/>
          <w:color w:val="000000" w:themeColor="text1"/>
          <w:sz w:val="24"/>
          <w:szCs w:val="24"/>
        </w:rPr>
        <w:t>in principio</w:t>
      </w:r>
      <w:r w:rsidRPr="00375799">
        <w:rPr>
          <w:rFonts w:cstheme="minorHAnsi"/>
          <w:color w:val="000000" w:themeColor="text1"/>
          <w:sz w:val="24"/>
          <w:szCs w:val="24"/>
        </w:rPr>
        <w:t xml:space="preserve"> ustawy – Prawo o ustroju </w:t>
      </w:r>
      <w:r w:rsidRPr="00375799">
        <w:rPr>
          <w:rFonts w:cstheme="minorHAnsi"/>
          <w:color w:val="000000" w:themeColor="text1"/>
          <w:sz w:val="24"/>
          <w:szCs w:val="24"/>
        </w:rPr>
        <w:lastRenderedPageBreak/>
        <w:t xml:space="preserve">sądów powszechnych kuratorzy sądowi działają w sądach (kuratorzy rodzinni i kuratorzy dla dorosłych), stanowiąc służbę kuratorską. Zakres czynności został zaś wskazany </w:t>
      </w:r>
      <w:r w:rsidRPr="003654A8">
        <w:rPr>
          <w:rFonts w:cstheme="minorHAnsi"/>
          <w:i/>
          <w:color w:val="000000" w:themeColor="text1"/>
          <w:sz w:val="24"/>
          <w:szCs w:val="24"/>
        </w:rPr>
        <w:t>in fine</w:t>
      </w:r>
      <w:r w:rsidRPr="00375799">
        <w:rPr>
          <w:rFonts w:cstheme="minorHAnsi"/>
          <w:color w:val="000000" w:themeColor="text1"/>
          <w:sz w:val="24"/>
          <w:szCs w:val="24"/>
        </w:rPr>
        <w:t xml:space="preserve"> cyt. przepisu określając, że kuratorzy sądowi wykonują czynności o charakterze wychowawczo</w:t>
      </w:r>
      <w:r w:rsidR="00D20C84">
        <w:rPr>
          <w:rFonts w:cstheme="minorHAnsi"/>
          <w:color w:val="000000" w:themeColor="text1"/>
          <w:sz w:val="24"/>
          <w:szCs w:val="24"/>
        </w:rPr>
        <w:noBreakHyphen/>
      </w:r>
      <w:r w:rsidRPr="00375799">
        <w:rPr>
          <w:rFonts w:cstheme="minorHAnsi"/>
          <w:color w:val="000000" w:themeColor="text1"/>
          <w:sz w:val="24"/>
          <w:szCs w:val="24"/>
        </w:rPr>
        <w:t xml:space="preserve">resocjalizacyjnym i profilaktycznym oraz inne czynności określone w przepisach szczególnych. Jak wynika z treści tego przepisu, ma on charakter ogólny, stanowi jedynie częściowe powtórzenie art. 1 ust. 1 ustawy o kuratorach sądowych, odsyłając jednocześnie do przepisów szczególnych. </w:t>
      </w:r>
    </w:p>
    <w:p w14:paraId="3143F0E5" w14:textId="48F83B7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Ażeby w pełni odkodować zakres czynności wykonywanych przez kuratorów sądowych (zawodowych i społecznych), należy posiłkować się zarówno ustawą o kuratorach sądowych, jak i wskazaniem pełnego zakresu czynności, w szczególności tych, które nie mieszczą się w zakresie wyłączenia opisanego w art. 2 ust. 2 lit. d </w:t>
      </w:r>
      <w:r w:rsidR="007B7709">
        <w:rPr>
          <w:rFonts w:cstheme="minorHAnsi"/>
          <w:color w:val="000000" w:themeColor="text1"/>
          <w:sz w:val="24"/>
          <w:szCs w:val="24"/>
        </w:rPr>
        <w:t>RODO</w:t>
      </w:r>
      <w:r w:rsidRPr="00375799">
        <w:rPr>
          <w:rFonts w:cstheme="minorHAnsi"/>
          <w:color w:val="000000" w:themeColor="text1"/>
          <w:sz w:val="24"/>
          <w:szCs w:val="24"/>
        </w:rPr>
        <w:t xml:space="preserve">. </w:t>
      </w:r>
    </w:p>
    <w:p w14:paraId="167D5D82" w14:textId="1FEA49E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Kuratorzy sądowi pełnią swoje czynności zawodowo (kuratorzy zawodowi) albo społecznie (kuratorzy społeczni), a zasady organizacji służby i wykonywania obowiązków przez kuratorów sądowych oraz status kuratorów sądowych określa odrębna ustawa (</w:t>
      </w:r>
      <w:r w:rsidR="00D20C84">
        <w:rPr>
          <w:rFonts w:cstheme="minorHAnsi"/>
          <w:color w:val="000000" w:themeColor="text1"/>
          <w:sz w:val="24"/>
          <w:szCs w:val="24"/>
        </w:rPr>
        <w:t xml:space="preserve">art. </w:t>
      </w:r>
      <w:r w:rsidRPr="00375799">
        <w:rPr>
          <w:rFonts w:cstheme="minorHAnsi"/>
          <w:color w:val="000000" w:themeColor="text1"/>
          <w:sz w:val="24"/>
          <w:szCs w:val="24"/>
        </w:rPr>
        <w:t>154 §</w:t>
      </w:r>
      <w:r w:rsidR="007B7709">
        <w:rPr>
          <w:rFonts w:cstheme="minorHAnsi"/>
          <w:color w:val="000000" w:themeColor="text1"/>
          <w:sz w:val="24"/>
          <w:szCs w:val="24"/>
        </w:rPr>
        <w:t xml:space="preserve"> </w:t>
      </w:r>
      <w:r w:rsidRPr="00375799">
        <w:rPr>
          <w:rFonts w:cstheme="minorHAnsi"/>
          <w:color w:val="000000" w:themeColor="text1"/>
          <w:sz w:val="24"/>
          <w:szCs w:val="24"/>
        </w:rPr>
        <w:t xml:space="preserve">1 i 2 ustawy – Prawo o ustroju sądów powszechnych). </w:t>
      </w:r>
    </w:p>
    <w:p w14:paraId="6278EF4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Mając na uwadze powyższe, w ustawie o kuratorach sądowych proponuje się dodanie art. 9a, art. 9b, a także określenie na nowo treści przepisu art. 87 ust. 3.</w:t>
      </w:r>
    </w:p>
    <w:p w14:paraId="0A2C9974" w14:textId="059B965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projektowanym art. 9a ust. 1 </w:t>
      </w:r>
      <w:r w:rsidR="007B7709">
        <w:rPr>
          <w:rFonts w:cstheme="minorHAnsi"/>
          <w:color w:val="000000" w:themeColor="text1"/>
          <w:sz w:val="24"/>
          <w:szCs w:val="24"/>
        </w:rPr>
        <w:t xml:space="preserve">ustawy o kuratorach sądowych </w:t>
      </w:r>
      <w:r w:rsidRPr="00375799">
        <w:rPr>
          <w:rFonts w:cstheme="minorHAnsi"/>
          <w:color w:val="000000" w:themeColor="text1"/>
          <w:sz w:val="24"/>
          <w:szCs w:val="24"/>
        </w:rPr>
        <w:t>kurator zawodowy, kierownik zespołu kuratorskiej służby sądowej, kurator okręgowy zostanie upoważniony do przetwarzania danych osób, których dotyczy postępowanie (art.</w:t>
      </w:r>
      <w:r w:rsidR="006E5635">
        <w:rPr>
          <w:rFonts w:cstheme="minorHAnsi"/>
          <w:color w:val="000000" w:themeColor="text1"/>
          <w:sz w:val="24"/>
          <w:szCs w:val="24"/>
        </w:rPr>
        <w:t xml:space="preserve"> </w:t>
      </w:r>
      <w:r w:rsidRPr="00375799">
        <w:rPr>
          <w:rFonts w:cstheme="minorHAnsi"/>
          <w:color w:val="000000" w:themeColor="text1"/>
          <w:sz w:val="24"/>
          <w:szCs w:val="24"/>
        </w:rPr>
        <w:t>9a ust.</w:t>
      </w:r>
      <w:r w:rsidR="00D20C84">
        <w:rPr>
          <w:rFonts w:cstheme="minorHAnsi"/>
          <w:color w:val="000000" w:themeColor="text1"/>
          <w:sz w:val="24"/>
          <w:szCs w:val="24"/>
        </w:rPr>
        <w:t xml:space="preserve"> </w:t>
      </w:r>
      <w:r w:rsidRPr="00375799">
        <w:rPr>
          <w:rFonts w:cstheme="minorHAnsi"/>
          <w:color w:val="000000" w:themeColor="text1"/>
          <w:sz w:val="24"/>
          <w:szCs w:val="24"/>
        </w:rPr>
        <w:t>1) w zakresie imienia i nazwiska, daty urodzenia, pochodzenia rodowego, numerów identyfikacyjnych, czynników określających fizyczną, fizjologiczną, psychiczną, ekonomiczną, kulturową lub społeczną tożsamość, a w szczególności dotycząc</w:t>
      </w:r>
      <w:r w:rsidR="006E5635">
        <w:rPr>
          <w:rFonts w:cstheme="minorHAnsi"/>
          <w:color w:val="000000" w:themeColor="text1"/>
          <w:sz w:val="24"/>
          <w:szCs w:val="24"/>
        </w:rPr>
        <w:t>ych</w:t>
      </w:r>
      <w:r w:rsidRPr="00375799">
        <w:rPr>
          <w:rFonts w:cstheme="minorHAnsi"/>
          <w:color w:val="000000" w:themeColor="text1"/>
          <w:sz w:val="24"/>
          <w:szCs w:val="24"/>
        </w:rPr>
        <w:t xml:space="preserve"> osobistej postawy, zachowania, zainteresowań, zdrowia i usług opieki zdrowotnej, majątku, sytuacji materialnej i bytowej, zatrudnienia, wykształcenia, edukacji, nauki, oddziaływań wychowawczych, życia </w:t>
      </w:r>
      <w:r w:rsidR="00A945A4" w:rsidRPr="00375799">
        <w:rPr>
          <w:rFonts w:cstheme="minorHAnsi"/>
          <w:color w:val="000000" w:themeColor="text1"/>
          <w:sz w:val="24"/>
          <w:szCs w:val="24"/>
        </w:rPr>
        <w:t xml:space="preserve">rodzinnego, funkcjonowania </w:t>
      </w:r>
      <w:r w:rsidRPr="00375799">
        <w:rPr>
          <w:rFonts w:cstheme="minorHAnsi"/>
          <w:color w:val="000000" w:themeColor="text1"/>
          <w:sz w:val="24"/>
          <w:szCs w:val="24"/>
        </w:rPr>
        <w:t>w środowisku, sposobu spędzania czasu wolnego, uzależnień, dysfunkcji, lokalizacji oraz dan</w:t>
      </w:r>
      <w:r w:rsidR="006E5635">
        <w:rPr>
          <w:rFonts w:cstheme="minorHAnsi"/>
          <w:color w:val="000000" w:themeColor="text1"/>
          <w:sz w:val="24"/>
          <w:szCs w:val="24"/>
        </w:rPr>
        <w:t>ych</w:t>
      </w:r>
      <w:r w:rsidRPr="00375799">
        <w:rPr>
          <w:rFonts w:cstheme="minorHAnsi"/>
          <w:color w:val="000000" w:themeColor="text1"/>
          <w:sz w:val="24"/>
          <w:szCs w:val="24"/>
        </w:rPr>
        <w:t xml:space="preserve"> adresow</w:t>
      </w:r>
      <w:r w:rsidR="006E5635">
        <w:rPr>
          <w:rFonts w:cstheme="minorHAnsi"/>
          <w:color w:val="000000" w:themeColor="text1"/>
          <w:sz w:val="24"/>
          <w:szCs w:val="24"/>
        </w:rPr>
        <w:t>ych</w:t>
      </w:r>
      <w:r w:rsidRPr="00375799">
        <w:rPr>
          <w:rFonts w:cstheme="minorHAnsi"/>
          <w:color w:val="000000" w:themeColor="text1"/>
          <w:sz w:val="24"/>
          <w:szCs w:val="24"/>
        </w:rPr>
        <w:t>, kontaktow</w:t>
      </w:r>
      <w:r w:rsidR="006E5635">
        <w:rPr>
          <w:rFonts w:cstheme="minorHAnsi"/>
          <w:color w:val="000000" w:themeColor="text1"/>
          <w:sz w:val="24"/>
          <w:szCs w:val="24"/>
        </w:rPr>
        <w:t>ych</w:t>
      </w:r>
      <w:r w:rsidRPr="00375799">
        <w:rPr>
          <w:rFonts w:cstheme="minorHAnsi"/>
          <w:color w:val="000000" w:themeColor="text1"/>
          <w:sz w:val="24"/>
          <w:szCs w:val="24"/>
        </w:rPr>
        <w:t xml:space="preserve">, biometrycznych cech fizycznych (np. zdjęcia czy wizerunku), dotyczące przestrzegania porządku prawnego, zarzutów i okoliczności naruszeń prawa, wykonania obowiązków, prowadzonych postępowań sądowych i administracyjnych, skazań, ukarania i rozstrzygnięć w postępowaniu sądowym lub administracyjnym </w:t>
      </w:r>
      <w:r w:rsidR="006E5635">
        <w:rPr>
          <w:rFonts w:cstheme="minorHAnsi"/>
          <w:color w:val="000000" w:themeColor="text1"/>
          <w:sz w:val="24"/>
          <w:szCs w:val="24"/>
        </w:rPr>
        <w:t xml:space="preserve">– </w:t>
      </w:r>
      <w:r w:rsidRPr="00375799">
        <w:rPr>
          <w:rFonts w:cstheme="minorHAnsi"/>
          <w:color w:val="000000" w:themeColor="text1"/>
          <w:sz w:val="24"/>
          <w:szCs w:val="24"/>
        </w:rPr>
        <w:t xml:space="preserve">wyłącznie w zakresie niezbędnym do wykonywania swoich ustawowych zadań. </w:t>
      </w:r>
    </w:p>
    <w:p w14:paraId="6C079B67" w14:textId="617CAE1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odniesieniu do innych osób pozostających we wspólnym gospodarstwie domowym z osobami objętymi postępowaniem zgodnie z proponowanym art. 9a ust.</w:t>
      </w:r>
      <w:r w:rsidR="00D20C84">
        <w:rPr>
          <w:rFonts w:cstheme="minorHAnsi"/>
          <w:color w:val="000000" w:themeColor="text1"/>
          <w:sz w:val="24"/>
          <w:szCs w:val="24"/>
        </w:rPr>
        <w:t xml:space="preserve"> </w:t>
      </w:r>
      <w:r w:rsidRPr="00375799">
        <w:rPr>
          <w:rFonts w:cstheme="minorHAnsi"/>
          <w:color w:val="000000" w:themeColor="text1"/>
          <w:sz w:val="24"/>
          <w:szCs w:val="24"/>
        </w:rPr>
        <w:t xml:space="preserve">2 </w:t>
      </w:r>
      <w:r w:rsidR="00EC7464">
        <w:rPr>
          <w:rFonts w:cstheme="minorHAnsi"/>
          <w:color w:val="000000" w:themeColor="text1"/>
          <w:sz w:val="24"/>
          <w:szCs w:val="24"/>
        </w:rPr>
        <w:t>ustawy o</w:t>
      </w:r>
      <w:r w:rsidR="006E5635">
        <w:rPr>
          <w:rFonts w:cstheme="minorHAnsi"/>
          <w:color w:val="000000" w:themeColor="text1"/>
          <w:sz w:val="24"/>
          <w:szCs w:val="24"/>
        </w:rPr>
        <w:t xml:space="preserve"> </w:t>
      </w:r>
      <w:r w:rsidRPr="00375799">
        <w:rPr>
          <w:rFonts w:cstheme="minorHAnsi"/>
          <w:color w:val="000000" w:themeColor="text1"/>
          <w:sz w:val="24"/>
          <w:szCs w:val="24"/>
        </w:rPr>
        <w:t>kurator</w:t>
      </w:r>
      <w:r w:rsidR="00EC7464">
        <w:rPr>
          <w:rFonts w:cstheme="minorHAnsi"/>
          <w:color w:val="000000" w:themeColor="text1"/>
          <w:sz w:val="24"/>
          <w:szCs w:val="24"/>
        </w:rPr>
        <w:t>ach sądowych</w:t>
      </w:r>
      <w:r w:rsidRPr="00375799">
        <w:rPr>
          <w:rFonts w:cstheme="minorHAnsi"/>
          <w:color w:val="000000" w:themeColor="text1"/>
          <w:sz w:val="24"/>
          <w:szCs w:val="24"/>
        </w:rPr>
        <w:t xml:space="preserve"> </w:t>
      </w:r>
      <w:r w:rsidR="00EC7464">
        <w:rPr>
          <w:rFonts w:cstheme="minorHAnsi"/>
          <w:color w:val="000000" w:themeColor="text1"/>
          <w:sz w:val="24"/>
          <w:szCs w:val="24"/>
        </w:rPr>
        <w:t xml:space="preserve">kurator </w:t>
      </w:r>
      <w:r w:rsidRPr="00375799">
        <w:rPr>
          <w:rFonts w:cstheme="minorHAnsi"/>
          <w:color w:val="000000" w:themeColor="text1"/>
          <w:sz w:val="24"/>
          <w:szCs w:val="24"/>
        </w:rPr>
        <w:t xml:space="preserve">zawodowy, kierownik zespołu kuratorskiej służby sądowej, kurator okręgowy zostaną upoważnieni do przetwarzania bez zgody danych tych osób dotyczących: imienia i nazwiska, daty urodzenia, pochodzenia rodowego, numerów identyfikacyjnych, osobistej postawy, zachowania, zdrowia, majątku, sytuacji materialnej i bytowej, zatrudnienia, wykształcenia, oddziaływań wychowawczych, życia rodzinnego, funkcjonowania w środowisku, uzależnień, dysfunkcji, </w:t>
      </w:r>
      <w:r w:rsidR="006E5635">
        <w:rPr>
          <w:rFonts w:cstheme="minorHAnsi"/>
          <w:color w:val="000000" w:themeColor="text1"/>
          <w:sz w:val="24"/>
          <w:szCs w:val="24"/>
        </w:rPr>
        <w:t>informacji</w:t>
      </w:r>
      <w:r w:rsidRPr="00375799">
        <w:rPr>
          <w:rFonts w:cstheme="minorHAnsi"/>
          <w:color w:val="000000" w:themeColor="text1"/>
          <w:sz w:val="24"/>
          <w:szCs w:val="24"/>
        </w:rPr>
        <w:t xml:space="preserve"> adresowych i kontaktowych, przestrzegania porządku prawnego, </w:t>
      </w:r>
      <w:r w:rsidRPr="00375799">
        <w:rPr>
          <w:rFonts w:cstheme="minorHAnsi"/>
          <w:color w:val="000000" w:themeColor="text1"/>
          <w:sz w:val="24"/>
          <w:szCs w:val="24"/>
        </w:rPr>
        <w:lastRenderedPageBreak/>
        <w:t>zarzutów i okoliczności naruszeń prawa, prowadzonych postępowań sądowych i administracyjnych, skazań, ukarania i rozstrzygnięć w postępowaniu sądowym lub administracyjnym</w:t>
      </w:r>
      <w:r w:rsidR="006E5635">
        <w:rPr>
          <w:rFonts w:cstheme="minorHAnsi"/>
          <w:color w:val="000000" w:themeColor="text1"/>
          <w:sz w:val="24"/>
          <w:szCs w:val="24"/>
        </w:rPr>
        <w:t xml:space="preserve"> – </w:t>
      </w:r>
      <w:r w:rsidRPr="00375799">
        <w:rPr>
          <w:rFonts w:cstheme="minorHAnsi"/>
          <w:color w:val="000000" w:themeColor="text1"/>
          <w:sz w:val="24"/>
          <w:szCs w:val="24"/>
        </w:rPr>
        <w:t xml:space="preserve">wyłącznie w zakresie niezbędnym do wykonywania swoich ustawowych zadań. </w:t>
      </w:r>
    </w:p>
    <w:p w14:paraId="7AE1BB52" w14:textId="46B005A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Na podkreślenie zasługuje fakt, iż osoby lub rodziny, których członkowie są uczestnikami postępowań sądowych</w:t>
      </w:r>
      <w:r w:rsidR="00E25B8B">
        <w:rPr>
          <w:rFonts w:cstheme="minorHAnsi"/>
          <w:color w:val="000000" w:themeColor="text1"/>
          <w:sz w:val="24"/>
          <w:szCs w:val="24"/>
        </w:rPr>
        <w:t>,</w:t>
      </w:r>
      <w:r w:rsidRPr="00375799">
        <w:rPr>
          <w:rFonts w:cstheme="minorHAnsi"/>
          <w:color w:val="000000" w:themeColor="text1"/>
          <w:sz w:val="24"/>
          <w:szCs w:val="24"/>
        </w:rPr>
        <w:t xml:space="preserve"> w znacznej mierze są rodzinami dysfunkcyjnymi. Zatem istniejące w nich związki niejednokrotnie mają charakter nieformalny. Bez uwzględnienia przedstawionej propozycji, niemożliwym będzie np. w sprawozdaniu z wywiadu czy też w sprawozdaniu z objęcia dozoru/nadzoru podanie informacji o konkubencie matki dziecka, którego nie jest on ojcem. Uwzględnienie propozycji zawartej w art. 9a ust.</w:t>
      </w:r>
      <w:r w:rsidR="00E25B8B">
        <w:rPr>
          <w:rFonts w:cstheme="minorHAnsi"/>
          <w:color w:val="000000" w:themeColor="text1"/>
          <w:sz w:val="24"/>
          <w:szCs w:val="24"/>
        </w:rPr>
        <w:t xml:space="preserve"> </w:t>
      </w:r>
      <w:r w:rsidRPr="00375799">
        <w:rPr>
          <w:rFonts w:cstheme="minorHAnsi"/>
          <w:color w:val="000000" w:themeColor="text1"/>
          <w:sz w:val="24"/>
          <w:szCs w:val="24"/>
        </w:rPr>
        <w:t>1 i ust.</w:t>
      </w:r>
      <w:r w:rsidR="00E25B8B">
        <w:rPr>
          <w:rFonts w:cstheme="minorHAnsi"/>
          <w:color w:val="000000" w:themeColor="text1"/>
          <w:sz w:val="24"/>
          <w:szCs w:val="24"/>
        </w:rPr>
        <w:t xml:space="preserve"> </w:t>
      </w:r>
      <w:r w:rsidRPr="00375799">
        <w:rPr>
          <w:rFonts w:cstheme="minorHAnsi"/>
          <w:color w:val="000000" w:themeColor="text1"/>
          <w:sz w:val="24"/>
          <w:szCs w:val="24"/>
        </w:rPr>
        <w:t>2</w:t>
      </w:r>
      <w:r w:rsidR="00391FAA">
        <w:rPr>
          <w:rFonts w:cstheme="minorHAnsi"/>
          <w:color w:val="000000" w:themeColor="text1"/>
          <w:sz w:val="24"/>
          <w:szCs w:val="24"/>
        </w:rPr>
        <w:t xml:space="preserve"> ustawy o kuratorach sądowych</w:t>
      </w:r>
      <w:r w:rsidRPr="00375799">
        <w:rPr>
          <w:rFonts w:cstheme="minorHAnsi"/>
          <w:color w:val="000000" w:themeColor="text1"/>
          <w:sz w:val="24"/>
          <w:szCs w:val="24"/>
        </w:rPr>
        <w:t xml:space="preserve"> stworzy kuratorom sądowym realną możliwość wykonywania przez nich powierzonych im zadań, zwłaszcza diagnostycznych, realizowanych dla potrzeb postępowania sądowego.</w:t>
      </w:r>
    </w:p>
    <w:p w14:paraId="40DC3133" w14:textId="269A83F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Art. 9a ust. 3 oraz ust.</w:t>
      </w:r>
      <w:r w:rsidR="00E25B8B">
        <w:rPr>
          <w:rFonts w:cstheme="minorHAnsi"/>
          <w:color w:val="000000" w:themeColor="text1"/>
          <w:sz w:val="24"/>
          <w:szCs w:val="24"/>
        </w:rPr>
        <w:t xml:space="preserve"> </w:t>
      </w:r>
      <w:r w:rsidRPr="00375799">
        <w:rPr>
          <w:rFonts w:cstheme="minorHAnsi"/>
          <w:color w:val="000000" w:themeColor="text1"/>
          <w:sz w:val="24"/>
          <w:szCs w:val="24"/>
        </w:rPr>
        <w:t>4, jako odzwierciedlenie uprawnienia określonego dla kuratora sądowego w art. 9a ust.</w:t>
      </w:r>
      <w:r w:rsidR="00E25B8B">
        <w:rPr>
          <w:rFonts w:cstheme="minorHAnsi"/>
          <w:color w:val="000000" w:themeColor="text1"/>
          <w:sz w:val="24"/>
          <w:szCs w:val="24"/>
        </w:rPr>
        <w:t xml:space="preserve"> </w:t>
      </w:r>
      <w:r w:rsidRPr="00375799">
        <w:rPr>
          <w:rFonts w:cstheme="minorHAnsi"/>
          <w:color w:val="000000" w:themeColor="text1"/>
          <w:sz w:val="24"/>
          <w:szCs w:val="24"/>
        </w:rPr>
        <w:t>1 i ust. 2, nakłada na administratorów danych osobowych osób pozostających w oddziaływaniu kuratorskiej służby sądowej powinność udostępniania stosownych danych na potrzeby zadań tej służby.</w:t>
      </w:r>
    </w:p>
    <w:p w14:paraId="5A584778" w14:textId="7722E5D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Przetwarzanie danych wrażliwych osób objętych sądowym postępowaniem wykonawczym lub</w:t>
      </w:r>
      <w:r w:rsidR="00E25B8B">
        <w:rPr>
          <w:rFonts w:cstheme="minorHAnsi"/>
          <w:color w:val="000000" w:themeColor="text1"/>
          <w:sz w:val="24"/>
          <w:szCs w:val="24"/>
        </w:rPr>
        <w:t>,</w:t>
      </w:r>
      <w:r w:rsidRPr="00375799">
        <w:rPr>
          <w:rFonts w:cstheme="minorHAnsi"/>
          <w:color w:val="000000" w:themeColor="text1"/>
          <w:sz w:val="24"/>
          <w:szCs w:val="24"/>
        </w:rPr>
        <w:t xml:space="preserve"> wobec których wykonywane są sądowe czynności diagnostyczne w postaci wywiadu środowiskowego</w:t>
      </w:r>
      <w:r w:rsidR="00E25B8B">
        <w:rPr>
          <w:rFonts w:cstheme="minorHAnsi"/>
          <w:color w:val="000000" w:themeColor="text1"/>
          <w:sz w:val="24"/>
          <w:szCs w:val="24"/>
        </w:rPr>
        <w:t>,</w:t>
      </w:r>
      <w:r w:rsidRPr="00375799">
        <w:rPr>
          <w:rFonts w:cstheme="minorHAnsi"/>
          <w:color w:val="000000" w:themeColor="text1"/>
          <w:sz w:val="24"/>
          <w:szCs w:val="24"/>
        </w:rPr>
        <w:t xml:space="preserve"> należy do samej istoty pracy kuratora sądowego. Wykonywanie podstawowych zadań w postaci nadzorów i dozorów kuratorskich oparte jest na diagnozie warunków i właściwości osobistych podopiecznych oraz ich rodzin, a także działaniach, które polegają na ciągłym lub okresowym przetwarzaniu danych sensytywnych oraz pozostałych wymienionych w art.</w:t>
      </w:r>
      <w:r w:rsidR="00E25B8B">
        <w:rPr>
          <w:rFonts w:cstheme="minorHAnsi"/>
          <w:color w:val="000000" w:themeColor="text1"/>
          <w:sz w:val="24"/>
          <w:szCs w:val="24"/>
        </w:rPr>
        <w:t xml:space="preserve"> </w:t>
      </w:r>
      <w:r w:rsidRPr="00375799">
        <w:rPr>
          <w:rFonts w:cstheme="minorHAnsi"/>
          <w:color w:val="000000" w:themeColor="text1"/>
          <w:sz w:val="24"/>
          <w:szCs w:val="24"/>
        </w:rPr>
        <w:t>9a ust.</w:t>
      </w:r>
      <w:r w:rsidR="00E25B8B">
        <w:rPr>
          <w:rFonts w:cstheme="minorHAnsi"/>
          <w:color w:val="000000" w:themeColor="text1"/>
          <w:sz w:val="24"/>
          <w:szCs w:val="24"/>
        </w:rPr>
        <w:t xml:space="preserve"> </w:t>
      </w:r>
      <w:r w:rsidRPr="00375799">
        <w:rPr>
          <w:rFonts w:cstheme="minorHAnsi"/>
          <w:color w:val="000000" w:themeColor="text1"/>
          <w:sz w:val="24"/>
          <w:szCs w:val="24"/>
        </w:rPr>
        <w:t>1 i ust.</w:t>
      </w:r>
      <w:r w:rsidR="00E25B8B">
        <w:rPr>
          <w:rFonts w:cstheme="minorHAnsi"/>
          <w:color w:val="000000" w:themeColor="text1"/>
          <w:sz w:val="24"/>
          <w:szCs w:val="24"/>
        </w:rPr>
        <w:t xml:space="preserve"> </w:t>
      </w:r>
      <w:r w:rsidRPr="00375799">
        <w:rPr>
          <w:rFonts w:cstheme="minorHAnsi"/>
          <w:color w:val="000000" w:themeColor="text1"/>
          <w:sz w:val="24"/>
          <w:szCs w:val="24"/>
        </w:rPr>
        <w:t>2</w:t>
      </w:r>
      <w:r w:rsidR="00D06A64">
        <w:rPr>
          <w:rFonts w:cstheme="minorHAnsi"/>
          <w:color w:val="000000" w:themeColor="text1"/>
          <w:sz w:val="24"/>
          <w:szCs w:val="24"/>
        </w:rPr>
        <w:t xml:space="preserve"> ustawy.</w:t>
      </w:r>
      <w:r w:rsidRPr="00375799">
        <w:rPr>
          <w:rFonts w:cstheme="minorHAnsi"/>
          <w:color w:val="000000" w:themeColor="text1"/>
          <w:sz w:val="24"/>
          <w:szCs w:val="24"/>
        </w:rPr>
        <w:t xml:space="preserve"> Zakres przetwarzania tych danych wynika z obowiązujących regulacji prawnych stosowanych przez sądy w zakresie postępowań karnych, rodzinnych i nieletnich oraz postępowania cywilnego, w których kurator realizuje swoje zadania. Dotyczą one, w zależności od rodzaju postępowania, w szczególności: sprawowania nadzoru: nad nieletnim, w sprawach opiekuńczych nad rodzicami małoletnich dzieci oraz nad osobami zobowiązanymi do leczenia odwykowego przez sąd; wywiadów kontrolnych w postępowaniach wykonawczych; wywiadów środowiskowych w sprawach: nieletnich, opiekuńczych </w:t>
      </w:r>
      <w:r w:rsidR="00E25B8B">
        <w:rPr>
          <w:rFonts w:cstheme="minorHAnsi"/>
          <w:color w:val="000000" w:themeColor="text1"/>
          <w:sz w:val="24"/>
          <w:szCs w:val="24"/>
        </w:rPr>
        <w:t>–</w:t>
      </w:r>
      <w:r w:rsidRPr="00375799">
        <w:rPr>
          <w:rFonts w:cstheme="minorHAnsi"/>
          <w:color w:val="000000" w:themeColor="text1"/>
          <w:sz w:val="24"/>
          <w:szCs w:val="24"/>
        </w:rPr>
        <w:t xml:space="preserve"> dotyczących wykonywania władzy rodzicielskiej (pozbawienie, ograniczenie, zawieszenie władzy rodzicielskiej), ustalenia kontaktów małoletnich z osobami uprawnionymi do kontaktu, opiekuńczych </w:t>
      </w:r>
      <w:r w:rsidR="00E25B8B">
        <w:rPr>
          <w:rFonts w:cstheme="minorHAnsi"/>
          <w:color w:val="000000" w:themeColor="text1"/>
          <w:sz w:val="24"/>
          <w:szCs w:val="24"/>
        </w:rPr>
        <w:t>–</w:t>
      </w:r>
      <w:r w:rsidRPr="00375799">
        <w:rPr>
          <w:rFonts w:cstheme="minorHAnsi"/>
          <w:color w:val="000000" w:themeColor="text1"/>
          <w:sz w:val="24"/>
          <w:szCs w:val="24"/>
        </w:rPr>
        <w:t xml:space="preserve"> dotyczących ustanowienia opieki lub kurateli i prowadzonego w tych sprawach postępowania wykonawczego w celu ustalenia możliwości lub sposobu sprawowania opieki lub kurateli oraz warunków życiowych osoby, której postępowanie dotyczy; leczenia odwykowego w celu ustalenia okoliczności wskazujących na nadużywanie alkoholu przez osobę, której p</w:t>
      </w:r>
      <w:r w:rsidR="00A945A4" w:rsidRPr="00375799">
        <w:rPr>
          <w:rFonts w:cstheme="minorHAnsi"/>
          <w:color w:val="000000" w:themeColor="text1"/>
          <w:sz w:val="24"/>
          <w:szCs w:val="24"/>
        </w:rPr>
        <w:t>ostępowanie dotyczy, oraz zakłó</w:t>
      </w:r>
      <w:r w:rsidRPr="00375799">
        <w:rPr>
          <w:rFonts w:cstheme="minorHAnsi"/>
          <w:color w:val="000000" w:themeColor="text1"/>
          <w:sz w:val="24"/>
          <w:szCs w:val="24"/>
        </w:rPr>
        <w:t xml:space="preserve">cania przez nią spokoju lub porządku publicznego, a także jej relacji w rodzinie, zachowania się w stosunku do małoletnich i stosunku do pracy; z zakresu ochrony zdrowia psychicznego w celu ustalenia warunków życiowych osoby, której postępowanie dotyczy oraz jej funkcjonowania w środowisku; w sprawach o rozwód i separację; o odebranie małoletniego od osoby nieuprawnionej; </w:t>
      </w:r>
      <w:r w:rsidRPr="00375799">
        <w:rPr>
          <w:rFonts w:cstheme="minorHAnsi"/>
          <w:color w:val="000000" w:themeColor="text1"/>
          <w:sz w:val="24"/>
          <w:szCs w:val="24"/>
        </w:rPr>
        <w:lastRenderedPageBreak/>
        <w:t xml:space="preserve">obecności kuratora przy kontaktach osób uprawnionych z małoletnim (art. 24 </w:t>
      </w:r>
      <w:proofErr w:type="spellStart"/>
      <w:r w:rsidRPr="00375799">
        <w:rPr>
          <w:rFonts w:cstheme="minorHAnsi"/>
          <w:color w:val="000000" w:themeColor="text1"/>
          <w:sz w:val="24"/>
          <w:szCs w:val="24"/>
        </w:rPr>
        <w:t>u.p.n</w:t>
      </w:r>
      <w:proofErr w:type="spellEnd"/>
      <w:r w:rsidRPr="00375799">
        <w:rPr>
          <w:rFonts w:cstheme="minorHAnsi"/>
          <w:color w:val="000000" w:themeColor="text1"/>
          <w:sz w:val="24"/>
          <w:szCs w:val="24"/>
        </w:rPr>
        <w:t>. , art. 570</w:t>
      </w:r>
      <w:r w:rsidRPr="003654A8">
        <w:rPr>
          <w:rFonts w:cstheme="minorHAnsi"/>
          <w:color w:val="000000" w:themeColor="text1"/>
          <w:sz w:val="24"/>
          <w:szCs w:val="24"/>
          <w:vertAlign w:val="superscript"/>
        </w:rPr>
        <w:t>1</w:t>
      </w:r>
      <w:r w:rsidRPr="00375799">
        <w:rPr>
          <w:rFonts w:cstheme="minorHAnsi"/>
          <w:color w:val="000000" w:themeColor="text1"/>
          <w:sz w:val="24"/>
          <w:szCs w:val="24"/>
        </w:rPr>
        <w:t xml:space="preserve"> k.p.c. , art. 57</w:t>
      </w:r>
      <w:r w:rsidR="00D65A0C" w:rsidRPr="00375799">
        <w:rPr>
          <w:rFonts w:cstheme="minorHAnsi"/>
          <w:color w:val="000000" w:themeColor="text1"/>
          <w:sz w:val="24"/>
          <w:szCs w:val="24"/>
        </w:rPr>
        <w:t>0</w:t>
      </w:r>
      <w:r w:rsidR="00D65A0C" w:rsidRPr="003654A8">
        <w:rPr>
          <w:rFonts w:cstheme="minorHAnsi"/>
          <w:color w:val="000000" w:themeColor="text1"/>
          <w:sz w:val="24"/>
          <w:szCs w:val="24"/>
          <w:vertAlign w:val="superscript"/>
        </w:rPr>
        <w:t>1a</w:t>
      </w:r>
      <w:r w:rsidR="00D65A0C" w:rsidRPr="00375799">
        <w:rPr>
          <w:rFonts w:cstheme="minorHAnsi"/>
          <w:color w:val="000000" w:themeColor="text1"/>
          <w:sz w:val="24"/>
          <w:szCs w:val="24"/>
        </w:rPr>
        <w:t xml:space="preserve"> k.p.c., art. 30a , art. 42a</w:t>
      </w:r>
      <w:r w:rsidRPr="00375799">
        <w:rPr>
          <w:rFonts w:cstheme="minorHAnsi"/>
          <w:color w:val="000000" w:themeColor="text1"/>
          <w:sz w:val="24"/>
          <w:szCs w:val="24"/>
        </w:rPr>
        <w:t xml:space="preserve">). </w:t>
      </w:r>
    </w:p>
    <w:p w14:paraId="07BAAD8D" w14:textId="1E504F1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Odmienne kategorie zadań i obowiązków realizują kuratorzy wykonujący orzeczenia w sprawach karnych, w szczególności: sprawowanie dozoru w sprawach warunkowego umorzenia postępowania karnego, warunkowego zawieszenia wykonania kary pozbawienia wolności oraz warunkowego przedterminowego zwolnienia z odbycia reszty kary pozbawienia wolności; kary ograniczenia wolności oraz pracy społecznie użytecznej orzeczonej w miejsce nieuiszczonej grzywny, sprawy kontroli obowiązków, w których nie orzeczono dozoru kuratora sądowego; organizowania i kontroli wykonywania kary pozbawienia wolności poza zakładem karnym w systemie dozoru elektronicznego</w:t>
      </w:r>
      <w:r w:rsidR="00E25B8B">
        <w:rPr>
          <w:rFonts w:cstheme="minorHAnsi"/>
          <w:color w:val="000000" w:themeColor="text1"/>
          <w:sz w:val="24"/>
          <w:szCs w:val="24"/>
        </w:rPr>
        <w:t>,</w:t>
      </w:r>
      <w:r w:rsidRPr="00375799">
        <w:rPr>
          <w:rFonts w:cstheme="minorHAnsi"/>
          <w:color w:val="000000" w:themeColor="text1"/>
          <w:sz w:val="24"/>
          <w:szCs w:val="24"/>
        </w:rPr>
        <w:t xml:space="preserve"> w tym środków karnych i zabezpieczających, a także wywiadów środowiskowych w postępowaniu karnym (art. 214 k.p.k.) oraz w postępowaniu wykonawczym (art. 14 </w:t>
      </w:r>
      <w:proofErr w:type="spellStart"/>
      <w:r w:rsidRPr="00375799">
        <w:rPr>
          <w:rFonts w:cstheme="minorHAnsi"/>
          <w:color w:val="000000" w:themeColor="text1"/>
          <w:sz w:val="24"/>
          <w:szCs w:val="24"/>
        </w:rPr>
        <w:t>k.k.w</w:t>
      </w:r>
      <w:proofErr w:type="spellEnd"/>
      <w:r w:rsidRPr="00375799">
        <w:rPr>
          <w:rFonts w:cstheme="minorHAnsi"/>
          <w:color w:val="000000" w:themeColor="text1"/>
          <w:sz w:val="24"/>
          <w:szCs w:val="24"/>
        </w:rPr>
        <w:t xml:space="preserve">.). </w:t>
      </w:r>
    </w:p>
    <w:p w14:paraId="1FA09D5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Zarówno nadzory (w sprawach opiekuńczo-wychowawczych, nieletnich i karnych), jak i dozory (w sprawach karnych), a także inne zadania kuratorskie realizowane są w ściśle określonym przez sąd czasie i pod bieżącą kontrolą sądu. W toku ich wykonywania składane są sprawozdania dla sądu oraz przysługują na czynności kuratora określone procesowe środki zaskarżenia (np. skargi z art. 7 kodeksu karnego wykonawczego) lub możliwość sądowej decyzji o zmianie orzeczonego środka (np. uchylenie nadzoru w sprawie opiekuńczej).</w:t>
      </w:r>
    </w:p>
    <w:p w14:paraId="6FC1D9E4" w14:textId="0C52E1F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Zapewnienie możliwości przetwarzania tak szerokiego i zróżnicowanego zakresu danych osobowych zarówno w odniesieniu do osób objętych postępowaniem sądowym, jak i osób pozostających z nimi we wspólnym gospodarstwie domowym jest uzasadnione i konieczne. Potrzeba kompleksowego zdiagnozowania i wyodrębnienia w toku różnorodnych postępowań czynników stwarzających zagrożenie dla dobra dziecka czy występowania czynników kryminogennych i patogennych, wymaga</w:t>
      </w:r>
      <w:r w:rsidR="00E25B8B">
        <w:rPr>
          <w:rFonts w:cstheme="minorHAnsi"/>
          <w:color w:val="000000" w:themeColor="text1"/>
          <w:sz w:val="24"/>
          <w:szCs w:val="24"/>
        </w:rPr>
        <w:t>,</w:t>
      </w:r>
      <w:r w:rsidRPr="00375799">
        <w:rPr>
          <w:rFonts w:cstheme="minorHAnsi"/>
          <w:color w:val="000000" w:themeColor="text1"/>
          <w:sz w:val="24"/>
          <w:szCs w:val="24"/>
        </w:rPr>
        <w:t xml:space="preserve"> aby m.in. dane o uzależnieniach, popełnionych przestępstwach czy czynnikach zdrowotnych dotyczyły nie tylko osób objętych postępowaniem, ale także wszystkich innych pozostających we wspólnym gospodarstwie domowym. Bowiem istotne znaczenie dla określenia takiego zagrożenia będą miały informacje na temat skazań za przestępstwa związane z przemocą czy też sferę seksualną, chorób mogących nieść zagrożenia w związku z niekontrolowanymi zachowaniami i agresją (np. schizofrenii paranoidalnej, chorobie dwubiegunowej, itp.). Wywiad kuratora i poczynione w jego toku ustalenia, w postępowaniu rodzinnym są zasadniczym punktem wyjścia dla przeprowadzenia postępowania dowodowego i zbadania tych wszystkich wątków, które mogą mieć istotne znaczenie dla wydania końcowego orzeczenia przez sąd.</w:t>
      </w:r>
    </w:p>
    <w:p w14:paraId="7AD0E940" w14:textId="5291F7A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Należy zauważyć, że celowym zabiegiem legislacyjnym przyjętym w omawianej nowelizacji, dotyczącej kuratorów sądowych, jest zróżnicowanie zakresu przetwarzania przez kuratorów sądowych danych osób, których dotyczy postępowanie</w:t>
      </w:r>
      <w:r w:rsidR="00E25B8B">
        <w:rPr>
          <w:rFonts w:cstheme="minorHAnsi"/>
          <w:color w:val="000000" w:themeColor="text1"/>
          <w:sz w:val="24"/>
          <w:szCs w:val="24"/>
        </w:rPr>
        <w:t>,</w:t>
      </w:r>
      <w:r w:rsidRPr="00375799">
        <w:rPr>
          <w:rFonts w:cstheme="minorHAnsi"/>
          <w:color w:val="000000" w:themeColor="text1"/>
          <w:sz w:val="24"/>
          <w:szCs w:val="24"/>
        </w:rPr>
        <w:t xml:space="preserve"> oraz danych innych osób pozostających we wspólnym gospodarstwie domowym z osobami objętymi postępowaniem, w szczególności w zakresie postawy osobistej. Wynika to przede wszystkim z faktu różnych ról w postępowaniu przypisanym osobom, których dotyczy postępowanie oraz osobom pozostającym we wspólnym gospodarstwie domowym z osobami objętymi postępowaniem, </w:t>
      </w:r>
      <w:r w:rsidRPr="00375799">
        <w:rPr>
          <w:rFonts w:cstheme="minorHAnsi"/>
          <w:color w:val="000000" w:themeColor="text1"/>
          <w:sz w:val="24"/>
          <w:szCs w:val="24"/>
        </w:rPr>
        <w:lastRenderedPageBreak/>
        <w:t>co z kolei powoduje zróżnicowanie w zakresie potrzeby pozyskiwania danych mających istotne znaczenie dla prowadzonego postępowania. O ile np. potrzeba pozyskania informacji na temat sposobu spędzania czasu wolnego przez małoletniego wynika wprost z przepisu art. 570</w:t>
      </w:r>
      <w:r w:rsidRPr="00375799">
        <w:rPr>
          <w:rFonts w:cstheme="minorHAnsi"/>
          <w:color w:val="000000" w:themeColor="text1"/>
          <w:sz w:val="24"/>
          <w:szCs w:val="24"/>
          <w:vertAlign w:val="superscript"/>
        </w:rPr>
        <w:t>1</w:t>
      </w:r>
      <w:r w:rsidRPr="00375799">
        <w:rPr>
          <w:rFonts w:cstheme="minorHAnsi"/>
          <w:color w:val="000000" w:themeColor="text1"/>
          <w:sz w:val="24"/>
          <w:szCs w:val="24"/>
        </w:rPr>
        <w:t xml:space="preserve"> </w:t>
      </w:r>
      <w:proofErr w:type="spellStart"/>
      <w:r w:rsidRPr="00375799">
        <w:rPr>
          <w:rFonts w:cstheme="minorHAnsi"/>
          <w:color w:val="000000" w:themeColor="text1"/>
          <w:sz w:val="24"/>
          <w:szCs w:val="24"/>
        </w:rPr>
        <w:t>kpc</w:t>
      </w:r>
      <w:proofErr w:type="spellEnd"/>
      <w:r w:rsidRPr="00375799">
        <w:rPr>
          <w:rFonts w:cstheme="minorHAnsi"/>
          <w:color w:val="000000" w:themeColor="text1"/>
          <w:sz w:val="24"/>
          <w:szCs w:val="24"/>
        </w:rPr>
        <w:t xml:space="preserve">., o tyle jej znaczenie w przypadku domownika innego niż rodzice małoletniego wydaje się być co do zasady marginalna. </w:t>
      </w:r>
    </w:p>
    <w:p w14:paraId="3B912BF8" w14:textId="0C12353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Zagwarantowanie kuratorom sądowym prawa do pozyskiwania danych osobowych dotyczących także innych osób niż te będące uczestnikami postępowania jest niezbędne dla realizowania podstawowych zadań przewidzianych przepisami prawa. Dotyczy to zwłaszcza kuratorów wykonujących orzeczenia w sprawach rodzinnych i nieletnich. Diagnozując sytuację opiekuńczo-wychowawczą małoletniego kurator sądowy musi mieć zagwarantowaną możliwość odniesienia się do czynników zagrażających dobru dziecka, których źródłem mogą być nie jego rodzice, ale inne osoby pozostające z tym dzieckiem we wspólnym gospodarstwie domowym. Wykazujący skłonności do częstego spożywania alkoholu w znaczny</w:t>
      </w:r>
      <w:r w:rsidR="00E25B8B">
        <w:rPr>
          <w:rFonts w:cstheme="minorHAnsi"/>
          <w:color w:val="000000" w:themeColor="text1"/>
          <w:sz w:val="24"/>
          <w:szCs w:val="24"/>
        </w:rPr>
        <w:t>ch</w:t>
      </w:r>
      <w:r w:rsidRPr="00375799">
        <w:rPr>
          <w:rFonts w:cstheme="minorHAnsi"/>
          <w:color w:val="000000" w:themeColor="text1"/>
          <w:sz w:val="24"/>
          <w:szCs w:val="24"/>
        </w:rPr>
        <w:t xml:space="preserve"> ilościach czy też prezentujący zachowania nacechowane przemocą domownik pozostający we wspólnym gospodarstwie domowym z małoletnim lub nieletnim, niebędący jednak uczestnikiem postępowania, bez wątpienia będzie miał znaczenie dla oceny całokształtu sytuacji opiekuńczo-wychowawczej tego właśnie małoletniego lub nieletniego. Poza tym, brak zagwarantowania uprawnień kuratorom sądowym do pozyskiwania danych o innych mogłoby doprowadzić do sytuacji, w której przedstawiciele innych służb odmawialiby udzielenia informacji o istotnych zdarzeniach zarejestrowanych w systemach pod adresem zamieszkania małoletniego lub nieletniego, o ile nie dotyczyłyby one go bezpośrednio. Tym samym mogłoby to prowadzić do znacznego zafałszowania obrazu tego środowiska i utrudnić sądowi wydanie orzeczenia, adekwatnego do stanu faktycznego.</w:t>
      </w:r>
    </w:p>
    <w:p w14:paraId="4B509C57" w14:textId="307126B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Bez wątpienia szerokie upoważnienie kuratorów sądowych do przetwarzania danych wrażliwych realizuje zasadę proporcjonalności regulacji</w:t>
      </w:r>
      <w:r w:rsidR="00E25B8B">
        <w:rPr>
          <w:rFonts w:cstheme="minorHAnsi"/>
          <w:color w:val="000000" w:themeColor="text1"/>
          <w:sz w:val="24"/>
          <w:szCs w:val="24"/>
        </w:rPr>
        <w:t>,</w:t>
      </w:r>
      <w:r w:rsidRPr="00375799">
        <w:rPr>
          <w:rFonts w:cstheme="minorHAnsi"/>
          <w:color w:val="000000" w:themeColor="text1"/>
          <w:sz w:val="24"/>
          <w:szCs w:val="24"/>
        </w:rPr>
        <w:t xml:space="preserve"> bowiem integralność danych osobowych osób, których dotyczy postępowanie oraz innych osób</w:t>
      </w:r>
      <w:r w:rsidR="00E25B8B">
        <w:rPr>
          <w:rFonts w:cstheme="minorHAnsi"/>
          <w:color w:val="000000" w:themeColor="text1"/>
          <w:sz w:val="24"/>
          <w:szCs w:val="24"/>
        </w:rPr>
        <w:t>,</w:t>
      </w:r>
      <w:r w:rsidRPr="00375799">
        <w:rPr>
          <w:rFonts w:cstheme="minorHAnsi"/>
          <w:color w:val="000000" w:themeColor="text1"/>
          <w:sz w:val="24"/>
          <w:szCs w:val="24"/>
        </w:rPr>
        <w:t xml:space="preserve"> staje tutaj w konkurencji z takimi dobrami społecznymi</w:t>
      </w:r>
      <w:r w:rsidR="00E25B8B">
        <w:rPr>
          <w:rFonts w:cstheme="minorHAnsi"/>
          <w:color w:val="000000" w:themeColor="text1"/>
          <w:sz w:val="24"/>
          <w:szCs w:val="24"/>
        </w:rPr>
        <w:t>,</w:t>
      </w:r>
      <w:r w:rsidRPr="00375799">
        <w:rPr>
          <w:rFonts w:cstheme="minorHAnsi"/>
          <w:color w:val="000000" w:themeColor="text1"/>
          <w:sz w:val="24"/>
          <w:szCs w:val="24"/>
        </w:rPr>
        <w:t xml:space="preserve"> jak efektywność wymiaru sprawiedliwości i polityki karnej oraz ochrona rodziny i prawa rodziców do osobistego wychowywania dzieci i kontaktów z dziećmi. Należy pamiętać, że nadzory kuratorów w sprawach rodzinnych są alternatywną formą ograniczenia władzy rodzicielskiej wobec umieszczenia dzieci w placówkach i pieczy zastępczej, zaś dozory i kara ograniczenia wolności kontrolowana przez kuratorów dla dorosłych są często alternatywą dla pozbawienia wolności.</w:t>
      </w:r>
    </w:p>
    <w:p w14:paraId="6E8A87E0" w14:textId="7FE6290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uwagi na powyższe</w:t>
      </w:r>
      <w:r w:rsidR="00E25B8B">
        <w:rPr>
          <w:rFonts w:cstheme="minorHAnsi"/>
          <w:color w:val="000000" w:themeColor="text1"/>
          <w:sz w:val="24"/>
          <w:szCs w:val="24"/>
        </w:rPr>
        <w:t>,</w:t>
      </w:r>
      <w:r w:rsidRPr="00375799">
        <w:rPr>
          <w:rFonts w:cstheme="minorHAnsi"/>
          <w:color w:val="000000" w:themeColor="text1"/>
          <w:sz w:val="24"/>
          <w:szCs w:val="24"/>
        </w:rPr>
        <w:t xml:space="preserve"> należy uznać, że przetwarzanie danych wrażliwych przez kuratorską służbę sądową nie tylko w pionie karnym, ale również w pionie kurateli rodzinnej uzasadnione jest w świetle art. 9 ust. 2 f i g RODO. Zadania kuratorów wykonywane są ściśle w ramach sądowego postępowania rozpoznawczego (wywiady środowiskowe) oraz sądowego postępowania wykonawczego (nadzory, dozory, kontrola kar, obowiązków i środków orzeczonych przez sąd, udzielanie pomocy postpenitencjarnej, udział w kontaktach rodziców z dziećmi, udział w pracach zespołów interdyscyplinarnych i grup roboczych, wywiady środowiskowe).</w:t>
      </w:r>
    </w:p>
    <w:p w14:paraId="538B8726" w14:textId="775CBB9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Dotychczasowa praktyka funkcjonowania kuratorów sądowych oraz brak odpowiedniej regulacji prawnej dotyczącej przetwarzania danych osobowych, czyniła zasadną tezę, że kurator zawodowy mógłby być uznany za </w:t>
      </w:r>
      <w:r w:rsidR="006E5635">
        <w:rPr>
          <w:rFonts w:cstheme="minorHAnsi"/>
          <w:color w:val="000000" w:themeColor="text1"/>
          <w:sz w:val="24"/>
          <w:szCs w:val="24"/>
        </w:rPr>
        <w:t>a</w:t>
      </w:r>
      <w:r w:rsidRPr="00375799">
        <w:rPr>
          <w:rFonts w:cstheme="minorHAnsi"/>
          <w:color w:val="000000" w:themeColor="text1"/>
          <w:sz w:val="24"/>
          <w:szCs w:val="24"/>
        </w:rPr>
        <w:t>dministratora danych w rozumieniu RODO. Powodowałoby to wiele poważnych komplikacji w funkcjonowaniu kuratorów sądowych, a w konsekwencji w wykonywaniu powierzonych im zadań. Dodany art.</w:t>
      </w:r>
      <w:r w:rsidR="006E5635">
        <w:rPr>
          <w:rFonts w:cstheme="minorHAnsi"/>
          <w:color w:val="000000" w:themeColor="text1"/>
          <w:sz w:val="24"/>
          <w:szCs w:val="24"/>
        </w:rPr>
        <w:t xml:space="preserve"> </w:t>
      </w:r>
      <w:r w:rsidRPr="00375799">
        <w:rPr>
          <w:rFonts w:cstheme="minorHAnsi"/>
          <w:color w:val="000000" w:themeColor="text1"/>
          <w:sz w:val="24"/>
          <w:szCs w:val="24"/>
        </w:rPr>
        <w:t xml:space="preserve">9b </w:t>
      </w:r>
      <w:r w:rsidR="00621795">
        <w:rPr>
          <w:rFonts w:cstheme="minorHAnsi"/>
          <w:color w:val="000000" w:themeColor="text1"/>
          <w:sz w:val="24"/>
          <w:szCs w:val="24"/>
        </w:rPr>
        <w:t>ustawy</w:t>
      </w:r>
      <w:r w:rsidR="006E5635">
        <w:rPr>
          <w:rFonts w:cstheme="minorHAnsi"/>
          <w:color w:val="000000" w:themeColor="text1"/>
          <w:sz w:val="24"/>
          <w:szCs w:val="24"/>
        </w:rPr>
        <w:t xml:space="preserve"> </w:t>
      </w:r>
      <w:r w:rsidRPr="00375799">
        <w:rPr>
          <w:rFonts w:cstheme="minorHAnsi"/>
          <w:color w:val="000000" w:themeColor="text1"/>
          <w:sz w:val="24"/>
          <w:szCs w:val="24"/>
        </w:rPr>
        <w:t>rozstrzyga kwestię, czy zawodowy kurator sądowy może i powinien być administratorem danych osobowych przetwarzanych w celu wykonania zadań, obowiązków lub uprawnień wynikających z ustawy o kuratorach sądowych. Wynika</w:t>
      </w:r>
      <w:r w:rsidR="00F94F15" w:rsidRPr="00375799">
        <w:rPr>
          <w:rFonts w:cstheme="minorHAnsi"/>
          <w:color w:val="000000" w:themeColor="text1"/>
          <w:sz w:val="24"/>
          <w:szCs w:val="24"/>
        </w:rPr>
        <w:t xml:space="preserve"> </w:t>
      </w:r>
      <w:r w:rsidRPr="00375799">
        <w:rPr>
          <w:rFonts w:cstheme="minorHAnsi"/>
          <w:color w:val="000000" w:themeColor="text1"/>
          <w:sz w:val="24"/>
          <w:szCs w:val="24"/>
        </w:rPr>
        <w:t>z niego jednoznacznie, że to prezes właściwego sądu jest administratorem takich danych osobowych przetwarzanych przez kuratora sądowego, a zatem zarówno przez zawodowego kuratora sądowego</w:t>
      </w:r>
      <w:r w:rsidR="00E25B8B">
        <w:rPr>
          <w:rFonts w:cstheme="minorHAnsi"/>
          <w:color w:val="000000" w:themeColor="text1"/>
          <w:sz w:val="24"/>
          <w:szCs w:val="24"/>
        </w:rPr>
        <w:t>,</w:t>
      </w:r>
      <w:r w:rsidRPr="00375799">
        <w:rPr>
          <w:rFonts w:cstheme="minorHAnsi"/>
          <w:color w:val="000000" w:themeColor="text1"/>
          <w:sz w:val="24"/>
          <w:szCs w:val="24"/>
        </w:rPr>
        <w:t xml:space="preserve"> jak i społecznego kuratora sądowego.</w:t>
      </w:r>
    </w:p>
    <w:p w14:paraId="2ACC9080" w14:textId="086490B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Proponowane brzmienie art. 87 ust. 3 ustawy z dnia 27 lipca 2001 r. o kuratorach sądowych przewiduje nadanie kuratorowi społecznemu – w związku z wykonywaniem czynności zleconych przez sąd lub kuratora zawodowego oprócz uprawnień, o których mowa w art. 9 ustawy z dnia 27 lipca 2001 r. o kuratorach sądowych, również uprawnień, o których mowa w projektowanym art. 9a. </w:t>
      </w:r>
    </w:p>
    <w:p w14:paraId="04D05439" w14:textId="6A896813" w:rsidR="008706DD" w:rsidRPr="00375799" w:rsidRDefault="008706DD" w:rsidP="0055107B">
      <w:pPr>
        <w:spacing w:after="0" w:line="276" w:lineRule="auto"/>
        <w:ind w:left="57" w:right="57"/>
        <w:contextualSpacing/>
        <w:jc w:val="both"/>
        <w:rPr>
          <w:rFonts w:cstheme="minorHAnsi"/>
          <w:b/>
          <w:color w:val="000000" w:themeColor="text1"/>
          <w:sz w:val="24"/>
          <w:szCs w:val="24"/>
        </w:rPr>
      </w:pPr>
      <w:r w:rsidRPr="00375799">
        <w:rPr>
          <w:rFonts w:cstheme="minorHAnsi"/>
          <w:color w:val="000000" w:themeColor="text1"/>
          <w:sz w:val="24"/>
          <w:szCs w:val="24"/>
        </w:rPr>
        <w:t>Dodanie ust. 3 do art. 87 ustawy o kuratorach sądowych zapewni jednolite podejście do przetwarzania danych osobowych realizowanych przez kuratorów sądowych (zarówno zawodowych, jak i społecznych) i wyeliminuje ewentualne wątpliwości w przypadku ogólnego odwołania się do pojęcia „kurator sądowy”.</w:t>
      </w:r>
    </w:p>
    <w:p w14:paraId="473BBA64" w14:textId="77777777" w:rsidR="00DD6D24" w:rsidRPr="00375799" w:rsidRDefault="00DD6D24" w:rsidP="0055107B">
      <w:pPr>
        <w:spacing w:after="0" w:line="276" w:lineRule="auto"/>
        <w:ind w:left="57" w:right="57"/>
        <w:contextualSpacing/>
        <w:jc w:val="both"/>
        <w:rPr>
          <w:rFonts w:cstheme="minorHAnsi"/>
          <w:b/>
          <w:color w:val="000000" w:themeColor="text1"/>
          <w:sz w:val="24"/>
          <w:szCs w:val="24"/>
        </w:rPr>
      </w:pPr>
    </w:p>
    <w:p w14:paraId="5291FC2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458464A0" w14:textId="1435436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62" w:name="_Toc530565034"/>
      <w:r w:rsidRPr="00375799">
        <w:rPr>
          <w:rFonts w:asciiTheme="minorHAnsi" w:hAnsiTheme="minorHAnsi" w:cstheme="minorHAnsi"/>
          <w:color w:val="000000" w:themeColor="text1"/>
          <w:sz w:val="24"/>
          <w:szCs w:val="24"/>
        </w:rPr>
        <w:t>Ustawa z dnia 11 sierpnia 2001 r. o szczególnych zasadach odbudowy, remontów i rozbiórek obiektów budowlanych zniszczonych lub uszkodzonych w wyniku działania żywiołu (Dz. U. z 201</w:t>
      </w:r>
      <w:r w:rsidR="00431995">
        <w:rPr>
          <w:rFonts w:asciiTheme="minorHAnsi" w:hAnsiTheme="minorHAnsi" w:cstheme="minorHAnsi"/>
          <w:color w:val="000000" w:themeColor="text1"/>
          <w:sz w:val="24"/>
          <w:szCs w:val="24"/>
        </w:rPr>
        <w:t>8</w:t>
      </w:r>
      <w:r w:rsidRPr="00375799">
        <w:rPr>
          <w:rFonts w:asciiTheme="minorHAnsi" w:hAnsiTheme="minorHAnsi" w:cstheme="minorHAnsi"/>
          <w:color w:val="000000" w:themeColor="text1"/>
          <w:sz w:val="24"/>
          <w:szCs w:val="24"/>
        </w:rPr>
        <w:t xml:space="preserve"> r. poz. </w:t>
      </w:r>
      <w:r w:rsidR="00431995">
        <w:rPr>
          <w:rFonts w:asciiTheme="minorHAnsi" w:hAnsiTheme="minorHAnsi" w:cstheme="minorHAnsi"/>
          <w:color w:val="000000" w:themeColor="text1"/>
          <w:sz w:val="24"/>
          <w:szCs w:val="24"/>
        </w:rPr>
        <w:t>1345</w:t>
      </w:r>
      <w:r w:rsidRPr="00375799">
        <w:rPr>
          <w:rFonts w:asciiTheme="minorHAnsi" w:hAnsiTheme="minorHAnsi" w:cstheme="minorHAnsi"/>
          <w:color w:val="000000" w:themeColor="text1"/>
          <w:sz w:val="24"/>
          <w:szCs w:val="24"/>
        </w:rPr>
        <w:t>)</w:t>
      </w:r>
      <w:bookmarkEnd w:id="62"/>
      <w:r w:rsidRPr="00375799">
        <w:rPr>
          <w:rFonts w:asciiTheme="minorHAnsi" w:hAnsiTheme="minorHAnsi" w:cstheme="minorHAnsi"/>
          <w:color w:val="000000" w:themeColor="text1"/>
          <w:sz w:val="24"/>
          <w:szCs w:val="24"/>
        </w:rPr>
        <w:t xml:space="preserve"> </w:t>
      </w:r>
    </w:p>
    <w:p w14:paraId="229CC5A7" w14:textId="77777777" w:rsidR="00621795" w:rsidRPr="00621795" w:rsidRDefault="00621795" w:rsidP="00621795"/>
    <w:p w14:paraId="15F4DEEC" w14:textId="3B96C8A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Zmiany wprowadzone do ustawy z dnia 11 sierpnia 2001 r. o szczególnych zasadach odbudowy, remontów i rozbiórek obiektów budowlanych zniszczonych lub uszkodzonych w wyniku działania żywiołu; ustawy z dnia 27 marca 2003 r. o planowaniu i zagospodarowaniu przestrzennym (Dz. U. z 201</w:t>
      </w:r>
      <w:r w:rsidR="006E5635">
        <w:rPr>
          <w:rFonts w:cstheme="minorHAnsi"/>
          <w:color w:val="000000" w:themeColor="text1"/>
          <w:sz w:val="24"/>
          <w:szCs w:val="24"/>
        </w:rPr>
        <w:t>8</w:t>
      </w:r>
      <w:r w:rsidRPr="00375799">
        <w:rPr>
          <w:rFonts w:cstheme="minorHAnsi"/>
          <w:color w:val="000000" w:themeColor="text1"/>
          <w:sz w:val="24"/>
          <w:szCs w:val="24"/>
        </w:rPr>
        <w:t xml:space="preserve"> r. poz. </w:t>
      </w:r>
      <w:r w:rsidR="006E5635">
        <w:rPr>
          <w:rFonts w:cstheme="minorHAnsi"/>
          <w:color w:val="000000" w:themeColor="text1"/>
          <w:sz w:val="24"/>
          <w:szCs w:val="24"/>
        </w:rPr>
        <w:t>1945</w:t>
      </w:r>
      <w:r w:rsidRPr="00375799">
        <w:rPr>
          <w:rFonts w:cstheme="minorHAnsi"/>
          <w:color w:val="000000" w:themeColor="text1"/>
          <w:sz w:val="24"/>
          <w:szCs w:val="24"/>
        </w:rPr>
        <w:t>) oraz ustawy z dnia 9 października 2015 r. o rewitalizacji (Dz. U. z 201</w:t>
      </w:r>
      <w:r w:rsidR="006E5635">
        <w:rPr>
          <w:rFonts w:cstheme="minorHAnsi"/>
          <w:color w:val="000000" w:themeColor="text1"/>
          <w:sz w:val="24"/>
          <w:szCs w:val="24"/>
        </w:rPr>
        <w:t>8</w:t>
      </w:r>
      <w:r w:rsidRPr="00375799">
        <w:rPr>
          <w:rFonts w:cstheme="minorHAnsi"/>
          <w:color w:val="000000" w:themeColor="text1"/>
          <w:sz w:val="24"/>
          <w:szCs w:val="24"/>
        </w:rPr>
        <w:t xml:space="preserve"> r. poz. </w:t>
      </w:r>
      <w:r w:rsidR="006E5635">
        <w:rPr>
          <w:rFonts w:cstheme="minorHAnsi"/>
          <w:color w:val="000000" w:themeColor="text1"/>
          <w:sz w:val="24"/>
          <w:szCs w:val="24"/>
        </w:rPr>
        <w:t>1398</w:t>
      </w:r>
      <w:r w:rsidRPr="00375799">
        <w:rPr>
          <w:rFonts w:cstheme="minorHAnsi"/>
          <w:color w:val="000000" w:themeColor="text1"/>
          <w:sz w:val="24"/>
          <w:szCs w:val="24"/>
        </w:rPr>
        <w:t xml:space="preserve">) mają na celu usprawnienie procesu sporządzania i uchwalania aktów planowania przestrzennego. Proces sporządzania i późniejszego uchwalania aktów planistycznych z uwagi na ich zasięg przestrzenny oraz stopień skomplikowania (interdyscyplinarność) wymaga szerokich konsultacji publicznych z wieloma podmiotami zarówno osobami fizycznymi, przedsiębiorstwami, organizacjami lokalnymi. </w:t>
      </w:r>
    </w:p>
    <w:p w14:paraId="6E18C239" w14:textId="3F82ADC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celu ochrony osób biorących udział i składających wnioski w ramach wyżej wskazanych konsultacji zasadne jest ograniczenie uprawnienia wynikającego z art. 15 ust. 1 lit. g </w:t>
      </w:r>
      <w:r w:rsidR="00E00163" w:rsidRPr="00375799">
        <w:rPr>
          <w:rFonts w:cstheme="minorHAnsi"/>
          <w:color w:val="000000" w:themeColor="text1"/>
          <w:sz w:val="24"/>
          <w:szCs w:val="24"/>
        </w:rPr>
        <w:t>RODO</w:t>
      </w:r>
      <w:r w:rsidRPr="00375799">
        <w:rPr>
          <w:rFonts w:cstheme="minorHAnsi"/>
          <w:color w:val="000000" w:themeColor="text1"/>
          <w:sz w:val="24"/>
          <w:szCs w:val="24"/>
        </w:rPr>
        <w:t>. Lokalny charakter tych procesów</w:t>
      </w:r>
      <w:r w:rsidR="006E5635">
        <w:rPr>
          <w:rFonts w:cstheme="minorHAnsi"/>
          <w:color w:val="000000" w:themeColor="text1"/>
          <w:sz w:val="24"/>
          <w:szCs w:val="24"/>
        </w:rPr>
        <w:t>,</w:t>
      </w:r>
      <w:r w:rsidRPr="00375799">
        <w:rPr>
          <w:rFonts w:cstheme="minorHAnsi"/>
          <w:color w:val="000000" w:themeColor="text1"/>
          <w:sz w:val="24"/>
          <w:szCs w:val="24"/>
        </w:rPr>
        <w:t xml:space="preserve"> prowadzonych często w ramach małych lokalnych </w:t>
      </w:r>
      <w:r w:rsidRPr="00375799">
        <w:rPr>
          <w:rFonts w:cstheme="minorHAnsi"/>
          <w:color w:val="000000" w:themeColor="text1"/>
          <w:sz w:val="24"/>
          <w:szCs w:val="24"/>
        </w:rPr>
        <w:lastRenderedPageBreak/>
        <w:t xml:space="preserve">społeczności, w pełni uzasadnia wprowadzenie ochrony danych osób biorących w nich udział. Prawo, o którym mowa w art. 15 ust. 1 lit. g </w:t>
      </w:r>
      <w:r w:rsidR="00E00163" w:rsidRPr="00375799">
        <w:rPr>
          <w:rFonts w:cstheme="minorHAnsi"/>
          <w:color w:val="000000" w:themeColor="text1"/>
          <w:sz w:val="24"/>
          <w:szCs w:val="24"/>
        </w:rPr>
        <w:t>RODO</w:t>
      </w:r>
      <w:r w:rsidR="00E25B8B">
        <w:rPr>
          <w:rFonts w:cstheme="minorHAnsi"/>
          <w:color w:val="000000" w:themeColor="text1"/>
          <w:sz w:val="24"/>
          <w:szCs w:val="24"/>
        </w:rPr>
        <w:t>,</w:t>
      </w:r>
      <w:r w:rsidR="00E00163" w:rsidRPr="00375799" w:rsidDel="00E00163">
        <w:rPr>
          <w:rFonts w:cstheme="minorHAnsi"/>
          <w:color w:val="000000" w:themeColor="text1"/>
          <w:sz w:val="24"/>
          <w:szCs w:val="24"/>
        </w:rPr>
        <w:t xml:space="preserve"> </w:t>
      </w:r>
      <w:r w:rsidRPr="00375799">
        <w:rPr>
          <w:rFonts w:cstheme="minorHAnsi"/>
          <w:color w:val="000000" w:themeColor="text1"/>
          <w:sz w:val="24"/>
          <w:szCs w:val="24"/>
        </w:rPr>
        <w:t xml:space="preserve">w zakresie wystąpień zawierających dane osobowe osób trzecich przysługiwać będzie w zakresie, w jakimi nie ma wpływu na ochronę praw i wolności osób, od których dane pozyskano. Skorzystanie z przedmiotowego ograniczenia nie będzie zatem automatyczne i zależeć będzie od oceny spełnienia odpowiednich przesłanek przez organ przetwarzając dane osobowe. </w:t>
      </w:r>
    </w:p>
    <w:p w14:paraId="46DFF147" w14:textId="524D49CF" w:rsidR="009B2C3D" w:rsidRPr="00375799" w:rsidRDefault="009B2C3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wyraźnie wskazano, że wystąpienie z żądaniem, o którym mowa w art. 18 ust. 1 </w:t>
      </w:r>
      <w:r w:rsidR="00E00163" w:rsidRPr="00375799">
        <w:rPr>
          <w:rFonts w:cstheme="minorHAnsi"/>
          <w:color w:val="000000" w:themeColor="text1"/>
          <w:sz w:val="24"/>
          <w:szCs w:val="24"/>
        </w:rPr>
        <w:t>RODO</w:t>
      </w:r>
      <w:r w:rsidR="00E00163" w:rsidRPr="00375799" w:rsidDel="00E00163">
        <w:rPr>
          <w:rFonts w:cstheme="minorHAnsi"/>
          <w:color w:val="000000" w:themeColor="text1"/>
          <w:sz w:val="24"/>
          <w:szCs w:val="24"/>
        </w:rPr>
        <w:t xml:space="preserve"> </w:t>
      </w:r>
      <w:r w:rsidRPr="00375799">
        <w:rPr>
          <w:rFonts w:cstheme="minorHAnsi"/>
          <w:color w:val="000000" w:themeColor="text1"/>
          <w:sz w:val="24"/>
          <w:szCs w:val="24"/>
        </w:rPr>
        <w:t>(tj. prawo żądania przez osobę, której dane osobowe dotyczą, ograniczenia przetwarzania jej danych)</w:t>
      </w:r>
      <w:r w:rsidR="00E25B8B">
        <w:rPr>
          <w:rFonts w:cstheme="minorHAnsi"/>
          <w:color w:val="000000" w:themeColor="text1"/>
          <w:sz w:val="24"/>
          <w:szCs w:val="24"/>
        </w:rPr>
        <w:t>,</w:t>
      </w:r>
      <w:r w:rsidRPr="00375799">
        <w:rPr>
          <w:rFonts w:cstheme="minorHAnsi"/>
          <w:color w:val="000000" w:themeColor="text1"/>
          <w:sz w:val="24"/>
          <w:szCs w:val="24"/>
        </w:rPr>
        <w:t xml:space="preserve"> nie wpływa na przebieg postępowań planistycznych. Powyższe ma na celu umożliwienie skutecznego i efektywnego wykonywania ww. zadań (uniemożliwienie wykorzystywania prawa do ograniczenia przetwarzania danych w celu przedłużania lub blokowania działań organów w ww. zakresie).</w:t>
      </w:r>
      <w:r w:rsidR="00A945A4" w:rsidRPr="00375799">
        <w:rPr>
          <w:rFonts w:cstheme="minorHAnsi"/>
          <w:color w:val="000000" w:themeColor="text1"/>
          <w:sz w:val="24"/>
          <w:szCs w:val="24"/>
        </w:rPr>
        <w:t xml:space="preserve"> Ponadto wskazano, że w przypadku gdy okres przechowywania danych osobowych nie wynika z przepisów ustawy o narodowym zasobie archiwalnym i archiwach</w:t>
      </w:r>
      <w:r w:rsidR="006E5635">
        <w:rPr>
          <w:rFonts w:cstheme="minorHAnsi"/>
          <w:color w:val="000000" w:themeColor="text1"/>
          <w:sz w:val="24"/>
          <w:szCs w:val="24"/>
        </w:rPr>
        <w:t>,</w:t>
      </w:r>
      <w:r w:rsidR="00A945A4" w:rsidRPr="00375799">
        <w:rPr>
          <w:rFonts w:cstheme="minorHAnsi"/>
          <w:color w:val="000000" w:themeColor="text1"/>
          <w:sz w:val="24"/>
          <w:szCs w:val="24"/>
        </w:rPr>
        <w:t xml:space="preserve"> wójt, burmistrz, prezydent miasta oraz wojewoda ustalają  okres ich przechowywania w przepisach wydawanych na podstawie art. 6 ust. 1 i 2 tej ustawy. Wprowadzono też zabezpieczenie w postaci nałożenia obowiązku dopuszczenia do przetwarzania danych osobowych wyłącznie osób posiadających pisemne upoważnienie wydane przez administratora oraz konieczności udzielania pisemnego zobowiązania osób upoważnionych do przetwarzania danych osobowych do zachowania ich w tajemnicy.</w:t>
      </w:r>
    </w:p>
    <w:p w14:paraId="18381247" w14:textId="77777777" w:rsidR="009B2C3D" w:rsidRPr="00375799" w:rsidRDefault="009B2C3D" w:rsidP="0055107B">
      <w:pPr>
        <w:spacing w:after="0" w:line="276" w:lineRule="auto"/>
        <w:ind w:left="57" w:right="57"/>
        <w:contextualSpacing/>
        <w:jc w:val="both"/>
        <w:rPr>
          <w:rFonts w:cstheme="minorHAnsi"/>
          <w:color w:val="000000" w:themeColor="text1"/>
          <w:sz w:val="24"/>
          <w:szCs w:val="24"/>
        </w:rPr>
      </w:pPr>
    </w:p>
    <w:p w14:paraId="25E76D71" w14:textId="7A1575F1"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63" w:name="_Toc530565035"/>
      <w:r w:rsidRPr="00375799">
        <w:rPr>
          <w:rFonts w:asciiTheme="minorHAnsi" w:hAnsiTheme="minorHAnsi" w:cstheme="minorHAnsi"/>
          <w:color w:val="000000" w:themeColor="text1"/>
          <w:sz w:val="24"/>
          <w:szCs w:val="24"/>
        </w:rPr>
        <w:t xml:space="preserve">Ustawa z dnia 24 sierpnia 2001 r. o Żandarmerii Wojskowej i wojskowych organach porządkowych (Dz. U. z 2018 r. poz. 430, </w:t>
      </w:r>
      <w:r w:rsidR="00431995">
        <w:rPr>
          <w:rFonts w:asciiTheme="minorHAnsi" w:hAnsiTheme="minorHAnsi" w:cstheme="minorHAnsi"/>
          <w:color w:val="000000" w:themeColor="text1"/>
          <w:sz w:val="24"/>
          <w:szCs w:val="24"/>
        </w:rPr>
        <w:t>650 i 1544</w:t>
      </w:r>
      <w:r w:rsidRPr="00375799">
        <w:rPr>
          <w:rFonts w:asciiTheme="minorHAnsi" w:hAnsiTheme="minorHAnsi" w:cstheme="minorHAnsi"/>
          <w:color w:val="000000" w:themeColor="text1"/>
          <w:sz w:val="24"/>
          <w:szCs w:val="24"/>
        </w:rPr>
        <w:t>)</w:t>
      </w:r>
      <w:bookmarkEnd w:id="63"/>
      <w:r w:rsidRPr="00375799">
        <w:rPr>
          <w:rFonts w:asciiTheme="minorHAnsi" w:hAnsiTheme="minorHAnsi" w:cstheme="minorHAnsi"/>
          <w:color w:val="000000" w:themeColor="text1"/>
          <w:sz w:val="24"/>
          <w:szCs w:val="24"/>
        </w:rPr>
        <w:t xml:space="preserve"> </w:t>
      </w:r>
    </w:p>
    <w:p w14:paraId="3A5E41D2"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4D0FF0DA" w14:textId="245AA666" w:rsidR="00030A07" w:rsidRPr="00375799" w:rsidRDefault="00030A07"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Intencją projektodawcy w zakresie interwencji legislacyjnej mającej doprowadzić </w:t>
      </w:r>
      <w:r w:rsidRPr="00375799">
        <w:rPr>
          <w:rFonts w:cstheme="minorHAnsi"/>
          <w:color w:val="000000" w:themeColor="text1"/>
          <w:sz w:val="24"/>
          <w:szCs w:val="24"/>
        </w:rPr>
        <w:br/>
        <w:t>do zastosowania RODO w prawie wewnętrznym państw członkowskich jest podniesienie do rangi ustawowej wszystkich przepisów krajowych dotyczących gromadzenia danych osobowych, w tym również gromadzenia danych osobowych w ramach prowadzonych postępowań kwalifikacyjnych do służb i pracy w Żandarmerii Wojskowej</w:t>
      </w:r>
      <w:r w:rsidR="00E25B8B">
        <w:rPr>
          <w:rFonts w:cstheme="minorHAnsi"/>
          <w:color w:val="000000" w:themeColor="text1"/>
          <w:sz w:val="24"/>
          <w:szCs w:val="24"/>
        </w:rPr>
        <w:t>,</w:t>
      </w:r>
      <w:r w:rsidRPr="00375799">
        <w:rPr>
          <w:rFonts w:cstheme="minorHAnsi"/>
          <w:color w:val="000000" w:themeColor="text1"/>
          <w:sz w:val="24"/>
          <w:szCs w:val="24"/>
        </w:rPr>
        <w:t xml:space="preserve"> dla zagwarantowania im należytej ochrony prawnej. Obecnie regulacje te mają miejsce w decyzji nr 65/MON Ministra Obrony Narodowej z dnia 4 marca 2009 r. w sprawie postępowania kwalifikacyjnego wobec kandydatów do służby i pracy w Żandarmerii Wojskowej (Dz. Urz. Min. Obr. Nar. poz. 57, z późn. zm.). Ranga aktu prawa wewnętrznego, w myśl RODO jest niewystarczająca</w:t>
      </w:r>
      <w:r w:rsidR="006E5635">
        <w:rPr>
          <w:rFonts w:cstheme="minorHAnsi"/>
          <w:color w:val="000000" w:themeColor="text1"/>
          <w:sz w:val="24"/>
          <w:szCs w:val="24"/>
        </w:rPr>
        <w:t>,</w:t>
      </w:r>
      <w:r w:rsidRPr="00375799">
        <w:rPr>
          <w:rFonts w:cstheme="minorHAnsi"/>
          <w:color w:val="000000" w:themeColor="text1"/>
          <w:sz w:val="24"/>
          <w:szCs w:val="24"/>
        </w:rPr>
        <w:t xml:space="preserve"> w związku z czym przedmiotowy projekt wypełnia obowiązek narzucony przez prawodawcę unijnego.</w:t>
      </w:r>
    </w:p>
    <w:p w14:paraId="7797B3AF" w14:textId="6F3FC020" w:rsidR="00030A07" w:rsidRPr="00375799" w:rsidRDefault="00030A07"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 przewiduje przetwarzanie, w ramach postępowania kwalifikacyjnego, informacji, w tym danych osobowych osób ubiegających się o przyjęcie do służby lub pracy w Żandarmerii Wojskowej. Projektowane przepisy umożliwiają również przetwarzanie danych osobowych żołnierza i pracownika podczas trwania odpowiednio stosunku służby i pracy.  Przetwarzanie będzie dotyczyło także danych dotyczących zdrowia, w związku z przeprowadzeniem wobec kandydatów badań psychologicznych. Należy podkreślić, że </w:t>
      </w:r>
      <w:r w:rsidRPr="00375799">
        <w:rPr>
          <w:rFonts w:cstheme="minorHAnsi"/>
          <w:color w:val="000000" w:themeColor="text1"/>
          <w:sz w:val="24"/>
          <w:szCs w:val="24"/>
        </w:rPr>
        <w:lastRenderedPageBreak/>
        <w:t>przetwarzanie szczególnych kategorii danych osobowych, w tym danych dotyczących zdrowia</w:t>
      </w:r>
      <w:r w:rsidR="00E25B8B">
        <w:rPr>
          <w:rFonts w:cstheme="minorHAnsi"/>
          <w:color w:val="000000" w:themeColor="text1"/>
          <w:sz w:val="24"/>
          <w:szCs w:val="24"/>
        </w:rPr>
        <w:t>,</w:t>
      </w:r>
      <w:r w:rsidRPr="00375799">
        <w:rPr>
          <w:rFonts w:cstheme="minorHAnsi"/>
          <w:color w:val="000000" w:themeColor="text1"/>
          <w:sz w:val="24"/>
          <w:szCs w:val="24"/>
        </w:rPr>
        <w:t xml:space="preserve"> może być dokonywane jedynie w przypadkach określonych w art. 9 ust. 2 RODO. Właściwą podstawą dla przetwarzania danych w postępowaniu kwalifikacyjnym jest art. 9 ust. 2 lit. h RODO. Przepisy ust. 3 powołanego wyżej artykułu wymagają</w:t>
      </w:r>
      <w:r w:rsidR="006E5635">
        <w:rPr>
          <w:rFonts w:cstheme="minorHAnsi"/>
          <w:color w:val="000000" w:themeColor="text1"/>
          <w:sz w:val="24"/>
          <w:szCs w:val="24"/>
        </w:rPr>
        <w:t>,</w:t>
      </w:r>
      <w:r w:rsidRPr="00375799">
        <w:rPr>
          <w:rFonts w:cstheme="minorHAnsi"/>
          <w:color w:val="000000" w:themeColor="text1"/>
          <w:sz w:val="24"/>
          <w:szCs w:val="24"/>
        </w:rPr>
        <w:t xml:space="preserve"> by w takiej sytuacji dane były przetwarzane przez (lub na odpowiedzialność) pracownika podlegającego obowiązkowi zachowania tajemnicy zawodowej lub przez inną osobę również podlegającą obowiązkowi zachowania tajemnicy zawodowej. W przepisach ustawy zmienianej zrezygnowano z regulacji zapewniającej realizację tego obowiązku</w:t>
      </w:r>
      <w:r w:rsidR="00E25B8B">
        <w:rPr>
          <w:rFonts w:cstheme="minorHAnsi"/>
          <w:color w:val="000000" w:themeColor="text1"/>
          <w:sz w:val="24"/>
          <w:szCs w:val="24"/>
        </w:rPr>
        <w:t>,</w:t>
      </w:r>
      <w:r w:rsidRPr="00375799">
        <w:rPr>
          <w:rFonts w:cstheme="minorHAnsi"/>
          <w:color w:val="000000" w:themeColor="text1"/>
          <w:sz w:val="24"/>
          <w:szCs w:val="24"/>
        </w:rPr>
        <w:t xml:space="preserve"> ponieważ pracownicy mający dostęp do danych o stanie zdrowia osób ubiegających się o przyjęcie do służby i pracy w Żandarmerii Wojskowej mają obowiązek zachowania ich w tajemnicy</w:t>
      </w:r>
      <w:r w:rsidR="00E25B8B">
        <w:rPr>
          <w:rFonts w:cstheme="minorHAnsi"/>
          <w:color w:val="000000" w:themeColor="text1"/>
          <w:sz w:val="24"/>
          <w:szCs w:val="24"/>
        </w:rPr>
        <w:t>,</w:t>
      </w:r>
      <w:r w:rsidRPr="00375799">
        <w:rPr>
          <w:rFonts w:cstheme="minorHAnsi"/>
          <w:color w:val="000000" w:themeColor="text1"/>
          <w:sz w:val="24"/>
          <w:szCs w:val="24"/>
        </w:rPr>
        <w:t xml:space="preserve"> mając na względzie postanowienia ustawy z dnia 5 sierpnia 2010 r. o ochronie informacji niejawnych (Dz. U. z 2018 r. poz. 412, z późn. zm.). Wszyscy żołnierze i pracownicy Żandarmerii Wojskowej są uprawnieni w zakresie dostępu do informacji niejawnych. Należy wskazać, że w myśl tej ustawy, informacje niejawne mogą być udostępniane wyłącznie osobie dającej rękojmię zachowania tajemnicy i tylko w zakresie niezbędnym do wykonywania przez nią pracy lub pełnienia służby na zajmowanym stanowisku albo wykonywania czynności zleconych.</w:t>
      </w:r>
    </w:p>
    <w:p w14:paraId="11D52E46" w14:textId="3C31B12E" w:rsidR="0083436D" w:rsidRPr="00375799" w:rsidRDefault="0083436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Dane osobowe przetwarzane w ramach prowadzonych kwalifikacji do służby i pracy w Żandarmerii Wojskowej podlegają zabezpieczeniom, które mają zapobiec nadużyciom </w:t>
      </w:r>
      <w:r w:rsidR="006E5635">
        <w:rPr>
          <w:rFonts w:cstheme="minorHAnsi"/>
          <w:color w:val="000000" w:themeColor="text1"/>
          <w:sz w:val="24"/>
          <w:szCs w:val="24"/>
        </w:rPr>
        <w:t xml:space="preserve">ich </w:t>
      </w:r>
      <w:r w:rsidRPr="00375799">
        <w:rPr>
          <w:rFonts w:cstheme="minorHAnsi"/>
          <w:color w:val="000000" w:themeColor="text1"/>
          <w:sz w:val="24"/>
          <w:szCs w:val="24"/>
        </w:rPr>
        <w:t>przetwarzania. Powyżej wskazane zabezpieczenia polegają co najmniej na dopuszczeniu do przetwarzania danych osobowych wyłącznie osób posiadających pisemne upoważnienie nadane przez administratora danych.</w:t>
      </w:r>
    </w:p>
    <w:p w14:paraId="3A5CE3E9" w14:textId="77777777" w:rsidR="009F6C32" w:rsidRPr="00375799" w:rsidRDefault="009F6C3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 przewiduje regulacje dotyczące okresu przetwarzania informacji. Okres ten podlega ograniczeniu wynikającemu ze wskazania niezbędności przetwarzania tych informacji, w ramach prowadzonych postępowań kwalifikacyjnych, oraz pełnienia służby lub pracy w Żandarmerii Wojskowej, a także wykonywania ustawowych zadań przez Żandarmerię Wojskową.</w:t>
      </w:r>
    </w:p>
    <w:p w14:paraId="18A02921" w14:textId="77777777" w:rsidR="008706DD" w:rsidRPr="00375799" w:rsidRDefault="008706DD" w:rsidP="0055107B">
      <w:pPr>
        <w:spacing w:after="0" w:line="276" w:lineRule="auto"/>
        <w:ind w:right="57" w:firstLine="0"/>
        <w:contextualSpacing/>
        <w:jc w:val="both"/>
        <w:rPr>
          <w:rFonts w:cstheme="minorHAnsi"/>
          <w:color w:val="000000" w:themeColor="text1"/>
          <w:sz w:val="24"/>
          <w:szCs w:val="24"/>
        </w:rPr>
      </w:pPr>
    </w:p>
    <w:p w14:paraId="3BAE7605" w14:textId="60E27584" w:rsidR="00173A66"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64" w:name="_Toc530565036"/>
      <w:r w:rsidRPr="00375799">
        <w:rPr>
          <w:rFonts w:asciiTheme="minorHAnsi" w:hAnsiTheme="minorHAnsi" w:cstheme="minorHAnsi"/>
          <w:color w:val="000000" w:themeColor="text1"/>
          <w:sz w:val="24"/>
          <w:szCs w:val="24"/>
        </w:rPr>
        <w:t xml:space="preserve">Ustawa z dnia 6 września 2001 r. o transporcie drogowym </w:t>
      </w:r>
      <w:r w:rsidR="00083210" w:rsidRPr="00375799">
        <w:rPr>
          <w:rFonts w:asciiTheme="minorHAnsi" w:hAnsiTheme="minorHAnsi" w:cstheme="minorHAnsi"/>
          <w:color w:val="000000" w:themeColor="text1"/>
          <w:sz w:val="24"/>
          <w:szCs w:val="24"/>
        </w:rPr>
        <w:t>(Dz. U. z 2017 r. poz. 2200 oraz z 2018 r. poz. 12, 79, 138, 650</w:t>
      </w:r>
      <w:r w:rsidR="00431995">
        <w:rPr>
          <w:rFonts w:asciiTheme="minorHAnsi" w:hAnsiTheme="minorHAnsi" w:cstheme="minorHAnsi"/>
          <w:color w:val="000000" w:themeColor="text1"/>
          <w:sz w:val="24"/>
          <w:szCs w:val="24"/>
        </w:rPr>
        <w:t>,</w:t>
      </w:r>
      <w:r w:rsidR="00083210" w:rsidRPr="00375799">
        <w:rPr>
          <w:rFonts w:asciiTheme="minorHAnsi" w:hAnsiTheme="minorHAnsi" w:cstheme="minorHAnsi"/>
          <w:color w:val="000000" w:themeColor="text1"/>
          <w:sz w:val="24"/>
          <w:szCs w:val="24"/>
        </w:rPr>
        <w:t xml:space="preserve"> 1039</w:t>
      </w:r>
      <w:r w:rsidR="00431995">
        <w:rPr>
          <w:rFonts w:asciiTheme="minorHAnsi" w:hAnsiTheme="minorHAnsi" w:cstheme="minorHAnsi"/>
          <w:color w:val="000000" w:themeColor="text1"/>
          <w:sz w:val="24"/>
          <w:szCs w:val="24"/>
        </w:rPr>
        <w:t>, 1480, 1481, 1544, 1592 i 1629</w:t>
      </w:r>
      <w:r w:rsidR="00083210" w:rsidRPr="00375799">
        <w:rPr>
          <w:rFonts w:asciiTheme="minorHAnsi" w:hAnsiTheme="minorHAnsi" w:cstheme="minorHAnsi"/>
          <w:color w:val="000000" w:themeColor="text1"/>
          <w:sz w:val="24"/>
          <w:szCs w:val="24"/>
        </w:rPr>
        <w:t>)</w:t>
      </w:r>
      <w:bookmarkEnd w:id="64"/>
    </w:p>
    <w:p w14:paraId="391B62A5" w14:textId="77777777" w:rsidR="00750245" w:rsidRPr="00375799" w:rsidRDefault="00750245" w:rsidP="00750245">
      <w:pPr>
        <w:rPr>
          <w:color w:val="000000" w:themeColor="text1"/>
        </w:rPr>
      </w:pPr>
    </w:p>
    <w:p w14:paraId="2EF28358" w14:textId="6AC322A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pierwszej kolejności podkreślić należy, że proponowane zmiany w ustawie o transporcie drogowym obejmują art. 55a</w:t>
      </w:r>
      <w:r w:rsidR="00E25B8B">
        <w:rPr>
          <w:rFonts w:cstheme="minorHAnsi"/>
          <w:color w:val="000000" w:themeColor="text1"/>
          <w:sz w:val="24"/>
          <w:szCs w:val="24"/>
        </w:rPr>
        <w:t>–</w:t>
      </w:r>
      <w:r w:rsidRPr="00375799">
        <w:rPr>
          <w:rFonts w:cstheme="minorHAnsi"/>
          <w:color w:val="000000" w:themeColor="text1"/>
          <w:sz w:val="24"/>
          <w:szCs w:val="24"/>
        </w:rPr>
        <w:t>55c tej ustawy, które obowiązują od dnia 25 maja 2018 r. Przedmiotowe zmiany, na skutek których art. 55a i art. 55b otrzymają nowe brzmienie, a w art. 55c uchylony zostanie ust. 5, wynikają z:</w:t>
      </w:r>
    </w:p>
    <w:p w14:paraId="28A5A588" w14:textId="2274CB8B" w:rsidR="008706DD" w:rsidRPr="00375799" w:rsidRDefault="008706DD" w:rsidP="00750245">
      <w:pPr>
        <w:pStyle w:val="Akapitzlist"/>
        <w:numPr>
          <w:ilvl w:val="0"/>
          <w:numId w:val="11"/>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konieczności uwzględnienia uwag zgłoszonych przez Ministra Spraw Zagranicznych podczas prac nad projektem ustawy o zmianie niektórych ustaw w związku z zapewnieniem stosowania </w:t>
      </w:r>
      <w:r w:rsidR="006F686C" w:rsidRPr="00375799">
        <w:rPr>
          <w:rFonts w:asciiTheme="minorHAnsi" w:hAnsiTheme="minorHAnsi" w:cstheme="minorHAnsi"/>
          <w:color w:val="000000" w:themeColor="text1"/>
          <w:sz w:val="24"/>
          <w:szCs w:val="24"/>
        </w:rPr>
        <w:t>RODO</w:t>
      </w:r>
      <w:r w:rsidRPr="00375799">
        <w:rPr>
          <w:rFonts w:asciiTheme="minorHAnsi" w:hAnsiTheme="minorHAnsi" w:cstheme="minorHAnsi"/>
          <w:color w:val="000000" w:themeColor="text1"/>
          <w:sz w:val="24"/>
          <w:szCs w:val="24"/>
        </w:rPr>
        <w:t xml:space="preserve"> dotyczących zakresu wyłączeń od stosowania przepisów tego rozporządzenia przewidzianych w obowiązujących przepisach ustawy o transporcie drogowym;</w:t>
      </w:r>
    </w:p>
    <w:p w14:paraId="75CC0EB8" w14:textId="5B14D7AD" w:rsidR="008706DD" w:rsidRPr="00375799" w:rsidRDefault="008706DD" w:rsidP="00750245">
      <w:pPr>
        <w:pStyle w:val="Akapitzlist"/>
        <w:numPr>
          <w:ilvl w:val="0"/>
          <w:numId w:val="11"/>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lastRenderedPageBreak/>
        <w:t xml:space="preserve">uwzględnienia założeń przyjętych podczas prac nad projektem ustawy o zmianie niektórych ustaw w związku z zapewnieniem stosowania </w:t>
      </w:r>
      <w:r w:rsidR="006F686C" w:rsidRPr="00375799">
        <w:rPr>
          <w:rFonts w:asciiTheme="minorHAnsi" w:hAnsiTheme="minorHAnsi" w:cstheme="minorHAnsi"/>
          <w:color w:val="000000" w:themeColor="text1"/>
          <w:sz w:val="24"/>
          <w:szCs w:val="24"/>
        </w:rPr>
        <w:t>RODO</w:t>
      </w:r>
      <w:r w:rsidR="006F686C" w:rsidRPr="00375799" w:rsidDel="006F686C">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w odniesieniu do sposobu wdrożenia regulacji tego rozporządzenia w przepisach krajowych;</w:t>
      </w:r>
    </w:p>
    <w:p w14:paraId="305DB184" w14:textId="6596DE5A" w:rsidR="008706DD" w:rsidRPr="00375799" w:rsidRDefault="008706DD" w:rsidP="00750245">
      <w:pPr>
        <w:pStyle w:val="Akapitzlist"/>
        <w:numPr>
          <w:ilvl w:val="0"/>
          <w:numId w:val="11"/>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konieczności zapewnienia spójności w przepisach dotyczących przekazywania danych osobowych przetwarzanych w związku z wykonywaniem zadań ustawowych z zakresu drogownictwa uprawnionym organom państwa, na skutek czego zaistniała konieczność usunięcia przepisu nakładającego na te organy obowiązku okresowej weryfikacji niezbędności tych danych pozyskanych z Inspekcji Transportu Drogowego; </w:t>
      </w:r>
    </w:p>
    <w:p w14:paraId="156FD46C" w14:textId="0641B4B2" w:rsidR="008706DD" w:rsidRPr="00375799" w:rsidRDefault="008706DD" w:rsidP="00750245">
      <w:pPr>
        <w:pStyle w:val="Akapitzlist"/>
        <w:numPr>
          <w:ilvl w:val="0"/>
          <w:numId w:val="11"/>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podjęcia przez projektodawcę decyzji, zgodnie z którą kwestie przetwarzania danych osobowych w związku z poborem opłat za przejazd (za co Główny Inspektor Transportu Drogowego </w:t>
      </w:r>
      <w:r w:rsidR="005A1481">
        <w:rPr>
          <w:rFonts w:asciiTheme="minorHAnsi" w:hAnsiTheme="minorHAnsi" w:cstheme="minorHAnsi"/>
          <w:color w:val="000000" w:themeColor="text1"/>
          <w:sz w:val="24"/>
          <w:szCs w:val="24"/>
        </w:rPr>
        <w:t>jest</w:t>
      </w:r>
      <w:r w:rsidRPr="00375799">
        <w:rPr>
          <w:rFonts w:asciiTheme="minorHAnsi" w:hAnsiTheme="minorHAnsi" w:cstheme="minorHAnsi"/>
          <w:color w:val="000000" w:themeColor="text1"/>
          <w:sz w:val="24"/>
          <w:szCs w:val="24"/>
        </w:rPr>
        <w:t xml:space="preserve"> odpowiedzialny od dnia 3 listopada 2018 r.) oraz regulacje dotyczące trybu udostępniania danych przetwarzanych w związku z poborem tych opłat uprawnionym organom państwa</w:t>
      </w:r>
      <w:r w:rsidR="00E25B8B">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powinny znaleźć się w „głównych” ustawach regulujących pobór tych opłat, to jest ustawie o drogach publicznych </w:t>
      </w:r>
      <w:r w:rsidR="00E25B8B">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w zakresie opłaty elektronicznej, oraz ustawie o autostradach płatnych oraz o Krajowym Funduszu Drogowym </w:t>
      </w:r>
      <w:r w:rsidR="00E25B8B">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w zakresie opłat za przejazd autostradą. </w:t>
      </w:r>
    </w:p>
    <w:p w14:paraId="7E34E0F0" w14:textId="21BDB92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konsekwencji art. 55a ustawy o transporcie drogowym nadaje się nowe brzmienie, na skutek czego przepis ten będzie regulował trzy kwestie związane z wejściem w życie przepisów </w:t>
      </w:r>
      <w:r w:rsidR="006F686C" w:rsidRPr="00375799">
        <w:rPr>
          <w:rFonts w:cstheme="minorHAnsi"/>
          <w:color w:val="000000" w:themeColor="text1"/>
          <w:sz w:val="24"/>
          <w:szCs w:val="24"/>
        </w:rPr>
        <w:t>RODO</w:t>
      </w:r>
      <w:r w:rsidRPr="00375799">
        <w:rPr>
          <w:rFonts w:cstheme="minorHAnsi"/>
          <w:color w:val="000000" w:themeColor="text1"/>
          <w:sz w:val="24"/>
          <w:szCs w:val="24"/>
        </w:rPr>
        <w:t>.</w:t>
      </w:r>
    </w:p>
    <w:p w14:paraId="4DA64FBF" w14:textId="34F8227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 pierwsze, zgodnie z przepisem art. 22 ust. 1 </w:t>
      </w:r>
      <w:r w:rsidR="006F686C" w:rsidRPr="00375799">
        <w:rPr>
          <w:rFonts w:cstheme="minorHAnsi"/>
          <w:color w:val="000000" w:themeColor="text1"/>
          <w:sz w:val="24"/>
          <w:szCs w:val="24"/>
        </w:rPr>
        <w:t>RODO</w:t>
      </w:r>
      <w:r w:rsidRPr="00375799">
        <w:rPr>
          <w:rFonts w:cstheme="minorHAnsi"/>
          <w:color w:val="000000" w:themeColor="text1"/>
          <w:sz w:val="24"/>
          <w:szCs w:val="24"/>
        </w:rPr>
        <w:t xml:space="preserve">, osoba, której dane dotyczą, ma prawo do tego, </w:t>
      </w:r>
      <w:r w:rsidR="00E25B8B">
        <w:rPr>
          <w:rFonts w:cstheme="minorHAnsi"/>
          <w:color w:val="000000" w:themeColor="text1"/>
          <w:sz w:val="24"/>
          <w:szCs w:val="24"/>
        </w:rPr>
        <w:t>a</w:t>
      </w:r>
      <w:r w:rsidRPr="00375799">
        <w:rPr>
          <w:rFonts w:cstheme="minorHAnsi"/>
          <w:color w:val="000000" w:themeColor="text1"/>
          <w:sz w:val="24"/>
          <w:szCs w:val="24"/>
        </w:rPr>
        <w:t xml:space="preserve">by nie podlegać decyzji, która opiera się wyłącznie na zautomatyzowanym przetwarzaniu, w tym profilowaniu, i wywołuje wobec tej osoby skutki prawne lub w podobny sposób istotnie na nią wpływa. Na podstawie art. 22 ust. 2 </w:t>
      </w:r>
      <w:r w:rsidR="006F686C" w:rsidRPr="00375799">
        <w:rPr>
          <w:rFonts w:cstheme="minorHAnsi"/>
          <w:color w:val="000000" w:themeColor="text1"/>
          <w:sz w:val="24"/>
          <w:szCs w:val="24"/>
        </w:rPr>
        <w:t>RODO</w:t>
      </w:r>
      <w:r w:rsidRPr="00375799">
        <w:rPr>
          <w:rFonts w:cstheme="minorHAnsi"/>
          <w:color w:val="000000" w:themeColor="text1"/>
          <w:sz w:val="24"/>
          <w:szCs w:val="24"/>
        </w:rPr>
        <w:t xml:space="preserve"> ww. regulacja ust. 1 nie ma zastosowania</w:t>
      </w:r>
      <w:r w:rsidR="00E25B8B">
        <w:rPr>
          <w:rFonts w:cstheme="minorHAnsi"/>
          <w:color w:val="000000" w:themeColor="text1"/>
          <w:sz w:val="24"/>
          <w:szCs w:val="24"/>
        </w:rPr>
        <w:t>,</w:t>
      </w:r>
      <w:r w:rsidRPr="00375799">
        <w:rPr>
          <w:rFonts w:cstheme="minorHAnsi"/>
          <w:color w:val="000000" w:themeColor="text1"/>
          <w:sz w:val="24"/>
          <w:szCs w:val="24"/>
        </w:rPr>
        <w:t xml:space="preserve"> jeżeli przepis prawa państwa członkowskiego, któremu podlega administrator</w:t>
      </w:r>
      <w:r w:rsidR="00E25B8B">
        <w:rPr>
          <w:rFonts w:cstheme="minorHAnsi"/>
          <w:color w:val="000000" w:themeColor="text1"/>
          <w:sz w:val="24"/>
          <w:szCs w:val="24"/>
        </w:rPr>
        <w:t>,</w:t>
      </w:r>
      <w:r w:rsidRPr="00375799">
        <w:rPr>
          <w:rFonts w:cstheme="minorHAnsi"/>
          <w:color w:val="000000" w:themeColor="text1"/>
          <w:sz w:val="24"/>
          <w:szCs w:val="24"/>
        </w:rPr>
        <w:t xml:space="preserve"> pozwala na zautomatyzowane przetwarzanie, w tym profilowanie danych osobowych</w:t>
      </w:r>
      <w:r w:rsidR="00471DF9">
        <w:rPr>
          <w:rFonts w:cstheme="minorHAnsi"/>
          <w:color w:val="000000" w:themeColor="text1"/>
          <w:sz w:val="24"/>
          <w:szCs w:val="24"/>
        </w:rPr>
        <w:t>,</w:t>
      </w:r>
      <w:r w:rsidRPr="00375799">
        <w:rPr>
          <w:rFonts w:cstheme="minorHAnsi"/>
          <w:color w:val="000000" w:themeColor="text1"/>
          <w:sz w:val="24"/>
          <w:szCs w:val="24"/>
        </w:rPr>
        <w:t xml:space="preserve"> i przewiduje właściwe środki ochrony praw, wolności i prawnie uzasadnionych interesów osoby, której dane dotyczą. Na podstawie przepisów ustawy </w:t>
      </w:r>
      <w:r w:rsidR="00E25B8B">
        <w:rPr>
          <w:rFonts w:cstheme="minorHAnsi"/>
          <w:color w:val="000000" w:themeColor="text1"/>
          <w:sz w:val="24"/>
          <w:szCs w:val="24"/>
        </w:rPr>
        <w:t>–</w:t>
      </w:r>
      <w:r w:rsidRPr="00375799">
        <w:rPr>
          <w:rFonts w:cstheme="minorHAnsi"/>
          <w:color w:val="000000" w:themeColor="text1"/>
          <w:sz w:val="24"/>
          <w:szCs w:val="24"/>
        </w:rPr>
        <w:t xml:space="preserve"> Prawo o ruchu drogowym Inspekcja Transportu Drogowego wykonuje zadania polegające na ujawnianiu za pomocą stacjonarnych urządzeń rejestrujących zainstalowanych w pasie drogowym dróg publicznych naruszeń przekraczania dopuszczalnej prędkości oraz niestosowania się do sygnałów świetlnych </w:t>
      </w:r>
      <w:r w:rsidR="00F11121" w:rsidRPr="00375799">
        <w:rPr>
          <w:rFonts w:cstheme="minorHAnsi"/>
          <w:color w:val="000000" w:themeColor="text1"/>
          <w:sz w:val="24"/>
          <w:szCs w:val="24"/>
        </w:rPr>
        <w:t>czy kontroli ruchu drogowego w odniesieniu do kierującego pojazdem</w:t>
      </w:r>
      <w:r w:rsidR="00E25B8B">
        <w:rPr>
          <w:rFonts w:cstheme="minorHAnsi"/>
          <w:color w:val="000000" w:themeColor="text1"/>
          <w:sz w:val="24"/>
          <w:szCs w:val="24"/>
        </w:rPr>
        <w:t>,</w:t>
      </w:r>
      <w:r w:rsidR="00F11121" w:rsidRPr="00375799">
        <w:rPr>
          <w:rFonts w:cstheme="minorHAnsi"/>
          <w:color w:val="000000" w:themeColor="text1"/>
          <w:sz w:val="24"/>
          <w:szCs w:val="24"/>
        </w:rPr>
        <w:t xml:space="preserve"> który naruszył przepisy ruchu drogowego, w przypadku zarejestrowania tego naruszenia przy użyciu przenośnych albo zainstalowanych w pojeździe albo na statku powietrznym urządzeń rejestrujących,</w:t>
      </w:r>
      <w:r w:rsidR="00F11121" w:rsidRPr="00375799">
        <w:rPr>
          <w:rFonts w:cstheme="minorHAnsi"/>
          <w:b/>
          <w:color w:val="000000" w:themeColor="text1"/>
          <w:sz w:val="24"/>
          <w:szCs w:val="24"/>
        </w:rPr>
        <w:t xml:space="preserve"> </w:t>
      </w:r>
      <w:r w:rsidRPr="00375799">
        <w:rPr>
          <w:rFonts w:cstheme="minorHAnsi"/>
          <w:color w:val="000000" w:themeColor="text1"/>
          <w:sz w:val="24"/>
          <w:szCs w:val="24"/>
        </w:rPr>
        <w:t>w ramach których dane osobowe kierującego pojazdem podlegają profilowaniu. Mając na uwadze wskazane</w:t>
      </w:r>
      <w:r w:rsidR="00E25B8B">
        <w:rPr>
          <w:rFonts w:cstheme="minorHAnsi"/>
          <w:color w:val="000000" w:themeColor="text1"/>
          <w:sz w:val="24"/>
          <w:szCs w:val="24"/>
        </w:rPr>
        <w:t>,</w:t>
      </w:r>
      <w:r w:rsidRPr="00375799">
        <w:rPr>
          <w:rFonts w:cstheme="minorHAnsi"/>
          <w:color w:val="000000" w:themeColor="text1"/>
          <w:sz w:val="24"/>
          <w:szCs w:val="24"/>
        </w:rPr>
        <w:t xml:space="preserve"> zasadne jest wprowadzenie do projektu ustawy wyżej zaproponowanego przepisu, który znajdzie się w ust. 1 w art. 55a ustawy o transporcie drogowym.</w:t>
      </w:r>
    </w:p>
    <w:p w14:paraId="004E3645" w14:textId="57D48F1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 drugie, w ust. 2 ww. przepisu, wyraźnie wskazano, że w przypadku przetwarzania danych osobowych w związku z wykonywaniem zadań, o których mowa w art. 50, Inspekcja Transportu Drogowego realizuje obowiązki, o których mowa w art. 13 ust. 1 i 2 </w:t>
      </w:r>
      <w:r w:rsidR="006F686C" w:rsidRPr="00375799">
        <w:rPr>
          <w:rFonts w:cstheme="minorHAnsi"/>
          <w:color w:val="000000" w:themeColor="text1"/>
          <w:sz w:val="24"/>
          <w:szCs w:val="24"/>
        </w:rPr>
        <w:t>RODO</w:t>
      </w:r>
      <w:r w:rsidRPr="00375799">
        <w:rPr>
          <w:rFonts w:cstheme="minorHAnsi"/>
          <w:color w:val="000000" w:themeColor="text1"/>
          <w:sz w:val="24"/>
          <w:szCs w:val="24"/>
        </w:rPr>
        <w:t xml:space="preserve">, przy </w:t>
      </w:r>
      <w:r w:rsidRPr="00375799">
        <w:rPr>
          <w:rFonts w:cstheme="minorHAnsi"/>
          <w:color w:val="000000" w:themeColor="text1"/>
          <w:sz w:val="24"/>
          <w:szCs w:val="24"/>
        </w:rPr>
        <w:lastRenderedPageBreak/>
        <w:t xml:space="preserve">pierwszej czynności skierowanej do tej osoby. Przedmiotowy przepis jest niezbędny z tego powodu, że w omawianych procedurach z zasady nie stosuje się przepisów </w:t>
      </w:r>
      <w:r w:rsidR="005A1481">
        <w:rPr>
          <w:rFonts w:cstheme="minorHAnsi"/>
          <w:color w:val="000000" w:themeColor="text1"/>
          <w:sz w:val="24"/>
          <w:szCs w:val="24"/>
        </w:rPr>
        <w:t>k</w:t>
      </w:r>
      <w:r w:rsidRPr="00375799">
        <w:rPr>
          <w:rFonts w:cstheme="minorHAnsi"/>
          <w:color w:val="000000" w:themeColor="text1"/>
          <w:sz w:val="24"/>
          <w:szCs w:val="24"/>
        </w:rPr>
        <w:t xml:space="preserve">pa (jedynie w niektórych przypadkach prowadzone są postępowania administracyjne). Konieczne jest wprowadzenie w powyższym zakresie rozwiązań analogicznych do tych, które projektodawca proponuje uregulować w </w:t>
      </w:r>
      <w:r w:rsidR="005A1481">
        <w:rPr>
          <w:rFonts w:cstheme="minorHAnsi"/>
          <w:color w:val="000000" w:themeColor="text1"/>
          <w:sz w:val="24"/>
          <w:szCs w:val="24"/>
        </w:rPr>
        <w:t>k</w:t>
      </w:r>
      <w:r w:rsidRPr="00375799">
        <w:rPr>
          <w:rFonts w:cstheme="minorHAnsi"/>
          <w:color w:val="000000" w:themeColor="text1"/>
          <w:sz w:val="24"/>
          <w:szCs w:val="24"/>
        </w:rPr>
        <w:t>pa, tak aby zapewnić spójność krajowego systemu prawnego w zakresie realizacji obowiązków informacyjnych z RODO przez organy administracji publicznej.</w:t>
      </w:r>
    </w:p>
    <w:p w14:paraId="5384AD69" w14:textId="51D031A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 trzecie, w ust. 3 w art. 55a ustawy o transporcie drogowym, wprowadza się regulację wskazującą, że wystąpienie z żądaniem do ograniczenia przetwarzania danych osobowych, o którym mowa w art. 18 ust. 1 </w:t>
      </w:r>
      <w:r w:rsidR="006F686C" w:rsidRPr="00375799">
        <w:rPr>
          <w:rFonts w:cstheme="minorHAnsi"/>
          <w:color w:val="000000" w:themeColor="text1"/>
          <w:sz w:val="24"/>
          <w:szCs w:val="24"/>
        </w:rPr>
        <w:t>RODO</w:t>
      </w:r>
      <w:r w:rsidRPr="00375799">
        <w:rPr>
          <w:rFonts w:cstheme="minorHAnsi"/>
          <w:color w:val="000000" w:themeColor="text1"/>
          <w:sz w:val="24"/>
          <w:szCs w:val="24"/>
        </w:rPr>
        <w:t xml:space="preserve">, przez osobę, której dane dotyczą, nie wpływa na wykonywanie przez Inspekcję zadań, o których mowa w art. 50 tej ustawy. Przedmiotowy przepis nie jest ograniczeniem stosowania przepisów </w:t>
      </w:r>
      <w:r w:rsidR="006F686C" w:rsidRPr="00375799">
        <w:rPr>
          <w:rFonts w:cstheme="minorHAnsi"/>
          <w:color w:val="000000" w:themeColor="text1"/>
          <w:sz w:val="24"/>
          <w:szCs w:val="24"/>
        </w:rPr>
        <w:t>RODO</w:t>
      </w:r>
      <w:r w:rsidR="006F686C" w:rsidRPr="00375799" w:rsidDel="006F686C">
        <w:rPr>
          <w:rFonts w:cstheme="minorHAnsi"/>
          <w:color w:val="000000" w:themeColor="text1"/>
          <w:sz w:val="24"/>
          <w:szCs w:val="24"/>
        </w:rPr>
        <w:t xml:space="preserve"> </w:t>
      </w:r>
      <w:r w:rsidRPr="00375799">
        <w:rPr>
          <w:rFonts w:cstheme="minorHAnsi"/>
          <w:color w:val="000000" w:themeColor="text1"/>
          <w:sz w:val="24"/>
          <w:szCs w:val="24"/>
        </w:rPr>
        <w:t xml:space="preserve">w rozumieniu jego art. 23 ust. 1, lecz jasno wskazuje, że realizacja praw związanych z ochroną danych osobowych odbywa się niezależnie od zadań wykonywanych przez Inspekcję. Zainteresowana osoba ma więc prawo do skorzystania z prawa, o którym mowa w art. 18 ust. 1 </w:t>
      </w:r>
      <w:r w:rsidR="006F686C" w:rsidRPr="00375799">
        <w:rPr>
          <w:rFonts w:cstheme="minorHAnsi"/>
          <w:color w:val="000000" w:themeColor="text1"/>
          <w:sz w:val="24"/>
          <w:szCs w:val="24"/>
        </w:rPr>
        <w:t>RODO</w:t>
      </w:r>
      <w:r w:rsidRPr="00375799">
        <w:rPr>
          <w:rFonts w:cstheme="minorHAnsi"/>
          <w:color w:val="000000" w:themeColor="text1"/>
          <w:sz w:val="24"/>
          <w:szCs w:val="24"/>
        </w:rPr>
        <w:t>, ale nie wpływa to na możliwości wykonywania przez ww. organ zadań wymienionych w art. 50 ustawy o transporcie drogowym.</w:t>
      </w:r>
    </w:p>
    <w:p w14:paraId="23FD85C4" w14:textId="4F5C905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Zastrzec w tym miejscu należy, że nie jest konieczne wprowadzenie do powyższego przepisu analogicznej regulacji, która dotyczyłaby prawa do sprzeciwu, o którym mowa w art. 21 ust. 1 </w:t>
      </w:r>
      <w:r w:rsidR="006F686C" w:rsidRPr="00375799">
        <w:rPr>
          <w:rFonts w:cstheme="minorHAnsi"/>
          <w:color w:val="000000" w:themeColor="text1"/>
          <w:sz w:val="24"/>
          <w:szCs w:val="24"/>
        </w:rPr>
        <w:t>RODO</w:t>
      </w:r>
      <w:r w:rsidRPr="00375799">
        <w:rPr>
          <w:rFonts w:cstheme="minorHAnsi"/>
          <w:color w:val="000000" w:themeColor="text1"/>
          <w:sz w:val="24"/>
          <w:szCs w:val="24"/>
        </w:rPr>
        <w:t>. Sprzeciw ten przysługuje bowiem wyłącznie w przypadku</w:t>
      </w:r>
      <w:r w:rsidR="005A1481">
        <w:rPr>
          <w:rFonts w:cstheme="minorHAnsi"/>
          <w:color w:val="000000" w:themeColor="text1"/>
          <w:sz w:val="24"/>
          <w:szCs w:val="24"/>
        </w:rPr>
        <w:t>,</w:t>
      </w:r>
      <w:r w:rsidRPr="00375799">
        <w:rPr>
          <w:rFonts w:cstheme="minorHAnsi"/>
          <w:color w:val="000000" w:themeColor="text1"/>
          <w:sz w:val="24"/>
          <w:szCs w:val="24"/>
        </w:rPr>
        <w:t xml:space="preserve"> gdy przetwarzanie danych osobowych odbywa się na podstawie art. 6 ust. 1 lit. e lub f </w:t>
      </w:r>
      <w:r w:rsidR="006F686C" w:rsidRPr="00375799">
        <w:rPr>
          <w:rFonts w:cstheme="minorHAnsi"/>
          <w:color w:val="000000" w:themeColor="text1"/>
          <w:sz w:val="24"/>
          <w:szCs w:val="24"/>
        </w:rPr>
        <w:t>RODO</w:t>
      </w:r>
      <w:r w:rsidRPr="00375799">
        <w:rPr>
          <w:rFonts w:cstheme="minorHAnsi"/>
          <w:color w:val="000000" w:themeColor="text1"/>
          <w:sz w:val="24"/>
          <w:szCs w:val="24"/>
        </w:rPr>
        <w:t xml:space="preserve">. Tymczasem przetwarzanie danych osobowych w zakresie niezbędnym do wykonywania zadań, o których mowa w art. 50 ustawy o transporcie drogowym, ma miejsce na podstawie art. 6 ust. 1 lit. c </w:t>
      </w:r>
      <w:r w:rsidR="006F686C" w:rsidRPr="00375799">
        <w:rPr>
          <w:rFonts w:cstheme="minorHAnsi"/>
          <w:color w:val="000000" w:themeColor="text1"/>
          <w:sz w:val="24"/>
          <w:szCs w:val="24"/>
        </w:rPr>
        <w:t>RODO</w:t>
      </w:r>
      <w:r w:rsidRPr="00375799">
        <w:rPr>
          <w:rFonts w:cstheme="minorHAnsi"/>
          <w:color w:val="000000" w:themeColor="text1"/>
          <w:sz w:val="24"/>
          <w:szCs w:val="24"/>
        </w:rPr>
        <w:t>, to znaczy jest niezbędne do wypełnienia obowiązku prawnego ciążącego na administratorze. W konsekwencji, przy przetwarzaniu danych osobowych na tej podstawie prawo do sprzeciwu nie przysługuje i nie ma potrzeby wskazywania w przepisach ustawy o transporcie drogowym, że skorzystanie z tego prawa nie wpływa na realizację zadań przez Inspekcję Transportu Drogowego.</w:t>
      </w:r>
    </w:p>
    <w:p w14:paraId="5001724A"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Nadanie nowego brzmienia art. 55b ustawy o transporcie drogowym jest konieczne ze względu na zakres zmian, który jest wprowadzany w przedmiotowym przepisie. </w:t>
      </w:r>
    </w:p>
    <w:p w14:paraId="628A62AA"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 pierwsze, usuwa się z tego przepisu regulację dotyczącą okresowej weryfikacji danych przez organ, który uzyskał dane osobowe od Inspekcji Transportu Drogowego. Jak już wyżej wskazano przedmiotowe rozwiązanie ma na celu zachowanie spójności przepisów prawa, które są zmieniane w ramach przedmiotowego projektu ustawy. </w:t>
      </w:r>
    </w:p>
    <w:p w14:paraId="71F7EF2B" w14:textId="3B632D6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 drugie, rozszerzono katalog podmiotów, którym należy nieodpłatnie udostępnić dane osobowe w zakresie niezbędnym do realizacji ich zadań ustawowych</w:t>
      </w:r>
      <w:r w:rsidR="00E25B8B">
        <w:rPr>
          <w:rFonts w:cstheme="minorHAnsi"/>
          <w:color w:val="000000" w:themeColor="text1"/>
          <w:sz w:val="24"/>
          <w:szCs w:val="24"/>
        </w:rPr>
        <w:t>,</w:t>
      </w:r>
      <w:r w:rsidRPr="00375799">
        <w:rPr>
          <w:rFonts w:cstheme="minorHAnsi"/>
          <w:color w:val="000000" w:themeColor="text1"/>
          <w:sz w:val="24"/>
          <w:szCs w:val="24"/>
        </w:rPr>
        <w:t xml:space="preserve"> o Biuro Nadzoru Wewnętrznego i Służbę Ochrony Państwa, co stanowi realizację ustaleń przyjętych przez Komitet Rady Ministrów do Spraw Cyfryzacji podczas prac nad projektowaną ustawą. </w:t>
      </w:r>
    </w:p>
    <w:p w14:paraId="4F9F358A" w14:textId="66D2B01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 trzecie, zmodyfikowano ust. 1 omawianego przepisu</w:t>
      </w:r>
      <w:r w:rsidR="00E25B8B">
        <w:rPr>
          <w:rFonts w:cstheme="minorHAnsi"/>
          <w:color w:val="000000" w:themeColor="text1"/>
          <w:sz w:val="24"/>
          <w:szCs w:val="24"/>
        </w:rPr>
        <w:t>,</w:t>
      </w:r>
      <w:r w:rsidRPr="00375799">
        <w:rPr>
          <w:rFonts w:cstheme="minorHAnsi"/>
          <w:color w:val="000000" w:themeColor="text1"/>
          <w:sz w:val="24"/>
          <w:szCs w:val="24"/>
        </w:rPr>
        <w:t xml:space="preserve"> wyłączając z jego dyspozycji dane osobowe przetwarzane na podstawie ustaw odrębnych. Jak już wyżej wspomniano, przepisy dotyczące udostępniania danych osobowych przetwarzanych w związku z poborem </w:t>
      </w:r>
      <w:r w:rsidRPr="00375799">
        <w:rPr>
          <w:rFonts w:cstheme="minorHAnsi"/>
          <w:color w:val="000000" w:themeColor="text1"/>
          <w:sz w:val="24"/>
          <w:szCs w:val="24"/>
        </w:rPr>
        <w:lastRenderedPageBreak/>
        <w:t xml:space="preserve">opłat za przejazd przeniesiono do ustaw kompleksowo regulujących pobór tych opłat. Przepisy te, od dnia 3 listopada 2018 r., będą miały zastosowanie również do Głównego Inspektora Transportu Drogowego. </w:t>
      </w:r>
    </w:p>
    <w:p w14:paraId="29D5BEC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 czwarte, konieczne jest nadanie kompetencji do udostępniania danych osobowych, określonym w tym przepisie, również wojewódzkim inspektorom transportu drogowego, analogicznie do Głównego Inspektora Transportu Drogowego, w zakresie zadań realizowanych przez wojewódzkich inspektorów.</w:t>
      </w:r>
    </w:p>
    <w:p w14:paraId="0804DBB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 piąte, konieczne było zmodyfikowanie całego przedmiotowego przepisu ze względu na proponowane zmiany w jego ust. 1, a także zmianę brzmienia art. 55a, do którego odsyła obecnie art. 55b ustawy o transporcie drogowym. </w:t>
      </w:r>
    </w:p>
    <w:p w14:paraId="3D6DEC3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 w art. 55c ma charakter doprecyzowujący i ma na celu usunięcie odesłania do art. 55a, który w całości otrzyma nowe brzmienie, wskutek czego odesłanie to nie będzie miało uzasadnienia.</w:t>
      </w:r>
    </w:p>
    <w:p w14:paraId="3D0D14E3" w14:textId="6A0814A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Uchylenie art. 82 ustawy o transporcie drogowym ma charakter dostosowawczy. Przepis ten wyłącza obowiązki informacyjne, o których mowa w art. 25 ust. 1 ustawy z dnia 29 sierpnia 1997 r. o ochronie danych osobowych. W związku z uchyleniem przywołanych przepisów ustawy o ochronie danych osobowych, konieczne staje się uchylenie również art. 82 o transporcie drogowym.</w:t>
      </w:r>
    </w:p>
    <w:p w14:paraId="39E726CD" w14:textId="530D8AC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Podobnie uchylenie w art. 82g ust. 3 ustawy o transporcie drogowym również ma charakter dostosowawczy.</w:t>
      </w:r>
    </w:p>
    <w:p w14:paraId="73C8543F" w14:textId="4992105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Inspektorzy Inspekcji Transportu Drogowego dokonują kontroli, o której mowa w rozdziale 10 ustawy o transporcie drogowym, na warunkach i w trybie określonych w tejże ustawie. Do prowadzenia kontroli na podstawie przepisów ustawy o transporcie drogowym nie stosuje się przepisów kodeksu postępowania administracyjnego. W celu umożliwienia przeprowadzenia kontroli oraz nałożenia stosownej kary należy wprowadzić przepis, który zapobiegnie utrudnianiu i blokowaniu postępowania w związku ze stosowaniem prawa do ograniczenia przetwarzania danych osobowych na podstawie art. 18 ust. 1 </w:t>
      </w:r>
      <w:r w:rsidR="006F686C" w:rsidRPr="00375799">
        <w:rPr>
          <w:rFonts w:cstheme="minorHAnsi"/>
          <w:color w:val="000000" w:themeColor="text1"/>
          <w:sz w:val="24"/>
          <w:szCs w:val="24"/>
        </w:rPr>
        <w:t>RODO</w:t>
      </w:r>
      <w:r w:rsidRPr="00375799">
        <w:rPr>
          <w:rFonts w:cstheme="minorHAnsi"/>
          <w:color w:val="000000" w:themeColor="text1"/>
          <w:sz w:val="24"/>
          <w:szCs w:val="24"/>
        </w:rPr>
        <w:t>.</w:t>
      </w:r>
    </w:p>
    <w:p w14:paraId="6754E38E" w14:textId="109BC58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 art. 18 ust. 1 </w:t>
      </w:r>
      <w:r w:rsidR="006F686C" w:rsidRPr="00375799">
        <w:rPr>
          <w:rFonts w:cstheme="minorHAnsi"/>
          <w:color w:val="000000" w:themeColor="text1"/>
          <w:sz w:val="24"/>
          <w:szCs w:val="24"/>
        </w:rPr>
        <w:t>RODO</w:t>
      </w:r>
      <w:r w:rsidR="006F686C" w:rsidRPr="00375799" w:rsidDel="006F686C">
        <w:rPr>
          <w:rFonts w:cstheme="minorHAnsi"/>
          <w:color w:val="000000" w:themeColor="text1"/>
          <w:sz w:val="24"/>
          <w:szCs w:val="24"/>
        </w:rPr>
        <w:t xml:space="preserve"> </w:t>
      </w:r>
      <w:r w:rsidRPr="00375799">
        <w:rPr>
          <w:rFonts w:cstheme="minorHAnsi"/>
          <w:color w:val="000000" w:themeColor="text1"/>
          <w:sz w:val="24"/>
          <w:szCs w:val="24"/>
        </w:rPr>
        <w:t>rodzi realne niebezpieczeństwo pojawienia się prób wpływania na przebieg kontroli prowadzonych na podstawie rozdziału 10 ustawy o transporcie drogowym, a zwłaszcza na szybkość ich re</w:t>
      </w:r>
      <w:r w:rsidR="00533ECE" w:rsidRPr="00375799">
        <w:rPr>
          <w:rFonts w:cstheme="minorHAnsi"/>
          <w:color w:val="000000" w:themeColor="text1"/>
          <w:sz w:val="24"/>
          <w:szCs w:val="24"/>
        </w:rPr>
        <w:t>alizacji. Żądanie ograniczenia</w:t>
      </w:r>
      <w:r w:rsidR="00750245" w:rsidRPr="00375799">
        <w:rPr>
          <w:rFonts w:cstheme="minorHAnsi"/>
          <w:color w:val="000000" w:themeColor="text1"/>
          <w:sz w:val="24"/>
          <w:szCs w:val="24"/>
        </w:rPr>
        <w:t xml:space="preserve"> </w:t>
      </w:r>
      <w:r w:rsidRPr="00375799">
        <w:rPr>
          <w:rFonts w:cstheme="minorHAnsi"/>
          <w:color w:val="000000" w:themeColor="text1"/>
          <w:sz w:val="24"/>
          <w:szCs w:val="24"/>
        </w:rPr>
        <w:t xml:space="preserve">przetwarzania danych, w szczególności kwestionowanie prawidłowości danych przez osobę, której one dotyczą, prowadziłoby do wstrzymywania realizacji kontroli. Każda taka interwencja wpływałaby na ograniczenie przetwarzania danych osobowych przez uprawniony do kontroli organ. Wykorzystanie przez osobę, której dane dotyczą, uprawnień przewidzianych w art. 18 ust. 1 </w:t>
      </w:r>
      <w:r w:rsidR="006F686C" w:rsidRPr="00375799">
        <w:rPr>
          <w:rFonts w:cstheme="minorHAnsi"/>
          <w:color w:val="000000" w:themeColor="text1"/>
          <w:sz w:val="24"/>
          <w:szCs w:val="24"/>
        </w:rPr>
        <w:t>RODO</w:t>
      </w:r>
      <w:r w:rsidR="006F686C" w:rsidRPr="00375799" w:rsidDel="006F686C">
        <w:rPr>
          <w:rFonts w:cstheme="minorHAnsi"/>
          <w:color w:val="000000" w:themeColor="text1"/>
          <w:sz w:val="24"/>
          <w:szCs w:val="24"/>
        </w:rPr>
        <w:t xml:space="preserve"> </w:t>
      </w:r>
      <w:r w:rsidRPr="00375799">
        <w:rPr>
          <w:rFonts w:cstheme="minorHAnsi"/>
          <w:color w:val="000000" w:themeColor="text1"/>
          <w:sz w:val="24"/>
          <w:szCs w:val="24"/>
        </w:rPr>
        <w:t xml:space="preserve">może zatem znacznie utrudnić bądź uniemożliwić realizację kontroli prowadzonych na podstawie rozdziału 10 ustawy o transporcie drogowym. </w:t>
      </w:r>
    </w:p>
    <w:p w14:paraId="3EAAA35D" w14:textId="42F4F8A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tym należy uznać, że wprowadzenie regulacji, zgodnie z którą skorzystanie z prawa do ograniczenia przetwarzania danych osobowych, o którym mowa w art. 18 ust. 1 </w:t>
      </w:r>
      <w:r w:rsidR="006F686C" w:rsidRPr="00375799">
        <w:rPr>
          <w:rFonts w:cstheme="minorHAnsi"/>
          <w:color w:val="000000" w:themeColor="text1"/>
          <w:sz w:val="24"/>
          <w:szCs w:val="24"/>
        </w:rPr>
        <w:t>RODO</w:t>
      </w:r>
      <w:r w:rsidR="00E25B8B">
        <w:rPr>
          <w:rFonts w:cstheme="minorHAnsi"/>
          <w:color w:val="000000" w:themeColor="text1"/>
          <w:sz w:val="24"/>
          <w:szCs w:val="24"/>
        </w:rPr>
        <w:t>,</w:t>
      </w:r>
      <w:r w:rsidR="006F686C" w:rsidRPr="00375799" w:rsidDel="006F686C">
        <w:rPr>
          <w:rFonts w:cstheme="minorHAnsi"/>
          <w:color w:val="000000" w:themeColor="text1"/>
          <w:sz w:val="24"/>
          <w:szCs w:val="24"/>
        </w:rPr>
        <w:t xml:space="preserve"> </w:t>
      </w:r>
      <w:r w:rsidRPr="00375799">
        <w:rPr>
          <w:rFonts w:cstheme="minorHAnsi"/>
          <w:color w:val="000000" w:themeColor="text1"/>
          <w:sz w:val="24"/>
          <w:szCs w:val="24"/>
        </w:rPr>
        <w:t xml:space="preserve">nie wpływa na przebieg kontroli prowadzonych na podstawie rozdziału 10 ustawy o transporcie drogowym oraz uprawnienia właściwego organu do nałożenia kary jest </w:t>
      </w:r>
      <w:r w:rsidRPr="00375799">
        <w:rPr>
          <w:rFonts w:cstheme="minorHAnsi"/>
          <w:color w:val="000000" w:themeColor="text1"/>
          <w:sz w:val="24"/>
          <w:szCs w:val="24"/>
        </w:rPr>
        <w:lastRenderedPageBreak/>
        <w:t xml:space="preserve">uzasadnione. Przedmiotowy przepis nie jest ograniczeniem stosowania przepisów </w:t>
      </w:r>
      <w:r w:rsidR="006F686C" w:rsidRPr="00375799">
        <w:rPr>
          <w:rFonts w:cstheme="minorHAnsi"/>
          <w:color w:val="000000" w:themeColor="text1"/>
          <w:sz w:val="24"/>
          <w:szCs w:val="24"/>
        </w:rPr>
        <w:t>RODO</w:t>
      </w:r>
      <w:r w:rsidR="006F686C" w:rsidRPr="00375799" w:rsidDel="006F686C">
        <w:rPr>
          <w:rFonts w:cstheme="minorHAnsi"/>
          <w:color w:val="000000" w:themeColor="text1"/>
          <w:sz w:val="24"/>
          <w:szCs w:val="24"/>
        </w:rPr>
        <w:t xml:space="preserve"> </w:t>
      </w:r>
      <w:r w:rsidRPr="00375799">
        <w:rPr>
          <w:rFonts w:cstheme="minorHAnsi"/>
          <w:color w:val="000000" w:themeColor="text1"/>
          <w:sz w:val="24"/>
          <w:szCs w:val="24"/>
        </w:rPr>
        <w:t xml:space="preserve">w rozumieniu jego art. 23 ust. 1, lecz jasno wskazuje, że realizacja praw związanych z ochroną danych osobowych odbywa się niezależnie od wykonywanej kontroli. Zainteresowana osoba ma więc prawo do skorzystania z prawa, o którym mowa w art. 18 ust. 1 </w:t>
      </w:r>
      <w:r w:rsidR="006F686C" w:rsidRPr="00375799">
        <w:rPr>
          <w:rFonts w:cstheme="minorHAnsi"/>
          <w:color w:val="000000" w:themeColor="text1"/>
          <w:sz w:val="24"/>
          <w:szCs w:val="24"/>
        </w:rPr>
        <w:t>RODO</w:t>
      </w:r>
      <w:r w:rsidRPr="00375799">
        <w:rPr>
          <w:rFonts w:cstheme="minorHAnsi"/>
          <w:color w:val="000000" w:themeColor="text1"/>
          <w:sz w:val="24"/>
          <w:szCs w:val="24"/>
        </w:rPr>
        <w:t>, ale nie w</w:t>
      </w:r>
      <w:r w:rsidR="00533ECE" w:rsidRPr="00375799">
        <w:rPr>
          <w:rFonts w:cstheme="minorHAnsi"/>
          <w:color w:val="000000" w:themeColor="text1"/>
          <w:sz w:val="24"/>
          <w:szCs w:val="24"/>
        </w:rPr>
        <w:t xml:space="preserve">pływa to na przebieg kontroli. </w:t>
      </w:r>
    </w:p>
    <w:p w14:paraId="334A0C64" w14:textId="77777777" w:rsidR="00533ECE" w:rsidRPr="00375799" w:rsidRDefault="00533ECE" w:rsidP="0055107B">
      <w:pPr>
        <w:spacing w:after="0" w:line="276" w:lineRule="auto"/>
        <w:ind w:left="57" w:right="57"/>
        <w:contextualSpacing/>
        <w:jc w:val="both"/>
        <w:rPr>
          <w:rFonts w:cstheme="minorHAnsi"/>
          <w:color w:val="000000" w:themeColor="text1"/>
          <w:sz w:val="24"/>
          <w:szCs w:val="24"/>
        </w:rPr>
      </w:pPr>
    </w:p>
    <w:p w14:paraId="3ACA177E" w14:textId="25ADFB42"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65" w:name="_Toc530565037"/>
      <w:r w:rsidRPr="00375799">
        <w:rPr>
          <w:rFonts w:asciiTheme="minorHAnsi" w:hAnsiTheme="minorHAnsi" w:cstheme="minorHAnsi"/>
          <w:color w:val="000000" w:themeColor="text1"/>
          <w:sz w:val="24"/>
          <w:szCs w:val="24"/>
        </w:rPr>
        <w:t>Ustawa z dnia 3 lipca 2002 r. – Prawo lotnicze (Dz. U. z 201</w:t>
      </w:r>
      <w:r w:rsidR="00A312AB" w:rsidRPr="00375799">
        <w:rPr>
          <w:rFonts w:asciiTheme="minorHAnsi" w:hAnsiTheme="minorHAnsi" w:cstheme="minorHAnsi"/>
          <w:color w:val="000000" w:themeColor="text1"/>
          <w:sz w:val="24"/>
          <w:szCs w:val="24"/>
        </w:rPr>
        <w:t>8</w:t>
      </w:r>
      <w:r w:rsidRPr="00375799">
        <w:rPr>
          <w:rFonts w:asciiTheme="minorHAnsi" w:hAnsiTheme="minorHAnsi" w:cstheme="minorHAnsi"/>
          <w:color w:val="000000" w:themeColor="text1"/>
          <w:sz w:val="24"/>
          <w:szCs w:val="24"/>
        </w:rPr>
        <w:t xml:space="preserve"> r. poz. </w:t>
      </w:r>
      <w:r w:rsidR="00A312AB" w:rsidRPr="00375799">
        <w:rPr>
          <w:rFonts w:asciiTheme="minorHAnsi" w:hAnsiTheme="minorHAnsi" w:cstheme="minorHAnsi"/>
          <w:color w:val="000000" w:themeColor="text1"/>
          <w:sz w:val="24"/>
          <w:szCs w:val="24"/>
        </w:rPr>
        <w:t>1183</w:t>
      </w:r>
      <w:r w:rsidR="00CF7B15">
        <w:rPr>
          <w:rFonts w:asciiTheme="minorHAnsi" w:hAnsiTheme="minorHAnsi" w:cstheme="minorHAnsi"/>
          <w:color w:val="000000" w:themeColor="text1"/>
          <w:sz w:val="24"/>
          <w:szCs w:val="24"/>
        </w:rPr>
        <w:t>,</w:t>
      </w:r>
      <w:r w:rsidR="00083210" w:rsidRPr="00375799">
        <w:rPr>
          <w:rFonts w:asciiTheme="minorHAnsi" w:hAnsiTheme="minorHAnsi" w:cstheme="minorHAnsi"/>
          <w:color w:val="000000" w:themeColor="text1"/>
          <w:sz w:val="24"/>
          <w:szCs w:val="24"/>
        </w:rPr>
        <w:t xml:space="preserve"> 1629 i 1637</w:t>
      </w:r>
      <w:r w:rsidRPr="00375799">
        <w:rPr>
          <w:rFonts w:asciiTheme="minorHAnsi" w:hAnsiTheme="minorHAnsi" w:cstheme="minorHAnsi"/>
          <w:color w:val="000000" w:themeColor="text1"/>
          <w:sz w:val="24"/>
          <w:szCs w:val="24"/>
        </w:rPr>
        <w:t>)</w:t>
      </w:r>
      <w:bookmarkEnd w:id="65"/>
      <w:r w:rsidRPr="00375799">
        <w:rPr>
          <w:rFonts w:asciiTheme="minorHAnsi" w:hAnsiTheme="minorHAnsi" w:cstheme="minorHAnsi"/>
          <w:color w:val="000000" w:themeColor="text1"/>
          <w:sz w:val="24"/>
          <w:szCs w:val="24"/>
        </w:rPr>
        <w:t xml:space="preserve"> </w:t>
      </w:r>
    </w:p>
    <w:p w14:paraId="75F41B54"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30C96E90" w14:textId="4AF3CBC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zakresie dodawanej regulacji art. 21b ust. 1, na podstawie której wprowadzane jest wyłączenie stosowania art. 15 ust. 1 lit. g </w:t>
      </w:r>
      <w:r w:rsidR="006F686C" w:rsidRPr="00375799">
        <w:rPr>
          <w:rFonts w:cstheme="minorHAnsi"/>
          <w:color w:val="000000" w:themeColor="text1"/>
          <w:sz w:val="24"/>
          <w:szCs w:val="24"/>
        </w:rPr>
        <w:t>RODO</w:t>
      </w:r>
      <w:r w:rsidR="00E25B8B">
        <w:rPr>
          <w:rFonts w:cstheme="minorHAnsi"/>
          <w:color w:val="000000" w:themeColor="text1"/>
          <w:sz w:val="24"/>
          <w:szCs w:val="24"/>
        </w:rPr>
        <w:t>,</w:t>
      </w:r>
      <w:r w:rsidRPr="00375799">
        <w:rPr>
          <w:rFonts w:cstheme="minorHAnsi"/>
          <w:color w:val="000000" w:themeColor="text1"/>
          <w:sz w:val="24"/>
          <w:szCs w:val="24"/>
        </w:rPr>
        <w:t xml:space="preserve"> uznać należy, że jest ono zgodne z zasadami </w:t>
      </w:r>
      <w:r w:rsidR="006F686C" w:rsidRPr="00375799">
        <w:rPr>
          <w:rFonts w:cstheme="minorHAnsi"/>
          <w:color w:val="000000" w:themeColor="text1"/>
          <w:sz w:val="24"/>
          <w:szCs w:val="24"/>
        </w:rPr>
        <w:t>RODO</w:t>
      </w:r>
      <w:r w:rsidRPr="00375799">
        <w:rPr>
          <w:rFonts w:cstheme="minorHAnsi"/>
          <w:color w:val="000000" w:themeColor="text1"/>
          <w:sz w:val="24"/>
          <w:szCs w:val="24"/>
        </w:rPr>
        <w:t>. Projektodawca zdecydował się na wprowadzenie tego rodzaju wyłączenia, ponieważ Prezes Urzędu Lotnictwa Cywilnego (</w:t>
      </w:r>
      <w:r w:rsidR="005A1481">
        <w:rPr>
          <w:rFonts w:cstheme="minorHAnsi"/>
          <w:color w:val="000000" w:themeColor="text1"/>
          <w:sz w:val="24"/>
          <w:szCs w:val="24"/>
        </w:rPr>
        <w:t xml:space="preserve">Prezes </w:t>
      </w:r>
      <w:r w:rsidRPr="00375799">
        <w:rPr>
          <w:rFonts w:cstheme="minorHAnsi"/>
          <w:color w:val="000000" w:themeColor="text1"/>
          <w:sz w:val="24"/>
          <w:szCs w:val="24"/>
        </w:rPr>
        <w:t xml:space="preserve">ULC) jest centralnym organem administracji rządowej w zakresie lotnictwa cywilnego, a do jego kompetencji należy wykonywanie funkcji organu administracji lotniczej i nadzoru lotniczego, określonych w ustawie, oraz funkcji władzy lotniczej w rozumieniu umów i przepisów międzynarodowych. </w:t>
      </w:r>
    </w:p>
    <w:p w14:paraId="3AA34655" w14:textId="3F77CC56" w:rsidR="008706DD" w:rsidRPr="00375799" w:rsidRDefault="009F6C32"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Jednocześnie należy zwrócić uwagę na szczególną kompetencję Prezesa ULC dotyczącą podejmowania działań na rzecz bezpieczeństwa lotów (art. 21 ust. 2 pkt 15 ustawy - Prawo lotnicze). Prawo lotnicze przyznaje Prezesowi ULC w tym zakresie uprawnienia do podejmowania z urzędu szeregu działań o charakterze nadzorczym, kontrolnym czy inspekcyjnym, służącym zapewnieniu bezpieczeństwa, a jednocześnie nienaruszających istoty podstawowych praw i wolności, w tym ochrony danych osobowych. Jako przykład takiego postępowania wskazać można postępowanie prowadzone na podstawie art. 100 ustawy</w:t>
      </w:r>
      <w:r w:rsidR="00E25B8B">
        <w:rPr>
          <w:rFonts w:cstheme="minorHAnsi"/>
          <w:color w:val="000000" w:themeColor="text1"/>
          <w:sz w:val="24"/>
          <w:szCs w:val="24"/>
        </w:rPr>
        <w:t xml:space="preserve"> –</w:t>
      </w:r>
      <w:r w:rsidRPr="00375799">
        <w:rPr>
          <w:rFonts w:cstheme="minorHAnsi"/>
          <w:color w:val="000000" w:themeColor="text1"/>
          <w:sz w:val="24"/>
          <w:szCs w:val="24"/>
        </w:rPr>
        <w:t xml:space="preserve"> Prawo lotnicze, które umożliwia Prezesowi ULC wszczęcie z urzędu postępowania w sprawie zawieszenia albo cofnięcia licencji członka personelu lotniczego (m.in. pilota), w przypadku gdy uzyskał licencję lub uprawnienia w oparciu o sfałszowane dokumenty, sfałszował zapisy w licencji lub poświadczył nieprawdę w dokumentach obsługi technicznej, utracił kwalifikacje wymagane do wykonywania określonych czynności lotniczych, wykonuje czynności lotnicze, do których uprawnia go licencja, zagraża bezpieczeństwu ruchu lotniczego lub wykonywał czynności lotnicze pod wpływem alkoholu lub środków odurzających.</w:t>
      </w:r>
    </w:p>
    <w:p w14:paraId="24CDF150" w14:textId="63B5D0BA" w:rsidR="00E449AA" w:rsidRPr="00375799" w:rsidRDefault="00E449A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Ponadto w art. 21b ust. 2</w:t>
      </w:r>
      <w:r w:rsidR="00E25B8B">
        <w:rPr>
          <w:rFonts w:cstheme="minorHAnsi"/>
          <w:color w:val="000000" w:themeColor="text1"/>
          <w:sz w:val="24"/>
          <w:szCs w:val="24"/>
        </w:rPr>
        <w:t>–</w:t>
      </w:r>
      <w:r w:rsidRPr="00375799">
        <w:rPr>
          <w:rFonts w:cstheme="minorHAnsi"/>
          <w:color w:val="000000" w:themeColor="text1"/>
          <w:sz w:val="24"/>
          <w:szCs w:val="24"/>
        </w:rPr>
        <w:t xml:space="preserve">4 ustawy </w:t>
      </w:r>
      <w:r w:rsidR="00E25B8B">
        <w:rPr>
          <w:rFonts w:cstheme="minorHAnsi"/>
          <w:color w:val="000000" w:themeColor="text1"/>
          <w:sz w:val="24"/>
          <w:szCs w:val="24"/>
        </w:rPr>
        <w:t>–</w:t>
      </w:r>
      <w:r w:rsidRPr="00375799">
        <w:rPr>
          <w:rFonts w:cstheme="minorHAnsi"/>
          <w:color w:val="000000" w:themeColor="text1"/>
          <w:sz w:val="24"/>
          <w:szCs w:val="24"/>
        </w:rPr>
        <w:t xml:space="preserve"> Prawo lotnicze zamieszczono regulacje wymagane zgodnie z art. 23 ust. 2 </w:t>
      </w:r>
      <w:r w:rsidR="006F686C" w:rsidRPr="00375799">
        <w:rPr>
          <w:rFonts w:cstheme="minorHAnsi"/>
          <w:color w:val="000000" w:themeColor="text1"/>
          <w:sz w:val="24"/>
          <w:szCs w:val="24"/>
        </w:rPr>
        <w:t>RODO</w:t>
      </w:r>
      <w:r w:rsidRPr="00375799">
        <w:rPr>
          <w:rFonts w:cstheme="minorHAnsi"/>
          <w:color w:val="000000" w:themeColor="text1"/>
          <w:sz w:val="24"/>
          <w:szCs w:val="24"/>
        </w:rPr>
        <w:t xml:space="preserve">, z uwzględnieniem charakteru, zakresu i celów przetwarzania lub kategorii przetwarzania. Uregulowano w szczególności kwestie związane z prawem osoby, której dane dotyczą, do uzyskania informacji o ograniczeniu praw wynikających z </w:t>
      </w:r>
      <w:r w:rsidR="006F686C" w:rsidRPr="00375799">
        <w:rPr>
          <w:rFonts w:cstheme="minorHAnsi"/>
          <w:color w:val="000000" w:themeColor="text1"/>
          <w:sz w:val="24"/>
          <w:szCs w:val="24"/>
        </w:rPr>
        <w:t>RODO</w:t>
      </w:r>
      <w:r w:rsidRPr="00375799">
        <w:rPr>
          <w:rFonts w:cstheme="minorHAnsi"/>
          <w:color w:val="000000" w:themeColor="text1"/>
          <w:sz w:val="24"/>
          <w:szCs w:val="24"/>
        </w:rPr>
        <w:t xml:space="preserve"> przy pierwszej czynności do tej osoby skierowanej, a także o zamieszczeniu tej informacji w Biuletynie Informacji Publicznej na stronie Prezes</w:t>
      </w:r>
      <w:r w:rsidR="00E25B8B">
        <w:rPr>
          <w:rFonts w:cstheme="minorHAnsi"/>
          <w:color w:val="000000" w:themeColor="text1"/>
          <w:sz w:val="24"/>
          <w:szCs w:val="24"/>
        </w:rPr>
        <w:t>a</w:t>
      </w:r>
      <w:r w:rsidRPr="00375799">
        <w:rPr>
          <w:rFonts w:cstheme="minorHAnsi"/>
          <w:color w:val="000000" w:themeColor="text1"/>
          <w:sz w:val="24"/>
          <w:szCs w:val="24"/>
        </w:rPr>
        <w:t xml:space="preserve"> </w:t>
      </w:r>
      <w:r w:rsidR="005A1481">
        <w:rPr>
          <w:rFonts w:cstheme="minorHAnsi"/>
          <w:color w:val="000000" w:themeColor="text1"/>
          <w:sz w:val="24"/>
          <w:szCs w:val="24"/>
        </w:rPr>
        <w:t>ULC</w:t>
      </w:r>
      <w:r w:rsidRPr="00375799">
        <w:rPr>
          <w:rFonts w:cstheme="minorHAnsi"/>
          <w:color w:val="000000" w:themeColor="text1"/>
          <w:sz w:val="24"/>
          <w:szCs w:val="24"/>
        </w:rPr>
        <w:t>. Wprowadzono przepis</w:t>
      </w:r>
      <w:r w:rsidR="00E25B8B">
        <w:rPr>
          <w:rFonts w:cstheme="minorHAnsi"/>
          <w:color w:val="000000" w:themeColor="text1"/>
          <w:sz w:val="24"/>
          <w:szCs w:val="24"/>
        </w:rPr>
        <w:t>,</w:t>
      </w:r>
      <w:r w:rsidRPr="00375799">
        <w:rPr>
          <w:rFonts w:cstheme="minorHAnsi"/>
          <w:color w:val="000000" w:themeColor="text1"/>
          <w:sz w:val="24"/>
          <w:szCs w:val="24"/>
        </w:rPr>
        <w:t xml:space="preserve"> zgodnie z którym, określono zabezpieczenia mające na celu zapobieganie nadużyciom lub niezgodnemu z prawem dostępowi lub przekazywaniu, a tym samym zapewniające gwarancje przestrzegania przepisów </w:t>
      </w:r>
      <w:r w:rsidR="006F686C" w:rsidRPr="00375799">
        <w:rPr>
          <w:rFonts w:cstheme="minorHAnsi"/>
          <w:color w:val="000000" w:themeColor="text1"/>
          <w:sz w:val="24"/>
          <w:szCs w:val="24"/>
        </w:rPr>
        <w:t>RODO</w:t>
      </w:r>
      <w:r w:rsidRPr="00375799">
        <w:rPr>
          <w:rFonts w:cstheme="minorHAnsi"/>
          <w:color w:val="000000" w:themeColor="text1"/>
          <w:sz w:val="24"/>
          <w:szCs w:val="24"/>
        </w:rPr>
        <w:t xml:space="preserve">, poprzez dopuszczenie do przetwarzania danych osobowych wyłącznie osób posiadających pisemne upoważnienie wydane przez administratora i wprowadzenie wymogu pisemnego zobowiązania się osób </w:t>
      </w:r>
      <w:r w:rsidRPr="00375799">
        <w:rPr>
          <w:rFonts w:cstheme="minorHAnsi"/>
          <w:color w:val="000000" w:themeColor="text1"/>
          <w:sz w:val="24"/>
          <w:szCs w:val="24"/>
        </w:rPr>
        <w:lastRenderedPageBreak/>
        <w:t>upoważnionych do przetwarzania danych osobowych do zachowania ich w tajemnicy. Ponadto określono okres przechowywania danych osobowych odwołując się do okresu ustalonego zgodnie z przepisami wydanymi na podstawie art. 6 ust. 2b ustawy o narodowym zasobie archiwalnym i archiwach.</w:t>
      </w:r>
    </w:p>
    <w:p w14:paraId="0BAF5A04" w14:textId="51156AF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zakresie dodawanej regulacji ust. 6 w art. 27 ustawy </w:t>
      </w:r>
      <w:r w:rsidR="007E409E" w:rsidRPr="00375799">
        <w:rPr>
          <w:rFonts w:cstheme="minorHAnsi"/>
          <w:color w:val="000000" w:themeColor="text1"/>
          <w:sz w:val="24"/>
          <w:szCs w:val="24"/>
        </w:rPr>
        <w:t xml:space="preserve">– </w:t>
      </w:r>
      <w:r w:rsidRPr="00375799">
        <w:rPr>
          <w:rFonts w:cstheme="minorHAnsi"/>
          <w:color w:val="000000" w:themeColor="text1"/>
          <w:sz w:val="24"/>
          <w:szCs w:val="24"/>
        </w:rPr>
        <w:t xml:space="preserve">Prawo lotnicze zauważyć należy, że do prowadzenia kontroli na podstawie przepisów ustawy – Prawo lotnicze nie stosuje się przepisów kodeksu postępowania administracyjnego. W celu umożliwienia przeprowadzenia kontroli należy wprowadzić przepis, który zapobiegnie utrudnianiu i blokowaniu postępowania w związku ze stosowaniem prawa do ograniczenia przetwarzania danych osobowych na podstawie art. 18 ust. 1 </w:t>
      </w:r>
      <w:r w:rsidR="006F686C" w:rsidRPr="00375799">
        <w:rPr>
          <w:rFonts w:cstheme="minorHAnsi"/>
          <w:color w:val="000000" w:themeColor="text1"/>
          <w:sz w:val="24"/>
          <w:szCs w:val="24"/>
        </w:rPr>
        <w:t>RODO</w:t>
      </w:r>
      <w:r w:rsidRPr="00375799">
        <w:rPr>
          <w:rFonts w:cstheme="minorHAnsi"/>
          <w:color w:val="000000" w:themeColor="text1"/>
          <w:sz w:val="24"/>
          <w:szCs w:val="24"/>
        </w:rPr>
        <w:t xml:space="preserve">. Prezes ULC wykonuje zadania publiczne w zakresie nadzoru nad działalnością podmiotów mającą wpływ na bezpieczeństwo ruchu lotniczego. Realizacja tych zadań obejmująca zarówno czynności o charakterze regulacyjnym, inspekcyjnym i kontrolnym w rozumieniu art. 23 ust. 1 lit. h </w:t>
      </w:r>
      <w:r w:rsidR="006F686C" w:rsidRPr="00375799">
        <w:rPr>
          <w:rFonts w:cstheme="minorHAnsi"/>
          <w:color w:val="000000" w:themeColor="text1"/>
          <w:sz w:val="24"/>
          <w:szCs w:val="24"/>
        </w:rPr>
        <w:t>RODO</w:t>
      </w:r>
      <w:r w:rsidRPr="00375799">
        <w:rPr>
          <w:rFonts w:cstheme="minorHAnsi"/>
          <w:color w:val="000000" w:themeColor="text1"/>
          <w:sz w:val="24"/>
          <w:szCs w:val="24"/>
        </w:rPr>
        <w:t xml:space="preserve"> ma na celu zapewnienie bezpieczeństwa w transporcie lotniczym </w:t>
      </w:r>
      <w:r w:rsidR="009F392D" w:rsidRPr="00375799">
        <w:rPr>
          <w:rFonts w:cstheme="minorHAnsi"/>
          <w:color w:val="000000" w:themeColor="text1"/>
          <w:sz w:val="24"/>
          <w:szCs w:val="24"/>
        </w:rPr>
        <w:t xml:space="preserve">oraz </w:t>
      </w:r>
      <w:r w:rsidRPr="00375799">
        <w:rPr>
          <w:rFonts w:cstheme="minorHAnsi"/>
          <w:color w:val="000000" w:themeColor="text1"/>
          <w:sz w:val="24"/>
          <w:szCs w:val="24"/>
        </w:rPr>
        <w:t xml:space="preserve">prawidłowego funkcjonowania rynku lotniczego. Ze względu na konieczność właściwego prowadzenia przez Prezesa ULC postępowań w przedmiotowych sprawach proponuje się wprowadzenie regulacji, zgodnie z którą skorzystanie z prawa do ograniczenia przetwarzania danych osobowych (art. 18 ust. 1 RODO) nie wpływa na przebieg kontroli prowadzonych przez Prezesa ULC. Niniejsze nie wpływa na istotę prawa do ochrony danych osobowych. </w:t>
      </w:r>
    </w:p>
    <w:p w14:paraId="611CF7A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Rezygnacja z tej zmiany mogłaby osłabić sprawność i efektywność wykonywania zadań kontrolnych Prezesa ULC. W skrajnym przypadku uniemożliwi lub utrudni wykonywanie zadań, co mogłoby też obniżyć poziom bezpieczeństwa przewozów lotniczych oraz bezpieczeństwa uczestników ruchu lotniczego. </w:t>
      </w:r>
    </w:p>
    <w:p w14:paraId="2F55EEAE" w14:textId="044E045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zakresie dodawanej regulacji ust. 1g w art. 134 wprowadzono przepis mówiący, że w związku z badaniem okoliczności i przyczyn zdarzeń lotniczych Państwowa Komisja Badania Wypadków Lotniczych oraz Komisja Lotnictwa Państwowego są uprawnione do przetwarzania danych osobowych wrażliwych w zakresie danych dotyczących zdrowia. Komisj</w:t>
      </w:r>
      <w:r w:rsidR="005A1481">
        <w:rPr>
          <w:rFonts w:cstheme="minorHAnsi"/>
          <w:color w:val="000000" w:themeColor="text1"/>
          <w:sz w:val="24"/>
          <w:szCs w:val="24"/>
        </w:rPr>
        <w:t>e</w:t>
      </w:r>
      <w:r w:rsidRPr="00375799">
        <w:rPr>
          <w:rFonts w:cstheme="minorHAnsi"/>
          <w:color w:val="000000" w:themeColor="text1"/>
          <w:sz w:val="24"/>
          <w:szCs w:val="24"/>
        </w:rPr>
        <w:t xml:space="preserve"> realizują swoje zadania również w ważnym interesie publicznym badając przyczyny zdarzeń wypadków i incydentów lotniczych i prowadząc postępowania w tym zakresie. Komisja w trakcie prowadzonych dochodzeń w każdym przypadku przetwarza wrażliwe dane osobowe w rozumieniu przepisów </w:t>
      </w:r>
      <w:r w:rsidR="005A1481">
        <w:rPr>
          <w:rFonts w:cstheme="minorHAnsi"/>
          <w:color w:val="000000" w:themeColor="text1"/>
          <w:sz w:val="24"/>
          <w:szCs w:val="24"/>
        </w:rPr>
        <w:t>RODO</w:t>
      </w:r>
      <w:r w:rsidRPr="00375799">
        <w:rPr>
          <w:rFonts w:cstheme="minorHAnsi"/>
          <w:color w:val="000000" w:themeColor="text1"/>
          <w:sz w:val="24"/>
          <w:szCs w:val="24"/>
        </w:rPr>
        <w:t>. Są to dane osób uczestniczących w wypadku (ofiar, pracowników linii lotniczych). Prowadzone przez Komisje postępowania wymagają częstej i długoterminowej korespondencji i wymiany pism zawierających dane osobowe, w tym wrażliwe dane osobowe dotyczące zdrowia. Wprowadzenie niniejszego przepisu jest konieczne z uwagi na prawidłowość prowadzenia przez Komisje postępowania wyjaśniającego w związku z zaistniałym zdarzeniem lotniczym. Zaproponowany przepis umożliwia realizację zadań wykonywanych przez Komisję zgodnie z przepisami RODO w odniesieniu do przetwarzania wrażliwych danych osobowych dotyczących zdrowia.</w:t>
      </w:r>
    </w:p>
    <w:p w14:paraId="0EB24C5A" w14:textId="365761B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zakresie dodawanej regulacji ust. 1h w art. 134 </w:t>
      </w:r>
      <w:r w:rsidR="005A1481">
        <w:rPr>
          <w:rFonts w:cstheme="minorHAnsi"/>
          <w:color w:val="000000" w:themeColor="text1"/>
          <w:sz w:val="24"/>
          <w:szCs w:val="24"/>
        </w:rPr>
        <w:t xml:space="preserve">ustawy – Prawo lotnicze </w:t>
      </w:r>
      <w:r w:rsidRPr="00375799">
        <w:rPr>
          <w:rFonts w:cstheme="minorHAnsi"/>
          <w:color w:val="000000" w:themeColor="text1"/>
          <w:sz w:val="24"/>
          <w:szCs w:val="24"/>
        </w:rPr>
        <w:t xml:space="preserve">wprowadzono przepis mówiący, że Państwowa Komisja Badania Wypadków Lotniczych i </w:t>
      </w:r>
      <w:r w:rsidRPr="00375799">
        <w:rPr>
          <w:rFonts w:cstheme="minorHAnsi"/>
          <w:color w:val="000000" w:themeColor="text1"/>
          <w:sz w:val="24"/>
          <w:szCs w:val="24"/>
        </w:rPr>
        <w:lastRenderedPageBreak/>
        <w:t>Komisja Lotnictwa Państwowego</w:t>
      </w:r>
      <w:r w:rsidR="004D79F6">
        <w:rPr>
          <w:rFonts w:cstheme="minorHAnsi"/>
          <w:color w:val="000000" w:themeColor="text1"/>
          <w:sz w:val="24"/>
          <w:szCs w:val="24"/>
        </w:rPr>
        <w:t>,</w:t>
      </w:r>
      <w:r w:rsidRPr="00375799">
        <w:rPr>
          <w:rFonts w:cstheme="minorHAnsi"/>
          <w:color w:val="000000" w:themeColor="text1"/>
          <w:sz w:val="24"/>
          <w:szCs w:val="24"/>
        </w:rPr>
        <w:t xml:space="preserve"> wykonując zadania określone w ustawie</w:t>
      </w:r>
      <w:r w:rsidR="005A1481">
        <w:rPr>
          <w:rFonts w:cstheme="minorHAnsi"/>
          <w:color w:val="000000" w:themeColor="text1"/>
          <w:sz w:val="24"/>
          <w:szCs w:val="24"/>
        </w:rPr>
        <w:t>,</w:t>
      </w:r>
      <w:r w:rsidRPr="00375799">
        <w:rPr>
          <w:rFonts w:cstheme="minorHAnsi"/>
          <w:color w:val="000000" w:themeColor="text1"/>
          <w:sz w:val="24"/>
          <w:szCs w:val="24"/>
        </w:rPr>
        <w:t xml:space="preserve"> realizują obowiązki, o których mowa w art. 13 ust. 1 i 2 </w:t>
      </w:r>
      <w:r w:rsidR="006F686C" w:rsidRPr="00375799">
        <w:rPr>
          <w:rFonts w:cstheme="minorHAnsi"/>
          <w:color w:val="000000" w:themeColor="text1"/>
          <w:sz w:val="24"/>
          <w:szCs w:val="24"/>
        </w:rPr>
        <w:t>RODO</w:t>
      </w:r>
      <w:r w:rsidRPr="00375799">
        <w:rPr>
          <w:rFonts w:cstheme="minorHAnsi"/>
          <w:color w:val="000000" w:themeColor="text1"/>
          <w:sz w:val="24"/>
          <w:szCs w:val="24"/>
        </w:rPr>
        <w:t xml:space="preserve">, przy pierwszej czynności skierowanej do osoby. Przedmiotowy przepis jest niezbędny z tego powodu, że do badań prowadzonych przez ww. Komisje na mocy przedmiotowej ustawy nie stosuje się przepisów </w:t>
      </w:r>
      <w:r w:rsidR="005A1481">
        <w:rPr>
          <w:rFonts w:cstheme="minorHAnsi"/>
          <w:color w:val="000000" w:themeColor="text1"/>
          <w:sz w:val="24"/>
          <w:szCs w:val="24"/>
        </w:rPr>
        <w:t>k</w:t>
      </w:r>
      <w:r w:rsidRPr="00375799">
        <w:rPr>
          <w:rFonts w:cstheme="minorHAnsi"/>
          <w:color w:val="000000" w:themeColor="text1"/>
          <w:sz w:val="24"/>
          <w:szCs w:val="24"/>
        </w:rPr>
        <w:t xml:space="preserve">pa. Konieczne jest więc wprowadzenie w powyższym zakresie rozwiązań analogicznych do tych, które projektodawca proponuje uregulować w </w:t>
      </w:r>
      <w:r w:rsidR="005A1481">
        <w:rPr>
          <w:rFonts w:cstheme="minorHAnsi"/>
          <w:color w:val="000000" w:themeColor="text1"/>
          <w:sz w:val="24"/>
          <w:szCs w:val="24"/>
        </w:rPr>
        <w:t>k</w:t>
      </w:r>
      <w:r w:rsidRPr="00375799">
        <w:rPr>
          <w:rFonts w:cstheme="minorHAnsi"/>
          <w:color w:val="000000" w:themeColor="text1"/>
          <w:sz w:val="24"/>
          <w:szCs w:val="24"/>
        </w:rPr>
        <w:t>pa, tak aby zapewnić spójność krajowego systemu prawnego w zakresie realizacji obowiązków informacyjnych z RODO przez organy administracji publicznej.</w:t>
      </w:r>
    </w:p>
    <w:p w14:paraId="6927C294" w14:textId="77777777" w:rsidR="00533ECE" w:rsidRPr="00375799" w:rsidRDefault="00533ECE" w:rsidP="0055107B">
      <w:pPr>
        <w:spacing w:after="0" w:line="276" w:lineRule="auto"/>
        <w:ind w:left="57" w:right="57"/>
        <w:contextualSpacing/>
        <w:jc w:val="both"/>
        <w:rPr>
          <w:rFonts w:cstheme="minorHAnsi"/>
          <w:color w:val="000000" w:themeColor="text1"/>
          <w:sz w:val="24"/>
          <w:szCs w:val="24"/>
        </w:rPr>
      </w:pPr>
    </w:p>
    <w:p w14:paraId="35609636" w14:textId="5A181B1F"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66" w:name="_Toc530565038"/>
      <w:r w:rsidRPr="00375799">
        <w:rPr>
          <w:rFonts w:asciiTheme="minorHAnsi" w:hAnsiTheme="minorHAnsi" w:cstheme="minorHAnsi"/>
          <w:color w:val="000000" w:themeColor="text1"/>
          <w:sz w:val="24"/>
          <w:szCs w:val="24"/>
        </w:rPr>
        <w:t xml:space="preserve">Ustawa z dnia 5 lipca 2002 r. o świadczeniu przez prawników zagranicznych pomocy prawnej w Rzeczypospolitej Polskiej </w:t>
      </w:r>
      <w:r w:rsidR="00083210" w:rsidRPr="00375799">
        <w:rPr>
          <w:rFonts w:asciiTheme="minorHAnsi" w:hAnsiTheme="minorHAnsi" w:cstheme="minorHAnsi"/>
          <w:color w:val="000000" w:themeColor="text1"/>
          <w:sz w:val="24"/>
          <w:szCs w:val="24"/>
        </w:rPr>
        <w:t>(Dz. U. z 2016 r. poz. 1874)</w:t>
      </w:r>
      <w:bookmarkEnd w:id="66"/>
    </w:p>
    <w:p w14:paraId="556F656A"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2D927E82" w14:textId="7345379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Kwestie dotyczące działalności w Polsce prawników z innych państw (adwokatów i radców prawnych) reguluje ustawa z dnia 5 lipca 2002 r. o świadczeniu przez prawników zagranicznych pomocy prawnej w Rzeczypospolitej Polskiej. Ustawa zasadniczo implementuje prawo Unii Europejskiej umożliwiające prawnikom z państw członkowskich prowadzenie działalności zawodowej pod macierzystym tytułem zawodowym w innym państwie członkowskim, w zakresie odpowiadającym uprawnieniom prawników z danego państwa. Jej przepisy stosuje się do określenia warunków świadczenia pomocy prawnej w RP przez prawników zagranicznych, przy czym pomoc prawna oznacza działalność w zakresie odpowiadającym uprawnieniom adwokata lub radcy prawnego i obejmuje w szczególności udzielanie porad prawnych, sporządzanie opinii prawnych, opracowywanie projektów aktów prawnych oraz występowanie przed sądami i urzędami.</w:t>
      </w:r>
    </w:p>
    <w:p w14:paraId="680C036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art. 3 ustawy wynika, że na zasadzie wzajemności, o ile umowy międzynarodowe ratyfikowane przez Rzeczpospolitą Polską lub przepisy organizacji międzynarodowych, których Rzeczpospolita Polska jest członkiem, nie stanowią inaczej, prawnicy zagraniczni są uprawnieni do wykonywania stałej praktyki, na zasadach określonych w przepisach ustawy, po wpisaniu na jedną z list prawników zagranicznych, prowadzoną odpowiednio przez okręgowe rady adwokackie lub rady okręgowych izb radców prawnych. Zatem ustawa wymaga obowiązkowej rejestracji prawnika zagranicznego, a nadto świadczenia przez niego pomocy prawnej pod tytułem zawodowym uzyskanym w państwie macierzystym. </w:t>
      </w:r>
    </w:p>
    <w:p w14:paraId="2FEAD5B7" w14:textId="4171ACE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Prawnikiem zagranicznym jest w rozumieniu ustawy każda osoba, która jest uprawniona za granicą do wykonywania zawodu odpowiadającego pod względem wykształcenia i uprawnień oraz podstawowych zasad jego organizacji i wykonywania - zawodowi adwokata lub radcy prawnego, przy czym w przypadku „prawnika z Unii Europejskiej” (posiadającego obywatelstwo jednego z państw członkowskich) ustawodawca wylicza odpowiednie zawody wykonywane w państwach członkowskich Unii Europejskiej, zaś pojęcie „prawnika spoza Unii Europejskiej” obejmuje zarówno osoby uprawnione do wykonywania jednego z wymienionych zawodów, które nie są obywatelami żadnego z państw </w:t>
      </w:r>
      <w:r w:rsidRPr="00375799">
        <w:rPr>
          <w:rFonts w:cstheme="minorHAnsi"/>
          <w:color w:val="000000" w:themeColor="text1"/>
          <w:sz w:val="24"/>
          <w:szCs w:val="24"/>
        </w:rPr>
        <w:lastRenderedPageBreak/>
        <w:t xml:space="preserve">członkowskich Unii, jak i osoby uprawnione do wykonywania za granicą innego zawodu odpowiadającego jednemu z polskich zawodów prawniczych </w:t>
      </w:r>
      <w:r w:rsidR="004D79F6">
        <w:rPr>
          <w:rFonts w:cstheme="minorHAnsi"/>
          <w:color w:val="000000" w:themeColor="text1"/>
          <w:sz w:val="24"/>
          <w:szCs w:val="24"/>
        </w:rPr>
        <w:t>–</w:t>
      </w:r>
      <w:r w:rsidRPr="00375799">
        <w:rPr>
          <w:rFonts w:cstheme="minorHAnsi"/>
          <w:color w:val="000000" w:themeColor="text1"/>
          <w:sz w:val="24"/>
          <w:szCs w:val="24"/>
        </w:rPr>
        <w:t xml:space="preserve"> adwokata lub radcy prawnego. </w:t>
      </w:r>
    </w:p>
    <w:p w14:paraId="5F15A4C5" w14:textId="41025A0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Zakres stałej praktyki, a także dopuszczalne formy i szczegółowe warunki jej prowadzenia są zróżnicowane w zależności od tego, czy chodzi o prawnika zagranicznego z Unii Europejskiej czy spoza niej.</w:t>
      </w:r>
    </w:p>
    <w:p w14:paraId="5C5F0ADB" w14:textId="1243B48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Prawnik z Unii Europejskiej wpisany na listę prowadzoną przez okręgową radę adwokacką jest uprawniony do wykonywania stałej praktyki w zakresie odpowiadającym zawodowi adwokata, a wpisany na listę prowadzoną przez radę okręgowej izby radców prawnych </w:t>
      </w:r>
      <w:r w:rsidR="004D79F6">
        <w:rPr>
          <w:rFonts w:cstheme="minorHAnsi"/>
          <w:color w:val="000000" w:themeColor="text1"/>
          <w:sz w:val="24"/>
          <w:szCs w:val="24"/>
        </w:rPr>
        <w:t>–</w:t>
      </w:r>
      <w:r w:rsidRPr="00375799">
        <w:rPr>
          <w:rFonts w:cstheme="minorHAnsi"/>
          <w:color w:val="000000" w:themeColor="text1"/>
          <w:sz w:val="24"/>
          <w:szCs w:val="24"/>
        </w:rPr>
        <w:t xml:space="preserve"> w zakresie odpowiadającym zawodowi radcy prawnego.</w:t>
      </w:r>
    </w:p>
    <w:p w14:paraId="453065F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Prawnik spoza Unii Europejskiej wpisany na listę prowadzoną przez okręgową radę adwokacką jest uprawniony, w ramach wykonywania stałej praktyki, jedynie do udzielania porad prawnych i sporządzania opinii prawnych dotyczących prawa państwa macierzystego lub prawa międzynarodowego, w zakresie odpowiadającym zawodowi adwokata, a prawnik spoza Unii Europejskiej wpisany na listę prowadzoną przez radę okręgowej izby radców prawnych jest uprawniony, w ramach wykonywania stałej praktyki, jedynie do udzielania porad prawnych i sporządzania opinii prawnych dotyczących prawa państwa macierzystego lub prawa międzynarodowego, w zakresie odpowiadającym zawodowi radcy prawnego.</w:t>
      </w:r>
    </w:p>
    <w:p w14:paraId="6CC4E94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myśl art. 10 ust. 1 ustawy o świadczeniu przez prawników zagranicznych pomocy prawnej w Rzeczypospolitej Polskiej prawnik zagraniczny, w zależności od tego, na którą listę jest wpisany, podlega odpowiedzialności dyscyplinarnej według przepisów o odpowiedzialności dyscyplinarnej adwokatów lub odpowiedzialności dyscyplinarnej radców prawnych. Odpowiednia regulacja dotyczy prawnika świadczącego usługę transgraniczną (art. 41 ust. 1).</w:t>
      </w:r>
    </w:p>
    <w:p w14:paraId="59374C1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Ustawa odsyła do odpowiedniego stosowania określonych przepisów ustawy – Prawo o adwokaturze i ustawy o radcach prawnych (art. 7 ust. 2) albo stosowania odpowiednich zasad (art. 20 ust. 2).</w:t>
      </w:r>
    </w:p>
    <w:p w14:paraId="396F312D"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Powyższe uzasadnia odpowiednie stosowanie przepisów dotyczących ochrony danych osobowych w przypadku prawników zagranicznych, w zależności od listy, na którą są wpisani, przez odesłanie do ustawy – Prawo o adwokaturze i ustawy o radcach prawnych.</w:t>
      </w:r>
    </w:p>
    <w:p w14:paraId="79BE59D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68AA7A4" w14:textId="4A138FB4"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67" w:name="_Toc530565039"/>
      <w:r w:rsidRPr="00375799">
        <w:rPr>
          <w:rFonts w:asciiTheme="minorHAnsi" w:hAnsiTheme="minorHAnsi" w:cstheme="minorHAnsi"/>
          <w:color w:val="000000" w:themeColor="text1"/>
          <w:sz w:val="24"/>
          <w:szCs w:val="24"/>
        </w:rPr>
        <w:t>Ustawa z dnia 18 lipca 2002 r. o świadczeniu usług drogą elektroniczną</w:t>
      </w:r>
      <w:r w:rsidR="00593F10" w:rsidRPr="00375799">
        <w:rPr>
          <w:rFonts w:asciiTheme="minorHAnsi" w:hAnsiTheme="minorHAnsi" w:cstheme="minorHAnsi"/>
          <w:color w:val="000000" w:themeColor="text1"/>
          <w:sz w:val="24"/>
          <w:szCs w:val="24"/>
        </w:rPr>
        <w:t xml:space="preserve"> (Dz. U. z 2017 r. poz. 1219 oraz z 2018 r. poz. 650)</w:t>
      </w:r>
      <w:bookmarkEnd w:id="67"/>
    </w:p>
    <w:p w14:paraId="604DFA25" w14:textId="77777777" w:rsidR="00173A66" w:rsidRPr="00375799" w:rsidRDefault="00173A66" w:rsidP="0055107B">
      <w:pPr>
        <w:spacing w:after="0" w:line="276" w:lineRule="auto"/>
        <w:ind w:left="57" w:right="57"/>
        <w:contextualSpacing/>
        <w:jc w:val="both"/>
        <w:rPr>
          <w:rFonts w:cstheme="minorHAnsi"/>
          <w:color w:val="000000" w:themeColor="text1"/>
          <w:sz w:val="24"/>
          <w:szCs w:val="24"/>
        </w:rPr>
      </w:pPr>
    </w:p>
    <w:p w14:paraId="2A8246CB" w14:textId="18EF6E4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Ustawa z dnia 18 lipca 2002 r. o świadczeniu usług drogą elektroniczną</w:t>
      </w:r>
      <w:r w:rsidR="004D79F6">
        <w:rPr>
          <w:rFonts w:cstheme="minorHAnsi"/>
          <w:color w:val="000000" w:themeColor="text1"/>
          <w:sz w:val="24"/>
          <w:szCs w:val="24"/>
        </w:rPr>
        <w:t>,</w:t>
      </w:r>
      <w:r w:rsidRPr="00375799">
        <w:rPr>
          <w:rFonts w:cstheme="minorHAnsi"/>
          <w:color w:val="000000" w:themeColor="text1"/>
          <w:sz w:val="24"/>
          <w:szCs w:val="24"/>
        </w:rPr>
        <w:t xml:space="preserve"> zwana dalej „</w:t>
      </w:r>
      <w:proofErr w:type="spellStart"/>
      <w:r w:rsidRPr="00375799">
        <w:rPr>
          <w:rFonts w:cstheme="minorHAnsi"/>
          <w:color w:val="000000" w:themeColor="text1"/>
          <w:sz w:val="24"/>
          <w:szCs w:val="24"/>
        </w:rPr>
        <w:t>uśude</w:t>
      </w:r>
      <w:proofErr w:type="spellEnd"/>
      <w:r w:rsidRPr="00375799">
        <w:rPr>
          <w:rFonts w:cstheme="minorHAnsi"/>
          <w:color w:val="000000" w:themeColor="text1"/>
          <w:sz w:val="24"/>
          <w:szCs w:val="24"/>
        </w:rPr>
        <w:t>”</w:t>
      </w:r>
      <w:r w:rsidR="004D79F6">
        <w:rPr>
          <w:rFonts w:cstheme="minorHAnsi"/>
          <w:color w:val="000000" w:themeColor="text1"/>
          <w:sz w:val="24"/>
          <w:szCs w:val="24"/>
        </w:rPr>
        <w:t>,</w:t>
      </w:r>
      <w:r w:rsidRPr="00375799">
        <w:rPr>
          <w:rFonts w:cstheme="minorHAnsi"/>
          <w:color w:val="000000" w:themeColor="text1"/>
          <w:sz w:val="24"/>
          <w:szCs w:val="24"/>
        </w:rPr>
        <w:t xml:space="preserve"> w zakresie przesyłania informacji handlowych za pomocą środków komunikacji elektronicznej stanowi implementację dyrektywy 2002/58 . Art. 13 ust. 1 dyrektywy 2002/58 wskazuje, iż używanie automatycznych systemów wywołujących bez ludzkiej ingerencji (aparaty wywołujące automatycznie), faksów lub poczty elektronicznej do celów marketingu bezpośredniego może być dozwolone jedynie wobec abonentów, którzy uprzednio wyrazili na to zgodę. W tym kontekście należy zwrócić uwagę, iż dyrektywa 2002/58 nie zawiera </w:t>
      </w:r>
      <w:r w:rsidRPr="00375799">
        <w:rPr>
          <w:rFonts w:cstheme="minorHAnsi"/>
          <w:color w:val="000000" w:themeColor="text1"/>
          <w:sz w:val="24"/>
          <w:szCs w:val="24"/>
        </w:rPr>
        <w:lastRenderedPageBreak/>
        <w:t>samodzielnej definicji zgody na przesyłanie informacji handlowej za pomocą środków komunikacji elektronicznej i w tym zakresie odwołuje się do dyrektywy 95/46. Zgodnie z motywem 17 dyrektywy 2002/58 „Do celów niniejszej dyrektywy, zgoda użytkownika lub abonenta, niezależnie od tego czy abonentem jest osoba fizyczna czy prawna, powinna mieć to samo znaczenie co zgoda podmiotu danych opisana i szerzej określona w dyrektywie 95/46/WE. Zgoda może być udzielona w jakikolwiek sposób umożliwiający swobodne i świadome wyrażenie woli użytkownika, włączając zaznaczenie okna wyboru podczas przeglądania witryny internetowej”.</w:t>
      </w:r>
    </w:p>
    <w:p w14:paraId="62E29C0E" w14:textId="4BD20CE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kontekście powyższego należy zwrócić uwagę, iż zgodnie z treścią art. 94 ust. 1 </w:t>
      </w:r>
      <w:r w:rsidR="00C923A3">
        <w:rPr>
          <w:rFonts w:cstheme="minorHAnsi"/>
          <w:color w:val="000000" w:themeColor="text1"/>
          <w:sz w:val="24"/>
          <w:szCs w:val="24"/>
        </w:rPr>
        <w:t>RODO</w:t>
      </w:r>
      <w:r w:rsidRPr="00375799">
        <w:rPr>
          <w:rFonts w:cstheme="minorHAnsi"/>
          <w:color w:val="000000" w:themeColor="text1"/>
          <w:sz w:val="24"/>
          <w:szCs w:val="24"/>
        </w:rPr>
        <w:t xml:space="preserve"> „Dyrektywa 95/46/WE zostaje uchylona ze skutkiem od dnia 25 maja 2018 r. W związku z tym należy w ramach treści art. 4 </w:t>
      </w:r>
      <w:proofErr w:type="spellStart"/>
      <w:r w:rsidRPr="00375799">
        <w:rPr>
          <w:rFonts w:cstheme="minorHAnsi"/>
          <w:color w:val="000000" w:themeColor="text1"/>
          <w:sz w:val="24"/>
          <w:szCs w:val="24"/>
        </w:rPr>
        <w:t>uśude</w:t>
      </w:r>
      <w:proofErr w:type="spellEnd"/>
      <w:r w:rsidRPr="00375799">
        <w:rPr>
          <w:rFonts w:cstheme="minorHAnsi"/>
          <w:color w:val="000000" w:themeColor="text1"/>
          <w:sz w:val="24"/>
          <w:szCs w:val="24"/>
        </w:rPr>
        <w:t xml:space="preserve"> odwołać się do treści </w:t>
      </w:r>
      <w:r w:rsidR="00C923A3">
        <w:rPr>
          <w:rFonts w:cstheme="minorHAnsi"/>
          <w:color w:val="000000" w:themeColor="text1"/>
          <w:sz w:val="24"/>
          <w:szCs w:val="24"/>
        </w:rPr>
        <w:t>RODO</w:t>
      </w:r>
      <w:r w:rsidRPr="00375799">
        <w:rPr>
          <w:rFonts w:cstheme="minorHAnsi"/>
          <w:color w:val="000000" w:themeColor="text1"/>
          <w:sz w:val="24"/>
          <w:szCs w:val="24"/>
        </w:rPr>
        <w:t xml:space="preserve"> - definicja zgody zamieszczona w art. 4 </w:t>
      </w:r>
      <w:proofErr w:type="spellStart"/>
      <w:r w:rsidRPr="00375799">
        <w:rPr>
          <w:rFonts w:cstheme="minorHAnsi"/>
          <w:color w:val="000000" w:themeColor="text1"/>
          <w:sz w:val="24"/>
          <w:szCs w:val="24"/>
        </w:rPr>
        <w:t>uśude</w:t>
      </w:r>
      <w:proofErr w:type="spellEnd"/>
      <w:r w:rsidRPr="00375799">
        <w:rPr>
          <w:rFonts w:cstheme="minorHAnsi"/>
          <w:color w:val="000000" w:themeColor="text1"/>
          <w:sz w:val="24"/>
          <w:szCs w:val="24"/>
        </w:rPr>
        <w:t xml:space="preserve"> powinna uwzględnić zmianę kontekstu systemowego. W konsekwencji zmiany wymaga obecny art. 4.</w:t>
      </w:r>
    </w:p>
    <w:p w14:paraId="2A89BBC6" w14:textId="5445CBA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Odwołanie się do przepisów o ochronie danych osobowych w treści art. 4 </w:t>
      </w:r>
      <w:proofErr w:type="spellStart"/>
      <w:r w:rsidRPr="00375799">
        <w:rPr>
          <w:rFonts w:cstheme="minorHAnsi"/>
          <w:color w:val="000000" w:themeColor="text1"/>
          <w:sz w:val="24"/>
          <w:szCs w:val="24"/>
        </w:rPr>
        <w:t>uśude</w:t>
      </w:r>
      <w:proofErr w:type="spellEnd"/>
      <w:r w:rsidRPr="00375799">
        <w:rPr>
          <w:rFonts w:cstheme="minorHAnsi"/>
          <w:color w:val="000000" w:themeColor="text1"/>
          <w:sz w:val="24"/>
          <w:szCs w:val="24"/>
        </w:rPr>
        <w:t xml:space="preserve"> (w nowym brzmieniu) oznacza, iż zastosowanie znajdą w szczególności przepisy art. 4 ust. 11, art. 7 oraz </w:t>
      </w:r>
      <w:r w:rsidR="004D79F6">
        <w:rPr>
          <w:rFonts w:cstheme="minorHAnsi"/>
          <w:color w:val="000000" w:themeColor="text1"/>
          <w:sz w:val="24"/>
          <w:szCs w:val="24"/>
        </w:rPr>
        <w:t xml:space="preserve">art. </w:t>
      </w:r>
      <w:r w:rsidRPr="00375799">
        <w:rPr>
          <w:rFonts w:cstheme="minorHAnsi"/>
          <w:color w:val="000000" w:themeColor="text1"/>
          <w:sz w:val="24"/>
          <w:szCs w:val="24"/>
        </w:rPr>
        <w:t xml:space="preserve">8 </w:t>
      </w:r>
      <w:r w:rsidR="00C923A3">
        <w:rPr>
          <w:rFonts w:cstheme="minorHAnsi"/>
          <w:color w:val="000000" w:themeColor="text1"/>
          <w:sz w:val="24"/>
          <w:szCs w:val="24"/>
        </w:rPr>
        <w:t>RODO</w:t>
      </w:r>
      <w:r w:rsidR="00471DF9">
        <w:rPr>
          <w:rFonts w:cstheme="minorHAnsi"/>
          <w:color w:val="000000" w:themeColor="text1"/>
          <w:sz w:val="24"/>
          <w:szCs w:val="24"/>
        </w:rPr>
        <w:t>,</w:t>
      </w:r>
      <w:r w:rsidRPr="00375799">
        <w:rPr>
          <w:rFonts w:cstheme="minorHAnsi"/>
          <w:color w:val="000000" w:themeColor="text1"/>
          <w:sz w:val="24"/>
          <w:szCs w:val="24"/>
        </w:rPr>
        <w:t xml:space="preserve"> a także art. 3 projektowanej ustawy o ochronie danych osobowych</w:t>
      </w:r>
      <w:r w:rsidR="00C923A3">
        <w:rPr>
          <w:rFonts w:cstheme="minorHAnsi"/>
          <w:color w:val="000000" w:themeColor="text1"/>
          <w:sz w:val="24"/>
          <w:szCs w:val="24"/>
        </w:rPr>
        <w:t>,</w:t>
      </w:r>
      <w:r w:rsidRPr="00375799">
        <w:rPr>
          <w:rFonts w:cstheme="minorHAnsi"/>
          <w:color w:val="000000" w:themeColor="text1"/>
          <w:sz w:val="24"/>
          <w:szCs w:val="24"/>
        </w:rPr>
        <w:t xml:space="preserve"> realizujący kompetencję wskazaną w art. 8 ust. 1 </w:t>
      </w:r>
      <w:r w:rsidRPr="003654A8">
        <w:rPr>
          <w:rFonts w:cstheme="minorHAnsi"/>
          <w:i/>
          <w:color w:val="000000" w:themeColor="text1"/>
          <w:sz w:val="24"/>
          <w:szCs w:val="24"/>
        </w:rPr>
        <w:t>in fine</w:t>
      </w:r>
      <w:r w:rsidRPr="00375799">
        <w:rPr>
          <w:rFonts w:cstheme="minorHAnsi"/>
          <w:color w:val="000000" w:themeColor="text1"/>
          <w:sz w:val="24"/>
          <w:szCs w:val="24"/>
        </w:rPr>
        <w:t xml:space="preserve"> </w:t>
      </w:r>
      <w:r w:rsidR="00684881" w:rsidRPr="00375799">
        <w:rPr>
          <w:rFonts w:cstheme="minorHAnsi"/>
          <w:color w:val="000000" w:themeColor="text1"/>
          <w:sz w:val="24"/>
          <w:szCs w:val="24"/>
        </w:rPr>
        <w:t>RODO</w:t>
      </w:r>
      <w:r w:rsidR="00684881" w:rsidRPr="00375799" w:rsidDel="00684881">
        <w:rPr>
          <w:rFonts w:cstheme="minorHAnsi"/>
          <w:color w:val="000000" w:themeColor="text1"/>
          <w:sz w:val="24"/>
          <w:szCs w:val="24"/>
        </w:rPr>
        <w:t xml:space="preserve"> </w:t>
      </w:r>
      <w:r w:rsidRPr="00375799">
        <w:rPr>
          <w:rFonts w:cstheme="minorHAnsi"/>
          <w:color w:val="000000" w:themeColor="text1"/>
          <w:sz w:val="24"/>
          <w:szCs w:val="24"/>
        </w:rPr>
        <w:t>w zakresie zgody dziecka.</w:t>
      </w:r>
    </w:p>
    <w:p w14:paraId="00F569FC" w14:textId="4C1520A8" w:rsidR="008706DD" w:rsidRPr="00375799" w:rsidRDefault="00684881"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RODO</w:t>
      </w:r>
      <w:r w:rsidRPr="00375799" w:rsidDel="00684881">
        <w:rPr>
          <w:rFonts w:cstheme="minorHAnsi"/>
          <w:color w:val="000000" w:themeColor="text1"/>
          <w:sz w:val="24"/>
          <w:szCs w:val="24"/>
        </w:rPr>
        <w:t xml:space="preserve"> </w:t>
      </w:r>
      <w:r w:rsidR="008706DD" w:rsidRPr="00375799">
        <w:rPr>
          <w:rFonts w:cstheme="minorHAnsi"/>
          <w:color w:val="000000" w:themeColor="text1"/>
          <w:sz w:val="24"/>
          <w:szCs w:val="24"/>
        </w:rPr>
        <w:t xml:space="preserve">swoim zakresem podmiotowym i przedmiotowym obejmuje przetwarzanie danych osobowych </w:t>
      </w:r>
      <w:r w:rsidR="004D79F6">
        <w:rPr>
          <w:rFonts w:cstheme="minorHAnsi"/>
          <w:color w:val="000000" w:themeColor="text1"/>
          <w:sz w:val="24"/>
          <w:szCs w:val="24"/>
        </w:rPr>
        <w:t xml:space="preserve">w </w:t>
      </w:r>
      <w:r w:rsidR="008706DD" w:rsidRPr="00375799">
        <w:rPr>
          <w:rFonts w:cstheme="minorHAnsi"/>
          <w:color w:val="000000" w:themeColor="text1"/>
          <w:sz w:val="24"/>
          <w:szCs w:val="24"/>
        </w:rPr>
        <w:t xml:space="preserve">związku ze świadczeniem usług drogą elektroniczną (regulowanych treścią </w:t>
      </w:r>
      <w:proofErr w:type="spellStart"/>
      <w:r w:rsidR="008706DD" w:rsidRPr="00375799">
        <w:rPr>
          <w:rFonts w:cstheme="minorHAnsi"/>
          <w:color w:val="000000" w:themeColor="text1"/>
          <w:sz w:val="24"/>
          <w:szCs w:val="24"/>
        </w:rPr>
        <w:t>uśude</w:t>
      </w:r>
      <w:proofErr w:type="spellEnd"/>
      <w:r w:rsidR="008706DD" w:rsidRPr="00375799">
        <w:rPr>
          <w:rFonts w:cstheme="minorHAnsi"/>
          <w:color w:val="000000" w:themeColor="text1"/>
          <w:sz w:val="24"/>
          <w:szCs w:val="24"/>
        </w:rPr>
        <w:t>). Jednocześnie ogólne rozporządzenie nie daje podstaw do doprecyzowania lub zawężenia jego przepisów w zakresie i w sposób</w:t>
      </w:r>
      <w:r w:rsidR="004D79F6">
        <w:rPr>
          <w:rFonts w:cstheme="minorHAnsi"/>
          <w:color w:val="000000" w:themeColor="text1"/>
          <w:sz w:val="24"/>
          <w:szCs w:val="24"/>
        </w:rPr>
        <w:t>,</w:t>
      </w:r>
      <w:r w:rsidR="00467EFC">
        <w:rPr>
          <w:rFonts w:cstheme="minorHAnsi"/>
          <w:color w:val="000000" w:themeColor="text1"/>
          <w:sz w:val="24"/>
          <w:szCs w:val="24"/>
        </w:rPr>
        <w:t xml:space="preserve"> w</w:t>
      </w:r>
      <w:r w:rsidR="008706DD" w:rsidRPr="00375799">
        <w:rPr>
          <w:rFonts w:cstheme="minorHAnsi"/>
          <w:color w:val="000000" w:themeColor="text1"/>
          <w:sz w:val="24"/>
          <w:szCs w:val="24"/>
        </w:rPr>
        <w:t xml:space="preserve"> jaki ma to miejsce obecnie w rozdziale IV </w:t>
      </w:r>
      <w:proofErr w:type="spellStart"/>
      <w:r w:rsidR="008706DD" w:rsidRPr="00375799">
        <w:rPr>
          <w:rFonts w:cstheme="minorHAnsi"/>
          <w:color w:val="000000" w:themeColor="text1"/>
          <w:sz w:val="24"/>
          <w:szCs w:val="24"/>
        </w:rPr>
        <w:t>uśude</w:t>
      </w:r>
      <w:proofErr w:type="spellEnd"/>
      <w:r w:rsidR="008706DD" w:rsidRPr="00375799">
        <w:rPr>
          <w:rFonts w:cstheme="minorHAnsi"/>
          <w:color w:val="000000" w:themeColor="text1"/>
          <w:sz w:val="24"/>
          <w:szCs w:val="24"/>
        </w:rPr>
        <w:t xml:space="preserve">. W związku z tym należy w rozdziale IV </w:t>
      </w:r>
      <w:proofErr w:type="spellStart"/>
      <w:r w:rsidR="008706DD" w:rsidRPr="00375799">
        <w:rPr>
          <w:rFonts w:cstheme="minorHAnsi"/>
          <w:color w:val="000000" w:themeColor="text1"/>
          <w:sz w:val="24"/>
          <w:szCs w:val="24"/>
        </w:rPr>
        <w:t>uśude</w:t>
      </w:r>
      <w:proofErr w:type="spellEnd"/>
      <w:r w:rsidR="008706DD" w:rsidRPr="00375799">
        <w:rPr>
          <w:rFonts w:cstheme="minorHAnsi"/>
          <w:color w:val="000000" w:themeColor="text1"/>
          <w:sz w:val="24"/>
          <w:szCs w:val="24"/>
        </w:rPr>
        <w:t xml:space="preserve"> uchylić przepisy dotyczące materii regulowanych treścią </w:t>
      </w:r>
      <w:r w:rsidRPr="00375799">
        <w:rPr>
          <w:rFonts w:cstheme="minorHAnsi"/>
          <w:color w:val="000000" w:themeColor="text1"/>
          <w:sz w:val="24"/>
          <w:szCs w:val="24"/>
        </w:rPr>
        <w:t>RODO</w:t>
      </w:r>
      <w:r w:rsidR="008706DD" w:rsidRPr="00375799">
        <w:rPr>
          <w:rFonts w:cstheme="minorHAnsi"/>
          <w:color w:val="000000" w:themeColor="text1"/>
          <w:sz w:val="24"/>
          <w:szCs w:val="24"/>
        </w:rPr>
        <w:t>.</w:t>
      </w:r>
    </w:p>
    <w:p w14:paraId="61EF8DDC"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treści rozdziału IV należało pozostawić wyłącznie dwie kategorie przepisów:</w:t>
      </w:r>
    </w:p>
    <w:p w14:paraId="3E221C4C" w14:textId="45AE187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w:t>
      </w:r>
      <w:r w:rsidRPr="00375799">
        <w:rPr>
          <w:rFonts w:cstheme="minorHAnsi"/>
          <w:color w:val="000000" w:themeColor="text1"/>
          <w:sz w:val="24"/>
          <w:szCs w:val="24"/>
        </w:rPr>
        <w:tab/>
        <w:t>implementujące dyrektywę 2002/58</w:t>
      </w:r>
      <w:r w:rsidR="004D79F6">
        <w:rPr>
          <w:rFonts w:cstheme="minorHAnsi"/>
          <w:color w:val="000000" w:themeColor="text1"/>
          <w:sz w:val="24"/>
          <w:szCs w:val="24"/>
        </w:rPr>
        <w:t>,</w:t>
      </w:r>
      <w:r w:rsidRPr="00375799">
        <w:rPr>
          <w:rFonts w:cstheme="minorHAnsi"/>
          <w:color w:val="000000" w:themeColor="text1"/>
          <w:sz w:val="24"/>
          <w:szCs w:val="24"/>
        </w:rPr>
        <w:t xml:space="preserve"> a to ze względu na treść art. 95 </w:t>
      </w:r>
      <w:r w:rsidR="00684881" w:rsidRPr="00375799">
        <w:rPr>
          <w:rFonts w:cstheme="minorHAnsi"/>
          <w:color w:val="000000" w:themeColor="text1"/>
          <w:sz w:val="24"/>
          <w:szCs w:val="24"/>
        </w:rPr>
        <w:t>RODO</w:t>
      </w:r>
      <w:r w:rsidR="00684881" w:rsidRPr="00375799" w:rsidDel="00684881">
        <w:rPr>
          <w:rFonts w:cstheme="minorHAnsi"/>
          <w:color w:val="000000" w:themeColor="text1"/>
          <w:sz w:val="24"/>
          <w:szCs w:val="24"/>
        </w:rPr>
        <w:t xml:space="preserve"> </w:t>
      </w:r>
      <w:r w:rsidRPr="00375799">
        <w:rPr>
          <w:rFonts w:cstheme="minorHAnsi"/>
          <w:color w:val="000000" w:themeColor="text1"/>
          <w:sz w:val="24"/>
          <w:szCs w:val="24"/>
        </w:rPr>
        <w:t>(„Niniejsze rozporządzenie nie nakłada dodatkowych obowiązków na osoby fizyczne ani prawne co do przetwarzania w związku ze świadczeniem ogólnodostępnych usług łączności elektronicznej w publicznych sieciach łączności w Unii w sprawach, w których podmioty te podlegają szczegółowym obowiązkom mającym ten sam cel określony w dyrektywie 2002/58/WE”)</w:t>
      </w:r>
      <w:r w:rsidR="00C923A3">
        <w:rPr>
          <w:rFonts w:cstheme="minorHAnsi"/>
          <w:color w:val="000000" w:themeColor="text1"/>
          <w:sz w:val="24"/>
          <w:szCs w:val="24"/>
        </w:rPr>
        <w:t>,</w:t>
      </w:r>
      <w:r w:rsidRPr="00375799">
        <w:rPr>
          <w:rFonts w:cstheme="minorHAnsi"/>
          <w:color w:val="000000" w:themeColor="text1"/>
          <w:sz w:val="24"/>
          <w:szCs w:val="24"/>
        </w:rPr>
        <w:t xml:space="preserve"> a także motywu 173 </w:t>
      </w:r>
      <w:r w:rsidR="00684881" w:rsidRPr="00375799">
        <w:rPr>
          <w:rFonts w:cstheme="minorHAnsi"/>
          <w:color w:val="000000" w:themeColor="text1"/>
          <w:sz w:val="24"/>
          <w:szCs w:val="24"/>
        </w:rPr>
        <w:t>RODO</w:t>
      </w:r>
      <w:r w:rsidRPr="00375799">
        <w:rPr>
          <w:rFonts w:cstheme="minorHAnsi"/>
          <w:color w:val="000000" w:themeColor="text1"/>
          <w:sz w:val="24"/>
          <w:szCs w:val="24"/>
        </w:rPr>
        <w:t>: „Niniejsze rozporządzenie powinno mieć zastosowanie do wszystkich tych kwestii dotyczących ochrony podstawowych praw i wolności w związku z przetwarzaniem danych osobowych, które nie podlegają szczególnym obowiązkom mającym ten sam cel określonym w dyrektywie Parlamentu Europejskiego i Rady</w:t>
      </w:r>
      <w:r w:rsidR="004D79F6">
        <w:rPr>
          <w:rFonts w:cstheme="minorHAnsi"/>
          <w:color w:val="000000" w:themeColor="text1"/>
          <w:sz w:val="24"/>
          <w:szCs w:val="24"/>
        </w:rPr>
        <w:t xml:space="preserve"> </w:t>
      </w:r>
      <w:r w:rsidRPr="00375799">
        <w:rPr>
          <w:rFonts w:cstheme="minorHAnsi"/>
          <w:color w:val="000000" w:themeColor="text1"/>
          <w:sz w:val="24"/>
          <w:szCs w:val="24"/>
        </w:rPr>
        <w:t>2002/58/WE (2), w tym obowiązkom nałożonym na administratora oraz prawom osób fizycznych. Aby doprecyzować związek między niniejszym rozporządzeniem a dyrektywą 2002/58/WE, dyrektywę tę należy odpowiednio zmienić (…)”.</w:t>
      </w:r>
    </w:p>
    <w:p w14:paraId="38DBD025" w14:textId="3C2E2040" w:rsidR="00A44743" w:rsidRPr="00375799" w:rsidRDefault="00A44743" w:rsidP="00A44743">
      <w:pPr>
        <w:pStyle w:val="Tekstkomentarza"/>
        <w:rPr>
          <w:rFonts w:asciiTheme="minorHAnsi" w:eastAsiaTheme="minorHAnsi" w:hAnsiTheme="minorHAnsi" w:cstheme="minorHAnsi"/>
          <w:color w:val="000000" w:themeColor="text1"/>
          <w:lang w:eastAsia="en-US"/>
        </w:rPr>
      </w:pPr>
      <w:r w:rsidRPr="00375799">
        <w:rPr>
          <w:rFonts w:asciiTheme="minorHAnsi" w:eastAsiaTheme="minorHAnsi" w:hAnsiTheme="minorHAnsi" w:cstheme="minorHAnsi"/>
          <w:color w:val="000000" w:themeColor="text1"/>
          <w:lang w:eastAsia="en-US"/>
        </w:rPr>
        <w:t xml:space="preserve">Powyższe dotyczy pozostawienia obecnego art. 18 ust. 5 </w:t>
      </w:r>
      <w:proofErr w:type="spellStart"/>
      <w:r w:rsidRPr="00375799">
        <w:rPr>
          <w:rFonts w:asciiTheme="minorHAnsi" w:eastAsiaTheme="minorHAnsi" w:hAnsiTheme="minorHAnsi" w:cstheme="minorHAnsi"/>
          <w:color w:val="000000" w:themeColor="text1"/>
          <w:lang w:eastAsia="en-US"/>
        </w:rPr>
        <w:t>uśude</w:t>
      </w:r>
      <w:proofErr w:type="spellEnd"/>
      <w:r w:rsidRPr="00375799">
        <w:rPr>
          <w:rFonts w:asciiTheme="minorHAnsi" w:eastAsiaTheme="minorHAnsi" w:hAnsiTheme="minorHAnsi" w:cstheme="minorHAnsi"/>
          <w:color w:val="000000" w:themeColor="text1"/>
          <w:lang w:eastAsia="en-US"/>
        </w:rPr>
        <w:t xml:space="preserve"> dotyczącego przetwarzania danych eksploatacyjnych. </w:t>
      </w:r>
      <w:r w:rsidR="00467EFC">
        <w:rPr>
          <w:rFonts w:asciiTheme="minorHAnsi" w:eastAsiaTheme="minorHAnsi" w:hAnsiTheme="minorHAnsi" w:cstheme="minorHAnsi"/>
          <w:color w:val="000000" w:themeColor="text1"/>
          <w:lang w:eastAsia="en-US"/>
        </w:rPr>
        <w:t>Z uwagi jednak na to, że ust. 5 w</w:t>
      </w:r>
      <w:r w:rsidR="00C923A3">
        <w:rPr>
          <w:rFonts w:asciiTheme="minorHAnsi" w:eastAsiaTheme="minorHAnsi" w:hAnsiTheme="minorHAnsi" w:cstheme="minorHAnsi"/>
          <w:color w:val="000000" w:themeColor="text1"/>
          <w:lang w:eastAsia="en-US"/>
        </w:rPr>
        <w:t xml:space="preserve"> dotychczasowym brzmieniu </w:t>
      </w:r>
      <w:r w:rsidRPr="00375799">
        <w:rPr>
          <w:rFonts w:asciiTheme="minorHAnsi" w:eastAsiaTheme="minorHAnsi" w:hAnsiTheme="minorHAnsi" w:cstheme="minorHAnsi"/>
          <w:color w:val="000000" w:themeColor="text1"/>
          <w:lang w:eastAsia="en-US"/>
        </w:rPr>
        <w:t xml:space="preserve">zawiera odwołanie do danych, o których mowa w uchylanym ust. 1 – odwołanie do </w:t>
      </w:r>
      <w:r w:rsidRPr="00375799">
        <w:rPr>
          <w:rFonts w:asciiTheme="minorHAnsi" w:eastAsiaTheme="minorHAnsi" w:hAnsiTheme="minorHAnsi" w:cstheme="minorHAnsi"/>
          <w:color w:val="000000" w:themeColor="text1"/>
          <w:lang w:eastAsia="en-US"/>
        </w:rPr>
        <w:lastRenderedPageBreak/>
        <w:t>ust. 1 należy usunąć.</w:t>
      </w:r>
    </w:p>
    <w:p w14:paraId="65128D9B" w14:textId="51BB4582" w:rsidR="0022090B" w:rsidRPr="00375799" w:rsidRDefault="002209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w:t>
      </w:r>
      <w:r w:rsidRPr="00375799">
        <w:rPr>
          <w:rFonts w:cstheme="minorHAnsi"/>
          <w:color w:val="000000" w:themeColor="text1"/>
          <w:sz w:val="24"/>
          <w:szCs w:val="24"/>
        </w:rPr>
        <w:tab/>
        <w:t xml:space="preserve">regulacji nienaruszających ogólnego </w:t>
      </w:r>
      <w:r w:rsidR="00C923A3">
        <w:rPr>
          <w:rFonts w:cstheme="minorHAnsi"/>
          <w:color w:val="000000" w:themeColor="text1"/>
          <w:sz w:val="24"/>
          <w:szCs w:val="24"/>
        </w:rPr>
        <w:t>RODO</w:t>
      </w:r>
      <w:r w:rsidR="00C923A3" w:rsidRPr="00375799">
        <w:rPr>
          <w:rFonts w:cstheme="minorHAnsi"/>
          <w:color w:val="000000" w:themeColor="text1"/>
          <w:sz w:val="24"/>
          <w:szCs w:val="24"/>
        </w:rPr>
        <w:t xml:space="preserve"> </w:t>
      </w:r>
      <w:r w:rsidRPr="00375799">
        <w:rPr>
          <w:rFonts w:cstheme="minorHAnsi"/>
          <w:color w:val="000000" w:themeColor="text1"/>
          <w:sz w:val="24"/>
          <w:szCs w:val="24"/>
        </w:rPr>
        <w:t>i nieobjętych jego treścią.</w:t>
      </w:r>
    </w:p>
    <w:p w14:paraId="24CB1FA0" w14:textId="77777777" w:rsidR="00A44743" w:rsidRPr="00375799" w:rsidRDefault="00A44743" w:rsidP="00A44743">
      <w:pPr>
        <w:pStyle w:val="Tekstkomentarza"/>
        <w:rPr>
          <w:rFonts w:asciiTheme="minorHAnsi" w:eastAsiaTheme="minorHAnsi" w:hAnsiTheme="minorHAnsi" w:cstheme="minorHAnsi"/>
          <w:color w:val="000000" w:themeColor="text1"/>
          <w:lang w:eastAsia="en-US"/>
        </w:rPr>
      </w:pPr>
      <w:r w:rsidRPr="00375799">
        <w:rPr>
          <w:rFonts w:asciiTheme="minorHAnsi" w:eastAsiaTheme="minorHAnsi" w:hAnsiTheme="minorHAnsi" w:cstheme="minorHAnsi"/>
          <w:color w:val="000000" w:themeColor="text1"/>
          <w:lang w:eastAsia="en-US"/>
        </w:rPr>
        <w:t xml:space="preserve">Dotyczy to pozostawienia obecnego art. 18 ust. 6  oraz art. 19 ust. 3 </w:t>
      </w:r>
      <w:proofErr w:type="spellStart"/>
      <w:r w:rsidRPr="00375799">
        <w:rPr>
          <w:rFonts w:asciiTheme="minorHAnsi" w:eastAsiaTheme="minorHAnsi" w:hAnsiTheme="minorHAnsi" w:cstheme="minorHAnsi"/>
          <w:color w:val="000000" w:themeColor="text1"/>
          <w:lang w:eastAsia="en-US"/>
        </w:rPr>
        <w:t>uśude</w:t>
      </w:r>
      <w:proofErr w:type="spellEnd"/>
      <w:r w:rsidRPr="00375799">
        <w:rPr>
          <w:rFonts w:asciiTheme="minorHAnsi" w:eastAsiaTheme="minorHAnsi" w:hAnsiTheme="minorHAnsi" w:cstheme="minorHAnsi"/>
          <w:color w:val="000000" w:themeColor="text1"/>
          <w:lang w:eastAsia="en-US"/>
        </w:rPr>
        <w:t xml:space="preserve">. </w:t>
      </w:r>
    </w:p>
    <w:p w14:paraId="13CF6221" w14:textId="460DA70F" w:rsidR="0022090B" w:rsidRPr="00375799" w:rsidRDefault="00A44743" w:rsidP="00A44743">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Obecnie obowiązujący art. 18 ust. 6</w:t>
      </w:r>
      <w:r w:rsidR="00C923A3">
        <w:rPr>
          <w:rFonts w:cstheme="minorHAnsi"/>
          <w:color w:val="000000" w:themeColor="text1"/>
          <w:sz w:val="24"/>
          <w:szCs w:val="24"/>
        </w:rPr>
        <w:t xml:space="preserve"> </w:t>
      </w:r>
      <w:proofErr w:type="spellStart"/>
      <w:r w:rsidR="00C923A3" w:rsidRPr="00375799">
        <w:rPr>
          <w:rFonts w:cstheme="minorHAnsi"/>
          <w:color w:val="000000" w:themeColor="text1"/>
        </w:rPr>
        <w:t>uśude</w:t>
      </w:r>
      <w:proofErr w:type="spellEnd"/>
      <w:r w:rsidRPr="00375799">
        <w:rPr>
          <w:rFonts w:cstheme="minorHAnsi"/>
          <w:color w:val="000000" w:themeColor="text1"/>
          <w:sz w:val="24"/>
          <w:szCs w:val="24"/>
        </w:rPr>
        <w:t xml:space="preserve"> dotyczący udostępniania przez usługodawcę przetwarzanych przez niego danych uprawnionym organom, zawiera odwołanie do danych, o których mowa w ust. 1</w:t>
      </w:r>
      <w:r w:rsidR="00471DF9">
        <w:rPr>
          <w:rFonts w:cstheme="minorHAnsi"/>
          <w:color w:val="000000" w:themeColor="text1"/>
          <w:sz w:val="24"/>
          <w:szCs w:val="24"/>
        </w:rPr>
        <w:t>–</w:t>
      </w:r>
      <w:r w:rsidRPr="00375799">
        <w:rPr>
          <w:rFonts w:cstheme="minorHAnsi"/>
          <w:color w:val="000000" w:themeColor="text1"/>
          <w:sz w:val="24"/>
          <w:szCs w:val="24"/>
        </w:rPr>
        <w:t>5</w:t>
      </w:r>
      <w:r w:rsidR="00C923A3">
        <w:rPr>
          <w:rFonts w:cstheme="minorHAnsi"/>
          <w:color w:val="000000" w:themeColor="text1"/>
          <w:sz w:val="24"/>
          <w:szCs w:val="24"/>
        </w:rPr>
        <w:t xml:space="preserve"> tego artykułu</w:t>
      </w:r>
      <w:r w:rsidRPr="00375799">
        <w:rPr>
          <w:rFonts w:cstheme="minorHAnsi"/>
          <w:color w:val="000000" w:themeColor="text1"/>
          <w:sz w:val="24"/>
          <w:szCs w:val="24"/>
        </w:rPr>
        <w:t>. W związku z uchyleniem ust. 1</w:t>
      </w:r>
      <w:r w:rsidR="00471DF9">
        <w:rPr>
          <w:rFonts w:cstheme="minorHAnsi"/>
          <w:color w:val="000000" w:themeColor="text1"/>
          <w:sz w:val="24"/>
          <w:szCs w:val="24"/>
        </w:rPr>
        <w:t>–</w:t>
      </w:r>
      <w:r w:rsidRPr="00375799">
        <w:rPr>
          <w:rFonts w:cstheme="minorHAnsi"/>
          <w:color w:val="000000" w:themeColor="text1"/>
          <w:sz w:val="24"/>
          <w:szCs w:val="24"/>
        </w:rPr>
        <w:t xml:space="preserve">4 należy brzmienie ust. 6 odpowiednio przeredagować. Po zmianie ust. 6 będzie wskazywać na dane, w tym dane eksploatacyjne, przetwarzane w związku ze świadczeniem usług drogą elektroniczną. </w:t>
      </w:r>
    </w:p>
    <w:p w14:paraId="15F45845" w14:textId="14CEBEBF" w:rsidR="0022090B" w:rsidRPr="00375799" w:rsidRDefault="002209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Co istotne, uchylenie w rozdziale IV </w:t>
      </w:r>
      <w:proofErr w:type="spellStart"/>
      <w:r w:rsidRPr="00375799">
        <w:rPr>
          <w:rFonts w:cstheme="minorHAnsi"/>
          <w:color w:val="000000" w:themeColor="text1"/>
          <w:sz w:val="24"/>
          <w:szCs w:val="24"/>
        </w:rPr>
        <w:t>uśude</w:t>
      </w:r>
      <w:proofErr w:type="spellEnd"/>
      <w:r w:rsidRPr="00375799">
        <w:rPr>
          <w:rFonts w:cstheme="minorHAnsi"/>
          <w:color w:val="000000" w:themeColor="text1"/>
          <w:sz w:val="24"/>
          <w:szCs w:val="24"/>
        </w:rPr>
        <w:t xml:space="preserve"> poszczególnych przepisów nie może być traktowane jako zakaz przetwarzania danych osobowych (w związku ze świadczeniem usług drogą elektroniczną) w sposób określony w tych przepisach albo tym bardziej dopuszczenie przetwarzania tych danych w sposób dowolny. Legalność takiego przetwarzania danych osobowych oceniać należy w świetle przepisów </w:t>
      </w:r>
      <w:r w:rsidR="00684881" w:rsidRPr="00375799">
        <w:rPr>
          <w:rFonts w:cstheme="minorHAnsi"/>
          <w:color w:val="000000" w:themeColor="text1"/>
          <w:sz w:val="24"/>
          <w:szCs w:val="24"/>
        </w:rPr>
        <w:t>RODO</w:t>
      </w:r>
      <w:r w:rsidRPr="00375799">
        <w:rPr>
          <w:rFonts w:cstheme="minorHAnsi"/>
          <w:color w:val="000000" w:themeColor="text1"/>
          <w:sz w:val="24"/>
          <w:szCs w:val="24"/>
        </w:rPr>
        <w:t xml:space="preserve">, w tym przede wszystkim zasad ogólnych określonych w art. 5 </w:t>
      </w:r>
      <w:r w:rsidR="00C923A3">
        <w:rPr>
          <w:rFonts w:cstheme="minorHAnsi"/>
          <w:color w:val="000000" w:themeColor="text1"/>
          <w:sz w:val="24"/>
          <w:szCs w:val="24"/>
        </w:rPr>
        <w:t>tego aktu prawnego</w:t>
      </w:r>
      <w:r w:rsidRPr="00375799">
        <w:rPr>
          <w:rFonts w:cstheme="minorHAnsi"/>
          <w:color w:val="000000" w:themeColor="text1"/>
          <w:sz w:val="24"/>
          <w:szCs w:val="24"/>
        </w:rPr>
        <w:t>.</w:t>
      </w:r>
    </w:p>
    <w:p w14:paraId="59EAFF18" w14:textId="77777777" w:rsidR="008706DD" w:rsidRPr="00375799" w:rsidRDefault="008706DD" w:rsidP="0055107B">
      <w:pPr>
        <w:spacing w:after="0" w:line="276" w:lineRule="auto"/>
        <w:ind w:right="57" w:firstLine="0"/>
        <w:contextualSpacing/>
        <w:jc w:val="both"/>
        <w:rPr>
          <w:rFonts w:cstheme="minorHAnsi"/>
          <w:color w:val="000000" w:themeColor="text1"/>
          <w:sz w:val="24"/>
          <w:szCs w:val="24"/>
        </w:rPr>
      </w:pPr>
    </w:p>
    <w:p w14:paraId="2749261E" w14:textId="3896A06B"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68" w:name="_Toc530565040"/>
      <w:r w:rsidRPr="00375799">
        <w:rPr>
          <w:rFonts w:asciiTheme="minorHAnsi" w:hAnsiTheme="minorHAnsi" w:cstheme="minorHAnsi"/>
          <w:color w:val="000000" w:themeColor="text1"/>
          <w:sz w:val="24"/>
          <w:szCs w:val="24"/>
        </w:rPr>
        <w:t xml:space="preserve">Ustawa z dnia 25 lipca 2002 r. </w:t>
      </w:r>
      <w:r w:rsidR="00CF7B15">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Prawo o ustroju sądów administracyjnych</w:t>
      </w:r>
      <w:r w:rsidR="00431995">
        <w:rPr>
          <w:rFonts w:asciiTheme="minorHAnsi" w:hAnsiTheme="minorHAnsi" w:cstheme="minorHAnsi"/>
          <w:color w:val="000000" w:themeColor="text1"/>
          <w:sz w:val="24"/>
          <w:szCs w:val="24"/>
        </w:rPr>
        <w:t xml:space="preserve"> (Dz. U. z 2018 r. poz. 2107</w:t>
      </w:r>
      <w:bookmarkEnd w:id="68"/>
      <w:r w:rsidR="00414365">
        <w:rPr>
          <w:rFonts w:asciiTheme="minorHAnsi" w:hAnsiTheme="minorHAnsi" w:cstheme="minorHAnsi"/>
          <w:color w:val="000000" w:themeColor="text1"/>
          <w:sz w:val="24"/>
          <w:szCs w:val="24"/>
        </w:rPr>
        <w:t>)</w:t>
      </w:r>
    </w:p>
    <w:p w14:paraId="3C48240A"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369B76FD" w14:textId="57F2B111" w:rsidR="008706DD" w:rsidRPr="00375799" w:rsidRDefault="002209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Uzasadnienie wspólne do zmian projektowanych w następujących ustawach: Ustawa z dnia 27 lipca 2001 r. – Prawo o ustroju s</w:t>
      </w:r>
      <w:r w:rsidR="004D79F6">
        <w:rPr>
          <w:rFonts w:cstheme="minorHAnsi"/>
          <w:color w:val="000000" w:themeColor="text1"/>
          <w:sz w:val="24"/>
          <w:szCs w:val="24"/>
        </w:rPr>
        <w:t>ą</w:t>
      </w:r>
      <w:r w:rsidRPr="00375799">
        <w:rPr>
          <w:rFonts w:cstheme="minorHAnsi"/>
          <w:color w:val="000000" w:themeColor="text1"/>
          <w:sz w:val="24"/>
          <w:szCs w:val="24"/>
        </w:rPr>
        <w:t>dów powszechnych, ustawa z dnia 21 sierpnia 1997 r. – Prawo o ustroju sądów wojskowych, ustawa z dnia 25 lipca 2002 r. – Prawo o ustroju sądów administracyjnych, ustawa z dnia 8 grudnia 2017 r. o Sądzie Najwyższym, ustawa z dnia 15 czerwca 2007 r. o lekarzu sądowym, ustawa z dnia 23 stycznia 2009 r. o Krajowej Szkole Sądownictwa i Prokuratury, ustawa z dnia 11 maja 2011 r. o Krajowej Radzie Sądownictwa, ustawa z dnia 30 listopada 2016 r. o organizacji i trybie postępowania przed Trybunałem Konstytucyjnym, ustawa z dnia 26 marca 1982 r. o Trybunale Stanu</w:t>
      </w:r>
      <w:r w:rsidR="00684881" w:rsidRPr="00375799">
        <w:rPr>
          <w:rFonts w:cstheme="minorHAnsi"/>
          <w:color w:val="000000" w:themeColor="text1"/>
          <w:sz w:val="24"/>
          <w:szCs w:val="24"/>
        </w:rPr>
        <w:t xml:space="preserve"> </w:t>
      </w:r>
      <w:r w:rsidR="00684881" w:rsidRPr="00375799">
        <w:rPr>
          <w:rFonts w:eastAsiaTheme="majorEastAsia" w:cstheme="minorHAnsi"/>
          <w:color w:val="000000" w:themeColor="text1"/>
          <w:sz w:val="24"/>
          <w:szCs w:val="24"/>
        </w:rPr>
        <w:t xml:space="preserve">znajduje się na stronie </w:t>
      </w:r>
      <w:r w:rsidR="00D918BF" w:rsidRPr="00375799">
        <w:rPr>
          <w:rFonts w:eastAsiaTheme="majorEastAsia" w:cstheme="minorHAnsi"/>
          <w:color w:val="000000" w:themeColor="text1"/>
          <w:sz w:val="24"/>
          <w:szCs w:val="24"/>
        </w:rPr>
        <w:t xml:space="preserve">124 </w:t>
      </w:r>
      <w:r w:rsidR="00684881" w:rsidRPr="00375799">
        <w:rPr>
          <w:rFonts w:eastAsiaTheme="majorEastAsia" w:cstheme="minorHAnsi"/>
          <w:color w:val="000000" w:themeColor="text1"/>
          <w:sz w:val="24"/>
          <w:szCs w:val="24"/>
        </w:rPr>
        <w:t>uzasadnienia.</w:t>
      </w:r>
    </w:p>
    <w:p w14:paraId="05309C3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ADD6610" w14:textId="11F2C80C" w:rsidR="00083210" w:rsidRPr="00375799" w:rsidRDefault="00083210" w:rsidP="00C15B44">
      <w:pPr>
        <w:pStyle w:val="Nagwek2"/>
        <w:spacing w:before="0" w:line="276" w:lineRule="auto"/>
        <w:ind w:left="57" w:right="57"/>
        <w:contextualSpacing/>
        <w:rPr>
          <w:rFonts w:cstheme="minorHAnsi"/>
          <w:color w:val="000000" w:themeColor="text1"/>
          <w:sz w:val="24"/>
          <w:szCs w:val="24"/>
        </w:rPr>
      </w:pPr>
      <w:bookmarkStart w:id="69" w:name="_Toc530565041"/>
      <w:r w:rsidRPr="00375799">
        <w:rPr>
          <w:rFonts w:asciiTheme="minorHAnsi" w:hAnsiTheme="minorHAnsi" w:cstheme="minorHAnsi"/>
          <w:color w:val="000000" w:themeColor="text1"/>
          <w:sz w:val="24"/>
          <w:szCs w:val="24"/>
        </w:rPr>
        <w:t>Ustawa z dnia 27 marca 2003 r. o planowaniu i zagospodarowaniu przestrzennym (Dz. U. z 201</w:t>
      </w:r>
      <w:r w:rsidR="00431995">
        <w:rPr>
          <w:rFonts w:asciiTheme="minorHAnsi" w:hAnsiTheme="minorHAnsi" w:cstheme="minorHAnsi"/>
          <w:color w:val="000000" w:themeColor="text1"/>
          <w:sz w:val="24"/>
          <w:szCs w:val="24"/>
        </w:rPr>
        <w:t>8</w:t>
      </w:r>
      <w:r w:rsidRPr="00375799">
        <w:rPr>
          <w:rFonts w:asciiTheme="minorHAnsi" w:hAnsiTheme="minorHAnsi" w:cstheme="minorHAnsi"/>
          <w:color w:val="000000" w:themeColor="text1"/>
          <w:sz w:val="24"/>
          <w:szCs w:val="24"/>
        </w:rPr>
        <w:t xml:space="preserve"> r. poz. 1</w:t>
      </w:r>
      <w:r w:rsidR="00431995">
        <w:rPr>
          <w:rFonts w:asciiTheme="minorHAnsi" w:hAnsiTheme="minorHAnsi" w:cstheme="minorHAnsi"/>
          <w:color w:val="000000" w:themeColor="text1"/>
          <w:sz w:val="24"/>
          <w:szCs w:val="24"/>
        </w:rPr>
        <w:t>945</w:t>
      </w:r>
      <w:r w:rsidRPr="00375799">
        <w:rPr>
          <w:rFonts w:asciiTheme="minorHAnsi" w:hAnsiTheme="minorHAnsi" w:cstheme="minorHAnsi"/>
          <w:color w:val="000000" w:themeColor="text1"/>
          <w:sz w:val="24"/>
          <w:szCs w:val="24"/>
        </w:rPr>
        <w:t>)</w:t>
      </w:r>
      <w:bookmarkEnd w:id="69"/>
      <w:r w:rsidRPr="00375799">
        <w:rPr>
          <w:rFonts w:asciiTheme="minorHAnsi" w:hAnsiTheme="minorHAnsi" w:cstheme="minorHAnsi"/>
          <w:color w:val="000000" w:themeColor="text1"/>
          <w:sz w:val="24"/>
          <w:szCs w:val="24"/>
        </w:rPr>
        <w:t xml:space="preserve"> </w:t>
      </w:r>
    </w:p>
    <w:p w14:paraId="2774FC82" w14:textId="3E976DD1" w:rsidR="00083210" w:rsidRPr="00375799" w:rsidRDefault="0008321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Zmiany wprowadzone do ustawy z dnia 11 sierpnia 2001 r. o szczególnych zasadach odbudowy, remontów i rozbiórek obiektów budowlanych zniszczonych lub uszkodzonych w wyniku działania żywiołu; ustawy z dnia 27 marca 2003 r. o planowaniu i zagospodarowaniu przestrzennym oraz ustawy z dnia 9 października 2015 r. o rewitalizacji mają na celu usprawnienie procesu sporządzania i uchwalania aktów planowania przestrzennego. Proces sporządzania i późniejszego uchwalania aktów planistycznych z uwagi na ich zasięg przestrzenny oraz stopień skomplikowania (interdyscyplinarność) wymaga szerokich konsultacji publicznych z wieloma podmiotami zarówno osobami fizycznymi, przedsiębiorstwami, organizacjami lokalnymi. W związku z powyższym każdorazowe </w:t>
      </w:r>
      <w:r w:rsidRPr="00375799">
        <w:rPr>
          <w:rFonts w:cstheme="minorHAnsi"/>
          <w:color w:val="000000" w:themeColor="text1"/>
          <w:sz w:val="24"/>
          <w:szCs w:val="24"/>
        </w:rPr>
        <w:lastRenderedPageBreak/>
        <w:t xml:space="preserve">informowanie wszystkich zainteresowanych osób o dokonywanych czynnościach administracyjnych znacząco opóźniłoby proces planistyczny. </w:t>
      </w:r>
    </w:p>
    <w:p w14:paraId="4E07CEC8" w14:textId="525CBD32" w:rsidR="00083210" w:rsidRPr="00375799" w:rsidRDefault="0008321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celu ochrony osób biorących udział i składających wnioski w ramach wyżej wskazanych konsultacji zasadne jest ponadto ograniczenie uprawnienia wynikającego z art. 15 ust. 1 lit. g RODO. Lokalny charakter tych procesów prowadzonych często w ramach małych lokalnych społeczności w pełni uzasadnia wprowadzenie ochrony danych osób biorących w nich udział. Prawo, o którym mowa w art. 15 ust. 1 lit. g RODO</w:t>
      </w:r>
      <w:r w:rsidR="004D79F6">
        <w:rPr>
          <w:rFonts w:cstheme="minorHAnsi"/>
          <w:color w:val="000000" w:themeColor="text1"/>
          <w:sz w:val="24"/>
          <w:szCs w:val="24"/>
        </w:rPr>
        <w:t>,</w:t>
      </w:r>
      <w:r w:rsidRPr="00375799" w:rsidDel="00E00163">
        <w:rPr>
          <w:rFonts w:cstheme="minorHAnsi"/>
          <w:color w:val="000000" w:themeColor="text1"/>
          <w:sz w:val="24"/>
          <w:szCs w:val="24"/>
        </w:rPr>
        <w:t xml:space="preserve"> </w:t>
      </w:r>
      <w:r w:rsidRPr="00375799">
        <w:rPr>
          <w:rFonts w:cstheme="minorHAnsi"/>
          <w:color w:val="000000" w:themeColor="text1"/>
          <w:sz w:val="24"/>
          <w:szCs w:val="24"/>
        </w:rPr>
        <w:t>w zakresie wystąpień zawierających dane osobowe osób trzecich, przysługiwać będzie w zakresie, w jakimi nie ma wpływu na ochronę praw i wolności osób, od których dane pozyskano. Skorzystanie z przedmiotowego ograniczenia nie będzie zatem automatyczne i zależeć będzie od oceny spełnienia odpowiednich przesłanek przez organ przetwarzając</w:t>
      </w:r>
      <w:r w:rsidR="004D79F6">
        <w:rPr>
          <w:rFonts w:cstheme="minorHAnsi"/>
          <w:color w:val="000000" w:themeColor="text1"/>
          <w:sz w:val="24"/>
          <w:szCs w:val="24"/>
        </w:rPr>
        <w:t>y</w:t>
      </w:r>
      <w:r w:rsidRPr="00375799">
        <w:rPr>
          <w:rFonts w:cstheme="minorHAnsi"/>
          <w:color w:val="000000" w:themeColor="text1"/>
          <w:sz w:val="24"/>
          <w:szCs w:val="24"/>
        </w:rPr>
        <w:t xml:space="preserve"> dane osobowe. </w:t>
      </w:r>
    </w:p>
    <w:p w14:paraId="1C94BA68" w14:textId="4AD311F0" w:rsidR="00083210" w:rsidRPr="00375799" w:rsidRDefault="0008321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Ponadto wyraźnie wskazano, że wystąpienie z żądaniem, o którym mowa w art. 18 ust. 1 rozporządzenia RODO</w:t>
      </w:r>
      <w:r w:rsidRPr="00375799" w:rsidDel="00E00163">
        <w:rPr>
          <w:rFonts w:cstheme="minorHAnsi"/>
          <w:color w:val="000000" w:themeColor="text1"/>
          <w:sz w:val="24"/>
          <w:szCs w:val="24"/>
        </w:rPr>
        <w:t xml:space="preserve"> </w:t>
      </w:r>
      <w:r w:rsidRPr="00375799">
        <w:rPr>
          <w:rFonts w:cstheme="minorHAnsi"/>
          <w:color w:val="000000" w:themeColor="text1"/>
          <w:sz w:val="24"/>
          <w:szCs w:val="24"/>
        </w:rPr>
        <w:t>(tj. prawo żądania przez osobę, której dane osobowe dotyczą, ograniczenia przetwarzania jej danych)</w:t>
      </w:r>
      <w:r w:rsidR="004D79F6">
        <w:rPr>
          <w:rFonts w:cstheme="minorHAnsi"/>
          <w:color w:val="000000" w:themeColor="text1"/>
          <w:sz w:val="24"/>
          <w:szCs w:val="24"/>
        </w:rPr>
        <w:t>,</w:t>
      </w:r>
      <w:r w:rsidRPr="00375799">
        <w:rPr>
          <w:rFonts w:cstheme="minorHAnsi"/>
          <w:color w:val="000000" w:themeColor="text1"/>
          <w:sz w:val="24"/>
          <w:szCs w:val="24"/>
        </w:rPr>
        <w:t xml:space="preserve"> nie wpływa na przebieg postępowań planistycznych. Powyższe ma na celu umożliwienie skutecznego i efektywnego wykonywania ww. zadań (uniemożliwienie wykorzystywania prawa do ograniczenia przetwarzania danych w celu przedłużania lub blokowania działań organów w ww. zakresie).</w:t>
      </w:r>
    </w:p>
    <w:p w14:paraId="23C3BEA1" w14:textId="6E46D671" w:rsidR="00083210" w:rsidRPr="00375799" w:rsidRDefault="00735DC6" w:rsidP="0055107B">
      <w:pPr>
        <w:spacing w:line="276" w:lineRule="auto"/>
        <w:contextualSpacing/>
        <w:jc w:val="both"/>
        <w:rPr>
          <w:rFonts w:eastAsiaTheme="majorEastAsia" w:cstheme="minorHAnsi"/>
          <w:color w:val="000000" w:themeColor="text1"/>
          <w:sz w:val="24"/>
          <w:szCs w:val="24"/>
        </w:rPr>
      </w:pPr>
      <w:r w:rsidRPr="00375799">
        <w:rPr>
          <w:rFonts w:cstheme="minorHAnsi"/>
          <w:color w:val="000000" w:themeColor="text1"/>
          <w:sz w:val="24"/>
          <w:szCs w:val="24"/>
        </w:rPr>
        <w:t>Ponadto wskazano, że w przypadku gdy okres przechowywania danych osobowych nie wynika z przepisów ustawy z dnia 14 lipca 1983 r. o narodowym zasobie archiwalnym i archiwach (Dz. U. z 2018 r. poz. 217, 357, 398 i 650) wójt, burmistrz, prezydent miasta oraz wojewoda ustalają  okres ich przechowywania w przepisach wydawanych na podstawie art. 6 ust. 1 i 2 tej ustawy. Wprowadzono też zabezpieczenie w postaci nałożenia obowiązku dopuszczenia do przetwarzania danych osobowych wyłącznie osób posiadających pisemne upoważnienie wydane przez administratora oraz konieczności udzielania pisemnego zobowiązania osób upoważnionych do przetwarzania danych osobowych do zachowania ich w tajemnicy.</w:t>
      </w:r>
    </w:p>
    <w:p w14:paraId="440231EF" w14:textId="474ECDEE" w:rsidR="00083210" w:rsidRPr="00375799" w:rsidRDefault="00083210"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3C9E343F" w14:textId="36FB8A41"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70" w:name="_Toc530565042"/>
      <w:r w:rsidRPr="00375799">
        <w:rPr>
          <w:rFonts w:asciiTheme="minorHAnsi" w:hAnsiTheme="minorHAnsi" w:cstheme="minorHAnsi"/>
          <w:color w:val="000000" w:themeColor="text1"/>
          <w:sz w:val="24"/>
          <w:szCs w:val="24"/>
        </w:rPr>
        <w:t>Ustawa z dnia 28 marca 2003 r. o transporcie kolejowym (</w:t>
      </w:r>
      <w:r w:rsidR="00E22322" w:rsidRPr="00375799">
        <w:rPr>
          <w:rFonts w:asciiTheme="minorHAnsi" w:hAnsiTheme="minorHAnsi" w:cstheme="minorHAnsi"/>
          <w:color w:val="000000" w:themeColor="text1"/>
          <w:sz w:val="24"/>
          <w:szCs w:val="24"/>
        </w:rPr>
        <w:t xml:space="preserve">Dz. U. z 2017 r. poz. 2117 i 2361 oraz z 2018 r. poz. </w:t>
      </w:r>
      <w:r w:rsidR="00431995">
        <w:rPr>
          <w:rFonts w:asciiTheme="minorHAnsi" w:hAnsiTheme="minorHAnsi" w:cstheme="minorHAnsi"/>
          <w:color w:val="000000" w:themeColor="text1"/>
          <w:sz w:val="24"/>
          <w:szCs w:val="24"/>
        </w:rPr>
        <w:t xml:space="preserve">650, </w:t>
      </w:r>
      <w:r w:rsidR="00E22322" w:rsidRPr="00375799">
        <w:rPr>
          <w:rFonts w:asciiTheme="minorHAnsi" w:hAnsiTheme="minorHAnsi" w:cstheme="minorHAnsi"/>
          <w:color w:val="000000" w:themeColor="text1"/>
          <w:sz w:val="24"/>
          <w:szCs w:val="24"/>
        </w:rPr>
        <w:t>927</w:t>
      </w:r>
      <w:r w:rsidR="00431995">
        <w:rPr>
          <w:rFonts w:asciiTheme="minorHAnsi" w:hAnsiTheme="minorHAnsi" w:cstheme="minorHAnsi"/>
          <w:color w:val="000000" w:themeColor="text1"/>
          <w:sz w:val="24"/>
          <w:szCs w:val="24"/>
        </w:rPr>
        <w:t>, 1338 i 1629</w:t>
      </w:r>
      <w:r w:rsidRPr="00375799">
        <w:rPr>
          <w:rFonts w:asciiTheme="minorHAnsi" w:hAnsiTheme="minorHAnsi" w:cstheme="minorHAnsi"/>
          <w:color w:val="000000" w:themeColor="text1"/>
          <w:sz w:val="24"/>
          <w:szCs w:val="24"/>
        </w:rPr>
        <w:t>)</w:t>
      </w:r>
      <w:bookmarkEnd w:id="70"/>
      <w:r w:rsidRPr="00375799">
        <w:rPr>
          <w:rFonts w:asciiTheme="minorHAnsi" w:hAnsiTheme="minorHAnsi" w:cstheme="minorHAnsi"/>
          <w:color w:val="000000" w:themeColor="text1"/>
          <w:sz w:val="24"/>
          <w:szCs w:val="24"/>
        </w:rPr>
        <w:t xml:space="preserve"> </w:t>
      </w:r>
    </w:p>
    <w:p w14:paraId="1C472822"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70DB729F" w14:textId="0AE9044D" w:rsidR="00171F61" w:rsidRPr="00375799" w:rsidRDefault="00171F61"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Prezes UTK wykonuje zadania publiczne w zakresie nadzoru nad działalnością podmiotów mającą wpływ na bezpieczeństwo ruchu kolejowego i bezpieczeństwo systemu kolei, w tym dokonuje kontroli przewozu koleją towarów niebezpiecznych. Realizacja tych zadań ma na celu zapewnienie bezpieczeństwa w transporcie kolejowym i prawidłowego funkcjonowania rynku kolejowego. Do prowadzenia kontroli na podstawie przepisów ustawy o transporcie kolejowym nie stosuje się przepisów kodeksu postępowania administracyjnego. W celu umożliwienia przeprowadzenia kontroli oraz nałożenia stosownej kary należy wprowadzić przepis, który zapobiegnie utrudnianiu i blokowaniu postępowania w związku ze stosowaniem prawa do ograniczenia przetwarzania danych osobowych na podstawie art. 18 ust. 1 </w:t>
      </w:r>
      <w:r w:rsidR="0016170F" w:rsidRPr="00375799">
        <w:rPr>
          <w:rFonts w:cstheme="minorHAnsi"/>
          <w:color w:val="000000" w:themeColor="text1"/>
          <w:sz w:val="24"/>
          <w:szCs w:val="24"/>
        </w:rPr>
        <w:t>RODO</w:t>
      </w:r>
      <w:r w:rsidRPr="00375799">
        <w:rPr>
          <w:rFonts w:cstheme="minorHAnsi"/>
          <w:color w:val="000000" w:themeColor="text1"/>
          <w:sz w:val="24"/>
          <w:szCs w:val="24"/>
        </w:rPr>
        <w:t xml:space="preserve">. Ze względu na konieczność właściwego prowadzenia przez Prezesa UTK postępowań w </w:t>
      </w:r>
      <w:r w:rsidRPr="00375799">
        <w:rPr>
          <w:rFonts w:cstheme="minorHAnsi"/>
          <w:color w:val="000000" w:themeColor="text1"/>
          <w:sz w:val="24"/>
          <w:szCs w:val="24"/>
        </w:rPr>
        <w:lastRenderedPageBreak/>
        <w:t xml:space="preserve">przedmiotowych sprawach proponuje się wprowadzenie regulacji normujących prawo do ograniczenia przetwarzania danych osobowych w kontekście prowadzonych kontroli (pkt 1 projektu zmiany do ustawy o transporcie kolejowym). W myśl zaproponowanej modyfikacji skorzystanie z prawa do ograniczenia przetwarzania danych osobowych (art. 18 ust. 1 RODO) nie wpływa na przebieg kontroli prowadzonych przez Prezesa UTK ani na uprawnienia tego organu do nałożenia kary. Niniejsze nie wpływa na istotę prawa do ochrony danych osobowych. </w:t>
      </w:r>
    </w:p>
    <w:p w14:paraId="2DC92889" w14:textId="2E9DA8E9" w:rsidR="008706DD" w:rsidRPr="00375799" w:rsidRDefault="00171F61"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Brak tego przepisu mógłby osłabić sprawność i efektywność wykonywania zadań kontrolnych </w:t>
      </w:r>
      <w:r w:rsidR="004D79F6">
        <w:rPr>
          <w:rFonts w:cstheme="minorHAnsi"/>
          <w:color w:val="000000" w:themeColor="text1"/>
          <w:sz w:val="24"/>
          <w:szCs w:val="24"/>
        </w:rPr>
        <w:t>P</w:t>
      </w:r>
      <w:r w:rsidRPr="00375799">
        <w:rPr>
          <w:rFonts w:cstheme="minorHAnsi"/>
          <w:color w:val="000000" w:themeColor="text1"/>
          <w:sz w:val="24"/>
          <w:szCs w:val="24"/>
        </w:rPr>
        <w:t>rezesa UTK. W skrajnym przypadku uniemożliwiłby lub utrudniłby wykonywanie zadań, co mogłoby też obniżyć poziom bezpieczeństwa przewozów kolejowych oraz bezpieczeństwa uczestników ruchu kolejowego.</w:t>
      </w:r>
      <w:r w:rsidRPr="00375799" w:rsidDel="00171F61">
        <w:rPr>
          <w:rFonts w:cstheme="minorHAnsi"/>
          <w:color w:val="000000" w:themeColor="text1"/>
          <w:sz w:val="24"/>
          <w:szCs w:val="24"/>
        </w:rPr>
        <w:t xml:space="preserve"> </w:t>
      </w:r>
    </w:p>
    <w:p w14:paraId="1924E378" w14:textId="6518741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Wprowadzono przepis art. 28h ust. 1a mówiący, że w związku z badaniem poważnych wypadków, wypadków lub incydentów Państwowa Komisja Badania Wypadków Kolejowych (PKBWK) jest uprawniona do przetwarzania danych osobowych wrażliwych w zakresie danych dotyczących zdrowia. Komisja realizuje swoje zadania również w ważnym interesie publicznym badając przyczyny zdarzeń kolejowych i prowadząc postępowania w tym zakresie. Komisja w trakcie prowadzonych dochodzeń</w:t>
      </w:r>
      <w:r w:rsidR="004D79F6">
        <w:rPr>
          <w:rFonts w:cstheme="minorHAnsi"/>
          <w:color w:val="000000" w:themeColor="text1"/>
          <w:sz w:val="24"/>
          <w:szCs w:val="24"/>
        </w:rPr>
        <w:t>,</w:t>
      </w:r>
      <w:r w:rsidRPr="00375799">
        <w:rPr>
          <w:rFonts w:cstheme="minorHAnsi"/>
          <w:color w:val="000000" w:themeColor="text1"/>
          <w:sz w:val="24"/>
          <w:szCs w:val="24"/>
        </w:rPr>
        <w:t xml:space="preserve"> co do zasady</w:t>
      </w:r>
      <w:r w:rsidR="004D79F6">
        <w:rPr>
          <w:rFonts w:cstheme="minorHAnsi"/>
          <w:color w:val="000000" w:themeColor="text1"/>
          <w:sz w:val="24"/>
          <w:szCs w:val="24"/>
        </w:rPr>
        <w:t>,</w:t>
      </w:r>
      <w:r w:rsidRPr="00375799">
        <w:rPr>
          <w:rFonts w:cstheme="minorHAnsi"/>
          <w:color w:val="000000" w:themeColor="text1"/>
          <w:sz w:val="24"/>
          <w:szCs w:val="24"/>
        </w:rPr>
        <w:t xml:space="preserve"> w każdym przypadku przetwarza wrażliwe dane osobowe w rozumieniu przepisów rozporządzenia. Są to dane osób uczestniczących w wypadku (ofiar, pracowników kolei). Prowadzone przez PKBWK postępowania wymagają częstej i długoterminowej korespondencji i wymiany pism zawierających dane osobowe, często wrażliwe dane osobowe dotyczące zdrowia. Wprowadzenie niniejszego przepisu jest konieczne z uwagi na prawidłowość prowadzenia przez </w:t>
      </w:r>
      <w:r w:rsidR="004D79F6">
        <w:rPr>
          <w:rFonts w:cstheme="minorHAnsi"/>
          <w:color w:val="000000" w:themeColor="text1"/>
          <w:sz w:val="24"/>
          <w:szCs w:val="24"/>
        </w:rPr>
        <w:t>K</w:t>
      </w:r>
      <w:r w:rsidRPr="00375799">
        <w:rPr>
          <w:rFonts w:cstheme="minorHAnsi"/>
          <w:color w:val="000000" w:themeColor="text1"/>
          <w:sz w:val="24"/>
          <w:szCs w:val="24"/>
        </w:rPr>
        <w:t>omisję postępowania wyjaśniającego w związku z zaistniałym wypadkiem kolejowym. Zaproponowany przepis umożliwia realizację zadań wykonywanych przez Komisję zgodnie z przepisami RODO w odniesieniu do przetwarzania wrażliwych danych osobowych dotyczących zdrowia.</w:t>
      </w:r>
    </w:p>
    <w:p w14:paraId="373721F3" w14:textId="762BA3F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zakresie dodawanej regulacji ust. 1b w art. 28h wprowadzono przepis mówiący, że Państwowa Komisja Badania Wypadków Kolejowych wykonując zadania określone w ustawie realizuje obowiązki, o których mowa w art. 13 ust. 1 i 2 </w:t>
      </w:r>
      <w:r w:rsidR="00C923A3">
        <w:rPr>
          <w:rFonts w:cstheme="minorHAnsi"/>
          <w:color w:val="000000" w:themeColor="text1"/>
          <w:sz w:val="24"/>
          <w:szCs w:val="24"/>
        </w:rPr>
        <w:t>RODO</w:t>
      </w:r>
      <w:r w:rsidRPr="00375799">
        <w:rPr>
          <w:rFonts w:cstheme="minorHAnsi"/>
          <w:color w:val="000000" w:themeColor="text1"/>
          <w:sz w:val="24"/>
          <w:szCs w:val="24"/>
        </w:rPr>
        <w:t>, przy pierwszej czynności skierowanej do osoby. Przedmiotowy przepis jest niezbędny z tego powodu, że do badań prowadzonych przez Komisję na mocy przedmiotowej ustawy nie stosuje się przepisów Kpa. Konieczne jest więc wprowadzenie w powyższym zakresie rozwiązań analogicznych do tych, które projektodawca proponuje uregulować w Kpa, tak aby zapewnić spójność krajowego systemu prawnego w zakresie realizacji obowiązków informacyjnych z RODO przez organy administracji publicznej.</w:t>
      </w:r>
    </w:p>
    <w:p w14:paraId="591E3953" w14:textId="77777777" w:rsidR="00533ECE" w:rsidRPr="00375799" w:rsidRDefault="00533ECE" w:rsidP="0055107B">
      <w:pPr>
        <w:spacing w:after="0" w:line="276" w:lineRule="auto"/>
        <w:ind w:left="57" w:right="57"/>
        <w:contextualSpacing/>
        <w:jc w:val="both"/>
        <w:rPr>
          <w:rFonts w:cstheme="minorHAnsi"/>
          <w:color w:val="000000" w:themeColor="text1"/>
          <w:sz w:val="24"/>
          <w:szCs w:val="24"/>
        </w:rPr>
      </w:pPr>
    </w:p>
    <w:p w14:paraId="7789FB04" w14:textId="00F4FA11" w:rsidR="008706DD" w:rsidRPr="00375799" w:rsidRDefault="00533ECE"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71" w:name="_Toc530565043"/>
      <w:r w:rsidRPr="00375799">
        <w:rPr>
          <w:rFonts w:asciiTheme="minorHAnsi" w:hAnsiTheme="minorHAnsi" w:cstheme="minorHAnsi"/>
          <w:color w:val="000000" w:themeColor="text1"/>
          <w:sz w:val="24"/>
          <w:szCs w:val="24"/>
        </w:rPr>
        <w:t>Ustawa</w:t>
      </w:r>
      <w:r w:rsidR="008706DD" w:rsidRPr="00375799">
        <w:rPr>
          <w:rFonts w:asciiTheme="minorHAnsi" w:hAnsiTheme="minorHAnsi" w:cstheme="minorHAnsi"/>
          <w:color w:val="000000" w:themeColor="text1"/>
          <w:sz w:val="24"/>
          <w:szCs w:val="24"/>
        </w:rPr>
        <w:t xml:space="preserve"> z dnia 22 maja 2003 r. o ubezpieczeniach obowiązkowych, Ubezpieczeniowym Funduszu Gwarancyjnym i Polskim Biurze Ubezpieczycieli Komunikacyjnych</w:t>
      </w:r>
      <w:r w:rsidR="00E22322" w:rsidRPr="00375799">
        <w:rPr>
          <w:rFonts w:asciiTheme="minorHAnsi" w:hAnsiTheme="minorHAnsi" w:cstheme="minorHAnsi"/>
          <w:color w:val="000000" w:themeColor="text1"/>
          <w:sz w:val="24"/>
          <w:szCs w:val="24"/>
        </w:rPr>
        <w:t xml:space="preserve"> (Dz. U. z 2018 r. poz. 473)</w:t>
      </w:r>
      <w:bookmarkEnd w:id="71"/>
      <w:r w:rsidR="00E22322" w:rsidRPr="00375799">
        <w:rPr>
          <w:rFonts w:asciiTheme="minorHAnsi" w:hAnsiTheme="minorHAnsi" w:cstheme="minorHAnsi"/>
          <w:color w:val="000000" w:themeColor="text1"/>
          <w:sz w:val="24"/>
          <w:szCs w:val="24"/>
        </w:rPr>
        <w:t xml:space="preserve"> </w:t>
      </w:r>
      <w:r w:rsidR="008706DD" w:rsidRPr="00375799">
        <w:rPr>
          <w:rFonts w:asciiTheme="minorHAnsi" w:hAnsiTheme="minorHAnsi" w:cstheme="minorHAnsi"/>
          <w:color w:val="000000" w:themeColor="text1"/>
          <w:sz w:val="24"/>
          <w:szCs w:val="24"/>
        </w:rPr>
        <w:t xml:space="preserve"> </w:t>
      </w:r>
    </w:p>
    <w:p w14:paraId="036FCEC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35D5C2C" w14:textId="3BD43C5D"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Ubezpieczeniowy Fundusz Gwarancyjny, zwany dalej „UFG” lub „Fundusz</w:t>
      </w:r>
      <w:r w:rsidR="00C923A3">
        <w:rPr>
          <w:rFonts w:cstheme="minorHAnsi"/>
          <w:color w:val="000000" w:themeColor="text1"/>
          <w:sz w:val="24"/>
          <w:szCs w:val="24"/>
        </w:rPr>
        <w:t>em</w:t>
      </w:r>
      <w:r w:rsidRPr="00375799">
        <w:rPr>
          <w:rFonts w:cstheme="minorHAnsi"/>
          <w:color w:val="000000" w:themeColor="text1"/>
          <w:sz w:val="24"/>
          <w:szCs w:val="24"/>
        </w:rPr>
        <w:t>”, wykonuje zadania wynikające z przepisów ustawy z dnia 22 maja 2003 r. o ubezpieczeniach obowiązkowych, Ubezpieczeniowym Funduszu Gwarancyjnym i Polskim Biurze Ubezpieczycieli Komunikacyjnych (Dz. U. z 2018 r. poz. 473), zwanej dalej „ustawą o ubezpieczeniach obowiązkowych”, takie jak likwidacja szkód, wypłata odszkodowań, dochodzenie roszczeń związanych z ubezpieczeniami, o których mowa w art. 4 tej ustawy, pełnienie funkcji ośrodka informacji (art. 102), prowadzenie Bazy Danych Ubezpieczeniowych (art. 102a) czy też zaspokajanie roszczeń w przypadku ogłoszenia upadłości zakładu ubezpieczeń. Dodatkowo należy wskazać, iż w ramach realizowanych zadań ustawowych Fundusz realizuje także obowiązki wynikające z przepisów określonych w Dyrektywie Parlamentu Europejskiego i Rady 2009/103/WE z dnia 16 września 2009 r. w sprawie ubezpieczenia od odpowiedzialności cywilnej za szkody powstałe w związku z ruchem pojazdów mechanicznych i egzekwowania obowiązku ubezpieczania od takiej odpowiedzialności (Dz.</w:t>
      </w:r>
      <w:r w:rsidR="004D79F6">
        <w:rPr>
          <w:rFonts w:cstheme="minorHAnsi"/>
          <w:color w:val="000000" w:themeColor="text1"/>
          <w:sz w:val="24"/>
          <w:szCs w:val="24"/>
        </w:rPr>
        <w:t xml:space="preserve"> </w:t>
      </w:r>
      <w:r w:rsidRPr="00375799">
        <w:rPr>
          <w:rFonts w:cstheme="minorHAnsi"/>
          <w:color w:val="000000" w:themeColor="text1"/>
          <w:sz w:val="24"/>
          <w:szCs w:val="24"/>
        </w:rPr>
        <w:t>Urz.</w:t>
      </w:r>
      <w:r w:rsidR="004D79F6">
        <w:rPr>
          <w:rFonts w:cstheme="minorHAnsi"/>
          <w:color w:val="000000" w:themeColor="text1"/>
          <w:sz w:val="24"/>
          <w:szCs w:val="24"/>
        </w:rPr>
        <w:t xml:space="preserve"> </w:t>
      </w:r>
      <w:r w:rsidRPr="00375799">
        <w:rPr>
          <w:rFonts w:cstheme="minorHAnsi"/>
          <w:color w:val="000000" w:themeColor="text1"/>
          <w:sz w:val="24"/>
          <w:szCs w:val="24"/>
        </w:rPr>
        <w:t>UE L 263/11).</w:t>
      </w:r>
    </w:p>
    <w:p w14:paraId="7B4F8165" w14:textId="033F6C92"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 podstawie regulacji zawartych w przepisach ww. ustawy UFG jest instytucją powołaną w drodze ustawy do pełnienia określonych funkcji gwarancyjnych, ochronnych oraz uprawnioną do przetwarzania określonej kategorii danych w celu identyfikacji i weryfikacji zjawisk związanych z przestępczością ubezpieczeniową. </w:t>
      </w:r>
    </w:p>
    <w:p w14:paraId="34240451" w14:textId="77777777"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Propozycja uzupełnienia art. 98 ustawy o ust. 6 i 7 ma na celu jednoznaczne wskazanie podstawy prawnej, zakresu oraz celu przetwarzania określonych danych w związku z wykonywaniem przez Fundusz określonych zadań ustawowych. </w:t>
      </w:r>
    </w:p>
    <w:p w14:paraId="64C65E62" w14:textId="77777777"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Przepisy obowiązującej ustawy o ubezpieczeniach obowiązkowych nakładają na UFG obowiązki, z którymi wiąże się konieczność przetwarzania danych osobowych. Dotyczy to także szczególnej kategorii danych, jakimi są dane dotyczące zdrowia, wyroków skazujących, naruszeń prawa lub </w:t>
      </w:r>
      <w:proofErr w:type="spellStart"/>
      <w:r w:rsidRPr="00375799">
        <w:rPr>
          <w:rFonts w:cstheme="minorHAnsi"/>
          <w:color w:val="000000" w:themeColor="text1"/>
          <w:sz w:val="24"/>
          <w:szCs w:val="24"/>
        </w:rPr>
        <w:t>powiąznych</w:t>
      </w:r>
      <w:proofErr w:type="spellEnd"/>
      <w:r w:rsidRPr="00375799">
        <w:rPr>
          <w:rFonts w:cstheme="minorHAnsi"/>
          <w:color w:val="000000" w:themeColor="text1"/>
          <w:sz w:val="24"/>
          <w:szCs w:val="24"/>
        </w:rPr>
        <w:t xml:space="preserve"> środków bezpieczeństwa. </w:t>
      </w:r>
    </w:p>
    <w:p w14:paraId="291FAFF8" w14:textId="3334C4FA"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Wskazane w projektowanym art. 98 ust. 6 ustawy </w:t>
      </w:r>
      <w:r w:rsidR="00C923A3">
        <w:rPr>
          <w:rFonts w:cstheme="minorHAnsi"/>
          <w:color w:val="000000" w:themeColor="text1"/>
          <w:sz w:val="24"/>
          <w:szCs w:val="24"/>
        </w:rPr>
        <w:t xml:space="preserve">o ubezpieczeniach obowiązkowych </w:t>
      </w:r>
      <w:r w:rsidRPr="00375799">
        <w:rPr>
          <w:rFonts w:cstheme="minorHAnsi"/>
          <w:color w:val="000000" w:themeColor="text1"/>
          <w:sz w:val="24"/>
          <w:szCs w:val="24"/>
        </w:rPr>
        <w:t>uprawnienie do przetwarzania danych dotyczących zdrowia zostało oparte o art. 9 ust. 2 lit. g RODO. Należy wskazać, iż głównym zadaniem Funduszu jest zaspokajanie roszczeń z tytułu ubezpieczenia OC posiadaczy pojazdów mechanicznych oraz ubezpieczenia OC rolników za szkody na osobie i w mieniu. Przy prowadzonych wypłatach odszkodowań niezbędne jest wyznaczenie zakresu szkód na osobie w oparciu o dane dotyczące zdrowia. W oparciu o takie informacje rozstrzyga się</w:t>
      </w:r>
      <w:r w:rsidR="004D79F6">
        <w:rPr>
          <w:rFonts w:cstheme="minorHAnsi"/>
          <w:color w:val="000000" w:themeColor="text1"/>
          <w:sz w:val="24"/>
          <w:szCs w:val="24"/>
        </w:rPr>
        <w:t>,</w:t>
      </w:r>
      <w:r w:rsidRPr="00375799">
        <w:rPr>
          <w:rFonts w:cstheme="minorHAnsi"/>
          <w:color w:val="000000" w:themeColor="text1"/>
          <w:sz w:val="24"/>
          <w:szCs w:val="24"/>
        </w:rPr>
        <w:t xml:space="preserve"> czy u któregokolwiek uczestnika zdarzenia nastąpiła śmierć, naruszenie czynności narządu ciała lub rozstrój zdrowia, trwający dłużej niż 14 dni. Jednocześnie naruszenie czynności narządu ciała lub rozstrój zdrowia powinny zostać stwierdzone orzeczeniem lekarza, posiadającego specjalizację w dziedzinie medycyny odpowiadającej rodzajowi i zakresowi powyższych naruszeń czynności narządu ciała lub rozstroju zdrowia. Jednocześnie uprawnienie do przetwarzania danych dotyczących zdrowia umożliwi prawidłową realizację zadań mających na celu identyfikację, weryfikację i przeciwdziałania naruszeniom interesów uczestników rynku ubezpieczeniowego. Należy wskazać, iż w zakresie realizacji powyższych zadań, przetwarzanie danych osobowych </w:t>
      </w:r>
      <w:r w:rsidRPr="00375799">
        <w:rPr>
          <w:rFonts w:cstheme="minorHAnsi"/>
          <w:color w:val="000000" w:themeColor="text1"/>
          <w:sz w:val="24"/>
          <w:szCs w:val="24"/>
        </w:rPr>
        <w:lastRenderedPageBreak/>
        <w:t>dotyczących zdrowia będzie niezbędne do właściwego i skutecznego eliminowania ww. zjawisk, w szczególności w zakresie umów ubezpieczenia na życie.</w:t>
      </w:r>
    </w:p>
    <w:p w14:paraId="3FAE72D1" w14:textId="336A7298"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Elementem zabezpieczenia praw i wolności osób, których dane dotyczą</w:t>
      </w:r>
      <w:r w:rsidR="004D79F6">
        <w:rPr>
          <w:rFonts w:cstheme="minorHAnsi"/>
          <w:color w:val="000000" w:themeColor="text1"/>
          <w:sz w:val="24"/>
          <w:szCs w:val="24"/>
        </w:rPr>
        <w:t>,</w:t>
      </w:r>
      <w:r w:rsidRPr="00375799">
        <w:rPr>
          <w:rFonts w:cstheme="minorHAnsi"/>
          <w:color w:val="000000" w:themeColor="text1"/>
          <w:sz w:val="24"/>
          <w:szCs w:val="24"/>
        </w:rPr>
        <w:t xml:space="preserve"> będzie objęcie tajemnicą ubezpieczeniową UFG. Ponadto za taki środek ochrony należy uznać uprawnienia wynikające z art. 42 ustawy</w:t>
      </w:r>
      <w:r w:rsidR="00BB41FC">
        <w:rPr>
          <w:rFonts w:cstheme="minorHAnsi"/>
          <w:color w:val="000000" w:themeColor="text1"/>
          <w:sz w:val="24"/>
          <w:szCs w:val="24"/>
        </w:rPr>
        <w:t xml:space="preserve"> z dnia 11 wrześ</w:t>
      </w:r>
      <w:r w:rsidR="00C923A3">
        <w:rPr>
          <w:rFonts w:cstheme="minorHAnsi"/>
          <w:color w:val="000000" w:themeColor="text1"/>
          <w:sz w:val="24"/>
          <w:szCs w:val="24"/>
        </w:rPr>
        <w:t>nia 2015 r.</w:t>
      </w:r>
      <w:r w:rsidRPr="00375799">
        <w:rPr>
          <w:rFonts w:cstheme="minorHAnsi"/>
          <w:color w:val="000000" w:themeColor="text1"/>
          <w:sz w:val="24"/>
          <w:szCs w:val="24"/>
        </w:rPr>
        <w:t xml:space="preserve"> o działalności ubezpieczeniowej i reasekuracyjnej</w:t>
      </w:r>
      <w:r w:rsidR="00B92976">
        <w:rPr>
          <w:rFonts w:cstheme="minorHAnsi"/>
          <w:color w:val="000000" w:themeColor="text1"/>
          <w:sz w:val="24"/>
          <w:szCs w:val="24"/>
        </w:rPr>
        <w:t xml:space="preserve"> (Dz. U. z 2018 r. poz. </w:t>
      </w:r>
      <w:r w:rsidR="00BB41FC">
        <w:rPr>
          <w:rFonts w:cstheme="minorHAnsi"/>
          <w:color w:val="000000" w:themeColor="text1"/>
          <w:sz w:val="24"/>
          <w:szCs w:val="24"/>
        </w:rPr>
        <w:t>999, 1000 i 1669</w:t>
      </w:r>
      <w:r w:rsidR="00B92976">
        <w:rPr>
          <w:rFonts w:cstheme="minorHAnsi"/>
          <w:color w:val="000000" w:themeColor="text1"/>
          <w:sz w:val="24"/>
          <w:szCs w:val="24"/>
        </w:rPr>
        <w:t>)</w:t>
      </w:r>
      <w:r w:rsidRPr="00375799">
        <w:rPr>
          <w:rFonts w:cstheme="minorHAnsi"/>
          <w:color w:val="000000" w:themeColor="text1"/>
          <w:sz w:val="24"/>
          <w:szCs w:val="24"/>
        </w:rPr>
        <w:t>, na podstawie którego UFG na żądanie ubezpieczonego lub uprawnionego z umowy ubezpieczenia, udostępnia posiadane przez siebie informacje związane z wypadkiem lub zdarzeniem losowym będącym podstawą ustalenia jego odpowiedzialności oraz ustalenia okoliczności wypadków i zdarzeń losowych, jak również wysokości odszkodowania lub świadczenia.</w:t>
      </w:r>
    </w:p>
    <w:p w14:paraId="6215223A" w14:textId="0A757D8C"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kolei przetwarzanie danych osobowych dotyczących wyroków skazujących, naruszeń prawa lub powiązanych środków bezpieczeństwa jest niezbędne do wypełnienia obowiązku prawnego ciążącego na administratorze i jest niezbędne do wykonania zadań realizowanych w interesie publicznym (identyfikacja i weryfikacja zjawisk związanych z przestępczością ubezpieczeniową) oraz jest dozwolone prawem Unii lub prawem państwa członkowskiego. </w:t>
      </w:r>
    </w:p>
    <w:p w14:paraId="5FCEE488" w14:textId="585E1C5B"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Należy wskazać, iż przetwarzanie takiej kategorii danych jest niezbędne do wypełniania obowiązków prawnych (zadań ustawowych) ciążących na administratorze (UFG). Dla ustalenia odpowiedzialności Funduszu niezbędne jest przetwarzanie danych osobowych dotyczących, nie tylko naruszeń prawa (mandaty, środki karne, postanowienia o warunkowym umorzeniu postępowania, postanowienia o zatrzymaniu dowodu rejestracyjnego, decyzje o zatrzymaniu prawa jazdy), ale także wyroków skazujących. Należy mieć na uwadze, iż przy obowiązkowym ubezpieczeniu odpowiedzialności cywilnej posiadaczy pojazdów mechanicznych czy też przy ubezpieczeniu OC rolników ustalenie odpowiedzialności jest często nierozerwalnie związane z ustaleniem odpowiedzialności karnej ubezpieczonych. </w:t>
      </w:r>
    </w:p>
    <w:p w14:paraId="1F2230F7" w14:textId="22871413"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uwagi na uwarunkowania art. 10 </w:t>
      </w:r>
      <w:r w:rsidR="00B92976">
        <w:rPr>
          <w:rFonts w:cstheme="minorHAnsi"/>
          <w:color w:val="000000" w:themeColor="text1"/>
          <w:sz w:val="24"/>
          <w:szCs w:val="24"/>
        </w:rPr>
        <w:t>RODO</w:t>
      </w:r>
      <w:r w:rsidRPr="00375799">
        <w:rPr>
          <w:rFonts w:cstheme="minorHAnsi"/>
          <w:color w:val="000000" w:themeColor="text1"/>
          <w:sz w:val="24"/>
          <w:szCs w:val="24"/>
        </w:rPr>
        <w:t>, przetwarzanie danych dotyczących wyroków skazujących, naruszeń prawa lub powiązanych środków bezpieczeństwa jest możliwe po spełnieniu przez administratora danych dwóch szczególnych warunków, z których pierwszy dotyczy funkcjonowania normy prawnej przewidzianej na gruncie prawa krajowego</w:t>
      </w:r>
      <w:r w:rsidR="00B92976">
        <w:rPr>
          <w:rFonts w:cstheme="minorHAnsi"/>
          <w:color w:val="000000" w:themeColor="text1"/>
          <w:sz w:val="24"/>
          <w:szCs w:val="24"/>
        </w:rPr>
        <w:t>,</w:t>
      </w:r>
      <w:r w:rsidRPr="00375799">
        <w:rPr>
          <w:rFonts w:cstheme="minorHAnsi"/>
          <w:color w:val="000000" w:themeColor="text1"/>
          <w:sz w:val="24"/>
          <w:szCs w:val="24"/>
        </w:rPr>
        <w:t xml:space="preserve"> umożliwiającej przetwarzanie tego rodzaju danych, a drugi związany jest z koniecznością zapewnienia odpowiednich zabezpieczeń praw i wolności osób, których dane dotyczą. Za takie środki ochrony można uznać uprawnienia wynikające z art. 42 ust. 3 i 4 ustawy o działalności ubezpieczeniowej i reasekuracyjnej oraz objęcie tajemnicą ubezpieczeniową UFG. Jak zostało wskazane powyżej, na podstawie wspomnianej normy Fundusz na żądanie ubezpieczonego lub uprawnionego z umowy ubezpieczenia, udostępnia posiadane przez siebie informacje związane z wypadkiem lub zdarzeniem losowym będącym podstawą ustalenia jego odpowiedzialności oraz ustalenia okoliczności wypadków i zdarzeń losowych, jak również wysokości odszkodowania lub świadczenia. </w:t>
      </w:r>
    </w:p>
    <w:p w14:paraId="7DBD3B5C" w14:textId="3319DDDE"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zadaniami ustawowymi UFG będzie przetwarzał dane dotyczące wyroków skazujących, naruszeń prawa lub powiązanych środków bezpieczeństwa dla potrzeb prowadzonej likwidacji szkód, dochodzenia roszczeń regresowych od zobowiązanych, </w:t>
      </w:r>
      <w:r w:rsidRPr="00375799">
        <w:rPr>
          <w:rFonts w:cstheme="minorHAnsi"/>
          <w:color w:val="000000" w:themeColor="text1"/>
          <w:sz w:val="24"/>
          <w:szCs w:val="24"/>
        </w:rPr>
        <w:lastRenderedPageBreak/>
        <w:t xml:space="preserve">stosowania ulg lub umarzania należności z tytułu takich roszczeń regresowych, stosowania ulg lub umarzania należności z tytułu opłat za niespełnienie obowiązku ubezpieczenia OC posiadaczy pojazdów mechanicznych i ubezpieczenia OC rolników czy też działań związanych z identyfikacją i weryfikacją zjawisk związanych z przestępczością ubezpieczeniową oraz z identyfikacją, weryfikacją i przeciwdziałaniem naruszeniom interesów uczestników rynku ubezpieczeniowego. </w:t>
      </w:r>
    </w:p>
    <w:p w14:paraId="5F9B2B23" w14:textId="77777777"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racji swoich ustawowych zadań związanych z zaspokajaniem roszczeń osób poszkodowanych w wypadkach spowodowanych przez nieustalonych lub nieubezpieczonych sprawców (art. 98 ustawy o ubezpieczeniach obowiązkowych), UFG analizując zgłoszone roszczenie, dokonuje weryfikacji wszystkich okoliczności niezbędnych do ustalenia swojej odpowiedzialności. Wyroki karne skazujące mają kluczowe znaczenie dla ustalenia okresu przedawnienia roszczeń z tytułu szkód wynikłych z przestępstwa (20 lat od daty popełnienia przestępstwa). W przypadku roszczeń z przeszłości ustalenia dokonane w procesie karnym, znajdujące uzasadnienie w treści wyroku karnego, pozwalają na identyfikację okoliczności istotnych dla określenia odpowiedzialności UFG, zwłaszcza ustalenia przebiegu zdarzenia i ewentualnego przyczynienia jego uczestników do powstania i rozmiaru szkody. </w:t>
      </w:r>
    </w:p>
    <w:p w14:paraId="40F05C1E" w14:textId="1CE574B4"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Zapadłe wyroki karne gromadzone są i przetwarzane przez UFG w celu prowadzenia postępowania likwidacyjnego, jak również ewentualnego sporu sądowego w kolejnych instancjach postępowania cywilnego. Przetwarzanie danych z wyroków skazujących jest również uzasadnione z punktu widzenia ewentualnego zgłaszania po wielu latach roszczeń przez kolejnych roszczących, często w sytuacji</w:t>
      </w:r>
      <w:r w:rsidR="00B92976">
        <w:rPr>
          <w:rFonts w:cstheme="minorHAnsi"/>
          <w:color w:val="000000" w:themeColor="text1"/>
          <w:sz w:val="24"/>
          <w:szCs w:val="24"/>
        </w:rPr>
        <w:t>,</w:t>
      </w:r>
      <w:r w:rsidRPr="00375799">
        <w:rPr>
          <w:rFonts w:cstheme="minorHAnsi"/>
          <w:color w:val="000000" w:themeColor="text1"/>
          <w:sz w:val="24"/>
          <w:szCs w:val="24"/>
        </w:rPr>
        <w:t xml:space="preserve"> gdy np. akta sprawy karnej uległy już zniszczeniu ze względu na upływ czasu ich przechowywania. Ustalenia z wyroku skazującego mają również istotne znaczenia w późniejszym procesie windykacji przez UFG regresów wobec sprawców wypadków.</w:t>
      </w:r>
      <w:r w:rsidR="00F2163E" w:rsidRPr="00375799">
        <w:rPr>
          <w:rFonts w:cstheme="minorHAnsi"/>
          <w:color w:val="000000" w:themeColor="text1"/>
          <w:sz w:val="24"/>
          <w:szCs w:val="24"/>
        </w:rPr>
        <w:t xml:space="preserve"> Odnosząc się do</w:t>
      </w:r>
      <w:r w:rsidRPr="00375799">
        <w:rPr>
          <w:rFonts w:cstheme="minorHAnsi"/>
          <w:color w:val="000000" w:themeColor="text1"/>
          <w:sz w:val="24"/>
          <w:szCs w:val="24"/>
        </w:rPr>
        <w:t xml:space="preserve"> dochodzenia roszczeń regresowych od zobowiązanych należy wskazać, iż UFG jest uprawniony do dochodzenia zwrotu wypłaconego odszkodowania z tytułu ubezpieczenia OC posiadaczy pojazdów mechanicznych od kierującego pojazdem mechanicznym, jeżeli popełnił on jeden z czynów niedozwolonych wymienionych w art. 43 ustawy</w:t>
      </w:r>
      <w:r w:rsidR="00B92976">
        <w:rPr>
          <w:rFonts w:cstheme="minorHAnsi"/>
          <w:color w:val="000000" w:themeColor="text1"/>
          <w:sz w:val="24"/>
          <w:szCs w:val="24"/>
        </w:rPr>
        <w:t xml:space="preserve"> o ubezpieczeniach obowiązkowych</w:t>
      </w:r>
      <w:r w:rsidRPr="00375799">
        <w:rPr>
          <w:rFonts w:cstheme="minorHAnsi"/>
          <w:color w:val="000000" w:themeColor="text1"/>
          <w:sz w:val="24"/>
          <w:szCs w:val="24"/>
        </w:rPr>
        <w:t>. Analogiczna konstrukcja została przewidziana w art. 58</w:t>
      </w:r>
      <w:r w:rsidR="00B92976">
        <w:rPr>
          <w:rFonts w:cstheme="minorHAnsi"/>
          <w:color w:val="000000" w:themeColor="text1"/>
          <w:sz w:val="24"/>
          <w:szCs w:val="24"/>
        </w:rPr>
        <w:t xml:space="preserve"> ustawy o ubezpieczeniach obowiązkowych</w:t>
      </w:r>
      <w:r w:rsidRPr="00375799">
        <w:rPr>
          <w:rFonts w:cstheme="minorHAnsi"/>
          <w:color w:val="000000" w:themeColor="text1"/>
          <w:sz w:val="24"/>
          <w:szCs w:val="24"/>
        </w:rPr>
        <w:t>, gdzie roszczenie regresowe wobec rolników warunkowane jest popełnieniem przynajmniej jednego z wymienionych w ww. przepisie czynów niedozwolonych. Przedmiotowe czyny niedozwolone mogą także znaleźć swoje potwierdzenie w wyrokach skazujących.</w:t>
      </w:r>
    </w:p>
    <w:p w14:paraId="600ACB1B" w14:textId="7716C83E"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powyższym, z punktu widzenia możliwości dochodzenia roszczenia regresowego konieczne jest przetwarzanie przez UFG danych osobowych dotyczących wyroków skazujących czy też danych dotyczących naruszeń prawa. Odmienne uregulowanie tej kwestii może doprowadzić do sytuacji, w której UFG nie będzie mógł realizować ustawowych uprawnień, tj. dochodzić od zobowiązanych roszczeń regresowych, w określonych ustawowo przypadkach popełnienia czynów zabronionych. Z uwagi na konstrukcję art. 43 i </w:t>
      </w:r>
      <w:r w:rsidR="004D79F6">
        <w:rPr>
          <w:rFonts w:cstheme="minorHAnsi"/>
          <w:color w:val="000000" w:themeColor="text1"/>
          <w:sz w:val="24"/>
          <w:szCs w:val="24"/>
        </w:rPr>
        <w:t xml:space="preserve">art. </w:t>
      </w:r>
      <w:r w:rsidRPr="00375799">
        <w:rPr>
          <w:rFonts w:cstheme="minorHAnsi"/>
          <w:color w:val="000000" w:themeColor="text1"/>
          <w:sz w:val="24"/>
          <w:szCs w:val="24"/>
        </w:rPr>
        <w:t xml:space="preserve">58 ustawy o ubezpieczeniach obowiązkowych, przetwarzanie </w:t>
      </w:r>
      <w:r w:rsidRPr="00375799">
        <w:rPr>
          <w:rFonts w:cstheme="minorHAnsi"/>
          <w:color w:val="000000" w:themeColor="text1"/>
          <w:sz w:val="24"/>
          <w:szCs w:val="24"/>
        </w:rPr>
        <w:lastRenderedPageBreak/>
        <w:t xml:space="preserve">informacji o wyrokach skazujących (naruszeniach prawa) warunkuje możliwość dochodzenia roszczenia regresowego i pozostaje niezbędne do wykonywania ustawowych uprawnień. </w:t>
      </w:r>
    </w:p>
    <w:p w14:paraId="191EAD58" w14:textId="026153A3"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Ustalenie winy kierującego (lub rolnika) i jej stopnia ma kluczowe znaczenie dla ustalenia ewentualnych roszczeń regresowych UFG, a dla jej ustalenia niezbędne jest sięgnięcie do wyroku skazującego daną osobę czy też informacji o naruszeniu prawa i zapoznania się z ustaleniami sądu orzekającego w danej sprawie.</w:t>
      </w:r>
    </w:p>
    <w:p w14:paraId="3FCE7A5D" w14:textId="4F8DBE64"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Dodatkowo należy zwrócić uwagę na dyspozycję art. 110 ustawy</w:t>
      </w:r>
      <w:r w:rsidR="00B92976">
        <w:rPr>
          <w:rFonts w:cstheme="minorHAnsi"/>
          <w:color w:val="000000" w:themeColor="text1"/>
          <w:sz w:val="24"/>
          <w:szCs w:val="24"/>
        </w:rPr>
        <w:t xml:space="preserve"> o ubezpieczeniach obowiązkowych</w:t>
      </w:r>
      <w:r w:rsidRPr="00375799">
        <w:rPr>
          <w:rFonts w:cstheme="minorHAnsi"/>
          <w:color w:val="000000" w:themeColor="text1"/>
          <w:sz w:val="24"/>
          <w:szCs w:val="24"/>
        </w:rPr>
        <w:t>, zgodnie z którą UFG uprawniony jest do dochodzenia roszczenia zwrotnego od sprawcy zdarzenia i osoby, która nie dopełniła obowiązku zawarcia umowy ubezpieczenia obowiązkowego OC posiadaczy pojazdów mechanicznych lub OC rolników. W sytuacji roszczenia zwrotnego, niejednokrotnie zachodzi sytuacja, w której do UFG przekazywane są wyroki wskazujące na osobę sprawcy zdarzenia i okoliczności</w:t>
      </w:r>
      <w:r w:rsidR="004D79F6">
        <w:rPr>
          <w:rFonts w:cstheme="minorHAnsi"/>
          <w:color w:val="000000" w:themeColor="text1"/>
          <w:sz w:val="24"/>
          <w:szCs w:val="24"/>
        </w:rPr>
        <w:t>,</w:t>
      </w:r>
      <w:r w:rsidRPr="00375799">
        <w:rPr>
          <w:rFonts w:cstheme="minorHAnsi"/>
          <w:color w:val="000000" w:themeColor="text1"/>
          <w:sz w:val="24"/>
          <w:szCs w:val="24"/>
        </w:rPr>
        <w:t xml:space="preserve"> w jakich dane zdarzenie wystąpiło. W takich przypadkach dla skutecznego dochodzenia roszczeń zwrotnych konieczna jest możliwość przetwarzania wyroków skazujących, bowiem niejednokrotnie jest to jedyna możliwość ustalenia szczegółowych okoliczności zdarzenia. Z uwagi bowiem na fakt, że zobowiązani w takich przypadkach mogą zmierzać do uchylenia się od odpowiedzialności, zasięgnięcie informacji z wyroków skazujących okazuje się częstokroć jedyną drogą do ustalenia stanu faktycznego zdarzenia i możliwości UFG do dochodzenia roszczenia zwrotnego. Należy również podkreślić, że w przypadku roszczeń zwrotnych, może mieć miejsce postępowanie przed komisją umorzeń UFG, w sytuacji wystąpienia z wnioskiem o umorzenie należności, co również wiąże się z przetwarzaniem danych o wyrokach.</w:t>
      </w:r>
      <w:r w:rsidR="00F2163E" w:rsidRPr="00375799">
        <w:rPr>
          <w:rFonts w:cstheme="minorHAnsi"/>
          <w:color w:val="000000" w:themeColor="text1"/>
          <w:sz w:val="24"/>
          <w:szCs w:val="24"/>
        </w:rPr>
        <w:t xml:space="preserve"> W przypadku przepisów dotyczących </w:t>
      </w:r>
      <w:r w:rsidRPr="00375799">
        <w:rPr>
          <w:rFonts w:cstheme="minorHAnsi"/>
          <w:color w:val="000000" w:themeColor="text1"/>
          <w:sz w:val="24"/>
          <w:szCs w:val="24"/>
        </w:rPr>
        <w:t>stosowania ulg lub umarzania należności z tytułu opłat za niespełnienie obowiązku ubezpieczenia OC posiadaczy pojazdów mechanicznych i ubezpieczenia OC rolników czy też z tytułu roszczeń regresowych od zobowiązanych sprawców szkody, należy wskazać, iż UFG każdorazowo, w celu oceny trudnej sytuacji życiowo-materialnej zobowiązanego wykorzystuje dane charakteryzujące tę sytuację. Z reguły są to informacje odnośnie</w:t>
      </w:r>
      <w:r w:rsidR="004D79F6">
        <w:rPr>
          <w:rFonts w:cstheme="minorHAnsi"/>
          <w:color w:val="000000" w:themeColor="text1"/>
          <w:sz w:val="24"/>
          <w:szCs w:val="24"/>
        </w:rPr>
        <w:t xml:space="preserve"> do</w:t>
      </w:r>
      <w:r w:rsidRPr="00375799">
        <w:rPr>
          <w:rFonts w:cstheme="minorHAnsi"/>
          <w:color w:val="000000" w:themeColor="text1"/>
          <w:sz w:val="24"/>
          <w:szCs w:val="24"/>
        </w:rPr>
        <w:t xml:space="preserve"> stanu zdrowia, ciężkich warunków materialnych, podeszłego wieku i pozostawania w niedostatku, jednakże niejednokrotnie są to również informacje odnośnie </w:t>
      </w:r>
      <w:r w:rsidR="00B92976">
        <w:rPr>
          <w:rFonts w:cstheme="minorHAnsi"/>
          <w:color w:val="000000" w:themeColor="text1"/>
          <w:sz w:val="24"/>
          <w:szCs w:val="24"/>
        </w:rPr>
        <w:t xml:space="preserve">do </w:t>
      </w:r>
      <w:r w:rsidRPr="00375799">
        <w:rPr>
          <w:rFonts w:cstheme="minorHAnsi"/>
          <w:color w:val="000000" w:themeColor="text1"/>
          <w:sz w:val="24"/>
          <w:szCs w:val="24"/>
        </w:rPr>
        <w:t>wyroków skazujących. Ustalenie faktu, że zobowiązany względem UFG przebywa w zakładzie karnym, z określonym terminem zakończenia wykonywania kary pozbawienia wolności, jest niejednokrotnie decydując</w:t>
      </w:r>
      <w:r w:rsidR="004D79F6">
        <w:rPr>
          <w:rFonts w:cstheme="minorHAnsi"/>
          <w:color w:val="000000" w:themeColor="text1"/>
          <w:sz w:val="24"/>
          <w:szCs w:val="24"/>
        </w:rPr>
        <w:t>ą</w:t>
      </w:r>
      <w:r w:rsidRPr="00375799">
        <w:rPr>
          <w:rFonts w:cstheme="minorHAnsi"/>
          <w:color w:val="000000" w:themeColor="text1"/>
          <w:sz w:val="24"/>
          <w:szCs w:val="24"/>
        </w:rPr>
        <w:t xml:space="preserve"> przesłanką do oceny ww. sytuacji jako trudnej, przy uwzględnieniu oczywiście faktu, że nie pozostawił on majątku mogącego stanowić źródło zabezpieczenia roszczeń UFG. Dane takie są pozyskiwane nie zawsze bezpośrednio od osoby, której dotyczą, a często również od komorników wnioskujących o umorzenie postępowania egzekucyjnego. Tym samym, celem realizacji zadań ustawowych UFG pozostających w bezpośrednim interesie ekonomicznym zobowiązanych względem UFG, uzasadnionym pozostaje umożliwienie Funduszowi przetwarzania danych osobowych dotyczących wyroków skazujących.</w:t>
      </w:r>
    </w:p>
    <w:p w14:paraId="6F391B06" w14:textId="262EF048" w:rsidR="00AA2C40" w:rsidRPr="00375799" w:rsidRDefault="00F2163E"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przypadku </w:t>
      </w:r>
      <w:r w:rsidR="00AA2C40" w:rsidRPr="00375799">
        <w:rPr>
          <w:rFonts w:cstheme="minorHAnsi"/>
          <w:color w:val="000000" w:themeColor="text1"/>
          <w:sz w:val="24"/>
          <w:szCs w:val="24"/>
        </w:rPr>
        <w:t xml:space="preserve">działań związanych z identyfikacją i weryfikacją zjawisk związanych z przestępczością ubezpieczeniową oraz z identyfikacją, weryfikacją i przeciwdziałaniem </w:t>
      </w:r>
      <w:r w:rsidR="00AA2C40" w:rsidRPr="00375799">
        <w:rPr>
          <w:rFonts w:cstheme="minorHAnsi"/>
          <w:color w:val="000000" w:themeColor="text1"/>
          <w:sz w:val="24"/>
          <w:szCs w:val="24"/>
        </w:rPr>
        <w:lastRenderedPageBreak/>
        <w:t xml:space="preserve">naruszeniom interesów uczestników rynku ubezpieczeniowego, należy wskazać, iż w zakresie realizacji powyższych zadań, przetwarzanie danych osobowych dotyczących wyroków skazujących (naruszeń prawa), o których mowa w art. 10 RODO, będzie niezbędne do właściwego i skutecznego eliminowania zjawisk związanych z przestępczością ubezpieczeniową na polskim rynku. Należy nadmienić, iż UFG jest na etapie budowy zaawansowanych rozwiązań informatycznych (Zintegrowana Platforma Identyfikacji i Weryfikacji Zjawisk Przestępczości Ubezpieczeniowej oraz Baza Danych Ubezpieczeniowych), które będą wspierały cały sektor ubezpieczeniowy oraz administrację państwową (Policja, </w:t>
      </w:r>
      <w:r w:rsidR="00B92976">
        <w:rPr>
          <w:rFonts w:cstheme="minorHAnsi"/>
          <w:color w:val="000000" w:themeColor="text1"/>
          <w:sz w:val="24"/>
          <w:szCs w:val="24"/>
        </w:rPr>
        <w:t>s</w:t>
      </w:r>
      <w:r w:rsidR="00AA2C40" w:rsidRPr="00375799">
        <w:rPr>
          <w:rFonts w:cstheme="minorHAnsi"/>
          <w:color w:val="000000" w:themeColor="text1"/>
          <w:sz w:val="24"/>
          <w:szCs w:val="24"/>
        </w:rPr>
        <w:t>ądy, Prokuratur</w:t>
      </w:r>
      <w:r w:rsidR="00341364">
        <w:rPr>
          <w:rFonts w:cstheme="minorHAnsi"/>
          <w:color w:val="000000" w:themeColor="text1"/>
          <w:sz w:val="24"/>
          <w:szCs w:val="24"/>
        </w:rPr>
        <w:t>a</w:t>
      </w:r>
      <w:r w:rsidR="00AA2C40" w:rsidRPr="00375799">
        <w:rPr>
          <w:rFonts w:cstheme="minorHAnsi"/>
          <w:color w:val="000000" w:themeColor="text1"/>
          <w:sz w:val="24"/>
          <w:szCs w:val="24"/>
        </w:rPr>
        <w:t xml:space="preserve">, CBA, ABW, CBŚ) w zakresie nadużyć w obszarze ubezpieczeń. UFG jest jedynym podmiotem posiadającym uprawnienie do centralnego przetwarzania danych o umowach ubezpieczenia, pochodzących z całego rynku i realizacji w tym obszarze zadań związanych z wykrywaniem zjawisk związanych z przestępczością ubezpieczeniową. Tym sposobem UFG daje gwarancję większej skuteczności wykrywania nadużyć niż miałoby to miejsce na poziomie poszczególnych zakładów ubezpieczeń, w obrębie jedynie ich danych. </w:t>
      </w:r>
    </w:p>
    <w:p w14:paraId="7CCE9BD4" w14:textId="2BE65DD7"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Główną zasadą ich funkcjonowania będzie utworzenie i ciągły rozwój tzw. reguł detekcyjnych i modeli predykcyjnych. Reguły detekcyjne stanowią zestaw charakterystyk (atrybutów, cech, zmiennych) świadczących o potencjalnym powiązaniu zjawiska z przestępczością ubezpieczeniową, zaś modele predykcyjne to zaawansowane metody statystyczne, które na podstawie określonego zestawu cech szacują prawdopodobieństwo powiązania ze zjawiskami przestępczości. Tym samym dla skutecznego tworzenia nowych reguł detekcyjnych i budowy modeli predykcyjnych informacje o wyrokach skazujących (naruszeniach prawa) mają niebagatelne znaczenie. Wskazuje to bowiem na pewien potwierdzony schemat działania, który może zostać następnie wykorzystany, aby uniknąć podobnych zjawisk przestępczości ubezpieczeniowej w przyszłości. Dodatkowo należy wskazać, że po wytypowaniu przez UFG danego przypadku, jako mającego potencjalnie związek ze zjawiskiem przestępczości ubezpieczeniowej, informacja o wyroku skazującym czy też określonym naruszeniu prawa w danej sprawie będzie wpływać na potwierdzenie skuteczności uprzednio przyjętych reguł i modeli, jak również zapewni ich dalszy rozwój, w oparciu o potwierdzenie właściwie przyjętych założeń. Możliwość przetwarzania takich danych pozw</w:t>
      </w:r>
      <w:r w:rsidR="004D79F6">
        <w:rPr>
          <w:rFonts w:cstheme="minorHAnsi"/>
          <w:color w:val="000000" w:themeColor="text1"/>
          <w:sz w:val="24"/>
          <w:szCs w:val="24"/>
        </w:rPr>
        <w:t>o</w:t>
      </w:r>
      <w:r w:rsidRPr="00375799">
        <w:rPr>
          <w:rFonts w:cstheme="minorHAnsi"/>
          <w:color w:val="000000" w:themeColor="text1"/>
          <w:sz w:val="24"/>
          <w:szCs w:val="24"/>
        </w:rPr>
        <w:t xml:space="preserve">li na bardziej precyzyjny dobór metody analitycznej w stosunku do posiadanych danych. Dane o szkodach powiązanych ze zjawiskiem przestępczym Fundusz będzie mógł również wykorzystać w analizie sieci powiązań, co będzie przekładać się na identyfikację zorganizowanych grup przestępczych. Jednocześnie należy zaznaczyć, że w obszarze ww. zadań realizowanych przez UFG nie będą istotne szczegółowe informacje zawarte w wyrokach skazujących, a jedynie sam fakt jego wydania jako potwierdzenie zaistnienia zjawiska związanego z przestępczością ubezpieczeniową. Pozwoli to na zwiększenie skuteczności i efektywności funkcjonowania systemu w obszarze przeciwdziałania zjawiskom związanym z przestępczością ubezpieczeniową. Należy przy tym zwrócić uwagę, że ewentualny brak możliwości przetwarzania wskazanych danych może sprawić, że nie będzie możliwe </w:t>
      </w:r>
      <w:r w:rsidRPr="00375799">
        <w:rPr>
          <w:rFonts w:cstheme="minorHAnsi"/>
          <w:color w:val="000000" w:themeColor="text1"/>
          <w:sz w:val="24"/>
          <w:szCs w:val="24"/>
        </w:rPr>
        <w:lastRenderedPageBreak/>
        <w:t>prawidłowe określenie wzorców związanych z przestępczością ubezpieczeniową</w:t>
      </w:r>
      <w:r w:rsidR="004D79F6">
        <w:rPr>
          <w:rFonts w:cstheme="minorHAnsi"/>
          <w:color w:val="000000" w:themeColor="text1"/>
          <w:sz w:val="24"/>
          <w:szCs w:val="24"/>
        </w:rPr>
        <w:t>,</w:t>
      </w:r>
      <w:r w:rsidRPr="00375799">
        <w:rPr>
          <w:rFonts w:cstheme="minorHAnsi"/>
          <w:color w:val="000000" w:themeColor="text1"/>
          <w:sz w:val="24"/>
          <w:szCs w:val="24"/>
        </w:rPr>
        <w:t xml:space="preserve"> a to z kolei może przełożyć się na brak efektywności całego procesu. </w:t>
      </w:r>
    </w:p>
    <w:p w14:paraId="1D3D0E87" w14:textId="3FAAD0AE"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Mając na uwadze powyższe</w:t>
      </w:r>
      <w:r w:rsidR="00471DF9">
        <w:rPr>
          <w:rFonts w:cstheme="minorHAnsi"/>
          <w:color w:val="000000" w:themeColor="text1"/>
          <w:sz w:val="24"/>
          <w:szCs w:val="24"/>
        </w:rPr>
        <w:t>,</w:t>
      </w:r>
      <w:r w:rsidRPr="00375799">
        <w:rPr>
          <w:rFonts w:cstheme="minorHAnsi"/>
          <w:color w:val="000000" w:themeColor="text1"/>
          <w:sz w:val="24"/>
          <w:szCs w:val="24"/>
        </w:rPr>
        <w:t xml:space="preserve"> należy zauważyć, że możliwość przetwarzania przez UFG danych osobowych dotyczących wyroków skazujących (naruszeń prawa) umożliwi UFG właściwą realizację zadań ustawowych, o których mowa w art. 102 ust. 7 i </w:t>
      </w:r>
      <w:r w:rsidR="004D79F6">
        <w:rPr>
          <w:rFonts w:cstheme="minorHAnsi"/>
          <w:color w:val="000000" w:themeColor="text1"/>
          <w:sz w:val="24"/>
          <w:szCs w:val="24"/>
        </w:rPr>
        <w:t xml:space="preserve">art. </w:t>
      </w:r>
      <w:r w:rsidRPr="00375799">
        <w:rPr>
          <w:rFonts w:cstheme="minorHAnsi"/>
          <w:color w:val="000000" w:themeColor="text1"/>
          <w:sz w:val="24"/>
          <w:szCs w:val="24"/>
        </w:rPr>
        <w:t xml:space="preserve">102a ustawy o ubezpieczeniach obowiązkowych, co przełoży się bezpośrednio na zwiększenie bezpieczeństwa ruchu drogowego poprzez eliminowanie osób działających z zamiarem wyłudzenia odszkodowania, jak również wpłynie pozytywnie na zwiększenie wykrywalności zjawisk przestępczości ubezpieczeniowej i zwiększenie stabilności rynku ubezpieczeniowego. </w:t>
      </w:r>
    </w:p>
    <w:p w14:paraId="00E0B894" w14:textId="74125A2A"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Ubezpieczeniowy Fundusz Gwarancyjny przy wykonywaniu zadań ustawowych będzie korzystał z ograniczeń stosowania poszczególnych przepisów </w:t>
      </w:r>
      <w:r w:rsidR="00B92976">
        <w:rPr>
          <w:rFonts w:cstheme="minorHAnsi"/>
          <w:color w:val="000000" w:themeColor="text1"/>
          <w:sz w:val="24"/>
          <w:szCs w:val="24"/>
        </w:rPr>
        <w:t>RODO</w:t>
      </w:r>
      <w:r w:rsidR="00471DF9">
        <w:rPr>
          <w:rFonts w:cstheme="minorHAnsi"/>
          <w:color w:val="000000" w:themeColor="text1"/>
          <w:sz w:val="24"/>
          <w:szCs w:val="24"/>
        </w:rPr>
        <w:t xml:space="preserve"> </w:t>
      </w:r>
      <w:r w:rsidRPr="00375799">
        <w:rPr>
          <w:rFonts w:cstheme="minorHAnsi"/>
          <w:color w:val="000000" w:themeColor="text1"/>
          <w:sz w:val="24"/>
          <w:szCs w:val="24"/>
        </w:rPr>
        <w:t xml:space="preserve">w oparciu o bezpośrednie normy </w:t>
      </w:r>
      <w:r w:rsidR="006E24B9">
        <w:rPr>
          <w:rFonts w:cstheme="minorHAnsi"/>
          <w:color w:val="000000" w:themeColor="text1"/>
          <w:sz w:val="24"/>
          <w:szCs w:val="24"/>
        </w:rPr>
        <w:t xml:space="preserve">tego </w:t>
      </w:r>
      <w:r w:rsidR="006E24B9" w:rsidRPr="006E24B9">
        <w:rPr>
          <w:rFonts w:cstheme="minorHAnsi"/>
          <w:color w:val="000000" w:themeColor="text1"/>
          <w:sz w:val="24"/>
          <w:szCs w:val="24"/>
        </w:rPr>
        <w:t xml:space="preserve">rozporządzenia </w:t>
      </w:r>
      <w:r w:rsidRPr="00375799">
        <w:rPr>
          <w:rFonts w:cstheme="minorHAnsi"/>
          <w:color w:val="000000" w:themeColor="text1"/>
          <w:sz w:val="24"/>
          <w:szCs w:val="24"/>
        </w:rPr>
        <w:t xml:space="preserve">oraz ogólne wyłączenia </w:t>
      </w:r>
      <w:r w:rsidR="00B92976">
        <w:rPr>
          <w:rFonts w:cstheme="minorHAnsi"/>
          <w:color w:val="000000" w:themeColor="text1"/>
          <w:sz w:val="24"/>
          <w:szCs w:val="24"/>
        </w:rPr>
        <w:t xml:space="preserve">jego </w:t>
      </w:r>
      <w:r w:rsidRPr="00375799">
        <w:rPr>
          <w:rFonts w:cstheme="minorHAnsi"/>
          <w:color w:val="000000" w:themeColor="text1"/>
          <w:sz w:val="24"/>
          <w:szCs w:val="24"/>
        </w:rPr>
        <w:t>przepisów zawarte w przepisach ustawy o ochronie danych osobowych</w:t>
      </w:r>
      <w:r w:rsidR="00F2163E" w:rsidRPr="00375799">
        <w:rPr>
          <w:rFonts w:cstheme="minorHAnsi"/>
          <w:color w:val="000000" w:themeColor="text1"/>
          <w:sz w:val="24"/>
          <w:szCs w:val="24"/>
        </w:rPr>
        <w:t xml:space="preserve">.  </w:t>
      </w:r>
      <w:r w:rsidRPr="00375799">
        <w:rPr>
          <w:rFonts w:cstheme="minorHAnsi"/>
          <w:color w:val="000000" w:themeColor="text1"/>
          <w:sz w:val="24"/>
          <w:szCs w:val="24"/>
        </w:rPr>
        <w:t xml:space="preserve">Ograniczenia stosowania </w:t>
      </w:r>
      <w:r w:rsidR="006E24B9">
        <w:rPr>
          <w:rFonts w:cstheme="minorHAnsi"/>
          <w:color w:val="000000" w:themeColor="text1"/>
          <w:sz w:val="24"/>
          <w:szCs w:val="24"/>
        </w:rPr>
        <w:t xml:space="preserve">przepisów </w:t>
      </w:r>
      <w:r w:rsidR="00B92976">
        <w:rPr>
          <w:rFonts w:cstheme="minorHAnsi"/>
          <w:color w:val="000000" w:themeColor="text1"/>
          <w:sz w:val="24"/>
          <w:szCs w:val="24"/>
        </w:rPr>
        <w:t xml:space="preserve">RODO </w:t>
      </w:r>
      <w:r w:rsidRPr="00375799">
        <w:rPr>
          <w:rFonts w:cstheme="minorHAnsi"/>
          <w:color w:val="000000" w:themeColor="text1"/>
          <w:sz w:val="24"/>
          <w:szCs w:val="24"/>
        </w:rPr>
        <w:t xml:space="preserve">będą miały swoje uzasadnienie w normie art. 23 </w:t>
      </w:r>
      <w:r w:rsidR="00B92976">
        <w:rPr>
          <w:rFonts w:cstheme="minorHAnsi"/>
          <w:color w:val="000000" w:themeColor="text1"/>
          <w:sz w:val="24"/>
          <w:szCs w:val="24"/>
        </w:rPr>
        <w:t>tego rozporządzenia</w:t>
      </w:r>
      <w:r w:rsidR="006E24B9">
        <w:rPr>
          <w:rFonts w:cstheme="minorHAnsi"/>
          <w:color w:val="000000" w:themeColor="text1"/>
          <w:sz w:val="24"/>
          <w:szCs w:val="24"/>
        </w:rPr>
        <w:t xml:space="preserve"> </w:t>
      </w:r>
      <w:r w:rsidRPr="00375799">
        <w:rPr>
          <w:rFonts w:cstheme="minorHAnsi"/>
          <w:color w:val="000000" w:themeColor="text1"/>
          <w:sz w:val="24"/>
          <w:szCs w:val="24"/>
        </w:rPr>
        <w:t xml:space="preserve">i będą służyć ważnym celom leżącym w ogólnym interesie publicznym Unii lub Rzeczypospolitej Polskiej, zapobieganiu przestępczości ubezpieczeniowej czy też docelowo bezpieczeństwu publicznemu. </w:t>
      </w:r>
    </w:p>
    <w:p w14:paraId="4815C754" w14:textId="4D61C2D0"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Odnosząc się do obowiązków informacyjnych, które wynikają z art. 13 </w:t>
      </w:r>
      <w:r w:rsidR="00D621A8">
        <w:rPr>
          <w:rFonts w:cstheme="minorHAnsi"/>
          <w:color w:val="000000" w:themeColor="text1"/>
          <w:sz w:val="24"/>
          <w:szCs w:val="24"/>
        </w:rPr>
        <w:t>RODO</w:t>
      </w:r>
      <w:r w:rsidR="004D79F6">
        <w:rPr>
          <w:rFonts w:cstheme="minorHAnsi"/>
          <w:color w:val="000000" w:themeColor="text1"/>
          <w:sz w:val="24"/>
          <w:szCs w:val="24"/>
        </w:rPr>
        <w:t>,</w:t>
      </w:r>
      <w:r w:rsidR="006E24B9">
        <w:rPr>
          <w:rFonts w:cstheme="minorHAnsi"/>
          <w:color w:val="000000" w:themeColor="text1"/>
          <w:sz w:val="24"/>
          <w:szCs w:val="24"/>
        </w:rPr>
        <w:t xml:space="preserve"> </w:t>
      </w:r>
      <w:r w:rsidRPr="00375799">
        <w:rPr>
          <w:rFonts w:cstheme="minorHAnsi"/>
          <w:color w:val="000000" w:themeColor="text1"/>
          <w:sz w:val="24"/>
          <w:szCs w:val="24"/>
        </w:rPr>
        <w:t>należy wskazać, iż Fundusz jako administrator wykonujący zadania publiczne</w:t>
      </w:r>
      <w:r w:rsidR="00D621A8">
        <w:rPr>
          <w:rFonts w:cstheme="minorHAnsi"/>
          <w:color w:val="000000" w:themeColor="text1"/>
          <w:sz w:val="24"/>
          <w:szCs w:val="24"/>
        </w:rPr>
        <w:t>,</w:t>
      </w:r>
      <w:r w:rsidRPr="00375799">
        <w:rPr>
          <w:rFonts w:cstheme="minorHAnsi"/>
          <w:color w:val="000000" w:themeColor="text1"/>
          <w:sz w:val="24"/>
          <w:szCs w:val="24"/>
        </w:rPr>
        <w:t xml:space="preserve"> zbierający dane na podstawie i w celach określonych w przepisach prawa będzie spełniał obowiązek wynikający z tych przepisów poprzez podanie informacji do publicznej wiadomości, np. poprzez stronę internetową. Z kolei ograniczenie stosowania art. 13 ust. 3 </w:t>
      </w:r>
      <w:r w:rsidR="00D621A8">
        <w:rPr>
          <w:rFonts w:cstheme="minorHAnsi"/>
          <w:color w:val="000000" w:themeColor="text1"/>
          <w:sz w:val="24"/>
          <w:szCs w:val="24"/>
        </w:rPr>
        <w:t>RODO</w:t>
      </w:r>
      <w:r w:rsidR="006E24B9">
        <w:rPr>
          <w:rFonts w:cstheme="minorHAnsi"/>
          <w:color w:val="000000" w:themeColor="text1"/>
          <w:sz w:val="24"/>
          <w:szCs w:val="24"/>
        </w:rPr>
        <w:t xml:space="preserve"> </w:t>
      </w:r>
      <w:r w:rsidRPr="00375799">
        <w:rPr>
          <w:rFonts w:cstheme="minorHAnsi"/>
          <w:color w:val="000000" w:themeColor="text1"/>
          <w:sz w:val="24"/>
          <w:szCs w:val="24"/>
        </w:rPr>
        <w:t xml:space="preserve">będzie opierało się o ogólną normę dotyczącą tego wyłączenia zawartą w przepisach ustawy o ochronie danych osobowych. Niezależnie od tego, w powyższym zakresie bezpośrednie zastosowanie będzie miała także norma art. 13 ust. 4 </w:t>
      </w:r>
      <w:r w:rsidR="00D621A8">
        <w:rPr>
          <w:rFonts w:cstheme="minorHAnsi"/>
          <w:color w:val="000000" w:themeColor="text1"/>
          <w:sz w:val="24"/>
          <w:szCs w:val="24"/>
        </w:rPr>
        <w:t>RODO</w:t>
      </w:r>
      <w:r w:rsidRPr="00375799">
        <w:rPr>
          <w:rFonts w:cstheme="minorHAnsi"/>
          <w:color w:val="000000" w:themeColor="text1"/>
          <w:sz w:val="24"/>
          <w:szCs w:val="24"/>
        </w:rPr>
        <w:t xml:space="preserve">. </w:t>
      </w:r>
    </w:p>
    <w:p w14:paraId="5F9D9376" w14:textId="53DAA4B3"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Nawiązując do powyższego</w:t>
      </w:r>
      <w:r w:rsidR="004D79F6">
        <w:rPr>
          <w:rFonts w:cstheme="minorHAnsi"/>
          <w:color w:val="000000" w:themeColor="text1"/>
          <w:sz w:val="24"/>
          <w:szCs w:val="24"/>
        </w:rPr>
        <w:t>,</w:t>
      </w:r>
      <w:r w:rsidRPr="00375799">
        <w:rPr>
          <w:rFonts w:cstheme="minorHAnsi"/>
          <w:color w:val="000000" w:themeColor="text1"/>
          <w:sz w:val="24"/>
          <w:szCs w:val="24"/>
        </w:rPr>
        <w:t xml:space="preserve"> należy zwrócić również uwagę na konieczność i niezbędność ograniczenia stosowania art. 16 RODO. </w:t>
      </w:r>
      <w:r w:rsidR="00D621A8">
        <w:rPr>
          <w:rFonts w:cstheme="minorHAnsi"/>
          <w:color w:val="000000" w:themeColor="text1"/>
          <w:sz w:val="24"/>
          <w:szCs w:val="24"/>
        </w:rPr>
        <w:t>Z</w:t>
      </w:r>
      <w:r w:rsidRPr="00375799">
        <w:rPr>
          <w:rFonts w:cstheme="minorHAnsi"/>
          <w:color w:val="000000" w:themeColor="text1"/>
          <w:sz w:val="24"/>
          <w:szCs w:val="24"/>
        </w:rPr>
        <w:t xml:space="preserve">asadność ograniczenia stosowania niniejszego przepisu wynika z faktu, że dane do Ośrodka Informacji UFG są przekazywane wyłącznie przez zakłady ubezpieczeń i to one są odpowiedzialne za jakość i poprawność danych. Wynika to z faktu, że zakłady ubezpieczeń zawierając umowy ubezpieczenia lub likwidując szkody komunikacyjne posiadają pełną wiedzę w zakresie zgromadzonych danych osobowych. Po skompletowaniu stosownych informacji zakłady ubezpieczeń przekazują następnie te dane do Ośrodka Informacji UFG, co zostało uregulowane w przepisach Dyrektywy Komunikacyjnej. </w:t>
      </w:r>
    </w:p>
    <w:p w14:paraId="3B2EFC25" w14:textId="7B7C43B2"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Niezależnie od powyższego projektowana ustawa przewiduje normę, na podstawie której uprawnienie z</w:t>
      </w:r>
      <w:r w:rsidR="00D621A8">
        <w:rPr>
          <w:rFonts w:cstheme="minorHAnsi"/>
          <w:color w:val="000000" w:themeColor="text1"/>
          <w:sz w:val="24"/>
          <w:szCs w:val="24"/>
        </w:rPr>
        <w:t xml:space="preserve"> </w:t>
      </w:r>
      <w:r w:rsidRPr="00375799">
        <w:rPr>
          <w:rFonts w:cstheme="minorHAnsi"/>
          <w:color w:val="000000" w:themeColor="text1"/>
          <w:sz w:val="24"/>
          <w:szCs w:val="24"/>
        </w:rPr>
        <w:t xml:space="preserve">art. 16 RODO będzie mogło być wykonane docelowo w drodze sprostowania (uzupełnienia) przez zakłady ubezpieczeń. Wskazać tym samym należy, że zastosowanie powyższego ograniczenia wpisuje się w dyspozycję art. 23 RODO. </w:t>
      </w:r>
    </w:p>
    <w:p w14:paraId="2AA91A90" w14:textId="391C37CF"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Mając na uwadze normy wynikające z art. 22 RODO</w:t>
      </w:r>
      <w:r w:rsidR="00AC62C8">
        <w:rPr>
          <w:rFonts w:cstheme="minorHAnsi"/>
          <w:color w:val="000000" w:themeColor="text1"/>
          <w:sz w:val="24"/>
          <w:szCs w:val="24"/>
        </w:rPr>
        <w:t>,</w:t>
      </w:r>
      <w:r w:rsidRPr="00375799">
        <w:rPr>
          <w:rFonts w:cstheme="minorHAnsi"/>
          <w:color w:val="000000" w:themeColor="text1"/>
          <w:sz w:val="24"/>
          <w:szCs w:val="24"/>
        </w:rPr>
        <w:t xml:space="preserve"> w projektowanych przepisach proponuje się regulację wskazującą wprost, iż w celu realizacji zadań, o których mowa w art. 84 ust. 2 pkt 2 i ust. 3 pkt 2, art. 98, art. 102 i art. 102a ustawy o ubezpieczeniach </w:t>
      </w:r>
      <w:r w:rsidRPr="00375799">
        <w:rPr>
          <w:rFonts w:cstheme="minorHAnsi"/>
          <w:color w:val="000000" w:themeColor="text1"/>
          <w:sz w:val="24"/>
          <w:szCs w:val="24"/>
        </w:rPr>
        <w:lastRenderedPageBreak/>
        <w:t>obowiązkowych, Fundusz może podjąć decyzje w indywidualnych przypadkach</w:t>
      </w:r>
      <w:r w:rsidR="00AC62C8">
        <w:rPr>
          <w:rFonts w:cstheme="minorHAnsi"/>
          <w:color w:val="000000" w:themeColor="text1"/>
          <w:sz w:val="24"/>
          <w:szCs w:val="24"/>
        </w:rPr>
        <w:t>,</w:t>
      </w:r>
      <w:r w:rsidRPr="00375799">
        <w:rPr>
          <w:rFonts w:cstheme="minorHAnsi"/>
          <w:color w:val="000000" w:themeColor="text1"/>
          <w:sz w:val="24"/>
          <w:szCs w:val="24"/>
        </w:rPr>
        <w:t xml:space="preserve"> w oparciu o zautomatyzowane przetwarzanie, w tym profilowanie. Wskazana w tej normie „decyzja” nie ma charakteru administracyjnego i dotyczy podjęcia określonego rozstrzygnięcia. Jednocześnie należy wskazać, iż podjęcie przez Fundusz decyzji w indywidualnym przypadku w oparciu o zautomatyzowane przetwarzanie, w tym profilowanie, nie uniemożliwia osobie, której dane dotyczą, wystąpienia do Funduszu z prośbą o ponowne przeanalizowanie sprawy. Potrzeba podejmowania zautomatyzowanych decyzji, w tym profilowania, jest konieczna dla realizacji ww. zadań ustawowych Funduszu polegających w szczególności na kontroli spełnienia obowiązku zawarcia ubezpieczenia OC posiadaczy pojazdów mechanicznych i ubezpieczenia OC rolników, zaspokajaniu roszczeń z tytułu tych ubezpieczeń za szkody na osobie i w mieniu, zadań związanych z prowadzeniem Ośrodka Informacji w celu ww. kontroli spełnienia obowiązku ubezpieczenia oraz w celu identyfikacji i weryfikacji zjawisk związanych z przestępczością ubezpieczeniową czy też zadań związanych z prowadzeniem informatycznej bazy danych w zakresie niezbędnym do identyfikacji, weryfikacji i przeciwdziałania naruszeniu interesów uczestników rynku ubezpieczeniowego.  </w:t>
      </w:r>
    </w:p>
    <w:p w14:paraId="346CD391" w14:textId="3F342EC6"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celu prowadzenia przez UFG kontroli spełnienia obowiązku posiadania ubezpieczenia OC przez posiadaczy pojazdów mechanicznych zastosowanie ma profilowanie oraz podejmowanie zautomatyzowanych decyzji. Realizacja zadań w zakresie wykrywania nieubezpieczonych posiadaczy pojazdów mechanicznych jest natomiast uwarunkowana nie tylko krajowymi przepisami </w:t>
      </w:r>
      <w:r w:rsidR="00AC62C8">
        <w:rPr>
          <w:rFonts w:cstheme="minorHAnsi"/>
          <w:color w:val="000000" w:themeColor="text1"/>
          <w:sz w:val="24"/>
          <w:szCs w:val="24"/>
        </w:rPr>
        <w:t>–</w:t>
      </w:r>
      <w:r w:rsidRPr="00375799">
        <w:rPr>
          <w:rFonts w:cstheme="minorHAnsi"/>
          <w:color w:val="000000" w:themeColor="text1"/>
          <w:sz w:val="24"/>
          <w:szCs w:val="24"/>
        </w:rPr>
        <w:t xml:space="preserve"> ustawa o ubezpieczeniach obowiązkowych </w:t>
      </w:r>
      <w:r w:rsidR="00AC62C8">
        <w:rPr>
          <w:rFonts w:cstheme="minorHAnsi"/>
          <w:color w:val="000000" w:themeColor="text1"/>
          <w:sz w:val="24"/>
          <w:szCs w:val="24"/>
        </w:rPr>
        <w:t>–</w:t>
      </w:r>
      <w:r w:rsidRPr="00375799">
        <w:rPr>
          <w:rFonts w:cstheme="minorHAnsi"/>
          <w:color w:val="000000" w:themeColor="text1"/>
          <w:sz w:val="24"/>
          <w:szCs w:val="24"/>
        </w:rPr>
        <w:t xml:space="preserve"> ale również przepisami prawa Unii Europejskiej, tj. IV Dyrektywy Komunikacyjnej. Dodatkowo efektywne wykrywanie nieubezpieczonych posiadaczy pojazdów mechanicznych ma również istotne znaczenie z punktu widzenia bezpieczeństwa publicznego oraz egzekucji roszczeń cywilnoprawnych. Podstawową funkcją obowiązkowego ubezpieczenia OC posiadaczy pojazdów mechanicznych jest zapewnienie ochrony poszkodowanym w wyniku wypadków drogowych oraz ochrony interesu majątkowego sprawcy zdarzenia, tak aby wypłata roszczeń nie odbywała się z majątku prywatnego sprawcy. Z tego też powodu, bardzo istotne znaczenie ma posiadanie przez posiadaczy pojazdów mechanicznych obowiązkowego ubezpieczenia OC oraz podejmowanie przez UFG w tym zakresie stosownych działań sankcjonujących, celem minimalizacji sytuacji niespełnienia obowiązku ubezpieczeniowego. Tym samym zauważyć należy, że posiadanie ważnego ubezpieczenia OC posiadaczy pojazdów mechanicznych ma istotne znaczenie z punktu widzenia bezpieczeństwa publicznego i stosownej ochrony poszkodowanych i sprawców zdarzeń drogowych. Dodatkowo nie ulega wątpliwości, że posiadanie ubezpieczenia OC ma również niebagatelne znaczenie z punktu widzenia możliwości i łatwości dochodzenia roszczeń przez poszkodowanych. </w:t>
      </w:r>
    </w:p>
    <w:p w14:paraId="4DFD1F91" w14:textId="4FF3473B"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Jednocześnie należy wskazać, iż nie istnieje potrzeba wprowadzenia nowych regulacji na kształt przepisu art. 22 ust. 3 RODO</w:t>
      </w:r>
      <w:r w:rsidR="00AC62C8">
        <w:rPr>
          <w:rFonts w:cstheme="minorHAnsi"/>
          <w:color w:val="000000" w:themeColor="text1"/>
          <w:sz w:val="24"/>
          <w:szCs w:val="24"/>
        </w:rPr>
        <w:t>,</w:t>
      </w:r>
      <w:r w:rsidRPr="00375799">
        <w:rPr>
          <w:rFonts w:cstheme="minorHAnsi"/>
          <w:color w:val="000000" w:themeColor="text1"/>
          <w:sz w:val="24"/>
          <w:szCs w:val="24"/>
        </w:rPr>
        <w:t xml:space="preserve"> gdyż już na gruncie obecnie obowiązujących regulacji zostały zapewnione właściwe środki ochrony zmierzające do zapewnienia interwencji człowieka, zapewnienie prawa do wyrażania własnego stanowiska, prawo do uzyskania wyjaśnień i prawo do zakwestionowania decyzji. Zgodnie bowiem z obowiązującymi </w:t>
      </w:r>
      <w:r w:rsidRPr="00375799">
        <w:rPr>
          <w:rFonts w:cstheme="minorHAnsi"/>
          <w:color w:val="000000" w:themeColor="text1"/>
          <w:sz w:val="24"/>
          <w:szCs w:val="24"/>
        </w:rPr>
        <w:lastRenderedPageBreak/>
        <w:t>przepisami, po przeprowadzeniu kontroli przez UFG, Fundusz wzywa osoby obowiązane do zawarcia umowy ubezpieczenia do przedstawienia dokumentów potwierdzających spełnienie w roku kontroli obowiązku zawarcia umowy ubezpieczenia. Niezależnie od powyższego, osoba zainteresowan</w:t>
      </w:r>
      <w:r w:rsidR="00AC62C8">
        <w:rPr>
          <w:rFonts w:cstheme="minorHAnsi"/>
          <w:color w:val="000000" w:themeColor="text1"/>
          <w:sz w:val="24"/>
          <w:szCs w:val="24"/>
        </w:rPr>
        <w:t>a</w:t>
      </w:r>
      <w:r w:rsidRPr="00375799">
        <w:rPr>
          <w:rFonts w:cstheme="minorHAnsi"/>
          <w:color w:val="000000" w:themeColor="text1"/>
          <w:sz w:val="24"/>
          <w:szCs w:val="24"/>
        </w:rPr>
        <w:t xml:space="preserve"> może skorzystać z ww. środków ochrony na etapie ewentualnego postępowania, wnioskowanego przez taką osobę, dotyczącego umorzenia opłaty za nie zawarcie umowy ubezpieczenia lub udzielenia ulgi w spłacie. </w:t>
      </w:r>
    </w:p>
    <w:p w14:paraId="02B0D8DE" w14:textId="77777777"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Obecnie obowiązujące regulacje będą zapewniały odpowiednie środki ochrony także w przypadku podejmowania zautomatyzowanych decyzji (profilowania) w zakresie zaspokajania roszczeń z tytułu tych ubezpieczeń za szkody na osobie i w mieniu. W ramach przedmiotowego zaspokajania roszczeń UFG jest obowiązany udostępniać poszkodowanemu lub uprawnionemu informacje i dokumenty gromadzone w celu ustalenia odpowiedzialności Funduszu lub wysokości świadczenia. Ponadto osoby te mogą żądać pisemnego potwierdzenia przez Fundusz udostępnionych informacji. </w:t>
      </w:r>
    </w:p>
    <w:p w14:paraId="557C724C" w14:textId="649A3D78"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zakresie działalności UFG profilowanie będzie miało również miejsce w zakresie działań związanych z realizacją zadań związanych z identyfikacją i weryfikacją zjawisk związanych z przestępczością ubezpieczeniową oraz identyfikacją, weryfikacją i przeciwdziałani</w:t>
      </w:r>
      <w:r w:rsidR="00AC62C8">
        <w:rPr>
          <w:rFonts w:cstheme="minorHAnsi"/>
          <w:color w:val="000000" w:themeColor="text1"/>
          <w:sz w:val="24"/>
          <w:szCs w:val="24"/>
        </w:rPr>
        <w:t>em</w:t>
      </w:r>
      <w:r w:rsidRPr="00375799">
        <w:rPr>
          <w:rFonts w:cstheme="minorHAnsi"/>
          <w:color w:val="000000" w:themeColor="text1"/>
          <w:sz w:val="24"/>
          <w:szCs w:val="24"/>
        </w:rPr>
        <w:t xml:space="preserve"> naruszeń interesów uczestników rynku ubezpieczeniowego. W tym aspekcie, jak również w zakresie wykrywania nieubezpieczonych nie jest uzasadnione informowanie podmiotów danych o dokonywanym w ich przypadku profilowaniu, w trakcie takich działań, bowiem może to prowadzić do pomniejszenia wartości celów, jakim mają służyć zadania realizowane przez UFG. Informowanie podmiotów danych o profilowaniu w ww. zakresie może skutkować podejmowaniem działań przez te podmioty, dzięki którym zjawisko przestępczości ubezpieczeniowej może okazać się niemożliwe do wykrycia. Jednakże należy wskazać, iż podjęte przez Fundusz rozstrzygnięcia (decyzje) nie mają charakteru ostatecznego, w związku z czym wyodrębniona przez Fundusz informacja nie będzie wywoływała bezpośrednich skutków prawnych wobec takich osób. Wygenerowana przez system informacja będzie mogła zostać przekazana do właściwych organów ścigania lub do zakładu ubezpieczeń, na rzecz którego taka osoba dopuściła się oszustwa czy też wymuszenia. W momencie ujawnienia takich działań osoba, której decyzja dotyczyła</w:t>
      </w:r>
      <w:r w:rsidR="00AC62C8">
        <w:rPr>
          <w:rFonts w:cstheme="minorHAnsi"/>
          <w:color w:val="000000" w:themeColor="text1"/>
          <w:sz w:val="24"/>
          <w:szCs w:val="24"/>
        </w:rPr>
        <w:t>,</w:t>
      </w:r>
      <w:r w:rsidRPr="00375799">
        <w:rPr>
          <w:rFonts w:cstheme="minorHAnsi"/>
          <w:color w:val="000000" w:themeColor="text1"/>
          <w:sz w:val="24"/>
          <w:szCs w:val="24"/>
        </w:rPr>
        <w:t xml:space="preserve"> będzie mogła skorzystać z właściwych środków ochrony. </w:t>
      </w:r>
    </w:p>
    <w:p w14:paraId="2239A98D" w14:textId="0C3514FD"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Niezależnie od powyższego należy wskazać, iż na podstawie obecnych regulacji ustawy o ubezpieczeniach obowiązkowych do umów ubezpieczenia obowiązkowego, w sprawach nieuregulowanych w ustawie, stosuje się przepisy Kodeksu cywilnego. Ponadto przepisy ustawy wskazują wprost, iż ustalenia spełnienia lub nieistnienia obowiązku ubezpieczenia można dochodzić przed sądem powszechnym. Tak więc, zainteresowana osoba będzie zawsze mogła dochodzić swoich racji na drodze sądowej. </w:t>
      </w:r>
    </w:p>
    <w:p w14:paraId="192A4BD5" w14:textId="0E5B8989"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związku z powyższym</w:t>
      </w:r>
      <w:r w:rsidR="00D621A8">
        <w:rPr>
          <w:rFonts w:cstheme="minorHAnsi"/>
          <w:color w:val="000000" w:themeColor="text1"/>
          <w:sz w:val="24"/>
          <w:szCs w:val="24"/>
        </w:rPr>
        <w:t>,</w:t>
      </w:r>
      <w:r w:rsidRPr="00375799">
        <w:rPr>
          <w:rFonts w:cstheme="minorHAnsi"/>
          <w:color w:val="000000" w:themeColor="text1"/>
          <w:sz w:val="24"/>
          <w:szCs w:val="24"/>
        </w:rPr>
        <w:t xml:space="preserve"> w stosunku do osoby fizycznej, w odniesieniu do której podjęto decyzje (rozstrzygnięcie) w oparciu o zautomatyzowane przetwarzanie, w tym profilowanie, zapewnione zostały odpowiednie środki ochrony.</w:t>
      </w:r>
    </w:p>
    <w:p w14:paraId="61C1052A" w14:textId="4CCD9651"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Propozycja zmiany art. 102 ust. 7 ustawy</w:t>
      </w:r>
      <w:r w:rsidR="00D621A8">
        <w:rPr>
          <w:rFonts w:cstheme="minorHAnsi"/>
          <w:color w:val="000000" w:themeColor="text1"/>
          <w:sz w:val="24"/>
          <w:szCs w:val="24"/>
        </w:rPr>
        <w:t xml:space="preserve"> o ubezpieczeniach obowiązkowych</w:t>
      </w:r>
      <w:r w:rsidRPr="00375799">
        <w:rPr>
          <w:rFonts w:cstheme="minorHAnsi"/>
          <w:color w:val="000000" w:themeColor="text1"/>
          <w:sz w:val="24"/>
          <w:szCs w:val="24"/>
        </w:rPr>
        <w:t xml:space="preserve"> ma na celu bezpośrednie wskazanie, iż Fundusz przetwarza określone dane, w miejsce obowiązującego obecnie uprawnienia Funduszu do przetwarzania takich danych. </w:t>
      </w:r>
    </w:p>
    <w:p w14:paraId="44F00622" w14:textId="77293139"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Proponuje się również uchylenie ust. 3 w art. 105 ustawy o ubezpieczeniach obowiązkowych, na podstawie którego administrator danych przetwarzający dane osobowe na potrzeby Funduszu jest zwolniony z obowiązku informacyjnego określonego w art. 25 ust. 1 ustawy </w:t>
      </w:r>
      <w:r w:rsidR="00507309">
        <w:rPr>
          <w:rFonts w:cstheme="minorHAnsi"/>
          <w:color w:val="000000" w:themeColor="text1"/>
          <w:sz w:val="24"/>
          <w:szCs w:val="24"/>
        </w:rPr>
        <w:t>z dnia</w:t>
      </w:r>
      <w:r w:rsidR="00D621A8">
        <w:rPr>
          <w:rFonts w:cstheme="minorHAnsi"/>
          <w:color w:val="000000" w:themeColor="text1"/>
          <w:sz w:val="24"/>
          <w:szCs w:val="24"/>
        </w:rPr>
        <w:t xml:space="preserve"> 29 sierpnia 1997 r. </w:t>
      </w:r>
      <w:r w:rsidRPr="00375799">
        <w:rPr>
          <w:rFonts w:cstheme="minorHAnsi"/>
          <w:color w:val="000000" w:themeColor="text1"/>
          <w:sz w:val="24"/>
          <w:szCs w:val="24"/>
        </w:rPr>
        <w:t xml:space="preserve">o ochronie danych osobowych. Z obecnie obowiązującej normy wskazanej w ust. 3a zostało usunięte wskazanie, iż dane do Funduszu są przekazywane bez wiedzy i zgody osoby, której dotyczą. W momencie wejścia w życie RODO przedmiotowe kwestie będą bezpośrednio regulowane przez RODO. </w:t>
      </w:r>
    </w:p>
    <w:p w14:paraId="47281314" w14:textId="3BF4A91F"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uwagi na źródło danych Funduszu oraz wynikające z art. 18 RODO uprawnienie, proponuje się dodanie nowego ust. 4a w art. 105 ustawy o ubezpieczeniach obowiązkowych, na podstawie którego, w przypadku danych osobowych przekazanych do Funduszu przez zakłady ubezpieczeń, prawo do sprostowania danych oraz uzupełnienia niekompletnych danych, o którym mowa w art. 16 </w:t>
      </w:r>
      <w:r w:rsidR="00BF4730" w:rsidRPr="00375799">
        <w:rPr>
          <w:rFonts w:cstheme="minorHAnsi"/>
          <w:color w:val="000000" w:themeColor="text1"/>
          <w:sz w:val="24"/>
          <w:szCs w:val="24"/>
        </w:rPr>
        <w:t>RODO</w:t>
      </w:r>
      <w:r w:rsidRPr="00375799">
        <w:rPr>
          <w:rFonts w:cstheme="minorHAnsi"/>
          <w:color w:val="000000" w:themeColor="text1"/>
          <w:sz w:val="24"/>
          <w:szCs w:val="24"/>
        </w:rPr>
        <w:t>, jest wykonywane przez sprostowanie tych danych po wniesieniu żądania do zakładu ubezpieczeń</w:t>
      </w:r>
      <w:r w:rsidR="00AC62C8">
        <w:rPr>
          <w:rFonts w:cstheme="minorHAnsi"/>
          <w:color w:val="000000" w:themeColor="text1"/>
          <w:sz w:val="24"/>
          <w:szCs w:val="24"/>
        </w:rPr>
        <w:t>.</w:t>
      </w:r>
    </w:p>
    <w:p w14:paraId="6B869D7A" w14:textId="3D84E3F9"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Mając na uwadze powyższe wskazać należy, że Ubezpieczeniowy Fundusz Gwarancyjny, pełniąc zadania w interesie publicznym, podejmuje szereg działań związanych z bezpieczeństwem publicznym, przeciwdziałaniem zjawiskom związanym z przestępczością ubezpieczeniową i naruszeni</w:t>
      </w:r>
      <w:r w:rsidR="00AC62C8">
        <w:rPr>
          <w:rFonts w:cstheme="minorHAnsi"/>
          <w:color w:val="000000" w:themeColor="text1"/>
          <w:sz w:val="24"/>
          <w:szCs w:val="24"/>
        </w:rPr>
        <w:t>em</w:t>
      </w:r>
      <w:r w:rsidRPr="00375799">
        <w:rPr>
          <w:rFonts w:cstheme="minorHAnsi"/>
          <w:color w:val="000000" w:themeColor="text1"/>
          <w:sz w:val="24"/>
          <w:szCs w:val="24"/>
        </w:rPr>
        <w:t xml:space="preserve"> interesów uczestników tegoż rynku i ułatwiani</w:t>
      </w:r>
      <w:r w:rsidR="00AC62C8">
        <w:rPr>
          <w:rFonts w:cstheme="minorHAnsi"/>
          <w:color w:val="000000" w:themeColor="text1"/>
          <w:sz w:val="24"/>
          <w:szCs w:val="24"/>
        </w:rPr>
        <w:t>em</w:t>
      </w:r>
      <w:r w:rsidRPr="00375799">
        <w:rPr>
          <w:rFonts w:cstheme="minorHAnsi"/>
          <w:color w:val="000000" w:themeColor="text1"/>
          <w:sz w:val="24"/>
          <w:szCs w:val="24"/>
        </w:rPr>
        <w:t xml:space="preserve"> dochodzenia przez obywateli roszczeń odszkodowawczych. Fundusz w ramach realizowanych zadań bezpośrednio oddziałuje m.in. na poprawę bezpieczeństwa ruchu drogowego oraz eliminację zjawisk związanych</w:t>
      </w:r>
      <w:r w:rsidR="00AC62C8">
        <w:rPr>
          <w:rFonts w:cstheme="minorHAnsi"/>
          <w:color w:val="000000" w:themeColor="text1"/>
          <w:sz w:val="24"/>
          <w:szCs w:val="24"/>
        </w:rPr>
        <w:t xml:space="preserve"> z</w:t>
      </w:r>
      <w:r w:rsidRPr="00375799">
        <w:rPr>
          <w:rFonts w:cstheme="minorHAnsi"/>
          <w:color w:val="000000" w:themeColor="text1"/>
          <w:sz w:val="24"/>
          <w:szCs w:val="24"/>
        </w:rPr>
        <w:t xml:space="preserve"> przestępczością ubezpieczeniową, co przekłada się na realne korzyści dla obywateli </w:t>
      </w:r>
      <w:r w:rsidR="00AC62C8">
        <w:rPr>
          <w:rFonts w:cstheme="minorHAnsi"/>
          <w:color w:val="000000" w:themeColor="text1"/>
          <w:sz w:val="24"/>
          <w:szCs w:val="24"/>
        </w:rPr>
        <w:t>–</w:t>
      </w:r>
      <w:r w:rsidRPr="00375799">
        <w:rPr>
          <w:rFonts w:cstheme="minorHAnsi"/>
          <w:color w:val="000000" w:themeColor="text1"/>
          <w:sz w:val="24"/>
          <w:szCs w:val="24"/>
        </w:rPr>
        <w:t xml:space="preserve"> podmiotów danych. Dla efektywnego wykonywania obowiązków Funduszu, a tym samym podnoszenia bezpieczeństwa i jakości świadczonych usług na rynku ubezpieczeniowym, uzasadniona jest możliwość ograniczania stosowania przepisów RODO w przedstawionym powyżej zakresie. Ograniczenie stosowania wskazanych przepisów nie będzie wiązało się z istotnym ograniczeniem praw obywateli, natomiast w sposób niewspółmiernie znaczący wpłynie na poprawę sytuacji obywateli w obszarze funkcjonowania rynku ubezpieczeniowego. Eliminacja zjawisk związanych z przestępczością ubezpieczeniową bezpośrednio może przełożyć się na oszczędności obywateli, poprawę bezpieczeństwa ruchu drogowego oraz unikanie sytuacji, w których uczciwi obywatele stają się ofiarami oszustów wyłudzających świadczenia ubezpieczeniowe. Dodatkowo zadania realizowane przez Fundusz, związane z zapewnianiem szczelności systemu ubezpieczeń poprzez wykrywanie nieubezpieczonych posiadaczy pojazdów mechanicznych, bezpośrednio wpływa</w:t>
      </w:r>
      <w:r w:rsidR="00AC62C8">
        <w:rPr>
          <w:rFonts w:cstheme="minorHAnsi"/>
          <w:color w:val="000000" w:themeColor="text1"/>
          <w:sz w:val="24"/>
          <w:szCs w:val="24"/>
        </w:rPr>
        <w:t>ją</w:t>
      </w:r>
      <w:r w:rsidRPr="00375799">
        <w:rPr>
          <w:rFonts w:cstheme="minorHAnsi"/>
          <w:color w:val="000000" w:themeColor="text1"/>
          <w:sz w:val="24"/>
          <w:szCs w:val="24"/>
        </w:rPr>
        <w:t xml:space="preserve"> na zabezpieczenie interesów zarówno poszkodowanych (łatwość dochodzenia roszczeń), jak również samych sprawców wypadków drogowych (ochrona interesu ekonomicznego poprzez odpowiedzialność zakładu ubezpieczeń, a nie odpowiedzialność z majątku osobistego sprawcy). Ewentualny brak możliwości zastosowania ww. ograniczeń stosowania RODO może przełożyć się wprost na niemożność realizowania przez UFG jego zadań ustawowych, co </w:t>
      </w:r>
      <w:r w:rsidRPr="00375799">
        <w:rPr>
          <w:rFonts w:cstheme="minorHAnsi"/>
          <w:color w:val="000000" w:themeColor="text1"/>
          <w:sz w:val="24"/>
          <w:szCs w:val="24"/>
        </w:rPr>
        <w:lastRenderedPageBreak/>
        <w:t>wiązałoby się z istotnym uszczerbkiem dla interesów podmiotów danych. Należy mieć na uwadze, że UFG jest również podmiotem odpowiedzialnym za wypłatę świadczeń odszkodowawczych na rzecz poszkodowanych w wyniku zdarzeń drogowych z nieznanym lub nieubezpieczonym sprawcą. W tym miejscu należy nadmienić, iż Fundusz został powołany w drodze ustawy do realizowania zadań o charakterze publicznym w zgodzie z przepisami krajowymi oraz unijnymi, a zatem działania Funduszu w zakresie właściwego funkcjonowania rynku ubezpieczeniowego są realizowane w interesie publicznym. Mając powyższe na uwadze</w:t>
      </w:r>
      <w:r w:rsidR="00AC62C8">
        <w:rPr>
          <w:rFonts w:cstheme="minorHAnsi"/>
          <w:color w:val="000000" w:themeColor="text1"/>
          <w:sz w:val="24"/>
          <w:szCs w:val="24"/>
        </w:rPr>
        <w:t>,</w:t>
      </w:r>
      <w:r w:rsidRPr="00375799">
        <w:rPr>
          <w:rFonts w:cstheme="minorHAnsi"/>
          <w:color w:val="000000" w:themeColor="text1"/>
          <w:sz w:val="24"/>
          <w:szCs w:val="24"/>
        </w:rPr>
        <w:t xml:space="preserve"> należy wskazać, iż wspomniane ograniczeni</w:t>
      </w:r>
      <w:r w:rsidR="00D621A8">
        <w:rPr>
          <w:rFonts w:cstheme="minorHAnsi"/>
          <w:color w:val="000000" w:themeColor="text1"/>
          <w:sz w:val="24"/>
          <w:szCs w:val="24"/>
        </w:rPr>
        <w:t>e</w:t>
      </w:r>
      <w:r w:rsidRPr="00375799">
        <w:rPr>
          <w:rFonts w:cstheme="minorHAnsi"/>
          <w:color w:val="000000" w:themeColor="text1"/>
          <w:sz w:val="24"/>
          <w:szCs w:val="24"/>
        </w:rPr>
        <w:t xml:space="preserve"> stosowania </w:t>
      </w:r>
      <w:r w:rsidR="00D621A8">
        <w:rPr>
          <w:rFonts w:cstheme="minorHAnsi"/>
          <w:color w:val="000000" w:themeColor="text1"/>
          <w:sz w:val="24"/>
          <w:szCs w:val="24"/>
        </w:rPr>
        <w:t>art. 16</w:t>
      </w:r>
      <w:r w:rsidRPr="00375799">
        <w:rPr>
          <w:rFonts w:cstheme="minorHAnsi"/>
          <w:color w:val="000000" w:themeColor="text1"/>
          <w:sz w:val="24"/>
          <w:szCs w:val="24"/>
        </w:rPr>
        <w:t xml:space="preserve"> RODO pozostaj</w:t>
      </w:r>
      <w:r w:rsidR="00D621A8">
        <w:rPr>
          <w:rFonts w:cstheme="minorHAnsi"/>
          <w:color w:val="000000" w:themeColor="text1"/>
          <w:sz w:val="24"/>
          <w:szCs w:val="24"/>
        </w:rPr>
        <w:t>e</w:t>
      </w:r>
      <w:r w:rsidRPr="00375799">
        <w:rPr>
          <w:rFonts w:cstheme="minorHAnsi"/>
          <w:color w:val="000000" w:themeColor="text1"/>
          <w:sz w:val="24"/>
          <w:szCs w:val="24"/>
        </w:rPr>
        <w:t xml:space="preserve"> środkiem niezbędnym i proporcjonalnym</w:t>
      </w:r>
      <w:r w:rsidR="00AC62C8">
        <w:rPr>
          <w:rFonts w:cstheme="minorHAnsi"/>
          <w:color w:val="000000" w:themeColor="text1"/>
          <w:sz w:val="24"/>
          <w:szCs w:val="24"/>
        </w:rPr>
        <w:t>,</w:t>
      </w:r>
      <w:r w:rsidRPr="00375799">
        <w:rPr>
          <w:rFonts w:cstheme="minorHAnsi"/>
          <w:color w:val="000000" w:themeColor="text1"/>
          <w:sz w:val="24"/>
          <w:szCs w:val="24"/>
        </w:rPr>
        <w:t xml:space="preserve"> gdyż efekt regulacji pozostaj</w:t>
      </w:r>
      <w:r w:rsidR="00D621A8">
        <w:rPr>
          <w:rFonts w:cstheme="minorHAnsi"/>
          <w:color w:val="000000" w:themeColor="text1"/>
          <w:sz w:val="24"/>
          <w:szCs w:val="24"/>
        </w:rPr>
        <w:t>e</w:t>
      </w:r>
      <w:r w:rsidRPr="00375799">
        <w:rPr>
          <w:rFonts w:cstheme="minorHAnsi"/>
          <w:color w:val="000000" w:themeColor="text1"/>
          <w:sz w:val="24"/>
          <w:szCs w:val="24"/>
        </w:rPr>
        <w:t xml:space="preserve"> w proporcji do nałożonych na obywatela ograniczeń. </w:t>
      </w:r>
    </w:p>
    <w:p w14:paraId="0BB71435" w14:textId="2E2AAA37"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Odnosząc się do zmian dotyczących działalności Polskiego Biura Ubezpieczycieli Komunikacyjnych</w:t>
      </w:r>
      <w:r w:rsidR="00AC62C8">
        <w:rPr>
          <w:rFonts w:cstheme="minorHAnsi"/>
          <w:color w:val="000000" w:themeColor="text1"/>
          <w:sz w:val="24"/>
          <w:szCs w:val="24"/>
        </w:rPr>
        <w:t>,</w:t>
      </w:r>
      <w:r w:rsidRPr="00375799">
        <w:rPr>
          <w:rFonts w:cstheme="minorHAnsi"/>
          <w:color w:val="000000" w:themeColor="text1"/>
          <w:sz w:val="24"/>
          <w:szCs w:val="24"/>
        </w:rPr>
        <w:t xml:space="preserve"> należy wskazać, iż Biuro</w:t>
      </w:r>
      <w:r w:rsidR="00AC62C8">
        <w:rPr>
          <w:rFonts w:cstheme="minorHAnsi"/>
          <w:color w:val="000000" w:themeColor="text1"/>
          <w:sz w:val="24"/>
          <w:szCs w:val="24"/>
        </w:rPr>
        <w:t>,</w:t>
      </w:r>
      <w:r w:rsidRPr="00375799">
        <w:rPr>
          <w:rFonts w:cstheme="minorHAnsi"/>
          <w:color w:val="000000" w:themeColor="text1"/>
          <w:sz w:val="24"/>
          <w:szCs w:val="24"/>
        </w:rPr>
        <w:t xml:space="preserve"> podobnie jak Ubezpieczeniowy Fundusz Gwarancyjny, zostało powołane w drodze ustawy do realizowania zadań w imieniu państwa, w zgodzie z przepisami krajowymi oraz unijnymi, a zatem działania Biura w zakresie właściwego funkcjonowania rynku ubezpieczeniowego są realizowane w interesie publicznym. Zadania mają w szczególności na celu organizowaniem likwidacji szkód lub bezpośrednią likwidacją szkód spowodowanych na terytorium Polski przez posiadaczy pojazdów mechanicznych zarejestrowanych za granicą, odpowiedzialność za szkody będące następstwem wypadków, które wydarzyły się na terytorium innych </w:t>
      </w:r>
      <w:r w:rsidR="00D621A8">
        <w:rPr>
          <w:rFonts w:cstheme="minorHAnsi"/>
          <w:color w:val="000000" w:themeColor="text1"/>
          <w:sz w:val="24"/>
          <w:szCs w:val="24"/>
        </w:rPr>
        <w:t>p</w:t>
      </w:r>
      <w:r w:rsidRPr="00375799">
        <w:rPr>
          <w:rFonts w:cstheme="minorHAnsi"/>
          <w:color w:val="000000" w:themeColor="text1"/>
          <w:sz w:val="24"/>
          <w:szCs w:val="24"/>
        </w:rPr>
        <w:t>aństw, których biura narodowe podpisały z Biurem umowy o wzajemnym uznawaniu dokumentów ubezpieczenia czy też pośredniczenie w wymianie informacji na temat wypadków drogowych. Podobnie jak UFG, Polskie Biuro Ubezpieczycieli Komunikacyjnych</w:t>
      </w:r>
      <w:r w:rsidR="00AC62C8">
        <w:rPr>
          <w:rFonts w:cstheme="minorHAnsi"/>
          <w:color w:val="000000" w:themeColor="text1"/>
          <w:sz w:val="24"/>
          <w:szCs w:val="24"/>
        </w:rPr>
        <w:t>,</w:t>
      </w:r>
      <w:r w:rsidRPr="00375799">
        <w:rPr>
          <w:rFonts w:cstheme="minorHAnsi"/>
          <w:color w:val="000000" w:themeColor="text1"/>
          <w:sz w:val="24"/>
          <w:szCs w:val="24"/>
        </w:rPr>
        <w:t xml:space="preserve"> co do zasady</w:t>
      </w:r>
      <w:r w:rsidR="00AC62C8">
        <w:rPr>
          <w:rFonts w:cstheme="minorHAnsi"/>
          <w:color w:val="000000" w:themeColor="text1"/>
          <w:sz w:val="24"/>
          <w:szCs w:val="24"/>
        </w:rPr>
        <w:t>,</w:t>
      </w:r>
      <w:r w:rsidRPr="00375799">
        <w:rPr>
          <w:rFonts w:cstheme="minorHAnsi"/>
          <w:color w:val="000000" w:themeColor="text1"/>
          <w:sz w:val="24"/>
          <w:szCs w:val="24"/>
        </w:rPr>
        <w:t xml:space="preserve"> wykonuje swoje ustawowe zadania na podstawie danych otrzymanych od innych podmiotów. Z uwagi na charakter działalności Biura, zbliżony co do zasady do działalności prowadzonej przez UFG, uzasadnienie poszczególnych propozycji zapisów pozostaje zbieżne z uzasadnieniem zmian odnoszących się do UFG.</w:t>
      </w:r>
    </w:p>
    <w:p w14:paraId="49720BE4" w14:textId="35D0C2E4"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Dodanie art. 136a</w:t>
      </w:r>
      <w:r w:rsidR="00AC62C8">
        <w:rPr>
          <w:rFonts w:cstheme="minorHAnsi"/>
          <w:color w:val="000000" w:themeColor="text1"/>
          <w:sz w:val="24"/>
          <w:szCs w:val="24"/>
        </w:rPr>
        <w:t xml:space="preserve"> i </w:t>
      </w:r>
      <w:r w:rsidRPr="00375799">
        <w:rPr>
          <w:rFonts w:cstheme="minorHAnsi"/>
          <w:color w:val="000000" w:themeColor="text1"/>
          <w:sz w:val="24"/>
          <w:szCs w:val="24"/>
        </w:rPr>
        <w:t>b ma na celu jednoznacznie wskazanie podstawy prawnej, zakresu oraz celu przetwarzania danych w związku z wykonywaniem przez Biuro określonych zadań ustawowych. Przepisy ustawy nakładają na P</w:t>
      </w:r>
      <w:r w:rsidR="00D621A8">
        <w:rPr>
          <w:rFonts w:cstheme="minorHAnsi"/>
          <w:color w:val="000000" w:themeColor="text1"/>
          <w:sz w:val="24"/>
          <w:szCs w:val="24"/>
        </w:rPr>
        <w:t xml:space="preserve">olskie </w:t>
      </w:r>
      <w:r w:rsidRPr="00375799">
        <w:rPr>
          <w:rFonts w:cstheme="minorHAnsi"/>
          <w:color w:val="000000" w:themeColor="text1"/>
          <w:sz w:val="24"/>
          <w:szCs w:val="24"/>
        </w:rPr>
        <w:t>B</w:t>
      </w:r>
      <w:r w:rsidR="00D621A8">
        <w:rPr>
          <w:rFonts w:cstheme="minorHAnsi"/>
          <w:color w:val="000000" w:themeColor="text1"/>
          <w:sz w:val="24"/>
          <w:szCs w:val="24"/>
        </w:rPr>
        <w:t xml:space="preserve">iuro </w:t>
      </w:r>
      <w:r w:rsidRPr="00375799">
        <w:rPr>
          <w:rFonts w:cstheme="minorHAnsi"/>
          <w:color w:val="000000" w:themeColor="text1"/>
          <w:sz w:val="24"/>
          <w:szCs w:val="24"/>
        </w:rPr>
        <w:t>U</w:t>
      </w:r>
      <w:r w:rsidR="00D621A8">
        <w:rPr>
          <w:rFonts w:cstheme="minorHAnsi"/>
          <w:color w:val="000000" w:themeColor="text1"/>
          <w:sz w:val="24"/>
          <w:szCs w:val="24"/>
        </w:rPr>
        <w:t xml:space="preserve">bezpieczycieli </w:t>
      </w:r>
      <w:r w:rsidRPr="00375799">
        <w:rPr>
          <w:rFonts w:cstheme="minorHAnsi"/>
          <w:color w:val="000000" w:themeColor="text1"/>
          <w:sz w:val="24"/>
          <w:szCs w:val="24"/>
        </w:rPr>
        <w:t>K</w:t>
      </w:r>
      <w:r w:rsidR="00D621A8">
        <w:rPr>
          <w:rFonts w:cstheme="minorHAnsi"/>
          <w:color w:val="000000" w:themeColor="text1"/>
          <w:sz w:val="24"/>
          <w:szCs w:val="24"/>
        </w:rPr>
        <w:t>omunikacyjnych</w:t>
      </w:r>
      <w:r w:rsidRPr="00375799">
        <w:rPr>
          <w:rFonts w:cstheme="minorHAnsi"/>
          <w:color w:val="000000" w:themeColor="text1"/>
          <w:sz w:val="24"/>
          <w:szCs w:val="24"/>
        </w:rPr>
        <w:t xml:space="preserve"> obowiązki, z którymi wiąże się konieczność przetwarzania danych osobowych.</w:t>
      </w:r>
    </w:p>
    <w:p w14:paraId="373F0B16" w14:textId="15230A37"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uwagi na fakt, iż przedmiotem działalności Polskiego Biura Ubezpieczycieli Komunikacyjnych jest m.in. organizowanie likwidacji i bezpośrednia likwidacja określonego rodzaju szkód czy też wypłata określonych w ustawie odszkodowań, uzasadnienie dla przetwarzania takich danych osobowych, co do zasady</w:t>
      </w:r>
      <w:r w:rsidR="00AC62C8">
        <w:rPr>
          <w:rFonts w:cstheme="minorHAnsi"/>
          <w:color w:val="000000" w:themeColor="text1"/>
          <w:sz w:val="24"/>
          <w:szCs w:val="24"/>
        </w:rPr>
        <w:t>,</w:t>
      </w:r>
      <w:r w:rsidRPr="00375799">
        <w:rPr>
          <w:rFonts w:cstheme="minorHAnsi"/>
          <w:color w:val="000000" w:themeColor="text1"/>
          <w:sz w:val="24"/>
          <w:szCs w:val="24"/>
        </w:rPr>
        <w:t xml:space="preserve"> pozostaje zbieżne z uzasadnieniem propozycji zmian skierowanych dla UFG. Biuro przetwarza szczególne kategorie danych, opisane w art. 9 i </w:t>
      </w:r>
      <w:r w:rsidR="002C6E7A">
        <w:rPr>
          <w:rFonts w:cstheme="minorHAnsi"/>
          <w:color w:val="000000" w:themeColor="text1"/>
          <w:sz w:val="24"/>
          <w:szCs w:val="24"/>
        </w:rPr>
        <w:t xml:space="preserve">art. </w:t>
      </w:r>
      <w:r w:rsidRPr="00375799">
        <w:rPr>
          <w:rFonts w:cstheme="minorHAnsi"/>
          <w:color w:val="000000" w:themeColor="text1"/>
          <w:sz w:val="24"/>
          <w:szCs w:val="24"/>
        </w:rPr>
        <w:t>10 RODO, tj. dane dotyczące zdrowia, wyroków skazujących, naruszeń prawa lub powiązanych środków bezpieczeństwa. W przypadku tych danych należy osobno wskazać, jakie przepisy ustawy stanowić będą podstawę ich przetwarzania. Nie wszystkie bowiem zadania Biura wymagają przetwarzania szczególnych kategorii danych, natomiast możliwość ich wykorzystania, jako niezbędna do wykonywania ustawowych zadań przez Biuro</w:t>
      </w:r>
      <w:r w:rsidR="00AC62C8">
        <w:rPr>
          <w:rFonts w:cstheme="minorHAnsi"/>
          <w:color w:val="000000" w:themeColor="text1"/>
          <w:sz w:val="24"/>
          <w:szCs w:val="24"/>
        </w:rPr>
        <w:t>,</w:t>
      </w:r>
      <w:r w:rsidRPr="00375799">
        <w:rPr>
          <w:rFonts w:cstheme="minorHAnsi"/>
          <w:color w:val="000000" w:themeColor="text1"/>
          <w:sz w:val="24"/>
          <w:szCs w:val="24"/>
        </w:rPr>
        <w:t xml:space="preserve"> </w:t>
      </w:r>
      <w:r w:rsidRPr="00375799">
        <w:rPr>
          <w:rFonts w:cstheme="minorHAnsi"/>
          <w:color w:val="000000" w:themeColor="text1"/>
          <w:sz w:val="24"/>
          <w:szCs w:val="24"/>
        </w:rPr>
        <w:lastRenderedPageBreak/>
        <w:t xml:space="preserve">musi być wskazana wprost. Wskazane w projektowanym art. 136a ustawy </w:t>
      </w:r>
      <w:r w:rsidR="00D621A8">
        <w:rPr>
          <w:rFonts w:cstheme="minorHAnsi"/>
          <w:color w:val="000000" w:themeColor="text1"/>
          <w:sz w:val="24"/>
          <w:szCs w:val="24"/>
        </w:rPr>
        <w:t xml:space="preserve">o ubezpieczeniach obowiązkowych </w:t>
      </w:r>
      <w:r w:rsidRPr="00375799">
        <w:rPr>
          <w:rFonts w:cstheme="minorHAnsi"/>
          <w:color w:val="000000" w:themeColor="text1"/>
          <w:sz w:val="24"/>
          <w:szCs w:val="24"/>
        </w:rPr>
        <w:t>uprawnienie do przetwarzania danych dotyczących zdrowia zostało oparte o art. 9 ust. 2 lit. g RODO. Należy wskazać, iż jednym z zadań Biura jest zaspokajanie roszczeń z tytułu ubezpieczenia OC posiadaczy pojazdów mechanicznych za szkody na osobie i w mieniu. Przy prowadzonych wypłatach odszkodowań niezbędne jest wyznaczenie zakresu szkód na osobie w oparciu o dane dotyczące zdrowia. Z kolei przetwarzanie danych osobowych dotyczących naruszeń prawa lub powiązanych środków bezpieczeństwa jest niezbędne do wypełnienia obowiązku prawnego ciążącego na administratorze i jest niezbędne do wykonania zadań ustawowych nałożonych na Biuro. Elementem zabezpieczenia praw i wolności osób, których dane dotyczą</w:t>
      </w:r>
      <w:r w:rsidR="00AC62C8">
        <w:rPr>
          <w:rFonts w:cstheme="minorHAnsi"/>
          <w:color w:val="000000" w:themeColor="text1"/>
          <w:sz w:val="24"/>
          <w:szCs w:val="24"/>
        </w:rPr>
        <w:t>,</w:t>
      </w:r>
      <w:r w:rsidRPr="00375799">
        <w:rPr>
          <w:rFonts w:cstheme="minorHAnsi"/>
          <w:color w:val="000000" w:themeColor="text1"/>
          <w:sz w:val="24"/>
          <w:szCs w:val="24"/>
        </w:rPr>
        <w:t xml:space="preserve"> będzie objęcie tajemnicą ubezpieczeniową </w:t>
      </w:r>
      <w:r w:rsidR="00D621A8" w:rsidRPr="00375799">
        <w:rPr>
          <w:rFonts w:cstheme="minorHAnsi"/>
          <w:color w:val="000000" w:themeColor="text1"/>
          <w:sz w:val="24"/>
          <w:szCs w:val="24"/>
        </w:rPr>
        <w:t>P</w:t>
      </w:r>
      <w:r w:rsidR="00D621A8">
        <w:rPr>
          <w:rFonts w:cstheme="minorHAnsi"/>
          <w:color w:val="000000" w:themeColor="text1"/>
          <w:sz w:val="24"/>
          <w:szCs w:val="24"/>
        </w:rPr>
        <w:t xml:space="preserve">olskiego </w:t>
      </w:r>
      <w:r w:rsidR="00D621A8" w:rsidRPr="00375799">
        <w:rPr>
          <w:rFonts w:cstheme="minorHAnsi"/>
          <w:color w:val="000000" w:themeColor="text1"/>
          <w:sz w:val="24"/>
          <w:szCs w:val="24"/>
        </w:rPr>
        <w:t>B</w:t>
      </w:r>
      <w:r w:rsidR="00D621A8">
        <w:rPr>
          <w:rFonts w:cstheme="minorHAnsi"/>
          <w:color w:val="000000" w:themeColor="text1"/>
          <w:sz w:val="24"/>
          <w:szCs w:val="24"/>
        </w:rPr>
        <w:t xml:space="preserve">iura </w:t>
      </w:r>
      <w:r w:rsidR="00D621A8" w:rsidRPr="00375799">
        <w:rPr>
          <w:rFonts w:cstheme="minorHAnsi"/>
          <w:color w:val="000000" w:themeColor="text1"/>
          <w:sz w:val="24"/>
          <w:szCs w:val="24"/>
        </w:rPr>
        <w:t>U</w:t>
      </w:r>
      <w:r w:rsidR="00D621A8">
        <w:rPr>
          <w:rFonts w:cstheme="minorHAnsi"/>
          <w:color w:val="000000" w:themeColor="text1"/>
          <w:sz w:val="24"/>
          <w:szCs w:val="24"/>
        </w:rPr>
        <w:t xml:space="preserve">bezpieczycieli </w:t>
      </w:r>
      <w:r w:rsidR="00D621A8" w:rsidRPr="00375799">
        <w:rPr>
          <w:rFonts w:cstheme="minorHAnsi"/>
          <w:color w:val="000000" w:themeColor="text1"/>
          <w:sz w:val="24"/>
          <w:szCs w:val="24"/>
        </w:rPr>
        <w:t>K</w:t>
      </w:r>
      <w:r w:rsidR="00D621A8">
        <w:rPr>
          <w:rFonts w:cstheme="minorHAnsi"/>
          <w:color w:val="000000" w:themeColor="text1"/>
          <w:sz w:val="24"/>
          <w:szCs w:val="24"/>
        </w:rPr>
        <w:t>omunikacyjnych</w:t>
      </w:r>
      <w:r w:rsidRPr="00375799">
        <w:rPr>
          <w:rFonts w:cstheme="minorHAnsi"/>
          <w:color w:val="000000" w:themeColor="text1"/>
          <w:sz w:val="24"/>
          <w:szCs w:val="24"/>
        </w:rPr>
        <w:t>.</w:t>
      </w:r>
    </w:p>
    <w:p w14:paraId="08991BFE" w14:textId="3D90E8AB" w:rsidR="00AA2C40"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Zatem propozycja dodania art. 136a</w:t>
      </w:r>
      <w:r w:rsidR="00FB4C93">
        <w:rPr>
          <w:rFonts w:cstheme="minorHAnsi"/>
          <w:color w:val="000000" w:themeColor="text1"/>
          <w:sz w:val="24"/>
          <w:szCs w:val="24"/>
        </w:rPr>
        <w:t xml:space="preserve"> i art. 136</w:t>
      </w:r>
      <w:r w:rsidRPr="00375799">
        <w:rPr>
          <w:rFonts w:cstheme="minorHAnsi"/>
          <w:color w:val="000000" w:themeColor="text1"/>
          <w:sz w:val="24"/>
          <w:szCs w:val="24"/>
        </w:rPr>
        <w:t xml:space="preserve">b wydaje się uzasadniona ze względu na konieczność doprecyzowania regulacji ustawowej w odniesieniu do zakresu i celu przetwarzanych szczególnych kategorii danych osobowych w celu wykonywania przez Biuro jego zadań ustawowych. </w:t>
      </w:r>
    </w:p>
    <w:p w14:paraId="74D3A04F" w14:textId="642BDB1F" w:rsidR="00AA2C40" w:rsidRPr="00375799" w:rsidRDefault="00D621A8"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w:t>
      </w:r>
      <w:r>
        <w:rPr>
          <w:rFonts w:cstheme="minorHAnsi"/>
          <w:color w:val="000000" w:themeColor="text1"/>
          <w:sz w:val="24"/>
          <w:szCs w:val="24"/>
        </w:rPr>
        <w:t xml:space="preserve">olskie </w:t>
      </w:r>
      <w:r w:rsidRPr="00375799">
        <w:rPr>
          <w:rFonts w:cstheme="minorHAnsi"/>
          <w:color w:val="000000" w:themeColor="text1"/>
          <w:sz w:val="24"/>
          <w:szCs w:val="24"/>
        </w:rPr>
        <w:t>B</w:t>
      </w:r>
      <w:r>
        <w:rPr>
          <w:rFonts w:cstheme="minorHAnsi"/>
          <w:color w:val="000000" w:themeColor="text1"/>
          <w:sz w:val="24"/>
          <w:szCs w:val="24"/>
        </w:rPr>
        <w:t xml:space="preserve">iuro </w:t>
      </w:r>
      <w:r w:rsidRPr="00375799">
        <w:rPr>
          <w:rFonts w:cstheme="minorHAnsi"/>
          <w:color w:val="000000" w:themeColor="text1"/>
          <w:sz w:val="24"/>
          <w:szCs w:val="24"/>
        </w:rPr>
        <w:t>U</w:t>
      </w:r>
      <w:r>
        <w:rPr>
          <w:rFonts w:cstheme="minorHAnsi"/>
          <w:color w:val="000000" w:themeColor="text1"/>
          <w:sz w:val="24"/>
          <w:szCs w:val="24"/>
        </w:rPr>
        <w:t xml:space="preserve">bezpieczycieli </w:t>
      </w:r>
      <w:r w:rsidRPr="00375799">
        <w:rPr>
          <w:rFonts w:cstheme="minorHAnsi"/>
          <w:color w:val="000000" w:themeColor="text1"/>
          <w:sz w:val="24"/>
          <w:szCs w:val="24"/>
        </w:rPr>
        <w:t>K</w:t>
      </w:r>
      <w:r>
        <w:rPr>
          <w:rFonts w:cstheme="minorHAnsi"/>
          <w:color w:val="000000" w:themeColor="text1"/>
          <w:sz w:val="24"/>
          <w:szCs w:val="24"/>
        </w:rPr>
        <w:t>omunikacyjnych,</w:t>
      </w:r>
      <w:r w:rsidR="00AA2C40" w:rsidRPr="00375799">
        <w:rPr>
          <w:rFonts w:cstheme="minorHAnsi"/>
          <w:color w:val="000000" w:themeColor="text1"/>
          <w:sz w:val="24"/>
          <w:szCs w:val="24"/>
        </w:rPr>
        <w:t xml:space="preserve"> jako administrator wykonujący zadania publiczne przetwarzający dane na podstawie i w celach określonych w przepisach prawa, przy wykonywaniu zadań ustawowych</w:t>
      </w:r>
      <w:r w:rsidR="00AC62C8">
        <w:rPr>
          <w:rFonts w:cstheme="minorHAnsi"/>
          <w:color w:val="000000" w:themeColor="text1"/>
          <w:sz w:val="24"/>
          <w:szCs w:val="24"/>
        </w:rPr>
        <w:t>,</w:t>
      </w:r>
      <w:r w:rsidR="00AA2C40" w:rsidRPr="00375799">
        <w:rPr>
          <w:rFonts w:cstheme="minorHAnsi"/>
          <w:color w:val="000000" w:themeColor="text1"/>
          <w:sz w:val="24"/>
          <w:szCs w:val="24"/>
        </w:rPr>
        <w:t xml:space="preserve"> będzie korzystało z ograniczeń stosowania poszczególnych przepisów RODO w oparciu o bezpośrednie normy RODO oraz ogólne wyłączenia przepisów RODO zawarte w przepisach ustawy</w:t>
      </w:r>
      <w:r w:rsidR="002C6E7A">
        <w:rPr>
          <w:rFonts w:cstheme="minorHAnsi"/>
          <w:color w:val="000000" w:themeColor="text1"/>
          <w:sz w:val="24"/>
          <w:szCs w:val="24"/>
        </w:rPr>
        <w:t xml:space="preserve">. </w:t>
      </w:r>
      <w:r w:rsidR="00AA2C40" w:rsidRPr="00375799">
        <w:rPr>
          <w:rFonts w:cstheme="minorHAnsi"/>
          <w:color w:val="000000" w:themeColor="text1"/>
          <w:sz w:val="24"/>
          <w:szCs w:val="24"/>
        </w:rPr>
        <w:t>o ochronie danych osobowych. Ograniczenia stosowania</w:t>
      </w:r>
      <w:r w:rsidR="002C6E7A">
        <w:rPr>
          <w:rFonts w:cstheme="minorHAnsi"/>
          <w:color w:val="000000" w:themeColor="text1"/>
          <w:sz w:val="24"/>
          <w:szCs w:val="24"/>
        </w:rPr>
        <w:t xml:space="preserve"> przepisów</w:t>
      </w:r>
      <w:r w:rsidR="00AA2C40" w:rsidRPr="00375799">
        <w:rPr>
          <w:rFonts w:cstheme="minorHAnsi"/>
          <w:color w:val="000000" w:themeColor="text1"/>
          <w:sz w:val="24"/>
          <w:szCs w:val="24"/>
        </w:rPr>
        <w:t xml:space="preserve"> RODO będą miały swoje uzasadnienie w normie art. 23 RODO i będą docelowo służyć ważnym celom leżącym w ogólnym interesie publicznym Unii lub Rzeczypospolitej Polskiej. Za cel taki należy uznać likwidację szkód komunikacyjnych. </w:t>
      </w:r>
    </w:p>
    <w:p w14:paraId="75B9EA03" w14:textId="78B6FD73" w:rsidR="001F245D" w:rsidRPr="00375799" w:rsidRDefault="001F245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ramach prowadzonej działalności Biuro będzie korzystało w szczególności z ograniczeń stosowania art. 13 ust. 3 oraz art. 14 RODO. Uzasadnione jest to koniecznością właściwego realizowania przez Biuro obowiązków i zadań ustawowych. Należy wskazać, iż </w:t>
      </w:r>
      <w:r w:rsidR="00D621A8" w:rsidRPr="00375799">
        <w:rPr>
          <w:rFonts w:cstheme="minorHAnsi"/>
          <w:color w:val="000000" w:themeColor="text1"/>
          <w:sz w:val="24"/>
          <w:szCs w:val="24"/>
        </w:rPr>
        <w:t>P</w:t>
      </w:r>
      <w:r w:rsidR="00D621A8">
        <w:rPr>
          <w:rFonts w:cstheme="minorHAnsi"/>
          <w:color w:val="000000" w:themeColor="text1"/>
          <w:sz w:val="24"/>
          <w:szCs w:val="24"/>
        </w:rPr>
        <w:t xml:space="preserve">olskie </w:t>
      </w:r>
      <w:r w:rsidR="00D621A8" w:rsidRPr="00375799">
        <w:rPr>
          <w:rFonts w:cstheme="minorHAnsi"/>
          <w:color w:val="000000" w:themeColor="text1"/>
          <w:sz w:val="24"/>
          <w:szCs w:val="24"/>
        </w:rPr>
        <w:t>B</w:t>
      </w:r>
      <w:r w:rsidR="00D621A8">
        <w:rPr>
          <w:rFonts w:cstheme="minorHAnsi"/>
          <w:color w:val="000000" w:themeColor="text1"/>
          <w:sz w:val="24"/>
          <w:szCs w:val="24"/>
        </w:rPr>
        <w:t xml:space="preserve">iuro </w:t>
      </w:r>
      <w:r w:rsidR="00D621A8" w:rsidRPr="00375799">
        <w:rPr>
          <w:rFonts w:cstheme="minorHAnsi"/>
          <w:color w:val="000000" w:themeColor="text1"/>
          <w:sz w:val="24"/>
          <w:szCs w:val="24"/>
        </w:rPr>
        <w:t>U</w:t>
      </w:r>
      <w:r w:rsidR="00D621A8">
        <w:rPr>
          <w:rFonts w:cstheme="minorHAnsi"/>
          <w:color w:val="000000" w:themeColor="text1"/>
          <w:sz w:val="24"/>
          <w:szCs w:val="24"/>
        </w:rPr>
        <w:t xml:space="preserve">bezpieczycieli </w:t>
      </w:r>
      <w:r w:rsidR="00D621A8" w:rsidRPr="00375799">
        <w:rPr>
          <w:rFonts w:cstheme="minorHAnsi"/>
          <w:color w:val="000000" w:themeColor="text1"/>
          <w:sz w:val="24"/>
          <w:szCs w:val="24"/>
        </w:rPr>
        <w:t>K</w:t>
      </w:r>
      <w:r w:rsidR="00D621A8">
        <w:rPr>
          <w:rFonts w:cstheme="minorHAnsi"/>
          <w:color w:val="000000" w:themeColor="text1"/>
          <w:sz w:val="24"/>
          <w:szCs w:val="24"/>
        </w:rPr>
        <w:t>omunikacyjnych</w:t>
      </w:r>
      <w:r w:rsidRPr="00375799">
        <w:rPr>
          <w:rFonts w:cstheme="minorHAnsi"/>
          <w:color w:val="000000" w:themeColor="text1"/>
          <w:sz w:val="24"/>
          <w:szCs w:val="24"/>
        </w:rPr>
        <w:t xml:space="preserve"> organizuje likwidację szkód na podstawie danych otrzymanych od zagranicznych biur narodowych, krajowych lub zagranicznych zakładów ubezpieczeń, zagranicznych organów odszkodowawczych, zagranicznych ośrodków informacji, UFG lub zagranicznych funduszy gwarancyjnych. Brak możliwości zastosowania wspomnianych ograniczeń nie pozostawałoby w ogólnym interesie publicznym</w:t>
      </w:r>
      <w:r w:rsidR="00AC62C8">
        <w:rPr>
          <w:rFonts w:cstheme="minorHAnsi"/>
          <w:color w:val="000000" w:themeColor="text1"/>
          <w:sz w:val="24"/>
          <w:szCs w:val="24"/>
        </w:rPr>
        <w:t>,</w:t>
      </w:r>
      <w:r w:rsidRPr="00375799">
        <w:rPr>
          <w:rFonts w:cstheme="minorHAnsi"/>
          <w:color w:val="000000" w:themeColor="text1"/>
          <w:sz w:val="24"/>
          <w:szCs w:val="24"/>
        </w:rPr>
        <w:t xml:space="preserve"> gdyż w sposób znaczący utrudniałoby likwidację szkód na rzecz poszkodowanych i uprawnionych. Ponadto przekazywanie informacji wskazanych w art. 14 ust. 1</w:t>
      </w:r>
      <w:r w:rsidR="00AC62C8">
        <w:rPr>
          <w:rFonts w:cstheme="minorHAnsi"/>
          <w:color w:val="000000" w:themeColor="text1"/>
          <w:sz w:val="24"/>
          <w:szCs w:val="24"/>
        </w:rPr>
        <w:t>–</w:t>
      </w:r>
      <w:r w:rsidRPr="00375799">
        <w:rPr>
          <w:rFonts w:cstheme="minorHAnsi"/>
          <w:color w:val="000000" w:themeColor="text1"/>
          <w:sz w:val="24"/>
          <w:szCs w:val="24"/>
        </w:rPr>
        <w:t xml:space="preserve">4 RODO wymagałoby niewspółmiernie dużego wysiłku. </w:t>
      </w:r>
    </w:p>
    <w:p w14:paraId="785363E8" w14:textId="5898679D" w:rsidR="008706DD" w:rsidRPr="00375799" w:rsidRDefault="00AA2C4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Dodatkowo mając na uwadze normy zawarte w art. 23 ust. 2 RODO</w:t>
      </w:r>
      <w:r w:rsidR="00AC62C8">
        <w:rPr>
          <w:rFonts w:cstheme="minorHAnsi"/>
          <w:color w:val="000000" w:themeColor="text1"/>
          <w:sz w:val="24"/>
          <w:szCs w:val="24"/>
        </w:rPr>
        <w:t>,</w:t>
      </w:r>
      <w:r w:rsidRPr="00375799">
        <w:rPr>
          <w:rFonts w:cstheme="minorHAnsi"/>
          <w:color w:val="000000" w:themeColor="text1"/>
          <w:sz w:val="24"/>
          <w:szCs w:val="24"/>
        </w:rPr>
        <w:t xml:space="preserve"> proponuje się uzupełnienie obowiązujących regulacji o wskazanie, iż Biuro przechowuje otrzymane dane przez 21 lat. </w:t>
      </w:r>
    </w:p>
    <w:p w14:paraId="322CADF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71BED12" w14:textId="0B8C3651"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72" w:name="_Toc530565044"/>
      <w:r w:rsidRPr="00375799">
        <w:rPr>
          <w:rFonts w:asciiTheme="minorHAnsi" w:hAnsiTheme="minorHAnsi" w:cstheme="minorHAnsi"/>
          <w:color w:val="000000" w:themeColor="text1"/>
          <w:sz w:val="24"/>
          <w:szCs w:val="24"/>
        </w:rPr>
        <w:lastRenderedPageBreak/>
        <w:t xml:space="preserve">Ustawa z dnia 13 czerwca 2003 r. o zatrudnieniu socjalnym </w:t>
      </w:r>
      <w:r w:rsidR="00A363B2" w:rsidRPr="00375799">
        <w:rPr>
          <w:rFonts w:asciiTheme="minorHAnsi" w:hAnsiTheme="minorHAnsi" w:cstheme="minorHAnsi"/>
          <w:color w:val="000000" w:themeColor="text1"/>
          <w:sz w:val="24"/>
          <w:szCs w:val="24"/>
        </w:rPr>
        <w:t>(Dz.</w:t>
      </w:r>
      <w:r w:rsidR="00CF7B15">
        <w:rPr>
          <w:rFonts w:asciiTheme="minorHAnsi" w:hAnsiTheme="minorHAnsi" w:cstheme="minorHAnsi"/>
          <w:color w:val="000000" w:themeColor="text1"/>
          <w:sz w:val="24"/>
          <w:szCs w:val="24"/>
        </w:rPr>
        <w:t xml:space="preserve"> </w:t>
      </w:r>
      <w:r w:rsidR="00A363B2" w:rsidRPr="00375799">
        <w:rPr>
          <w:rFonts w:asciiTheme="minorHAnsi" w:hAnsiTheme="minorHAnsi" w:cstheme="minorHAnsi"/>
          <w:color w:val="000000" w:themeColor="text1"/>
          <w:sz w:val="24"/>
          <w:szCs w:val="24"/>
        </w:rPr>
        <w:t>U. z 2016 r. poz. 1828 oraz z 2018 r. poz. 650)</w:t>
      </w:r>
      <w:bookmarkEnd w:id="72"/>
    </w:p>
    <w:p w14:paraId="0562B8CA"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3757CA91" w14:textId="1F2629C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Zmiany do ustawy z dnia 13 czerwca 2003 r. o zatrudnieniu socjalnym upoważniają centra integracji społecznej i podmioty tworzące kluby integracji społecznej do przetwarzania danych osobowych uczestników tych centrów i klubów. W obowiązującym stanie prawnym brak jest przepisu upoważniającego do przetwarzania danych osobowych tych osób, a ze względu na fakt, że część tych danych to dane szczególnie chronione, niezbędne jest nadanie upoważnienia w akcie rangi ustawowej. </w:t>
      </w:r>
    </w:p>
    <w:p w14:paraId="3E02E475" w14:textId="161D7AA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Przetwarzani</w:t>
      </w:r>
      <w:r w:rsidR="00AC62C8">
        <w:rPr>
          <w:rFonts w:cstheme="minorHAnsi"/>
          <w:color w:val="000000" w:themeColor="text1"/>
          <w:sz w:val="24"/>
          <w:szCs w:val="24"/>
        </w:rPr>
        <w:t>e</w:t>
      </w:r>
      <w:r w:rsidRPr="00375799">
        <w:rPr>
          <w:rFonts w:cstheme="minorHAnsi"/>
          <w:color w:val="000000" w:themeColor="text1"/>
          <w:sz w:val="24"/>
          <w:szCs w:val="24"/>
        </w:rPr>
        <w:t xml:space="preserve"> danych szczególnie chronionych, mimo ogólnego zakazu przewidzianego    w art. 9 ust. 1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będzie możliwe na podstawie art. 9 ust. 2 lit. b tego rozporządzenia, z uwagi na fakt, że jest to niezbędne do wypełnienia obowiązków podmiotów zatrudnienia socjalnego w dziedzinie zabezpieczenia społecznego. Podmioty te wykonują bowiem zadania reintegracji zawodowej i społecznej, skierowane do osób, które podlegają wykluczeniu społecznemu i ze względu na swoją sytuację życiową nie są w stanie własnym staraniem zaspokoić swoich podstawowych potrzeb życiowych i znajdują się w sytuacji powodującej ubóstwo oraz uniemożliwiającej lub ograniczającej uczestnictwo w życiu zawodowym, społecznym i rodzinnym. </w:t>
      </w:r>
    </w:p>
    <w:p w14:paraId="100336CC"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Nakłada się również ustawowy obowiązek zachowania poufności wszelkich informacji      i danych, które podmioty i osoby wykonujące zadania w ramach centrów i klubów integracji społecznej uzyskały przy wykonywaniu tych zadań. </w:t>
      </w:r>
    </w:p>
    <w:p w14:paraId="6659DEDD" w14:textId="7C95E18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uwagi na treść art. 23 ust. 1 lit. e </w:t>
      </w:r>
      <w:r w:rsidR="00BF4730" w:rsidRPr="00375799">
        <w:rPr>
          <w:rFonts w:cstheme="minorHAnsi"/>
          <w:color w:val="000000" w:themeColor="text1"/>
          <w:sz w:val="24"/>
          <w:szCs w:val="24"/>
        </w:rPr>
        <w:t>RODO</w:t>
      </w:r>
      <w:r w:rsidR="00AC62C8">
        <w:rPr>
          <w:rFonts w:cstheme="minorHAnsi"/>
          <w:color w:val="000000" w:themeColor="text1"/>
          <w:sz w:val="24"/>
          <w:szCs w:val="24"/>
        </w:rPr>
        <w:t>,</w:t>
      </w:r>
      <w:r w:rsidRPr="00375799">
        <w:rPr>
          <w:rFonts w:cstheme="minorHAnsi"/>
          <w:color w:val="000000" w:themeColor="text1"/>
          <w:sz w:val="24"/>
          <w:szCs w:val="24"/>
        </w:rPr>
        <w:t xml:space="preserve"> który umożliwia przyjęcie przez </w:t>
      </w:r>
      <w:r w:rsidR="00D621A8">
        <w:rPr>
          <w:rFonts w:cstheme="minorHAnsi"/>
          <w:color w:val="000000" w:themeColor="text1"/>
          <w:sz w:val="24"/>
          <w:szCs w:val="24"/>
        </w:rPr>
        <w:t>p</w:t>
      </w:r>
      <w:r w:rsidRPr="00375799">
        <w:rPr>
          <w:rFonts w:cstheme="minorHAnsi"/>
          <w:color w:val="000000" w:themeColor="text1"/>
          <w:sz w:val="24"/>
          <w:szCs w:val="24"/>
        </w:rPr>
        <w:t>aństwo członkowskie ograniczeń zakresu obowiązków i praw przewidzianych w niektórych przepisach ww. rozporządzenia</w:t>
      </w:r>
      <w:r w:rsidR="00D621A8">
        <w:rPr>
          <w:rFonts w:cstheme="minorHAnsi"/>
          <w:color w:val="000000" w:themeColor="text1"/>
          <w:sz w:val="24"/>
          <w:szCs w:val="24"/>
        </w:rPr>
        <w:t>,</w:t>
      </w:r>
      <w:r w:rsidRPr="00375799">
        <w:rPr>
          <w:rFonts w:cstheme="minorHAnsi"/>
          <w:color w:val="000000" w:themeColor="text1"/>
          <w:sz w:val="24"/>
          <w:szCs w:val="24"/>
        </w:rPr>
        <w:t xml:space="preserve"> m.in. w dziedzinie zabezpieczenia społecznego, projekt ustawy w art. 8b ust. 2 i art. 18f ust. 2 </w:t>
      </w:r>
      <w:r w:rsidR="00D621A8">
        <w:rPr>
          <w:rFonts w:cstheme="minorHAnsi"/>
          <w:color w:val="000000" w:themeColor="text1"/>
          <w:sz w:val="24"/>
          <w:szCs w:val="24"/>
        </w:rPr>
        <w:t xml:space="preserve">ustawy o zatrudnianiu socjalnym </w:t>
      </w:r>
      <w:r w:rsidRPr="00375799">
        <w:rPr>
          <w:rFonts w:cstheme="minorHAnsi"/>
          <w:color w:val="000000" w:themeColor="text1"/>
          <w:sz w:val="24"/>
          <w:szCs w:val="24"/>
        </w:rPr>
        <w:t xml:space="preserve">umożliwia realizację obowiązku informacyjnego, o którym mowa </w:t>
      </w:r>
      <w:r w:rsidR="00D621A8">
        <w:rPr>
          <w:rFonts w:cstheme="minorHAnsi"/>
          <w:color w:val="000000" w:themeColor="text1"/>
          <w:sz w:val="24"/>
          <w:szCs w:val="24"/>
        </w:rPr>
        <w:t xml:space="preserve">w art. </w:t>
      </w:r>
      <w:r w:rsidRPr="00375799">
        <w:rPr>
          <w:rFonts w:cstheme="minorHAnsi"/>
          <w:color w:val="000000" w:themeColor="text1"/>
          <w:sz w:val="24"/>
          <w:szCs w:val="24"/>
        </w:rPr>
        <w:t xml:space="preserve">13 ust. 1 i 2 </w:t>
      </w:r>
      <w:r w:rsidR="00D621A8">
        <w:rPr>
          <w:rFonts w:cstheme="minorHAnsi"/>
          <w:color w:val="000000" w:themeColor="text1"/>
          <w:sz w:val="24"/>
          <w:szCs w:val="24"/>
        </w:rPr>
        <w:t>RODO</w:t>
      </w:r>
      <w:r w:rsidRPr="00375799">
        <w:rPr>
          <w:rFonts w:cstheme="minorHAnsi"/>
          <w:color w:val="000000" w:themeColor="text1"/>
          <w:sz w:val="24"/>
          <w:szCs w:val="24"/>
        </w:rPr>
        <w:t xml:space="preserve">, w celu realizacji usług przez </w:t>
      </w:r>
      <w:r w:rsidR="00D621A8">
        <w:rPr>
          <w:rFonts w:cstheme="minorHAnsi"/>
          <w:color w:val="000000" w:themeColor="text1"/>
          <w:sz w:val="24"/>
          <w:szCs w:val="24"/>
        </w:rPr>
        <w:t>centra integracji społecznej</w:t>
      </w:r>
      <w:r w:rsidRPr="00375799">
        <w:rPr>
          <w:rFonts w:cstheme="minorHAnsi"/>
          <w:color w:val="000000" w:themeColor="text1"/>
          <w:sz w:val="24"/>
          <w:szCs w:val="24"/>
        </w:rPr>
        <w:t xml:space="preserve"> i kluby integracji społecznej poprzez umieszczenie informacji o przetwarzaniu danych osobowych w widocznym miejscu w budynku, w którym realizowane są usługi.</w:t>
      </w:r>
      <w:r w:rsidR="00A00BBE" w:rsidRPr="00375799">
        <w:rPr>
          <w:rFonts w:cstheme="minorHAnsi"/>
          <w:color w:val="000000" w:themeColor="text1"/>
          <w:sz w:val="24"/>
          <w:szCs w:val="24"/>
        </w:rPr>
        <w:t xml:space="preserve"> Jednocześnie wprowadza się obowiązek informowania o ograniczeniu </w:t>
      </w:r>
      <w:r w:rsidR="00A00BBE" w:rsidRPr="00375799">
        <w:rPr>
          <w:rFonts w:cstheme="minorHAnsi"/>
          <w:bCs/>
          <w:color w:val="000000" w:themeColor="text1"/>
          <w:sz w:val="24"/>
          <w:szCs w:val="24"/>
        </w:rPr>
        <w:t>obowiązku informacyjnego</w:t>
      </w:r>
      <w:r w:rsidR="00A00BBE" w:rsidRPr="00375799">
        <w:rPr>
          <w:rFonts w:cstheme="minorHAnsi"/>
          <w:color w:val="000000" w:themeColor="text1"/>
          <w:sz w:val="24"/>
          <w:szCs w:val="24"/>
        </w:rPr>
        <w:t xml:space="preserve"> osób, których ograniczenie dotyczy, najpóźniej przy pierwszej czynności skierowanej do tych osób.</w:t>
      </w:r>
    </w:p>
    <w:p w14:paraId="20C7AB5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Brak możliwości wprowadzenia powyższego ograniczenia mógłby spowodować znaczne ograniczenie albo wręcz uniemożliwienie podmiotom zatrudnienia socjalnego i właściwym organom wykonywania ich ustawowych zadań, a w konsekwencji ograniczyć lub pozbawić obywateli możliwości korzystania z usług centrów i klubów integracji społecznej. Z tego względu należy uznać, że wprowadzone ograniczenia wybranych obowiązków informacyjnych nie naruszają istoty podstawowych praw i wolności osób oraz są w demokratycznym społeczeństwie środkiem niezbędnym i proporcjonalnym służącym ważnemu celowi leżącemu w ogólnym interesie publicznym państwa członkowskiego, którym jest zabezpieczenie społeczne. </w:t>
      </w:r>
    </w:p>
    <w:p w14:paraId="2703EC8A" w14:textId="05B5A24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Wskazanym w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warunkiem wprowadzenia ograniczeń jest zagwarantowanie, że nie będzie ono naruszało istoty podstawowych praw i wolności. W tym miejscu zasadnym wydaje się podkreślenie, że projektowane przepisy art. 8b ust. 2 i art. 18f ust. 2 nie ingerują w istotę praw osób fizycznych uregulowanych w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czyli w uprawnienie do żądania dostępu, sprostowania czy usunięcia danych gromadzonych przez administratora. Projekt ogranicza tylko i wyłącznie stosowanie obowiązku określonego w art. 13 ust. 1 i 2 </w:t>
      </w:r>
      <w:r w:rsidR="00BF4730" w:rsidRPr="00375799">
        <w:rPr>
          <w:rFonts w:cstheme="minorHAnsi"/>
          <w:color w:val="000000" w:themeColor="text1"/>
          <w:sz w:val="24"/>
          <w:szCs w:val="24"/>
        </w:rPr>
        <w:t>RODO</w:t>
      </w:r>
      <w:r w:rsidR="00152A6B">
        <w:rPr>
          <w:rFonts w:cstheme="minorHAnsi"/>
          <w:color w:val="000000" w:themeColor="text1"/>
          <w:sz w:val="24"/>
          <w:szCs w:val="24"/>
        </w:rPr>
        <w:t>,</w:t>
      </w:r>
      <w:r w:rsidRPr="00375799">
        <w:rPr>
          <w:rFonts w:cstheme="minorHAnsi"/>
          <w:color w:val="000000" w:themeColor="text1"/>
          <w:sz w:val="24"/>
          <w:szCs w:val="24"/>
        </w:rPr>
        <w:t xml:space="preserve"> spoczywającego na podmiotach przetwarzających dane. Ograniczenie przewidziane w projektowanych przepisach w niczym nie uchybia więc prawom osób, których dane są przetwarzane, a jedynie w pewnym zakresie ma na celu zmniejszenie obciążeń administracyjnych spoczywających na podmiotach zatrudnienia socjalnego. W szczególności, ograniczeniom nie będzie podlegał art. 15 ust. 1 i 2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który reguluje zasady prawa dostępu osoby do dotyczących jej danych. </w:t>
      </w:r>
    </w:p>
    <w:p w14:paraId="5C9620C1" w14:textId="1CFAA63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Kolejnym, wskazanym w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warunkiem wprowadzenia ograniczeń jest wykazanie, że są one niezbędne i proporcjonalne w demokratycznym społeczeństwie. W tym kontekście zauważyć należy, że celem istnienia i funkcjonowania podmiotów zatrudnienia socjalnego jest wykonywanie zadań reintegracji zawodowej i społecznej skierowanych do osób, które podlegają wykluczeniu społecznemu i ze względu na swoją sytuację życiową nie są w stanie własnym staraniem zaspokoić swoich podstawowych potrzeb życiowych i znajdują się w sytuacji powodującej ubóstwo oraz uniemożliwiającej lub ograniczającej uczestnictwo w życiu zawodowym, społecznym i rodzinnym. </w:t>
      </w:r>
    </w:p>
    <w:p w14:paraId="067375EA" w14:textId="7924100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Podmioty te działają więc na rzecz dobra wspólnego, którego synonimem jest interes publiczny. Z tego względu istotnym jest zapewnienie tym podmiotom możliwości skutecznego i efektywnego wykonywania powierzonych im zadań, co leży w interesie wszystkich obywateli. W tym kontekście zaproponowane ograniczeni</w:t>
      </w:r>
      <w:r w:rsidR="004C0458">
        <w:rPr>
          <w:rFonts w:cstheme="minorHAnsi"/>
          <w:color w:val="000000" w:themeColor="text1"/>
          <w:sz w:val="24"/>
          <w:szCs w:val="24"/>
        </w:rPr>
        <w:t>e</w:t>
      </w:r>
      <w:r w:rsidRPr="00375799">
        <w:rPr>
          <w:rFonts w:cstheme="minorHAnsi"/>
          <w:color w:val="000000" w:themeColor="text1"/>
          <w:sz w:val="24"/>
          <w:szCs w:val="24"/>
        </w:rPr>
        <w:t xml:space="preserve"> stosowania rozporządzenia ma na celu umożliwienie podmiotom zatrudnienia socjalnego realizacji podstawowych funkcji, dla których zostały powołane. Zaproponowane ograniczenie jest więc niezbędne i proporcjonalne, ponieważ przy </w:t>
      </w:r>
      <w:r w:rsidR="00152A6B">
        <w:rPr>
          <w:rFonts w:cstheme="minorHAnsi"/>
          <w:color w:val="000000" w:themeColor="text1"/>
          <w:sz w:val="24"/>
          <w:szCs w:val="24"/>
        </w:rPr>
        <w:t>jego</w:t>
      </w:r>
      <w:r w:rsidRPr="00375799">
        <w:rPr>
          <w:rFonts w:cstheme="minorHAnsi"/>
          <w:color w:val="000000" w:themeColor="text1"/>
          <w:sz w:val="24"/>
          <w:szCs w:val="24"/>
        </w:rPr>
        <w:t xml:space="preserve"> wprowadzaniu należycie wyważono interes publiczny, rozumiany jako zaspakajanie potrzeb obywateli jako ogółu, oraz interes indywidualny, przejawiający się w korzystaniu z pełni praw wskazanych w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przy czym proponowane ograniczenia, jak już wyżej wskazano, nie naruszają istoty podstawowych praw i wolności. </w:t>
      </w:r>
    </w:p>
    <w:p w14:paraId="167F57C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 nakłada obowiązek zabezpieczenia danych osobowych uczestników centrów i klubów integracji społecznej co najmniej poprzez wymóg dopuszczenia do przetwarzania danych osobowych wyłącznie osób posiadających pisemne upoważnienie nadane przez administratora danych oraz zobowiązania ich do zachowania danych osobowych w tajemnicy.</w:t>
      </w:r>
    </w:p>
    <w:p w14:paraId="2E56D82A" w14:textId="2C70BE5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Okres przechowywania danych osobowych będzie wynosił 10 lat</w:t>
      </w:r>
      <w:r w:rsidR="00AC62C8">
        <w:rPr>
          <w:rFonts w:cstheme="minorHAnsi"/>
          <w:color w:val="000000" w:themeColor="text1"/>
          <w:sz w:val="24"/>
          <w:szCs w:val="24"/>
        </w:rPr>
        <w:t>,</w:t>
      </w:r>
      <w:r w:rsidRPr="00375799">
        <w:rPr>
          <w:rFonts w:cstheme="minorHAnsi"/>
          <w:color w:val="000000" w:themeColor="text1"/>
          <w:sz w:val="24"/>
          <w:szCs w:val="24"/>
        </w:rPr>
        <w:t xml:space="preserve"> licząc od końca roku kalendarzowego, w którym zakończono realizację usług, gdyż taki okres powinien być wystarczający do celów dokumentacji i rozliczenia finansowania świadczonych usług. </w:t>
      </w:r>
    </w:p>
    <w:p w14:paraId="54AF948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0A5D33B5" w14:textId="71479FF3" w:rsidR="0093317E" w:rsidRPr="00375799" w:rsidRDefault="0093317E" w:rsidP="00004E20">
      <w:pPr>
        <w:pStyle w:val="Nagwek2"/>
        <w:spacing w:before="0" w:line="276" w:lineRule="auto"/>
        <w:ind w:left="57" w:right="57"/>
        <w:contextualSpacing/>
        <w:rPr>
          <w:rFonts w:asciiTheme="minorHAnsi" w:hAnsiTheme="minorHAnsi" w:cstheme="minorHAnsi"/>
          <w:color w:val="000000" w:themeColor="text1"/>
          <w:sz w:val="24"/>
          <w:szCs w:val="24"/>
        </w:rPr>
      </w:pPr>
      <w:bookmarkStart w:id="73" w:name="_Toc530565045"/>
      <w:r w:rsidRPr="00375799">
        <w:rPr>
          <w:rFonts w:asciiTheme="minorHAnsi" w:hAnsiTheme="minorHAnsi" w:cstheme="minorHAnsi"/>
          <w:color w:val="000000" w:themeColor="text1"/>
          <w:sz w:val="24"/>
          <w:szCs w:val="24"/>
        </w:rPr>
        <w:lastRenderedPageBreak/>
        <w:t>Ustawa z dnia 23 lipca 2003 r. o ochronie zabytków i opiece nad zabytkami</w:t>
      </w:r>
      <w:r w:rsidR="00CF7B15">
        <w:rPr>
          <w:rFonts w:asciiTheme="minorHAnsi" w:hAnsiTheme="minorHAnsi" w:cstheme="minorHAnsi"/>
          <w:color w:val="000000" w:themeColor="text1"/>
          <w:sz w:val="24"/>
          <w:szCs w:val="24"/>
        </w:rPr>
        <w:t xml:space="preserve"> </w:t>
      </w:r>
      <w:r w:rsidR="001B095B" w:rsidRPr="00375799">
        <w:rPr>
          <w:rFonts w:asciiTheme="minorHAnsi" w:hAnsiTheme="minorHAnsi" w:cstheme="minorHAnsi"/>
          <w:color w:val="000000" w:themeColor="text1"/>
          <w:sz w:val="24"/>
          <w:szCs w:val="24"/>
        </w:rPr>
        <w:t>(Dz. U. z 201</w:t>
      </w:r>
      <w:r w:rsidR="00431995">
        <w:rPr>
          <w:rFonts w:asciiTheme="minorHAnsi" w:hAnsiTheme="minorHAnsi" w:cstheme="minorHAnsi"/>
          <w:color w:val="000000" w:themeColor="text1"/>
          <w:sz w:val="24"/>
          <w:szCs w:val="24"/>
        </w:rPr>
        <w:t>8</w:t>
      </w:r>
      <w:r w:rsidR="001B095B" w:rsidRPr="00375799">
        <w:rPr>
          <w:rFonts w:asciiTheme="minorHAnsi" w:hAnsiTheme="minorHAnsi" w:cstheme="minorHAnsi"/>
          <w:color w:val="000000" w:themeColor="text1"/>
          <w:sz w:val="24"/>
          <w:szCs w:val="24"/>
        </w:rPr>
        <w:t xml:space="preserve"> r. poz. </w:t>
      </w:r>
      <w:r w:rsidR="00431995">
        <w:rPr>
          <w:rFonts w:asciiTheme="minorHAnsi" w:hAnsiTheme="minorHAnsi" w:cstheme="minorHAnsi"/>
          <w:color w:val="000000" w:themeColor="text1"/>
          <w:sz w:val="24"/>
          <w:szCs w:val="24"/>
        </w:rPr>
        <w:t>2067</w:t>
      </w:r>
      <w:r w:rsidR="001B095B" w:rsidRPr="00375799">
        <w:rPr>
          <w:rFonts w:asciiTheme="minorHAnsi" w:hAnsiTheme="minorHAnsi" w:cstheme="minorHAnsi"/>
          <w:color w:val="000000" w:themeColor="text1"/>
          <w:sz w:val="24"/>
          <w:szCs w:val="24"/>
        </w:rPr>
        <w:t>)</w:t>
      </w:r>
      <w:bookmarkEnd w:id="73"/>
    </w:p>
    <w:p w14:paraId="34956CD0" w14:textId="77777777" w:rsidR="0093317E" w:rsidRPr="00375799" w:rsidRDefault="0093317E" w:rsidP="0055107B">
      <w:pPr>
        <w:spacing w:after="0" w:line="276" w:lineRule="auto"/>
        <w:ind w:right="57" w:firstLine="0"/>
        <w:contextualSpacing/>
        <w:jc w:val="both"/>
        <w:rPr>
          <w:rFonts w:cstheme="minorHAnsi"/>
          <w:color w:val="000000" w:themeColor="text1"/>
          <w:sz w:val="24"/>
          <w:szCs w:val="24"/>
        </w:rPr>
      </w:pPr>
    </w:p>
    <w:p w14:paraId="637C3B08" w14:textId="60A563EF" w:rsidR="0093317E" w:rsidRPr="00375799" w:rsidRDefault="0093317E"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Zmiany w ustawie z dnia 23 lipca 2003 r. o ochronie zabytków i opiece nad zabytkami  mają na celu określenie na poziomie ustawowym, w sposób precyzyjny, zamkniętego katalogu danych osobowych przetwarzanych w następujących rejestrach publicznych: rejestrze zabytków, krajowej, wojewódzkiej i gminnej ewidencji zabytków oraz w krajowym wykazie zabytków skradzionych lub wywiezionych za granicę niezgodnie z prawem. Przedmiotowe katalogi danych obejmują jedynie te dane osobowe, które są aktualnie przetwarzane w ww. rejestrach publicznych, </w:t>
      </w:r>
      <w:proofErr w:type="spellStart"/>
      <w:r w:rsidRPr="00375799">
        <w:rPr>
          <w:rFonts w:cstheme="minorHAnsi"/>
          <w:color w:val="000000" w:themeColor="text1"/>
          <w:sz w:val="24"/>
          <w:szCs w:val="24"/>
        </w:rPr>
        <w:t>tj</w:t>
      </w:r>
      <w:proofErr w:type="spellEnd"/>
      <w:r w:rsidRPr="00375799">
        <w:rPr>
          <w:rFonts w:cstheme="minorHAnsi"/>
          <w:color w:val="000000" w:themeColor="text1"/>
          <w:sz w:val="24"/>
          <w:szCs w:val="24"/>
        </w:rPr>
        <w:t>:</w:t>
      </w:r>
    </w:p>
    <w:p w14:paraId="2FF18915" w14:textId="5DDC7306" w:rsidR="0093317E" w:rsidRPr="00375799" w:rsidRDefault="0093317E" w:rsidP="000F5261">
      <w:pPr>
        <w:pStyle w:val="Akapitzlist"/>
        <w:numPr>
          <w:ilvl w:val="0"/>
          <w:numId w:val="4"/>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imię, nazwisko i adres </w:t>
      </w:r>
      <w:r w:rsidR="00C70436">
        <w:rPr>
          <w:rFonts w:asciiTheme="minorHAnsi" w:hAnsiTheme="minorHAnsi" w:cstheme="minorHAnsi"/>
          <w:color w:val="000000" w:themeColor="text1"/>
          <w:sz w:val="24"/>
          <w:szCs w:val="24"/>
        </w:rPr>
        <w:t xml:space="preserve">lub nazwę i adres siedziby </w:t>
      </w:r>
      <w:r w:rsidRPr="00375799">
        <w:rPr>
          <w:rFonts w:asciiTheme="minorHAnsi" w:hAnsiTheme="minorHAnsi" w:cstheme="minorHAnsi"/>
          <w:color w:val="000000" w:themeColor="text1"/>
          <w:sz w:val="24"/>
          <w:szCs w:val="24"/>
        </w:rPr>
        <w:t>właściciela lub posiadacza zabytku lub użytkownika wieczystego gruntu, na którym znajduje się zabytek nieruchomy – w odniesieniu do rejestru zabytków,</w:t>
      </w:r>
    </w:p>
    <w:p w14:paraId="6024C909" w14:textId="19A25A40" w:rsidR="0093317E" w:rsidRPr="00375799" w:rsidRDefault="0093317E" w:rsidP="000F5261">
      <w:pPr>
        <w:pStyle w:val="Akapitzlist"/>
        <w:numPr>
          <w:ilvl w:val="0"/>
          <w:numId w:val="4"/>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imię, nazwisko i adres </w:t>
      </w:r>
      <w:r w:rsidR="00C70436">
        <w:rPr>
          <w:rFonts w:asciiTheme="minorHAnsi" w:hAnsiTheme="minorHAnsi" w:cstheme="minorHAnsi"/>
          <w:color w:val="000000" w:themeColor="text1"/>
          <w:sz w:val="24"/>
          <w:szCs w:val="24"/>
        </w:rPr>
        <w:t xml:space="preserve">lub nazwę i adres siedziby </w:t>
      </w:r>
      <w:r w:rsidRPr="00375799">
        <w:rPr>
          <w:rFonts w:asciiTheme="minorHAnsi" w:hAnsiTheme="minorHAnsi" w:cstheme="minorHAnsi"/>
          <w:color w:val="000000" w:themeColor="text1"/>
          <w:sz w:val="24"/>
          <w:szCs w:val="24"/>
        </w:rPr>
        <w:t>właściciela lub użytkownika zabytku, imię, nazwisko i podpis autora karty ewidencyjnej lub adresowej</w:t>
      </w:r>
      <w:r w:rsidR="00A072C8">
        <w:rPr>
          <w:rFonts w:asciiTheme="minorHAnsi" w:hAnsiTheme="minorHAnsi" w:cstheme="minorHAnsi"/>
          <w:color w:val="000000" w:themeColor="text1"/>
          <w:sz w:val="24"/>
          <w:szCs w:val="24"/>
        </w:rPr>
        <w:t>,</w:t>
      </w:r>
      <w:r w:rsidR="00C70436">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imię i nazwisko osoby, która wypełniła kartę ewidencyjną</w:t>
      </w:r>
      <w:r w:rsidR="00AC62C8">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lub imię i nazwisko </w:t>
      </w:r>
      <w:r w:rsidR="00A072C8">
        <w:rPr>
          <w:rFonts w:asciiTheme="minorHAnsi" w:hAnsiTheme="minorHAnsi" w:cstheme="minorHAnsi"/>
          <w:color w:val="000000" w:themeColor="text1"/>
          <w:sz w:val="24"/>
          <w:szCs w:val="24"/>
        </w:rPr>
        <w:t xml:space="preserve">lub nazwę wykonawcy </w:t>
      </w:r>
      <w:r w:rsidRPr="00375799">
        <w:rPr>
          <w:rFonts w:asciiTheme="minorHAnsi" w:hAnsiTheme="minorHAnsi" w:cstheme="minorHAnsi"/>
          <w:color w:val="000000" w:themeColor="text1"/>
          <w:sz w:val="24"/>
          <w:szCs w:val="24"/>
        </w:rPr>
        <w:t>prac konserwatorskich, prac restauratorskich, badań konserwatorskich lub badań archeologicznych przy zabytku – w odniesieniu do ewidencji zabytków,</w:t>
      </w:r>
    </w:p>
    <w:p w14:paraId="7E415960" w14:textId="3A921097" w:rsidR="0093317E" w:rsidRPr="00375799" w:rsidRDefault="0093317E" w:rsidP="000F5261">
      <w:pPr>
        <w:pStyle w:val="Akapitzlist"/>
        <w:numPr>
          <w:ilvl w:val="0"/>
          <w:numId w:val="4"/>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imię, nazwisko i adres </w:t>
      </w:r>
      <w:r w:rsidR="00C70436">
        <w:rPr>
          <w:rFonts w:asciiTheme="minorHAnsi" w:hAnsiTheme="minorHAnsi" w:cstheme="minorHAnsi"/>
          <w:color w:val="000000" w:themeColor="text1"/>
          <w:sz w:val="24"/>
          <w:szCs w:val="24"/>
        </w:rPr>
        <w:t xml:space="preserve">lub nazwę i adres siedziby </w:t>
      </w:r>
      <w:r w:rsidRPr="00375799">
        <w:rPr>
          <w:rFonts w:asciiTheme="minorHAnsi" w:hAnsiTheme="minorHAnsi" w:cstheme="minorHAnsi"/>
          <w:color w:val="000000" w:themeColor="text1"/>
          <w:sz w:val="24"/>
          <w:szCs w:val="24"/>
        </w:rPr>
        <w:t>właściciela lub posiadacza zabytku – w odniesieniu do krajowego wykazu zabytków skradzionych lub wywiezionych za granicę niezgodnie z prawem.</w:t>
      </w:r>
    </w:p>
    <w:p w14:paraId="2C0EA26D" w14:textId="77777777" w:rsidR="0093317E" w:rsidRPr="00375799" w:rsidRDefault="0093317E"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efekcie wprowadzanych zmian nie ma konieczności wydania żadnego nowego aktu wykonawczego wynikającego z upoważnień zawartych w danej ustawie. </w:t>
      </w:r>
    </w:p>
    <w:p w14:paraId="6E09D5D5" w14:textId="77777777" w:rsidR="0093317E" w:rsidRPr="00375799" w:rsidRDefault="0093317E" w:rsidP="0055107B">
      <w:pPr>
        <w:spacing w:after="0" w:line="276" w:lineRule="auto"/>
        <w:ind w:left="57" w:right="57"/>
        <w:contextualSpacing/>
        <w:jc w:val="both"/>
        <w:rPr>
          <w:rFonts w:cstheme="minorHAnsi"/>
          <w:color w:val="000000" w:themeColor="text1"/>
          <w:sz w:val="24"/>
          <w:szCs w:val="24"/>
        </w:rPr>
      </w:pPr>
    </w:p>
    <w:p w14:paraId="6EE2E87F" w14:textId="593CF84D"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74" w:name="_Toc530565046"/>
      <w:r w:rsidRPr="00375799">
        <w:rPr>
          <w:rFonts w:asciiTheme="minorHAnsi" w:hAnsiTheme="minorHAnsi" w:cstheme="minorHAnsi"/>
          <w:color w:val="000000" w:themeColor="text1"/>
          <w:sz w:val="24"/>
          <w:szCs w:val="24"/>
        </w:rPr>
        <w:t xml:space="preserve">Ustawa z dnia 11 września 2003 r. o służbie wojskowej żołnierzy zawodowych </w:t>
      </w:r>
      <w:r w:rsidR="001B095B" w:rsidRPr="00375799">
        <w:rPr>
          <w:rFonts w:asciiTheme="minorHAnsi" w:hAnsiTheme="minorHAnsi" w:cstheme="minorHAnsi"/>
          <w:color w:val="000000" w:themeColor="text1"/>
          <w:sz w:val="24"/>
          <w:szCs w:val="24"/>
        </w:rPr>
        <w:t>(Dz. U. z 2018 r. poz. 173 i 138)</w:t>
      </w:r>
      <w:bookmarkEnd w:id="74"/>
    </w:p>
    <w:p w14:paraId="11FE32F8"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5FF61E0C" w14:textId="45480F9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ustawie z dnia 11 września 2003 r. o służbie wojskowej żołnierzy zawodowych dokonano nowelizacji art. 58 w celu spełnienia postanowień RODO</w:t>
      </w:r>
      <w:r w:rsidR="00AC62C8">
        <w:rPr>
          <w:rFonts w:cstheme="minorHAnsi"/>
          <w:color w:val="000000" w:themeColor="text1"/>
          <w:sz w:val="24"/>
          <w:szCs w:val="24"/>
        </w:rPr>
        <w:t>)</w:t>
      </w:r>
      <w:r w:rsidRPr="00375799">
        <w:rPr>
          <w:rFonts w:cstheme="minorHAnsi"/>
          <w:color w:val="000000" w:themeColor="text1"/>
          <w:sz w:val="24"/>
          <w:szCs w:val="24"/>
        </w:rPr>
        <w:t>. Powyższa zmiana ma charakter wyłącznie dostosowujący. Oficerowie zawodowi, z wyjątkiem oficerów zajmujących stanowiska służbowe sędziów sądów wojskowych oraz stanowiska służbowe prokuratorów do spraw wojskowych, oraz podoficerowie pełniący zawodową służbę wojskową w organach finansowych i logistycznych są zobowiązani do złożenia oświadczenia o swoim stanie majątkowym. Oświadczenie o stanie majątkowym dotyczy majątku osobistego oraz objętego małżeńską wspólnością majątkową. W projektowanym ust. 1a wskazuje się katalog informacji, w tym danych osobowych zawartych w składanym oświadczeniu – na gruncie tych zmian oraz art. 4 ust. 1 pkt 4a ustawy o Żandarmerii Wojskowej i wojskowych organach porządkowych Komendant Główny Żandarmerii Wojskowej dokonując analizy tych oświadczeń jest uprawniony d</w:t>
      </w:r>
      <w:r w:rsidR="00FB2AD2" w:rsidRPr="00375799">
        <w:rPr>
          <w:rFonts w:cstheme="minorHAnsi"/>
          <w:color w:val="000000" w:themeColor="text1"/>
          <w:sz w:val="24"/>
          <w:szCs w:val="24"/>
        </w:rPr>
        <w:t>o przetwarzania tych informacji.</w:t>
      </w:r>
    </w:p>
    <w:p w14:paraId="7FEB96E9" w14:textId="0DFBFB91"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0C095FB6" w14:textId="7777777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5EA96E5B" w14:textId="6075F733"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75" w:name="_Toc530565047"/>
      <w:r w:rsidRPr="00375799">
        <w:rPr>
          <w:rFonts w:asciiTheme="minorHAnsi" w:hAnsiTheme="minorHAnsi" w:cstheme="minorHAnsi"/>
          <w:color w:val="000000" w:themeColor="text1"/>
          <w:sz w:val="24"/>
          <w:szCs w:val="24"/>
        </w:rPr>
        <w:t>Ustawa z dnia 17 października 2003 r. o wykonywaniu prac podwodnych</w:t>
      </w:r>
      <w:r w:rsidR="001B095B" w:rsidRPr="00375799">
        <w:rPr>
          <w:rFonts w:asciiTheme="minorHAnsi" w:hAnsiTheme="minorHAnsi" w:cstheme="minorHAnsi"/>
          <w:color w:val="000000" w:themeColor="text1"/>
          <w:sz w:val="24"/>
          <w:szCs w:val="24"/>
        </w:rPr>
        <w:t xml:space="preserve"> (Dz. U. z 2017 r. poz. 1970)</w:t>
      </w:r>
      <w:bookmarkEnd w:id="75"/>
      <w:r w:rsidRPr="00375799">
        <w:rPr>
          <w:rFonts w:asciiTheme="minorHAnsi" w:hAnsiTheme="minorHAnsi" w:cstheme="minorHAnsi"/>
          <w:color w:val="000000" w:themeColor="text1"/>
          <w:sz w:val="24"/>
          <w:szCs w:val="24"/>
        </w:rPr>
        <w:t xml:space="preserve"> </w:t>
      </w:r>
    </w:p>
    <w:p w14:paraId="24FB7D77"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5F0900FD" w14:textId="77777777" w:rsidR="00EC37DF" w:rsidRPr="00375799" w:rsidRDefault="00EC37D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Wykonywanie prac podwodnych na obszarach morskich i śródlądowych drogach wodnych wymaga uzyskania zezwolenia właściwego miejscowo dyrektora urzędu morskiego albo dyrektora urzędu żeglugi śródlądowej, wydanego w drodze decyzji administracyjnej, na wniosek organizatora prac podwodnych. Właściwy miejscowo dyrektor urzędu morskiego albo dyrektor urzędu żeglugi śródlądowej, na wniosek organizatora prac podwodnych, może wydać zezwolenie upoważniające do wielokrotnego wykonywania prac podwodnych na małych głębokościach z terminem ważności do 6 miesięcy. Przed wydaniem zezwolenia organy te mogą przeprowadzić kontrolę ważności dokumentów potwierdzających posiadanie uprawnień zawodowych przez osoby wykonujące prace podwodne, stanu technicznego sprzętu nurkowego oraz wyposażenia bazy prac podwodnych.</w:t>
      </w:r>
    </w:p>
    <w:p w14:paraId="47EE6061" w14:textId="533ED408" w:rsidR="008706DD" w:rsidRPr="00375799" w:rsidRDefault="00EC37D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Natomiast proponowany art. 6a ust. 2 wskazuje, że wystąpienie z żądaniem do ograniczenia przetwarzania danych osobowych, o którym mowa w art. 18 ust. 1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przez osobę, której dane dotyczą, nie wpływa na realizację przeprowadzanej przez dyrektora urzędu żeglugi śródlądowej albo dyrektora urzędu morskiego kontroli lub inspekcji. Przedmiotowy przepis nie jest ograniczeniem stosowania przepisów </w:t>
      </w:r>
      <w:r w:rsidR="00BF4730" w:rsidRPr="00375799">
        <w:rPr>
          <w:rFonts w:cstheme="minorHAnsi"/>
          <w:color w:val="000000" w:themeColor="text1"/>
          <w:sz w:val="24"/>
          <w:szCs w:val="24"/>
        </w:rPr>
        <w:t>RODO</w:t>
      </w:r>
      <w:r w:rsidR="00BF4730" w:rsidRPr="00375799" w:rsidDel="00BF4730">
        <w:rPr>
          <w:rFonts w:cstheme="minorHAnsi"/>
          <w:color w:val="000000" w:themeColor="text1"/>
          <w:sz w:val="24"/>
          <w:szCs w:val="24"/>
        </w:rPr>
        <w:t xml:space="preserve"> </w:t>
      </w:r>
      <w:r w:rsidRPr="00375799">
        <w:rPr>
          <w:rFonts w:cstheme="minorHAnsi"/>
          <w:color w:val="000000" w:themeColor="text1"/>
          <w:sz w:val="24"/>
          <w:szCs w:val="24"/>
        </w:rPr>
        <w:t>w rozumieniu jego art. 23 ust. 1, lecz jasno wskazuje, że realizacja praw związanych z ochroną danych osobowych odbywa się niezależnie od realizacji obowiązków organu administracji żeglugi śródlądowej albo administracji morskiej w zakresie kontroli wykonywania prac podwodnych. Doprecyzowanie to ma na celu zapobieżenie sytuacji, w której osoby</w:t>
      </w:r>
      <w:r w:rsidR="00AC62C8">
        <w:rPr>
          <w:rFonts w:cstheme="minorHAnsi"/>
          <w:color w:val="000000" w:themeColor="text1"/>
          <w:sz w:val="24"/>
          <w:szCs w:val="24"/>
        </w:rPr>
        <w:t>,</w:t>
      </w:r>
      <w:r w:rsidRPr="00375799">
        <w:rPr>
          <w:rFonts w:cstheme="minorHAnsi"/>
          <w:color w:val="000000" w:themeColor="text1"/>
          <w:sz w:val="24"/>
          <w:szCs w:val="24"/>
        </w:rPr>
        <w:t xml:space="preserve"> których dane dotyczą (uczestnicy prac podwodnych)</w:t>
      </w:r>
      <w:r w:rsidR="00AC62C8">
        <w:rPr>
          <w:rFonts w:cstheme="minorHAnsi"/>
          <w:color w:val="000000" w:themeColor="text1"/>
          <w:sz w:val="24"/>
          <w:szCs w:val="24"/>
        </w:rPr>
        <w:t>,</w:t>
      </w:r>
      <w:r w:rsidRPr="00375799">
        <w:rPr>
          <w:rFonts w:cstheme="minorHAnsi"/>
          <w:color w:val="000000" w:themeColor="text1"/>
          <w:sz w:val="24"/>
          <w:szCs w:val="24"/>
        </w:rPr>
        <w:t xml:space="preserve"> będą nadużywać ww. prawa, co w praktyce skutkowałoby znaczącym utrudnieniem, w tym wydłużeniem postępowań mających na celu zapewnienie odpowiedniego poziom</w:t>
      </w:r>
      <w:r w:rsidR="00AC62C8">
        <w:rPr>
          <w:rFonts w:cstheme="minorHAnsi"/>
          <w:color w:val="000000" w:themeColor="text1"/>
          <w:sz w:val="24"/>
          <w:szCs w:val="24"/>
        </w:rPr>
        <w:t>u</w:t>
      </w:r>
      <w:r w:rsidRPr="00375799">
        <w:rPr>
          <w:rFonts w:cstheme="minorHAnsi"/>
          <w:color w:val="000000" w:themeColor="text1"/>
          <w:sz w:val="24"/>
          <w:szCs w:val="24"/>
        </w:rPr>
        <w:t xml:space="preserve"> bezpieczeństwa publicznego.</w:t>
      </w:r>
    </w:p>
    <w:p w14:paraId="1EF439A4" w14:textId="7777777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1A53F83C" w14:textId="7A93A830"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76" w:name="_Toc530565048"/>
      <w:r w:rsidRPr="00375799">
        <w:rPr>
          <w:rFonts w:asciiTheme="minorHAnsi" w:hAnsiTheme="minorHAnsi" w:cstheme="minorHAnsi"/>
          <w:color w:val="000000" w:themeColor="text1"/>
          <w:sz w:val="24"/>
          <w:szCs w:val="24"/>
        </w:rPr>
        <w:t>Ustawa z dnia 28 listopada 2003 r. o świadczeniach rodzinnych</w:t>
      </w:r>
      <w:r w:rsidR="001B095B" w:rsidRPr="00375799">
        <w:rPr>
          <w:rFonts w:asciiTheme="minorHAnsi" w:hAnsiTheme="minorHAnsi" w:cstheme="minorHAnsi"/>
          <w:color w:val="000000" w:themeColor="text1"/>
          <w:sz w:val="24"/>
          <w:szCs w:val="24"/>
        </w:rPr>
        <w:t xml:space="preserve"> (Dz. U. z 2017 r. poz. 1952, z późn. zm)</w:t>
      </w:r>
      <w:bookmarkEnd w:id="76"/>
    </w:p>
    <w:p w14:paraId="2266DD5B"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5F46B171" w14:textId="2C591E3C" w:rsidR="00B053DB" w:rsidRPr="00375799" w:rsidRDefault="00B053D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Projektowane zmiany ustawy </w:t>
      </w:r>
      <w:r w:rsidR="00C70436">
        <w:rPr>
          <w:rFonts w:cstheme="minorHAnsi"/>
          <w:color w:val="000000" w:themeColor="text1"/>
          <w:sz w:val="24"/>
          <w:szCs w:val="24"/>
        </w:rPr>
        <w:t xml:space="preserve">z dnia 28 listopada 2003 r. o świadczeniach rodzinnych </w:t>
      </w:r>
      <w:r w:rsidRPr="00375799">
        <w:rPr>
          <w:rFonts w:cstheme="minorHAnsi"/>
          <w:color w:val="000000" w:themeColor="text1"/>
          <w:sz w:val="24"/>
          <w:szCs w:val="24"/>
        </w:rPr>
        <w:t>wprowadzają regulacje służące odpowiedniemu zabezpieczeniu wyżej wskazanych danych osobowych (do celów realizacji ustawy przetwarzane są tzw. „wrażliwe” dane osobowe).</w:t>
      </w:r>
    </w:p>
    <w:p w14:paraId="36121D89" w14:textId="681931BE" w:rsidR="00B053DB" w:rsidRPr="00375799" w:rsidRDefault="00B053D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Dodatkowo projekt przewiduje zastąpienie uprawnienia przetwarzania danych osobowych osób ubiegających się o świadczenia rodzinne oraz członków ich rodzin przez  podmioty posiadające obecnie to uprawnienie  obowiązkiem ich przetwarzania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stanowi, że przetwarzanie danych osobowych jest zgodne z prawem</w:t>
      </w:r>
      <w:r w:rsidR="00AC62C8">
        <w:rPr>
          <w:rFonts w:cstheme="minorHAnsi"/>
          <w:color w:val="000000" w:themeColor="text1"/>
          <w:sz w:val="24"/>
          <w:szCs w:val="24"/>
        </w:rPr>
        <w:t>,</w:t>
      </w:r>
      <w:r w:rsidRPr="00375799">
        <w:rPr>
          <w:rFonts w:cstheme="minorHAnsi"/>
          <w:color w:val="000000" w:themeColor="text1"/>
          <w:sz w:val="24"/>
          <w:szCs w:val="24"/>
        </w:rPr>
        <w:t xml:space="preserve"> jeżeli jest niezbędne do wypełnienia obowiązku prawnego ciążącego na administratorze danych osobowych). Aby podmioty te mogły realizować swoje zadania ustawowe, muszą przetwarzać określone w ustawie dane osobowe. </w:t>
      </w:r>
    </w:p>
    <w:p w14:paraId="7003D04E" w14:textId="77777777" w:rsidR="00B053DB" w:rsidRPr="00375799" w:rsidRDefault="00B053D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Podmioty uprawnione do przetwarzania danych osobowych zobowiązane będą do zabezpieczenia danych osobowych osób ubiegających się o świadczenia rodzinne oraz członków ich rodzin co najmniej poprzez wymóg dopuszczenia do przetwarzania danych osobowych wyłącznie osób posiadających pisemne upoważnienie nadane przez administratora danych oraz zobowiązania ich do zachowania danych osobowych w poufności.</w:t>
      </w:r>
    </w:p>
    <w:p w14:paraId="3E7F9959" w14:textId="026A8F44" w:rsidR="008706DD" w:rsidRPr="00375799" w:rsidRDefault="00B053D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Jednocześnie podmioty uprawnione do przetwarzania danych osobowych zobowiązane będą zabezpieczyć dane osobowe tak, aby wykluczyć wszelkie ryzyka i zagrożenia nadużyć lub niezgodnego z prawem dostępu lub przekazania danych, dostosowując te zabezpieczenia do sposobu</w:t>
      </w:r>
      <w:r w:rsidR="00AC62C8">
        <w:rPr>
          <w:rFonts w:cstheme="minorHAnsi"/>
          <w:color w:val="000000" w:themeColor="text1"/>
          <w:sz w:val="24"/>
          <w:szCs w:val="24"/>
        </w:rPr>
        <w:t>,</w:t>
      </w:r>
      <w:r w:rsidRPr="00375799">
        <w:rPr>
          <w:rFonts w:cstheme="minorHAnsi"/>
          <w:color w:val="000000" w:themeColor="text1"/>
          <w:sz w:val="24"/>
          <w:szCs w:val="24"/>
        </w:rPr>
        <w:t xml:space="preserve"> w jaki dane będą przetwarzane – w zależności od sposobu przetwarzania danych mogą wystąpić inne ryzyka i zagrożenia. Ustawa o świadczeniach rodzinnych bowiem przewiduje możliwość zarówno zautomatyzowanego przetwarzania danych osobowych, jak i niezautomatyzowanego przetwarzania danych osobowych. W każdym przypadku ma zostać zapewniona kontrola nad tym</w:t>
      </w:r>
      <w:r w:rsidR="00AC62C8">
        <w:rPr>
          <w:rFonts w:cstheme="minorHAnsi"/>
          <w:color w:val="000000" w:themeColor="text1"/>
          <w:sz w:val="24"/>
          <w:szCs w:val="24"/>
        </w:rPr>
        <w:t>,</w:t>
      </w:r>
      <w:r w:rsidRPr="00375799">
        <w:rPr>
          <w:rFonts w:cstheme="minorHAnsi"/>
          <w:color w:val="000000" w:themeColor="text1"/>
          <w:sz w:val="24"/>
          <w:szCs w:val="24"/>
        </w:rPr>
        <w:t xml:space="preserve"> jakie dane osobowe, kiedy i przez kogo były przetwarzane.</w:t>
      </w:r>
    </w:p>
    <w:p w14:paraId="402ABB6E" w14:textId="77777777" w:rsidR="0078314A" w:rsidRPr="00375799" w:rsidRDefault="0078314A" w:rsidP="0055107B">
      <w:pPr>
        <w:spacing w:after="0" w:line="276" w:lineRule="auto"/>
        <w:ind w:left="57" w:right="57"/>
        <w:contextualSpacing/>
        <w:jc w:val="both"/>
        <w:rPr>
          <w:rFonts w:cstheme="minorHAnsi"/>
          <w:color w:val="000000" w:themeColor="text1"/>
          <w:sz w:val="24"/>
          <w:szCs w:val="24"/>
        </w:rPr>
      </w:pPr>
    </w:p>
    <w:p w14:paraId="42654B78" w14:textId="2C232A29"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77" w:name="_Toc530565049"/>
      <w:r w:rsidRPr="00375799">
        <w:rPr>
          <w:rFonts w:asciiTheme="minorHAnsi" w:hAnsiTheme="minorHAnsi" w:cstheme="minorHAnsi"/>
          <w:color w:val="000000" w:themeColor="text1"/>
          <w:sz w:val="24"/>
          <w:szCs w:val="24"/>
        </w:rPr>
        <w:t xml:space="preserve">Ustawa z dnia 29 stycznia 2004 </w:t>
      </w:r>
      <w:r w:rsidR="0078314A" w:rsidRPr="00375799">
        <w:rPr>
          <w:rFonts w:asciiTheme="minorHAnsi" w:hAnsiTheme="minorHAnsi" w:cstheme="minorHAnsi"/>
          <w:color w:val="000000" w:themeColor="text1"/>
          <w:sz w:val="24"/>
          <w:szCs w:val="24"/>
        </w:rPr>
        <w:t>r. – Prawo zamówień publicznych</w:t>
      </w:r>
      <w:r w:rsidR="001B095B" w:rsidRPr="00375799">
        <w:rPr>
          <w:rFonts w:asciiTheme="minorHAnsi" w:hAnsiTheme="minorHAnsi" w:cstheme="minorHAnsi"/>
          <w:color w:val="000000" w:themeColor="text1"/>
          <w:sz w:val="24"/>
          <w:szCs w:val="24"/>
        </w:rPr>
        <w:t xml:space="preserve"> (Dz. U. z 201</w:t>
      </w:r>
      <w:r w:rsidR="00431995">
        <w:rPr>
          <w:rFonts w:asciiTheme="minorHAnsi" w:hAnsiTheme="minorHAnsi" w:cstheme="minorHAnsi"/>
          <w:color w:val="000000" w:themeColor="text1"/>
          <w:sz w:val="24"/>
          <w:szCs w:val="24"/>
        </w:rPr>
        <w:t>8</w:t>
      </w:r>
      <w:r w:rsidR="001B095B" w:rsidRPr="00375799">
        <w:rPr>
          <w:rFonts w:asciiTheme="minorHAnsi" w:hAnsiTheme="minorHAnsi" w:cstheme="minorHAnsi"/>
          <w:color w:val="000000" w:themeColor="text1"/>
          <w:sz w:val="24"/>
          <w:szCs w:val="24"/>
        </w:rPr>
        <w:t xml:space="preserve"> r. poz. </w:t>
      </w:r>
      <w:r w:rsidR="00431995">
        <w:rPr>
          <w:rFonts w:asciiTheme="minorHAnsi" w:hAnsiTheme="minorHAnsi" w:cstheme="minorHAnsi"/>
          <w:color w:val="000000" w:themeColor="text1"/>
          <w:sz w:val="24"/>
          <w:szCs w:val="24"/>
        </w:rPr>
        <w:t>1986</w:t>
      </w:r>
      <w:r w:rsidR="001B095B" w:rsidRPr="00375799">
        <w:rPr>
          <w:rFonts w:asciiTheme="minorHAnsi" w:hAnsiTheme="minorHAnsi" w:cstheme="minorHAnsi"/>
          <w:color w:val="000000" w:themeColor="text1"/>
          <w:sz w:val="24"/>
          <w:szCs w:val="24"/>
        </w:rPr>
        <w:t>)</w:t>
      </w:r>
      <w:bookmarkEnd w:id="77"/>
    </w:p>
    <w:p w14:paraId="430D12A2"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6790BB19" w14:textId="5C152BE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Przetwarzanie danych osobowych występuje na każdym etapie procesu udzielania zamówienia publicznego (konkursu), korzystania ze środków ochrony prawnej, zawarcia i wykonywania umowy, w tym weryfikacji zatrudnienia osób skierowanych do realizacji zamówienia, podczas udostępniania przez zamawiających dokumentacji postępowania (jak również po zakończeniu postępowania w związku z przetwarzaniem i udostępnianiem dokumentacji archiwalnej) i jest ściśle powiązane z wymaganiami określonymi ustawą z dnia 29 stycznia 2004 r.  ̶   Prawo zamówień publicznych, zwaną dalej „ustawą Pzp”.</w:t>
      </w:r>
    </w:p>
    <w:p w14:paraId="36669DA7" w14:textId="334221EC"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ustawą Pzp postępowanie o udzielenie zamówienia jest jawne, a zamawiający może ograniczyć dostęp do informacji związanych z postępowaniem o udzielenie zamówienia tylko w przypadkach wskazanych w tej ustawie (art. 8 ust. 1 i 2 ustawy Pzp). Możliwość wyłączenia zasady jawności w odniesieniu do danych osobowych, z uwagi na ochronę prywatności lub interesu publicznego, przewiduje jedynie art. 8 ust. 4 ustawy Pzp. Zatem, </w:t>
      </w:r>
      <w:r w:rsidRPr="003654A8">
        <w:rPr>
          <w:rFonts w:cstheme="minorHAnsi"/>
          <w:i/>
          <w:color w:val="000000" w:themeColor="text1"/>
          <w:sz w:val="24"/>
          <w:szCs w:val="24"/>
        </w:rPr>
        <w:t>a contrario</w:t>
      </w:r>
      <w:r w:rsidRPr="00375799">
        <w:rPr>
          <w:rFonts w:cstheme="minorHAnsi"/>
          <w:color w:val="000000" w:themeColor="text1"/>
          <w:sz w:val="24"/>
          <w:szCs w:val="24"/>
        </w:rPr>
        <w:t>, wszystkie inne dane osobowe zebrane (zgodnie z prawem) w toku postępowania o udzielenie zamówienia publicznego lub konkursu są jawne, co oznacza praktycznie nieograniczony dostęp do danych osobowych osób fizycznych zawartych w dokumentacji postępowania.</w:t>
      </w:r>
    </w:p>
    <w:p w14:paraId="19BAD4E8" w14:textId="0B1C2EE2"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Zasada jawności funkcjonująca na gruncie ustawy Pzp wynika wprost z art. 61 Konstytucji RP statuującego zasadę jawności działań podmiotów publicznych (z zastrzeżeniem, że ograniczenie zasady jawności może nastąpić wyłącznie ze względu na określoną w ustawach ochronę wolności i praw innych osób i podmiotów gospodarczych). </w:t>
      </w:r>
    </w:p>
    <w:p w14:paraId="2F867577" w14:textId="7777777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Co więcej, zasada jawności powiązana jest z zasadą przejrzystości, o której mowa w art. 7 ust. 1 ustawy Pzp, wyrażoną w dyrektywach UE dotyczących zamówień publicznych.  </w:t>
      </w:r>
    </w:p>
    <w:p w14:paraId="54551E03" w14:textId="533F46E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Zatem w kontekście celów przyświecających zamówieniom publicznym zasada jawności w ustawie Pzp może być wyjątkowo poddana ograniczeniu z uwagi na poszanowanie prawa do prywatności, w sytuacjach odnoszących się do przetwarzania danych osobowych osób fizycznych. Powyższe wynika z zasady proporcjonalności wyrażonej zarówno na gruncie regulacji dotyczących zamówień publicznych</w:t>
      </w:r>
      <w:r w:rsidR="00AC62C8">
        <w:rPr>
          <w:rFonts w:cstheme="minorHAnsi"/>
          <w:color w:val="000000" w:themeColor="text1"/>
          <w:sz w:val="24"/>
          <w:szCs w:val="24"/>
        </w:rPr>
        <w:t>,</w:t>
      </w:r>
      <w:r w:rsidRPr="00375799">
        <w:rPr>
          <w:rFonts w:cstheme="minorHAnsi"/>
          <w:color w:val="000000" w:themeColor="text1"/>
          <w:sz w:val="24"/>
          <w:szCs w:val="24"/>
        </w:rPr>
        <w:t xml:space="preserve"> jak i </w:t>
      </w:r>
      <w:r w:rsidR="00BF4730" w:rsidRPr="00375799">
        <w:rPr>
          <w:rFonts w:cstheme="minorHAnsi"/>
          <w:color w:val="000000" w:themeColor="text1"/>
          <w:sz w:val="24"/>
          <w:szCs w:val="24"/>
        </w:rPr>
        <w:t>RODO</w:t>
      </w:r>
      <w:r w:rsidRPr="00375799">
        <w:rPr>
          <w:rFonts w:cstheme="minorHAnsi"/>
          <w:color w:val="000000" w:themeColor="text1"/>
          <w:sz w:val="24"/>
          <w:szCs w:val="24"/>
        </w:rPr>
        <w:t>.</w:t>
      </w:r>
    </w:p>
    <w:p w14:paraId="606D3360" w14:textId="77777777" w:rsidR="00C35A4D" w:rsidRPr="00375799" w:rsidRDefault="00C35A4D" w:rsidP="0055107B">
      <w:pPr>
        <w:spacing w:after="0" w:line="276" w:lineRule="auto"/>
        <w:ind w:right="57" w:firstLine="0"/>
        <w:contextualSpacing/>
        <w:jc w:val="both"/>
        <w:rPr>
          <w:rFonts w:cstheme="minorHAnsi"/>
          <w:color w:val="000000" w:themeColor="text1"/>
          <w:sz w:val="24"/>
          <w:szCs w:val="24"/>
        </w:rPr>
      </w:pPr>
    </w:p>
    <w:p w14:paraId="5858E55B" w14:textId="4E1FDE3B"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Biorąc pod uwagę postępujący proces elektronizacji zamówień publicznych, a co za tym idzie częściowe lub całkowicie zautomatyzowane przetwarzanie danych, w tym danych osobowych, w postępowaniach o udzielenie zamówienia publicznego i konkursach</w:t>
      </w:r>
      <w:r w:rsidR="00C70436">
        <w:rPr>
          <w:rFonts w:cstheme="minorHAnsi"/>
          <w:color w:val="000000" w:themeColor="text1"/>
          <w:sz w:val="24"/>
          <w:szCs w:val="24"/>
        </w:rPr>
        <w:t>,</w:t>
      </w:r>
      <w:r w:rsidRPr="00375799">
        <w:rPr>
          <w:rFonts w:cstheme="minorHAnsi"/>
          <w:color w:val="000000" w:themeColor="text1"/>
          <w:sz w:val="24"/>
          <w:szCs w:val="24"/>
        </w:rPr>
        <w:t xml:space="preserve"> zastosowanie przepisów </w:t>
      </w:r>
      <w:r w:rsidR="00BF4730" w:rsidRPr="00375799">
        <w:rPr>
          <w:rFonts w:cstheme="minorHAnsi"/>
          <w:color w:val="000000" w:themeColor="text1"/>
          <w:sz w:val="24"/>
          <w:szCs w:val="24"/>
        </w:rPr>
        <w:t>RODO</w:t>
      </w:r>
      <w:r w:rsidR="00BF4730" w:rsidRPr="00375799" w:rsidDel="00BF4730">
        <w:rPr>
          <w:rFonts w:cstheme="minorHAnsi"/>
          <w:color w:val="000000" w:themeColor="text1"/>
          <w:sz w:val="24"/>
          <w:szCs w:val="24"/>
        </w:rPr>
        <w:t xml:space="preserve"> </w:t>
      </w:r>
      <w:r w:rsidRPr="00375799">
        <w:rPr>
          <w:rFonts w:cstheme="minorHAnsi"/>
          <w:color w:val="000000" w:themeColor="text1"/>
          <w:sz w:val="24"/>
          <w:szCs w:val="24"/>
        </w:rPr>
        <w:t>będzie miało coraz bardziej powszechne zastosowanie.</w:t>
      </w:r>
    </w:p>
    <w:p w14:paraId="6563BB15" w14:textId="15331674"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Aby zapewnić skuteczne stosowanie przepisów </w:t>
      </w:r>
      <w:r w:rsidR="00BF4730" w:rsidRPr="00375799">
        <w:rPr>
          <w:rFonts w:cstheme="minorHAnsi"/>
          <w:color w:val="000000" w:themeColor="text1"/>
          <w:sz w:val="24"/>
          <w:szCs w:val="24"/>
        </w:rPr>
        <w:t>RODO</w:t>
      </w:r>
      <w:r w:rsidR="00BF4730" w:rsidRPr="00375799" w:rsidDel="00BF4730">
        <w:rPr>
          <w:rFonts w:cstheme="minorHAnsi"/>
          <w:color w:val="000000" w:themeColor="text1"/>
          <w:sz w:val="24"/>
          <w:szCs w:val="24"/>
        </w:rPr>
        <w:t xml:space="preserve"> </w:t>
      </w:r>
      <w:r w:rsidRPr="00375799">
        <w:rPr>
          <w:rFonts w:cstheme="minorHAnsi"/>
          <w:color w:val="000000" w:themeColor="text1"/>
          <w:sz w:val="24"/>
          <w:szCs w:val="24"/>
        </w:rPr>
        <w:t xml:space="preserve">w odniesieniu do zamówień publicznych i konkursów, a jednocześnie mając na względzie obowiązek zapewnienia efektywnego udzielania zamówień publicznych, niezbędne jest wprowadzenie do ustawy Pzp zmian mających na celu dostosowanie jej przepisów do przepisów ww. rozporządzenia. </w:t>
      </w:r>
    </w:p>
    <w:p w14:paraId="3E0D0B77" w14:textId="7777777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8</w:t>
      </w:r>
      <w:r w:rsidR="00052BEC" w:rsidRPr="00375799">
        <w:rPr>
          <w:rFonts w:cstheme="minorHAnsi"/>
          <w:color w:val="000000" w:themeColor="text1"/>
          <w:sz w:val="24"/>
          <w:szCs w:val="24"/>
        </w:rPr>
        <w:t>a</w:t>
      </w:r>
      <w:r w:rsidRPr="00375799">
        <w:rPr>
          <w:rFonts w:cstheme="minorHAnsi"/>
          <w:color w:val="000000" w:themeColor="text1"/>
          <w:sz w:val="24"/>
          <w:szCs w:val="24"/>
        </w:rPr>
        <w:t xml:space="preserve"> ust. 5 w ustawie Pzp</w:t>
      </w:r>
    </w:p>
    <w:p w14:paraId="157DB138" w14:textId="3D8FEB9A" w:rsidR="00BA67EC" w:rsidRPr="00375799" w:rsidRDefault="00BA67EC" w:rsidP="0055107B">
      <w:pPr>
        <w:pStyle w:val="Tekstpodstawowyzwciciem"/>
        <w:spacing w:after="0"/>
        <w:ind w:left="57" w:right="57" w:firstLine="567"/>
        <w:contextualSpacing/>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Art. 8a ust. 5 jest konsekwencją wprowadzenia niezbędnych ograniczeń stosowania </w:t>
      </w:r>
      <w:r w:rsidR="00BF4730" w:rsidRPr="00375799">
        <w:rPr>
          <w:rFonts w:asciiTheme="minorHAnsi" w:hAnsiTheme="minorHAnsi" w:cstheme="minorHAnsi"/>
          <w:color w:val="000000" w:themeColor="text1"/>
          <w:sz w:val="24"/>
          <w:szCs w:val="24"/>
        </w:rPr>
        <w:t>RODO</w:t>
      </w:r>
      <w:r w:rsidR="00BF4730" w:rsidRPr="00375799" w:rsidDel="00BF4730">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 xml:space="preserve">(dotyczy to przepisów art. 15, </w:t>
      </w:r>
      <w:r w:rsidR="00AC62C8">
        <w:rPr>
          <w:rFonts w:asciiTheme="minorHAnsi" w:hAnsiTheme="minorHAnsi" w:cstheme="minorHAnsi"/>
          <w:color w:val="000000" w:themeColor="text1"/>
          <w:sz w:val="24"/>
          <w:szCs w:val="24"/>
        </w:rPr>
        <w:t xml:space="preserve">art. </w:t>
      </w:r>
      <w:r w:rsidRPr="00375799">
        <w:rPr>
          <w:rFonts w:asciiTheme="minorHAnsi" w:hAnsiTheme="minorHAnsi" w:cstheme="minorHAnsi"/>
          <w:color w:val="000000" w:themeColor="text1"/>
          <w:sz w:val="24"/>
          <w:szCs w:val="24"/>
        </w:rPr>
        <w:t xml:space="preserve">18) mających na celu dostosowanie sposobu realizacji uprawnień wynikających z tych przepisów do uwarunkowań wynikających ze stosowania ustawy koncesyjnej.  Zgodnie z art. 23 ust. 2 lit. h </w:t>
      </w:r>
      <w:r w:rsidR="00BF4730" w:rsidRPr="00375799">
        <w:rPr>
          <w:rFonts w:asciiTheme="minorHAnsi" w:hAnsiTheme="minorHAnsi" w:cstheme="minorHAnsi"/>
          <w:color w:val="000000" w:themeColor="text1"/>
          <w:sz w:val="24"/>
          <w:szCs w:val="24"/>
        </w:rPr>
        <w:t>RODO</w:t>
      </w:r>
      <w:r w:rsidR="00BF4730" w:rsidRPr="00375799" w:rsidDel="00BF4730">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 xml:space="preserve">wymagane jest wówczas wprowadzenie przepisu stanowiącego o prawie osób, których dane dotyczą, do uzyskania informacji o ograniczeniach w stosowaniu </w:t>
      </w:r>
      <w:r w:rsidR="00BF4730" w:rsidRPr="00375799">
        <w:rPr>
          <w:rFonts w:asciiTheme="minorHAnsi" w:hAnsiTheme="minorHAnsi" w:cstheme="minorHAnsi"/>
          <w:color w:val="000000" w:themeColor="text1"/>
          <w:sz w:val="24"/>
          <w:szCs w:val="24"/>
        </w:rPr>
        <w:t>RODO</w:t>
      </w:r>
      <w:r w:rsidRPr="00375799">
        <w:rPr>
          <w:rFonts w:asciiTheme="minorHAnsi" w:hAnsiTheme="minorHAnsi" w:cstheme="minorHAnsi"/>
          <w:color w:val="000000" w:themeColor="text1"/>
          <w:sz w:val="24"/>
          <w:szCs w:val="24"/>
        </w:rPr>
        <w:t xml:space="preserve">. </w:t>
      </w:r>
    </w:p>
    <w:p w14:paraId="120474C8" w14:textId="03528463" w:rsidR="006D286C" w:rsidRPr="00375799" w:rsidRDefault="006D286C" w:rsidP="0055107B">
      <w:pPr>
        <w:pStyle w:val="Tekstpodstawowyzwciciem"/>
        <w:spacing w:after="0"/>
        <w:ind w:left="57" w:right="57" w:firstLine="567"/>
        <w:contextualSpacing/>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Art. 8a ust. 5 </w:t>
      </w:r>
      <w:r w:rsidR="00407A6E">
        <w:rPr>
          <w:rFonts w:asciiTheme="minorHAnsi" w:hAnsiTheme="minorHAnsi" w:cstheme="minorHAnsi"/>
          <w:color w:val="000000" w:themeColor="text1"/>
          <w:sz w:val="24"/>
          <w:szCs w:val="24"/>
        </w:rPr>
        <w:t>ustawy Pzp</w:t>
      </w:r>
      <w:r w:rsidR="00407A6E" w:rsidRPr="00375799">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pozostawia zamawiającemu możliwość wyboru jednego, z wymienionych w tym przepisie, sposobów informowania</w:t>
      </w:r>
      <w:r w:rsidR="00A70C4F" w:rsidRPr="00375799">
        <w:rPr>
          <w:rFonts w:asciiTheme="minorHAnsi" w:hAnsiTheme="minorHAnsi" w:cstheme="minorHAnsi"/>
          <w:color w:val="000000" w:themeColor="text1"/>
          <w:sz w:val="24"/>
          <w:szCs w:val="24"/>
        </w:rPr>
        <w:t xml:space="preserve"> o ograniczeniach upra</w:t>
      </w:r>
      <w:r w:rsidR="00BA67EC" w:rsidRPr="00375799">
        <w:rPr>
          <w:rFonts w:asciiTheme="minorHAnsi" w:hAnsiTheme="minorHAnsi" w:cstheme="minorHAnsi"/>
          <w:color w:val="000000" w:themeColor="text1"/>
          <w:sz w:val="24"/>
          <w:szCs w:val="24"/>
        </w:rPr>
        <w:t>wnień osób</w:t>
      </w:r>
      <w:r w:rsidR="00AC62C8">
        <w:rPr>
          <w:rFonts w:asciiTheme="minorHAnsi" w:hAnsiTheme="minorHAnsi" w:cstheme="minorHAnsi"/>
          <w:color w:val="000000" w:themeColor="text1"/>
          <w:sz w:val="24"/>
          <w:szCs w:val="24"/>
        </w:rPr>
        <w:t>,</w:t>
      </w:r>
      <w:r w:rsidR="00BA67EC" w:rsidRPr="00375799">
        <w:rPr>
          <w:rFonts w:asciiTheme="minorHAnsi" w:hAnsiTheme="minorHAnsi" w:cstheme="minorHAnsi"/>
          <w:color w:val="000000" w:themeColor="text1"/>
          <w:sz w:val="24"/>
          <w:szCs w:val="24"/>
        </w:rPr>
        <w:t xml:space="preserve"> których dane dotyczą</w:t>
      </w:r>
      <w:r w:rsidRPr="00375799">
        <w:rPr>
          <w:rFonts w:asciiTheme="minorHAnsi" w:hAnsiTheme="minorHAnsi" w:cstheme="minorHAnsi"/>
          <w:color w:val="000000" w:themeColor="text1"/>
          <w:sz w:val="24"/>
          <w:szCs w:val="24"/>
        </w:rPr>
        <w:t xml:space="preserve">. Przepis będzie miał zastosowanie do wszystkich postępowań o udzielenie zamówienia publicznego lub konkursów prowadzonych w oparciu o przepisy ustawy </w:t>
      </w:r>
      <w:r w:rsidR="00AC62C8">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 xml:space="preserve">Prawo zamówień publicznych. Uznano, że nałożenie na zamawiających obowiązku informowania o ograniczeniach stosowania art. 15 i art. 18 </w:t>
      </w:r>
      <w:r w:rsidR="00BF4730" w:rsidRPr="00375799">
        <w:rPr>
          <w:rFonts w:asciiTheme="minorHAnsi" w:hAnsiTheme="minorHAnsi" w:cstheme="minorHAnsi"/>
          <w:color w:val="000000" w:themeColor="text1"/>
          <w:sz w:val="24"/>
          <w:szCs w:val="24"/>
        </w:rPr>
        <w:t>RODO</w:t>
      </w:r>
      <w:r w:rsidR="00BF4730" w:rsidRPr="00375799" w:rsidDel="00BF4730">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 xml:space="preserve">zawsze na stronie internetowej prowadzonego postępowania oraz dodatkowo w ogłoszeniu o zamówieniu, ogłoszeniu o konkursie, w specyfikacji istotnych warunków zamówienia lub w inny sposób dostępny dla osoby, której dane osobowe dotyczą – wydaje się nadmiernym obciążeniem zamawiających. Projektowany przepis art. 8a ust. 5 w ustawie </w:t>
      </w:r>
      <w:r w:rsidR="00AC62C8">
        <w:rPr>
          <w:rFonts w:asciiTheme="minorHAnsi" w:hAnsiTheme="minorHAnsi" w:cstheme="minorHAnsi"/>
          <w:color w:val="000000" w:themeColor="text1"/>
          <w:sz w:val="24"/>
          <w:szCs w:val="24"/>
        </w:rPr>
        <w:t xml:space="preserve">– </w:t>
      </w:r>
      <w:r w:rsidR="00407A6E">
        <w:rPr>
          <w:rFonts w:asciiTheme="minorHAnsi" w:hAnsiTheme="minorHAnsi" w:cstheme="minorHAnsi"/>
          <w:color w:val="000000" w:themeColor="text1"/>
          <w:sz w:val="24"/>
          <w:szCs w:val="24"/>
        </w:rPr>
        <w:t>Pzp</w:t>
      </w:r>
      <w:r w:rsidRPr="00375799">
        <w:rPr>
          <w:rFonts w:asciiTheme="minorHAnsi" w:hAnsiTheme="minorHAnsi" w:cstheme="minorHAnsi"/>
          <w:color w:val="000000" w:themeColor="text1"/>
          <w:sz w:val="24"/>
          <w:szCs w:val="24"/>
        </w:rPr>
        <w:t xml:space="preserve"> jest bowiem tylko dodatkowym sposobem przekazywania informacji o ograniczeniach stosowania </w:t>
      </w:r>
      <w:r w:rsidR="00BF4730" w:rsidRPr="00375799">
        <w:rPr>
          <w:rFonts w:asciiTheme="minorHAnsi" w:hAnsiTheme="minorHAnsi" w:cstheme="minorHAnsi"/>
          <w:color w:val="000000" w:themeColor="text1"/>
          <w:sz w:val="24"/>
          <w:szCs w:val="24"/>
        </w:rPr>
        <w:t>RODO</w:t>
      </w:r>
      <w:r w:rsidRPr="00375799">
        <w:rPr>
          <w:rFonts w:asciiTheme="minorHAnsi" w:hAnsiTheme="minorHAnsi" w:cstheme="minorHAnsi"/>
          <w:color w:val="000000" w:themeColor="text1"/>
          <w:sz w:val="24"/>
          <w:szCs w:val="24"/>
        </w:rPr>
        <w:t xml:space="preserve">, które zostaną wprowadzone przepisami powszechnie obowiązującego prawa, tj. projektowanymi przepisami art. 8a ust 2 i 4 oraz art. 97 ust. 1a w ustawie </w:t>
      </w:r>
      <w:r w:rsidR="009F0AAB">
        <w:rPr>
          <w:rFonts w:asciiTheme="minorHAnsi" w:hAnsiTheme="minorHAnsi" w:cstheme="minorHAnsi"/>
          <w:color w:val="000000" w:themeColor="text1"/>
          <w:sz w:val="24"/>
          <w:szCs w:val="24"/>
        </w:rPr>
        <w:t xml:space="preserve">– </w:t>
      </w:r>
      <w:r w:rsidR="00407A6E">
        <w:rPr>
          <w:rFonts w:asciiTheme="minorHAnsi" w:hAnsiTheme="minorHAnsi" w:cstheme="minorHAnsi"/>
          <w:color w:val="000000" w:themeColor="text1"/>
          <w:sz w:val="24"/>
          <w:szCs w:val="24"/>
        </w:rPr>
        <w:t>Pzp</w:t>
      </w:r>
      <w:r w:rsidRPr="00375799">
        <w:rPr>
          <w:rFonts w:asciiTheme="minorHAnsi" w:hAnsiTheme="minorHAnsi" w:cstheme="minorHAnsi"/>
          <w:color w:val="000000" w:themeColor="text1"/>
          <w:sz w:val="24"/>
          <w:szCs w:val="24"/>
        </w:rPr>
        <w:t xml:space="preserve">. Stąd wystarczające wydaje się spełnienie obowiązku informowania o tych ograniczeniach tylko w jeden z wymienionych w projektowanym art. 8a ust. 5 sposobów. Należy przy tym zauważyć, że w przypadku trybów konkurencyjnych z zasady ogłoszenie o zamówieniu oraz specyfikację istotnych warunków zamówienia zamawiający każdorazowo zamieszcza na stronie internetowej prowadzonego postępowania. W takim przypadku nie wydaje się uzasadnione, aby informacja o </w:t>
      </w:r>
      <w:r w:rsidRPr="00375799">
        <w:rPr>
          <w:rFonts w:asciiTheme="minorHAnsi" w:hAnsiTheme="minorHAnsi" w:cstheme="minorHAnsi"/>
          <w:color w:val="000000" w:themeColor="text1"/>
          <w:sz w:val="24"/>
          <w:szCs w:val="24"/>
        </w:rPr>
        <w:lastRenderedPageBreak/>
        <w:t xml:space="preserve">ograniczeniach stosowania </w:t>
      </w:r>
      <w:r w:rsidR="00BF4730" w:rsidRPr="00375799">
        <w:rPr>
          <w:rFonts w:asciiTheme="minorHAnsi" w:hAnsiTheme="minorHAnsi" w:cstheme="minorHAnsi"/>
          <w:color w:val="000000" w:themeColor="text1"/>
          <w:sz w:val="24"/>
          <w:szCs w:val="24"/>
        </w:rPr>
        <w:t>RODO</w:t>
      </w:r>
      <w:r w:rsidR="00BF4730" w:rsidRPr="00375799" w:rsidDel="00BF4730">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była oprócz tego zawsze zamieszczana na stronie internetowej prowadzonego post</w:t>
      </w:r>
      <w:r w:rsidR="00AC62C8">
        <w:rPr>
          <w:rFonts w:asciiTheme="minorHAnsi" w:hAnsiTheme="minorHAnsi" w:cstheme="minorHAnsi"/>
          <w:color w:val="000000" w:themeColor="text1"/>
          <w:sz w:val="24"/>
          <w:szCs w:val="24"/>
        </w:rPr>
        <w:t>ę</w:t>
      </w:r>
      <w:r w:rsidRPr="00375799">
        <w:rPr>
          <w:rFonts w:asciiTheme="minorHAnsi" w:hAnsiTheme="minorHAnsi" w:cstheme="minorHAnsi"/>
          <w:color w:val="000000" w:themeColor="text1"/>
          <w:sz w:val="24"/>
          <w:szCs w:val="24"/>
        </w:rPr>
        <w:t xml:space="preserve">powania. </w:t>
      </w:r>
    </w:p>
    <w:p w14:paraId="5000E26A" w14:textId="361B3013"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art. 8 ustawy Pzp projektuje się dodanie ust. 5, który ogranicza zasadę jawności w zamówieniach publicznych w przypadku przetwarzania danych osobowych dotyczących wyroków skazujących i naruszeń prawa, o których mowa w art. 10 </w:t>
      </w:r>
      <w:r w:rsidR="00BF4730" w:rsidRPr="00375799">
        <w:rPr>
          <w:rFonts w:cstheme="minorHAnsi"/>
          <w:color w:val="000000" w:themeColor="text1"/>
          <w:sz w:val="24"/>
          <w:szCs w:val="24"/>
        </w:rPr>
        <w:t>RODO</w:t>
      </w:r>
      <w:r w:rsidRPr="00375799">
        <w:rPr>
          <w:rFonts w:cstheme="minorHAnsi"/>
          <w:color w:val="000000" w:themeColor="text1"/>
          <w:sz w:val="24"/>
          <w:szCs w:val="24"/>
        </w:rPr>
        <w:t>, co do celu (korzystanie ze środków ochrony prawnej uregulowanych w Dziale VI ustawy Pzp) oraz do czasu przetwarzania (do upływu terminu na ich wniesienie).</w:t>
      </w:r>
    </w:p>
    <w:p w14:paraId="4CFADA78" w14:textId="4C10267D" w:rsidR="00C35A4D" w:rsidRPr="00375799" w:rsidRDefault="00BF473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RODO</w:t>
      </w:r>
      <w:r w:rsidRPr="00375799" w:rsidDel="00BF4730">
        <w:rPr>
          <w:rFonts w:cstheme="minorHAnsi"/>
          <w:color w:val="000000" w:themeColor="text1"/>
          <w:sz w:val="24"/>
          <w:szCs w:val="24"/>
        </w:rPr>
        <w:t xml:space="preserve"> </w:t>
      </w:r>
      <w:r w:rsidR="00C35A4D" w:rsidRPr="00375799">
        <w:rPr>
          <w:rFonts w:cstheme="minorHAnsi"/>
          <w:color w:val="000000" w:themeColor="text1"/>
          <w:sz w:val="24"/>
          <w:szCs w:val="24"/>
        </w:rPr>
        <w:t>w art. 10 zezwala na przetwarzanie danych osobowych dotyczących wyroków skazujących i naruszeń prawa, jeżeli przetwarzanie to jest dozwolone prawem państwa członkowskiego, które przewiduje odpowiednie zabezpieczenia praw i wolności osób, których dane dotyczą. W przepisach ustawy Pzp zabezpieczenie takie w odniesieniu do danych osobowych dotyczących wyroków i skazań będzie polegało na ograniczeniu kręgu podmiotów, którym dane te będą udostępniane poprzez cel, jakim jest przysługujące tym podmiotom na gruncie ustawy Pzp prawo do korzystania ze środków ochrony prawnej, również w oparciu o informacje dotyczące wyroków i skazań.</w:t>
      </w:r>
    </w:p>
    <w:p w14:paraId="4E9BFEE4" w14:textId="7777777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w myśl projektowanego art. 8a ust. 6 ustawy Pzp, zamawiający nie tylko na etapie postępowania o udzielenie zamówienia, ale również po jego zakończeniu, będą zobowiązani do przetwarzania danych osobowych (w tym ich udostępniania) w sposób gwarantujący zabezpieczenie przed ich bezprawnym rozpowszechnianiem. </w:t>
      </w:r>
    </w:p>
    <w:p w14:paraId="518E4DBD" w14:textId="22A15E3B"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Dodatkowo, zgodnie z projektowanym art. 8a ust. 7 ustawy Pzp, osoby upoważnione do przetwarzania danych osobowych, o których mowa w art. 10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zobowiązane będą do zachowania ich w poufności.   </w:t>
      </w:r>
    </w:p>
    <w:p w14:paraId="5B492E7D" w14:textId="7777777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ustawą Pzp, postępowanie o udzielenie zamówienia jest jawne, a zamawiający może ograniczyć dostęp do informacji związanych z postępowaniem o udzielenie zamówienia tylko w przypadkach wskazanych w tej ustawie (art. 8 ust. 1 i 2 ustawy Pzp). O ograniczeniu zasady jawności ze względu na ochronę prywatności, w odniesieniu do zamówienia udzielonego na podstawie art. 67 ust. 1 pkt 1 lit. b ustawy Pzp, stanowi obecny art. 8 ust. 4 ustawy Pzp.   </w:t>
      </w:r>
    </w:p>
    <w:p w14:paraId="218961A8" w14:textId="0798202D"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Udostępnianie danych osobowych jest jednym ze sposobów przetwarzania danych osobowych określonych w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W postępowaniach o udzielenie zamówienia publicznego zasady udostępniania dokumentacji postępowania (protokołów i załączników), w tym także umów zawartych w wyniku tych postępowań, a pośrednio znajdujących się w nich danych osobowych dotyczących wyroków i skazań, określa rozporządzenie </w:t>
      </w:r>
      <w:r w:rsidR="00B26A69">
        <w:rPr>
          <w:rFonts w:cstheme="minorHAnsi"/>
          <w:color w:val="000000" w:themeColor="text1"/>
          <w:sz w:val="24"/>
          <w:szCs w:val="24"/>
        </w:rPr>
        <w:t xml:space="preserve">Ministra Rozwoju z dnia 26 lipca 2016 r. </w:t>
      </w:r>
      <w:r w:rsidRPr="00375799">
        <w:rPr>
          <w:rFonts w:cstheme="minorHAnsi"/>
          <w:color w:val="000000" w:themeColor="text1"/>
          <w:sz w:val="24"/>
          <w:szCs w:val="24"/>
        </w:rPr>
        <w:t>w sprawie protokołu postępowania o udziel</w:t>
      </w:r>
      <w:r w:rsidR="00AC62C8">
        <w:rPr>
          <w:rFonts w:cstheme="minorHAnsi"/>
          <w:color w:val="000000" w:themeColor="text1"/>
          <w:sz w:val="24"/>
          <w:szCs w:val="24"/>
        </w:rPr>
        <w:t>e</w:t>
      </w:r>
      <w:r w:rsidRPr="00375799">
        <w:rPr>
          <w:rFonts w:cstheme="minorHAnsi"/>
          <w:color w:val="000000" w:themeColor="text1"/>
          <w:sz w:val="24"/>
          <w:szCs w:val="24"/>
        </w:rPr>
        <w:t>nie zamówienia publicznego</w:t>
      </w:r>
      <w:r w:rsidR="00B26A69">
        <w:rPr>
          <w:rFonts w:cstheme="minorHAnsi"/>
          <w:color w:val="000000" w:themeColor="text1"/>
          <w:sz w:val="24"/>
          <w:szCs w:val="24"/>
        </w:rPr>
        <w:t xml:space="preserve"> (Dz. U. poz. 1128)</w:t>
      </w:r>
      <w:r w:rsidRPr="00375799">
        <w:rPr>
          <w:rFonts w:cstheme="minorHAnsi"/>
          <w:color w:val="000000" w:themeColor="text1"/>
          <w:sz w:val="24"/>
          <w:szCs w:val="24"/>
        </w:rPr>
        <w:t>, wydane na podstawie art. 96 ust. 5 ustawy Pzp. Zatem, ogólna zasada wyrażona w projektowanym art. 8 ust. 5 ustawy Pzp, będzie miała zastosowanie do udostępniania protokołów i załączników do protokołu (vide: projektowany art. 96 ust. 3a</w:t>
      </w:r>
      <w:r w:rsidR="00B26A69">
        <w:rPr>
          <w:rFonts w:cstheme="minorHAnsi"/>
          <w:color w:val="000000" w:themeColor="text1"/>
          <w:sz w:val="24"/>
          <w:szCs w:val="24"/>
        </w:rPr>
        <w:t xml:space="preserve"> ustawy Pzp</w:t>
      </w:r>
      <w:r w:rsidRPr="00375799">
        <w:rPr>
          <w:rFonts w:cstheme="minorHAnsi"/>
          <w:color w:val="000000" w:themeColor="text1"/>
          <w:sz w:val="24"/>
          <w:szCs w:val="24"/>
        </w:rPr>
        <w:t>).</w:t>
      </w:r>
    </w:p>
    <w:p w14:paraId="2E742141" w14:textId="03D8603E"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Na gruncie zamówień publicznych i konkursów dane osobowe dotyczące wyroków i skazań mogą zawierać informacje z Krajowego Rejestru Karnego, jednolity europejski dokument zamówienia (zwłaszcza rubryka dotycząca tzw. samooczyszczenia)</w:t>
      </w:r>
      <w:r w:rsidR="00AC62C8">
        <w:rPr>
          <w:rFonts w:cstheme="minorHAnsi"/>
          <w:color w:val="000000" w:themeColor="text1"/>
          <w:sz w:val="24"/>
          <w:szCs w:val="24"/>
        </w:rPr>
        <w:t>,</w:t>
      </w:r>
      <w:r w:rsidRPr="00375799">
        <w:rPr>
          <w:rFonts w:cstheme="minorHAnsi"/>
          <w:color w:val="000000" w:themeColor="text1"/>
          <w:sz w:val="24"/>
          <w:szCs w:val="24"/>
        </w:rPr>
        <w:t xml:space="preserve"> jak też </w:t>
      </w:r>
      <w:r w:rsidRPr="00375799">
        <w:rPr>
          <w:rFonts w:cstheme="minorHAnsi"/>
          <w:color w:val="000000" w:themeColor="text1"/>
          <w:sz w:val="24"/>
          <w:szCs w:val="24"/>
        </w:rPr>
        <w:lastRenderedPageBreak/>
        <w:t xml:space="preserve">uzasadnienie wykluczenia wykonawcy z udziału w postępowaniu. Ograniczenie zasady jawności w odniesieniu do danych osobowych zawartych w informacji z KRK nie będzie miało zastosowania w sytuacji, gdy dana osoba nie figuruje w rejestrze skazań za przestępstwa lub wykroczenia. </w:t>
      </w:r>
    </w:p>
    <w:p w14:paraId="382C8F6F" w14:textId="72171DF6"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Adresatem normy wyrażonej w projektowanym art. 8 ust. 5</w:t>
      </w:r>
      <w:r w:rsidR="00B26A69">
        <w:rPr>
          <w:rFonts w:cstheme="minorHAnsi"/>
          <w:color w:val="000000" w:themeColor="text1"/>
          <w:sz w:val="24"/>
          <w:szCs w:val="24"/>
        </w:rPr>
        <w:t xml:space="preserve"> ustawy Pzp</w:t>
      </w:r>
      <w:r w:rsidRPr="00375799">
        <w:rPr>
          <w:rFonts w:cstheme="minorHAnsi"/>
          <w:color w:val="000000" w:themeColor="text1"/>
          <w:sz w:val="24"/>
          <w:szCs w:val="24"/>
        </w:rPr>
        <w:t xml:space="preserve"> będzie zamawiający udostępniający dokumentację postępowania (wnioski o dopuszczenie do udziału w postępowaniu czy oferty lub konkretne dokumenty zawierające dane osobowe dotyczące wyroków lub skazań) podmiotom, które mają interes do wniesienia środków ochrony prawnej i wyłącznie do upływu terminu na ich wniesienie. Zamawiający udostępnia dokumentację postępowania zawierającą dane osobowe dotyczącą wyroków skazujących i naruszeń prawa, wyłącznie w celu korzystania ze środków ochrony prawnej, a więc tylko podmiotom uprawnionym (zgodnie z art. 179 ustawy Pzp) oraz tylko w terminie na wniesienie środków ochrony prawnej, (sytuacja taka może zaistnieć również wtedy, gdy umowa w sprawie udzielenia zamówienia publicznego została już zawarta, vide: art. 182 ust. 3 i 4 ustawy Pzp). </w:t>
      </w:r>
    </w:p>
    <w:p w14:paraId="2087607B" w14:textId="0FAD841D"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art. 179 ust. 1 ustawy Pzp środki ochrony prawnej przysługują wykonawcy, uczestnikowi konkursu, a także innemu podmiotowi, jeżeli ma lub miał interes w uzyskaniu danego zamówienia oraz poniósł lub może ponieść szkodę w wyniku naruszenia przez zamawiającego przepisów ustawy Pzp. Dodatkowo, stosownie do art. 179 ust. 2 ustawy Pzp, środki ochrony prawnej wobec ogłoszenia o zamówieniu oraz specyfikacji istotnych warunków zamówienia przysługują również organizacjom wpisanym na listę, o której mowa w art. 154 pkt 5 ustawy Pzp. A zatem, po upływie terminu na skorzystanie ze środków ochrony prawnej albo w przypadku, gdy o dostęp do dokumentów zawierających informacje o wyrokach skazujących i naruszeniach prawa ubiegają się podmioty, którym nie przysługuje prawo do korzystania ze środków ochrony prawnej, zamawiający będzie udostępniał dane osobowe zawarte w dokumentach po ich odpowiednim </w:t>
      </w:r>
      <w:proofErr w:type="spellStart"/>
      <w:r w:rsidRPr="00375799">
        <w:rPr>
          <w:rFonts w:cstheme="minorHAnsi"/>
          <w:color w:val="000000" w:themeColor="text1"/>
          <w:sz w:val="24"/>
          <w:szCs w:val="24"/>
        </w:rPr>
        <w:t>spseudonimizowaniu</w:t>
      </w:r>
      <w:proofErr w:type="spellEnd"/>
      <w:r w:rsidRPr="00375799">
        <w:rPr>
          <w:rFonts w:cstheme="minorHAnsi"/>
          <w:color w:val="000000" w:themeColor="text1"/>
          <w:sz w:val="24"/>
          <w:szCs w:val="24"/>
        </w:rPr>
        <w:t xml:space="preserve">.  </w:t>
      </w:r>
    </w:p>
    <w:p w14:paraId="048D0948" w14:textId="7777777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Projektowana regulacja nie będzie miała zastosowania do organów publicznych lub instytucji (kontroli czy ścigania), które są uprawnione na mocy innych regulacji szczegółowych do żądania od zamawiającego udostępnienia dokumentacji postępowania. </w:t>
      </w:r>
    </w:p>
    <w:p w14:paraId="31A9C448" w14:textId="07AE512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Projektowane przepisy art. 8a ust. 1</w:t>
      </w:r>
      <w:r w:rsidR="00AC62C8">
        <w:rPr>
          <w:rFonts w:cstheme="minorHAnsi"/>
          <w:color w:val="000000" w:themeColor="text1"/>
          <w:sz w:val="24"/>
          <w:szCs w:val="24"/>
        </w:rPr>
        <w:t>–</w:t>
      </w:r>
      <w:r w:rsidRPr="00375799">
        <w:rPr>
          <w:rFonts w:cstheme="minorHAnsi"/>
          <w:color w:val="000000" w:themeColor="text1"/>
          <w:sz w:val="24"/>
          <w:szCs w:val="24"/>
        </w:rPr>
        <w:t xml:space="preserve">4 </w:t>
      </w:r>
      <w:r w:rsidR="00B26A69">
        <w:rPr>
          <w:rFonts w:cstheme="minorHAnsi"/>
          <w:color w:val="000000" w:themeColor="text1"/>
          <w:sz w:val="24"/>
          <w:szCs w:val="24"/>
        </w:rPr>
        <w:t xml:space="preserve">ustawy Pzp </w:t>
      </w:r>
      <w:r w:rsidRPr="00375799">
        <w:rPr>
          <w:rFonts w:cstheme="minorHAnsi"/>
          <w:color w:val="000000" w:themeColor="text1"/>
          <w:sz w:val="24"/>
          <w:szCs w:val="24"/>
        </w:rPr>
        <w:t xml:space="preserve">mają na celu dostosowanie sposobu realizacji uprawnień wynikających z tych przepisów do uwarunkowań wynikających ze stosowania </w:t>
      </w:r>
      <w:r w:rsidR="003D4901">
        <w:rPr>
          <w:rFonts w:cstheme="minorHAnsi"/>
          <w:color w:val="000000" w:themeColor="text1"/>
          <w:sz w:val="24"/>
          <w:szCs w:val="24"/>
        </w:rPr>
        <w:t xml:space="preserve">ustawy </w:t>
      </w:r>
      <w:r w:rsidRPr="00375799">
        <w:rPr>
          <w:rFonts w:cstheme="minorHAnsi"/>
          <w:color w:val="000000" w:themeColor="text1"/>
          <w:sz w:val="24"/>
          <w:szCs w:val="24"/>
        </w:rPr>
        <w:t xml:space="preserve">Pzp (dotyczy to przepisów art. 13 i </w:t>
      </w:r>
      <w:r w:rsidR="00AC62C8">
        <w:rPr>
          <w:rFonts w:cstheme="minorHAnsi"/>
          <w:color w:val="000000" w:themeColor="text1"/>
          <w:sz w:val="24"/>
          <w:szCs w:val="24"/>
        </w:rPr>
        <w:t xml:space="preserve">art. </w:t>
      </w:r>
      <w:r w:rsidRPr="00375799">
        <w:rPr>
          <w:rFonts w:cstheme="minorHAnsi"/>
          <w:color w:val="000000" w:themeColor="text1"/>
          <w:sz w:val="24"/>
          <w:szCs w:val="24"/>
        </w:rPr>
        <w:t xml:space="preserve">16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lub stanowią niezbędne ograniczenia stosowania </w:t>
      </w:r>
      <w:r w:rsidR="003D4901">
        <w:rPr>
          <w:rFonts w:cstheme="minorHAnsi"/>
          <w:color w:val="000000" w:themeColor="text1"/>
          <w:sz w:val="24"/>
          <w:szCs w:val="24"/>
        </w:rPr>
        <w:t>RODO</w:t>
      </w:r>
      <w:r w:rsidRPr="00375799">
        <w:rPr>
          <w:rFonts w:cstheme="minorHAnsi"/>
          <w:color w:val="000000" w:themeColor="text1"/>
          <w:sz w:val="24"/>
          <w:szCs w:val="24"/>
        </w:rPr>
        <w:t xml:space="preserve"> (dotyczy to przepisów art. 15 i </w:t>
      </w:r>
      <w:r w:rsidR="00AC62C8">
        <w:rPr>
          <w:rFonts w:cstheme="minorHAnsi"/>
          <w:color w:val="000000" w:themeColor="text1"/>
          <w:sz w:val="24"/>
          <w:szCs w:val="24"/>
        </w:rPr>
        <w:t xml:space="preserve">art. </w:t>
      </w:r>
      <w:r w:rsidRPr="00375799">
        <w:rPr>
          <w:rFonts w:cstheme="minorHAnsi"/>
          <w:color w:val="000000" w:themeColor="text1"/>
          <w:sz w:val="24"/>
          <w:szCs w:val="24"/>
        </w:rPr>
        <w:t xml:space="preserve">18 tego rozporządzenia). Projektowane przepisy nie zawierają odniesienia do art. 21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ponieważ przepis ten nie znajduje zastosowania w przypadku przetwarzania danych osobowych na podstawie przesłanki wskazanej w art. 6 ust. 1 lit. c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(gdy przetwarzanie jest niezbędne do wypełnienia obowiązku prawnego ciążącego na administratorze), która stanowi podstawę prawną przetwarzania danych osobowych w związku z udzielaniem zamówień publicznych i przeprowadzaniem konkursów. A zatem, na mocy samego art. 21 ust. 1 </w:t>
      </w:r>
      <w:r w:rsidR="00BF4730" w:rsidRPr="00375799">
        <w:rPr>
          <w:rFonts w:cstheme="minorHAnsi"/>
          <w:color w:val="000000" w:themeColor="text1"/>
          <w:sz w:val="24"/>
          <w:szCs w:val="24"/>
        </w:rPr>
        <w:t>RODO</w:t>
      </w:r>
      <w:r w:rsidRPr="00375799">
        <w:rPr>
          <w:rFonts w:cstheme="minorHAnsi"/>
          <w:color w:val="000000" w:themeColor="text1"/>
          <w:sz w:val="24"/>
          <w:szCs w:val="24"/>
        </w:rPr>
        <w:t xml:space="preserve">, stosowanie przepisu art. 21 w odniesieniu do zamówień publicznych i konkursów zostało wyłączone.  </w:t>
      </w:r>
    </w:p>
    <w:p w14:paraId="58DBCFAD" w14:textId="2D9A74AD"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Biorąc pod uwagę specyfikę zamówień publicznych, które są udzielane i realizowane w interesie publicznym (w tym państw UE) oraz konieczność zapewnienia efektywnego procesu udzielania zamówień publicznych, niezbędne jest zmodyfikowanie sposobu stosowania niektórych przepisów </w:t>
      </w:r>
      <w:r w:rsidR="00BF4730" w:rsidRPr="00375799">
        <w:rPr>
          <w:rFonts w:cstheme="minorHAnsi"/>
          <w:color w:val="000000" w:themeColor="text1"/>
          <w:sz w:val="24"/>
          <w:szCs w:val="24"/>
        </w:rPr>
        <w:t>RODO</w:t>
      </w:r>
      <w:r w:rsidR="00BF4730" w:rsidRPr="00375799" w:rsidDel="00BF4730">
        <w:rPr>
          <w:rFonts w:cstheme="minorHAnsi"/>
          <w:color w:val="000000" w:themeColor="text1"/>
          <w:sz w:val="24"/>
          <w:szCs w:val="24"/>
        </w:rPr>
        <w:t xml:space="preserve"> </w:t>
      </w:r>
      <w:r w:rsidRPr="00375799">
        <w:rPr>
          <w:rFonts w:cstheme="minorHAnsi"/>
          <w:color w:val="000000" w:themeColor="text1"/>
          <w:sz w:val="24"/>
          <w:szCs w:val="24"/>
        </w:rPr>
        <w:t xml:space="preserve">poprzez dostosowanie sposobu realizacji uprawnień wynikających z tych przepisów do uwarunkowań wynikających ze stosowania Pzp, co ma na celu zapobieżenie – w interesie publicznym – nadmiernego wydłużania, a czasem zahamowania procesu udzielania zamówienia publicznego. </w:t>
      </w:r>
    </w:p>
    <w:p w14:paraId="03BB11AB" w14:textId="7777777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Co więcej, jak wynika z motywu 80 dyrektywy 2014/24/UE w sprawie zamówień publicznych, aby przyśpieszyć i usprawnić procedury, terminy udziału w postępowaniu o udzielenie zamówienia publicznego powinny być możliwie najkrótsze i nie powinny stwarzać niepotrzebnych przeszkód w dostępie dla wykonawców z całego rynku wewnętrznego, w szczególności MŚP. Sprawne prowadzenie postępowań pozwala na zapewnienie wykonawcom równego dostępu do udziału w postępowaniu, ponieważ łączy się z utrzymaniem zainteresowania wykonawców uzyskaniem zamówienia w tym postępowaniu i ważności ofert. Wstrzymanie procedury udzielania zamówienia w związku z koniecznością wstrzymania lub ograniczenia przetwarzania danych osobowych stałoby zatem w sprzeczności z celami postępowania o udzielenie zamówienia publicznego, a szerzej dyrektywami z zakresu zamówień publicznych.</w:t>
      </w:r>
    </w:p>
    <w:p w14:paraId="3AA17D3A" w14:textId="197AE37F"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Proponowane ograniczenia lub modyfikacje są więc środkiem niezbędnym i proporcjonalnym do celów realizowanych przez proces udzielania zamówień publicznych, a zatem spełniona została przesłanka, o której mowa w art. 23 ust. 1 lit. e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604DE512" w14:textId="5CF7838A"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Należy przy tym wyjaśnić, że z przepisów ustawy Pzp wynika kto jest na gruncie zamówień publicznych administratorem danego zbioru danych osobowych (będzie to w szczególności: zamawiający, wykonawca lub uczestnik konkursu, Prezes UZP, Prezes Krajowej Izby Odwoławczej); jakie są cele przetwarzania (np. prowadzenie postępowania lub konkursu, zawarcie umowy, realizacja umowy); oraz kategorie danych osobowych (tzw. dane osobowe zwykłe oraz dane osobowe dotyczące wyroków skazujących i naruszeń prawa). Zatem, pomimo wprowadzenia do ustawy Pzp niezbędnych ograniczeń w stosowaniu </w:t>
      </w:r>
      <w:r w:rsidR="003D4901">
        <w:rPr>
          <w:rFonts w:cstheme="minorHAnsi"/>
          <w:color w:val="000000" w:themeColor="text1"/>
          <w:sz w:val="24"/>
          <w:szCs w:val="24"/>
        </w:rPr>
        <w:t>RODO</w:t>
      </w:r>
      <w:r w:rsidRPr="00375799">
        <w:rPr>
          <w:rFonts w:cstheme="minorHAnsi"/>
          <w:color w:val="000000" w:themeColor="text1"/>
          <w:sz w:val="24"/>
          <w:szCs w:val="24"/>
        </w:rPr>
        <w:t xml:space="preserve"> oraz brzmienia art. 23 ust. 2 lit. a, b i e </w:t>
      </w:r>
      <w:r w:rsidR="003D4901">
        <w:rPr>
          <w:rFonts w:cstheme="minorHAnsi"/>
          <w:color w:val="000000" w:themeColor="text1"/>
          <w:sz w:val="24"/>
          <w:szCs w:val="24"/>
        </w:rPr>
        <w:t xml:space="preserve">tego rozporządzenia </w:t>
      </w:r>
      <w:r w:rsidRPr="00375799">
        <w:rPr>
          <w:rFonts w:cstheme="minorHAnsi"/>
          <w:color w:val="000000" w:themeColor="text1"/>
          <w:sz w:val="24"/>
          <w:szCs w:val="24"/>
        </w:rPr>
        <w:t xml:space="preserve">– nie zachodzi potrzeba określenia wprost w przepisach ustawy Pzp: celów przetwarzania, administratorów danych osobowych czy kategorii danych osobowych. Natomiast okresy przechowywania dokumentacji postępowania (protokołu oraz załączników) określone są w obecnym brzmieniu art. 97 ust. 1 ustawy Pzp. </w:t>
      </w:r>
    </w:p>
    <w:p w14:paraId="2759DCED" w14:textId="64DA230D"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8a ust. 1 usta</w:t>
      </w:r>
      <w:r w:rsidR="003D4901">
        <w:rPr>
          <w:rFonts w:cstheme="minorHAnsi"/>
          <w:color w:val="000000" w:themeColor="text1"/>
          <w:sz w:val="24"/>
          <w:szCs w:val="24"/>
        </w:rPr>
        <w:t>w</w:t>
      </w:r>
      <w:r w:rsidR="00340C88">
        <w:rPr>
          <w:rFonts w:cstheme="minorHAnsi"/>
          <w:color w:val="000000" w:themeColor="text1"/>
          <w:sz w:val="24"/>
          <w:szCs w:val="24"/>
        </w:rPr>
        <w:t>y</w:t>
      </w:r>
      <w:r w:rsidRPr="00375799">
        <w:rPr>
          <w:rFonts w:cstheme="minorHAnsi"/>
          <w:color w:val="000000" w:themeColor="text1"/>
          <w:sz w:val="24"/>
          <w:szCs w:val="24"/>
        </w:rPr>
        <w:t xml:space="preserve"> Pzp</w:t>
      </w:r>
      <w:r w:rsidR="003D4901">
        <w:rPr>
          <w:rFonts w:cstheme="minorHAnsi"/>
          <w:color w:val="000000" w:themeColor="text1"/>
          <w:sz w:val="24"/>
          <w:szCs w:val="24"/>
        </w:rPr>
        <w:t>.</w:t>
      </w:r>
    </w:p>
    <w:p w14:paraId="3D7D2D77" w14:textId="097553EB"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przepis ma na celu dostosowanie sposobu realizacji obowiązku informacyjnego, określonego w art. 13 ust. 1</w:t>
      </w:r>
      <w:r w:rsidR="00AC62C8">
        <w:rPr>
          <w:rFonts w:cstheme="minorHAnsi"/>
          <w:color w:val="000000" w:themeColor="text1"/>
          <w:sz w:val="24"/>
          <w:szCs w:val="24"/>
        </w:rPr>
        <w:t>–</w:t>
      </w:r>
      <w:r w:rsidRPr="00375799">
        <w:rPr>
          <w:rFonts w:cstheme="minorHAnsi"/>
          <w:color w:val="000000" w:themeColor="text1"/>
          <w:sz w:val="24"/>
          <w:szCs w:val="24"/>
        </w:rPr>
        <w:t xml:space="preserve">3 </w:t>
      </w:r>
      <w:r w:rsidR="008F70BF" w:rsidRPr="00375799">
        <w:rPr>
          <w:rFonts w:cstheme="minorHAnsi"/>
          <w:color w:val="000000" w:themeColor="text1"/>
          <w:sz w:val="24"/>
          <w:szCs w:val="24"/>
        </w:rPr>
        <w:t>RODO</w:t>
      </w:r>
      <w:r w:rsidRPr="00375799">
        <w:rPr>
          <w:rFonts w:cstheme="minorHAnsi"/>
          <w:color w:val="000000" w:themeColor="text1"/>
          <w:sz w:val="24"/>
          <w:szCs w:val="24"/>
        </w:rPr>
        <w:t>, do uwarunkowań wynikających ze stosowania Pzp.</w:t>
      </w:r>
    </w:p>
    <w:p w14:paraId="0645FF02" w14:textId="7521228E"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 ten wprowadza możliwość, ale nie obowiązek, elastycznego podejścia do obowiązku informacyjnego, określonego w art. 13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w przypadku zbierania danych od osoby, której dane dotyczą, realizowanego przez zamawiającego. W praktyce będzie to </w:t>
      </w:r>
      <w:r w:rsidRPr="00375799">
        <w:rPr>
          <w:rFonts w:cstheme="minorHAnsi"/>
          <w:color w:val="000000" w:themeColor="text1"/>
          <w:sz w:val="24"/>
          <w:szCs w:val="24"/>
        </w:rPr>
        <w:lastRenderedPageBreak/>
        <w:t>dotyczyło obowiązku informacyjnego realizowanego względem wykonawcy będącego osobą fizyczną, który będzie musiał już na początku zapoznać się z treścią ogłoszenia o zamówieniu (czy ogłoszenia o konkursie) lub specyfikacji istotnych warunków zamówienia, aby móc uczestniczyć w danych postępowaniu lub konkursie. Zatem, co do zasady, informacje, o których mowa w art. 13 ust. 1</w:t>
      </w:r>
      <w:r w:rsidR="00AC62C8">
        <w:rPr>
          <w:rFonts w:cstheme="minorHAnsi"/>
          <w:color w:val="000000" w:themeColor="text1"/>
          <w:sz w:val="24"/>
          <w:szCs w:val="24"/>
        </w:rPr>
        <w:t>–</w:t>
      </w:r>
      <w:r w:rsidRPr="00375799">
        <w:rPr>
          <w:rFonts w:cstheme="minorHAnsi"/>
          <w:color w:val="000000" w:themeColor="text1"/>
          <w:sz w:val="24"/>
          <w:szCs w:val="24"/>
        </w:rPr>
        <w:t xml:space="preserve">3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dotrą do takiego wykonawcy już na początku postępowania czy konkursu. Z uwagi na fakt, że informacje te byłyby podawane w konkretnym postępowaniu o udzielenie zamówienia publicznego lub konkursie, realizowany byłby obowiązek indywidualnego informowania, o którym mowa w art. 13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przy pomocy narzędzi i sposobów dostępnych zamawiającemu w ramach prowadzonego postępowania lub konkursu. Projektowana regulacja umożliwia nieprzekazywanie informacji, każdorazowo osobie, której dane dotyczą, ale przekazanie ich w formie komunikatu poprzez zawarcie wszystkich niezbędnych informacji przez zamawiającego w ogłoszeniu o zamówieniu (czy w ogłoszeniu o konkursie) lub w specyfikacji istotnych warunków zamówienia albo regulaminie konkursu. Mając na względzie treść art. 12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informacje te muszą być zamieszczone w łatwo dostępnej formie i opisane przejrzystym, zrozumiałym jasnym i prostym językiem. </w:t>
      </w:r>
    </w:p>
    <w:p w14:paraId="46549BDC" w14:textId="64F36F3C"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Reasumując, biorąc pod uwagę specyfikę zamówień publicznych oraz konieczność zapewnienia efektywnego prowadzenia postępowania o udzielenie zamówienia publicznego lub konkursu proponuje się wprowadzenie możliwości bardziej liberalnego stosowania art. 13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Zatem, zgodnie z projektowanym art. 8a ust. 1 „Zamawiający realizuje </w:t>
      </w:r>
      <w:r w:rsidR="003D4901" w:rsidRPr="00375799">
        <w:rPr>
          <w:rFonts w:cstheme="minorHAnsi"/>
          <w:color w:val="000000" w:themeColor="text1"/>
          <w:sz w:val="24"/>
          <w:szCs w:val="24"/>
        </w:rPr>
        <w:t>obowiąz</w:t>
      </w:r>
      <w:r w:rsidR="003D4901">
        <w:rPr>
          <w:rFonts w:cstheme="minorHAnsi"/>
          <w:color w:val="000000" w:themeColor="text1"/>
          <w:sz w:val="24"/>
          <w:szCs w:val="24"/>
        </w:rPr>
        <w:t>ki</w:t>
      </w:r>
      <w:r w:rsidR="003D4901" w:rsidRPr="00375799">
        <w:rPr>
          <w:rFonts w:cstheme="minorHAnsi"/>
          <w:color w:val="000000" w:themeColor="text1"/>
          <w:sz w:val="24"/>
          <w:szCs w:val="24"/>
        </w:rPr>
        <w:t xml:space="preserve"> </w:t>
      </w:r>
      <w:r w:rsidRPr="00375799">
        <w:rPr>
          <w:rFonts w:cstheme="minorHAnsi"/>
          <w:color w:val="000000" w:themeColor="text1"/>
          <w:sz w:val="24"/>
          <w:szCs w:val="24"/>
        </w:rPr>
        <w:t>informacyjn</w:t>
      </w:r>
      <w:r w:rsidR="003D4901">
        <w:rPr>
          <w:rFonts w:cstheme="minorHAnsi"/>
          <w:color w:val="000000" w:themeColor="text1"/>
          <w:sz w:val="24"/>
          <w:szCs w:val="24"/>
        </w:rPr>
        <w:t>e</w:t>
      </w:r>
      <w:r w:rsidRPr="00375799">
        <w:rPr>
          <w:rFonts w:cstheme="minorHAnsi"/>
          <w:color w:val="000000" w:themeColor="text1"/>
          <w:sz w:val="24"/>
          <w:szCs w:val="24"/>
        </w:rPr>
        <w:t>, o który</w:t>
      </w:r>
      <w:r w:rsidR="003D4901">
        <w:rPr>
          <w:rFonts w:cstheme="minorHAnsi"/>
          <w:color w:val="000000" w:themeColor="text1"/>
          <w:sz w:val="24"/>
          <w:szCs w:val="24"/>
        </w:rPr>
        <w:t>ch</w:t>
      </w:r>
      <w:r w:rsidRPr="00375799">
        <w:rPr>
          <w:rFonts w:cstheme="minorHAnsi"/>
          <w:color w:val="000000" w:themeColor="text1"/>
          <w:sz w:val="24"/>
          <w:szCs w:val="24"/>
        </w:rPr>
        <w:t xml:space="preserve"> mowa w art. 13 ust. 1</w:t>
      </w:r>
      <w:r w:rsidR="00AC62C8">
        <w:rPr>
          <w:rFonts w:cstheme="minorHAnsi"/>
          <w:color w:val="000000" w:themeColor="text1"/>
          <w:sz w:val="24"/>
          <w:szCs w:val="24"/>
        </w:rPr>
        <w:t>–</w:t>
      </w:r>
      <w:r w:rsidRPr="00375799">
        <w:rPr>
          <w:rFonts w:cstheme="minorHAnsi"/>
          <w:color w:val="000000" w:themeColor="text1"/>
          <w:sz w:val="24"/>
          <w:szCs w:val="24"/>
        </w:rPr>
        <w:t xml:space="preserve">3 </w:t>
      </w:r>
      <w:r w:rsidR="003D4901">
        <w:rPr>
          <w:rFonts w:cstheme="minorHAnsi"/>
          <w:color w:val="000000" w:themeColor="text1"/>
          <w:sz w:val="24"/>
          <w:szCs w:val="24"/>
        </w:rPr>
        <w:t>rozporządzenia 2016/679</w:t>
      </w:r>
      <w:r w:rsidR="00AC62C8">
        <w:rPr>
          <w:rFonts w:cstheme="minorHAnsi"/>
          <w:color w:val="000000" w:themeColor="text1"/>
          <w:sz w:val="24"/>
          <w:szCs w:val="24"/>
        </w:rPr>
        <w:t>,</w:t>
      </w:r>
      <w:r w:rsidR="008F70BF" w:rsidRPr="00375799" w:rsidDel="008F70BF">
        <w:rPr>
          <w:rFonts w:cstheme="minorHAnsi"/>
          <w:color w:val="000000" w:themeColor="text1"/>
          <w:sz w:val="24"/>
          <w:szCs w:val="24"/>
        </w:rPr>
        <w:t xml:space="preserve"> </w:t>
      </w:r>
      <w:r w:rsidRPr="00375799">
        <w:rPr>
          <w:rFonts w:cstheme="minorHAnsi"/>
          <w:color w:val="000000" w:themeColor="text1"/>
          <w:sz w:val="24"/>
          <w:szCs w:val="24"/>
        </w:rPr>
        <w:t>przez zamieszczenie wymaganych informacji w ogłoszeniu o zamówieniu, ogłoszeniu o konkursie, w specyfikacji istotnych warunków zamówienia, w regulaminie konkursu lub przy pierwszej czynności skierowanej do wykonawcy.”.</w:t>
      </w:r>
    </w:p>
    <w:p w14:paraId="36EC203D" w14:textId="7CD29F8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8a ust. 2 ustaw</w:t>
      </w:r>
      <w:r w:rsidR="004B0F3E">
        <w:rPr>
          <w:rFonts w:cstheme="minorHAnsi"/>
          <w:color w:val="000000" w:themeColor="text1"/>
          <w:sz w:val="24"/>
          <w:szCs w:val="24"/>
        </w:rPr>
        <w:t>y</w:t>
      </w:r>
      <w:r w:rsidRPr="00375799">
        <w:rPr>
          <w:rFonts w:cstheme="minorHAnsi"/>
          <w:color w:val="000000" w:themeColor="text1"/>
          <w:sz w:val="24"/>
          <w:szCs w:val="24"/>
        </w:rPr>
        <w:t xml:space="preserve"> Pzp</w:t>
      </w:r>
      <w:r w:rsidR="003D4901">
        <w:rPr>
          <w:rFonts w:cstheme="minorHAnsi"/>
          <w:color w:val="000000" w:themeColor="text1"/>
          <w:sz w:val="24"/>
          <w:szCs w:val="24"/>
        </w:rPr>
        <w:t>.</w:t>
      </w:r>
    </w:p>
    <w:p w14:paraId="1B9D8B6B" w14:textId="60A75E2F"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Mając na względzie dążenie do ograniczenia obowiązków administracyjnych w odniesieniu do zamawiających (co zostało również wyrażone w dyrektywach UE dotyczących zamówień publicznych), jak również wprowadzenie wymogu wdrożenia przez zamawiających odpowiednich zabezpieczeń, jest prawnie uzasadnione oraz niezbędne zmodyfikowanie sposobu stosowania art. 15 </w:t>
      </w:r>
      <w:r w:rsidR="008F70BF" w:rsidRPr="00375799">
        <w:rPr>
          <w:rFonts w:cstheme="minorHAnsi"/>
          <w:color w:val="000000" w:themeColor="text1"/>
          <w:sz w:val="24"/>
          <w:szCs w:val="24"/>
        </w:rPr>
        <w:t>RODO</w:t>
      </w:r>
      <w:r w:rsidR="008F70BF" w:rsidRPr="00375799" w:rsidDel="008F70BF">
        <w:rPr>
          <w:rFonts w:cstheme="minorHAnsi"/>
          <w:color w:val="000000" w:themeColor="text1"/>
          <w:sz w:val="24"/>
          <w:szCs w:val="24"/>
        </w:rPr>
        <w:t xml:space="preserve"> </w:t>
      </w:r>
      <w:r w:rsidRPr="00375799">
        <w:rPr>
          <w:rFonts w:cstheme="minorHAnsi"/>
          <w:color w:val="000000" w:themeColor="text1"/>
          <w:sz w:val="24"/>
          <w:szCs w:val="24"/>
        </w:rPr>
        <w:t xml:space="preserve">przez dostosowanie sposobu realizacji uprawnień wynikających z tego przepisu do uwarunkowań wynikających ze stosowania ustawy Pzp, co ma na celu zapobieżenie – w interesie publicznym – nadmiernemu obciążaniu zamawiających, którzy byliby zmuszeni do przeszukiwania niejednokrotnie znacznej ilości dokumentacji w celu ustalenia, czy konkretne dane osobowe były przetwarzane. Proponowane ograniczenie jest środkiem niezbędnym i proporcjonalnym do celów przechowywania – w interesie publicznym – dokumentacji postępowania, a zatem spełniona została przesłanka, o której mowa w art. 23 ust. 1 lit. e </w:t>
      </w:r>
      <w:r w:rsidR="008F70BF" w:rsidRPr="00375799">
        <w:rPr>
          <w:rFonts w:cstheme="minorHAnsi"/>
          <w:color w:val="000000" w:themeColor="text1"/>
          <w:sz w:val="24"/>
          <w:szCs w:val="24"/>
        </w:rPr>
        <w:t>RODO</w:t>
      </w:r>
      <w:r w:rsidRPr="00375799">
        <w:rPr>
          <w:rFonts w:cstheme="minorHAnsi"/>
          <w:color w:val="000000" w:themeColor="text1"/>
          <w:sz w:val="24"/>
          <w:szCs w:val="24"/>
        </w:rPr>
        <w:t>.  Należy przy tym zaznaczyć, że ze względu na zasadę jawności w zamówieniach publicznych osoba, której danej dotyczą</w:t>
      </w:r>
      <w:r w:rsidR="00AC62C8">
        <w:rPr>
          <w:rFonts w:cstheme="minorHAnsi"/>
          <w:color w:val="000000" w:themeColor="text1"/>
          <w:sz w:val="24"/>
          <w:szCs w:val="24"/>
        </w:rPr>
        <w:t>,</w:t>
      </w:r>
      <w:r w:rsidRPr="00375799">
        <w:rPr>
          <w:rFonts w:cstheme="minorHAnsi"/>
          <w:color w:val="000000" w:themeColor="text1"/>
          <w:sz w:val="24"/>
          <w:szCs w:val="24"/>
        </w:rPr>
        <w:t xml:space="preserve"> będzie miała dostęp do przechowywanej dokumentacji postępowania, w oparciu o przepisy prawa zamówień publicznych, a więc będzie mogła bezpośrednio realizować prawo dostępu do danych osobowych </w:t>
      </w:r>
      <w:r w:rsidR="00310C3A">
        <w:rPr>
          <w:rFonts w:cstheme="minorHAnsi"/>
          <w:color w:val="000000" w:themeColor="text1"/>
          <w:sz w:val="24"/>
          <w:szCs w:val="24"/>
        </w:rPr>
        <w:t xml:space="preserve">jej dotyczących. </w:t>
      </w:r>
    </w:p>
    <w:p w14:paraId="05FA57C0" w14:textId="46640186"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Zatem, zgodnie z projektowanym art. 8a ust. 2</w:t>
      </w:r>
      <w:r w:rsidR="003D4901">
        <w:rPr>
          <w:rFonts w:cstheme="minorHAnsi"/>
          <w:color w:val="000000" w:themeColor="text1"/>
          <w:sz w:val="24"/>
          <w:szCs w:val="24"/>
        </w:rPr>
        <w:t xml:space="preserve"> ustawy Pzp</w:t>
      </w:r>
      <w:r w:rsidRPr="00375799">
        <w:rPr>
          <w:rFonts w:cstheme="minorHAnsi"/>
          <w:color w:val="000000" w:themeColor="text1"/>
          <w:sz w:val="24"/>
          <w:szCs w:val="24"/>
        </w:rPr>
        <w:t>, „W przypadku, gdy wykonanie obowiązk</w:t>
      </w:r>
      <w:r w:rsidR="003D4901">
        <w:rPr>
          <w:rFonts w:cstheme="minorHAnsi"/>
          <w:color w:val="000000" w:themeColor="text1"/>
          <w:sz w:val="24"/>
          <w:szCs w:val="24"/>
        </w:rPr>
        <w:t>ów</w:t>
      </w:r>
      <w:r w:rsidRPr="00375799">
        <w:rPr>
          <w:rFonts w:cstheme="minorHAnsi"/>
          <w:color w:val="000000" w:themeColor="text1"/>
          <w:sz w:val="24"/>
          <w:szCs w:val="24"/>
        </w:rPr>
        <w:t>, o który</w:t>
      </w:r>
      <w:r w:rsidR="003D4901">
        <w:rPr>
          <w:rFonts w:cstheme="minorHAnsi"/>
          <w:color w:val="000000" w:themeColor="text1"/>
          <w:sz w:val="24"/>
          <w:szCs w:val="24"/>
        </w:rPr>
        <w:t>ch</w:t>
      </w:r>
      <w:r w:rsidRPr="00375799">
        <w:rPr>
          <w:rFonts w:cstheme="minorHAnsi"/>
          <w:color w:val="000000" w:themeColor="text1"/>
          <w:sz w:val="24"/>
          <w:szCs w:val="24"/>
        </w:rPr>
        <w:t xml:space="preserve"> mowa w art. 15 ust. 1</w:t>
      </w:r>
      <w:r w:rsidR="00AC62C8">
        <w:rPr>
          <w:rFonts w:cstheme="minorHAnsi"/>
          <w:color w:val="000000" w:themeColor="text1"/>
          <w:sz w:val="24"/>
          <w:szCs w:val="24"/>
        </w:rPr>
        <w:t>–</w:t>
      </w:r>
      <w:r w:rsidRPr="00375799">
        <w:rPr>
          <w:rFonts w:cstheme="minorHAnsi"/>
          <w:color w:val="000000" w:themeColor="text1"/>
          <w:sz w:val="24"/>
          <w:szCs w:val="24"/>
        </w:rPr>
        <w:t xml:space="preserve">3 </w:t>
      </w:r>
      <w:r w:rsidR="003D4901">
        <w:rPr>
          <w:rFonts w:cstheme="minorHAnsi"/>
          <w:color w:val="000000" w:themeColor="text1"/>
          <w:sz w:val="24"/>
          <w:szCs w:val="24"/>
        </w:rPr>
        <w:t>rozporządzenia 2016/679</w:t>
      </w:r>
      <w:r w:rsidRPr="00375799">
        <w:rPr>
          <w:rFonts w:cstheme="minorHAnsi"/>
          <w:color w:val="000000" w:themeColor="text1"/>
          <w:sz w:val="24"/>
          <w:szCs w:val="24"/>
        </w:rPr>
        <w:t>, wymagałoby niewspółmiernie dużego wysiłku, zamawiający może żądać od osoby, której dane dotyczą</w:t>
      </w:r>
      <w:r w:rsidR="00310C3A">
        <w:rPr>
          <w:rFonts w:cstheme="minorHAnsi"/>
          <w:color w:val="000000" w:themeColor="text1"/>
          <w:sz w:val="24"/>
          <w:szCs w:val="24"/>
        </w:rPr>
        <w:t>,</w:t>
      </w:r>
      <w:r w:rsidRPr="00375799">
        <w:rPr>
          <w:rFonts w:cstheme="minorHAnsi"/>
          <w:color w:val="000000" w:themeColor="text1"/>
          <w:sz w:val="24"/>
          <w:szCs w:val="24"/>
        </w:rPr>
        <w:t xml:space="preserve"> wskazania dodatkowych informacji mających na celu sprecyzowanie żądania, w szczególności podania nazwy lub daty postępowania o udzielenie zamówie</w:t>
      </w:r>
      <w:r w:rsidR="00310C3A">
        <w:rPr>
          <w:rFonts w:cstheme="minorHAnsi"/>
          <w:color w:val="000000" w:themeColor="text1"/>
          <w:sz w:val="24"/>
          <w:szCs w:val="24"/>
        </w:rPr>
        <w:t>nia publicznego lub konkursu”.</w:t>
      </w:r>
    </w:p>
    <w:p w14:paraId="700505FD" w14:textId="46AABCC8" w:rsidR="00C35A4D" w:rsidRPr="00375799" w:rsidRDefault="00310C3A"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Projektowany art. 8a ust. 3 </w:t>
      </w:r>
      <w:r w:rsidR="00C35A4D" w:rsidRPr="00375799">
        <w:rPr>
          <w:rFonts w:cstheme="minorHAnsi"/>
          <w:color w:val="000000" w:themeColor="text1"/>
          <w:sz w:val="24"/>
          <w:szCs w:val="24"/>
        </w:rPr>
        <w:t>ustaw</w:t>
      </w:r>
      <w:r>
        <w:rPr>
          <w:rFonts w:cstheme="minorHAnsi"/>
          <w:color w:val="000000" w:themeColor="text1"/>
          <w:sz w:val="24"/>
          <w:szCs w:val="24"/>
        </w:rPr>
        <w:t>y</w:t>
      </w:r>
      <w:r w:rsidR="00C35A4D" w:rsidRPr="00375799">
        <w:rPr>
          <w:rFonts w:cstheme="minorHAnsi"/>
          <w:color w:val="000000" w:themeColor="text1"/>
          <w:sz w:val="24"/>
          <w:szCs w:val="24"/>
        </w:rPr>
        <w:t xml:space="preserve"> Pzp</w:t>
      </w:r>
      <w:r w:rsidR="003D4901">
        <w:rPr>
          <w:rFonts w:cstheme="minorHAnsi"/>
          <w:color w:val="000000" w:themeColor="text1"/>
          <w:sz w:val="24"/>
          <w:szCs w:val="24"/>
        </w:rPr>
        <w:t>.</w:t>
      </w:r>
    </w:p>
    <w:p w14:paraId="0BC39F51" w14:textId="049C083C"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Przepis ten ma na celu doprecyzowanie, że skorzystanie przez osobę, której dane osobowe dotyczą</w:t>
      </w:r>
      <w:r w:rsidR="00AC62C8">
        <w:rPr>
          <w:rFonts w:cstheme="minorHAnsi"/>
          <w:color w:val="000000" w:themeColor="text1"/>
          <w:sz w:val="24"/>
          <w:szCs w:val="24"/>
        </w:rPr>
        <w:t>,</w:t>
      </w:r>
      <w:r w:rsidRPr="00375799">
        <w:rPr>
          <w:rFonts w:cstheme="minorHAnsi"/>
          <w:color w:val="000000" w:themeColor="text1"/>
          <w:sz w:val="24"/>
          <w:szCs w:val="24"/>
        </w:rPr>
        <w:t xml:space="preserve"> z uprawnienia do sprostowania lub uzupełnienia, o którym mowa w art. 16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nie może skutkować zmianą wyniku postępowania o udzielenie zamówienia publicznego lub konkursu ani zmianą postanowień umowy w zakresie niezgodnym z ustawą. Nie będzie więc możliwa niezgodna z prawem zamówień publicznych zmiana reguł toczącego się postępowania o udzielenie zamówienia publicznego lub konkursu czy postanowień umowy, w oparciu o przysługujące uprawnienie z art. 16 </w:t>
      </w:r>
      <w:r w:rsidR="008F70BF" w:rsidRPr="00375799">
        <w:rPr>
          <w:rFonts w:cstheme="minorHAnsi"/>
          <w:color w:val="000000" w:themeColor="text1"/>
          <w:sz w:val="24"/>
          <w:szCs w:val="24"/>
        </w:rPr>
        <w:t>RODO</w:t>
      </w:r>
      <w:r w:rsidR="00110B1C">
        <w:rPr>
          <w:rFonts w:cstheme="minorHAnsi"/>
          <w:color w:val="000000" w:themeColor="text1"/>
          <w:sz w:val="24"/>
          <w:szCs w:val="24"/>
        </w:rPr>
        <w:t>.</w:t>
      </w:r>
    </w:p>
    <w:p w14:paraId="6AC3A92F" w14:textId="5D548A73"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8a ust. 4 ustaw</w:t>
      </w:r>
      <w:r w:rsidR="00110B1C">
        <w:rPr>
          <w:rFonts w:cstheme="minorHAnsi"/>
          <w:color w:val="000000" w:themeColor="text1"/>
          <w:sz w:val="24"/>
          <w:szCs w:val="24"/>
        </w:rPr>
        <w:t>y</w:t>
      </w:r>
      <w:r w:rsidRPr="00375799">
        <w:rPr>
          <w:rFonts w:cstheme="minorHAnsi"/>
          <w:color w:val="000000" w:themeColor="text1"/>
          <w:sz w:val="24"/>
          <w:szCs w:val="24"/>
        </w:rPr>
        <w:t xml:space="preserve"> Pzp</w:t>
      </w:r>
      <w:r w:rsidR="003D4901">
        <w:rPr>
          <w:rFonts w:cstheme="minorHAnsi"/>
          <w:color w:val="000000" w:themeColor="text1"/>
          <w:sz w:val="24"/>
          <w:szCs w:val="24"/>
        </w:rPr>
        <w:t>.</w:t>
      </w:r>
    </w:p>
    <w:p w14:paraId="6F3E6A34" w14:textId="49973742"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Stosowanie w toku postępowania o udzielenie zamówienia publicznego lub konkursu art. 18 </w:t>
      </w:r>
      <w:r w:rsidR="008F70BF" w:rsidRPr="00375799">
        <w:rPr>
          <w:rFonts w:cstheme="minorHAnsi"/>
          <w:color w:val="000000" w:themeColor="text1"/>
          <w:sz w:val="24"/>
          <w:szCs w:val="24"/>
        </w:rPr>
        <w:t>RODO</w:t>
      </w:r>
      <w:r w:rsidR="008F70BF" w:rsidRPr="00375799" w:rsidDel="008F70BF">
        <w:rPr>
          <w:rFonts w:cstheme="minorHAnsi"/>
          <w:color w:val="000000" w:themeColor="text1"/>
          <w:sz w:val="24"/>
          <w:szCs w:val="24"/>
        </w:rPr>
        <w:t xml:space="preserve"> </w:t>
      </w:r>
      <w:r w:rsidRPr="00375799">
        <w:rPr>
          <w:rFonts w:cstheme="minorHAnsi"/>
          <w:color w:val="000000" w:themeColor="text1"/>
          <w:sz w:val="24"/>
          <w:szCs w:val="24"/>
        </w:rPr>
        <w:t>stanowiącego o prawie osoby, której dane dotyczą</w:t>
      </w:r>
      <w:r w:rsidR="00B90558">
        <w:rPr>
          <w:rFonts w:cstheme="minorHAnsi"/>
          <w:color w:val="000000" w:themeColor="text1"/>
          <w:sz w:val="24"/>
          <w:szCs w:val="24"/>
        </w:rPr>
        <w:t>,</w:t>
      </w:r>
      <w:r w:rsidRPr="00375799">
        <w:rPr>
          <w:rFonts w:cstheme="minorHAnsi"/>
          <w:color w:val="000000" w:themeColor="text1"/>
          <w:sz w:val="24"/>
          <w:szCs w:val="24"/>
        </w:rPr>
        <w:t xml:space="preserve"> do żądania od administratora ograniczenia przetwarzania tych danych</w:t>
      </w:r>
      <w:r w:rsidR="003D4901">
        <w:rPr>
          <w:rFonts w:cstheme="minorHAnsi"/>
          <w:color w:val="000000" w:themeColor="text1"/>
          <w:sz w:val="24"/>
          <w:szCs w:val="24"/>
        </w:rPr>
        <w:t>,</w:t>
      </w:r>
      <w:r w:rsidRPr="00375799">
        <w:rPr>
          <w:rFonts w:cstheme="minorHAnsi"/>
          <w:color w:val="000000" w:themeColor="text1"/>
          <w:sz w:val="24"/>
          <w:szCs w:val="24"/>
        </w:rPr>
        <w:t xml:space="preserve"> mogłoby sparaliżować proces udzielania zamówienia publicznego z uwagi na powiązany z tym uprawnieniem obowiązek wstrzymania lub ograniczenia przetwarzania danych przez zamawiającego.</w:t>
      </w:r>
    </w:p>
    <w:p w14:paraId="0A709E8E" w14:textId="094EE1E4"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Biorąc pod uwagę specyfikę zamówień publicznych, które są udzielane i realizowane w interesie publicznym (w tym państw UE)</w:t>
      </w:r>
      <w:r w:rsidR="00B90558">
        <w:rPr>
          <w:rFonts w:cstheme="minorHAnsi"/>
          <w:color w:val="000000" w:themeColor="text1"/>
          <w:sz w:val="24"/>
          <w:szCs w:val="24"/>
        </w:rPr>
        <w:t>,</w:t>
      </w:r>
      <w:r w:rsidRPr="00375799">
        <w:rPr>
          <w:rFonts w:cstheme="minorHAnsi"/>
          <w:color w:val="000000" w:themeColor="text1"/>
          <w:sz w:val="24"/>
          <w:szCs w:val="24"/>
        </w:rPr>
        <w:t xml:space="preserve"> oraz konieczność zapewnienia efektywnego procesu udzielania zamówień publicznych, niezbędne jest zmodyfikowanie stosowania art. 18 </w:t>
      </w:r>
      <w:r w:rsidR="008F70BF" w:rsidRPr="00375799">
        <w:rPr>
          <w:rFonts w:cstheme="minorHAnsi"/>
          <w:color w:val="000000" w:themeColor="text1"/>
          <w:sz w:val="24"/>
          <w:szCs w:val="24"/>
        </w:rPr>
        <w:t>RODO</w:t>
      </w:r>
      <w:r w:rsidR="008F70BF" w:rsidRPr="00375799" w:rsidDel="008F70BF">
        <w:rPr>
          <w:rFonts w:cstheme="minorHAnsi"/>
          <w:color w:val="000000" w:themeColor="text1"/>
          <w:sz w:val="24"/>
          <w:szCs w:val="24"/>
        </w:rPr>
        <w:t xml:space="preserve"> </w:t>
      </w:r>
      <w:r w:rsidRPr="00375799">
        <w:rPr>
          <w:rFonts w:cstheme="minorHAnsi"/>
          <w:color w:val="000000" w:themeColor="text1"/>
          <w:sz w:val="24"/>
          <w:szCs w:val="24"/>
        </w:rPr>
        <w:t xml:space="preserve">przez dostosowanie sposobu realizacji uprawnień wynikających z tego przepisu do uwarunkowań wynikających z prawa zamówień publicznych, co ma na celu zapobieżenie – w interesie publicznym – nadmiernemu wydłużaniu, a czasem zahamowaniu procesu udzielania zamówienia publicznego. Proponowane ograniczenie jest środkiem niezbędnym i proporcjonalnym do celów realizowanych przez proces udzielania zamówień publicznych, a zatem spełniona została przesłanka, o której mowa w art. 23 ust. 1 lit. e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Zatem zgodnie z projektowanym art. 8a ust. 4 </w:t>
      </w:r>
      <w:r w:rsidR="003D4901">
        <w:rPr>
          <w:rFonts w:cstheme="minorHAnsi"/>
          <w:color w:val="000000" w:themeColor="text1"/>
          <w:sz w:val="24"/>
          <w:szCs w:val="24"/>
        </w:rPr>
        <w:t xml:space="preserve">ustawy Pzp </w:t>
      </w:r>
      <w:r w:rsidRPr="00375799">
        <w:rPr>
          <w:rFonts w:cstheme="minorHAnsi"/>
          <w:color w:val="000000" w:themeColor="text1"/>
          <w:sz w:val="24"/>
          <w:szCs w:val="24"/>
        </w:rPr>
        <w:t xml:space="preserve">„Wystąpienie z żądaniem, o którym mowa w art. 18 ust. 1 </w:t>
      </w:r>
      <w:r w:rsidR="003D4901">
        <w:rPr>
          <w:rFonts w:cstheme="minorHAnsi"/>
          <w:color w:val="000000" w:themeColor="text1"/>
          <w:sz w:val="24"/>
          <w:szCs w:val="24"/>
        </w:rPr>
        <w:t>rozporządzenia 2016/679,</w:t>
      </w:r>
      <w:r w:rsidR="008F70BF" w:rsidRPr="00375799" w:rsidDel="008F70BF">
        <w:rPr>
          <w:rFonts w:cstheme="minorHAnsi"/>
          <w:color w:val="000000" w:themeColor="text1"/>
          <w:sz w:val="24"/>
          <w:szCs w:val="24"/>
        </w:rPr>
        <w:t xml:space="preserve"> </w:t>
      </w:r>
      <w:r w:rsidRPr="00375799">
        <w:rPr>
          <w:rFonts w:cstheme="minorHAnsi"/>
          <w:color w:val="000000" w:themeColor="text1"/>
          <w:sz w:val="24"/>
          <w:szCs w:val="24"/>
        </w:rPr>
        <w:t>nie ogranicza przetwarzania danych osobowych do czasu zakończenia postępowania o udzielenie zamówienia publicznego lub konkursu.”.</w:t>
      </w:r>
    </w:p>
    <w:p w14:paraId="1D7F6470" w14:textId="70F496F2"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8a ust. 5 ustaw</w:t>
      </w:r>
      <w:r w:rsidR="00110B1C">
        <w:rPr>
          <w:rFonts w:cstheme="minorHAnsi"/>
          <w:color w:val="000000" w:themeColor="text1"/>
          <w:sz w:val="24"/>
          <w:szCs w:val="24"/>
        </w:rPr>
        <w:t>y</w:t>
      </w:r>
      <w:r w:rsidRPr="00375799">
        <w:rPr>
          <w:rFonts w:cstheme="minorHAnsi"/>
          <w:color w:val="000000" w:themeColor="text1"/>
          <w:sz w:val="24"/>
          <w:szCs w:val="24"/>
        </w:rPr>
        <w:t xml:space="preserve"> Pzp</w:t>
      </w:r>
      <w:r w:rsidR="003D4901">
        <w:rPr>
          <w:rFonts w:cstheme="minorHAnsi"/>
          <w:color w:val="000000" w:themeColor="text1"/>
          <w:sz w:val="24"/>
          <w:szCs w:val="24"/>
        </w:rPr>
        <w:t>.</w:t>
      </w:r>
    </w:p>
    <w:p w14:paraId="3B3CCEAA" w14:textId="642D96AE"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 ten jest konsekwencją wprowadzenia do art. 8a ust. 2 i 4 oraz art. 97 ust. 1a ustawy Pzp niezbędnych ograniczeń stosowania </w:t>
      </w:r>
      <w:r w:rsidR="008F70BF" w:rsidRPr="00375799">
        <w:rPr>
          <w:rFonts w:cstheme="minorHAnsi"/>
          <w:color w:val="000000" w:themeColor="text1"/>
          <w:sz w:val="24"/>
          <w:szCs w:val="24"/>
        </w:rPr>
        <w:t>RODO</w:t>
      </w:r>
      <w:r w:rsidR="008F70BF" w:rsidRPr="00375799" w:rsidDel="008F70BF">
        <w:rPr>
          <w:rFonts w:cstheme="minorHAnsi"/>
          <w:color w:val="000000" w:themeColor="text1"/>
          <w:sz w:val="24"/>
          <w:szCs w:val="24"/>
        </w:rPr>
        <w:t xml:space="preserve"> </w:t>
      </w:r>
      <w:r w:rsidRPr="00375799">
        <w:rPr>
          <w:rFonts w:cstheme="minorHAnsi"/>
          <w:color w:val="000000" w:themeColor="text1"/>
          <w:sz w:val="24"/>
          <w:szCs w:val="24"/>
        </w:rPr>
        <w:t>(dotyczy to przepisów art. 15 i art. 18</w:t>
      </w:r>
      <w:r w:rsidR="003D4901">
        <w:rPr>
          <w:rFonts w:cstheme="minorHAnsi"/>
          <w:color w:val="000000" w:themeColor="text1"/>
          <w:sz w:val="24"/>
          <w:szCs w:val="24"/>
        </w:rPr>
        <w:t xml:space="preserve"> tego rozporządzenia</w:t>
      </w:r>
      <w:r w:rsidRPr="00375799">
        <w:rPr>
          <w:rFonts w:cstheme="minorHAnsi"/>
          <w:color w:val="000000" w:themeColor="text1"/>
          <w:sz w:val="24"/>
          <w:szCs w:val="24"/>
        </w:rPr>
        <w:t xml:space="preserve">), mających na celu dostosowanie sposobu realizacji uprawnień wynikających z tych przepisów do uwarunkowań wynikających ze stosowania Pzp. </w:t>
      </w:r>
    </w:p>
    <w:p w14:paraId="26D12F85" w14:textId="098BA7F1"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art. 23 ust. 2 lit. h </w:t>
      </w:r>
      <w:r w:rsidR="008F70BF" w:rsidRPr="00375799">
        <w:rPr>
          <w:rFonts w:cstheme="minorHAnsi"/>
          <w:color w:val="000000" w:themeColor="text1"/>
          <w:sz w:val="24"/>
          <w:szCs w:val="24"/>
        </w:rPr>
        <w:t>RODO</w:t>
      </w:r>
      <w:r w:rsidR="008F70BF" w:rsidRPr="00375799" w:rsidDel="008F70BF">
        <w:rPr>
          <w:rFonts w:cstheme="minorHAnsi"/>
          <w:color w:val="000000" w:themeColor="text1"/>
          <w:sz w:val="24"/>
          <w:szCs w:val="24"/>
        </w:rPr>
        <w:t xml:space="preserve"> </w:t>
      </w:r>
      <w:r w:rsidRPr="00375799">
        <w:rPr>
          <w:rFonts w:cstheme="minorHAnsi"/>
          <w:color w:val="000000" w:themeColor="text1"/>
          <w:sz w:val="24"/>
          <w:szCs w:val="24"/>
        </w:rPr>
        <w:t xml:space="preserve">wymagane jest wówczas wprowadzenie przepisu stanowiącego o prawie osób, których dane dotyczą, do uzyskania informacji o ograniczeniach w stosowaniu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Zatem zamawiający będą informowali o ograniczeniach w stosowaniu </w:t>
      </w:r>
      <w:r w:rsidR="003D4901">
        <w:rPr>
          <w:rFonts w:cstheme="minorHAnsi"/>
          <w:color w:val="000000" w:themeColor="text1"/>
          <w:sz w:val="24"/>
          <w:szCs w:val="24"/>
        </w:rPr>
        <w:lastRenderedPageBreak/>
        <w:t>RODO</w:t>
      </w:r>
      <w:r w:rsidRPr="00375799">
        <w:rPr>
          <w:rFonts w:cstheme="minorHAnsi"/>
          <w:color w:val="000000" w:themeColor="text1"/>
          <w:sz w:val="24"/>
          <w:szCs w:val="24"/>
        </w:rPr>
        <w:t xml:space="preserve"> w następujący sposób: zawsze na stronie internetowej prowadzonego postępowania oraz dodatkowo w ogłoszeniu o zamówieniu, ogłoszeniu o konkursie, w specyfikacji istotnych warunków zamówienia lub w inny sposób dostępny dla osoby, której dane osobowe dotyczą. Mając na względzie treść art. 12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informacje te muszą być zamieszczone w łatwo dostępnej formie i opisane przejrzystym, zrozumiałym jasnym i prostym językiem. </w:t>
      </w:r>
    </w:p>
    <w:p w14:paraId="4218BA0A" w14:textId="3124C2AD"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8a ust. 6 ustaw</w:t>
      </w:r>
      <w:r w:rsidR="00293E3F">
        <w:rPr>
          <w:rFonts w:cstheme="minorHAnsi"/>
          <w:color w:val="000000" w:themeColor="text1"/>
          <w:sz w:val="24"/>
          <w:szCs w:val="24"/>
        </w:rPr>
        <w:t>y</w:t>
      </w:r>
      <w:r w:rsidRPr="00375799">
        <w:rPr>
          <w:rFonts w:cstheme="minorHAnsi"/>
          <w:color w:val="000000" w:themeColor="text1"/>
          <w:sz w:val="24"/>
          <w:szCs w:val="24"/>
        </w:rPr>
        <w:t xml:space="preserve"> Pzp</w:t>
      </w:r>
      <w:r w:rsidR="003D4901">
        <w:rPr>
          <w:rFonts w:cstheme="minorHAnsi"/>
          <w:color w:val="000000" w:themeColor="text1"/>
          <w:sz w:val="24"/>
          <w:szCs w:val="24"/>
        </w:rPr>
        <w:t>.</w:t>
      </w:r>
    </w:p>
    <w:p w14:paraId="7A6A539B" w14:textId="552F3D64" w:rsidR="00C35A4D" w:rsidRPr="00375799" w:rsidRDefault="003D4901" w:rsidP="003654A8">
      <w:pPr>
        <w:tabs>
          <w:tab w:val="left" w:pos="742"/>
        </w:tabs>
        <w:spacing w:after="0" w:line="276" w:lineRule="auto"/>
        <w:ind w:left="57" w:right="57" w:hanging="1"/>
        <w:contextualSpacing/>
        <w:jc w:val="both"/>
        <w:rPr>
          <w:rFonts w:cstheme="minorHAnsi"/>
          <w:color w:val="000000" w:themeColor="text1"/>
          <w:sz w:val="24"/>
          <w:szCs w:val="24"/>
        </w:rPr>
      </w:pPr>
      <w:r>
        <w:rPr>
          <w:rFonts w:cstheme="minorHAnsi"/>
          <w:color w:val="000000" w:themeColor="text1"/>
          <w:sz w:val="24"/>
          <w:szCs w:val="24"/>
        </w:rPr>
        <w:tab/>
      </w:r>
      <w:r>
        <w:rPr>
          <w:rFonts w:cstheme="minorHAnsi"/>
          <w:color w:val="000000" w:themeColor="text1"/>
          <w:sz w:val="24"/>
          <w:szCs w:val="24"/>
        </w:rPr>
        <w:tab/>
      </w:r>
      <w:r w:rsidR="00C35A4D" w:rsidRPr="00375799">
        <w:rPr>
          <w:rFonts w:cstheme="minorHAnsi"/>
          <w:color w:val="000000" w:themeColor="text1"/>
          <w:sz w:val="24"/>
          <w:szCs w:val="24"/>
        </w:rPr>
        <w:t xml:space="preserve">Przepis ten jest ogólną regulacją wymaganą przez art. 23 ust. 2 lit. d i g </w:t>
      </w:r>
      <w:r w:rsidR="008F70BF" w:rsidRPr="00375799">
        <w:rPr>
          <w:rFonts w:cstheme="minorHAnsi"/>
          <w:color w:val="000000" w:themeColor="text1"/>
          <w:sz w:val="24"/>
          <w:szCs w:val="24"/>
        </w:rPr>
        <w:t>RODO</w:t>
      </w:r>
      <w:r w:rsidR="00C35A4D" w:rsidRPr="00375799">
        <w:rPr>
          <w:rFonts w:cstheme="minorHAnsi"/>
          <w:color w:val="000000" w:themeColor="text1"/>
          <w:sz w:val="24"/>
          <w:szCs w:val="24"/>
        </w:rPr>
        <w:t>. Projektowana regulacja będzie miała zastosowanie do wszystkich przypadków przetwarzania danych na gruncie zamówień publicznych, w szczególności do przetwarzania (w tym ujawniania) danych dotyczących wyroków skazujących i naruszeń prawa. Zgodnie bowiem z projektowanym art. 8a ust. 6</w:t>
      </w:r>
      <w:r>
        <w:rPr>
          <w:rFonts w:cstheme="minorHAnsi"/>
          <w:color w:val="000000" w:themeColor="text1"/>
          <w:sz w:val="24"/>
          <w:szCs w:val="24"/>
        </w:rPr>
        <w:t xml:space="preserve"> ustawy Pzp</w:t>
      </w:r>
      <w:r w:rsidR="00C35A4D" w:rsidRPr="00375799">
        <w:rPr>
          <w:rFonts w:cstheme="minorHAnsi"/>
          <w:color w:val="000000" w:themeColor="text1"/>
          <w:sz w:val="24"/>
          <w:szCs w:val="24"/>
        </w:rPr>
        <w:t xml:space="preserve">, zamawiający zabezpiecza dane osobowe przed bezprawnym rozpowszechnianiem. </w:t>
      </w:r>
    </w:p>
    <w:p w14:paraId="5C1649C2" w14:textId="6A4D2CC1"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8a ust. 7 ustaw</w:t>
      </w:r>
      <w:r w:rsidR="00293E3F">
        <w:rPr>
          <w:rFonts w:cstheme="minorHAnsi"/>
          <w:color w:val="000000" w:themeColor="text1"/>
          <w:sz w:val="24"/>
          <w:szCs w:val="24"/>
        </w:rPr>
        <w:t>y</w:t>
      </w:r>
      <w:r w:rsidRPr="00375799">
        <w:rPr>
          <w:rFonts w:cstheme="minorHAnsi"/>
          <w:color w:val="000000" w:themeColor="text1"/>
          <w:sz w:val="24"/>
          <w:szCs w:val="24"/>
        </w:rPr>
        <w:t xml:space="preserve"> Pzp</w:t>
      </w:r>
      <w:r w:rsidR="003D4901">
        <w:rPr>
          <w:rFonts w:cstheme="minorHAnsi"/>
          <w:color w:val="000000" w:themeColor="text1"/>
          <w:sz w:val="24"/>
          <w:szCs w:val="24"/>
        </w:rPr>
        <w:t>.</w:t>
      </w:r>
    </w:p>
    <w:p w14:paraId="5E187968" w14:textId="3E6E73AE"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 ten przewiduje wymóg wprowadzenia dodatkowego zabezpieczenia praw i wolności osób, których dane dotyczą, w przypadku przetwarzania (w tym udostępniania) danych dotyczących wyroków skazujących i naruszeń prawa. Projektowany przepis realizuje wymagania przewidziane w art. 10 </w:t>
      </w:r>
      <w:r w:rsidR="008F70BF" w:rsidRPr="00375799">
        <w:rPr>
          <w:rFonts w:cstheme="minorHAnsi"/>
          <w:color w:val="000000" w:themeColor="text1"/>
          <w:sz w:val="24"/>
          <w:szCs w:val="24"/>
        </w:rPr>
        <w:t>RODO</w:t>
      </w:r>
      <w:r w:rsidR="008F70BF" w:rsidRPr="00375799" w:rsidDel="008F70BF">
        <w:rPr>
          <w:rFonts w:cstheme="minorHAnsi"/>
          <w:color w:val="000000" w:themeColor="text1"/>
          <w:sz w:val="24"/>
          <w:szCs w:val="24"/>
        </w:rPr>
        <w:t xml:space="preserve"> </w:t>
      </w:r>
      <w:r w:rsidRPr="00375799">
        <w:rPr>
          <w:rFonts w:cstheme="minorHAnsi"/>
          <w:color w:val="000000" w:themeColor="text1"/>
          <w:sz w:val="24"/>
          <w:szCs w:val="24"/>
        </w:rPr>
        <w:t xml:space="preserve">w odniesieniu do prawa państwa członkowskiego, które oprócz podstawy prawnej do przetwarzania danych dotyczących wyroków skazujących i naruszeń prawa, musi zawierać odpowiednie zabezpieczenia praw i wolności osób, których dane dotyczą. </w:t>
      </w:r>
    </w:p>
    <w:p w14:paraId="6BF67421" w14:textId="2DBAD403"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Zatem zgodnie z projektowanym art. 8a ust. 7 </w:t>
      </w:r>
      <w:r w:rsidR="003D4901">
        <w:rPr>
          <w:rFonts w:cstheme="minorHAnsi"/>
          <w:color w:val="000000" w:themeColor="text1"/>
          <w:sz w:val="24"/>
          <w:szCs w:val="24"/>
        </w:rPr>
        <w:t xml:space="preserve">ustawy Pzp </w:t>
      </w:r>
      <w:r w:rsidRPr="00375799">
        <w:rPr>
          <w:rFonts w:cstheme="minorHAnsi"/>
          <w:color w:val="000000" w:themeColor="text1"/>
          <w:sz w:val="24"/>
          <w:szCs w:val="24"/>
        </w:rPr>
        <w:t xml:space="preserve">„Do przetwarzania danych osobowych, o których mowa w art. 10 </w:t>
      </w:r>
      <w:r w:rsidR="003D4901">
        <w:rPr>
          <w:rFonts w:cstheme="minorHAnsi"/>
          <w:color w:val="000000" w:themeColor="text1"/>
          <w:sz w:val="24"/>
          <w:szCs w:val="24"/>
        </w:rPr>
        <w:t>rozporządzenia 2016/679</w:t>
      </w:r>
      <w:r w:rsidR="00293E3F">
        <w:rPr>
          <w:rFonts w:cstheme="minorHAnsi"/>
          <w:color w:val="000000" w:themeColor="text1"/>
          <w:sz w:val="24"/>
          <w:szCs w:val="24"/>
        </w:rPr>
        <w:t>,</w:t>
      </w:r>
      <w:r w:rsidRPr="00375799">
        <w:rPr>
          <w:rFonts w:cstheme="minorHAnsi"/>
          <w:color w:val="000000" w:themeColor="text1"/>
          <w:sz w:val="24"/>
          <w:szCs w:val="24"/>
        </w:rPr>
        <w:t xml:space="preserve"> mogą być dopuszczone wyłącznie osoby posiadające pisemne upoważnienie. Osoby dopuszczone do przetwarzania takich danych są obowiązane do zachowania ich w poufności.”. </w:t>
      </w:r>
    </w:p>
    <w:p w14:paraId="68D1FEA9" w14:textId="33BC1BFF"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Wyjaśnienia wymaga, że projektowany art. 8a ust. 7 ustawy Pzp nie zawiera wprost odesłania do danych, o których mowa w art. 9 ust. 1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gdyż obecnie na gruncie prawa zamówień publicznych nie jest możliwe żądanie tego rodzaju danych osobowych. Jednakże, gdyby zamawiający otrzymał w związku z prowadzonym postępowaniem o udzielenie zamówienia publicznego lub konkursem takie dane osobowe, to tym bardziej osoby przetwarzające takie dane osobowe byłyby zobowiązane do zachowania ich w poufności. </w:t>
      </w:r>
    </w:p>
    <w:p w14:paraId="7E5E248C" w14:textId="1BB35E0C"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11 ust. 6a</w:t>
      </w:r>
      <w:r w:rsidR="00B90558">
        <w:rPr>
          <w:rFonts w:cstheme="minorHAnsi"/>
          <w:color w:val="000000" w:themeColor="text1"/>
          <w:sz w:val="24"/>
          <w:szCs w:val="24"/>
        </w:rPr>
        <w:t>–</w:t>
      </w:r>
      <w:r w:rsidRPr="00375799">
        <w:rPr>
          <w:rFonts w:cstheme="minorHAnsi"/>
          <w:color w:val="000000" w:themeColor="text1"/>
          <w:sz w:val="24"/>
          <w:szCs w:val="24"/>
        </w:rPr>
        <w:t>6</w:t>
      </w:r>
      <w:r w:rsidR="003D4901">
        <w:rPr>
          <w:rFonts w:cstheme="minorHAnsi"/>
          <w:color w:val="000000" w:themeColor="text1"/>
          <w:sz w:val="24"/>
          <w:szCs w:val="24"/>
        </w:rPr>
        <w:t>b</w:t>
      </w:r>
      <w:r w:rsidR="00293E3F">
        <w:rPr>
          <w:rFonts w:cstheme="minorHAnsi"/>
          <w:color w:val="000000" w:themeColor="text1"/>
          <w:sz w:val="24"/>
          <w:szCs w:val="24"/>
        </w:rPr>
        <w:t xml:space="preserve"> ustawy</w:t>
      </w:r>
      <w:r w:rsidRPr="00375799">
        <w:rPr>
          <w:rFonts w:cstheme="minorHAnsi"/>
          <w:color w:val="000000" w:themeColor="text1"/>
          <w:sz w:val="24"/>
          <w:szCs w:val="24"/>
        </w:rPr>
        <w:t xml:space="preserve"> Pzp</w:t>
      </w:r>
    </w:p>
    <w:p w14:paraId="7CACFCC7" w14:textId="34B871F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tym, że na </w:t>
      </w:r>
      <w:r w:rsidR="003D4901">
        <w:rPr>
          <w:rFonts w:cstheme="minorHAnsi"/>
          <w:color w:val="000000" w:themeColor="text1"/>
          <w:sz w:val="24"/>
          <w:szCs w:val="24"/>
        </w:rPr>
        <w:t>podstawie przepisów prawa</w:t>
      </w:r>
      <w:r w:rsidR="003D4901" w:rsidRPr="00375799">
        <w:rPr>
          <w:rFonts w:cstheme="minorHAnsi"/>
          <w:color w:val="000000" w:themeColor="text1"/>
          <w:sz w:val="24"/>
          <w:szCs w:val="24"/>
        </w:rPr>
        <w:t xml:space="preserve"> </w:t>
      </w:r>
      <w:r w:rsidRPr="00375799">
        <w:rPr>
          <w:rFonts w:cstheme="minorHAnsi"/>
          <w:color w:val="000000" w:themeColor="text1"/>
          <w:sz w:val="24"/>
          <w:szCs w:val="24"/>
        </w:rPr>
        <w:t xml:space="preserve">zamówień publicznych Prezes UZP wydaje w formie elektronicznej Biuletyn Zamówień Publicznych (dalej: „BZP”), natomiast zamawiający zamieszczają w BZP ogłoszenia </w:t>
      </w:r>
      <w:r w:rsidR="00B90558">
        <w:rPr>
          <w:rFonts w:cstheme="minorHAnsi"/>
          <w:color w:val="000000" w:themeColor="text1"/>
          <w:sz w:val="24"/>
          <w:szCs w:val="24"/>
        </w:rPr>
        <w:t>–</w:t>
      </w:r>
      <w:r w:rsidRPr="00375799">
        <w:rPr>
          <w:rFonts w:cstheme="minorHAnsi"/>
          <w:color w:val="000000" w:themeColor="text1"/>
          <w:sz w:val="24"/>
          <w:szCs w:val="24"/>
        </w:rPr>
        <w:t xml:space="preserve"> niezbędne jest doprecyzowanie wprost w ustawie Pzp podziału zakresu obowiązków realizowanych przez tych adm</w:t>
      </w:r>
      <w:r w:rsidR="00A92FEA">
        <w:rPr>
          <w:rFonts w:cstheme="minorHAnsi"/>
          <w:color w:val="000000" w:themeColor="text1"/>
          <w:sz w:val="24"/>
          <w:szCs w:val="24"/>
        </w:rPr>
        <w:t>inistratorów danych osobowych.</w:t>
      </w:r>
    </w:p>
    <w:p w14:paraId="136A4A1E" w14:textId="42C8FEAD"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Mając na względzie fakt, że wyłącznie zamawiający uprawnieni są do zamieszczania ogłoszeń w BZP</w:t>
      </w:r>
      <w:r w:rsidR="00B90558">
        <w:rPr>
          <w:rFonts w:cstheme="minorHAnsi"/>
          <w:color w:val="000000" w:themeColor="text1"/>
          <w:sz w:val="24"/>
          <w:szCs w:val="24"/>
        </w:rPr>
        <w:t>,</w:t>
      </w:r>
      <w:r w:rsidRPr="00375799">
        <w:rPr>
          <w:rFonts w:cstheme="minorHAnsi"/>
          <w:color w:val="000000" w:themeColor="text1"/>
          <w:sz w:val="24"/>
          <w:szCs w:val="24"/>
        </w:rPr>
        <w:t xml:space="preserve"> konieczne i zasadne jest wprowadzenie regulacji, zgodnie z którą osoby, których dane osobowe dotyczą, chcąc korzystać z prawa do uzyskania informacji, o którym mowa w art. 15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będą zwracać się do zamawiającego, który zamieścił dane osobowe, </w:t>
      </w:r>
      <w:r w:rsidRPr="00375799">
        <w:rPr>
          <w:rFonts w:cstheme="minorHAnsi"/>
          <w:color w:val="000000" w:themeColor="text1"/>
          <w:sz w:val="24"/>
          <w:szCs w:val="24"/>
        </w:rPr>
        <w:lastRenderedPageBreak/>
        <w:t>nie zaś do Prezesa UZP zapewniającego obsługę techniczną BZP (vide: projektowany art. 11 ust. 6a</w:t>
      </w:r>
      <w:r w:rsidR="000A7860">
        <w:rPr>
          <w:rFonts w:cstheme="minorHAnsi"/>
          <w:color w:val="000000" w:themeColor="text1"/>
          <w:sz w:val="24"/>
          <w:szCs w:val="24"/>
        </w:rPr>
        <w:t xml:space="preserve"> ustawy Pzp</w:t>
      </w:r>
      <w:r w:rsidRPr="00375799">
        <w:rPr>
          <w:rFonts w:cstheme="minorHAnsi"/>
          <w:color w:val="000000" w:themeColor="text1"/>
          <w:sz w:val="24"/>
          <w:szCs w:val="24"/>
        </w:rPr>
        <w:t>).</w:t>
      </w:r>
    </w:p>
    <w:p w14:paraId="6FAA230F" w14:textId="6B2AA38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 tej samej zasadzie, jak powyżej, będzie realizowane prawo do sprostowania danych oraz uzupełnienia niekompletnych danych, o którym mowa w art. 16 </w:t>
      </w:r>
      <w:r w:rsidR="008F70BF" w:rsidRPr="00375799">
        <w:rPr>
          <w:rFonts w:cstheme="minorHAnsi"/>
          <w:color w:val="000000" w:themeColor="text1"/>
          <w:sz w:val="24"/>
          <w:szCs w:val="24"/>
        </w:rPr>
        <w:t>RODO</w:t>
      </w:r>
      <w:r w:rsidR="008F70BF" w:rsidRPr="00375799" w:rsidDel="008F70BF">
        <w:rPr>
          <w:rFonts w:cstheme="minorHAnsi"/>
          <w:color w:val="000000" w:themeColor="text1"/>
          <w:sz w:val="24"/>
          <w:szCs w:val="24"/>
        </w:rPr>
        <w:t xml:space="preserve"> </w:t>
      </w:r>
      <w:r w:rsidRPr="00375799">
        <w:rPr>
          <w:rFonts w:cstheme="minorHAnsi"/>
          <w:color w:val="000000" w:themeColor="text1"/>
          <w:sz w:val="24"/>
          <w:szCs w:val="24"/>
        </w:rPr>
        <w:t>(vide: projektowany art. 11 ust. 6</w:t>
      </w:r>
      <w:r w:rsidR="000A7860">
        <w:rPr>
          <w:rFonts w:cstheme="minorHAnsi"/>
          <w:color w:val="000000" w:themeColor="text1"/>
          <w:sz w:val="24"/>
          <w:szCs w:val="24"/>
        </w:rPr>
        <w:t>a ustawy Pzp</w:t>
      </w:r>
      <w:r w:rsidRPr="00375799">
        <w:rPr>
          <w:rFonts w:cstheme="minorHAnsi"/>
          <w:color w:val="000000" w:themeColor="text1"/>
          <w:sz w:val="24"/>
          <w:szCs w:val="24"/>
        </w:rPr>
        <w:t>).</w:t>
      </w:r>
    </w:p>
    <w:p w14:paraId="6D0FDF32" w14:textId="1D72223D"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Natomiast, zadaniem Prezesa Urzędu Zamówień Publicznych będzie zapewnienie technicznego utrzymania systemu teleinformatycznego</w:t>
      </w:r>
      <w:r w:rsidR="00B90558">
        <w:rPr>
          <w:rFonts w:cstheme="minorHAnsi"/>
          <w:color w:val="000000" w:themeColor="text1"/>
          <w:sz w:val="24"/>
          <w:szCs w:val="24"/>
        </w:rPr>
        <w:t>,</w:t>
      </w:r>
      <w:r w:rsidRPr="00375799">
        <w:rPr>
          <w:rFonts w:cstheme="minorHAnsi"/>
          <w:color w:val="000000" w:themeColor="text1"/>
          <w:sz w:val="24"/>
          <w:szCs w:val="24"/>
        </w:rPr>
        <w:t xml:space="preserve"> przy użyciu którego udostępniany jest BZP</w:t>
      </w:r>
      <w:r w:rsidR="000A7860">
        <w:rPr>
          <w:rFonts w:cstheme="minorHAnsi"/>
          <w:color w:val="000000" w:themeColor="text1"/>
          <w:sz w:val="24"/>
          <w:szCs w:val="24"/>
        </w:rPr>
        <w:t>. P</w:t>
      </w:r>
      <w:r w:rsidRPr="00375799">
        <w:rPr>
          <w:rFonts w:cstheme="minorHAnsi"/>
          <w:color w:val="000000" w:themeColor="text1"/>
          <w:sz w:val="24"/>
          <w:szCs w:val="24"/>
        </w:rPr>
        <w:t>onadto Prezes UZP zobligowany będzie do określenia w wewnętrznych regulacjach okresów przechowywania danych osobowych zamieszczonych w BZP. (vide: projektowany art. 11 ust. 6</w:t>
      </w:r>
      <w:r w:rsidR="000A7860">
        <w:rPr>
          <w:rFonts w:cstheme="minorHAnsi"/>
          <w:color w:val="000000" w:themeColor="text1"/>
          <w:sz w:val="24"/>
          <w:szCs w:val="24"/>
        </w:rPr>
        <w:t>b ustawy Pzp</w:t>
      </w:r>
      <w:r w:rsidRPr="00375799">
        <w:rPr>
          <w:rFonts w:cstheme="minorHAnsi"/>
          <w:color w:val="000000" w:themeColor="text1"/>
          <w:sz w:val="24"/>
          <w:szCs w:val="24"/>
        </w:rPr>
        <w:t>)</w:t>
      </w:r>
      <w:r w:rsidR="00B90558">
        <w:rPr>
          <w:rFonts w:cstheme="minorHAnsi"/>
          <w:color w:val="000000" w:themeColor="text1"/>
          <w:sz w:val="24"/>
          <w:szCs w:val="24"/>
        </w:rPr>
        <w:t>.</w:t>
      </w:r>
    </w:p>
    <w:p w14:paraId="14F27EF9" w14:textId="5DD050E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96 ust. 3a ustaw</w:t>
      </w:r>
      <w:r w:rsidR="00032ACC">
        <w:rPr>
          <w:rFonts w:cstheme="minorHAnsi"/>
          <w:color w:val="000000" w:themeColor="text1"/>
          <w:sz w:val="24"/>
          <w:szCs w:val="24"/>
        </w:rPr>
        <w:t>y</w:t>
      </w:r>
      <w:r w:rsidRPr="00375799">
        <w:rPr>
          <w:rFonts w:cstheme="minorHAnsi"/>
          <w:color w:val="000000" w:themeColor="text1"/>
          <w:sz w:val="24"/>
          <w:szCs w:val="24"/>
        </w:rPr>
        <w:t xml:space="preserve"> Pzp</w:t>
      </w:r>
      <w:r w:rsidR="000A7860">
        <w:rPr>
          <w:rFonts w:cstheme="minorHAnsi"/>
          <w:color w:val="000000" w:themeColor="text1"/>
          <w:sz w:val="24"/>
          <w:szCs w:val="24"/>
        </w:rPr>
        <w:t>.</w:t>
      </w:r>
    </w:p>
    <w:p w14:paraId="35FDC909" w14:textId="7777777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Projektowany przepis doprecyzowuje zasadę jawności w zamówieniach publicznych w kontekście przetwarzania (a dokładnie udostępniania) danych osobowych zebranych w toku postępowania o udzielenie zamówienia publicznego lub konkursu, zawartych w protokole lub załącznikach do protokołu. </w:t>
      </w:r>
    </w:p>
    <w:p w14:paraId="413195D7" w14:textId="24073C9F"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Zgodnie z art. 96 ust. 2 ustawy Pzp, oferty, opinie biegłych, oświadczenia, informacja z zebrania, o którym mowa w art. 38 ust. 3 ustawy Pzp, zawiadomienia, wnioski, inne dokumenty i informacje składane przez zamawiającego i wykonawców oraz umowa w sprawie zamówienia publicznego stanowią załączniki do protokołu. Zatem załączniki do protokołu tworzą wszelką dokumentację zebraną w toku postępowania lub konkursu, która prawie zawsze zawiera dane osobowe.</w:t>
      </w:r>
      <w:r w:rsidR="000A7860">
        <w:rPr>
          <w:rFonts w:cstheme="minorHAnsi"/>
          <w:color w:val="000000" w:themeColor="text1"/>
          <w:sz w:val="24"/>
          <w:szCs w:val="24"/>
        </w:rPr>
        <w:t xml:space="preserve"> </w:t>
      </w:r>
      <w:r w:rsidRPr="00375799">
        <w:rPr>
          <w:rFonts w:cstheme="minorHAnsi"/>
          <w:color w:val="000000" w:themeColor="text1"/>
          <w:sz w:val="24"/>
          <w:szCs w:val="24"/>
        </w:rPr>
        <w:t xml:space="preserve">Z obecnego brzmienia art. 96 ust. 3 ustawy Pzp wprost wynika, że protokół wraz z załącznikami jest jawny. Przepis art. 96 ust. 3 zd. drugie ustawy Pzp wskazuje również od kiedy udostępnia się załączniki do protokołu. </w:t>
      </w:r>
    </w:p>
    <w:p w14:paraId="264E22D6" w14:textId="44AD672B"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Mając na względzie powyższe regulacje, proponuje się dodanie w art. 96 ustawy Pzp ust. 3a, zgodnie z którym zasada jawności, o której mowa w art. 96 ust. 3</w:t>
      </w:r>
      <w:r w:rsidR="000A7860">
        <w:rPr>
          <w:rFonts w:cstheme="minorHAnsi"/>
          <w:color w:val="000000" w:themeColor="text1"/>
          <w:sz w:val="24"/>
          <w:szCs w:val="24"/>
        </w:rPr>
        <w:t xml:space="preserve"> tej ustawy</w:t>
      </w:r>
      <w:r w:rsidRPr="00375799">
        <w:rPr>
          <w:rFonts w:cstheme="minorHAnsi"/>
          <w:color w:val="000000" w:themeColor="text1"/>
          <w:sz w:val="24"/>
          <w:szCs w:val="24"/>
        </w:rPr>
        <w:t xml:space="preserve">, ma zastosowanie do wszystkich danych osobowych, z wyjątkiem danych, o których mowa w art. 9 </w:t>
      </w:r>
      <w:r w:rsidR="008F70BF" w:rsidRPr="00375799">
        <w:rPr>
          <w:rFonts w:cstheme="minorHAnsi"/>
          <w:color w:val="000000" w:themeColor="text1"/>
          <w:sz w:val="24"/>
          <w:szCs w:val="24"/>
        </w:rPr>
        <w:t>RODO</w:t>
      </w:r>
      <w:r w:rsidRPr="00375799">
        <w:rPr>
          <w:rFonts w:cstheme="minorHAnsi"/>
          <w:color w:val="000000" w:themeColor="text1"/>
          <w:sz w:val="24"/>
          <w:szCs w:val="24"/>
        </w:rPr>
        <w:t>, zebranych w toku postępowania o udzielenie zamówienia publicznego lub konkursu.  Zgodnie z projektowanym zdaniem drugim, ograniczenia zasady jawności, o których mowa w art. 8 ust. 3</w:t>
      </w:r>
      <w:r w:rsidR="00B90558">
        <w:rPr>
          <w:rFonts w:cstheme="minorHAnsi"/>
          <w:color w:val="000000" w:themeColor="text1"/>
          <w:sz w:val="24"/>
          <w:szCs w:val="24"/>
        </w:rPr>
        <w:t>–</w:t>
      </w:r>
      <w:r w:rsidRPr="00375799">
        <w:rPr>
          <w:rFonts w:cstheme="minorHAnsi"/>
          <w:color w:val="000000" w:themeColor="text1"/>
          <w:sz w:val="24"/>
          <w:szCs w:val="24"/>
        </w:rPr>
        <w:t>5 ustawy Pzp, stosuje się odpowiednio.</w:t>
      </w:r>
    </w:p>
    <w:p w14:paraId="1E9B3B65" w14:textId="098BBD2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Powyższa regulacja wprost przesądza, że w postępowaniu o udzielenie zamówienia publicznego lub w konkursie (oraz przez okres 4 lat od dnia zakończenia postępowania lub konkursu) zamawiający ma prawo i obowiązek udostępniania wszystkich danych osobowych zawartych w protokole oraz w zgromadzonych załącznikach do protokołu, za wyjątkiem szczególnych kategorii danych osobowych (tzw. danych wrażliwych), o których mowa w art. 9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Wyjaśnienia wymaga, że projektowana regulacja nie będzie miała zastosowania do umów w sprawach zamówień publicznych, które podlegają udostępnianiu na zasadach określonych w przepisach o dostępie do informacji publicznej (vide: art. 139 ust. 3 ustawy Pzp).   </w:t>
      </w:r>
    </w:p>
    <w:p w14:paraId="44424864" w14:textId="0A9E15E2"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Reasumując, zgodnie z projektowanym art. 96 ust. 3a zdanie pierwsze, zamawiający będzie miał prawo i obowiązek  ujawnienia wszystkich danych osobowych, które znajdują się </w:t>
      </w:r>
      <w:r w:rsidRPr="00375799">
        <w:rPr>
          <w:rFonts w:cstheme="minorHAnsi"/>
          <w:color w:val="000000" w:themeColor="text1"/>
          <w:sz w:val="24"/>
          <w:szCs w:val="24"/>
        </w:rPr>
        <w:lastRenderedPageBreak/>
        <w:t xml:space="preserve">w dokumentacji postępowania, w tym przekazanej przez wykonawcę. Dotyczy to całości przekazanej przez wykonawcę dokumentacji, za wyjątkiem załączonych przez wykonawcę informacji zawierających tzw. dane wrażliwe (art. 9 </w:t>
      </w:r>
      <w:r w:rsidR="008F70BF" w:rsidRPr="00375799">
        <w:rPr>
          <w:rFonts w:cstheme="minorHAnsi"/>
          <w:color w:val="000000" w:themeColor="text1"/>
          <w:sz w:val="24"/>
          <w:szCs w:val="24"/>
        </w:rPr>
        <w:t>RODO</w:t>
      </w:r>
      <w:r w:rsidRPr="00375799">
        <w:rPr>
          <w:rFonts w:cstheme="minorHAnsi"/>
          <w:color w:val="000000" w:themeColor="text1"/>
          <w:sz w:val="24"/>
          <w:szCs w:val="24"/>
        </w:rPr>
        <w:t>), do których przekazania, na gruncie Pzp, wykonawcy nie są co do zasady uprawnieni. Należy przy tym przypomnieć, że wykonawcy powinni przekazywać tylko te dane osobowe i tylko w takim zakresie, w jakim jest to potrzebne dla celów prowadzonego postępowania.</w:t>
      </w:r>
    </w:p>
    <w:p w14:paraId="3DDFEEBB" w14:textId="4B5BBA6E"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Ponadto, zdanie drugie projektowanego przepisu wskazuje na inne możliwe ograniczenia zasady jawności, będą to odpowiednio art. 8 ust. 3 ustawy Pzp (tajemnica przedsiębiorstwa), art. 8 ust. 4 ustawy Pzp (dane osobowe – w przypadku art. 67 ust. 1 pkt 1 lit. b; wysokość wynagrodzenia – w przypadku art. 67 ust. 1 pkt 1a), a także projektowany art. 8 ust. 5 ustawy Pzp (dane osobow</w:t>
      </w:r>
      <w:r w:rsidR="00B90558">
        <w:rPr>
          <w:rFonts w:cstheme="minorHAnsi"/>
          <w:color w:val="000000" w:themeColor="text1"/>
          <w:sz w:val="24"/>
          <w:szCs w:val="24"/>
        </w:rPr>
        <w:t>e</w:t>
      </w:r>
      <w:r w:rsidRPr="00375799">
        <w:rPr>
          <w:rFonts w:cstheme="minorHAnsi"/>
          <w:color w:val="000000" w:themeColor="text1"/>
          <w:sz w:val="24"/>
          <w:szCs w:val="24"/>
        </w:rPr>
        <w:t xml:space="preserve"> dotyczące skazań i wyroków udostępnianiach jedynie w celu skorzystania ze środków ochrony prawnej, o których mowa w dziale VI ustawy Pzp). </w:t>
      </w:r>
    </w:p>
    <w:p w14:paraId="52D663EF" w14:textId="6DBA3BF1"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96 ust. 3b ustaw</w:t>
      </w:r>
      <w:r w:rsidR="00C55F41">
        <w:rPr>
          <w:rFonts w:cstheme="minorHAnsi"/>
          <w:color w:val="000000" w:themeColor="text1"/>
          <w:sz w:val="24"/>
          <w:szCs w:val="24"/>
        </w:rPr>
        <w:t>y</w:t>
      </w:r>
      <w:r w:rsidRPr="00375799">
        <w:rPr>
          <w:rFonts w:cstheme="minorHAnsi"/>
          <w:color w:val="000000" w:themeColor="text1"/>
          <w:sz w:val="24"/>
          <w:szCs w:val="24"/>
        </w:rPr>
        <w:t xml:space="preserve"> Pzp</w:t>
      </w:r>
      <w:r w:rsidR="000A7860">
        <w:rPr>
          <w:rFonts w:cstheme="minorHAnsi"/>
          <w:color w:val="000000" w:themeColor="text1"/>
          <w:sz w:val="24"/>
          <w:szCs w:val="24"/>
        </w:rPr>
        <w:t>.</w:t>
      </w:r>
    </w:p>
    <w:p w14:paraId="05C4A62A" w14:textId="5D90B1F1"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Projektowana regulacja jest konsekwencją brzmienia art. 8 ust. 2 ustawy Pzp, zgodnie z którym zamawiający może ograniczyć dostęp do informacji związanych z postępowaniem o udzielenie zamówienia tylko w przypadkach określonych w ustawie Pzp. W związku z tym przepisem konieczne było odesłanie do przepisów </w:t>
      </w:r>
      <w:r w:rsidR="008F70BF" w:rsidRPr="00375799">
        <w:rPr>
          <w:rFonts w:cstheme="minorHAnsi"/>
          <w:color w:val="000000" w:themeColor="text1"/>
          <w:sz w:val="24"/>
          <w:szCs w:val="24"/>
        </w:rPr>
        <w:t>RODO</w:t>
      </w:r>
      <w:r w:rsidRPr="00375799">
        <w:rPr>
          <w:rFonts w:cstheme="minorHAnsi"/>
          <w:color w:val="000000" w:themeColor="text1"/>
          <w:sz w:val="24"/>
          <w:szCs w:val="24"/>
        </w:rPr>
        <w:t>, które w praktyce będą podstawą do ograniczenia udostępniania protokołu wraz załącznikami, a więc ograniczeniami zasady jawności.</w:t>
      </w:r>
    </w:p>
    <w:p w14:paraId="642740AB" w14:textId="72A54228"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projektowanym art. 96 ust. 3b, „Od dnia zakończenia postępowania o udzielenie zamówienia, w przypadku gdy wniesienie żądania, o którym mowa w art. 18 ust. 1 </w:t>
      </w:r>
      <w:r w:rsidR="000A7860">
        <w:rPr>
          <w:rFonts w:cstheme="minorHAnsi"/>
          <w:color w:val="000000" w:themeColor="text1"/>
          <w:sz w:val="24"/>
          <w:szCs w:val="24"/>
        </w:rPr>
        <w:t>rozporządzenia 2016/679</w:t>
      </w:r>
      <w:r w:rsidRPr="00375799">
        <w:rPr>
          <w:rFonts w:cstheme="minorHAnsi"/>
          <w:color w:val="000000" w:themeColor="text1"/>
          <w:sz w:val="24"/>
          <w:szCs w:val="24"/>
        </w:rPr>
        <w:t xml:space="preserve">, spowoduje ograniczenie przetwarzania danych osobowych zawartych w protokole i załącznikach, zamawiający nie udostępnia tych danych zawartych w protokole i w załącznikach, chyba że zachodzą przesłanki, o których mowa  w art. 18 ust. 2 </w:t>
      </w:r>
      <w:r w:rsidR="000A7860">
        <w:rPr>
          <w:rFonts w:cstheme="minorHAnsi"/>
          <w:color w:val="000000" w:themeColor="text1"/>
          <w:sz w:val="24"/>
          <w:szCs w:val="24"/>
        </w:rPr>
        <w:t>rozporządzenia 2016/679</w:t>
      </w:r>
      <w:r w:rsidRPr="00375799">
        <w:rPr>
          <w:rFonts w:cstheme="minorHAnsi"/>
          <w:color w:val="000000" w:themeColor="text1"/>
          <w:sz w:val="24"/>
          <w:szCs w:val="24"/>
        </w:rPr>
        <w:t xml:space="preserve">.”. Z projektowanego art. 96 ust. 3b </w:t>
      </w:r>
      <w:r w:rsidR="000A7860">
        <w:rPr>
          <w:rFonts w:cstheme="minorHAnsi"/>
          <w:color w:val="000000" w:themeColor="text1"/>
          <w:sz w:val="24"/>
          <w:szCs w:val="24"/>
        </w:rPr>
        <w:t xml:space="preserve">ustawy Pzp </w:t>
      </w:r>
      <w:r w:rsidRPr="00375799">
        <w:rPr>
          <w:rFonts w:cstheme="minorHAnsi"/>
          <w:color w:val="000000" w:themeColor="text1"/>
          <w:sz w:val="24"/>
          <w:szCs w:val="24"/>
        </w:rPr>
        <w:t xml:space="preserve">(w kontekście art. 18 ust. 2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wynika, że każde inne przetwarzanie, z wyjątkiem przechowywania protokołu i załączników, możliwe będzie wyłącznie za zgodą osoby, której dane dotyczą, lub w celu ustalenia, dochodzenia lub obrony roszczeń lub w celu ochrony praw innej osoby fizycznej lub prawnej (np. korzystanie ze środków ochrony prawnej) lub z uwagi na ważne względy interesu publicznego UE lub państwa członkowskiego (np. kontrola). </w:t>
      </w:r>
    </w:p>
    <w:p w14:paraId="50E8CECA" w14:textId="6D2B3B7B"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97 ust. 1a i 1b ustaw</w:t>
      </w:r>
      <w:r w:rsidR="00C55F41">
        <w:rPr>
          <w:rFonts w:cstheme="minorHAnsi"/>
          <w:color w:val="000000" w:themeColor="text1"/>
          <w:sz w:val="24"/>
          <w:szCs w:val="24"/>
        </w:rPr>
        <w:t>y</w:t>
      </w:r>
      <w:r w:rsidRPr="00375799">
        <w:rPr>
          <w:rFonts w:cstheme="minorHAnsi"/>
          <w:color w:val="000000" w:themeColor="text1"/>
          <w:sz w:val="24"/>
          <w:szCs w:val="24"/>
        </w:rPr>
        <w:t xml:space="preserve"> Pzp</w:t>
      </w:r>
      <w:r w:rsidR="000A7860">
        <w:rPr>
          <w:rFonts w:cstheme="minorHAnsi"/>
          <w:color w:val="000000" w:themeColor="text1"/>
          <w:sz w:val="24"/>
          <w:szCs w:val="24"/>
        </w:rPr>
        <w:t>.</w:t>
      </w:r>
    </w:p>
    <w:p w14:paraId="0E520017" w14:textId="7777777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Projektowane przepisy odnoszą się do kwestii związanych z przetwarzaniem danych osobowych – na etapie przechowywania – zawartych w protokole oraz załącznikach. </w:t>
      </w:r>
    </w:p>
    <w:p w14:paraId="7ADA2AA0" w14:textId="7F915F28"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Mając na względzie dążenie do ograniczenia obowiązków administracyjnych w odniesieniu do zamawiających (co zostało również wyrażone w dyrektywach UE dotyczących zamówień publicznych), jak również wprowadzenie wymogu wdrożenia przez zamawiających odpowiednich zabezpieczeń, prawnie uzasadnione jest oraz praktycznie niezbędne zmodyfikowanie art. 15 </w:t>
      </w:r>
      <w:r w:rsidR="008F70BF" w:rsidRPr="00375799">
        <w:rPr>
          <w:rFonts w:cstheme="minorHAnsi"/>
          <w:color w:val="000000" w:themeColor="text1"/>
          <w:sz w:val="24"/>
          <w:szCs w:val="24"/>
        </w:rPr>
        <w:t>RODO</w:t>
      </w:r>
      <w:r w:rsidR="008F70BF" w:rsidRPr="00375799" w:rsidDel="008F70BF">
        <w:rPr>
          <w:rFonts w:cstheme="minorHAnsi"/>
          <w:color w:val="000000" w:themeColor="text1"/>
          <w:sz w:val="24"/>
          <w:szCs w:val="24"/>
        </w:rPr>
        <w:t xml:space="preserve"> </w:t>
      </w:r>
      <w:r w:rsidRPr="00375799">
        <w:rPr>
          <w:rFonts w:cstheme="minorHAnsi"/>
          <w:color w:val="000000" w:themeColor="text1"/>
          <w:sz w:val="24"/>
          <w:szCs w:val="24"/>
        </w:rPr>
        <w:t xml:space="preserve">przez dostosowanie sposobu realizacji uprawnień wynikających z tego przepisu do uwarunkowań wynikających ze stosowania ustawy Pzp, co ma na celu zapobieżenie – w interesie publicznym – nadmiernemu obciążaniu zamawiających, którzy </w:t>
      </w:r>
      <w:r w:rsidRPr="00375799">
        <w:rPr>
          <w:rFonts w:cstheme="minorHAnsi"/>
          <w:color w:val="000000" w:themeColor="text1"/>
          <w:sz w:val="24"/>
          <w:szCs w:val="24"/>
        </w:rPr>
        <w:lastRenderedPageBreak/>
        <w:t xml:space="preserve">musieliby przeszukiwać niezliczone ilości dokumentacji w celu ustalenia, czy konkretne dane osobowe były przetwarzane. Proponowane ograniczenie jest środkiem niezbędnym i proporcjonalnym do celów przechowywania – w interesie publicznym – dokumentacji postępowania, a zatem spełniona została przesłanka, o której mowa w art. 23 ust. 1 lit. </w:t>
      </w:r>
      <w:r w:rsidR="008F70BF" w:rsidRPr="00375799">
        <w:rPr>
          <w:rFonts w:cstheme="minorHAnsi"/>
          <w:color w:val="000000" w:themeColor="text1"/>
          <w:sz w:val="24"/>
          <w:szCs w:val="24"/>
        </w:rPr>
        <w:t>RODO</w:t>
      </w:r>
      <w:r w:rsidRPr="00375799">
        <w:rPr>
          <w:rFonts w:cstheme="minorHAnsi"/>
          <w:color w:val="000000" w:themeColor="text1"/>
          <w:sz w:val="24"/>
          <w:szCs w:val="24"/>
        </w:rPr>
        <w:t>.  Należy przy tym zaznaczyć, że ze względu na zasadę jawności w zamówieniach publicznych osoba, której danej dotyczą</w:t>
      </w:r>
      <w:r w:rsidR="00B90558">
        <w:rPr>
          <w:rFonts w:cstheme="minorHAnsi"/>
          <w:color w:val="000000" w:themeColor="text1"/>
          <w:sz w:val="24"/>
          <w:szCs w:val="24"/>
        </w:rPr>
        <w:t>,</w:t>
      </w:r>
      <w:r w:rsidRPr="00375799">
        <w:rPr>
          <w:rFonts w:cstheme="minorHAnsi"/>
          <w:color w:val="000000" w:themeColor="text1"/>
          <w:sz w:val="24"/>
          <w:szCs w:val="24"/>
        </w:rPr>
        <w:t xml:space="preserve"> będzie miała dostęp do przechowywanej dokumentacji postępowania, w oparciu o przepisy prawa zamówień publicznych, a więc będzie mogła bezpośrednio realizować prawo dostępu do danych osobowych jej dotyczących.  </w:t>
      </w:r>
    </w:p>
    <w:p w14:paraId="1EA225C7" w14:textId="49205A12"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97 ust. 1b</w:t>
      </w:r>
      <w:r w:rsidR="000A7860">
        <w:rPr>
          <w:rFonts w:cstheme="minorHAnsi"/>
          <w:color w:val="000000" w:themeColor="text1"/>
          <w:sz w:val="24"/>
          <w:szCs w:val="24"/>
        </w:rPr>
        <w:t xml:space="preserve"> ustawy Pzp</w:t>
      </w:r>
      <w:r w:rsidRPr="00375799">
        <w:rPr>
          <w:rFonts w:cstheme="minorHAnsi"/>
          <w:color w:val="000000" w:themeColor="text1"/>
          <w:sz w:val="24"/>
          <w:szCs w:val="24"/>
        </w:rPr>
        <w:t xml:space="preserve"> ma na celu doprecyzowanie, że skorzystanie przez osobę, której dane osobowe dotyczą</w:t>
      </w:r>
      <w:r w:rsidR="00B90558">
        <w:rPr>
          <w:rFonts w:cstheme="minorHAnsi"/>
          <w:color w:val="000000" w:themeColor="text1"/>
          <w:sz w:val="24"/>
          <w:szCs w:val="24"/>
        </w:rPr>
        <w:t>,</w:t>
      </w:r>
      <w:r w:rsidRPr="00375799">
        <w:rPr>
          <w:rFonts w:cstheme="minorHAnsi"/>
          <w:color w:val="000000" w:themeColor="text1"/>
          <w:sz w:val="24"/>
          <w:szCs w:val="24"/>
        </w:rPr>
        <w:t xml:space="preserve"> z uprawnienia do sprostowania lub uzupełnienia, o którym mowa w art. 16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nie może skutkować ingerencją w treść przechowywanego protokołu oraz jego załączników. Dokumentacja postępowania (tj. protokół oraz załączniki) przechowywana jest przede wszystkim w interesie publicznym, np. do celów kontroli, a więc nie jest możliwa jakakolwiek bezpośrednia ingerencja w treść przechowywanej dokumentacji postępowania, w oparciu o przysługujące uprawnienie z art. 16 </w:t>
      </w:r>
      <w:r w:rsidR="008F70BF" w:rsidRPr="00375799">
        <w:rPr>
          <w:rFonts w:cstheme="minorHAnsi"/>
          <w:color w:val="000000" w:themeColor="text1"/>
          <w:sz w:val="24"/>
          <w:szCs w:val="24"/>
        </w:rPr>
        <w:t>RODO</w:t>
      </w:r>
      <w:r w:rsidRPr="00375799">
        <w:rPr>
          <w:rFonts w:cstheme="minorHAnsi"/>
          <w:color w:val="000000" w:themeColor="text1"/>
          <w:sz w:val="24"/>
          <w:szCs w:val="24"/>
        </w:rPr>
        <w:t>. Wszelkie sprostowania lub uzupełnienia będą możliwe wyłącznie w postaci nowych dokumentów składanych jako załączniki do dokumentów, w których dane osobowe będą prostowane lub uzupełniane.</w:t>
      </w:r>
    </w:p>
    <w:p w14:paraId="4D8FFB44" w14:textId="3CDFB1D8"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art. 143e ustaw</w:t>
      </w:r>
      <w:r w:rsidR="00B402C0">
        <w:rPr>
          <w:rFonts w:cstheme="minorHAnsi"/>
          <w:color w:val="000000" w:themeColor="text1"/>
          <w:sz w:val="24"/>
          <w:szCs w:val="24"/>
        </w:rPr>
        <w:t>y</w:t>
      </w:r>
      <w:r w:rsidRPr="00375799">
        <w:rPr>
          <w:rFonts w:cstheme="minorHAnsi"/>
          <w:color w:val="000000" w:themeColor="text1"/>
          <w:sz w:val="24"/>
          <w:szCs w:val="24"/>
        </w:rPr>
        <w:t xml:space="preserve"> Pzp</w:t>
      </w:r>
      <w:r w:rsidR="000A7860">
        <w:rPr>
          <w:rFonts w:cstheme="minorHAnsi"/>
          <w:color w:val="000000" w:themeColor="text1"/>
          <w:sz w:val="24"/>
          <w:szCs w:val="24"/>
        </w:rPr>
        <w:t>.</w:t>
      </w:r>
    </w:p>
    <w:p w14:paraId="27A72D7B" w14:textId="3236975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Zasadniczym celem projektowanego przepisu jest przesądzenie wprost w przepisach ustawy Pzp, że zamawiający w ramach uprawnień w zakresie kontroli spełniania przez wykonawcę lub podwykonawcę wymagań, o których mowa w art. 29 ust. 3a</w:t>
      </w:r>
      <w:r w:rsidR="000A7860">
        <w:rPr>
          <w:rFonts w:cstheme="minorHAnsi"/>
          <w:color w:val="000000" w:themeColor="text1"/>
          <w:sz w:val="24"/>
          <w:szCs w:val="24"/>
        </w:rPr>
        <w:t xml:space="preserve"> ustawy Pzp</w:t>
      </w:r>
      <w:r w:rsidRPr="00375799">
        <w:rPr>
          <w:rFonts w:cstheme="minorHAnsi"/>
          <w:color w:val="000000" w:themeColor="text1"/>
          <w:sz w:val="24"/>
          <w:szCs w:val="24"/>
        </w:rPr>
        <w:t>, będzie miał prawo do żądania:</w:t>
      </w:r>
    </w:p>
    <w:p w14:paraId="53888FFD" w14:textId="3C505447" w:rsidR="00C35A4D" w:rsidRPr="00375799" w:rsidRDefault="00C35A4D" w:rsidP="00E63B1F">
      <w:pPr>
        <w:pStyle w:val="Akapitzlist"/>
        <w:numPr>
          <w:ilvl w:val="0"/>
          <w:numId w:val="13"/>
        </w:numPr>
        <w:spacing w:after="0"/>
        <w:ind w:left="417"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oświadczenia wykonawcy lub podwykonawcy o zatrudnieniu pracownika na podstawie umowy o pracę,</w:t>
      </w:r>
    </w:p>
    <w:p w14:paraId="3908C19D" w14:textId="70BE0035" w:rsidR="00C35A4D" w:rsidRPr="00375799" w:rsidRDefault="00C35A4D" w:rsidP="00E63B1F">
      <w:pPr>
        <w:pStyle w:val="Akapitzlist"/>
        <w:numPr>
          <w:ilvl w:val="0"/>
          <w:numId w:val="13"/>
        </w:numPr>
        <w:spacing w:after="0"/>
        <w:ind w:left="417"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poświadczonej za zgodność z oryginałem kopii umowy o pracę zatrudnionego pracownika, </w:t>
      </w:r>
    </w:p>
    <w:p w14:paraId="1FF882AC" w14:textId="441AD7FB" w:rsidR="00C35A4D" w:rsidRPr="00375799" w:rsidRDefault="00C35A4D" w:rsidP="00E63B1F">
      <w:pPr>
        <w:pStyle w:val="Akapitzlist"/>
        <w:numPr>
          <w:ilvl w:val="0"/>
          <w:numId w:val="13"/>
        </w:numPr>
        <w:spacing w:after="0"/>
        <w:ind w:left="417"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innych dokumentów</w:t>
      </w:r>
    </w:p>
    <w:p w14:paraId="1BB9C3C6" w14:textId="647E0E62" w:rsidR="00C35A4D" w:rsidRPr="00375799" w:rsidRDefault="009F0AAB" w:rsidP="00E63B1F">
      <w:pPr>
        <w:spacing w:after="0" w:line="276" w:lineRule="auto"/>
        <w:ind w:right="57"/>
        <w:contextualSpacing/>
        <w:jc w:val="both"/>
        <w:rPr>
          <w:rFonts w:cstheme="minorHAnsi"/>
          <w:color w:val="000000" w:themeColor="text1"/>
          <w:sz w:val="24"/>
          <w:szCs w:val="24"/>
        </w:rPr>
      </w:pPr>
      <w:r>
        <w:rPr>
          <w:rFonts w:cstheme="minorHAnsi"/>
          <w:color w:val="000000" w:themeColor="text1"/>
          <w:sz w:val="24"/>
          <w:szCs w:val="24"/>
        </w:rPr>
        <w:t>–</w:t>
      </w:r>
      <w:r w:rsidR="00E63B1F" w:rsidRPr="00375799">
        <w:rPr>
          <w:rFonts w:cstheme="minorHAnsi"/>
          <w:color w:val="000000" w:themeColor="text1"/>
          <w:sz w:val="24"/>
          <w:szCs w:val="24"/>
        </w:rPr>
        <w:t xml:space="preserve"> </w:t>
      </w:r>
      <w:r w:rsidR="00C35A4D" w:rsidRPr="00375799">
        <w:rPr>
          <w:rFonts w:cstheme="minorHAnsi"/>
          <w:color w:val="000000" w:themeColor="text1"/>
          <w:sz w:val="24"/>
          <w:szCs w:val="24"/>
        </w:rPr>
        <w:t>zawierających informacje, w tym dane osobowe, niezbędne do weryfikacji zatrudnienia na podstawie umowy o pracę, w szczególności: imię i nazwisko zatrudnionego pracownika, datę zawarcia umowy o pracę, rodzaj umowy o pracę,  zakres obowiązków pracownika.</w:t>
      </w:r>
    </w:p>
    <w:p w14:paraId="40983AC0" w14:textId="77777777" w:rsidR="00C35A4D" w:rsidRPr="00375799" w:rsidRDefault="00C35A4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Powyższe kwestie byłyby regulowane w postanowieniach umowy w sprawie zamówienia publicznego, która jest zasadniczym źródłem zobowiązań wykonawcy na etapie realizacji zamówienia. Na etapie postępowania o udzielenie zamówienia publicznego kwestie związane z weryfikacją zatrudniania określone byłyby w specyfikacji istotnych warunków zamówienia, która zawiera m.in. istotne dla stron postanowienia, które zostaną wprowadzone do treści zawieranej umowy w sprawie zamówienia publicznego, ogólne warunki umowy albo wzór umowy (vide: art. 36 ust. 1 pkt 16 oraz art. 36 ust. 2 pkt 8a ustawy Pzp).  </w:t>
      </w:r>
    </w:p>
    <w:p w14:paraId="2B12BDF4" w14:textId="77777777" w:rsidR="00B501AB" w:rsidRPr="00375799" w:rsidRDefault="00B501AB" w:rsidP="0055107B">
      <w:pPr>
        <w:spacing w:after="0" w:line="276" w:lineRule="auto"/>
        <w:ind w:left="57" w:right="57"/>
        <w:contextualSpacing/>
        <w:jc w:val="both"/>
        <w:rPr>
          <w:rFonts w:cstheme="minorHAnsi"/>
          <w:color w:val="000000" w:themeColor="text1"/>
          <w:sz w:val="24"/>
          <w:szCs w:val="24"/>
        </w:rPr>
      </w:pPr>
    </w:p>
    <w:p w14:paraId="090E0A31" w14:textId="4A16BF09"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78" w:name="_Toc530565050"/>
      <w:r w:rsidRPr="00375799">
        <w:rPr>
          <w:rFonts w:asciiTheme="minorHAnsi" w:hAnsiTheme="minorHAnsi" w:cstheme="minorHAnsi"/>
          <w:color w:val="000000" w:themeColor="text1"/>
          <w:sz w:val="24"/>
          <w:szCs w:val="24"/>
        </w:rPr>
        <w:t>Ustawa</w:t>
      </w:r>
      <w:r w:rsidR="0078314A" w:rsidRPr="00375799">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 xml:space="preserve">z dnia 12 marca 2004 r. o pomocy społecznej </w:t>
      </w:r>
      <w:r w:rsidR="001B095B" w:rsidRPr="00375799">
        <w:rPr>
          <w:rFonts w:asciiTheme="minorHAnsi" w:hAnsiTheme="minorHAnsi" w:cstheme="minorHAnsi"/>
          <w:color w:val="000000" w:themeColor="text1"/>
          <w:sz w:val="24"/>
          <w:szCs w:val="24"/>
        </w:rPr>
        <w:t xml:space="preserve">(Dz. U. z </w:t>
      </w:r>
      <w:r w:rsidR="00060A0B" w:rsidRPr="00375799">
        <w:rPr>
          <w:rFonts w:asciiTheme="minorHAnsi" w:hAnsiTheme="minorHAnsi" w:cstheme="minorHAnsi"/>
          <w:color w:val="000000" w:themeColor="text1"/>
          <w:sz w:val="24"/>
          <w:szCs w:val="24"/>
        </w:rPr>
        <w:t>201</w:t>
      </w:r>
      <w:r w:rsidR="00060A0B">
        <w:rPr>
          <w:rFonts w:asciiTheme="minorHAnsi" w:hAnsiTheme="minorHAnsi" w:cstheme="minorHAnsi"/>
          <w:color w:val="000000" w:themeColor="text1"/>
          <w:sz w:val="24"/>
          <w:szCs w:val="24"/>
        </w:rPr>
        <w:t>8</w:t>
      </w:r>
      <w:r w:rsidR="00060A0B" w:rsidRPr="00375799">
        <w:rPr>
          <w:rFonts w:asciiTheme="minorHAnsi" w:hAnsiTheme="minorHAnsi" w:cstheme="minorHAnsi"/>
          <w:color w:val="000000" w:themeColor="text1"/>
          <w:sz w:val="24"/>
          <w:szCs w:val="24"/>
        </w:rPr>
        <w:t xml:space="preserve"> </w:t>
      </w:r>
      <w:r w:rsidR="001B095B" w:rsidRPr="00375799">
        <w:rPr>
          <w:rFonts w:asciiTheme="minorHAnsi" w:hAnsiTheme="minorHAnsi" w:cstheme="minorHAnsi"/>
          <w:color w:val="000000" w:themeColor="text1"/>
          <w:sz w:val="24"/>
          <w:szCs w:val="24"/>
        </w:rPr>
        <w:t xml:space="preserve">r. poz. </w:t>
      </w:r>
      <w:r w:rsidR="00060A0B">
        <w:rPr>
          <w:rFonts w:asciiTheme="minorHAnsi" w:hAnsiTheme="minorHAnsi" w:cstheme="minorHAnsi"/>
          <w:color w:val="000000" w:themeColor="text1"/>
          <w:sz w:val="24"/>
          <w:szCs w:val="24"/>
        </w:rPr>
        <w:t>1508</w:t>
      </w:r>
      <w:r w:rsidR="00060A0B" w:rsidRPr="00375799">
        <w:rPr>
          <w:rFonts w:asciiTheme="minorHAnsi" w:hAnsiTheme="minorHAnsi" w:cstheme="minorHAnsi"/>
          <w:color w:val="000000" w:themeColor="text1"/>
          <w:sz w:val="24"/>
          <w:szCs w:val="24"/>
        </w:rPr>
        <w:t xml:space="preserve"> </w:t>
      </w:r>
      <w:r w:rsidR="001B095B" w:rsidRPr="00375799">
        <w:rPr>
          <w:rFonts w:asciiTheme="minorHAnsi" w:hAnsiTheme="minorHAnsi" w:cstheme="minorHAnsi"/>
          <w:color w:val="000000" w:themeColor="text1"/>
          <w:sz w:val="24"/>
          <w:szCs w:val="24"/>
        </w:rPr>
        <w:t xml:space="preserve">i </w:t>
      </w:r>
      <w:r w:rsidR="00060A0B">
        <w:rPr>
          <w:rFonts w:asciiTheme="minorHAnsi" w:hAnsiTheme="minorHAnsi" w:cstheme="minorHAnsi"/>
          <w:color w:val="000000" w:themeColor="text1"/>
          <w:sz w:val="24"/>
          <w:szCs w:val="24"/>
        </w:rPr>
        <w:t>1693</w:t>
      </w:r>
      <w:r w:rsidR="001B095B" w:rsidRPr="00375799">
        <w:rPr>
          <w:rFonts w:asciiTheme="minorHAnsi" w:hAnsiTheme="minorHAnsi" w:cstheme="minorHAnsi"/>
          <w:color w:val="000000" w:themeColor="text1"/>
          <w:sz w:val="24"/>
          <w:szCs w:val="24"/>
        </w:rPr>
        <w:t>)</w:t>
      </w:r>
      <w:bookmarkEnd w:id="78"/>
    </w:p>
    <w:p w14:paraId="10D2CB86" w14:textId="77777777" w:rsidR="00E63B1F" w:rsidRPr="00375799" w:rsidRDefault="00E63B1F" w:rsidP="00E63B1F">
      <w:pPr>
        <w:rPr>
          <w:color w:val="000000" w:themeColor="text1"/>
        </w:rPr>
      </w:pPr>
    </w:p>
    <w:p w14:paraId="7C6506A7" w14:textId="28BC29A4" w:rsidR="001F5130" w:rsidRPr="00375799" w:rsidRDefault="001F5130"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Zmiana w art. 23a ust. 4a ma charakter redakcyjny ws</w:t>
      </w:r>
      <w:r w:rsidR="00DF2094">
        <w:rPr>
          <w:rFonts w:cstheme="minorHAnsi"/>
          <w:color w:val="000000" w:themeColor="text1"/>
          <w:sz w:val="24"/>
          <w:szCs w:val="24"/>
        </w:rPr>
        <w:t xml:space="preserve">kazujący, że </w:t>
      </w:r>
      <w:r w:rsidRPr="00375799">
        <w:rPr>
          <w:rFonts w:cstheme="minorHAnsi"/>
          <w:color w:val="000000" w:themeColor="text1"/>
          <w:sz w:val="24"/>
          <w:szCs w:val="24"/>
        </w:rPr>
        <w:t>minister właściwy do spraw zabezpieczenia społecznego „prowadz</w:t>
      </w:r>
      <w:r w:rsidR="00DF2094">
        <w:rPr>
          <w:rFonts w:cstheme="minorHAnsi"/>
          <w:color w:val="000000" w:themeColor="text1"/>
          <w:sz w:val="24"/>
          <w:szCs w:val="24"/>
        </w:rPr>
        <w:t xml:space="preserve">i i rozwija rejestr centralny” </w:t>
      </w:r>
      <w:r w:rsidRPr="00375799">
        <w:rPr>
          <w:rFonts w:cstheme="minorHAnsi"/>
          <w:color w:val="000000" w:themeColor="text1"/>
          <w:sz w:val="24"/>
          <w:szCs w:val="24"/>
        </w:rPr>
        <w:t>obejmujący dane dotyczące jednostek organizacyjnych pomocy społecznej, a także dane dotyczące osób i rodzin ubiegających się o świadczenia z pomocy społecznej lub korzystających z tych świadczeń oraz form udzielonej pomocy społecznej, gromadzone przez jednostki organizacyjne pomocy społecznej na podstawie przep</w:t>
      </w:r>
      <w:r w:rsidR="00DF2094">
        <w:rPr>
          <w:rFonts w:cstheme="minorHAnsi"/>
          <w:color w:val="000000" w:themeColor="text1"/>
          <w:sz w:val="24"/>
          <w:szCs w:val="24"/>
        </w:rPr>
        <w:t xml:space="preserve">isów ustawy, „oraz przetwarza” </w:t>
      </w:r>
      <w:r w:rsidRPr="00375799">
        <w:rPr>
          <w:rFonts w:cstheme="minorHAnsi"/>
          <w:color w:val="000000" w:themeColor="text1"/>
          <w:sz w:val="24"/>
          <w:szCs w:val="24"/>
        </w:rPr>
        <w:t xml:space="preserve">te dane w celu realizacji zadań, o których mowa w ust. 1, zamiast dotychczas używanych zwrotów „może utworzyć” oraz „może przetwarzać”. Wskazana zmiana redakcyjna wskazuje na obowiązek, który został nałożony na </w:t>
      </w:r>
      <w:r w:rsidR="00316680" w:rsidRPr="00375799">
        <w:rPr>
          <w:rFonts w:cstheme="minorHAnsi"/>
          <w:color w:val="000000" w:themeColor="text1"/>
          <w:sz w:val="24"/>
          <w:szCs w:val="24"/>
        </w:rPr>
        <w:t>m</w:t>
      </w:r>
      <w:r w:rsidRPr="00375799">
        <w:rPr>
          <w:rFonts w:cstheme="minorHAnsi"/>
          <w:color w:val="000000" w:themeColor="text1"/>
          <w:sz w:val="24"/>
          <w:szCs w:val="24"/>
        </w:rPr>
        <w:t xml:space="preserve">inistra, jakim jest prowadzenie i rozwijanie rejestru. </w:t>
      </w:r>
    </w:p>
    <w:p w14:paraId="7AA9B763" w14:textId="74927A69" w:rsidR="002A4274" w:rsidRPr="00375799" w:rsidRDefault="002A42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Art. </w:t>
      </w:r>
      <w:r w:rsidR="008F70BF" w:rsidRPr="00375799">
        <w:rPr>
          <w:rFonts w:cstheme="minorHAnsi"/>
          <w:color w:val="000000" w:themeColor="text1"/>
          <w:sz w:val="24"/>
          <w:szCs w:val="24"/>
        </w:rPr>
        <w:t>7</w:t>
      </w:r>
      <w:r w:rsidR="000A7860">
        <w:rPr>
          <w:rFonts w:cstheme="minorHAnsi"/>
          <w:color w:val="000000" w:themeColor="text1"/>
          <w:sz w:val="24"/>
          <w:szCs w:val="24"/>
        </w:rPr>
        <w:t>8</w:t>
      </w:r>
      <w:r w:rsidR="008F70BF" w:rsidRPr="00375799">
        <w:rPr>
          <w:rFonts w:cstheme="minorHAnsi"/>
          <w:color w:val="000000" w:themeColor="text1"/>
          <w:sz w:val="24"/>
          <w:szCs w:val="24"/>
        </w:rPr>
        <w:t xml:space="preserve"> </w:t>
      </w:r>
      <w:r w:rsidRPr="00375799">
        <w:rPr>
          <w:rFonts w:cstheme="minorHAnsi"/>
          <w:color w:val="000000" w:themeColor="text1"/>
          <w:sz w:val="24"/>
          <w:szCs w:val="24"/>
        </w:rPr>
        <w:t xml:space="preserve">projektu </w:t>
      </w:r>
      <w:r w:rsidR="000A7860">
        <w:rPr>
          <w:rFonts w:cstheme="minorHAnsi"/>
          <w:color w:val="000000" w:themeColor="text1"/>
          <w:sz w:val="24"/>
          <w:szCs w:val="24"/>
        </w:rPr>
        <w:t xml:space="preserve">ustawy </w:t>
      </w:r>
      <w:r w:rsidRPr="00375799">
        <w:rPr>
          <w:rFonts w:cstheme="minorHAnsi"/>
          <w:color w:val="000000" w:themeColor="text1"/>
          <w:sz w:val="24"/>
          <w:szCs w:val="24"/>
        </w:rPr>
        <w:t>zawierający zmiany do ustawy z dnia 12 marca 2004 r. o pomocy społecznej wskazuje</w:t>
      </w:r>
      <w:r w:rsidR="00060A0B">
        <w:rPr>
          <w:rFonts w:cstheme="minorHAnsi"/>
          <w:color w:val="000000" w:themeColor="text1"/>
          <w:sz w:val="24"/>
          <w:szCs w:val="24"/>
        </w:rPr>
        <w:t>,</w:t>
      </w:r>
      <w:r w:rsidRPr="00375799">
        <w:rPr>
          <w:rFonts w:cstheme="minorHAnsi"/>
          <w:color w:val="000000" w:themeColor="text1"/>
          <w:sz w:val="24"/>
          <w:szCs w:val="24"/>
        </w:rPr>
        <w:t xml:space="preserve"> w </w:t>
      </w:r>
      <w:r w:rsidR="000A7860">
        <w:rPr>
          <w:rFonts w:cstheme="minorHAnsi"/>
          <w:color w:val="000000" w:themeColor="text1"/>
          <w:sz w:val="24"/>
          <w:szCs w:val="24"/>
        </w:rPr>
        <w:t xml:space="preserve">projektowanym </w:t>
      </w:r>
      <w:r w:rsidRPr="00375799">
        <w:rPr>
          <w:rFonts w:cstheme="minorHAnsi"/>
          <w:color w:val="000000" w:themeColor="text1"/>
          <w:sz w:val="24"/>
          <w:szCs w:val="24"/>
        </w:rPr>
        <w:t>art. 25</w:t>
      </w:r>
      <w:r w:rsidR="000A7860">
        <w:rPr>
          <w:rFonts w:cstheme="minorHAnsi"/>
          <w:color w:val="000000" w:themeColor="text1"/>
          <w:sz w:val="24"/>
          <w:szCs w:val="24"/>
        </w:rPr>
        <w:t xml:space="preserve"> ustawy o pomocy społecznej</w:t>
      </w:r>
      <w:r w:rsidR="00060A0B">
        <w:rPr>
          <w:rFonts w:cstheme="minorHAnsi"/>
          <w:color w:val="000000" w:themeColor="text1"/>
          <w:sz w:val="24"/>
          <w:szCs w:val="24"/>
        </w:rPr>
        <w:t>,</w:t>
      </w:r>
      <w:r w:rsidRPr="00375799">
        <w:rPr>
          <w:rFonts w:cstheme="minorHAnsi"/>
          <w:color w:val="000000" w:themeColor="text1"/>
          <w:sz w:val="24"/>
          <w:szCs w:val="24"/>
        </w:rPr>
        <w:t xml:space="preserve"> na administratorów danych osobowych w systemie pomocy społecznej, którymi są</w:t>
      </w:r>
      <w:r w:rsidR="00B90558">
        <w:rPr>
          <w:rFonts w:cstheme="minorHAnsi"/>
          <w:color w:val="000000" w:themeColor="text1"/>
          <w:sz w:val="24"/>
          <w:szCs w:val="24"/>
        </w:rPr>
        <w:t>,</w:t>
      </w:r>
      <w:r w:rsidRPr="00375799">
        <w:rPr>
          <w:rFonts w:cstheme="minorHAnsi"/>
          <w:color w:val="000000" w:themeColor="text1"/>
          <w:sz w:val="24"/>
          <w:szCs w:val="24"/>
        </w:rPr>
        <w:t xml:space="preserve"> co do zasady</w:t>
      </w:r>
      <w:r w:rsidR="00B90558">
        <w:rPr>
          <w:rFonts w:cstheme="minorHAnsi"/>
          <w:color w:val="000000" w:themeColor="text1"/>
          <w:sz w:val="24"/>
          <w:szCs w:val="24"/>
        </w:rPr>
        <w:t>,</w:t>
      </w:r>
      <w:r w:rsidRPr="00375799">
        <w:rPr>
          <w:rFonts w:cstheme="minorHAnsi"/>
          <w:color w:val="000000" w:themeColor="text1"/>
          <w:sz w:val="24"/>
          <w:szCs w:val="24"/>
        </w:rPr>
        <w:t xml:space="preserve"> jednostki organizacyjne pomocy społecznej. </w:t>
      </w:r>
    </w:p>
    <w:p w14:paraId="5BED5D01" w14:textId="74EAD96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przypadku zlecenia realizacji zadania, podmiotem odpowiedzialnym za przetwarzanie danych osobowych osób, którym są udzielane świadczenia, jest podmiot przyjmujący zlecenie. W sytuacji, gdy podmiot ten udziela świadczeń w prowadzonej przez siebie jednostce organizacyjnej pomocy społecznej (pojęcie zdefiniowane w art. 6 pkt 5 ustawy o pomocy społecznej), administratorem danych osobowych jest ta jednostka organizacyjna, np. dom pomocy społecznej, ośrodek wsparcia. Podmiot </w:t>
      </w:r>
      <w:r w:rsidR="00A00BBE" w:rsidRPr="00375799">
        <w:rPr>
          <w:rFonts w:cstheme="minorHAnsi"/>
          <w:color w:val="000000" w:themeColor="text1"/>
          <w:sz w:val="24"/>
          <w:szCs w:val="24"/>
        </w:rPr>
        <w:t xml:space="preserve">przyjmujący </w:t>
      </w:r>
      <w:r w:rsidRPr="00375799">
        <w:rPr>
          <w:rFonts w:cstheme="minorHAnsi"/>
          <w:color w:val="000000" w:themeColor="text1"/>
          <w:sz w:val="24"/>
          <w:szCs w:val="24"/>
        </w:rPr>
        <w:t xml:space="preserve">zlecenie realizacji zadania z zakresu pomocy społecznej jest niezależny od organu udzielającego zlecenia, z tego względu jest odrębnym administratorem danych osobowych. </w:t>
      </w:r>
    </w:p>
    <w:p w14:paraId="3C15DBEF" w14:textId="6C5B789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Zmiana </w:t>
      </w:r>
      <w:r w:rsidR="000A7860">
        <w:rPr>
          <w:rFonts w:cstheme="minorHAnsi"/>
          <w:color w:val="000000" w:themeColor="text1"/>
          <w:sz w:val="24"/>
          <w:szCs w:val="24"/>
        </w:rPr>
        <w:t>ust. 2</w:t>
      </w:r>
      <w:r w:rsidR="000A7860" w:rsidRPr="00375799">
        <w:rPr>
          <w:rFonts w:cstheme="minorHAnsi"/>
          <w:color w:val="000000" w:themeColor="text1"/>
          <w:sz w:val="24"/>
          <w:szCs w:val="24"/>
        </w:rPr>
        <w:t xml:space="preserve"> </w:t>
      </w:r>
      <w:r w:rsidRPr="00375799">
        <w:rPr>
          <w:rFonts w:cstheme="minorHAnsi"/>
          <w:color w:val="000000" w:themeColor="text1"/>
          <w:sz w:val="24"/>
          <w:szCs w:val="24"/>
        </w:rPr>
        <w:t xml:space="preserve">art. 100 </w:t>
      </w:r>
      <w:r w:rsidR="000A7860">
        <w:rPr>
          <w:rFonts w:cstheme="minorHAnsi"/>
          <w:color w:val="000000" w:themeColor="text1"/>
          <w:sz w:val="24"/>
          <w:szCs w:val="24"/>
        </w:rPr>
        <w:t xml:space="preserve">ustawy o pomocy społecznej </w:t>
      </w:r>
      <w:r w:rsidRPr="00375799">
        <w:rPr>
          <w:rFonts w:cstheme="minorHAnsi"/>
          <w:color w:val="000000" w:themeColor="text1"/>
          <w:sz w:val="24"/>
          <w:szCs w:val="24"/>
        </w:rPr>
        <w:t xml:space="preserve">ma na celu nadanie ustawowego upoważnienia do przetwarzania danych osobowych osób, do których stosuje się tę ustawę, oraz członków ich rodzin, w zakresie niezbędnym do realizacji zadań wynikających z ustawy. Z uwagi na szeroki krąg podmiotów przetwarzających dane osobowe osób korzystających ze świadczeń pomocy </w:t>
      </w:r>
      <w:r w:rsidR="00B90558" w:rsidRPr="00375799">
        <w:rPr>
          <w:rFonts w:cstheme="minorHAnsi"/>
          <w:color w:val="000000" w:themeColor="text1"/>
          <w:sz w:val="24"/>
          <w:szCs w:val="24"/>
        </w:rPr>
        <w:t>społeczn</w:t>
      </w:r>
      <w:r w:rsidR="00B90558">
        <w:rPr>
          <w:rFonts w:cstheme="minorHAnsi"/>
          <w:color w:val="000000" w:themeColor="text1"/>
          <w:sz w:val="24"/>
          <w:szCs w:val="24"/>
        </w:rPr>
        <w:t>ej</w:t>
      </w:r>
      <w:r w:rsidRPr="00375799">
        <w:rPr>
          <w:rFonts w:cstheme="minorHAnsi"/>
          <w:color w:val="000000" w:themeColor="text1"/>
          <w:sz w:val="24"/>
          <w:szCs w:val="24"/>
        </w:rPr>
        <w:t xml:space="preserve">, ale też innych osób, do których ustawa ma zastosowanie, np. osób ponoszących odpłatność za pobyt innej osoby w domu pomocy społecznej, osób korzystających z usług w placówce zapewniającej całodobową opiekę osobom niepełnosprawnym, przewlekle chorym lub osobom w podeszłym wieku, zdecydowano o wprowadzeniu jednego upoważnienia, mającego zastosowanie do wszystkich podmiotów wykonujących zadania wynikające z ustawy, wskazanych w art. 2 ust. 2 ustawy. </w:t>
      </w:r>
    </w:p>
    <w:p w14:paraId="2DA3413C" w14:textId="50F6636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uwagi na treść art. 23 ust. 1 lit. e </w:t>
      </w:r>
      <w:r w:rsidR="008F70BF" w:rsidRPr="00375799">
        <w:rPr>
          <w:rFonts w:cstheme="minorHAnsi"/>
          <w:color w:val="000000" w:themeColor="text1"/>
          <w:sz w:val="24"/>
          <w:szCs w:val="24"/>
        </w:rPr>
        <w:t>RODO</w:t>
      </w:r>
      <w:r w:rsidRPr="00375799">
        <w:rPr>
          <w:rFonts w:cstheme="minorHAnsi"/>
          <w:color w:val="000000" w:themeColor="text1"/>
          <w:sz w:val="24"/>
          <w:szCs w:val="24"/>
        </w:rPr>
        <w:t>, który umożliwia przyjęcie przez Państwo członkowskie ograniczeń zakresu obowiązków i praw przewidzianych w niektórych przepisach ww. rozporządzenia m</w:t>
      </w:r>
      <w:r w:rsidR="009F0AAB">
        <w:rPr>
          <w:rFonts w:cstheme="minorHAnsi"/>
          <w:color w:val="000000" w:themeColor="text1"/>
          <w:sz w:val="24"/>
          <w:szCs w:val="24"/>
        </w:rPr>
        <w:t>.</w:t>
      </w:r>
      <w:r w:rsidRPr="00375799">
        <w:rPr>
          <w:rFonts w:cstheme="minorHAnsi"/>
          <w:color w:val="000000" w:themeColor="text1"/>
          <w:sz w:val="24"/>
          <w:szCs w:val="24"/>
        </w:rPr>
        <w:t>in. w dziedzinie zabezpieczenia społecznego, projekt ustawy umożliwia realizację obowiązku informacyjnego, o którym mowa w art. 13 ust. 1 i 2 wymienionego rozporządzenia</w:t>
      </w:r>
      <w:r w:rsidR="00B90558">
        <w:rPr>
          <w:rFonts w:cstheme="minorHAnsi"/>
          <w:color w:val="000000" w:themeColor="text1"/>
          <w:sz w:val="24"/>
          <w:szCs w:val="24"/>
        </w:rPr>
        <w:t>,</w:t>
      </w:r>
      <w:r w:rsidRPr="00375799">
        <w:rPr>
          <w:rFonts w:cstheme="minorHAnsi"/>
          <w:color w:val="000000" w:themeColor="text1"/>
          <w:sz w:val="24"/>
          <w:szCs w:val="24"/>
        </w:rPr>
        <w:t xml:space="preserve"> w celu udzielania świadczeń, o których mowa w art. 106 ust. 2 ustawy o pomocy społecznej, oraz udzielania usług w ośrodkach wsparcia, rodzinnych domach pomocy, mieszkaniach chronionych i domach pomocy społecznej poprzez umieszczenie informacji o przetwarzaniu danych osobowych w widocznym miejscu w budynku, w którym udzielane są świadczenia. Taki sposób realizacji obowiązków informacyjnych będzie więc dotyczył </w:t>
      </w:r>
      <w:r w:rsidRPr="00375799">
        <w:rPr>
          <w:rFonts w:cstheme="minorHAnsi"/>
          <w:color w:val="000000" w:themeColor="text1"/>
          <w:sz w:val="24"/>
          <w:szCs w:val="24"/>
        </w:rPr>
        <w:lastRenderedPageBreak/>
        <w:t xml:space="preserve">udzielania świadczeń, które nie są przyznawane decyzją administracyjną, oraz świadczeń w formie usług udzielanych w jednostkach organizacyjnych przez te jednostki. </w:t>
      </w:r>
      <w:r w:rsidR="00A00BBE" w:rsidRPr="00375799">
        <w:rPr>
          <w:rFonts w:cstheme="minorHAnsi"/>
          <w:color w:val="000000" w:themeColor="text1"/>
          <w:sz w:val="24"/>
          <w:szCs w:val="24"/>
        </w:rPr>
        <w:t>Jednocześnie wprowadza się obowiązek informowania o ograniczeniu obowiązku informacyjnego osób, których ograniczenie dotyczy, najpóźniej przy pierwszej czynności skierowanej do tych osób.</w:t>
      </w:r>
    </w:p>
    <w:p w14:paraId="6B0A535E" w14:textId="4CCBA1E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Wskazanym w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warunkiem wprowadzenia ograniczeń jest zagwarantowanie, że nie będzie ono naruszało istoty podstawowych praw i wolności. W tym miejscu zasadnym wydaje się podkreślenie, że projektowany art. 100 ust. 3 nie ingeruje w istotę praw osób fizycznych uregulowanych w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czyli w uprawnienie do żądania dostępu, sprostowania czy usunięcia danych gromadzonych przez administratora. Ograniczenie przewidziane w projektowanym przepisie w niczym nie uchybia więc prawom osób, których dane są przetwarzane, a jedynie w pewnym zakresie ma na celu zmniejszenie obciążeń administracyjnych spoczywających na organach administracji publicznej. </w:t>
      </w:r>
    </w:p>
    <w:p w14:paraId="062D1C50" w14:textId="174FC7C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Kolejnym, wskazanym w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warunkiem wprowadzenia ograniczeń jest wykazanie, że są one niezbędne i proporcjonalne w demokratycznym społeczeństwie. W tym kontekście zauważyć należy, że celem istnienia i funkcjonowania organów administracji publicznej jest sprawne zarządzanie państwem przejawiające się poprzez zaspakajanie zbiorowych i indywidualnych potrzeb obywateli, wynikających ze współżycia ludzi w społecznościach (patrz próba definicji pojęcia administracja publiczna w: J. Boć (red.), Administracja publiczna, Wrocław 2002, s. 10). Administracja publiczna działa więc na rzecz dobra wspólnego, którego synonimem jest interes publiczny. Z tego względu istotnym jest zapewnienie organom administracji możliwości skutecznego i efektywnego wykonywania powierzonych jej zadań, co leży w interesie wszystkich obywateli. W tym kontekście zaproponowane ograniczenie stosowania rozporządzenia ma na celu umożliwienie organom realizacji podstawowych funkcji, dla których zostały powołane. Z całą pewnością podstawowym oczekiwaniem obywateli w stosunku do organów administracji jest sprawne załatwiania spraw zarówno o charakterze zbiorowym, jak i indywidualnym. Zaproponowane ograniczenie jest więc niezbędne i proporcjonalne, ponieważ przy ich wprowadzaniu należycie wyważono interes publiczny, rozumiany jako zaspakajanie potrzeb obywateli jako ogółu, oraz interes indywidualny, przejawiający się w korzystaniu z pełni praw wskazanych w rozporządzeniu 2016/679, przy czym proponowane ograniczenie, jak już wyżej wskazano, nie narusza istoty podstawowych praw i wolności. </w:t>
      </w:r>
    </w:p>
    <w:p w14:paraId="0BA3D08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Jako administratorów danych osobowych przetwarzanych w celu przyznawania i udzielania świadczeń z pomocy społecznej projekt wskazuje publiczne jednostki organizacyjne wykonujące zadania w zakresie pomocy społecznej. </w:t>
      </w:r>
    </w:p>
    <w:p w14:paraId="2684808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 nakłada obowiązek zabezpieczenia danych osobowych osób, do których stosuje się ustawę o pomocy społecznej, oraz członków ich rodzin, co najmniej poprzez wymóg dopuszczenia do przetwarzania danych osobowych wyłącznie osób posiadających pisemne upoważnienie nadane przez administratora danych oraz zobowiązania ich do zachowania danych osobowych w tajemnicy.</w:t>
      </w:r>
    </w:p>
    <w:p w14:paraId="444268B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Zobowiązuje się również do zachowania poufności wszelkich informacji i danych, które podmioty przetwarzające dane osobowe uzyskały przy wykonywaniu tych zadań</w:t>
      </w:r>
    </w:p>
    <w:p w14:paraId="42B839DA" w14:textId="743C9A81" w:rsidR="008706DD" w:rsidRPr="00375799" w:rsidRDefault="00CB002E" w:rsidP="0055107B">
      <w:pPr>
        <w:spacing w:after="0" w:line="276" w:lineRule="auto"/>
        <w:ind w:left="57" w:right="57"/>
        <w:contextualSpacing/>
        <w:jc w:val="both"/>
        <w:rPr>
          <w:rFonts w:cstheme="minorHAnsi"/>
          <w:color w:val="000000" w:themeColor="text1"/>
          <w:sz w:val="24"/>
          <w:szCs w:val="24"/>
        </w:rPr>
      </w:pPr>
      <w:r w:rsidRPr="00CB002E">
        <w:rPr>
          <w:rFonts w:cstheme="minorHAnsi"/>
          <w:color w:val="000000" w:themeColor="text1"/>
          <w:sz w:val="24"/>
          <w:szCs w:val="24"/>
        </w:rPr>
        <w:t>Art. 7</w:t>
      </w:r>
      <w:r w:rsidR="000A7860">
        <w:rPr>
          <w:rFonts w:cstheme="minorHAnsi"/>
          <w:color w:val="000000" w:themeColor="text1"/>
          <w:sz w:val="24"/>
          <w:szCs w:val="24"/>
        </w:rPr>
        <w:t>8</w:t>
      </w:r>
      <w:r w:rsidRPr="00CB002E">
        <w:rPr>
          <w:rFonts w:cstheme="minorHAnsi"/>
          <w:color w:val="000000" w:themeColor="text1"/>
          <w:sz w:val="24"/>
          <w:szCs w:val="24"/>
        </w:rPr>
        <w:t xml:space="preserve"> projektu należy również uzupełnić o przepis upoważniający do przetwarzania danych osobowych osób korzystających z pomocy określonej w Programie Operacyjnym Pomoc Żywnościowa 2014</w:t>
      </w:r>
      <w:r w:rsidR="00B90558">
        <w:rPr>
          <w:rFonts w:cstheme="minorHAnsi"/>
          <w:color w:val="000000" w:themeColor="text1"/>
          <w:sz w:val="24"/>
          <w:szCs w:val="24"/>
        </w:rPr>
        <w:t>–</w:t>
      </w:r>
      <w:r w:rsidRPr="00CB002E">
        <w:rPr>
          <w:rFonts w:cstheme="minorHAnsi"/>
          <w:color w:val="000000" w:themeColor="text1"/>
          <w:sz w:val="24"/>
          <w:szCs w:val="24"/>
        </w:rPr>
        <w:t>2020, stąd zaproponow</w:t>
      </w:r>
      <w:r>
        <w:rPr>
          <w:rFonts w:cstheme="minorHAnsi"/>
          <w:color w:val="000000" w:themeColor="text1"/>
          <w:sz w:val="24"/>
          <w:szCs w:val="24"/>
        </w:rPr>
        <w:t>ano dodanie art. 134m</w:t>
      </w:r>
      <w:r w:rsidR="008706DD" w:rsidRPr="00375799">
        <w:rPr>
          <w:rFonts w:cstheme="minorHAnsi"/>
          <w:color w:val="000000" w:themeColor="text1"/>
          <w:sz w:val="24"/>
          <w:szCs w:val="24"/>
        </w:rPr>
        <w:t>. Zgodnie z rozporządzeniem delegowanym Komisji (UE) nr 1255/2014 z dnia 17 lipca 2014 r. uzupełniającym rozporządzenie Parlamentu Europejskiego i Rady (UE) nr 223/2014 w sprawie Europejskiego Funduszu Najbardziej Potrzebującym o przepisy określające zawartość rocznych i końcowych sprawozdań z wdrażania, w tym wykaz wspólnych wskaźników, państwa członkowskie zobowiązane są do gromadzenia danych dotyczących odbiorców końcowych Programu dla celów sprawozdawczych i kontrolnych wobec KE w okresie nie krótszym niż 5 lat od zakończenia realizacji Programu.</w:t>
      </w:r>
    </w:p>
    <w:p w14:paraId="30904653" w14:textId="29AA893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Programu Operacyjnego udzielana jest pomoc w</w:t>
      </w:r>
      <w:r w:rsidR="001F5130" w:rsidRPr="00375799">
        <w:rPr>
          <w:rFonts w:cstheme="minorHAnsi"/>
          <w:color w:val="000000" w:themeColor="text1"/>
          <w:sz w:val="24"/>
          <w:szCs w:val="24"/>
        </w:rPr>
        <w:t xml:space="preserve"> postaci paczek żywnościowych</w:t>
      </w:r>
      <w:r w:rsidR="001F5130" w:rsidRPr="00375799">
        <w:rPr>
          <w:rFonts w:cstheme="minorHAnsi"/>
          <w:color w:val="000000" w:themeColor="text1"/>
          <w:sz w:val="24"/>
          <w:szCs w:val="24"/>
        </w:rPr>
        <w:br/>
      </w:r>
      <w:r w:rsidRPr="00375799">
        <w:rPr>
          <w:rFonts w:cstheme="minorHAnsi"/>
          <w:color w:val="000000" w:themeColor="text1"/>
          <w:sz w:val="24"/>
          <w:szCs w:val="24"/>
        </w:rPr>
        <w:t>i posiłków, a także tzw. działań towarzyszących (np. warsztaty na temat zdrowego żywienia, szkolenia z zakresu zarz</w:t>
      </w:r>
      <w:r w:rsidR="00B90558">
        <w:rPr>
          <w:rFonts w:cstheme="minorHAnsi"/>
          <w:color w:val="000000" w:themeColor="text1"/>
          <w:sz w:val="24"/>
          <w:szCs w:val="24"/>
        </w:rPr>
        <w:t>ą</w:t>
      </w:r>
      <w:r w:rsidRPr="00375799">
        <w:rPr>
          <w:rFonts w:cstheme="minorHAnsi"/>
          <w:color w:val="000000" w:themeColor="text1"/>
          <w:sz w:val="24"/>
          <w:szCs w:val="24"/>
        </w:rPr>
        <w:t xml:space="preserve">dzania budżetem domowym). Każda osoba i rodzina chcąca otrzymywać pomoc powinna w tym celu zgłosić się do organizacji wydającej pomoc. Forma udzielanej pomocy wskazuje, że jest ona doraźna, np. paczki wydawane są osobom uprawnionym kilka razy w roku. Aby ułatwić realizację obowiązków informacyjnych wynikających z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małym, lokalnym organizacjom, borykającym się z problemami kadrowymi i lokalowymi, wprowadza się dla tych organizacji możliwość umieszczenia informacji o przetwarzaniu danych osobowych w widocznym miejscu w budynku, w którym udzielana jest pomoc. Konieczność doręczania każdej osobie korzystającej z pomocy indywidualnie informacji wskazanych w rozporządzeniu 2016/679 mogłoby spowodować rezygnację części z nich </w:t>
      </w:r>
      <w:r w:rsidR="00B90558">
        <w:rPr>
          <w:rFonts w:cstheme="minorHAnsi"/>
          <w:color w:val="000000" w:themeColor="text1"/>
          <w:sz w:val="24"/>
          <w:szCs w:val="24"/>
        </w:rPr>
        <w:t>z</w:t>
      </w:r>
      <w:r w:rsidR="00B90558" w:rsidRPr="00375799">
        <w:rPr>
          <w:rFonts w:cstheme="minorHAnsi"/>
          <w:color w:val="000000" w:themeColor="text1"/>
          <w:sz w:val="24"/>
          <w:szCs w:val="24"/>
        </w:rPr>
        <w:t xml:space="preserve"> </w:t>
      </w:r>
      <w:r w:rsidRPr="00375799">
        <w:rPr>
          <w:rFonts w:cstheme="minorHAnsi"/>
          <w:color w:val="000000" w:themeColor="text1"/>
          <w:sz w:val="24"/>
          <w:szCs w:val="24"/>
        </w:rPr>
        <w:t xml:space="preserve">udziału w Programie Operacyjnym, a tym samym pozostawienie danej społeczności bez pomocy oferowanej w jego ramach. W stosunku do Krajowego Ośrodka Wsparcia Rolnictwa, przetwarzającego dane osobowe osób korzystających z pomocy w toku czynności kontrolnych, umożliwia się realizację obowiązku informacyjnego poprzez umieszczenie informacji o przetwarzaniu danych osobowych na stronie podmiotowej w Biuletynie Informacji Publicznej lub na stronie internetowej KOWR. </w:t>
      </w:r>
    </w:p>
    <w:p w14:paraId="29E6A7BC"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 nakłada obowiązek zabezpieczenia danych osobowych w ramach Programu Operacyjnego co najmniej poprzez wymóg dopuszczenia do przetwarzania danych osobowych wyłącznie osób posiadających pisemne upoważnienie nadane przez administratora danych oraz zobowiązania ich do zachowania danych osobowych w tajemnicy.</w:t>
      </w:r>
    </w:p>
    <w:p w14:paraId="10BD990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4A3C707" w14:textId="0E5EE89F"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79" w:name="_Toc530565051"/>
      <w:r w:rsidRPr="00375799">
        <w:rPr>
          <w:rFonts w:asciiTheme="minorHAnsi" w:hAnsiTheme="minorHAnsi" w:cstheme="minorHAnsi"/>
          <w:color w:val="000000" w:themeColor="text1"/>
          <w:sz w:val="24"/>
          <w:szCs w:val="24"/>
        </w:rPr>
        <w:t>Ustawa z dnia 16 kwietnia 2004 r. o wyrobach budowlanych (Dz. U. z 2016 r. poz. 1570 oraz z 2018 r. poz. 650)</w:t>
      </w:r>
      <w:bookmarkEnd w:id="79"/>
    </w:p>
    <w:p w14:paraId="2A174790"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5A2127FE" w14:textId="777231A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Wystąpienie z żądaniem, o którym mowa w art. 18 ust. 1 </w:t>
      </w:r>
      <w:r w:rsidR="008F70BF" w:rsidRPr="00375799">
        <w:rPr>
          <w:rFonts w:cstheme="minorHAnsi"/>
          <w:color w:val="000000" w:themeColor="text1"/>
          <w:sz w:val="24"/>
          <w:szCs w:val="24"/>
        </w:rPr>
        <w:t>RODO</w:t>
      </w:r>
      <w:r w:rsidRPr="00375799">
        <w:rPr>
          <w:rFonts w:cstheme="minorHAnsi"/>
          <w:color w:val="000000" w:themeColor="text1"/>
          <w:sz w:val="24"/>
          <w:szCs w:val="24"/>
        </w:rPr>
        <w:t xml:space="preserve"> (tj. prawo żądania przez osobę, której dane osobowe dotyczą, ograniczenia przetwarzania jej danych)</w:t>
      </w:r>
      <w:r w:rsidR="00B90558">
        <w:rPr>
          <w:rFonts w:cstheme="minorHAnsi"/>
          <w:color w:val="000000" w:themeColor="text1"/>
          <w:sz w:val="24"/>
          <w:szCs w:val="24"/>
        </w:rPr>
        <w:t>,</w:t>
      </w:r>
      <w:r w:rsidRPr="00375799">
        <w:rPr>
          <w:rFonts w:cstheme="minorHAnsi"/>
          <w:color w:val="000000" w:themeColor="text1"/>
          <w:sz w:val="24"/>
          <w:szCs w:val="24"/>
        </w:rPr>
        <w:t xml:space="preserve"> nie wpływa na realizację zadań polegających na:</w:t>
      </w:r>
    </w:p>
    <w:p w14:paraId="45081C75" w14:textId="1E886A9C" w:rsidR="008706DD" w:rsidRPr="00375799" w:rsidRDefault="008706DD" w:rsidP="00112004">
      <w:pPr>
        <w:pStyle w:val="Akapitzlist"/>
        <w:numPr>
          <w:ilvl w:val="0"/>
          <w:numId w:val="14"/>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lastRenderedPageBreak/>
        <w:t xml:space="preserve">gromadzeniu informacji o wynikach zleconych badań próbek wyrobów budowlanych, przeprowadzonych kontrolach wyrobów budowlanych wprowadzonych do obrotu lub udostępnianych na rynku krajowym, wydanych postanowieniach, decyzjach i opiniach, </w:t>
      </w:r>
    </w:p>
    <w:p w14:paraId="63387E88" w14:textId="726EB46A" w:rsidR="008706DD" w:rsidRPr="00375799" w:rsidRDefault="008706DD" w:rsidP="00112004">
      <w:pPr>
        <w:pStyle w:val="Akapitzlist"/>
        <w:numPr>
          <w:ilvl w:val="0"/>
          <w:numId w:val="14"/>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prowadzeniu krajowego wykazu zakwestionowanych wyrobów budowlanych, o którym mowa w art. 15 ustawy. </w:t>
      </w:r>
    </w:p>
    <w:p w14:paraId="095B12E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Powyższe ma na celu umożliwienie skutecznego i efektywnego wykonywania ww. zadań (uniemożliwienie wykorzystywania prawa do ograniczenia przetwarzania danych w celu przedłużania lub blokowania działań organów w ww. zakresie).</w:t>
      </w:r>
    </w:p>
    <w:p w14:paraId="05F2010B" w14:textId="72E811A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przedmiotowej ustawie nie wprowadzono ograniczeń stosowania art. 21 ust. 1 </w:t>
      </w:r>
      <w:r w:rsidR="00C86A72" w:rsidRPr="00375799">
        <w:rPr>
          <w:rFonts w:cstheme="minorHAnsi"/>
          <w:color w:val="000000" w:themeColor="text1"/>
          <w:sz w:val="24"/>
          <w:szCs w:val="24"/>
        </w:rPr>
        <w:t>RODO</w:t>
      </w:r>
      <w:r w:rsidRPr="00375799">
        <w:rPr>
          <w:rFonts w:cstheme="minorHAnsi"/>
          <w:color w:val="000000" w:themeColor="text1"/>
          <w:sz w:val="24"/>
          <w:szCs w:val="24"/>
        </w:rPr>
        <w:t xml:space="preserve"> (tj. prawo osoby, której dane osobowe dotyczą</w:t>
      </w:r>
      <w:r w:rsidR="00B90558">
        <w:rPr>
          <w:rFonts w:cstheme="minorHAnsi"/>
          <w:color w:val="000000" w:themeColor="text1"/>
          <w:sz w:val="24"/>
          <w:szCs w:val="24"/>
        </w:rPr>
        <w:t>,</w:t>
      </w:r>
      <w:r w:rsidRPr="00375799">
        <w:rPr>
          <w:rFonts w:cstheme="minorHAnsi"/>
          <w:color w:val="000000" w:themeColor="text1"/>
          <w:sz w:val="24"/>
          <w:szCs w:val="24"/>
        </w:rPr>
        <w:t xml:space="preserve"> do sprzeciwu wobec przetwarzania jej danych osobowych opartego na art. 6 ust.1 lit. e lub f </w:t>
      </w:r>
      <w:r w:rsidR="00C86A72" w:rsidRPr="00375799">
        <w:rPr>
          <w:rFonts w:cstheme="minorHAnsi"/>
          <w:color w:val="000000" w:themeColor="text1"/>
          <w:sz w:val="24"/>
          <w:szCs w:val="24"/>
        </w:rPr>
        <w:t>RODO</w:t>
      </w:r>
      <w:r w:rsidRPr="00375799">
        <w:rPr>
          <w:rFonts w:cstheme="minorHAnsi"/>
          <w:color w:val="000000" w:themeColor="text1"/>
          <w:sz w:val="24"/>
          <w:szCs w:val="24"/>
        </w:rPr>
        <w:t xml:space="preserve">), bowiem podstawą przetwarzania danych osobowych przez organy realizujące zadania wskazane w ww. ustawie jest art. 6 ust. 1 lit. c </w:t>
      </w:r>
      <w:r w:rsidR="00C86A72" w:rsidRPr="00375799">
        <w:rPr>
          <w:rFonts w:cstheme="minorHAnsi"/>
          <w:color w:val="000000" w:themeColor="text1"/>
          <w:sz w:val="24"/>
          <w:szCs w:val="24"/>
        </w:rPr>
        <w:t>RODO</w:t>
      </w:r>
      <w:r w:rsidRPr="00375799">
        <w:rPr>
          <w:rFonts w:cstheme="minorHAnsi"/>
          <w:color w:val="000000" w:themeColor="text1"/>
          <w:sz w:val="24"/>
          <w:szCs w:val="24"/>
        </w:rPr>
        <w:t xml:space="preserve"> (przetwarzanie jest niezbędne do wypełnienia obowiązku prawnego ciążącego na administratorze). Oznacza to, że art. 21 ust. 1 </w:t>
      </w:r>
      <w:r w:rsidR="00C86A72" w:rsidRPr="00375799">
        <w:rPr>
          <w:rFonts w:cstheme="minorHAnsi"/>
          <w:color w:val="000000" w:themeColor="text1"/>
          <w:sz w:val="24"/>
          <w:szCs w:val="24"/>
        </w:rPr>
        <w:t>RODO</w:t>
      </w:r>
      <w:r w:rsidRPr="00375799">
        <w:rPr>
          <w:rFonts w:cstheme="minorHAnsi"/>
          <w:color w:val="000000" w:themeColor="text1"/>
          <w:sz w:val="24"/>
          <w:szCs w:val="24"/>
        </w:rPr>
        <w:t xml:space="preserve"> nie ma wówczas zastosowania. </w:t>
      </w:r>
    </w:p>
    <w:p w14:paraId="301EA88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33469B0" w14:textId="06D1F654"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80" w:name="_Toc530565052"/>
      <w:r w:rsidRPr="00375799">
        <w:rPr>
          <w:rFonts w:asciiTheme="minorHAnsi" w:hAnsiTheme="minorHAnsi" w:cstheme="minorHAnsi"/>
          <w:color w:val="000000" w:themeColor="text1"/>
          <w:sz w:val="24"/>
          <w:szCs w:val="24"/>
        </w:rPr>
        <w:t xml:space="preserve">Ustawa z dnia 20 kwietnia 2004 r. o promocji zatrudnienia i instytucjach rynku pracy </w:t>
      </w:r>
      <w:r w:rsidR="001B095B" w:rsidRPr="00375799">
        <w:rPr>
          <w:rFonts w:asciiTheme="minorHAnsi" w:hAnsiTheme="minorHAnsi" w:cstheme="minorHAnsi"/>
          <w:color w:val="000000" w:themeColor="text1"/>
          <w:sz w:val="24"/>
          <w:szCs w:val="24"/>
        </w:rPr>
        <w:t>(Dz. U. z 201</w:t>
      </w:r>
      <w:r w:rsidR="00FB09B3">
        <w:rPr>
          <w:rFonts w:asciiTheme="minorHAnsi" w:hAnsiTheme="minorHAnsi" w:cstheme="minorHAnsi"/>
          <w:color w:val="000000" w:themeColor="text1"/>
          <w:sz w:val="24"/>
          <w:szCs w:val="24"/>
        </w:rPr>
        <w:t>8</w:t>
      </w:r>
      <w:r w:rsidR="001B095B" w:rsidRPr="00375799">
        <w:rPr>
          <w:rFonts w:asciiTheme="minorHAnsi" w:hAnsiTheme="minorHAnsi" w:cstheme="minorHAnsi"/>
          <w:color w:val="000000" w:themeColor="text1"/>
          <w:sz w:val="24"/>
          <w:szCs w:val="24"/>
        </w:rPr>
        <w:t xml:space="preserve"> r. poz. </w:t>
      </w:r>
      <w:r w:rsidR="00FB09B3">
        <w:rPr>
          <w:rFonts w:asciiTheme="minorHAnsi" w:hAnsiTheme="minorHAnsi" w:cstheme="minorHAnsi"/>
          <w:color w:val="000000" w:themeColor="text1"/>
          <w:sz w:val="24"/>
          <w:szCs w:val="24"/>
        </w:rPr>
        <w:t>1265, 1544, 1629, 1669 i 2077</w:t>
      </w:r>
      <w:r w:rsidR="001B095B" w:rsidRPr="00375799">
        <w:rPr>
          <w:rFonts w:asciiTheme="minorHAnsi" w:hAnsiTheme="minorHAnsi" w:cstheme="minorHAnsi"/>
          <w:color w:val="000000" w:themeColor="text1"/>
          <w:sz w:val="24"/>
          <w:szCs w:val="24"/>
        </w:rPr>
        <w:t>)</w:t>
      </w:r>
      <w:bookmarkEnd w:id="80"/>
    </w:p>
    <w:p w14:paraId="2CC73737"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719E0E3F" w14:textId="2831ED6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wejściem w maju 2018 r. w życie RODO, niezbędne jest uporządkowanie zagadnień przetwarzania danych osobowych przez publiczne służby zatrudnienia. </w:t>
      </w:r>
    </w:p>
    <w:p w14:paraId="57957BD9" w14:textId="3FE3A47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 przetwarzania danych osobowych publiczne służby zatrudnienia wykorzystują oprogramowanie udostępniane przez ministra właściwego do spraw pracy. Urzędy pracy pozyskują i udostępniają dane za pośrednictwem rejestru centralnego prowadzonego przez ministra właściwego do spraw pracy, natomiast istnieją nieliczne sytuacje umożliwiające pozyskiwanie i udostępnianie danych za pośrednictwem systemów teleinformatycznych zapewnianych w ramach powiatów lub gminy, tj. w przypadku, gdy osoba, której dane są pozyskiwane lub udostępniane, pochodzi z tej samej gminy lub powiatu, w którym mają siedzibę podmioty przekazujące dane.</w:t>
      </w:r>
    </w:p>
    <w:p w14:paraId="1CBD2281"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Rejestr centralny jest zasilany danymi pochodzącymi z rejestrów danych wojewódzkich i powiatowych urzędów pracy oraz osób fizycznych ubiegających się o pomoc określoną w ustawie, korzystających z systemu umożliwiającego wnoszenie wniosków w wersji elektronicznej do publicznych służb zatrudnienia.</w:t>
      </w:r>
    </w:p>
    <w:p w14:paraId="5433929E" w14:textId="4BFB58FD" w:rsidR="00922542" w:rsidRPr="00375799" w:rsidRDefault="00922542" w:rsidP="00974EF4">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projekcie zaproponowano przepisy szczegółowe określające rejestr centralny prowadzony przez ministra właściwego do spraw pracy, m.in. zakres danych przekazywanych do tego rejestru przez wojewódzkie i powiatowe urzędy pracy; inne instytucje np. jednostki organizacyjne pomocy społecznej</w:t>
      </w:r>
      <w:r w:rsidR="00B90558">
        <w:rPr>
          <w:rFonts w:cstheme="minorHAnsi"/>
          <w:color w:val="000000" w:themeColor="text1"/>
          <w:sz w:val="24"/>
          <w:szCs w:val="24"/>
        </w:rPr>
        <w:t>,</w:t>
      </w:r>
      <w:r w:rsidRPr="00375799">
        <w:rPr>
          <w:rFonts w:cstheme="minorHAnsi"/>
          <w:color w:val="000000" w:themeColor="text1"/>
          <w:sz w:val="24"/>
          <w:szCs w:val="24"/>
        </w:rPr>
        <w:t xml:space="preserve"> ale też </w:t>
      </w:r>
      <w:r w:rsidR="00974EF4" w:rsidRPr="00375799">
        <w:rPr>
          <w:rFonts w:cstheme="minorHAnsi"/>
          <w:color w:val="000000" w:themeColor="text1"/>
          <w:sz w:val="24"/>
          <w:szCs w:val="24"/>
        </w:rPr>
        <w:t xml:space="preserve">zakres danych </w:t>
      </w:r>
      <w:r w:rsidRPr="00375799">
        <w:rPr>
          <w:rFonts w:cstheme="minorHAnsi"/>
          <w:color w:val="000000" w:themeColor="text1"/>
          <w:sz w:val="24"/>
          <w:szCs w:val="24"/>
        </w:rPr>
        <w:t xml:space="preserve">osób fizycznych ubiegających się o pomoc określoną w ustawie, </w:t>
      </w:r>
      <w:r w:rsidR="00974EF4" w:rsidRPr="00375799">
        <w:rPr>
          <w:rFonts w:cstheme="minorHAnsi"/>
          <w:color w:val="000000" w:themeColor="text1"/>
          <w:sz w:val="24"/>
          <w:szCs w:val="24"/>
        </w:rPr>
        <w:t>przepisy dotyczące</w:t>
      </w:r>
      <w:r w:rsidRPr="00375799">
        <w:rPr>
          <w:rFonts w:cstheme="minorHAnsi"/>
          <w:color w:val="000000" w:themeColor="text1"/>
          <w:sz w:val="24"/>
          <w:szCs w:val="24"/>
        </w:rPr>
        <w:t xml:space="preserve"> zabezpieczenia w zakresie dostępu do danych.</w:t>
      </w:r>
    </w:p>
    <w:p w14:paraId="598CA05F" w14:textId="1B297307" w:rsidR="00922542" w:rsidRPr="00375799" w:rsidRDefault="00922542" w:rsidP="00922542">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Zaproponowano, aby dane osobowe</w:t>
      </w:r>
      <w:r w:rsidR="003954E5" w:rsidRPr="00375799">
        <w:rPr>
          <w:rFonts w:cstheme="minorHAnsi"/>
          <w:color w:val="000000" w:themeColor="text1"/>
          <w:sz w:val="24"/>
          <w:szCs w:val="24"/>
        </w:rPr>
        <w:t xml:space="preserve"> </w:t>
      </w:r>
      <w:r w:rsidRPr="00375799">
        <w:rPr>
          <w:rFonts w:cstheme="minorHAnsi"/>
          <w:color w:val="000000" w:themeColor="text1"/>
          <w:sz w:val="24"/>
          <w:szCs w:val="24"/>
        </w:rPr>
        <w:t>były przetwarzane w rejestrze centralnym przez okres 50 lat, licząc od końca roku kalendarzowego, w którym zakończono udzielanie pomocy. Konieczność tak długiego okresu przechowywania danych uzasadniona jest faktem zaliczania okresu pobierania zasiłku i innych świadczeń przyznawanych na podstawie ustawy do okresu pracy wymaganego do nabycia lub zachowania uprawnień pracowniczych oraz okresów składkowych w rozumieniu przepisów o emeryturach i rentach z Funduszu Ubezpieczeń Społecznych.</w:t>
      </w:r>
    </w:p>
    <w:p w14:paraId="1EE16D3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uwagi na to, że dotychczasowe przepisy zbyt ogólnie regulowały kwestie dotyczące przetwarzania danych osobowych, zaistniała konieczność ich dostosowania do przepisów RODO. </w:t>
      </w:r>
    </w:p>
    <w:p w14:paraId="4927428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Projektowane przepisy uchylają większość dotychczasowych regulacji w zakresie przetwarzania danych osobowych, które były dotychczas rozproszone w różnych częściach ustawy.</w:t>
      </w:r>
    </w:p>
    <w:p w14:paraId="022FF85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Dotychczasowe przepisy ustawowe określały podmioty, które przetwarzają dane osobowe, tj. publiczne służby zatrudnienia. Określały także w sposób ogólny cel przetwarzania danych osobowych. Natomiast na poziomie rozporządzeń wykonawczych wydanych na podstawie ustawy doprecyzowane były dane osobowe, w tym dane dotyczące niepełnosprawności, zbierane przez poszczególne publiczne służby zatrudnienia.</w:t>
      </w:r>
    </w:p>
    <w:p w14:paraId="4743C290" w14:textId="34353A0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Analogicznie jak d</w:t>
      </w:r>
      <w:r w:rsidR="00B90558">
        <w:rPr>
          <w:rFonts w:cstheme="minorHAnsi"/>
          <w:color w:val="000000" w:themeColor="text1"/>
          <w:sz w:val="24"/>
          <w:szCs w:val="24"/>
        </w:rPr>
        <w:t>o</w:t>
      </w:r>
      <w:r w:rsidRPr="00375799">
        <w:rPr>
          <w:rFonts w:cstheme="minorHAnsi"/>
          <w:color w:val="000000" w:themeColor="text1"/>
          <w:sz w:val="24"/>
          <w:szCs w:val="24"/>
        </w:rPr>
        <w:t xml:space="preserve"> rejestru centralnego zaproponowano zasady dotyczące rejestrów danych wojewódzkich i powiatowych urzędów pracy.</w:t>
      </w:r>
    </w:p>
    <w:p w14:paraId="0D8BDC3E" w14:textId="79001CB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projektowanych przepisach doprecyzowano również kwestie ustalania dla bezrobotnych profilu pomocy. Jednoznacznie doprecyzowano, że profil pomocy dla bezrobotnego ustalany jest przez pracownika powiatowego urzędu pracy na podstawie wywiadu przeprowadzonego z bezrobotnym. Zgodnie z projektowanymi przepisami, wywiad ten jest wspierany systemem teleinformatycznym udostępnianym przez ministra właściwego do spraw pracy, ale decyzja dotycząca ustalenia profilu pomocy dla bezrobotnego nie jest podejmowana w sposób polegający na zautomatyzowanym przetwarzaniu danych bezrobotnego. </w:t>
      </w:r>
    </w:p>
    <w:p w14:paraId="498CE667" w14:textId="53D37A1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Proponowane zmiany nie będą generować dodatkowych kosztów, a ewentualne modyfikacje systemów teleinformatycznych finansowane będą ze środków będących w dyspozycji ministra właściwego do spraw pracy przeznaczanych na utrzymanie i rozwój systemów teleinformatycznych publiczne</w:t>
      </w:r>
      <w:r w:rsidR="00B90558">
        <w:rPr>
          <w:rFonts w:cstheme="minorHAnsi"/>
          <w:color w:val="000000" w:themeColor="text1"/>
          <w:sz w:val="24"/>
          <w:szCs w:val="24"/>
        </w:rPr>
        <w:t>j</w:t>
      </w:r>
      <w:r w:rsidRPr="00375799">
        <w:rPr>
          <w:rFonts w:cstheme="minorHAnsi"/>
          <w:color w:val="000000" w:themeColor="text1"/>
          <w:sz w:val="24"/>
          <w:szCs w:val="24"/>
        </w:rPr>
        <w:t xml:space="preserve"> służby zatrudnienia. </w:t>
      </w:r>
    </w:p>
    <w:p w14:paraId="3D6FD9E1"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07066C20" w14:textId="1C42C9FF"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81" w:name="_Toc530565053"/>
      <w:r w:rsidRPr="00375799">
        <w:rPr>
          <w:rFonts w:asciiTheme="minorHAnsi" w:hAnsiTheme="minorHAnsi" w:cstheme="minorHAnsi"/>
          <w:color w:val="000000" w:themeColor="text1"/>
          <w:sz w:val="24"/>
          <w:szCs w:val="24"/>
        </w:rPr>
        <w:t xml:space="preserve">Ustawa z dnia 30 kwietnia 2004 r. </w:t>
      </w:r>
      <w:r w:rsidR="00CF7B15">
        <w:rPr>
          <w:rFonts w:asciiTheme="minorHAnsi" w:hAnsiTheme="minorHAnsi" w:cstheme="minorHAnsi"/>
          <w:color w:val="000000" w:themeColor="text1"/>
          <w:sz w:val="24"/>
          <w:szCs w:val="24"/>
        </w:rPr>
        <w:t xml:space="preserve">o </w:t>
      </w:r>
      <w:r w:rsidRPr="00375799">
        <w:rPr>
          <w:rFonts w:asciiTheme="minorHAnsi" w:hAnsiTheme="minorHAnsi" w:cstheme="minorHAnsi"/>
          <w:color w:val="000000" w:themeColor="text1"/>
          <w:sz w:val="24"/>
          <w:szCs w:val="24"/>
        </w:rPr>
        <w:t xml:space="preserve">świadczeniach przedemerytalnych </w:t>
      </w:r>
      <w:r w:rsidR="001B095B" w:rsidRPr="00375799">
        <w:rPr>
          <w:rStyle w:val="Ppogrubienie"/>
          <w:rFonts w:asciiTheme="minorHAnsi" w:hAnsiTheme="minorHAnsi" w:cstheme="minorHAnsi"/>
          <w:b w:val="0"/>
          <w:color w:val="000000" w:themeColor="text1"/>
          <w:sz w:val="24"/>
          <w:szCs w:val="24"/>
        </w:rPr>
        <w:t>(</w:t>
      </w:r>
      <w:r w:rsidR="001B095B" w:rsidRPr="00375799">
        <w:rPr>
          <w:rFonts w:asciiTheme="minorHAnsi" w:hAnsiTheme="minorHAnsi" w:cstheme="minorHAnsi"/>
          <w:color w:val="000000" w:themeColor="text1"/>
          <w:sz w:val="24"/>
          <w:szCs w:val="24"/>
        </w:rPr>
        <w:t>Dz. U. z 2017 r. poz. 2148)</w:t>
      </w:r>
      <w:bookmarkEnd w:id="81"/>
    </w:p>
    <w:p w14:paraId="1C6EC3DF"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697C0B7E" w14:textId="145ABA8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Zmiana ma charakter dostosowujący w związku ze zmianą wprowadzaną w art. 117 ustawy z dnia 17 grudnia 1998 r. o emeryturach i rentach z Funduszu Ubezpieczeń Społecznych (Dz. U. z 2017 r. poz. 1383, z późn. zm.) w art. 38 projektu ustawy o zmianie niektórych ustaw w związku z zapewnieniem stosowania </w:t>
      </w:r>
      <w:r w:rsidR="00C86A72" w:rsidRPr="00375799">
        <w:rPr>
          <w:rFonts w:cstheme="minorHAnsi"/>
          <w:color w:val="000000" w:themeColor="text1"/>
          <w:sz w:val="24"/>
          <w:szCs w:val="24"/>
        </w:rPr>
        <w:t>RODO</w:t>
      </w:r>
      <w:r w:rsidRPr="00375799">
        <w:rPr>
          <w:rFonts w:cstheme="minorHAnsi"/>
          <w:color w:val="000000" w:themeColor="text1"/>
          <w:sz w:val="24"/>
          <w:szCs w:val="24"/>
        </w:rPr>
        <w:t>.</w:t>
      </w:r>
    </w:p>
    <w:p w14:paraId="56D1DAD5" w14:textId="3D9677B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W związku z faktem, że w art. 11 ustawy z dnia 30 kwietnia 2004 r. o świadczeniach przedemerytalnych zawarte zostało odesłanie do odpowiedniego stosowania w sprawach nieuregulowanych w tej ustawie m.in. art. 117 ust. 1</w:t>
      </w:r>
      <w:r w:rsidR="00B90558">
        <w:rPr>
          <w:rFonts w:cstheme="minorHAnsi"/>
          <w:color w:val="000000" w:themeColor="text1"/>
          <w:sz w:val="24"/>
          <w:szCs w:val="24"/>
        </w:rPr>
        <w:t>–</w:t>
      </w:r>
      <w:r w:rsidRPr="00375799">
        <w:rPr>
          <w:rFonts w:cstheme="minorHAnsi"/>
          <w:color w:val="000000" w:themeColor="text1"/>
          <w:sz w:val="24"/>
          <w:szCs w:val="24"/>
        </w:rPr>
        <w:t>4 ustawy o emeryturach i rentach z FUS konieczne jest rozszerzenie zakresu odesłania do odpowiedniego stosowania również o dodawany ust. 4a. Wniosek o potwierdzenie wskazanych w art. 117 ust. 4 ustawy o emeryturach i rentach z FUS okresów dotyczy bowiem wprost potwierdzania okresów na potrzeby ustalenia prawa do emerytury czy renty, nie zaś świadczenia przedemerytalnego. Zatem, aby zapewnić stosowanie w stosunku do świadczeń przedemerytalnych przepisu dotyczącego treści wniosku, konieczne jest wprowadzenie przedmiotowej zmiany.</w:t>
      </w:r>
    </w:p>
    <w:p w14:paraId="4BC4F31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DAED821" w14:textId="6A50FA0F"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82" w:name="_Toc530565054"/>
      <w:r w:rsidRPr="00375799">
        <w:rPr>
          <w:rFonts w:asciiTheme="minorHAnsi" w:hAnsiTheme="minorHAnsi" w:cstheme="minorHAnsi"/>
          <w:color w:val="000000" w:themeColor="text1"/>
          <w:sz w:val="24"/>
          <w:szCs w:val="24"/>
        </w:rPr>
        <w:t>Ustawa z dnia 30 kwietnia 2004 r. o postępowaniu w sprawach dotyczących pomocy publicznej</w:t>
      </w:r>
      <w:r w:rsidR="001B095B" w:rsidRPr="00375799">
        <w:rPr>
          <w:rFonts w:asciiTheme="minorHAnsi" w:hAnsiTheme="minorHAnsi" w:cstheme="minorHAnsi"/>
          <w:color w:val="000000" w:themeColor="text1"/>
          <w:sz w:val="24"/>
          <w:szCs w:val="24"/>
        </w:rPr>
        <w:t xml:space="preserve"> (Dz. U. z 2018 r. poz. 362)</w:t>
      </w:r>
      <w:bookmarkEnd w:id="82"/>
    </w:p>
    <w:p w14:paraId="17A63FDC"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5FEC948A" w14:textId="507BF48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obecnym brzmieniu ustawa z dnia 30 kwietnia 2004 r. o postępowaniu w sprawach dotyczących pomocy publicznej (dalej zwana „ustawą o pomocy publicznej”) nakłada na podmioty udzielające pomocy, Prezesa Urzędu Ochrony Konkurencji i Konsumentów, ministra właściwego do spraw rolnictwa i ministra właściwego do spraw finansów publicznych obowiązki i zadania, do realizacji których niezbędne jest przetwarzanie danych osobowych, m.in. danych dotyczących podmiotów ubiegających się o pomoc i beneficjentów pomocy oraz danych służbowych. Przetwarzanie zatem jest zgodne z prawem na podstawie art. 6 ust. 1 lit. c i e </w:t>
      </w:r>
      <w:r w:rsidR="00C86A72" w:rsidRPr="00375799">
        <w:rPr>
          <w:rFonts w:cstheme="minorHAnsi"/>
          <w:color w:val="000000" w:themeColor="text1"/>
          <w:sz w:val="24"/>
          <w:szCs w:val="24"/>
        </w:rPr>
        <w:t>RODO</w:t>
      </w:r>
      <w:r w:rsidRPr="00375799">
        <w:rPr>
          <w:rFonts w:cstheme="minorHAnsi"/>
          <w:color w:val="000000" w:themeColor="text1"/>
          <w:sz w:val="24"/>
          <w:szCs w:val="24"/>
        </w:rPr>
        <w:t>, tj. jest niezbędne do wypełnienia obowiązku prawnego ciążącego na administratorze lub jest niezbędne do wykonania zadania realizowanego w interesie publicznym.</w:t>
      </w:r>
    </w:p>
    <w:p w14:paraId="120B6620" w14:textId="3E61F18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Pomocą publiczną jest każda pomoc, która spełnia przesłanki określone w art. 107 ust. 1 Traktatu o funkcjonowaniu Unii Europejskiej, czyli powoduje uszczuplenie dochodów państwa, ma charakter selektywny (skierowana jest do określonych podmiotów), stanowi dla podmiotu korzyść, której nie uzyskałby w normalnych warunkach rynkowych, zakłóca lub grozi zakłóceniem konkurencji i wpływa na wymianę handlową między państwami członkowskimi Unii Europejskiej. Z kolei zakłada się, iż pomoc planowana w kwocie nieprzekraczającej określonego limitu odnoszącego się do jednego podmiotu gospodarczego </w:t>
      </w:r>
      <w:r w:rsidR="00B90558">
        <w:rPr>
          <w:rFonts w:cstheme="minorHAnsi"/>
          <w:color w:val="000000" w:themeColor="text1"/>
          <w:sz w:val="24"/>
          <w:szCs w:val="24"/>
        </w:rPr>
        <w:t>–</w:t>
      </w:r>
      <w:r w:rsidRPr="00375799">
        <w:rPr>
          <w:rFonts w:cstheme="minorHAnsi"/>
          <w:color w:val="000000" w:themeColor="text1"/>
          <w:sz w:val="24"/>
          <w:szCs w:val="24"/>
        </w:rPr>
        <w:t xml:space="preserve"> nie zakłóca konkurencji i tym samym może zostać udzielona przy zastosowaniu uproszczonej procedury, jako pomoc </w:t>
      </w:r>
      <w:r w:rsidRPr="003654A8">
        <w:rPr>
          <w:rFonts w:cstheme="minorHAnsi"/>
          <w:i/>
          <w:color w:val="000000" w:themeColor="text1"/>
          <w:sz w:val="24"/>
          <w:szCs w:val="24"/>
        </w:rPr>
        <w:t>de minimis</w:t>
      </w:r>
      <w:r w:rsidRPr="00375799">
        <w:rPr>
          <w:rFonts w:cstheme="minorHAnsi"/>
          <w:color w:val="000000" w:themeColor="text1"/>
          <w:sz w:val="24"/>
          <w:szCs w:val="24"/>
        </w:rPr>
        <w:t>.</w:t>
      </w:r>
    </w:p>
    <w:p w14:paraId="5A5993FE" w14:textId="4E7CCC1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Interesariusze przekazują dane osobowe swoje lub innych osób administratorom w ramach obowiązków i zadań określonych w ustawie o pomocy publicznej. W taki sposób pozyskiwane są dane w związku z realizacją obowiązków wynikających np. z art. 12 i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21 ustawy o pomocy publicznej - o pracownikach podmiotów opracowujących projekty, wnioskujących o opinię w stosunku do projektów programów pomocowych oraz pomocy indywidualnej czy obowiązku wynikającego z art. 32 i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32a ustawy o pomocy publicznej – o użytkownikach aplikacji (informatycznej służącej do monitorowania pomocy publicznej w rolnictwie lub rybołówstwie) lub aplikacji SHRIMP (informatycznej służącej do monitorowania </w:t>
      </w:r>
      <w:r w:rsidRPr="00375799">
        <w:rPr>
          <w:rFonts w:cstheme="minorHAnsi"/>
          <w:color w:val="000000" w:themeColor="text1"/>
          <w:sz w:val="24"/>
          <w:szCs w:val="24"/>
        </w:rPr>
        <w:lastRenderedPageBreak/>
        <w:t xml:space="preserve">pomocy publicznej innej niż pomoc w rolnictwie lub rybołówstwie). Dane osobowe osób – pracowników organów administracji publicznej lub innych podmiotów realizujących zadania publiczne (dysponujących mieniem publicznym) są zbierane bezpośrednio od tych osób lub są przekazywane przez osoby do tego upoważnione. Przedmiotowe dane osobowe przekazywane są w ramach pełnienia przez te osoby obowiązków służbowych, a przetwarzane są przez administratorów wyłącznie w zakresie niezbędnym do wypełniania obowiązków i zadań wynikających z ustawy o pomocy publicznej. </w:t>
      </w:r>
    </w:p>
    <w:p w14:paraId="398F6438" w14:textId="5BBEC62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celu realizacji obowiązków i zadań określonych w ustawie o pomocy publicznej i przepisach unijnych (m.in. zgodnie z art. 12,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21, </w:t>
      </w:r>
      <w:r w:rsidR="00B90558">
        <w:rPr>
          <w:rFonts w:cstheme="minorHAnsi"/>
          <w:color w:val="000000" w:themeColor="text1"/>
          <w:sz w:val="24"/>
          <w:szCs w:val="24"/>
        </w:rPr>
        <w:t xml:space="preserve">art. </w:t>
      </w:r>
      <w:r w:rsidRPr="00375799">
        <w:rPr>
          <w:rFonts w:cstheme="minorHAnsi"/>
          <w:color w:val="000000" w:themeColor="text1"/>
          <w:sz w:val="24"/>
          <w:szCs w:val="24"/>
        </w:rPr>
        <w:t>31</w:t>
      </w:r>
      <w:r w:rsidR="00B90558">
        <w:rPr>
          <w:rFonts w:cstheme="minorHAnsi"/>
          <w:color w:val="000000" w:themeColor="text1"/>
          <w:sz w:val="24"/>
          <w:szCs w:val="24"/>
        </w:rPr>
        <w:t>–</w:t>
      </w:r>
      <w:r w:rsidRPr="00375799">
        <w:rPr>
          <w:rFonts w:cstheme="minorHAnsi"/>
          <w:color w:val="000000" w:themeColor="text1"/>
          <w:sz w:val="24"/>
          <w:szCs w:val="24"/>
        </w:rPr>
        <w:t xml:space="preserve">33,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37,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39 ustawy o pomocy publicznej) zbierane są również informacje o podmiotach wnioskujących o pomoc i beneficjentach pomocy (przedsiębiorcach, w tych osobach fizycznych prowadzących działalność gospodarczą), również za pomocą systemów informatycznych. Podmioty udzielające pomocy (m.in. jednostki samorządu terytorialnego, urzędy centralne, agencje rozwoju, stowarzyszenia, podmioty prywatne) po uprzednim ich pozyskaniu bezpośrednio od zainteresowanej strony i odpowiednim przygotowaniu przekazują na żądanie lub wprowadzają do systemów dane osobowe beneficjentów oraz informacje o udzielonej im pomocy. Przetwarzanie za pośrednictwem aplikacji informacji o pomocy służy celom wynikającym bezpośrednio z przepisów prawa (np. uzyskiwanie i udostępnianie sprawozdań o udzielonej pomocy) albo związane jest z realizacją zadania publicznego (np. przeglądanie, weryfikacja sprawozdań, udzielanie interpretacji). Dodatkowo aplikacje wspomagają (aktualnie na warunkach fakultatywnych) podmioty udzielające pomocy w wiarygodnym ustaleniu otrzymanej pomocy </w:t>
      </w:r>
      <w:r w:rsidRPr="003654A8">
        <w:rPr>
          <w:rFonts w:cstheme="minorHAnsi"/>
          <w:i/>
          <w:color w:val="000000" w:themeColor="text1"/>
          <w:sz w:val="24"/>
          <w:szCs w:val="24"/>
        </w:rPr>
        <w:t>de minimis</w:t>
      </w:r>
      <w:r w:rsidRPr="00375799">
        <w:rPr>
          <w:rFonts w:cstheme="minorHAnsi"/>
          <w:color w:val="000000" w:themeColor="text1"/>
          <w:sz w:val="24"/>
          <w:szCs w:val="24"/>
        </w:rPr>
        <w:t xml:space="preserve"> przez przedsiębiorcę ubiegającego się o pomoc </w:t>
      </w:r>
      <w:r w:rsidRPr="003654A8">
        <w:rPr>
          <w:rFonts w:cstheme="minorHAnsi"/>
          <w:i/>
          <w:color w:val="000000" w:themeColor="text1"/>
          <w:sz w:val="24"/>
          <w:szCs w:val="24"/>
        </w:rPr>
        <w:t>de minimis</w:t>
      </w:r>
      <w:r w:rsidRPr="00375799">
        <w:rPr>
          <w:rFonts w:cstheme="minorHAnsi"/>
          <w:color w:val="000000" w:themeColor="text1"/>
          <w:sz w:val="24"/>
          <w:szCs w:val="24"/>
        </w:rPr>
        <w:t xml:space="preserve"> (w tym osoby fizyczne prowadzące działalność gospodarczą). Służy to zapewnieniu, że nie zostanie udzielona pomoc niezgodna z rynkiem wewnętrznym.</w:t>
      </w:r>
    </w:p>
    <w:p w14:paraId="4D04963A" w14:textId="40C4DC0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Wartością wprowadzenia art. 11a ust. 1 do ustawy o pomocy publicznej jest zwiększenie przejrzystości w zakresie przetwarzania danych osobowych, szczególnie biorąc pod uwagę dużą liczbę administratorów i zgłaszane wątpliwości m.in. przez podmioty udzielające pomocy dotyczące określenia administratorów. Wyznaczenie administratorów wynika z rozdziału zadań i obowiązków nałożonych na określone podmioty zgodnie z ustawą o pomocy publicznej (na Prezesa UOKiK, ministra właściwego do spraw rolnictwa, m.in. na podstawie art. 12,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21, </w:t>
      </w:r>
      <w:r w:rsidR="00B90558">
        <w:rPr>
          <w:rFonts w:cstheme="minorHAnsi"/>
          <w:color w:val="000000" w:themeColor="text1"/>
          <w:sz w:val="24"/>
          <w:szCs w:val="24"/>
        </w:rPr>
        <w:t xml:space="preserve">art. </w:t>
      </w:r>
      <w:r w:rsidRPr="00375799">
        <w:rPr>
          <w:rFonts w:cstheme="minorHAnsi"/>
          <w:color w:val="000000" w:themeColor="text1"/>
          <w:sz w:val="24"/>
          <w:szCs w:val="24"/>
        </w:rPr>
        <w:t>31</w:t>
      </w:r>
      <w:r w:rsidR="00B90558">
        <w:rPr>
          <w:rFonts w:cstheme="minorHAnsi"/>
          <w:color w:val="000000" w:themeColor="text1"/>
          <w:sz w:val="24"/>
          <w:szCs w:val="24"/>
        </w:rPr>
        <w:t>–</w:t>
      </w:r>
      <w:r w:rsidRPr="00375799">
        <w:rPr>
          <w:rFonts w:cstheme="minorHAnsi"/>
          <w:color w:val="000000" w:themeColor="text1"/>
          <w:sz w:val="24"/>
          <w:szCs w:val="24"/>
        </w:rPr>
        <w:t xml:space="preserve">33 i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39 ustawy o pomocy publicznej, ministra właściwego do spraw finansów, m.in. na podstawie art. 32 i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33 ustawy o pomocy publicznej, podmioty udzielające pomocy na podstawie m.in. art. 32,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32a,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37 i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39 ustawy o pomocy publicznej) oraz z faktu, że sposoby ich przetwarzania ustalają oni samodzielnie. Dodatkowo w celu odzwierciedlenia stanu faktycznego w projektowanym art. 11a ust. 2 określono, iż Prezes Urzędu lub minister właściwy do spraw rolnictwa może ujawnić dane osobowe podmiotu udzielającego pomocy lub beneficjenta pomocy. Ujawnienie ma na celu zapewnienie przejrzystości w zakresie udzielania pomocy publicznej, w szczególności jest ono niezbędne do wypełnienia obowiązku prawnego ciążącego na administratorze danych osobowych wynikającego z przepisów prawa wspólnotowego, takich jak art. 9 rozporządzenia </w:t>
      </w:r>
      <w:r w:rsidRPr="00375799">
        <w:rPr>
          <w:rFonts w:cstheme="minorHAnsi"/>
          <w:color w:val="000000" w:themeColor="text1"/>
          <w:sz w:val="24"/>
          <w:szCs w:val="24"/>
        </w:rPr>
        <w:lastRenderedPageBreak/>
        <w:t>Komisji (UE) nr 651/2014 z dnia 17 czerwca 2014 r. uznającego niektóre rodzaje pomocy za zgodne z rynkiem wewnętrznym w zastosowaniu art. 107 i 108 Traktatu (Dz. Urz. UE L 187 z 26.</w:t>
      </w:r>
      <w:r w:rsidR="00B90558">
        <w:rPr>
          <w:rFonts w:cstheme="minorHAnsi"/>
          <w:color w:val="000000" w:themeColor="text1"/>
          <w:sz w:val="24"/>
          <w:szCs w:val="24"/>
        </w:rPr>
        <w:t>0</w:t>
      </w:r>
      <w:r w:rsidRPr="00375799">
        <w:rPr>
          <w:rFonts w:cstheme="minorHAnsi"/>
          <w:color w:val="000000" w:themeColor="text1"/>
          <w:sz w:val="24"/>
          <w:szCs w:val="24"/>
        </w:rPr>
        <w:t>6.2014, str.</w:t>
      </w:r>
      <w:r w:rsidR="000A7860">
        <w:rPr>
          <w:rFonts w:cstheme="minorHAnsi"/>
          <w:color w:val="000000" w:themeColor="text1"/>
          <w:sz w:val="24"/>
          <w:szCs w:val="24"/>
        </w:rPr>
        <w:t xml:space="preserve"> </w:t>
      </w:r>
      <w:r w:rsidRPr="00375799">
        <w:rPr>
          <w:rFonts w:cstheme="minorHAnsi"/>
          <w:color w:val="000000" w:themeColor="text1"/>
          <w:sz w:val="24"/>
          <w:szCs w:val="24"/>
        </w:rPr>
        <w:t xml:space="preserve">1), art. 9 rozporządzenia Komisji (UE) nr 702/2014 z dnia 25 czerwca 2014 r. uznającego niektóre kategorie pomocy w sektorach rolnym i leśnym oraz na obszarach wiejskich za zgodne z rynkiem wewnętrznym w zastosowaniu art. 107 i 108 Traktatu o funkcjonowaniu Unii Europejskiej (Dz. Urz. UE L 191 z </w:t>
      </w:r>
      <w:r w:rsidR="00B90558">
        <w:rPr>
          <w:rFonts w:cstheme="minorHAnsi"/>
          <w:color w:val="000000" w:themeColor="text1"/>
          <w:sz w:val="24"/>
          <w:szCs w:val="24"/>
        </w:rPr>
        <w:t>0</w:t>
      </w:r>
      <w:r w:rsidRPr="00375799">
        <w:rPr>
          <w:rFonts w:cstheme="minorHAnsi"/>
          <w:color w:val="000000" w:themeColor="text1"/>
          <w:sz w:val="24"/>
          <w:szCs w:val="24"/>
        </w:rPr>
        <w:t>1.</w:t>
      </w:r>
      <w:r w:rsidR="00B90558">
        <w:rPr>
          <w:rFonts w:cstheme="minorHAnsi"/>
          <w:color w:val="000000" w:themeColor="text1"/>
          <w:sz w:val="24"/>
          <w:szCs w:val="24"/>
        </w:rPr>
        <w:t>0</w:t>
      </w:r>
      <w:r w:rsidRPr="00375799">
        <w:rPr>
          <w:rFonts w:cstheme="minorHAnsi"/>
          <w:color w:val="000000" w:themeColor="text1"/>
          <w:sz w:val="24"/>
          <w:szCs w:val="24"/>
        </w:rPr>
        <w:t xml:space="preserve">7.2014, str.1), pkt 4.7 Zasad ramowych dotyczących pomocy państwa na działalność badawczą, rozwojową i innowacyjną (2014/C 198/01), pkt 3.2.7 Wytycznych w sprawie pomocy państwa na ochronę środowiska i cele związane z energią (2014/C 200/1), pkt 78 Wytycznych UE w sprawie stosowania reguł pomocy państwa w odniesieniu do szybkiej budowy/rozbudowy sieci szerokopasmowych (2013/C 25/1), pkt </w:t>
      </w:r>
      <w:r w:rsidR="00D918BF" w:rsidRPr="00375799">
        <w:rPr>
          <w:rFonts w:cstheme="minorHAnsi"/>
          <w:color w:val="000000" w:themeColor="text1"/>
          <w:sz w:val="24"/>
          <w:szCs w:val="24"/>
        </w:rPr>
        <w:t xml:space="preserve">124 </w:t>
      </w:r>
      <w:r w:rsidRPr="00375799">
        <w:rPr>
          <w:rFonts w:cstheme="minorHAnsi"/>
          <w:color w:val="000000" w:themeColor="text1"/>
          <w:sz w:val="24"/>
          <w:szCs w:val="24"/>
        </w:rPr>
        <w:t>Wytycznych w sprawie pomocy regionalnej na lata 2014–2020 (2013/C 209/1), pkt 52 pkt 7) Komunikatu Komisji w sprawie pomocy państwa przeznaczonej na filmy i inne utwory audiowizualne (2013/C 332/1), pkt 166 Wytycznych w sprawie pomocy państwa na rzecz promowania inwestycji w zakresie finansowania ryzyka (2014/C 19/4), pkt 162 i 163 Wytycznych w sprawie pomocy państwa na rzecz portów lotniczych i przedsiębiorstw lotniczych (2014/C 99/3), pkt 96 Wytycznych dotyczących pomocy państwa na ratowanie i restrukturyzację przedsiębiorstw niefinansowych znajdujących się w trudnej sytuacji (2014/C 249/01), pkt 45 Kryteriów analizy zgodności z rynkiem wewnętrznym pomocy państwa na wspieranie realizacji ważnych projektów stanowiących przedmiot wspólnego europejskiego zainteresowania (2014/C 188/02).</w:t>
      </w:r>
    </w:p>
    <w:p w14:paraId="44041FC3" w14:textId="77777777" w:rsidR="0078314A" w:rsidRPr="00375799" w:rsidRDefault="0078314A" w:rsidP="0055107B">
      <w:pPr>
        <w:spacing w:after="0" w:line="276" w:lineRule="auto"/>
        <w:ind w:left="57" w:right="57"/>
        <w:contextualSpacing/>
        <w:jc w:val="both"/>
        <w:rPr>
          <w:rFonts w:cstheme="minorHAnsi"/>
          <w:color w:val="000000" w:themeColor="text1"/>
          <w:sz w:val="24"/>
          <w:szCs w:val="24"/>
        </w:rPr>
      </w:pPr>
    </w:p>
    <w:p w14:paraId="6D435CDF" w14:textId="5B39B6CF" w:rsidR="008706DD" w:rsidRPr="00375799" w:rsidRDefault="008706DD" w:rsidP="0055107B">
      <w:pPr>
        <w:pStyle w:val="Nagwek2"/>
        <w:spacing w:before="0" w:line="276" w:lineRule="auto"/>
        <w:ind w:left="57" w:right="57"/>
        <w:contextualSpacing/>
        <w:rPr>
          <w:rFonts w:asciiTheme="minorHAnsi" w:eastAsiaTheme="minorHAnsi" w:hAnsiTheme="minorHAnsi" w:cstheme="minorHAnsi"/>
          <w:color w:val="000000" w:themeColor="text1"/>
          <w:sz w:val="24"/>
          <w:szCs w:val="24"/>
        </w:rPr>
      </w:pPr>
      <w:bookmarkStart w:id="83" w:name="_Toc530565055"/>
      <w:r w:rsidRPr="00375799">
        <w:rPr>
          <w:rFonts w:asciiTheme="minorHAnsi" w:hAnsiTheme="minorHAnsi" w:cstheme="minorHAnsi"/>
          <w:color w:val="000000" w:themeColor="text1"/>
          <w:sz w:val="24"/>
          <w:szCs w:val="24"/>
        </w:rPr>
        <w:t>Ustawa z dnia 27 maja 2004 r. o funduszach inwestycyjnych i zarządzaniu alternatywnymi funduszami inwestycyjnymi</w:t>
      </w:r>
      <w:r w:rsidR="001B095B" w:rsidRPr="00375799">
        <w:rPr>
          <w:rFonts w:asciiTheme="minorHAnsi" w:hAnsiTheme="minorHAnsi" w:cstheme="minorHAnsi"/>
          <w:color w:val="000000" w:themeColor="text1"/>
          <w:sz w:val="24"/>
          <w:szCs w:val="24"/>
        </w:rPr>
        <w:t xml:space="preserve"> </w:t>
      </w:r>
      <w:r w:rsidR="001B095B" w:rsidRPr="00375799">
        <w:rPr>
          <w:rFonts w:asciiTheme="minorHAnsi" w:eastAsiaTheme="minorHAnsi" w:hAnsiTheme="minorHAnsi" w:cstheme="minorHAnsi"/>
          <w:color w:val="000000" w:themeColor="text1"/>
          <w:sz w:val="24"/>
          <w:szCs w:val="24"/>
        </w:rPr>
        <w:t>(Dz. U. z 2018 r. poz. 1355)</w:t>
      </w:r>
      <w:bookmarkEnd w:id="83"/>
    </w:p>
    <w:p w14:paraId="4C4EB978"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032DFE2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 art. 2 – dodanie pkt 2e</w:t>
      </w:r>
    </w:p>
    <w:p w14:paraId="167BAB35" w14:textId="5026FADD" w:rsidR="003B7486" w:rsidRPr="00375799" w:rsidRDefault="003B748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 ma na celu uzupełnienie słowniczka o pojęcia </w:t>
      </w:r>
      <w:r w:rsidR="00C86A72" w:rsidRPr="00375799">
        <w:rPr>
          <w:rFonts w:cstheme="minorHAnsi"/>
          <w:color w:val="000000" w:themeColor="text1"/>
          <w:sz w:val="24"/>
          <w:szCs w:val="24"/>
        </w:rPr>
        <w:t>RODO</w:t>
      </w:r>
      <w:r w:rsidRPr="00375799">
        <w:rPr>
          <w:rFonts w:cstheme="minorHAnsi"/>
          <w:color w:val="000000" w:themeColor="text1"/>
          <w:sz w:val="24"/>
          <w:szCs w:val="24"/>
        </w:rPr>
        <w:t xml:space="preserve">; </w:t>
      </w:r>
      <w:r w:rsidR="00B90558">
        <w:rPr>
          <w:rFonts w:cstheme="minorHAnsi"/>
          <w:color w:val="000000" w:themeColor="text1"/>
          <w:sz w:val="24"/>
          <w:szCs w:val="24"/>
        </w:rPr>
        <w:t>p</w:t>
      </w:r>
      <w:r w:rsidRPr="00375799">
        <w:rPr>
          <w:rFonts w:cstheme="minorHAnsi"/>
          <w:color w:val="000000" w:themeColor="text1"/>
          <w:sz w:val="24"/>
          <w:szCs w:val="24"/>
        </w:rPr>
        <w:t xml:space="preserve">rojektowany art. </w:t>
      </w:r>
      <w:r w:rsidR="00C86A72" w:rsidRPr="00375799">
        <w:rPr>
          <w:rFonts w:cstheme="minorHAnsi"/>
          <w:color w:val="000000" w:themeColor="text1"/>
          <w:sz w:val="24"/>
          <w:szCs w:val="24"/>
        </w:rPr>
        <w:t xml:space="preserve">13b </w:t>
      </w:r>
      <w:r w:rsidRPr="00375799">
        <w:rPr>
          <w:rFonts w:cstheme="minorHAnsi"/>
          <w:color w:val="000000" w:themeColor="text1"/>
          <w:sz w:val="24"/>
          <w:szCs w:val="24"/>
        </w:rPr>
        <w:t xml:space="preserve">przewiduje wyłączenie obowiązków przewidzianych w art. 15 </w:t>
      </w:r>
      <w:r w:rsidR="00C86A72" w:rsidRPr="00375799">
        <w:rPr>
          <w:rFonts w:cstheme="minorHAnsi"/>
          <w:color w:val="000000" w:themeColor="text1"/>
          <w:sz w:val="24"/>
          <w:szCs w:val="24"/>
        </w:rPr>
        <w:t>RODO</w:t>
      </w:r>
      <w:r w:rsidRPr="00375799">
        <w:rPr>
          <w:rFonts w:cstheme="minorHAnsi"/>
          <w:color w:val="000000" w:themeColor="text1"/>
          <w:sz w:val="24"/>
          <w:szCs w:val="24"/>
        </w:rPr>
        <w:t xml:space="preserve"> względem funduszu, towarzystwa, ASI i zarządzającego ASI, a także podmiotów, o których mowa w art. 32 ust. 1 i 2, w zakresie ich działalności, o której mowa w tych przepisach, oraz w art. 32 ust. 2b ustawy o funduszach, w przypadku pełnienia przez wymienione podmioty roli administratora. Wyłączenie to dotyczy prawa dostępu przysługującego osobie, której dane dotyczą, i będzie możliwe przy przetwarzaniu danych osobowych w rozumieniu art. 4 pkt 1 </w:t>
      </w:r>
      <w:r w:rsidR="00C86A72" w:rsidRPr="00375799">
        <w:rPr>
          <w:rFonts w:cstheme="minorHAnsi"/>
          <w:color w:val="000000" w:themeColor="text1"/>
          <w:sz w:val="24"/>
          <w:szCs w:val="24"/>
        </w:rPr>
        <w:t>RODO</w:t>
      </w:r>
      <w:r w:rsidRPr="00375799">
        <w:rPr>
          <w:rFonts w:cstheme="minorHAnsi"/>
          <w:color w:val="000000" w:themeColor="text1"/>
          <w:sz w:val="24"/>
          <w:szCs w:val="24"/>
        </w:rPr>
        <w:t xml:space="preserve">, w zakresie w jakim będzie to niezbędne dla prawidłowej realizacji zadań dotyczących przeciwdziałania praniu pieniędzy i finansowaniu terroryzmu oraz zapobiegania przestępstwom. Należy podkreślić, że możliwość wskazanego wyłączenia jest uprawniona w świetle art. 23 ust. 1 lit. d i e </w:t>
      </w:r>
      <w:r w:rsidR="00C86A72" w:rsidRPr="00375799">
        <w:rPr>
          <w:rFonts w:cstheme="minorHAnsi"/>
          <w:color w:val="000000" w:themeColor="text1"/>
          <w:sz w:val="24"/>
          <w:szCs w:val="24"/>
        </w:rPr>
        <w:t>RODO</w:t>
      </w:r>
      <w:r w:rsidRPr="00375799">
        <w:rPr>
          <w:rFonts w:cstheme="minorHAnsi"/>
          <w:color w:val="000000" w:themeColor="text1"/>
          <w:sz w:val="24"/>
          <w:szCs w:val="24"/>
        </w:rPr>
        <w:t>. Ponadto, mając na uwadze art. 23 ust. 2 tego rozporządzenia, przetwarzanie danych osobowych, o którym mowa w projektowanym art. 6a, podlegać będzie zabezpieczeniom i ochronie wynikającym z przepisów o tajemnicy zawodowej, o której mowa w art. 280 ustawy z dnia 27 maja 2004 r. o funduszach inwestycyjnych i zarządzaniu alternatywnymi funduszami inwestycyjnymi.</w:t>
      </w:r>
    </w:p>
    <w:p w14:paraId="2163DAF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Zmiana art. 193</w:t>
      </w:r>
    </w:p>
    <w:p w14:paraId="0ED3DD85" w14:textId="42961AD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obecnym stanie prawnym analogiczny jak powyżej przepis stanowi podstawę przetwarzania danych osobowych przez fundusze sekurytyzacyjne oraz podmioty, z którym towarzystwo zawarło umowę o zarządzanie sekurytyzowanymi wierzytelnościami. Zgodnie z treścią przepisu podmioty te mogą zbierać i przetwarzać dane osobowe dłużników sekurytyzowanych wierzytelności jedynie w celach związanych z zarządzaniem wierzytelnościami sekurytyzowanymi. Natomiast przepis art. 6 ust. 1 lit. c </w:t>
      </w:r>
      <w:r w:rsidR="00C86A72" w:rsidRPr="00375799">
        <w:rPr>
          <w:rFonts w:cstheme="minorHAnsi"/>
          <w:color w:val="000000" w:themeColor="text1"/>
          <w:sz w:val="24"/>
          <w:szCs w:val="24"/>
        </w:rPr>
        <w:t>RODO</w:t>
      </w:r>
      <w:r w:rsidR="00C86A72" w:rsidRPr="00375799" w:rsidDel="00C86A72">
        <w:rPr>
          <w:rFonts w:cstheme="minorHAnsi"/>
          <w:color w:val="000000" w:themeColor="text1"/>
          <w:sz w:val="24"/>
          <w:szCs w:val="24"/>
        </w:rPr>
        <w:t xml:space="preserve"> </w:t>
      </w:r>
      <w:r w:rsidRPr="00375799">
        <w:rPr>
          <w:rFonts w:cstheme="minorHAnsi"/>
          <w:color w:val="000000" w:themeColor="text1"/>
          <w:sz w:val="24"/>
          <w:szCs w:val="24"/>
        </w:rPr>
        <w:t>wprowadza przesłankę istnienia „obowiązku prawnego” jako podstawy przetwarzania danych osobowych. W związku z powyższym treść art. 193 ustawy o TFI powinna wyrażać istnienie po stronie funduszy sekurytyzacyjnych oraz podmiotów, z którym towarzystwo zawarło umowę o zarządzanie sekurytyzowanymi wierzytelnościami, obowiązku przetwarzania danych osobowych.</w:t>
      </w:r>
    </w:p>
    <w:p w14:paraId="70E5FC1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Przepis art. 281 ust. 1 – dodanie pkt 16</w:t>
      </w:r>
    </w:p>
    <w:p w14:paraId="4205418B"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Przepis ma na celu umożliwienie przekazywania informacji stanowiących tajemnicę zawodową Prezesowi Urzędu Ochrony Danych Osobowych.</w:t>
      </w:r>
    </w:p>
    <w:p w14:paraId="5EB05214" w14:textId="77777777" w:rsidR="0078314A" w:rsidRPr="00375799" w:rsidRDefault="0078314A" w:rsidP="0055107B">
      <w:pPr>
        <w:spacing w:after="0" w:line="276" w:lineRule="auto"/>
        <w:ind w:left="57" w:right="57"/>
        <w:contextualSpacing/>
        <w:jc w:val="both"/>
        <w:rPr>
          <w:rFonts w:cstheme="minorHAnsi"/>
          <w:color w:val="000000" w:themeColor="text1"/>
          <w:sz w:val="24"/>
          <w:szCs w:val="24"/>
        </w:rPr>
      </w:pPr>
    </w:p>
    <w:p w14:paraId="2D49A847" w14:textId="70B6FB68"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84" w:name="_Toc530565056"/>
      <w:r w:rsidRPr="00375799">
        <w:rPr>
          <w:rFonts w:asciiTheme="minorHAnsi" w:hAnsiTheme="minorHAnsi" w:cstheme="minorHAnsi"/>
          <w:color w:val="000000" w:themeColor="text1"/>
          <w:sz w:val="24"/>
          <w:szCs w:val="24"/>
        </w:rPr>
        <w:t xml:space="preserve">Ustawa z dnia 16 lipca 2004 r. </w:t>
      </w:r>
      <w:r w:rsidR="00CF7B15">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Prawo telekomunikacyjne</w:t>
      </w:r>
      <w:r w:rsidR="001B095B" w:rsidRPr="00375799">
        <w:rPr>
          <w:rFonts w:asciiTheme="minorHAnsi" w:hAnsiTheme="minorHAnsi" w:cstheme="minorHAnsi"/>
          <w:color w:val="000000" w:themeColor="text1"/>
          <w:sz w:val="24"/>
          <w:szCs w:val="24"/>
        </w:rPr>
        <w:t xml:space="preserve"> (Dz. U. z 201</w:t>
      </w:r>
      <w:r w:rsidR="00FB09B3">
        <w:rPr>
          <w:rFonts w:asciiTheme="minorHAnsi" w:hAnsiTheme="minorHAnsi" w:cstheme="minorHAnsi"/>
          <w:color w:val="000000" w:themeColor="text1"/>
          <w:sz w:val="24"/>
          <w:szCs w:val="24"/>
        </w:rPr>
        <w:t>8</w:t>
      </w:r>
      <w:r w:rsidR="001B095B" w:rsidRPr="00375799">
        <w:rPr>
          <w:rFonts w:asciiTheme="minorHAnsi" w:hAnsiTheme="minorHAnsi" w:cstheme="minorHAnsi"/>
          <w:color w:val="000000" w:themeColor="text1"/>
          <w:sz w:val="24"/>
          <w:szCs w:val="24"/>
        </w:rPr>
        <w:t xml:space="preserve"> r. poz. </w:t>
      </w:r>
      <w:r w:rsidR="00FB09B3">
        <w:rPr>
          <w:rFonts w:asciiTheme="minorHAnsi" w:hAnsiTheme="minorHAnsi" w:cstheme="minorHAnsi"/>
          <w:color w:val="000000" w:themeColor="text1"/>
          <w:sz w:val="24"/>
          <w:szCs w:val="24"/>
        </w:rPr>
        <w:t>1954</w:t>
      </w:r>
      <w:r w:rsidR="001B095B" w:rsidRPr="00375799">
        <w:rPr>
          <w:rFonts w:asciiTheme="minorHAnsi" w:hAnsiTheme="minorHAnsi" w:cstheme="minorHAnsi"/>
          <w:color w:val="000000" w:themeColor="text1"/>
          <w:sz w:val="24"/>
          <w:szCs w:val="24"/>
        </w:rPr>
        <w:t>)</w:t>
      </w:r>
      <w:bookmarkEnd w:id="84"/>
    </w:p>
    <w:p w14:paraId="7DC96B8E" w14:textId="77777777" w:rsidR="00E902EC" w:rsidRPr="00375799" w:rsidRDefault="00E902EC" w:rsidP="0055107B">
      <w:pPr>
        <w:spacing w:after="0" w:line="276" w:lineRule="auto"/>
        <w:ind w:left="57" w:right="57"/>
        <w:contextualSpacing/>
        <w:jc w:val="both"/>
        <w:rPr>
          <w:rFonts w:cstheme="minorHAnsi"/>
          <w:color w:val="000000" w:themeColor="text1"/>
          <w:sz w:val="24"/>
          <w:szCs w:val="24"/>
          <w:highlight w:val="yellow"/>
        </w:rPr>
      </w:pPr>
    </w:p>
    <w:p w14:paraId="121D8256" w14:textId="5EFCD388" w:rsidR="000E2928" w:rsidRPr="00375799" w:rsidRDefault="000E2928" w:rsidP="000E2928">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Zmiany w art. 159 i </w:t>
      </w:r>
      <w:r w:rsidR="00B90558">
        <w:rPr>
          <w:rFonts w:cstheme="minorHAnsi"/>
          <w:color w:val="000000" w:themeColor="text1"/>
          <w:sz w:val="24"/>
          <w:szCs w:val="24"/>
        </w:rPr>
        <w:t xml:space="preserve">art. </w:t>
      </w:r>
      <w:r w:rsidRPr="00375799">
        <w:rPr>
          <w:rFonts w:cstheme="minorHAnsi"/>
          <w:color w:val="000000" w:themeColor="text1"/>
          <w:sz w:val="24"/>
          <w:szCs w:val="24"/>
        </w:rPr>
        <w:t xml:space="preserve">161 </w:t>
      </w:r>
      <w:r w:rsidR="00404439">
        <w:rPr>
          <w:rFonts w:cstheme="minorHAnsi"/>
          <w:color w:val="000000" w:themeColor="text1"/>
          <w:sz w:val="24"/>
          <w:szCs w:val="24"/>
        </w:rPr>
        <w:t xml:space="preserve">ustawy z dnia 16 lipca 2004 r. – Prawo telekomunikacyjne, </w:t>
      </w:r>
      <w:r w:rsidR="00404439" w:rsidRPr="00404439">
        <w:rPr>
          <w:rFonts w:cstheme="minorHAnsi"/>
          <w:color w:val="000000" w:themeColor="text1"/>
          <w:sz w:val="24"/>
          <w:szCs w:val="24"/>
        </w:rPr>
        <w:t>zwana dalej „ustawą – PT”</w:t>
      </w:r>
    </w:p>
    <w:p w14:paraId="111DCBC7" w14:textId="47DB482C" w:rsidR="000E2928" w:rsidRPr="00375799" w:rsidRDefault="00591056" w:rsidP="00525C72">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w:t>
      </w:r>
      <w:r w:rsidR="000E2928" w:rsidRPr="00375799">
        <w:rPr>
          <w:rFonts w:cstheme="minorHAnsi"/>
          <w:color w:val="000000" w:themeColor="text1"/>
          <w:sz w:val="24"/>
          <w:szCs w:val="24"/>
        </w:rPr>
        <w:t xml:space="preserve">rzepisy rozdziału VII ustawy - PT w obecnym kształcie - zawierają regulacje dotyczące przetwarzania danych dotyczących użytkownika będącego osobą fizyczną, które nie stanowią implementacji dyrektywy 2002/58. Dane te nie są objęte treścią art. 95 </w:t>
      </w:r>
      <w:r w:rsidR="0002455E">
        <w:rPr>
          <w:rFonts w:cstheme="minorHAnsi"/>
          <w:color w:val="000000" w:themeColor="text1"/>
          <w:sz w:val="24"/>
          <w:szCs w:val="24"/>
        </w:rPr>
        <w:t>RODO</w:t>
      </w:r>
      <w:r w:rsidR="000E2928" w:rsidRPr="00375799">
        <w:rPr>
          <w:rFonts w:cstheme="minorHAnsi"/>
          <w:color w:val="000000" w:themeColor="text1"/>
          <w:sz w:val="24"/>
          <w:szCs w:val="24"/>
        </w:rPr>
        <w:t>, w związku z czym należy je wyłączyć spod regulacji ustawy - PT i objąć przepisami o ochronie danych osobowych. Odnosić się to będzie, zgodnie ze zmienianym art. 161 ust. 2, do danych dotyczących użytkowników będących osobami fizycznymi innych niż wskazane w art. 159 ust. 1 pkt 2</w:t>
      </w:r>
      <w:r w:rsidR="00B90558">
        <w:rPr>
          <w:rFonts w:cstheme="minorHAnsi"/>
          <w:color w:val="000000" w:themeColor="text1"/>
          <w:sz w:val="24"/>
          <w:szCs w:val="24"/>
        </w:rPr>
        <w:t>–</w:t>
      </w:r>
      <w:r w:rsidR="000E2928" w:rsidRPr="00375799">
        <w:rPr>
          <w:rFonts w:cstheme="minorHAnsi"/>
          <w:color w:val="000000" w:themeColor="text1"/>
          <w:sz w:val="24"/>
          <w:szCs w:val="24"/>
        </w:rPr>
        <w:t>5 ustawy - PT. Oznacza to, iż objęte regulacją ustawy prawo telekomunikacyjne pozostaje przetwarzanie danych wskazanych w art. 159 ust. 1 lit. 2</w:t>
      </w:r>
      <w:r w:rsidR="00B90558">
        <w:rPr>
          <w:rFonts w:cstheme="minorHAnsi"/>
          <w:color w:val="000000" w:themeColor="text1"/>
          <w:sz w:val="24"/>
          <w:szCs w:val="24"/>
        </w:rPr>
        <w:t>–</w:t>
      </w:r>
      <w:r w:rsidR="000E2928" w:rsidRPr="00375799">
        <w:rPr>
          <w:rFonts w:cstheme="minorHAnsi"/>
          <w:color w:val="000000" w:themeColor="text1"/>
          <w:sz w:val="24"/>
          <w:szCs w:val="24"/>
        </w:rPr>
        <w:t xml:space="preserve">5 także w zakresie w jakim dotyczą one osób fizycznych i mogą być kwalifikowane jako dane osobowe w rozumieniu przepisów </w:t>
      </w:r>
      <w:r w:rsidR="0002455E">
        <w:rPr>
          <w:rFonts w:cstheme="minorHAnsi"/>
          <w:color w:val="000000" w:themeColor="text1"/>
          <w:sz w:val="24"/>
          <w:szCs w:val="24"/>
        </w:rPr>
        <w:t>RODO</w:t>
      </w:r>
      <w:r w:rsidR="000E2928" w:rsidRPr="00375799">
        <w:rPr>
          <w:rFonts w:cstheme="minorHAnsi"/>
          <w:color w:val="000000" w:themeColor="text1"/>
          <w:sz w:val="24"/>
          <w:szCs w:val="24"/>
        </w:rPr>
        <w:t>.</w:t>
      </w:r>
    </w:p>
    <w:p w14:paraId="3F1F3D0D" w14:textId="25663FBD" w:rsidR="000E2928" w:rsidRPr="00375799" w:rsidRDefault="000E2928" w:rsidP="000E2928">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Co istotne, w zakresie nieuregulowanym przepisami prawa telekomunikacyjnego (także w odniesieniu do danych wskazanych w art. 159 ust. 1 lit. 2</w:t>
      </w:r>
      <w:r w:rsidR="00B90558">
        <w:rPr>
          <w:rFonts w:cstheme="minorHAnsi"/>
          <w:color w:val="000000" w:themeColor="text1"/>
          <w:sz w:val="24"/>
          <w:szCs w:val="24"/>
        </w:rPr>
        <w:t>–</w:t>
      </w:r>
      <w:r w:rsidRPr="00375799">
        <w:rPr>
          <w:rFonts w:cstheme="minorHAnsi"/>
          <w:color w:val="000000" w:themeColor="text1"/>
          <w:sz w:val="24"/>
          <w:szCs w:val="24"/>
        </w:rPr>
        <w:t xml:space="preserve">5 ustawy - PT) do przetwarzania danych osobowych zastosowanie znajdą przepisy o ochronie danych osobowych, w tym regulacja </w:t>
      </w:r>
      <w:r w:rsidR="0002455E">
        <w:rPr>
          <w:rFonts w:cstheme="minorHAnsi"/>
          <w:color w:val="000000" w:themeColor="text1"/>
          <w:sz w:val="24"/>
          <w:szCs w:val="24"/>
        </w:rPr>
        <w:t>RODO</w:t>
      </w:r>
      <w:r w:rsidRPr="00375799">
        <w:rPr>
          <w:rFonts w:cstheme="minorHAnsi"/>
          <w:color w:val="000000" w:themeColor="text1"/>
          <w:sz w:val="24"/>
          <w:szCs w:val="24"/>
        </w:rPr>
        <w:t>.</w:t>
      </w:r>
    </w:p>
    <w:p w14:paraId="2C75F88F" w14:textId="77777777" w:rsidR="000E2928" w:rsidRPr="00375799" w:rsidRDefault="000E2928" w:rsidP="000E2928">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Uchylenie art. 57 ust. 1 pkt 3, zmiana w art. 78 ust. 2 pkt 1, art. 159 ust. 1 pkt 1 oraz art. 161 ust. 3 mają charakter porządkujący i są konsekwencją zmiany w art. 161 ust. 2.</w:t>
      </w:r>
    </w:p>
    <w:p w14:paraId="162E3691" w14:textId="77777777" w:rsidR="000E2928" w:rsidRPr="00375799" w:rsidRDefault="000E2928" w:rsidP="00525C72">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 w zakresie treści art. 174:</w:t>
      </w:r>
    </w:p>
    <w:p w14:paraId="05F00F87" w14:textId="650B0C25" w:rsidR="000E2928" w:rsidRPr="00375799" w:rsidRDefault="00591056" w:rsidP="00525C72">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w:t>
      </w:r>
      <w:r w:rsidR="000E2928" w:rsidRPr="00375799">
        <w:rPr>
          <w:rFonts w:cstheme="minorHAnsi"/>
          <w:color w:val="000000" w:themeColor="text1"/>
          <w:sz w:val="24"/>
          <w:szCs w:val="24"/>
        </w:rPr>
        <w:t xml:space="preserve">stawa </w:t>
      </w:r>
      <w:r w:rsidR="00404439">
        <w:rPr>
          <w:rFonts w:cstheme="minorHAnsi"/>
          <w:color w:val="000000" w:themeColor="text1"/>
          <w:sz w:val="24"/>
          <w:szCs w:val="24"/>
        </w:rPr>
        <w:t>– PT</w:t>
      </w:r>
      <w:r w:rsidR="000E2928" w:rsidRPr="00375799">
        <w:rPr>
          <w:rFonts w:cstheme="minorHAnsi"/>
          <w:color w:val="000000" w:themeColor="text1"/>
          <w:sz w:val="24"/>
          <w:szCs w:val="24"/>
        </w:rPr>
        <w:t xml:space="preserve">, w zakresie sposobu wyrażenia zgody, o której mowa w art. 174 stanowi implementację dyrektywy 2002/58 (zob. art. 2 lit. f). Natomiast </w:t>
      </w:r>
      <w:r w:rsidR="0002455E">
        <w:rPr>
          <w:rFonts w:cstheme="minorHAnsi"/>
          <w:color w:val="000000" w:themeColor="text1"/>
          <w:sz w:val="24"/>
          <w:szCs w:val="24"/>
        </w:rPr>
        <w:t>RODO</w:t>
      </w:r>
      <w:r w:rsidR="00404439">
        <w:rPr>
          <w:rFonts w:cstheme="minorHAnsi"/>
          <w:color w:val="000000" w:themeColor="text1"/>
          <w:sz w:val="24"/>
          <w:szCs w:val="24"/>
        </w:rPr>
        <w:t xml:space="preserve"> –</w:t>
      </w:r>
      <w:r w:rsidR="000E2928" w:rsidRPr="00375799">
        <w:rPr>
          <w:rFonts w:cstheme="minorHAnsi"/>
          <w:color w:val="000000" w:themeColor="text1"/>
          <w:sz w:val="24"/>
          <w:szCs w:val="24"/>
        </w:rPr>
        <w:t xml:space="preserve"> stosownie do art. 95 - „nie nakłada dodatkowych obowiązków na osoby fizyczne ani prawne co do przetwarzania w </w:t>
      </w:r>
      <w:r w:rsidR="000E2928" w:rsidRPr="00375799">
        <w:rPr>
          <w:rFonts w:cstheme="minorHAnsi"/>
          <w:color w:val="000000" w:themeColor="text1"/>
          <w:sz w:val="24"/>
          <w:szCs w:val="24"/>
        </w:rPr>
        <w:lastRenderedPageBreak/>
        <w:t>związku ze świadczeniem ogólnodostępnych usług łączności elektronicznej w publicznych sieciach łączności w Unii w sprawach, w których podmioty te podlegają szczegółowym obowiązkom mającym ten sam cel określonym w dyrektywie 2002/58/WE”.</w:t>
      </w:r>
    </w:p>
    <w:p w14:paraId="65906005" w14:textId="5C38CA8F" w:rsidR="000E2928" w:rsidRPr="00375799" w:rsidRDefault="000E2928" w:rsidP="000E2928">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Zgodnie z motywem 17 dyrektywy 2002/58 „Do celów niniejszej dyrektywy, zgoda użytkownika lub abonenta, niezależnie od tego</w:t>
      </w:r>
      <w:r w:rsidR="00B90558">
        <w:rPr>
          <w:rFonts w:cstheme="minorHAnsi"/>
          <w:color w:val="000000" w:themeColor="text1"/>
          <w:sz w:val="24"/>
          <w:szCs w:val="24"/>
        </w:rPr>
        <w:t>,</w:t>
      </w:r>
      <w:r w:rsidRPr="00375799">
        <w:rPr>
          <w:rFonts w:cstheme="minorHAnsi"/>
          <w:color w:val="000000" w:themeColor="text1"/>
          <w:sz w:val="24"/>
          <w:szCs w:val="24"/>
        </w:rPr>
        <w:t xml:space="preserve"> czy abonentem jest osoba fizyczna czy prawna, powinna mieć to samo znaczenie co zgoda podmiotu danych opisana i szerzej określona w dyrektywie 95/46/WE. Zgoda może być udzielona w jakikolwiek sposób umożliwiający swobodne i świadome wyrażenie woli użytkownika, włączając zaznaczenie okna wyboru podczas przeglądania witryny internetowej”. Przepisy dyrektywy 2002/58 odwołują się do konstrukcji zgody zawartej w przepisach o ochronie danych osobowych.</w:t>
      </w:r>
    </w:p>
    <w:p w14:paraId="6EC07F92" w14:textId="3A38D929" w:rsidR="000E2928" w:rsidRPr="00375799" w:rsidRDefault="000E2928" w:rsidP="000E2928">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kontekście powyższego należy zwrócić uwagę, iż zgodnie z treścią art. 94 ust. 1 </w:t>
      </w:r>
      <w:r w:rsidR="0002455E">
        <w:rPr>
          <w:rFonts w:cstheme="minorHAnsi"/>
          <w:color w:val="000000" w:themeColor="text1"/>
          <w:sz w:val="24"/>
          <w:szCs w:val="24"/>
        </w:rPr>
        <w:t>RODO</w:t>
      </w:r>
      <w:r w:rsidRPr="00375799">
        <w:rPr>
          <w:rFonts w:cstheme="minorHAnsi"/>
          <w:color w:val="000000" w:themeColor="text1"/>
          <w:sz w:val="24"/>
          <w:szCs w:val="24"/>
        </w:rPr>
        <w:t xml:space="preserve">: „Dyrektywa 95/46/WE zostaje uchylona ze skutkiem od dnia 25 maja 2018 r.”. W związku z tym należy w ramach treści art. 174 </w:t>
      </w:r>
      <w:r w:rsidR="00404439">
        <w:rPr>
          <w:rFonts w:cstheme="minorHAnsi"/>
          <w:color w:val="000000" w:themeColor="text1"/>
          <w:sz w:val="24"/>
          <w:szCs w:val="24"/>
        </w:rPr>
        <w:t xml:space="preserve">ustawy PT </w:t>
      </w:r>
      <w:r w:rsidRPr="00375799">
        <w:rPr>
          <w:rFonts w:cstheme="minorHAnsi"/>
          <w:color w:val="000000" w:themeColor="text1"/>
          <w:sz w:val="24"/>
          <w:szCs w:val="24"/>
        </w:rPr>
        <w:t xml:space="preserve">odwołać się do treści przepisów o ochronie danych, w tym </w:t>
      </w:r>
      <w:r w:rsidR="0002455E">
        <w:rPr>
          <w:rFonts w:cstheme="minorHAnsi"/>
          <w:color w:val="000000" w:themeColor="text1"/>
          <w:sz w:val="24"/>
          <w:szCs w:val="24"/>
        </w:rPr>
        <w:t>RODO</w:t>
      </w:r>
      <w:r w:rsidRPr="00375799">
        <w:rPr>
          <w:rFonts w:cstheme="minorHAnsi"/>
          <w:color w:val="000000" w:themeColor="text1"/>
          <w:sz w:val="24"/>
          <w:szCs w:val="24"/>
        </w:rPr>
        <w:t xml:space="preserve"> (definicja zgody zamieszczona w art. 174 ustawy – PT, powinna uwzględnić zmianę kontekstu systemowego</w:t>
      </w:r>
      <w:r w:rsidR="00CD6102">
        <w:rPr>
          <w:rFonts w:cstheme="minorHAnsi"/>
          <w:color w:val="000000" w:themeColor="text1"/>
          <w:sz w:val="24"/>
          <w:szCs w:val="24"/>
        </w:rPr>
        <w:t>,</w:t>
      </w:r>
      <w:r w:rsidRPr="00375799">
        <w:rPr>
          <w:rFonts w:cstheme="minorHAnsi"/>
          <w:color w:val="000000" w:themeColor="text1"/>
          <w:sz w:val="24"/>
          <w:szCs w:val="24"/>
        </w:rPr>
        <w:t xml:space="preserve"> podobnie jak w przypadku </w:t>
      </w:r>
      <w:proofErr w:type="spellStart"/>
      <w:r w:rsidRPr="00375799">
        <w:rPr>
          <w:rFonts w:cstheme="minorHAnsi"/>
          <w:color w:val="000000" w:themeColor="text1"/>
          <w:sz w:val="24"/>
          <w:szCs w:val="24"/>
        </w:rPr>
        <w:t>uśude</w:t>
      </w:r>
      <w:proofErr w:type="spellEnd"/>
      <w:r w:rsidRPr="00375799">
        <w:rPr>
          <w:rFonts w:cstheme="minorHAnsi"/>
          <w:color w:val="000000" w:themeColor="text1"/>
          <w:sz w:val="24"/>
          <w:szCs w:val="24"/>
        </w:rPr>
        <w:t>). W konsekwencji zmiany wymaga obecny 174 ustawy – PT. Należy zwrócić uwagę, iż projektodawca nie zdecydował się zmienić art. 173 ustawy - PT. W związku z tym kryteria skutecznej zgody, o których mowa w art. 174 ustawy - PT dookreślane są m.in. w art. 173 ust. 2 ustawy – PT.</w:t>
      </w:r>
    </w:p>
    <w:p w14:paraId="78D7C737" w14:textId="25791A8D" w:rsidR="000E2928" w:rsidRPr="00375799" w:rsidRDefault="000E2928" w:rsidP="000E2928">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Dodanie art. 174</w:t>
      </w:r>
      <w:r w:rsidRPr="003654A8">
        <w:rPr>
          <w:rFonts w:cstheme="minorHAnsi"/>
          <w:color w:val="000000" w:themeColor="text1"/>
          <w:sz w:val="24"/>
          <w:szCs w:val="24"/>
          <w:vertAlign w:val="superscript"/>
        </w:rPr>
        <w:t>1</w:t>
      </w:r>
      <w:r w:rsidRPr="00375799">
        <w:rPr>
          <w:rFonts w:cstheme="minorHAnsi"/>
          <w:color w:val="000000" w:themeColor="text1"/>
          <w:sz w:val="24"/>
          <w:szCs w:val="24"/>
        </w:rPr>
        <w:t>, zmiany w art. 174a</w:t>
      </w:r>
      <w:r w:rsidR="00CD6102">
        <w:rPr>
          <w:rFonts w:cstheme="minorHAnsi"/>
          <w:color w:val="000000" w:themeColor="text1"/>
          <w:sz w:val="24"/>
          <w:szCs w:val="24"/>
        </w:rPr>
        <w:t>–</w:t>
      </w:r>
      <w:r w:rsidRPr="00375799">
        <w:rPr>
          <w:rFonts w:cstheme="minorHAnsi"/>
          <w:color w:val="000000" w:themeColor="text1"/>
          <w:sz w:val="24"/>
          <w:szCs w:val="24"/>
        </w:rPr>
        <w:t>174d, dodanie art.  210a:</w:t>
      </w:r>
    </w:p>
    <w:p w14:paraId="09027BC6" w14:textId="4E4A6AB9" w:rsidR="000E2928" w:rsidRPr="00375799" w:rsidRDefault="000E2928" w:rsidP="00525C72">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Obecnie obowiązujące art. 174a</w:t>
      </w:r>
      <w:r w:rsidR="00CD6102">
        <w:rPr>
          <w:rFonts w:cstheme="minorHAnsi"/>
          <w:color w:val="000000" w:themeColor="text1"/>
          <w:sz w:val="24"/>
          <w:szCs w:val="24"/>
        </w:rPr>
        <w:t>–</w:t>
      </w:r>
      <w:r w:rsidRPr="00375799">
        <w:rPr>
          <w:rFonts w:cstheme="minorHAnsi"/>
          <w:color w:val="000000" w:themeColor="text1"/>
          <w:sz w:val="24"/>
          <w:szCs w:val="24"/>
        </w:rPr>
        <w:t>174d stanowią implementację art. 2 lit. i oraz art. 4 dyrektywy 2002/58/WE dotyczących bezpieczeństwa przetwarzania danych. Przepisy dyrektywy zostały następnie uzupełnione i uszczegółowione w rozporządzeniu 611/2013 z dnia 24 czerwca 2013 r. w sprawie środków mających zastosowanie przy powiadamianiu o przypadkach naruszenia danych osobowych, na mocy dyrektywy 2002/58/WE Parlamentu Europejskiego i Rady o prywatności i łączności elektronicznej, które jest bezpośrednio stosowane. W konsekwencji wejścia w życie rozporządzenia należało dokonać odpowiednich zmian w art. 174a</w:t>
      </w:r>
      <w:r w:rsidR="00CD6102">
        <w:rPr>
          <w:rFonts w:cstheme="minorHAnsi"/>
          <w:color w:val="000000" w:themeColor="text1"/>
          <w:sz w:val="24"/>
          <w:szCs w:val="24"/>
        </w:rPr>
        <w:t>–</w:t>
      </w:r>
      <w:r w:rsidRPr="00375799">
        <w:rPr>
          <w:rFonts w:cstheme="minorHAnsi"/>
          <w:color w:val="000000" w:themeColor="text1"/>
          <w:sz w:val="24"/>
          <w:szCs w:val="24"/>
        </w:rPr>
        <w:t xml:space="preserve">174d. W tym zakresie, w szczególności, należało uchylić lub odpowiednio przeredagować przepisy ustawy </w:t>
      </w:r>
      <w:r w:rsidR="00CD6102">
        <w:rPr>
          <w:rFonts w:cstheme="minorHAnsi"/>
          <w:color w:val="000000" w:themeColor="text1"/>
          <w:sz w:val="24"/>
          <w:szCs w:val="24"/>
        </w:rPr>
        <w:t xml:space="preserve">– </w:t>
      </w:r>
      <w:r w:rsidR="0002455E">
        <w:rPr>
          <w:rFonts w:cstheme="minorHAnsi"/>
          <w:color w:val="000000" w:themeColor="text1"/>
          <w:sz w:val="24"/>
          <w:szCs w:val="24"/>
        </w:rPr>
        <w:t>PT</w:t>
      </w:r>
      <w:r w:rsidRPr="00375799">
        <w:rPr>
          <w:rFonts w:cstheme="minorHAnsi"/>
          <w:color w:val="000000" w:themeColor="text1"/>
          <w:sz w:val="24"/>
          <w:szCs w:val="24"/>
        </w:rPr>
        <w:t>, które powtarzają przepisy rozporządzenia lub są z nimi niezgodne i jednocześnie nie stanowią implementacji dyrektywy 2002/58/WE. Pozostawiono po odpowiednim przeredagowaniu te przepisy Prawa telekomunikacyjnego, które stanowią implementację dyrektywy 2002/58/WE.</w:t>
      </w:r>
    </w:p>
    <w:p w14:paraId="3F5318E5" w14:textId="527C9C81" w:rsidR="000E2928" w:rsidRPr="00375799" w:rsidRDefault="000E2928" w:rsidP="00525C72">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Dodano ponadto art. 174</w:t>
      </w:r>
      <w:r w:rsidRPr="003654A8">
        <w:rPr>
          <w:rFonts w:cstheme="minorHAnsi"/>
          <w:color w:val="000000" w:themeColor="text1"/>
          <w:sz w:val="24"/>
          <w:szCs w:val="24"/>
          <w:vertAlign w:val="superscript"/>
        </w:rPr>
        <w:t>1</w:t>
      </w:r>
      <w:r w:rsidRPr="00375799">
        <w:rPr>
          <w:rFonts w:cstheme="minorHAnsi"/>
          <w:color w:val="000000" w:themeColor="text1"/>
          <w:sz w:val="24"/>
          <w:szCs w:val="24"/>
        </w:rPr>
        <w:t xml:space="preserve"> stanowiący implementację art. 4 ust. 1 dyrektywy 2002/58/WE, art. 174a ust. 2a wdrażający art. 2 ust. 4 rozporządzenia 611/2013 oraz art. 174a ust. 9 wdrażający art. 2 ust. 5 rozporządzenia 611/2013. Wprowadzono również art. 210a regulujący kwestię kar pieniężnych nakładanych przez Prezesa Urzędu Ochrony Danych Osobowych na podmiot, który nie wypełnia obowiązków dotyczących bezpieczeństwa przetwarzania danych osobowych określonych w ustawie </w:t>
      </w:r>
      <w:r w:rsidR="00CD6102">
        <w:rPr>
          <w:rFonts w:cstheme="minorHAnsi"/>
          <w:color w:val="000000" w:themeColor="text1"/>
          <w:sz w:val="24"/>
          <w:szCs w:val="24"/>
        </w:rPr>
        <w:t xml:space="preserve">– </w:t>
      </w:r>
      <w:r w:rsidR="0002455E">
        <w:rPr>
          <w:rFonts w:cstheme="minorHAnsi"/>
          <w:color w:val="000000" w:themeColor="text1"/>
          <w:sz w:val="24"/>
          <w:szCs w:val="24"/>
        </w:rPr>
        <w:t>PT</w:t>
      </w:r>
      <w:r w:rsidRPr="00375799">
        <w:rPr>
          <w:rFonts w:cstheme="minorHAnsi"/>
          <w:color w:val="000000" w:themeColor="text1"/>
          <w:sz w:val="24"/>
          <w:szCs w:val="24"/>
        </w:rPr>
        <w:t xml:space="preserve">. Obowiązek wprowadzenia sankcji wynika z art. 4 ust. 4 oraz art. 15a </w:t>
      </w:r>
      <w:r w:rsidR="00527206">
        <w:rPr>
          <w:rFonts w:cstheme="minorHAnsi"/>
          <w:color w:val="000000" w:themeColor="text1"/>
          <w:sz w:val="24"/>
          <w:szCs w:val="24"/>
        </w:rPr>
        <w:t>ust. 1 dyrektywy 2002/58/WE.</w:t>
      </w:r>
    </w:p>
    <w:p w14:paraId="4ED6DB1C" w14:textId="0F96AFC7" w:rsidR="008706DD" w:rsidRPr="00375799" w:rsidRDefault="000E2928"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Wprowadzone zmiany uwzględniają również utworzenie nowego organu właściwego w sprawach ochrony danych osobowych – Prezesa Urzędu Ochrony Danych Osobowych w miejsce Generalnego Inspektora Ochrony Danych Osobowych.</w:t>
      </w:r>
    </w:p>
    <w:p w14:paraId="23A09192" w14:textId="77777777" w:rsidR="0078314A" w:rsidRPr="00375799" w:rsidRDefault="0078314A" w:rsidP="0055107B">
      <w:pPr>
        <w:spacing w:after="0" w:line="276" w:lineRule="auto"/>
        <w:ind w:left="57" w:right="57"/>
        <w:contextualSpacing/>
        <w:jc w:val="both"/>
        <w:rPr>
          <w:rFonts w:cstheme="minorHAnsi"/>
          <w:color w:val="000000" w:themeColor="text1"/>
          <w:sz w:val="24"/>
          <w:szCs w:val="24"/>
        </w:rPr>
      </w:pPr>
    </w:p>
    <w:p w14:paraId="61FD640E" w14:textId="61F2C419"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85" w:name="_Toc530565057"/>
      <w:r w:rsidRPr="00375799">
        <w:rPr>
          <w:rFonts w:asciiTheme="minorHAnsi" w:hAnsiTheme="minorHAnsi" w:cstheme="minorHAnsi"/>
          <w:color w:val="000000" w:themeColor="text1"/>
          <w:sz w:val="24"/>
          <w:szCs w:val="24"/>
        </w:rPr>
        <w:t xml:space="preserve">Ustawa z dnia 27 sierpnia 2004 r. o świadczeniach opieki zdrowotnej finansowanych ze środków publicznych </w:t>
      </w:r>
      <w:r w:rsidR="005129A9" w:rsidRPr="00375799">
        <w:rPr>
          <w:rFonts w:asciiTheme="minorHAnsi" w:hAnsiTheme="minorHAnsi" w:cstheme="minorHAnsi"/>
          <w:color w:val="000000" w:themeColor="text1"/>
          <w:sz w:val="24"/>
          <w:szCs w:val="24"/>
        </w:rPr>
        <w:t>(Dz. U. z 201</w:t>
      </w:r>
      <w:r w:rsidR="00FB09B3">
        <w:rPr>
          <w:rFonts w:asciiTheme="minorHAnsi" w:hAnsiTheme="minorHAnsi" w:cstheme="minorHAnsi"/>
          <w:color w:val="000000" w:themeColor="text1"/>
          <w:sz w:val="24"/>
          <w:szCs w:val="24"/>
        </w:rPr>
        <w:t>8</w:t>
      </w:r>
      <w:r w:rsidR="005129A9" w:rsidRPr="00375799">
        <w:rPr>
          <w:rFonts w:asciiTheme="minorHAnsi" w:hAnsiTheme="minorHAnsi" w:cstheme="minorHAnsi"/>
          <w:color w:val="000000" w:themeColor="text1"/>
          <w:sz w:val="24"/>
          <w:szCs w:val="24"/>
        </w:rPr>
        <w:t xml:space="preserve"> r. poz. </w:t>
      </w:r>
      <w:r w:rsidR="00FB09B3">
        <w:rPr>
          <w:rFonts w:asciiTheme="minorHAnsi" w:hAnsiTheme="minorHAnsi" w:cstheme="minorHAnsi"/>
          <w:color w:val="000000" w:themeColor="text1"/>
          <w:sz w:val="24"/>
          <w:szCs w:val="24"/>
        </w:rPr>
        <w:t>1510, 1515, 1532, 1544, 1552, 1669 i 1925</w:t>
      </w:r>
      <w:r w:rsidR="005129A9" w:rsidRPr="00375799">
        <w:rPr>
          <w:rFonts w:asciiTheme="minorHAnsi" w:hAnsiTheme="minorHAnsi" w:cstheme="minorHAnsi"/>
          <w:color w:val="000000" w:themeColor="text1"/>
          <w:sz w:val="24"/>
          <w:szCs w:val="24"/>
        </w:rPr>
        <w:t>)</w:t>
      </w:r>
      <w:bookmarkEnd w:id="85"/>
    </w:p>
    <w:p w14:paraId="3E2BD1AA" w14:textId="77777777" w:rsidR="00386689" w:rsidRPr="00375799" w:rsidRDefault="00E2723D" w:rsidP="0055107B">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t xml:space="preserve">                </w:t>
      </w:r>
    </w:p>
    <w:p w14:paraId="6F38006C" w14:textId="46229F61" w:rsidR="00386689" w:rsidRPr="00375799" w:rsidRDefault="0038668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Celem zmian w ustawie z dnia 27 sierpnia 2004 r. o świadczeniach opieki zdrowotnej finansowanych ze środków publicznych jest możliwość wprowadzenia dodatkowych regulacji w odniesieniu do przetwarzania danych osobowych przez Narodowy Fundusz Zdrowia, zwany dalej „NFZ”, w związku z wejściem w życie RODO.</w:t>
      </w:r>
    </w:p>
    <w:p w14:paraId="52752F5C" w14:textId="77777777" w:rsidR="00386689" w:rsidRPr="00375799" w:rsidRDefault="0038668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Należy zauważyć, że NFZ, zgodnie z art. 14 ust. 5 lit. c RODO, przetwarza dane osobowe zgodnie z przepisami o świadczeniach opieki zdrowotnej finansowanych ze środków publicznych oraz są zapewnione odpowiednie środki chroniące interesy osób, których dane Narodowy Fundusz Zdrowia przetwarza, dlatego też, zgodnie z ww. przepisem RODO do danych tych osób nie stosuje się przepisów art. 14 ust. 1–4 RODO.</w:t>
      </w:r>
    </w:p>
    <w:p w14:paraId="74A6CDA3" w14:textId="39492601" w:rsidR="00386689" w:rsidRPr="00375799" w:rsidRDefault="00386689"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Zgodnie z art. 6 ust. 1 lit. c RODO, w art. 188 ust. 1, 2</w:t>
      </w:r>
      <w:r w:rsidR="00CD6102">
        <w:rPr>
          <w:rFonts w:cstheme="minorHAnsi"/>
          <w:color w:val="000000" w:themeColor="text1"/>
          <w:sz w:val="24"/>
          <w:szCs w:val="24"/>
        </w:rPr>
        <w:t>–</w:t>
      </w:r>
      <w:r w:rsidRPr="00375799">
        <w:rPr>
          <w:rFonts w:cstheme="minorHAnsi"/>
          <w:color w:val="000000" w:themeColor="text1"/>
          <w:sz w:val="24"/>
          <w:szCs w:val="24"/>
        </w:rPr>
        <w:t>2c, 3, 4, w art. 188a, art. 188b, art. 188ba, art. 188c ust. 6 oraz w art. 188d ustawy o świadczeniach opieki zdrowotnej, wskazano obowiązek przetwarzania danych przez NFZ, ministra właściwego do spraw zdrowia i jednostki samorządu terytorialnego.</w:t>
      </w:r>
    </w:p>
    <w:p w14:paraId="2CB5BD1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3235E37" w14:textId="3370680D"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86" w:name="_Toc530565058"/>
      <w:r w:rsidRPr="00375799">
        <w:rPr>
          <w:rFonts w:asciiTheme="minorHAnsi" w:hAnsiTheme="minorHAnsi" w:cstheme="minorHAnsi"/>
          <w:color w:val="000000" w:themeColor="text1"/>
          <w:sz w:val="24"/>
          <w:szCs w:val="24"/>
        </w:rPr>
        <w:t xml:space="preserve">Ustawa z dnia 25 listopada 2004 r. o zawodzie tłumacza przysięgłego </w:t>
      </w:r>
      <w:r w:rsidR="005129A9" w:rsidRPr="00375799">
        <w:rPr>
          <w:rFonts w:asciiTheme="minorHAnsi" w:hAnsiTheme="minorHAnsi" w:cstheme="minorHAnsi"/>
          <w:color w:val="000000" w:themeColor="text1"/>
          <w:sz w:val="24"/>
          <w:szCs w:val="24"/>
        </w:rPr>
        <w:t>(Dz. U. z 2017 r. poz. 1505</w:t>
      </w:r>
      <w:r w:rsidR="00FB09B3">
        <w:rPr>
          <w:rFonts w:asciiTheme="minorHAnsi" w:hAnsiTheme="minorHAnsi" w:cstheme="minorHAnsi"/>
          <w:color w:val="000000" w:themeColor="text1"/>
          <w:sz w:val="24"/>
          <w:szCs w:val="24"/>
        </w:rPr>
        <w:t xml:space="preserve"> i 1669</w:t>
      </w:r>
      <w:r w:rsidR="005129A9" w:rsidRPr="00375799">
        <w:rPr>
          <w:rFonts w:asciiTheme="minorHAnsi" w:hAnsiTheme="minorHAnsi" w:cstheme="minorHAnsi"/>
          <w:color w:val="000000" w:themeColor="text1"/>
          <w:sz w:val="24"/>
          <w:szCs w:val="24"/>
        </w:rPr>
        <w:t>)</w:t>
      </w:r>
      <w:bookmarkEnd w:id="86"/>
    </w:p>
    <w:p w14:paraId="0EE2356E" w14:textId="77777777" w:rsidR="00E902EC" w:rsidRPr="00375799" w:rsidRDefault="00E902EC" w:rsidP="0055107B">
      <w:pPr>
        <w:spacing w:after="0" w:line="276" w:lineRule="auto"/>
        <w:ind w:left="57" w:right="57"/>
        <w:contextualSpacing/>
        <w:jc w:val="both"/>
        <w:rPr>
          <w:rFonts w:cstheme="minorHAnsi"/>
          <w:color w:val="000000" w:themeColor="text1"/>
          <w:sz w:val="24"/>
          <w:szCs w:val="24"/>
        </w:rPr>
      </w:pPr>
    </w:p>
    <w:p w14:paraId="17288173" w14:textId="793D99A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Przepisy </w:t>
      </w:r>
      <w:r w:rsidR="00460565" w:rsidRPr="00375799">
        <w:rPr>
          <w:rFonts w:cstheme="minorHAnsi"/>
          <w:color w:val="000000" w:themeColor="text1"/>
          <w:sz w:val="24"/>
          <w:szCs w:val="24"/>
        </w:rPr>
        <w:t>RODO</w:t>
      </w:r>
      <w:r w:rsidRPr="00375799">
        <w:rPr>
          <w:rFonts w:cstheme="minorHAnsi"/>
          <w:color w:val="000000" w:themeColor="text1"/>
          <w:sz w:val="24"/>
          <w:szCs w:val="24"/>
        </w:rPr>
        <w:t xml:space="preserve"> dotyczą w dużej mierze zadań realizowanych na podstawie ustawy z dnia 25 listopada 2004 r. o zawodzie tłumacza przysięgłego. Podkreślić należy jednak, że odrębne określanie administratorów danych osobowych w ustawie o zawodzie tłumacza przysięgłego nie jest konieczne</w:t>
      </w:r>
      <w:r w:rsidR="00CD6102">
        <w:rPr>
          <w:rFonts w:cstheme="minorHAnsi"/>
          <w:color w:val="000000" w:themeColor="text1"/>
          <w:sz w:val="24"/>
          <w:szCs w:val="24"/>
        </w:rPr>
        <w:t>,</w:t>
      </w:r>
      <w:r w:rsidRPr="00375799">
        <w:rPr>
          <w:rFonts w:cstheme="minorHAnsi"/>
          <w:color w:val="000000" w:themeColor="text1"/>
          <w:sz w:val="24"/>
          <w:szCs w:val="24"/>
        </w:rPr>
        <w:t xml:space="preserve"> albowiem wprost z ustawy wynika</w:t>
      </w:r>
      <w:r w:rsidR="0002455E">
        <w:rPr>
          <w:rFonts w:cstheme="minorHAnsi"/>
          <w:color w:val="000000" w:themeColor="text1"/>
          <w:sz w:val="24"/>
          <w:szCs w:val="24"/>
        </w:rPr>
        <w:t>,</w:t>
      </w:r>
      <w:r w:rsidRPr="00375799">
        <w:rPr>
          <w:rFonts w:cstheme="minorHAnsi"/>
          <w:color w:val="000000" w:themeColor="text1"/>
          <w:sz w:val="24"/>
          <w:szCs w:val="24"/>
        </w:rPr>
        <w:t xml:space="preserve"> kto jest administratorem danych osobowych oraz jaki jest zakres przetwarzanych danych osobowych. </w:t>
      </w:r>
    </w:p>
    <w:p w14:paraId="07FACD02" w14:textId="4F5BFFD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Analiza przepisów </w:t>
      </w:r>
      <w:r w:rsidR="00460565" w:rsidRPr="00375799">
        <w:rPr>
          <w:rFonts w:cstheme="minorHAnsi"/>
          <w:color w:val="000000" w:themeColor="text1"/>
          <w:sz w:val="24"/>
          <w:szCs w:val="24"/>
        </w:rPr>
        <w:t>RODO</w:t>
      </w:r>
      <w:r w:rsidRPr="00375799">
        <w:rPr>
          <w:rFonts w:cstheme="minorHAnsi"/>
          <w:color w:val="000000" w:themeColor="text1"/>
          <w:sz w:val="24"/>
          <w:szCs w:val="24"/>
        </w:rPr>
        <w:t xml:space="preserve"> pozwala na wniosek, że stosowanie przewidzianej tam regulacji </w:t>
      </w:r>
      <w:r w:rsidR="0002455E">
        <w:rPr>
          <w:rFonts w:cstheme="minorHAnsi"/>
          <w:color w:val="000000" w:themeColor="text1"/>
          <w:sz w:val="24"/>
          <w:szCs w:val="24"/>
        </w:rPr>
        <w:t>w</w:t>
      </w:r>
      <w:r w:rsidR="0002455E" w:rsidRPr="00375799">
        <w:rPr>
          <w:rFonts w:cstheme="minorHAnsi"/>
          <w:color w:val="000000" w:themeColor="text1"/>
          <w:sz w:val="24"/>
          <w:szCs w:val="24"/>
        </w:rPr>
        <w:t xml:space="preserve"> </w:t>
      </w:r>
      <w:r w:rsidRPr="00375799">
        <w:rPr>
          <w:rFonts w:cstheme="minorHAnsi"/>
          <w:color w:val="000000" w:themeColor="text1"/>
          <w:sz w:val="24"/>
          <w:szCs w:val="24"/>
        </w:rPr>
        <w:t>pełnym zakresie skutkować będzie naruszeniem jednego z podstawowych obowiązków ciążących</w:t>
      </w:r>
      <w:r w:rsidR="007A0346">
        <w:rPr>
          <w:rFonts w:cstheme="minorHAnsi"/>
          <w:color w:val="000000" w:themeColor="text1"/>
          <w:sz w:val="24"/>
          <w:szCs w:val="24"/>
        </w:rPr>
        <w:t xml:space="preserve"> </w:t>
      </w:r>
      <w:r w:rsidR="0002455E">
        <w:rPr>
          <w:rFonts w:cstheme="minorHAnsi"/>
          <w:color w:val="000000" w:themeColor="text1"/>
          <w:sz w:val="24"/>
          <w:szCs w:val="24"/>
        </w:rPr>
        <w:t xml:space="preserve">na </w:t>
      </w:r>
      <w:r w:rsidRPr="00375799">
        <w:rPr>
          <w:rFonts w:cstheme="minorHAnsi"/>
          <w:color w:val="000000" w:themeColor="text1"/>
          <w:sz w:val="24"/>
          <w:szCs w:val="24"/>
        </w:rPr>
        <w:t>tłumaczu przysięgłym</w:t>
      </w:r>
      <w:r w:rsidR="00CD6102">
        <w:rPr>
          <w:rFonts w:cstheme="minorHAnsi"/>
          <w:color w:val="000000" w:themeColor="text1"/>
          <w:sz w:val="24"/>
          <w:szCs w:val="24"/>
        </w:rPr>
        <w:t>,</w:t>
      </w:r>
      <w:r w:rsidRPr="00375799">
        <w:rPr>
          <w:rFonts w:cstheme="minorHAnsi"/>
          <w:color w:val="000000" w:themeColor="text1"/>
          <w:sz w:val="24"/>
          <w:szCs w:val="24"/>
        </w:rPr>
        <w:t xml:space="preserve"> tj. obowiązku zachowania tajemnicy zawodowej. Zgodnie z art. 14 ust. 1 pkt 2 ustawy o zawodzie tłumacza przysięgłego, tłumacz przysięgły obowiązany jest do zachowania w tajemnicy faktów i okoliczności, z którymi zapoznał się w związku z tłumaczeniem. </w:t>
      </w:r>
    </w:p>
    <w:p w14:paraId="3B9769FE" w14:textId="2C0A1B1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Zakres tajemnicy zawodowej tłumacza przysięgłego, wyznaczony przez art. 14 ust. 1 pkt 2 ustawy, jest szeroki. Ze względu na to, iż ustawodawca w omawianej regulacji użył sformułowania „w związku z tłumaczeniem” przyjąć należy, że tłumacz przysięgły jest nie tylko obowiązany do zachowania w tajemnicy samych zapisów tłumaczenia, lecz także wszelkich innych informacji, jakie powziął w związku z wykonanym tłumaczeniem.</w:t>
      </w:r>
    </w:p>
    <w:p w14:paraId="3ACA0BD1" w14:textId="1ABE502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Zauważenia wymaga, że tajemnica zawodowa tzw. prawniczych zawodów regulowanych zaufania publicznego była także wielokrotnie przedmiotem analizy Trybunału Sprawiedliwości Unii Europejskiej, zwłaszcza w odniesieniu do adwokatów prowadzących własne kancelarie. Prezentowane w tym zakresie rozstrzygnięcia odnieść należy także do tajemnicy zawodowej tłumacza przysięgłego. </w:t>
      </w:r>
    </w:p>
    <w:p w14:paraId="743422E5" w14:textId="3F1A52E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Zachowanie tajemnicy zawodowej stanowi jedną z podstawowych zasad obowiązujących tłumacza przysięgłego wymienionych w Kodeksie Etyki Zawodowej Tłumacza Przysięgłego (§ 6 uchwały Rady Naczelnej Polskiego Towarzystwa Tłumaczy Przysięgłych i Specjalistycznych TEPIS z dnia 30 czerwca 2011 r</w:t>
      </w:r>
      <w:r w:rsidR="00CD6102">
        <w:rPr>
          <w:rFonts w:cstheme="minorHAnsi"/>
          <w:color w:val="000000" w:themeColor="text1"/>
          <w:sz w:val="24"/>
          <w:szCs w:val="24"/>
        </w:rPr>
        <w:t>.</w:t>
      </w:r>
      <w:r w:rsidRPr="00375799">
        <w:rPr>
          <w:rFonts w:cstheme="minorHAnsi"/>
          <w:color w:val="000000" w:themeColor="text1"/>
          <w:sz w:val="24"/>
          <w:szCs w:val="24"/>
        </w:rPr>
        <w:t xml:space="preserve"> opracowany na podstawie wniosków członków Towarzystwa oraz niezrzeszonych tłumaczy przysięgłych przez Komitet Redakcyjny KTP z udziałem przedstawicieli Ministerstwa Sprawiedliwości oraz członków Międzyinstytucjonalnego Komitetu Konsultacyjnego).</w:t>
      </w:r>
    </w:p>
    <w:p w14:paraId="0F2BA075" w14:textId="58A2DCE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uwagi na powyższe, wprowadzenie regulacji, zgodnie z którą wymienione tam przepisy </w:t>
      </w:r>
      <w:r w:rsidR="00460565" w:rsidRPr="00375799">
        <w:rPr>
          <w:rFonts w:cstheme="minorHAnsi"/>
          <w:color w:val="000000" w:themeColor="text1"/>
          <w:sz w:val="24"/>
          <w:szCs w:val="24"/>
        </w:rPr>
        <w:t>RODO</w:t>
      </w:r>
      <w:r w:rsidR="00460565" w:rsidRPr="00375799" w:rsidDel="00460565">
        <w:rPr>
          <w:rFonts w:cstheme="minorHAnsi"/>
          <w:color w:val="000000" w:themeColor="text1"/>
          <w:sz w:val="24"/>
          <w:szCs w:val="24"/>
        </w:rPr>
        <w:t xml:space="preserve"> </w:t>
      </w:r>
      <w:r w:rsidRPr="00375799">
        <w:rPr>
          <w:rFonts w:cstheme="minorHAnsi"/>
          <w:color w:val="000000" w:themeColor="text1"/>
          <w:sz w:val="24"/>
          <w:szCs w:val="24"/>
        </w:rPr>
        <w:t>(art. 15 ust. 1 i 3, art. 18, art. 19), stosuje się w zakresie</w:t>
      </w:r>
      <w:r w:rsidR="00CD6102">
        <w:rPr>
          <w:rFonts w:cstheme="minorHAnsi"/>
          <w:color w:val="000000" w:themeColor="text1"/>
          <w:sz w:val="24"/>
          <w:szCs w:val="24"/>
        </w:rPr>
        <w:t>,</w:t>
      </w:r>
      <w:r w:rsidRPr="00375799">
        <w:rPr>
          <w:rFonts w:cstheme="minorHAnsi"/>
          <w:color w:val="000000" w:themeColor="text1"/>
          <w:sz w:val="24"/>
          <w:szCs w:val="24"/>
        </w:rPr>
        <w:t xml:space="preserve"> w jakim nie naruszają obowiązku zachowania przez tłumacza przysięgłego tajemnicy, o której mowa w art. 14 ust. 1 pkt 2, jest niezbędne dla ochrony tajemnicy zawodowej. </w:t>
      </w:r>
    </w:p>
    <w:p w14:paraId="17B76653" w14:textId="4A0B372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Przede wszystkim podkreślenia wymaga, że podstawy ograniczeń w zakresie ochrony danych osobowych, które wprowadzono w art. </w:t>
      </w:r>
      <w:r w:rsidR="00D52D5A">
        <w:rPr>
          <w:rFonts w:cstheme="minorHAnsi"/>
          <w:color w:val="000000" w:themeColor="text1"/>
          <w:sz w:val="24"/>
          <w:szCs w:val="24"/>
        </w:rPr>
        <w:t>86</w:t>
      </w:r>
      <w:r w:rsidRPr="00375799">
        <w:rPr>
          <w:rFonts w:cstheme="minorHAnsi"/>
          <w:color w:val="000000" w:themeColor="text1"/>
          <w:sz w:val="24"/>
          <w:szCs w:val="24"/>
        </w:rPr>
        <w:t xml:space="preserve"> projektowanej ustawy, mieszczą się w katalogu określonym w art. 23 ust. 1 </w:t>
      </w:r>
      <w:r w:rsidR="00460565" w:rsidRPr="00375799">
        <w:rPr>
          <w:rFonts w:cstheme="minorHAnsi"/>
          <w:color w:val="000000" w:themeColor="text1"/>
          <w:sz w:val="24"/>
          <w:szCs w:val="24"/>
        </w:rPr>
        <w:t>RODO</w:t>
      </w:r>
      <w:r w:rsidRPr="00375799">
        <w:rPr>
          <w:rFonts w:cstheme="minorHAnsi"/>
          <w:color w:val="000000" w:themeColor="text1"/>
          <w:sz w:val="24"/>
          <w:szCs w:val="24"/>
        </w:rPr>
        <w:t>, nie wykraczają poza zakres określony w Konstytucji RP, a także są zgodne z zasadą proporcjonalności. Wprowadzane regulacje mogą wprawdzie ograniczać prawa osób, których dane osobowe dotyczą, zwłaszcza w sytuacji, gdy dotyczą osoby trzeciej</w:t>
      </w:r>
      <w:r w:rsidR="00CD6102">
        <w:rPr>
          <w:rFonts w:cstheme="minorHAnsi"/>
          <w:color w:val="000000" w:themeColor="text1"/>
          <w:sz w:val="24"/>
          <w:szCs w:val="24"/>
        </w:rPr>
        <w:t>,</w:t>
      </w:r>
      <w:r w:rsidRPr="00375799">
        <w:rPr>
          <w:rFonts w:cstheme="minorHAnsi"/>
          <w:color w:val="000000" w:themeColor="text1"/>
          <w:sz w:val="24"/>
          <w:szCs w:val="24"/>
        </w:rPr>
        <w:t xml:space="preserve"> a nie osoby żądającej tłumaczenia, jednak są o</w:t>
      </w:r>
      <w:r w:rsidR="00EA6726">
        <w:rPr>
          <w:rFonts w:cstheme="minorHAnsi"/>
          <w:color w:val="000000" w:themeColor="text1"/>
          <w:sz w:val="24"/>
          <w:szCs w:val="24"/>
        </w:rPr>
        <w:t>graniczenia</w:t>
      </w:r>
      <w:r w:rsidRPr="00375799">
        <w:rPr>
          <w:rFonts w:cstheme="minorHAnsi"/>
          <w:color w:val="000000" w:themeColor="text1"/>
          <w:sz w:val="24"/>
          <w:szCs w:val="24"/>
        </w:rPr>
        <w:t xml:space="preserve"> niezbędne dla prawidłowego wykonywania przez tłumacza przysięgłego obowiązku zachowania tajemnicy zawodowej. Wprowadzane ograniczenia znajdują umo</w:t>
      </w:r>
      <w:r w:rsidR="009C30AE">
        <w:rPr>
          <w:rFonts w:cstheme="minorHAnsi"/>
          <w:color w:val="000000" w:themeColor="text1"/>
          <w:sz w:val="24"/>
          <w:szCs w:val="24"/>
        </w:rPr>
        <w:t>cowanie w art. 23 ust. 1 lit. e</w:t>
      </w:r>
      <w:r w:rsidRPr="00375799">
        <w:rPr>
          <w:rFonts w:cstheme="minorHAnsi"/>
          <w:color w:val="000000" w:themeColor="text1"/>
          <w:sz w:val="24"/>
          <w:szCs w:val="24"/>
        </w:rPr>
        <w:t xml:space="preserve"> </w:t>
      </w:r>
      <w:r w:rsidR="00460565" w:rsidRPr="00375799">
        <w:rPr>
          <w:rFonts w:cstheme="minorHAnsi"/>
          <w:color w:val="000000" w:themeColor="text1"/>
          <w:sz w:val="24"/>
          <w:szCs w:val="24"/>
        </w:rPr>
        <w:t>RODO</w:t>
      </w:r>
      <w:r w:rsidR="00CD6102">
        <w:rPr>
          <w:rFonts w:cstheme="minorHAnsi"/>
          <w:color w:val="000000" w:themeColor="text1"/>
          <w:sz w:val="24"/>
          <w:szCs w:val="24"/>
        </w:rPr>
        <w:t>,</w:t>
      </w:r>
      <w:r w:rsidR="00DF5A13" w:rsidRPr="00375799">
        <w:rPr>
          <w:rFonts w:cstheme="minorHAnsi"/>
          <w:color w:val="000000" w:themeColor="text1"/>
          <w:sz w:val="24"/>
          <w:szCs w:val="24"/>
        </w:rPr>
        <w:t xml:space="preserve"> </w:t>
      </w:r>
      <w:r w:rsidRPr="00375799">
        <w:rPr>
          <w:rFonts w:cstheme="minorHAnsi"/>
          <w:color w:val="000000" w:themeColor="text1"/>
          <w:sz w:val="24"/>
          <w:szCs w:val="24"/>
        </w:rPr>
        <w:t>tj. ważne cele leżące w ogólnym interesie pu</w:t>
      </w:r>
      <w:r w:rsidR="009C30AE">
        <w:rPr>
          <w:rFonts w:cstheme="minorHAnsi"/>
          <w:color w:val="000000" w:themeColor="text1"/>
          <w:sz w:val="24"/>
          <w:szCs w:val="24"/>
        </w:rPr>
        <w:t>blicznym, art. 23 ust. 1 lit. g</w:t>
      </w:r>
      <w:r w:rsidR="00CD6102">
        <w:rPr>
          <w:rFonts w:cstheme="minorHAnsi"/>
          <w:color w:val="000000" w:themeColor="text1"/>
          <w:sz w:val="24"/>
          <w:szCs w:val="24"/>
        </w:rPr>
        <w:t>,</w:t>
      </w:r>
      <w:r w:rsidRPr="00375799">
        <w:rPr>
          <w:rFonts w:cstheme="minorHAnsi"/>
          <w:color w:val="000000" w:themeColor="text1"/>
          <w:sz w:val="24"/>
          <w:szCs w:val="24"/>
        </w:rPr>
        <w:t xml:space="preserve"> tj. zapobieganie naruszeniom zasad etyki w zawodach regulowa</w:t>
      </w:r>
      <w:r w:rsidR="009C30AE">
        <w:rPr>
          <w:rFonts w:cstheme="minorHAnsi"/>
          <w:color w:val="000000" w:themeColor="text1"/>
          <w:sz w:val="24"/>
          <w:szCs w:val="24"/>
        </w:rPr>
        <w:t>nych oraz art. 23 ust. 1 lit. i</w:t>
      </w:r>
      <w:r w:rsidR="00CD6102">
        <w:rPr>
          <w:rFonts w:cstheme="minorHAnsi"/>
          <w:color w:val="000000" w:themeColor="text1"/>
          <w:sz w:val="24"/>
          <w:szCs w:val="24"/>
        </w:rPr>
        <w:t>,</w:t>
      </w:r>
      <w:r w:rsidRPr="00375799">
        <w:rPr>
          <w:rFonts w:cstheme="minorHAnsi"/>
          <w:color w:val="000000" w:themeColor="text1"/>
          <w:sz w:val="24"/>
          <w:szCs w:val="24"/>
        </w:rPr>
        <w:t xml:space="preserve"> tj. ochronie osoby, której dane dotyczą</w:t>
      </w:r>
      <w:r w:rsidR="00CD6102">
        <w:rPr>
          <w:rFonts w:cstheme="minorHAnsi"/>
          <w:color w:val="000000" w:themeColor="text1"/>
          <w:sz w:val="24"/>
          <w:szCs w:val="24"/>
        </w:rPr>
        <w:t>,</w:t>
      </w:r>
      <w:r w:rsidRPr="00375799">
        <w:rPr>
          <w:rFonts w:cstheme="minorHAnsi"/>
          <w:color w:val="000000" w:themeColor="text1"/>
          <w:sz w:val="24"/>
          <w:szCs w:val="24"/>
        </w:rPr>
        <w:t xml:space="preserve"> lub praw i wolności innych osób.</w:t>
      </w:r>
    </w:p>
    <w:p w14:paraId="71DD2C01" w14:textId="100B673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Podkreślenia wymaga, że obowiązek tłumacza przysięgłego zachowania tajemnicy zawodowej ma charakter publicznoprawny. Zgodnie z orzecznictwem Trybunału Konstytucyjnego ustanowiono go w interesie klientów, a nie prawniczych zawodów regulowanych, przy czym nie jest on wyrazem uprzywilejowania grupy zawodowej, lecz właśnie obowiązkiem związanym z wykonywaniem zawodu zaufania publicznego. Oznacza to, że prawo do prywatności i poufności informacji nie przysługuje tłumaczom przysięgłym, lecz ich klientom. </w:t>
      </w:r>
    </w:p>
    <w:p w14:paraId="4CEE28DC"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 przedstawicielach tego zawodu ciąży zatem obowiązek respektowania tego prawa, bowiem ich relacje z klientami opierają się właśnie przede wszystkim na zaufaniu. Klienci mają więc prawo oczekiwać, że w każdym przypadku ich prawo do prywatności będzie stanowiło dobro najwyższe podlegające szczególnej ochronie. W konsekwencji w przypadku, gdy dane osobowe pozyskane przez tłumacza przysięgłego dotyczące osoby trzeciej, a nie jego klienta, będzie dochodziło do kolizji prawa do prywatności osoby zlecającej tłumaczenie (którego </w:t>
      </w:r>
      <w:r w:rsidRPr="00375799">
        <w:rPr>
          <w:rFonts w:cstheme="minorHAnsi"/>
          <w:color w:val="000000" w:themeColor="text1"/>
          <w:sz w:val="24"/>
          <w:szCs w:val="24"/>
        </w:rPr>
        <w:lastRenderedPageBreak/>
        <w:t xml:space="preserve">realizację zapewnia tajemnica zawodowa) z prawem do żądania ochrony danych osobowych, osoby, której dane zostały tłumaczowi przysięgłemu ujawnione. </w:t>
      </w:r>
    </w:p>
    <w:p w14:paraId="67A25B8F" w14:textId="1BC9617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Tak będzie np. w przypadku wykonania przez tłumacza przysięgłego obowiązków, o których mowa w art. 15 ust. 1 i 3 </w:t>
      </w:r>
      <w:r w:rsidR="00460565" w:rsidRPr="00375799">
        <w:rPr>
          <w:rFonts w:cstheme="minorHAnsi"/>
          <w:color w:val="000000" w:themeColor="text1"/>
          <w:sz w:val="24"/>
          <w:szCs w:val="24"/>
        </w:rPr>
        <w:t>RODO</w:t>
      </w:r>
      <w:r w:rsidRPr="00375799">
        <w:rPr>
          <w:rFonts w:cstheme="minorHAnsi"/>
          <w:color w:val="000000" w:themeColor="text1"/>
          <w:sz w:val="24"/>
          <w:szCs w:val="24"/>
        </w:rPr>
        <w:t xml:space="preserve">, przewidującego uprawnienie osoby, której dane dotyczą, uzyskania dostępu do szczegółowo wymienionych tam danych oraz kopii danych osobowych podlegających przetwarzaniu. Zauważenia wymaga, że tłumacze przysięgli często sporządzają przekłady pozwów przekazywanych za granicę lub pochodzących z zagranicy. Nałożenie na tłumacza przysięgłego obowiązków wynikających z art. 15 ust. 1 i 3 </w:t>
      </w:r>
      <w:r w:rsidR="00460565" w:rsidRPr="00375799">
        <w:rPr>
          <w:rFonts w:cstheme="minorHAnsi"/>
          <w:color w:val="000000" w:themeColor="text1"/>
          <w:sz w:val="24"/>
          <w:szCs w:val="24"/>
        </w:rPr>
        <w:t>RODO</w:t>
      </w:r>
      <w:r w:rsidRPr="00375799">
        <w:rPr>
          <w:rFonts w:cstheme="minorHAnsi"/>
          <w:color w:val="000000" w:themeColor="text1"/>
          <w:sz w:val="24"/>
          <w:szCs w:val="24"/>
        </w:rPr>
        <w:t xml:space="preserve"> uniemożliwi w wielu przypadkach dochodzenia roszczeń polskich wierzycieli wobec zagranicznych dłużników lub zagranicznych wierzycieli wobec polskich dłużników. Nadto, brak wyłączenia przepisu art. 15 ust. 1 i 3 rozporządzenia może narazić tłumaczy na niebezpieczeństwo nacisków, aby tłumaczenie sporządził w sposób korzystny dla osoby, której dane dotyczą. Zachowanie tajemnicy przez tłumacza przysięgłego jest także kluczowe np. w przypadku tłumaczenia dokumentów dotyczących toczącej się sprawy egzekucyjnej. W takim przypadku wykonanie obowiązków z art. 15 ust. 1 i 3 rozporządzenia i poinformowanie o środkach podejmowanych np. wobec dłużnika, skutkować może udaremnieniem lub znacznym utrudnieniem egzekucji. Obowiązek poinformowania osoby trzeciej o przetwarzaniu jej danych osobowych i przekazania jej kopii danych osobowych podlegających przetwarzaniu uniemożliwiałoby takie działania.</w:t>
      </w:r>
    </w:p>
    <w:p w14:paraId="5A9F5C6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Przepis art. 16 rozporządzenia znajdzie zastosowanie tylko wówczas, gdy sprostowanie nie będzie możliwe na podstawie innych przepisów (np. art. 113 k.p.a. w odniesieniu do administratorów danych, którzy przetwarzają dane osobowe na podstawie przepisów Kodeksu postępowania administracyjnego).</w:t>
      </w:r>
    </w:p>
    <w:p w14:paraId="2EA8EB5B" w14:textId="2083B75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 art. 17 </w:t>
      </w:r>
      <w:r w:rsidR="00460565" w:rsidRPr="00375799">
        <w:rPr>
          <w:rFonts w:cstheme="minorHAnsi"/>
          <w:color w:val="000000" w:themeColor="text1"/>
          <w:sz w:val="24"/>
          <w:szCs w:val="24"/>
        </w:rPr>
        <w:t>RODO</w:t>
      </w:r>
      <w:r w:rsidRPr="00375799">
        <w:rPr>
          <w:rFonts w:cstheme="minorHAnsi"/>
          <w:color w:val="000000" w:themeColor="text1"/>
          <w:sz w:val="24"/>
          <w:szCs w:val="24"/>
        </w:rPr>
        <w:t>, zgodnie z ust. 3 lit. b, nie będzie miał zastosowania do tłumaczy przysięgłych i innych administratorów określonych w ustawie o zawodzie tłumacza przysięgłego</w:t>
      </w:r>
      <w:r w:rsidR="00CD6102">
        <w:rPr>
          <w:rFonts w:cstheme="minorHAnsi"/>
          <w:color w:val="000000" w:themeColor="text1"/>
          <w:sz w:val="24"/>
          <w:szCs w:val="24"/>
        </w:rPr>
        <w:t>,</w:t>
      </w:r>
      <w:r w:rsidRPr="00375799">
        <w:rPr>
          <w:rFonts w:cstheme="minorHAnsi"/>
          <w:color w:val="000000" w:themeColor="text1"/>
          <w:sz w:val="24"/>
          <w:szCs w:val="24"/>
        </w:rPr>
        <w:t xml:space="preserve"> albowiem przepisy prawa nakładają na nich obowiązek przetwarzania danych osobowych.</w:t>
      </w:r>
    </w:p>
    <w:p w14:paraId="2159D947" w14:textId="33538A4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Uzasadnione jest także ograniczenie stosowania art. 18 i </w:t>
      </w:r>
      <w:r w:rsidR="00CD6102">
        <w:rPr>
          <w:rFonts w:cstheme="minorHAnsi"/>
          <w:color w:val="000000" w:themeColor="text1"/>
          <w:sz w:val="24"/>
          <w:szCs w:val="24"/>
        </w:rPr>
        <w:t xml:space="preserve">art. </w:t>
      </w:r>
      <w:r w:rsidRPr="00375799">
        <w:rPr>
          <w:rFonts w:cstheme="minorHAnsi"/>
          <w:color w:val="000000" w:themeColor="text1"/>
          <w:sz w:val="24"/>
          <w:szCs w:val="24"/>
        </w:rPr>
        <w:t>19 rozporządzenia w zakresie,</w:t>
      </w:r>
      <w:r w:rsidR="00A82D75" w:rsidRPr="00375799">
        <w:rPr>
          <w:rFonts w:cstheme="minorHAnsi"/>
          <w:color w:val="000000" w:themeColor="text1"/>
          <w:sz w:val="24"/>
          <w:szCs w:val="24"/>
        </w:rPr>
        <w:t xml:space="preserve"> </w:t>
      </w:r>
      <w:r w:rsidRPr="00375799">
        <w:rPr>
          <w:rFonts w:cstheme="minorHAnsi"/>
          <w:color w:val="000000" w:themeColor="text1"/>
          <w:sz w:val="24"/>
          <w:szCs w:val="24"/>
        </w:rPr>
        <w:t xml:space="preserve">w jakim stosowanie tych przepisów naruszałoby obowiązek zachowania tajemnicy zawodowej tłumacza przysięgłego. Zatem w sytuacji zgłoszenia żądania z art. 18 przez osobę trzecią, w przypadku gdy jej dane osobowe zostały ujawnione tłumaczowi przysięgłemu przez osobę zlecającą tłumaczenie, przyznawanie pierwszeństwa wykonaniu obowiązków określonych w powołanym przepisie nad obowiązkiem zachowania tajemnicy zawodowej, skutkować będzie naruszeniem praw i interesów klienta, podważeniem wiarygodności tłumacza przysięgłego oraz zagrożeniem bezpieczeństwa obrotu prawnego. </w:t>
      </w:r>
    </w:p>
    <w:p w14:paraId="0EF13CC2"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Tłumacz przysięgły wykonuje jedynie usługi wobec osoby zlecającej tłumaczenie. Nie ma możliwości zweryfikowania prawdziwości danych osobowych znajdujących się w dokumencie, który otrzymał do przetłumaczenia. Ponadto, jeżeli osoba kwestionująca prawdziwość danych osobowych jej dotyczących (ust. 1 lit. a) zażąda ograniczenia przetwarzania jej danych, uniemożliwi całkowicie dokonywanie tłumaczenia. W ten sposób </w:t>
      </w:r>
      <w:r w:rsidRPr="00375799">
        <w:rPr>
          <w:rFonts w:cstheme="minorHAnsi"/>
          <w:color w:val="000000" w:themeColor="text1"/>
          <w:sz w:val="24"/>
          <w:szCs w:val="24"/>
        </w:rPr>
        <w:lastRenderedPageBreak/>
        <w:t xml:space="preserve">może np. uniemożliwić dochodzenie roszczeń wobec innych osób, których dane znajdują się w tym samym dokumencie, bo tłumacz nie może oddać tylko częściowo przetłumaczonego dokumentu. Może także uniemożliwić lub znacznie utrudnić dalsze prowadzenia postępowania sądowego lub egzekucyjnego. </w:t>
      </w:r>
    </w:p>
    <w:p w14:paraId="57B48849" w14:textId="781D894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Wyłączenie stosowania przepisu art. 19 wobec tłumaczy przysięgłych w zakresie, w jakim jego stosowanie naruszałoby obowiązek zachowania tajemnicy zawodowej jest również uzasadnione. Podkreślenia wymaga, że zleceniodawca może zrezygnować z usług tłumacza przysięgłego, żądając zwrotu przekazanych dokumentów. Dokumenty te mogą zawierać dane osobowe nie tylko zleceniodawcy, ale także osób trzecich. </w:t>
      </w:r>
    </w:p>
    <w:p w14:paraId="43DD3FFF" w14:textId="2029431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takiej sytuacji realizacja przez tłumacza przysięgłego obowiązku, o którym mowa w zdaniu drugim art. 19 (zawiadomienia o usunięciu danych osobowych także osoby trzecie, której dane dotyczą)</w:t>
      </w:r>
      <w:r w:rsidR="00CD6102">
        <w:rPr>
          <w:rFonts w:cstheme="minorHAnsi"/>
          <w:color w:val="000000" w:themeColor="text1"/>
          <w:sz w:val="24"/>
          <w:szCs w:val="24"/>
        </w:rPr>
        <w:t>,</w:t>
      </w:r>
      <w:r w:rsidRPr="00375799">
        <w:rPr>
          <w:rFonts w:cstheme="minorHAnsi"/>
          <w:color w:val="000000" w:themeColor="text1"/>
          <w:sz w:val="24"/>
          <w:szCs w:val="24"/>
        </w:rPr>
        <w:t xml:space="preserve"> skutkował</w:t>
      </w:r>
      <w:r w:rsidR="00CD6102">
        <w:rPr>
          <w:rFonts w:cstheme="minorHAnsi"/>
          <w:color w:val="000000" w:themeColor="text1"/>
          <w:sz w:val="24"/>
          <w:szCs w:val="24"/>
        </w:rPr>
        <w:t>o</w:t>
      </w:r>
      <w:r w:rsidRPr="00375799">
        <w:rPr>
          <w:rFonts w:cstheme="minorHAnsi"/>
          <w:color w:val="000000" w:themeColor="text1"/>
          <w:sz w:val="24"/>
          <w:szCs w:val="24"/>
        </w:rPr>
        <w:t xml:space="preserve">by naruszeniem obowiązku zachowania tajemnicy zawodowej. </w:t>
      </w:r>
    </w:p>
    <w:p w14:paraId="19ECED8F" w14:textId="21DA09E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Powyższe przykłady obrazują</w:t>
      </w:r>
      <w:r w:rsidR="00CD6102">
        <w:rPr>
          <w:rFonts w:cstheme="minorHAnsi"/>
          <w:color w:val="000000" w:themeColor="text1"/>
          <w:sz w:val="24"/>
          <w:szCs w:val="24"/>
        </w:rPr>
        <w:t>,</w:t>
      </w:r>
      <w:r w:rsidRPr="00375799">
        <w:rPr>
          <w:rFonts w:cstheme="minorHAnsi"/>
          <w:color w:val="000000" w:themeColor="text1"/>
          <w:sz w:val="24"/>
          <w:szCs w:val="24"/>
        </w:rPr>
        <w:t xml:space="preserve"> że wyłączenie przepisów art. 15 ust. 1 i 3 , art. 18 i art. 19 w zakresie ujętym w projekcie jest niezbędne dla ochrony tajemnicy zawodowej tłumacza przysięgłego, a tym samym służy zapobieganiu naruszeniom zasad etyki w tym zawodzie (art. 23 ust. 1 lit. g). W konsekwencji jest jednak także niezbędne dla ochrony praw i wolności innych osób (art. 23 ust. 1 lit. i)</w:t>
      </w:r>
      <w:r w:rsidR="00CD6102">
        <w:rPr>
          <w:rFonts w:cstheme="minorHAnsi"/>
          <w:color w:val="000000" w:themeColor="text1"/>
          <w:sz w:val="24"/>
          <w:szCs w:val="24"/>
        </w:rPr>
        <w:t>,</w:t>
      </w:r>
      <w:r w:rsidRPr="00375799">
        <w:rPr>
          <w:rFonts w:cstheme="minorHAnsi"/>
          <w:color w:val="000000" w:themeColor="text1"/>
          <w:sz w:val="24"/>
          <w:szCs w:val="24"/>
        </w:rPr>
        <w:t xml:space="preserve"> tj. osób które korzystają z usług tłumacza przysięgłego i działają w przekonaniu, że informacje o tym nie zostaną ujawnione innym osobom. Zakres ograniczeń został zminimalizowany i dotyczy wyłącznie danych osób trzecich</w:t>
      </w:r>
      <w:r w:rsidR="00CD6102">
        <w:rPr>
          <w:rFonts w:cstheme="minorHAnsi"/>
          <w:color w:val="000000" w:themeColor="text1"/>
          <w:sz w:val="24"/>
          <w:szCs w:val="24"/>
        </w:rPr>
        <w:t>,</w:t>
      </w:r>
      <w:r w:rsidRPr="00375799">
        <w:rPr>
          <w:rFonts w:cstheme="minorHAnsi"/>
          <w:color w:val="000000" w:themeColor="text1"/>
          <w:sz w:val="24"/>
          <w:szCs w:val="24"/>
        </w:rPr>
        <w:t xml:space="preserve"> a nie klientów tłumacza przysięgłego, stąd też ograniczenie uznać należy za proporcjonalne. </w:t>
      </w:r>
    </w:p>
    <w:p w14:paraId="31624B36" w14:textId="6A0077D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Podkreślenia wymaga, że opisane wyżej ograniczenia stosowania wymienionych przepisów rozporządzenia wobec tłumaczy przysięgłych nie będzie oznaczało, że dane osobowe, o których dowiedział się ze względu na dokonywane tłumaczenie</w:t>
      </w:r>
      <w:r w:rsidR="00CD6102">
        <w:rPr>
          <w:rFonts w:cstheme="minorHAnsi"/>
          <w:color w:val="000000" w:themeColor="text1"/>
          <w:sz w:val="24"/>
          <w:szCs w:val="24"/>
        </w:rPr>
        <w:t>,</w:t>
      </w:r>
      <w:r w:rsidRPr="00375799">
        <w:rPr>
          <w:rFonts w:cstheme="minorHAnsi"/>
          <w:color w:val="000000" w:themeColor="text1"/>
          <w:sz w:val="24"/>
          <w:szCs w:val="24"/>
        </w:rPr>
        <w:t xml:space="preserve"> nie podlegają żadnej ochronie. W istocie bowiem przepisy ustawy o zawodzie tłumacza przysięgłego zapewniają wzmożoną ochronę tajemnicy zawodowej. Zatem, istniejące w ustawie rygory i ograniczenia w zakresie dotyczącym przetwarzania i ujawniania danych osobowych osób korzystających z ich usług uzasadniają wprowadzenie odstępstw od stosowania niektórych przepisów rozporządzenia. </w:t>
      </w:r>
    </w:p>
    <w:p w14:paraId="22EC1C4D" w14:textId="6A0A140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odniesieniu do przepisu art. 21 </w:t>
      </w:r>
      <w:r w:rsidR="00460565" w:rsidRPr="00375799">
        <w:rPr>
          <w:rFonts w:cstheme="minorHAnsi"/>
          <w:color w:val="000000" w:themeColor="text1"/>
          <w:sz w:val="24"/>
          <w:szCs w:val="24"/>
        </w:rPr>
        <w:t>RODO</w:t>
      </w:r>
      <w:r w:rsidRPr="00375799">
        <w:rPr>
          <w:rFonts w:cstheme="minorHAnsi"/>
          <w:color w:val="000000" w:themeColor="text1"/>
          <w:sz w:val="24"/>
          <w:szCs w:val="24"/>
        </w:rPr>
        <w:t>, zauważyć należy, że ustawodawca unijny przyznał uprawnienie do zgłoszenia sprzeciwu jedynie w przypadku, gdy dane przetwarzane są na</w:t>
      </w:r>
      <w:r w:rsidR="005D78C0">
        <w:rPr>
          <w:rFonts w:cstheme="minorHAnsi"/>
          <w:color w:val="000000" w:themeColor="text1"/>
          <w:sz w:val="24"/>
          <w:szCs w:val="24"/>
        </w:rPr>
        <w:t xml:space="preserve"> podstawie art. 6 ust. 1 lit. e lub f</w:t>
      </w:r>
      <w:r w:rsidRPr="00375799">
        <w:rPr>
          <w:rFonts w:cstheme="minorHAnsi"/>
          <w:color w:val="000000" w:themeColor="text1"/>
          <w:sz w:val="24"/>
          <w:szCs w:val="24"/>
        </w:rPr>
        <w:t xml:space="preserve">. Nie można zatem wykluczyć sytuacji, gdy takie żądanie zostanie zgłoszone przez osobę, której dane dotyczą, co w konsekwencji uniemożliwi tłumaczowi przysięgłemu </w:t>
      </w:r>
      <w:r w:rsidR="00EA6726" w:rsidRPr="00375799">
        <w:rPr>
          <w:rFonts w:cstheme="minorHAnsi"/>
          <w:color w:val="000000" w:themeColor="text1"/>
          <w:sz w:val="24"/>
          <w:szCs w:val="24"/>
        </w:rPr>
        <w:t>prze</w:t>
      </w:r>
      <w:r w:rsidR="00EA6726">
        <w:rPr>
          <w:rFonts w:cstheme="minorHAnsi"/>
          <w:color w:val="000000" w:themeColor="text1"/>
          <w:sz w:val="24"/>
          <w:szCs w:val="24"/>
        </w:rPr>
        <w:t>twarzanie</w:t>
      </w:r>
      <w:r w:rsidR="00EA6726" w:rsidRPr="00375799">
        <w:rPr>
          <w:rFonts w:cstheme="minorHAnsi"/>
          <w:color w:val="000000" w:themeColor="text1"/>
          <w:sz w:val="24"/>
          <w:szCs w:val="24"/>
        </w:rPr>
        <w:t xml:space="preserve"> </w:t>
      </w:r>
      <w:r w:rsidRPr="00375799">
        <w:rPr>
          <w:rFonts w:cstheme="minorHAnsi"/>
          <w:color w:val="000000" w:themeColor="text1"/>
          <w:sz w:val="24"/>
          <w:szCs w:val="24"/>
        </w:rPr>
        <w:t>danych osobowych, a tym samym dokonywanie tłumaczenia i przesłanie go podmiotowi zlecającemu np. sądowi, a w konsekwencji uniemożliwi dalsze prowadzenie tego postępowania, prowadząc do jego przewlekłości. W tej sytuacji uzasadnione jest wyłączenie stosowania tej regulacji w odniesieniu do danych osobowych pozyskanych przez tłumacza przysięgłego w związku z tłumaczeniem. Wyłączenie znajduje uzasa</w:t>
      </w:r>
      <w:r w:rsidR="005D78C0">
        <w:rPr>
          <w:rFonts w:cstheme="minorHAnsi"/>
          <w:color w:val="000000" w:themeColor="text1"/>
          <w:sz w:val="24"/>
          <w:szCs w:val="24"/>
        </w:rPr>
        <w:t>dnienie w art. 23 ust. 1 lit. e i f</w:t>
      </w:r>
      <w:r w:rsidRPr="00375799">
        <w:rPr>
          <w:rFonts w:cstheme="minorHAnsi"/>
          <w:color w:val="000000" w:themeColor="text1"/>
          <w:sz w:val="24"/>
          <w:szCs w:val="24"/>
        </w:rPr>
        <w:t xml:space="preserve"> – zapewnienie prawidłowego i sprawnego prowadzenia postępowań sądowych jest zadaniem nadrzędnym, podlegającym ochronie, a </w:t>
      </w:r>
      <w:r w:rsidRPr="00375799">
        <w:rPr>
          <w:rFonts w:cstheme="minorHAnsi"/>
          <w:color w:val="000000" w:themeColor="text1"/>
          <w:sz w:val="24"/>
          <w:szCs w:val="24"/>
        </w:rPr>
        <w:lastRenderedPageBreak/>
        <w:t>zaproponowane wyłączenie stanowi środek niezbędny i proporcjonalny do osiągnięcia tego celu. W kontekście powyższego, ponownie podkreślić należy, że brak jest podstaw</w:t>
      </w:r>
      <w:r w:rsidR="00CD6102">
        <w:rPr>
          <w:rFonts w:cstheme="minorHAnsi"/>
          <w:color w:val="000000" w:themeColor="text1"/>
          <w:sz w:val="24"/>
          <w:szCs w:val="24"/>
        </w:rPr>
        <w:t>,</w:t>
      </w:r>
      <w:r w:rsidRPr="00375799">
        <w:rPr>
          <w:rFonts w:cstheme="minorHAnsi"/>
          <w:color w:val="000000" w:themeColor="text1"/>
          <w:sz w:val="24"/>
          <w:szCs w:val="24"/>
        </w:rPr>
        <w:t xml:space="preserve"> </w:t>
      </w:r>
      <w:r w:rsidR="00CD6102">
        <w:rPr>
          <w:rFonts w:cstheme="minorHAnsi"/>
          <w:color w:val="000000" w:themeColor="text1"/>
          <w:sz w:val="24"/>
          <w:szCs w:val="24"/>
        </w:rPr>
        <w:t>a</w:t>
      </w:r>
      <w:r w:rsidRPr="00375799">
        <w:rPr>
          <w:rFonts w:cstheme="minorHAnsi"/>
          <w:color w:val="000000" w:themeColor="text1"/>
          <w:sz w:val="24"/>
          <w:szCs w:val="24"/>
        </w:rPr>
        <w:t>by przedkładać uprawnienia kontrolne organu nadzorczego nad prawo osób fizycznych lub prawnych korzystających z usług przedstawicieli ww. zawodów. Tajemnica zawodowa chroni prawo tych osób w szerokim zakresie, a nadto chroni ich dane osobowe.</w:t>
      </w:r>
    </w:p>
    <w:p w14:paraId="57068CF7" w14:textId="31BB186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Jednocześnie należy wskazać, że obowiązki nałożone na tłumacza przysięgłego w zakresie ochrony danych osobowych minimalizują potencjalne ryzyka naruszenia praw lub wolności osoby, której dane dotyczą, stąd nie ma potrzeby dodatkowej regulacji określającej te ryzyka (art. 23 ust. 2 lit. g </w:t>
      </w:r>
      <w:r w:rsidR="00460565" w:rsidRPr="00375799">
        <w:rPr>
          <w:rFonts w:cstheme="minorHAnsi"/>
          <w:color w:val="000000" w:themeColor="text1"/>
          <w:sz w:val="24"/>
          <w:szCs w:val="24"/>
        </w:rPr>
        <w:t>RODO</w:t>
      </w:r>
      <w:r w:rsidRPr="00375799">
        <w:rPr>
          <w:rFonts w:cstheme="minorHAnsi"/>
          <w:color w:val="000000" w:themeColor="text1"/>
          <w:sz w:val="24"/>
          <w:szCs w:val="24"/>
        </w:rPr>
        <w:t xml:space="preserve">). Nie ma również zastosowania dyrektywa zawarta w art. 23 ust. 2 lit. h </w:t>
      </w:r>
      <w:r w:rsidR="00460565" w:rsidRPr="00375799">
        <w:rPr>
          <w:rFonts w:cstheme="minorHAnsi"/>
          <w:color w:val="000000" w:themeColor="text1"/>
          <w:sz w:val="24"/>
          <w:szCs w:val="24"/>
        </w:rPr>
        <w:t>RODO</w:t>
      </w:r>
      <w:r w:rsidRPr="00375799">
        <w:rPr>
          <w:rFonts w:cstheme="minorHAnsi"/>
          <w:color w:val="000000" w:themeColor="text1"/>
          <w:sz w:val="24"/>
          <w:szCs w:val="24"/>
        </w:rPr>
        <w:t>.</w:t>
      </w:r>
    </w:p>
    <w:p w14:paraId="315AB526" w14:textId="09E19B0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proponuje się wprowadzenie przepisu, zgodnie z którym obowiązek zachowania tajemnicy zawodowej nie ustaje w przypadku, gdy z żądaniem ujawnienia informacji uzyskanych przez tłumacza przysięgłego w związku z dokonywanym tłumaczeniem występuje Prezes Urzędu Ochrony Danych Osobowych. Nie oznacza to, że dane osobowe gromadzone przez tłumacza przysięgłego nie będą ochronione. Podstawową ochronę zapewnia im bowiem tajemnica zawodowa, do przestrzegania której przedstawiciele ww. zawodów są zobowiązani i za naruszenie której ponoszą odpowiedzialność dyscyplinarną. Kwestia przestrzegania tajemnicy zawodowej podlega wnikliwej kontroli organów nadzoru, realizowanej przez państwo w interesie publicznym . </w:t>
      </w:r>
    </w:p>
    <w:p w14:paraId="7FE44F56" w14:textId="76847AC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Obowiązek tłumacza przysięgłego zachowania tajemnicy zawodowej ma charakter publicznoprawny. Ustanowiono go w interesie klientów i nie jest on wyrazem uprzywilejowania grupy zawodowej, lecz właśnie obowiązkiem związanym z wykonywaniem zawodu zaufania publicznego. Oznacza to, że prawo do prywatności i poufności informacji nie przysługuje tłumaczom przysięgłym, lecz ich klientom. Na przedstawicielach tych zawodów ciąży zatem obowiązek respektowania tego prawa, bowiem ich relacje z klientami opierają się właśnie przede wszystkim na zaufaniu.</w:t>
      </w:r>
      <w:r w:rsidR="0078314A" w:rsidRPr="00375799">
        <w:rPr>
          <w:rFonts w:cstheme="minorHAnsi"/>
          <w:color w:val="000000" w:themeColor="text1"/>
          <w:sz w:val="24"/>
          <w:szCs w:val="24"/>
        </w:rPr>
        <w:t xml:space="preserve"> </w:t>
      </w:r>
      <w:r w:rsidRPr="00375799">
        <w:rPr>
          <w:rFonts w:cstheme="minorHAnsi"/>
          <w:color w:val="000000" w:themeColor="text1"/>
          <w:sz w:val="24"/>
          <w:szCs w:val="24"/>
        </w:rPr>
        <w:t>W kontekście powyższego, podkreślić należy, że brak jest podstaw</w:t>
      </w:r>
      <w:r w:rsidR="00CD6102">
        <w:rPr>
          <w:rFonts w:cstheme="minorHAnsi"/>
          <w:color w:val="000000" w:themeColor="text1"/>
          <w:sz w:val="24"/>
          <w:szCs w:val="24"/>
        </w:rPr>
        <w:t>,</w:t>
      </w:r>
      <w:r w:rsidRPr="00375799">
        <w:rPr>
          <w:rFonts w:cstheme="minorHAnsi"/>
          <w:color w:val="000000" w:themeColor="text1"/>
          <w:sz w:val="24"/>
          <w:szCs w:val="24"/>
        </w:rPr>
        <w:t xml:space="preserve"> </w:t>
      </w:r>
      <w:r w:rsidR="00CD6102">
        <w:rPr>
          <w:rFonts w:cstheme="minorHAnsi"/>
          <w:color w:val="000000" w:themeColor="text1"/>
          <w:sz w:val="24"/>
          <w:szCs w:val="24"/>
        </w:rPr>
        <w:t>a</w:t>
      </w:r>
      <w:r w:rsidRPr="00375799">
        <w:rPr>
          <w:rFonts w:cstheme="minorHAnsi"/>
          <w:color w:val="000000" w:themeColor="text1"/>
          <w:sz w:val="24"/>
          <w:szCs w:val="24"/>
        </w:rPr>
        <w:t>by przedkładać uprawnienia kontrolne organu nadzorczego nad prawo osób fizycznych lub prawnych korzystających z usług przedstawicieli ww. zawodów. Tajemnica zawodowa chroni prawo tych osób w szerokim zakresie, a nadto chroni ich dane osobowe.</w:t>
      </w:r>
    </w:p>
    <w:p w14:paraId="74C4A2F4" w14:textId="3594FCA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wytycznymi przewidzianymi w art. 23 ust. 2 </w:t>
      </w:r>
      <w:r w:rsidR="00460565" w:rsidRPr="00375799">
        <w:rPr>
          <w:rFonts w:cstheme="minorHAnsi"/>
          <w:color w:val="000000" w:themeColor="text1"/>
          <w:sz w:val="24"/>
          <w:szCs w:val="24"/>
        </w:rPr>
        <w:t>RODO</w:t>
      </w:r>
      <w:r w:rsidRPr="00375799">
        <w:rPr>
          <w:rFonts w:cstheme="minorHAnsi"/>
          <w:color w:val="000000" w:themeColor="text1"/>
          <w:sz w:val="24"/>
          <w:szCs w:val="24"/>
        </w:rPr>
        <w:t xml:space="preserve">, projektowane przepisy przewidują także okresy przechowywania danych osobowych, w zakresie, w jakim nie były one dotychczas uregulowane. Dotyczy to okresu przechowywania danych osobowych gromadzonych przez tłumacza przysięgłego w związku z tłumaczeniem. Okres ten został określony na 4 lata od zakończenia roku kalendarzowego, w którym dane osobowe zostały zgromadzone. Zauważyć należy, że zgodnie z art. 20 ust. 3 ustawy o zawodzie tłumacza przysięgłego, wojewoda w przypadku stwierdzenia niewykonywania czynności tłumacza przysięgłego przez okres dłuższy niż trzy lata, informuje o tym Ministra Sprawiedliwości. Wskazany okres przechowywania danych osobowych jest więc niezbędny dla wykazania, w razie kontroli wojewody, wykonywania czynności przez tłumacza przysięgłego. Po upływie tego okresu, dane osobowe zgromadzone przez tłumacza przysięgłego, podlegać będą, co do </w:t>
      </w:r>
      <w:r w:rsidRPr="00375799">
        <w:rPr>
          <w:rFonts w:cstheme="minorHAnsi"/>
          <w:color w:val="000000" w:themeColor="text1"/>
          <w:sz w:val="24"/>
          <w:szCs w:val="24"/>
        </w:rPr>
        <w:lastRenderedPageBreak/>
        <w:t>zasady</w:t>
      </w:r>
      <w:r w:rsidR="00CD6102">
        <w:rPr>
          <w:rFonts w:cstheme="minorHAnsi"/>
          <w:color w:val="000000" w:themeColor="text1"/>
          <w:sz w:val="24"/>
          <w:szCs w:val="24"/>
        </w:rPr>
        <w:t>,</w:t>
      </w:r>
      <w:r w:rsidRPr="00375799">
        <w:rPr>
          <w:rFonts w:cstheme="minorHAnsi"/>
          <w:color w:val="000000" w:themeColor="text1"/>
          <w:sz w:val="24"/>
          <w:szCs w:val="24"/>
        </w:rPr>
        <w:t xml:space="preserve"> zniszczeniu, chyba że dalsze ich przechowywanie jest niezbędne dla ochrony praw lub dochodzenia roszczeń. Projektowany przepis uwzględnia fakt, że terminy przedawnienia dochodzenia roszczeń są dłuższe niż przewidziany termin przechowywania danych osobowych, a ich usunięcie przez tłumacza po upływie 4 lat może utrudniać lub uniemożliwiać ochronę praw lub dochodzenie roszczeń z tytułu dokonanego tłumaczenia. </w:t>
      </w:r>
    </w:p>
    <w:p w14:paraId="36AC6FA4"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043A9F1" w14:textId="2A0C025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87" w:name="_Toc530565059"/>
      <w:r w:rsidRPr="00375799">
        <w:rPr>
          <w:rFonts w:asciiTheme="minorHAnsi" w:hAnsiTheme="minorHAnsi" w:cstheme="minorHAnsi"/>
          <w:color w:val="000000" w:themeColor="text1"/>
          <w:sz w:val="24"/>
          <w:szCs w:val="24"/>
        </w:rPr>
        <w:t>Ustawa z dnia 17 grudnia 2004 r. o odpowiedzialności za naruszenie dyscypliny finansów publicznych</w:t>
      </w:r>
      <w:r w:rsidR="005129A9" w:rsidRPr="00375799">
        <w:rPr>
          <w:rFonts w:asciiTheme="minorHAnsi" w:hAnsiTheme="minorHAnsi" w:cstheme="minorHAnsi"/>
          <w:color w:val="000000" w:themeColor="text1"/>
          <w:sz w:val="24"/>
          <w:szCs w:val="24"/>
        </w:rPr>
        <w:t xml:space="preserve"> (</w:t>
      </w:r>
      <w:r w:rsidR="00183BC3" w:rsidRPr="00183BC3">
        <w:rPr>
          <w:rFonts w:asciiTheme="minorHAnsi" w:hAnsiTheme="minorHAnsi" w:cstheme="minorHAnsi"/>
          <w:color w:val="000000" w:themeColor="text1"/>
          <w:sz w:val="24"/>
          <w:szCs w:val="24"/>
        </w:rPr>
        <w:t>Dz. U. z 2018 r. poz. 1458,</w:t>
      </w:r>
      <w:r w:rsidR="00FB09B3">
        <w:rPr>
          <w:rFonts w:asciiTheme="minorHAnsi" w:hAnsiTheme="minorHAnsi" w:cstheme="minorHAnsi"/>
          <w:color w:val="000000" w:themeColor="text1"/>
          <w:sz w:val="24"/>
          <w:szCs w:val="24"/>
        </w:rPr>
        <w:t xml:space="preserve"> 1669 i 1693</w:t>
      </w:r>
      <w:r w:rsidR="005129A9" w:rsidRPr="00375799">
        <w:rPr>
          <w:rFonts w:asciiTheme="minorHAnsi" w:hAnsiTheme="minorHAnsi" w:cstheme="minorHAnsi"/>
          <w:color w:val="000000" w:themeColor="text1"/>
          <w:sz w:val="24"/>
          <w:szCs w:val="24"/>
        </w:rPr>
        <w:t>)</w:t>
      </w:r>
      <w:bookmarkEnd w:id="87"/>
    </w:p>
    <w:p w14:paraId="0EDB4158"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738976EF" w14:textId="386FEB32"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Ustawa z dnia 17 grudnia 2004 r. o odpowiedzialności za naruszenie dyscypliny finansów publicznych (ustawa o odpowiedzialności), stanowi całościowe uregulowanie problematyki odpowiedzialności za naruszenie dyscypliny finansów publicznych. Zawiera ona przepisy o charakterze represyjnym. Osoba odpowiedzialna za naruszenie dyscypliny finansów publicznych podlega sankcji (ustawa zawiera m.in. katalog kar – od kary upomnienia, nagany, kary pieniężnej po zakaz pełnienia funkcji związanych z dysponowaniem środkami publicznymi) za działanie, które jest szkodliwe z punktu widzenia interesu finansów publicznych. W aktach sprawy mogą znaleźć się także dane osobowe dotyczące innych osób, np. takich, które zostały lub mogłyby zostać wezwane do złożenia zeznań w charakterze świadka, czy też takich, które zostały wymienione z imienia i nazwiska np.: w protokole pokontrolnym, w umowie, w określonym zestawieniu itd. Osoby wezwane w charakterze świadka będą oczywiście wiedziały o tym fakcie oraz o tym, jaki organ je wezwał. Natomiast osoby wymienione w dokumentacji postępowania, których to postępowanie nie będzie dotyczyło</w:t>
      </w:r>
      <w:r w:rsidR="00CD6102">
        <w:rPr>
          <w:rFonts w:cstheme="minorHAnsi"/>
          <w:color w:val="000000" w:themeColor="text1"/>
          <w:sz w:val="24"/>
          <w:szCs w:val="24"/>
        </w:rPr>
        <w:t>,</w:t>
      </w:r>
      <w:r w:rsidRPr="00163FAB">
        <w:rPr>
          <w:rFonts w:cstheme="minorHAnsi"/>
          <w:color w:val="000000" w:themeColor="text1"/>
          <w:sz w:val="24"/>
          <w:szCs w:val="24"/>
        </w:rPr>
        <w:t xml:space="preserve"> mogą o tym nie wiedzieć, ale identyfikowanie tych osób, a następnie informowanie ich, że zostały wymienione w dokumentacji (często bardzo obszernej) nie byłoby uzasadnione. Zwłaszcza, że akta sprawy mogą nie zawierać danych pozwalających na przekazanie informacji (adresu, nr telefonu itd.). Nie ma jednak potrzeby określania w ustawie o odpowiedzialności wszystkich odstępstw od stosowania obowiązków informacyjnych, ponieważ ogólne odstępstwa zostały określone w RODO i procedowanej wcześniej ustawie o ochronie danych osobowych. Na podstawie tych przepisów (tj. RODO i ustawy o ochronie danych osobowych) organ nie będzie obowiązany w szczególności do informowania konkretnych osób (niebędących stronami postępowania), że ich dane osobowe znalazły się w dokumentach zgromadzonych w sprawie o naruszenie dyscypliny finansów publicznych. Nie będzie to naruszało zasady proporcjonalności. Na te osoby nie są nakładane ciężary lub ograniczenia, a właściwi administratorzy danych będą mieli przesłanki do uznania, że zrealizowanie obowiązków informacyjnych wiązałoby się z wykonaniem zbyt pracochłonnych i czasochłonnych czynności, które wymagałyby niewspółmiernie dużego wysiłku. Dodatkowo, dostęp do akt sprawy jest znacząco ograniczony (art. 173 ustawy o odpowiedzialności).</w:t>
      </w:r>
    </w:p>
    <w:p w14:paraId="7BA4A702" w14:textId="3C04D15B"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 xml:space="preserve">Ponadto należy pamiętać, że pewne dane nie mogą być udostępniane. Dla przykładu nie mogą być udostępniane informacje o źródle danych, jeżeli to ujawnienie źródła naruszałoby inne normy. Byłoby to bowiem niezgodne z art. 5 ustawy z dnia 10 maja 2018 r. o </w:t>
      </w:r>
      <w:r w:rsidRPr="00163FAB">
        <w:rPr>
          <w:rFonts w:cstheme="minorHAnsi"/>
          <w:color w:val="000000" w:themeColor="text1"/>
          <w:sz w:val="24"/>
          <w:szCs w:val="24"/>
        </w:rPr>
        <w:lastRenderedPageBreak/>
        <w:t>ochronie danych osobowych. Przepis ten stanowi, że nie należy przekazywać informacji, o których mowa w art. 15 ust. 1</w:t>
      </w:r>
      <w:r w:rsidR="00CD6102">
        <w:rPr>
          <w:rFonts w:cstheme="minorHAnsi"/>
          <w:color w:val="000000" w:themeColor="text1"/>
          <w:sz w:val="24"/>
          <w:szCs w:val="24"/>
        </w:rPr>
        <w:t>–</w:t>
      </w:r>
      <w:r w:rsidRPr="00163FAB">
        <w:rPr>
          <w:rFonts w:cstheme="minorHAnsi"/>
          <w:color w:val="000000" w:themeColor="text1"/>
          <w:sz w:val="24"/>
          <w:szCs w:val="24"/>
        </w:rPr>
        <w:t>3 RODO, jeżeli służy to realizacji zadania publicznego i niewykonanie obowiązków, o których mowa w art. 15 ust. 1</w:t>
      </w:r>
      <w:r w:rsidR="00CD6102">
        <w:rPr>
          <w:rFonts w:cstheme="minorHAnsi"/>
          <w:color w:val="000000" w:themeColor="text1"/>
          <w:sz w:val="24"/>
          <w:szCs w:val="24"/>
        </w:rPr>
        <w:t>–</w:t>
      </w:r>
      <w:r w:rsidRPr="00163FAB">
        <w:rPr>
          <w:rFonts w:cstheme="minorHAnsi"/>
          <w:color w:val="000000" w:themeColor="text1"/>
          <w:sz w:val="24"/>
          <w:szCs w:val="24"/>
        </w:rPr>
        <w:t>3 RODO, jest niezbędne dla realizacji celów, o których mowa w art. 23 ust. 1 tego rozporządzenia, oraz wykonanie tych obowiązków uniemożliwi lub znacząco utrudni prawidłowe wykonanie zadania publicznego, a interes lub podstawowe prawa lub wolności osoby, której dane dotyczą, nie są nadrzędne w stosunku do interesu wynikającego z realizacji tego zadania publicznego.</w:t>
      </w:r>
    </w:p>
    <w:p w14:paraId="76A7DF0D" w14:textId="451D24B1"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Ustawa o odpowiedzialności zawiera szereg przepisów w zakresie praw osób, których dotyczy postępowanie o naruszenie dyscypliny finansów publ</w:t>
      </w:r>
      <w:r w:rsidR="00527206">
        <w:rPr>
          <w:rFonts w:cstheme="minorHAnsi"/>
          <w:color w:val="000000" w:themeColor="text1"/>
          <w:sz w:val="24"/>
          <w:szCs w:val="24"/>
        </w:rPr>
        <w:t>icznych –</w:t>
      </w:r>
      <w:r w:rsidRPr="00163FAB">
        <w:rPr>
          <w:rFonts w:cstheme="minorHAnsi"/>
          <w:color w:val="000000" w:themeColor="text1"/>
          <w:sz w:val="24"/>
          <w:szCs w:val="24"/>
        </w:rPr>
        <w:t xml:space="preserve"> normując m.in. kwestie związane z prawem dostępu do akt sprawy (art. 173 ustawy o odpowiedzialności), wskazując katalog podmiotów (w tym osób, których dane dotyczą), którym przysługuje prawo pozyskania informacji zawartych w rejestrze, w którym znajdują się dane o osobach, którym przypisano odpowiedzialność za naruszenie dyscypliny finansów publicznych (art. 191 ustawy o odpowiedzialności), czy określając podmioty właściwe do przetwarzania danych w postępowaniu w sprawach o naruszenie dyscypliny finansów publicznych. Zatem ograniczenia w stosowaniu obowiązków informacyjnych, wynikających z ogólnego rozporządzenia o ochronie danych osobowych i ustawy o ochronie danych osobowych, w kontekście uregulowań ustawy o odpowiedzialności, nie będą naruszały istoty podstawowych praw i wolności, a zatem są zgodne z art. 51 Konstytucji Rzeczypospolitej Polskiej oraz art. 23 ust. 1 omawianego rozporządzenia. Odpowiadają także warunkom wskazanym w art. 23</w:t>
      </w:r>
      <w:r w:rsidR="000E11EC">
        <w:rPr>
          <w:rFonts w:cstheme="minorHAnsi"/>
          <w:color w:val="000000" w:themeColor="text1"/>
          <w:sz w:val="24"/>
          <w:szCs w:val="24"/>
        </w:rPr>
        <w:t xml:space="preserve"> ust. 2 tego rozporządzenia, m.</w:t>
      </w:r>
      <w:r w:rsidRPr="00163FAB">
        <w:rPr>
          <w:rFonts w:cstheme="minorHAnsi"/>
          <w:color w:val="000000" w:themeColor="text1"/>
          <w:sz w:val="24"/>
          <w:szCs w:val="24"/>
        </w:rPr>
        <w:t>in. zawierają przepisy szczególne, w zakresie celów, kategorii oraz ograniczeń dotyczących pozyskiwania danych osobowych, wskazują także na administratorów danych osobowych w przedmiotowych sprawach.</w:t>
      </w:r>
    </w:p>
    <w:p w14:paraId="2124E225" w14:textId="4037FBF6"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W celu uniknięcia rozbieżności interpretacyjnych w przedmiocie kategorii administratorów danych proponuje się dodanie art. 3a ust. 1 w ustawie o odpowiedzialności, wskazującego, że podmioty zapewniające organom właściwym w sprawach o naruszenie dyscypliny finansów publicznych siedzibę, obsługę prawną i administracyjno-techniczną są administratorami danych przetwarzanych przez te organy, w celu umożliwienia realizacji zadań lub obowiązków tych organów. Takie rozwiązanie umożliwia podmiotom zapewniający</w:t>
      </w:r>
      <w:r w:rsidR="00154791">
        <w:rPr>
          <w:rFonts w:cstheme="minorHAnsi"/>
          <w:color w:val="000000" w:themeColor="text1"/>
          <w:sz w:val="24"/>
          <w:szCs w:val="24"/>
        </w:rPr>
        <w:t>m</w:t>
      </w:r>
      <w:r w:rsidRPr="00163FAB">
        <w:rPr>
          <w:rFonts w:cstheme="minorHAnsi"/>
          <w:color w:val="000000" w:themeColor="text1"/>
          <w:sz w:val="24"/>
          <w:szCs w:val="24"/>
        </w:rPr>
        <w:t xml:space="preserve"> organom właściwym w sprawach o naruszenie dyscypliny finansów publicznych siedzibę, obsługę prawną i administracyjno-techniczną, wprowadzenie spójnych zasad przetwarzania danych obowiązujących w odniesieniu do wszystkich danych przetwarzanych w ramach określonej organizacji (Kancelarii Prezydenta, Kancelarii Prezesa Rady Ministrów, ministerstwa czy regionalnej izby obrachunkowej). Podstawą do takiego określenia administratorów danych, w zakresie spraw prowadzonych przez komisje orzekające i rzeczników dyscypliny, jest art. 4 pkt 7 </w:t>
      </w:r>
      <w:r w:rsidRPr="000E11EC">
        <w:rPr>
          <w:rFonts w:cstheme="minorHAnsi"/>
          <w:i/>
          <w:color w:val="000000" w:themeColor="text1"/>
          <w:sz w:val="24"/>
          <w:szCs w:val="24"/>
        </w:rPr>
        <w:t>in fine</w:t>
      </w:r>
      <w:r w:rsidRPr="00163FAB">
        <w:rPr>
          <w:rFonts w:cstheme="minorHAnsi"/>
          <w:color w:val="000000" w:themeColor="text1"/>
          <w:sz w:val="24"/>
          <w:szCs w:val="24"/>
        </w:rPr>
        <w:t>.</w:t>
      </w:r>
    </w:p>
    <w:p w14:paraId="1F0478FD" w14:textId="278F82B7"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 xml:space="preserve">Nie zdecydowano się na dookreślanie kwestii związanych z przechowywaniem dokumentów i ich archiwizacją, ponieważ określają je odrębne przepisy - paragrafy 40–44 rozporządzenia Rady Ministrów z dnia 5 lipca 2005 r. w sprawie działania organów </w:t>
      </w:r>
      <w:r w:rsidRPr="00163FAB">
        <w:rPr>
          <w:rFonts w:cstheme="minorHAnsi"/>
          <w:color w:val="000000" w:themeColor="text1"/>
          <w:sz w:val="24"/>
          <w:szCs w:val="24"/>
        </w:rPr>
        <w:lastRenderedPageBreak/>
        <w:t>orzekających w sprawach o naruszenie dyscypliny finansów publicznych oraz organów właściwych do wypełniania funkcji oskarżyciela (Dz. U. z 2013 r. poz. 930, z późn. zm.).</w:t>
      </w:r>
    </w:p>
    <w:p w14:paraId="09A249B2" w14:textId="4796795A"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Nie ulega wątpliwości, że przetwarzanie danych jest niezbędne do zrealizowania uprawnień i obowiązków wynikających z szeregu przepisów ustawy o odpowiedzialności oraz innych przepisów (np. na podstawie Kodeksu postępowania karnego, organy mają obowiązek złożyć zawiadomienie o przestępstwie) i wynika to z obowiązujących uregulowań. Kategorie danych osobowych, które są przetwarzane przez organy właściwe w sprawach o naruszenie dyscypliny finansów publicznych</w:t>
      </w:r>
      <w:r w:rsidR="00154791">
        <w:rPr>
          <w:rFonts w:cstheme="minorHAnsi"/>
          <w:color w:val="000000" w:themeColor="text1"/>
          <w:sz w:val="24"/>
          <w:szCs w:val="24"/>
        </w:rPr>
        <w:t>,</w:t>
      </w:r>
      <w:r w:rsidRPr="00163FAB">
        <w:rPr>
          <w:rFonts w:cstheme="minorHAnsi"/>
          <w:color w:val="000000" w:themeColor="text1"/>
          <w:sz w:val="24"/>
          <w:szCs w:val="24"/>
        </w:rPr>
        <w:t xml:space="preserve"> dotyczą - co do zasady – osób, w stosunku do których jest prowadzone postępowanie o naruszenie dyscypliny finansów publicznych oraz innych uczestników postępowania np. świadków, a także osób pełniących funkcję w organach właściwych w sprawach o naruszenie dyscypliny finansów publicznych oraz kandydatów do pełnienia tych funkcji. Zakres przetwarzanych danych o osobach wynikający z przepisów ustawy obejmuje imiona i nazwiska, imiona rodziców, datę i miejsce urodzenia, adres zamieszkania lub pobytu, numer ewidencyjny PESEL, miejsce pracy, zawód, wykształcenie, serię i numer dowodu osobistego. Ponadto organy właściwe w sprawach o naruszenie dyscypliny finansów publicznych mogą przetwarzać takie dane jak: nazwa i adres aktualnego pracodawcy oraz stanowisko zajmowane przez osobę podejrzaną o naruszenie dyscypliny finansów publicznych. Organy mogą też przetwarzać dane dotyczące stanu zdrowia osób, w stosunku do których prowadzone jest postępowanie o naruszenie dyscypliny finansów publicznych (lub innych osób, np. świadków) w sytuacji powoływania się przez strony lub innych uczestników postępowania, na występowanie przesłanki uniemożliwiającej lub utrudniającej prowadzenie postępowania lub konkretnych czynności w postępowaniu. Przetwarzane są też dane dotyczące skazań, orzeczeń o ukaraniu w sprawach o naruszenie dyscypliny finansów publicznych i orzeczeń wydawanych w postępowaniu sądowym i administracyjnym. Zatem są określone w prawie kategorie danych w postępowaniach, jakie są, czy też ewentualnie mogą być przetwarzane przez organy właściwe w sprawach o naruszenie dyscypliny finansów publicznych, organy nadzoru nad organami właściwymi w sprawach o naruszenie dyscypliny finansów publicznych oraz zawiadamiających, o których mowa w art. 93 ustawy o odpowiedzialności. Dlatego podmioty te</w:t>
      </w:r>
      <w:r w:rsidR="00154791">
        <w:rPr>
          <w:rFonts w:cstheme="minorHAnsi"/>
          <w:color w:val="000000" w:themeColor="text1"/>
          <w:sz w:val="24"/>
          <w:szCs w:val="24"/>
        </w:rPr>
        <w:t>,</w:t>
      </w:r>
      <w:r w:rsidRPr="00163FAB">
        <w:rPr>
          <w:rFonts w:cstheme="minorHAnsi"/>
          <w:color w:val="000000" w:themeColor="text1"/>
          <w:sz w:val="24"/>
          <w:szCs w:val="24"/>
        </w:rPr>
        <w:t xml:space="preserve"> ograniczając wykonywanie obowiązków informacyjnych</w:t>
      </w:r>
      <w:r w:rsidR="00154791">
        <w:rPr>
          <w:rFonts w:cstheme="minorHAnsi"/>
          <w:color w:val="000000" w:themeColor="text1"/>
          <w:sz w:val="24"/>
          <w:szCs w:val="24"/>
        </w:rPr>
        <w:t>,</w:t>
      </w:r>
      <w:r w:rsidRPr="00163FAB">
        <w:rPr>
          <w:rFonts w:cstheme="minorHAnsi"/>
          <w:color w:val="000000" w:themeColor="text1"/>
          <w:sz w:val="24"/>
          <w:szCs w:val="24"/>
        </w:rPr>
        <w:t xml:space="preserve"> nie naruszą art. 23 ust. 2 lit. b RODO.</w:t>
      </w:r>
    </w:p>
    <w:p w14:paraId="31F1E597" w14:textId="77777777"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Projektowany art. 3a ust. 2 ustawy o odpowiedzialności ma na celu wskazanie, że administrator danych upoważni do przetwarzania danych osobowych osoby zapewniające obsługę prawną i administracyjno-techniczną właściwym organom w sprawach o naruszenie dyscypliny finansów publicznych, w zakresie niezbędnym do realizacji powierzonych im zadań. W obowiązującej poprzednio ustawie z dnia 29 sierpnia 1997 r. o ochronie danych osobowych takie wskazanie zawierał art. 37. Zgodnie z tym przepisem „Do przetwarzania danych mogą być dopuszczone wyłącznie osoby posiadające upoważnienie nadane przez administratora danych”. Ogólne rozporządzenie o ochronie danych nie przewiduje wprost takiej normy.</w:t>
      </w:r>
    </w:p>
    <w:p w14:paraId="2801A6FA" w14:textId="77777777"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 xml:space="preserve">W proponowanym art. 3a ust. 3 ustawy o odpowiedzialności nałożono na administratorów danych obowiązek prowadzenia rejestru osób uprawnionych do </w:t>
      </w:r>
      <w:r w:rsidRPr="00163FAB">
        <w:rPr>
          <w:rFonts w:cstheme="minorHAnsi"/>
          <w:color w:val="000000" w:themeColor="text1"/>
          <w:sz w:val="24"/>
          <w:szCs w:val="24"/>
        </w:rPr>
        <w:lastRenderedPageBreak/>
        <w:t xml:space="preserve">przetwarzania danych na podstawie upoważnień lub w związku z pełnieniem funkcji w organach właściwych w sprawach o naruszenie dyscypliny finansów publicznych. Przy czym przepis ten jednoznacznie potwierdza, że prawo do przetwarzania danych przez osoby powołane do organów właściwych w sprawach o naruszenie dyscypliny finansów wynika wprost z przepisów prawa. </w:t>
      </w:r>
    </w:p>
    <w:p w14:paraId="626F857B" w14:textId="72BA477C"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W projektowanym art. 3a ust. 4 ustawy o odpowiedzialności zobowiązano osoby przetwarzające dane do zachowania w poufności danych osobowych oraz sposobów ich zabezpieczenia. Jednak w szeregu przypadków dane osobowe lub sposoby ich zabezpieczeń, zgodnie z obowiązującym prawem powinny być udostępniane, dlatego też obowiązek</w:t>
      </w:r>
      <w:r w:rsidRPr="00163FAB">
        <w:rPr>
          <w:rFonts w:cstheme="minorHAnsi"/>
          <w:b/>
          <w:color w:val="000000" w:themeColor="text1"/>
          <w:sz w:val="24"/>
          <w:szCs w:val="24"/>
        </w:rPr>
        <w:t xml:space="preserve"> </w:t>
      </w:r>
      <w:r w:rsidRPr="00163FAB">
        <w:rPr>
          <w:rFonts w:cstheme="minorHAnsi"/>
          <w:color w:val="000000" w:themeColor="text1"/>
          <w:sz w:val="24"/>
          <w:szCs w:val="24"/>
        </w:rPr>
        <w:t>zachowania w poufności takich informacji nie będzie dotyczył sytuacji, w których przepisy szczególne stanowią inaczej.</w:t>
      </w:r>
    </w:p>
    <w:p w14:paraId="6B60B684" w14:textId="6F555F6C"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 xml:space="preserve">Zaproponowany art. 3a ust. 5 ustawy o odpowiedzialności ma na celu uniknięcie rozbieżności interpretacyjnych i wykluczenie sytuacji, w których - z powołaniem się na niedopełnienie obowiązków informacyjnych, o których mowa </w:t>
      </w:r>
      <w:r w:rsidR="00154791">
        <w:rPr>
          <w:rFonts w:cstheme="minorHAnsi"/>
          <w:color w:val="000000" w:themeColor="text1"/>
          <w:sz w:val="24"/>
          <w:szCs w:val="24"/>
        </w:rPr>
        <w:t xml:space="preserve">w art. </w:t>
      </w:r>
      <w:r w:rsidRPr="00163FAB">
        <w:rPr>
          <w:rFonts w:cstheme="minorHAnsi"/>
          <w:color w:val="000000" w:themeColor="text1"/>
          <w:sz w:val="24"/>
          <w:szCs w:val="24"/>
        </w:rPr>
        <w:t xml:space="preserve">13 ust. 1 i 2 RODO – ktoś próbowałby podważać przebieg i wynik postępowania. </w:t>
      </w:r>
    </w:p>
    <w:p w14:paraId="7846E94D" w14:textId="1AA5D267"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W projektowanym art. 3a ust. 6 ustawy o odpowiedzialności wskazano</w:t>
      </w:r>
      <w:r w:rsidR="00154791">
        <w:rPr>
          <w:rFonts w:cstheme="minorHAnsi"/>
          <w:color w:val="000000" w:themeColor="text1"/>
          <w:sz w:val="24"/>
          <w:szCs w:val="24"/>
        </w:rPr>
        <w:t>,</w:t>
      </w:r>
      <w:r w:rsidRPr="00163FAB">
        <w:rPr>
          <w:rFonts w:cstheme="minorHAnsi"/>
          <w:color w:val="000000" w:themeColor="text1"/>
          <w:sz w:val="24"/>
          <w:szCs w:val="24"/>
        </w:rPr>
        <w:t xml:space="preserve"> że obowiązki informacyjne są realizowane przy okazji pierwszej czynności skierowanej do osoby, której dane są przetwarzane (np. strony postępowania, albo świadka). Chodzi o wykluczenie takiej interpretacji przepisów, w myśl której obowiązki informacyjne miałyby być realizowane poprzez kierowanie specjalnych, odrębnych pism do tych osób. Art. 13 ust. 1 i 2 </w:t>
      </w:r>
      <w:r w:rsidR="00EA6726">
        <w:rPr>
          <w:rFonts w:cstheme="minorHAnsi"/>
          <w:color w:val="000000" w:themeColor="text1"/>
          <w:sz w:val="24"/>
          <w:szCs w:val="24"/>
        </w:rPr>
        <w:t>RODO</w:t>
      </w:r>
      <w:r w:rsidRPr="00163FAB">
        <w:rPr>
          <w:rFonts w:cstheme="minorHAnsi"/>
          <w:color w:val="000000" w:themeColor="text1"/>
          <w:sz w:val="24"/>
          <w:szCs w:val="24"/>
        </w:rPr>
        <w:t xml:space="preserve"> stanowi, że obowiązki w tym zakresie realizuje administrator. Dlatego w projektowanym ustępie 6 wskazano na obowiązki administratora, ale należy założyć, iż w praktyce ten obowiązek administrator będzie zazwyczaj realizował za pośrednictwem organu.</w:t>
      </w:r>
    </w:p>
    <w:p w14:paraId="537118D8" w14:textId="2C1ECBC8" w:rsidR="00A823CE" w:rsidRPr="00163FAB" w:rsidRDefault="00A823CE" w:rsidP="00A823CE">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Wprowadzenie art. 3a ust. 7 ustawy o odpowiedzialności wynika z potrzeby zapobieżenia ewentualnym skutkom prób utrudniania (paraliżowania) przebiegu postępowania poprzez składanie żądań ograniczenia przetwarzania danych osobowych. Generalnie w postępowaniu w sprawach o naruszenie dyscypliny finansów publicznych dane są przetwarzane na podstawie obowiązującego prawa i żądanie zaprzestania przetwarzania danych nie powinno być skuteczne. Jednak, w celu uniknięcia ewentualnych wątpliwości</w:t>
      </w:r>
      <w:r w:rsidR="00154791">
        <w:rPr>
          <w:rFonts w:cstheme="minorHAnsi"/>
          <w:color w:val="000000" w:themeColor="text1"/>
          <w:sz w:val="24"/>
          <w:szCs w:val="24"/>
        </w:rPr>
        <w:t>,</w:t>
      </w:r>
      <w:r w:rsidRPr="00163FAB">
        <w:rPr>
          <w:rFonts w:cstheme="minorHAnsi"/>
          <w:color w:val="000000" w:themeColor="text1"/>
          <w:sz w:val="24"/>
          <w:szCs w:val="24"/>
        </w:rPr>
        <w:t xml:space="preserve"> zdecydowano o wprowadzeniu tego przepisu.</w:t>
      </w:r>
    </w:p>
    <w:p w14:paraId="6267E565" w14:textId="2DA65C69" w:rsidR="008706DD" w:rsidRPr="00375799" w:rsidRDefault="00A823CE" w:rsidP="0002234B">
      <w:pPr>
        <w:spacing w:after="0" w:line="276" w:lineRule="auto"/>
        <w:ind w:left="57" w:right="57"/>
        <w:contextualSpacing/>
        <w:jc w:val="both"/>
        <w:rPr>
          <w:rFonts w:cstheme="minorHAnsi"/>
          <w:color w:val="000000" w:themeColor="text1"/>
          <w:sz w:val="24"/>
          <w:szCs w:val="24"/>
        </w:rPr>
      </w:pPr>
      <w:r w:rsidRPr="00163FAB">
        <w:rPr>
          <w:rFonts w:cstheme="minorHAnsi"/>
          <w:color w:val="000000" w:themeColor="text1"/>
          <w:sz w:val="24"/>
          <w:szCs w:val="24"/>
        </w:rPr>
        <w:t>Zaproponowany art. 173a ustawy o odpowiedzialności ma na celu jednoznaczne określenie, że także strona postępowania (czy inna uprawniona osoba), która może skorzystać z prawa dostępu do akt sprawy, ma prawo do skorzystania z uprawnień wynikających z art. 15 RODO</w:t>
      </w:r>
      <w:r>
        <w:rPr>
          <w:rFonts w:cstheme="minorHAnsi"/>
          <w:color w:val="000000" w:themeColor="text1"/>
          <w:sz w:val="24"/>
          <w:szCs w:val="24"/>
        </w:rPr>
        <w:t>.</w:t>
      </w:r>
    </w:p>
    <w:p w14:paraId="6FDE7A7D" w14:textId="37029ACC" w:rsidR="00684B25" w:rsidRPr="00375799" w:rsidRDefault="00A82D75" w:rsidP="00C15B44">
      <w:pPr>
        <w:pStyle w:val="Nagwek2"/>
        <w:spacing w:before="0" w:line="276" w:lineRule="auto"/>
        <w:ind w:left="57" w:right="57"/>
        <w:contextualSpacing/>
        <w:rPr>
          <w:rFonts w:cstheme="minorHAnsi"/>
          <w:color w:val="000000" w:themeColor="text1"/>
          <w:sz w:val="24"/>
          <w:szCs w:val="24"/>
        </w:rPr>
      </w:pPr>
      <w:bookmarkStart w:id="88" w:name="_Toc530565060"/>
      <w:r w:rsidRPr="00375799">
        <w:rPr>
          <w:rFonts w:asciiTheme="minorHAnsi" w:hAnsiTheme="minorHAnsi" w:cstheme="minorHAnsi"/>
          <w:color w:val="000000" w:themeColor="text1"/>
          <w:sz w:val="24"/>
          <w:szCs w:val="24"/>
        </w:rPr>
        <w:t>Ustawa z dnia 17 lutego 2005 r. o informatyzacji działalności podmiotów realizujących zadania publiczne (Dz.</w:t>
      </w:r>
      <w:r w:rsidR="00125DC3">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U. z 2017 r. poz. 570</w:t>
      </w:r>
      <w:r w:rsidR="00125DC3">
        <w:rPr>
          <w:rFonts w:asciiTheme="minorHAnsi" w:hAnsiTheme="minorHAnsi" w:cstheme="minorHAnsi"/>
          <w:color w:val="000000" w:themeColor="text1"/>
          <w:sz w:val="24"/>
          <w:szCs w:val="24"/>
        </w:rPr>
        <w:t xml:space="preserve"> oraz z 2018 r. poz. 1000, 1544 i 1669</w:t>
      </w:r>
      <w:r w:rsidRPr="00375799">
        <w:rPr>
          <w:rFonts w:asciiTheme="minorHAnsi" w:hAnsiTheme="minorHAnsi" w:cstheme="minorHAnsi"/>
          <w:color w:val="000000" w:themeColor="text1"/>
          <w:sz w:val="24"/>
          <w:szCs w:val="24"/>
        </w:rPr>
        <w:t>)</w:t>
      </w:r>
      <w:bookmarkEnd w:id="88"/>
    </w:p>
    <w:p w14:paraId="2C4A0C3A" w14:textId="77777777" w:rsidR="0002234B" w:rsidRPr="00375799" w:rsidRDefault="0002234B" w:rsidP="0055107B">
      <w:pPr>
        <w:pStyle w:val="Nagwek2"/>
        <w:spacing w:before="0" w:line="276" w:lineRule="auto"/>
        <w:ind w:left="57" w:right="57"/>
        <w:contextualSpacing/>
        <w:rPr>
          <w:rFonts w:asciiTheme="minorHAnsi" w:eastAsiaTheme="minorHAnsi" w:hAnsiTheme="minorHAnsi" w:cstheme="minorHAnsi"/>
          <w:color w:val="000000" w:themeColor="text1"/>
          <w:sz w:val="24"/>
          <w:szCs w:val="24"/>
        </w:rPr>
      </w:pPr>
    </w:p>
    <w:p w14:paraId="2A996C2C" w14:textId="5A94C8EE" w:rsidR="0002234B" w:rsidRPr="00375799" w:rsidRDefault="00124040" w:rsidP="00C15B44">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Celem projektowanej w art. 15b regulacji jest umożliwienie wykorzystania przez podmiot publiczny posiadanych w rejestrach i systemach teleinformatycznych danych kontaktowych osoby fizycznej w celu powiadomienia jej o ważnych okolicznościach </w:t>
      </w:r>
      <w:r w:rsidRPr="00375799">
        <w:rPr>
          <w:rFonts w:cstheme="minorHAnsi"/>
          <w:color w:val="000000" w:themeColor="text1"/>
          <w:sz w:val="24"/>
          <w:szCs w:val="24"/>
        </w:rPr>
        <w:lastRenderedPageBreak/>
        <w:t>związanych z jej prawami i obowiązkami, które wymagają podjęcia przez nią działania w celu ochrony jej inte</w:t>
      </w:r>
      <w:r w:rsidR="007737D7">
        <w:rPr>
          <w:rFonts w:cstheme="minorHAnsi"/>
          <w:color w:val="000000" w:themeColor="text1"/>
          <w:sz w:val="24"/>
          <w:szCs w:val="24"/>
        </w:rPr>
        <w:t xml:space="preserve">resu prawnego lub faktycznego. </w:t>
      </w:r>
      <w:r w:rsidRPr="00375799">
        <w:rPr>
          <w:rFonts w:cstheme="minorHAnsi"/>
          <w:color w:val="000000" w:themeColor="text1"/>
          <w:sz w:val="24"/>
          <w:szCs w:val="24"/>
        </w:rPr>
        <w:t>Zgodnie z art. 6 ust. 4 RODO możliwe jest określenie zmiany pierwotnego celu pobierania danych w przepisach prawa powszechnie obowiązującego. Jednakże przepis ten powinien spełniać cel nadrzędny określony w art. 23 ust. 1 RODO, który wskazuje na ograniczenia w stosowaniu RODO, które można wprowadzić w pr</w:t>
      </w:r>
      <w:r w:rsidR="00073081">
        <w:rPr>
          <w:rFonts w:cstheme="minorHAnsi"/>
          <w:color w:val="000000" w:themeColor="text1"/>
          <w:sz w:val="24"/>
          <w:szCs w:val="24"/>
        </w:rPr>
        <w:t xml:space="preserve">awie krajowym w przypadku, gdy </w:t>
      </w:r>
      <w:r w:rsidRPr="00375799">
        <w:rPr>
          <w:rFonts w:cstheme="minorHAnsi"/>
          <w:color w:val="000000" w:themeColor="text1"/>
          <w:sz w:val="24"/>
          <w:szCs w:val="24"/>
        </w:rPr>
        <w:t>ograniczenie takie nie narusza istoty podstawowych praw i wolności oraz jest w demokratycznym społeczeństwie środkiem niezbędnym i proporcjonalnym, służącym m.in. ochronie osoby, której dane dotyczą, lub praw i wolności innych osób. Projektowany art. 15b ustawy o informatyzacji (…) spełnia przesłankę celu</w:t>
      </w:r>
      <w:r w:rsidR="00002B23">
        <w:rPr>
          <w:rFonts w:cstheme="minorHAnsi"/>
          <w:color w:val="000000" w:themeColor="text1"/>
          <w:sz w:val="24"/>
          <w:szCs w:val="24"/>
        </w:rPr>
        <w:t>,</w:t>
      </w:r>
      <w:r w:rsidRPr="00375799">
        <w:rPr>
          <w:rFonts w:cstheme="minorHAnsi"/>
          <w:color w:val="000000" w:themeColor="text1"/>
          <w:sz w:val="24"/>
          <w:szCs w:val="24"/>
        </w:rPr>
        <w:t xml:space="preserve"> jakim jest ochrona osoby, której dane dotyczą przed np. przed negatywnymi konsekwencjami braku działania z jej strony. Jednocześnie chodzi tu o działania związane z realizacją usług, które administracja świadczy na jej rzecz np. poinformowanie o zbliżającym się terminie wygaśnięcia jakiegoś świadczenia okresowego i konieczności złożenia ponownego wniosku. Tworzenie usług online nowej generacji (tzw. dojrzałych usług online)  w oparciu o dane będące w posiadaniu administracji pozwalają na responsywne podejście administracji do jej klientów i pomoc w załatwianiu spraw publicznych. Wskazany przepis spełnia też „w stosownym przypadku” warunki określone w art. 23 ust. 2 stawiane przepisom ograniczającym stosowanie RODO. </w:t>
      </w:r>
    </w:p>
    <w:p w14:paraId="1BBEF129" w14:textId="77777777" w:rsidR="0002234B" w:rsidRPr="00375799" w:rsidRDefault="0002234B"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439AFAE8" w14:textId="275A042B" w:rsidR="000D58D8" w:rsidRPr="00375799" w:rsidRDefault="000D58D8"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89" w:name="_Toc530565061"/>
      <w:r w:rsidRPr="00375799">
        <w:rPr>
          <w:rFonts w:asciiTheme="minorHAnsi" w:hAnsiTheme="minorHAnsi" w:cstheme="minorHAnsi"/>
          <w:color w:val="000000" w:themeColor="text1"/>
          <w:sz w:val="24"/>
          <w:szCs w:val="24"/>
        </w:rPr>
        <w:t>Ustawa z dnia 21 kwietnia 2005 r. o opłatach abonamentowych (Dz. U. z 2014 r. poz. 1204</w:t>
      </w:r>
      <w:r w:rsidR="00FB09B3">
        <w:rPr>
          <w:rFonts w:asciiTheme="minorHAnsi" w:hAnsiTheme="minorHAnsi" w:cstheme="minorHAnsi"/>
          <w:color w:val="000000" w:themeColor="text1"/>
          <w:sz w:val="24"/>
          <w:szCs w:val="24"/>
        </w:rPr>
        <w:t>,</w:t>
      </w:r>
      <w:r w:rsidR="00002B23">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z 2015 r. poz. 1324</w:t>
      </w:r>
      <w:r w:rsidR="00FB09B3">
        <w:rPr>
          <w:rFonts w:asciiTheme="minorHAnsi" w:hAnsiTheme="minorHAnsi" w:cstheme="minorHAnsi"/>
          <w:color w:val="000000" w:themeColor="text1"/>
          <w:sz w:val="24"/>
          <w:szCs w:val="24"/>
        </w:rPr>
        <w:t xml:space="preserve"> oraz z 2018 r. poz. 1717</w:t>
      </w:r>
      <w:r w:rsidRPr="00375799">
        <w:rPr>
          <w:rFonts w:asciiTheme="minorHAnsi" w:hAnsiTheme="minorHAnsi" w:cstheme="minorHAnsi"/>
          <w:color w:val="000000" w:themeColor="text1"/>
          <w:sz w:val="24"/>
          <w:szCs w:val="24"/>
        </w:rPr>
        <w:t>)</w:t>
      </w:r>
      <w:bookmarkEnd w:id="89"/>
    </w:p>
    <w:p w14:paraId="2B987CC9" w14:textId="77777777" w:rsidR="000D58D8" w:rsidRPr="00375799" w:rsidRDefault="000D58D8" w:rsidP="0055107B">
      <w:pPr>
        <w:pStyle w:val="Akapitzlist"/>
        <w:rPr>
          <w:rFonts w:asciiTheme="minorHAnsi" w:hAnsiTheme="minorHAnsi" w:cstheme="minorHAnsi"/>
          <w:color w:val="000000" w:themeColor="text1"/>
          <w:sz w:val="24"/>
          <w:szCs w:val="24"/>
          <w:u w:val="single"/>
        </w:rPr>
      </w:pPr>
    </w:p>
    <w:p w14:paraId="0B66B0E5" w14:textId="317BC2B6" w:rsidR="000D58D8" w:rsidRPr="00375799" w:rsidRDefault="00DF5A13" w:rsidP="00073081">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t>W</w:t>
      </w:r>
      <w:r w:rsidR="000D58D8" w:rsidRPr="00375799">
        <w:rPr>
          <w:rFonts w:cstheme="minorHAnsi"/>
          <w:color w:val="000000" w:themeColor="text1"/>
          <w:sz w:val="24"/>
          <w:szCs w:val="24"/>
        </w:rPr>
        <w:t xml:space="preserve"> art. 5 ustawy </w:t>
      </w:r>
      <w:r w:rsidR="00EA6726">
        <w:rPr>
          <w:rFonts w:cstheme="minorHAnsi"/>
          <w:color w:val="000000" w:themeColor="text1"/>
          <w:sz w:val="24"/>
          <w:szCs w:val="24"/>
        </w:rPr>
        <w:t xml:space="preserve">z dnia 21 kwietnia 2005 r. o opłatach abonamentowych </w:t>
      </w:r>
      <w:r w:rsidR="000D58D8" w:rsidRPr="00375799">
        <w:rPr>
          <w:rFonts w:cstheme="minorHAnsi"/>
          <w:color w:val="000000" w:themeColor="text1"/>
          <w:sz w:val="24"/>
          <w:szCs w:val="24"/>
        </w:rPr>
        <w:t xml:space="preserve">dodaje się ust. 5, który reguluje kwestię wyrejestrowania odbiorników radiofonicznych i telewizyjnych w przypadku zaprzestania ich używania. Wprowadzenie ust. 6, który wskazuje </w:t>
      </w:r>
      <w:r w:rsidR="00A40F4F">
        <w:rPr>
          <w:rFonts w:cstheme="minorHAnsi"/>
          <w:color w:val="000000" w:themeColor="text1"/>
          <w:sz w:val="24"/>
          <w:szCs w:val="24"/>
        </w:rPr>
        <w:t xml:space="preserve">okres, po upływie którego </w:t>
      </w:r>
      <w:r w:rsidR="00073081">
        <w:rPr>
          <w:rFonts w:cstheme="minorHAnsi"/>
          <w:color w:val="000000" w:themeColor="text1"/>
          <w:sz w:val="24"/>
          <w:szCs w:val="24"/>
        </w:rPr>
        <w:t>usuwa się</w:t>
      </w:r>
      <w:r w:rsidR="000D58D8" w:rsidRPr="00375799">
        <w:rPr>
          <w:rFonts w:cstheme="minorHAnsi"/>
          <w:color w:val="000000" w:themeColor="text1"/>
          <w:sz w:val="24"/>
          <w:szCs w:val="24"/>
        </w:rPr>
        <w:t xml:space="preserve"> dan</w:t>
      </w:r>
      <w:r w:rsidR="00A40F4F">
        <w:rPr>
          <w:rFonts w:cstheme="minorHAnsi"/>
          <w:color w:val="000000" w:themeColor="text1"/>
          <w:sz w:val="24"/>
          <w:szCs w:val="24"/>
        </w:rPr>
        <w:t>e</w:t>
      </w:r>
      <w:r w:rsidR="000D58D8" w:rsidRPr="00375799">
        <w:rPr>
          <w:rFonts w:cstheme="minorHAnsi"/>
          <w:color w:val="000000" w:themeColor="text1"/>
          <w:sz w:val="24"/>
          <w:szCs w:val="24"/>
        </w:rPr>
        <w:t xml:space="preserve"> osobow</w:t>
      </w:r>
      <w:r w:rsidR="00A40F4F">
        <w:rPr>
          <w:rFonts w:cstheme="minorHAnsi"/>
          <w:color w:val="000000" w:themeColor="text1"/>
          <w:sz w:val="24"/>
          <w:szCs w:val="24"/>
        </w:rPr>
        <w:t>e</w:t>
      </w:r>
      <w:r w:rsidR="000D58D8" w:rsidRPr="00375799">
        <w:rPr>
          <w:rFonts w:cstheme="minorHAnsi"/>
          <w:color w:val="000000" w:themeColor="text1"/>
          <w:sz w:val="24"/>
          <w:szCs w:val="24"/>
        </w:rPr>
        <w:t xml:space="preserve"> po wyrejestrowaniu odbiornika, jest niezbędne dla wskazania momentu zaprzestania przetwarzania (usunięcia) danych osobowych użytkowników, którzy zaprzestali używania odbiorników i którzy nie posiadają zadłużenia z tytułu wnoszenia opłaty abonamentowej, a ponadto nie są prowadzone wobec nich żadne postępowania w sprawie zaległości w uiszczaniu opłat ani postępowania egzekucyjne.</w:t>
      </w:r>
    </w:p>
    <w:p w14:paraId="7D9D055F" w14:textId="202377C6" w:rsidR="00684B25" w:rsidRPr="00375799" w:rsidRDefault="000D58D8" w:rsidP="0055107B">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t>Zaproponowane uzupełnienie w ust. 7 odnośnie</w:t>
      </w:r>
      <w:r w:rsidR="00A40F4F">
        <w:rPr>
          <w:rFonts w:cstheme="minorHAnsi"/>
          <w:color w:val="000000" w:themeColor="text1"/>
          <w:sz w:val="24"/>
          <w:szCs w:val="24"/>
        </w:rPr>
        <w:t xml:space="preserve"> do</w:t>
      </w:r>
      <w:r w:rsidRPr="00375799">
        <w:rPr>
          <w:rFonts w:cstheme="minorHAnsi"/>
          <w:color w:val="000000" w:themeColor="text1"/>
          <w:sz w:val="24"/>
          <w:szCs w:val="24"/>
        </w:rPr>
        <w:t xml:space="preserve"> spłaty zadłużenia w uiszczaniu opłat </w:t>
      </w:r>
      <w:proofErr w:type="spellStart"/>
      <w:r w:rsidRPr="00375799">
        <w:rPr>
          <w:rFonts w:cstheme="minorHAnsi"/>
          <w:color w:val="000000" w:themeColor="text1"/>
          <w:sz w:val="24"/>
          <w:szCs w:val="24"/>
        </w:rPr>
        <w:t>rtv</w:t>
      </w:r>
      <w:proofErr w:type="spellEnd"/>
      <w:r w:rsidRPr="00375799">
        <w:rPr>
          <w:rFonts w:cstheme="minorHAnsi"/>
          <w:color w:val="000000" w:themeColor="text1"/>
          <w:sz w:val="24"/>
          <w:szCs w:val="24"/>
        </w:rPr>
        <w:t xml:space="preserve"> dookreśla moment usunięcia danych osobowych w przypadku, </w:t>
      </w:r>
      <w:r w:rsidR="00A40F4F">
        <w:rPr>
          <w:rFonts w:cstheme="minorHAnsi"/>
          <w:color w:val="000000" w:themeColor="text1"/>
          <w:sz w:val="24"/>
          <w:szCs w:val="24"/>
        </w:rPr>
        <w:t>gdy</w:t>
      </w:r>
      <w:r w:rsidR="00A40F4F" w:rsidRPr="00375799">
        <w:rPr>
          <w:rFonts w:cstheme="minorHAnsi"/>
          <w:color w:val="000000" w:themeColor="text1"/>
          <w:sz w:val="24"/>
          <w:szCs w:val="24"/>
        </w:rPr>
        <w:t xml:space="preserve"> </w:t>
      </w:r>
      <w:r w:rsidRPr="00375799">
        <w:rPr>
          <w:rFonts w:cstheme="minorHAnsi"/>
          <w:color w:val="000000" w:themeColor="text1"/>
          <w:sz w:val="24"/>
          <w:szCs w:val="24"/>
        </w:rPr>
        <w:t xml:space="preserve">po wyrejestrowaniu odbiornika </w:t>
      </w:r>
      <w:proofErr w:type="spellStart"/>
      <w:r w:rsidRPr="00375799">
        <w:rPr>
          <w:rFonts w:cstheme="minorHAnsi"/>
          <w:color w:val="000000" w:themeColor="text1"/>
          <w:sz w:val="24"/>
          <w:szCs w:val="24"/>
        </w:rPr>
        <w:t>rtv</w:t>
      </w:r>
      <w:proofErr w:type="spellEnd"/>
      <w:r w:rsidRPr="00375799">
        <w:rPr>
          <w:rFonts w:cstheme="minorHAnsi"/>
          <w:color w:val="000000" w:themeColor="text1"/>
          <w:sz w:val="24"/>
          <w:szCs w:val="24"/>
        </w:rPr>
        <w:t xml:space="preserve"> występuje zadłużenie w opłatach abonamentowych lub gdy toczą się postępowania w sprawie zaległości w uiszczaniu opłat abonamentowych albo postępowanie egzekucyjne. Ustalono </w:t>
      </w:r>
      <w:r w:rsidR="00002B23">
        <w:rPr>
          <w:rFonts w:cstheme="minorHAnsi"/>
          <w:color w:val="000000" w:themeColor="text1"/>
          <w:sz w:val="24"/>
          <w:szCs w:val="24"/>
        </w:rPr>
        <w:t>o</w:t>
      </w:r>
      <w:r w:rsidRPr="00375799">
        <w:rPr>
          <w:rFonts w:cstheme="minorHAnsi"/>
          <w:color w:val="000000" w:themeColor="text1"/>
          <w:sz w:val="24"/>
          <w:szCs w:val="24"/>
        </w:rPr>
        <w:t xml:space="preserve">kres 5 lat </w:t>
      </w:r>
      <w:r w:rsidR="00A40F4F">
        <w:rPr>
          <w:rFonts w:cstheme="minorHAnsi"/>
          <w:color w:val="000000" w:themeColor="text1"/>
          <w:sz w:val="24"/>
          <w:szCs w:val="24"/>
        </w:rPr>
        <w:t xml:space="preserve">po upływie których usuwa się </w:t>
      </w:r>
      <w:r w:rsidRPr="00375799">
        <w:rPr>
          <w:rFonts w:cstheme="minorHAnsi"/>
          <w:color w:val="000000" w:themeColor="text1"/>
          <w:sz w:val="24"/>
          <w:szCs w:val="24"/>
        </w:rPr>
        <w:t>dan</w:t>
      </w:r>
      <w:r w:rsidR="00A40F4F">
        <w:rPr>
          <w:rFonts w:cstheme="minorHAnsi"/>
          <w:color w:val="000000" w:themeColor="text1"/>
          <w:sz w:val="24"/>
          <w:szCs w:val="24"/>
        </w:rPr>
        <w:t>e</w:t>
      </w:r>
      <w:r w:rsidRPr="00375799">
        <w:rPr>
          <w:rFonts w:cstheme="minorHAnsi"/>
          <w:color w:val="000000" w:themeColor="text1"/>
          <w:sz w:val="24"/>
          <w:szCs w:val="24"/>
        </w:rPr>
        <w:t xml:space="preserve"> osobow</w:t>
      </w:r>
      <w:r w:rsidR="00A40F4F">
        <w:rPr>
          <w:rFonts w:cstheme="minorHAnsi"/>
          <w:color w:val="000000" w:themeColor="text1"/>
          <w:sz w:val="24"/>
          <w:szCs w:val="24"/>
        </w:rPr>
        <w:t>e</w:t>
      </w:r>
      <w:r w:rsidRPr="00375799">
        <w:rPr>
          <w:rFonts w:cstheme="minorHAnsi"/>
          <w:color w:val="000000" w:themeColor="text1"/>
          <w:sz w:val="24"/>
          <w:szCs w:val="24"/>
        </w:rPr>
        <w:t>, liczony od końca roku kalendarzowego</w:t>
      </w:r>
      <w:r w:rsidR="00002B23">
        <w:rPr>
          <w:rFonts w:cstheme="minorHAnsi"/>
          <w:color w:val="000000" w:themeColor="text1"/>
          <w:sz w:val="24"/>
          <w:szCs w:val="24"/>
        </w:rPr>
        <w:t>,</w:t>
      </w:r>
      <w:r w:rsidRPr="00375799">
        <w:rPr>
          <w:rFonts w:cstheme="minorHAnsi"/>
          <w:color w:val="000000" w:themeColor="text1"/>
          <w:sz w:val="24"/>
          <w:szCs w:val="24"/>
        </w:rPr>
        <w:t xml:space="preserve"> w którym nastąpiło wygaśnięcie zobowiązania w tych dwóch szczególnych sytuacjach.</w:t>
      </w:r>
    </w:p>
    <w:p w14:paraId="0BE418F5" w14:textId="77777777" w:rsidR="00684B25" w:rsidRPr="00375799" w:rsidRDefault="00684B25" w:rsidP="0055107B">
      <w:pPr>
        <w:spacing w:after="0" w:line="276" w:lineRule="auto"/>
        <w:ind w:left="57" w:right="57"/>
        <w:contextualSpacing/>
        <w:jc w:val="both"/>
        <w:rPr>
          <w:rFonts w:cstheme="minorHAnsi"/>
          <w:color w:val="000000" w:themeColor="text1"/>
          <w:sz w:val="24"/>
          <w:szCs w:val="24"/>
        </w:rPr>
      </w:pPr>
    </w:p>
    <w:p w14:paraId="692832F3" w14:textId="6785858F"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90" w:name="_Toc530565062"/>
      <w:r w:rsidRPr="00375799">
        <w:rPr>
          <w:rFonts w:asciiTheme="minorHAnsi" w:hAnsiTheme="minorHAnsi" w:cstheme="minorHAnsi"/>
          <w:color w:val="000000" w:themeColor="text1"/>
          <w:sz w:val="24"/>
          <w:szCs w:val="24"/>
        </w:rPr>
        <w:lastRenderedPageBreak/>
        <w:t xml:space="preserve">Ustawa z dnia 29 lipca 2005 r. o przeciwdziałaniu przemocy w rodzinie </w:t>
      </w:r>
      <w:r w:rsidR="005129A9" w:rsidRPr="00375799">
        <w:rPr>
          <w:rFonts w:asciiTheme="minorHAnsi" w:hAnsiTheme="minorHAnsi" w:cstheme="minorHAnsi"/>
          <w:color w:val="000000" w:themeColor="text1"/>
          <w:sz w:val="24"/>
          <w:szCs w:val="24"/>
        </w:rPr>
        <w:t>(Dz. U. z 2015 r. poz. 1390)</w:t>
      </w:r>
      <w:bookmarkEnd w:id="90"/>
    </w:p>
    <w:p w14:paraId="46379322" w14:textId="77777777" w:rsidR="00A00BBE" w:rsidRPr="00375799" w:rsidRDefault="00A00BBE" w:rsidP="0055107B">
      <w:pPr>
        <w:spacing w:after="0" w:line="276" w:lineRule="auto"/>
        <w:ind w:left="57" w:right="57"/>
        <w:contextualSpacing/>
        <w:jc w:val="both"/>
        <w:rPr>
          <w:rFonts w:cstheme="minorHAnsi"/>
          <w:color w:val="000000" w:themeColor="text1"/>
          <w:sz w:val="24"/>
          <w:szCs w:val="24"/>
        </w:rPr>
      </w:pPr>
    </w:p>
    <w:p w14:paraId="5D1446AF" w14:textId="5A0A72B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Zmiany w ustawie z dnia 29 lipca 2005 r. o przeciwdziałaniu przemocy w rodzinie porządkują i rozbudowują dotychczasowe przepisy ww. ustawy w zakresie przetwarzania danych osobowych w związku z wejściem w życie </w:t>
      </w:r>
      <w:r w:rsidR="00E2533C" w:rsidRPr="00375799">
        <w:rPr>
          <w:rFonts w:cstheme="minorHAnsi"/>
          <w:color w:val="000000" w:themeColor="text1"/>
          <w:sz w:val="24"/>
          <w:szCs w:val="24"/>
        </w:rPr>
        <w:t>RODO</w:t>
      </w:r>
      <w:r w:rsidRPr="00375799">
        <w:rPr>
          <w:rFonts w:cstheme="minorHAnsi"/>
          <w:color w:val="000000" w:themeColor="text1"/>
          <w:sz w:val="24"/>
          <w:szCs w:val="24"/>
        </w:rPr>
        <w:t>.</w:t>
      </w:r>
    </w:p>
    <w:p w14:paraId="6DE87E6A" w14:textId="08293C8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uwagi na to, iż obecne regulacje nie określają zakresu przetwarzanych danych osobowych oraz nie uwzględniają wszystkich kategorii osób, których dane podlegają przetwarzaniu</w:t>
      </w:r>
      <w:r w:rsidR="00002B23">
        <w:rPr>
          <w:rFonts w:cstheme="minorHAnsi"/>
          <w:color w:val="000000" w:themeColor="text1"/>
          <w:sz w:val="24"/>
          <w:szCs w:val="24"/>
        </w:rPr>
        <w:t>,</w:t>
      </w:r>
      <w:r w:rsidRPr="00375799">
        <w:rPr>
          <w:rFonts w:cstheme="minorHAnsi"/>
          <w:color w:val="000000" w:themeColor="text1"/>
          <w:sz w:val="24"/>
          <w:szCs w:val="24"/>
        </w:rPr>
        <w:t xml:space="preserve"> koniecznym jest dokonanie stosownych zmian. </w:t>
      </w:r>
    </w:p>
    <w:p w14:paraId="0B46965B" w14:textId="1CECF47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zmienianych przepisach wskazano, iż oprócz przetwarzania danych osobowych osób, co do których istnieje podejrzenie, że są dotknięte przemocą w rodzinie</w:t>
      </w:r>
      <w:r w:rsidR="00A40F4F">
        <w:rPr>
          <w:rFonts w:cstheme="minorHAnsi"/>
          <w:color w:val="000000" w:themeColor="text1"/>
          <w:sz w:val="24"/>
          <w:szCs w:val="24"/>
        </w:rPr>
        <w:t>,</w:t>
      </w:r>
      <w:r w:rsidRPr="00375799">
        <w:rPr>
          <w:rFonts w:cstheme="minorHAnsi"/>
          <w:color w:val="000000" w:themeColor="text1"/>
          <w:sz w:val="24"/>
          <w:szCs w:val="24"/>
        </w:rPr>
        <w:t xml:space="preserve"> oraz osób dotkniętych przemocą w rodzinie, danych osób, co do których istnieje podejrzenie, że stosują przemoc w rodzinie</w:t>
      </w:r>
      <w:r w:rsidR="00A40F4F">
        <w:rPr>
          <w:rFonts w:cstheme="minorHAnsi"/>
          <w:color w:val="000000" w:themeColor="text1"/>
          <w:sz w:val="24"/>
          <w:szCs w:val="24"/>
        </w:rPr>
        <w:t>,</w:t>
      </w:r>
      <w:r w:rsidRPr="00375799">
        <w:rPr>
          <w:rFonts w:cstheme="minorHAnsi"/>
          <w:color w:val="000000" w:themeColor="text1"/>
          <w:sz w:val="24"/>
          <w:szCs w:val="24"/>
        </w:rPr>
        <w:t xml:space="preserve"> oraz osób stosujących przemoc w rodzinie, przetwarzaniu</w:t>
      </w:r>
      <w:r w:rsidR="00A40F4F">
        <w:rPr>
          <w:rFonts w:cstheme="minorHAnsi"/>
          <w:color w:val="000000" w:themeColor="text1"/>
          <w:sz w:val="24"/>
          <w:szCs w:val="24"/>
        </w:rPr>
        <w:t>,</w:t>
      </w:r>
      <w:r w:rsidRPr="00375799">
        <w:rPr>
          <w:rFonts w:cstheme="minorHAnsi"/>
          <w:color w:val="000000" w:themeColor="text1"/>
          <w:sz w:val="24"/>
          <w:szCs w:val="24"/>
        </w:rPr>
        <w:t xml:space="preserve"> podlegają również dane innych osób pozostających we wspólnym gospodarstwie z osobą, wobec której istnieje podejrzenie, że stosuje przemoc w rodzinie</w:t>
      </w:r>
      <w:r w:rsidR="00A40F4F">
        <w:rPr>
          <w:rFonts w:cstheme="minorHAnsi"/>
          <w:color w:val="000000" w:themeColor="text1"/>
          <w:sz w:val="24"/>
          <w:szCs w:val="24"/>
        </w:rPr>
        <w:t>,</w:t>
      </w:r>
      <w:r w:rsidRPr="00375799">
        <w:rPr>
          <w:rFonts w:cstheme="minorHAnsi"/>
          <w:color w:val="000000" w:themeColor="text1"/>
          <w:sz w:val="24"/>
          <w:szCs w:val="24"/>
        </w:rPr>
        <w:t xml:space="preserve"> lub z osobą stosującą przemoc w rodzinie oraz dane osób zgłaszających podejrzenie stosowania przemocy w rodzinie oraz świadków przemocy w rodzinie.</w:t>
      </w:r>
    </w:p>
    <w:p w14:paraId="2E02DFA0" w14:textId="31046F8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Mając na względzie potrzebę ochrony osób, co do których istnieje podejrzenie, że są dotknięte przemocą w rodzinie oraz osób dotkniętych przemocą w rodzinie</w:t>
      </w:r>
      <w:r w:rsidR="00002B23">
        <w:rPr>
          <w:rFonts w:cstheme="minorHAnsi"/>
          <w:color w:val="000000" w:themeColor="text1"/>
          <w:sz w:val="24"/>
          <w:szCs w:val="24"/>
        </w:rPr>
        <w:t>,</w:t>
      </w:r>
      <w:r w:rsidRPr="00375799">
        <w:rPr>
          <w:rFonts w:cstheme="minorHAnsi"/>
          <w:color w:val="000000" w:themeColor="text1"/>
          <w:sz w:val="24"/>
          <w:szCs w:val="24"/>
        </w:rPr>
        <w:t xml:space="preserve"> uznano za zasadne ograniczenie katalogu podmiotów upoważnionych do przetwarzania danych.</w:t>
      </w:r>
    </w:p>
    <w:p w14:paraId="3F49CA4D" w14:textId="11E243A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uwagi na konieczność ochrony praw osób </w:t>
      </w:r>
      <w:r w:rsidR="00A40F4F">
        <w:rPr>
          <w:rFonts w:cstheme="minorHAnsi"/>
          <w:color w:val="000000" w:themeColor="text1"/>
          <w:sz w:val="24"/>
          <w:szCs w:val="24"/>
        </w:rPr>
        <w:t>dotkniętych</w:t>
      </w:r>
      <w:r w:rsidR="00A40F4F" w:rsidRPr="00375799">
        <w:rPr>
          <w:rFonts w:cstheme="minorHAnsi"/>
          <w:color w:val="000000" w:themeColor="text1"/>
          <w:sz w:val="24"/>
          <w:szCs w:val="24"/>
        </w:rPr>
        <w:t xml:space="preserve"> </w:t>
      </w:r>
      <w:r w:rsidR="004D433B">
        <w:rPr>
          <w:rFonts w:cstheme="minorHAnsi"/>
          <w:color w:val="000000" w:themeColor="text1"/>
          <w:sz w:val="24"/>
          <w:szCs w:val="24"/>
        </w:rPr>
        <w:t>przemocą</w:t>
      </w:r>
      <w:r w:rsidRPr="00375799">
        <w:rPr>
          <w:rFonts w:cstheme="minorHAnsi"/>
          <w:color w:val="000000" w:themeColor="text1"/>
          <w:sz w:val="24"/>
          <w:szCs w:val="24"/>
        </w:rPr>
        <w:t xml:space="preserve"> w rodzinie, zaproponowano w art. 9c ust. 4 ograniczenie dostępu do dokumentacji wytworzonej przy realizacji zadań zespołu interdyscyplinarnego jedynie do przypadków wskazanych w przepisach rangi ustawy. </w:t>
      </w:r>
    </w:p>
    <w:p w14:paraId="0CE2C943" w14:textId="77067CA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Dokonano uregulowania, iż administratorem danych przetwarzanych na podstawie ustawy jest ośrodek pomocy społecznej, który zgodnie z obowiązującym stanem prawnym jest jednostką samorządu terytorialnego zobligowaną do prowadzenia obsługi organizacyjno-technicznej zespołów interdyscyplinarnych.</w:t>
      </w:r>
    </w:p>
    <w:p w14:paraId="734FC84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 nakłada obowiązek zabezpieczenia danych osobowych co najmniej poprzez wymóg dopuszczenia do przetwarzania danych osobowych wyłącznie osób posiadających pisemne upoważnienie nadane przez administratora danych oraz zobowiązania ich do zachowania danych osobowych w tajemnicy.</w:t>
      </w:r>
    </w:p>
    <w:p w14:paraId="56C3742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Jednocześnie w dotychczasowym brzmieniu pozostawia się przepis art. 9c ust. 2 określający obowiązek zachowania poufności wszelkich informacji i danych, które członkowie zespołów interdyscyplinarnych oraz grup roboczych uzyskali przy realizacji zadań.</w:t>
      </w:r>
    </w:p>
    <w:p w14:paraId="234C0211" w14:textId="7777777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35F8105B" w14:textId="0DEA82FE"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91" w:name="_Toc530565063"/>
      <w:r w:rsidRPr="00375799">
        <w:rPr>
          <w:rFonts w:asciiTheme="minorHAnsi" w:hAnsiTheme="minorHAnsi" w:cstheme="minorHAnsi"/>
          <w:color w:val="000000" w:themeColor="text1"/>
          <w:sz w:val="24"/>
          <w:szCs w:val="24"/>
        </w:rPr>
        <w:t>Ustawa z dnia 29 lipca 2005 r. o obrocie instrumentami finansowymi</w:t>
      </w:r>
      <w:r w:rsidR="005129A9" w:rsidRPr="00375799">
        <w:rPr>
          <w:rFonts w:asciiTheme="minorHAnsi" w:hAnsiTheme="minorHAnsi" w:cstheme="minorHAnsi"/>
          <w:color w:val="000000" w:themeColor="text1"/>
          <w:sz w:val="24"/>
          <w:szCs w:val="24"/>
        </w:rPr>
        <w:t xml:space="preserve"> (Dz. U. z 2017 r. poz. 1768, z późn. zm.)</w:t>
      </w:r>
      <w:bookmarkEnd w:id="91"/>
    </w:p>
    <w:p w14:paraId="08984628" w14:textId="77777777" w:rsidR="00684B25" w:rsidRPr="00375799" w:rsidRDefault="00684B25" w:rsidP="0055107B">
      <w:pPr>
        <w:spacing w:line="276" w:lineRule="auto"/>
        <w:contextualSpacing/>
        <w:rPr>
          <w:rFonts w:cstheme="minorHAnsi"/>
          <w:color w:val="000000" w:themeColor="text1"/>
          <w:sz w:val="24"/>
          <w:szCs w:val="24"/>
        </w:rPr>
      </w:pPr>
    </w:p>
    <w:p w14:paraId="54C830DD" w14:textId="1A37743F" w:rsidR="0082120B" w:rsidRPr="00375799" w:rsidRDefault="00A40F4F"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1. </w:t>
      </w:r>
      <w:r w:rsidR="0082120B" w:rsidRPr="00375799">
        <w:rPr>
          <w:rFonts w:cstheme="minorHAnsi"/>
          <w:color w:val="000000" w:themeColor="text1"/>
          <w:sz w:val="24"/>
          <w:szCs w:val="24"/>
        </w:rPr>
        <w:t xml:space="preserve">Zmiana art. 3 – dodanie pkt </w:t>
      </w:r>
      <w:r w:rsidR="006E53FE" w:rsidRPr="00375799">
        <w:rPr>
          <w:rFonts w:cstheme="minorHAnsi"/>
          <w:color w:val="000000" w:themeColor="text1"/>
          <w:sz w:val="24"/>
          <w:szCs w:val="24"/>
        </w:rPr>
        <w:t>4x</w:t>
      </w:r>
      <w:r>
        <w:rPr>
          <w:rFonts w:cstheme="minorHAnsi"/>
          <w:color w:val="000000" w:themeColor="text1"/>
          <w:sz w:val="24"/>
          <w:szCs w:val="24"/>
        </w:rPr>
        <w:t>.</w:t>
      </w:r>
    </w:p>
    <w:p w14:paraId="1F07814D" w14:textId="158B8FF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Propozycja ma na celu uzupełnienie słowniczka o definicję </w:t>
      </w:r>
      <w:r w:rsidR="006E53FE" w:rsidRPr="00375799">
        <w:rPr>
          <w:rFonts w:cstheme="minorHAnsi"/>
          <w:color w:val="000000" w:themeColor="text1"/>
          <w:sz w:val="24"/>
          <w:szCs w:val="24"/>
        </w:rPr>
        <w:t>RODO</w:t>
      </w:r>
      <w:r w:rsidRPr="00375799">
        <w:rPr>
          <w:rFonts w:cstheme="minorHAnsi"/>
          <w:color w:val="000000" w:themeColor="text1"/>
          <w:sz w:val="24"/>
          <w:szCs w:val="24"/>
        </w:rPr>
        <w:t>.</w:t>
      </w:r>
    </w:p>
    <w:p w14:paraId="7DF839D7" w14:textId="5C73643C" w:rsidR="008706DD" w:rsidRPr="00375799" w:rsidRDefault="00A40F4F"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2. </w:t>
      </w:r>
      <w:r w:rsidR="008706DD" w:rsidRPr="00375799">
        <w:rPr>
          <w:rFonts w:cstheme="minorHAnsi"/>
          <w:color w:val="000000" w:themeColor="text1"/>
          <w:sz w:val="24"/>
          <w:szCs w:val="24"/>
        </w:rPr>
        <w:t>Dodanie art. 83</w:t>
      </w:r>
      <w:r w:rsidR="006E53FE" w:rsidRPr="00375799">
        <w:rPr>
          <w:rFonts w:cstheme="minorHAnsi"/>
          <w:color w:val="000000" w:themeColor="text1"/>
          <w:sz w:val="24"/>
          <w:szCs w:val="24"/>
        </w:rPr>
        <w:t>k</w:t>
      </w:r>
    </w:p>
    <w:p w14:paraId="36CFE943" w14:textId="0AA3AA9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Projektowany art. </w:t>
      </w:r>
      <w:r w:rsidR="006E53FE" w:rsidRPr="00375799">
        <w:rPr>
          <w:rFonts w:cstheme="minorHAnsi"/>
          <w:color w:val="000000" w:themeColor="text1"/>
          <w:sz w:val="24"/>
          <w:szCs w:val="24"/>
        </w:rPr>
        <w:t xml:space="preserve">83k </w:t>
      </w:r>
      <w:r w:rsidR="00A40F4F">
        <w:rPr>
          <w:rFonts w:cstheme="minorHAnsi"/>
          <w:color w:val="000000" w:themeColor="text1"/>
          <w:sz w:val="24"/>
          <w:szCs w:val="24"/>
        </w:rPr>
        <w:t xml:space="preserve">ustawy z dnia 29 lipca 2005 r. o obrocie instrumentami finansowymi, zwanej dalej „ustawą o obrocie instrumentów finansowych” </w:t>
      </w:r>
      <w:r w:rsidRPr="00375799">
        <w:rPr>
          <w:rFonts w:cstheme="minorHAnsi"/>
          <w:color w:val="000000" w:themeColor="text1"/>
          <w:sz w:val="24"/>
          <w:szCs w:val="24"/>
        </w:rPr>
        <w:t xml:space="preserve">przewiduje wyłączenie obowiązków przewidzianych w art. 15 </w:t>
      </w:r>
      <w:r w:rsidR="006E53FE" w:rsidRPr="00375799">
        <w:rPr>
          <w:rFonts w:cstheme="minorHAnsi"/>
          <w:color w:val="000000" w:themeColor="text1"/>
          <w:sz w:val="24"/>
          <w:szCs w:val="24"/>
        </w:rPr>
        <w:t>RODO</w:t>
      </w:r>
      <w:r w:rsidRPr="00375799">
        <w:rPr>
          <w:rFonts w:cstheme="minorHAnsi"/>
          <w:color w:val="000000" w:themeColor="text1"/>
          <w:sz w:val="24"/>
          <w:szCs w:val="24"/>
        </w:rPr>
        <w:t xml:space="preserve"> względem firm inwestycyjnych, w przypadku pełnienia przez nie roli administratora. Wyłączenie to dotyczy prawa dostępu przysługującego osobie, której dane dotyczą, i będzie możliwe przy przetwarzaniu danych osobowych w rozumieniu art. 4 pkt 1 </w:t>
      </w:r>
      <w:r w:rsidR="006E53FE" w:rsidRPr="00375799">
        <w:rPr>
          <w:rFonts w:cstheme="minorHAnsi"/>
          <w:color w:val="000000" w:themeColor="text1"/>
          <w:sz w:val="24"/>
          <w:szCs w:val="24"/>
        </w:rPr>
        <w:t>RODO</w:t>
      </w:r>
      <w:r w:rsidRPr="00375799">
        <w:rPr>
          <w:rFonts w:cstheme="minorHAnsi"/>
          <w:color w:val="000000" w:themeColor="text1"/>
          <w:sz w:val="24"/>
          <w:szCs w:val="24"/>
        </w:rPr>
        <w:t xml:space="preserve"> w zakresie</w:t>
      </w:r>
      <w:r w:rsidR="00002B23">
        <w:rPr>
          <w:rFonts w:cstheme="minorHAnsi"/>
          <w:color w:val="000000" w:themeColor="text1"/>
          <w:sz w:val="24"/>
          <w:szCs w:val="24"/>
        </w:rPr>
        <w:t>,</w:t>
      </w:r>
      <w:r w:rsidRPr="00375799">
        <w:rPr>
          <w:rFonts w:cstheme="minorHAnsi"/>
          <w:color w:val="000000" w:themeColor="text1"/>
          <w:sz w:val="24"/>
          <w:szCs w:val="24"/>
        </w:rPr>
        <w:t xml:space="preserve"> w jakim będzie to niezbędne dla prawidłowej realizacji zadań dotyczących przeciwdziałania praniu pieniędzy i finansowaniu terroryzmu oraz zapobiegania przestępstwom. Należy podkreślić, że możliwość wskazanego wyłączenia jest uprawniona w świetle art. 23 ust. 1 lit. d i e </w:t>
      </w:r>
      <w:r w:rsidR="00A86238" w:rsidRPr="00375799">
        <w:rPr>
          <w:rFonts w:cstheme="minorHAnsi"/>
          <w:color w:val="000000" w:themeColor="text1"/>
          <w:sz w:val="24"/>
          <w:szCs w:val="24"/>
        </w:rPr>
        <w:t>RODO</w:t>
      </w:r>
      <w:r w:rsidRPr="00375799">
        <w:rPr>
          <w:rFonts w:cstheme="minorHAnsi"/>
          <w:color w:val="000000" w:themeColor="text1"/>
          <w:sz w:val="24"/>
          <w:szCs w:val="24"/>
        </w:rPr>
        <w:t xml:space="preserve">. Ponadto, mając na uwadze art. 23 ust. 2 </w:t>
      </w:r>
      <w:r w:rsidR="00A40F4F">
        <w:rPr>
          <w:rFonts w:cstheme="minorHAnsi"/>
          <w:color w:val="000000" w:themeColor="text1"/>
          <w:sz w:val="24"/>
          <w:szCs w:val="24"/>
        </w:rPr>
        <w:t>RODO</w:t>
      </w:r>
      <w:r w:rsidRPr="00375799">
        <w:rPr>
          <w:rFonts w:cstheme="minorHAnsi"/>
          <w:color w:val="000000" w:themeColor="text1"/>
          <w:sz w:val="24"/>
          <w:szCs w:val="24"/>
        </w:rPr>
        <w:t xml:space="preserve">, przetwarzanie danych osobowych, o którym mowa w projektowanym art. </w:t>
      </w:r>
      <w:r w:rsidR="00A86238" w:rsidRPr="00375799">
        <w:rPr>
          <w:rFonts w:cstheme="minorHAnsi"/>
          <w:color w:val="000000" w:themeColor="text1"/>
          <w:sz w:val="24"/>
          <w:szCs w:val="24"/>
        </w:rPr>
        <w:t>83k</w:t>
      </w:r>
      <w:r w:rsidR="00A40F4F">
        <w:rPr>
          <w:rFonts w:cstheme="minorHAnsi"/>
          <w:color w:val="000000" w:themeColor="text1"/>
          <w:sz w:val="24"/>
          <w:szCs w:val="24"/>
        </w:rPr>
        <w:t xml:space="preserve"> ustawy o obrocie instrumentami finansowymi</w:t>
      </w:r>
      <w:r w:rsidRPr="00375799">
        <w:rPr>
          <w:rFonts w:cstheme="minorHAnsi"/>
          <w:color w:val="000000" w:themeColor="text1"/>
          <w:sz w:val="24"/>
          <w:szCs w:val="24"/>
        </w:rPr>
        <w:t>, podlegać będzie zabezpieczeniom i ochronie wynikającym z przepisów o tajemnicy zawodowej, o której mowa w art. 147 ustawy z dnia 29 lipca 2005 r. o obrocie instrumentami finansowymi.</w:t>
      </w:r>
    </w:p>
    <w:p w14:paraId="6134886E" w14:textId="6297BA4D" w:rsidR="008706DD" w:rsidRPr="00375799" w:rsidRDefault="00A40F4F"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3. </w:t>
      </w:r>
      <w:r w:rsidR="008706DD" w:rsidRPr="00375799">
        <w:rPr>
          <w:rFonts w:cstheme="minorHAnsi"/>
          <w:color w:val="000000" w:themeColor="text1"/>
          <w:sz w:val="24"/>
          <w:szCs w:val="24"/>
        </w:rPr>
        <w:t>Zmiana art. 149 – dodanie pkt 13</w:t>
      </w:r>
    </w:p>
    <w:p w14:paraId="3762BCAD"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Przepis ma na celu umożliwienie przekazywania informacji stanowiących tajemnicę zawodową Prezesowi Urzędu Ochrony Danych Osobowych.</w:t>
      </w:r>
    </w:p>
    <w:p w14:paraId="61ED1515" w14:textId="77777777" w:rsidR="002042A6" w:rsidRPr="00375799" w:rsidRDefault="002042A6" w:rsidP="0055107B">
      <w:pPr>
        <w:spacing w:after="0" w:line="276" w:lineRule="auto"/>
        <w:ind w:left="57" w:right="57"/>
        <w:contextualSpacing/>
        <w:jc w:val="both"/>
        <w:rPr>
          <w:rFonts w:cstheme="minorHAnsi"/>
          <w:color w:val="000000" w:themeColor="text1"/>
          <w:sz w:val="24"/>
          <w:szCs w:val="24"/>
        </w:rPr>
      </w:pPr>
    </w:p>
    <w:p w14:paraId="5F4EB778" w14:textId="0EFB4E90" w:rsidR="008706DD"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92" w:name="_Toc530565064"/>
      <w:r w:rsidRPr="00375799">
        <w:rPr>
          <w:rFonts w:asciiTheme="minorHAnsi" w:hAnsiTheme="minorHAnsi" w:cstheme="minorHAnsi"/>
          <w:color w:val="000000" w:themeColor="text1"/>
          <w:sz w:val="24"/>
          <w:szCs w:val="24"/>
        </w:rPr>
        <w:t>Ustawa z dnia 13 lipca 2006 r. o dokumentach paszportowych</w:t>
      </w:r>
      <w:r w:rsidR="005129A9" w:rsidRPr="00375799">
        <w:rPr>
          <w:rFonts w:asciiTheme="minorHAnsi" w:hAnsiTheme="minorHAnsi" w:cstheme="minorHAnsi"/>
          <w:color w:val="000000" w:themeColor="text1"/>
          <w:sz w:val="24"/>
          <w:szCs w:val="24"/>
        </w:rPr>
        <w:t xml:space="preserve"> (Dz. U. z </w:t>
      </w:r>
      <w:r w:rsidR="00FA063C" w:rsidRPr="00375799">
        <w:rPr>
          <w:rFonts w:asciiTheme="minorHAnsi" w:hAnsiTheme="minorHAnsi" w:cstheme="minorHAnsi"/>
          <w:color w:val="000000" w:themeColor="text1"/>
          <w:sz w:val="24"/>
          <w:szCs w:val="24"/>
        </w:rPr>
        <w:t>201</w:t>
      </w:r>
      <w:r w:rsidR="00FA063C">
        <w:rPr>
          <w:rFonts w:asciiTheme="minorHAnsi" w:hAnsiTheme="minorHAnsi" w:cstheme="minorHAnsi"/>
          <w:color w:val="000000" w:themeColor="text1"/>
          <w:sz w:val="24"/>
          <w:szCs w:val="24"/>
        </w:rPr>
        <w:t>8</w:t>
      </w:r>
      <w:r w:rsidR="006E758F">
        <w:rPr>
          <w:rFonts w:asciiTheme="minorHAnsi" w:hAnsiTheme="minorHAnsi" w:cstheme="minorHAnsi"/>
          <w:color w:val="000000" w:themeColor="text1"/>
          <w:sz w:val="24"/>
          <w:szCs w:val="24"/>
        </w:rPr>
        <w:t xml:space="preserve"> r. poz. </w:t>
      </w:r>
      <w:r w:rsidR="00FA063C">
        <w:rPr>
          <w:rFonts w:asciiTheme="minorHAnsi" w:hAnsiTheme="minorHAnsi" w:cstheme="minorHAnsi"/>
          <w:color w:val="000000" w:themeColor="text1"/>
          <w:sz w:val="24"/>
          <w:szCs w:val="24"/>
        </w:rPr>
        <w:t>1919</w:t>
      </w:r>
      <w:r w:rsidR="005129A9" w:rsidRPr="00375799">
        <w:rPr>
          <w:rFonts w:asciiTheme="minorHAnsi" w:hAnsiTheme="minorHAnsi" w:cstheme="minorHAnsi"/>
          <w:color w:val="000000" w:themeColor="text1"/>
          <w:sz w:val="24"/>
          <w:szCs w:val="24"/>
        </w:rPr>
        <w:t>)</w:t>
      </w:r>
      <w:bookmarkEnd w:id="92"/>
    </w:p>
    <w:p w14:paraId="049CE0FB" w14:textId="1780BEA1" w:rsidR="008A6127" w:rsidRPr="00753F57" w:rsidRDefault="008A6127" w:rsidP="008A6127">
      <w:pPr>
        <w:jc w:val="both"/>
        <w:rPr>
          <w:rFonts w:cstheme="minorHAnsi"/>
          <w:color w:val="000000" w:themeColor="text1"/>
          <w:sz w:val="24"/>
          <w:szCs w:val="24"/>
        </w:rPr>
      </w:pPr>
      <w:r w:rsidRPr="00753F57">
        <w:rPr>
          <w:rFonts w:cstheme="minorHAnsi"/>
          <w:color w:val="000000" w:themeColor="text1"/>
          <w:sz w:val="24"/>
          <w:szCs w:val="24"/>
        </w:rPr>
        <w:t>Zmiana proponowana w projektowanym art. 92 projektu ustawy o zmianie niektórych</w:t>
      </w:r>
      <w:r>
        <w:rPr>
          <w:rFonts w:cstheme="minorHAnsi"/>
          <w:color w:val="000000" w:themeColor="text1"/>
          <w:sz w:val="24"/>
          <w:szCs w:val="24"/>
        </w:rPr>
        <w:t xml:space="preserve"> </w:t>
      </w:r>
      <w:r w:rsidRPr="00753F57">
        <w:rPr>
          <w:rFonts w:cstheme="minorHAnsi"/>
          <w:color w:val="000000" w:themeColor="text1"/>
          <w:sz w:val="24"/>
          <w:szCs w:val="24"/>
        </w:rPr>
        <w:t>ustaw</w:t>
      </w:r>
      <w:r>
        <w:rPr>
          <w:rFonts w:cstheme="minorHAnsi"/>
          <w:color w:val="000000" w:themeColor="text1"/>
          <w:sz w:val="24"/>
          <w:szCs w:val="24"/>
        </w:rPr>
        <w:t xml:space="preserve"> </w:t>
      </w:r>
      <w:r w:rsidRPr="00753F57">
        <w:rPr>
          <w:rFonts w:cstheme="minorHAnsi"/>
          <w:color w:val="000000" w:themeColor="text1"/>
          <w:sz w:val="24"/>
          <w:szCs w:val="24"/>
        </w:rPr>
        <w:t xml:space="preserve">w związku z zapewnieniem stosowania rozporządzenia 2016/679 wynika </w:t>
      </w:r>
      <w:r w:rsidR="00002B23">
        <w:rPr>
          <w:rFonts w:cstheme="minorHAnsi"/>
          <w:color w:val="000000" w:themeColor="text1"/>
          <w:sz w:val="24"/>
          <w:szCs w:val="24"/>
        </w:rPr>
        <w:t xml:space="preserve">z </w:t>
      </w:r>
      <w:r w:rsidRPr="00753F57">
        <w:rPr>
          <w:rFonts w:cstheme="minorHAnsi"/>
          <w:color w:val="000000" w:themeColor="text1"/>
          <w:sz w:val="24"/>
          <w:szCs w:val="24"/>
        </w:rPr>
        <w:t xml:space="preserve">konieczności ustawowego uregulowania zakresu danych wskazywanych we wnioskach o wydanie paszportu albo paszportu tymczasowego. Dotychczas obowiązujące przepisy w tym zakresie nie precyzują zakresu danych zawartych we wniosku o wydanie paszportu albo paszportu tymczasowego. Zakres ten określony został wyłącznie we wzorze wniosku stanowiącym załącznik do rozporządzenia Ministra Spraw Wewnętrznych i Administracji z dnia 16 sierpnia 2010 r. w sprawie dokumentów paszportowych </w:t>
      </w:r>
      <w:r w:rsidR="00FA063C">
        <w:rPr>
          <w:rFonts w:cstheme="minorHAnsi"/>
          <w:color w:val="000000" w:themeColor="text1"/>
          <w:sz w:val="24"/>
          <w:szCs w:val="24"/>
        </w:rPr>
        <w:t xml:space="preserve">(Dz. U. poz. 1026, z 2011 r. poz. 1014, z 2012 r. poz. 878 oraz z 2018 r. poz. 1065) </w:t>
      </w:r>
      <w:r w:rsidRPr="00753F57">
        <w:rPr>
          <w:rFonts w:cstheme="minorHAnsi"/>
          <w:color w:val="000000" w:themeColor="text1"/>
          <w:sz w:val="24"/>
          <w:szCs w:val="24"/>
        </w:rPr>
        <w:t>w oparciu o zakres danych</w:t>
      </w:r>
      <w:r w:rsidR="00002B23">
        <w:rPr>
          <w:rFonts w:cstheme="minorHAnsi"/>
          <w:color w:val="000000" w:themeColor="text1"/>
          <w:sz w:val="24"/>
          <w:szCs w:val="24"/>
        </w:rPr>
        <w:t>,</w:t>
      </w:r>
      <w:r w:rsidRPr="00753F57">
        <w:rPr>
          <w:rFonts w:cstheme="minorHAnsi"/>
          <w:color w:val="000000" w:themeColor="text1"/>
          <w:sz w:val="24"/>
          <w:szCs w:val="24"/>
        </w:rPr>
        <w:t xml:space="preserve"> jakie znajdują się w dokumentach paszportowych oraz ewidencjach paszportowych. Ze względu na charakter dokumentów paszportowych, które są dokumentami podróży oraz dokumentami potwierdzającymi tożsamość i obywatelstwo posiadacza, w zakresie danych w nich zawartych, celowym jest ustawowe określenie zakresu danych</w:t>
      </w:r>
      <w:r w:rsidR="00002B23">
        <w:rPr>
          <w:rFonts w:cstheme="minorHAnsi"/>
          <w:color w:val="000000" w:themeColor="text1"/>
          <w:sz w:val="24"/>
          <w:szCs w:val="24"/>
        </w:rPr>
        <w:t>,</w:t>
      </w:r>
      <w:r w:rsidRPr="00753F57">
        <w:rPr>
          <w:rFonts w:cstheme="minorHAnsi"/>
          <w:color w:val="000000" w:themeColor="text1"/>
          <w:sz w:val="24"/>
          <w:szCs w:val="24"/>
        </w:rPr>
        <w:t xml:space="preserve"> jakie wpisywane są we wnioskach o wydanie dokumentów paszportowych, analogicznie jak w ustawie z dnia 6 sierpnia 2010 r. o dowodach osobistych (Dz. U. z 2017 r. poz. 1464 oraz z 2018 r. poz. 730) w odniesieniu do innego dokumentu tożsamości</w:t>
      </w:r>
      <w:r w:rsidR="00002B23">
        <w:rPr>
          <w:rFonts w:cstheme="minorHAnsi"/>
          <w:color w:val="000000" w:themeColor="text1"/>
          <w:sz w:val="24"/>
          <w:szCs w:val="24"/>
        </w:rPr>
        <w:t>,</w:t>
      </w:r>
      <w:r w:rsidRPr="00753F57">
        <w:rPr>
          <w:rFonts w:cstheme="minorHAnsi"/>
          <w:color w:val="000000" w:themeColor="text1"/>
          <w:sz w:val="24"/>
          <w:szCs w:val="24"/>
        </w:rPr>
        <w:t xml:space="preserve"> tj. dowodu osobistego.</w:t>
      </w:r>
    </w:p>
    <w:p w14:paraId="116FB469" w14:textId="07B5861A" w:rsidR="008A6127" w:rsidRPr="00753F57" w:rsidRDefault="008A6127" w:rsidP="008A6127">
      <w:pPr>
        <w:jc w:val="both"/>
        <w:rPr>
          <w:rFonts w:cstheme="minorHAnsi"/>
          <w:color w:val="000000" w:themeColor="text1"/>
          <w:sz w:val="24"/>
          <w:szCs w:val="24"/>
        </w:rPr>
      </w:pPr>
      <w:r w:rsidRPr="00753F57">
        <w:rPr>
          <w:rFonts w:cstheme="minorHAnsi"/>
          <w:color w:val="000000" w:themeColor="text1"/>
          <w:sz w:val="24"/>
          <w:szCs w:val="24"/>
        </w:rPr>
        <w:t xml:space="preserve">Z uwagi na specyficzny charakter spraw paszportowych realizowanych dla obywateli polskich zamieszkałych poza granicami kraju, proponuje się określenie odrębnego wzoru wniosku o wydanie paszportu albo paszportu tymczasowego składanych do konsula RP poza granicami kraju. Proponowana zmiana wpłynie na konieczność zmiany rozporządzenia Ministra </w:t>
      </w:r>
      <w:r w:rsidRPr="00753F57">
        <w:rPr>
          <w:rFonts w:cstheme="minorHAnsi"/>
          <w:color w:val="000000" w:themeColor="text1"/>
          <w:sz w:val="24"/>
          <w:szCs w:val="24"/>
        </w:rPr>
        <w:lastRenderedPageBreak/>
        <w:t>Spraw Wewnętrznych i Administracji z dnia 16 sierpnia 2010 r. w sprawie dokumentów paszportowych, w zakresie:</w:t>
      </w:r>
    </w:p>
    <w:p w14:paraId="0568CE9B" w14:textId="520F7CF8" w:rsidR="008A6127" w:rsidRPr="00753F57" w:rsidRDefault="008A6127" w:rsidP="008A6127">
      <w:pPr>
        <w:jc w:val="both"/>
        <w:rPr>
          <w:rFonts w:cstheme="minorHAnsi"/>
          <w:color w:val="000000" w:themeColor="text1"/>
          <w:sz w:val="24"/>
          <w:szCs w:val="24"/>
        </w:rPr>
      </w:pPr>
      <w:r w:rsidRPr="00753F57">
        <w:rPr>
          <w:rFonts w:cstheme="minorHAnsi"/>
          <w:color w:val="000000" w:themeColor="text1"/>
          <w:sz w:val="24"/>
          <w:szCs w:val="24"/>
        </w:rPr>
        <w:t>a) zmiany załącznika nr 5</w:t>
      </w:r>
      <w:r w:rsidR="00002B23">
        <w:rPr>
          <w:rFonts w:cstheme="minorHAnsi"/>
          <w:color w:val="000000" w:themeColor="text1"/>
          <w:sz w:val="24"/>
          <w:szCs w:val="24"/>
        </w:rPr>
        <w:t>,</w:t>
      </w:r>
      <w:r w:rsidRPr="00753F57">
        <w:rPr>
          <w:rFonts w:cstheme="minorHAnsi"/>
          <w:color w:val="000000" w:themeColor="text1"/>
          <w:sz w:val="24"/>
          <w:szCs w:val="24"/>
        </w:rPr>
        <w:t xml:space="preserve"> tj. wniosku o wydanie paszportu albo paszportu tymczasowego, który będzie składany do wojewody (w określonych prawem przypadkach również do Ministra Spraw Wewnętrznych i Administracji).</w:t>
      </w:r>
    </w:p>
    <w:p w14:paraId="20CAB51A" w14:textId="77777777" w:rsidR="008A6127" w:rsidRPr="00753F57" w:rsidRDefault="008A6127" w:rsidP="008A6127">
      <w:pPr>
        <w:jc w:val="both"/>
        <w:rPr>
          <w:rFonts w:cstheme="minorHAnsi"/>
          <w:color w:val="000000" w:themeColor="text1"/>
          <w:sz w:val="24"/>
          <w:szCs w:val="24"/>
        </w:rPr>
      </w:pPr>
      <w:r w:rsidRPr="00753F57">
        <w:rPr>
          <w:rFonts w:cstheme="minorHAnsi"/>
          <w:color w:val="000000" w:themeColor="text1"/>
          <w:sz w:val="24"/>
          <w:szCs w:val="24"/>
        </w:rPr>
        <w:t>Zmiana ta będzie polegała na:</w:t>
      </w:r>
    </w:p>
    <w:p w14:paraId="1B92610B" w14:textId="5E486144" w:rsidR="008A6127" w:rsidRPr="00753F57" w:rsidRDefault="007737D7" w:rsidP="008A6127">
      <w:pPr>
        <w:jc w:val="both"/>
        <w:rPr>
          <w:rFonts w:cstheme="minorHAnsi"/>
          <w:color w:val="000000" w:themeColor="text1"/>
          <w:sz w:val="24"/>
          <w:szCs w:val="24"/>
        </w:rPr>
      </w:pPr>
      <w:r>
        <w:rPr>
          <w:rFonts w:cstheme="minorHAnsi"/>
          <w:color w:val="000000" w:themeColor="text1"/>
          <w:sz w:val="24"/>
          <w:szCs w:val="24"/>
        </w:rPr>
        <w:t>–</w:t>
      </w:r>
      <w:r w:rsidR="008A6127" w:rsidRPr="00753F57">
        <w:rPr>
          <w:rFonts w:cstheme="minorHAnsi"/>
          <w:color w:val="000000" w:themeColor="text1"/>
          <w:sz w:val="24"/>
          <w:szCs w:val="24"/>
        </w:rPr>
        <w:t xml:space="preserve"> dodaniu we wzorze wniosku rubryki na opcjonalne podanie numeru telefonu lub </w:t>
      </w:r>
      <w:r>
        <w:rPr>
          <w:rFonts w:cstheme="minorHAnsi"/>
          <w:color w:val="000000" w:themeColor="text1"/>
          <w:sz w:val="24"/>
          <w:szCs w:val="24"/>
        </w:rPr>
        <w:t>adresu poczty elektronicznej –</w:t>
      </w:r>
      <w:r w:rsidR="0039405D">
        <w:rPr>
          <w:rFonts w:cstheme="minorHAnsi"/>
          <w:color w:val="000000" w:themeColor="text1"/>
          <w:sz w:val="24"/>
          <w:szCs w:val="24"/>
        </w:rPr>
        <w:t xml:space="preserve"> </w:t>
      </w:r>
      <w:r w:rsidR="008A6127" w:rsidRPr="00753F57">
        <w:rPr>
          <w:rFonts w:cstheme="minorHAnsi"/>
          <w:color w:val="000000" w:themeColor="text1"/>
          <w:sz w:val="24"/>
          <w:szCs w:val="24"/>
        </w:rPr>
        <w:t>dane te będą wskazywane przez osobę składającą wniosek w przypadku wnioskowania o powiadomienie o możliwości odbioru dokumentu paszportowego. Usługa powiadomienia o gotowości paszportu do odbioru funkcjonuje w kraju już od czerwca 2017 r., przy czym gromadzenie i przetwarzanie danych</w:t>
      </w:r>
      <w:r>
        <w:rPr>
          <w:rFonts w:cstheme="minorHAnsi"/>
          <w:color w:val="000000" w:themeColor="text1"/>
          <w:sz w:val="24"/>
          <w:szCs w:val="24"/>
        </w:rPr>
        <w:t xml:space="preserve"> niezbędnych do jej realizacji –</w:t>
      </w:r>
      <w:r w:rsidR="008A6127" w:rsidRPr="00753F57">
        <w:rPr>
          <w:rFonts w:cstheme="minorHAnsi"/>
          <w:color w:val="000000" w:themeColor="text1"/>
          <w:sz w:val="24"/>
          <w:szCs w:val="24"/>
        </w:rPr>
        <w:t xml:space="preserve"> </w:t>
      </w:r>
      <w:r>
        <w:rPr>
          <w:rFonts w:cstheme="minorHAnsi"/>
          <w:color w:val="000000" w:themeColor="text1"/>
          <w:sz w:val="24"/>
          <w:szCs w:val="24"/>
        </w:rPr>
        <w:t>numeru telefonu i adresu email –</w:t>
      </w:r>
      <w:r w:rsidR="008A6127" w:rsidRPr="00753F57">
        <w:rPr>
          <w:rFonts w:cstheme="minorHAnsi"/>
          <w:color w:val="000000" w:themeColor="text1"/>
          <w:sz w:val="24"/>
          <w:szCs w:val="24"/>
        </w:rPr>
        <w:t xml:space="preserve"> odbywa się na podstawie pisemnych oświadczeń składanych przez osoby chcące z niej skorzystać. Zamieszczenie rubryki na podanie danych o numerze telefonu albo adresie email we wniosku o wydanie dokumentu paszportowego umożliwi odejście od konieczności składania oświadczeń o wyrażeniu zgody na przetwarzanie tych danych w formie papierowej. Powyższe ułatwi korzystanie z usługi i ograniczy ilość dokumentacji składanej przez obywateli i gromadzonej w organach paszportowych,</w:t>
      </w:r>
    </w:p>
    <w:p w14:paraId="59A1981E" w14:textId="35395C7A" w:rsidR="008A6127" w:rsidRPr="00753F57" w:rsidRDefault="007737D7" w:rsidP="008A6127">
      <w:pPr>
        <w:jc w:val="both"/>
        <w:rPr>
          <w:rFonts w:cstheme="minorHAnsi"/>
          <w:color w:val="000000" w:themeColor="text1"/>
          <w:sz w:val="24"/>
          <w:szCs w:val="24"/>
        </w:rPr>
      </w:pPr>
      <w:r>
        <w:rPr>
          <w:rFonts w:cstheme="minorHAnsi"/>
          <w:color w:val="000000" w:themeColor="text1"/>
          <w:sz w:val="24"/>
          <w:szCs w:val="24"/>
        </w:rPr>
        <w:t>–</w:t>
      </w:r>
      <w:r w:rsidR="008A6127" w:rsidRPr="00753F57">
        <w:rPr>
          <w:rFonts w:cstheme="minorHAnsi"/>
          <w:color w:val="000000" w:themeColor="text1"/>
          <w:sz w:val="24"/>
          <w:szCs w:val="24"/>
        </w:rPr>
        <w:t xml:space="preserve"> rezygnacji ze wskazywania we wniosku danych osoby do kontaktu, których gromadzenie nie jest niezbędne do realizacji sprawy paszportowej</w:t>
      </w:r>
      <w:r w:rsidR="00FA063C">
        <w:rPr>
          <w:rFonts w:cstheme="minorHAnsi"/>
          <w:color w:val="000000" w:themeColor="text1"/>
          <w:sz w:val="24"/>
          <w:szCs w:val="24"/>
        </w:rPr>
        <w:t>,</w:t>
      </w:r>
    </w:p>
    <w:p w14:paraId="2755AEC9" w14:textId="5A3E59C2" w:rsidR="008A6127" w:rsidRPr="00753F57" w:rsidRDefault="007737D7" w:rsidP="008A6127">
      <w:pPr>
        <w:jc w:val="both"/>
        <w:rPr>
          <w:rFonts w:cstheme="minorHAnsi"/>
          <w:color w:val="000000" w:themeColor="text1"/>
          <w:sz w:val="24"/>
          <w:szCs w:val="24"/>
        </w:rPr>
      </w:pPr>
      <w:r>
        <w:rPr>
          <w:rFonts w:cstheme="minorHAnsi"/>
          <w:color w:val="000000" w:themeColor="text1"/>
          <w:sz w:val="24"/>
          <w:szCs w:val="24"/>
        </w:rPr>
        <w:t>–</w:t>
      </w:r>
      <w:r w:rsidR="008A6127" w:rsidRPr="00753F57">
        <w:rPr>
          <w:rFonts w:cstheme="minorHAnsi"/>
          <w:color w:val="000000" w:themeColor="text1"/>
          <w:sz w:val="24"/>
          <w:szCs w:val="24"/>
        </w:rPr>
        <w:t xml:space="preserve"> zamieszczaniu we wniosku adresu do korespondencji zamiast adresu zameldowania, który wobec </w:t>
      </w:r>
      <w:proofErr w:type="spellStart"/>
      <w:r w:rsidR="008A6127" w:rsidRPr="00753F57">
        <w:rPr>
          <w:rFonts w:cstheme="minorHAnsi"/>
          <w:color w:val="000000" w:themeColor="text1"/>
          <w:sz w:val="24"/>
          <w:szCs w:val="24"/>
        </w:rPr>
        <w:t>odmiejscowienia</w:t>
      </w:r>
      <w:proofErr w:type="spellEnd"/>
      <w:r w:rsidR="008A6127" w:rsidRPr="00753F57">
        <w:rPr>
          <w:rFonts w:cstheme="minorHAnsi"/>
          <w:color w:val="000000" w:themeColor="text1"/>
          <w:sz w:val="24"/>
          <w:szCs w:val="24"/>
        </w:rPr>
        <w:t xml:space="preserve"> nie jest niezbędny do realizacji sprawy paszportowej (ustalenia właściwości organu paszportowego),</w:t>
      </w:r>
    </w:p>
    <w:p w14:paraId="1D1F207A" w14:textId="7BB415B7" w:rsidR="008A6127" w:rsidRPr="00753F57" w:rsidRDefault="007737D7" w:rsidP="008A6127">
      <w:pPr>
        <w:jc w:val="both"/>
        <w:rPr>
          <w:rFonts w:cstheme="minorHAnsi"/>
          <w:color w:val="000000" w:themeColor="text1"/>
          <w:sz w:val="24"/>
          <w:szCs w:val="24"/>
        </w:rPr>
      </w:pPr>
      <w:r>
        <w:rPr>
          <w:rFonts w:cstheme="minorHAnsi"/>
          <w:color w:val="000000" w:themeColor="text1"/>
          <w:sz w:val="24"/>
          <w:szCs w:val="24"/>
        </w:rPr>
        <w:t>–</w:t>
      </w:r>
      <w:r w:rsidR="008A6127" w:rsidRPr="00753F57">
        <w:rPr>
          <w:rFonts w:cstheme="minorHAnsi"/>
          <w:color w:val="000000" w:themeColor="text1"/>
          <w:sz w:val="24"/>
          <w:szCs w:val="24"/>
        </w:rPr>
        <w:t xml:space="preserve"> rezygnacji ze wskazywania obywatelstwa – potwierdzanie faktu posiadania obywatelstwa polskiego przez organ paszportowy odbywa się na podstawie dostępnych temu organowi ewidencji oraz przedłożonej dokumentacji potwierdzającej ten fakt, a nie na podstawie oświadczenia osoby składającej wniosek</w:t>
      </w:r>
      <w:r w:rsidR="00FA063C">
        <w:rPr>
          <w:rFonts w:cstheme="minorHAnsi"/>
          <w:color w:val="000000" w:themeColor="text1"/>
          <w:sz w:val="24"/>
          <w:szCs w:val="24"/>
        </w:rPr>
        <w:t>,</w:t>
      </w:r>
    </w:p>
    <w:p w14:paraId="4E2D986C" w14:textId="69F68192" w:rsidR="008A6127" w:rsidRPr="00753F57" w:rsidRDefault="00FA063C" w:rsidP="008A6127">
      <w:pPr>
        <w:jc w:val="both"/>
        <w:rPr>
          <w:rFonts w:cstheme="minorHAnsi"/>
          <w:color w:val="000000" w:themeColor="text1"/>
          <w:sz w:val="24"/>
          <w:szCs w:val="24"/>
        </w:rPr>
      </w:pPr>
      <w:r>
        <w:rPr>
          <w:rFonts w:cstheme="minorHAnsi"/>
          <w:color w:val="000000" w:themeColor="text1"/>
          <w:sz w:val="24"/>
          <w:szCs w:val="24"/>
        </w:rPr>
        <w:t>b</w:t>
      </w:r>
      <w:r w:rsidR="008A6127" w:rsidRPr="00753F57">
        <w:rPr>
          <w:rFonts w:cstheme="minorHAnsi"/>
          <w:color w:val="000000" w:themeColor="text1"/>
          <w:sz w:val="24"/>
          <w:szCs w:val="24"/>
        </w:rPr>
        <w:t>) dodania nowego załącznika nr 5a</w:t>
      </w:r>
      <w:r w:rsidR="00002B23">
        <w:rPr>
          <w:rFonts w:cstheme="minorHAnsi"/>
          <w:color w:val="000000" w:themeColor="text1"/>
          <w:sz w:val="24"/>
          <w:szCs w:val="24"/>
        </w:rPr>
        <w:t>,</w:t>
      </w:r>
      <w:r w:rsidR="008A6127" w:rsidRPr="00753F57">
        <w:rPr>
          <w:rFonts w:cstheme="minorHAnsi"/>
          <w:color w:val="000000" w:themeColor="text1"/>
          <w:sz w:val="24"/>
          <w:szCs w:val="24"/>
        </w:rPr>
        <w:t xml:space="preserve"> tj. wniosku o wydanie paszportu albo paszportu tymczasowego, który będzie składany do konsula RP poza granicami kraju. Zmiana w tym zakresie będzie polegała na zmianie formatu wniosku. Możliwość wydrukowania wniosku i wypełnienia go przed wizytą w urzędzie konsularnym ułatwi realizację spraw i umożliwi właściwe przygotowanie niezbędnej dokumentacji obywatelom ubiegającym się o polski dokument paszportowy przed konsulem. Sprawy realizowane za granicą są często dużo bardziej skomplikowane niż w kraju i wymagają przedłożenia szeregu dokumentów m.in. związanych z urodzeniem, małżeństwem, potwierdzeniem obywatelstwa. Dodatkowym utrudnieniem są znaczne odległości dzielące miejsce zamieszkania obywateli polskich od urzędów konsularnych, a także trudne warunki lokalowe i szerokie spektrum spraw realizowanych w konsulatach, utrudniające zapewnienie odpowiedniego miejsca do wypełniana wniosków paszportowych na miejscu w urzędzie. W zakresie danych zawartych we wniosku, wniosek ten będzie co do zasady zbieżny z wnioskiem składanym do wojewody czy ministra właściwego do spraw wewnętrznych</w:t>
      </w:r>
      <w:r>
        <w:rPr>
          <w:rFonts w:cstheme="minorHAnsi"/>
          <w:color w:val="000000" w:themeColor="text1"/>
          <w:sz w:val="24"/>
          <w:szCs w:val="24"/>
        </w:rPr>
        <w:t>,</w:t>
      </w:r>
    </w:p>
    <w:p w14:paraId="463D589A" w14:textId="30D5A657" w:rsidR="008A6127" w:rsidRPr="00753F57" w:rsidRDefault="00FA063C" w:rsidP="008A6127">
      <w:pPr>
        <w:jc w:val="both"/>
        <w:rPr>
          <w:rFonts w:cstheme="minorHAnsi"/>
          <w:color w:val="000000" w:themeColor="text1"/>
          <w:sz w:val="24"/>
          <w:szCs w:val="24"/>
        </w:rPr>
      </w:pPr>
      <w:r>
        <w:rPr>
          <w:rFonts w:cstheme="minorHAnsi"/>
          <w:color w:val="000000" w:themeColor="text1"/>
          <w:sz w:val="24"/>
          <w:szCs w:val="24"/>
        </w:rPr>
        <w:lastRenderedPageBreak/>
        <w:t>c</w:t>
      </w:r>
      <w:r w:rsidR="008A6127" w:rsidRPr="00753F57">
        <w:rPr>
          <w:rFonts w:cstheme="minorHAnsi"/>
          <w:color w:val="000000" w:themeColor="text1"/>
          <w:sz w:val="24"/>
          <w:szCs w:val="24"/>
        </w:rPr>
        <w:t>) zmiany załącznika nr 6</w:t>
      </w:r>
      <w:r w:rsidR="00002B23">
        <w:rPr>
          <w:rFonts w:cstheme="minorHAnsi"/>
          <w:color w:val="000000" w:themeColor="text1"/>
          <w:sz w:val="24"/>
          <w:szCs w:val="24"/>
        </w:rPr>
        <w:t>,</w:t>
      </w:r>
      <w:r w:rsidR="008A6127" w:rsidRPr="00753F57">
        <w:rPr>
          <w:rFonts w:cstheme="minorHAnsi"/>
          <w:color w:val="000000" w:themeColor="text1"/>
          <w:sz w:val="24"/>
          <w:szCs w:val="24"/>
        </w:rPr>
        <w:t xml:space="preserve"> tj. zmiany wzoru wniosku o wydanie paszportu dyplomatycznego lub paszportu służbowego. Zmiany polegają w szczególności na zmianie nazwy z „kwestionariusza” na „wniosek”, co odpowiada treści upoważnienia z art. 20 ust. 2 ustawy </w:t>
      </w:r>
      <w:r w:rsidR="00964513">
        <w:rPr>
          <w:rFonts w:cstheme="minorHAnsi"/>
          <w:color w:val="000000" w:themeColor="text1"/>
          <w:sz w:val="24"/>
          <w:szCs w:val="24"/>
        </w:rPr>
        <w:t xml:space="preserve">z dnia 13 lipca 2006 r. </w:t>
      </w:r>
      <w:r w:rsidR="008A6127" w:rsidRPr="00753F57">
        <w:rPr>
          <w:rFonts w:cstheme="minorHAnsi"/>
          <w:color w:val="000000" w:themeColor="text1"/>
          <w:sz w:val="24"/>
          <w:szCs w:val="24"/>
        </w:rPr>
        <w:t>o dokumentach paszportowych, które zobowiązuje Ministra S</w:t>
      </w:r>
      <w:r w:rsidR="00002B23">
        <w:rPr>
          <w:rFonts w:cstheme="minorHAnsi"/>
          <w:color w:val="000000" w:themeColor="text1"/>
          <w:sz w:val="24"/>
          <w:szCs w:val="24"/>
        </w:rPr>
        <w:t xml:space="preserve">praw </w:t>
      </w:r>
      <w:r w:rsidR="00002B23" w:rsidRPr="00753F57">
        <w:rPr>
          <w:rFonts w:cstheme="minorHAnsi"/>
          <w:color w:val="000000" w:themeColor="text1"/>
          <w:sz w:val="24"/>
          <w:szCs w:val="24"/>
        </w:rPr>
        <w:t>W</w:t>
      </w:r>
      <w:r w:rsidR="00002B23">
        <w:rPr>
          <w:rFonts w:cstheme="minorHAnsi"/>
          <w:color w:val="000000" w:themeColor="text1"/>
          <w:sz w:val="24"/>
          <w:szCs w:val="24"/>
        </w:rPr>
        <w:t xml:space="preserve">ewnętrznych </w:t>
      </w:r>
      <w:r w:rsidR="008A6127" w:rsidRPr="00753F57">
        <w:rPr>
          <w:rFonts w:cstheme="minorHAnsi"/>
          <w:color w:val="000000" w:themeColor="text1"/>
          <w:sz w:val="24"/>
          <w:szCs w:val="24"/>
        </w:rPr>
        <w:t>i</w:t>
      </w:r>
      <w:r w:rsidR="00002B23">
        <w:rPr>
          <w:rFonts w:cstheme="minorHAnsi"/>
          <w:color w:val="000000" w:themeColor="text1"/>
          <w:sz w:val="24"/>
          <w:szCs w:val="24"/>
        </w:rPr>
        <w:t xml:space="preserve"> </w:t>
      </w:r>
      <w:r w:rsidR="008A6127" w:rsidRPr="00753F57">
        <w:rPr>
          <w:rFonts w:cstheme="minorHAnsi"/>
          <w:color w:val="000000" w:themeColor="text1"/>
          <w:sz w:val="24"/>
          <w:szCs w:val="24"/>
        </w:rPr>
        <w:t>A</w:t>
      </w:r>
      <w:r w:rsidR="00002B23">
        <w:rPr>
          <w:rFonts w:cstheme="minorHAnsi"/>
          <w:color w:val="000000" w:themeColor="text1"/>
          <w:sz w:val="24"/>
          <w:szCs w:val="24"/>
        </w:rPr>
        <w:t>dministracji</w:t>
      </w:r>
      <w:r w:rsidR="008A6127" w:rsidRPr="00753F57">
        <w:rPr>
          <w:rFonts w:cstheme="minorHAnsi"/>
          <w:color w:val="000000" w:themeColor="text1"/>
          <w:sz w:val="24"/>
          <w:szCs w:val="24"/>
        </w:rPr>
        <w:t xml:space="preserve"> do określenia wzorów wniosków. Ponadto z zakresu danych gromadzonych w tym wniosku, w celu ujednolicenia go z zakresem danych w pozostałych wnioskach, usunięto dane o miejscu zameldowania, zastępując je adresem do korespondencji i możliwymi  opcjonalnie do podania danymi dotyczącymi numeru telefonu lub adresu poczty elektronicznej oraz dane dotyczące współmałżonka. Analogicznie jak w pozostałych wnioskach zrezygnowano z możliwości wskazywania danych osoby do kontaktu, informacji o obywatelstwie oraz z danych dotyczących rysopisu osoby, które nie są konieczne do realizacji sprawy. Ponadto we wzorze tym dodano zobowiązanie posiadacza tego rodzaju dokumentu do jego zwrotu niezwłocznie po wykorzystaniu lub utracie prawa do korzystania z takiego dokumentu</w:t>
      </w:r>
      <w:r>
        <w:rPr>
          <w:rFonts w:cstheme="minorHAnsi"/>
          <w:color w:val="000000" w:themeColor="text1"/>
          <w:sz w:val="24"/>
          <w:szCs w:val="24"/>
        </w:rPr>
        <w:t>,</w:t>
      </w:r>
    </w:p>
    <w:p w14:paraId="3A7CDEF7" w14:textId="0F5B2B74" w:rsidR="008A6127" w:rsidRPr="00753F57" w:rsidRDefault="00FA063C" w:rsidP="008A6127">
      <w:pPr>
        <w:jc w:val="both"/>
        <w:rPr>
          <w:rFonts w:cstheme="minorHAnsi"/>
          <w:color w:val="000000" w:themeColor="text1"/>
          <w:sz w:val="24"/>
          <w:szCs w:val="24"/>
        </w:rPr>
      </w:pPr>
      <w:r>
        <w:rPr>
          <w:rFonts w:cstheme="minorHAnsi"/>
          <w:color w:val="000000" w:themeColor="text1"/>
          <w:sz w:val="24"/>
          <w:szCs w:val="24"/>
        </w:rPr>
        <w:t>d</w:t>
      </w:r>
      <w:r w:rsidR="008A6127" w:rsidRPr="00753F57">
        <w:rPr>
          <w:rFonts w:cstheme="minorHAnsi"/>
          <w:color w:val="000000" w:themeColor="text1"/>
          <w:sz w:val="24"/>
          <w:szCs w:val="24"/>
        </w:rPr>
        <w:t xml:space="preserve">) </w:t>
      </w:r>
      <w:r w:rsidR="00002B23" w:rsidRPr="00753F57">
        <w:rPr>
          <w:rFonts w:cstheme="minorHAnsi"/>
          <w:color w:val="000000" w:themeColor="text1"/>
          <w:sz w:val="24"/>
          <w:szCs w:val="24"/>
        </w:rPr>
        <w:t>zamieszczeni</w:t>
      </w:r>
      <w:r w:rsidR="00002B23">
        <w:rPr>
          <w:rFonts w:cstheme="minorHAnsi"/>
          <w:color w:val="000000" w:themeColor="text1"/>
          <w:sz w:val="24"/>
          <w:szCs w:val="24"/>
        </w:rPr>
        <w:t>a</w:t>
      </w:r>
      <w:r w:rsidR="00002B23" w:rsidRPr="00753F57">
        <w:rPr>
          <w:rFonts w:cstheme="minorHAnsi"/>
          <w:color w:val="000000" w:themeColor="text1"/>
          <w:sz w:val="24"/>
          <w:szCs w:val="24"/>
        </w:rPr>
        <w:t xml:space="preserve"> </w:t>
      </w:r>
      <w:r w:rsidR="008A6127" w:rsidRPr="00753F57">
        <w:rPr>
          <w:rFonts w:cstheme="minorHAnsi"/>
          <w:color w:val="000000" w:themeColor="text1"/>
          <w:sz w:val="24"/>
          <w:szCs w:val="24"/>
        </w:rPr>
        <w:t xml:space="preserve">we wszystkich wzorach wniosków pouczenia o odpowiedzialności karnej za podanie nieprawdziwych danych lub zatajenie danych. </w:t>
      </w:r>
    </w:p>
    <w:p w14:paraId="63828D75" w14:textId="5FFC7221" w:rsidR="008A6127" w:rsidRPr="00753F57" w:rsidRDefault="008A6127" w:rsidP="008A6127">
      <w:pPr>
        <w:jc w:val="both"/>
        <w:rPr>
          <w:rFonts w:cstheme="minorHAnsi"/>
          <w:color w:val="000000" w:themeColor="text1"/>
          <w:sz w:val="24"/>
          <w:szCs w:val="24"/>
        </w:rPr>
      </w:pPr>
      <w:r w:rsidRPr="00753F57">
        <w:rPr>
          <w:rFonts w:cstheme="minorHAnsi"/>
          <w:color w:val="000000" w:themeColor="text1"/>
          <w:sz w:val="24"/>
          <w:szCs w:val="24"/>
        </w:rPr>
        <w:t>Projektowana zmiana wpływa na konieczność zmiany rozporządzenia Ministra Spraw Wewnętrznych i Administracji z dnia 16 sierpnia 2010 r. w sprawie dokumentów</w:t>
      </w:r>
      <w:r>
        <w:rPr>
          <w:rFonts w:cstheme="minorHAnsi"/>
          <w:color w:val="000000" w:themeColor="text1"/>
          <w:sz w:val="24"/>
          <w:szCs w:val="24"/>
        </w:rPr>
        <w:t xml:space="preserve"> </w:t>
      </w:r>
      <w:r w:rsidRPr="00753F57">
        <w:rPr>
          <w:rFonts w:cstheme="minorHAnsi"/>
          <w:color w:val="000000" w:themeColor="text1"/>
          <w:sz w:val="24"/>
          <w:szCs w:val="24"/>
        </w:rPr>
        <w:t>paszportowych, co oznacza konieczność dłuższe</w:t>
      </w:r>
      <w:r w:rsidR="00964513">
        <w:rPr>
          <w:rFonts w:cstheme="minorHAnsi"/>
          <w:color w:val="000000" w:themeColor="text1"/>
          <w:sz w:val="24"/>
          <w:szCs w:val="24"/>
        </w:rPr>
        <w:t>j</w:t>
      </w:r>
      <w:r w:rsidRPr="00753F57">
        <w:rPr>
          <w:rFonts w:cstheme="minorHAnsi"/>
          <w:color w:val="000000" w:themeColor="text1"/>
          <w:sz w:val="24"/>
          <w:szCs w:val="24"/>
        </w:rPr>
        <w:t xml:space="preserve"> vacatio legis wprowadzanej zmiany, tak aby odbiorcy nowych przepisów</w:t>
      </w:r>
      <w:r w:rsidR="00002B23">
        <w:rPr>
          <w:rFonts w:cstheme="minorHAnsi"/>
          <w:color w:val="000000" w:themeColor="text1"/>
          <w:sz w:val="24"/>
          <w:szCs w:val="24"/>
        </w:rPr>
        <w:t>,</w:t>
      </w:r>
      <w:r w:rsidRPr="00753F57">
        <w:rPr>
          <w:rFonts w:cstheme="minorHAnsi"/>
          <w:color w:val="000000" w:themeColor="text1"/>
          <w:sz w:val="24"/>
          <w:szCs w:val="24"/>
        </w:rPr>
        <w:t xml:space="preserve"> tj. obywatele oraz organy paszportowe</w:t>
      </w:r>
      <w:r>
        <w:rPr>
          <w:rFonts w:cstheme="minorHAnsi"/>
          <w:color w:val="000000" w:themeColor="text1"/>
          <w:sz w:val="24"/>
          <w:szCs w:val="24"/>
        </w:rPr>
        <w:t xml:space="preserve"> </w:t>
      </w:r>
      <w:r w:rsidRPr="00753F57">
        <w:rPr>
          <w:rFonts w:cstheme="minorHAnsi"/>
          <w:color w:val="000000" w:themeColor="text1"/>
          <w:sz w:val="24"/>
          <w:szCs w:val="24"/>
        </w:rPr>
        <w:t>w kraju i za granicą</w:t>
      </w:r>
      <w:r w:rsidR="00002B23">
        <w:rPr>
          <w:rFonts w:cstheme="minorHAnsi"/>
          <w:color w:val="000000" w:themeColor="text1"/>
          <w:sz w:val="24"/>
          <w:szCs w:val="24"/>
        </w:rPr>
        <w:t>,</w:t>
      </w:r>
      <w:r w:rsidRPr="00753F57">
        <w:rPr>
          <w:rFonts w:cstheme="minorHAnsi"/>
          <w:color w:val="000000" w:themeColor="text1"/>
          <w:sz w:val="24"/>
          <w:szCs w:val="24"/>
        </w:rPr>
        <w:t xml:space="preserve"> mogli się do niej właściwie przygotować. W szczególności chodzi o umożliwienie organom paszportowym w kraju oraz za granicą maksymalne</w:t>
      </w:r>
      <w:r w:rsidR="00002B23">
        <w:rPr>
          <w:rFonts w:cstheme="minorHAnsi"/>
          <w:color w:val="000000" w:themeColor="text1"/>
          <w:sz w:val="24"/>
          <w:szCs w:val="24"/>
        </w:rPr>
        <w:t>go</w:t>
      </w:r>
      <w:r w:rsidRPr="00753F57">
        <w:rPr>
          <w:rFonts w:cstheme="minorHAnsi"/>
          <w:color w:val="000000" w:themeColor="text1"/>
          <w:sz w:val="24"/>
          <w:szCs w:val="24"/>
        </w:rPr>
        <w:t xml:space="preserve"> </w:t>
      </w:r>
      <w:r w:rsidR="00002B23" w:rsidRPr="00753F57">
        <w:rPr>
          <w:rFonts w:cstheme="minorHAnsi"/>
          <w:color w:val="000000" w:themeColor="text1"/>
          <w:sz w:val="24"/>
          <w:szCs w:val="24"/>
        </w:rPr>
        <w:t>wykorzystani</w:t>
      </w:r>
      <w:r w:rsidR="00002B23">
        <w:rPr>
          <w:rFonts w:cstheme="minorHAnsi"/>
          <w:color w:val="000000" w:themeColor="text1"/>
          <w:sz w:val="24"/>
          <w:szCs w:val="24"/>
        </w:rPr>
        <w:t>a</w:t>
      </w:r>
      <w:r w:rsidR="00002B23" w:rsidRPr="00753F57">
        <w:rPr>
          <w:rFonts w:cstheme="minorHAnsi"/>
          <w:color w:val="000000" w:themeColor="text1"/>
          <w:sz w:val="24"/>
          <w:szCs w:val="24"/>
        </w:rPr>
        <w:t xml:space="preserve"> </w:t>
      </w:r>
      <w:r w:rsidRPr="00753F57">
        <w:rPr>
          <w:rFonts w:cstheme="minorHAnsi"/>
          <w:color w:val="000000" w:themeColor="text1"/>
          <w:sz w:val="24"/>
          <w:szCs w:val="24"/>
        </w:rPr>
        <w:t xml:space="preserve">zgromadzonych zapasów wniosków dotychczasowych wzorów. Ponadto potrzebne jest zapewnienie odpowiedniego czasu na proces legislacyjny zmiany rozporządzenia </w:t>
      </w:r>
      <w:r w:rsidR="00FA063C" w:rsidRPr="00FA063C">
        <w:rPr>
          <w:rFonts w:cstheme="minorHAnsi"/>
          <w:color w:val="000000" w:themeColor="text1"/>
          <w:sz w:val="24"/>
          <w:szCs w:val="24"/>
        </w:rPr>
        <w:t>Ministra Spraw Wewnętrznych i Administracji</w:t>
      </w:r>
      <w:r w:rsidR="00FA063C" w:rsidRPr="00FA063C" w:rsidDel="00FA063C">
        <w:rPr>
          <w:rFonts w:cstheme="minorHAnsi"/>
          <w:color w:val="000000" w:themeColor="text1"/>
          <w:sz w:val="24"/>
          <w:szCs w:val="24"/>
        </w:rPr>
        <w:t xml:space="preserve"> </w:t>
      </w:r>
      <w:r w:rsidR="00FA063C" w:rsidRPr="00FA063C">
        <w:rPr>
          <w:rFonts w:cstheme="minorHAnsi"/>
          <w:color w:val="000000" w:themeColor="text1"/>
          <w:sz w:val="24"/>
          <w:szCs w:val="24"/>
        </w:rPr>
        <w:t xml:space="preserve">z dnia 16 sierpnia 2010 r. </w:t>
      </w:r>
      <w:r w:rsidRPr="00753F57">
        <w:rPr>
          <w:rFonts w:cstheme="minorHAnsi"/>
          <w:color w:val="000000" w:themeColor="text1"/>
          <w:sz w:val="24"/>
          <w:szCs w:val="24"/>
        </w:rPr>
        <w:t xml:space="preserve">w sprawie dokumentów paszportowych. </w:t>
      </w:r>
    </w:p>
    <w:p w14:paraId="60F18A26" w14:textId="366A92B5" w:rsidR="008A6127" w:rsidRPr="008A6127" w:rsidRDefault="008A6127" w:rsidP="008A6127">
      <w:r w:rsidRPr="00753F57">
        <w:rPr>
          <w:rFonts w:cstheme="minorHAnsi"/>
          <w:color w:val="000000" w:themeColor="text1"/>
          <w:sz w:val="24"/>
          <w:szCs w:val="24"/>
        </w:rPr>
        <w:t>Z tego względu proponuje się, aby zmiana ta weszła w życie po upływie 90 dni od dnia wejścia w życie ustawy</w:t>
      </w:r>
      <w:r>
        <w:rPr>
          <w:rFonts w:cstheme="minorHAnsi"/>
          <w:color w:val="000000" w:themeColor="text1"/>
          <w:sz w:val="24"/>
          <w:szCs w:val="24"/>
        </w:rPr>
        <w:t>.</w:t>
      </w:r>
    </w:p>
    <w:p w14:paraId="69E1658F" w14:textId="68141C5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Dokumenty paszportowe są jednym z dwóch rodzajów dokumentów, które potwierdzają tożsamość obywateli polskich, umożliwiając przede wszystkim przekraczanie granic</w:t>
      </w:r>
      <w:r w:rsidR="00002B23">
        <w:rPr>
          <w:rFonts w:cstheme="minorHAnsi"/>
          <w:color w:val="000000" w:themeColor="text1"/>
          <w:sz w:val="24"/>
          <w:szCs w:val="24"/>
        </w:rPr>
        <w:t>.</w:t>
      </w:r>
      <w:r w:rsidRPr="00375799">
        <w:rPr>
          <w:rFonts w:cstheme="minorHAnsi"/>
          <w:color w:val="000000" w:themeColor="text1"/>
          <w:sz w:val="24"/>
          <w:szCs w:val="24"/>
        </w:rPr>
        <w:t xml:space="preserve"> Dokument ten daje rękojmię prawdziwości zawartych w nim danych nie tylko polskim organom, ale przede wszystkim organom innych państw. W związku z tym, w celu jednoznacznego przypisania określonej osoby do wydanego jej dokumentu i zapewnienie tym samym pewności obrotu prawno-administracyjnego, prowadzone są ewidencje paszportowe, centralna ewidencja wydanych i unieważnionych dokumentów paszportowych oraz gromadzona jest odpowiednia dokumentacja. W związku z powyższym przetwarzanie danych osobowych na potrzeby wydawania dokumentów paszportowych jest uregulowane w sposób szczególny w już obecnie obowiązującej ustawie o dokumentach paszportowych.</w:t>
      </w:r>
    </w:p>
    <w:p w14:paraId="07021F88" w14:textId="45B4F4A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Ustawa </w:t>
      </w:r>
      <w:r w:rsidR="00E24677" w:rsidRPr="00E24677">
        <w:rPr>
          <w:rFonts w:cstheme="minorHAnsi"/>
          <w:color w:val="000000" w:themeColor="text1"/>
          <w:sz w:val="24"/>
          <w:szCs w:val="24"/>
        </w:rPr>
        <w:t>z dnia 13 lipca 2006 r.</w:t>
      </w:r>
      <w:r w:rsidR="00E24677">
        <w:rPr>
          <w:rFonts w:cstheme="minorHAnsi"/>
          <w:color w:val="000000" w:themeColor="text1"/>
          <w:sz w:val="24"/>
          <w:szCs w:val="24"/>
        </w:rPr>
        <w:t xml:space="preserve"> </w:t>
      </w:r>
      <w:r w:rsidRPr="00375799">
        <w:rPr>
          <w:rFonts w:cstheme="minorHAnsi"/>
          <w:color w:val="000000" w:themeColor="text1"/>
          <w:sz w:val="24"/>
          <w:szCs w:val="24"/>
        </w:rPr>
        <w:t>o dokumentach paszportowych nie zawierała szczegółowych regulacji dotyczących przetwarzania danych osobowych</w:t>
      </w:r>
      <w:r w:rsidR="00002B23">
        <w:rPr>
          <w:rFonts w:cstheme="minorHAnsi"/>
          <w:color w:val="000000" w:themeColor="text1"/>
          <w:sz w:val="24"/>
          <w:szCs w:val="24"/>
        </w:rPr>
        <w:t>,</w:t>
      </w:r>
      <w:r w:rsidRPr="00375799">
        <w:rPr>
          <w:rFonts w:cstheme="minorHAnsi"/>
          <w:color w:val="000000" w:themeColor="text1"/>
          <w:sz w:val="24"/>
          <w:szCs w:val="24"/>
        </w:rPr>
        <w:t xml:space="preserve"> w tym zasad ich zbierania, zakresu zbieranych danych, wskazania właściwości i zadań organów w zakresie </w:t>
      </w:r>
      <w:r w:rsidRPr="00375799">
        <w:rPr>
          <w:rFonts w:cstheme="minorHAnsi"/>
          <w:color w:val="000000" w:themeColor="text1"/>
          <w:sz w:val="24"/>
          <w:szCs w:val="24"/>
        </w:rPr>
        <w:lastRenderedPageBreak/>
        <w:t>zapewnienia bezpieczeństwa przetwarzanych danych, trybu usuwania niezgodności w zakresie gromadzonych danych, zasad dostępu do danych dla osób, których dane dotyczą</w:t>
      </w:r>
      <w:r w:rsidR="00002B23">
        <w:rPr>
          <w:rFonts w:cstheme="minorHAnsi"/>
          <w:color w:val="000000" w:themeColor="text1"/>
          <w:sz w:val="24"/>
          <w:szCs w:val="24"/>
        </w:rPr>
        <w:t>,</w:t>
      </w:r>
      <w:r w:rsidRPr="00375799">
        <w:rPr>
          <w:rFonts w:cstheme="minorHAnsi"/>
          <w:color w:val="000000" w:themeColor="text1"/>
          <w:sz w:val="24"/>
          <w:szCs w:val="24"/>
        </w:rPr>
        <w:t xml:space="preserve"> czy też czasu przechowywania danych.</w:t>
      </w:r>
    </w:p>
    <w:p w14:paraId="77804C31" w14:textId="77777777" w:rsidR="00713DA6"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 </w:t>
      </w:r>
    </w:p>
    <w:p w14:paraId="0FF7DEF4" w14:textId="641D0B1F" w:rsidR="00713DA6" w:rsidRPr="00375799" w:rsidRDefault="00713DA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Dostosowanie ustawy </w:t>
      </w:r>
      <w:r w:rsidR="00964513">
        <w:rPr>
          <w:rFonts w:cstheme="minorHAnsi"/>
          <w:color w:val="000000" w:themeColor="text1"/>
          <w:sz w:val="24"/>
          <w:szCs w:val="24"/>
        </w:rPr>
        <w:t xml:space="preserve">o dokumentach paszportowych </w:t>
      </w:r>
      <w:r w:rsidRPr="00375799">
        <w:rPr>
          <w:rFonts w:cstheme="minorHAnsi"/>
          <w:color w:val="000000" w:themeColor="text1"/>
          <w:sz w:val="24"/>
          <w:szCs w:val="24"/>
        </w:rPr>
        <w:t xml:space="preserve">do </w:t>
      </w:r>
      <w:r w:rsidR="00A86238" w:rsidRPr="00375799">
        <w:rPr>
          <w:rFonts w:cstheme="minorHAnsi"/>
          <w:color w:val="000000" w:themeColor="text1"/>
          <w:sz w:val="24"/>
          <w:szCs w:val="24"/>
        </w:rPr>
        <w:t xml:space="preserve">RODO </w:t>
      </w:r>
      <w:r w:rsidRPr="00375799">
        <w:rPr>
          <w:rFonts w:cstheme="minorHAnsi"/>
          <w:color w:val="000000" w:themeColor="text1"/>
          <w:sz w:val="24"/>
          <w:szCs w:val="24"/>
        </w:rPr>
        <w:t xml:space="preserve">polegało przede wszystkim na wprowadzeniu </w:t>
      </w:r>
      <w:proofErr w:type="spellStart"/>
      <w:r w:rsidRPr="00375799">
        <w:rPr>
          <w:rFonts w:cstheme="minorHAnsi"/>
          <w:color w:val="000000" w:themeColor="text1"/>
          <w:sz w:val="24"/>
          <w:szCs w:val="24"/>
        </w:rPr>
        <w:t>doprecyzowań</w:t>
      </w:r>
      <w:proofErr w:type="spellEnd"/>
      <w:r w:rsidRPr="00375799">
        <w:rPr>
          <w:rFonts w:cstheme="minorHAnsi"/>
          <w:color w:val="000000" w:themeColor="text1"/>
          <w:sz w:val="24"/>
          <w:szCs w:val="24"/>
        </w:rPr>
        <w:t xml:space="preserve"> w ww. kwestiach oraz służyło wyjaśnieniu: </w:t>
      </w:r>
    </w:p>
    <w:p w14:paraId="3330E087" w14:textId="77777777" w:rsidR="00713DA6" w:rsidRPr="00375799" w:rsidRDefault="00713DA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w:t>
      </w:r>
      <w:r w:rsidRPr="00375799">
        <w:rPr>
          <w:rFonts w:cstheme="minorHAnsi"/>
          <w:color w:val="000000" w:themeColor="text1"/>
          <w:sz w:val="24"/>
          <w:szCs w:val="24"/>
        </w:rPr>
        <w:tab/>
        <w:t>zasad przetwarzania danych osobowych w związku z wykonywaniem zadania publicznego, jakim jest wydawanie obywatelom polskim dokumentów paszportowych;</w:t>
      </w:r>
    </w:p>
    <w:p w14:paraId="7522631F" w14:textId="5FA93D3F" w:rsidR="00713DA6" w:rsidRPr="00375799" w:rsidRDefault="00713DA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w:t>
      </w:r>
      <w:r w:rsidRPr="00375799">
        <w:rPr>
          <w:rFonts w:cstheme="minorHAnsi"/>
          <w:color w:val="000000" w:themeColor="text1"/>
          <w:sz w:val="24"/>
          <w:szCs w:val="24"/>
        </w:rPr>
        <w:tab/>
        <w:t>jakie organy i w jakim zakresie przetwarzają dane osobowe oraz wskazania jasnego podziału zadań związanych z przetwarzaniem danych osobowych w centralnej ewidencji wydanych i unieważnionych dokumentów paszportowych oraz w ewidencjach paszportowych, w tym określenie właściwości poszczególnych podmiotów, tj. ministra właściwego do spraw informatyzacji, ministra właściwego do spraw wewnętrznych, ministra właściwego do spraw zagranicznych, w zakresie zapewnienia bezpieczeństwa przetwarzania danych osobowych centralnej ewidencji wydanych i unieważnionych dokumentów paszportowych i ewidencji paszportowych i przetwarzanych w nich danych osobowych</w:t>
      </w:r>
      <w:r w:rsidR="00002B23">
        <w:rPr>
          <w:rFonts w:cstheme="minorHAnsi"/>
          <w:color w:val="000000" w:themeColor="text1"/>
          <w:sz w:val="24"/>
          <w:szCs w:val="24"/>
        </w:rPr>
        <w:t>.</w:t>
      </w:r>
      <w:r w:rsidRPr="00375799">
        <w:rPr>
          <w:rFonts w:cstheme="minorHAnsi"/>
          <w:color w:val="000000" w:themeColor="text1"/>
          <w:sz w:val="24"/>
          <w:szCs w:val="24"/>
        </w:rPr>
        <w:t xml:space="preserve"> Doprecyzowano również (w art. 49a ust. 2 oraz art. 49b ust. 4 tej ustawy) kwestie wykonywania art. 15 RODO poprzez wskazanie, które organy będą odpowiedzialne za realizację obowiązku, o którym mowa w art. 15 RODO (odpowiednio minister właściwy do spraw informatyzacji oraz organy paszportowe)</w:t>
      </w:r>
      <w:r w:rsidR="00E24677">
        <w:rPr>
          <w:rFonts w:cstheme="minorHAnsi"/>
          <w:color w:val="000000" w:themeColor="text1"/>
          <w:sz w:val="24"/>
          <w:szCs w:val="24"/>
        </w:rPr>
        <w:t>;</w:t>
      </w:r>
    </w:p>
    <w:p w14:paraId="459B244F" w14:textId="7A9F8B1A" w:rsidR="00713DA6" w:rsidRPr="00375799" w:rsidRDefault="00713DA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w:t>
      </w:r>
      <w:r w:rsidRPr="00375799">
        <w:rPr>
          <w:rFonts w:cstheme="minorHAnsi"/>
          <w:color w:val="000000" w:themeColor="text1"/>
          <w:sz w:val="24"/>
          <w:szCs w:val="24"/>
        </w:rPr>
        <w:tab/>
        <w:t>jakiego rodzaju dane są przetwarzane w centralnej ewidencji wydanych i unieważnionych dokumentów paszportowych i w ewidencjach paszportowych, a także określeniu, iż danych zgromadzonych w ww. ewidencjach nie usuwa się, z wyjątkiem danych określonych w art. 46 ust. 4 pk</w:t>
      </w:r>
      <w:r w:rsidR="00E24677">
        <w:rPr>
          <w:rFonts w:cstheme="minorHAnsi"/>
          <w:color w:val="000000" w:themeColor="text1"/>
          <w:sz w:val="24"/>
          <w:szCs w:val="24"/>
        </w:rPr>
        <w:t xml:space="preserve">t </w:t>
      </w:r>
      <w:r w:rsidRPr="00375799">
        <w:rPr>
          <w:rFonts w:cstheme="minorHAnsi"/>
          <w:color w:val="000000" w:themeColor="text1"/>
          <w:sz w:val="24"/>
          <w:szCs w:val="24"/>
        </w:rPr>
        <w:t xml:space="preserve">4 </w:t>
      </w:r>
      <w:r w:rsidR="00964513">
        <w:rPr>
          <w:rFonts w:cstheme="minorHAnsi"/>
          <w:color w:val="000000" w:themeColor="text1"/>
          <w:sz w:val="24"/>
          <w:szCs w:val="24"/>
        </w:rPr>
        <w:t xml:space="preserve">ustawy o dokumentach paszportowych </w:t>
      </w:r>
      <w:r w:rsidRPr="00375799">
        <w:rPr>
          <w:rFonts w:cstheme="minorHAnsi"/>
          <w:color w:val="000000" w:themeColor="text1"/>
          <w:sz w:val="24"/>
          <w:szCs w:val="24"/>
        </w:rPr>
        <w:t>(tj. biometrycznych w postaci odcisków palców);</w:t>
      </w:r>
    </w:p>
    <w:p w14:paraId="2FAC5200" w14:textId="55A84FE4" w:rsidR="008706DD" w:rsidRPr="00375799" w:rsidRDefault="00713DA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4)</w:t>
      </w:r>
      <w:r w:rsidRPr="00375799">
        <w:rPr>
          <w:rFonts w:cstheme="minorHAnsi"/>
          <w:color w:val="000000" w:themeColor="text1"/>
          <w:sz w:val="24"/>
          <w:szCs w:val="24"/>
        </w:rPr>
        <w:tab/>
        <w:t>zasad i trybu udostępniania danych osobowych z centralnej ewidencji wydanych i unieważnionych dokumentów paszportowych oraz z ewidencji paszportowych na wniosek uprawnionych, ściśle określonych w ustawie podmiotów i tylko w zakresie niezbędnym do wykonywania ustawowych zadań (np. Agencji Bezpieczeństwa Wewnętrznego, Agencji Wywiadu czy Centralnemu Biuru Antykorupcyjnemu). Ponadto wprowadzono możliwość uzyskania przez osobę</w:t>
      </w:r>
      <w:r w:rsidR="00002B23">
        <w:rPr>
          <w:rFonts w:cstheme="minorHAnsi"/>
          <w:color w:val="000000" w:themeColor="text1"/>
          <w:sz w:val="24"/>
          <w:szCs w:val="24"/>
        </w:rPr>
        <w:t>,</w:t>
      </w:r>
      <w:r w:rsidRPr="00375799">
        <w:rPr>
          <w:rFonts w:cstheme="minorHAnsi"/>
          <w:color w:val="000000" w:themeColor="text1"/>
          <w:sz w:val="24"/>
          <w:szCs w:val="24"/>
        </w:rPr>
        <w:t xml:space="preserve"> której dane dotyczą</w:t>
      </w:r>
      <w:r w:rsidR="00002B23">
        <w:rPr>
          <w:rFonts w:cstheme="minorHAnsi"/>
          <w:color w:val="000000" w:themeColor="text1"/>
          <w:sz w:val="24"/>
          <w:szCs w:val="24"/>
        </w:rPr>
        <w:t>,</w:t>
      </w:r>
      <w:r w:rsidRPr="00375799">
        <w:rPr>
          <w:rFonts w:cstheme="minorHAnsi"/>
          <w:color w:val="000000" w:themeColor="text1"/>
          <w:sz w:val="24"/>
          <w:szCs w:val="24"/>
        </w:rPr>
        <w:t xml:space="preserve"> tzw. zaświadczenia o ,,danych własnych”, (wprowadzane w projektowanym art. 54f ustawy </w:t>
      </w:r>
      <w:r w:rsidR="00E24677" w:rsidRPr="00E24677">
        <w:rPr>
          <w:rFonts w:cstheme="minorHAnsi"/>
          <w:color w:val="000000" w:themeColor="text1"/>
          <w:sz w:val="24"/>
          <w:szCs w:val="24"/>
        </w:rPr>
        <w:t xml:space="preserve">z dnia 13 lipca 2006 r. </w:t>
      </w:r>
      <w:r w:rsidRPr="00375799">
        <w:rPr>
          <w:rFonts w:cstheme="minorHAnsi"/>
          <w:color w:val="000000" w:themeColor="text1"/>
          <w:sz w:val="24"/>
          <w:szCs w:val="24"/>
        </w:rPr>
        <w:t>o dokumentach paszportowych), które ma charakter zaświadczenia w rozumieniu przepisów postępowania administracyjnego. Zaświadczenie będzie posiadało określoną wartość dowodową i może być wykorzystywane np. w postępowaniach sądowych lub administracyjnych.</w:t>
      </w:r>
    </w:p>
    <w:p w14:paraId="00D2A97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CBBD714" w14:textId="29A57E6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93" w:name="_Toc530565065"/>
      <w:r w:rsidRPr="00375799">
        <w:rPr>
          <w:rFonts w:asciiTheme="minorHAnsi" w:hAnsiTheme="minorHAnsi" w:cstheme="minorHAnsi"/>
          <w:color w:val="000000" w:themeColor="text1"/>
          <w:sz w:val="24"/>
          <w:szCs w:val="24"/>
        </w:rPr>
        <w:t xml:space="preserve">Ustawa z dnia 21 lipca 2006 r. o nadzorze nad rynkiem finansowym </w:t>
      </w:r>
      <w:r w:rsidR="005129A9" w:rsidRPr="00375799">
        <w:rPr>
          <w:rFonts w:asciiTheme="minorHAnsi" w:hAnsiTheme="minorHAnsi" w:cstheme="minorHAnsi"/>
          <w:color w:val="000000" w:themeColor="text1"/>
          <w:sz w:val="24"/>
          <w:szCs w:val="24"/>
        </w:rPr>
        <w:t>(Dz. U. z 2018 r. poz. 621, 650, 685 i 1075)</w:t>
      </w:r>
      <w:bookmarkEnd w:id="93"/>
    </w:p>
    <w:p w14:paraId="3D36F17C"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4523C5EF" w14:textId="350DC9CD" w:rsidR="00B8253A" w:rsidRPr="00375799" w:rsidRDefault="00B8253A" w:rsidP="00C15B44">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Zmiana w ustawie </w:t>
      </w:r>
      <w:r w:rsidR="00964513">
        <w:rPr>
          <w:rFonts w:cstheme="minorHAnsi"/>
          <w:color w:val="000000" w:themeColor="text1"/>
          <w:sz w:val="24"/>
          <w:szCs w:val="24"/>
        </w:rPr>
        <w:t xml:space="preserve">z dnia 21 lipca 2006 r. </w:t>
      </w:r>
      <w:r w:rsidRPr="00375799">
        <w:rPr>
          <w:rFonts w:cstheme="minorHAnsi"/>
          <w:color w:val="000000" w:themeColor="text1"/>
          <w:sz w:val="24"/>
          <w:szCs w:val="24"/>
        </w:rPr>
        <w:t>o nadzorze nad rynkiem finansowym</w:t>
      </w:r>
      <w:r w:rsidR="00964513">
        <w:rPr>
          <w:rFonts w:cstheme="minorHAnsi"/>
          <w:color w:val="000000" w:themeColor="text1"/>
          <w:sz w:val="24"/>
          <w:szCs w:val="24"/>
        </w:rPr>
        <w:t>, zwanej dalej „ustawą o nadzorze nad wynikiem finansowym”</w:t>
      </w:r>
      <w:r w:rsidRPr="00375799">
        <w:rPr>
          <w:rFonts w:cstheme="minorHAnsi"/>
          <w:color w:val="000000" w:themeColor="text1"/>
          <w:sz w:val="24"/>
          <w:szCs w:val="24"/>
        </w:rPr>
        <w:t xml:space="preserve"> polega na dodaniu nowego art. 4a. Proponowany przepis wskazuj</w:t>
      </w:r>
      <w:r w:rsidR="00A31141" w:rsidRPr="00375799">
        <w:rPr>
          <w:rFonts w:cstheme="minorHAnsi"/>
          <w:color w:val="000000" w:themeColor="text1"/>
          <w:sz w:val="24"/>
          <w:szCs w:val="24"/>
        </w:rPr>
        <w:t>e</w:t>
      </w:r>
      <w:r w:rsidRPr="00375799">
        <w:rPr>
          <w:rFonts w:cstheme="minorHAnsi"/>
          <w:color w:val="000000" w:themeColor="text1"/>
          <w:sz w:val="24"/>
          <w:szCs w:val="24"/>
        </w:rPr>
        <w:t>, że komisja w celu realizacji swoich ustawowych zadań</w:t>
      </w:r>
      <w:r w:rsidR="00A31141" w:rsidRPr="00375799">
        <w:rPr>
          <w:rFonts w:cstheme="minorHAnsi"/>
          <w:color w:val="000000" w:themeColor="text1"/>
          <w:sz w:val="24"/>
          <w:szCs w:val="24"/>
        </w:rPr>
        <w:t xml:space="preserve"> u</w:t>
      </w:r>
      <w:r w:rsidRPr="00375799">
        <w:rPr>
          <w:rFonts w:cstheme="minorHAnsi"/>
          <w:color w:val="000000" w:themeColor="text1"/>
          <w:sz w:val="24"/>
          <w:szCs w:val="24"/>
        </w:rPr>
        <w:t>prawniona jest do przetwarzania danych wrażliwych, o który</w:t>
      </w:r>
      <w:r w:rsidR="00A31141" w:rsidRPr="00375799">
        <w:rPr>
          <w:rFonts w:cstheme="minorHAnsi"/>
          <w:color w:val="000000" w:themeColor="text1"/>
          <w:sz w:val="24"/>
          <w:szCs w:val="24"/>
        </w:rPr>
        <w:t>ch mowa w art. 9 ust. 1 w RODO </w:t>
      </w:r>
      <w:r w:rsidRPr="00375799">
        <w:rPr>
          <w:rFonts w:cstheme="minorHAnsi"/>
          <w:color w:val="000000" w:themeColor="text1"/>
          <w:sz w:val="24"/>
          <w:szCs w:val="24"/>
        </w:rPr>
        <w:t>w zakresie danych dotyczących zdrowia. Wprowadzenie do ustawy ww. regulacji jest niezbędne w świetle podstaw przetwarzani</w:t>
      </w:r>
      <w:r w:rsidR="00A31141" w:rsidRPr="00375799">
        <w:rPr>
          <w:rFonts w:cstheme="minorHAnsi"/>
          <w:color w:val="000000" w:themeColor="text1"/>
          <w:sz w:val="24"/>
          <w:szCs w:val="24"/>
        </w:rPr>
        <w:t>a</w:t>
      </w:r>
      <w:r w:rsidRPr="00375799">
        <w:rPr>
          <w:rFonts w:cstheme="minorHAnsi"/>
          <w:color w:val="000000" w:themeColor="text1"/>
          <w:sz w:val="24"/>
          <w:szCs w:val="24"/>
        </w:rPr>
        <w:t xml:space="preserve"> danych wrażliwych określonych w RODO. Co do zasady zabrania się przetwarzania danych osobowych ujawniających pochodzenie rasowe lub etniczne, poglądy polityczne, przekonania religijne lub światopoglądowe, przynależność do związków zawodowych oraz przetwarzania danych genetycznych, danych biometrycznych w celu jednoznacznego zidentyfikowania osoby fizycznej lub danych dotyczących zdrowia, seksualności lub orientacji seksualnej tej osoby. Wyjątki od tak sformułowanego zakazu zostały enumeratywnie wskazane w art. 9 ust. 2 RODO. Tym samym dla legalnego przetwarzania tego rodzaju danych konieczne jest wykazanie zaistnienia jednej z przesłanek uchylających zakaz przetwarzania danych wrażliwych. Proponowany przepis umożliwiłby KNF przetwarzanie tych danych wrażliwych, w szczegó</w:t>
      </w:r>
      <w:r w:rsidR="00A31141" w:rsidRPr="00375799">
        <w:rPr>
          <w:rFonts w:cstheme="minorHAnsi"/>
          <w:color w:val="000000" w:themeColor="text1"/>
          <w:sz w:val="24"/>
          <w:szCs w:val="24"/>
        </w:rPr>
        <w:t>lności w zakresie stanu zdrowia</w:t>
      </w:r>
      <w:r w:rsidRPr="00375799">
        <w:rPr>
          <w:rFonts w:cstheme="minorHAnsi"/>
          <w:color w:val="000000" w:themeColor="text1"/>
          <w:sz w:val="24"/>
          <w:szCs w:val="24"/>
        </w:rPr>
        <w:t>.</w:t>
      </w:r>
    </w:p>
    <w:p w14:paraId="086D4DE0" w14:textId="36D5DEB4" w:rsidR="00B8253A" w:rsidRPr="00375799" w:rsidRDefault="00B8253A" w:rsidP="00C15B44">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uwagi na wprowadzenie ww. przepisu wprowadzono dodatkowe (wymagane przepisami RODO) zabezpieczenia w postaci wskazania, że ww. dane wrażliwe mogą przetwarzać wyłącznie osoby posiadające pisemne upoważnienie. Osoby posiadające pisemne upoważnienie są zobowiązane do zachowania tych danych w poufności na zasadach, o których mowa w art. 16 ust. 1 tej ustawy.  Wskazano też maksymalny okres przetwarzania danych</w:t>
      </w:r>
      <w:r w:rsidR="00002B23">
        <w:rPr>
          <w:rFonts w:cstheme="minorHAnsi"/>
          <w:color w:val="000000" w:themeColor="text1"/>
          <w:sz w:val="24"/>
          <w:szCs w:val="24"/>
        </w:rPr>
        <w:t>,</w:t>
      </w:r>
      <w:r w:rsidRPr="00375799">
        <w:rPr>
          <w:rFonts w:cstheme="minorHAnsi"/>
          <w:color w:val="000000" w:themeColor="text1"/>
          <w:sz w:val="24"/>
          <w:szCs w:val="24"/>
        </w:rPr>
        <w:t xml:space="preserve"> tj. 25 lat. Z uwagi na zakres przetwarzanych danych oraz cel tego przetwarzania zdecydowano się wprowadzić przepis, zgodnie z którym wystąpienie z żądaniem, o którym mowa w art. 18 ust. 1 rozporządzenia 2016/679, nie wpływa na przebieg i wynik postępowań, innych czynności nadzorczych, a także na korzystan</w:t>
      </w:r>
      <w:r w:rsidR="00A31141" w:rsidRPr="00375799">
        <w:rPr>
          <w:rFonts w:cstheme="minorHAnsi"/>
          <w:color w:val="000000" w:themeColor="text1"/>
          <w:sz w:val="24"/>
          <w:szCs w:val="24"/>
        </w:rPr>
        <w:t>ie z innych uprawnień, które przysługują</w:t>
      </w:r>
      <w:r w:rsidRPr="00375799">
        <w:rPr>
          <w:rFonts w:cstheme="minorHAnsi"/>
          <w:color w:val="000000" w:themeColor="text1"/>
          <w:sz w:val="24"/>
          <w:szCs w:val="24"/>
        </w:rPr>
        <w:t xml:space="preserve"> Komisji.  Żądanie ograniczenia przetwarzania danych nie wpływa też na możliwość złożenia zawiadomienia o podejrzeniu popełnienia przestępstwa oraz wykonanie obowiązków, o których mowa w art. 6b ustawy o nadzorze nad rynkiem finansowym. Na koniec wskazano, że Komisja jest administratorem danych dla danych osobowych przetwarzanych przez sąd polubowny, o którym mowa w art. 18 ust. 1 ustawy o nadzorze nad rynkiem finansowym</w:t>
      </w:r>
      <w:r w:rsidR="00002B23">
        <w:rPr>
          <w:rFonts w:cstheme="minorHAnsi"/>
          <w:color w:val="000000" w:themeColor="text1"/>
          <w:sz w:val="24"/>
          <w:szCs w:val="24"/>
        </w:rPr>
        <w:t>,</w:t>
      </w:r>
      <w:r w:rsidRPr="00375799">
        <w:rPr>
          <w:rFonts w:cstheme="minorHAnsi"/>
          <w:color w:val="000000" w:themeColor="text1"/>
          <w:sz w:val="24"/>
          <w:szCs w:val="24"/>
        </w:rPr>
        <w:t xml:space="preserve"> oraz przez komisje egzaminacyjne, o których mowa w ustawie </w:t>
      </w:r>
      <w:r w:rsidR="001A26ED" w:rsidRPr="001A26ED">
        <w:rPr>
          <w:rFonts w:cstheme="minorHAnsi"/>
          <w:color w:val="000000" w:themeColor="text1"/>
          <w:sz w:val="24"/>
          <w:szCs w:val="24"/>
        </w:rPr>
        <w:t>z dnia 15 grudnia 2017 r. o dystrybucji ubezpieczeń</w:t>
      </w:r>
      <w:r w:rsidRPr="00375799">
        <w:rPr>
          <w:rFonts w:cstheme="minorHAnsi"/>
          <w:color w:val="000000" w:themeColor="text1"/>
          <w:sz w:val="24"/>
          <w:szCs w:val="24"/>
        </w:rPr>
        <w:t>, ustawie z dnia 29 lipca 2005 r. o obrocie ins</w:t>
      </w:r>
      <w:r w:rsidR="007C1992">
        <w:rPr>
          <w:rFonts w:cstheme="minorHAnsi"/>
          <w:color w:val="000000" w:themeColor="text1"/>
          <w:sz w:val="24"/>
          <w:szCs w:val="24"/>
        </w:rPr>
        <w:t>trumentami finansowymi, ustawie</w:t>
      </w:r>
      <w:r w:rsidR="00002B23">
        <w:rPr>
          <w:rFonts w:cstheme="minorHAnsi"/>
          <w:color w:val="000000" w:themeColor="text1"/>
          <w:sz w:val="24"/>
          <w:szCs w:val="24"/>
        </w:rPr>
        <w:t xml:space="preserve"> </w:t>
      </w:r>
      <w:r w:rsidRPr="00375799">
        <w:rPr>
          <w:rFonts w:cstheme="minorHAnsi"/>
          <w:color w:val="000000" w:themeColor="text1"/>
          <w:sz w:val="24"/>
          <w:szCs w:val="24"/>
        </w:rPr>
        <w:t>o działalności ubezpieczeniowej i reasekuracyjnej i ustawie z dnia 23 marca 2017 r. o kredycie hipotecznym oraz o nadzorze nad pośrednikami kredytu hipotecznego i agentami. Praktyka stosowania przepisów wskazuje,  że konieczne jest przesądzenie wprost w ustawie</w:t>
      </w:r>
      <w:r w:rsidR="0020500C" w:rsidRPr="00375799">
        <w:rPr>
          <w:rFonts w:cstheme="minorHAnsi"/>
          <w:color w:val="000000" w:themeColor="text1"/>
          <w:sz w:val="24"/>
          <w:szCs w:val="24"/>
        </w:rPr>
        <w:t>,</w:t>
      </w:r>
      <w:r w:rsidRPr="00375799">
        <w:rPr>
          <w:rFonts w:cstheme="minorHAnsi"/>
          <w:color w:val="000000" w:themeColor="text1"/>
          <w:sz w:val="24"/>
          <w:szCs w:val="24"/>
        </w:rPr>
        <w:t xml:space="preserve"> kto jest administrator</w:t>
      </w:r>
      <w:r w:rsidR="00002B23">
        <w:rPr>
          <w:rFonts w:cstheme="minorHAnsi"/>
          <w:color w:val="000000" w:themeColor="text1"/>
          <w:sz w:val="24"/>
          <w:szCs w:val="24"/>
        </w:rPr>
        <w:t>em</w:t>
      </w:r>
      <w:r w:rsidRPr="00375799">
        <w:rPr>
          <w:rFonts w:cstheme="minorHAnsi"/>
          <w:color w:val="000000" w:themeColor="text1"/>
          <w:sz w:val="24"/>
          <w:szCs w:val="24"/>
        </w:rPr>
        <w:t xml:space="preserve"> danych ww. zakresie. </w:t>
      </w:r>
    </w:p>
    <w:p w14:paraId="650D02C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3F309BA2" w14:textId="1B043B16"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94" w:name="_Toc530565066"/>
      <w:r w:rsidRPr="00375799">
        <w:rPr>
          <w:rFonts w:asciiTheme="minorHAnsi" w:hAnsiTheme="minorHAnsi" w:cstheme="minorHAnsi"/>
          <w:color w:val="000000" w:themeColor="text1"/>
          <w:sz w:val="24"/>
          <w:szCs w:val="24"/>
        </w:rPr>
        <w:t>Ustawa z dnia 25 sierpnia 2006 r. o biokomponentach i biopaliwach ciekłych</w:t>
      </w:r>
      <w:r w:rsidR="005129A9" w:rsidRPr="00375799">
        <w:rPr>
          <w:rFonts w:asciiTheme="minorHAnsi" w:hAnsiTheme="minorHAnsi" w:cstheme="minorHAnsi"/>
          <w:color w:val="000000" w:themeColor="text1"/>
          <w:sz w:val="24"/>
          <w:szCs w:val="24"/>
        </w:rPr>
        <w:t xml:space="preserve"> (Dz. U. z 201</w:t>
      </w:r>
      <w:r w:rsidR="00FB09B3">
        <w:rPr>
          <w:rFonts w:asciiTheme="minorHAnsi" w:hAnsiTheme="minorHAnsi" w:cstheme="minorHAnsi"/>
          <w:color w:val="000000" w:themeColor="text1"/>
          <w:sz w:val="24"/>
          <w:szCs w:val="24"/>
        </w:rPr>
        <w:t>8</w:t>
      </w:r>
      <w:r w:rsidR="005129A9" w:rsidRPr="00375799">
        <w:rPr>
          <w:rFonts w:asciiTheme="minorHAnsi" w:hAnsiTheme="minorHAnsi" w:cstheme="minorHAnsi"/>
          <w:color w:val="000000" w:themeColor="text1"/>
          <w:sz w:val="24"/>
          <w:szCs w:val="24"/>
        </w:rPr>
        <w:t xml:space="preserve"> r. poz. </w:t>
      </w:r>
      <w:r w:rsidR="00FB09B3">
        <w:rPr>
          <w:rFonts w:asciiTheme="minorHAnsi" w:hAnsiTheme="minorHAnsi" w:cstheme="minorHAnsi"/>
          <w:color w:val="000000" w:themeColor="text1"/>
          <w:sz w:val="24"/>
          <w:szCs w:val="24"/>
        </w:rPr>
        <w:t>1344, 1356 i 1629</w:t>
      </w:r>
      <w:r w:rsidR="005129A9" w:rsidRPr="00375799">
        <w:rPr>
          <w:rFonts w:asciiTheme="minorHAnsi" w:hAnsiTheme="minorHAnsi" w:cstheme="minorHAnsi"/>
          <w:color w:val="000000" w:themeColor="text1"/>
          <w:sz w:val="24"/>
          <w:szCs w:val="24"/>
        </w:rPr>
        <w:t>)</w:t>
      </w:r>
      <w:bookmarkEnd w:id="94"/>
    </w:p>
    <w:p w14:paraId="46CF5BAF"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1BFD2D81" w14:textId="21D6320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Proponowana zmiana w art. 15 ust. 3 </w:t>
      </w:r>
      <w:r w:rsidR="00964513">
        <w:rPr>
          <w:rFonts w:cstheme="minorHAnsi"/>
          <w:color w:val="000000" w:themeColor="text1"/>
          <w:sz w:val="24"/>
          <w:szCs w:val="24"/>
        </w:rPr>
        <w:t xml:space="preserve">ustawy z dnia 25 sierpnia 2006 r. o biokomponentach i biopaliwach ciekłych </w:t>
      </w:r>
      <w:r w:rsidRPr="00375799">
        <w:rPr>
          <w:rFonts w:cstheme="minorHAnsi"/>
          <w:color w:val="000000" w:themeColor="text1"/>
          <w:sz w:val="24"/>
          <w:szCs w:val="24"/>
        </w:rPr>
        <w:t xml:space="preserve">wynika z konieczności zapewnienia należytej ochrony danych osobowych podmiotu wpisywanego do rejestru, zgodnie z wymaganiami nałożonymi przez </w:t>
      </w:r>
      <w:r w:rsidR="00A86238" w:rsidRPr="00375799">
        <w:rPr>
          <w:rFonts w:cstheme="minorHAnsi"/>
          <w:color w:val="000000" w:themeColor="text1"/>
          <w:sz w:val="24"/>
          <w:szCs w:val="24"/>
        </w:rPr>
        <w:t>RODO</w:t>
      </w:r>
      <w:r w:rsidRPr="00375799">
        <w:rPr>
          <w:rFonts w:cstheme="minorHAnsi"/>
          <w:color w:val="000000" w:themeColor="text1"/>
          <w:sz w:val="24"/>
          <w:szCs w:val="24"/>
        </w:rPr>
        <w:t>. Ochronie tej podlegają adresy zamieszkania rolników oraz adresy członków grup rolniczych</w:t>
      </w:r>
      <w:r w:rsidR="00FE6BEE" w:rsidRPr="00375799">
        <w:rPr>
          <w:rFonts w:cstheme="minorHAnsi"/>
          <w:color w:val="000000" w:themeColor="text1"/>
          <w:sz w:val="24"/>
          <w:szCs w:val="24"/>
        </w:rPr>
        <w:t>.</w:t>
      </w:r>
    </w:p>
    <w:p w14:paraId="5AC77B0A" w14:textId="77777777" w:rsidR="00993612" w:rsidRPr="00375799" w:rsidRDefault="00993612" w:rsidP="0055107B">
      <w:pPr>
        <w:spacing w:after="0" w:line="276" w:lineRule="auto"/>
        <w:ind w:left="57" w:right="57"/>
        <w:contextualSpacing/>
        <w:jc w:val="both"/>
        <w:rPr>
          <w:rFonts w:cstheme="minorHAnsi"/>
          <w:color w:val="000000" w:themeColor="text1"/>
          <w:sz w:val="24"/>
          <w:szCs w:val="24"/>
        </w:rPr>
      </w:pPr>
    </w:p>
    <w:p w14:paraId="31C80BEB" w14:textId="0C5B8579" w:rsidR="00993612"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95" w:name="_Toc530565067"/>
      <w:r w:rsidRPr="00375799">
        <w:rPr>
          <w:rFonts w:asciiTheme="minorHAnsi" w:hAnsiTheme="minorHAnsi" w:cstheme="minorHAnsi"/>
          <w:color w:val="000000" w:themeColor="text1"/>
          <w:sz w:val="24"/>
          <w:szCs w:val="24"/>
        </w:rPr>
        <w:t>Ustawa z dnia 8 września 2006 r. o Państwowym Ratownictwie Medycznym</w:t>
      </w:r>
      <w:r w:rsidR="00C6380C" w:rsidRPr="00375799">
        <w:rPr>
          <w:rFonts w:asciiTheme="minorHAnsi" w:hAnsiTheme="minorHAnsi" w:cstheme="minorHAnsi"/>
          <w:color w:val="000000" w:themeColor="text1"/>
          <w:sz w:val="24"/>
          <w:szCs w:val="24"/>
        </w:rPr>
        <w:t xml:space="preserve"> (Dz. U. z 2017 r. poz. 2195</w:t>
      </w:r>
      <w:r w:rsidR="00FB09B3">
        <w:rPr>
          <w:rFonts w:asciiTheme="minorHAnsi" w:hAnsiTheme="minorHAnsi" w:cstheme="minorHAnsi"/>
          <w:color w:val="000000" w:themeColor="text1"/>
          <w:sz w:val="24"/>
          <w:szCs w:val="24"/>
        </w:rPr>
        <w:t xml:space="preserve"> oraz z 2018 r. poz. 650, 1115, 1544, 1629 i 1669</w:t>
      </w:r>
      <w:r w:rsidR="00C6380C" w:rsidRPr="00375799">
        <w:rPr>
          <w:rFonts w:asciiTheme="minorHAnsi" w:hAnsiTheme="minorHAnsi" w:cstheme="minorHAnsi"/>
          <w:color w:val="000000" w:themeColor="text1"/>
          <w:sz w:val="24"/>
          <w:szCs w:val="24"/>
        </w:rPr>
        <w:t>)</w:t>
      </w:r>
      <w:bookmarkEnd w:id="95"/>
      <w:r w:rsidRPr="00375799">
        <w:rPr>
          <w:rFonts w:asciiTheme="minorHAnsi" w:hAnsiTheme="minorHAnsi" w:cstheme="minorHAnsi"/>
          <w:color w:val="000000" w:themeColor="text1"/>
          <w:sz w:val="24"/>
          <w:szCs w:val="24"/>
        </w:rPr>
        <w:t xml:space="preserve"> </w:t>
      </w:r>
    </w:p>
    <w:p w14:paraId="1B4B70A9" w14:textId="12EC82A8" w:rsidR="00C6380C" w:rsidRPr="00375799" w:rsidRDefault="00C6380C" w:rsidP="0055107B">
      <w:pPr>
        <w:spacing w:line="276" w:lineRule="auto"/>
        <w:contextualSpacing/>
        <w:jc w:val="both"/>
        <w:rPr>
          <w:rFonts w:cstheme="minorHAnsi"/>
          <w:color w:val="000000" w:themeColor="text1"/>
          <w:sz w:val="24"/>
          <w:szCs w:val="24"/>
        </w:rPr>
      </w:pPr>
    </w:p>
    <w:p w14:paraId="4AF549AF" w14:textId="0C25DD88" w:rsidR="00C6380C" w:rsidRPr="00375799" w:rsidRDefault="00C6380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Proponowane zmiany w ustawie z dnia 8 września 2006 r. o Państwowym Ratownictwie Medycznym mają na celu dostosowanie zasad funkcjonowania Systemu Wspomagania Dowodzenia Państwowego Ratownictwa Medycznego (SWD PRM), administratora i współadministratorów tego systemu do wymagań RODO. SWD PRM jest systemem teleinformatycznym, który – oprócz swych podstawowych funkcji związanych z obsługą zgłoszeń alarmowych i powiadomień o zdarzeniach – zapewnia także takie funkcje jak: prowadzenie i przetwarzanie dokumentacji medycznej, archiwizację zgłoszeń, sporządzanie raportów z działalności dyspozytorni medycznych i zespołów ratownictwa medycznego, układanie grafików pracy. Do systemu tego dostęp będą mieli: Minister Zdrowia, wojewodowie, dysponenci zespołów ratownictwa medycznego oraz Lotnicze Pogotowie Ratunkowe. Minister Zdrowia będzie pełnił rolę administratora, zaś pozostałe podmioty będą współadministratorami. Wynika to z faktu, iż centralne zarządzanie systemem będzie w gestii Ministra Zdrowia, zaś współadministratorzy będą uzupełniali dane w SWD PRM na podstawie danych wprowadzanych do systemu przez dyspozytorów medycznych oraz członków zespołów ratownictwa medycznego. Z tego względu należy określić zakres działań tych podmiotów celem zapewnienia bezpieczeństwa danych osobowych w tym systemie. Jednocześnie z uwagi na fakt, iż SWD PRM i podmioty realizujące zadania w tym systemie działają w oparciu o obowiązujące przepisy, to nie znajdują zastosowania przepisy art. 14, </w:t>
      </w:r>
      <w:r w:rsidR="00002B23">
        <w:rPr>
          <w:rFonts w:cstheme="minorHAnsi"/>
          <w:color w:val="000000" w:themeColor="text1"/>
          <w:sz w:val="24"/>
          <w:szCs w:val="24"/>
        </w:rPr>
        <w:t xml:space="preserve">art. </w:t>
      </w:r>
      <w:r w:rsidRPr="00375799">
        <w:rPr>
          <w:rFonts w:cstheme="minorHAnsi"/>
          <w:color w:val="000000" w:themeColor="text1"/>
          <w:sz w:val="24"/>
          <w:szCs w:val="24"/>
        </w:rPr>
        <w:t xml:space="preserve">17–18, </w:t>
      </w:r>
      <w:r w:rsidR="00002B23">
        <w:rPr>
          <w:rFonts w:cstheme="minorHAnsi"/>
          <w:color w:val="000000" w:themeColor="text1"/>
          <w:sz w:val="24"/>
          <w:szCs w:val="24"/>
        </w:rPr>
        <w:t xml:space="preserve">art. </w:t>
      </w:r>
      <w:r w:rsidRPr="00375799">
        <w:rPr>
          <w:rFonts w:cstheme="minorHAnsi"/>
          <w:color w:val="000000" w:themeColor="text1"/>
          <w:sz w:val="24"/>
          <w:szCs w:val="24"/>
        </w:rPr>
        <w:t xml:space="preserve">21 i </w:t>
      </w:r>
      <w:r w:rsidR="00002B23">
        <w:rPr>
          <w:rFonts w:cstheme="minorHAnsi"/>
          <w:color w:val="000000" w:themeColor="text1"/>
          <w:sz w:val="24"/>
          <w:szCs w:val="24"/>
        </w:rPr>
        <w:t xml:space="preserve">art. </w:t>
      </w:r>
      <w:r w:rsidRPr="00375799">
        <w:rPr>
          <w:rFonts w:cstheme="minorHAnsi"/>
          <w:color w:val="000000" w:themeColor="text1"/>
          <w:sz w:val="24"/>
          <w:szCs w:val="24"/>
        </w:rPr>
        <w:t>22 RODO. Natomiast realizacja obowiązku administratora i współadministratora, wynikającego z art. 13 RODO odbędzie się przez zamieszczenie stosownej informacji na stronie podmiotowej w Biuletynie Informacji Publicznej lub na stronie internetowej administratora i współadministratora. Jednocześnie stosowanie art. 15 RODO przez ministra właściwego do spraw zdrowia, wojewodę oraz dysponentów zespołów ratownictwa medycznego, w tym lotniczych, zostanie obwarowane dodatkowymi warunkami przez nałożenie na podmiot wnioskujący obowiązku doprecyzowania okoliczności związanych ze zdarzeniem. Takie rozwiązanie powinno umożliwić identyfikację zdarzenia, którego dotyczy wniosek</w:t>
      </w:r>
      <w:r w:rsidR="00002B23">
        <w:rPr>
          <w:rFonts w:cstheme="minorHAnsi"/>
          <w:color w:val="000000" w:themeColor="text1"/>
          <w:sz w:val="24"/>
          <w:szCs w:val="24"/>
        </w:rPr>
        <w:t>,</w:t>
      </w:r>
      <w:r w:rsidRPr="00375799">
        <w:rPr>
          <w:rFonts w:cstheme="minorHAnsi"/>
          <w:color w:val="000000" w:themeColor="text1"/>
          <w:sz w:val="24"/>
          <w:szCs w:val="24"/>
        </w:rPr>
        <w:t xml:space="preserve"> oraz ograniczy nadmierne żądania osób wnioskujących. </w:t>
      </w:r>
    </w:p>
    <w:p w14:paraId="3F18A84C" w14:textId="77777777" w:rsidR="00C6380C" w:rsidRPr="00375799" w:rsidRDefault="00C6380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Wykonywanie zadań związanych ze stosowaniem art. 16 RODO będzie możliwe wyłącznie przez podmioty, które będą wytwarzały stosowną dokumentację. W przypadku dokumentacji medycznej będą to dysponenci zespołów ratownictwa medycznego, w tym </w:t>
      </w:r>
      <w:r w:rsidRPr="00375799">
        <w:rPr>
          <w:rFonts w:cstheme="minorHAnsi"/>
          <w:color w:val="000000" w:themeColor="text1"/>
          <w:sz w:val="24"/>
          <w:szCs w:val="24"/>
        </w:rPr>
        <w:lastRenderedPageBreak/>
        <w:t xml:space="preserve">lotniczych. Natomiast w przypadku dokumentacji dyspozytorów medycznych realizacja tego obowiązku będzie zadaniem wojewody. </w:t>
      </w:r>
    </w:p>
    <w:p w14:paraId="2FFD50C4" w14:textId="23B05232" w:rsidR="00C6380C" w:rsidRPr="00375799" w:rsidRDefault="00C6380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Zadanie określone w art. 19 RODO dotyczące obowiązku informowania o sprostowaniu lub usunięciu danych osobowych lub ograniczenia przetwarzania będzie wykonywane przez ministra właściwego do spraw zdrowia, wojewodów oraz dysponentów zespołów ratownictwa medycznego, w tym lotniczych. Podobnie będzie wyglądała realizacja obowiązku wynikającego z art. 34 RODO.</w:t>
      </w:r>
    </w:p>
    <w:p w14:paraId="24102AEC" w14:textId="21DE946E" w:rsidR="00C6380C" w:rsidRPr="00375799" w:rsidRDefault="00C6380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Przyjęto, że przepisy ustawy wejdą w życie w terminie 14 dni od dnia ogłoszenia, z wyjątkiem przepisów dotyczących art. 96 pkt 1 i 2, które wejdą w życie z dniem 1 stycznia 2019 r., co związane jest z terminem przejęcia zadań administratora </w:t>
      </w:r>
      <w:r w:rsidR="00964513">
        <w:rPr>
          <w:rFonts w:cstheme="minorHAnsi"/>
          <w:color w:val="000000" w:themeColor="text1"/>
          <w:sz w:val="24"/>
          <w:szCs w:val="24"/>
        </w:rPr>
        <w:t>SWD</w:t>
      </w:r>
      <w:r w:rsidR="007C1992">
        <w:rPr>
          <w:rFonts w:cstheme="minorHAnsi"/>
          <w:color w:val="000000" w:themeColor="text1"/>
          <w:sz w:val="24"/>
          <w:szCs w:val="24"/>
        </w:rPr>
        <w:t xml:space="preserve"> </w:t>
      </w:r>
      <w:r w:rsidR="00964513">
        <w:rPr>
          <w:rFonts w:cstheme="minorHAnsi"/>
          <w:color w:val="000000" w:themeColor="text1"/>
          <w:sz w:val="24"/>
          <w:szCs w:val="24"/>
        </w:rPr>
        <w:t>PRM</w:t>
      </w:r>
      <w:r w:rsidRPr="00375799">
        <w:rPr>
          <w:rFonts w:cstheme="minorHAnsi"/>
          <w:color w:val="000000" w:themeColor="text1"/>
          <w:sz w:val="24"/>
          <w:szCs w:val="24"/>
        </w:rPr>
        <w:t xml:space="preserve"> przez ministra właściwego do spraw zdrowia.</w:t>
      </w:r>
    </w:p>
    <w:p w14:paraId="5762AEB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FD5B32A" w14:textId="2D72CE18"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96" w:name="_Toc530565068"/>
      <w:r w:rsidRPr="00375799">
        <w:rPr>
          <w:rFonts w:asciiTheme="minorHAnsi" w:hAnsiTheme="minorHAnsi" w:cstheme="minorHAnsi"/>
          <w:color w:val="000000" w:themeColor="text1"/>
          <w:sz w:val="24"/>
          <w:szCs w:val="24"/>
        </w:rPr>
        <w:t>Ustawa z dnia 12 stycznia 2007 r. o drogowych spółkach specjalnego przeznaczenia (Dz. U. z 2017 r. poz. 2093 oraz z 2018 r. poz. 12</w:t>
      </w:r>
      <w:r w:rsidR="00FB09B3">
        <w:rPr>
          <w:rFonts w:asciiTheme="minorHAnsi" w:hAnsiTheme="minorHAnsi" w:cstheme="minorHAnsi"/>
          <w:color w:val="000000" w:themeColor="text1"/>
          <w:sz w:val="24"/>
          <w:szCs w:val="24"/>
        </w:rPr>
        <w:t xml:space="preserve"> i 1693</w:t>
      </w:r>
      <w:r w:rsidRPr="00375799">
        <w:rPr>
          <w:rFonts w:asciiTheme="minorHAnsi" w:hAnsiTheme="minorHAnsi" w:cstheme="minorHAnsi"/>
          <w:color w:val="000000" w:themeColor="text1"/>
          <w:sz w:val="24"/>
          <w:szCs w:val="24"/>
        </w:rPr>
        <w:t>)</w:t>
      </w:r>
      <w:bookmarkEnd w:id="96"/>
      <w:r w:rsidRPr="00375799">
        <w:rPr>
          <w:rFonts w:asciiTheme="minorHAnsi" w:hAnsiTheme="minorHAnsi" w:cstheme="minorHAnsi"/>
          <w:color w:val="000000" w:themeColor="text1"/>
          <w:sz w:val="24"/>
          <w:szCs w:val="24"/>
        </w:rPr>
        <w:t xml:space="preserve"> </w:t>
      </w:r>
    </w:p>
    <w:p w14:paraId="361C14FB" w14:textId="77777777" w:rsidR="00DF5A13" w:rsidRPr="00375799" w:rsidRDefault="00DF5A13" w:rsidP="0055107B">
      <w:pPr>
        <w:spacing w:line="276" w:lineRule="auto"/>
        <w:contextualSpacing/>
        <w:rPr>
          <w:rFonts w:cstheme="minorHAnsi"/>
          <w:color w:val="000000" w:themeColor="text1"/>
          <w:sz w:val="24"/>
          <w:szCs w:val="24"/>
        </w:rPr>
      </w:pPr>
    </w:p>
    <w:p w14:paraId="5C49CD5E" w14:textId="4BE71C4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ustawie </w:t>
      </w:r>
      <w:r w:rsidR="00964513">
        <w:rPr>
          <w:rFonts w:cstheme="minorHAnsi"/>
          <w:color w:val="000000" w:themeColor="text1"/>
          <w:sz w:val="24"/>
          <w:szCs w:val="24"/>
        </w:rPr>
        <w:t xml:space="preserve">z dnia 17 stycznia 2007 r. o drogowych spółkach specjalnego przeznaczenia, a zwana dalej „n.d.s.s.p.”, </w:t>
      </w:r>
      <w:r w:rsidRPr="00375799">
        <w:rPr>
          <w:rFonts w:cstheme="minorHAnsi"/>
          <w:color w:val="000000" w:themeColor="text1"/>
          <w:sz w:val="24"/>
          <w:szCs w:val="24"/>
        </w:rPr>
        <w:t>proponuje się wprowadzenie dwóch zmian.</w:t>
      </w:r>
      <w:r w:rsidR="00DF5A13" w:rsidRPr="00375799">
        <w:rPr>
          <w:rFonts w:cstheme="minorHAnsi"/>
          <w:color w:val="000000" w:themeColor="text1"/>
          <w:sz w:val="24"/>
          <w:szCs w:val="24"/>
        </w:rPr>
        <w:t xml:space="preserve"> Dodano</w:t>
      </w:r>
      <w:r w:rsidRPr="00375799">
        <w:rPr>
          <w:rFonts w:cstheme="minorHAnsi"/>
          <w:color w:val="000000" w:themeColor="text1"/>
          <w:sz w:val="24"/>
          <w:szCs w:val="24"/>
        </w:rPr>
        <w:t xml:space="preserve"> art. 5a, który będzie miał zastosowanie w przypadku</w:t>
      </w:r>
      <w:r w:rsidR="00002B23">
        <w:rPr>
          <w:rFonts w:cstheme="minorHAnsi"/>
          <w:color w:val="000000" w:themeColor="text1"/>
          <w:sz w:val="24"/>
          <w:szCs w:val="24"/>
        </w:rPr>
        <w:t>,</w:t>
      </w:r>
      <w:r w:rsidRPr="00375799">
        <w:rPr>
          <w:rFonts w:cstheme="minorHAnsi"/>
          <w:color w:val="000000" w:themeColor="text1"/>
          <w:sz w:val="24"/>
          <w:szCs w:val="24"/>
        </w:rPr>
        <w:t xml:space="preserve"> gdy spółce powierzone zostanie wykonywania zadania obejmującego przeciwdziałanie niszczeniu dróg. W takim przypadku odpowiednie zastosowanie będą miały przepisy art. 20h</w:t>
      </w:r>
      <w:r w:rsidR="00964513">
        <w:rPr>
          <w:rFonts w:cstheme="minorHAnsi"/>
          <w:color w:val="000000" w:themeColor="text1"/>
          <w:sz w:val="24"/>
          <w:szCs w:val="24"/>
        </w:rPr>
        <w:t xml:space="preserve"> </w:t>
      </w:r>
      <w:r w:rsidR="008A1672">
        <w:rPr>
          <w:rFonts w:cstheme="minorHAnsi"/>
          <w:color w:val="000000" w:themeColor="text1"/>
          <w:sz w:val="24"/>
          <w:szCs w:val="24"/>
        </w:rPr>
        <w:t>ustawy z dnia 21 marca 1995 r. o drogach publicznych</w:t>
      </w:r>
      <w:r w:rsidRPr="00375799">
        <w:rPr>
          <w:rFonts w:cstheme="minorHAnsi"/>
          <w:color w:val="000000" w:themeColor="text1"/>
          <w:sz w:val="24"/>
          <w:szCs w:val="24"/>
        </w:rPr>
        <w:t>, regulujące tryb udostępniania uprawnionym organom państwa danych osobowych zgromadzonych przez spółkę przy realizacji tego zadania.</w:t>
      </w:r>
      <w:r w:rsidR="00DF5A13" w:rsidRPr="00375799">
        <w:rPr>
          <w:rFonts w:cstheme="minorHAnsi"/>
          <w:color w:val="000000" w:themeColor="text1"/>
          <w:sz w:val="24"/>
          <w:szCs w:val="24"/>
        </w:rPr>
        <w:t xml:space="preserve"> W</w:t>
      </w:r>
      <w:r w:rsidRPr="00375799">
        <w:rPr>
          <w:rFonts w:cstheme="minorHAnsi"/>
          <w:color w:val="000000" w:themeColor="text1"/>
          <w:sz w:val="24"/>
          <w:szCs w:val="24"/>
        </w:rPr>
        <w:t xml:space="preserve"> art. 7a </w:t>
      </w:r>
      <w:r w:rsidR="00964513">
        <w:rPr>
          <w:rFonts w:cstheme="minorHAnsi"/>
          <w:color w:val="000000" w:themeColor="text1"/>
          <w:sz w:val="24"/>
          <w:szCs w:val="24"/>
        </w:rPr>
        <w:t>n.d.s.s.p.</w:t>
      </w:r>
      <w:r w:rsidRPr="00375799">
        <w:rPr>
          <w:rFonts w:cstheme="minorHAnsi"/>
          <w:color w:val="000000" w:themeColor="text1"/>
          <w:sz w:val="24"/>
          <w:szCs w:val="24"/>
        </w:rPr>
        <w:t xml:space="preserve"> dodaje się </w:t>
      </w:r>
      <w:r w:rsidR="00DF5A13" w:rsidRPr="00375799">
        <w:rPr>
          <w:rFonts w:cstheme="minorHAnsi"/>
          <w:color w:val="000000" w:themeColor="text1"/>
          <w:sz w:val="24"/>
          <w:szCs w:val="24"/>
        </w:rPr>
        <w:t xml:space="preserve">natomiast </w:t>
      </w:r>
      <w:r w:rsidRPr="00375799">
        <w:rPr>
          <w:rFonts w:cstheme="minorHAnsi"/>
          <w:color w:val="000000" w:themeColor="text1"/>
          <w:sz w:val="24"/>
          <w:szCs w:val="24"/>
        </w:rPr>
        <w:t xml:space="preserve">ust. 4, w którym uregulowano kwestię przeniesienia na </w:t>
      </w:r>
      <w:r w:rsidR="00FD3063">
        <w:rPr>
          <w:rFonts w:cstheme="minorHAnsi"/>
          <w:color w:val="000000" w:themeColor="text1"/>
          <w:sz w:val="24"/>
          <w:szCs w:val="24"/>
        </w:rPr>
        <w:t>drogową spółką specjalnego przeznaczenia</w:t>
      </w:r>
      <w:r w:rsidR="00FD3063" w:rsidRPr="00375799">
        <w:rPr>
          <w:rFonts w:cstheme="minorHAnsi"/>
          <w:color w:val="000000" w:themeColor="text1"/>
          <w:sz w:val="24"/>
          <w:szCs w:val="24"/>
        </w:rPr>
        <w:t xml:space="preserve"> </w:t>
      </w:r>
      <w:r w:rsidRPr="00375799">
        <w:rPr>
          <w:rFonts w:cstheme="minorHAnsi"/>
          <w:color w:val="000000" w:themeColor="text1"/>
          <w:sz w:val="24"/>
          <w:szCs w:val="24"/>
        </w:rPr>
        <w:t xml:space="preserve">prawa do przetwarzania danych osobowych, których administratorem był Generalny Dyrektor Dróg Krajowych i Autostrad w związku z decyzjami administracyjnymi i postanowieniami wydanymi na rzecz GDDKiA oraz umowami i porozumieniami zawartymi przez ten organ w celu przygotowania lub realizacji przedsięwzięcia drogowego. </w:t>
      </w:r>
    </w:p>
    <w:p w14:paraId="165871AF" w14:textId="77777777" w:rsidR="0078314A" w:rsidRPr="00375799" w:rsidRDefault="0078314A" w:rsidP="0055107B">
      <w:pPr>
        <w:spacing w:after="0" w:line="276" w:lineRule="auto"/>
        <w:ind w:left="57" w:right="57"/>
        <w:contextualSpacing/>
        <w:jc w:val="both"/>
        <w:rPr>
          <w:rFonts w:cstheme="minorHAnsi"/>
          <w:color w:val="000000" w:themeColor="text1"/>
          <w:sz w:val="24"/>
          <w:szCs w:val="24"/>
        </w:rPr>
      </w:pPr>
    </w:p>
    <w:p w14:paraId="646CBFD5" w14:textId="5218BB38"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97" w:name="_Toc530565069"/>
      <w:r w:rsidRPr="00375799">
        <w:rPr>
          <w:rFonts w:asciiTheme="minorHAnsi" w:hAnsiTheme="minorHAnsi" w:cstheme="minorHAnsi"/>
          <w:color w:val="000000" w:themeColor="text1"/>
          <w:sz w:val="24"/>
          <w:szCs w:val="24"/>
        </w:rPr>
        <w:t>Ustawa z dnia 26 kwietnia 2007 r. o zarządzaniu kryzysowym</w:t>
      </w:r>
      <w:r w:rsidR="00971104">
        <w:rPr>
          <w:rFonts w:asciiTheme="minorHAnsi" w:hAnsiTheme="minorHAnsi" w:cstheme="minorHAnsi"/>
          <w:color w:val="000000" w:themeColor="text1"/>
          <w:sz w:val="24"/>
          <w:szCs w:val="24"/>
        </w:rPr>
        <w:t xml:space="preserve"> (Dz. U. z 201</w:t>
      </w:r>
      <w:r w:rsidR="00FB09B3">
        <w:rPr>
          <w:rFonts w:asciiTheme="minorHAnsi" w:hAnsiTheme="minorHAnsi" w:cstheme="minorHAnsi"/>
          <w:color w:val="000000" w:themeColor="text1"/>
          <w:sz w:val="24"/>
          <w:szCs w:val="24"/>
        </w:rPr>
        <w:t xml:space="preserve">8 </w:t>
      </w:r>
      <w:r w:rsidR="005129A9" w:rsidRPr="00375799">
        <w:rPr>
          <w:rFonts w:asciiTheme="minorHAnsi" w:hAnsiTheme="minorHAnsi" w:cstheme="minorHAnsi"/>
          <w:color w:val="000000" w:themeColor="text1"/>
          <w:sz w:val="24"/>
          <w:szCs w:val="24"/>
        </w:rPr>
        <w:t xml:space="preserve">r. poz. </w:t>
      </w:r>
      <w:r w:rsidR="00FB09B3">
        <w:rPr>
          <w:rFonts w:asciiTheme="minorHAnsi" w:hAnsiTheme="minorHAnsi" w:cstheme="minorHAnsi"/>
          <w:color w:val="000000" w:themeColor="text1"/>
          <w:sz w:val="24"/>
          <w:szCs w:val="24"/>
        </w:rPr>
        <w:t>1401 i 1560</w:t>
      </w:r>
      <w:r w:rsidR="005129A9" w:rsidRPr="00375799">
        <w:rPr>
          <w:rFonts w:asciiTheme="minorHAnsi" w:hAnsiTheme="minorHAnsi" w:cstheme="minorHAnsi"/>
          <w:color w:val="000000" w:themeColor="text1"/>
          <w:sz w:val="24"/>
          <w:szCs w:val="24"/>
        </w:rPr>
        <w:t>)</w:t>
      </w:r>
      <w:bookmarkEnd w:id="97"/>
    </w:p>
    <w:p w14:paraId="47C1670D" w14:textId="4F0F814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uzasadnieniu projektowan</w:t>
      </w:r>
      <w:r w:rsidR="00FD3063">
        <w:rPr>
          <w:rFonts w:cstheme="minorHAnsi"/>
          <w:color w:val="000000" w:themeColor="text1"/>
          <w:sz w:val="24"/>
          <w:szCs w:val="24"/>
        </w:rPr>
        <w:t xml:space="preserve">ych </w:t>
      </w:r>
      <w:r w:rsidRPr="00375799">
        <w:rPr>
          <w:rFonts w:cstheme="minorHAnsi"/>
          <w:color w:val="000000" w:themeColor="text1"/>
          <w:sz w:val="24"/>
          <w:szCs w:val="24"/>
        </w:rPr>
        <w:t>zmian w ustawie z dnia 26 kwietnia 2007 r. o zarządzaniu kryzysowym należy wskazać, iż w założeniu mają one za zadanie wzmocnienie ochrony infrastruktury krytycznej oraz dostosowanie szeroko rozumianego obiegu informacji na potrzeby zarządzania kryzysowego do nowo</w:t>
      </w:r>
      <w:r w:rsidR="00002B23">
        <w:rPr>
          <w:rFonts w:cstheme="minorHAnsi"/>
          <w:color w:val="000000" w:themeColor="text1"/>
          <w:sz w:val="24"/>
          <w:szCs w:val="24"/>
        </w:rPr>
        <w:t xml:space="preserve"> </w:t>
      </w:r>
      <w:r w:rsidRPr="00375799">
        <w:rPr>
          <w:rFonts w:cstheme="minorHAnsi"/>
          <w:color w:val="000000" w:themeColor="text1"/>
          <w:sz w:val="24"/>
          <w:szCs w:val="24"/>
        </w:rPr>
        <w:t>projektowanych regulacji w zakresie ochrony danych osobowych.</w:t>
      </w:r>
    </w:p>
    <w:p w14:paraId="619B445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Infrastruktura krytyczna (dalej „IK”) to rzeczywiste i cybernetyczne systemy niezbędne do minimalnego funkcjonowania gospodarki i państwa. Zapewnienie ciągłości działania IK jest podstawowym celem dla operatorów IK i jest realizowane poprzez implementację wielu środków ochronnych. </w:t>
      </w:r>
    </w:p>
    <w:p w14:paraId="1C9AEAD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W celu zapewnienia skutecznej ochrony infrastruktury krytycznej konieczne jest powzięcie rozwiązań kompleksowych. Dlatego też Narodowy Program Ochrony Infrastruktury Krytycznej ukonstytuował sześć rodzajów zapewnienia bezpieczeństwa, m.in. zapewnienie bezpieczeństwa osobowego i zapewnienie bezpieczeństwa fizycznego. </w:t>
      </w:r>
    </w:p>
    <w:p w14:paraId="7E31383C" w14:textId="6242E31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Weryfikacja niekaralności kadr zatrudnionych w obiektach IK jest jedną z podstawowych technik w obszarze osobowym. Proponowane brzmienie </w:t>
      </w:r>
      <w:r w:rsidR="00002B23">
        <w:rPr>
          <w:rFonts w:cstheme="minorHAnsi"/>
          <w:color w:val="000000" w:themeColor="text1"/>
          <w:sz w:val="24"/>
          <w:szCs w:val="24"/>
        </w:rPr>
        <w:t>a</w:t>
      </w:r>
      <w:r w:rsidRPr="00375799">
        <w:rPr>
          <w:rFonts w:cstheme="minorHAnsi"/>
          <w:color w:val="000000" w:themeColor="text1"/>
          <w:sz w:val="24"/>
          <w:szCs w:val="24"/>
        </w:rPr>
        <w:t xml:space="preserve">rt. 6d. ust. 1 </w:t>
      </w:r>
      <w:r w:rsidR="007659FB">
        <w:rPr>
          <w:rFonts w:cstheme="minorHAnsi"/>
          <w:color w:val="000000" w:themeColor="text1"/>
          <w:sz w:val="24"/>
          <w:szCs w:val="24"/>
        </w:rPr>
        <w:t xml:space="preserve">ustawy </w:t>
      </w:r>
      <w:r w:rsidRPr="00375799">
        <w:rPr>
          <w:rFonts w:cstheme="minorHAnsi"/>
          <w:color w:val="000000" w:themeColor="text1"/>
          <w:sz w:val="24"/>
          <w:szCs w:val="24"/>
        </w:rPr>
        <w:t>jest podstawowym rozwiązaniem dotyczącym takiej weryfikacji u każdego operatora IK.</w:t>
      </w:r>
    </w:p>
    <w:p w14:paraId="41476416" w14:textId="59EFC13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Natomiast proponowane brzmienie przepisu art. 6d ust. 2 </w:t>
      </w:r>
      <w:r w:rsidR="007659FB">
        <w:rPr>
          <w:rFonts w:cstheme="minorHAnsi"/>
          <w:color w:val="000000" w:themeColor="text1"/>
          <w:sz w:val="24"/>
          <w:szCs w:val="24"/>
        </w:rPr>
        <w:t xml:space="preserve">ustawy </w:t>
      </w:r>
      <w:r w:rsidRPr="00375799">
        <w:rPr>
          <w:rFonts w:cstheme="minorHAnsi"/>
          <w:color w:val="000000" w:themeColor="text1"/>
          <w:sz w:val="24"/>
          <w:szCs w:val="24"/>
        </w:rPr>
        <w:t>jest konsekwencją zarówno wymagań zapewnienia bezpieczeństwa osobowego</w:t>
      </w:r>
      <w:r w:rsidR="00002B23">
        <w:rPr>
          <w:rFonts w:cstheme="minorHAnsi"/>
          <w:color w:val="000000" w:themeColor="text1"/>
          <w:sz w:val="24"/>
          <w:szCs w:val="24"/>
        </w:rPr>
        <w:t>,</w:t>
      </w:r>
      <w:r w:rsidRPr="00375799">
        <w:rPr>
          <w:rFonts w:cstheme="minorHAnsi"/>
          <w:color w:val="000000" w:themeColor="text1"/>
          <w:sz w:val="24"/>
          <w:szCs w:val="24"/>
        </w:rPr>
        <w:t xml:space="preserve"> jak i zapewnienia bezpieczeństwa fizycznego. Nowoczesne systemy kontroli dostępu do chronionych stref w obiektach infrastruktury krytycznej korzystają z rozwiązań biometrycznych w szczególności w postaci odwzorowań linii papilarnych palców dłoni, głosu, obrazu rogówki i sieci żył palców. </w:t>
      </w:r>
    </w:p>
    <w:p w14:paraId="6AD7776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Skuteczność kontroli dostępu jest kluczowa szczególnie w obiektach IK, której dysfunkcjonalność może mieć ogromne znaczenie dla całego społeczeństwa. Dlatego też możliwość żądania przez operatora IK od pracownika pobrania i użytkowania identyfikatorów biometrycznych jest w pełni uzasadnione koniecznością ochrony obiektów IK.</w:t>
      </w:r>
    </w:p>
    <w:p w14:paraId="670DB630" w14:textId="04088CF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Powyższe kwestie znalazły odzwierciedlenie m.in. </w:t>
      </w:r>
      <w:r w:rsidR="0039405D">
        <w:rPr>
          <w:rFonts w:cstheme="minorHAnsi"/>
          <w:color w:val="000000" w:themeColor="text1"/>
          <w:sz w:val="24"/>
          <w:szCs w:val="24"/>
        </w:rPr>
        <w:t>w</w:t>
      </w:r>
      <w:r w:rsidR="00002B23">
        <w:rPr>
          <w:rFonts w:cstheme="minorHAnsi"/>
          <w:color w:val="000000" w:themeColor="text1"/>
          <w:sz w:val="24"/>
          <w:szCs w:val="24"/>
        </w:rPr>
        <w:t xml:space="preserve"> </w:t>
      </w:r>
      <w:r w:rsidRPr="00375799">
        <w:rPr>
          <w:rFonts w:cstheme="minorHAnsi"/>
          <w:color w:val="000000" w:themeColor="text1"/>
          <w:sz w:val="24"/>
          <w:szCs w:val="24"/>
        </w:rPr>
        <w:t>dokumentach opracowywanych na potrzeby Międzyresortowego Zespołu ds. Zagrożeń Terrorystycznych</w:t>
      </w:r>
      <w:r w:rsidR="00002B23">
        <w:rPr>
          <w:rFonts w:cstheme="minorHAnsi"/>
          <w:color w:val="000000" w:themeColor="text1"/>
          <w:sz w:val="24"/>
          <w:szCs w:val="24"/>
        </w:rPr>
        <w:t>,</w:t>
      </w:r>
      <w:r w:rsidRPr="00375799">
        <w:rPr>
          <w:rFonts w:cstheme="minorHAnsi"/>
          <w:color w:val="000000" w:themeColor="text1"/>
          <w:sz w:val="24"/>
          <w:szCs w:val="24"/>
        </w:rPr>
        <w:t xml:space="preserve"> a dotyczyły minimalnych wymagań w obszarze zapewnienia bezpieczeństwa fizycznego. Dokument wskazuje m.in. na informacje biometryczne jako jedne z danych identyfikacyjnych w elektronicznych Systemach Kontroli Dostępu, które umożliwiają identyfikację i weryfikację uprawnień dostępu do obiektów, urządzeń i instalacji IK.</w:t>
      </w:r>
    </w:p>
    <w:p w14:paraId="141339C4" w14:textId="77777777" w:rsidR="006C0624" w:rsidRPr="00375799" w:rsidRDefault="006C0624" w:rsidP="0055107B">
      <w:pPr>
        <w:spacing w:after="0" w:line="276" w:lineRule="auto"/>
        <w:ind w:left="57" w:right="57"/>
        <w:contextualSpacing/>
        <w:jc w:val="both"/>
        <w:rPr>
          <w:rFonts w:cstheme="minorHAnsi"/>
          <w:color w:val="000000" w:themeColor="text1"/>
          <w:sz w:val="24"/>
          <w:szCs w:val="24"/>
        </w:rPr>
      </w:pPr>
    </w:p>
    <w:p w14:paraId="409BBE03" w14:textId="02F87906"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98" w:name="_Toc530565070"/>
      <w:r w:rsidRPr="00375799">
        <w:rPr>
          <w:rFonts w:asciiTheme="minorHAnsi" w:hAnsiTheme="minorHAnsi" w:cstheme="minorHAnsi"/>
          <w:color w:val="000000" w:themeColor="text1"/>
          <w:sz w:val="24"/>
          <w:szCs w:val="24"/>
        </w:rPr>
        <w:t xml:space="preserve">Ustawa z dnia 15 czerwca 2007 r. o licencji doradcy restrukturyzacyjnego </w:t>
      </w:r>
      <w:r w:rsidR="005129A9" w:rsidRPr="00375799">
        <w:rPr>
          <w:rFonts w:asciiTheme="minorHAnsi" w:hAnsiTheme="minorHAnsi" w:cstheme="minorHAnsi"/>
          <w:color w:val="000000" w:themeColor="text1"/>
          <w:sz w:val="24"/>
          <w:szCs w:val="24"/>
        </w:rPr>
        <w:t>(Dz. U. z 2016 r. poz. 883 oraz z 2018 r. poz. 398)</w:t>
      </w:r>
      <w:bookmarkEnd w:id="98"/>
    </w:p>
    <w:p w14:paraId="71ADD0B6" w14:textId="77777777" w:rsidR="00DF5A13" w:rsidRPr="00375799" w:rsidRDefault="00DF5A13" w:rsidP="0055107B">
      <w:pPr>
        <w:spacing w:line="276" w:lineRule="auto"/>
        <w:contextualSpacing/>
        <w:rPr>
          <w:rFonts w:cstheme="minorHAnsi"/>
          <w:color w:val="000000" w:themeColor="text1"/>
          <w:sz w:val="24"/>
          <w:szCs w:val="24"/>
        </w:rPr>
      </w:pPr>
    </w:p>
    <w:p w14:paraId="61E66E98" w14:textId="66AE7AD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Przepisy </w:t>
      </w:r>
      <w:r w:rsidR="00FA0436" w:rsidRPr="00375799">
        <w:rPr>
          <w:rFonts w:cstheme="minorHAnsi"/>
          <w:color w:val="000000" w:themeColor="text1"/>
          <w:sz w:val="24"/>
          <w:szCs w:val="24"/>
        </w:rPr>
        <w:t>RODO</w:t>
      </w:r>
      <w:r w:rsidR="00FA0436" w:rsidRPr="00375799" w:rsidDel="00FA0436">
        <w:rPr>
          <w:rFonts w:cstheme="minorHAnsi"/>
          <w:color w:val="000000" w:themeColor="text1"/>
          <w:sz w:val="24"/>
          <w:szCs w:val="24"/>
        </w:rPr>
        <w:t xml:space="preserve"> </w:t>
      </w:r>
      <w:r w:rsidRPr="00375799">
        <w:rPr>
          <w:rFonts w:cstheme="minorHAnsi"/>
          <w:color w:val="000000" w:themeColor="text1"/>
          <w:sz w:val="24"/>
          <w:szCs w:val="24"/>
        </w:rPr>
        <w:t xml:space="preserve">dotyczą w dużej mierze zadań realizowanych na podstawie ustawy z dnia 15 czerwca 2007 r. o licencji doradcy restrukturyzacyjnego. Podkreślić należy jednak, że odrębne określanie administratorów danych osobowych w ustawie o </w:t>
      </w:r>
      <w:r w:rsidR="00FD3063">
        <w:rPr>
          <w:rFonts w:cstheme="minorHAnsi"/>
          <w:color w:val="000000" w:themeColor="text1"/>
          <w:sz w:val="24"/>
          <w:szCs w:val="24"/>
        </w:rPr>
        <w:t>licencji doradcy restrukturyzacyjnego</w:t>
      </w:r>
      <w:r w:rsidRPr="00375799">
        <w:rPr>
          <w:rFonts w:cstheme="minorHAnsi"/>
          <w:color w:val="000000" w:themeColor="text1"/>
          <w:sz w:val="24"/>
          <w:szCs w:val="24"/>
        </w:rPr>
        <w:t xml:space="preserve"> nie jest konieczne</w:t>
      </w:r>
      <w:r w:rsidR="00002B23">
        <w:rPr>
          <w:rFonts w:cstheme="minorHAnsi"/>
          <w:color w:val="000000" w:themeColor="text1"/>
          <w:sz w:val="24"/>
          <w:szCs w:val="24"/>
        </w:rPr>
        <w:t>,</w:t>
      </w:r>
      <w:r w:rsidRPr="00375799">
        <w:rPr>
          <w:rFonts w:cstheme="minorHAnsi"/>
          <w:color w:val="000000" w:themeColor="text1"/>
          <w:sz w:val="24"/>
          <w:szCs w:val="24"/>
        </w:rPr>
        <w:t xml:space="preserve"> albowiem wprost z ustawy wynika</w:t>
      </w:r>
      <w:r w:rsidR="00002B23">
        <w:rPr>
          <w:rFonts w:cstheme="minorHAnsi"/>
          <w:color w:val="000000" w:themeColor="text1"/>
          <w:sz w:val="24"/>
          <w:szCs w:val="24"/>
        </w:rPr>
        <w:t>,</w:t>
      </w:r>
      <w:r w:rsidRPr="00375799">
        <w:rPr>
          <w:rFonts w:cstheme="minorHAnsi"/>
          <w:color w:val="000000" w:themeColor="text1"/>
          <w:sz w:val="24"/>
          <w:szCs w:val="24"/>
        </w:rPr>
        <w:t xml:space="preserve"> kto jest administratorem danych osobowych oraz jaki jest zakres przetwarzanych danych osobowych. </w:t>
      </w:r>
    </w:p>
    <w:p w14:paraId="528CCF27" w14:textId="0EA621F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Uregulowania wymaga jedynie kwestia okresów przechowywania danych osobowych zgromadzonych przez doradcę restrukturyzacyjnego przy wykonywaniu uprawnień i obowiązków wynikających z posiadanej licencji. Projekt przewiduje, że okres ten wynosi 5 lat od zakończenia postępowania, w którym dane zostały zgromadzone. Okres ten uwzględnia zarówno termin przedawnienia roszczeń dochodzonych przez osoby prowadzące działalność gospodarczą, jak i obowiązek doradcy restrukturyzacyjnego udzielania wyjaśnień w związku z dokonywanymi czynnościami. Po upływie tego okresu dane osobowe podlegają co do zasady usunięciu, chyba że dalsze ich przechowywanie jest niezbędne dla ochrony praw lub dochodzenia roszczeń. </w:t>
      </w:r>
    </w:p>
    <w:p w14:paraId="6D38144F" w14:textId="1672851C"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99" w:name="_Toc530565071"/>
      <w:r w:rsidRPr="00375799">
        <w:rPr>
          <w:rFonts w:asciiTheme="minorHAnsi" w:hAnsiTheme="minorHAnsi" w:cstheme="minorHAnsi"/>
          <w:color w:val="000000" w:themeColor="text1"/>
          <w:sz w:val="24"/>
          <w:szCs w:val="24"/>
        </w:rPr>
        <w:lastRenderedPageBreak/>
        <w:t>Ustawa z dnia 7 września 2007 r. o pomocy osobom uprawnionym do alimentów</w:t>
      </w:r>
      <w:r w:rsidR="005129A9" w:rsidRPr="00375799">
        <w:rPr>
          <w:rFonts w:asciiTheme="minorHAnsi" w:hAnsiTheme="minorHAnsi" w:cstheme="minorHAnsi"/>
          <w:color w:val="000000" w:themeColor="text1"/>
          <w:sz w:val="24"/>
          <w:szCs w:val="24"/>
        </w:rPr>
        <w:t xml:space="preserve"> (Dz. U. z 2018 r. poz. 554, 650</w:t>
      </w:r>
      <w:r w:rsidR="00FB09B3">
        <w:rPr>
          <w:rFonts w:asciiTheme="minorHAnsi" w:hAnsiTheme="minorHAnsi" w:cstheme="minorHAnsi"/>
          <w:color w:val="000000" w:themeColor="text1"/>
          <w:sz w:val="24"/>
          <w:szCs w:val="24"/>
        </w:rPr>
        <w:t>,</w:t>
      </w:r>
      <w:r w:rsidR="005129A9" w:rsidRPr="00375799">
        <w:rPr>
          <w:rFonts w:asciiTheme="minorHAnsi" w:hAnsiTheme="minorHAnsi" w:cstheme="minorHAnsi"/>
          <w:color w:val="000000" w:themeColor="text1"/>
          <w:sz w:val="24"/>
          <w:szCs w:val="24"/>
        </w:rPr>
        <w:t xml:space="preserve"> 1000</w:t>
      </w:r>
      <w:r w:rsidR="00FB09B3">
        <w:rPr>
          <w:rFonts w:asciiTheme="minorHAnsi" w:hAnsiTheme="minorHAnsi" w:cstheme="minorHAnsi"/>
          <w:color w:val="000000" w:themeColor="text1"/>
          <w:sz w:val="24"/>
          <w:szCs w:val="24"/>
        </w:rPr>
        <w:t>, 1544 i 1669</w:t>
      </w:r>
      <w:r w:rsidR="005129A9" w:rsidRPr="00375799">
        <w:rPr>
          <w:rFonts w:asciiTheme="minorHAnsi" w:hAnsiTheme="minorHAnsi" w:cstheme="minorHAnsi"/>
          <w:color w:val="000000" w:themeColor="text1"/>
          <w:sz w:val="24"/>
          <w:szCs w:val="24"/>
        </w:rPr>
        <w:t>)</w:t>
      </w:r>
      <w:bookmarkEnd w:id="99"/>
    </w:p>
    <w:p w14:paraId="1B701D9A"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Ustawa z dnia 7 września 2007 r. o pomocy osobom uprawnionym do alimentów przewiduje przetwarzanie danych osobowych osób ubiegających się o świadczenia z funduszu alimentacyjnego i członków ich rodzin oraz dłużników alimentacyjnych.</w:t>
      </w:r>
    </w:p>
    <w:p w14:paraId="372C5D03" w14:textId="5A8A62A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Projektowane zmiany tej ustawy wprowadzają regulacje służące odpowiedniemu zabezpieczeniu wyżej wskazanych danych osobowych (do celów realizacji ustawy przetwarzane są tzw. wrażliwe dane osobowe).</w:t>
      </w:r>
    </w:p>
    <w:p w14:paraId="3BF8FB2E" w14:textId="7B7341B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Dodatkowo projekt przewiduje zastąpienie uprawnienia przetwarzania danych osobowych osób ubiegających się o świadczenia z funduszu alimentacyjnego i członków ich rodzin oraz dłużników alimentacyjnych przez podmioty posiadające obecnie to uprawnienie – obowiązkiem ich przetwarzania </w:t>
      </w:r>
      <w:r w:rsidR="00FA0436" w:rsidRPr="00375799">
        <w:rPr>
          <w:rFonts w:cstheme="minorHAnsi"/>
          <w:color w:val="000000" w:themeColor="text1"/>
          <w:sz w:val="24"/>
          <w:szCs w:val="24"/>
        </w:rPr>
        <w:t>RODO</w:t>
      </w:r>
      <w:r w:rsidRPr="00375799">
        <w:rPr>
          <w:rFonts w:cstheme="minorHAnsi"/>
          <w:color w:val="000000" w:themeColor="text1"/>
          <w:sz w:val="24"/>
          <w:szCs w:val="24"/>
        </w:rPr>
        <w:t xml:space="preserve"> stanowi</w:t>
      </w:r>
      <w:r w:rsidR="00FD3063">
        <w:rPr>
          <w:rFonts w:cstheme="minorHAnsi"/>
          <w:color w:val="000000" w:themeColor="text1"/>
          <w:sz w:val="24"/>
          <w:szCs w:val="24"/>
        </w:rPr>
        <w:t xml:space="preserve"> bowiem</w:t>
      </w:r>
      <w:r w:rsidRPr="00375799">
        <w:rPr>
          <w:rFonts w:cstheme="minorHAnsi"/>
          <w:color w:val="000000" w:themeColor="text1"/>
          <w:sz w:val="24"/>
          <w:szCs w:val="24"/>
        </w:rPr>
        <w:t>, że przetwarzanie danych osobowych jest zgodne z prawem</w:t>
      </w:r>
      <w:r w:rsidR="00002B23">
        <w:rPr>
          <w:rFonts w:cstheme="minorHAnsi"/>
          <w:color w:val="000000" w:themeColor="text1"/>
          <w:sz w:val="24"/>
          <w:szCs w:val="24"/>
        </w:rPr>
        <w:t>,</w:t>
      </w:r>
      <w:r w:rsidRPr="00375799">
        <w:rPr>
          <w:rFonts w:cstheme="minorHAnsi"/>
          <w:color w:val="000000" w:themeColor="text1"/>
          <w:sz w:val="24"/>
          <w:szCs w:val="24"/>
        </w:rPr>
        <w:t xml:space="preserve"> jeżeli jest niezbędne do wypełnienia obowiązku prawnego ciążącego na administratorze danych osobowych. Aby podmioty te mogły realizować swoje zadania ustawowe, muszą przetwarzać określone w ustawie dane osobowe.</w:t>
      </w:r>
    </w:p>
    <w:p w14:paraId="59C8EB4D" w14:textId="77777777" w:rsidR="00316F79" w:rsidRPr="00375799" w:rsidRDefault="00316F79" w:rsidP="0055107B">
      <w:pPr>
        <w:spacing w:after="0" w:line="276" w:lineRule="auto"/>
        <w:ind w:left="57" w:right="57"/>
        <w:contextualSpacing/>
        <w:jc w:val="both"/>
        <w:rPr>
          <w:rFonts w:cstheme="minorHAnsi"/>
          <w:color w:val="000000" w:themeColor="text1"/>
          <w:sz w:val="24"/>
          <w:szCs w:val="24"/>
        </w:rPr>
      </w:pPr>
    </w:p>
    <w:p w14:paraId="0BF7CFC7" w14:textId="4998749D"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00" w:name="_Toc530565072"/>
      <w:r w:rsidRPr="00375799">
        <w:rPr>
          <w:rFonts w:asciiTheme="minorHAnsi" w:hAnsiTheme="minorHAnsi" w:cstheme="minorHAnsi"/>
          <w:color w:val="000000" w:themeColor="text1"/>
          <w:sz w:val="24"/>
          <w:szCs w:val="24"/>
        </w:rPr>
        <w:t>Ustawa z dnia 17 października 2008</w:t>
      </w:r>
      <w:r w:rsidR="00002B23">
        <w:rPr>
          <w:rFonts w:asciiTheme="minorHAnsi" w:hAnsiTheme="minorHAnsi" w:cstheme="minorHAnsi"/>
          <w:color w:val="000000" w:themeColor="text1"/>
          <w:sz w:val="24"/>
          <w:szCs w:val="24"/>
        </w:rPr>
        <w:t xml:space="preserve"> r.</w:t>
      </w:r>
      <w:r w:rsidRPr="00375799">
        <w:rPr>
          <w:rFonts w:asciiTheme="minorHAnsi" w:hAnsiTheme="minorHAnsi" w:cstheme="minorHAnsi"/>
          <w:color w:val="000000" w:themeColor="text1"/>
          <w:sz w:val="24"/>
          <w:szCs w:val="24"/>
        </w:rPr>
        <w:t xml:space="preserve"> o zmianie imienia i nazwiska </w:t>
      </w:r>
      <w:r w:rsidR="005129A9" w:rsidRPr="00375799">
        <w:rPr>
          <w:rFonts w:asciiTheme="minorHAnsi" w:hAnsiTheme="minorHAnsi" w:cstheme="minorHAnsi"/>
          <w:color w:val="000000" w:themeColor="text1"/>
          <w:sz w:val="24"/>
          <w:szCs w:val="24"/>
        </w:rPr>
        <w:t>(Dz. U</w:t>
      </w:r>
      <w:r w:rsidR="00FB09B3">
        <w:rPr>
          <w:rFonts w:asciiTheme="minorHAnsi" w:hAnsiTheme="minorHAnsi" w:cstheme="minorHAnsi"/>
          <w:color w:val="000000" w:themeColor="text1"/>
          <w:sz w:val="24"/>
          <w:szCs w:val="24"/>
        </w:rPr>
        <w:t>.</w:t>
      </w:r>
      <w:r w:rsidR="005129A9" w:rsidRPr="00375799">
        <w:rPr>
          <w:rFonts w:asciiTheme="minorHAnsi" w:hAnsiTheme="minorHAnsi" w:cstheme="minorHAnsi"/>
          <w:color w:val="000000" w:themeColor="text1"/>
          <w:sz w:val="24"/>
          <w:szCs w:val="24"/>
        </w:rPr>
        <w:t xml:space="preserve"> z 2016 r. poz. 10)</w:t>
      </w:r>
      <w:bookmarkEnd w:id="100"/>
    </w:p>
    <w:p w14:paraId="3CEAC0DD" w14:textId="0FAD5D3B" w:rsidR="008706DD" w:rsidRPr="00375799" w:rsidRDefault="001B10D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ustawie doprecyzowano sposób przetwarzania danych przez kierownika urzędu stanu cywilnego podczas prowadzenia postępowania administracyjnego w przedmiocie zmiany imienia i nazwiska. Wskazano, że kierownik urzędu stanu cywilnego w prowadzonym postępowaniu wykorzystuje dane zgromadzone w rejestrze stanu cywilnego i rejestrze PESEL. Dzięki temu, od 2015 roku, obywatele są zwolnieni z przedstawiania kierownikowi dodatkowych dokumentów stanu cywilnego</w:t>
      </w:r>
      <w:r w:rsidR="00FD3063">
        <w:rPr>
          <w:rFonts w:cstheme="minorHAnsi"/>
          <w:color w:val="000000" w:themeColor="text1"/>
          <w:sz w:val="24"/>
          <w:szCs w:val="24"/>
        </w:rPr>
        <w:t>,</w:t>
      </w:r>
      <w:r w:rsidRPr="00375799">
        <w:rPr>
          <w:rFonts w:cstheme="minorHAnsi"/>
          <w:color w:val="000000" w:themeColor="text1"/>
          <w:sz w:val="24"/>
          <w:szCs w:val="24"/>
        </w:rPr>
        <w:t xml:space="preserve"> takich jak np. odpisy aktów urodzenia. Należy jednocześnie podkreślić, że kierownik urzędu stanu cywilnego na mocy ustawy </w:t>
      </w:r>
      <w:r w:rsidR="00002B23">
        <w:rPr>
          <w:rFonts w:cstheme="minorHAnsi"/>
          <w:color w:val="000000" w:themeColor="text1"/>
          <w:sz w:val="24"/>
          <w:szCs w:val="24"/>
        </w:rPr>
        <w:t xml:space="preserve">– </w:t>
      </w:r>
      <w:r w:rsidRPr="00375799">
        <w:rPr>
          <w:rFonts w:cstheme="minorHAnsi"/>
          <w:color w:val="000000" w:themeColor="text1"/>
          <w:sz w:val="24"/>
          <w:szCs w:val="24"/>
        </w:rPr>
        <w:t>Prawo o aktach stanu cywilnego oraz ustawy o ewidencji ludności ma dostęp do rejestru stanu cywilnego, zatem dodane przepisy nie wpływają na przetwarzanie danych w tych rejestrach, gdyż nie zmienia się ani krąg podmiotów uprawnionych, ani zakres danych w nich przetwarzanych.</w:t>
      </w:r>
      <w:r w:rsidR="008706DD" w:rsidRPr="00375799">
        <w:rPr>
          <w:rFonts w:cstheme="minorHAnsi"/>
          <w:color w:val="000000" w:themeColor="text1"/>
          <w:sz w:val="24"/>
          <w:szCs w:val="24"/>
        </w:rPr>
        <w:t xml:space="preserve"> </w:t>
      </w:r>
    </w:p>
    <w:p w14:paraId="14F5A146" w14:textId="77777777" w:rsidR="0078314A" w:rsidRPr="00375799" w:rsidRDefault="0078314A"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2E38BCBE" w14:textId="08DE600D"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01" w:name="_Toc530565073"/>
      <w:r w:rsidRPr="00375799">
        <w:rPr>
          <w:rFonts w:asciiTheme="minorHAnsi" w:hAnsiTheme="minorHAnsi" w:cstheme="minorHAnsi"/>
          <w:color w:val="000000" w:themeColor="text1"/>
          <w:sz w:val="24"/>
          <w:szCs w:val="24"/>
        </w:rPr>
        <w:t>Ustawa</w:t>
      </w:r>
      <w:r w:rsidR="0078314A" w:rsidRPr="00375799">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 xml:space="preserve">z dnia 6 listopada 2008 r. o prawach pacjenta i Rzeczniku Praw Pacjenta </w:t>
      </w:r>
      <w:r w:rsidR="00C6380C" w:rsidRPr="00375799">
        <w:rPr>
          <w:rFonts w:asciiTheme="minorHAnsi" w:hAnsiTheme="minorHAnsi" w:cstheme="minorHAnsi"/>
          <w:color w:val="000000" w:themeColor="text1"/>
          <w:sz w:val="24"/>
          <w:szCs w:val="24"/>
        </w:rPr>
        <w:t>(Dz. U. z 2017 r. poz. 1318</w:t>
      </w:r>
      <w:r w:rsidR="00366565" w:rsidRPr="00375799">
        <w:rPr>
          <w:rFonts w:asciiTheme="minorHAnsi" w:hAnsiTheme="minorHAnsi" w:cstheme="minorHAnsi"/>
          <w:color w:val="000000" w:themeColor="text1"/>
          <w:sz w:val="24"/>
          <w:szCs w:val="24"/>
        </w:rPr>
        <w:t xml:space="preserve"> i 1524 oraz z 2018 r. poz. 1115</w:t>
      </w:r>
      <w:r w:rsidR="00FB09B3">
        <w:rPr>
          <w:rFonts w:asciiTheme="minorHAnsi" w:hAnsiTheme="minorHAnsi" w:cstheme="minorHAnsi"/>
          <w:color w:val="000000" w:themeColor="text1"/>
          <w:sz w:val="24"/>
          <w:szCs w:val="24"/>
        </w:rPr>
        <w:t xml:space="preserve"> i 1515</w:t>
      </w:r>
      <w:r w:rsidR="00C6380C" w:rsidRPr="00375799">
        <w:rPr>
          <w:rFonts w:asciiTheme="minorHAnsi" w:hAnsiTheme="minorHAnsi" w:cstheme="minorHAnsi"/>
          <w:color w:val="000000" w:themeColor="text1"/>
          <w:sz w:val="24"/>
          <w:szCs w:val="24"/>
        </w:rPr>
        <w:t>)</w:t>
      </w:r>
      <w:bookmarkEnd w:id="101"/>
    </w:p>
    <w:p w14:paraId="51AD955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D9F0C83" w14:textId="4F9A24E8" w:rsidR="00C6380C" w:rsidRPr="00375799" w:rsidRDefault="00C6380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ustawie z dnia 6 listopada 2008 r. o prawach pacjenta i Rzeczniku Praw Pacjenta uchylono w art. 24 ust. 4 z uwagi na fakt, że kwestie umowy powierzania przetwarzania danych reguluje RODO. Umowa taka powinna spełniać wymagania, o których mowa w art. 28 ust. 3 RODO.</w:t>
      </w:r>
      <w:r w:rsidR="00606CD2">
        <w:rPr>
          <w:rFonts w:cstheme="minorHAnsi"/>
          <w:color w:val="000000" w:themeColor="text1"/>
          <w:sz w:val="24"/>
          <w:szCs w:val="24"/>
        </w:rPr>
        <w:t xml:space="preserve"> Konsekwencją uchylenia</w:t>
      </w:r>
      <w:r w:rsidR="00A76E67">
        <w:rPr>
          <w:rFonts w:cstheme="minorHAnsi"/>
          <w:color w:val="000000" w:themeColor="text1"/>
          <w:sz w:val="24"/>
          <w:szCs w:val="24"/>
        </w:rPr>
        <w:t xml:space="preserve"> ust. 4 była konieczność dokonania zmian w art. 24 ust. 5 i 6, które zawierały odwołanie do tego ustępu.</w:t>
      </w:r>
    </w:p>
    <w:p w14:paraId="49AFD0D6" w14:textId="77777777" w:rsidR="00C6380C" w:rsidRPr="00375799" w:rsidRDefault="00C6380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art. 26 ust. 3 pkt 2 ustawy z dnia 6 listopada 2008 r. o prawach pacjenta i Rzeczniku Praw Pacjenta, podmiot udzielający świadczeń zdrowotnych udostępnia </w:t>
      </w:r>
      <w:r w:rsidRPr="00375799">
        <w:rPr>
          <w:rFonts w:cstheme="minorHAnsi"/>
          <w:color w:val="000000" w:themeColor="text1"/>
          <w:sz w:val="24"/>
          <w:szCs w:val="24"/>
        </w:rPr>
        <w:lastRenderedPageBreak/>
        <w:t>dokumentację medyczną organom władzy publicznej, w tym Rzecznikowi Praw Pacjenta, w zakresie niezbędnym do wykonywania zadań, w szczególności nadzoru i kontroli. Zatem to Rzecznik Praw Pacjenta wymieniony jest w przedmiotowym katalogu podmiotów, a nie Rzecznik Praw Pacjenta Szpitala Psychiatrycznego. Za zasadne wydaje się skorelowanie powyższych przepisów i uwzględnienie Rzecznika Praw Pacjenta Szpitala Psychiatrycznego w ustawie z dnia 6 listopada 2008 r. o prawach pacjenta i Rzeczniku Praw Pacjenta. Projektowane przepisy wskazują, że Rzecznik Praw Pacjenta może przetwarzać wszelkie informacje, w tym dane osobowe niezbędne do realizacji swoich ustawowych zadań.</w:t>
      </w:r>
    </w:p>
    <w:p w14:paraId="78EB7403" w14:textId="50856C98" w:rsidR="00C6380C" w:rsidRPr="00375799" w:rsidRDefault="00C6380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ustawie z dnia 6 listopada 2008 r. o prawach pacjenta i Rzeczniku Praw Pacjenta uchylono w art. 30a ust. 10 z uwagi na fakt, że kwestie umowy powierzania przetwarzania danych reguluje RODO. Przy czym konieczne było doprecyzowanie, iż osoby</w:t>
      </w:r>
      <w:r w:rsidR="00002B23">
        <w:rPr>
          <w:rFonts w:cstheme="minorHAnsi"/>
          <w:color w:val="000000" w:themeColor="text1"/>
          <w:sz w:val="24"/>
          <w:szCs w:val="24"/>
        </w:rPr>
        <w:t>,</w:t>
      </w:r>
      <w:r w:rsidRPr="00375799">
        <w:rPr>
          <w:rFonts w:cstheme="minorHAnsi"/>
          <w:color w:val="000000" w:themeColor="text1"/>
          <w:sz w:val="24"/>
          <w:szCs w:val="24"/>
        </w:rPr>
        <w:t xml:space="preserve"> którym powierzono w drodze umowy przetwarzanie danych osobowych, zobowiązane są do zachowania ich tajemnicy także po śmierci pacjenta. </w:t>
      </w:r>
    </w:p>
    <w:p w14:paraId="69A4AF2B" w14:textId="29A3EF31" w:rsidR="0037589C" w:rsidRPr="00375799" w:rsidRDefault="00C6380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ustawie doprecyzowano także zabezpieczenia</w:t>
      </w:r>
      <w:r w:rsidR="00002B23">
        <w:rPr>
          <w:rFonts w:cstheme="minorHAnsi"/>
          <w:color w:val="000000" w:themeColor="text1"/>
          <w:sz w:val="24"/>
          <w:szCs w:val="24"/>
        </w:rPr>
        <w:t>,</w:t>
      </w:r>
      <w:r w:rsidRPr="00375799">
        <w:rPr>
          <w:rFonts w:cstheme="minorHAnsi"/>
          <w:color w:val="000000" w:themeColor="text1"/>
          <w:sz w:val="24"/>
          <w:szCs w:val="24"/>
        </w:rPr>
        <w:t xml:space="preserve"> jakie powinny być stosowane przez Rzecznika Praw Pacjenta jako a</w:t>
      </w:r>
      <w:r w:rsidR="0037589C" w:rsidRPr="00375799">
        <w:rPr>
          <w:rFonts w:cstheme="minorHAnsi"/>
          <w:color w:val="000000" w:themeColor="text1"/>
          <w:sz w:val="24"/>
          <w:szCs w:val="24"/>
        </w:rPr>
        <w:t>dministratora danych osobowych, polegające na:</w:t>
      </w:r>
    </w:p>
    <w:p w14:paraId="6DE106FE" w14:textId="77777777" w:rsidR="0037589C" w:rsidRPr="00375799" w:rsidRDefault="0037589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w:t>
      </w:r>
      <w:r w:rsidRPr="00375799">
        <w:rPr>
          <w:rFonts w:cstheme="minorHAnsi"/>
          <w:color w:val="000000" w:themeColor="text1"/>
          <w:sz w:val="24"/>
          <w:szCs w:val="24"/>
        </w:rPr>
        <w:tab/>
        <w:t>dopuszczeniu przez administratora danych do przetwarzania danych osobowych wyłącznie osób pisemnie do tego upoważnionych;</w:t>
      </w:r>
    </w:p>
    <w:p w14:paraId="6CD64092" w14:textId="77777777" w:rsidR="0037589C" w:rsidRPr="00375799" w:rsidRDefault="0037589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w:t>
      </w:r>
      <w:r w:rsidRPr="00375799">
        <w:rPr>
          <w:rFonts w:cstheme="minorHAnsi"/>
          <w:color w:val="000000" w:themeColor="text1"/>
          <w:sz w:val="24"/>
          <w:szCs w:val="24"/>
        </w:rPr>
        <w:tab/>
        <w:t>pisemnym zobowiązaniu się osób upoważnionych do przetwarzania danych osobowych do zachowania ich w tajemnicy;</w:t>
      </w:r>
    </w:p>
    <w:p w14:paraId="582D0D39" w14:textId="77777777" w:rsidR="00FD3063" w:rsidRDefault="0037589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w:t>
      </w:r>
      <w:r w:rsidRPr="00375799">
        <w:rPr>
          <w:rFonts w:cstheme="minorHAnsi"/>
          <w:color w:val="000000" w:themeColor="text1"/>
          <w:sz w:val="24"/>
          <w:szCs w:val="24"/>
        </w:rPr>
        <w:tab/>
        <w:t xml:space="preserve">regularnym testowaniu i doskonaleniu stosowanych środków technicznych i organizacyjnych. </w:t>
      </w:r>
    </w:p>
    <w:p w14:paraId="7BCE81DC" w14:textId="536118F9" w:rsidR="00C6380C" w:rsidRPr="00375799" w:rsidRDefault="00C6380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Pozwoli to na stworzenie gwarancji bezpieczeństwa danych osobowych.</w:t>
      </w:r>
    </w:p>
    <w:p w14:paraId="3C58CEFB" w14:textId="04FA7D60" w:rsidR="00C6380C" w:rsidRPr="00375799" w:rsidRDefault="00C6380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ustawie nadano nowe brzmienie art. 28 ust. 2a</w:t>
      </w:r>
      <w:r w:rsidR="00D01D66">
        <w:rPr>
          <w:rFonts w:cstheme="minorHAnsi"/>
          <w:color w:val="000000" w:themeColor="text1"/>
          <w:sz w:val="24"/>
          <w:szCs w:val="24"/>
        </w:rPr>
        <w:t xml:space="preserve"> ustawy</w:t>
      </w:r>
      <w:r w:rsidRPr="00375799">
        <w:rPr>
          <w:rFonts w:cstheme="minorHAnsi"/>
          <w:color w:val="000000" w:themeColor="text1"/>
          <w:sz w:val="24"/>
          <w:szCs w:val="24"/>
        </w:rPr>
        <w:t xml:space="preserve">. Projektodawca zdecydował się zaproponować zmiany legislacyjne w powyższym zakresie, w związku z wątpliwościami dotyczącymi interpretacji przepisów RODO w zakresie dostępu do dokumentacji medycznej, realizowanej na kanwie powszechnie obowiązujących przepisów prawa polskiego. W tym zakresie zostały wydane sprzeczne względem siebie stanowiska Rzecznika Praw Pacjenta oraz Prezesa Urzędu Ochrony Danych Osobowych. Rzecznik Praw Pacjenta w swoim stanowisku z dnia 25 maja </w:t>
      </w:r>
      <w:r w:rsidR="00FD3063">
        <w:rPr>
          <w:rFonts w:cstheme="minorHAnsi"/>
          <w:color w:val="000000" w:themeColor="text1"/>
          <w:sz w:val="24"/>
          <w:szCs w:val="24"/>
        </w:rPr>
        <w:t>2018 r.</w:t>
      </w:r>
      <w:r w:rsidRPr="00375799">
        <w:rPr>
          <w:rFonts w:cstheme="minorHAnsi"/>
          <w:color w:val="000000" w:themeColor="text1"/>
          <w:sz w:val="24"/>
          <w:szCs w:val="24"/>
        </w:rPr>
        <w:t xml:space="preserve"> wskazuje, że „pacjenci na kanwie RODO mają między innymi prawo dostępu do swoich danych osobowych, które  mogą zrealizować również poprzez zażądanie ich kopii. Placówki medyczne przetwarzają dane osobowe dotyczące zdrowia pacjentów w szczególności w prowadzonej dokumentacji medycznej. Realizując zatem ww. obowiązek</w:t>
      </w:r>
      <w:r w:rsidR="00002B23">
        <w:rPr>
          <w:rFonts w:cstheme="minorHAnsi"/>
          <w:color w:val="000000" w:themeColor="text1"/>
          <w:sz w:val="24"/>
          <w:szCs w:val="24"/>
        </w:rPr>
        <w:t>,</w:t>
      </w:r>
      <w:r w:rsidRPr="00375799">
        <w:rPr>
          <w:rFonts w:cstheme="minorHAnsi"/>
          <w:color w:val="000000" w:themeColor="text1"/>
          <w:sz w:val="24"/>
          <w:szCs w:val="24"/>
        </w:rPr>
        <w:t xml:space="preserve"> będą zobowiązane do bezpłatnego udostępnienia pierwszej kopii dokumentacji medycznej”. Tymczasem Prezes UODO w stanowisku z 27 lipca </w:t>
      </w:r>
      <w:r w:rsidR="00FD3063">
        <w:rPr>
          <w:rFonts w:cstheme="minorHAnsi"/>
          <w:color w:val="000000" w:themeColor="text1"/>
          <w:sz w:val="24"/>
          <w:szCs w:val="24"/>
        </w:rPr>
        <w:t xml:space="preserve">2018 </w:t>
      </w:r>
      <w:r w:rsidRPr="00375799">
        <w:rPr>
          <w:rFonts w:cstheme="minorHAnsi"/>
          <w:color w:val="000000" w:themeColor="text1"/>
          <w:sz w:val="24"/>
          <w:szCs w:val="24"/>
        </w:rPr>
        <w:t xml:space="preserve">r. wskazuje, że „udostępnienie kopii danych zawartych w dokumentacji medycznej, zgodnie z art. 15 ust. 3 RODO, nie jest równoznaczne z obowiązkiem udostępnienia danych w formie i strukturze właściwych dla udostępnienia dokumentacji medycznej”. W przytoczonym przypadku mamy do czynienia z konfliktami dwóch praw podstawowych: prawa do informacji o stanie zdrowia i prawa do ochrony danych osobowych. Uwzględniając szczególny charakter omawianej materii – mogącej mieć bezpośredni wpływ na zdrowie i życie pacjentów, projektodawca zdecydował </w:t>
      </w:r>
      <w:r w:rsidRPr="00375799">
        <w:rPr>
          <w:rFonts w:cstheme="minorHAnsi"/>
          <w:color w:val="000000" w:themeColor="text1"/>
          <w:sz w:val="24"/>
          <w:szCs w:val="24"/>
        </w:rPr>
        <w:lastRenderedPageBreak/>
        <w:t xml:space="preserve">się zaproponować zrównanie uprawnień wynikających w tym zakresie z </w:t>
      </w:r>
      <w:r w:rsidR="00FD3063">
        <w:rPr>
          <w:rFonts w:cstheme="minorHAnsi"/>
          <w:color w:val="000000" w:themeColor="text1"/>
          <w:sz w:val="24"/>
          <w:szCs w:val="24"/>
        </w:rPr>
        <w:t>RODO</w:t>
      </w:r>
      <w:r w:rsidRPr="00375799">
        <w:rPr>
          <w:rFonts w:cstheme="minorHAnsi"/>
          <w:color w:val="000000" w:themeColor="text1"/>
          <w:sz w:val="24"/>
          <w:szCs w:val="24"/>
        </w:rPr>
        <w:t xml:space="preserve"> oraz przepisów prawa krajowego. W szczególności należy zwrócić uwagę, że nie wydaje się trafnym stanowisko</w:t>
      </w:r>
      <w:r w:rsidR="00002B23">
        <w:rPr>
          <w:rFonts w:cstheme="minorHAnsi"/>
          <w:color w:val="000000" w:themeColor="text1"/>
          <w:sz w:val="24"/>
          <w:szCs w:val="24"/>
        </w:rPr>
        <w:t>,</w:t>
      </w:r>
      <w:r w:rsidRPr="00375799">
        <w:rPr>
          <w:rFonts w:cstheme="minorHAnsi"/>
          <w:color w:val="000000" w:themeColor="text1"/>
          <w:sz w:val="24"/>
          <w:szCs w:val="24"/>
        </w:rPr>
        <w:t xml:space="preserve"> w świetle którego prawa do uzyskania bezpłatnego dostępu do pierwszej kopii danych</w:t>
      </w:r>
      <w:r w:rsidR="00002B23">
        <w:rPr>
          <w:rFonts w:cstheme="minorHAnsi"/>
          <w:color w:val="000000" w:themeColor="text1"/>
          <w:sz w:val="24"/>
          <w:szCs w:val="24"/>
        </w:rPr>
        <w:t>,</w:t>
      </w:r>
      <w:r w:rsidRPr="00375799">
        <w:rPr>
          <w:rFonts w:cstheme="minorHAnsi"/>
          <w:color w:val="000000" w:themeColor="text1"/>
          <w:sz w:val="24"/>
          <w:szCs w:val="24"/>
        </w:rPr>
        <w:t xml:space="preserve"> o którym mowa w art. 15 RODO</w:t>
      </w:r>
      <w:r w:rsidR="00002B23">
        <w:rPr>
          <w:rFonts w:cstheme="minorHAnsi"/>
          <w:color w:val="000000" w:themeColor="text1"/>
          <w:sz w:val="24"/>
          <w:szCs w:val="24"/>
        </w:rPr>
        <w:t>,</w:t>
      </w:r>
      <w:r w:rsidRPr="00375799">
        <w:rPr>
          <w:rFonts w:cstheme="minorHAnsi"/>
          <w:color w:val="000000" w:themeColor="text1"/>
          <w:sz w:val="24"/>
          <w:szCs w:val="24"/>
        </w:rPr>
        <w:t xml:space="preserve"> jest czymś odrębnym od prawa przewidzianego w przepisach </w:t>
      </w:r>
      <w:proofErr w:type="spellStart"/>
      <w:r w:rsidRPr="00375799">
        <w:rPr>
          <w:rFonts w:cstheme="minorHAnsi"/>
          <w:color w:val="000000" w:themeColor="text1"/>
          <w:sz w:val="24"/>
          <w:szCs w:val="24"/>
        </w:rPr>
        <w:t>u.p.p</w:t>
      </w:r>
      <w:proofErr w:type="spellEnd"/>
      <w:r w:rsidRPr="00375799">
        <w:rPr>
          <w:rFonts w:cstheme="minorHAnsi"/>
          <w:color w:val="000000" w:themeColor="text1"/>
          <w:sz w:val="24"/>
          <w:szCs w:val="24"/>
        </w:rPr>
        <w:t>. Po pierwsze bowiem, w motywie 63 RODO wskazuje się, że „każda osoba fizyczna powinna mieć prawo dostępu do zebranych danych jej dotyczących oraz powinna mieć możliwość łatwego wykonywania tego prawa w rozsądnych odstępach czasu, by mieć świadomość przetwarzania i móc zweryfikować zgodność przetwarzania z prawem. Obejmuje to prawo dostępu osób, których dane dotyczą, do danych dotyczących ich zdrowia, na przykład do danych w dokumentacji medycznej zawierającej takie informacje, jak diagnoza, wyniki badań, oceny dokonywane przez lekarzy prowadzących, stosowane terapie czy przeprowadzone zabiegi”. Po drugie, art. 15 ust. 4 RODO wyraźnie przesądza, że żądanie do wydania kopii danych może obejmować również dane osób trzecich (np. dane lekarza z</w:t>
      </w:r>
      <w:r w:rsidR="00002B23">
        <w:rPr>
          <w:rFonts w:cstheme="minorHAnsi"/>
          <w:color w:val="000000" w:themeColor="text1"/>
          <w:sz w:val="24"/>
          <w:szCs w:val="24"/>
        </w:rPr>
        <w:t>a</w:t>
      </w:r>
      <w:r w:rsidRPr="00375799">
        <w:rPr>
          <w:rFonts w:cstheme="minorHAnsi"/>
          <w:color w:val="000000" w:themeColor="text1"/>
          <w:sz w:val="24"/>
          <w:szCs w:val="24"/>
        </w:rPr>
        <w:t>warte w dokumentacji medycznej)</w:t>
      </w:r>
      <w:r w:rsidR="00002B23">
        <w:rPr>
          <w:rFonts w:cstheme="minorHAnsi"/>
          <w:color w:val="000000" w:themeColor="text1"/>
          <w:sz w:val="24"/>
          <w:szCs w:val="24"/>
        </w:rPr>
        <w:t>,</w:t>
      </w:r>
      <w:r w:rsidRPr="00375799">
        <w:rPr>
          <w:rFonts w:cstheme="minorHAnsi"/>
          <w:color w:val="000000" w:themeColor="text1"/>
          <w:sz w:val="24"/>
          <w:szCs w:val="24"/>
        </w:rPr>
        <w:t xml:space="preserve"> o ile nie narusza to praw i wolności danych osób trzecich. Udostępnienie danych osobowych personelu medycznego zamieszczonych w dokumentacji medycznej nigdy nie narusza ich praw, gdyż dane udostępnione zostały w związku z wykonywanymi przez takie osoby czynnościami służbowymi. Bez podejmowanej zmiany legislacyjnej, w skutek powyższych stanowisk</w:t>
      </w:r>
      <w:r w:rsidR="00FD3063">
        <w:rPr>
          <w:rFonts w:cstheme="minorHAnsi"/>
          <w:color w:val="000000" w:themeColor="text1"/>
          <w:sz w:val="24"/>
          <w:szCs w:val="24"/>
        </w:rPr>
        <w:t>,</w:t>
      </w:r>
      <w:r w:rsidRPr="00375799">
        <w:rPr>
          <w:rFonts w:cstheme="minorHAnsi"/>
          <w:color w:val="000000" w:themeColor="text1"/>
          <w:sz w:val="24"/>
          <w:szCs w:val="24"/>
        </w:rPr>
        <w:t xml:space="preserve"> bezpłatny dostęp do dokumentacji uzależniony byłby więc wyłącznie od tego, czy pacjent byłby świadomy możliwości wyboru jako podstawy prawnej żądania art. 15 RODO lub art. 28 </w:t>
      </w:r>
      <w:proofErr w:type="spellStart"/>
      <w:r w:rsidRPr="00375799">
        <w:rPr>
          <w:rFonts w:cstheme="minorHAnsi"/>
          <w:color w:val="000000" w:themeColor="text1"/>
          <w:sz w:val="24"/>
          <w:szCs w:val="24"/>
        </w:rPr>
        <w:t>u.p.p</w:t>
      </w:r>
      <w:proofErr w:type="spellEnd"/>
      <w:r w:rsidRPr="00375799">
        <w:rPr>
          <w:rFonts w:cstheme="minorHAnsi"/>
          <w:color w:val="000000" w:themeColor="text1"/>
          <w:sz w:val="24"/>
          <w:szCs w:val="24"/>
        </w:rPr>
        <w:t>. Należy wskazać, że projektodawca w sposób świadomy zdecydował się przyznać bezpłatny dostęp nie tylko do kopii danych</w:t>
      </w:r>
      <w:r w:rsidR="00002B23">
        <w:rPr>
          <w:rFonts w:cstheme="minorHAnsi"/>
          <w:color w:val="000000" w:themeColor="text1"/>
          <w:sz w:val="24"/>
          <w:szCs w:val="24"/>
        </w:rPr>
        <w:t>,</w:t>
      </w:r>
      <w:r w:rsidRPr="00375799">
        <w:rPr>
          <w:rFonts w:cstheme="minorHAnsi"/>
          <w:color w:val="000000" w:themeColor="text1"/>
          <w:sz w:val="24"/>
          <w:szCs w:val="24"/>
        </w:rPr>
        <w:t xml:space="preserve"> ale również innych form pozyskiwania dostępu do dokumentacji medycznej</w:t>
      </w:r>
      <w:r w:rsidR="00002B23">
        <w:rPr>
          <w:rFonts w:cstheme="minorHAnsi"/>
          <w:color w:val="000000" w:themeColor="text1"/>
          <w:sz w:val="24"/>
          <w:szCs w:val="24"/>
        </w:rPr>
        <w:t>,</w:t>
      </w:r>
      <w:r w:rsidRPr="00375799">
        <w:rPr>
          <w:rFonts w:cstheme="minorHAnsi"/>
          <w:color w:val="000000" w:themeColor="text1"/>
          <w:sz w:val="24"/>
          <w:szCs w:val="24"/>
        </w:rPr>
        <w:t xml:space="preserve"> o czym mowa w art. 27 </w:t>
      </w:r>
      <w:proofErr w:type="spellStart"/>
      <w:r w:rsidRPr="00375799">
        <w:rPr>
          <w:rFonts w:cstheme="minorHAnsi"/>
          <w:color w:val="000000" w:themeColor="text1"/>
          <w:sz w:val="24"/>
          <w:szCs w:val="24"/>
        </w:rPr>
        <w:t>u.p.p</w:t>
      </w:r>
      <w:proofErr w:type="spellEnd"/>
      <w:r w:rsidRPr="00375799">
        <w:rPr>
          <w:rFonts w:cstheme="minorHAnsi"/>
          <w:color w:val="000000" w:themeColor="text1"/>
          <w:sz w:val="24"/>
          <w:szCs w:val="24"/>
        </w:rPr>
        <w:t>. Trudno bowiem wyobrazić sobie sytuację, w której pacjent</w:t>
      </w:r>
      <w:r w:rsidR="00FD3063">
        <w:rPr>
          <w:rFonts w:cstheme="minorHAnsi"/>
          <w:color w:val="000000" w:themeColor="text1"/>
          <w:sz w:val="24"/>
          <w:szCs w:val="24"/>
        </w:rPr>
        <w:t>,</w:t>
      </w:r>
      <w:r w:rsidRPr="00375799">
        <w:rPr>
          <w:rFonts w:cstheme="minorHAnsi"/>
          <w:color w:val="000000" w:themeColor="text1"/>
          <w:sz w:val="24"/>
          <w:szCs w:val="24"/>
        </w:rPr>
        <w:t xml:space="preserve"> mogąc uzyskać nieodpłatny dostęp do kopii czy wypisu z dokumentacji medycznej, korzystałby z innych form dostępu, które byłyby już odpłatne. Należy wskazać, że w świetle projektowanej zmiany </w:t>
      </w:r>
      <w:r w:rsidR="00FD3063" w:rsidRPr="00375799">
        <w:rPr>
          <w:rFonts w:cstheme="minorHAnsi"/>
          <w:color w:val="000000" w:themeColor="text1"/>
          <w:sz w:val="24"/>
          <w:szCs w:val="24"/>
        </w:rPr>
        <w:t xml:space="preserve">nieodpłatne </w:t>
      </w:r>
      <w:r w:rsidRPr="00375799">
        <w:rPr>
          <w:rFonts w:cstheme="minorHAnsi"/>
          <w:color w:val="000000" w:themeColor="text1"/>
          <w:sz w:val="24"/>
          <w:szCs w:val="24"/>
        </w:rPr>
        <w:t>uzyskanie dokumentacji medycznej przez pacjenta wyłączało będzie w tym zakresie możliwość wystąpienia z takim żądaniem przez przedstawiciela ustawowego (i odwrotnie). Liczba osób upoważnionych</w:t>
      </w:r>
      <w:r w:rsidR="00FD3063">
        <w:rPr>
          <w:rFonts w:cstheme="minorHAnsi"/>
          <w:color w:val="000000" w:themeColor="text1"/>
          <w:sz w:val="24"/>
          <w:szCs w:val="24"/>
        </w:rPr>
        <w:t>,</w:t>
      </w:r>
      <w:r w:rsidRPr="00375799">
        <w:rPr>
          <w:rFonts w:cstheme="minorHAnsi"/>
          <w:color w:val="000000" w:themeColor="text1"/>
          <w:sz w:val="24"/>
          <w:szCs w:val="24"/>
        </w:rPr>
        <w:t xml:space="preserve"> mogących uzyskać dostęp do dokumentacji medycznej</w:t>
      </w:r>
      <w:r w:rsidR="00FD3063">
        <w:rPr>
          <w:rFonts w:cstheme="minorHAnsi"/>
          <w:color w:val="000000" w:themeColor="text1"/>
          <w:sz w:val="24"/>
          <w:szCs w:val="24"/>
        </w:rPr>
        <w:t>,</w:t>
      </w:r>
      <w:r w:rsidRPr="00375799">
        <w:rPr>
          <w:rFonts w:cstheme="minorHAnsi"/>
          <w:color w:val="000000" w:themeColor="text1"/>
          <w:sz w:val="24"/>
          <w:szCs w:val="24"/>
        </w:rPr>
        <w:t xml:space="preserve"> jest nieograniczona, tym samym projektodawca</w:t>
      </w:r>
      <w:r w:rsidR="00002B23">
        <w:rPr>
          <w:rFonts w:cstheme="minorHAnsi"/>
          <w:color w:val="000000" w:themeColor="text1"/>
          <w:sz w:val="24"/>
          <w:szCs w:val="24"/>
        </w:rPr>
        <w:t>,</w:t>
      </w:r>
      <w:r w:rsidRPr="00375799">
        <w:rPr>
          <w:rFonts w:cstheme="minorHAnsi"/>
          <w:color w:val="000000" w:themeColor="text1"/>
          <w:sz w:val="24"/>
          <w:szCs w:val="24"/>
        </w:rPr>
        <w:t xml:space="preserve"> uwzględniając zakres podmiotowy żądania</w:t>
      </w:r>
      <w:r w:rsidR="00002B23">
        <w:rPr>
          <w:rFonts w:cstheme="minorHAnsi"/>
          <w:color w:val="000000" w:themeColor="text1"/>
          <w:sz w:val="24"/>
          <w:szCs w:val="24"/>
        </w:rPr>
        <w:t>,</w:t>
      </w:r>
      <w:r w:rsidRPr="00375799">
        <w:rPr>
          <w:rFonts w:cstheme="minorHAnsi"/>
          <w:color w:val="000000" w:themeColor="text1"/>
          <w:sz w:val="24"/>
          <w:szCs w:val="24"/>
        </w:rPr>
        <w:t xml:space="preserve"> o którym mowa w art. 15 RODO</w:t>
      </w:r>
      <w:r w:rsidR="0039405D">
        <w:rPr>
          <w:rFonts w:cstheme="minorHAnsi"/>
          <w:color w:val="000000" w:themeColor="text1"/>
          <w:sz w:val="24"/>
          <w:szCs w:val="24"/>
        </w:rPr>
        <w:t>,</w:t>
      </w:r>
      <w:r w:rsidRPr="00375799">
        <w:rPr>
          <w:rFonts w:cstheme="minorHAnsi"/>
          <w:color w:val="000000" w:themeColor="text1"/>
          <w:sz w:val="24"/>
          <w:szCs w:val="24"/>
        </w:rPr>
        <w:t xml:space="preserve"> zdecydował się przyznać prawo uzyskiwania bezpłatnego dostępu do dokumentacji medycznej na podstawie projektowanego przepisu, wyłącznie pacjentowi oraz jego ustawowemu przedstawicielowi. Uzyskanie dostępu do dokumentacji medycznej chociażby w jeden ze sposobów</w:t>
      </w:r>
      <w:r w:rsidR="00002B23">
        <w:rPr>
          <w:rFonts w:cstheme="minorHAnsi"/>
          <w:color w:val="000000" w:themeColor="text1"/>
          <w:sz w:val="24"/>
          <w:szCs w:val="24"/>
        </w:rPr>
        <w:t>,</w:t>
      </w:r>
      <w:r w:rsidRPr="00375799">
        <w:rPr>
          <w:rFonts w:cstheme="minorHAnsi"/>
          <w:color w:val="000000" w:themeColor="text1"/>
          <w:sz w:val="24"/>
          <w:szCs w:val="24"/>
        </w:rPr>
        <w:t xml:space="preserve"> o których mowa w art. 27 ust. 1 pkt 2 i 5 oraz ust. 3 </w:t>
      </w:r>
      <w:proofErr w:type="spellStart"/>
      <w:r w:rsidRPr="00375799">
        <w:rPr>
          <w:rFonts w:cstheme="minorHAnsi"/>
          <w:color w:val="000000" w:themeColor="text1"/>
          <w:sz w:val="24"/>
          <w:szCs w:val="24"/>
        </w:rPr>
        <w:t>u.p.p</w:t>
      </w:r>
      <w:proofErr w:type="spellEnd"/>
      <w:r w:rsidRPr="00375799">
        <w:rPr>
          <w:rFonts w:cstheme="minorHAnsi"/>
          <w:color w:val="000000" w:themeColor="text1"/>
          <w:sz w:val="24"/>
          <w:szCs w:val="24"/>
        </w:rPr>
        <w:t>., wyłączało będzie możliwość uzyskania do niej nieodpłatnego dostępu w takim samym zakresie w świetle projektowanej regulacji. Należy również wskazać, że zmiana zakresu żądania uzasadniająca możliwość nieodpłatnego uzyskania dostępu do dokumentacji medycznej</w:t>
      </w:r>
      <w:r w:rsidR="00002B23">
        <w:rPr>
          <w:rFonts w:cstheme="minorHAnsi"/>
          <w:color w:val="000000" w:themeColor="text1"/>
          <w:sz w:val="24"/>
          <w:szCs w:val="24"/>
        </w:rPr>
        <w:t>,</w:t>
      </w:r>
      <w:r w:rsidRPr="00375799">
        <w:rPr>
          <w:rFonts w:cstheme="minorHAnsi"/>
          <w:color w:val="000000" w:themeColor="text1"/>
          <w:sz w:val="24"/>
          <w:szCs w:val="24"/>
        </w:rPr>
        <w:t xml:space="preserve"> o której mowa w projektowanym przepisie, nie może polegać na zawężeniu zakresu kolejnego żądania, gdyż w praktyce i tak żądany zakres został już udostępniony wcześniej.</w:t>
      </w:r>
    </w:p>
    <w:p w14:paraId="4C60C83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37ED9F4D" w14:textId="19A2E14E"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02" w:name="_Toc530565074"/>
      <w:r w:rsidRPr="00375799">
        <w:rPr>
          <w:rFonts w:asciiTheme="minorHAnsi" w:hAnsiTheme="minorHAnsi" w:cstheme="minorHAnsi"/>
          <w:color w:val="000000" w:themeColor="text1"/>
          <w:sz w:val="24"/>
          <w:szCs w:val="24"/>
        </w:rPr>
        <w:lastRenderedPageBreak/>
        <w:t>Ustawa z dnia 21 listopada 2008 r. o służbie cywilnej</w:t>
      </w:r>
      <w:r w:rsidR="00366565" w:rsidRPr="00375799">
        <w:rPr>
          <w:rFonts w:asciiTheme="minorHAnsi" w:hAnsiTheme="minorHAnsi" w:cstheme="minorHAnsi"/>
          <w:color w:val="000000" w:themeColor="text1"/>
          <w:sz w:val="24"/>
          <w:szCs w:val="24"/>
        </w:rPr>
        <w:t xml:space="preserve"> (Dz. U. z 201</w:t>
      </w:r>
      <w:r w:rsidR="00A76E67">
        <w:rPr>
          <w:rFonts w:asciiTheme="minorHAnsi" w:hAnsiTheme="minorHAnsi" w:cstheme="minorHAnsi"/>
          <w:color w:val="000000" w:themeColor="text1"/>
          <w:sz w:val="24"/>
          <w:szCs w:val="24"/>
        </w:rPr>
        <w:t>8 r. poz. 1559</w:t>
      </w:r>
      <w:r w:rsidR="00366565" w:rsidRPr="00375799">
        <w:rPr>
          <w:rFonts w:asciiTheme="minorHAnsi" w:hAnsiTheme="minorHAnsi" w:cstheme="minorHAnsi"/>
          <w:color w:val="000000" w:themeColor="text1"/>
          <w:sz w:val="24"/>
          <w:szCs w:val="24"/>
        </w:rPr>
        <w:t>)</w:t>
      </w:r>
      <w:bookmarkEnd w:id="102"/>
    </w:p>
    <w:p w14:paraId="32052517"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Propozycja zmiany art. 15 ust. 5 polegająca na wskazaniu Szefa Służby Cywilnej jako podmiotu przetwarzającego dane osobowe pozwoli uniknąć wątpliwości co do ograniczenia zakresu czynności wykonywanych z wykorzystaniem danych osobowych do zbierania i wykorzystywania tych danych. Jednocześnie umożliwi dalsze zbieranie, wykorzystywanie i przetwarzanie innych informacji w celu realizacji ustawowych zadań Szefa Służby Cywilnej. </w:t>
      </w:r>
    </w:p>
    <w:p w14:paraId="0A6CAE3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066412B4" w14:textId="54E52305"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03" w:name="_Toc530565075"/>
      <w:r w:rsidRPr="00375799">
        <w:rPr>
          <w:rFonts w:asciiTheme="minorHAnsi" w:hAnsiTheme="minorHAnsi" w:cstheme="minorHAnsi"/>
          <w:color w:val="000000" w:themeColor="text1"/>
          <w:sz w:val="24"/>
          <w:szCs w:val="24"/>
        </w:rPr>
        <w:t>Ustawa z dnia 23 stycznia 2009 r. o Krajowej Szkole Sądownictwa i Prokuratury</w:t>
      </w:r>
      <w:r w:rsidR="00366565" w:rsidRPr="00375799">
        <w:rPr>
          <w:rFonts w:asciiTheme="minorHAnsi" w:hAnsiTheme="minorHAnsi" w:cstheme="minorHAnsi"/>
          <w:color w:val="000000" w:themeColor="text1"/>
          <w:sz w:val="24"/>
          <w:szCs w:val="24"/>
        </w:rPr>
        <w:t xml:space="preserve"> (Dz. U. z 2018 r. poz. 624</w:t>
      </w:r>
      <w:r w:rsidR="00FB09B3">
        <w:rPr>
          <w:rFonts w:asciiTheme="minorHAnsi" w:hAnsiTheme="minorHAnsi" w:cstheme="minorHAnsi"/>
          <w:color w:val="000000" w:themeColor="text1"/>
          <w:sz w:val="24"/>
          <w:szCs w:val="24"/>
        </w:rPr>
        <w:t>,</w:t>
      </w:r>
      <w:r w:rsidR="00366565" w:rsidRPr="00375799">
        <w:rPr>
          <w:rFonts w:asciiTheme="minorHAnsi" w:hAnsiTheme="minorHAnsi" w:cstheme="minorHAnsi"/>
          <w:color w:val="000000" w:themeColor="text1"/>
          <w:sz w:val="24"/>
          <w:szCs w:val="24"/>
        </w:rPr>
        <w:t xml:space="preserve"> 1045</w:t>
      </w:r>
      <w:r w:rsidR="00FB09B3">
        <w:rPr>
          <w:rFonts w:asciiTheme="minorHAnsi" w:hAnsiTheme="minorHAnsi" w:cstheme="minorHAnsi"/>
          <w:color w:val="000000" w:themeColor="text1"/>
          <w:sz w:val="24"/>
          <w:szCs w:val="24"/>
        </w:rPr>
        <w:t>, 1443 i 1669</w:t>
      </w:r>
      <w:r w:rsidR="00366565" w:rsidRPr="00375799">
        <w:rPr>
          <w:rFonts w:asciiTheme="minorHAnsi" w:hAnsiTheme="minorHAnsi" w:cstheme="minorHAnsi"/>
          <w:color w:val="000000" w:themeColor="text1"/>
          <w:sz w:val="24"/>
          <w:szCs w:val="24"/>
        </w:rPr>
        <w:t>)</w:t>
      </w:r>
      <w:bookmarkEnd w:id="103"/>
    </w:p>
    <w:p w14:paraId="482E4900"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7803057A" w14:textId="53D776BB" w:rsidR="00FA0436" w:rsidRPr="00375799" w:rsidRDefault="008706DD" w:rsidP="0055107B">
      <w:pPr>
        <w:spacing w:line="276" w:lineRule="auto"/>
        <w:contextualSpacing/>
        <w:jc w:val="both"/>
        <w:rPr>
          <w:rFonts w:eastAsiaTheme="majorEastAsia" w:cstheme="minorHAnsi"/>
          <w:color w:val="000000" w:themeColor="text1"/>
          <w:sz w:val="24"/>
          <w:szCs w:val="24"/>
        </w:rPr>
      </w:pPr>
      <w:r w:rsidRPr="00375799">
        <w:rPr>
          <w:rFonts w:cstheme="minorHAnsi"/>
          <w:color w:val="000000" w:themeColor="text1"/>
          <w:sz w:val="24"/>
          <w:szCs w:val="24"/>
        </w:rPr>
        <w:t xml:space="preserve">Uzasadnienie wspólne do zmian projektowanych w następujących ustawach: </w:t>
      </w:r>
      <w:r w:rsidR="00002B23">
        <w:rPr>
          <w:rFonts w:cstheme="minorHAnsi"/>
          <w:color w:val="000000" w:themeColor="text1"/>
          <w:sz w:val="24"/>
          <w:szCs w:val="24"/>
        </w:rPr>
        <w:t>u</w:t>
      </w:r>
      <w:r w:rsidRPr="00375799">
        <w:rPr>
          <w:rFonts w:cstheme="minorHAnsi"/>
          <w:color w:val="000000" w:themeColor="text1"/>
          <w:sz w:val="24"/>
          <w:szCs w:val="24"/>
        </w:rPr>
        <w:t>stawa z dnia 27 lipca 2001 r. – Prawo o ustroju s</w:t>
      </w:r>
      <w:r w:rsidR="00002B23">
        <w:rPr>
          <w:rFonts w:cstheme="minorHAnsi"/>
          <w:color w:val="000000" w:themeColor="text1"/>
          <w:sz w:val="24"/>
          <w:szCs w:val="24"/>
        </w:rPr>
        <w:t>ą</w:t>
      </w:r>
      <w:r w:rsidRPr="00375799">
        <w:rPr>
          <w:rFonts w:cstheme="minorHAnsi"/>
          <w:color w:val="000000" w:themeColor="text1"/>
          <w:sz w:val="24"/>
          <w:szCs w:val="24"/>
        </w:rPr>
        <w:t>dów powszechnych, ustawa z dnia 21 sierpnia 1997 r. – Prawo o ustroju sądów wojskowych, ustawa z dnia 25 lipca 2002 r. – Prawo o ustroju sądów administracyjnych, ustawa z dnia 8 grudnia 2017 r. o Sądzie Najwyż</w:t>
      </w:r>
      <w:r w:rsidR="00147917">
        <w:rPr>
          <w:rFonts w:cstheme="minorHAnsi"/>
          <w:color w:val="000000" w:themeColor="text1"/>
          <w:sz w:val="24"/>
          <w:szCs w:val="24"/>
        </w:rPr>
        <w:t>szym</w:t>
      </w:r>
      <w:r w:rsidRPr="00375799">
        <w:rPr>
          <w:rFonts w:cstheme="minorHAnsi"/>
          <w:color w:val="000000" w:themeColor="text1"/>
          <w:sz w:val="24"/>
          <w:szCs w:val="24"/>
        </w:rPr>
        <w:t>, ustawa z dnia 23 stycznia 2009 r. o Krajowej Szkole Sądownictwa i Prokuratury, ustawa z dnia 11 maja 2011 r. o Krajowej Radzie Sądownictwa, ustawa z dnia 30 listopada 2016 r. o organizacji i trybie postępowania przed Trybunałem Konstytucyjnym, ustawa z dnia 26 marca 1982 r. o Trybunale Stanu</w:t>
      </w:r>
      <w:r w:rsidR="00BD6326">
        <w:rPr>
          <w:rFonts w:eastAsiaTheme="majorEastAsia" w:cstheme="minorHAnsi"/>
          <w:color w:val="000000" w:themeColor="text1"/>
          <w:sz w:val="24"/>
          <w:szCs w:val="24"/>
        </w:rPr>
        <w:t>.</w:t>
      </w:r>
    </w:p>
    <w:p w14:paraId="24D1A0B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04EE033E" w14:textId="1E5DD92E" w:rsidR="008706DD" w:rsidRPr="00375799" w:rsidRDefault="008706DD" w:rsidP="00C15B44">
      <w:pPr>
        <w:pStyle w:val="Nagwek2"/>
        <w:spacing w:before="0" w:line="276" w:lineRule="auto"/>
        <w:ind w:left="57" w:right="57"/>
        <w:contextualSpacing/>
        <w:rPr>
          <w:rFonts w:cstheme="minorHAnsi"/>
          <w:color w:val="000000" w:themeColor="text1"/>
          <w:sz w:val="24"/>
          <w:szCs w:val="24"/>
        </w:rPr>
      </w:pPr>
      <w:bookmarkStart w:id="104" w:name="_Toc530565076"/>
      <w:r w:rsidRPr="00375799">
        <w:rPr>
          <w:rFonts w:asciiTheme="minorHAnsi" w:hAnsiTheme="minorHAnsi" w:cstheme="minorHAnsi"/>
          <w:color w:val="000000" w:themeColor="text1"/>
          <w:sz w:val="24"/>
          <w:szCs w:val="24"/>
        </w:rPr>
        <w:t>Ustawa z dnia 2 kwietnia 2</w:t>
      </w:r>
      <w:r w:rsidR="00652CE4">
        <w:rPr>
          <w:rFonts w:asciiTheme="minorHAnsi" w:hAnsiTheme="minorHAnsi" w:cstheme="minorHAnsi"/>
          <w:color w:val="000000" w:themeColor="text1"/>
          <w:sz w:val="24"/>
          <w:szCs w:val="24"/>
        </w:rPr>
        <w:t xml:space="preserve">009 r. o obywatelstwie polskim </w:t>
      </w:r>
      <w:r w:rsidR="00366565" w:rsidRPr="00375799">
        <w:rPr>
          <w:rFonts w:asciiTheme="minorHAnsi" w:hAnsiTheme="minorHAnsi" w:cstheme="minorHAnsi"/>
          <w:color w:val="000000" w:themeColor="text1"/>
          <w:sz w:val="24"/>
          <w:szCs w:val="24"/>
        </w:rPr>
        <w:t>(Dz. U. z 201</w:t>
      </w:r>
      <w:r w:rsidR="00FB09B3">
        <w:rPr>
          <w:rFonts w:asciiTheme="minorHAnsi" w:hAnsiTheme="minorHAnsi" w:cstheme="minorHAnsi"/>
          <w:color w:val="000000" w:themeColor="text1"/>
          <w:sz w:val="24"/>
          <w:szCs w:val="24"/>
        </w:rPr>
        <w:t>8</w:t>
      </w:r>
      <w:r w:rsidR="00366565" w:rsidRPr="00375799">
        <w:rPr>
          <w:rFonts w:asciiTheme="minorHAnsi" w:hAnsiTheme="minorHAnsi" w:cstheme="minorHAnsi"/>
          <w:color w:val="000000" w:themeColor="text1"/>
          <w:sz w:val="24"/>
          <w:szCs w:val="24"/>
        </w:rPr>
        <w:t xml:space="preserve"> r. poz. </w:t>
      </w:r>
      <w:r w:rsidR="00FB09B3">
        <w:rPr>
          <w:rFonts w:asciiTheme="minorHAnsi" w:hAnsiTheme="minorHAnsi" w:cstheme="minorHAnsi"/>
          <w:color w:val="000000" w:themeColor="text1"/>
          <w:sz w:val="24"/>
          <w:szCs w:val="24"/>
        </w:rPr>
        <w:t>1829</w:t>
      </w:r>
      <w:r w:rsidR="00366565" w:rsidRPr="00375799">
        <w:rPr>
          <w:rFonts w:asciiTheme="minorHAnsi" w:hAnsiTheme="minorHAnsi" w:cstheme="minorHAnsi"/>
          <w:color w:val="000000" w:themeColor="text1"/>
          <w:sz w:val="24"/>
          <w:szCs w:val="24"/>
        </w:rPr>
        <w:t>)</w:t>
      </w:r>
      <w:bookmarkEnd w:id="104"/>
    </w:p>
    <w:p w14:paraId="3B4E03CB" w14:textId="77777777" w:rsidR="00D82BC1"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Uprawnienie Prezydenta Rzeczypospolitej Polskiej w zakresie nadawania obywatelstwa polskiego i wyrażania zgody na zrzeczenie się obywatelstwa polskiego stanowi prerogatywę wynikającą z art. 137 Konstytucji. W celu umożliwienia Prezydentowi Rzeczypospolitej Polskiej, przed wydaniem stosownego postanowienia, uzyskania i pogłębienia informacji pozwalających na podjęcie rozstrzygnięcia w ramach realizacji wyżej wskazanej prerogatywy, </w:t>
      </w:r>
      <w:r w:rsidR="00BD6326">
        <w:rPr>
          <w:rFonts w:cstheme="minorHAnsi"/>
          <w:color w:val="000000" w:themeColor="text1"/>
          <w:sz w:val="24"/>
          <w:szCs w:val="24"/>
        </w:rPr>
        <w:t>zaprojektowano</w:t>
      </w:r>
      <w:r w:rsidR="00BD6326" w:rsidRPr="00375799">
        <w:rPr>
          <w:rFonts w:cstheme="minorHAnsi"/>
          <w:color w:val="000000" w:themeColor="text1"/>
          <w:sz w:val="24"/>
          <w:szCs w:val="24"/>
        </w:rPr>
        <w:t xml:space="preserve"> </w:t>
      </w:r>
      <w:r w:rsidRPr="00375799">
        <w:rPr>
          <w:rFonts w:cstheme="minorHAnsi"/>
          <w:color w:val="000000" w:themeColor="text1"/>
          <w:sz w:val="24"/>
          <w:szCs w:val="24"/>
        </w:rPr>
        <w:t>w ustawie z dnia 2 kwietnia 2009 r. o obywatelstwie polskim</w:t>
      </w:r>
      <w:r w:rsidR="00B501AB" w:rsidRPr="00375799">
        <w:rPr>
          <w:rFonts w:cstheme="minorHAnsi"/>
          <w:color w:val="000000" w:themeColor="text1"/>
          <w:sz w:val="24"/>
          <w:szCs w:val="24"/>
        </w:rPr>
        <w:t xml:space="preserve">. Prezydent Rzeczypospolitej Polskiej, zgodnie z art. 126 Konstytucji RP, jest najwyższym przedstawicielem RP i jednocześnie gwarantem najwyższych konstytucyjnych wartości. Pozycję ustrojową Prezydenta RP kształtuje również instytucja prerogatywy. Jedną z prerogatyw Prezydenta RP jest nadawanie obywatelstwa polskiego i wyrażanie zgody na zrzeczenie się obywatelstwa polskiego (art. 137 w związku z art. 144 ust. 3 pkt 19 Konstytucji). Jak wskazuje się w doktrynie przedmiotu, istotna w omawianej kwestii jest również pełna dyskrecjonalność urzędu prezydenckiego przy podejmowaniu decyzji określonych w art. 137 Konstytucji RP. Ustawa nie może w tej sferze formułować żadnych kryteriów ze skutkiem wiążącym dla Prezydenta RP (M. Dąbrowski, Ustawa o obywatelstwie polskim, s. 83). Powinien się on zatem kierować ogólnymi zasadami polskiego porządku prawnego, w tym również pozycją głowy państwa, określoną w art. 126 Konstytucji RP. </w:t>
      </w:r>
    </w:p>
    <w:p w14:paraId="39FF07E3" w14:textId="3AF4602F" w:rsidR="00B501AB" w:rsidRPr="00375799" w:rsidRDefault="00B501A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tym kontekście szczególnie istotne są kwestie związane z bezpieczeństwem państwa oraz prowadzoną polityką zagraniczną. Z drugiej jednak strony nie mogą ujść uwadze problemy związane z koniecznością ochrony praw jednostki (…) (J. Szreniawski, Prawa </w:t>
      </w:r>
      <w:r w:rsidRPr="00375799">
        <w:rPr>
          <w:rFonts w:cstheme="minorHAnsi"/>
          <w:color w:val="000000" w:themeColor="text1"/>
          <w:sz w:val="24"/>
          <w:szCs w:val="24"/>
        </w:rPr>
        <w:lastRenderedPageBreak/>
        <w:t xml:space="preserve">człowieka, s. 276). Odpowiednie wyważenie tych wszystkich wartości zdaje się niezwykle trudne i umyka jakiejkolwiek kategoryzacji. (…)  Zainteresowana osoba składa wniosek o nadanie obywatelstwa polskiego zawsze za pośrednictwem właściwego wojewody lub konsula. Organy te, po sprawdzeniu prawidłowości oraz kompletności dokumentacji, przekazują ją wraz ze swoją opinią Prezydentowi RP, co odbywa się za pośrednictwem ministra właściwego do spraw wewnętrznych. Przekazanie to nie kończy jednak właściwej procedury przed organami administracyjnymi. Minister właściwy do spraw wewnętrznych ma bowiem obowiązek zwrócić się do Komendanta Głównego Policji oraz Szefa ABW, a w razie potrzeby do innych organów, o udzielenie informacji, które mogą mieć istotne znaczenie w sprawie o nadanie obywatelstwa polskiego. Po zapoznaniu się z odpowiedziami wystosowanymi przez te organy minister sporządza własną opinię, którą wraz z pozostałymi dokumentami przedstawia Prezydentowi RP. Z uwagi na fakt, że nadawanie obywatelstwa polskiego ma charakter prerogatywy, Prezydent RP może zobowiązać wojewodę, konsula lub ministra właściwego do spraw wewnętrznych do przekazania wniosku o nadanie obywatelstwa polskiego bezpośrednio urzędowi prezydenckiemu, i to bez względu na stadium postępowania. Zarówno ustawa, jak również ewentualna przewlekłość procedur administracyjnych nie mogą krępować Prezydenta RP w wykonywaniu przysługujących mu na mocy Konstytucji RP uprawnień o charakterze prerogatywnym (tak: Konstytucja RP. Tom II. Komentarz do art. 87–243 red. prof. dr hab. Marek Safjan, dr hab. Leszek </w:t>
      </w:r>
      <w:proofErr w:type="spellStart"/>
      <w:r w:rsidRPr="00375799">
        <w:rPr>
          <w:rFonts w:cstheme="minorHAnsi"/>
          <w:color w:val="000000" w:themeColor="text1"/>
          <w:sz w:val="24"/>
          <w:szCs w:val="24"/>
        </w:rPr>
        <w:t>Bosek</w:t>
      </w:r>
      <w:proofErr w:type="spellEnd"/>
      <w:r w:rsidRPr="00375799">
        <w:rPr>
          <w:rFonts w:cstheme="minorHAnsi"/>
          <w:color w:val="000000" w:themeColor="text1"/>
          <w:sz w:val="24"/>
          <w:szCs w:val="24"/>
        </w:rPr>
        <w:t xml:space="preserve">). </w:t>
      </w:r>
    </w:p>
    <w:p w14:paraId="07DE694F" w14:textId="275C066C" w:rsidR="00B501AB" w:rsidRPr="00375799" w:rsidRDefault="00B501A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Projektowana regulacja w sposób spójny ujmuje kwestię zwracania się o informację w sprawach nadania obywatelstwa polskiego. Ze względu na pełną samodzielność Głowy Państwa w zakresie realizacji prerogatywy, jaką stanowi nadawanie obywatelstwa polskiego,  niezależnie od procedury przewidzianej w art. 21 ust.  4 i 5 ustawy o obywatelstwie polskim uzasadnione jest wprowadzenie projektowanej regulacji. Odnotować należy wskazanie w projektowanych przepisach, obok organów władzy publicznej, również</w:t>
      </w:r>
      <w:r w:rsidR="00016673" w:rsidRPr="00375799">
        <w:rPr>
          <w:rFonts w:cstheme="minorHAnsi"/>
          <w:color w:val="000000" w:themeColor="text1"/>
          <w:sz w:val="24"/>
          <w:szCs w:val="24"/>
        </w:rPr>
        <w:t xml:space="preserve"> organizacji i </w:t>
      </w:r>
      <w:r w:rsidRPr="00375799">
        <w:rPr>
          <w:rFonts w:cstheme="minorHAnsi"/>
          <w:color w:val="000000" w:themeColor="text1"/>
          <w:sz w:val="24"/>
          <w:szCs w:val="24"/>
        </w:rPr>
        <w:t xml:space="preserve"> instytucji, jako podmiotów, do których może zwrócić się Kancelaria Prezydenta Rzeczypospolitej Polskiej (zgodnie z art. 143 Konstytucji Kancelaria Prezydenta RP jest organem pomocniczym Prezydenta RP). Takie określenie kręgu podmiotów zobowiązanych do udzielenia informacji mających znaczenie w sprawie o nadanie obywatelstwa polskiego umożliwi Prezydentowi RP wszechstronną ocenę okoliczności związanych ze złożonym wnioskiem o nadanie obywatelstwa polskiego. </w:t>
      </w:r>
    </w:p>
    <w:p w14:paraId="7A7AA701" w14:textId="106F1A9B" w:rsidR="00B501AB" w:rsidRPr="00375799" w:rsidRDefault="00B501A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toku realizacji prerogatywy konieczne może być pogłębienie informacji otrzymanych w toku postępowania lub zasięgnięcie nowych informacji. Należy wskazać, że z istoty ww. prerogatywy wynika uprawnienie Prezydenta RP do określania, jakie informacje są mu przydatne w swobodnym realizowaniu tej prerogatywy, stąd w proponowanym brzmieniu przepisu mowa o „właściwych organach</w:t>
      </w:r>
      <w:r w:rsidR="00016673" w:rsidRPr="00375799">
        <w:rPr>
          <w:rFonts w:cstheme="minorHAnsi"/>
          <w:color w:val="000000" w:themeColor="text1"/>
          <w:sz w:val="24"/>
          <w:szCs w:val="24"/>
        </w:rPr>
        <w:t>, organizacjach</w:t>
      </w:r>
      <w:r w:rsidRPr="00375799">
        <w:rPr>
          <w:rFonts w:cstheme="minorHAnsi"/>
          <w:color w:val="000000" w:themeColor="text1"/>
          <w:sz w:val="24"/>
          <w:szCs w:val="24"/>
        </w:rPr>
        <w:t xml:space="preserve"> i instytucjach”.  </w:t>
      </w:r>
    </w:p>
    <w:p w14:paraId="4E65D11E" w14:textId="0F5F4548" w:rsidR="008706DD" w:rsidRPr="00375799" w:rsidRDefault="00B501A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Choć uprawnienie do zasięgania informacji potrzebnych do wykonania ww. prerogatywy, w przypadku urzędu Prezydenta RP, ma swoje bezpośrednie, odrębne umocowanie w konstytucyjnej zasadzie współdziałania władz, to z uwagi na brzmienie art. 51 Konstytucji RP celowe jest sprecyzowanie normy kompetencyjnej dotyczącej przekazywania </w:t>
      </w:r>
      <w:r w:rsidRPr="00375799">
        <w:rPr>
          <w:rFonts w:cstheme="minorHAnsi"/>
          <w:color w:val="000000" w:themeColor="text1"/>
          <w:sz w:val="24"/>
          <w:szCs w:val="24"/>
        </w:rPr>
        <w:lastRenderedPageBreak/>
        <w:t>przez właściwe organy lub instytucje informacji w postępowaniu o nadanie obywatelstwa albo w postępowaniu o wyrażenie zgody na zrzeczenie się obywatelstwa polskiego.</w:t>
      </w:r>
    </w:p>
    <w:p w14:paraId="33143A3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A098940" w14:textId="5C7A844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05" w:name="_Toc530565077"/>
      <w:r w:rsidRPr="00375799">
        <w:rPr>
          <w:rFonts w:asciiTheme="minorHAnsi" w:hAnsiTheme="minorHAnsi" w:cstheme="minorHAnsi"/>
          <w:color w:val="000000" w:themeColor="text1"/>
          <w:sz w:val="24"/>
          <w:szCs w:val="24"/>
        </w:rPr>
        <w:t>Ustawa z dnia 7 maja 2009 r. o zadośćuczynieniu rodzinom ofiar zbiorowych wystąpień wolnościowych w latach 1956</w:t>
      </w:r>
      <w:r w:rsidR="00CF7B15">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1989 (Dz. U. </w:t>
      </w:r>
      <w:r w:rsidR="00FB09B3">
        <w:rPr>
          <w:rFonts w:asciiTheme="minorHAnsi" w:hAnsiTheme="minorHAnsi" w:cstheme="minorHAnsi"/>
          <w:color w:val="000000" w:themeColor="text1"/>
          <w:sz w:val="24"/>
          <w:szCs w:val="24"/>
        </w:rPr>
        <w:t xml:space="preserve">poz. 741, </w:t>
      </w:r>
      <w:r w:rsidRPr="00375799">
        <w:rPr>
          <w:rFonts w:asciiTheme="minorHAnsi" w:hAnsiTheme="minorHAnsi" w:cstheme="minorHAnsi"/>
          <w:color w:val="000000" w:themeColor="text1"/>
          <w:sz w:val="24"/>
          <w:szCs w:val="24"/>
        </w:rPr>
        <w:t xml:space="preserve">z 2011 </w:t>
      </w:r>
      <w:r w:rsidR="00C23542">
        <w:rPr>
          <w:rFonts w:asciiTheme="minorHAnsi" w:hAnsiTheme="minorHAnsi" w:cstheme="minorHAnsi"/>
          <w:color w:val="000000" w:themeColor="text1"/>
          <w:sz w:val="24"/>
          <w:szCs w:val="24"/>
        </w:rPr>
        <w:t>r. poz. 622 oraz z 2014 r. poz. </w:t>
      </w:r>
      <w:r w:rsidRPr="00375799">
        <w:rPr>
          <w:rFonts w:asciiTheme="minorHAnsi" w:hAnsiTheme="minorHAnsi" w:cstheme="minorHAnsi"/>
          <w:color w:val="000000" w:themeColor="text1"/>
          <w:sz w:val="24"/>
          <w:szCs w:val="24"/>
        </w:rPr>
        <w:t>496)</w:t>
      </w:r>
      <w:bookmarkEnd w:id="105"/>
      <w:r w:rsidRPr="00375799">
        <w:rPr>
          <w:rFonts w:asciiTheme="minorHAnsi" w:hAnsiTheme="minorHAnsi" w:cstheme="minorHAnsi"/>
          <w:color w:val="000000" w:themeColor="text1"/>
          <w:sz w:val="24"/>
          <w:szCs w:val="24"/>
        </w:rPr>
        <w:t xml:space="preserve"> </w:t>
      </w:r>
    </w:p>
    <w:p w14:paraId="4AE3241B" w14:textId="77777777" w:rsidR="0078314A" w:rsidRPr="00375799" w:rsidRDefault="0078314A" w:rsidP="0055107B">
      <w:pPr>
        <w:spacing w:after="0" w:line="276" w:lineRule="auto"/>
        <w:ind w:left="57" w:right="57"/>
        <w:contextualSpacing/>
        <w:jc w:val="both"/>
        <w:rPr>
          <w:rFonts w:cstheme="minorHAnsi"/>
          <w:color w:val="000000" w:themeColor="text1"/>
          <w:sz w:val="24"/>
          <w:szCs w:val="24"/>
        </w:rPr>
      </w:pPr>
    </w:p>
    <w:p w14:paraId="06ED0112" w14:textId="006D911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Zmiana polegająca na rozszerzeniu katalogu danych w art. 4 ust. 2 ustawy </w:t>
      </w:r>
      <w:r w:rsidR="00BD6326">
        <w:rPr>
          <w:rFonts w:cstheme="minorHAnsi"/>
          <w:color w:val="000000" w:themeColor="text1"/>
          <w:sz w:val="24"/>
          <w:szCs w:val="24"/>
        </w:rPr>
        <w:t xml:space="preserve">z dnia 7 maja 2009 r. </w:t>
      </w:r>
      <w:r w:rsidRPr="00375799">
        <w:rPr>
          <w:rFonts w:cstheme="minorHAnsi"/>
          <w:color w:val="000000" w:themeColor="text1"/>
          <w:sz w:val="24"/>
          <w:szCs w:val="24"/>
        </w:rPr>
        <w:t>o zadośćuczynieniu rodzinom ofiar zbiorowych wystąpień wolnościowych w latach 1956-1989 nie ma w istocie charakteru merytorycznego. Pozwala ona na przetwarzanie danych, które zaliczane są do obecnie już przetwarzanych. Jednoznaczne określenie tego, o co może prosić urząd</w:t>
      </w:r>
      <w:r w:rsidR="00E57C9E">
        <w:rPr>
          <w:rFonts w:cstheme="minorHAnsi"/>
          <w:color w:val="000000" w:themeColor="text1"/>
          <w:sz w:val="24"/>
          <w:szCs w:val="24"/>
        </w:rPr>
        <w:t>,</w:t>
      </w:r>
      <w:r w:rsidRPr="00375799">
        <w:rPr>
          <w:rFonts w:cstheme="minorHAnsi"/>
          <w:color w:val="000000" w:themeColor="text1"/>
          <w:sz w:val="24"/>
          <w:szCs w:val="24"/>
        </w:rPr>
        <w:t xml:space="preserve"> powodować będzie mniej błędów i nieporozumień, zważywszy na to, że osoby wypełniające wnioski są w starszym wieku. W związku z powyższym zmiana ta ma charakter dostosowawczy do przepisów </w:t>
      </w:r>
      <w:r w:rsidR="00FA0436" w:rsidRPr="00375799">
        <w:rPr>
          <w:rFonts w:cstheme="minorHAnsi"/>
          <w:color w:val="000000" w:themeColor="text1"/>
          <w:sz w:val="24"/>
          <w:szCs w:val="24"/>
        </w:rPr>
        <w:t>RODO</w:t>
      </w:r>
      <w:r w:rsidRPr="00375799">
        <w:rPr>
          <w:rFonts w:cstheme="minorHAnsi"/>
          <w:color w:val="000000" w:themeColor="text1"/>
          <w:sz w:val="24"/>
          <w:szCs w:val="24"/>
        </w:rPr>
        <w:t>.</w:t>
      </w:r>
    </w:p>
    <w:p w14:paraId="4D4EBA2C" w14:textId="77777777" w:rsidR="0078314A" w:rsidRPr="00375799" w:rsidRDefault="0078314A" w:rsidP="0055107B">
      <w:pPr>
        <w:spacing w:after="0" w:line="276" w:lineRule="auto"/>
        <w:ind w:left="57" w:right="57"/>
        <w:contextualSpacing/>
        <w:jc w:val="both"/>
        <w:rPr>
          <w:rFonts w:cstheme="minorHAnsi"/>
          <w:color w:val="000000" w:themeColor="text1"/>
          <w:sz w:val="24"/>
          <w:szCs w:val="24"/>
        </w:rPr>
      </w:pPr>
    </w:p>
    <w:p w14:paraId="60491162" w14:textId="7BCA848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06" w:name="_Toc530565078"/>
      <w:r w:rsidRPr="00375799">
        <w:rPr>
          <w:rFonts w:asciiTheme="minorHAnsi" w:hAnsiTheme="minorHAnsi" w:cstheme="minorHAnsi"/>
          <w:color w:val="000000" w:themeColor="text1"/>
          <w:sz w:val="24"/>
          <w:szCs w:val="24"/>
        </w:rPr>
        <w:t>Ustawa z dnia 25 czerwca 2009 r. o rolnictwie ekologicznym</w:t>
      </w:r>
      <w:r w:rsidR="00366565" w:rsidRPr="00375799">
        <w:rPr>
          <w:rFonts w:asciiTheme="minorHAnsi" w:hAnsiTheme="minorHAnsi" w:cstheme="minorHAnsi"/>
          <w:color w:val="000000" w:themeColor="text1"/>
          <w:sz w:val="24"/>
          <w:szCs w:val="24"/>
        </w:rPr>
        <w:t xml:space="preserve"> (Dz. U. z 2017 r. poz. 1054</w:t>
      </w:r>
      <w:r w:rsidR="00FB09B3">
        <w:rPr>
          <w:rFonts w:asciiTheme="minorHAnsi" w:hAnsiTheme="minorHAnsi" w:cstheme="minorHAnsi"/>
          <w:color w:val="000000" w:themeColor="text1"/>
          <w:sz w:val="24"/>
          <w:szCs w:val="24"/>
        </w:rPr>
        <w:t xml:space="preserve"> oraz z 2018 r. poz. 1616 i 1633</w:t>
      </w:r>
      <w:r w:rsidR="00366565" w:rsidRPr="00375799">
        <w:rPr>
          <w:rFonts w:asciiTheme="minorHAnsi" w:hAnsiTheme="minorHAnsi" w:cstheme="minorHAnsi"/>
          <w:color w:val="000000" w:themeColor="text1"/>
          <w:sz w:val="24"/>
          <w:szCs w:val="24"/>
        </w:rPr>
        <w:t>)</w:t>
      </w:r>
      <w:bookmarkEnd w:id="106"/>
    </w:p>
    <w:p w14:paraId="6E2CCFEA" w14:textId="3CE0D03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ustawie </w:t>
      </w:r>
      <w:r w:rsidR="00BD6326">
        <w:rPr>
          <w:rFonts w:cstheme="minorHAnsi"/>
          <w:color w:val="000000" w:themeColor="text1"/>
          <w:sz w:val="24"/>
          <w:szCs w:val="24"/>
        </w:rPr>
        <w:t xml:space="preserve">z dnia 25 czerwca 2009 r. </w:t>
      </w:r>
      <w:r w:rsidRPr="00375799">
        <w:rPr>
          <w:rFonts w:cstheme="minorHAnsi"/>
          <w:color w:val="000000" w:themeColor="text1"/>
          <w:sz w:val="24"/>
          <w:szCs w:val="24"/>
        </w:rPr>
        <w:t>o rolnictwie ekologicznym proponuje się ograniczenie zakresu instytucji, którym jednostki certyfikujące przekazują wykazy producentów spełniających określone wymogi w rolnictwie ekologicznym. Obecnie wykazy te są przekazywane do ministrowi właściwemu do spraw rolnictwa, Głównemu Inspektorowi Jakości Handlowej Artykułów Rolno</w:t>
      </w:r>
      <w:r w:rsidR="0039405D">
        <w:rPr>
          <w:rFonts w:cstheme="minorHAnsi"/>
          <w:color w:val="000000" w:themeColor="text1"/>
          <w:sz w:val="24"/>
          <w:szCs w:val="24"/>
        </w:rPr>
        <w:t>-</w:t>
      </w:r>
      <w:r w:rsidRPr="00375799">
        <w:rPr>
          <w:rFonts w:cstheme="minorHAnsi"/>
          <w:color w:val="000000" w:themeColor="text1"/>
          <w:sz w:val="24"/>
          <w:szCs w:val="24"/>
        </w:rPr>
        <w:t>Spożywczych oraz Prezesowi Agencji Restrukturyzacji i Modernizacji Rolnictwa. Na podstawie doświadczeń związanych z obecnie obowiązującymi rozwiązaniami można stwierdzić, iż przekazywanie tych danych ministrowi właściwemu do spraw rolnictwa nie jest konieczne. Proponuje się</w:t>
      </w:r>
      <w:r w:rsidR="00BD6326">
        <w:rPr>
          <w:rFonts w:cstheme="minorHAnsi"/>
          <w:color w:val="000000" w:themeColor="text1"/>
          <w:sz w:val="24"/>
          <w:szCs w:val="24"/>
        </w:rPr>
        <w:t>,</w:t>
      </w:r>
      <w:r w:rsidRPr="00375799">
        <w:rPr>
          <w:rFonts w:cstheme="minorHAnsi"/>
          <w:color w:val="000000" w:themeColor="text1"/>
          <w:sz w:val="24"/>
          <w:szCs w:val="24"/>
        </w:rPr>
        <w:t xml:space="preserve"> aby były one przekazywane wyłącznie Głównemu Inspektorowi Jakości Handlowej Artykułów Rolno</w:t>
      </w:r>
      <w:r w:rsidR="00E57C9E">
        <w:rPr>
          <w:rFonts w:cstheme="minorHAnsi"/>
          <w:color w:val="000000" w:themeColor="text1"/>
          <w:sz w:val="24"/>
          <w:szCs w:val="24"/>
        </w:rPr>
        <w:t>-</w:t>
      </w:r>
      <w:r w:rsidRPr="00375799">
        <w:rPr>
          <w:rFonts w:cstheme="minorHAnsi"/>
          <w:color w:val="000000" w:themeColor="text1"/>
          <w:sz w:val="24"/>
          <w:szCs w:val="24"/>
        </w:rPr>
        <w:t xml:space="preserve">Spożywczych oraz Prezesowi Agencji Restrukturyzacji i Modernizacji Rolnictwa. </w:t>
      </w:r>
    </w:p>
    <w:p w14:paraId="483132C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274DB93" w14:textId="234B8BA2"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07" w:name="_Toc530565079"/>
      <w:r w:rsidRPr="00375799">
        <w:rPr>
          <w:rFonts w:asciiTheme="minorHAnsi" w:hAnsiTheme="minorHAnsi" w:cstheme="minorHAnsi"/>
          <w:color w:val="000000" w:themeColor="text1"/>
          <w:sz w:val="24"/>
          <w:szCs w:val="24"/>
        </w:rPr>
        <w:t xml:space="preserve">Ustawa z dnia 17 lipca 2009 r. o systemie zarządzania emisjami gazów cieplarnianych i innych substancji </w:t>
      </w:r>
      <w:r w:rsidR="00366565" w:rsidRPr="00375799">
        <w:rPr>
          <w:rFonts w:asciiTheme="minorHAnsi" w:hAnsiTheme="minorHAnsi" w:cstheme="minorHAnsi"/>
          <w:color w:val="000000" w:themeColor="text1"/>
          <w:sz w:val="24"/>
          <w:szCs w:val="24"/>
        </w:rPr>
        <w:t>(Dz. U. z 2018 r. poz. 1271</w:t>
      </w:r>
      <w:r w:rsidR="00FB09B3">
        <w:rPr>
          <w:rFonts w:asciiTheme="minorHAnsi" w:hAnsiTheme="minorHAnsi" w:cstheme="minorHAnsi"/>
          <w:color w:val="000000" w:themeColor="text1"/>
          <w:sz w:val="24"/>
          <w:szCs w:val="24"/>
        </w:rPr>
        <w:t xml:space="preserve"> i 1669</w:t>
      </w:r>
      <w:r w:rsidR="00366565" w:rsidRPr="00375799">
        <w:rPr>
          <w:rFonts w:asciiTheme="minorHAnsi" w:hAnsiTheme="minorHAnsi" w:cstheme="minorHAnsi"/>
          <w:color w:val="000000" w:themeColor="text1"/>
          <w:sz w:val="24"/>
          <w:szCs w:val="24"/>
        </w:rPr>
        <w:t>)</w:t>
      </w:r>
      <w:bookmarkEnd w:id="107"/>
    </w:p>
    <w:p w14:paraId="7818587C" w14:textId="17A0574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Zmiana ustawy z dnia 17 lipca 2009 r. o systemie zarządzania emisjami gazów cieplarnianych i innych substancji (dalej: </w:t>
      </w:r>
      <w:r w:rsidR="00E57C9E">
        <w:rPr>
          <w:rFonts w:cstheme="minorHAnsi"/>
          <w:color w:val="000000" w:themeColor="text1"/>
          <w:sz w:val="24"/>
          <w:szCs w:val="24"/>
        </w:rPr>
        <w:t>„</w:t>
      </w:r>
      <w:r w:rsidRPr="00375799">
        <w:rPr>
          <w:rFonts w:cstheme="minorHAnsi"/>
          <w:color w:val="000000" w:themeColor="text1"/>
          <w:sz w:val="24"/>
          <w:szCs w:val="24"/>
        </w:rPr>
        <w:t>usze</w:t>
      </w:r>
      <w:r w:rsidR="00E57C9E">
        <w:rPr>
          <w:rFonts w:cstheme="minorHAnsi"/>
          <w:color w:val="000000" w:themeColor="text1"/>
          <w:sz w:val="24"/>
          <w:szCs w:val="24"/>
        </w:rPr>
        <w:t>”</w:t>
      </w:r>
      <w:r w:rsidRPr="00375799">
        <w:rPr>
          <w:rFonts w:cstheme="minorHAnsi"/>
          <w:color w:val="000000" w:themeColor="text1"/>
          <w:sz w:val="24"/>
          <w:szCs w:val="24"/>
        </w:rPr>
        <w:t xml:space="preserve">) ma na celu ustanowienie, zgodnie z art. 51 Konstytucji RP, upoważnienia ustawowego dla Krajowego ośrodka bilansowania i zarządzania emisjami (dalej: </w:t>
      </w:r>
      <w:r w:rsidR="00E57C9E">
        <w:rPr>
          <w:rFonts w:cstheme="minorHAnsi"/>
          <w:color w:val="000000" w:themeColor="text1"/>
          <w:sz w:val="24"/>
          <w:szCs w:val="24"/>
        </w:rPr>
        <w:t>„</w:t>
      </w:r>
      <w:r w:rsidRPr="00375799">
        <w:rPr>
          <w:rFonts w:cstheme="minorHAnsi"/>
          <w:color w:val="000000" w:themeColor="text1"/>
          <w:sz w:val="24"/>
          <w:szCs w:val="24"/>
        </w:rPr>
        <w:t>Krajowy ośrodek</w:t>
      </w:r>
      <w:r w:rsidR="00E57C9E">
        <w:rPr>
          <w:rFonts w:cstheme="minorHAnsi"/>
          <w:color w:val="000000" w:themeColor="text1"/>
          <w:sz w:val="24"/>
          <w:szCs w:val="24"/>
        </w:rPr>
        <w:t>”</w:t>
      </w:r>
      <w:r w:rsidRPr="00375799">
        <w:rPr>
          <w:rFonts w:cstheme="minorHAnsi"/>
          <w:color w:val="000000" w:themeColor="text1"/>
          <w:sz w:val="24"/>
          <w:szCs w:val="24"/>
        </w:rPr>
        <w:t xml:space="preserve">) do przetwarzania danych osobowych osób fizycznych w związku z prowadzeniem Krajowej bazy o emisjach gazów cieplarnianych i innych substancji (dalej: </w:t>
      </w:r>
      <w:r w:rsidR="00E57C9E">
        <w:rPr>
          <w:rFonts w:cstheme="minorHAnsi"/>
          <w:color w:val="000000" w:themeColor="text1"/>
          <w:sz w:val="24"/>
          <w:szCs w:val="24"/>
        </w:rPr>
        <w:t>„</w:t>
      </w:r>
      <w:r w:rsidRPr="00375799">
        <w:rPr>
          <w:rFonts w:cstheme="minorHAnsi"/>
          <w:color w:val="000000" w:themeColor="text1"/>
          <w:sz w:val="24"/>
          <w:szCs w:val="24"/>
        </w:rPr>
        <w:t>Krajowa baza</w:t>
      </w:r>
      <w:r w:rsidR="00E57C9E">
        <w:rPr>
          <w:rFonts w:cstheme="minorHAnsi"/>
          <w:color w:val="000000" w:themeColor="text1"/>
          <w:sz w:val="24"/>
          <w:szCs w:val="24"/>
        </w:rPr>
        <w:t>”</w:t>
      </w:r>
      <w:r w:rsidRPr="00375799">
        <w:rPr>
          <w:rFonts w:cstheme="minorHAnsi"/>
          <w:color w:val="000000" w:themeColor="text1"/>
          <w:sz w:val="24"/>
          <w:szCs w:val="24"/>
        </w:rPr>
        <w:t xml:space="preserve">) oraz procesem rejestracji podmiotów korzystających ze środowiska w Krajowej bazie. Potrzeba przetwarzania danych osobowych jest konsekwencją zadań, obowiązków i uprawnień w tym zakresie. </w:t>
      </w:r>
    </w:p>
    <w:p w14:paraId="59079531" w14:textId="7D40DFF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przypadku prowadzenia Krajowej bazy Krajowy ośrodek przetwarza szereg danych osobowych związanych z procesem identyfikacji w Krajowej bazie podmiotów korzystających </w:t>
      </w:r>
      <w:r w:rsidRPr="00375799">
        <w:rPr>
          <w:rFonts w:cstheme="minorHAnsi"/>
          <w:color w:val="000000" w:themeColor="text1"/>
          <w:sz w:val="24"/>
          <w:szCs w:val="24"/>
        </w:rPr>
        <w:lastRenderedPageBreak/>
        <w:t>ze środowiska, które poprzez Krajową bazę realizują obowiązek sporządzenia i przekazania raportu o emisjach, o którym mowa w art. 7 ust. 1 usze, a także upoważnionych przez te podmioty użytkowników Krajowej bazy (dla każdego podmiotu mogą to być dane aż dziesięciu osób, które uzyskają dostęp do danych podmiotu w Krajowej bazie). Są to m.in. imiona i nazwisk</w:t>
      </w:r>
      <w:r w:rsidR="00BD6326">
        <w:rPr>
          <w:rFonts w:cstheme="minorHAnsi"/>
          <w:color w:val="000000" w:themeColor="text1"/>
          <w:sz w:val="24"/>
          <w:szCs w:val="24"/>
        </w:rPr>
        <w:t>a</w:t>
      </w:r>
      <w:r w:rsidRPr="00375799">
        <w:rPr>
          <w:rFonts w:cstheme="minorHAnsi"/>
          <w:color w:val="000000" w:themeColor="text1"/>
          <w:sz w:val="24"/>
          <w:szCs w:val="24"/>
        </w:rPr>
        <w:t xml:space="preserve"> osób uprawnionych do reprezentowania podmiotu korzystającego ze środowiska, a także dane osób upoważnionych, które uzyskują dostęp do danych tego podmiotu w Krajowej bazie. </w:t>
      </w:r>
    </w:p>
    <w:p w14:paraId="12F3544B" w14:textId="200DC8B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Zakres danych gromadzonych przez Krajowy ośrodek w związku z prowadzeniem Krajowej Bazy obecnie określa rozporządzenie Ministra Środowiska z dnia 14 listopada 2016 r. w sprawie szczegółowego zakresu informacji zawartych w raporcie oraz sposobu jego wprowadzania do Krajowej bazy o emisjach gazów cieplarnianych i innych substancji (Dz. U. poz. 1877). W tym zakresie dane osobowe podlegające przetwarzaniu zostaną przeniesione do przepisów projektowanej ustawy. Dane te są przekazywane przez przedstawicieli podmiotów korzystających ze środowiska, którzy dokonują rejestracji podmiotu w Krajowej bazie w celu wykonywania określonych ustawą obowiązków sprawozdawczych. Dane osobowe dotyczą osób upoważnionych do reprezentowania podmiotu dokonującego rejestracji, a także osób wyznaczonych przez te podmioty do wykonywania w Krajowej bazie określonych czynności w imieniu i na ich rachunek podmiotu korzystającego ze środowiska</w:t>
      </w:r>
      <w:r w:rsidR="0039405D">
        <w:rPr>
          <w:rFonts w:cstheme="minorHAnsi"/>
          <w:color w:val="000000" w:themeColor="text1"/>
          <w:sz w:val="24"/>
          <w:szCs w:val="24"/>
        </w:rPr>
        <w:t>,</w:t>
      </w:r>
      <w:r w:rsidRPr="00375799">
        <w:rPr>
          <w:rFonts w:cstheme="minorHAnsi"/>
          <w:color w:val="000000" w:themeColor="text1"/>
          <w:sz w:val="24"/>
          <w:szCs w:val="24"/>
        </w:rPr>
        <w:t xml:space="preserve"> tj. spółki, osoby fizycznej będącej przedsiębiorcą, a także jednostek organizacyjnych niebędących osobami prawnymi (użytkowników Krajowej bazy).</w:t>
      </w:r>
    </w:p>
    <w:p w14:paraId="1BF56C6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Ponieważ informacje wprowadzane do Krajowej bazy, w związku z treścią przepisów oczekujących na wejście w życie, docelowo mają służyć do wygenerowania informacji na temat wysokości należnych opłat za korzystanie ze środowiska (w zakresie emisji pyłów i gazów do powietrza), utrzymanie systemu identyfikacji podmiotów, który realizuje Krajowa baza, jest uzasadnione względami bezpieczeństwa informacji, które mogą się stać źródłem obowiązków finansowych podmiotów korzystających ze środowiska.</w:t>
      </w:r>
    </w:p>
    <w:p w14:paraId="314C9D3C" w14:textId="32D525B7" w:rsidR="00F524AD" w:rsidRPr="00375799" w:rsidRDefault="00F524A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Projektowany przepis art. 6 ust. 5 usze przewiduje środki chroniące prawnie uzasadnione interesy osób, których dane dotyczą, w postaci: po pierwsze – dopuszczenia do przetwarzania danych osobowych wyłącznie osób posiadających pisemne upoważnienie nadane przez administratora danych oraz po drugie – pisemnego zobowiązania osób upoważnionych do przetwarzania danych osobowych do zachowania ich w poufności. Wprowadzenie takich środków na poziomie ustawowym pozwoli administratorowi danych zastosować przepis art. 14 ust. 5 lit. c </w:t>
      </w:r>
      <w:r w:rsidR="00FA0436" w:rsidRPr="00375799">
        <w:rPr>
          <w:rFonts w:cstheme="minorHAnsi"/>
          <w:color w:val="000000" w:themeColor="text1"/>
          <w:sz w:val="24"/>
          <w:szCs w:val="24"/>
        </w:rPr>
        <w:t>RODO</w:t>
      </w:r>
      <w:r w:rsidRPr="00375799">
        <w:rPr>
          <w:rFonts w:cstheme="minorHAnsi"/>
          <w:color w:val="000000" w:themeColor="text1"/>
          <w:sz w:val="24"/>
          <w:szCs w:val="24"/>
        </w:rPr>
        <w:t>. Należy mieć na uwadze, że funkcjonowanie Krajowej bazy zakłada wykonywanie przez podmioty korzystające ze środowiska czynności związanych z wprowadzeniem raportu o emisjach i składaniem różnego rodzaju wniosków za pośrednictwem wyznaczonych przez nich użytkowników (osób trzecich), których dane osobowe podmiot ten wprowadza do Krajowej bazy na etapie rejestracji. W stosunku do tych osób trzecich administrator danych nie będzie wykonywał obowiązku informacyjnego, o którym mowa w art. 14 ust. 1</w:t>
      </w:r>
      <w:r w:rsidR="00BD6326">
        <w:rPr>
          <w:rFonts w:cstheme="minorHAnsi"/>
          <w:color w:val="000000" w:themeColor="text1"/>
          <w:sz w:val="24"/>
          <w:szCs w:val="24"/>
        </w:rPr>
        <w:t>–</w:t>
      </w:r>
      <w:r w:rsidRPr="00375799">
        <w:rPr>
          <w:rFonts w:cstheme="minorHAnsi"/>
          <w:color w:val="000000" w:themeColor="text1"/>
          <w:sz w:val="24"/>
          <w:szCs w:val="24"/>
        </w:rPr>
        <w:t xml:space="preserve">4 </w:t>
      </w:r>
      <w:r w:rsidR="00BD6326">
        <w:rPr>
          <w:rFonts w:cstheme="minorHAnsi"/>
          <w:color w:val="000000" w:themeColor="text1"/>
          <w:sz w:val="24"/>
          <w:szCs w:val="24"/>
        </w:rPr>
        <w:t>RODO</w:t>
      </w:r>
      <w:r w:rsidRPr="00375799">
        <w:rPr>
          <w:rFonts w:cstheme="minorHAnsi"/>
          <w:color w:val="000000" w:themeColor="text1"/>
          <w:sz w:val="24"/>
          <w:szCs w:val="24"/>
        </w:rPr>
        <w:t>.</w:t>
      </w:r>
    </w:p>
    <w:p w14:paraId="6338DD43" w14:textId="3CD5494B" w:rsidR="0078314A" w:rsidRPr="00375799" w:rsidRDefault="00F524A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Szczegółowe kategorie danych osobowych, których przetwarzanie jest niezbędne dla prawidłowej realizacji zadań Krajowego ośrodka związanych z prowadzeniem Krajowej bazy</w:t>
      </w:r>
      <w:r w:rsidR="00BD6326">
        <w:rPr>
          <w:rFonts w:cstheme="minorHAnsi"/>
          <w:color w:val="000000" w:themeColor="text1"/>
          <w:sz w:val="24"/>
          <w:szCs w:val="24"/>
        </w:rPr>
        <w:t>,</w:t>
      </w:r>
      <w:r w:rsidRPr="00375799">
        <w:rPr>
          <w:rFonts w:cstheme="minorHAnsi"/>
          <w:color w:val="000000" w:themeColor="text1"/>
          <w:sz w:val="24"/>
          <w:szCs w:val="24"/>
        </w:rPr>
        <w:t xml:space="preserve"> zostały wymienione w art. 6 ust. 2 pkt 1 usze.</w:t>
      </w:r>
    </w:p>
    <w:p w14:paraId="178D44B6" w14:textId="77777777" w:rsidR="00F524AD" w:rsidRPr="00375799" w:rsidRDefault="00F524AD" w:rsidP="0055107B">
      <w:pPr>
        <w:spacing w:after="0" w:line="276" w:lineRule="auto"/>
        <w:ind w:left="57" w:right="57"/>
        <w:contextualSpacing/>
        <w:jc w:val="both"/>
        <w:rPr>
          <w:rFonts w:cstheme="minorHAnsi"/>
          <w:color w:val="000000" w:themeColor="text1"/>
          <w:sz w:val="24"/>
          <w:szCs w:val="24"/>
        </w:rPr>
      </w:pPr>
    </w:p>
    <w:p w14:paraId="2191A6C7" w14:textId="05E96870"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08" w:name="_Toc530565080"/>
      <w:r w:rsidRPr="00375799">
        <w:rPr>
          <w:rFonts w:asciiTheme="minorHAnsi" w:hAnsiTheme="minorHAnsi" w:cstheme="minorHAnsi"/>
          <w:color w:val="000000" w:themeColor="text1"/>
          <w:sz w:val="24"/>
          <w:szCs w:val="24"/>
        </w:rPr>
        <w:t>Ustawa z dnia 5 listopada 2009 r. o spółdzielczych kasach oszczędnościowo-kredytowych</w:t>
      </w:r>
      <w:r w:rsidR="00366565" w:rsidRPr="00375799">
        <w:rPr>
          <w:rFonts w:asciiTheme="minorHAnsi" w:hAnsiTheme="minorHAnsi" w:cstheme="minorHAnsi"/>
          <w:color w:val="000000" w:themeColor="text1"/>
          <w:sz w:val="24"/>
          <w:szCs w:val="24"/>
        </w:rPr>
        <w:t xml:space="preserve"> (Dz. U. z 2017 r. poz. 2065, z późn. zm.)</w:t>
      </w:r>
      <w:bookmarkEnd w:id="108"/>
      <w:r w:rsidRPr="00375799">
        <w:rPr>
          <w:rFonts w:asciiTheme="minorHAnsi" w:hAnsiTheme="minorHAnsi" w:cstheme="minorHAnsi"/>
          <w:color w:val="000000" w:themeColor="text1"/>
          <w:sz w:val="24"/>
          <w:szCs w:val="24"/>
        </w:rPr>
        <w:t xml:space="preserve"> </w:t>
      </w:r>
    </w:p>
    <w:p w14:paraId="6BB7DDA8"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07BF6D2C" w14:textId="5CBF532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Proponowane zmiany ustawy z dnia 5 listopada 2009 r. o spółdzielczych kasach oszczędnościowo-kredytowych polegają na wprowadzeniu regulacji dotyczącej odpowiedniego stosowania do działalności </w:t>
      </w:r>
      <w:r w:rsidR="00BD6326">
        <w:rPr>
          <w:rFonts w:cstheme="minorHAnsi"/>
          <w:color w:val="000000" w:themeColor="text1"/>
          <w:sz w:val="24"/>
          <w:szCs w:val="24"/>
        </w:rPr>
        <w:t>spółdzielczych kas oszczędnościowo-kredytowych</w:t>
      </w:r>
      <w:r w:rsidR="00BD6326" w:rsidRPr="00375799">
        <w:rPr>
          <w:rFonts w:cstheme="minorHAnsi"/>
          <w:color w:val="000000" w:themeColor="text1"/>
          <w:sz w:val="24"/>
          <w:szCs w:val="24"/>
        </w:rPr>
        <w:t xml:space="preserve"> </w:t>
      </w:r>
      <w:r w:rsidRPr="00375799">
        <w:rPr>
          <w:rFonts w:cstheme="minorHAnsi"/>
          <w:color w:val="000000" w:themeColor="text1"/>
          <w:sz w:val="24"/>
          <w:szCs w:val="24"/>
        </w:rPr>
        <w:t xml:space="preserve">art. 106d i </w:t>
      </w:r>
      <w:r w:rsidR="00E57C9E">
        <w:rPr>
          <w:rFonts w:cstheme="minorHAnsi"/>
          <w:color w:val="000000" w:themeColor="text1"/>
          <w:sz w:val="24"/>
          <w:szCs w:val="24"/>
        </w:rPr>
        <w:t xml:space="preserve">art. </w:t>
      </w:r>
      <w:r w:rsidRPr="00375799">
        <w:rPr>
          <w:rFonts w:cstheme="minorHAnsi"/>
          <w:color w:val="000000" w:themeColor="text1"/>
          <w:sz w:val="24"/>
          <w:szCs w:val="24"/>
        </w:rPr>
        <w:t>106</w:t>
      </w:r>
      <w:r w:rsidR="00BD6326">
        <w:rPr>
          <w:rFonts w:cstheme="minorHAnsi"/>
          <w:color w:val="000000" w:themeColor="text1"/>
          <w:sz w:val="24"/>
          <w:szCs w:val="24"/>
        </w:rPr>
        <w:t>e</w:t>
      </w:r>
      <w:r w:rsidRPr="00375799">
        <w:rPr>
          <w:rFonts w:cstheme="minorHAnsi"/>
          <w:color w:val="000000" w:themeColor="text1"/>
          <w:sz w:val="24"/>
          <w:szCs w:val="24"/>
        </w:rPr>
        <w:t xml:space="preserve"> ustawy</w:t>
      </w:r>
      <w:r w:rsidR="00BD6326">
        <w:rPr>
          <w:rFonts w:cstheme="minorHAnsi"/>
          <w:color w:val="000000" w:themeColor="text1"/>
          <w:sz w:val="24"/>
          <w:szCs w:val="24"/>
        </w:rPr>
        <w:t xml:space="preserve"> z dnia 29 sierpnia 1997 r.</w:t>
      </w:r>
      <w:r w:rsidRPr="00375799">
        <w:rPr>
          <w:rFonts w:cstheme="minorHAnsi"/>
          <w:color w:val="000000" w:themeColor="text1"/>
          <w:sz w:val="24"/>
          <w:szCs w:val="24"/>
        </w:rPr>
        <w:t xml:space="preserve"> – Prawo bankowe</w:t>
      </w:r>
      <w:r w:rsidR="00BD6326">
        <w:rPr>
          <w:rFonts w:cstheme="minorHAnsi"/>
          <w:color w:val="000000" w:themeColor="text1"/>
          <w:sz w:val="24"/>
          <w:szCs w:val="24"/>
        </w:rPr>
        <w:t>, zwanej dalej: „Prawem bankowym”.</w:t>
      </w:r>
    </w:p>
    <w:p w14:paraId="55CBDD44" w14:textId="0E14D57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Należy wskazać, iż odpowiednie stosowanie wskazanych przepisów Prawa bankowego w odniesieniu do </w:t>
      </w:r>
      <w:r w:rsidR="00BD6326">
        <w:rPr>
          <w:rFonts w:cstheme="minorHAnsi"/>
          <w:color w:val="000000" w:themeColor="text1"/>
          <w:sz w:val="24"/>
          <w:szCs w:val="24"/>
        </w:rPr>
        <w:t>spółdzielczych kas oszczędnościowo-kredytowych</w:t>
      </w:r>
      <w:r w:rsidR="00BD6326" w:rsidRPr="00375799">
        <w:rPr>
          <w:rFonts w:cstheme="minorHAnsi"/>
          <w:color w:val="000000" w:themeColor="text1"/>
          <w:sz w:val="24"/>
          <w:szCs w:val="24"/>
        </w:rPr>
        <w:t xml:space="preserve"> </w:t>
      </w:r>
      <w:r w:rsidRPr="00375799">
        <w:rPr>
          <w:rFonts w:cstheme="minorHAnsi"/>
          <w:color w:val="000000" w:themeColor="text1"/>
          <w:sz w:val="24"/>
          <w:szCs w:val="24"/>
        </w:rPr>
        <w:t xml:space="preserve">uzasadnione jest analogicznymi obwiązkami </w:t>
      </w:r>
      <w:r w:rsidR="00BD6326">
        <w:rPr>
          <w:rFonts w:cstheme="minorHAnsi"/>
          <w:color w:val="000000" w:themeColor="text1"/>
          <w:sz w:val="24"/>
          <w:szCs w:val="24"/>
        </w:rPr>
        <w:t>spółdzielczych kas oszczędnościowo-kredytowych</w:t>
      </w:r>
      <w:r w:rsidR="00E57C9E">
        <w:rPr>
          <w:rFonts w:cstheme="minorHAnsi"/>
          <w:color w:val="000000" w:themeColor="text1"/>
          <w:sz w:val="24"/>
          <w:szCs w:val="24"/>
        </w:rPr>
        <w:t>,</w:t>
      </w:r>
      <w:r w:rsidRPr="00375799">
        <w:rPr>
          <w:rFonts w:cstheme="minorHAnsi"/>
          <w:color w:val="000000" w:themeColor="text1"/>
          <w:sz w:val="24"/>
          <w:szCs w:val="24"/>
        </w:rPr>
        <w:t xml:space="preserve"> jak i banków w zakresie konieczności przeciwdziałania praniu pieniędzy i finansowaniu terroryzmu oraz zapobieganiu przestępstwom, zgodnie z art. 106d Praw</w:t>
      </w:r>
      <w:r w:rsidR="00BD6326">
        <w:rPr>
          <w:rFonts w:cstheme="minorHAnsi"/>
          <w:color w:val="000000" w:themeColor="text1"/>
          <w:sz w:val="24"/>
          <w:szCs w:val="24"/>
        </w:rPr>
        <w:t>a</w:t>
      </w:r>
      <w:r w:rsidRPr="00375799">
        <w:rPr>
          <w:rFonts w:cstheme="minorHAnsi"/>
          <w:color w:val="000000" w:themeColor="text1"/>
          <w:sz w:val="24"/>
          <w:szCs w:val="24"/>
        </w:rPr>
        <w:t xml:space="preserve"> bankowe</w:t>
      </w:r>
      <w:r w:rsidR="00BD6326">
        <w:rPr>
          <w:rFonts w:cstheme="minorHAnsi"/>
          <w:color w:val="000000" w:themeColor="text1"/>
          <w:sz w:val="24"/>
          <w:szCs w:val="24"/>
        </w:rPr>
        <w:t>go</w:t>
      </w:r>
      <w:r w:rsidRPr="00375799">
        <w:rPr>
          <w:rFonts w:cstheme="minorHAnsi"/>
          <w:color w:val="000000" w:themeColor="text1"/>
          <w:sz w:val="24"/>
          <w:szCs w:val="24"/>
        </w:rPr>
        <w:t>.</w:t>
      </w:r>
    </w:p>
    <w:p w14:paraId="08F460F5" w14:textId="77777777" w:rsidR="00F118D1" w:rsidRPr="00375799" w:rsidRDefault="00F118D1"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22385605" w14:textId="1FFDCDE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09" w:name="_Toc530565081"/>
      <w:r w:rsidRPr="00375799">
        <w:rPr>
          <w:rFonts w:asciiTheme="minorHAnsi" w:hAnsiTheme="minorHAnsi" w:cstheme="minorHAnsi"/>
          <w:color w:val="000000" w:themeColor="text1"/>
          <w:sz w:val="24"/>
          <w:szCs w:val="24"/>
        </w:rPr>
        <w:t>Ustawa z dnia 4 marca 2010 r. o infrastrukturze informacji przestrzennej</w:t>
      </w:r>
      <w:r w:rsidR="00366565" w:rsidRPr="00375799">
        <w:rPr>
          <w:rFonts w:asciiTheme="minorHAnsi" w:hAnsiTheme="minorHAnsi" w:cstheme="minorHAnsi"/>
          <w:color w:val="000000" w:themeColor="text1"/>
          <w:sz w:val="24"/>
          <w:szCs w:val="24"/>
        </w:rPr>
        <w:t xml:space="preserve"> (Dz. U. </w:t>
      </w:r>
      <w:r w:rsidR="00E57C9E">
        <w:rPr>
          <w:rFonts w:asciiTheme="minorHAnsi" w:hAnsiTheme="minorHAnsi" w:cstheme="minorHAnsi"/>
          <w:color w:val="000000" w:themeColor="text1"/>
          <w:sz w:val="24"/>
          <w:szCs w:val="24"/>
        </w:rPr>
        <w:t xml:space="preserve">z </w:t>
      </w:r>
      <w:r w:rsidR="00366565" w:rsidRPr="00375799">
        <w:rPr>
          <w:rFonts w:asciiTheme="minorHAnsi" w:hAnsiTheme="minorHAnsi" w:cstheme="minorHAnsi"/>
          <w:color w:val="000000" w:themeColor="text1"/>
          <w:sz w:val="24"/>
          <w:szCs w:val="24"/>
        </w:rPr>
        <w:t>201</w:t>
      </w:r>
      <w:r w:rsidR="00FB09B3">
        <w:rPr>
          <w:rFonts w:asciiTheme="minorHAnsi" w:hAnsiTheme="minorHAnsi" w:cstheme="minorHAnsi"/>
          <w:color w:val="000000" w:themeColor="text1"/>
          <w:sz w:val="24"/>
          <w:szCs w:val="24"/>
        </w:rPr>
        <w:t>8</w:t>
      </w:r>
      <w:r w:rsidR="00E57C9E">
        <w:rPr>
          <w:rFonts w:asciiTheme="minorHAnsi" w:hAnsiTheme="minorHAnsi" w:cstheme="minorHAnsi"/>
          <w:color w:val="000000" w:themeColor="text1"/>
          <w:sz w:val="24"/>
          <w:szCs w:val="24"/>
        </w:rPr>
        <w:t xml:space="preserve"> r. </w:t>
      </w:r>
      <w:r w:rsidR="00366565" w:rsidRPr="00375799">
        <w:rPr>
          <w:rFonts w:asciiTheme="minorHAnsi" w:hAnsiTheme="minorHAnsi" w:cstheme="minorHAnsi"/>
          <w:color w:val="000000" w:themeColor="text1"/>
          <w:sz w:val="24"/>
          <w:szCs w:val="24"/>
        </w:rPr>
        <w:t xml:space="preserve">poz. </w:t>
      </w:r>
      <w:r w:rsidR="00FB09B3">
        <w:rPr>
          <w:rFonts w:asciiTheme="minorHAnsi" w:hAnsiTheme="minorHAnsi" w:cstheme="minorHAnsi"/>
          <w:color w:val="000000" w:themeColor="text1"/>
          <w:sz w:val="24"/>
          <w:szCs w:val="24"/>
        </w:rPr>
        <w:t>1472</w:t>
      </w:r>
      <w:r w:rsidR="00366565" w:rsidRPr="00375799">
        <w:rPr>
          <w:rFonts w:asciiTheme="minorHAnsi" w:hAnsiTheme="minorHAnsi" w:cstheme="minorHAnsi"/>
          <w:color w:val="000000" w:themeColor="text1"/>
          <w:sz w:val="24"/>
          <w:szCs w:val="24"/>
        </w:rPr>
        <w:t>)</w:t>
      </w:r>
      <w:bookmarkEnd w:id="109"/>
      <w:r w:rsidRPr="00375799">
        <w:rPr>
          <w:rFonts w:asciiTheme="minorHAnsi" w:hAnsiTheme="minorHAnsi" w:cstheme="minorHAnsi"/>
          <w:color w:val="000000" w:themeColor="text1"/>
          <w:sz w:val="24"/>
          <w:szCs w:val="24"/>
        </w:rPr>
        <w:t xml:space="preserve"> </w:t>
      </w:r>
    </w:p>
    <w:p w14:paraId="6648CE70"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1224899D" w14:textId="3441BC1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w:t>
      </w:r>
      <w:r w:rsidR="00BD6326">
        <w:rPr>
          <w:rFonts w:cstheme="minorHAnsi"/>
          <w:color w:val="000000" w:themeColor="text1"/>
          <w:sz w:val="24"/>
          <w:szCs w:val="24"/>
        </w:rPr>
        <w:t xml:space="preserve">projektowaną </w:t>
      </w:r>
      <w:r w:rsidRPr="00375799">
        <w:rPr>
          <w:rFonts w:cstheme="minorHAnsi"/>
          <w:color w:val="000000" w:themeColor="text1"/>
          <w:sz w:val="24"/>
          <w:szCs w:val="24"/>
        </w:rPr>
        <w:t>treścią art. 10</w:t>
      </w:r>
      <w:r w:rsidR="00BD6326">
        <w:rPr>
          <w:rFonts w:cstheme="minorHAnsi"/>
          <w:color w:val="000000" w:themeColor="text1"/>
          <w:sz w:val="24"/>
          <w:szCs w:val="24"/>
        </w:rPr>
        <w:t xml:space="preserve"> ust. 1</w:t>
      </w:r>
      <w:r w:rsidRPr="00375799">
        <w:rPr>
          <w:rFonts w:cstheme="minorHAnsi"/>
          <w:color w:val="000000" w:themeColor="text1"/>
          <w:sz w:val="24"/>
          <w:szCs w:val="24"/>
        </w:rPr>
        <w:t xml:space="preserve"> ustawy zbiory i usługi danych przestrzennych należące do osób trzecich mogą na ich wniosek być włączane do infrastruktury zbiorów i usług danych przestrzennych, jeżeli jest to zgodne z interesem publicznym, a osoba taka wyrazi na to zgodę. Należy przyjąć, że część danych wchodzących w skład takich zbiorów mo</w:t>
      </w:r>
      <w:r w:rsidR="00E57C9E">
        <w:rPr>
          <w:rFonts w:cstheme="minorHAnsi"/>
          <w:color w:val="000000" w:themeColor="text1"/>
          <w:sz w:val="24"/>
          <w:szCs w:val="24"/>
        </w:rPr>
        <w:t>że</w:t>
      </w:r>
      <w:r w:rsidRPr="00375799">
        <w:rPr>
          <w:rFonts w:cstheme="minorHAnsi"/>
          <w:color w:val="000000" w:themeColor="text1"/>
          <w:sz w:val="24"/>
          <w:szCs w:val="24"/>
        </w:rPr>
        <w:t xml:space="preserve"> zostać </w:t>
      </w:r>
      <w:r w:rsidR="00E57C9E" w:rsidRPr="00375799">
        <w:rPr>
          <w:rFonts w:cstheme="minorHAnsi"/>
          <w:color w:val="000000" w:themeColor="text1"/>
          <w:sz w:val="24"/>
          <w:szCs w:val="24"/>
        </w:rPr>
        <w:t>uznan</w:t>
      </w:r>
      <w:r w:rsidR="00E57C9E">
        <w:rPr>
          <w:rFonts w:cstheme="minorHAnsi"/>
          <w:color w:val="000000" w:themeColor="text1"/>
          <w:sz w:val="24"/>
          <w:szCs w:val="24"/>
        </w:rPr>
        <w:t>a</w:t>
      </w:r>
      <w:r w:rsidR="00E57C9E" w:rsidRPr="00375799">
        <w:rPr>
          <w:rFonts w:cstheme="minorHAnsi"/>
          <w:color w:val="000000" w:themeColor="text1"/>
          <w:sz w:val="24"/>
          <w:szCs w:val="24"/>
        </w:rPr>
        <w:t xml:space="preserve"> </w:t>
      </w:r>
      <w:r w:rsidRPr="00375799">
        <w:rPr>
          <w:rFonts w:cstheme="minorHAnsi"/>
          <w:color w:val="000000" w:themeColor="text1"/>
          <w:sz w:val="24"/>
          <w:szCs w:val="24"/>
        </w:rPr>
        <w:t>za dane osobowe np. poprzez możliwość powiązania określonych informacji</w:t>
      </w:r>
      <w:r w:rsidR="00E57C9E">
        <w:rPr>
          <w:rFonts w:cstheme="minorHAnsi"/>
          <w:color w:val="000000" w:themeColor="text1"/>
          <w:sz w:val="24"/>
          <w:szCs w:val="24"/>
        </w:rPr>
        <w:t>,</w:t>
      </w:r>
      <w:r w:rsidRPr="00375799">
        <w:rPr>
          <w:rFonts w:cstheme="minorHAnsi"/>
          <w:color w:val="000000" w:themeColor="text1"/>
          <w:sz w:val="24"/>
          <w:szCs w:val="24"/>
        </w:rPr>
        <w:t xml:space="preserve"> jak chociażby numer księgi wieczystej przypisanej do danego gruntu z osobą fizyczną w pewnych okolicznościach stanu faktycznego</w:t>
      </w:r>
      <w:r w:rsidR="00E57C9E">
        <w:rPr>
          <w:rFonts w:cstheme="minorHAnsi"/>
          <w:color w:val="000000" w:themeColor="text1"/>
          <w:sz w:val="24"/>
          <w:szCs w:val="24"/>
        </w:rPr>
        <w:t>,</w:t>
      </w:r>
      <w:r w:rsidRPr="00375799">
        <w:rPr>
          <w:rFonts w:cstheme="minorHAnsi"/>
          <w:color w:val="000000" w:themeColor="text1"/>
          <w:sz w:val="24"/>
          <w:szCs w:val="24"/>
        </w:rPr>
        <w:t xml:space="preserve"> tj. gdy numer takiej księg</w:t>
      </w:r>
      <w:r w:rsidR="00BD6326">
        <w:rPr>
          <w:rFonts w:cstheme="minorHAnsi"/>
          <w:color w:val="000000" w:themeColor="text1"/>
          <w:sz w:val="24"/>
          <w:szCs w:val="24"/>
        </w:rPr>
        <w:t>i</w:t>
      </w:r>
      <w:r w:rsidRPr="00375799">
        <w:rPr>
          <w:rFonts w:cstheme="minorHAnsi"/>
          <w:color w:val="000000" w:themeColor="text1"/>
          <w:sz w:val="24"/>
          <w:szCs w:val="24"/>
        </w:rPr>
        <w:t xml:space="preserve"> jest przedmiotem zbioru. W takim przypadku w niektórych przypadkach nie powinna wystarczyć zgoda osoby tworzącej taki zbió</w:t>
      </w:r>
      <w:r w:rsidR="00E57C9E">
        <w:rPr>
          <w:rFonts w:cstheme="minorHAnsi"/>
          <w:color w:val="000000" w:themeColor="text1"/>
          <w:sz w:val="24"/>
          <w:szCs w:val="24"/>
        </w:rPr>
        <w:t>r</w:t>
      </w:r>
      <w:r w:rsidRPr="00375799">
        <w:rPr>
          <w:rFonts w:cstheme="minorHAnsi"/>
          <w:color w:val="000000" w:themeColor="text1"/>
          <w:sz w:val="24"/>
          <w:szCs w:val="24"/>
        </w:rPr>
        <w:t xml:space="preserve"> informacji (osoby trzeciej)</w:t>
      </w:r>
      <w:r w:rsidR="00E57C9E">
        <w:rPr>
          <w:rFonts w:cstheme="minorHAnsi"/>
          <w:color w:val="000000" w:themeColor="text1"/>
          <w:sz w:val="24"/>
          <w:szCs w:val="24"/>
        </w:rPr>
        <w:t>,</w:t>
      </w:r>
      <w:r w:rsidRPr="00375799">
        <w:rPr>
          <w:rFonts w:cstheme="minorHAnsi"/>
          <w:color w:val="000000" w:themeColor="text1"/>
          <w:sz w:val="24"/>
          <w:szCs w:val="24"/>
        </w:rPr>
        <w:t xml:space="preserve"> ale konieczne jest spełnienie przesłanek legalizujących przetwarzane w zbiorze dane osobowe</w:t>
      </w:r>
      <w:r w:rsidR="00E57C9E">
        <w:rPr>
          <w:rFonts w:cstheme="minorHAnsi"/>
          <w:color w:val="000000" w:themeColor="text1"/>
          <w:sz w:val="24"/>
          <w:szCs w:val="24"/>
        </w:rPr>
        <w:t>,</w:t>
      </w:r>
      <w:r w:rsidRPr="00375799">
        <w:rPr>
          <w:rFonts w:cstheme="minorHAnsi"/>
          <w:color w:val="000000" w:themeColor="text1"/>
          <w:sz w:val="24"/>
          <w:szCs w:val="24"/>
        </w:rPr>
        <w:t xml:space="preserve"> o których mowa w art. 6 </w:t>
      </w:r>
      <w:r w:rsidR="00FA0436" w:rsidRPr="00375799">
        <w:rPr>
          <w:rFonts w:cstheme="minorHAnsi"/>
          <w:color w:val="000000" w:themeColor="text1"/>
          <w:sz w:val="24"/>
          <w:szCs w:val="24"/>
        </w:rPr>
        <w:t>RODO</w:t>
      </w:r>
      <w:r w:rsidRPr="00375799">
        <w:rPr>
          <w:rFonts w:cstheme="minorHAnsi"/>
          <w:color w:val="000000" w:themeColor="text1"/>
          <w:sz w:val="24"/>
          <w:szCs w:val="24"/>
        </w:rPr>
        <w:t>. W niektórych przypadkach przesłanką taką może okazać się np. zgoda osoby</w:t>
      </w:r>
      <w:r w:rsidR="00E57C9E">
        <w:rPr>
          <w:rFonts w:cstheme="minorHAnsi"/>
          <w:color w:val="000000" w:themeColor="text1"/>
          <w:sz w:val="24"/>
          <w:szCs w:val="24"/>
        </w:rPr>
        <w:t>,</w:t>
      </w:r>
      <w:r w:rsidRPr="00375799">
        <w:rPr>
          <w:rFonts w:cstheme="minorHAnsi"/>
          <w:color w:val="000000" w:themeColor="text1"/>
          <w:sz w:val="24"/>
          <w:szCs w:val="24"/>
        </w:rPr>
        <w:t xml:space="preserve"> której dane dotyczą</w:t>
      </w:r>
      <w:r w:rsidR="00BD6326">
        <w:rPr>
          <w:rFonts w:cstheme="minorHAnsi"/>
          <w:color w:val="000000" w:themeColor="text1"/>
          <w:sz w:val="24"/>
          <w:szCs w:val="24"/>
        </w:rPr>
        <w:t>,</w:t>
      </w:r>
      <w:r w:rsidRPr="00375799">
        <w:rPr>
          <w:rFonts w:cstheme="minorHAnsi"/>
          <w:color w:val="000000" w:themeColor="text1"/>
          <w:sz w:val="24"/>
          <w:szCs w:val="24"/>
        </w:rPr>
        <w:t xml:space="preserve"> i znajdują się w zbiorze. Projektowany przepis w wymogach przedłożenia wniosku o włączenie zbiorów do infrastruktury zbiorów i usług danych przestrzennych nie zobowiązuje jednak wnioskodawcy do uwzględnienia na tym etapie przepisów o ochronie danych osobowych. W związku z powyższym projektodawca zdecydował się przesądzić w projektowanym przepisie, że jednym z warunków wystąpienia z przedmiotowym wnioskiem powinna być zgodność zbioru z powszechnie obowiązującymi przepisami prawa. Projektodawca odstąpił od przesądzenia w tym zakresie wyraźnie, że chodzi wyłącznie o </w:t>
      </w:r>
      <w:r w:rsidR="00E57C9E" w:rsidRPr="00375799">
        <w:rPr>
          <w:rFonts w:cstheme="minorHAnsi"/>
          <w:color w:val="000000" w:themeColor="text1"/>
          <w:sz w:val="24"/>
          <w:szCs w:val="24"/>
        </w:rPr>
        <w:lastRenderedPageBreak/>
        <w:t>zgodnoś</w:t>
      </w:r>
      <w:r w:rsidR="00E57C9E">
        <w:rPr>
          <w:rFonts w:cstheme="minorHAnsi"/>
          <w:color w:val="000000" w:themeColor="text1"/>
          <w:sz w:val="24"/>
          <w:szCs w:val="24"/>
        </w:rPr>
        <w:t>ć</w:t>
      </w:r>
      <w:r w:rsidR="00E57C9E" w:rsidRPr="00375799">
        <w:rPr>
          <w:rFonts w:cstheme="minorHAnsi"/>
          <w:color w:val="000000" w:themeColor="text1"/>
          <w:sz w:val="24"/>
          <w:szCs w:val="24"/>
        </w:rPr>
        <w:t xml:space="preserve"> </w:t>
      </w:r>
      <w:r w:rsidRPr="00375799">
        <w:rPr>
          <w:rFonts w:cstheme="minorHAnsi"/>
          <w:color w:val="000000" w:themeColor="text1"/>
          <w:sz w:val="24"/>
          <w:szCs w:val="24"/>
        </w:rPr>
        <w:t xml:space="preserve">z „przepisami o ochronie danych osobowych”, gdyż w niektórych przypadkach mogą to być również np. prawa autorskie. </w:t>
      </w:r>
    </w:p>
    <w:p w14:paraId="1EC0073B" w14:textId="77777777" w:rsidR="0078314A" w:rsidRPr="00375799" w:rsidRDefault="0078314A" w:rsidP="0055107B">
      <w:pPr>
        <w:spacing w:after="0" w:line="276" w:lineRule="auto"/>
        <w:ind w:left="57" w:right="57"/>
        <w:contextualSpacing/>
        <w:jc w:val="both"/>
        <w:rPr>
          <w:rFonts w:cstheme="minorHAnsi"/>
          <w:color w:val="000000" w:themeColor="text1"/>
          <w:sz w:val="24"/>
          <w:szCs w:val="24"/>
        </w:rPr>
      </w:pPr>
    </w:p>
    <w:p w14:paraId="4A497C78" w14:textId="560C77A8"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10" w:name="_Toc530565082"/>
      <w:r w:rsidRPr="00375799">
        <w:rPr>
          <w:rFonts w:asciiTheme="minorHAnsi" w:hAnsiTheme="minorHAnsi" w:cstheme="minorHAnsi"/>
          <w:color w:val="000000" w:themeColor="text1"/>
          <w:sz w:val="24"/>
          <w:szCs w:val="24"/>
        </w:rPr>
        <w:t xml:space="preserve">Ustawa z dnia 9 kwietnia 2010 r. o udostępnianiu informacji gospodarczych i wymianie danych gospodarczych </w:t>
      </w:r>
      <w:r w:rsidR="00366565" w:rsidRPr="00375799">
        <w:rPr>
          <w:rFonts w:asciiTheme="minorHAnsi" w:hAnsiTheme="minorHAnsi" w:cstheme="minorHAnsi"/>
          <w:color w:val="000000" w:themeColor="text1"/>
          <w:sz w:val="24"/>
          <w:szCs w:val="24"/>
        </w:rPr>
        <w:t>(Dz. U. z 2018 r. poz. 470, 650, 723, 730, 771, 1000 i 1104)</w:t>
      </w:r>
      <w:bookmarkEnd w:id="110"/>
    </w:p>
    <w:p w14:paraId="0038D60C"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1F7844A8" w14:textId="73F39AD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Nowelizacja  art. 3 ustawy </w:t>
      </w:r>
      <w:r w:rsidR="00BD6326">
        <w:rPr>
          <w:rFonts w:cstheme="minorHAnsi"/>
          <w:color w:val="000000" w:themeColor="text1"/>
          <w:sz w:val="24"/>
          <w:szCs w:val="24"/>
        </w:rPr>
        <w:t xml:space="preserve">z dnia 9 kwietnia 2010 r. </w:t>
      </w:r>
      <w:r w:rsidRPr="00375799">
        <w:rPr>
          <w:rFonts w:cstheme="minorHAnsi"/>
          <w:color w:val="000000" w:themeColor="text1"/>
          <w:sz w:val="24"/>
          <w:szCs w:val="24"/>
        </w:rPr>
        <w:t xml:space="preserve">o udostępnianiu informacji gospodarczych i wymianie danych gospodarczych (dalej </w:t>
      </w:r>
      <w:proofErr w:type="spellStart"/>
      <w:r w:rsidRPr="00375799">
        <w:rPr>
          <w:rFonts w:cstheme="minorHAnsi"/>
          <w:color w:val="000000" w:themeColor="text1"/>
          <w:sz w:val="24"/>
          <w:szCs w:val="24"/>
        </w:rPr>
        <w:t>u.i.g</w:t>
      </w:r>
      <w:proofErr w:type="spellEnd"/>
      <w:r w:rsidRPr="00375799">
        <w:rPr>
          <w:rFonts w:cstheme="minorHAnsi"/>
          <w:color w:val="000000" w:themeColor="text1"/>
          <w:sz w:val="24"/>
          <w:szCs w:val="24"/>
        </w:rPr>
        <w:t xml:space="preserve">.) zakłada szereg ograniczeń stosowania niektórych przepisów </w:t>
      </w:r>
      <w:r w:rsidR="00FA0436" w:rsidRPr="00375799">
        <w:rPr>
          <w:rFonts w:cstheme="minorHAnsi"/>
          <w:color w:val="000000" w:themeColor="text1"/>
          <w:sz w:val="24"/>
          <w:szCs w:val="24"/>
        </w:rPr>
        <w:t>RODO</w:t>
      </w:r>
      <w:r w:rsidRPr="00375799">
        <w:rPr>
          <w:rFonts w:cstheme="minorHAnsi"/>
          <w:color w:val="000000" w:themeColor="text1"/>
          <w:sz w:val="24"/>
          <w:szCs w:val="24"/>
        </w:rPr>
        <w:t xml:space="preserve">, które nie naruszają istoty podstawowych praw i wolności podmiotów danych oraz są w demokratycznym społeczeństwie środkiem niezbędnym i proporcjonalnym, służącym ważnym celom leżącym w interesie Polski, związanym przede wszystkim ze sprawną realizacją przez biura informacji gospodarczej w interesie publicznym zadań związanych z udostępnianiem informacji gospodarczych osobom trzecim nieoznaczonym w chwili przeznaczania tych informacji do udostępniania (art. 4 </w:t>
      </w:r>
      <w:proofErr w:type="spellStart"/>
      <w:r w:rsidRPr="00375799">
        <w:rPr>
          <w:rFonts w:cstheme="minorHAnsi"/>
          <w:color w:val="000000" w:themeColor="text1"/>
          <w:sz w:val="24"/>
          <w:szCs w:val="24"/>
        </w:rPr>
        <w:t>u.i.g</w:t>
      </w:r>
      <w:proofErr w:type="spellEnd"/>
      <w:r w:rsidRPr="00375799">
        <w:rPr>
          <w:rFonts w:cstheme="minorHAnsi"/>
          <w:color w:val="000000" w:themeColor="text1"/>
          <w:sz w:val="24"/>
          <w:szCs w:val="24"/>
        </w:rPr>
        <w:t xml:space="preserve">.). Zrezygnowano natomiast z ograniczeń tych praw i obowiązków z </w:t>
      </w:r>
      <w:r w:rsidR="00FA0436" w:rsidRPr="00375799">
        <w:rPr>
          <w:rFonts w:cstheme="minorHAnsi"/>
          <w:color w:val="000000" w:themeColor="text1"/>
          <w:sz w:val="24"/>
          <w:szCs w:val="24"/>
        </w:rPr>
        <w:t>RODO</w:t>
      </w:r>
      <w:r w:rsidRPr="00375799">
        <w:rPr>
          <w:rFonts w:cstheme="minorHAnsi"/>
          <w:color w:val="000000" w:themeColor="text1"/>
          <w:sz w:val="24"/>
          <w:szCs w:val="24"/>
        </w:rPr>
        <w:t xml:space="preserve">, których tryb realizacji określa szczegółowo </w:t>
      </w:r>
      <w:proofErr w:type="spellStart"/>
      <w:r w:rsidRPr="00375799">
        <w:rPr>
          <w:rFonts w:cstheme="minorHAnsi"/>
          <w:color w:val="000000" w:themeColor="text1"/>
          <w:sz w:val="24"/>
          <w:szCs w:val="24"/>
        </w:rPr>
        <w:t>u.i.g</w:t>
      </w:r>
      <w:proofErr w:type="spellEnd"/>
      <w:r w:rsidRPr="00375799">
        <w:rPr>
          <w:rFonts w:cstheme="minorHAnsi"/>
          <w:color w:val="000000" w:themeColor="text1"/>
          <w:sz w:val="24"/>
          <w:szCs w:val="24"/>
        </w:rPr>
        <w:t xml:space="preserve">. (np. art. 16 i </w:t>
      </w:r>
      <w:r w:rsidR="00E57C9E">
        <w:rPr>
          <w:rFonts w:cstheme="minorHAnsi"/>
          <w:color w:val="000000" w:themeColor="text1"/>
          <w:sz w:val="24"/>
          <w:szCs w:val="24"/>
        </w:rPr>
        <w:t xml:space="preserve">art. </w:t>
      </w:r>
      <w:r w:rsidRPr="00375799">
        <w:rPr>
          <w:rFonts w:cstheme="minorHAnsi"/>
          <w:color w:val="000000" w:themeColor="text1"/>
          <w:sz w:val="24"/>
          <w:szCs w:val="24"/>
        </w:rPr>
        <w:t xml:space="preserve">17), bowiem przepisy ustawy o zasadach aktualizowania/usuwania danych nie pozostają w sprzeczności z </w:t>
      </w:r>
      <w:r w:rsidR="00FA0436" w:rsidRPr="00375799">
        <w:rPr>
          <w:rFonts w:cstheme="minorHAnsi"/>
          <w:color w:val="000000" w:themeColor="text1"/>
          <w:sz w:val="24"/>
          <w:szCs w:val="24"/>
        </w:rPr>
        <w:t>RODO</w:t>
      </w:r>
      <w:r w:rsidRPr="00375799">
        <w:rPr>
          <w:rFonts w:cstheme="minorHAnsi"/>
          <w:color w:val="000000" w:themeColor="text1"/>
          <w:sz w:val="24"/>
          <w:szCs w:val="24"/>
        </w:rPr>
        <w:t xml:space="preserve">. Należy również dodać, że pewne wyłączenia zostały zawarte wprost w </w:t>
      </w:r>
      <w:r w:rsidR="00FA0436" w:rsidRPr="00375799">
        <w:rPr>
          <w:rFonts w:cstheme="minorHAnsi"/>
          <w:color w:val="000000" w:themeColor="text1"/>
          <w:sz w:val="24"/>
          <w:szCs w:val="24"/>
        </w:rPr>
        <w:t>RODO</w:t>
      </w:r>
      <w:r w:rsidRPr="00375799">
        <w:rPr>
          <w:rFonts w:cstheme="minorHAnsi"/>
          <w:color w:val="000000" w:themeColor="text1"/>
          <w:sz w:val="24"/>
          <w:szCs w:val="24"/>
        </w:rPr>
        <w:t xml:space="preserve"> – istotny z punktu widzenia biur obowiązek informacyjny z art. 14 </w:t>
      </w:r>
      <w:r w:rsidR="00FA0436" w:rsidRPr="00375799">
        <w:rPr>
          <w:rFonts w:cstheme="minorHAnsi"/>
          <w:color w:val="000000" w:themeColor="text1"/>
          <w:sz w:val="24"/>
          <w:szCs w:val="24"/>
        </w:rPr>
        <w:t>RODO</w:t>
      </w:r>
      <w:r w:rsidR="00FA0436" w:rsidRPr="00375799" w:rsidDel="00FA0436">
        <w:rPr>
          <w:rFonts w:cstheme="minorHAnsi"/>
          <w:color w:val="000000" w:themeColor="text1"/>
          <w:sz w:val="24"/>
          <w:szCs w:val="24"/>
        </w:rPr>
        <w:t xml:space="preserve"> </w:t>
      </w:r>
      <w:r w:rsidRPr="00375799">
        <w:rPr>
          <w:rFonts w:cstheme="minorHAnsi"/>
          <w:color w:val="000000" w:themeColor="text1"/>
          <w:sz w:val="24"/>
          <w:szCs w:val="24"/>
        </w:rPr>
        <w:t xml:space="preserve">nie ma w myśl ust. 5 lit. c w stosunku do tych podmiotów zastosowania, bowiem pozyskiwanie lub ujawnianie zostało w </w:t>
      </w:r>
      <w:proofErr w:type="spellStart"/>
      <w:r w:rsidRPr="00375799">
        <w:rPr>
          <w:rFonts w:cstheme="minorHAnsi"/>
          <w:color w:val="000000" w:themeColor="text1"/>
          <w:sz w:val="24"/>
          <w:szCs w:val="24"/>
        </w:rPr>
        <w:t>u.i.g</w:t>
      </w:r>
      <w:proofErr w:type="spellEnd"/>
      <w:r w:rsidRPr="00375799">
        <w:rPr>
          <w:rFonts w:cstheme="minorHAnsi"/>
          <w:color w:val="000000" w:themeColor="text1"/>
          <w:sz w:val="24"/>
          <w:szCs w:val="24"/>
        </w:rPr>
        <w:t xml:space="preserve">. wyraźnie uregulowane w sposób zapewniający ochronę prawnie uzasadnionych interesów podmiotów danych. </w:t>
      </w:r>
    </w:p>
    <w:p w14:paraId="63EEA0A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Zakres ograniczeń obejmuje: </w:t>
      </w:r>
    </w:p>
    <w:p w14:paraId="11800A67" w14:textId="6E026D15" w:rsidR="008706DD" w:rsidRPr="00375799" w:rsidRDefault="005B36DB"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1. </w:t>
      </w:r>
      <w:r w:rsidR="008706DD" w:rsidRPr="00375799">
        <w:rPr>
          <w:rFonts w:cstheme="minorHAnsi"/>
          <w:color w:val="000000" w:themeColor="text1"/>
          <w:sz w:val="24"/>
          <w:szCs w:val="24"/>
        </w:rPr>
        <w:t xml:space="preserve">Ograniczenie zakresu obowiązku wyrażonego w art. 19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008706DD" w:rsidRPr="00375799">
        <w:rPr>
          <w:rFonts w:cstheme="minorHAnsi"/>
          <w:color w:val="000000" w:themeColor="text1"/>
          <w:sz w:val="24"/>
          <w:szCs w:val="24"/>
        </w:rPr>
        <w:t xml:space="preserve">rozporządzenia 2016/679 polega na tym, że swój obowiązek informacyjny biuro zrealizuje wyłącznie w stosunku do odbiorców, którzy danych jeszcze nie usunęli. Zgodnie z art. 26 ust. 1 </w:t>
      </w:r>
      <w:proofErr w:type="spellStart"/>
      <w:r w:rsidR="008706DD" w:rsidRPr="00375799">
        <w:rPr>
          <w:rFonts w:cstheme="minorHAnsi"/>
          <w:color w:val="000000" w:themeColor="text1"/>
          <w:sz w:val="24"/>
          <w:szCs w:val="24"/>
        </w:rPr>
        <w:t>u.i.g</w:t>
      </w:r>
      <w:proofErr w:type="spellEnd"/>
      <w:r w:rsidR="008706DD" w:rsidRPr="00375799">
        <w:rPr>
          <w:rFonts w:cstheme="minorHAnsi"/>
          <w:color w:val="000000" w:themeColor="text1"/>
          <w:sz w:val="24"/>
          <w:szCs w:val="24"/>
        </w:rPr>
        <w:t xml:space="preserve">. zdecydowana większość odbiorców jest obowiązana usunąć otrzymane od biura informacje w terminie 90 dni od ich otrzymania. Informacje o dłużnikach są zwykle udostępniane wyłącznie do celu przeprowadzenia konkretnej analizy wiarygodności płatniczej. Informowanie pozostałych odbiorców byłoby zbytecznym obciążeniem zagrażającym realizacji przez biura ich podstawowych ustawowych zadań. Zagrożenie to jest szczególnie poważne, mając na uwadze masową skalę ujawniania informacji gospodarczych przez biura. Nie znajduje również uzasadnienia powiadamianie o zmianie lub usunięciu niektórych danych, np. w zakresie adresu czy przedmiotu działalności gospodarczej. Wykazanie przez biura, że w konkretnym przypadku w świetle art. 19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008706DD" w:rsidRPr="00375799">
        <w:rPr>
          <w:rFonts w:cstheme="minorHAnsi"/>
          <w:color w:val="000000" w:themeColor="text1"/>
          <w:sz w:val="24"/>
          <w:szCs w:val="24"/>
        </w:rPr>
        <w:t xml:space="preserve">wykonanie określonego w tym przepisie obowiązku wymaga niewspółmiernie dużego wysiłku byłoby niezmiernie trudne z uwagi na posiadane przez te biura środki techniczne. Ze względu na skalę działalności biur, wykonanie obowiązków wynikających z art. 19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008706DD" w:rsidRPr="00375799">
        <w:rPr>
          <w:rFonts w:cstheme="minorHAnsi"/>
          <w:color w:val="000000" w:themeColor="text1"/>
          <w:sz w:val="24"/>
          <w:szCs w:val="24"/>
        </w:rPr>
        <w:t xml:space="preserve">zagrażałoby realizacji w interesie publicznym głównego zadania biur związanego z pośrednictwem w udostępnianiu informacji gospodarczych, dlatego ograniczenie stosowania tego przepisu jest uzasadnione ważnym interesem gospodarczym </w:t>
      </w:r>
      <w:r w:rsidR="008706DD" w:rsidRPr="00375799">
        <w:rPr>
          <w:rFonts w:cstheme="minorHAnsi"/>
          <w:color w:val="000000" w:themeColor="text1"/>
          <w:sz w:val="24"/>
          <w:szCs w:val="24"/>
        </w:rPr>
        <w:lastRenderedPageBreak/>
        <w:t xml:space="preserve">Polski związanym z potrzebą funkcjonowania sprawnego i wiarygodnego systemu udostępniania informacji gospodarczych (art. 23 ust. 1 lit. e </w:t>
      </w:r>
      <w:r w:rsidR="00D44F5B" w:rsidRPr="00375799">
        <w:rPr>
          <w:rFonts w:cstheme="minorHAnsi"/>
          <w:color w:val="000000" w:themeColor="text1"/>
          <w:sz w:val="24"/>
          <w:szCs w:val="24"/>
        </w:rPr>
        <w:t>RODO</w:t>
      </w:r>
      <w:r w:rsidR="008706DD" w:rsidRPr="00375799">
        <w:rPr>
          <w:rFonts w:cstheme="minorHAnsi"/>
          <w:color w:val="000000" w:themeColor="text1"/>
          <w:sz w:val="24"/>
          <w:szCs w:val="24"/>
        </w:rPr>
        <w:t xml:space="preserve">). </w:t>
      </w:r>
    </w:p>
    <w:p w14:paraId="781BDDFE" w14:textId="78810BBD" w:rsidR="008706DD" w:rsidRPr="00375799" w:rsidRDefault="00876352"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2. </w:t>
      </w:r>
      <w:r w:rsidR="008706DD" w:rsidRPr="00375799">
        <w:rPr>
          <w:rFonts w:cstheme="minorHAnsi"/>
          <w:color w:val="000000" w:themeColor="text1"/>
          <w:sz w:val="24"/>
          <w:szCs w:val="24"/>
        </w:rPr>
        <w:t xml:space="preserve">Ograniczenie prawa do sprzeciwu (art. 21 ust. 1 RODO) dotyczy przetwarzania danych osobowych przez wierzyciela w związku z przekazaniem do biura informacji gospodarczych o dłużniku będącym osobą fizyczną. </w:t>
      </w:r>
      <w:proofErr w:type="spellStart"/>
      <w:r w:rsidR="008706DD" w:rsidRPr="00375799">
        <w:rPr>
          <w:rFonts w:cstheme="minorHAnsi"/>
          <w:color w:val="000000" w:themeColor="text1"/>
          <w:sz w:val="24"/>
          <w:szCs w:val="24"/>
        </w:rPr>
        <w:t>U.i.g</w:t>
      </w:r>
      <w:proofErr w:type="spellEnd"/>
      <w:r w:rsidR="008706DD" w:rsidRPr="00375799">
        <w:rPr>
          <w:rFonts w:cstheme="minorHAnsi"/>
          <w:color w:val="000000" w:themeColor="text1"/>
          <w:sz w:val="24"/>
          <w:szCs w:val="24"/>
        </w:rPr>
        <w:t xml:space="preserve">. reguluje szczegółowo prawo sprzeciwu dłużnika wobec zamiaru przekazania danych do biura w art. 15a </w:t>
      </w:r>
      <w:proofErr w:type="spellStart"/>
      <w:r w:rsidR="008706DD" w:rsidRPr="00375799">
        <w:rPr>
          <w:rFonts w:cstheme="minorHAnsi"/>
          <w:color w:val="000000" w:themeColor="text1"/>
          <w:sz w:val="24"/>
          <w:szCs w:val="24"/>
        </w:rPr>
        <w:t>u.i.g</w:t>
      </w:r>
      <w:proofErr w:type="spellEnd"/>
      <w:r w:rsidR="008706DD" w:rsidRPr="00375799">
        <w:rPr>
          <w:rFonts w:cstheme="minorHAnsi"/>
          <w:color w:val="000000" w:themeColor="text1"/>
          <w:sz w:val="24"/>
          <w:szCs w:val="24"/>
        </w:rPr>
        <w:t xml:space="preserve">. Nie można uznać, że ten przepis określa tryb realizacji prawa określonego w art. 21 ust. 1 </w:t>
      </w:r>
      <w:r w:rsidR="00D44F5B" w:rsidRPr="00375799">
        <w:rPr>
          <w:rFonts w:cstheme="minorHAnsi"/>
          <w:color w:val="000000" w:themeColor="text1"/>
          <w:sz w:val="24"/>
          <w:szCs w:val="24"/>
        </w:rPr>
        <w:t>RODO</w:t>
      </w:r>
      <w:r w:rsidR="008706DD" w:rsidRPr="00375799">
        <w:rPr>
          <w:rFonts w:cstheme="minorHAnsi"/>
          <w:color w:val="000000" w:themeColor="text1"/>
          <w:sz w:val="24"/>
          <w:szCs w:val="24"/>
        </w:rPr>
        <w:t xml:space="preserve">, bowiem sprzeciw uregulowany w ustawie wywołuje zupełnie inne skutki – obliguje wierzyciela do uwzględnienia twierdzeń dłużnika kwestionującego istnienie zobowiązania w całości lub w części lub uznającego wierzytelność za przedawnioną w całości lub w części w informacji gospodarczej przekazywanej do biura. Korzystanie przez dłużników będących osobami fizycznymi z prawa do sprzeciwu uregulowanego w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008706DD" w:rsidRPr="00375799">
        <w:rPr>
          <w:rFonts w:cstheme="minorHAnsi"/>
          <w:color w:val="000000" w:themeColor="text1"/>
          <w:sz w:val="24"/>
          <w:szCs w:val="24"/>
        </w:rPr>
        <w:t>wymagał</w:t>
      </w:r>
      <w:r w:rsidR="00E57C9E">
        <w:rPr>
          <w:rFonts w:cstheme="minorHAnsi"/>
          <w:color w:val="000000" w:themeColor="text1"/>
          <w:sz w:val="24"/>
          <w:szCs w:val="24"/>
        </w:rPr>
        <w:t>o</w:t>
      </w:r>
      <w:r w:rsidR="008706DD" w:rsidRPr="00375799">
        <w:rPr>
          <w:rFonts w:cstheme="minorHAnsi"/>
          <w:color w:val="000000" w:themeColor="text1"/>
          <w:sz w:val="24"/>
          <w:szCs w:val="24"/>
        </w:rPr>
        <w:t>by od wierzycieli wykazania istnienia ważnych, nadrzędnych, prawnie uzasadnionych podstaw do przetwarzania lub podstaw do ustalenia, dochodzenia lub obrony roszczeń, co mogłoby doprowadzić w wielu przypadkach do zakazu przetwarzania danych dłużników przez wierzycieli. Wierzyciele, którzy przekazują do biura informacje gospodarcze o dłużniku, bardzo często czynią to w celach wynikających z własnych prawnie uzasadnionych interesów (art. 6 ust. 1 lit. f</w:t>
      </w:r>
      <w:r w:rsidR="00BD6326">
        <w:rPr>
          <w:rFonts w:cstheme="minorHAnsi"/>
          <w:color w:val="000000" w:themeColor="text1"/>
          <w:sz w:val="24"/>
          <w:szCs w:val="24"/>
        </w:rPr>
        <w:t xml:space="preserve"> RODO</w:t>
      </w:r>
      <w:r w:rsidR="008706DD" w:rsidRPr="00375799">
        <w:rPr>
          <w:rFonts w:cstheme="minorHAnsi"/>
          <w:color w:val="000000" w:themeColor="text1"/>
          <w:sz w:val="24"/>
          <w:szCs w:val="24"/>
        </w:rPr>
        <w:t>). Należyte wywiązanie się przez nich z wymagań związanych z oceną, czy w konkretnej sytuacji interesy lub podstawowe prawa i wolności dłużnika mają charakter nadrzędny wobec ich uzasadnionego interesu</w:t>
      </w:r>
      <w:r w:rsidR="00E57C9E">
        <w:rPr>
          <w:rFonts w:cstheme="minorHAnsi"/>
          <w:color w:val="000000" w:themeColor="text1"/>
          <w:sz w:val="24"/>
          <w:szCs w:val="24"/>
        </w:rPr>
        <w:t>,</w:t>
      </w:r>
      <w:r w:rsidR="008706DD" w:rsidRPr="00375799">
        <w:rPr>
          <w:rFonts w:cstheme="minorHAnsi"/>
          <w:color w:val="000000" w:themeColor="text1"/>
          <w:sz w:val="24"/>
          <w:szCs w:val="24"/>
        </w:rPr>
        <w:t xml:space="preserve"> byłoby utrudnione w sytuacji, gdy niewykonanie zobowiązania wynika ze sporu, w którym każda ze stron jest zwykle przekonana, że jej interes przeważa (ciężar dowodu w przypadku sprzeciwu z RODO ciąży na administratorze). </w:t>
      </w:r>
    </w:p>
    <w:p w14:paraId="60204B8A" w14:textId="560F946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przepis art. 21 ust. 1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Pr="00375799">
        <w:rPr>
          <w:rFonts w:cstheme="minorHAnsi"/>
          <w:color w:val="000000" w:themeColor="text1"/>
          <w:sz w:val="24"/>
          <w:szCs w:val="24"/>
        </w:rPr>
        <w:t xml:space="preserve">nie przystaje do specyfiki udostępniania informacji gospodarczych, bowiem nie uwzględnia interesów osób trzecich, którym dane przekazywane do biura zostaną ujawnione. </w:t>
      </w:r>
      <w:proofErr w:type="spellStart"/>
      <w:r w:rsidRPr="00375799">
        <w:rPr>
          <w:rFonts w:cstheme="minorHAnsi"/>
          <w:color w:val="000000" w:themeColor="text1"/>
          <w:sz w:val="24"/>
          <w:szCs w:val="24"/>
        </w:rPr>
        <w:t>U.i.g</w:t>
      </w:r>
      <w:proofErr w:type="spellEnd"/>
      <w:r w:rsidRPr="00375799">
        <w:rPr>
          <w:rFonts w:cstheme="minorHAnsi"/>
          <w:color w:val="000000" w:themeColor="text1"/>
          <w:sz w:val="24"/>
          <w:szCs w:val="24"/>
        </w:rPr>
        <w:t xml:space="preserve">. od początku pozwala na przekazywanie do biur również informacji o zobowiązaniach przedawnionych, których przetwarzanie nie służy ustaleniu, dochodzeniu ani obronie roszczeń przekazującego i nie stanowi ważnej uzasadnionej podstawy do przetwarzania przez przekazującego, który nie może już dochodzić swych roszczeń przed organami państwa, a przetwarzanie nie leży w jego interesie, tylko uczestników obrotu, którzy podejmują decyzje w oparciu o wszechstronną analizę zachowań płatniczych podmiotu danych, do której przeprowadzenia konieczne jest również uwzględnienie danych o zobowiązaniach przedawnionych. </w:t>
      </w:r>
    </w:p>
    <w:p w14:paraId="51FEC71F" w14:textId="28D493C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tych samych przyczyn nie jest uzasadnione rozpatrywanie sprzeciwów z art. 21 ust. 1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Pr="00375799">
        <w:rPr>
          <w:rFonts w:cstheme="minorHAnsi"/>
          <w:color w:val="000000" w:themeColor="text1"/>
          <w:sz w:val="24"/>
          <w:szCs w:val="24"/>
        </w:rPr>
        <w:t xml:space="preserve">przez biura, które są pośrednikami przetwarzającymi dane osobowe w zakresie niezbędnym do wykonania zadania realizowanego w interesie publicznym (art. 6 ust. 1 lit. e </w:t>
      </w:r>
      <w:r w:rsidR="00D44F5B" w:rsidRPr="00375799">
        <w:rPr>
          <w:rFonts w:cstheme="minorHAnsi"/>
          <w:color w:val="000000" w:themeColor="text1"/>
          <w:sz w:val="24"/>
          <w:szCs w:val="24"/>
        </w:rPr>
        <w:t>RODO</w:t>
      </w:r>
      <w:r w:rsidRPr="00375799">
        <w:rPr>
          <w:rFonts w:cstheme="minorHAnsi"/>
          <w:color w:val="000000" w:themeColor="text1"/>
          <w:sz w:val="24"/>
          <w:szCs w:val="24"/>
        </w:rPr>
        <w:t xml:space="preserve">). Biura rozpatrują sprzeciwy dłużników na zasadach określonych w art. 21a </w:t>
      </w:r>
      <w:proofErr w:type="spellStart"/>
      <w:r w:rsidRPr="00375799">
        <w:rPr>
          <w:rFonts w:cstheme="minorHAnsi"/>
          <w:color w:val="000000" w:themeColor="text1"/>
          <w:sz w:val="24"/>
          <w:szCs w:val="24"/>
        </w:rPr>
        <w:t>u.i.g</w:t>
      </w:r>
      <w:proofErr w:type="spellEnd"/>
      <w:r w:rsidRPr="00375799">
        <w:rPr>
          <w:rFonts w:cstheme="minorHAnsi"/>
          <w:color w:val="000000" w:themeColor="text1"/>
          <w:sz w:val="24"/>
          <w:szCs w:val="24"/>
        </w:rPr>
        <w:t xml:space="preserve">. – dotyczą one wyłącznie nieaktualności, nieprawdziwości, niekompletności lub przekazania lub przechowywania niezgodnie z ustawą informacji gospodarczych mających status informacji aktualnych – biuro nie ocenia szczególnej sytuacji dłużnika opartej na jego uzasadnionym interesie, prawach i wolnościach, nie może być arbitrem w sporze między wierzycielem a </w:t>
      </w:r>
      <w:r w:rsidRPr="00375799">
        <w:rPr>
          <w:rFonts w:cstheme="minorHAnsi"/>
          <w:color w:val="000000" w:themeColor="text1"/>
          <w:sz w:val="24"/>
          <w:szCs w:val="24"/>
        </w:rPr>
        <w:lastRenderedPageBreak/>
        <w:t xml:space="preserve">dłużnikiem. Stosowanie art. 21 ust. 1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Pr="00375799">
        <w:rPr>
          <w:rFonts w:cstheme="minorHAnsi"/>
          <w:color w:val="000000" w:themeColor="text1"/>
          <w:sz w:val="24"/>
          <w:szCs w:val="24"/>
        </w:rPr>
        <w:t xml:space="preserve">w stosunku do biur spowodowałoby zagrożenie asekuracyjnego usuwania przez biura danych dłużników, co pogorszyłoby sytuację wierzycieli i zmniejszyłoby pewność obrotu. </w:t>
      </w:r>
    </w:p>
    <w:p w14:paraId="3629CFDF" w14:textId="5096851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Mając powyższe na uwadze, stosowanie art. 21 ust. 1 </w:t>
      </w:r>
      <w:r w:rsidR="00BD6326">
        <w:rPr>
          <w:rFonts w:cstheme="minorHAnsi"/>
          <w:color w:val="000000" w:themeColor="text1"/>
          <w:sz w:val="24"/>
          <w:szCs w:val="24"/>
        </w:rPr>
        <w:t xml:space="preserve">RODO </w:t>
      </w:r>
      <w:r w:rsidRPr="00375799">
        <w:rPr>
          <w:rFonts w:cstheme="minorHAnsi"/>
          <w:color w:val="000000" w:themeColor="text1"/>
          <w:sz w:val="24"/>
          <w:szCs w:val="24"/>
        </w:rPr>
        <w:t xml:space="preserve">bez żadnych ograniczeń zagrażałoby ważnemu interesowi gospodarczemu Polski związanemu z potrzebą funkcjonowania sprawnego i wiarygodnego systemu udostępniania informacji gospodarczych (art. 23 ust. 1 lit. e </w:t>
      </w:r>
      <w:r w:rsidR="00D44F5B" w:rsidRPr="00375799">
        <w:rPr>
          <w:rFonts w:cstheme="minorHAnsi"/>
          <w:color w:val="000000" w:themeColor="text1"/>
          <w:sz w:val="24"/>
          <w:szCs w:val="24"/>
        </w:rPr>
        <w:t>RODO</w:t>
      </w:r>
      <w:r w:rsidRPr="00375799">
        <w:rPr>
          <w:rFonts w:cstheme="minorHAnsi"/>
          <w:color w:val="000000" w:themeColor="text1"/>
          <w:sz w:val="24"/>
          <w:szCs w:val="24"/>
        </w:rPr>
        <w:t xml:space="preserve">) i utrudniałoby wierzycielom skuteczną egzekucję roszczeń cywilnoprawnych (art. 23 ust. 1 lit. j </w:t>
      </w:r>
      <w:r w:rsidR="00D44F5B"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7D186F28" w14:textId="7A03F3E6" w:rsidR="008706DD" w:rsidRPr="00375799" w:rsidRDefault="00876352"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Zmiana ma także </w:t>
      </w:r>
      <w:r w:rsidR="008706DD" w:rsidRPr="00375799">
        <w:rPr>
          <w:rFonts w:cstheme="minorHAnsi"/>
          <w:color w:val="000000" w:themeColor="text1"/>
          <w:sz w:val="24"/>
          <w:szCs w:val="24"/>
        </w:rPr>
        <w:t xml:space="preserve">na celu kompleksowe określenie zasad pobierania opłat przez biuro za dostęp do wszystkich informacji przechowywanych przez biuro. Art. 22b ust. 2 </w:t>
      </w:r>
      <w:proofErr w:type="spellStart"/>
      <w:r w:rsidR="008706DD" w:rsidRPr="00375799">
        <w:rPr>
          <w:rFonts w:cstheme="minorHAnsi"/>
          <w:color w:val="000000" w:themeColor="text1"/>
          <w:sz w:val="24"/>
          <w:szCs w:val="24"/>
        </w:rPr>
        <w:t>u.i.g</w:t>
      </w:r>
      <w:proofErr w:type="spellEnd"/>
      <w:r w:rsidR="008706DD" w:rsidRPr="00375799">
        <w:rPr>
          <w:rFonts w:cstheme="minorHAnsi"/>
          <w:color w:val="000000" w:themeColor="text1"/>
          <w:sz w:val="24"/>
          <w:szCs w:val="24"/>
        </w:rPr>
        <w:t xml:space="preserve">. mający zastosowanie do pobierania opłat za dostęp do danych osobowych odsyła do mających bezpośrednie zastosowanie przepisów </w:t>
      </w:r>
      <w:r w:rsidR="00D44F5B" w:rsidRPr="00375799">
        <w:rPr>
          <w:rFonts w:cstheme="minorHAnsi"/>
          <w:color w:val="000000" w:themeColor="text1"/>
          <w:sz w:val="24"/>
          <w:szCs w:val="24"/>
        </w:rPr>
        <w:t>RODO</w:t>
      </w:r>
      <w:r w:rsidR="008706DD" w:rsidRPr="00375799">
        <w:rPr>
          <w:rFonts w:cstheme="minorHAnsi"/>
          <w:color w:val="000000" w:themeColor="text1"/>
          <w:sz w:val="24"/>
          <w:szCs w:val="24"/>
        </w:rPr>
        <w:t xml:space="preserve">. Jednocześnie art. 22b ust. 3 </w:t>
      </w:r>
      <w:proofErr w:type="spellStart"/>
      <w:r w:rsidR="008706DD" w:rsidRPr="00375799">
        <w:rPr>
          <w:rFonts w:cstheme="minorHAnsi"/>
          <w:color w:val="000000" w:themeColor="text1"/>
          <w:sz w:val="24"/>
          <w:szCs w:val="24"/>
        </w:rPr>
        <w:t>u.i.g</w:t>
      </w:r>
      <w:proofErr w:type="spellEnd"/>
      <w:r w:rsidR="008706DD" w:rsidRPr="00375799">
        <w:rPr>
          <w:rFonts w:cstheme="minorHAnsi"/>
          <w:color w:val="000000" w:themeColor="text1"/>
          <w:sz w:val="24"/>
          <w:szCs w:val="24"/>
        </w:rPr>
        <w:t xml:space="preserve">. zakłada utrzymanie przewidzianych w </w:t>
      </w:r>
      <w:proofErr w:type="spellStart"/>
      <w:r w:rsidR="008706DD" w:rsidRPr="00375799">
        <w:rPr>
          <w:rFonts w:cstheme="minorHAnsi"/>
          <w:color w:val="000000" w:themeColor="text1"/>
          <w:sz w:val="24"/>
          <w:szCs w:val="24"/>
        </w:rPr>
        <w:t>u.i.g</w:t>
      </w:r>
      <w:proofErr w:type="spellEnd"/>
      <w:r w:rsidR="008706DD" w:rsidRPr="00375799">
        <w:rPr>
          <w:rFonts w:cstheme="minorHAnsi"/>
          <w:color w:val="000000" w:themeColor="text1"/>
          <w:sz w:val="24"/>
          <w:szCs w:val="24"/>
        </w:rPr>
        <w:t xml:space="preserve">. rozwiązań, które są korzystniejsze dla dłużników będących konsumentami. Będzie im przysługiwał bezpłatny dostęp do danych nie częściej niż raz na 6 miesięcy. Propozycja nie uchybia przepisom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008706DD" w:rsidRPr="00375799">
        <w:rPr>
          <w:rFonts w:cstheme="minorHAnsi"/>
          <w:color w:val="000000" w:themeColor="text1"/>
          <w:sz w:val="24"/>
          <w:szCs w:val="24"/>
        </w:rPr>
        <w:t xml:space="preserve">– nie stanowi wyłączenia, a jedynie dodatkową preferencję dla niektórych podmiotów danych. W stosunku do podmiotów niebędących osobami fizycznymi zostaną utrzymane aktualne zasady dostępu do informacji gospodarczych (art. 22b ust. 4 </w:t>
      </w:r>
      <w:proofErr w:type="spellStart"/>
      <w:r w:rsidR="008706DD" w:rsidRPr="00375799">
        <w:rPr>
          <w:rFonts w:cstheme="minorHAnsi"/>
          <w:color w:val="000000" w:themeColor="text1"/>
          <w:sz w:val="24"/>
          <w:szCs w:val="24"/>
        </w:rPr>
        <w:t>u.i.g</w:t>
      </w:r>
      <w:proofErr w:type="spellEnd"/>
      <w:r w:rsidR="008706DD" w:rsidRPr="00375799">
        <w:rPr>
          <w:rFonts w:cstheme="minorHAnsi"/>
          <w:color w:val="000000" w:themeColor="text1"/>
          <w:sz w:val="24"/>
          <w:szCs w:val="24"/>
        </w:rPr>
        <w:t>.).</w:t>
      </w:r>
    </w:p>
    <w:p w14:paraId="2D6D46DF" w14:textId="77777777" w:rsidR="006B1CE7" w:rsidRPr="00375799" w:rsidRDefault="006B1CE7" w:rsidP="0055107B">
      <w:pPr>
        <w:spacing w:after="0" w:line="276" w:lineRule="auto"/>
        <w:ind w:left="57" w:right="57"/>
        <w:contextualSpacing/>
        <w:jc w:val="both"/>
        <w:rPr>
          <w:rFonts w:cstheme="minorHAnsi"/>
          <w:color w:val="000000" w:themeColor="text1"/>
          <w:sz w:val="24"/>
          <w:szCs w:val="24"/>
        </w:rPr>
      </w:pPr>
    </w:p>
    <w:p w14:paraId="54449DD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Stosownie do regulacji przejściowej, biura prowadzące działalność w dniu wejścia w życie ustawy będą obowiązane dostosować regulamin zarządzania danymi w związku ze zmianą </w:t>
      </w:r>
      <w:proofErr w:type="spellStart"/>
      <w:r w:rsidRPr="00375799">
        <w:rPr>
          <w:rFonts w:cstheme="minorHAnsi"/>
          <w:color w:val="000000" w:themeColor="text1"/>
          <w:sz w:val="24"/>
          <w:szCs w:val="24"/>
        </w:rPr>
        <w:t>u.i.g</w:t>
      </w:r>
      <w:proofErr w:type="spellEnd"/>
      <w:r w:rsidRPr="00375799">
        <w:rPr>
          <w:rFonts w:cstheme="minorHAnsi"/>
          <w:color w:val="000000" w:themeColor="text1"/>
          <w:sz w:val="24"/>
          <w:szCs w:val="24"/>
        </w:rPr>
        <w:t xml:space="preserve">. w terminie 3 miesięcy od dnia wejścia w życie zmiany i dostosowany regulamin przekazać nie później niż w terminie 14 dni od dnia uchwalenia jego zmian ministrowi właściwemu do spraw gospodarki do zatwierdzenia. W przypadku nieprzekazania przez biuro informacji gospodarczej ministrowi właściwemu do spraw gospodarki do zatwierdzenia regulaminu zarządzania danymi w ww. terminie, minister właściwy do spraw gospodarki wyda decyzję o zakazie wykonywania działalności gospodarczej przez biuro. </w:t>
      </w:r>
    </w:p>
    <w:p w14:paraId="67694B14" w14:textId="77777777" w:rsidR="006B1CE7" w:rsidRPr="00375799" w:rsidRDefault="006B1CE7"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Prawomocna decyzja o zakazie wykonywania działalności gospodarczej przez biuro powoduje rozwiązanie spółki, w formie której jest prowadzone biuro. Regulamin zarządzania danymi przekazany i niezatwierdzony do dnia wejścia w życie niniejszej ustawy zwraca się biuru w celu jego dostosowania.</w:t>
      </w:r>
    </w:p>
    <w:p w14:paraId="4D721AA7" w14:textId="0232A22A" w:rsidR="0078314A" w:rsidRPr="00375799" w:rsidRDefault="0078314A" w:rsidP="0055107B">
      <w:pPr>
        <w:spacing w:after="0" w:line="276" w:lineRule="auto"/>
        <w:ind w:left="57" w:right="57"/>
        <w:contextualSpacing/>
        <w:jc w:val="both"/>
        <w:rPr>
          <w:rFonts w:cstheme="minorHAnsi"/>
          <w:color w:val="000000" w:themeColor="text1"/>
          <w:sz w:val="24"/>
          <w:szCs w:val="24"/>
        </w:rPr>
      </w:pPr>
    </w:p>
    <w:p w14:paraId="040A4052" w14:textId="46AD6468" w:rsidR="008706DD" w:rsidRPr="00375799" w:rsidRDefault="0078314A"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11" w:name="_Toc530565083"/>
      <w:r w:rsidRPr="00375799">
        <w:rPr>
          <w:rFonts w:asciiTheme="minorHAnsi" w:hAnsiTheme="minorHAnsi" w:cstheme="minorHAnsi"/>
          <w:color w:val="000000" w:themeColor="text1"/>
          <w:sz w:val="24"/>
          <w:szCs w:val="24"/>
        </w:rPr>
        <w:t>U</w:t>
      </w:r>
      <w:r w:rsidR="008706DD" w:rsidRPr="00375799">
        <w:rPr>
          <w:rFonts w:asciiTheme="minorHAnsi" w:hAnsiTheme="minorHAnsi" w:cstheme="minorHAnsi"/>
          <w:color w:val="000000" w:themeColor="text1"/>
          <w:sz w:val="24"/>
          <w:szCs w:val="24"/>
        </w:rPr>
        <w:t>staw</w:t>
      </w:r>
      <w:r w:rsidRPr="00375799">
        <w:rPr>
          <w:rFonts w:asciiTheme="minorHAnsi" w:hAnsiTheme="minorHAnsi" w:cstheme="minorHAnsi"/>
          <w:color w:val="000000" w:themeColor="text1"/>
          <w:sz w:val="24"/>
          <w:szCs w:val="24"/>
        </w:rPr>
        <w:t>a</w:t>
      </w:r>
      <w:r w:rsidR="008706DD" w:rsidRPr="00375799">
        <w:rPr>
          <w:rFonts w:asciiTheme="minorHAnsi" w:hAnsiTheme="minorHAnsi" w:cstheme="minorHAnsi"/>
          <w:color w:val="000000" w:themeColor="text1"/>
          <w:sz w:val="24"/>
          <w:szCs w:val="24"/>
        </w:rPr>
        <w:t xml:space="preserve"> z dnia 6 sierpnia 2010 r. o dowodach osobistych </w:t>
      </w:r>
      <w:r w:rsidR="00366565" w:rsidRPr="00375799">
        <w:rPr>
          <w:rFonts w:asciiTheme="minorHAnsi" w:hAnsiTheme="minorHAnsi" w:cstheme="minorHAnsi"/>
          <w:color w:val="000000" w:themeColor="text1"/>
          <w:sz w:val="24"/>
          <w:szCs w:val="24"/>
        </w:rPr>
        <w:t>(Dz. U. z 2017 r. poz. 1464 oraz z 2018 r. poz. 730)</w:t>
      </w:r>
      <w:bookmarkEnd w:id="111"/>
    </w:p>
    <w:p w14:paraId="18522D28"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239B272F" w14:textId="0EADB7C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Dowód osobisty jest jednym z dwóch rodzajów dokumentów, który potwierdza tożsamość obywatela polskiego. W celu jednoznacznego przypisania określonej osoby do wydanego jej dokumentu i </w:t>
      </w:r>
      <w:r w:rsidR="00E57C9E" w:rsidRPr="00375799">
        <w:rPr>
          <w:rFonts w:cstheme="minorHAnsi"/>
          <w:color w:val="000000" w:themeColor="text1"/>
          <w:sz w:val="24"/>
          <w:szCs w:val="24"/>
        </w:rPr>
        <w:t>zapewnieni</w:t>
      </w:r>
      <w:r w:rsidR="00E57C9E">
        <w:rPr>
          <w:rFonts w:cstheme="minorHAnsi"/>
          <w:color w:val="000000" w:themeColor="text1"/>
          <w:sz w:val="24"/>
          <w:szCs w:val="24"/>
        </w:rPr>
        <w:t>a</w:t>
      </w:r>
      <w:r w:rsidR="00E57C9E" w:rsidRPr="00375799">
        <w:rPr>
          <w:rFonts w:cstheme="minorHAnsi"/>
          <w:color w:val="000000" w:themeColor="text1"/>
          <w:sz w:val="24"/>
          <w:szCs w:val="24"/>
        </w:rPr>
        <w:t xml:space="preserve"> </w:t>
      </w:r>
      <w:r w:rsidRPr="00375799">
        <w:rPr>
          <w:rFonts w:cstheme="minorHAnsi"/>
          <w:color w:val="000000" w:themeColor="text1"/>
          <w:sz w:val="24"/>
          <w:szCs w:val="24"/>
        </w:rPr>
        <w:t xml:space="preserve">tym samym pewności obrotu prawno-administracyjnego prowadzony jest Rejestr Dowodów Osobistych oraz gromadzona jest odpowiednia dokumentacja. W związku z powyższym przetwarzanie danych osobowych na </w:t>
      </w:r>
      <w:r w:rsidRPr="00375799">
        <w:rPr>
          <w:rFonts w:cstheme="minorHAnsi"/>
          <w:color w:val="000000" w:themeColor="text1"/>
          <w:sz w:val="24"/>
          <w:szCs w:val="24"/>
        </w:rPr>
        <w:lastRenderedPageBreak/>
        <w:t xml:space="preserve">potrzeby wydawania, wymiany i unieważniania dowodów osobistych jest już obecnie jasno uregulowane w ustawie o dowodach osobistych. </w:t>
      </w:r>
    </w:p>
    <w:p w14:paraId="123AECC6" w14:textId="6450F9BB" w:rsidR="00910E8F" w:rsidRPr="00375799" w:rsidRDefault="00910E8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Proponowana zmiana art. 55 ustawy zakłada nadanie mu nowego brzmienia, a w konsekwencji rozbudowanie przepisu o katalog zadań składających się na utrzymanie i rozwój rejestru. W proponowanym brzmieniu precyzyjnie określono również zasady współdziałania współadministratorów, w tym sposób zapewnienia prawa dostępu osobie, której dane dotyczą, na podstawie art. 15 </w:t>
      </w:r>
      <w:r w:rsidR="00D44F5B" w:rsidRPr="00375799">
        <w:rPr>
          <w:rFonts w:cstheme="minorHAnsi"/>
          <w:color w:val="000000" w:themeColor="text1"/>
          <w:sz w:val="24"/>
          <w:szCs w:val="24"/>
        </w:rPr>
        <w:t>RODO</w:t>
      </w:r>
      <w:r w:rsidRPr="00375799">
        <w:rPr>
          <w:rFonts w:cstheme="minorHAnsi"/>
          <w:color w:val="000000" w:themeColor="text1"/>
          <w:sz w:val="24"/>
          <w:szCs w:val="24"/>
        </w:rPr>
        <w:t xml:space="preserve">. </w:t>
      </w:r>
    </w:p>
    <w:p w14:paraId="799A3255" w14:textId="0E9A128E" w:rsidR="00910E8F" w:rsidRPr="00375799" w:rsidRDefault="00910E8F" w:rsidP="0055107B">
      <w:pPr>
        <w:spacing w:after="0" w:line="276" w:lineRule="auto"/>
        <w:ind w:left="57" w:right="57"/>
        <w:contextualSpacing/>
        <w:jc w:val="both"/>
        <w:rPr>
          <w:rFonts w:cstheme="minorHAnsi"/>
          <w:b/>
          <w:color w:val="000000" w:themeColor="text1"/>
          <w:sz w:val="24"/>
          <w:szCs w:val="24"/>
        </w:rPr>
      </w:pPr>
      <w:r w:rsidRPr="00375799">
        <w:rPr>
          <w:rFonts w:cstheme="minorHAnsi"/>
          <w:color w:val="000000" w:themeColor="text1"/>
          <w:sz w:val="24"/>
          <w:szCs w:val="24"/>
        </w:rPr>
        <w:t>Projektodawca dokonuje ponadto zmian w art. 56</w:t>
      </w:r>
      <w:r w:rsidR="002735B4">
        <w:rPr>
          <w:rFonts w:cstheme="minorHAnsi"/>
          <w:color w:val="000000" w:themeColor="text1"/>
          <w:sz w:val="24"/>
          <w:szCs w:val="24"/>
        </w:rPr>
        <w:t xml:space="preserve"> ustawy</w:t>
      </w:r>
      <w:r w:rsidRPr="00375799">
        <w:rPr>
          <w:rFonts w:cstheme="minorHAnsi"/>
          <w:color w:val="000000" w:themeColor="text1"/>
          <w:sz w:val="24"/>
          <w:szCs w:val="24"/>
        </w:rPr>
        <w:t xml:space="preserve">, precyzując kwestię nieusuwania danych zgromadzonych w rejestrze i kwestię rodzaju przechowywanych danych. W </w:t>
      </w:r>
      <w:r w:rsidR="003F3B15" w:rsidRPr="00375799">
        <w:rPr>
          <w:rFonts w:cstheme="minorHAnsi"/>
          <w:color w:val="000000" w:themeColor="text1"/>
          <w:sz w:val="24"/>
          <w:szCs w:val="24"/>
        </w:rPr>
        <w:t xml:space="preserve">dodawanych </w:t>
      </w:r>
      <w:r w:rsidRPr="00375799">
        <w:rPr>
          <w:rFonts w:cstheme="minorHAnsi"/>
          <w:color w:val="000000" w:themeColor="text1"/>
          <w:sz w:val="24"/>
          <w:szCs w:val="24"/>
        </w:rPr>
        <w:t>art. 56a</w:t>
      </w:r>
      <w:r w:rsidR="003F3B15" w:rsidRPr="00375799">
        <w:rPr>
          <w:rFonts w:cstheme="minorHAnsi"/>
          <w:color w:val="000000" w:themeColor="text1"/>
          <w:sz w:val="24"/>
          <w:szCs w:val="24"/>
        </w:rPr>
        <w:t xml:space="preserve"> i art. 56b </w:t>
      </w:r>
      <w:r w:rsidR="002735B4">
        <w:rPr>
          <w:rFonts w:cstheme="minorHAnsi"/>
          <w:color w:val="000000" w:themeColor="text1"/>
          <w:sz w:val="24"/>
          <w:szCs w:val="24"/>
        </w:rPr>
        <w:t>ustawy</w:t>
      </w:r>
      <w:r w:rsidR="00616ECB">
        <w:rPr>
          <w:rFonts w:cstheme="minorHAnsi"/>
          <w:color w:val="000000" w:themeColor="text1"/>
          <w:sz w:val="24"/>
          <w:szCs w:val="24"/>
        </w:rPr>
        <w:t xml:space="preserve"> </w:t>
      </w:r>
      <w:r w:rsidR="003F3B15" w:rsidRPr="00375799">
        <w:rPr>
          <w:rFonts w:cstheme="minorHAnsi"/>
          <w:color w:val="000000" w:themeColor="text1"/>
          <w:sz w:val="24"/>
          <w:szCs w:val="24"/>
        </w:rPr>
        <w:t>uregulowano kwestię sprawdzenia danych z urzędu i następstw stwierdzenia niezgodności danych poszczególnych kategorii danych.</w:t>
      </w:r>
    </w:p>
    <w:p w14:paraId="2B89CEE2" w14:textId="77777777" w:rsidR="0078314A" w:rsidRPr="00375799" w:rsidRDefault="0078314A" w:rsidP="0055107B">
      <w:pPr>
        <w:spacing w:after="0" w:line="276" w:lineRule="auto"/>
        <w:ind w:left="57" w:right="57"/>
        <w:contextualSpacing/>
        <w:jc w:val="both"/>
        <w:rPr>
          <w:rFonts w:cstheme="minorHAnsi"/>
          <w:color w:val="000000" w:themeColor="text1"/>
          <w:sz w:val="24"/>
          <w:szCs w:val="24"/>
        </w:rPr>
      </w:pPr>
    </w:p>
    <w:p w14:paraId="60D26C12" w14:textId="24AFB5D9"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12" w:name="_Toc530565084"/>
      <w:r w:rsidRPr="00375799">
        <w:rPr>
          <w:rFonts w:asciiTheme="minorHAnsi" w:hAnsiTheme="minorHAnsi" w:cstheme="minorHAnsi"/>
          <w:color w:val="000000" w:themeColor="text1"/>
          <w:sz w:val="24"/>
          <w:szCs w:val="24"/>
        </w:rPr>
        <w:t xml:space="preserve">Ustawa z dnia 24 września 2010 r. o ewidencji ludności </w:t>
      </w:r>
      <w:r w:rsidR="00366565" w:rsidRPr="00375799">
        <w:rPr>
          <w:rFonts w:asciiTheme="minorHAnsi" w:hAnsiTheme="minorHAnsi" w:cstheme="minorHAnsi"/>
          <w:color w:val="000000" w:themeColor="text1"/>
          <w:sz w:val="24"/>
          <w:szCs w:val="24"/>
        </w:rPr>
        <w:t xml:space="preserve">(Dz. U. z </w:t>
      </w:r>
      <w:hyperlink r:id="rId9" w:history="1">
        <w:r w:rsidR="00366565" w:rsidRPr="00375799">
          <w:rPr>
            <w:rFonts w:asciiTheme="minorHAnsi" w:hAnsiTheme="minorHAnsi" w:cstheme="minorHAnsi"/>
            <w:color w:val="000000" w:themeColor="text1"/>
            <w:sz w:val="24"/>
            <w:szCs w:val="24"/>
          </w:rPr>
          <w:t>2018 r. poz.</w:t>
        </w:r>
      </w:hyperlink>
      <w:r w:rsidR="00366565" w:rsidRPr="00375799">
        <w:rPr>
          <w:rFonts w:asciiTheme="minorHAnsi" w:hAnsiTheme="minorHAnsi" w:cstheme="minorHAnsi"/>
          <w:color w:val="000000" w:themeColor="text1"/>
          <w:sz w:val="24"/>
          <w:szCs w:val="24"/>
        </w:rPr>
        <w:t xml:space="preserve"> 1382 i 1544)</w:t>
      </w:r>
      <w:bookmarkEnd w:id="112"/>
    </w:p>
    <w:p w14:paraId="0388E2AF"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356CF585" w14:textId="19F4CC5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Prowadzenie ewidencji ludności i nadawanie osobom numeru PESEL służy stworzeniu jednej, podstawowej bazy danych osobowych - rejestru PESEL</w:t>
      </w:r>
      <w:r w:rsidR="00E57C9E">
        <w:rPr>
          <w:rFonts w:cstheme="minorHAnsi"/>
          <w:color w:val="000000" w:themeColor="text1"/>
          <w:sz w:val="24"/>
          <w:szCs w:val="24"/>
        </w:rPr>
        <w:t xml:space="preserve"> </w:t>
      </w:r>
      <w:r w:rsidRPr="00375799">
        <w:rPr>
          <w:rFonts w:cstheme="minorHAnsi"/>
          <w:color w:val="000000" w:themeColor="text1"/>
          <w:sz w:val="24"/>
          <w:szCs w:val="24"/>
        </w:rPr>
        <w:t>- umożliwiającej jednoznaczną identyfikację osób fizycznych, którym nadano numer PESEL zawierającą przede wszystkim ich aktualne dane. Rejestr PESEL jest rejestrem referencyjnym dla wielu innych rejestrów państwowych. W związku z powyższym dane w tym rejestrze muszą być pewne, a dostęp do rejestru jednoznacznie określony, co już obecnie j</w:t>
      </w:r>
      <w:r w:rsidR="002735B4">
        <w:rPr>
          <w:rFonts w:cstheme="minorHAnsi"/>
          <w:color w:val="000000" w:themeColor="text1"/>
          <w:sz w:val="24"/>
          <w:szCs w:val="24"/>
        </w:rPr>
        <w:t>est jasno uregulowane w ustawie</w:t>
      </w:r>
      <w:r w:rsidR="00616ECB">
        <w:rPr>
          <w:rFonts w:cstheme="minorHAnsi"/>
          <w:color w:val="000000" w:themeColor="text1"/>
          <w:sz w:val="24"/>
          <w:szCs w:val="24"/>
        </w:rPr>
        <w:t xml:space="preserve"> </w:t>
      </w:r>
      <w:r w:rsidRPr="00375799">
        <w:rPr>
          <w:rFonts w:cstheme="minorHAnsi"/>
          <w:color w:val="000000" w:themeColor="text1"/>
          <w:sz w:val="24"/>
          <w:szCs w:val="24"/>
        </w:rPr>
        <w:t xml:space="preserve">o ewidencji ludności. </w:t>
      </w:r>
    </w:p>
    <w:p w14:paraId="3013ADA8" w14:textId="06A19737" w:rsidR="00277498" w:rsidRPr="00375799" w:rsidRDefault="00DB49AA"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Proponowana zmiana art. 6 ustawy </w:t>
      </w:r>
      <w:r w:rsidR="009C688C" w:rsidRPr="00375799">
        <w:rPr>
          <w:rFonts w:cstheme="minorHAnsi"/>
          <w:color w:val="000000" w:themeColor="text1"/>
          <w:sz w:val="24"/>
          <w:szCs w:val="24"/>
        </w:rPr>
        <w:t xml:space="preserve">zakłada nadanie mu nowego brzmienia, a w konsekwencji </w:t>
      </w:r>
      <w:r w:rsidRPr="00375799">
        <w:rPr>
          <w:rFonts w:cstheme="minorHAnsi"/>
          <w:color w:val="000000" w:themeColor="text1"/>
          <w:sz w:val="24"/>
          <w:szCs w:val="24"/>
        </w:rPr>
        <w:t>rozbud</w:t>
      </w:r>
      <w:r w:rsidR="00277498" w:rsidRPr="00375799">
        <w:rPr>
          <w:rFonts w:cstheme="minorHAnsi"/>
          <w:color w:val="000000" w:themeColor="text1"/>
          <w:sz w:val="24"/>
          <w:szCs w:val="24"/>
        </w:rPr>
        <w:t xml:space="preserve">owanie przepisu o katalog zadań składających się na utrzymanie i rozwój rejestru. </w:t>
      </w:r>
      <w:r w:rsidR="00663921" w:rsidRPr="00375799">
        <w:rPr>
          <w:rFonts w:cstheme="minorHAnsi"/>
          <w:color w:val="000000" w:themeColor="text1"/>
          <w:sz w:val="24"/>
          <w:szCs w:val="24"/>
        </w:rPr>
        <w:t>W proponowanym brzmieniu p</w:t>
      </w:r>
      <w:r w:rsidR="00277498" w:rsidRPr="00375799">
        <w:rPr>
          <w:rFonts w:cstheme="minorHAnsi"/>
          <w:color w:val="000000" w:themeColor="text1"/>
          <w:sz w:val="24"/>
          <w:szCs w:val="24"/>
        </w:rPr>
        <w:t>recyzyjnie okre</w:t>
      </w:r>
      <w:r w:rsidR="00663921" w:rsidRPr="00375799">
        <w:rPr>
          <w:rFonts w:cstheme="minorHAnsi"/>
          <w:color w:val="000000" w:themeColor="text1"/>
          <w:sz w:val="24"/>
          <w:szCs w:val="24"/>
        </w:rPr>
        <w:t>ślono</w:t>
      </w:r>
      <w:r w:rsidR="00277498" w:rsidRPr="00375799">
        <w:rPr>
          <w:rFonts w:cstheme="minorHAnsi"/>
          <w:color w:val="000000" w:themeColor="text1"/>
          <w:sz w:val="24"/>
          <w:szCs w:val="24"/>
        </w:rPr>
        <w:t xml:space="preserve"> </w:t>
      </w:r>
      <w:r w:rsidR="00910E8F" w:rsidRPr="00375799">
        <w:rPr>
          <w:rFonts w:cstheme="minorHAnsi"/>
          <w:color w:val="000000" w:themeColor="text1"/>
          <w:sz w:val="24"/>
          <w:szCs w:val="24"/>
        </w:rPr>
        <w:t xml:space="preserve">również </w:t>
      </w:r>
      <w:r w:rsidR="009C688C" w:rsidRPr="00375799">
        <w:rPr>
          <w:rFonts w:cstheme="minorHAnsi"/>
          <w:color w:val="000000" w:themeColor="text1"/>
          <w:sz w:val="24"/>
          <w:szCs w:val="24"/>
        </w:rPr>
        <w:t>zasady współdziałania współadministratorów</w:t>
      </w:r>
      <w:r w:rsidR="00277498" w:rsidRPr="00375799">
        <w:rPr>
          <w:rFonts w:cstheme="minorHAnsi"/>
          <w:color w:val="000000" w:themeColor="text1"/>
          <w:sz w:val="24"/>
          <w:szCs w:val="24"/>
        </w:rPr>
        <w:t>, w tym sposób zapewnienia prawa dostępu osobie, której dane dotyczą, na podstawie art.</w:t>
      </w:r>
      <w:r w:rsidR="00663921" w:rsidRPr="00375799">
        <w:rPr>
          <w:rFonts w:cstheme="minorHAnsi"/>
          <w:color w:val="000000" w:themeColor="text1"/>
          <w:sz w:val="24"/>
          <w:szCs w:val="24"/>
        </w:rPr>
        <w:t xml:space="preserve"> 15 </w:t>
      </w:r>
      <w:r w:rsidR="00D44F5B" w:rsidRPr="00375799">
        <w:rPr>
          <w:rFonts w:cstheme="minorHAnsi"/>
          <w:color w:val="000000" w:themeColor="text1"/>
          <w:sz w:val="24"/>
          <w:szCs w:val="24"/>
        </w:rPr>
        <w:t>RODO</w:t>
      </w:r>
      <w:r w:rsidR="00277498" w:rsidRPr="00375799">
        <w:rPr>
          <w:rFonts w:cstheme="minorHAnsi"/>
          <w:color w:val="000000" w:themeColor="text1"/>
          <w:sz w:val="24"/>
          <w:szCs w:val="24"/>
        </w:rPr>
        <w:t xml:space="preserve">. </w:t>
      </w:r>
    </w:p>
    <w:p w14:paraId="7DF9E4AA" w14:textId="0F90CD26" w:rsidR="008706DD" w:rsidRPr="00375799" w:rsidRDefault="00C013A9"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Po</w:t>
      </w:r>
      <w:r w:rsidR="00A020F0">
        <w:rPr>
          <w:rFonts w:cstheme="minorHAnsi"/>
          <w:color w:val="000000" w:themeColor="text1"/>
          <w:sz w:val="24"/>
          <w:szCs w:val="24"/>
        </w:rPr>
        <w:t xml:space="preserve"> </w:t>
      </w:r>
      <w:r w:rsidR="00277498" w:rsidRPr="00375799">
        <w:rPr>
          <w:rFonts w:cstheme="minorHAnsi"/>
          <w:color w:val="000000" w:themeColor="text1"/>
          <w:sz w:val="24"/>
          <w:szCs w:val="24"/>
        </w:rPr>
        <w:t>art. 6 dodaje się art. 6a wskazując</w:t>
      </w:r>
      <w:r w:rsidR="00663921" w:rsidRPr="00375799">
        <w:rPr>
          <w:rFonts w:cstheme="minorHAnsi"/>
          <w:color w:val="000000" w:themeColor="text1"/>
          <w:sz w:val="24"/>
          <w:szCs w:val="24"/>
        </w:rPr>
        <w:t>y organ prowadzący rejestr mieszkańców (wójt, burmistrz lub prezydenta miasta – zgodnie z właściwością miejscową).</w:t>
      </w:r>
    </w:p>
    <w:p w14:paraId="76C63767" w14:textId="7D0DF7EA" w:rsidR="00663921" w:rsidRPr="00375799" w:rsidRDefault="009C688C"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Projektodawca </w:t>
      </w:r>
      <w:r w:rsidR="00663921" w:rsidRPr="00375799">
        <w:rPr>
          <w:rFonts w:cstheme="minorHAnsi"/>
          <w:color w:val="000000" w:themeColor="text1"/>
          <w:sz w:val="24"/>
          <w:szCs w:val="24"/>
        </w:rPr>
        <w:t xml:space="preserve">przewiduje </w:t>
      </w:r>
      <w:r w:rsidRPr="00375799">
        <w:rPr>
          <w:rFonts w:cstheme="minorHAnsi"/>
          <w:color w:val="000000" w:themeColor="text1"/>
          <w:sz w:val="24"/>
          <w:szCs w:val="24"/>
        </w:rPr>
        <w:t xml:space="preserve">ponadto </w:t>
      </w:r>
      <w:r w:rsidR="00663921" w:rsidRPr="00375799">
        <w:rPr>
          <w:rFonts w:cstheme="minorHAnsi"/>
          <w:color w:val="000000" w:themeColor="text1"/>
          <w:sz w:val="24"/>
          <w:szCs w:val="24"/>
        </w:rPr>
        <w:t xml:space="preserve">uzupełnienie art. 10 </w:t>
      </w:r>
      <w:r w:rsidR="00A020F0">
        <w:rPr>
          <w:rFonts w:cstheme="minorHAnsi"/>
          <w:color w:val="000000" w:themeColor="text1"/>
          <w:sz w:val="24"/>
          <w:szCs w:val="24"/>
        </w:rPr>
        <w:t>ustawy</w:t>
      </w:r>
      <w:r w:rsidR="00616ECB">
        <w:rPr>
          <w:rFonts w:cstheme="minorHAnsi"/>
          <w:color w:val="000000" w:themeColor="text1"/>
          <w:sz w:val="24"/>
          <w:szCs w:val="24"/>
        </w:rPr>
        <w:t xml:space="preserve"> </w:t>
      </w:r>
      <w:r w:rsidR="00A020F0">
        <w:rPr>
          <w:rFonts w:cstheme="minorHAnsi"/>
          <w:color w:val="000000" w:themeColor="text1"/>
          <w:sz w:val="24"/>
          <w:szCs w:val="24"/>
        </w:rPr>
        <w:t xml:space="preserve">o ust. </w:t>
      </w:r>
      <w:r w:rsidR="00616ECB">
        <w:rPr>
          <w:rFonts w:cstheme="minorHAnsi"/>
          <w:color w:val="000000" w:themeColor="text1"/>
          <w:sz w:val="24"/>
          <w:szCs w:val="24"/>
        </w:rPr>
        <w:t xml:space="preserve">6a </w:t>
      </w:r>
      <w:r w:rsidR="00663921" w:rsidRPr="00375799">
        <w:rPr>
          <w:rFonts w:cstheme="minorHAnsi"/>
          <w:color w:val="000000" w:themeColor="text1"/>
          <w:sz w:val="24"/>
          <w:szCs w:val="24"/>
        </w:rPr>
        <w:t xml:space="preserve">precyzujący okres przechowywania danych oraz art. 11 – o ustępy dotyczące usuwania niezgodności danych zawartych w rejestrze PESEL. Po art. 12 dodaje się </w:t>
      </w:r>
      <w:r w:rsidRPr="00375799">
        <w:rPr>
          <w:rFonts w:cstheme="minorHAnsi"/>
          <w:color w:val="000000" w:themeColor="text1"/>
          <w:sz w:val="24"/>
          <w:szCs w:val="24"/>
        </w:rPr>
        <w:t xml:space="preserve">z kolei </w:t>
      </w:r>
      <w:r w:rsidR="00663921" w:rsidRPr="00375799">
        <w:rPr>
          <w:rFonts w:cstheme="minorHAnsi"/>
          <w:color w:val="000000" w:themeColor="text1"/>
          <w:sz w:val="24"/>
          <w:szCs w:val="24"/>
        </w:rPr>
        <w:t>art. 12a regulujący kwestię usuwania danych i zapisów zgromadzonych w rejestrze.</w:t>
      </w:r>
    </w:p>
    <w:p w14:paraId="2D486F1E" w14:textId="77777777" w:rsidR="00663921" w:rsidRPr="00375799" w:rsidRDefault="00663921" w:rsidP="0055107B">
      <w:pPr>
        <w:spacing w:line="276" w:lineRule="auto"/>
        <w:ind w:firstLine="0"/>
        <w:contextualSpacing/>
        <w:jc w:val="both"/>
        <w:rPr>
          <w:rFonts w:cstheme="minorHAnsi"/>
          <w:color w:val="000000" w:themeColor="text1"/>
          <w:sz w:val="24"/>
          <w:szCs w:val="24"/>
        </w:rPr>
      </w:pPr>
    </w:p>
    <w:p w14:paraId="4EDB9FC0" w14:textId="7A15ECE6"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13" w:name="_Toc530565085"/>
      <w:r w:rsidRPr="00375799">
        <w:rPr>
          <w:rFonts w:asciiTheme="minorHAnsi" w:hAnsiTheme="minorHAnsi" w:cstheme="minorHAnsi"/>
          <w:color w:val="000000" w:themeColor="text1"/>
          <w:sz w:val="24"/>
          <w:szCs w:val="24"/>
        </w:rPr>
        <w:t xml:space="preserve">Ustawa z dnia 16 grudnia 2010 r. o publicznym transporcie zbiorowym </w:t>
      </w:r>
      <w:r w:rsidR="00366565" w:rsidRPr="00375799">
        <w:rPr>
          <w:rFonts w:asciiTheme="minorHAnsi" w:hAnsiTheme="minorHAnsi" w:cstheme="minorHAnsi"/>
          <w:color w:val="000000" w:themeColor="text1"/>
          <w:sz w:val="24"/>
          <w:szCs w:val="24"/>
        </w:rPr>
        <w:t>(Dz. U</w:t>
      </w:r>
      <w:r w:rsidR="00E57C9E">
        <w:rPr>
          <w:rFonts w:asciiTheme="minorHAnsi" w:hAnsiTheme="minorHAnsi" w:cstheme="minorHAnsi"/>
          <w:color w:val="000000" w:themeColor="text1"/>
          <w:sz w:val="24"/>
          <w:szCs w:val="24"/>
        </w:rPr>
        <w:t>.</w:t>
      </w:r>
      <w:r w:rsidR="00366565" w:rsidRPr="00375799">
        <w:rPr>
          <w:rFonts w:asciiTheme="minorHAnsi" w:hAnsiTheme="minorHAnsi" w:cstheme="minorHAnsi"/>
          <w:color w:val="000000" w:themeColor="text1"/>
          <w:sz w:val="24"/>
          <w:szCs w:val="24"/>
        </w:rPr>
        <w:t xml:space="preserve"> z 201</w:t>
      </w:r>
      <w:r w:rsidR="00FB09B3">
        <w:rPr>
          <w:rFonts w:asciiTheme="minorHAnsi" w:hAnsiTheme="minorHAnsi" w:cstheme="minorHAnsi"/>
          <w:color w:val="000000" w:themeColor="text1"/>
          <w:sz w:val="24"/>
          <w:szCs w:val="24"/>
        </w:rPr>
        <w:t>8</w:t>
      </w:r>
      <w:r w:rsidR="00366565" w:rsidRPr="00375799">
        <w:rPr>
          <w:rFonts w:asciiTheme="minorHAnsi" w:hAnsiTheme="minorHAnsi" w:cstheme="minorHAnsi"/>
          <w:color w:val="000000" w:themeColor="text1"/>
          <w:sz w:val="24"/>
          <w:szCs w:val="24"/>
        </w:rPr>
        <w:t xml:space="preserve"> r. poz. </w:t>
      </w:r>
      <w:r w:rsidR="00FB09B3">
        <w:rPr>
          <w:rFonts w:asciiTheme="minorHAnsi" w:hAnsiTheme="minorHAnsi" w:cstheme="minorHAnsi"/>
          <w:color w:val="000000" w:themeColor="text1"/>
          <w:sz w:val="24"/>
          <w:szCs w:val="24"/>
        </w:rPr>
        <w:t>2016</w:t>
      </w:r>
      <w:r w:rsidR="00366565" w:rsidRPr="00375799">
        <w:rPr>
          <w:rFonts w:asciiTheme="minorHAnsi" w:hAnsiTheme="minorHAnsi" w:cstheme="minorHAnsi"/>
          <w:color w:val="000000" w:themeColor="text1"/>
          <w:sz w:val="24"/>
          <w:szCs w:val="24"/>
        </w:rPr>
        <w:t>)</w:t>
      </w:r>
      <w:bookmarkEnd w:id="113"/>
    </w:p>
    <w:p w14:paraId="5A8C5806" w14:textId="77777777" w:rsidR="008574A6" w:rsidRPr="00375799" w:rsidRDefault="008574A6" w:rsidP="0055107B">
      <w:pPr>
        <w:spacing w:after="0" w:line="276" w:lineRule="auto"/>
        <w:ind w:left="57" w:right="57"/>
        <w:contextualSpacing/>
        <w:jc w:val="both"/>
        <w:rPr>
          <w:rFonts w:cstheme="minorHAnsi"/>
          <w:color w:val="000000" w:themeColor="text1"/>
          <w:sz w:val="24"/>
          <w:szCs w:val="24"/>
        </w:rPr>
      </w:pPr>
    </w:p>
    <w:p w14:paraId="5519BEC3" w14:textId="3E21C99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 nakładania kar pieniężnych na podstawie ustawy</w:t>
      </w:r>
      <w:r w:rsidR="00A020F0">
        <w:rPr>
          <w:rFonts w:cstheme="minorHAnsi"/>
          <w:color w:val="000000" w:themeColor="text1"/>
          <w:sz w:val="24"/>
          <w:szCs w:val="24"/>
        </w:rPr>
        <w:t xml:space="preserve"> </w:t>
      </w:r>
      <w:r w:rsidR="00C013A9">
        <w:rPr>
          <w:rFonts w:cstheme="minorHAnsi"/>
          <w:color w:val="000000" w:themeColor="text1"/>
          <w:sz w:val="24"/>
          <w:szCs w:val="24"/>
        </w:rPr>
        <w:t xml:space="preserve">o </w:t>
      </w:r>
      <w:r w:rsidRPr="00375799">
        <w:rPr>
          <w:rFonts w:cstheme="minorHAnsi"/>
          <w:color w:val="000000" w:themeColor="text1"/>
          <w:sz w:val="24"/>
          <w:szCs w:val="24"/>
        </w:rPr>
        <w:t xml:space="preserve">publicznym transporcie zbiorowym nie stosuje się przepisów kodeksu postępowania administracyjnego. W celu umożliwienia przeprowadzenia kontroli oraz nałożenia stosownej kary należy wprowadzić </w:t>
      </w:r>
      <w:r w:rsidRPr="00375799">
        <w:rPr>
          <w:rFonts w:cstheme="minorHAnsi"/>
          <w:color w:val="000000" w:themeColor="text1"/>
          <w:sz w:val="24"/>
          <w:szCs w:val="24"/>
        </w:rPr>
        <w:lastRenderedPageBreak/>
        <w:t xml:space="preserve">przepis, który zapobiegnie utrudnianiu i blokowaniu postępowania w związku ze stosowaniem prawa do </w:t>
      </w:r>
      <w:r w:rsidR="00A020F0">
        <w:rPr>
          <w:rFonts w:cstheme="minorHAnsi"/>
          <w:color w:val="000000" w:themeColor="text1"/>
          <w:sz w:val="24"/>
          <w:szCs w:val="24"/>
        </w:rPr>
        <w:t xml:space="preserve">żądania </w:t>
      </w:r>
      <w:r w:rsidRPr="00375799">
        <w:rPr>
          <w:rFonts w:cstheme="minorHAnsi"/>
          <w:color w:val="000000" w:themeColor="text1"/>
          <w:sz w:val="24"/>
          <w:szCs w:val="24"/>
        </w:rPr>
        <w:t xml:space="preserve">ograniczenia przetwarzania danych osobowych na podstawie art. 18 ust. 1 </w:t>
      </w:r>
      <w:r w:rsidR="00D44F5B" w:rsidRPr="00375799">
        <w:rPr>
          <w:rFonts w:cstheme="minorHAnsi"/>
          <w:color w:val="000000" w:themeColor="text1"/>
          <w:sz w:val="24"/>
          <w:szCs w:val="24"/>
        </w:rPr>
        <w:t>RODO</w:t>
      </w:r>
      <w:r w:rsidRPr="00375799">
        <w:rPr>
          <w:rFonts w:cstheme="minorHAnsi"/>
          <w:color w:val="000000" w:themeColor="text1"/>
          <w:sz w:val="24"/>
          <w:szCs w:val="24"/>
        </w:rPr>
        <w:t>.</w:t>
      </w:r>
    </w:p>
    <w:p w14:paraId="57B81DD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4D5DF3F5" w14:textId="2C33C6B3"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14" w:name="_Toc530565086"/>
      <w:r w:rsidRPr="00375799">
        <w:rPr>
          <w:rFonts w:asciiTheme="minorHAnsi" w:hAnsiTheme="minorHAnsi" w:cstheme="minorHAnsi"/>
          <w:color w:val="000000" w:themeColor="text1"/>
          <w:sz w:val="24"/>
          <w:szCs w:val="24"/>
        </w:rPr>
        <w:t>Ustawa z dnia 4 lutego 2011 r. o opiec</w:t>
      </w:r>
      <w:r w:rsidR="00A020F0">
        <w:rPr>
          <w:rFonts w:asciiTheme="minorHAnsi" w:hAnsiTheme="minorHAnsi" w:cstheme="minorHAnsi"/>
          <w:color w:val="000000" w:themeColor="text1"/>
          <w:sz w:val="24"/>
          <w:szCs w:val="24"/>
        </w:rPr>
        <w:t xml:space="preserve">e nad dziećmi w wieku do lat 3 </w:t>
      </w:r>
      <w:r w:rsidR="001921C7" w:rsidRPr="00375799">
        <w:rPr>
          <w:rFonts w:asciiTheme="minorHAnsi" w:hAnsiTheme="minorHAnsi" w:cstheme="minorHAnsi"/>
          <w:color w:val="000000" w:themeColor="text1"/>
          <w:sz w:val="24"/>
          <w:szCs w:val="24"/>
        </w:rPr>
        <w:t>(Dz. U. z 2018 r. poz. 603</w:t>
      </w:r>
      <w:r w:rsidR="00FB09B3">
        <w:rPr>
          <w:rFonts w:asciiTheme="minorHAnsi" w:hAnsiTheme="minorHAnsi" w:cstheme="minorHAnsi"/>
          <w:color w:val="000000" w:themeColor="text1"/>
          <w:sz w:val="24"/>
          <w:szCs w:val="24"/>
        </w:rPr>
        <w:t>,</w:t>
      </w:r>
      <w:r w:rsidR="001921C7" w:rsidRPr="00375799">
        <w:rPr>
          <w:rFonts w:asciiTheme="minorHAnsi" w:hAnsiTheme="minorHAnsi" w:cstheme="minorHAnsi"/>
          <w:color w:val="000000" w:themeColor="text1"/>
          <w:sz w:val="24"/>
          <w:szCs w:val="24"/>
        </w:rPr>
        <w:t>650</w:t>
      </w:r>
      <w:r w:rsidR="00FB09B3">
        <w:rPr>
          <w:rFonts w:asciiTheme="minorHAnsi" w:hAnsiTheme="minorHAnsi" w:cstheme="minorHAnsi"/>
          <w:color w:val="000000" w:themeColor="text1"/>
          <w:sz w:val="24"/>
          <w:szCs w:val="24"/>
        </w:rPr>
        <w:t>, 1544 i 1629</w:t>
      </w:r>
      <w:r w:rsidR="001921C7" w:rsidRPr="00375799">
        <w:rPr>
          <w:rFonts w:asciiTheme="minorHAnsi" w:hAnsiTheme="minorHAnsi" w:cstheme="minorHAnsi"/>
          <w:color w:val="000000" w:themeColor="text1"/>
          <w:sz w:val="24"/>
          <w:szCs w:val="24"/>
        </w:rPr>
        <w:t>)</w:t>
      </w:r>
      <w:bookmarkEnd w:id="114"/>
    </w:p>
    <w:p w14:paraId="2864EDF3" w14:textId="77777777" w:rsidR="008574A6" w:rsidRPr="00375799" w:rsidRDefault="008574A6" w:rsidP="0055107B">
      <w:pPr>
        <w:spacing w:after="0" w:line="276" w:lineRule="auto"/>
        <w:ind w:left="57" w:right="57"/>
        <w:contextualSpacing/>
        <w:jc w:val="both"/>
        <w:rPr>
          <w:rFonts w:cstheme="minorHAnsi"/>
          <w:color w:val="000000" w:themeColor="text1"/>
          <w:sz w:val="24"/>
          <w:szCs w:val="24"/>
        </w:rPr>
      </w:pPr>
    </w:p>
    <w:p w14:paraId="430944FD" w14:textId="5E98340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Projektowane zmiany </w:t>
      </w:r>
      <w:r w:rsidR="00E456CD">
        <w:rPr>
          <w:rFonts w:cstheme="minorHAnsi"/>
          <w:color w:val="000000" w:themeColor="text1"/>
          <w:sz w:val="24"/>
          <w:szCs w:val="24"/>
        </w:rPr>
        <w:t xml:space="preserve">w ustawie </w:t>
      </w:r>
      <w:r w:rsidRPr="00375799">
        <w:rPr>
          <w:rFonts w:cstheme="minorHAnsi"/>
          <w:color w:val="000000" w:themeColor="text1"/>
          <w:sz w:val="24"/>
          <w:szCs w:val="24"/>
        </w:rPr>
        <w:t>przewidują zastąpienie uprawnienia przetwarzania danych osobowych przez podmioty prowadzące żłobki, kluby dziecięce lub zatrudniające dziennego opiekuna obowiązkiem ich przetwarzania</w:t>
      </w:r>
      <w:r w:rsidR="00616ECB">
        <w:rPr>
          <w:rFonts w:cstheme="minorHAnsi"/>
          <w:color w:val="000000" w:themeColor="text1"/>
          <w:sz w:val="24"/>
          <w:szCs w:val="24"/>
        </w:rPr>
        <w:t>.</w:t>
      </w:r>
      <w:r w:rsidRPr="00375799">
        <w:rPr>
          <w:rFonts w:cstheme="minorHAnsi"/>
          <w:color w:val="000000" w:themeColor="text1"/>
          <w:sz w:val="24"/>
          <w:szCs w:val="24"/>
        </w:rPr>
        <w:t xml:space="preserve">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Pr="00375799">
        <w:rPr>
          <w:rFonts w:cstheme="minorHAnsi"/>
          <w:color w:val="000000" w:themeColor="text1"/>
          <w:sz w:val="24"/>
          <w:szCs w:val="24"/>
        </w:rPr>
        <w:t>stanowi</w:t>
      </w:r>
      <w:r w:rsidR="00616ECB">
        <w:rPr>
          <w:rFonts w:cstheme="minorHAnsi"/>
          <w:color w:val="000000" w:themeColor="text1"/>
          <w:sz w:val="24"/>
          <w:szCs w:val="24"/>
        </w:rPr>
        <w:t xml:space="preserve"> bowiem</w:t>
      </w:r>
      <w:r w:rsidRPr="00375799">
        <w:rPr>
          <w:rFonts w:cstheme="minorHAnsi"/>
          <w:color w:val="000000" w:themeColor="text1"/>
          <w:sz w:val="24"/>
          <w:szCs w:val="24"/>
        </w:rPr>
        <w:t>, że przetwarzanie danych osobowych jest zgodne z prawem</w:t>
      </w:r>
      <w:r w:rsidR="00E57C9E">
        <w:rPr>
          <w:rFonts w:cstheme="minorHAnsi"/>
          <w:color w:val="000000" w:themeColor="text1"/>
          <w:sz w:val="24"/>
          <w:szCs w:val="24"/>
        </w:rPr>
        <w:t>,</w:t>
      </w:r>
      <w:r w:rsidRPr="00375799">
        <w:rPr>
          <w:rFonts w:cstheme="minorHAnsi"/>
          <w:color w:val="000000" w:themeColor="text1"/>
          <w:sz w:val="24"/>
          <w:szCs w:val="24"/>
        </w:rPr>
        <w:t xml:space="preserve"> jeżeli jest niezbędne do wypełnienia obowiązku prawnego ciążącego na administratorze danych osobowych. Aby podmioty te mogły realizować swoje zadania ustawowe, muszą przetwarzać określone w ustawie dane osobowe.</w:t>
      </w:r>
    </w:p>
    <w:p w14:paraId="55A8833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3CBE9EA3" w14:textId="3DCE0134"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15" w:name="_Toc530565087"/>
      <w:r w:rsidRPr="00375799">
        <w:rPr>
          <w:rFonts w:asciiTheme="minorHAnsi" w:hAnsiTheme="minorHAnsi" w:cstheme="minorHAnsi"/>
          <w:color w:val="000000" w:themeColor="text1"/>
          <w:sz w:val="24"/>
          <w:szCs w:val="24"/>
        </w:rPr>
        <w:t xml:space="preserve">Ustawa z dnia 15 kwietnia 2011 r. o działalności leczniczej </w:t>
      </w:r>
      <w:r w:rsidR="001921C7" w:rsidRPr="00375799">
        <w:rPr>
          <w:rStyle w:val="Ppogrubienie"/>
          <w:rFonts w:asciiTheme="minorHAnsi" w:hAnsiTheme="minorHAnsi" w:cstheme="minorHAnsi"/>
          <w:b w:val="0"/>
          <w:color w:val="000000" w:themeColor="text1"/>
          <w:sz w:val="24"/>
          <w:szCs w:val="24"/>
        </w:rPr>
        <w:t>(</w:t>
      </w:r>
      <w:r w:rsidR="001921C7" w:rsidRPr="00375799">
        <w:rPr>
          <w:rFonts w:asciiTheme="minorHAnsi" w:hAnsiTheme="minorHAnsi" w:cstheme="minorHAnsi"/>
          <w:color w:val="000000" w:themeColor="text1"/>
          <w:sz w:val="24"/>
          <w:szCs w:val="24"/>
        </w:rPr>
        <w:t>Dz. U. z 2018 r. poz. 160, 138, 650, 1128</w:t>
      </w:r>
      <w:r w:rsidR="00D57CF6">
        <w:rPr>
          <w:rFonts w:asciiTheme="minorHAnsi" w:hAnsiTheme="minorHAnsi" w:cstheme="minorHAnsi"/>
          <w:color w:val="000000" w:themeColor="text1"/>
          <w:sz w:val="24"/>
          <w:szCs w:val="24"/>
        </w:rPr>
        <w:t>,</w:t>
      </w:r>
      <w:r w:rsidR="001921C7" w:rsidRPr="00375799">
        <w:rPr>
          <w:rFonts w:asciiTheme="minorHAnsi" w:hAnsiTheme="minorHAnsi" w:cstheme="minorHAnsi"/>
          <w:color w:val="000000" w:themeColor="text1"/>
          <w:sz w:val="24"/>
          <w:szCs w:val="24"/>
        </w:rPr>
        <w:t xml:space="preserve"> 1375</w:t>
      </w:r>
      <w:r w:rsidR="00D57CF6">
        <w:rPr>
          <w:rFonts w:asciiTheme="minorHAnsi" w:hAnsiTheme="minorHAnsi" w:cstheme="minorHAnsi"/>
          <w:color w:val="000000" w:themeColor="text1"/>
          <w:sz w:val="24"/>
          <w:szCs w:val="24"/>
        </w:rPr>
        <w:t>, 1532, 1629, 1669 i 1693</w:t>
      </w:r>
      <w:r w:rsidR="001921C7" w:rsidRPr="00375799">
        <w:rPr>
          <w:rFonts w:asciiTheme="minorHAnsi" w:hAnsiTheme="minorHAnsi" w:cstheme="minorHAnsi"/>
          <w:color w:val="000000" w:themeColor="text1"/>
          <w:sz w:val="24"/>
          <w:szCs w:val="24"/>
        </w:rPr>
        <w:t>)</w:t>
      </w:r>
      <w:bookmarkEnd w:id="115"/>
    </w:p>
    <w:p w14:paraId="77D89BE4" w14:textId="77777777" w:rsidR="008706DD" w:rsidRPr="00375799" w:rsidRDefault="008706DD" w:rsidP="0055107B">
      <w:pPr>
        <w:spacing w:after="0" w:line="276" w:lineRule="auto"/>
        <w:ind w:left="57" w:right="57"/>
        <w:contextualSpacing/>
        <w:jc w:val="both"/>
        <w:rPr>
          <w:rFonts w:eastAsiaTheme="majorEastAsia" w:cstheme="minorHAnsi"/>
          <w:color w:val="000000" w:themeColor="text1"/>
          <w:sz w:val="24"/>
          <w:szCs w:val="24"/>
        </w:rPr>
      </w:pPr>
    </w:p>
    <w:p w14:paraId="4BE1815F" w14:textId="6C24FFE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projekcie zawarto zmiany w ustawie z dnia 15 kwietnia 2011 r. o działalności leczniczej. Proponowane zmiany mają na celu uregulowanie monitoringu wizyjnego w pomieszczeniach podmiotów wykonujących działalność leczniczą. Obecnie coraz więcej ww. podmiotów stosuje obserwację swoich pomieszczeń, najczęściej w celu zapewnienia bezpieczeństwa. Aktualnie nie ma przepisów, które regulowały</w:t>
      </w:r>
      <w:r w:rsidR="0039405D">
        <w:rPr>
          <w:rFonts w:cstheme="minorHAnsi"/>
          <w:color w:val="000000" w:themeColor="text1"/>
          <w:sz w:val="24"/>
          <w:szCs w:val="24"/>
        </w:rPr>
        <w:t>by</w:t>
      </w:r>
      <w:r w:rsidRPr="00375799">
        <w:rPr>
          <w:rFonts w:cstheme="minorHAnsi"/>
          <w:color w:val="000000" w:themeColor="text1"/>
          <w:sz w:val="24"/>
          <w:szCs w:val="24"/>
        </w:rPr>
        <w:t xml:space="preserve"> zagadnienia związane z monitoringiem wizyjnym. Istnieją jedynie cząstkowe regulacje dotyczące monitoringu pacjentów w podmiotach wykonujących działalność leczniczą w kilku aktach prawnych, dotyczących ochrony zdrowia psychicznego oraz rozporządzeniu Ministra Zdrowia z dnia 26 czerwca 2012 r. w sprawie szczegółowych wymagań, jakim powinny odpowiadać pomieszczenia i urządzenia podmiotu wykonującego działalność leczniczą (Dz. U. poz. 739).</w:t>
      </w:r>
    </w:p>
    <w:p w14:paraId="252D09FB" w14:textId="743E2D8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uwagi na powyższe</w:t>
      </w:r>
      <w:r w:rsidR="003A39E5">
        <w:rPr>
          <w:rFonts w:cstheme="minorHAnsi"/>
          <w:color w:val="000000" w:themeColor="text1"/>
          <w:sz w:val="24"/>
          <w:szCs w:val="24"/>
        </w:rPr>
        <w:t>,</w:t>
      </w:r>
      <w:r w:rsidRPr="00375799">
        <w:rPr>
          <w:rFonts w:cstheme="minorHAnsi"/>
          <w:color w:val="000000" w:themeColor="text1"/>
          <w:sz w:val="24"/>
          <w:szCs w:val="24"/>
        </w:rPr>
        <w:t xml:space="preserve"> zaproponowano przepisy, w myśl których dopuszczalny byłby monitoring pomieszczeń ogólnodostępnych – jeżeli jest to niezbędne do zapewnienia bezpieczeństwa pacjentów lub pracowników podmiotu wykonującego działalność leczniczą. Natomiast w pomieszczeniach</w:t>
      </w:r>
      <w:r w:rsidR="00E57C9E">
        <w:rPr>
          <w:rFonts w:cstheme="minorHAnsi"/>
          <w:color w:val="000000" w:themeColor="text1"/>
          <w:sz w:val="24"/>
          <w:szCs w:val="24"/>
        </w:rPr>
        <w:t>,</w:t>
      </w:r>
      <w:r w:rsidRPr="00375799">
        <w:rPr>
          <w:rFonts w:cstheme="minorHAnsi"/>
          <w:color w:val="000000" w:themeColor="text1"/>
          <w:sz w:val="24"/>
          <w:szCs w:val="24"/>
        </w:rPr>
        <w:t xml:space="preserve"> w których są udzielane świadczenia zdrowotne oraz pobytu pacjentów, w szczególności w pokojach łóżkowych, w pomieszczeniach higieniczno-sanitarnych, przebieralniach, szatniach, z wyjątkiem przypadków określonych w ww. regulacjach (przepisy odrębne) monitoring byłby zakazany. Powyższy zakaz wynika z konieczności zagwarantowania prawa pacjenta do poszanowania intymności i godności pacjenta, w szczególności w trakcie udzielanych mu świadczeń zdrowotnych. Powyższe prawa wynikają z Konstytucji RP oraz ustawy z dnia 6 listopada 2008 r. o prawach pacjenta i Rzeczniku Praw Pacjenta. Proponuje się, aby w przypadku stosowania monitoringu kierownik podmiotu wykonującego działalność leczniczą określał w regulaminie organizacyjnym sposób </w:t>
      </w:r>
      <w:r w:rsidRPr="00375799">
        <w:rPr>
          <w:rFonts w:cstheme="minorHAnsi"/>
          <w:color w:val="000000" w:themeColor="text1"/>
          <w:sz w:val="24"/>
          <w:szCs w:val="24"/>
        </w:rPr>
        <w:lastRenderedPageBreak/>
        <w:t>obserwacji pomieszczeń zakładu leczniczego. Nagrania obrazu zawierające dane osobowe pacjentów, pracowników i innych osób, których w wyniku tych nagrań można zidentyfikować, podmiot wykonujący działalność leczniczą przetwarzałby wyłącznie do celów, dla których zostały zebrane i przechowywałby przez okres nie dłuższy niż 3 miesiące od dnia nagrania. Po upływie tego okresu uzyskane w wyniku monitoringu nagrania obrazu zawierające dane osobowe pacjentów, pracowników i innych osób, których w wyniku tych nagrań można zidentyfikować, podlegały</w:t>
      </w:r>
      <w:r w:rsidR="0039405D">
        <w:rPr>
          <w:rFonts w:cstheme="minorHAnsi"/>
          <w:color w:val="000000" w:themeColor="text1"/>
          <w:sz w:val="24"/>
          <w:szCs w:val="24"/>
        </w:rPr>
        <w:t>by</w:t>
      </w:r>
      <w:r w:rsidRPr="00375799">
        <w:rPr>
          <w:rFonts w:cstheme="minorHAnsi"/>
          <w:color w:val="000000" w:themeColor="text1"/>
          <w:sz w:val="24"/>
          <w:szCs w:val="24"/>
        </w:rPr>
        <w:t xml:space="preserve"> zniszczeniu, o ile przepisy odrębne nie stanowią inaczej.</w:t>
      </w:r>
    </w:p>
    <w:p w14:paraId="4BE4AE4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Ponadto proponuje się wprowadzenie obowiązku podawania do wiadomości pacjentów informacji o stosowaniu monitoringu przez wywieszenie jej w widoczny sposób w miejscu udzielania świadczeń oraz na stronie internetowej podmiotu wykonującego działalność leczniczą i w Biuletynie Informacji Publicznej, w przypadku podmiotu obowiązanego do jego prowadzenia.</w:t>
      </w:r>
    </w:p>
    <w:p w14:paraId="1EFFFB85" w14:textId="77777777" w:rsidR="008706DD" w:rsidRPr="00375799" w:rsidRDefault="008706DD" w:rsidP="0055107B">
      <w:pPr>
        <w:pStyle w:val="Nagwek2"/>
        <w:spacing w:before="0" w:line="276" w:lineRule="auto"/>
        <w:ind w:right="57" w:firstLine="0"/>
        <w:contextualSpacing/>
        <w:rPr>
          <w:rFonts w:asciiTheme="minorHAnsi" w:hAnsiTheme="minorHAnsi" w:cstheme="minorHAnsi"/>
          <w:color w:val="000000" w:themeColor="text1"/>
          <w:sz w:val="24"/>
          <w:szCs w:val="24"/>
        </w:rPr>
      </w:pPr>
    </w:p>
    <w:p w14:paraId="5D60E998" w14:textId="123ED2AE"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16" w:name="_Toc530565088"/>
      <w:r w:rsidRPr="00375799">
        <w:rPr>
          <w:rFonts w:asciiTheme="minorHAnsi" w:hAnsiTheme="minorHAnsi" w:cstheme="minorHAnsi"/>
          <w:color w:val="000000" w:themeColor="text1"/>
          <w:sz w:val="24"/>
          <w:szCs w:val="24"/>
        </w:rPr>
        <w:t xml:space="preserve">Ustawa z dnia 28 kwietnia 2011 r. o systemie informacji w ochronie zdrowia </w:t>
      </w:r>
      <w:r w:rsidR="001921C7" w:rsidRPr="00375799">
        <w:rPr>
          <w:rFonts w:asciiTheme="minorHAnsi" w:hAnsiTheme="minorHAnsi" w:cstheme="minorHAnsi"/>
          <w:color w:val="000000" w:themeColor="text1"/>
          <w:sz w:val="24"/>
          <w:szCs w:val="24"/>
        </w:rPr>
        <w:t>(Dz. U. z 2017 r. poz. 1845 oraz z 2018 r. poz. 697</w:t>
      </w:r>
      <w:r w:rsidR="00D57CF6">
        <w:rPr>
          <w:rFonts w:asciiTheme="minorHAnsi" w:hAnsiTheme="minorHAnsi" w:cstheme="minorHAnsi"/>
          <w:color w:val="000000" w:themeColor="text1"/>
          <w:sz w:val="24"/>
          <w:szCs w:val="24"/>
        </w:rPr>
        <w:t>, 1515 i 1544</w:t>
      </w:r>
      <w:r w:rsidR="001921C7" w:rsidRPr="00375799">
        <w:rPr>
          <w:rFonts w:asciiTheme="minorHAnsi" w:hAnsiTheme="minorHAnsi" w:cstheme="minorHAnsi"/>
          <w:color w:val="000000" w:themeColor="text1"/>
          <w:sz w:val="24"/>
          <w:szCs w:val="24"/>
        </w:rPr>
        <w:t>)</w:t>
      </w:r>
      <w:bookmarkEnd w:id="116"/>
    </w:p>
    <w:p w14:paraId="69EE429C"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47E4511" w14:textId="483C378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ustawie z dnia 28 kwietnia 2011 r. o systemie informacji w ochronie zdrowia  w art. 2 pkt 1 w celu ujednolicenia terminologii z RODO zaproponowano nowe brzmienie definicji administratora danych, odsyłającej nie jak dotychczas do art. 7 pkt 4 nieobowiązującej już ustawy z dnia 29 sierpnia 1997 r. o ochronie danych osobowych, ale do definicji zawartej </w:t>
      </w:r>
      <w:r w:rsidR="00E57C9E">
        <w:rPr>
          <w:rFonts w:cstheme="minorHAnsi"/>
          <w:color w:val="000000" w:themeColor="text1"/>
          <w:sz w:val="24"/>
          <w:szCs w:val="24"/>
        </w:rPr>
        <w:t xml:space="preserve">w </w:t>
      </w:r>
      <w:r w:rsidRPr="00375799">
        <w:rPr>
          <w:rFonts w:cstheme="minorHAnsi"/>
          <w:color w:val="000000" w:themeColor="text1"/>
          <w:sz w:val="24"/>
          <w:szCs w:val="24"/>
        </w:rPr>
        <w:t>art. 4 pkt 7 RODO. W art. 19 zaproponowano uchylenie ust. 5 odnoszącego się do obowiązku administratora danych usunięcia z rejestru medycznego wszelkich danych umożliwiających identyfikację osoby, której dane są przetwarzane w rejestrze, w przypadku wniesienia przez t</w:t>
      </w:r>
      <w:r w:rsidR="00E57C9E">
        <w:rPr>
          <w:rFonts w:cstheme="minorHAnsi"/>
          <w:color w:val="000000" w:themeColor="text1"/>
          <w:sz w:val="24"/>
          <w:szCs w:val="24"/>
        </w:rPr>
        <w:t>ę</w:t>
      </w:r>
      <w:r w:rsidRPr="00375799">
        <w:rPr>
          <w:rFonts w:cstheme="minorHAnsi"/>
          <w:color w:val="000000" w:themeColor="text1"/>
          <w:sz w:val="24"/>
          <w:szCs w:val="24"/>
        </w:rPr>
        <w:t xml:space="preserve"> osobę sprzeciwu wobec przetwarzania jej danych osobowych, gdyż pełna regulacja w tym zakresie znajduje się w art. 21 RODO. W zaproponowanej zmianie w art. 19 ust. 7 ujednolicono terminologię z RODO przez zastąpienie pojęcia „cele naukowo-badawcze” na „w celu prowadzenia badań naukowych”. Zaproponowano w art. 19 ust. 9 usunięcie z ustawy obowiązku informacyjnego nałożonego na podmiot prowadzący rejestr medyczny w stosunku do osób</w:t>
      </w:r>
      <w:r w:rsidR="00E57C9E">
        <w:rPr>
          <w:rFonts w:cstheme="minorHAnsi"/>
          <w:color w:val="000000" w:themeColor="text1"/>
          <w:sz w:val="24"/>
          <w:szCs w:val="24"/>
        </w:rPr>
        <w:t>,</w:t>
      </w:r>
      <w:r w:rsidRPr="00375799">
        <w:rPr>
          <w:rFonts w:cstheme="minorHAnsi"/>
          <w:color w:val="000000" w:themeColor="text1"/>
          <w:sz w:val="24"/>
          <w:szCs w:val="24"/>
        </w:rPr>
        <w:t xml:space="preserve"> których dane dotyczą</w:t>
      </w:r>
      <w:r w:rsidR="003A39E5">
        <w:rPr>
          <w:rFonts w:cstheme="minorHAnsi"/>
          <w:color w:val="000000" w:themeColor="text1"/>
          <w:sz w:val="24"/>
          <w:szCs w:val="24"/>
        </w:rPr>
        <w:t>,</w:t>
      </w:r>
      <w:r w:rsidRPr="00375799">
        <w:rPr>
          <w:rFonts w:cstheme="minorHAnsi"/>
          <w:color w:val="000000" w:themeColor="text1"/>
          <w:sz w:val="24"/>
          <w:szCs w:val="24"/>
        </w:rPr>
        <w:t xml:space="preserve"> i są przetwarzane w rejestrze. W myśl bowiem art. 14 ust. 5 lit. b RODO obowiązek informacyjny administratora danych osobowych nie ma zastosowania, jeżeli udzielenie takich informacji okazuje się niemożliwe lub wymagałoby niewspółmiernie dużego wysiłku, w szczególności w przypadku przetwarzania do celów archiwalnych w interesie publicznym, do celów badań naukowych lub historycznych lub do celów statystycznych, z zastrzeżeniem warunków i zabezpieczeń, o których mowa w art. 89 ust. 1, lub o ile ten obowiązek może uniemożliwić lub poważnie utrudnić realizację celów takiego przetwarzania. Z dostępnych Ministerstwu Zdrowia informacji wynika, że podmioty prowadzące rejestry medyczne, tj. podmioty lecznicze, w których niejednokrotnie znajduje się dziesiątki tysięcy i więcej danych osobowych, nie mają fizycznej możliwości poinformowania osób, których dane są przetwarzane w rejestrze, o przetwarzaniu w tych rejestrach danych dotyczących pacjentów. Niejednokrotnie nie dysponują bowiem aktualnymi danymi </w:t>
      </w:r>
      <w:r w:rsidRPr="00375799">
        <w:rPr>
          <w:rFonts w:cstheme="minorHAnsi"/>
          <w:color w:val="000000" w:themeColor="text1"/>
          <w:sz w:val="24"/>
          <w:szCs w:val="24"/>
        </w:rPr>
        <w:lastRenderedPageBreak/>
        <w:t>adresowymi pacjentów, a koszty tej operacji, przy bazach danych zawierających nawet kilkaset tysięcy pacjentów byłyby nieproporcjonalne w stosunku do przewidywanych korzyści. Zasadnym jest zatem zrezygnowanie z tego obowiązku, przez usunięcie całego ust. 9, w szczególności, że przedmiotowa problematyka została kompleksowo uregulowana w RODO. Większość podmiotów prowadzących rejestry medyczne będzie mogła skorzystać ze zwolnienia z obowiązku informacyjnego na podstawie art. 14 ust. 5 lit. b lub c RODO.</w:t>
      </w:r>
    </w:p>
    <w:p w14:paraId="2B2C9AA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art. 9a ust. 2 i w art. 19 w ust. 15 zaproponowano uchylenie zdania drugiego odnoszącego się do poziomu zabezpieczenia danych osobowych, o którym mowa w art. 39a nieobowiązującej już ustawy z dnia 29 sierpnia 1997 r. o ochronie danych osobowych. Problematyka zabezpieczenia danych osobowych została uregulowana w art. 32 RODO.</w:t>
      </w:r>
    </w:p>
    <w:p w14:paraId="6936E8A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A87B6D6" w14:textId="492C4170" w:rsidR="008706DD" w:rsidRPr="00375799" w:rsidRDefault="0006137F"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17" w:name="_Toc530565089"/>
      <w:r>
        <w:rPr>
          <w:rFonts w:asciiTheme="minorHAnsi" w:hAnsiTheme="minorHAnsi" w:cstheme="minorHAnsi"/>
          <w:color w:val="000000" w:themeColor="text1"/>
          <w:sz w:val="24"/>
          <w:szCs w:val="24"/>
        </w:rPr>
        <w:t>Ustawa z dnia 12</w:t>
      </w:r>
      <w:r w:rsidR="008706DD" w:rsidRPr="00375799">
        <w:rPr>
          <w:rFonts w:asciiTheme="minorHAnsi" w:hAnsiTheme="minorHAnsi" w:cstheme="minorHAnsi"/>
          <w:color w:val="000000" w:themeColor="text1"/>
          <w:sz w:val="24"/>
          <w:szCs w:val="24"/>
        </w:rPr>
        <w:t xml:space="preserve"> maja 2011 r. o Krajowej Radzie Sądownictwa</w:t>
      </w:r>
      <w:r w:rsidR="001921C7" w:rsidRPr="00375799">
        <w:rPr>
          <w:rFonts w:asciiTheme="minorHAnsi" w:hAnsiTheme="minorHAnsi" w:cstheme="minorHAnsi"/>
          <w:color w:val="000000" w:themeColor="text1"/>
          <w:sz w:val="24"/>
          <w:szCs w:val="24"/>
        </w:rPr>
        <w:t xml:space="preserve"> (Dz. U. z 2018 r. poz. 389, 848</w:t>
      </w:r>
      <w:r w:rsidR="00D57CF6">
        <w:rPr>
          <w:rFonts w:asciiTheme="minorHAnsi" w:hAnsiTheme="minorHAnsi" w:cstheme="minorHAnsi"/>
          <w:color w:val="000000" w:themeColor="text1"/>
          <w:sz w:val="24"/>
          <w:szCs w:val="24"/>
        </w:rPr>
        <w:t>,</w:t>
      </w:r>
      <w:r w:rsidR="001921C7" w:rsidRPr="00375799">
        <w:rPr>
          <w:rFonts w:asciiTheme="minorHAnsi" w:hAnsiTheme="minorHAnsi" w:cstheme="minorHAnsi"/>
          <w:color w:val="000000" w:themeColor="text1"/>
          <w:sz w:val="24"/>
          <w:szCs w:val="24"/>
        </w:rPr>
        <w:t xml:space="preserve"> 1045</w:t>
      </w:r>
      <w:r w:rsidR="00D57CF6">
        <w:rPr>
          <w:rFonts w:asciiTheme="minorHAnsi" w:hAnsiTheme="minorHAnsi" w:cstheme="minorHAnsi"/>
          <w:color w:val="000000" w:themeColor="text1"/>
          <w:sz w:val="24"/>
          <w:szCs w:val="24"/>
        </w:rPr>
        <w:t xml:space="preserve"> i 1443</w:t>
      </w:r>
      <w:r w:rsidR="001921C7" w:rsidRPr="00375799">
        <w:rPr>
          <w:rFonts w:asciiTheme="minorHAnsi" w:hAnsiTheme="minorHAnsi" w:cstheme="minorHAnsi"/>
          <w:color w:val="000000" w:themeColor="text1"/>
          <w:sz w:val="24"/>
          <w:szCs w:val="24"/>
        </w:rPr>
        <w:t>)</w:t>
      </w:r>
      <w:bookmarkEnd w:id="117"/>
    </w:p>
    <w:p w14:paraId="47245FA4" w14:textId="5D8A9485" w:rsidR="00D44F5B" w:rsidRPr="00375799" w:rsidRDefault="008706DD" w:rsidP="0055107B">
      <w:pPr>
        <w:spacing w:line="276" w:lineRule="auto"/>
        <w:contextualSpacing/>
        <w:jc w:val="both"/>
        <w:rPr>
          <w:rFonts w:eastAsiaTheme="majorEastAsia" w:cstheme="minorHAnsi"/>
          <w:color w:val="000000" w:themeColor="text1"/>
          <w:sz w:val="24"/>
          <w:szCs w:val="24"/>
        </w:rPr>
      </w:pPr>
      <w:r w:rsidRPr="00375799">
        <w:rPr>
          <w:rFonts w:cstheme="minorHAnsi"/>
          <w:color w:val="000000" w:themeColor="text1"/>
          <w:sz w:val="24"/>
          <w:szCs w:val="24"/>
        </w:rPr>
        <w:t xml:space="preserve">Uzasadnienie wspólne do zmian projektowanych w następujących ustawach: </w:t>
      </w:r>
      <w:r w:rsidR="00E57C9E">
        <w:rPr>
          <w:rFonts w:cstheme="minorHAnsi"/>
          <w:color w:val="000000" w:themeColor="text1"/>
          <w:sz w:val="24"/>
          <w:szCs w:val="24"/>
        </w:rPr>
        <w:t>u</w:t>
      </w:r>
      <w:r w:rsidRPr="00375799">
        <w:rPr>
          <w:rFonts w:cstheme="minorHAnsi"/>
          <w:color w:val="000000" w:themeColor="text1"/>
          <w:sz w:val="24"/>
          <w:szCs w:val="24"/>
        </w:rPr>
        <w:t>stawa z dnia 27 lipca 2001 r. – Prawo o ustroju s</w:t>
      </w:r>
      <w:r w:rsidR="00E57C9E">
        <w:rPr>
          <w:rFonts w:cstheme="minorHAnsi"/>
          <w:color w:val="000000" w:themeColor="text1"/>
          <w:sz w:val="24"/>
          <w:szCs w:val="24"/>
        </w:rPr>
        <w:t>ą</w:t>
      </w:r>
      <w:r w:rsidRPr="00375799">
        <w:rPr>
          <w:rFonts w:cstheme="minorHAnsi"/>
          <w:color w:val="000000" w:themeColor="text1"/>
          <w:sz w:val="24"/>
          <w:szCs w:val="24"/>
        </w:rPr>
        <w:t>dów powszechnych, ustawa z dnia 21 sierpnia 1997 r. – Prawo o ustroju sądów wojskowych, ustawa z dnia 25 lipca 2002 r. – Prawo o ustroju sądów administracyjnych, ustawa z dnia 8 grudnia 2017 r. o Sądzie Najwyższym, ustawa z dnia 23 stycznia 2009 r. o Krajowej Szkole Sądownictwa i Prokuratury, ustawa z dnia 1</w:t>
      </w:r>
      <w:r w:rsidR="003A39E5">
        <w:rPr>
          <w:rFonts w:cstheme="minorHAnsi"/>
          <w:color w:val="000000" w:themeColor="text1"/>
          <w:sz w:val="24"/>
          <w:szCs w:val="24"/>
        </w:rPr>
        <w:t>2</w:t>
      </w:r>
      <w:r w:rsidRPr="00375799">
        <w:rPr>
          <w:rFonts w:cstheme="minorHAnsi"/>
          <w:color w:val="000000" w:themeColor="text1"/>
          <w:sz w:val="24"/>
          <w:szCs w:val="24"/>
        </w:rPr>
        <w:t xml:space="preserve"> maja 2011 r. o Krajowej Radzie Sądownictwa, ustawa z dnia 30 listopada 2016 r. o organizacji i trybie postępowania przed Trybunałem Konstytucyjnym, ustawa z dnia 26 marca 1982 r. o Trybunale Stanu</w:t>
      </w:r>
      <w:r w:rsidR="003A39E5">
        <w:rPr>
          <w:rFonts w:eastAsiaTheme="majorEastAsia" w:cstheme="minorHAnsi"/>
          <w:color w:val="000000" w:themeColor="text1"/>
          <w:sz w:val="24"/>
          <w:szCs w:val="24"/>
        </w:rPr>
        <w:t>.</w:t>
      </w:r>
    </w:p>
    <w:p w14:paraId="437E3916" w14:textId="1E8F6CBD"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C60D8E2"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0A6D326B" w14:textId="42ED0D1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18" w:name="_Toc530565090"/>
      <w:r w:rsidRPr="00375799">
        <w:rPr>
          <w:rFonts w:asciiTheme="minorHAnsi" w:hAnsiTheme="minorHAnsi" w:cstheme="minorHAnsi"/>
          <w:color w:val="000000" w:themeColor="text1"/>
          <w:sz w:val="24"/>
          <w:szCs w:val="24"/>
        </w:rPr>
        <w:t xml:space="preserve">Ustawa z dnia 9 czerwca 2011 r. o wspieraniu rodziny i systemie pieczy zastępczej </w:t>
      </w:r>
      <w:r w:rsidR="001921C7" w:rsidRPr="00375799">
        <w:rPr>
          <w:rFonts w:asciiTheme="minorHAnsi" w:hAnsiTheme="minorHAnsi" w:cstheme="minorHAnsi"/>
          <w:color w:val="000000" w:themeColor="text1"/>
          <w:sz w:val="24"/>
          <w:szCs w:val="24"/>
        </w:rPr>
        <w:t>(Dz. U. z 2018 r. poz. 998</w:t>
      </w:r>
      <w:r w:rsidR="00D57CF6">
        <w:rPr>
          <w:rFonts w:asciiTheme="minorHAnsi" w:hAnsiTheme="minorHAnsi" w:cstheme="minorHAnsi"/>
          <w:color w:val="000000" w:themeColor="text1"/>
          <w:sz w:val="24"/>
          <w:szCs w:val="24"/>
        </w:rPr>
        <w:t>,</w:t>
      </w:r>
      <w:r w:rsidR="001921C7" w:rsidRPr="00375799">
        <w:rPr>
          <w:rFonts w:asciiTheme="minorHAnsi" w:hAnsiTheme="minorHAnsi" w:cstheme="minorHAnsi"/>
          <w:color w:val="000000" w:themeColor="text1"/>
          <w:sz w:val="24"/>
          <w:szCs w:val="24"/>
        </w:rPr>
        <w:t xml:space="preserve"> 1076</w:t>
      </w:r>
      <w:r w:rsidR="00D57CF6">
        <w:rPr>
          <w:rFonts w:asciiTheme="minorHAnsi" w:hAnsiTheme="minorHAnsi" w:cstheme="minorHAnsi"/>
          <w:color w:val="000000" w:themeColor="text1"/>
          <w:sz w:val="24"/>
          <w:szCs w:val="24"/>
        </w:rPr>
        <w:t xml:space="preserve"> i 1544</w:t>
      </w:r>
      <w:r w:rsidR="001921C7" w:rsidRPr="00375799">
        <w:rPr>
          <w:rFonts w:asciiTheme="minorHAnsi" w:hAnsiTheme="minorHAnsi" w:cstheme="minorHAnsi"/>
          <w:color w:val="000000" w:themeColor="text1"/>
          <w:sz w:val="24"/>
          <w:szCs w:val="24"/>
        </w:rPr>
        <w:t>)</w:t>
      </w:r>
      <w:bookmarkEnd w:id="118"/>
    </w:p>
    <w:p w14:paraId="1A33DDF5" w14:textId="1B1C80D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Ustawa z dnia 9 czerwca 2011 r. o wspieraniu rodziny i systemie pieczy zastępczej zawiera w zakresie przetwarzania danych osobowych przepisy dotyczące przetwarzania danych osobowych:</w:t>
      </w:r>
    </w:p>
    <w:p w14:paraId="52D6C47D"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 osób objętych wspieraniem rodziny (dotyczy to rodzin przeżywających trudności w wypełnianiu funkcji opiekuńczo-wychowawczych);</w:t>
      </w:r>
    </w:p>
    <w:p w14:paraId="143CCA00" w14:textId="2F870B7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 osób tworzących rodzinną pieczę zastępczą i dzieci umieszczonych w pieczy zastępczej (dzieci te następnie stają się wychowankami pieczy zastępczej osobami usamodzielnianymi);</w:t>
      </w:r>
    </w:p>
    <w:p w14:paraId="7B1E2CA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 osób, które chcą adoptować dziecko i dzieci kwalifikowanych do adopcji.</w:t>
      </w:r>
    </w:p>
    <w:p w14:paraId="4FA2F308" w14:textId="23DB542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Projektowane zmiany tej ustawy wprowadzają regulacje służące odpowiedniemu zabezpieczeniu wyżej wskazanych danych osobowych (do celów realizacji ustawy przetwarzane są tzw. wrażliwe dane osobowe).</w:t>
      </w:r>
    </w:p>
    <w:p w14:paraId="39524BF4" w14:textId="6C80A8F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Dodatkowo projekt przewiduje zastąpienie uprawnienia przetwarzania danych osobowych przez podmioty i osoby realizujące zadania w zakresie wspierania rodziny i systemu pieczy zastępczej obowiązkiem ich przetwarzania</w:t>
      </w:r>
      <w:r w:rsidR="003A39E5">
        <w:rPr>
          <w:rFonts w:cstheme="minorHAnsi"/>
          <w:color w:val="000000" w:themeColor="text1"/>
          <w:sz w:val="24"/>
          <w:szCs w:val="24"/>
        </w:rPr>
        <w:t xml:space="preserve">. </w:t>
      </w:r>
      <w:r w:rsidR="00D44F5B" w:rsidRPr="00375799">
        <w:rPr>
          <w:rFonts w:cstheme="minorHAnsi"/>
          <w:color w:val="000000" w:themeColor="text1"/>
          <w:sz w:val="24"/>
          <w:szCs w:val="24"/>
        </w:rPr>
        <w:t>RODO</w:t>
      </w:r>
      <w:r w:rsidRPr="00375799">
        <w:rPr>
          <w:rFonts w:cstheme="minorHAnsi"/>
          <w:color w:val="000000" w:themeColor="text1"/>
          <w:sz w:val="24"/>
          <w:szCs w:val="24"/>
        </w:rPr>
        <w:t xml:space="preserve"> stanowi</w:t>
      </w:r>
      <w:r w:rsidR="003A39E5">
        <w:rPr>
          <w:rFonts w:cstheme="minorHAnsi"/>
          <w:color w:val="000000" w:themeColor="text1"/>
          <w:sz w:val="24"/>
          <w:szCs w:val="24"/>
        </w:rPr>
        <w:t xml:space="preserve"> bowiem</w:t>
      </w:r>
      <w:r w:rsidRPr="00375799">
        <w:rPr>
          <w:rFonts w:cstheme="minorHAnsi"/>
          <w:color w:val="000000" w:themeColor="text1"/>
          <w:sz w:val="24"/>
          <w:szCs w:val="24"/>
        </w:rPr>
        <w:t xml:space="preserve">, że </w:t>
      </w:r>
      <w:r w:rsidRPr="00375799">
        <w:rPr>
          <w:rFonts w:cstheme="minorHAnsi"/>
          <w:color w:val="000000" w:themeColor="text1"/>
          <w:sz w:val="24"/>
          <w:szCs w:val="24"/>
        </w:rPr>
        <w:lastRenderedPageBreak/>
        <w:t>przetwarzanie danych osobowych jest zgodne z prawem</w:t>
      </w:r>
      <w:r w:rsidR="00E57C9E">
        <w:rPr>
          <w:rFonts w:cstheme="minorHAnsi"/>
          <w:color w:val="000000" w:themeColor="text1"/>
          <w:sz w:val="24"/>
          <w:szCs w:val="24"/>
        </w:rPr>
        <w:t>,</w:t>
      </w:r>
      <w:r w:rsidRPr="00375799">
        <w:rPr>
          <w:rFonts w:cstheme="minorHAnsi"/>
          <w:color w:val="000000" w:themeColor="text1"/>
          <w:sz w:val="24"/>
          <w:szCs w:val="24"/>
        </w:rPr>
        <w:t xml:space="preserve"> jeżeli jest niezbędne do wypełnienia obowiązku prawnego ciążącego na administratorze danych osobowych. Aby podmioty te mogły realizować swoje zadania ustawowe, muszą przetwarzać określone w ustawie dane osobowe. </w:t>
      </w:r>
    </w:p>
    <w:p w14:paraId="423492EE" w14:textId="77777777" w:rsidR="00C12768" w:rsidRPr="00375799" w:rsidRDefault="00C12768" w:rsidP="0055107B">
      <w:pPr>
        <w:spacing w:after="0" w:line="276" w:lineRule="auto"/>
        <w:ind w:left="57" w:right="57"/>
        <w:contextualSpacing/>
        <w:jc w:val="both"/>
        <w:rPr>
          <w:rFonts w:cstheme="minorHAnsi"/>
          <w:color w:val="000000" w:themeColor="text1"/>
          <w:sz w:val="24"/>
          <w:szCs w:val="24"/>
        </w:rPr>
      </w:pPr>
    </w:p>
    <w:p w14:paraId="2538A583" w14:textId="0CFFBAD6"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19" w:name="_Toc530565091"/>
      <w:r w:rsidRPr="00375799">
        <w:rPr>
          <w:rFonts w:asciiTheme="minorHAnsi" w:hAnsiTheme="minorHAnsi" w:cstheme="minorHAnsi"/>
          <w:color w:val="000000" w:themeColor="text1"/>
          <w:sz w:val="24"/>
          <w:szCs w:val="24"/>
        </w:rPr>
        <w:t xml:space="preserve">Ustawa z dnia 15 lipca 2011 r. o kontroli w administracji rządowej </w:t>
      </w:r>
      <w:r w:rsidR="001921C7" w:rsidRPr="00375799">
        <w:rPr>
          <w:rFonts w:asciiTheme="minorHAnsi" w:hAnsiTheme="minorHAnsi" w:cstheme="minorHAnsi"/>
          <w:color w:val="000000" w:themeColor="text1"/>
          <w:sz w:val="24"/>
          <w:szCs w:val="24"/>
        </w:rPr>
        <w:t>(Dz. U. poz. 1092)</w:t>
      </w:r>
      <w:bookmarkEnd w:id="119"/>
    </w:p>
    <w:p w14:paraId="09324C37" w14:textId="18DB971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Proponowana zmiana uwzględnia nowy środek zabezpieczenia danych przewidziany w </w:t>
      </w:r>
      <w:r w:rsidR="00D44F5B" w:rsidRPr="00375799">
        <w:rPr>
          <w:rFonts w:cstheme="minorHAnsi"/>
          <w:color w:val="000000" w:themeColor="text1"/>
          <w:sz w:val="24"/>
          <w:szCs w:val="24"/>
        </w:rPr>
        <w:t>RODO</w:t>
      </w:r>
      <w:r w:rsidRPr="00375799">
        <w:rPr>
          <w:rFonts w:cstheme="minorHAnsi"/>
          <w:color w:val="000000" w:themeColor="text1"/>
          <w:sz w:val="24"/>
          <w:szCs w:val="24"/>
        </w:rPr>
        <w:t>.</w:t>
      </w:r>
    </w:p>
    <w:p w14:paraId="69A2813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A450842" w14:textId="022F574A" w:rsidR="00F50614"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20" w:name="_Toc530565092"/>
      <w:r w:rsidRPr="00375799">
        <w:rPr>
          <w:rFonts w:asciiTheme="minorHAnsi" w:hAnsiTheme="minorHAnsi" w:cstheme="minorHAnsi"/>
          <w:color w:val="000000" w:themeColor="text1"/>
          <w:sz w:val="24"/>
          <w:szCs w:val="24"/>
        </w:rPr>
        <w:t xml:space="preserve">Ustawa z dnia 18 sierpnia 2011 r. o bezpieczeństwie osób przebywających na </w:t>
      </w:r>
      <w:r w:rsidR="00F50614" w:rsidRPr="00375799">
        <w:rPr>
          <w:rFonts w:asciiTheme="minorHAnsi" w:hAnsiTheme="minorHAnsi" w:cstheme="minorHAnsi"/>
          <w:color w:val="000000" w:themeColor="text1"/>
          <w:sz w:val="24"/>
          <w:szCs w:val="24"/>
        </w:rPr>
        <w:t>obszarach wodnych</w:t>
      </w:r>
      <w:r w:rsidR="001921C7" w:rsidRPr="00375799">
        <w:rPr>
          <w:rFonts w:asciiTheme="minorHAnsi" w:hAnsiTheme="minorHAnsi" w:cstheme="minorHAnsi"/>
          <w:color w:val="000000" w:themeColor="text1"/>
          <w:sz w:val="24"/>
          <w:szCs w:val="24"/>
        </w:rPr>
        <w:t xml:space="preserve"> (Dz. U. z 201</w:t>
      </w:r>
      <w:r w:rsidR="00D57CF6">
        <w:rPr>
          <w:rFonts w:asciiTheme="minorHAnsi" w:hAnsiTheme="minorHAnsi" w:cstheme="minorHAnsi"/>
          <w:color w:val="000000" w:themeColor="text1"/>
          <w:sz w:val="24"/>
          <w:szCs w:val="24"/>
        </w:rPr>
        <w:t>8</w:t>
      </w:r>
      <w:r w:rsidR="001921C7" w:rsidRPr="00375799">
        <w:rPr>
          <w:rFonts w:asciiTheme="minorHAnsi" w:hAnsiTheme="minorHAnsi" w:cstheme="minorHAnsi"/>
          <w:color w:val="000000" w:themeColor="text1"/>
          <w:sz w:val="24"/>
          <w:szCs w:val="24"/>
        </w:rPr>
        <w:t xml:space="preserve"> r. poz. </w:t>
      </w:r>
      <w:r w:rsidR="00D57CF6">
        <w:rPr>
          <w:rFonts w:asciiTheme="minorHAnsi" w:hAnsiTheme="minorHAnsi" w:cstheme="minorHAnsi"/>
          <w:color w:val="000000" w:themeColor="text1"/>
          <w:sz w:val="24"/>
          <w:szCs w:val="24"/>
        </w:rPr>
        <w:t>1482</w:t>
      </w:r>
      <w:r w:rsidR="001921C7" w:rsidRPr="00375799">
        <w:rPr>
          <w:rFonts w:asciiTheme="minorHAnsi" w:hAnsiTheme="minorHAnsi" w:cstheme="minorHAnsi"/>
          <w:color w:val="000000" w:themeColor="text1"/>
          <w:sz w:val="24"/>
          <w:szCs w:val="24"/>
        </w:rPr>
        <w:t>)</w:t>
      </w:r>
      <w:bookmarkEnd w:id="120"/>
    </w:p>
    <w:p w14:paraId="655A928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EB555D5" w14:textId="6D34768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Projektowana zmiana przepisów ustawy z dnia 18 sierpnia 2011 r. o bezpieczeństwie osób przebywających na obszarach wodnych związana jest z wejściem w życie w dniu 25 maja 2018 r. </w:t>
      </w:r>
      <w:r w:rsidR="00D44F5B" w:rsidRPr="00375799">
        <w:rPr>
          <w:rFonts w:cstheme="minorHAnsi"/>
          <w:color w:val="000000" w:themeColor="text1"/>
          <w:sz w:val="24"/>
          <w:szCs w:val="24"/>
        </w:rPr>
        <w:t>RODO</w:t>
      </w:r>
      <w:r w:rsidRPr="00375799">
        <w:rPr>
          <w:rFonts w:cstheme="minorHAnsi"/>
          <w:color w:val="000000" w:themeColor="text1"/>
          <w:sz w:val="24"/>
          <w:szCs w:val="24"/>
        </w:rPr>
        <w:t>.</w:t>
      </w:r>
    </w:p>
    <w:p w14:paraId="6DAABD12" w14:textId="3FBB15C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Przetwarzanie danych osobowych w ramach realizowanych przez ministra właściwego do spraw wewnętrznych zadań wynikających z przepisów ww. ustawy następuje w celu wydawania i cofania zgód na wykonywanie ratownictwa wodnego (art. 12 ust. 2 i ust. 5 ustawy) oraz sprawowania nadzoru nad ratownictwem wodnym (art. 23 i następne ustawy), będących zadaniami realizowanymi w interesie publicznym i w ramach sprawowania władzy publicznej. </w:t>
      </w:r>
    </w:p>
    <w:p w14:paraId="4A243C92"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Projektowana zmiana doprecyzowuje zakres danych osobowych przetwarzanych przez ministra właściwego do spraw wewnętrznych w celu realizacji ww. zadań ustawowych, w tym daje podstawę do przetwarzania danych wrażliwych dotyczących stanu zdrowia, zgromadzonych w rejestrze działań ratowniczych przy realizacji zadań związanych z nadzorem nad ratownictwem wodnym. </w:t>
      </w:r>
    </w:p>
    <w:p w14:paraId="6B348F91" w14:textId="5B021B2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Proponowane zmiany określają również - stosownie do wymogów art. 9 ust. 3 lit. g </w:t>
      </w:r>
      <w:r w:rsidR="00D44F5B" w:rsidRPr="00375799">
        <w:rPr>
          <w:rFonts w:cstheme="minorHAnsi"/>
          <w:color w:val="000000" w:themeColor="text1"/>
          <w:sz w:val="24"/>
          <w:szCs w:val="24"/>
        </w:rPr>
        <w:t>RODO</w:t>
      </w:r>
      <w:r w:rsidRPr="00375799">
        <w:rPr>
          <w:rFonts w:cstheme="minorHAnsi"/>
          <w:color w:val="000000" w:themeColor="text1"/>
          <w:sz w:val="24"/>
          <w:szCs w:val="24"/>
        </w:rPr>
        <w:t xml:space="preserve"> - środki ochrony praw podstawowych i interesów osób, których dane osobowe, w tym dane dotyczące stanu zdrowia przetwarzane są w rejestrze działań ratowniczych.</w:t>
      </w:r>
    </w:p>
    <w:p w14:paraId="5A74A868"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486D8C00" w14:textId="6EF8B455"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21" w:name="_Toc530565093"/>
      <w:r w:rsidRPr="00375799">
        <w:rPr>
          <w:rFonts w:asciiTheme="minorHAnsi" w:hAnsiTheme="minorHAnsi" w:cstheme="minorHAnsi"/>
          <w:color w:val="000000" w:themeColor="text1"/>
          <w:sz w:val="24"/>
          <w:szCs w:val="24"/>
        </w:rPr>
        <w:t>Ustawa z dnia 18 sierpnia 2011 r. o bezpieczeństwie</w:t>
      </w:r>
      <w:r w:rsidR="00F50614" w:rsidRPr="00375799">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i ratownictwie w górach i na zorganizowanych terenach narciarskich</w:t>
      </w:r>
      <w:r w:rsidR="001921C7" w:rsidRPr="00375799">
        <w:rPr>
          <w:rFonts w:asciiTheme="minorHAnsi" w:hAnsiTheme="minorHAnsi" w:cstheme="minorHAnsi"/>
          <w:color w:val="000000" w:themeColor="text1"/>
          <w:sz w:val="24"/>
          <w:szCs w:val="24"/>
        </w:rPr>
        <w:t xml:space="preserve"> (Dz. U. poz. 1241, z 2013 r. poz. 7 oraz z 2018 r. poz. 1115)</w:t>
      </w:r>
      <w:bookmarkEnd w:id="121"/>
      <w:r w:rsidRPr="00375799">
        <w:rPr>
          <w:rFonts w:asciiTheme="minorHAnsi" w:hAnsiTheme="minorHAnsi" w:cstheme="minorHAnsi"/>
          <w:color w:val="000000" w:themeColor="text1"/>
          <w:sz w:val="24"/>
          <w:szCs w:val="24"/>
        </w:rPr>
        <w:t xml:space="preserve"> </w:t>
      </w:r>
    </w:p>
    <w:p w14:paraId="2DA0BD42"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2E700DB" w14:textId="77CF7F7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Przetwarzanie danych osobowych w ramach realizowanych przez ministra właściwego do spraw wewnętrznych zadań wynikających z przepisów ww. ustawy następuje w celu wydawania i cofania zgód na wykonywanie ratownictwa górskiego (art. 5 ust. 2 i ust. 4 ustawy) oraz sprawowania nadzoru nad ratownictwem górskim (art. 38 i następne ustawy), będących zadaniami realizowanymi w interesie publicznym i w ramach sprawowania władzy publicznej</w:t>
      </w:r>
      <w:r w:rsidR="00E57C9E">
        <w:rPr>
          <w:rFonts w:cstheme="minorHAnsi"/>
          <w:color w:val="000000" w:themeColor="text1"/>
          <w:sz w:val="24"/>
          <w:szCs w:val="24"/>
        </w:rPr>
        <w:t>.</w:t>
      </w:r>
    </w:p>
    <w:p w14:paraId="0318C4E1"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Projektowana zmiana doprecyzowuje zakres danych osobowych przetwarzanych przez ministra właściwego do spraw wewnętrznych w celu realizacji ww. zadań ustawowych, w tym daje podstawę do przetwarzania danych wrażliwych dotyczących stanu zdrowia, zgromadzonych w rejestrze działań ratowniczych przy realizacji zadań związanych z nadzorem nad ratownictwem górskim.</w:t>
      </w:r>
    </w:p>
    <w:p w14:paraId="68458DC1" w14:textId="6D89D7E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Proponowane zmiany określają również - stosownie do wymogów art. 9 ust. 3 lit. g </w:t>
      </w:r>
      <w:r w:rsidR="003A39E5">
        <w:rPr>
          <w:rFonts w:cstheme="minorHAnsi"/>
          <w:color w:val="000000" w:themeColor="text1"/>
          <w:sz w:val="24"/>
          <w:szCs w:val="24"/>
        </w:rPr>
        <w:t xml:space="preserve">RODO </w:t>
      </w:r>
      <w:r w:rsidRPr="00375799">
        <w:rPr>
          <w:rFonts w:cstheme="minorHAnsi"/>
          <w:color w:val="000000" w:themeColor="text1"/>
          <w:sz w:val="24"/>
          <w:szCs w:val="24"/>
        </w:rPr>
        <w:t>- środki ochrony praw podstawowych i interesów osób, których dane osobowe, w tym dane dotyczące stanu zdrowia</w:t>
      </w:r>
      <w:r w:rsidR="00E57C9E">
        <w:rPr>
          <w:rFonts w:cstheme="minorHAnsi"/>
          <w:color w:val="000000" w:themeColor="text1"/>
          <w:sz w:val="24"/>
          <w:szCs w:val="24"/>
        </w:rPr>
        <w:t>,</w:t>
      </w:r>
      <w:r w:rsidRPr="00375799">
        <w:rPr>
          <w:rFonts w:cstheme="minorHAnsi"/>
          <w:color w:val="000000" w:themeColor="text1"/>
          <w:sz w:val="24"/>
          <w:szCs w:val="24"/>
        </w:rPr>
        <w:t xml:space="preserve"> przetwarzane są w rejestrze działań ratowniczych.</w:t>
      </w:r>
    </w:p>
    <w:p w14:paraId="4F5C10C9" w14:textId="77777777" w:rsidR="008706DD" w:rsidRPr="00375799" w:rsidRDefault="008706DD" w:rsidP="0055107B">
      <w:pPr>
        <w:spacing w:after="0" w:line="276" w:lineRule="auto"/>
        <w:ind w:right="57" w:firstLine="0"/>
        <w:contextualSpacing/>
        <w:jc w:val="both"/>
        <w:rPr>
          <w:rFonts w:cstheme="minorHAnsi"/>
          <w:color w:val="000000" w:themeColor="text1"/>
          <w:sz w:val="24"/>
          <w:szCs w:val="24"/>
        </w:rPr>
      </w:pPr>
    </w:p>
    <w:p w14:paraId="19FCE08A" w14:textId="5C2BE49F"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22" w:name="_Toc530565094"/>
      <w:r w:rsidRPr="00375799">
        <w:rPr>
          <w:rFonts w:asciiTheme="minorHAnsi" w:hAnsiTheme="minorHAnsi" w:cstheme="minorHAnsi"/>
          <w:color w:val="000000" w:themeColor="text1"/>
          <w:sz w:val="24"/>
          <w:szCs w:val="24"/>
        </w:rPr>
        <w:t>Ustawa z dnia 19 sierpnia 2011 r. o usługach płatniczych</w:t>
      </w:r>
      <w:r w:rsidR="001921C7" w:rsidRPr="00375799">
        <w:rPr>
          <w:rFonts w:asciiTheme="minorHAnsi" w:hAnsiTheme="minorHAnsi" w:cstheme="minorHAnsi"/>
          <w:color w:val="000000" w:themeColor="text1"/>
          <w:sz w:val="24"/>
          <w:szCs w:val="24"/>
        </w:rPr>
        <w:t xml:space="preserve"> (Dz. U. z 2017 r. poz. 2003 oraz z 2018 r. poz. 62, 650, 723, 864, 1000</w:t>
      </w:r>
      <w:r w:rsidR="00D57CF6">
        <w:rPr>
          <w:rFonts w:asciiTheme="minorHAnsi" w:hAnsiTheme="minorHAnsi" w:cstheme="minorHAnsi"/>
          <w:color w:val="000000" w:themeColor="text1"/>
          <w:sz w:val="24"/>
          <w:szCs w:val="24"/>
        </w:rPr>
        <w:t>,</w:t>
      </w:r>
      <w:r w:rsidR="001921C7" w:rsidRPr="00375799">
        <w:rPr>
          <w:rFonts w:asciiTheme="minorHAnsi" w:hAnsiTheme="minorHAnsi" w:cstheme="minorHAnsi"/>
          <w:color w:val="000000" w:themeColor="text1"/>
          <w:sz w:val="24"/>
          <w:szCs w:val="24"/>
        </w:rPr>
        <w:t xml:space="preserve"> 1075</w:t>
      </w:r>
      <w:r w:rsidR="00D57CF6">
        <w:rPr>
          <w:rFonts w:asciiTheme="minorHAnsi" w:hAnsiTheme="minorHAnsi" w:cstheme="minorHAnsi"/>
          <w:color w:val="000000" w:themeColor="text1"/>
          <w:sz w:val="24"/>
          <w:szCs w:val="24"/>
        </w:rPr>
        <w:t xml:space="preserve"> i 1629</w:t>
      </w:r>
      <w:r w:rsidR="001921C7" w:rsidRPr="00375799">
        <w:rPr>
          <w:rFonts w:asciiTheme="minorHAnsi" w:hAnsiTheme="minorHAnsi" w:cstheme="minorHAnsi"/>
          <w:color w:val="000000" w:themeColor="text1"/>
          <w:sz w:val="24"/>
          <w:szCs w:val="24"/>
        </w:rPr>
        <w:t>)</w:t>
      </w:r>
      <w:bookmarkEnd w:id="122"/>
    </w:p>
    <w:p w14:paraId="153EC8BB" w14:textId="77777777" w:rsidR="00F35426" w:rsidRPr="00375799" w:rsidRDefault="00F35426" w:rsidP="0055107B">
      <w:pPr>
        <w:spacing w:after="0" w:line="276" w:lineRule="auto"/>
        <w:ind w:left="57" w:right="57"/>
        <w:contextualSpacing/>
        <w:jc w:val="both"/>
        <w:rPr>
          <w:rFonts w:cstheme="minorHAnsi"/>
          <w:color w:val="000000" w:themeColor="text1"/>
          <w:sz w:val="24"/>
          <w:szCs w:val="24"/>
        </w:rPr>
      </w:pPr>
    </w:p>
    <w:p w14:paraId="66A6D0F5" w14:textId="7579A431" w:rsidR="002711A7" w:rsidRPr="002711A7" w:rsidRDefault="003A39E5" w:rsidP="002711A7">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1. </w:t>
      </w:r>
      <w:r w:rsidR="002711A7" w:rsidRPr="002711A7">
        <w:rPr>
          <w:rFonts w:cstheme="minorHAnsi"/>
          <w:color w:val="000000" w:themeColor="text1"/>
          <w:sz w:val="24"/>
          <w:szCs w:val="24"/>
        </w:rPr>
        <w:t>Zmiana art. 10</w:t>
      </w:r>
      <w:r>
        <w:rPr>
          <w:rFonts w:cstheme="minorHAnsi"/>
          <w:color w:val="000000" w:themeColor="text1"/>
          <w:sz w:val="24"/>
          <w:szCs w:val="24"/>
        </w:rPr>
        <w:t>.</w:t>
      </w:r>
    </w:p>
    <w:p w14:paraId="28AB44E3" w14:textId="37A5A310" w:rsidR="002711A7" w:rsidRPr="002711A7" w:rsidRDefault="002711A7" w:rsidP="002711A7">
      <w:pPr>
        <w:spacing w:after="0" w:line="276" w:lineRule="auto"/>
        <w:ind w:left="57" w:right="57"/>
        <w:contextualSpacing/>
        <w:jc w:val="both"/>
        <w:rPr>
          <w:rFonts w:cstheme="minorHAnsi"/>
          <w:color w:val="000000" w:themeColor="text1"/>
          <w:sz w:val="24"/>
          <w:szCs w:val="24"/>
        </w:rPr>
      </w:pPr>
      <w:r w:rsidRPr="002711A7">
        <w:rPr>
          <w:rFonts w:cstheme="minorHAnsi"/>
          <w:color w:val="000000" w:themeColor="text1"/>
          <w:sz w:val="24"/>
          <w:szCs w:val="24"/>
        </w:rPr>
        <w:t xml:space="preserve">Zmiana ta ma na celu dostosowanie dotychczasowej regulacji zawartej w art. 10 </w:t>
      </w:r>
      <w:r w:rsidR="00647AB0">
        <w:rPr>
          <w:rFonts w:cstheme="minorHAnsi"/>
          <w:color w:val="000000" w:themeColor="text1"/>
          <w:sz w:val="24"/>
          <w:szCs w:val="24"/>
        </w:rPr>
        <w:t>ustawy</w:t>
      </w:r>
      <w:r w:rsidR="003A39E5">
        <w:rPr>
          <w:rFonts w:cstheme="minorHAnsi"/>
          <w:color w:val="000000" w:themeColor="text1"/>
          <w:sz w:val="24"/>
          <w:szCs w:val="24"/>
        </w:rPr>
        <w:t xml:space="preserve"> </w:t>
      </w:r>
      <w:r w:rsidRPr="002711A7">
        <w:rPr>
          <w:rFonts w:cstheme="minorHAnsi"/>
          <w:color w:val="000000" w:themeColor="text1"/>
          <w:sz w:val="24"/>
          <w:szCs w:val="24"/>
        </w:rPr>
        <w:t xml:space="preserve">do przepisów RODO z uwzględnieniem przepisów art. 94 </w:t>
      </w:r>
      <w:r w:rsidR="00E57C9E">
        <w:rPr>
          <w:rFonts w:cstheme="minorHAnsi"/>
          <w:color w:val="000000" w:themeColor="text1"/>
          <w:sz w:val="24"/>
          <w:szCs w:val="24"/>
        </w:rPr>
        <w:t>d</w:t>
      </w:r>
      <w:r w:rsidRPr="002711A7">
        <w:rPr>
          <w:rFonts w:cstheme="minorHAnsi"/>
          <w:color w:val="000000" w:themeColor="text1"/>
          <w:sz w:val="24"/>
          <w:szCs w:val="24"/>
        </w:rPr>
        <w:t>yrektywy Parlamentu Europejskiego i Rady (UE) 2015/2366 z dnia 25 listopada 2015 r. w sprawie usług płatniczych w ramach rynku wewnętrznego, zmieniającą dyrektywy 2002/65/WE, 2009/110/WE, 2013/36/UE i rozporządzenie (UE) nr 1093/2010 oraz uchylającą dyrektywę 2007/64/WE (Dz. Urz. UE L 337 z 23.12.2015, str. 35). Zgodnie z przepisem w art. 94 ust. 2 ww. dyrektywy dodano również, że dostawcy usług płatniczych przetwarzają dane osobowe użytkowników, które są niezbędne do świadczenia przez nich usług płatniczych wyłącznie za zgodą użytkownika usług płatniczych. Forma wyrażenia zgody przez użytkownika powinna być przy tym uzależniona od konkretnego sposobu, w jaki usługa płatnicza jest określona (czy to w umowie ramowej, w którym to przypadku zgoda zostanie udzielona w chwili zawierania umowy, czy w ramach jednej transakcji płatniczej, w przypadku której zgoda jest udzielana przed dostarczeniem usługi płatniczej). Fakt, że dostawca usług płatniczych przetwarza dane osobowe użytkownika usług płatniczych za jego zgodą, nie oznacza więc, że ta zgoda jest wymagana za każdym razem, gdy dostawca usług płatniczych uzyskuje dostęp i / lub przetwarza te dane podczas świadczenia usługi. Pojęcie zgody w art. 10 ust. 2 należy więc interpretować w kontekście celów i zakresu ustawy o usługach płatniczych. Ponadto brzmienie przepisu zostało uzupełnione o kwestię przetwarzania danych przez organizacje płatnicze w ramach prowadzonych przez nie schematów płatniczych, ponieważ schematy te również objęte są regulacją ustawy o usługach płatniczych.</w:t>
      </w:r>
    </w:p>
    <w:p w14:paraId="4D7E71EF" w14:textId="5E755849" w:rsidR="002711A7" w:rsidRPr="002711A7" w:rsidRDefault="003A39E5" w:rsidP="002711A7">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2. </w:t>
      </w:r>
      <w:r w:rsidR="002711A7" w:rsidRPr="002711A7">
        <w:rPr>
          <w:rFonts w:cstheme="minorHAnsi"/>
          <w:color w:val="000000" w:themeColor="text1"/>
          <w:sz w:val="24"/>
          <w:szCs w:val="24"/>
        </w:rPr>
        <w:t>Dodanie art. 10a</w:t>
      </w:r>
      <w:r>
        <w:rPr>
          <w:rFonts w:cstheme="minorHAnsi"/>
          <w:color w:val="000000" w:themeColor="text1"/>
          <w:sz w:val="24"/>
          <w:szCs w:val="24"/>
        </w:rPr>
        <w:t>.</w:t>
      </w:r>
    </w:p>
    <w:p w14:paraId="4FA60F1C" w14:textId="41832D3A" w:rsidR="00F35426" w:rsidRPr="00375799" w:rsidRDefault="002711A7" w:rsidP="0055107B">
      <w:pPr>
        <w:spacing w:after="0" w:line="276" w:lineRule="auto"/>
        <w:ind w:left="57" w:right="57"/>
        <w:contextualSpacing/>
        <w:jc w:val="both"/>
        <w:rPr>
          <w:rFonts w:cstheme="minorHAnsi"/>
          <w:color w:val="000000" w:themeColor="text1"/>
          <w:sz w:val="24"/>
          <w:szCs w:val="24"/>
        </w:rPr>
      </w:pPr>
      <w:r w:rsidRPr="002711A7">
        <w:rPr>
          <w:rFonts w:cstheme="minorHAnsi"/>
          <w:color w:val="000000" w:themeColor="text1"/>
          <w:sz w:val="24"/>
          <w:szCs w:val="24"/>
        </w:rPr>
        <w:t>Projektowany art. 10a</w:t>
      </w:r>
      <w:r w:rsidR="00647AB0">
        <w:rPr>
          <w:rFonts w:cstheme="minorHAnsi"/>
          <w:color w:val="000000" w:themeColor="text1"/>
          <w:sz w:val="24"/>
          <w:szCs w:val="24"/>
        </w:rPr>
        <w:t xml:space="preserve"> ustawy </w:t>
      </w:r>
      <w:r w:rsidRPr="002711A7">
        <w:rPr>
          <w:rFonts w:cstheme="minorHAnsi"/>
          <w:color w:val="000000" w:themeColor="text1"/>
          <w:sz w:val="24"/>
          <w:szCs w:val="24"/>
        </w:rPr>
        <w:t>przewiduje wyłączenie obowiązków przewidzianych w art. 15 RODO względem podmiotów będących administratorami. Wyłączenie to dotyczy prawa dostępu przysługującego osobie, której dane dotyczą, i będzie możliwe w zakresie</w:t>
      </w:r>
      <w:r w:rsidR="00E57C9E">
        <w:rPr>
          <w:rFonts w:cstheme="minorHAnsi"/>
          <w:color w:val="000000" w:themeColor="text1"/>
          <w:sz w:val="24"/>
          <w:szCs w:val="24"/>
        </w:rPr>
        <w:t>,</w:t>
      </w:r>
      <w:r w:rsidRPr="002711A7">
        <w:rPr>
          <w:rFonts w:cstheme="minorHAnsi"/>
          <w:color w:val="000000" w:themeColor="text1"/>
          <w:sz w:val="24"/>
          <w:szCs w:val="24"/>
        </w:rPr>
        <w:t xml:space="preserve"> w jakim będzie to niezbędne dla prawidłowej realizacji zadań dotyczących przeciwdziałania praniu pieniędzy i finansowaniu terroryzmu oraz zapobiegania przestępstwom. Należy podkreślić, że możliwość wskazanego wyłączenia jest uprawniona w świetle art. 23 ust. 1 lit. d i e RODO. </w:t>
      </w:r>
      <w:r w:rsidRPr="002711A7">
        <w:rPr>
          <w:rFonts w:cstheme="minorHAnsi"/>
          <w:color w:val="000000" w:themeColor="text1"/>
          <w:sz w:val="24"/>
          <w:szCs w:val="24"/>
        </w:rPr>
        <w:lastRenderedPageBreak/>
        <w:t xml:space="preserve">Ponadto, mając na uwadze art. 23 ust. 2 </w:t>
      </w:r>
      <w:r w:rsidR="003A39E5">
        <w:rPr>
          <w:rFonts w:cstheme="minorHAnsi"/>
          <w:color w:val="000000" w:themeColor="text1"/>
          <w:sz w:val="24"/>
          <w:szCs w:val="24"/>
        </w:rPr>
        <w:t>RODO</w:t>
      </w:r>
      <w:r w:rsidRPr="002711A7">
        <w:rPr>
          <w:rFonts w:cstheme="minorHAnsi"/>
          <w:color w:val="000000" w:themeColor="text1"/>
          <w:sz w:val="24"/>
          <w:szCs w:val="24"/>
        </w:rPr>
        <w:t>, przetwarzanie danych osobowych, o którym mowa w projektowanym art. 10a, podlegać będzie zabezpieczeniom i ochronie wynikającym z przepisów o tajemnicy zawodowej, o których mowa w art. 11 ustawy z dnia 19 sierpnia 2011 r. o usługach płatniczych.</w:t>
      </w:r>
    </w:p>
    <w:p w14:paraId="49BE9872" w14:textId="77777777" w:rsidR="003A39E5" w:rsidRDefault="003A39E5" w:rsidP="003A39E5">
      <w:pPr>
        <w:pStyle w:val="Nagwek2"/>
        <w:spacing w:before="0" w:line="276" w:lineRule="auto"/>
        <w:ind w:left="57" w:right="57"/>
        <w:contextualSpacing/>
        <w:rPr>
          <w:rFonts w:asciiTheme="minorHAnsi" w:hAnsiTheme="minorHAnsi" w:cstheme="minorHAnsi"/>
          <w:color w:val="000000" w:themeColor="text1"/>
          <w:sz w:val="24"/>
          <w:szCs w:val="24"/>
        </w:rPr>
      </w:pPr>
    </w:p>
    <w:p w14:paraId="4D232A30" w14:textId="4ED8C62C" w:rsidR="003A39E5" w:rsidRDefault="003A39E5" w:rsidP="003A39E5">
      <w:pPr>
        <w:pStyle w:val="Nagwek2"/>
        <w:spacing w:before="0" w:line="276" w:lineRule="auto"/>
        <w:ind w:left="57" w:right="57"/>
        <w:contextualSpacing/>
        <w:rPr>
          <w:rFonts w:asciiTheme="minorHAnsi" w:hAnsiTheme="minorHAnsi" w:cstheme="minorHAnsi"/>
          <w:color w:val="000000" w:themeColor="text1"/>
          <w:sz w:val="24"/>
          <w:szCs w:val="24"/>
        </w:rPr>
      </w:pPr>
      <w:bookmarkStart w:id="123" w:name="_Toc530565095"/>
      <w:r w:rsidRPr="00375799">
        <w:rPr>
          <w:rFonts w:asciiTheme="minorHAnsi" w:hAnsiTheme="minorHAnsi" w:cstheme="minorHAnsi"/>
          <w:color w:val="000000" w:themeColor="text1"/>
          <w:sz w:val="24"/>
          <w:szCs w:val="24"/>
        </w:rPr>
        <w:t>Ustawa z dnia 19 sierpnia 2011 r. o</w:t>
      </w:r>
      <w:r w:rsidR="00647AB0">
        <w:rPr>
          <w:rFonts w:asciiTheme="minorHAnsi" w:hAnsiTheme="minorHAnsi" w:cstheme="minorHAnsi"/>
          <w:color w:val="000000" w:themeColor="text1"/>
          <w:sz w:val="24"/>
          <w:szCs w:val="24"/>
        </w:rPr>
        <w:t xml:space="preserve"> weteranach działań</w:t>
      </w:r>
      <w:r w:rsidRPr="00375799">
        <w:rPr>
          <w:rFonts w:asciiTheme="minorHAnsi" w:hAnsiTheme="minorHAnsi" w:cstheme="minorHAnsi"/>
          <w:color w:val="000000" w:themeColor="text1"/>
          <w:sz w:val="24"/>
          <w:szCs w:val="24"/>
        </w:rPr>
        <w:t xml:space="preserve"> </w:t>
      </w:r>
      <w:r w:rsidR="00EA4B2E">
        <w:rPr>
          <w:rFonts w:asciiTheme="minorHAnsi" w:hAnsiTheme="minorHAnsi" w:cstheme="minorHAnsi"/>
          <w:color w:val="000000" w:themeColor="text1"/>
          <w:sz w:val="24"/>
          <w:szCs w:val="24"/>
        </w:rPr>
        <w:t xml:space="preserve">poza granicami państwa (Dz. U. z 2018 r. poz. </w:t>
      </w:r>
      <w:r w:rsidRPr="00375799">
        <w:rPr>
          <w:rFonts w:asciiTheme="minorHAnsi" w:hAnsiTheme="minorHAnsi" w:cstheme="minorHAnsi"/>
          <w:color w:val="000000" w:themeColor="text1"/>
          <w:sz w:val="24"/>
          <w:szCs w:val="24"/>
        </w:rPr>
        <w:t>9</w:t>
      </w:r>
      <w:r w:rsidR="00CB545D">
        <w:rPr>
          <w:rFonts w:asciiTheme="minorHAnsi" w:hAnsiTheme="minorHAnsi" w:cstheme="minorHAnsi"/>
          <w:color w:val="000000" w:themeColor="text1"/>
          <w:sz w:val="24"/>
          <w:szCs w:val="24"/>
        </w:rPr>
        <w:t xml:space="preserve">37 i </w:t>
      </w:r>
      <w:r w:rsidR="00EA4B2E">
        <w:rPr>
          <w:rFonts w:asciiTheme="minorHAnsi" w:hAnsiTheme="minorHAnsi" w:cstheme="minorHAnsi"/>
          <w:color w:val="000000" w:themeColor="text1"/>
          <w:sz w:val="24"/>
          <w:szCs w:val="24"/>
        </w:rPr>
        <w:t>2018</w:t>
      </w:r>
      <w:r w:rsidRPr="00375799">
        <w:rPr>
          <w:rFonts w:asciiTheme="minorHAnsi" w:hAnsiTheme="minorHAnsi" w:cstheme="minorHAnsi"/>
          <w:color w:val="000000" w:themeColor="text1"/>
          <w:sz w:val="24"/>
          <w:szCs w:val="24"/>
        </w:rPr>
        <w:t>)</w:t>
      </w:r>
      <w:bookmarkEnd w:id="123"/>
    </w:p>
    <w:p w14:paraId="59163ED0" w14:textId="77777777" w:rsidR="003A39E5" w:rsidRPr="00D57CF6" w:rsidRDefault="003A39E5" w:rsidP="003A39E5"/>
    <w:p w14:paraId="4574A76D" w14:textId="77777777" w:rsidR="003A39E5" w:rsidRPr="00375799" w:rsidRDefault="003A39E5" w:rsidP="003A39E5">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 przewidziana w projekcie ustawy polega na dodaniu art. 38a zawierającego dane, które mogą być przetwarzane w celu realizacji uprawnień wynikających z ustawy z dnia 19 sierpnia 2011 r. o weteranach działań poza granicami państwa. Zmiana ta ma na celu ujednolicenie przepisów dotyczących danych przetwarzanych w zakresie uprawnień przysługujących weteranom i weteranom poszkodowanym w Ministerstwie Obrony Narodowej na podstawie przepisów ustawy z dnia o weteranach działań poza granicami państwa. Powyższe dane są obecnie przetwarzane w systemie SI WETERAN na podstawie decyzji Nr 6/MON Ministra Obrony Narodowej z dnia 14 stycznia 2015 r. w sprawie wdrożenia do eksploatacji użytkowej systemu ewidencji weteranów, weteranów poszkodowanych, zmarłych żołnierzy i pracowników wojska oraz poszkodowanych żołnierzy i pracowników wojska „WETERAN” (Dz. Urz. MON poz. 7). W związku z tym istnieje potrzeba uregulowania w omawianej ustawie uprawnień do prowadzenia bazy weteranów i weteranów poszkodowanych w systemie teleinformatycznym. Proponowana zmiana nie spowoduje skutków finansowych.</w:t>
      </w:r>
    </w:p>
    <w:p w14:paraId="2747CFB9" w14:textId="77777777" w:rsidR="003A39E5" w:rsidRPr="00375799" w:rsidRDefault="003A39E5" w:rsidP="003A39E5">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projekcie wskazano, że dane dotyczące daty i miejsca urodzenia, adresu zamieszkania lub adresu do korespondencji oraz numeru telefonu kontaktowego będą gromadzone na podstawie informacji zawartej we wniosku o przyznanie statusu weterana lub weterana poszkodowanego.</w:t>
      </w:r>
    </w:p>
    <w:p w14:paraId="08F8BEDB" w14:textId="5863EA1A" w:rsidR="003A39E5" w:rsidRPr="00375799" w:rsidRDefault="003A39E5" w:rsidP="003A39E5">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Jednocześnie</w:t>
      </w:r>
      <w:r>
        <w:rPr>
          <w:rFonts w:cstheme="minorHAnsi"/>
          <w:color w:val="000000" w:themeColor="text1"/>
          <w:sz w:val="24"/>
          <w:szCs w:val="24"/>
        </w:rPr>
        <w:t>,</w:t>
      </w:r>
      <w:r w:rsidRPr="00375799">
        <w:rPr>
          <w:rFonts w:cstheme="minorHAnsi"/>
          <w:color w:val="000000" w:themeColor="text1"/>
          <w:sz w:val="24"/>
          <w:szCs w:val="24"/>
        </w:rPr>
        <w:t xml:space="preserve"> zgodnie z projektem wszystkie dane określone w art. 38a w ust. 2 </w:t>
      </w:r>
      <w:r w:rsidR="00EA4B2E">
        <w:rPr>
          <w:rFonts w:cstheme="minorHAnsi"/>
          <w:color w:val="000000" w:themeColor="text1"/>
          <w:sz w:val="24"/>
          <w:szCs w:val="24"/>
        </w:rPr>
        <w:t xml:space="preserve">ustawy </w:t>
      </w:r>
      <w:r w:rsidRPr="00375799">
        <w:rPr>
          <w:rFonts w:cstheme="minorHAnsi"/>
          <w:color w:val="000000" w:themeColor="text1"/>
          <w:sz w:val="24"/>
          <w:szCs w:val="24"/>
        </w:rPr>
        <w:t>będą podlegały zabezpieczeniom zapobiegającym nadużyciom lub niezgodnemu z prawem dostępowi lub przekazywaniu, polegającym co najmniej na dopuszczeniu do przetwarzania danych osobowych wyłącznie osób posiadających pisemne upoważnienie nadane przez administratora danych.</w:t>
      </w:r>
    </w:p>
    <w:p w14:paraId="7653E473" w14:textId="77777777" w:rsidR="00D57CF6" w:rsidRDefault="00D57CF6"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0B700A37" w14:textId="7AD7BEB3" w:rsidR="00D57CF6" w:rsidRPr="00375799" w:rsidRDefault="00D57CF6" w:rsidP="00D57CF6">
      <w:pPr>
        <w:pStyle w:val="Nagwek2"/>
        <w:spacing w:before="0" w:line="276" w:lineRule="auto"/>
        <w:ind w:left="57" w:right="57"/>
        <w:contextualSpacing/>
        <w:rPr>
          <w:rFonts w:cstheme="minorHAnsi"/>
          <w:color w:val="000000" w:themeColor="text1"/>
          <w:sz w:val="24"/>
          <w:szCs w:val="24"/>
        </w:rPr>
      </w:pPr>
      <w:bookmarkStart w:id="124" w:name="_Toc530565096"/>
      <w:r w:rsidRPr="00375799">
        <w:rPr>
          <w:rFonts w:asciiTheme="minorHAnsi" w:hAnsiTheme="minorHAnsi" w:cstheme="minorHAnsi"/>
          <w:color w:val="000000" w:themeColor="text1"/>
          <w:sz w:val="24"/>
          <w:szCs w:val="24"/>
        </w:rPr>
        <w:t xml:space="preserve">Ustawa z dnia 19 sierpnia 2011 r. o </w:t>
      </w:r>
      <w:r w:rsidR="00FB2649">
        <w:rPr>
          <w:rFonts w:asciiTheme="minorHAnsi" w:hAnsiTheme="minorHAnsi" w:cstheme="minorHAnsi"/>
          <w:color w:val="000000" w:themeColor="text1"/>
          <w:sz w:val="24"/>
          <w:szCs w:val="24"/>
        </w:rPr>
        <w:t xml:space="preserve">przewozie </w:t>
      </w:r>
      <w:r w:rsidR="00FF7428">
        <w:rPr>
          <w:rFonts w:asciiTheme="minorHAnsi" w:hAnsiTheme="minorHAnsi" w:cstheme="minorHAnsi"/>
          <w:color w:val="000000" w:themeColor="text1"/>
          <w:sz w:val="24"/>
          <w:szCs w:val="24"/>
        </w:rPr>
        <w:t>towarów niebezpiecznych</w:t>
      </w:r>
      <w:r w:rsidR="00FB2649">
        <w:rPr>
          <w:rFonts w:asciiTheme="minorHAnsi" w:hAnsiTheme="minorHAnsi" w:cstheme="minorHAnsi"/>
          <w:color w:val="000000" w:themeColor="text1"/>
          <w:sz w:val="24"/>
          <w:szCs w:val="24"/>
        </w:rPr>
        <w:t xml:space="preserve"> (Dz. U. z 2018 r. poz. 169, 650, 1481 i 1629</w:t>
      </w:r>
      <w:r w:rsidRPr="00375799">
        <w:rPr>
          <w:rFonts w:asciiTheme="minorHAnsi" w:hAnsiTheme="minorHAnsi" w:cstheme="minorHAnsi"/>
          <w:color w:val="000000" w:themeColor="text1"/>
          <w:sz w:val="24"/>
          <w:szCs w:val="24"/>
        </w:rPr>
        <w:t>)</w:t>
      </w:r>
      <w:bookmarkEnd w:id="124"/>
    </w:p>
    <w:p w14:paraId="193EE967" w14:textId="77777777" w:rsidR="001921C7" w:rsidRPr="00375799" w:rsidRDefault="001921C7" w:rsidP="0055107B">
      <w:pPr>
        <w:spacing w:after="0" w:line="276" w:lineRule="auto"/>
        <w:ind w:left="57" w:right="57"/>
        <w:contextualSpacing/>
        <w:jc w:val="both"/>
        <w:rPr>
          <w:rFonts w:cstheme="minorHAnsi"/>
          <w:color w:val="000000" w:themeColor="text1"/>
          <w:sz w:val="24"/>
          <w:szCs w:val="24"/>
        </w:rPr>
      </w:pPr>
    </w:p>
    <w:p w14:paraId="1D8CD5AF" w14:textId="7F160750" w:rsidR="001921C7" w:rsidRPr="00375799" w:rsidRDefault="001921C7"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Organy administracji publicznej i inne podmioty realizujące zadania publiczne na podstawie ustawy z dnia 19 sierpnia 2011 r. o przewozie towarów niebezpiecznych przetwarzają dane osobowe uczestników przewozu towarów niebezpiecznych będących osobami fizycznymi oraz osób wykonujących czynności związane z przewozem towarów niebezpiecznych. Osoby przeprowadzające kontrolę, o których mowa w art. 99 ust. 1 ustawy z </w:t>
      </w:r>
      <w:r w:rsidRPr="00375799">
        <w:rPr>
          <w:rFonts w:cstheme="minorHAnsi"/>
          <w:color w:val="000000" w:themeColor="text1"/>
          <w:sz w:val="24"/>
          <w:szCs w:val="24"/>
        </w:rPr>
        <w:lastRenderedPageBreak/>
        <w:t>dnia 19 sierpnia 2011 r. o przewozie towarów niebezpiecznych, dokonują kontroli na warunkach i w trybie określonych w przepisach określających zakres ich działania. W związku z tym</w:t>
      </w:r>
      <w:r w:rsidR="003A39E5">
        <w:rPr>
          <w:rFonts w:cstheme="minorHAnsi"/>
          <w:color w:val="000000" w:themeColor="text1"/>
          <w:sz w:val="24"/>
          <w:szCs w:val="24"/>
        </w:rPr>
        <w:t>,</w:t>
      </w:r>
      <w:r w:rsidRPr="00375799">
        <w:rPr>
          <w:rFonts w:cstheme="minorHAnsi"/>
          <w:color w:val="000000" w:themeColor="text1"/>
          <w:sz w:val="24"/>
          <w:szCs w:val="24"/>
        </w:rPr>
        <w:t xml:space="preserve"> w celu umożliwienia przeprowadzenia kontroli oraz nałożenia stosownej kary</w:t>
      </w:r>
      <w:r w:rsidR="003A39E5">
        <w:rPr>
          <w:rFonts w:cstheme="minorHAnsi"/>
          <w:color w:val="000000" w:themeColor="text1"/>
          <w:sz w:val="24"/>
          <w:szCs w:val="24"/>
        </w:rPr>
        <w:t>,</w:t>
      </w:r>
      <w:r w:rsidRPr="00375799">
        <w:rPr>
          <w:rFonts w:cstheme="minorHAnsi"/>
          <w:color w:val="000000" w:themeColor="text1"/>
          <w:sz w:val="24"/>
          <w:szCs w:val="24"/>
        </w:rPr>
        <w:t xml:space="preserve"> należy wprowadzić przepis, który zapobiegnie utrudnianiu i blok</w:t>
      </w:r>
      <w:r w:rsidR="003A7EE1">
        <w:rPr>
          <w:rFonts w:cstheme="minorHAnsi"/>
          <w:color w:val="000000" w:themeColor="text1"/>
          <w:sz w:val="24"/>
          <w:szCs w:val="24"/>
        </w:rPr>
        <w:t>owaniu postępowania w związku z żądaniem</w:t>
      </w:r>
      <w:r w:rsidRPr="00375799">
        <w:rPr>
          <w:rFonts w:cstheme="minorHAnsi"/>
          <w:color w:val="000000" w:themeColor="text1"/>
          <w:sz w:val="24"/>
          <w:szCs w:val="24"/>
        </w:rPr>
        <w:t xml:space="preserve"> prawa do ograniczenia przetwarzania danych osobowych na podstawie art. 18 ust. 1 RODO.</w:t>
      </w:r>
    </w:p>
    <w:p w14:paraId="23C4DCDF" w14:textId="77777777" w:rsidR="00E00163" w:rsidRPr="00375799" w:rsidRDefault="00E00163"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29D5CF7B" w14:textId="58210C0F"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25" w:name="_Toc530565097"/>
      <w:r w:rsidRPr="00375799">
        <w:rPr>
          <w:rFonts w:asciiTheme="minorHAnsi" w:hAnsiTheme="minorHAnsi" w:cstheme="minorHAnsi"/>
          <w:color w:val="000000" w:themeColor="text1"/>
          <w:sz w:val="24"/>
          <w:szCs w:val="24"/>
        </w:rPr>
        <w:t>Ustawa z dnia 28 czerwca 2012 r. o spłacie niektórych niezaspokojonych należności przedsiębiorców, wynikających z realizacji udzielonych zamówień publicznych (Dz. U. z 2016 r. poz. 837</w:t>
      </w:r>
      <w:r w:rsidR="001921C7" w:rsidRPr="00375799">
        <w:rPr>
          <w:rFonts w:asciiTheme="minorHAnsi" w:hAnsiTheme="minorHAnsi" w:cstheme="minorHAnsi"/>
          <w:color w:val="000000" w:themeColor="text1"/>
          <w:sz w:val="24"/>
          <w:szCs w:val="24"/>
        </w:rPr>
        <w:t xml:space="preserve"> oraz z 2018 r. poz. 650</w:t>
      </w:r>
      <w:r w:rsidRPr="00375799">
        <w:rPr>
          <w:rFonts w:asciiTheme="minorHAnsi" w:hAnsiTheme="minorHAnsi" w:cstheme="minorHAnsi"/>
          <w:color w:val="000000" w:themeColor="text1"/>
          <w:sz w:val="24"/>
          <w:szCs w:val="24"/>
        </w:rPr>
        <w:t>)</w:t>
      </w:r>
      <w:bookmarkEnd w:id="125"/>
      <w:r w:rsidRPr="00375799">
        <w:rPr>
          <w:rFonts w:asciiTheme="minorHAnsi" w:hAnsiTheme="minorHAnsi" w:cstheme="minorHAnsi"/>
          <w:color w:val="000000" w:themeColor="text1"/>
          <w:sz w:val="24"/>
          <w:szCs w:val="24"/>
        </w:rPr>
        <w:t xml:space="preserve"> </w:t>
      </w:r>
    </w:p>
    <w:p w14:paraId="0A856FEA"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3C230966" w14:textId="03C2E3E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Uregulowania określające zasady stosowania niektórych przepisów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Pr="00375799">
        <w:rPr>
          <w:rFonts w:cstheme="minorHAnsi"/>
          <w:color w:val="000000" w:themeColor="text1"/>
          <w:sz w:val="24"/>
          <w:szCs w:val="24"/>
        </w:rPr>
        <w:t xml:space="preserve">przez Generalnego Dyrektora Dróg Krajowych i Autostrad w związku </w:t>
      </w:r>
      <w:r w:rsidR="00E57C9E">
        <w:rPr>
          <w:rFonts w:cstheme="minorHAnsi"/>
          <w:color w:val="000000" w:themeColor="text1"/>
          <w:sz w:val="24"/>
          <w:szCs w:val="24"/>
        </w:rPr>
        <w:t xml:space="preserve">z </w:t>
      </w:r>
      <w:r w:rsidRPr="00375799">
        <w:rPr>
          <w:rFonts w:cstheme="minorHAnsi"/>
          <w:color w:val="000000" w:themeColor="text1"/>
          <w:sz w:val="24"/>
          <w:szCs w:val="24"/>
        </w:rPr>
        <w:t>wykonywaniem zadań określonych w ustawie o spłacie niektórych niezaspokojonych należności przedsiębiorców, wynikających z realizacji udzielonych zamówień publicznych, wprowadza się w art. 12a dodawanym w tej ustaw</w:t>
      </w:r>
      <w:r w:rsidR="00E57C9E">
        <w:rPr>
          <w:rFonts w:cstheme="minorHAnsi"/>
          <w:color w:val="000000" w:themeColor="text1"/>
          <w:sz w:val="24"/>
          <w:szCs w:val="24"/>
        </w:rPr>
        <w:t>ie</w:t>
      </w:r>
      <w:r w:rsidRPr="00375799">
        <w:rPr>
          <w:rFonts w:cstheme="minorHAnsi"/>
          <w:color w:val="000000" w:themeColor="text1"/>
          <w:sz w:val="24"/>
          <w:szCs w:val="24"/>
        </w:rPr>
        <w:t xml:space="preserve">. </w:t>
      </w:r>
    </w:p>
    <w:p w14:paraId="272C5A09" w14:textId="68510CA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pierwszej kolejności wskazuje się w ust. 1 ww. przepisu, że Generalny Dyrektor</w:t>
      </w:r>
      <w:r w:rsidR="00E57C9E">
        <w:rPr>
          <w:rFonts w:cstheme="minorHAnsi"/>
          <w:color w:val="000000" w:themeColor="text1"/>
          <w:sz w:val="24"/>
          <w:szCs w:val="24"/>
        </w:rPr>
        <w:t>,</w:t>
      </w:r>
      <w:r w:rsidRPr="00375799">
        <w:rPr>
          <w:rFonts w:cstheme="minorHAnsi"/>
          <w:color w:val="000000" w:themeColor="text1"/>
          <w:sz w:val="24"/>
          <w:szCs w:val="24"/>
        </w:rPr>
        <w:t xml:space="preserve"> wykonując zadania określone w ustawie</w:t>
      </w:r>
      <w:r w:rsidR="00E57C9E">
        <w:rPr>
          <w:rFonts w:cstheme="minorHAnsi"/>
          <w:color w:val="000000" w:themeColor="text1"/>
          <w:sz w:val="24"/>
          <w:szCs w:val="24"/>
        </w:rPr>
        <w:t>,</w:t>
      </w:r>
      <w:r w:rsidRPr="00375799">
        <w:rPr>
          <w:rFonts w:cstheme="minorHAnsi"/>
          <w:color w:val="000000" w:themeColor="text1"/>
          <w:sz w:val="24"/>
          <w:szCs w:val="24"/>
        </w:rPr>
        <w:t xml:space="preserve"> realizuje obowiązki, o których mowa w art. 13 ust. 1 i 2 </w:t>
      </w:r>
      <w:r w:rsidR="00D44F5B" w:rsidRPr="00375799">
        <w:rPr>
          <w:rFonts w:cstheme="minorHAnsi"/>
          <w:color w:val="000000" w:themeColor="text1"/>
          <w:sz w:val="24"/>
          <w:szCs w:val="24"/>
        </w:rPr>
        <w:t>RODO</w:t>
      </w:r>
      <w:r w:rsidRPr="00375799">
        <w:rPr>
          <w:rFonts w:cstheme="minorHAnsi"/>
          <w:color w:val="000000" w:themeColor="text1"/>
          <w:sz w:val="24"/>
          <w:szCs w:val="24"/>
        </w:rPr>
        <w:t>, przy pierwszej czynności skierowanej do wykonawcy lub przedsiębiorcy. Przedmiotowy przepis jest niezbędny z tego powodu, że w procedurach stosowanych na mocy przedmiotowej ustawy nie stosuje się przepisów Kpa. Konieczne jest więc wprowadzenie w powyższym zakresie rozwiązań analogicznych do tych, które projektodawca proponuje uregulować w Kpa, tak aby zapewnić spójność krajowego systemu prawnego w zakresie realizacji obowiązków informacyjnych z RODO przez organy administracji publicznej.</w:t>
      </w:r>
    </w:p>
    <w:p w14:paraId="6B86C5C9" w14:textId="66AD71A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 drugie, w ust. 2 dodawanym w art. 12a ustawy wskazuje się, że wystąpienie z żądaniem do ograniczenia przetwarzania danych osobowych, o którym mowa w art. 18 ust. 1 </w:t>
      </w:r>
      <w:r w:rsidR="00D44F5B" w:rsidRPr="00375799">
        <w:rPr>
          <w:rFonts w:cstheme="minorHAnsi"/>
          <w:color w:val="000000" w:themeColor="text1"/>
          <w:sz w:val="24"/>
          <w:szCs w:val="24"/>
        </w:rPr>
        <w:t>RODO</w:t>
      </w:r>
      <w:r w:rsidRPr="00375799">
        <w:rPr>
          <w:rFonts w:cstheme="minorHAnsi"/>
          <w:color w:val="000000" w:themeColor="text1"/>
          <w:sz w:val="24"/>
          <w:szCs w:val="24"/>
        </w:rPr>
        <w:t xml:space="preserve">, przez osobę, której dane dotyczą, nie wpływa na prawa i obowiązki Generalnego Dyrektora wynikające z ustawy. Przedmiotowy przepis nie jest ograniczeniem stosowania przepisów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Pr="00375799">
        <w:rPr>
          <w:rFonts w:cstheme="minorHAnsi"/>
          <w:color w:val="000000" w:themeColor="text1"/>
          <w:sz w:val="24"/>
          <w:szCs w:val="24"/>
        </w:rPr>
        <w:t xml:space="preserve">w rozumieniu jego art. 23 ust. 1, lecz jasno wskazuje, że realizacja praw związanych z ochroną danych osobowych odbywa się niezależnie od wykonywania przez Generalnego Dyrektora zadań wskazanych w ustawie. Zainteresowana osoba ma więc prawo do skorzystania z prawa, o którym mowa w art. 18 ust. 1 </w:t>
      </w:r>
      <w:r w:rsidR="00D44F5B" w:rsidRPr="00375799">
        <w:rPr>
          <w:rFonts w:cstheme="minorHAnsi"/>
          <w:color w:val="000000" w:themeColor="text1"/>
          <w:sz w:val="24"/>
          <w:szCs w:val="24"/>
        </w:rPr>
        <w:t>RODO</w:t>
      </w:r>
      <w:r w:rsidRPr="00375799">
        <w:rPr>
          <w:rFonts w:cstheme="minorHAnsi"/>
          <w:color w:val="000000" w:themeColor="text1"/>
          <w:sz w:val="24"/>
          <w:szCs w:val="24"/>
        </w:rPr>
        <w:t xml:space="preserve">, ale nie wpływa to w żaden sposób na czynności podejmowane przez Generalnego Dyrektora na podstawie ustawy o spłacie niektórych niezaspokojonych należności przedsiębiorców, wynikających z realizacji udzielonych zamówień publicznych. </w:t>
      </w:r>
    </w:p>
    <w:p w14:paraId="2C5EAAE7" w14:textId="5879026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Zastrzec w tym miejscu należy, że nie jest konieczne wprowadzenie do powyższego przepisu analogicznej regulacji, która dotyczyłaby prawa do sprzeciwu, o którym mowa w art. 21 ust. 1 </w:t>
      </w:r>
      <w:r w:rsidR="00D44F5B" w:rsidRPr="00375799">
        <w:rPr>
          <w:rFonts w:cstheme="minorHAnsi"/>
          <w:color w:val="000000" w:themeColor="text1"/>
          <w:sz w:val="24"/>
          <w:szCs w:val="24"/>
        </w:rPr>
        <w:t>RODO</w:t>
      </w:r>
      <w:r w:rsidRPr="00375799">
        <w:rPr>
          <w:rFonts w:cstheme="minorHAnsi"/>
          <w:color w:val="000000" w:themeColor="text1"/>
          <w:sz w:val="24"/>
          <w:szCs w:val="24"/>
        </w:rPr>
        <w:t>. Sprzeciw ten przysługuje bowiem wyłącznie w przypadku</w:t>
      </w:r>
      <w:r w:rsidR="00E57C9E">
        <w:rPr>
          <w:rFonts w:cstheme="minorHAnsi"/>
          <w:color w:val="000000" w:themeColor="text1"/>
          <w:sz w:val="24"/>
          <w:szCs w:val="24"/>
        </w:rPr>
        <w:t>,</w:t>
      </w:r>
      <w:r w:rsidRPr="00375799">
        <w:rPr>
          <w:rFonts w:cstheme="minorHAnsi"/>
          <w:color w:val="000000" w:themeColor="text1"/>
          <w:sz w:val="24"/>
          <w:szCs w:val="24"/>
        </w:rPr>
        <w:t xml:space="preserve"> gdy przetwarzanie danych osobowych odbywa się na podstawie art. 6 ust. 1 lit. e lub f </w:t>
      </w:r>
      <w:r w:rsidR="00D44F5B" w:rsidRPr="00375799">
        <w:rPr>
          <w:rFonts w:cstheme="minorHAnsi"/>
          <w:color w:val="000000" w:themeColor="text1"/>
          <w:sz w:val="24"/>
          <w:szCs w:val="24"/>
        </w:rPr>
        <w:t>RODO</w:t>
      </w:r>
      <w:r w:rsidRPr="00375799">
        <w:rPr>
          <w:rFonts w:cstheme="minorHAnsi"/>
          <w:color w:val="000000" w:themeColor="text1"/>
          <w:sz w:val="24"/>
          <w:szCs w:val="24"/>
        </w:rPr>
        <w:t xml:space="preserve">. Tymczasem przetwarzanie danych osobowych w zakresie niezbędnym do wykonywania zadań </w:t>
      </w:r>
      <w:r w:rsidRPr="00375799">
        <w:rPr>
          <w:rFonts w:cstheme="minorHAnsi"/>
          <w:color w:val="000000" w:themeColor="text1"/>
          <w:sz w:val="24"/>
          <w:szCs w:val="24"/>
        </w:rPr>
        <w:lastRenderedPageBreak/>
        <w:t xml:space="preserve">Generalnego Dyrektora określonych w przedmiotowej ustawie ma miejsce na podstawie art. 6 ust. 1 lit. c </w:t>
      </w:r>
      <w:r w:rsidR="00D44F5B" w:rsidRPr="00375799">
        <w:rPr>
          <w:rFonts w:cstheme="minorHAnsi"/>
          <w:color w:val="000000" w:themeColor="text1"/>
          <w:sz w:val="24"/>
          <w:szCs w:val="24"/>
        </w:rPr>
        <w:t>RODO</w:t>
      </w:r>
      <w:r w:rsidRPr="00375799">
        <w:rPr>
          <w:rFonts w:cstheme="minorHAnsi"/>
          <w:color w:val="000000" w:themeColor="text1"/>
          <w:sz w:val="24"/>
          <w:szCs w:val="24"/>
        </w:rPr>
        <w:t>, to znaczy jest niezbędne do wypełnienia obowiązku prawnego ciążącego na administratorze. W konsekwencji, przy przetwarzaniu danych osobowych na tej podstawie prawo do sprzeciwu nie przysługuje i nie ma potrzeby wskazywania w przepisach ustawy o spłacie niektórych niezaspokojonych należności przedsiębiorców, wynikających z realizacji udzielonych zamówień publicznych drogach publicznych, że skorzystanie z tego prawa nie wpływa na czynności wykonywane przez Generalnego Dyrektora na jej podstawie.</w:t>
      </w:r>
      <w:r w:rsidR="0030020B" w:rsidRPr="00375799">
        <w:rPr>
          <w:rFonts w:cstheme="minorHAnsi"/>
          <w:color w:val="000000" w:themeColor="text1"/>
          <w:sz w:val="24"/>
          <w:szCs w:val="24"/>
        </w:rPr>
        <w:t xml:space="preserve"> </w:t>
      </w:r>
      <w:r w:rsidRPr="00375799">
        <w:rPr>
          <w:rFonts w:cstheme="minorHAnsi"/>
          <w:color w:val="000000" w:themeColor="text1"/>
          <w:sz w:val="24"/>
          <w:szCs w:val="24"/>
        </w:rPr>
        <w:t>Dla przykładu wprowadzone w projekcie ustawy zmiany w ustawie z dnia 21 marca 1985 r. o drogach publicznych wprowadzają przepisy określające szczegółowy tryb udostępniania danych (patrz art. 20h tej ustawy).</w:t>
      </w:r>
    </w:p>
    <w:p w14:paraId="46CF359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646A06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E83F652" w14:textId="051C4F0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26" w:name="_Toc530565098"/>
      <w:r w:rsidRPr="00375799">
        <w:rPr>
          <w:rFonts w:asciiTheme="minorHAnsi" w:hAnsiTheme="minorHAnsi" w:cstheme="minorHAnsi"/>
          <w:color w:val="000000" w:themeColor="text1"/>
          <w:sz w:val="24"/>
          <w:szCs w:val="24"/>
        </w:rPr>
        <w:t>Ustawa z dnia 31 sierpnia 2012 r. o Państwowej Komisji Badania Wypadków Morskich</w:t>
      </w:r>
      <w:r w:rsidR="001921C7" w:rsidRPr="00375799">
        <w:rPr>
          <w:rFonts w:asciiTheme="minorHAnsi" w:hAnsiTheme="minorHAnsi" w:cstheme="minorHAnsi"/>
          <w:color w:val="000000" w:themeColor="text1"/>
          <w:sz w:val="24"/>
          <w:szCs w:val="24"/>
        </w:rPr>
        <w:t xml:space="preserve"> (Dz. U. z 2018 r. poz. 925</w:t>
      </w:r>
      <w:r w:rsidR="00036838">
        <w:rPr>
          <w:rFonts w:asciiTheme="minorHAnsi" w:hAnsiTheme="minorHAnsi" w:cstheme="minorHAnsi"/>
          <w:color w:val="000000" w:themeColor="text1"/>
          <w:sz w:val="24"/>
          <w:szCs w:val="24"/>
        </w:rPr>
        <w:t xml:space="preserve"> i 1669</w:t>
      </w:r>
      <w:r w:rsidR="001921C7" w:rsidRPr="00375799">
        <w:rPr>
          <w:rFonts w:asciiTheme="minorHAnsi" w:hAnsiTheme="minorHAnsi" w:cstheme="minorHAnsi"/>
          <w:color w:val="000000" w:themeColor="text1"/>
          <w:sz w:val="24"/>
          <w:szCs w:val="24"/>
        </w:rPr>
        <w:t>)</w:t>
      </w:r>
      <w:bookmarkEnd w:id="126"/>
      <w:r w:rsidRPr="00375799">
        <w:rPr>
          <w:rFonts w:asciiTheme="minorHAnsi" w:hAnsiTheme="minorHAnsi" w:cstheme="minorHAnsi"/>
          <w:color w:val="000000" w:themeColor="text1"/>
          <w:sz w:val="24"/>
          <w:szCs w:val="24"/>
        </w:rPr>
        <w:t xml:space="preserve">  </w:t>
      </w:r>
    </w:p>
    <w:p w14:paraId="178D6109"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25D0676B" w14:textId="6B1177C9" w:rsidR="00EC37DF" w:rsidRPr="00375799" w:rsidRDefault="00EC37D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Dodawany art. </w:t>
      </w:r>
      <w:r w:rsidR="00163E54">
        <w:rPr>
          <w:rFonts w:cstheme="minorHAnsi"/>
          <w:color w:val="000000" w:themeColor="text1"/>
          <w:sz w:val="24"/>
          <w:szCs w:val="24"/>
        </w:rPr>
        <w:t>34a</w:t>
      </w:r>
      <w:r w:rsidRPr="00375799">
        <w:rPr>
          <w:rFonts w:cstheme="minorHAnsi"/>
          <w:color w:val="000000" w:themeColor="text1"/>
          <w:sz w:val="24"/>
          <w:szCs w:val="24"/>
        </w:rPr>
        <w:t xml:space="preserve"> ustawy z dnia 31 sierpnia 2012 r. o Państwowej Komisji Badania Wypadków Morskich określać będzie sposób realizacji obowiązków wynikających z art. 13 ust. 1 i 2 </w:t>
      </w:r>
      <w:r w:rsidR="00D44F5B" w:rsidRPr="00375799">
        <w:rPr>
          <w:rFonts w:cstheme="minorHAnsi"/>
          <w:color w:val="000000" w:themeColor="text1"/>
          <w:sz w:val="24"/>
          <w:szCs w:val="24"/>
        </w:rPr>
        <w:t>RODO</w:t>
      </w:r>
      <w:r w:rsidRPr="00375799">
        <w:rPr>
          <w:rFonts w:cstheme="minorHAnsi"/>
          <w:color w:val="000000" w:themeColor="text1"/>
          <w:sz w:val="24"/>
          <w:szCs w:val="24"/>
        </w:rPr>
        <w:t xml:space="preserve"> – będzie on realizowany przez Państwową Komisję Badania Wypadków Morskich przy pierwszej czynności skierowanej do osoby, chyba że informacje, o których mowa w art. 13 ust. 1 i 2 </w:t>
      </w:r>
      <w:r w:rsidR="00D44F5B" w:rsidRPr="00375799">
        <w:rPr>
          <w:rFonts w:cstheme="minorHAnsi"/>
          <w:color w:val="000000" w:themeColor="text1"/>
          <w:sz w:val="24"/>
          <w:szCs w:val="24"/>
        </w:rPr>
        <w:t>RODO</w:t>
      </w:r>
      <w:r w:rsidRPr="00375799">
        <w:rPr>
          <w:rFonts w:cstheme="minorHAnsi"/>
          <w:color w:val="000000" w:themeColor="text1"/>
          <w:sz w:val="24"/>
          <w:szCs w:val="24"/>
        </w:rPr>
        <w:t>, są w posiadaniu tej osoby</w:t>
      </w:r>
      <w:r w:rsidR="00E57C9E">
        <w:rPr>
          <w:rFonts w:cstheme="minorHAnsi"/>
          <w:color w:val="000000" w:themeColor="text1"/>
          <w:sz w:val="24"/>
          <w:szCs w:val="24"/>
        </w:rPr>
        <w:t>,</w:t>
      </w:r>
      <w:r w:rsidRPr="00375799">
        <w:rPr>
          <w:rFonts w:cstheme="minorHAnsi"/>
          <w:color w:val="000000" w:themeColor="text1"/>
          <w:sz w:val="24"/>
          <w:szCs w:val="24"/>
        </w:rPr>
        <w:t xml:space="preserve"> a zakres tych informacji lub ich treść nie uległy zmianie. </w:t>
      </w:r>
    </w:p>
    <w:p w14:paraId="471C42D8" w14:textId="0C13083F" w:rsidR="008706DD" w:rsidRPr="00375799" w:rsidRDefault="00EC37D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Pozwoli to na zrealizowanie celów </w:t>
      </w:r>
      <w:r w:rsidR="00D44F5B" w:rsidRPr="00375799">
        <w:rPr>
          <w:rFonts w:cstheme="minorHAnsi"/>
          <w:color w:val="000000" w:themeColor="text1"/>
          <w:sz w:val="24"/>
          <w:szCs w:val="24"/>
        </w:rPr>
        <w:t>RODO</w:t>
      </w:r>
      <w:r w:rsidR="00E57C9E">
        <w:rPr>
          <w:rFonts w:cstheme="minorHAnsi"/>
          <w:color w:val="000000" w:themeColor="text1"/>
          <w:sz w:val="24"/>
          <w:szCs w:val="24"/>
        </w:rPr>
        <w:t>,</w:t>
      </w:r>
      <w:r w:rsidR="00D44F5B" w:rsidRPr="00375799" w:rsidDel="00D44F5B">
        <w:rPr>
          <w:rFonts w:cstheme="minorHAnsi"/>
          <w:color w:val="000000" w:themeColor="text1"/>
          <w:sz w:val="24"/>
          <w:szCs w:val="24"/>
        </w:rPr>
        <w:t xml:space="preserve"> </w:t>
      </w:r>
      <w:r w:rsidRPr="00375799">
        <w:rPr>
          <w:rFonts w:cstheme="minorHAnsi"/>
          <w:color w:val="000000" w:themeColor="text1"/>
          <w:sz w:val="24"/>
          <w:szCs w:val="24"/>
        </w:rPr>
        <w:t xml:space="preserve">a jednocześnie nie będzie wiązało się z nadmiernymi obowiązkami dla Państwowej Komisji Badania Wypadków Morskich. Zaproponowane rozwiązanie jest niezbędne i proporcjonalne, ponieważ przy jego wprowadzaniu należycie wyważono interes publiczny, rozumiany jako zaspokajanie potrzeb obywateli jako ogółu, oraz interes indywidualny, przejawiający się w korzystaniu z pełni praw wskazanych w </w:t>
      </w:r>
      <w:r w:rsidR="00D44F5B" w:rsidRPr="00375799">
        <w:rPr>
          <w:rFonts w:cstheme="minorHAnsi"/>
          <w:color w:val="000000" w:themeColor="text1"/>
          <w:sz w:val="24"/>
          <w:szCs w:val="24"/>
        </w:rPr>
        <w:t>RODO</w:t>
      </w:r>
      <w:r w:rsidRPr="00375799">
        <w:rPr>
          <w:rFonts w:cstheme="minorHAnsi"/>
          <w:color w:val="000000" w:themeColor="text1"/>
          <w:sz w:val="24"/>
          <w:szCs w:val="24"/>
        </w:rPr>
        <w:t>, nie naruszając istoty podstawowych praw i wolności.</w:t>
      </w:r>
    </w:p>
    <w:p w14:paraId="223D438B"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354F4A1" w14:textId="182D42C6"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27" w:name="_Toc530565099"/>
      <w:r w:rsidRPr="00375799">
        <w:rPr>
          <w:rFonts w:asciiTheme="minorHAnsi" w:hAnsiTheme="minorHAnsi" w:cstheme="minorHAnsi"/>
          <w:color w:val="000000" w:themeColor="text1"/>
          <w:sz w:val="24"/>
          <w:szCs w:val="24"/>
        </w:rPr>
        <w:t xml:space="preserve">Ustawa z dnia 14 grudnia 2012 r. o odpadach </w:t>
      </w:r>
      <w:r w:rsidR="001921C7" w:rsidRPr="00375799">
        <w:rPr>
          <w:rFonts w:asciiTheme="minorHAnsi" w:hAnsiTheme="minorHAnsi" w:cstheme="minorHAnsi"/>
          <w:color w:val="000000" w:themeColor="text1"/>
          <w:sz w:val="24"/>
          <w:szCs w:val="24"/>
        </w:rPr>
        <w:t>(Dz. U. z 2018 r. poz. 992</w:t>
      </w:r>
      <w:r w:rsidR="00036838">
        <w:rPr>
          <w:rFonts w:asciiTheme="minorHAnsi" w:hAnsiTheme="minorHAnsi" w:cstheme="minorHAnsi"/>
          <w:color w:val="000000" w:themeColor="text1"/>
          <w:sz w:val="24"/>
          <w:szCs w:val="24"/>
        </w:rPr>
        <w:t>,</w:t>
      </w:r>
      <w:r w:rsidR="001921C7" w:rsidRPr="00375799">
        <w:rPr>
          <w:rFonts w:asciiTheme="minorHAnsi" w:hAnsiTheme="minorHAnsi" w:cstheme="minorHAnsi"/>
          <w:color w:val="000000" w:themeColor="text1"/>
          <w:sz w:val="24"/>
          <w:szCs w:val="24"/>
        </w:rPr>
        <w:t xml:space="preserve"> 1000</w:t>
      </w:r>
      <w:r w:rsidR="00036838">
        <w:rPr>
          <w:rFonts w:asciiTheme="minorHAnsi" w:hAnsiTheme="minorHAnsi" w:cstheme="minorHAnsi"/>
          <w:color w:val="000000" w:themeColor="text1"/>
          <w:sz w:val="24"/>
          <w:szCs w:val="24"/>
        </w:rPr>
        <w:t>, 1479, 1544, 1564 i 1592</w:t>
      </w:r>
      <w:r w:rsidR="001921C7" w:rsidRPr="00375799">
        <w:rPr>
          <w:rFonts w:asciiTheme="minorHAnsi" w:hAnsiTheme="minorHAnsi" w:cstheme="minorHAnsi"/>
          <w:color w:val="000000" w:themeColor="text1"/>
          <w:sz w:val="24"/>
          <w:szCs w:val="24"/>
        </w:rPr>
        <w:t>)</w:t>
      </w:r>
      <w:bookmarkEnd w:id="127"/>
    </w:p>
    <w:p w14:paraId="0D3982C2"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7259FDC7" w14:textId="34ADEC4A" w:rsidR="008706DD"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Zmiany dotyczące ustawy z dnia 14 grudnia 2012 r. o odpadach dotyczą określenia obowiązków marszałka województwa związanych z danymi osobowymi uzyskiwanymi i przetwarzanymi w związku z prowadzeniem bazy danych o produktach i opakowaniach oraz o gospodarce odpadami (BDO), o której mowa w art. 79 ust. 1 tej ustawy. Wskazano okresy przechowywania danych osobowych oraz określono zabezpieczenia zapobiegające nadużyciom lub niezgodnemu z prawem dostępowi lub przekazywaniu.</w:t>
      </w:r>
    </w:p>
    <w:p w14:paraId="2224E629" w14:textId="1B6756DC" w:rsidR="002A18A0" w:rsidRPr="00375799" w:rsidRDefault="002A18A0"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W celu uniknięcia wątpliwości w kwestii administratora danych osobowych </w:t>
      </w:r>
      <w:r w:rsidRPr="002A18A0">
        <w:rPr>
          <w:rFonts w:cstheme="minorHAnsi"/>
          <w:color w:val="000000" w:themeColor="text1"/>
          <w:sz w:val="24"/>
          <w:szCs w:val="24"/>
        </w:rPr>
        <w:t>zawartych w systemi</w:t>
      </w:r>
      <w:r>
        <w:rPr>
          <w:rFonts w:cstheme="minorHAnsi"/>
          <w:color w:val="000000" w:themeColor="text1"/>
          <w:sz w:val="24"/>
          <w:szCs w:val="24"/>
        </w:rPr>
        <w:t>e</w:t>
      </w:r>
      <w:r w:rsidRPr="002A18A0">
        <w:rPr>
          <w:rFonts w:cstheme="minorHAnsi"/>
          <w:color w:val="000000" w:themeColor="text1"/>
          <w:sz w:val="24"/>
          <w:szCs w:val="24"/>
        </w:rPr>
        <w:t xml:space="preserve"> BDO</w:t>
      </w:r>
      <w:r>
        <w:rPr>
          <w:rFonts w:cstheme="minorHAnsi"/>
          <w:color w:val="000000" w:themeColor="text1"/>
          <w:sz w:val="24"/>
          <w:szCs w:val="24"/>
        </w:rPr>
        <w:t xml:space="preserve"> w art. 81 ustawy </w:t>
      </w:r>
      <w:r w:rsidR="008B1F0B">
        <w:rPr>
          <w:rFonts w:cstheme="minorHAnsi"/>
          <w:color w:val="000000" w:themeColor="text1"/>
          <w:sz w:val="24"/>
          <w:szCs w:val="24"/>
        </w:rPr>
        <w:t xml:space="preserve">z dnia 14 grudnia 2012 r. </w:t>
      </w:r>
      <w:r>
        <w:rPr>
          <w:rFonts w:cstheme="minorHAnsi"/>
          <w:color w:val="000000" w:themeColor="text1"/>
          <w:sz w:val="24"/>
          <w:szCs w:val="24"/>
        </w:rPr>
        <w:t xml:space="preserve">o odpadach dodano ust. 1a potwierdzający </w:t>
      </w:r>
      <w:r w:rsidRPr="002A18A0">
        <w:rPr>
          <w:rFonts w:cstheme="minorHAnsi"/>
          <w:color w:val="000000" w:themeColor="text1"/>
          <w:sz w:val="24"/>
          <w:szCs w:val="24"/>
        </w:rPr>
        <w:t>minist</w:t>
      </w:r>
      <w:r>
        <w:rPr>
          <w:rFonts w:cstheme="minorHAnsi"/>
          <w:color w:val="000000" w:themeColor="text1"/>
          <w:sz w:val="24"/>
          <w:szCs w:val="24"/>
        </w:rPr>
        <w:t>ra</w:t>
      </w:r>
      <w:r w:rsidRPr="002A18A0">
        <w:rPr>
          <w:rFonts w:cstheme="minorHAnsi"/>
          <w:color w:val="000000" w:themeColor="text1"/>
          <w:sz w:val="24"/>
          <w:szCs w:val="24"/>
        </w:rPr>
        <w:t xml:space="preserve"> właściw</w:t>
      </w:r>
      <w:r w:rsidR="00E57C9E">
        <w:rPr>
          <w:rFonts w:cstheme="minorHAnsi"/>
          <w:color w:val="000000" w:themeColor="text1"/>
          <w:sz w:val="24"/>
          <w:szCs w:val="24"/>
        </w:rPr>
        <w:t>ego</w:t>
      </w:r>
      <w:r w:rsidRPr="002A18A0">
        <w:rPr>
          <w:rFonts w:cstheme="minorHAnsi"/>
          <w:color w:val="000000" w:themeColor="text1"/>
          <w:sz w:val="24"/>
          <w:szCs w:val="24"/>
        </w:rPr>
        <w:t xml:space="preserve"> do spraw środowiska</w:t>
      </w:r>
      <w:r>
        <w:rPr>
          <w:rFonts w:cstheme="minorHAnsi"/>
          <w:color w:val="000000" w:themeColor="text1"/>
          <w:sz w:val="24"/>
          <w:szCs w:val="24"/>
        </w:rPr>
        <w:t xml:space="preserve"> jako ww. administratora danych.</w:t>
      </w:r>
    </w:p>
    <w:p w14:paraId="0169A911"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4D87A8B2" w14:textId="5372CF5F"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28" w:name="_Toc530565100"/>
      <w:r w:rsidRPr="00375799">
        <w:rPr>
          <w:rFonts w:asciiTheme="minorHAnsi" w:hAnsiTheme="minorHAnsi" w:cstheme="minorHAnsi"/>
          <w:color w:val="000000" w:themeColor="text1"/>
          <w:sz w:val="24"/>
          <w:szCs w:val="24"/>
        </w:rPr>
        <w:t>Ustawa z dnia 11 października 2013 r. o wzajemnej pomocy przy dochodzeniu podatków, należności celnych i innych należności pieniężnych</w:t>
      </w:r>
      <w:r w:rsidR="00B84CD7" w:rsidRPr="00375799">
        <w:rPr>
          <w:rFonts w:asciiTheme="minorHAnsi" w:hAnsiTheme="minorHAnsi" w:cstheme="minorHAnsi"/>
          <w:color w:val="000000" w:themeColor="text1"/>
          <w:sz w:val="24"/>
          <w:szCs w:val="24"/>
        </w:rPr>
        <w:t xml:space="preserve"> (Dz. U. z 2018 r. poz. 425)</w:t>
      </w:r>
      <w:bookmarkEnd w:id="128"/>
    </w:p>
    <w:p w14:paraId="685FA55B" w14:textId="77777777" w:rsidR="00F118D1" w:rsidRPr="00375799" w:rsidRDefault="00F118D1"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3857808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Uzasadnienie analogiczne jak do ustawy o postępowaniu egzekucyjnym w administracji.</w:t>
      </w:r>
    </w:p>
    <w:p w14:paraId="0FEBA207"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DB3A33C" w14:textId="1507886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29" w:name="_Toc530565101"/>
      <w:r w:rsidRPr="00375799">
        <w:rPr>
          <w:rFonts w:asciiTheme="minorHAnsi" w:hAnsiTheme="minorHAnsi" w:cstheme="minorHAnsi"/>
          <w:color w:val="000000" w:themeColor="text1"/>
          <w:sz w:val="24"/>
          <w:szCs w:val="24"/>
        </w:rPr>
        <w:t>Ustawa z dnia 22 listopada 2013 r. o systemie powiadamiania ratunkowego</w:t>
      </w:r>
      <w:r w:rsidR="00B84CD7" w:rsidRPr="00375799">
        <w:rPr>
          <w:rFonts w:asciiTheme="minorHAnsi" w:hAnsiTheme="minorHAnsi" w:cstheme="minorHAnsi"/>
          <w:color w:val="000000" w:themeColor="text1"/>
          <w:sz w:val="24"/>
          <w:szCs w:val="24"/>
        </w:rPr>
        <w:t xml:space="preserve"> (Dz. U. z 2018 r. poz. 867 i 1115)</w:t>
      </w:r>
      <w:bookmarkEnd w:id="129"/>
    </w:p>
    <w:p w14:paraId="4F8A1395"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7F1E0C59" w14:textId="576D4F8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Wskazać należy, że za utrzymanie i rozwój systemu teleinformatycznego odpowiedzialny jest minister właściwy do spraw administracji publicznej. Dane do systemu teleinformatycznego wprowadzane są przez operatorów numerów alarmowych, zatrudnionych w centrach powiadamiania ratunkowego, będących komórkami organizacyjnymi urzędów wojewódzkich. Wojewoda na mocy art. 7 ust. 2 ustawy</w:t>
      </w:r>
      <w:r w:rsidR="00FE6F4E">
        <w:rPr>
          <w:rFonts w:cstheme="minorHAnsi"/>
          <w:color w:val="000000" w:themeColor="text1"/>
          <w:sz w:val="24"/>
          <w:szCs w:val="24"/>
        </w:rPr>
        <w:t xml:space="preserve"> z dnia </w:t>
      </w:r>
      <w:r w:rsidR="00ED131A">
        <w:rPr>
          <w:rFonts w:cstheme="minorHAnsi"/>
          <w:color w:val="000000" w:themeColor="text1"/>
          <w:sz w:val="24"/>
          <w:szCs w:val="24"/>
        </w:rPr>
        <w:t>22</w:t>
      </w:r>
      <w:r w:rsidR="00FE6F4E">
        <w:rPr>
          <w:rFonts w:cstheme="minorHAnsi"/>
          <w:color w:val="000000" w:themeColor="text1"/>
          <w:sz w:val="24"/>
          <w:szCs w:val="24"/>
        </w:rPr>
        <w:t xml:space="preserve"> listopada 2013 r. </w:t>
      </w:r>
      <w:r w:rsidRPr="00375799">
        <w:rPr>
          <w:rFonts w:cstheme="minorHAnsi"/>
          <w:color w:val="000000" w:themeColor="text1"/>
          <w:sz w:val="24"/>
          <w:szCs w:val="24"/>
        </w:rPr>
        <w:t>o systemie powiadamiania ratunkowego może w drodze porozumienia powierzyć organizowanie i prowadzenie centrum staroście lub prezydentowi miasta na prawach powiatu, służbie, inspekcji lub straży wchodzącej w skład zespolonej administracji wojewódzkiej. Porozumienie określa prawa i obowiązki stron oraz zasady organizowania, prowadzenia, utrzymania centrum, a także zasady zatrudniania pracowników centrum. Minister właściwy do spraw administracji publicznej, wojewodowie lub podmioty, o których mowa w art. 7 ust. 2 ustawy o SPR, są współadministratorami systemu teleinformatycznego. System teleinformatyczny, wykorzystywany do obsługi zgłoszeń, zapewnia bezpieczne przetwarzanie danych uzyskanych podczas przyjmowania zgłoszeń. W celu zapobiegania nadużyciom i niezgodnemu z prawem dostępowi lub przekazywaniu danych, wojewodowie lub starostowie lub prezydenci miast na prawach powiatu, służby, inspekcje lub straż wchodząc</w:t>
      </w:r>
      <w:r w:rsidR="00E57C9E">
        <w:rPr>
          <w:rFonts w:cstheme="minorHAnsi"/>
          <w:color w:val="000000" w:themeColor="text1"/>
          <w:sz w:val="24"/>
          <w:szCs w:val="24"/>
        </w:rPr>
        <w:t>a</w:t>
      </w:r>
      <w:r w:rsidRPr="00375799">
        <w:rPr>
          <w:rFonts w:cstheme="minorHAnsi"/>
          <w:color w:val="000000" w:themeColor="text1"/>
          <w:sz w:val="24"/>
          <w:szCs w:val="24"/>
        </w:rPr>
        <w:t xml:space="preserve"> w skład zespolonej administracji wojewódzkiej, pisemnie upoważniają osoby dopuszczone do przetwarzania danych osobowych oraz zobowiązują te osoby do zachowania poufności przetwarzanych danych. Dane związane z obsługą zgłoszeń alarmowych są przechowywane w systemie teleinformatycznym przez 3 lata. Po tym czasie minister właściwy do spraw administracji publicznej jest zobowiązany do ich zniszczenia. </w:t>
      </w:r>
    </w:p>
    <w:p w14:paraId="3ECCAEA3" w14:textId="4BD5BE2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celu skrócenia czasu obsługi zgłoszeń alarmowych, w szczególności czasu oczekiwania na odebranie połączenia przez operatora numerów alarmowych, wprowadzono zapis, że realizacja obowiązków, o których mowa w art. 13 ust. 1 i 2 </w:t>
      </w:r>
      <w:r w:rsidR="00D44F5B" w:rsidRPr="00375799">
        <w:rPr>
          <w:rFonts w:cstheme="minorHAnsi"/>
          <w:color w:val="000000" w:themeColor="text1"/>
          <w:sz w:val="24"/>
          <w:szCs w:val="24"/>
        </w:rPr>
        <w:t>RODO</w:t>
      </w:r>
      <w:r w:rsidR="00E57C9E">
        <w:rPr>
          <w:rFonts w:cstheme="minorHAnsi"/>
          <w:color w:val="000000" w:themeColor="text1"/>
          <w:sz w:val="24"/>
          <w:szCs w:val="24"/>
        </w:rPr>
        <w:t>,</w:t>
      </w:r>
      <w:r w:rsidR="00D44F5B" w:rsidRPr="00375799" w:rsidDel="00D44F5B">
        <w:rPr>
          <w:rFonts w:cstheme="minorHAnsi"/>
          <w:color w:val="000000" w:themeColor="text1"/>
          <w:sz w:val="24"/>
          <w:szCs w:val="24"/>
        </w:rPr>
        <w:t xml:space="preserve"> </w:t>
      </w:r>
      <w:r w:rsidRPr="00375799">
        <w:rPr>
          <w:rFonts w:cstheme="minorHAnsi"/>
          <w:color w:val="000000" w:themeColor="text1"/>
          <w:sz w:val="24"/>
          <w:szCs w:val="24"/>
        </w:rPr>
        <w:t>tj. podawania osobie, której dane dotyczą</w:t>
      </w:r>
      <w:r w:rsidR="00E57C9E">
        <w:rPr>
          <w:rFonts w:cstheme="minorHAnsi"/>
          <w:color w:val="000000" w:themeColor="text1"/>
          <w:sz w:val="24"/>
          <w:szCs w:val="24"/>
        </w:rPr>
        <w:t>,</w:t>
      </w:r>
      <w:r w:rsidRPr="00375799">
        <w:rPr>
          <w:rFonts w:cstheme="minorHAnsi"/>
          <w:color w:val="000000" w:themeColor="text1"/>
          <w:sz w:val="24"/>
          <w:szCs w:val="24"/>
        </w:rPr>
        <w:t xml:space="preserve"> informacji niezbędnych do zapewnienia rzetelności i przejrzystości przetwarzania podczas pozyskiwania danych osobowych przez administratora lub podawania wszystkich informacji zawartych w tym artykule przez administratora podczas pozyskiwania danych osobowych, w związku z przetwarzaniem danych w systemie teleinformatycznym, realizowana będzie poprzez zamieszczenie informacji na stronie podmiotowej w Biuletynie Informacji Publicznej lub na stronie internetowej oraz w siedzibie </w:t>
      </w:r>
      <w:r w:rsidRPr="00375799">
        <w:rPr>
          <w:rFonts w:cstheme="minorHAnsi"/>
          <w:color w:val="000000" w:themeColor="text1"/>
          <w:sz w:val="24"/>
          <w:szCs w:val="24"/>
        </w:rPr>
        <w:lastRenderedPageBreak/>
        <w:t>ministra właściwego do spraw administracji publicznej, wojewodów lub starostów lub prezydentów miast na prawach powiatu, służby, inspekcj</w:t>
      </w:r>
      <w:r w:rsidR="00E57C9E">
        <w:rPr>
          <w:rFonts w:cstheme="minorHAnsi"/>
          <w:color w:val="000000" w:themeColor="text1"/>
          <w:sz w:val="24"/>
          <w:szCs w:val="24"/>
        </w:rPr>
        <w:t>i</w:t>
      </w:r>
      <w:r w:rsidRPr="00375799">
        <w:rPr>
          <w:rFonts w:cstheme="minorHAnsi"/>
          <w:color w:val="000000" w:themeColor="text1"/>
          <w:sz w:val="24"/>
          <w:szCs w:val="24"/>
        </w:rPr>
        <w:t xml:space="preserve"> lub straż</w:t>
      </w:r>
      <w:r w:rsidR="00E57C9E">
        <w:rPr>
          <w:rFonts w:cstheme="minorHAnsi"/>
          <w:color w:val="000000" w:themeColor="text1"/>
          <w:sz w:val="24"/>
          <w:szCs w:val="24"/>
        </w:rPr>
        <w:t>y</w:t>
      </w:r>
      <w:r w:rsidRPr="00375799">
        <w:rPr>
          <w:rFonts w:cstheme="minorHAnsi"/>
          <w:color w:val="000000" w:themeColor="text1"/>
          <w:sz w:val="24"/>
          <w:szCs w:val="24"/>
        </w:rPr>
        <w:t xml:space="preserve"> </w:t>
      </w:r>
      <w:r w:rsidR="00E57C9E" w:rsidRPr="00375799">
        <w:rPr>
          <w:rFonts w:cstheme="minorHAnsi"/>
          <w:color w:val="000000" w:themeColor="text1"/>
          <w:sz w:val="24"/>
          <w:szCs w:val="24"/>
        </w:rPr>
        <w:t>wchodząc</w:t>
      </w:r>
      <w:r w:rsidR="005C750E">
        <w:rPr>
          <w:rFonts w:cstheme="minorHAnsi"/>
          <w:color w:val="000000" w:themeColor="text1"/>
          <w:sz w:val="24"/>
          <w:szCs w:val="24"/>
        </w:rPr>
        <w:t>ej</w:t>
      </w:r>
      <w:r w:rsidR="00E57C9E" w:rsidRPr="00375799">
        <w:rPr>
          <w:rFonts w:cstheme="minorHAnsi"/>
          <w:color w:val="000000" w:themeColor="text1"/>
          <w:sz w:val="24"/>
          <w:szCs w:val="24"/>
        </w:rPr>
        <w:t xml:space="preserve"> </w:t>
      </w:r>
      <w:r w:rsidRPr="00375799">
        <w:rPr>
          <w:rFonts w:cstheme="minorHAnsi"/>
          <w:color w:val="000000" w:themeColor="text1"/>
          <w:sz w:val="24"/>
          <w:szCs w:val="24"/>
        </w:rPr>
        <w:t>w skład zespolonej administracji wojewódzkiej</w:t>
      </w:r>
      <w:r w:rsidR="00E57C9E">
        <w:rPr>
          <w:rFonts w:cstheme="minorHAnsi"/>
          <w:color w:val="000000" w:themeColor="text1"/>
          <w:sz w:val="24"/>
          <w:szCs w:val="24"/>
        </w:rPr>
        <w:t>.</w:t>
      </w:r>
    </w:p>
    <w:p w14:paraId="4D548A3E" w14:textId="36F1944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kontekście treści art. 15 </w:t>
      </w:r>
      <w:r w:rsidR="00D44F5B" w:rsidRPr="00375799">
        <w:rPr>
          <w:rFonts w:cstheme="minorHAnsi"/>
          <w:color w:val="000000" w:themeColor="text1"/>
          <w:sz w:val="24"/>
          <w:szCs w:val="24"/>
        </w:rPr>
        <w:t>RODO</w:t>
      </w:r>
      <w:r w:rsidRPr="00375799">
        <w:rPr>
          <w:rFonts w:cstheme="minorHAnsi"/>
          <w:color w:val="000000" w:themeColor="text1"/>
          <w:sz w:val="24"/>
          <w:szCs w:val="24"/>
        </w:rPr>
        <w:t>, tj. prawa dostępu przysługującego osobie, której dane dotyczą, wprowadzono przepis, że jeżeli dane przekazane przez osobę wnioskującą będą niewystarczające lub będą wymagały niewspółmiernie dużego wysiłku, wojewoda lub starosta lub prezydent miasta na prawach powiatu, służb</w:t>
      </w:r>
      <w:r w:rsidR="00163E54">
        <w:rPr>
          <w:rFonts w:cstheme="minorHAnsi"/>
          <w:color w:val="000000" w:themeColor="text1"/>
          <w:sz w:val="24"/>
          <w:szCs w:val="24"/>
        </w:rPr>
        <w:t>a</w:t>
      </w:r>
      <w:r w:rsidRPr="00375799">
        <w:rPr>
          <w:rFonts w:cstheme="minorHAnsi"/>
          <w:color w:val="000000" w:themeColor="text1"/>
          <w:sz w:val="24"/>
          <w:szCs w:val="24"/>
        </w:rPr>
        <w:t>, inspekcj</w:t>
      </w:r>
      <w:r w:rsidR="00163E54">
        <w:rPr>
          <w:rFonts w:cstheme="minorHAnsi"/>
          <w:color w:val="000000" w:themeColor="text1"/>
          <w:sz w:val="24"/>
          <w:szCs w:val="24"/>
        </w:rPr>
        <w:t>a</w:t>
      </w:r>
      <w:r w:rsidRPr="00375799">
        <w:rPr>
          <w:rFonts w:cstheme="minorHAnsi"/>
          <w:color w:val="000000" w:themeColor="text1"/>
          <w:sz w:val="24"/>
          <w:szCs w:val="24"/>
        </w:rPr>
        <w:t xml:space="preserve"> lub straż wchodząca w skład zespolonej administracji wojewódzkiej może zażądać od osoby, której dane dotyczą wskazania dodatkowych informacji mających na celu sprecyzowanie żądania, w szczególności podania daty, numeru telefonu</w:t>
      </w:r>
      <w:r w:rsidR="00E57C9E">
        <w:rPr>
          <w:rFonts w:cstheme="minorHAnsi"/>
          <w:color w:val="000000" w:themeColor="text1"/>
          <w:sz w:val="24"/>
          <w:szCs w:val="24"/>
        </w:rPr>
        <w:t>,</w:t>
      </w:r>
      <w:r w:rsidRPr="00375799">
        <w:rPr>
          <w:rFonts w:cstheme="minorHAnsi"/>
          <w:color w:val="000000" w:themeColor="text1"/>
          <w:sz w:val="24"/>
          <w:szCs w:val="24"/>
        </w:rPr>
        <w:t xml:space="preserve"> z jakiego wykonane zostało połączenie i miejsca zdarzenia.</w:t>
      </w:r>
    </w:p>
    <w:p w14:paraId="3F483CF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158DF9F" w14:textId="1E0AC3E3"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30" w:name="_Toc530565102"/>
      <w:r w:rsidRPr="00375799">
        <w:rPr>
          <w:rFonts w:asciiTheme="minorHAnsi" w:hAnsiTheme="minorHAnsi" w:cstheme="minorHAnsi"/>
          <w:color w:val="000000" w:themeColor="text1"/>
          <w:sz w:val="24"/>
          <w:szCs w:val="24"/>
        </w:rPr>
        <w:t>Ustawa z dnia 30 maja 2014 r. o prawach konsumenta</w:t>
      </w:r>
      <w:r w:rsidR="00B84CD7" w:rsidRPr="00375799">
        <w:rPr>
          <w:rFonts w:asciiTheme="minorHAnsi" w:hAnsiTheme="minorHAnsi" w:cstheme="minorHAnsi"/>
          <w:color w:val="000000" w:themeColor="text1"/>
          <w:sz w:val="24"/>
          <w:szCs w:val="24"/>
        </w:rPr>
        <w:t xml:space="preserve"> (Dz. U. </w:t>
      </w:r>
      <w:r w:rsidR="00CF7B15">
        <w:rPr>
          <w:rFonts w:asciiTheme="minorHAnsi" w:hAnsiTheme="minorHAnsi" w:cstheme="minorHAnsi"/>
          <w:color w:val="000000" w:themeColor="text1"/>
          <w:sz w:val="24"/>
          <w:szCs w:val="24"/>
        </w:rPr>
        <w:t xml:space="preserve">z </w:t>
      </w:r>
      <w:r w:rsidR="00B84CD7" w:rsidRPr="00375799">
        <w:rPr>
          <w:rFonts w:asciiTheme="minorHAnsi" w:hAnsiTheme="minorHAnsi" w:cstheme="minorHAnsi"/>
          <w:color w:val="000000" w:themeColor="text1"/>
          <w:sz w:val="24"/>
          <w:szCs w:val="24"/>
        </w:rPr>
        <w:t>2017 r. poz. 683 i 2361 oraz z 2018 r. poz. 650)</w:t>
      </w:r>
      <w:bookmarkEnd w:id="130"/>
    </w:p>
    <w:p w14:paraId="5987C08F" w14:textId="77777777" w:rsidR="00F118D1" w:rsidRPr="00375799" w:rsidRDefault="00F118D1"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47F31A12" w14:textId="3AF26D6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Co do zasady, całość obowiązków przewidzianych </w:t>
      </w:r>
      <w:r w:rsidR="00D44F5B" w:rsidRPr="00375799">
        <w:rPr>
          <w:rFonts w:cstheme="minorHAnsi"/>
          <w:color w:val="000000" w:themeColor="text1"/>
          <w:sz w:val="24"/>
          <w:szCs w:val="24"/>
        </w:rPr>
        <w:t>RODO</w:t>
      </w:r>
      <w:r w:rsidRPr="00375799">
        <w:rPr>
          <w:rFonts w:cstheme="minorHAnsi"/>
          <w:color w:val="000000" w:themeColor="text1"/>
          <w:sz w:val="24"/>
          <w:szCs w:val="24"/>
        </w:rPr>
        <w:t>, w jego literalnym brzmieniu, obciąży w równym stopniu wszystkich przedsiębiorców, bez względu na ich wielkość, możliwości organizacyjne, doświadczenie</w:t>
      </w:r>
      <w:r w:rsidR="00163E54">
        <w:rPr>
          <w:rFonts w:cstheme="minorHAnsi"/>
          <w:color w:val="000000" w:themeColor="text1"/>
          <w:sz w:val="24"/>
          <w:szCs w:val="24"/>
        </w:rPr>
        <w:t>,</w:t>
      </w:r>
      <w:r w:rsidRPr="00375799">
        <w:rPr>
          <w:rFonts w:cstheme="minorHAnsi"/>
          <w:color w:val="000000" w:themeColor="text1"/>
          <w:sz w:val="24"/>
          <w:szCs w:val="24"/>
        </w:rPr>
        <w:t xml:space="preserve"> czy zakres przetwarzanych danych. Nie może też budzić żadnych wątpliwości, że w celu dostosowania się do wymogów </w:t>
      </w:r>
      <w:r w:rsidR="00D44F5B" w:rsidRPr="00375799">
        <w:rPr>
          <w:rFonts w:cstheme="minorHAnsi"/>
          <w:color w:val="000000" w:themeColor="text1"/>
          <w:sz w:val="24"/>
          <w:szCs w:val="24"/>
        </w:rPr>
        <w:t>RODO</w:t>
      </w:r>
      <w:r w:rsidR="00D44F5B" w:rsidRPr="00375799" w:rsidDel="00D44F5B">
        <w:rPr>
          <w:rFonts w:cstheme="minorHAnsi"/>
          <w:color w:val="000000" w:themeColor="text1"/>
          <w:sz w:val="24"/>
          <w:szCs w:val="24"/>
        </w:rPr>
        <w:t xml:space="preserve"> </w:t>
      </w:r>
      <w:r w:rsidRPr="00375799">
        <w:rPr>
          <w:rFonts w:cstheme="minorHAnsi"/>
          <w:color w:val="000000" w:themeColor="text1"/>
          <w:sz w:val="24"/>
          <w:szCs w:val="24"/>
        </w:rPr>
        <w:t>najmniejsi przedsiębiorcy będą musieli ponieść wysokie koszty (czy to w celu zatrudnienia wyspecjalizowanego pracownika czy zapewnienia sobie fachowego doradztwa prawnego). W porównaniu do skali prowadzonej działalności wydatki te będą stanowiły dla nich nieproporcjonalnie większe obciążenie aniżeli w przypadku firm dużych, które najczęściej dysponują odpowiednim zapleczem organizacyjnym oraz środkami finansowymi. Z tego powodu projektodawca proponuje doprecyzowanie na poziomie prawa krajowego, że najmniejsi przedsiębiorcy (</w:t>
      </w:r>
      <w:proofErr w:type="spellStart"/>
      <w:r w:rsidRPr="00375799">
        <w:rPr>
          <w:rFonts w:cstheme="minorHAnsi"/>
          <w:color w:val="000000" w:themeColor="text1"/>
          <w:sz w:val="24"/>
          <w:szCs w:val="24"/>
        </w:rPr>
        <w:t>mikroprzedsiębiorcy</w:t>
      </w:r>
      <w:proofErr w:type="spellEnd"/>
      <w:r w:rsidRPr="00375799">
        <w:rPr>
          <w:rFonts w:cstheme="minorHAnsi"/>
          <w:color w:val="000000" w:themeColor="text1"/>
          <w:sz w:val="24"/>
          <w:szCs w:val="24"/>
        </w:rPr>
        <w:t xml:space="preserve">, którzy – co do zasady – nie udostępniają przetwarzanych przez siebie danych innym administratorom) będą mieli możliwość wypełnienia części ciążących na nich na podstawie art. 13 </w:t>
      </w:r>
      <w:r w:rsidR="001734C1" w:rsidRPr="00375799">
        <w:rPr>
          <w:rFonts w:cstheme="minorHAnsi"/>
          <w:color w:val="000000" w:themeColor="text1"/>
          <w:sz w:val="24"/>
          <w:szCs w:val="24"/>
        </w:rPr>
        <w:t>RODO</w:t>
      </w:r>
      <w:r w:rsidRPr="00375799">
        <w:rPr>
          <w:rFonts w:cstheme="minorHAnsi"/>
          <w:color w:val="000000" w:themeColor="text1"/>
          <w:sz w:val="24"/>
          <w:szCs w:val="24"/>
        </w:rPr>
        <w:t xml:space="preserve"> obowiązków informacyjnych w określony sposób. Przedsiębiorca będzie mógł zamieścić informacje, o których mowa w art. 13 </w:t>
      </w:r>
      <w:r w:rsidR="00163E54">
        <w:rPr>
          <w:rFonts w:cstheme="minorHAnsi"/>
          <w:color w:val="000000" w:themeColor="text1"/>
          <w:sz w:val="24"/>
          <w:szCs w:val="24"/>
        </w:rPr>
        <w:t>RODO</w:t>
      </w:r>
      <w:r w:rsidR="00E57C9E">
        <w:rPr>
          <w:rFonts w:cstheme="minorHAnsi"/>
          <w:color w:val="000000" w:themeColor="text1"/>
          <w:sz w:val="24"/>
          <w:szCs w:val="24"/>
        </w:rPr>
        <w:t>,</w:t>
      </w:r>
      <w:r w:rsidRPr="00375799">
        <w:rPr>
          <w:rFonts w:cstheme="minorHAnsi"/>
          <w:color w:val="000000" w:themeColor="text1"/>
          <w:sz w:val="24"/>
          <w:szCs w:val="24"/>
        </w:rPr>
        <w:t xml:space="preserve"> bądź to w widocznym miejscu w lokalu swojego przedsiębiorstwa, bądź też na swojej stronie internetowej. Warunkiem uznania ww. obowiązków informacyjnych za spełnione jest jednocześnie to, że osoba fizyczna, której dane dotyczą, będzie miała faktyczną możliwość zapoznania się z ww. informacjami. </w:t>
      </w:r>
    </w:p>
    <w:p w14:paraId="543C0280" w14:textId="75CABCB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Jako przykład praktycznej realizacji projektowanego przepisu można podać choćby sytuację zakładu fryzjerskiego zbierającego dane osobowe w postaci imion i nazwisk oraz numerów telefonicznych swoich klientów. Taki mikroprzedsiębiorca będzie mógł wypełnić ciążące na nim obowiązki informacyjne przewidziane w art. 13 </w:t>
      </w:r>
      <w:r w:rsidR="001734C1" w:rsidRPr="00375799">
        <w:rPr>
          <w:rFonts w:cstheme="minorHAnsi"/>
          <w:color w:val="000000" w:themeColor="text1"/>
          <w:sz w:val="24"/>
          <w:szCs w:val="24"/>
        </w:rPr>
        <w:t>RODO</w:t>
      </w:r>
      <w:r w:rsidR="00E57C9E">
        <w:rPr>
          <w:rFonts w:cstheme="minorHAnsi"/>
          <w:color w:val="000000" w:themeColor="text1"/>
          <w:sz w:val="24"/>
          <w:szCs w:val="24"/>
        </w:rPr>
        <w:t>,</w:t>
      </w:r>
      <w:r w:rsidRPr="00375799">
        <w:rPr>
          <w:rFonts w:cstheme="minorHAnsi"/>
          <w:color w:val="000000" w:themeColor="text1"/>
          <w:sz w:val="24"/>
          <w:szCs w:val="24"/>
        </w:rPr>
        <w:t xml:space="preserve"> umieszczając w swoim lokalu, w widocznym miejscu, wywieszkę obejmującą informacje, o których mowa w art. 13 </w:t>
      </w:r>
      <w:r w:rsidR="001734C1" w:rsidRPr="00375799">
        <w:rPr>
          <w:rFonts w:cstheme="minorHAnsi"/>
          <w:color w:val="000000" w:themeColor="text1"/>
          <w:sz w:val="24"/>
          <w:szCs w:val="24"/>
        </w:rPr>
        <w:t>RODO</w:t>
      </w:r>
      <w:r w:rsidRPr="00375799">
        <w:rPr>
          <w:rFonts w:cstheme="minorHAnsi"/>
          <w:color w:val="000000" w:themeColor="text1"/>
          <w:sz w:val="24"/>
          <w:szCs w:val="24"/>
        </w:rPr>
        <w:t xml:space="preserve">. Jak się wydaje, w normalnych warunkach obrotu prawnego można też założyć, że każdy klient takiego zakładu, podając fryzjerowi swoje imię, nazwisko oraz numer telefonu, będzie miał świadomość celu i zakresu przetwarzania swoich danych przez tego </w:t>
      </w:r>
      <w:proofErr w:type="spellStart"/>
      <w:r w:rsidRPr="00375799">
        <w:rPr>
          <w:rFonts w:cstheme="minorHAnsi"/>
          <w:color w:val="000000" w:themeColor="text1"/>
          <w:sz w:val="24"/>
          <w:szCs w:val="24"/>
        </w:rPr>
        <w:t>mikroprzedsiębiorcę</w:t>
      </w:r>
      <w:proofErr w:type="spellEnd"/>
      <w:r w:rsidRPr="00375799">
        <w:rPr>
          <w:rFonts w:cstheme="minorHAnsi"/>
          <w:color w:val="000000" w:themeColor="text1"/>
          <w:sz w:val="24"/>
          <w:szCs w:val="24"/>
        </w:rPr>
        <w:t>.</w:t>
      </w:r>
    </w:p>
    <w:p w14:paraId="1D38B9CD" w14:textId="7987F5B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 xml:space="preserve">Proponowana regulacja pozwoli zoptymalizować poziom dolegliwości i problemy praktyczne wynikające z obciążeń nakładanych przez </w:t>
      </w:r>
      <w:r w:rsidR="001734C1" w:rsidRPr="00375799">
        <w:rPr>
          <w:rFonts w:cstheme="minorHAnsi"/>
          <w:color w:val="000000" w:themeColor="text1"/>
          <w:sz w:val="24"/>
          <w:szCs w:val="24"/>
        </w:rPr>
        <w:t>RODO</w:t>
      </w:r>
      <w:r w:rsidR="00793268" w:rsidRPr="00375799">
        <w:rPr>
          <w:rFonts w:cstheme="minorHAnsi"/>
          <w:color w:val="000000" w:themeColor="text1"/>
          <w:sz w:val="24"/>
          <w:szCs w:val="24"/>
        </w:rPr>
        <w:t xml:space="preserve"> </w:t>
      </w:r>
      <w:r w:rsidRPr="00375799">
        <w:rPr>
          <w:rFonts w:cstheme="minorHAnsi"/>
          <w:color w:val="000000" w:themeColor="text1"/>
          <w:sz w:val="24"/>
          <w:szCs w:val="24"/>
        </w:rPr>
        <w:t xml:space="preserve">na </w:t>
      </w:r>
      <w:proofErr w:type="spellStart"/>
      <w:r w:rsidRPr="00375799">
        <w:rPr>
          <w:rFonts w:cstheme="minorHAnsi"/>
          <w:color w:val="000000" w:themeColor="text1"/>
          <w:sz w:val="24"/>
          <w:szCs w:val="24"/>
        </w:rPr>
        <w:t>mikroprzedsiębioców</w:t>
      </w:r>
      <w:proofErr w:type="spellEnd"/>
      <w:r w:rsidRPr="00375799">
        <w:rPr>
          <w:rFonts w:cstheme="minorHAnsi"/>
          <w:color w:val="000000" w:themeColor="text1"/>
          <w:sz w:val="24"/>
          <w:szCs w:val="24"/>
        </w:rPr>
        <w:t xml:space="preserve">, przy jednoczesnym zapewnieniu należytej ochrony podmiotom danych. Trzeba przy tym pamiętać, że najmniejsze przedsiębiorstwa w sposób znaczący przyczyniają się do rozwoju unijnej gospodarki. Stanowią one większość przedsiębiorstw zarówno w Polsce, jak i w krajach UE. UE uznaje sektor MŚP, do którego należą </w:t>
      </w:r>
      <w:proofErr w:type="spellStart"/>
      <w:r w:rsidRPr="00375799">
        <w:rPr>
          <w:rFonts w:cstheme="minorHAnsi"/>
          <w:color w:val="000000" w:themeColor="text1"/>
          <w:sz w:val="24"/>
          <w:szCs w:val="24"/>
        </w:rPr>
        <w:t>mikroprzedsiębiorcy</w:t>
      </w:r>
      <w:proofErr w:type="spellEnd"/>
      <w:r w:rsidRPr="00375799">
        <w:rPr>
          <w:rFonts w:cstheme="minorHAnsi"/>
          <w:color w:val="000000" w:themeColor="text1"/>
          <w:sz w:val="24"/>
          <w:szCs w:val="24"/>
        </w:rPr>
        <w:t xml:space="preserve">, za źródło konkurencyjności europejskiej gospodarki i jej wzrostu gospodarczego. Sektor ten przyczynia się do rozwoju więzi międzynarodowych, poprawy sytuacji konsumentów w UE, powstawania i wdrażania innowacji technologicznych, a tym samym – do poprawy warunków życia, zatrudnienia, wydajności i konkurencyjności. Mając to na uwadze, ułatwienie w wykonaniu skomplikowanych obowiązków wynikających z </w:t>
      </w:r>
      <w:r w:rsidR="001734C1" w:rsidRPr="00375799">
        <w:rPr>
          <w:rFonts w:cstheme="minorHAnsi"/>
          <w:color w:val="000000" w:themeColor="text1"/>
          <w:sz w:val="24"/>
          <w:szCs w:val="24"/>
        </w:rPr>
        <w:t>RODO</w:t>
      </w:r>
      <w:r w:rsidRPr="00375799">
        <w:rPr>
          <w:rFonts w:cstheme="minorHAnsi"/>
          <w:color w:val="000000" w:themeColor="text1"/>
          <w:sz w:val="24"/>
          <w:szCs w:val="24"/>
        </w:rPr>
        <w:t>, dostosowujące je do skali prowadzonej działalności, jest jak najbardziej uzasadnione.</w:t>
      </w:r>
    </w:p>
    <w:p w14:paraId="243CA406" w14:textId="015BB65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Należy również wskazać, że możliwość skorzystania przez mikroprzedsiębiorców z zaproponowanych w projektowanym przepisie ułatwień nie wyczerpuje środków, które będą oni mogli podjąć w celu pozostania w zgodzie z </w:t>
      </w:r>
      <w:r w:rsidR="001734C1" w:rsidRPr="00375799">
        <w:rPr>
          <w:rFonts w:cstheme="minorHAnsi"/>
          <w:color w:val="000000" w:themeColor="text1"/>
          <w:sz w:val="24"/>
          <w:szCs w:val="24"/>
        </w:rPr>
        <w:t>RODO</w:t>
      </w:r>
      <w:r w:rsidRPr="00375799">
        <w:rPr>
          <w:rFonts w:cstheme="minorHAnsi"/>
          <w:color w:val="000000" w:themeColor="text1"/>
          <w:sz w:val="24"/>
          <w:szCs w:val="24"/>
        </w:rPr>
        <w:t xml:space="preserve">. Specyfika konkretnych branż może wymagać podejmowania przez nich technicznie innych sposobów dotarcia do odbiorcy. Uprawnienie do skorzystania z tego rozwiązania daje jednak gwarancję prawidłowej realizacji obowiązku </w:t>
      </w:r>
      <w:proofErr w:type="spellStart"/>
      <w:r w:rsidRPr="00375799">
        <w:rPr>
          <w:rFonts w:cstheme="minorHAnsi"/>
          <w:color w:val="000000" w:themeColor="text1"/>
          <w:sz w:val="24"/>
          <w:szCs w:val="24"/>
        </w:rPr>
        <w:t>mikroprzedsiębiorcom</w:t>
      </w:r>
      <w:proofErr w:type="spellEnd"/>
      <w:r w:rsidRPr="00375799">
        <w:rPr>
          <w:rFonts w:cstheme="minorHAnsi"/>
          <w:color w:val="000000" w:themeColor="text1"/>
          <w:sz w:val="24"/>
          <w:szCs w:val="24"/>
        </w:rPr>
        <w:t xml:space="preserve">, którzy zechcą z niego skorzystać, co wpłynie pozytywnie na pewność prawa. Takie działanie wydaje się szczególnie istotne z punktu widzenia proporcjonalności nakładania obowiązków, które obciążają zarówno duże, profesjonalne podmioty, przetwarzające w ramach swojej działalności znaczną ilość danych osób fizycznych, jak i najmniejszych przedsiębiorców, których zachowanie w obrocie gospodarczym niejednokrotnie przypomina bardziej działanie konsumenta aniżeli profesjonalisty. Wobec tego, zdaniem projektodawcy, niezbędne jest podjęcie interwencji, której celem jest wsparcie najmniejszych podmiotów i dążenie do wyrównania ich słabszej pozycji. Jednoczenie samo </w:t>
      </w:r>
      <w:r w:rsidR="001734C1" w:rsidRPr="00375799">
        <w:rPr>
          <w:rFonts w:cstheme="minorHAnsi"/>
          <w:color w:val="000000" w:themeColor="text1"/>
          <w:sz w:val="24"/>
          <w:szCs w:val="24"/>
        </w:rPr>
        <w:t>RODO</w:t>
      </w:r>
      <w:r w:rsidR="00793268" w:rsidRPr="00375799">
        <w:rPr>
          <w:rFonts w:cstheme="minorHAnsi"/>
          <w:color w:val="000000" w:themeColor="text1"/>
          <w:sz w:val="24"/>
          <w:szCs w:val="24"/>
        </w:rPr>
        <w:t xml:space="preserve"> </w:t>
      </w:r>
      <w:r w:rsidRPr="00375799">
        <w:rPr>
          <w:rFonts w:cstheme="minorHAnsi"/>
          <w:color w:val="000000" w:themeColor="text1"/>
          <w:sz w:val="24"/>
          <w:szCs w:val="24"/>
        </w:rPr>
        <w:t xml:space="preserve">dopuszcza możliwość doprecyzowywania jego przepisów w ramach prawa krajowego tak, by zapewnić jego prawidłowe wykonywanie. Na taką możliwość zdaje się wskazywać m.in. motyw 45, który stanowi: „Ponadto prawo to może doprecyzowywać ogólne warunki określone w niniejszym rozporządzeniu dotyczące zgodności przetwarzania z prawem, określać sposoby wskazywania administratora, rodzaj danych osobowych podlegających przetwarzaniu, osoby, których dane dotyczą, podmioty, którym można ujawniać dane osobowe, ograniczenia celu, okres przechowywania oraz inne środki zapewniające zgodność z prawem i rzetelność przetwarzania.”. Podkreślić należy, że zaproponowany przepis pozostaje bez wpływu na prawa i obowiązki pozostałych przedsiębiorców. Będą oni mogli korzystać ze wszystkich zgodnych z prawem metod wywiązania się z obowiązków nakładanych przez </w:t>
      </w:r>
      <w:r w:rsidR="001734C1" w:rsidRPr="00375799">
        <w:rPr>
          <w:rFonts w:cstheme="minorHAnsi"/>
          <w:color w:val="000000" w:themeColor="text1"/>
          <w:sz w:val="24"/>
          <w:szCs w:val="24"/>
        </w:rPr>
        <w:t>RODO</w:t>
      </w:r>
      <w:r w:rsidRPr="00375799">
        <w:rPr>
          <w:rFonts w:cstheme="minorHAnsi"/>
          <w:color w:val="000000" w:themeColor="text1"/>
          <w:sz w:val="24"/>
          <w:szCs w:val="24"/>
        </w:rPr>
        <w:t>, jednakże w tym przypadku, zdaniem ustawodawcy, niecelowe byłoby wskazywanie konkretnych sposobów.</w:t>
      </w:r>
    </w:p>
    <w:p w14:paraId="456D36A6"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09D64830" w14:textId="2D72AB89"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31" w:name="_Toc530565103"/>
      <w:r w:rsidRPr="00375799">
        <w:rPr>
          <w:rFonts w:asciiTheme="minorHAnsi" w:hAnsiTheme="minorHAnsi" w:cstheme="minorHAnsi"/>
          <w:color w:val="000000" w:themeColor="text1"/>
          <w:sz w:val="24"/>
          <w:szCs w:val="24"/>
        </w:rPr>
        <w:lastRenderedPageBreak/>
        <w:t>Ustawa z dnia 11 lipca 2014 r</w:t>
      </w:r>
      <w:r w:rsidR="00CA54EF">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 xml:space="preserve"> o zasadach realizacji programów w zakresie polityki spójności finansowanych w perspektywie finansowej 2014</w:t>
      </w:r>
      <w:r w:rsidR="00CF7B15">
        <w:rPr>
          <w:rFonts w:asciiTheme="minorHAnsi" w:hAnsiTheme="minorHAnsi" w:cstheme="minorHAnsi"/>
          <w:color w:val="000000" w:themeColor="text1"/>
          <w:sz w:val="24"/>
          <w:szCs w:val="24"/>
        </w:rPr>
        <w:t>–</w:t>
      </w:r>
      <w:r w:rsidRPr="00375799">
        <w:rPr>
          <w:rFonts w:asciiTheme="minorHAnsi" w:hAnsiTheme="minorHAnsi" w:cstheme="minorHAnsi"/>
          <w:color w:val="000000" w:themeColor="text1"/>
          <w:sz w:val="24"/>
          <w:szCs w:val="24"/>
        </w:rPr>
        <w:t>2020 (Dz.</w:t>
      </w:r>
      <w:r w:rsidR="00CF7B15">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U. z 201</w:t>
      </w:r>
      <w:r w:rsidR="00036838">
        <w:rPr>
          <w:rFonts w:asciiTheme="minorHAnsi" w:hAnsiTheme="minorHAnsi" w:cstheme="minorHAnsi"/>
          <w:color w:val="000000" w:themeColor="text1"/>
          <w:sz w:val="24"/>
          <w:szCs w:val="24"/>
        </w:rPr>
        <w:t>8</w:t>
      </w:r>
      <w:r w:rsidRPr="00375799">
        <w:rPr>
          <w:rFonts w:asciiTheme="minorHAnsi" w:hAnsiTheme="minorHAnsi" w:cstheme="minorHAnsi"/>
          <w:color w:val="000000" w:themeColor="text1"/>
          <w:sz w:val="24"/>
          <w:szCs w:val="24"/>
        </w:rPr>
        <w:t xml:space="preserve"> r. poz. </w:t>
      </w:r>
      <w:r w:rsidR="00036838">
        <w:rPr>
          <w:rFonts w:asciiTheme="minorHAnsi" w:hAnsiTheme="minorHAnsi" w:cstheme="minorHAnsi"/>
          <w:color w:val="000000" w:themeColor="text1"/>
          <w:sz w:val="24"/>
          <w:szCs w:val="24"/>
        </w:rPr>
        <w:t>1431 i 1544</w:t>
      </w:r>
      <w:r w:rsidRPr="00375799">
        <w:rPr>
          <w:rFonts w:asciiTheme="minorHAnsi" w:hAnsiTheme="minorHAnsi" w:cstheme="minorHAnsi"/>
          <w:color w:val="000000" w:themeColor="text1"/>
          <w:sz w:val="24"/>
          <w:szCs w:val="24"/>
        </w:rPr>
        <w:t>)</w:t>
      </w:r>
      <w:bookmarkEnd w:id="131"/>
      <w:r w:rsidRPr="00375799">
        <w:rPr>
          <w:rFonts w:asciiTheme="minorHAnsi" w:hAnsiTheme="minorHAnsi" w:cstheme="minorHAnsi"/>
          <w:color w:val="000000" w:themeColor="text1"/>
          <w:sz w:val="24"/>
          <w:szCs w:val="24"/>
        </w:rPr>
        <w:t xml:space="preserve"> </w:t>
      </w:r>
    </w:p>
    <w:p w14:paraId="7C9C10A8" w14:textId="77777777" w:rsidR="00F50614" w:rsidRPr="00375799" w:rsidRDefault="00F50614" w:rsidP="0055107B">
      <w:pPr>
        <w:spacing w:after="0" w:line="276" w:lineRule="auto"/>
        <w:ind w:left="57" w:right="57"/>
        <w:contextualSpacing/>
        <w:jc w:val="both"/>
        <w:rPr>
          <w:rFonts w:cstheme="minorHAnsi"/>
          <w:color w:val="000000" w:themeColor="text1"/>
          <w:sz w:val="24"/>
          <w:szCs w:val="24"/>
        </w:rPr>
      </w:pPr>
    </w:p>
    <w:p w14:paraId="0A37F838" w14:textId="53D293B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w:t>
      </w:r>
      <w:r w:rsidR="005B3E45">
        <w:rPr>
          <w:rFonts w:cstheme="minorHAnsi"/>
          <w:color w:val="000000" w:themeColor="text1"/>
          <w:sz w:val="24"/>
          <w:szCs w:val="24"/>
        </w:rPr>
        <w:t xml:space="preserve"> art. 71 ust. 1 ustawy </w:t>
      </w:r>
      <w:r w:rsidRPr="00375799">
        <w:rPr>
          <w:rFonts w:cstheme="minorHAnsi"/>
          <w:color w:val="000000" w:themeColor="text1"/>
          <w:sz w:val="24"/>
          <w:szCs w:val="24"/>
        </w:rPr>
        <w:t xml:space="preserve">ma charakter legislacyjny i polega na dostosowaniu </w:t>
      </w:r>
      <w:r w:rsidR="00163E54">
        <w:rPr>
          <w:rFonts w:cstheme="minorHAnsi"/>
          <w:color w:val="000000" w:themeColor="text1"/>
          <w:sz w:val="24"/>
          <w:szCs w:val="24"/>
        </w:rPr>
        <w:t xml:space="preserve">tego </w:t>
      </w:r>
      <w:r w:rsidRPr="00375799">
        <w:rPr>
          <w:rFonts w:cstheme="minorHAnsi"/>
          <w:color w:val="000000" w:themeColor="text1"/>
          <w:sz w:val="24"/>
          <w:szCs w:val="24"/>
        </w:rPr>
        <w:t xml:space="preserve">przepisu do nowego systemu prawnego. W związku z faktem, że znaczenie pojęcia administratora danych wynika obecnie z </w:t>
      </w:r>
      <w:r w:rsidR="001734C1" w:rsidRPr="00375799">
        <w:rPr>
          <w:rFonts w:cstheme="minorHAnsi"/>
          <w:color w:val="000000" w:themeColor="text1"/>
          <w:sz w:val="24"/>
          <w:szCs w:val="24"/>
        </w:rPr>
        <w:t>RODO</w:t>
      </w:r>
      <w:r w:rsidRPr="00375799">
        <w:rPr>
          <w:rFonts w:cstheme="minorHAnsi"/>
          <w:color w:val="000000" w:themeColor="text1"/>
          <w:sz w:val="24"/>
          <w:szCs w:val="24"/>
        </w:rPr>
        <w:t>, z dotychczasowego brzmienia art. 71 ust. 1 usunięto wyrazy „w rozumieniu przepisów ustawy z dnia 29 sierpnia 1997 r. o ochronie danych osobowych (Dz.</w:t>
      </w:r>
      <w:r w:rsidR="00CA54EF">
        <w:rPr>
          <w:rFonts w:cstheme="minorHAnsi"/>
          <w:color w:val="000000" w:themeColor="text1"/>
          <w:sz w:val="24"/>
          <w:szCs w:val="24"/>
        </w:rPr>
        <w:t xml:space="preserve"> </w:t>
      </w:r>
      <w:r w:rsidRPr="00375799">
        <w:rPr>
          <w:rFonts w:cstheme="minorHAnsi"/>
          <w:color w:val="000000" w:themeColor="text1"/>
          <w:sz w:val="24"/>
          <w:szCs w:val="24"/>
        </w:rPr>
        <w:t>U. z 2016 r. poz. 922)”.</w:t>
      </w:r>
    </w:p>
    <w:p w14:paraId="203A2123"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115F64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7297102F" w14:textId="7CEDC7F1"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32" w:name="_Toc530565104"/>
      <w:r w:rsidRPr="00375799">
        <w:rPr>
          <w:rFonts w:asciiTheme="minorHAnsi" w:hAnsiTheme="minorHAnsi" w:cstheme="minorHAnsi"/>
          <w:color w:val="000000" w:themeColor="text1"/>
          <w:sz w:val="24"/>
          <w:szCs w:val="24"/>
        </w:rPr>
        <w:t>Ustawa z dnia 2</w:t>
      </w:r>
      <w:r w:rsidR="00036838">
        <w:rPr>
          <w:rFonts w:asciiTheme="minorHAnsi" w:hAnsiTheme="minorHAnsi" w:cstheme="minorHAnsi"/>
          <w:color w:val="000000" w:themeColor="text1"/>
          <w:sz w:val="24"/>
          <w:szCs w:val="24"/>
        </w:rPr>
        <w:t>9</w:t>
      </w:r>
      <w:r w:rsidRPr="00375799">
        <w:rPr>
          <w:rFonts w:asciiTheme="minorHAnsi" w:hAnsiTheme="minorHAnsi" w:cstheme="minorHAnsi"/>
          <w:color w:val="000000" w:themeColor="text1"/>
          <w:sz w:val="24"/>
          <w:szCs w:val="24"/>
        </w:rPr>
        <w:t xml:space="preserve"> sierpnia 2014 r. o charakterystyce energetycznej budynków (Dz. U. z 201</w:t>
      </w:r>
      <w:r w:rsidR="00036838">
        <w:rPr>
          <w:rFonts w:asciiTheme="minorHAnsi" w:hAnsiTheme="minorHAnsi" w:cstheme="minorHAnsi"/>
          <w:color w:val="000000" w:themeColor="text1"/>
          <w:sz w:val="24"/>
          <w:szCs w:val="24"/>
        </w:rPr>
        <w:t>8</w:t>
      </w:r>
      <w:r w:rsidRPr="00375799">
        <w:rPr>
          <w:rFonts w:asciiTheme="minorHAnsi" w:hAnsiTheme="minorHAnsi" w:cstheme="minorHAnsi"/>
          <w:color w:val="000000" w:themeColor="text1"/>
          <w:sz w:val="24"/>
          <w:szCs w:val="24"/>
        </w:rPr>
        <w:t xml:space="preserve"> r. poz. </w:t>
      </w:r>
      <w:r w:rsidR="00036838">
        <w:rPr>
          <w:rFonts w:asciiTheme="minorHAnsi" w:hAnsiTheme="minorHAnsi" w:cstheme="minorHAnsi"/>
          <w:color w:val="000000" w:themeColor="text1"/>
          <w:sz w:val="24"/>
          <w:szCs w:val="24"/>
        </w:rPr>
        <w:t>1984</w:t>
      </w:r>
      <w:r w:rsidRPr="00375799">
        <w:rPr>
          <w:rFonts w:asciiTheme="minorHAnsi" w:hAnsiTheme="minorHAnsi" w:cstheme="minorHAnsi"/>
          <w:color w:val="000000" w:themeColor="text1"/>
          <w:sz w:val="24"/>
          <w:szCs w:val="24"/>
        </w:rPr>
        <w:t>)</w:t>
      </w:r>
      <w:bookmarkEnd w:id="132"/>
    </w:p>
    <w:p w14:paraId="2854D30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930D2C4"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związku z przetwarzaniem danych osobowych uzyskanych przy realizacji zadań związanych z:</w:t>
      </w:r>
    </w:p>
    <w:p w14:paraId="41128285" w14:textId="49E99B70"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w:t>
      </w:r>
      <w:r w:rsidRPr="00375799">
        <w:rPr>
          <w:rFonts w:cstheme="minorHAnsi"/>
          <w:color w:val="000000" w:themeColor="text1"/>
          <w:sz w:val="24"/>
          <w:szCs w:val="24"/>
        </w:rPr>
        <w:tab/>
        <w:t>prowadzeniem centralnego rejestru charakterystyki energetycznej budynków, o którym mowa w art. 31 ustawy, w tym jego tworzeniem, ewidencjonowaniem i utrzymywaniem oraz aktualizacją i udostępnianiem danych</w:t>
      </w:r>
      <w:r w:rsidR="00163E54">
        <w:rPr>
          <w:rFonts w:cstheme="minorHAnsi"/>
          <w:color w:val="000000" w:themeColor="text1"/>
          <w:sz w:val="24"/>
          <w:szCs w:val="24"/>
        </w:rPr>
        <w:t>,</w:t>
      </w:r>
    </w:p>
    <w:p w14:paraId="7E25EF92" w14:textId="5FA6DFFB"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w:t>
      </w:r>
      <w:r w:rsidRPr="00375799">
        <w:rPr>
          <w:rFonts w:cstheme="minorHAnsi"/>
          <w:color w:val="000000" w:themeColor="text1"/>
          <w:sz w:val="24"/>
          <w:szCs w:val="24"/>
        </w:rPr>
        <w:tab/>
        <w:t>wpisywaniem i aktualizacją danych osób uprawnionych do sporządzania świadectw charakterystyki energetycznej oraz osób uprawnionych do kontroli systemu ogrzewania lub systemu klimatyzacji</w:t>
      </w:r>
      <w:r w:rsidR="00163E54">
        <w:rPr>
          <w:rFonts w:cstheme="minorHAnsi"/>
          <w:color w:val="000000" w:themeColor="text1"/>
          <w:sz w:val="24"/>
          <w:szCs w:val="24"/>
        </w:rPr>
        <w:t>,</w:t>
      </w:r>
    </w:p>
    <w:p w14:paraId="1064AA47" w14:textId="3EEB0D5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w:t>
      </w:r>
      <w:r w:rsidRPr="00375799">
        <w:rPr>
          <w:rFonts w:cstheme="minorHAnsi"/>
          <w:color w:val="000000" w:themeColor="text1"/>
          <w:sz w:val="24"/>
          <w:szCs w:val="24"/>
        </w:rPr>
        <w:tab/>
        <w:t>prowadzeniem postępowań w sprawie wydania decyzji, o których mowa w art. 19, art. 21, art. 25 oraz art. 26 ustawy;</w:t>
      </w:r>
    </w:p>
    <w:p w14:paraId="73AA93D5" w14:textId="1FEB9B5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4)</w:t>
      </w:r>
      <w:r w:rsidRPr="00375799">
        <w:rPr>
          <w:rFonts w:cstheme="minorHAnsi"/>
          <w:color w:val="000000" w:themeColor="text1"/>
          <w:sz w:val="24"/>
          <w:szCs w:val="24"/>
        </w:rPr>
        <w:tab/>
        <w:t>dokonywaniem weryfikacji świadectw charakterystyki energetycznej oraz protokołów z kontroli systemu ogrzewania lub systemu klimatyzacji,</w:t>
      </w:r>
    </w:p>
    <w:p w14:paraId="71F6599F" w14:textId="626FBCE5" w:rsidR="008706DD" w:rsidRPr="00375799" w:rsidRDefault="00F7657D"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 </w:t>
      </w:r>
      <w:r w:rsidR="008706DD" w:rsidRPr="00375799">
        <w:rPr>
          <w:rFonts w:cstheme="minorHAnsi"/>
          <w:color w:val="000000" w:themeColor="text1"/>
          <w:sz w:val="24"/>
          <w:szCs w:val="24"/>
        </w:rPr>
        <w:t xml:space="preserve">ograniczono stosowanie art. 15 ust. 1 lit. g </w:t>
      </w:r>
      <w:r w:rsidR="001734C1" w:rsidRPr="00375799">
        <w:rPr>
          <w:rFonts w:cstheme="minorHAnsi"/>
          <w:color w:val="000000" w:themeColor="text1"/>
          <w:sz w:val="24"/>
          <w:szCs w:val="24"/>
        </w:rPr>
        <w:t>RODO</w:t>
      </w:r>
      <w:r w:rsidR="008706DD" w:rsidRPr="00375799">
        <w:rPr>
          <w:rFonts w:cstheme="minorHAnsi"/>
          <w:color w:val="000000" w:themeColor="text1"/>
          <w:sz w:val="24"/>
          <w:szCs w:val="24"/>
        </w:rPr>
        <w:t xml:space="preserve"> (tj. jeżeli dane osobowe nie zostały zebrane od osoby, której dane dotyczą</w:t>
      </w:r>
      <w:r w:rsidR="00CA54EF">
        <w:rPr>
          <w:rFonts w:cstheme="minorHAnsi"/>
          <w:color w:val="000000" w:themeColor="text1"/>
          <w:sz w:val="24"/>
          <w:szCs w:val="24"/>
        </w:rPr>
        <w:t>.</w:t>
      </w:r>
      <w:r w:rsidR="008706DD" w:rsidRPr="00375799">
        <w:rPr>
          <w:rFonts w:cstheme="minorHAnsi"/>
          <w:color w:val="000000" w:themeColor="text1"/>
          <w:sz w:val="24"/>
          <w:szCs w:val="24"/>
        </w:rPr>
        <w:t xml:space="preserve"> osobie tej przysługuje prawo dostępu do wszelkich dostępnych informacji o źródle pozyskania jej danych osobowych). Ograniczenie to ma miejsce jedynie w zakresie wystąpień zawierających dane osobowe osób trzecich, które nie skutkują wszczęciem postępowania administracyjnego i tylko w zakresie</w:t>
      </w:r>
      <w:r w:rsidR="00CA54EF">
        <w:rPr>
          <w:rFonts w:cstheme="minorHAnsi"/>
          <w:color w:val="000000" w:themeColor="text1"/>
          <w:sz w:val="24"/>
          <w:szCs w:val="24"/>
        </w:rPr>
        <w:t>.</w:t>
      </w:r>
      <w:r w:rsidR="008706DD" w:rsidRPr="00375799">
        <w:rPr>
          <w:rFonts w:cstheme="minorHAnsi"/>
          <w:color w:val="000000" w:themeColor="text1"/>
          <w:sz w:val="24"/>
          <w:szCs w:val="24"/>
        </w:rPr>
        <w:t xml:space="preserve"> w jakim ma to wpływ na ochronę praw i wolności osób, których dane dotyczą. Chodzi tu np. o sytuacje, w których wszczęto postępowanie w sprawie wykreślenia z wykazu, o którym mowa w ar</w:t>
      </w:r>
      <w:r w:rsidR="00480FB1">
        <w:rPr>
          <w:rFonts w:cstheme="minorHAnsi"/>
          <w:color w:val="000000" w:themeColor="text1"/>
          <w:sz w:val="24"/>
          <w:szCs w:val="24"/>
        </w:rPr>
        <w:t>t. 31 ust. 1 pkt 1 lub 2 ustawy</w:t>
      </w:r>
      <w:r>
        <w:rPr>
          <w:rFonts w:cstheme="minorHAnsi"/>
          <w:color w:val="000000" w:themeColor="text1"/>
          <w:sz w:val="24"/>
          <w:szCs w:val="24"/>
        </w:rPr>
        <w:t xml:space="preserve">, </w:t>
      </w:r>
      <w:r w:rsidR="008706DD" w:rsidRPr="00375799">
        <w:rPr>
          <w:rFonts w:cstheme="minorHAnsi"/>
          <w:color w:val="000000" w:themeColor="text1"/>
          <w:sz w:val="24"/>
          <w:szCs w:val="24"/>
        </w:rPr>
        <w:t>na podstawie wniosku/zawiadomienia osoby trzeciej. W sytuacji takiej dane osoby zawiadamiającej nie powinny być udostępniane kontrolowanemu podmiotowi.</w:t>
      </w:r>
    </w:p>
    <w:p w14:paraId="12D92F43" w14:textId="2CB4304E"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wyraźnie wskazano, iż wystąpienie z żądaniem, o którym mowa w art. 18 ust. 1 </w:t>
      </w:r>
      <w:r w:rsidR="001734C1" w:rsidRPr="00375799">
        <w:rPr>
          <w:rFonts w:cstheme="minorHAnsi"/>
          <w:color w:val="000000" w:themeColor="text1"/>
          <w:sz w:val="24"/>
          <w:szCs w:val="24"/>
        </w:rPr>
        <w:t>RODO</w:t>
      </w:r>
      <w:r w:rsidRPr="00375799">
        <w:rPr>
          <w:rFonts w:cstheme="minorHAnsi"/>
          <w:color w:val="000000" w:themeColor="text1"/>
          <w:sz w:val="24"/>
          <w:szCs w:val="24"/>
        </w:rPr>
        <w:t xml:space="preserve"> (tj. prawo żądania przez osobę, której dane osobowe dotyczą, ograniczenia przetwarzania jej danych) nie wpływa na realizację przez ministra właściwego do spraw budownictwa, planowania i zagospodarowania przestrzennego oraz mieszkalnictwa zadań w zakresie:</w:t>
      </w:r>
    </w:p>
    <w:p w14:paraId="30F6D29D" w14:textId="17ADDAEF"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1)</w:t>
      </w:r>
      <w:r w:rsidRPr="00375799">
        <w:rPr>
          <w:rFonts w:cstheme="minorHAnsi"/>
          <w:color w:val="000000" w:themeColor="text1"/>
          <w:sz w:val="24"/>
          <w:szCs w:val="24"/>
        </w:rPr>
        <w:tab/>
        <w:t>prowadzenia kontroli</w:t>
      </w:r>
      <w:r w:rsidR="00F7657D">
        <w:rPr>
          <w:rFonts w:cstheme="minorHAnsi"/>
          <w:color w:val="000000" w:themeColor="text1"/>
          <w:sz w:val="24"/>
          <w:szCs w:val="24"/>
        </w:rPr>
        <w:t>;</w:t>
      </w:r>
    </w:p>
    <w:p w14:paraId="3751BB59" w14:textId="28FBA8A8" w:rsidR="008706DD" w:rsidRPr="00375799" w:rsidRDefault="008706DD" w:rsidP="00375799">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w:t>
      </w:r>
      <w:r w:rsidRPr="00375799">
        <w:rPr>
          <w:rFonts w:cstheme="minorHAnsi"/>
          <w:color w:val="000000" w:themeColor="text1"/>
          <w:sz w:val="24"/>
          <w:szCs w:val="24"/>
        </w:rPr>
        <w:tab/>
        <w:t>prowadzenia centralnego rejestru charakterystyki energetycznej budynków, o którym mowa w art. 31 ustawy, w tym jego tworzenia, ewidencjonowania i utrzymywania oraz aktualizacji i udostępniania danych</w:t>
      </w:r>
      <w:r w:rsidR="00F7657D">
        <w:rPr>
          <w:rFonts w:cstheme="minorHAnsi"/>
          <w:color w:val="000000" w:themeColor="text1"/>
          <w:sz w:val="24"/>
          <w:szCs w:val="24"/>
        </w:rPr>
        <w:t>;</w:t>
      </w:r>
    </w:p>
    <w:p w14:paraId="558D1C8C" w14:textId="4701B6C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w:t>
      </w:r>
      <w:r w:rsidRPr="00375799">
        <w:rPr>
          <w:rFonts w:cstheme="minorHAnsi"/>
          <w:color w:val="000000" w:themeColor="text1"/>
          <w:sz w:val="24"/>
          <w:szCs w:val="24"/>
        </w:rPr>
        <w:tab/>
        <w:t>wpisywania i aktualizacji danych osób uprawnionych do sporządzania świadectw charakterystyki energetycznej oraz osób uprawnionych do kontroli systemu ogrzewania lub systemu klimatyzacji, spełniających wymagania, o których mowa odpowiednio w art. 17, art. 22, art. 24, art. 27 oraz art. 34 ustawy do wykazów, o których mowa w art. 31 ust. 1 pkt 1 i 2 tej ustawy</w:t>
      </w:r>
      <w:r w:rsidR="00F7657D">
        <w:rPr>
          <w:rFonts w:cstheme="minorHAnsi"/>
          <w:color w:val="000000" w:themeColor="text1"/>
          <w:sz w:val="24"/>
          <w:szCs w:val="24"/>
        </w:rPr>
        <w:t>;</w:t>
      </w:r>
    </w:p>
    <w:p w14:paraId="218D112F"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4)</w:t>
      </w:r>
      <w:r w:rsidRPr="00375799">
        <w:rPr>
          <w:rFonts w:cstheme="minorHAnsi"/>
          <w:color w:val="000000" w:themeColor="text1"/>
          <w:sz w:val="24"/>
          <w:szCs w:val="24"/>
        </w:rPr>
        <w:tab/>
        <w:t xml:space="preserve">weryfikacji świadectw charakterystyki energetycznej oraz protokołów z kontroli systemu ogrzewania lub systemu klimatyzacji, o których mowa w art. 36 ustawy. </w:t>
      </w:r>
    </w:p>
    <w:p w14:paraId="3BD90840"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Powyższe ma na celu umożliwienie skutecznego i efektywnego wykonywania ww. zadań (uniemożliwienie wykorzystywania prawa do ograniczenia przetwarzania danych w celu przedłużania lub blokowania działań organów w ww. zakresie).</w:t>
      </w:r>
    </w:p>
    <w:p w14:paraId="101E405E" w14:textId="3D26D79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przedmiotowej ustawie nie wprowadzono ograniczeń stosowania art. 21 ust. 1 </w:t>
      </w:r>
      <w:r w:rsidR="006E00BC" w:rsidRPr="00375799">
        <w:rPr>
          <w:rFonts w:cstheme="minorHAnsi"/>
          <w:color w:val="000000" w:themeColor="text1"/>
          <w:sz w:val="24"/>
          <w:szCs w:val="24"/>
        </w:rPr>
        <w:t>RODO</w:t>
      </w:r>
      <w:r w:rsidR="006E00BC" w:rsidRPr="00375799" w:rsidDel="006E00BC">
        <w:rPr>
          <w:rFonts w:cstheme="minorHAnsi"/>
          <w:color w:val="000000" w:themeColor="text1"/>
          <w:sz w:val="24"/>
          <w:szCs w:val="24"/>
        </w:rPr>
        <w:t xml:space="preserve"> </w:t>
      </w:r>
      <w:r w:rsidRPr="00375799">
        <w:rPr>
          <w:rFonts w:cstheme="minorHAnsi"/>
          <w:color w:val="000000" w:themeColor="text1"/>
          <w:sz w:val="24"/>
          <w:szCs w:val="24"/>
        </w:rPr>
        <w:t>(tj. prawo osoby, której dane osobowe dotyczą</w:t>
      </w:r>
      <w:r w:rsidR="00CA54EF">
        <w:rPr>
          <w:rFonts w:cstheme="minorHAnsi"/>
          <w:color w:val="000000" w:themeColor="text1"/>
          <w:sz w:val="24"/>
          <w:szCs w:val="24"/>
        </w:rPr>
        <w:t>.</w:t>
      </w:r>
      <w:r w:rsidRPr="00375799">
        <w:rPr>
          <w:rFonts w:cstheme="minorHAnsi"/>
          <w:color w:val="000000" w:themeColor="text1"/>
          <w:sz w:val="24"/>
          <w:szCs w:val="24"/>
        </w:rPr>
        <w:t xml:space="preserve"> do sprzeciwu wobec przetwarzania jej danych osobowych opartego na art. 6 ust.1 lit. e lub f </w:t>
      </w:r>
      <w:r w:rsidR="00F7657D">
        <w:rPr>
          <w:rFonts w:cstheme="minorHAnsi"/>
          <w:color w:val="000000" w:themeColor="text1"/>
          <w:sz w:val="24"/>
          <w:szCs w:val="24"/>
        </w:rPr>
        <w:t>RODO</w:t>
      </w:r>
      <w:r w:rsidRPr="00375799">
        <w:rPr>
          <w:rFonts w:cstheme="minorHAnsi"/>
          <w:color w:val="000000" w:themeColor="text1"/>
          <w:sz w:val="24"/>
          <w:szCs w:val="24"/>
        </w:rPr>
        <w:t xml:space="preserve">), bowiem podstawą przetwarzania danych osobowych przez organy realizujące zadania wskazane w ww. ustawie jest art. 6 ust. 1 lit. c </w:t>
      </w:r>
      <w:r w:rsidR="006E00BC" w:rsidRPr="00375799">
        <w:rPr>
          <w:rFonts w:cstheme="minorHAnsi"/>
          <w:color w:val="000000" w:themeColor="text1"/>
          <w:sz w:val="24"/>
          <w:szCs w:val="24"/>
        </w:rPr>
        <w:t>RODO</w:t>
      </w:r>
      <w:r w:rsidR="006E00BC" w:rsidRPr="00375799" w:rsidDel="006E00BC">
        <w:rPr>
          <w:rFonts w:cstheme="minorHAnsi"/>
          <w:color w:val="000000" w:themeColor="text1"/>
          <w:sz w:val="24"/>
          <w:szCs w:val="24"/>
        </w:rPr>
        <w:t xml:space="preserve"> </w:t>
      </w:r>
      <w:r w:rsidRPr="00375799">
        <w:rPr>
          <w:rFonts w:cstheme="minorHAnsi"/>
          <w:color w:val="000000" w:themeColor="text1"/>
          <w:sz w:val="24"/>
          <w:szCs w:val="24"/>
        </w:rPr>
        <w:t xml:space="preserve">(przetwarzanie jest niezbędne do wypełnienia obowiązku prawnego ciążącego na administratorze). Oznacza to, że art. 21 ust. 1 </w:t>
      </w:r>
      <w:r w:rsidR="006E00BC" w:rsidRPr="00375799">
        <w:rPr>
          <w:rFonts w:cstheme="minorHAnsi"/>
          <w:color w:val="000000" w:themeColor="text1"/>
          <w:sz w:val="24"/>
          <w:szCs w:val="24"/>
        </w:rPr>
        <w:t>RODO</w:t>
      </w:r>
      <w:r w:rsidRPr="00375799">
        <w:rPr>
          <w:rFonts w:cstheme="minorHAnsi"/>
          <w:color w:val="000000" w:themeColor="text1"/>
          <w:sz w:val="24"/>
          <w:szCs w:val="24"/>
        </w:rPr>
        <w:t xml:space="preserve"> nie ma wówczas zastosowania.</w:t>
      </w:r>
    </w:p>
    <w:p w14:paraId="739803B4" w14:textId="77777777" w:rsidR="009D7AF5" w:rsidRPr="00375799" w:rsidRDefault="009D7AF5" w:rsidP="0055107B">
      <w:pPr>
        <w:spacing w:after="0" w:line="276" w:lineRule="auto"/>
        <w:ind w:left="57" w:right="57"/>
        <w:contextualSpacing/>
        <w:jc w:val="both"/>
        <w:rPr>
          <w:rFonts w:cstheme="minorHAnsi"/>
          <w:color w:val="000000" w:themeColor="text1"/>
          <w:sz w:val="24"/>
          <w:szCs w:val="24"/>
        </w:rPr>
      </w:pPr>
    </w:p>
    <w:p w14:paraId="29D2FB04" w14:textId="2FA9063C"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33" w:name="_Toc530565105"/>
      <w:r w:rsidRPr="00375799">
        <w:rPr>
          <w:rFonts w:asciiTheme="minorHAnsi" w:hAnsiTheme="minorHAnsi" w:cstheme="minorHAnsi"/>
          <w:color w:val="000000" w:themeColor="text1"/>
          <w:sz w:val="24"/>
          <w:szCs w:val="24"/>
        </w:rPr>
        <w:t>Ustawa z dnia 28 listopada 2014 r.</w:t>
      </w:r>
      <w:r w:rsidR="00CA54EF">
        <w:rPr>
          <w:rFonts w:asciiTheme="minorHAnsi" w:hAnsiTheme="minorHAnsi" w:cstheme="minorHAnsi"/>
          <w:color w:val="000000" w:themeColor="text1"/>
          <w:sz w:val="24"/>
          <w:szCs w:val="24"/>
        </w:rPr>
        <w:t xml:space="preserve"> </w:t>
      </w:r>
      <w:r w:rsidR="00CF7B15">
        <w:rPr>
          <w:rFonts w:asciiTheme="minorHAnsi" w:hAnsiTheme="minorHAnsi" w:cstheme="minorHAnsi"/>
          <w:color w:val="000000" w:themeColor="text1"/>
          <w:sz w:val="24"/>
          <w:szCs w:val="24"/>
        </w:rPr>
        <w:t>–</w:t>
      </w:r>
      <w:r w:rsidR="00294795" w:rsidRPr="00375799">
        <w:rPr>
          <w:rFonts w:asciiTheme="minorHAnsi" w:hAnsiTheme="minorHAnsi" w:cstheme="minorHAnsi"/>
          <w:color w:val="000000" w:themeColor="text1"/>
          <w:sz w:val="24"/>
          <w:szCs w:val="24"/>
        </w:rPr>
        <w:t xml:space="preserve"> Prawo</w:t>
      </w:r>
      <w:r w:rsidRPr="00375799">
        <w:rPr>
          <w:rFonts w:asciiTheme="minorHAnsi" w:hAnsiTheme="minorHAnsi" w:cstheme="minorHAnsi"/>
          <w:color w:val="000000" w:themeColor="text1"/>
          <w:sz w:val="24"/>
          <w:szCs w:val="24"/>
        </w:rPr>
        <w:t xml:space="preserve"> o aktach stanu cywilnego </w:t>
      </w:r>
      <w:r w:rsidR="00B84CD7" w:rsidRPr="00375799">
        <w:rPr>
          <w:rFonts w:asciiTheme="minorHAnsi" w:hAnsiTheme="minorHAnsi" w:cstheme="minorHAnsi"/>
          <w:color w:val="000000" w:themeColor="text1"/>
          <w:sz w:val="24"/>
          <w:szCs w:val="24"/>
        </w:rPr>
        <w:t>(Dz. U. z 2016 r. poz. 2064</w:t>
      </w:r>
      <w:r w:rsidR="00CA54EF">
        <w:rPr>
          <w:rFonts w:asciiTheme="minorHAnsi" w:hAnsiTheme="minorHAnsi" w:cstheme="minorHAnsi"/>
          <w:color w:val="000000" w:themeColor="text1"/>
          <w:sz w:val="24"/>
          <w:szCs w:val="24"/>
        </w:rPr>
        <w:t>,</w:t>
      </w:r>
      <w:r w:rsidR="00CF7B15">
        <w:rPr>
          <w:rFonts w:asciiTheme="minorHAnsi" w:hAnsiTheme="minorHAnsi" w:cstheme="minorHAnsi"/>
          <w:color w:val="000000" w:themeColor="text1"/>
          <w:sz w:val="24"/>
          <w:szCs w:val="24"/>
        </w:rPr>
        <w:t xml:space="preserve"> z</w:t>
      </w:r>
      <w:r w:rsidR="00B84CD7" w:rsidRPr="00375799">
        <w:rPr>
          <w:rFonts w:asciiTheme="minorHAnsi" w:hAnsiTheme="minorHAnsi" w:cstheme="minorHAnsi"/>
          <w:color w:val="000000" w:themeColor="text1"/>
          <w:sz w:val="24"/>
          <w:szCs w:val="24"/>
        </w:rPr>
        <w:t xml:space="preserve"> 2017 r. poz. 1524 oraz z 2018 r. poz. 696</w:t>
      </w:r>
      <w:r w:rsidR="00036838">
        <w:rPr>
          <w:rFonts w:asciiTheme="minorHAnsi" w:hAnsiTheme="minorHAnsi" w:cstheme="minorHAnsi"/>
          <w:color w:val="000000" w:themeColor="text1"/>
          <w:sz w:val="24"/>
          <w:szCs w:val="24"/>
        </w:rPr>
        <w:t xml:space="preserve"> i 1669</w:t>
      </w:r>
      <w:r w:rsidR="00B84CD7" w:rsidRPr="00375799">
        <w:rPr>
          <w:rFonts w:asciiTheme="minorHAnsi" w:hAnsiTheme="minorHAnsi" w:cstheme="minorHAnsi"/>
          <w:color w:val="000000" w:themeColor="text1"/>
          <w:sz w:val="24"/>
          <w:szCs w:val="24"/>
        </w:rPr>
        <w:t>)</w:t>
      </w:r>
      <w:bookmarkEnd w:id="133"/>
    </w:p>
    <w:p w14:paraId="1DF48E37"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4A008B94" w14:textId="0B6A0239"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 dotyczy przepisów przejściowych w zakresie przekazywania ksiąg stanu cywilnego do archiwum i ma na celu zapewnienie, że nie zostaną przekazane, a w konsekwencji nie będą podlegały powszechnemu udostępnieniu akty osó</w:t>
      </w:r>
      <w:r w:rsidR="00A66423">
        <w:rPr>
          <w:rFonts w:cstheme="minorHAnsi"/>
          <w:color w:val="000000" w:themeColor="text1"/>
          <w:sz w:val="24"/>
          <w:szCs w:val="24"/>
        </w:rPr>
        <w:t>b żyjących (kwestia osób 100+).</w:t>
      </w:r>
    </w:p>
    <w:p w14:paraId="11F77E11" w14:textId="08432269" w:rsidR="00294795" w:rsidRPr="00375799" w:rsidRDefault="00294795" w:rsidP="0055107B">
      <w:pPr>
        <w:spacing w:line="276" w:lineRule="auto"/>
        <w:contextualSpacing/>
        <w:jc w:val="both"/>
        <w:rPr>
          <w:rFonts w:cstheme="minorHAnsi"/>
          <w:color w:val="000000" w:themeColor="text1"/>
          <w:sz w:val="24"/>
          <w:szCs w:val="24"/>
        </w:rPr>
      </w:pPr>
      <w:r w:rsidRPr="00375799">
        <w:rPr>
          <w:rFonts w:cstheme="minorHAnsi"/>
          <w:color w:val="000000" w:themeColor="text1"/>
          <w:sz w:val="24"/>
          <w:szCs w:val="24"/>
        </w:rPr>
        <w:t xml:space="preserve">Rejestracja stanu cywilnego polega na odnotowywaniu w centralnym rejestrze podstawowych zdarzeń w życiu człowieka, które kształtują byt </w:t>
      </w:r>
      <w:proofErr w:type="spellStart"/>
      <w:r w:rsidRPr="00375799">
        <w:rPr>
          <w:rFonts w:cstheme="minorHAnsi"/>
          <w:color w:val="000000" w:themeColor="text1"/>
          <w:sz w:val="24"/>
          <w:szCs w:val="24"/>
        </w:rPr>
        <w:t>administracyjno</w:t>
      </w:r>
      <w:proofErr w:type="spellEnd"/>
      <w:r w:rsidRPr="00375799">
        <w:rPr>
          <w:rFonts w:cstheme="minorHAnsi"/>
          <w:color w:val="000000" w:themeColor="text1"/>
          <w:sz w:val="24"/>
          <w:szCs w:val="24"/>
        </w:rPr>
        <w:t xml:space="preserve"> - prawny osoby,  w tym jej podstawowe dane osobowe, takie jak: imię, nazwisko, imiona i nazwiska rodziców, datę urodzenia, małżeństwa itd.  Rejestr Stanu Cywilnego jest także rejestrem referencyjnym dla rejestru PESEL i w związku z tym dane w tym rejestrze muszą być pewne, oparte na właściwej dokumentacji i przechowywane przez odpowiednio długi okres czasu, a dostęp do nich, odpowiednio uregulowany. Zmieniana ustawa </w:t>
      </w:r>
      <w:r w:rsidR="00CA54EF">
        <w:rPr>
          <w:rFonts w:cstheme="minorHAnsi"/>
          <w:color w:val="000000" w:themeColor="text1"/>
          <w:sz w:val="24"/>
          <w:szCs w:val="24"/>
        </w:rPr>
        <w:t xml:space="preserve">– </w:t>
      </w:r>
      <w:r w:rsidRPr="00375799">
        <w:rPr>
          <w:rFonts w:cstheme="minorHAnsi"/>
          <w:color w:val="000000" w:themeColor="text1"/>
          <w:sz w:val="24"/>
          <w:szCs w:val="24"/>
        </w:rPr>
        <w:t xml:space="preserve">Prawo o aktach stanu cywilnego zawiera wiele bardzo szczegółowych regulacji dotyczących przetwarzania danych osobowych, w tym dotyczących zasad ich zbierania, zakresu zbieranych danych, właściwych organów i ich zadań, trybu zmiany, uzupełniania i sprostowania danych, zasad dostępu do danych zarówno dla osób, których dane dotyczą, jak i organów państwowych i innych osób </w:t>
      </w:r>
      <w:r w:rsidRPr="00375799">
        <w:rPr>
          <w:rFonts w:cstheme="minorHAnsi"/>
          <w:color w:val="000000" w:themeColor="text1"/>
          <w:sz w:val="24"/>
          <w:szCs w:val="24"/>
        </w:rPr>
        <w:lastRenderedPageBreak/>
        <w:t xml:space="preserve">fizycznych oraz okresu przechowywania danych. W związku z powyższym dostosowanie ustawy do </w:t>
      </w:r>
      <w:r w:rsidR="00F7657D">
        <w:rPr>
          <w:rFonts w:cstheme="minorHAnsi"/>
          <w:color w:val="000000" w:themeColor="text1"/>
          <w:sz w:val="24"/>
          <w:szCs w:val="24"/>
        </w:rPr>
        <w:t>RODO</w:t>
      </w:r>
      <w:r w:rsidRPr="00375799">
        <w:rPr>
          <w:rFonts w:cstheme="minorHAnsi"/>
          <w:color w:val="000000" w:themeColor="text1"/>
          <w:sz w:val="24"/>
          <w:szCs w:val="24"/>
        </w:rPr>
        <w:t xml:space="preserve"> polegało przede wszystkim na: </w:t>
      </w:r>
    </w:p>
    <w:p w14:paraId="5EAC08B9" w14:textId="156145DB" w:rsidR="00294795" w:rsidRPr="00375799" w:rsidRDefault="00F7657D" w:rsidP="000F5261">
      <w:pPr>
        <w:pStyle w:val="Akapitzlist"/>
        <w:numPr>
          <w:ilvl w:val="0"/>
          <w:numId w:val="6"/>
        </w:num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d</w:t>
      </w:r>
      <w:r w:rsidR="00294795" w:rsidRPr="00375799">
        <w:rPr>
          <w:rFonts w:asciiTheme="minorHAnsi" w:hAnsiTheme="minorHAnsi" w:cstheme="minorHAnsi"/>
          <w:color w:val="000000" w:themeColor="text1"/>
          <w:sz w:val="24"/>
          <w:szCs w:val="24"/>
        </w:rPr>
        <w:t>oprecyzowaniu, jakie organy i w jakim zakresie przetwarzają dane osobowe, oraz precyzyjnym określeniu  podziału zadań związanych z przetwarzaniem danych osobowych w rejestrze stanu cywilnego. Zaproponowane regulacje odzwierciedlają stan faktyczny w tym zakresie, niemniej w świetle rozporządzenia, niezbędnym wydaje się precyzyjne ich określenie w prawie krajowym</w:t>
      </w:r>
      <w:r>
        <w:rPr>
          <w:rFonts w:asciiTheme="minorHAnsi" w:hAnsiTheme="minorHAnsi" w:cstheme="minorHAnsi"/>
          <w:color w:val="000000" w:themeColor="text1"/>
          <w:sz w:val="24"/>
          <w:szCs w:val="24"/>
        </w:rPr>
        <w:t>;</w:t>
      </w:r>
    </w:p>
    <w:p w14:paraId="08D7840B" w14:textId="15B6C808" w:rsidR="00294795" w:rsidRPr="00375799" w:rsidRDefault="00F7657D" w:rsidP="000F5261">
      <w:pPr>
        <w:pStyle w:val="Akapitzlist"/>
        <w:numPr>
          <w:ilvl w:val="0"/>
          <w:numId w:val="6"/>
        </w:num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d</w:t>
      </w:r>
      <w:r w:rsidR="00294795" w:rsidRPr="00375799">
        <w:rPr>
          <w:rFonts w:asciiTheme="minorHAnsi" w:hAnsiTheme="minorHAnsi" w:cstheme="minorHAnsi"/>
          <w:color w:val="000000" w:themeColor="text1"/>
          <w:sz w:val="24"/>
          <w:szCs w:val="24"/>
        </w:rPr>
        <w:t>oprecyzowan</w:t>
      </w:r>
      <w:r w:rsidR="00CA54EF">
        <w:rPr>
          <w:rFonts w:asciiTheme="minorHAnsi" w:hAnsiTheme="minorHAnsi" w:cstheme="minorHAnsi"/>
          <w:color w:val="000000" w:themeColor="text1"/>
          <w:sz w:val="24"/>
          <w:szCs w:val="24"/>
        </w:rPr>
        <w:t>iu</w:t>
      </w:r>
      <w:r w:rsidR="00294795" w:rsidRPr="00375799">
        <w:rPr>
          <w:rFonts w:asciiTheme="minorHAnsi" w:hAnsiTheme="minorHAnsi" w:cstheme="minorHAnsi"/>
          <w:color w:val="000000" w:themeColor="text1"/>
          <w:sz w:val="24"/>
          <w:szCs w:val="24"/>
        </w:rPr>
        <w:t xml:space="preserve"> </w:t>
      </w:r>
      <w:proofErr w:type="spellStart"/>
      <w:r w:rsidR="00294795" w:rsidRPr="00375799">
        <w:rPr>
          <w:rFonts w:asciiTheme="minorHAnsi" w:hAnsiTheme="minorHAnsi" w:cstheme="minorHAnsi"/>
          <w:color w:val="000000" w:themeColor="text1"/>
          <w:sz w:val="24"/>
          <w:szCs w:val="24"/>
        </w:rPr>
        <w:t>sposób</w:t>
      </w:r>
      <w:r>
        <w:rPr>
          <w:rFonts w:asciiTheme="minorHAnsi" w:hAnsiTheme="minorHAnsi" w:cstheme="minorHAnsi"/>
          <w:color w:val="000000" w:themeColor="text1"/>
          <w:sz w:val="24"/>
          <w:szCs w:val="24"/>
        </w:rPr>
        <w:t>u</w:t>
      </w:r>
      <w:proofErr w:type="spellEnd"/>
      <w:r w:rsidR="00294795" w:rsidRPr="00375799">
        <w:rPr>
          <w:rFonts w:asciiTheme="minorHAnsi" w:hAnsiTheme="minorHAnsi" w:cstheme="minorHAnsi"/>
          <w:color w:val="000000" w:themeColor="text1"/>
          <w:sz w:val="24"/>
          <w:szCs w:val="24"/>
        </w:rPr>
        <w:t xml:space="preserve"> postępowania z aktami, dla których minęły podstawowe okresy przechowywania aktu w urzędzie, a które dotyczą osób żyjących i w związku z tym dane osobowe w nich zawarte podlegają ochronie. Zmiany dotyczą aktów sporządzonych</w:t>
      </w:r>
      <w:r w:rsidR="00CA54EF">
        <w:rPr>
          <w:rFonts w:asciiTheme="minorHAnsi" w:hAnsiTheme="minorHAnsi" w:cstheme="minorHAnsi"/>
          <w:color w:val="000000" w:themeColor="text1"/>
          <w:sz w:val="24"/>
          <w:szCs w:val="24"/>
        </w:rPr>
        <w:t xml:space="preserve"> zarówno w rejestracji bieżącej</w:t>
      </w:r>
      <w:r w:rsidR="00294795" w:rsidRPr="00375799">
        <w:rPr>
          <w:rFonts w:asciiTheme="minorHAnsi" w:hAnsiTheme="minorHAnsi" w:cstheme="minorHAnsi"/>
          <w:color w:val="000000" w:themeColor="text1"/>
          <w:sz w:val="24"/>
          <w:szCs w:val="24"/>
        </w:rPr>
        <w:t xml:space="preserve"> w rejestrze stanu cywilnego, jak i tych, które zostały sporządzone w papierowych księgach stanu cywilnego przed dniem wejścia w życie ustawy </w:t>
      </w:r>
      <w:r>
        <w:rPr>
          <w:rFonts w:asciiTheme="minorHAnsi" w:hAnsiTheme="minorHAnsi" w:cstheme="minorHAnsi"/>
          <w:color w:val="000000" w:themeColor="text1"/>
          <w:sz w:val="24"/>
          <w:szCs w:val="24"/>
        </w:rPr>
        <w:t>;</w:t>
      </w:r>
    </w:p>
    <w:p w14:paraId="4EF13D83" w14:textId="202494C1" w:rsidR="00294795" w:rsidRPr="00CA54EF" w:rsidRDefault="00F7657D" w:rsidP="00CA54EF">
      <w:pPr>
        <w:pStyle w:val="Akapitzlist"/>
        <w:numPr>
          <w:ilvl w:val="0"/>
          <w:numId w:val="6"/>
        </w:numPr>
        <w:rPr>
          <w:rFonts w:asciiTheme="minorHAnsi" w:hAnsiTheme="minorHAnsi" w:cstheme="minorHAnsi"/>
          <w:color w:val="000000" w:themeColor="text1"/>
          <w:sz w:val="24"/>
          <w:szCs w:val="24"/>
        </w:rPr>
      </w:pPr>
      <w:r>
        <w:rPr>
          <w:rFonts w:asciiTheme="minorHAnsi" w:hAnsiTheme="minorHAnsi" w:cstheme="minorHAnsi"/>
          <w:color w:val="000000" w:themeColor="text1"/>
          <w:sz w:val="24"/>
          <w:szCs w:val="24"/>
        </w:rPr>
        <w:t>w</w:t>
      </w:r>
      <w:r w:rsidR="00294795" w:rsidRPr="00CA54EF">
        <w:rPr>
          <w:rFonts w:asciiTheme="minorHAnsi" w:hAnsiTheme="minorHAnsi" w:cstheme="minorHAnsi"/>
          <w:color w:val="000000" w:themeColor="text1"/>
          <w:sz w:val="24"/>
          <w:szCs w:val="24"/>
        </w:rPr>
        <w:t>prowadzeniu obowiązku trwałego usuwania danych z systemów wspomagających prowadzenie papierowej rejestracji stanu cywilnego przed 2015 r. przez urzędy stanu cywilnego po przeniesieniu papierowego aktu stanu cywilnego do rejestru stanu cywilnego.</w:t>
      </w:r>
    </w:p>
    <w:p w14:paraId="612D9B2A"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DA68BC7" w14:textId="3C1D960B"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34" w:name="_Toc530565106"/>
      <w:r w:rsidRPr="00375799">
        <w:rPr>
          <w:rFonts w:asciiTheme="minorHAnsi" w:hAnsiTheme="minorHAnsi" w:cstheme="minorHAnsi"/>
          <w:color w:val="000000" w:themeColor="text1"/>
          <w:sz w:val="24"/>
          <w:szCs w:val="24"/>
        </w:rPr>
        <w:t xml:space="preserve">Ustawa z dnia 28 listopada 2014 r. o komisjach lekarskich podległych ministrowi właściwemu do spraw wewnętrznych </w:t>
      </w:r>
      <w:r w:rsidR="00B84CD7" w:rsidRPr="00375799">
        <w:rPr>
          <w:rFonts w:asciiTheme="minorHAnsi" w:hAnsiTheme="minorHAnsi" w:cstheme="minorHAnsi"/>
          <w:color w:val="000000" w:themeColor="text1"/>
          <w:sz w:val="24"/>
          <w:szCs w:val="24"/>
        </w:rPr>
        <w:t xml:space="preserve">(Dz. U. z 2018 </w:t>
      </w:r>
      <w:r w:rsidR="00CA54EF">
        <w:rPr>
          <w:rFonts w:asciiTheme="minorHAnsi" w:hAnsiTheme="minorHAnsi" w:cstheme="minorHAnsi"/>
          <w:color w:val="000000" w:themeColor="text1"/>
          <w:sz w:val="24"/>
          <w:szCs w:val="24"/>
        </w:rPr>
        <w:t xml:space="preserve">r. </w:t>
      </w:r>
      <w:r w:rsidR="00B84CD7" w:rsidRPr="00375799">
        <w:rPr>
          <w:rFonts w:asciiTheme="minorHAnsi" w:hAnsiTheme="minorHAnsi" w:cstheme="minorHAnsi"/>
          <w:color w:val="000000" w:themeColor="text1"/>
          <w:sz w:val="24"/>
          <w:szCs w:val="24"/>
        </w:rPr>
        <w:t>poz. 481,</w:t>
      </w:r>
      <w:r w:rsidR="00CA54EF">
        <w:rPr>
          <w:rFonts w:asciiTheme="minorHAnsi" w:hAnsiTheme="minorHAnsi" w:cstheme="minorHAnsi"/>
          <w:color w:val="000000" w:themeColor="text1"/>
          <w:sz w:val="24"/>
          <w:szCs w:val="24"/>
        </w:rPr>
        <w:t xml:space="preserve"> </w:t>
      </w:r>
      <w:r w:rsidR="00B84CD7" w:rsidRPr="00375799">
        <w:rPr>
          <w:rFonts w:asciiTheme="minorHAnsi" w:hAnsiTheme="minorHAnsi" w:cstheme="minorHAnsi"/>
          <w:color w:val="000000" w:themeColor="text1"/>
          <w:sz w:val="24"/>
          <w:szCs w:val="24"/>
        </w:rPr>
        <w:t>730 i 912)</w:t>
      </w:r>
      <w:bookmarkEnd w:id="134"/>
    </w:p>
    <w:p w14:paraId="694D0BE2" w14:textId="77777777" w:rsidR="00F50614" w:rsidRPr="00375799" w:rsidRDefault="00F50614" w:rsidP="0055107B">
      <w:pPr>
        <w:spacing w:after="0" w:line="276" w:lineRule="auto"/>
        <w:ind w:left="57" w:right="57"/>
        <w:contextualSpacing/>
        <w:jc w:val="both"/>
        <w:rPr>
          <w:rFonts w:cstheme="minorHAnsi"/>
          <w:color w:val="000000" w:themeColor="text1"/>
          <w:sz w:val="24"/>
          <w:szCs w:val="24"/>
        </w:rPr>
      </w:pPr>
    </w:p>
    <w:p w14:paraId="2AAA5A32" w14:textId="5225DA86" w:rsidR="00876815" w:rsidRPr="00375799" w:rsidRDefault="00876815"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Celem projektowanych zmian jest dostosowanie przepisów ustawy z dnia 28 listopada 2014 r. o komisjach lekarskich podległych ministrowi właściwemu do spraw wewnętrznych (Dz. U. z 2018</w:t>
      </w:r>
      <w:r w:rsidR="00CA54EF">
        <w:rPr>
          <w:rFonts w:cstheme="minorHAnsi"/>
          <w:color w:val="000000" w:themeColor="text1"/>
          <w:sz w:val="24"/>
          <w:szCs w:val="24"/>
        </w:rPr>
        <w:t xml:space="preserve"> r.</w:t>
      </w:r>
      <w:r w:rsidRPr="00375799">
        <w:rPr>
          <w:rFonts w:cstheme="minorHAnsi"/>
          <w:color w:val="000000" w:themeColor="text1"/>
          <w:sz w:val="24"/>
          <w:szCs w:val="24"/>
        </w:rPr>
        <w:t xml:space="preserve"> poz. 481, z późn. zm.), zwanej dalej „ustawą o komisjach lekarskich”, do unijnego systemu ochrony danych osobowych. </w:t>
      </w:r>
    </w:p>
    <w:p w14:paraId="6452F7CB" w14:textId="750944C8" w:rsidR="00876815" w:rsidRPr="00375799" w:rsidRDefault="00876815"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Konieczne jest bowiem z jednej strony nałożenie na podmioty wskazane </w:t>
      </w:r>
      <w:r w:rsidR="00CA54EF">
        <w:rPr>
          <w:rFonts w:cstheme="minorHAnsi"/>
          <w:color w:val="000000" w:themeColor="text1"/>
          <w:sz w:val="24"/>
          <w:szCs w:val="24"/>
        </w:rPr>
        <w:t xml:space="preserve">w </w:t>
      </w:r>
      <w:r w:rsidRPr="00375799">
        <w:rPr>
          <w:rFonts w:cstheme="minorHAnsi"/>
          <w:color w:val="000000" w:themeColor="text1"/>
          <w:sz w:val="24"/>
          <w:szCs w:val="24"/>
        </w:rPr>
        <w:t>nowo</w:t>
      </w:r>
      <w:r w:rsidR="00CA54EF">
        <w:rPr>
          <w:rFonts w:cstheme="minorHAnsi"/>
          <w:color w:val="000000" w:themeColor="text1"/>
          <w:sz w:val="24"/>
          <w:szCs w:val="24"/>
        </w:rPr>
        <w:t xml:space="preserve"> </w:t>
      </w:r>
      <w:r w:rsidRPr="00375799">
        <w:rPr>
          <w:rFonts w:cstheme="minorHAnsi"/>
          <w:color w:val="000000" w:themeColor="text1"/>
          <w:sz w:val="24"/>
          <w:szCs w:val="24"/>
        </w:rPr>
        <w:t xml:space="preserve">projektowanym art. 4a ust. 1 ustawy o komisjach lekarskich obowiązku udzielania </w:t>
      </w:r>
      <w:r w:rsidR="00CA54EF">
        <w:rPr>
          <w:rFonts w:cstheme="minorHAnsi"/>
          <w:color w:val="000000" w:themeColor="text1"/>
          <w:sz w:val="24"/>
          <w:szCs w:val="24"/>
        </w:rPr>
        <w:t>ww. </w:t>
      </w:r>
      <w:r w:rsidRPr="00375799">
        <w:rPr>
          <w:rFonts w:cstheme="minorHAnsi"/>
          <w:color w:val="000000" w:themeColor="text1"/>
          <w:sz w:val="24"/>
          <w:szCs w:val="24"/>
        </w:rPr>
        <w:t>komisjom pomocy i informacji, a także wydawania dokumentów niezbędnych w działalności orzeczniczej tych komisji, a z drugiej strony – stworzenie materialno-prawnej podstawy dla tych podmiotów do udostępniania omawianym komisjom, w związku z orzecznictwem lekarskim, m.in. danych osobowych.</w:t>
      </w:r>
    </w:p>
    <w:p w14:paraId="5DF91976" w14:textId="5A44C911" w:rsidR="00876815" w:rsidRPr="00375799" w:rsidRDefault="00876815"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Nowo</w:t>
      </w:r>
      <w:r w:rsidR="00CA54EF">
        <w:rPr>
          <w:rFonts w:cstheme="minorHAnsi"/>
          <w:color w:val="000000" w:themeColor="text1"/>
          <w:sz w:val="24"/>
          <w:szCs w:val="24"/>
        </w:rPr>
        <w:t xml:space="preserve"> </w:t>
      </w:r>
      <w:r w:rsidRPr="00375799">
        <w:rPr>
          <w:rFonts w:cstheme="minorHAnsi"/>
          <w:color w:val="000000" w:themeColor="text1"/>
          <w:sz w:val="24"/>
          <w:szCs w:val="24"/>
        </w:rPr>
        <w:t>projektowany art. 4a ust. 2 ustawy o komisjach lekarskich statuuje ponadto uprawnienie dla tych komisji do bezpłatnego pozyskiwania drogą elektroniczną informacji niezbędnych do wydania orzeczenia od organów emerytalnych lub rentowych oraz z rejestrów publicznych, przy czym katalog rejestrów publicznych, z zasobów których mogą korzystać komi</w:t>
      </w:r>
      <w:r w:rsidR="00793268" w:rsidRPr="00375799">
        <w:rPr>
          <w:rFonts w:cstheme="minorHAnsi"/>
          <w:color w:val="000000" w:themeColor="text1"/>
          <w:sz w:val="24"/>
          <w:szCs w:val="24"/>
        </w:rPr>
        <w:t>sje lekarskie</w:t>
      </w:r>
      <w:r w:rsidR="00CA54EF">
        <w:rPr>
          <w:rFonts w:cstheme="minorHAnsi"/>
          <w:color w:val="000000" w:themeColor="text1"/>
          <w:sz w:val="24"/>
          <w:szCs w:val="24"/>
        </w:rPr>
        <w:t>,</w:t>
      </w:r>
      <w:r w:rsidR="005C750E">
        <w:rPr>
          <w:rFonts w:cstheme="minorHAnsi"/>
          <w:color w:val="000000" w:themeColor="text1"/>
          <w:sz w:val="24"/>
          <w:szCs w:val="24"/>
        </w:rPr>
        <w:t xml:space="preserve"> określony został</w:t>
      </w:r>
      <w:r w:rsidR="00793268" w:rsidRPr="00375799">
        <w:rPr>
          <w:rFonts w:cstheme="minorHAnsi"/>
          <w:color w:val="000000" w:themeColor="text1"/>
          <w:sz w:val="24"/>
          <w:szCs w:val="24"/>
        </w:rPr>
        <w:t xml:space="preserve"> </w:t>
      </w:r>
      <w:r w:rsidRPr="00375799">
        <w:rPr>
          <w:rFonts w:cstheme="minorHAnsi"/>
          <w:color w:val="000000" w:themeColor="text1"/>
          <w:sz w:val="24"/>
          <w:szCs w:val="24"/>
        </w:rPr>
        <w:t>w projekcie w sposób jedynie przykładowy.</w:t>
      </w:r>
    </w:p>
    <w:p w14:paraId="3852A13B" w14:textId="2306C226" w:rsidR="00876815" w:rsidRPr="00375799" w:rsidRDefault="00876815"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Jednoznaczne potwierdzenie prawa dostępu do rejestrów publicznych ma znaczenie dla sprawnego wykonywania zadań orzeczniczych przez komisje lekarskie, np. w zakresie dostępu do aktualnych danych adresowych (rejestr PESEL) w sytuacji konieczności skontaktowania się z osobą podlegającą orzecznictwu lekarskiemu, która jest niedostępna pod adresem posiadanym przez ww. komisje lekarskie.</w:t>
      </w:r>
    </w:p>
    <w:p w14:paraId="2B4A9DFA" w14:textId="47A81014"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35" w:name="_Toc530565107"/>
      <w:r w:rsidRPr="00375799">
        <w:rPr>
          <w:rFonts w:asciiTheme="minorHAnsi" w:hAnsiTheme="minorHAnsi" w:cstheme="minorHAnsi"/>
          <w:color w:val="000000" w:themeColor="text1"/>
          <w:sz w:val="24"/>
          <w:szCs w:val="24"/>
        </w:rPr>
        <w:lastRenderedPageBreak/>
        <w:t xml:space="preserve">Ustawa z dnia 5 grudnia 2014 r. o Karcie Dużej Rodziny </w:t>
      </w:r>
      <w:r w:rsidR="00B84CD7" w:rsidRPr="00375799">
        <w:rPr>
          <w:rFonts w:asciiTheme="minorHAnsi" w:hAnsiTheme="minorHAnsi" w:cstheme="minorHAnsi"/>
          <w:color w:val="000000" w:themeColor="text1"/>
          <w:sz w:val="24"/>
          <w:szCs w:val="24"/>
        </w:rPr>
        <w:t>(Dz. U. z 2017 r. poz. 1832 i 2161</w:t>
      </w:r>
      <w:r w:rsidR="00036838">
        <w:rPr>
          <w:rFonts w:asciiTheme="minorHAnsi" w:hAnsiTheme="minorHAnsi" w:cstheme="minorHAnsi"/>
          <w:color w:val="000000" w:themeColor="text1"/>
          <w:sz w:val="24"/>
          <w:szCs w:val="24"/>
        </w:rPr>
        <w:t xml:space="preserve"> oraz z 2018 r. poz. 1544 i 1669</w:t>
      </w:r>
      <w:r w:rsidR="00B84CD7" w:rsidRPr="00375799">
        <w:rPr>
          <w:rFonts w:asciiTheme="minorHAnsi" w:hAnsiTheme="minorHAnsi" w:cstheme="minorHAnsi"/>
          <w:color w:val="000000" w:themeColor="text1"/>
          <w:sz w:val="24"/>
          <w:szCs w:val="24"/>
        </w:rPr>
        <w:t>)</w:t>
      </w:r>
      <w:bookmarkEnd w:id="135"/>
    </w:p>
    <w:p w14:paraId="689B3BE9" w14:textId="77777777" w:rsidR="00F50614" w:rsidRPr="00375799" w:rsidRDefault="00F50614" w:rsidP="0055107B">
      <w:pPr>
        <w:spacing w:after="0" w:line="276" w:lineRule="auto"/>
        <w:ind w:left="57" w:right="57"/>
        <w:contextualSpacing/>
        <w:jc w:val="both"/>
        <w:rPr>
          <w:rFonts w:cstheme="minorHAnsi"/>
          <w:color w:val="000000" w:themeColor="text1"/>
          <w:sz w:val="24"/>
          <w:szCs w:val="24"/>
        </w:rPr>
      </w:pPr>
    </w:p>
    <w:p w14:paraId="26564D69"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Ustawa z dnia 5 grudnia 2014 r. o</w:t>
      </w:r>
      <w:r w:rsidR="00F50614" w:rsidRPr="00375799">
        <w:rPr>
          <w:rFonts w:cstheme="minorHAnsi"/>
          <w:color w:val="000000" w:themeColor="text1"/>
          <w:sz w:val="24"/>
          <w:szCs w:val="24"/>
        </w:rPr>
        <w:t xml:space="preserve"> Karcie Dużej Rodziny zawiera </w:t>
      </w:r>
      <w:r w:rsidRPr="00375799">
        <w:rPr>
          <w:rFonts w:cstheme="minorHAnsi"/>
          <w:color w:val="000000" w:themeColor="text1"/>
          <w:sz w:val="24"/>
          <w:szCs w:val="24"/>
        </w:rPr>
        <w:t>w zakresie przetwarzania danych osobowych  przepisy dotyczące przetwarzania danych osobowych członków rodziny wielodzietnej.</w:t>
      </w:r>
    </w:p>
    <w:p w14:paraId="57E480F9" w14:textId="741D7D1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Projektowane zmiany tej ustawy wprowadzają regulacje służące odpowiedniemu zabezpieczeniu wyżej wskazanych danych osobowych (do celów realizacji ustawy przetwarzane są tzw. wrażliwe dane osobowe</w:t>
      </w:r>
      <w:r w:rsidR="00CA54EF">
        <w:rPr>
          <w:rFonts w:cstheme="minorHAnsi"/>
          <w:color w:val="000000" w:themeColor="text1"/>
          <w:sz w:val="24"/>
          <w:szCs w:val="24"/>
        </w:rPr>
        <w:t>)</w:t>
      </w:r>
      <w:r w:rsidRPr="00375799">
        <w:rPr>
          <w:rFonts w:cstheme="minorHAnsi"/>
          <w:color w:val="000000" w:themeColor="text1"/>
          <w:sz w:val="24"/>
          <w:szCs w:val="24"/>
        </w:rPr>
        <w:t xml:space="preserve">. </w:t>
      </w:r>
    </w:p>
    <w:p w14:paraId="7434A366" w14:textId="141763C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Dodatkowo projekt przewiduje zastąpienie uprawnienia przetwarzania danych osobowych członków rodzin wielodzietnych przez wójta (burmistrza, prezydenta miasta) oraz ministra właściwego do spraw rodziny realizujących zadania w zakresie Karty Dużej Rodziny obowiązkiem przetwarzania tych danych </w:t>
      </w:r>
      <w:r w:rsidR="006E00BC" w:rsidRPr="00375799">
        <w:rPr>
          <w:rFonts w:cstheme="minorHAnsi"/>
          <w:color w:val="000000" w:themeColor="text1"/>
          <w:sz w:val="24"/>
          <w:szCs w:val="24"/>
        </w:rPr>
        <w:t>RODO</w:t>
      </w:r>
      <w:r w:rsidR="00793268" w:rsidRPr="00375799">
        <w:rPr>
          <w:rFonts w:cstheme="minorHAnsi"/>
          <w:color w:val="000000" w:themeColor="text1"/>
          <w:sz w:val="24"/>
          <w:szCs w:val="24"/>
        </w:rPr>
        <w:t xml:space="preserve"> </w:t>
      </w:r>
      <w:r w:rsidRPr="00375799">
        <w:rPr>
          <w:rFonts w:cstheme="minorHAnsi"/>
          <w:color w:val="000000" w:themeColor="text1"/>
          <w:sz w:val="24"/>
          <w:szCs w:val="24"/>
        </w:rPr>
        <w:t>stanowi</w:t>
      </w:r>
      <w:r w:rsidR="00F7657D">
        <w:rPr>
          <w:rFonts w:cstheme="minorHAnsi"/>
          <w:color w:val="000000" w:themeColor="text1"/>
          <w:sz w:val="24"/>
          <w:szCs w:val="24"/>
        </w:rPr>
        <w:t xml:space="preserve"> bowiem</w:t>
      </w:r>
      <w:r w:rsidRPr="00375799">
        <w:rPr>
          <w:rFonts w:cstheme="minorHAnsi"/>
          <w:color w:val="000000" w:themeColor="text1"/>
          <w:sz w:val="24"/>
          <w:szCs w:val="24"/>
        </w:rPr>
        <w:t>, że przetwarzanie danych osobowych jest zgodne z prawem</w:t>
      </w:r>
      <w:r w:rsidR="00CA54EF">
        <w:rPr>
          <w:rFonts w:cstheme="minorHAnsi"/>
          <w:color w:val="000000" w:themeColor="text1"/>
          <w:sz w:val="24"/>
          <w:szCs w:val="24"/>
        </w:rPr>
        <w:t>,</w:t>
      </w:r>
      <w:r w:rsidRPr="00375799">
        <w:rPr>
          <w:rFonts w:cstheme="minorHAnsi"/>
          <w:color w:val="000000" w:themeColor="text1"/>
          <w:sz w:val="24"/>
          <w:szCs w:val="24"/>
        </w:rPr>
        <w:t xml:space="preserve"> jeżeli jest niezbędne do wypełnienia obowiązku prawnego ciążącego na administratorze danych osobowych. Aby podmioty te mogły realizować swoje zadania ustawowe, muszą przetwarzać określone w ustawie dane osobowe. </w:t>
      </w:r>
    </w:p>
    <w:p w14:paraId="226D832E"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E4E50C1" w14:textId="2103F044"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36" w:name="_Toc530565108"/>
      <w:r w:rsidRPr="00375799">
        <w:rPr>
          <w:rFonts w:asciiTheme="minorHAnsi" w:hAnsiTheme="minorHAnsi" w:cstheme="minorHAnsi"/>
          <w:color w:val="000000" w:themeColor="text1"/>
          <w:sz w:val="24"/>
          <w:szCs w:val="24"/>
        </w:rPr>
        <w:t>Ustawa z dnia 19 grudnia 2014 r. o rybołówstwie morskim</w:t>
      </w:r>
      <w:r w:rsidR="00B84CD7" w:rsidRPr="00375799">
        <w:rPr>
          <w:rFonts w:asciiTheme="minorHAnsi" w:hAnsiTheme="minorHAnsi" w:cstheme="minorHAnsi"/>
          <w:color w:val="000000" w:themeColor="text1"/>
          <w:sz w:val="24"/>
          <w:szCs w:val="24"/>
        </w:rPr>
        <w:t xml:space="preserve"> (Dz. U. z 2018 r. poz. 514 i 650)</w:t>
      </w:r>
      <w:bookmarkEnd w:id="136"/>
      <w:r w:rsidRPr="00375799">
        <w:rPr>
          <w:rFonts w:asciiTheme="minorHAnsi" w:hAnsiTheme="minorHAnsi" w:cstheme="minorHAnsi"/>
          <w:color w:val="000000" w:themeColor="text1"/>
          <w:sz w:val="24"/>
          <w:szCs w:val="24"/>
        </w:rPr>
        <w:t xml:space="preserve"> </w:t>
      </w:r>
    </w:p>
    <w:p w14:paraId="7D7CDC2B" w14:textId="570147C4" w:rsidR="00EC37DF" w:rsidRPr="00375799" w:rsidRDefault="00EC37D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Okręgowi inspektorzy rybołówstwa morskiego, realizując zadania publiczne na podstawie ustawy o rybołówstwie morskim oraz innych ustaw szczególnych, przetwarzają dane osobowe osób fizycznych wykonujących czynności związane z rybołówstwem morskim oraz rynkiem rybnym. Podejmowane przez organy działania mają m.in. zapobiec potencjalnym naruszeniom. Ze względu na ważny interes publiczny w postaci zapewnienia wykonywania rybołówstwa morskiego w sposób zapewniający odpowiednie standardy bezpieczeństwa i środowiskowe konieczne jest </w:t>
      </w:r>
      <w:r w:rsidR="0006433F">
        <w:rPr>
          <w:rFonts w:cstheme="minorHAnsi"/>
          <w:color w:val="000000" w:themeColor="text1"/>
          <w:sz w:val="24"/>
          <w:szCs w:val="24"/>
        </w:rPr>
        <w:t>doprecyzowanie stosowania</w:t>
      </w:r>
      <w:r w:rsidRPr="00375799">
        <w:rPr>
          <w:rFonts w:cstheme="minorHAnsi"/>
          <w:color w:val="000000" w:themeColor="text1"/>
          <w:sz w:val="24"/>
          <w:szCs w:val="24"/>
        </w:rPr>
        <w:t xml:space="preserve"> niektórych przepisów </w:t>
      </w:r>
      <w:r w:rsidR="006E00BC" w:rsidRPr="00375799">
        <w:rPr>
          <w:rFonts w:cstheme="minorHAnsi"/>
          <w:color w:val="000000" w:themeColor="text1"/>
          <w:sz w:val="24"/>
          <w:szCs w:val="24"/>
        </w:rPr>
        <w:t>RODO.</w:t>
      </w:r>
      <w:r w:rsidR="00793268" w:rsidRPr="00375799">
        <w:rPr>
          <w:rFonts w:cstheme="minorHAnsi"/>
          <w:color w:val="000000" w:themeColor="text1"/>
          <w:sz w:val="24"/>
          <w:szCs w:val="24"/>
        </w:rPr>
        <w:t xml:space="preserve"> </w:t>
      </w:r>
      <w:r w:rsidRPr="00375799">
        <w:rPr>
          <w:rFonts w:cstheme="minorHAnsi"/>
          <w:color w:val="000000" w:themeColor="text1"/>
          <w:sz w:val="24"/>
          <w:szCs w:val="24"/>
        </w:rPr>
        <w:t xml:space="preserve">Proponowane </w:t>
      </w:r>
      <w:r w:rsidR="00F37D06">
        <w:rPr>
          <w:rFonts w:cstheme="minorHAnsi"/>
          <w:color w:val="000000" w:themeColor="text1"/>
          <w:sz w:val="24"/>
          <w:szCs w:val="24"/>
        </w:rPr>
        <w:t>rozwiązanie</w:t>
      </w:r>
      <w:r w:rsidRPr="00375799">
        <w:rPr>
          <w:rFonts w:cstheme="minorHAnsi"/>
          <w:color w:val="000000" w:themeColor="text1"/>
          <w:sz w:val="24"/>
          <w:szCs w:val="24"/>
        </w:rPr>
        <w:t xml:space="preserve"> dotyczy stosowania przepisów art. 13 ust. 1 i 2 </w:t>
      </w:r>
      <w:r w:rsidR="006E00BC" w:rsidRPr="00375799">
        <w:rPr>
          <w:rFonts w:cstheme="minorHAnsi"/>
          <w:color w:val="000000" w:themeColor="text1"/>
          <w:sz w:val="24"/>
          <w:szCs w:val="24"/>
        </w:rPr>
        <w:t>RODO</w:t>
      </w:r>
      <w:r w:rsidRPr="00375799">
        <w:rPr>
          <w:rFonts w:cstheme="minorHAnsi"/>
          <w:color w:val="000000" w:themeColor="text1"/>
          <w:sz w:val="24"/>
          <w:szCs w:val="24"/>
        </w:rPr>
        <w:t>, zapewniając możliwość właściwego wykonywania zadań ustawowych przez ww. organy w sy</w:t>
      </w:r>
      <w:r w:rsidR="00F37D06">
        <w:rPr>
          <w:rFonts w:cstheme="minorHAnsi"/>
          <w:color w:val="000000" w:themeColor="text1"/>
          <w:sz w:val="24"/>
          <w:szCs w:val="24"/>
        </w:rPr>
        <w:t>tuacjach niecierpiących zwłoki.</w:t>
      </w:r>
    </w:p>
    <w:p w14:paraId="2CAE0274" w14:textId="7D9239E8" w:rsidR="00EC37DF" w:rsidRPr="00375799" w:rsidRDefault="00C06435"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Powyższe </w:t>
      </w:r>
      <w:proofErr w:type="spellStart"/>
      <w:r>
        <w:rPr>
          <w:rFonts w:cstheme="minorHAnsi"/>
          <w:color w:val="000000" w:themeColor="text1"/>
          <w:sz w:val="24"/>
          <w:szCs w:val="24"/>
        </w:rPr>
        <w:t>roziwiązanie</w:t>
      </w:r>
      <w:proofErr w:type="spellEnd"/>
      <w:r w:rsidR="00EC37DF" w:rsidRPr="00375799">
        <w:rPr>
          <w:rFonts w:cstheme="minorHAnsi"/>
          <w:color w:val="000000" w:themeColor="text1"/>
          <w:sz w:val="24"/>
          <w:szCs w:val="24"/>
        </w:rPr>
        <w:t xml:space="preserve"> będzie dotyczyło wyłącznie zadań okręgowego inspektora rybołówstwa morskiego w zakresie sprawowania nadzoru nad przestrzeganiem przepisów o rybołówstwie morskim i o organizacji rynku rybnego, w tym:</w:t>
      </w:r>
    </w:p>
    <w:p w14:paraId="2AA0EA11" w14:textId="397F3F24" w:rsidR="00EC37DF" w:rsidRPr="00375799" w:rsidRDefault="00EC37DF" w:rsidP="000F5261">
      <w:pPr>
        <w:pStyle w:val="Akapitzlist"/>
        <w:numPr>
          <w:ilvl w:val="0"/>
          <w:numId w:val="7"/>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wykonywania kontroli, a także inspekcji, o których mowa w rozporządzeniu Rady WE nr 1124/2009 z dnia 20 listopada 2009 r. ustanawiającym unijny system kontroli w celu zapewnienia przestrzegania przepisów wspólnej polityki rybołówstwa, zmieniającym rozporządzenia (WE) nr 847/96, (WE) nr 2371/2002, (WE) nr 811/2004, (WE) nr 768/2005, (WE) nr 2115/2005, (WE) nr 2166/2005, (WE) nr 388/2006, (WE) nr 509/2007, (WE) nr 676/2007, (WE) nr 1098/2007, (WE) nr 1300/2008, (WE) nr 1342/2008 i uchylające rozporządzenia (EWG) nr 2847/93, (WE) nr 1627/94 oraz (WE) nr 1966/2006 oraz rozporządzeniu Rady (WE) z dnia 29 września 2008 r. ustanawiającym wspólnotowy </w:t>
      </w:r>
      <w:r w:rsidRPr="00375799">
        <w:rPr>
          <w:rFonts w:asciiTheme="minorHAnsi" w:hAnsiTheme="minorHAnsi" w:cstheme="minorHAnsi"/>
          <w:color w:val="000000" w:themeColor="text1"/>
          <w:sz w:val="24"/>
          <w:szCs w:val="24"/>
        </w:rPr>
        <w:lastRenderedPageBreak/>
        <w:t>system zapobiegania nielegalnym, nieraportowanym i nieuregulowanym połowom oraz ich powstrzymywania i eliminowania, zmieniającym rozporządzenia (EWG) nr 2847/93, (WE) nr 1936/2001 i (WE) nr 601/2004 oraz uchylające rozporządzenia (WE) nr 1093/94 i (WE) nr 1447/1999, dalej „rozporządzenie nr 1005/2008”</w:t>
      </w:r>
      <w:r w:rsidR="00F7657D">
        <w:rPr>
          <w:rFonts w:asciiTheme="minorHAnsi" w:hAnsiTheme="minorHAnsi" w:cstheme="minorHAnsi"/>
          <w:color w:val="000000" w:themeColor="text1"/>
          <w:sz w:val="24"/>
          <w:szCs w:val="24"/>
        </w:rPr>
        <w:t>;</w:t>
      </w:r>
    </w:p>
    <w:p w14:paraId="7A40646A" w14:textId="57AFA6D7" w:rsidR="00EC37DF" w:rsidRPr="00375799" w:rsidRDefault="00EC37DF" w:rsidP="000F5261">
      <w:pPr>
        <w:pStyle w:val="Akapitzlist"/>
        <w:numPr>
          <w:ilvl w:val="0"/>
          <w:numId w:val="7"/>
        </w:numPr>
        <w:spacing w:after="0"/>
        <w:ind w:right="57"/>
        <w:rPr>
          <w:rFonts w:asciiTheme="minorHAnsi" w:hAnsiTheme="minorHAnsi" w:cstheme="minorHAnsi"/>
          <w:color w:val="000000" w:themeColor="text1"/>
          <w:sz w:val="24"/>
          <w:szCs w:val="24"/>
        </w:rPr>
      </w:pPr>
      <w:r w:rsidRPr="00375799">
        <w:rPr>
          <w:rFonts w:asciiTheme="minorHAnsi" w:hAnsiTheme="minorHAnsi" w:cstheme="minorHAnsi"/>
          <w:color w:val="000000" w:themeColor="text1"/>
          <w:sz w:val="24"/>
          <w:szCs w:val="24"/>
        </w:rPr>
        <w:t xml:space="preserve">realizacji obowiązków państwa członkowskiego Unii Europejskiej, o których mowa w rozporządzeniu nr 1005/2008, w przypadku przywozu produktów rybołówstwa drogą morską. </w:t>
      </w:r>
    </w:p>
    <w:p w14:paraId="13593956" w14:textId="745B3E15" w:rsidR="00EC37DF" w:rsidRPr="00375799" w:rsidRDefault="00EC37D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Zadania okręgowych inspektorów rybołówstwa morskiego, w których wprowadzane jest </w:t>
      </w:r>
      <w:r w:rsidR="008E386E">
        <w:rPr>
          <w:rFonts w:cstheme="minorHAnsi"/>
          <w:color w:val="000000" w:themeColor="text1"/>
          <w:sz w:val="24"/>
          <w:szCs w:val="24"/>
        </w:rPr>
        <w:t>powyższe rozwiązanie</w:t>
      </w:r>
      <w:r w:rsidRPr="00375799">
        <w:rPr>
          <w:rFonts w:cstheme="minorHAnsi"/>
          <w:color w:val="000000" w:themeColor="text1"/>
          <w:sz w:val="24"/>
          <w:szCs w:val="24"/>
        </w:rPr>
        <w:t>, dotyczą więc unijnego systemu kontroli w celu zapewnienia przestrzegania przepisów wspólnej polityki rybołówstwa oraz wspólnotowego systemu zapobiegania nielegalnym, nieraportowanym i nieuregulowanym połowom oraz ich powstrzymywania i eliminowania.</w:t>
      </w:r>
    </w:p>
    <w:p w14:paraId="60F95169" w14:textId="24860D84" w:rsidR="00EC37DF" w:rsidRPr="00375799" w:rsidRDefault="00EC37D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Istota </w:t>
      </w:r>
      <w:r w:rsidR="00595B63">
        <w:rPr>
          <w:rFonts w:cstheme="minorHAnsi"/>
          <w:color w:val="000000" w:themeColor="text1"/>
          <w:sz w:val="24"/>
          <w:szCs w:val="24"/>
        </w:rPr>
        <w:t>doprecyzowania</w:t>
      </w:r>
      <w:r w:rsidRPr="00375799">
        <w:rPr>
          <w:rFonts w:cstheme="minorHAnsi"/>
          <w:color w:val="000000" w:themeColor="text1"/>
          <w:sz w:val="24"/>
          <w:szCs w:val="24"/>
        </w:rPr>
        <w:t xml:space="preserve"> przewidzianego w art. 114a ust. 1 polega na wyłączeniu indywidualnego informowania osób, których dane osobowe są zbierane w przypadkach niecierpiących zwłoki. W takim przypadku obowiązek informacyjny z art. 13 ust. 1 i 2 </w:t>
      </w:r>
      <w:r w:rsidR="006E00BC" w:rsidRPr="00375799">
        <w:rPr>
          <w:rFonts w:cstheme="minorHAnsi"/>
          <w:color w:val="000000" w:themeColor="text1"/>
          <w:sz w:val="24"/>
          <w:szCs w:val="24"/>
        </w:rPr>
        <w:t>RODO</w:t>
      </w:r>
      <w:r w:rsidR="00793268" w:rsidRPr="00375799">
        <w:rPr>
          <w:rFonts w:cstheme="minorHAnsi"/>
          <w:color w:val="000000" w:themeColor="text1"/>
          <w:sz w:val="24"/>
          <w:szCs w:val="24"/>
        </w:rPr>
        <w:t xml:space="preserve"> </w:t>
      </w:r>
      <w:r w:rsidRPr="00375799">
        <w:rPr>
          <w:rFonts w:cstheme="minorHAnsi"/>
          <w:color w:val="000000" w:themeColor="text1"/>
          <w:sz w:val="24"/>
          <w:szCs w:val="24"/>
        </w:rPr>
        <w:t xml:space="preserve">będzie realizowany poprzez możliwość zapoznania się z informacjami na stronie podmiotowej w Biuletynie Informacji Publicznej i na stronie internetowej oraz w siedzibie urzędu w widocznym miejscu. Brak </w:t>
      </w:r>
      <w:r w:rsidR="00AA3567">
        <w:rPr>
          <w:rFonts w:cstheme="minorHAnsi"/>
          <w:color w:val="000000" w:themeColor="text1"/>
          <w:sz w:val="24"/>
          <w:szCs w:val="24"/>
        </w:rPr>
        <w:t xml:space="preserve">takiej regulacji </w:t>
      </w:r>
      <w:r w:rsidRPr="00375799">
        <w:rPr>
          <w:rFonts w:cstheme="minorHAnsi"/>
          <w:color w:val="000000" w:themeColor="text1"/>
          <w:sz w:val="24"/>
          <w:szCs w:val="24"/>
        </w:rPr>
        <w:t xml:space="preserve">oznaczałby nie tylko utrudnienia w prowadzonych działaniach, lecz w szczególności mógłby utrudniać podjęcie natychmiastowej reakcji na występujące zagrożenia dla środowiska i zasobów organizmów żywych. Należy podkreślić, że projektowane przepisy nie ingerują w istotę praw osób fizycznych uregulowanych w </w:t>
      </w:r>
      <w:r w:rsidR="006E00BC" w:rsidRPr="00375799">
        <w:rPr>
          <w:rFonts w:cstheme="minorHAnsi"/>
          <w:color w:val="000000" w:themeColor="text1"/>
          <w:sz w:val="24"/>
          <w:szCs w:val="24"/>
        </w:rPr>
        <w:t>RODO</w:t>
      </w:r>
      <w:r w:rsidRPr="00375799">
        <w:rPr>
          <w:rFonts w:cstheme="minorHAnsi"/>
          <w:color w:val="000000" w:themeColor="text1"/>
          <w:sz w:val="24"/>
          <w:szCs w:val="24"/>
        </w:rPr>
        <w:t>, gdyż w kontekście innych praw przewidzianych w ww. rozporządzeniu pozwalają osobom fizycznym uzyskiwać informacje o przetwarzaniu danych ich dotyczących i ingerować w proces przetwarzania danych osobowych.</w:t>
      </w:r>
    </w:p>
    <w:p w14:paraId="0183459C" w14:textId="17A39623" w:rsidR="008706DD" w:rsidRPr="00375799" w:rsidRDefault="00EC37DF"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Natomiast proponowany art. 114a ust. 2 wskazuje, że wystąpienie z żądaniem do ograniczenia przetwarzania danych osobowych, o którym mowa w art. 18 ust. 1 </w:t>
      </w:r>
      <w:r w:rsidR="00F7657D">
        <w:rPr>
          <w:rFonts w:cstheme="minorHAnsi"/>
          <w:color w:val="000000" w:themeColor="text1"/>
          <w:sz w:val="24"/>
          <w:szCs w:val="24"/>
        </w:rPr>
        <w:t>RODO</w:t>
      </w:r>
      <w:r w:rsidRPr="00375799">
        <w:rPr>
          <w:rFonts w:cstheme="minorHAnsi"/>
          <w:color w:val="000000" w:themeColor="text1"/>
          <w:sz w:val="24"/>
          <w:szCs w:val="24"/>
        </w:rPr>
        <w:t xml:space="preserve">, przez osobę, której dane dotyczą, nie wpływa na realizację przeprowadzanej przez dyrektora urzędu żeglugi śródlądowej kontroli lub inspekcji. Przedmiotowy przepis nie jest ograniczeniem stosowania przepisów </w:t>
      </w:r>
      <w:r w:rsidR="006E00BC" w:rsidRPr="00375799">
        <w:rPr>
          <w:rFonts w:cstheme="minorHAnsi"/>
          <w:color w:val="000000" w:themeColor="text1"/>
          <w:sz w:val="24"/>
          <w:szCs w:val="24"/>
        </w:rPr>
        <w:t>RODO</w:t>
      </w:r>
      <w:r w:rsidR="00793268" w:rsidRPr="00375799">
        <w:rPr>
          <w:rFonts w:cstheme="minorHAnsi"/>
          <w:color w:val="000000" w:themeColor="text1"/>
          <w:sz w:val="24"/>
          <w:szCs w:val="24"/>
        </w:rPr>
        <w:t xml:space="preserve"> </w:t>
      </w:r>
      <w:r w:rsidRPr="00375799">
        <w:rPr>
          <w:rFonts w:cstheme="minorHAnsi"/>
          <w:color w:val="000000" w:themeColor="text1"/>
          <w:sz w:val="24"/>
          <w:szCs w:val="24"/>
        </w:rPr>
        <w:t>w rozumieniu jego art. 23 ust. 1, lecz jasno wskazuje, że realizacja praw związanych z ochroną danych osobowych odbywa się niezależnie od realizacji obowiązków kontrolnych okręgowego inspektora rybołówstwa morskiego. Doprecyzowanie to ma na celu zapobieżenie sytuacji, w której osoby</w:t>
      </w:r>
      <w:r w:rsidR="00CA54EF">
        <w:rPr>
          <w:rFonts w:cstheme="minorHAnsi"/>
          <w:color w:val="000000" w:themeColor="text1"/>
          <w:sz w:val="24"/>
          <w:szCs w:val="24"/>
        </w:rPr>
        <w:t>,</w:t>
      </w:r>
      <w:r w:rsidRPr="00375799">
        <w:rPr>
          <w:rFonts w:cstheme="minorHAnsi"/>
          <w:color w:val="000000" w:themeColor="text1"/>
          <w:sz w:val="24"/>
          <w:szCs w:val="24"/>
        </w:rPr>
        <w:t xml:space="preserve"> których dane dotyczą</w:t>
      </w:r>
      <w:r w:rsidR="00CA54EF">
        <w:rPr>
          <w:rFonts w:cstheme="minorHAnsi"/>
          <w:color w:val="000000" w:themeColor="text1"/>
          <w:sz w:val="24"/>
          <w:szCs w:val="24"/>
        </w:rPr>
        <w:t>,</w:t>
      </w:r>
      <w:r w:rsidRPr="00375799">
        <w:rPr>
          <w:rFonts w:cstheme="minorHAnsi"/>
          <w:color w:val="000000" w:themeColor="text1"/>
          <w:sz w:val="24"/>
          <w:szCs w:val="24"/>
        </w:rPr>
        <w:t xml:space="preserve"> (np. armatorzy lub członkowie załóg statków rybackich)</w:t>
      </w:r>
      <w:r w:rsidR="00F7657D">
        <w:rPr>
          <w:rFonts w:cstheme="minorHAnsi"/>
          <w:color w:val="000000" w:themeColor="text1"/>
          <w:sz w:val="24"/>
          <w:szCs w:val="24"/>
        </w:rPr>
        <w:t>,</w:t>
      </w:r>
      <w:r w:rsidRPr="00375799">
        <w:rPr>
          <w:rFonts w:cstheme="minorHAnsi"/>
          <w:color w:val="000000" w:themeColor="text1"/>
          <w:sz w:val="24"/>
          <w:szCs w:val="24"/>
        </w:rPr>
        <w:t xml:space="preserve"> będą nadużywać ww. prawa, co w praktyce skutkowałoby znaczącym utrudnieniem, w tym wydłużeniem, postępowań mających na celu zapewnienie odpowiedniego poziomu ochrony środowiska i zasobów organizmów żywych.</w:t>
      </w:r>
    </w:p>
    <w:p w14:paraId="241217F6" w14:textId="77777777" w:rsidR="00F50614" w:rsidRPr="00375799" w:rsidRDefault="00F50614" w:rsidP="0055107B">
      <w:pPr>
        <w:spacing w:after="0" w:line="276" w:lineRule="auto"/>
        <w:ind w:left="57" w:right="57"/>
        <w:contextualSpacing/>
        <w:jc w:val="both"/>
        <w:rPr>
          <w:rFonts w:cstheme="minorHAnsi"/>
          <w:color w:val="000000" w:themeColor="text1"/>
          <w:sz w:val="24"/>
          <w:szCs w:val="24"/>
        </w:rPr>
      </w:pPr>
    </w:p>
    <w:p w14:paraId="652E0B3D" w14:textId="5DD7071F"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37" w:name="_Toc530565109"/>
      <w:r w:rsidRPr="00375799">
        <w:rPr>
          <w:rFonts w:asciiTheme="minorHAnsi" w:hAnsiTheme="minorHAnsi" w:cstheme="minorHAnsi"/>
          <w:color w:val="000000" w:themeColor="text1"/>
          <w:sz w:val="24"/>
          <w:szCs w:val="24"/>
        </w:rPr>
        <w:t>Ustawa z dnia 20 lutego 2015 r. o odnawialnych źródłach energii</w:t>
      </w:r>
      <w:r w:rsidR="00B84CD7" w:rsidRPr="00375799">
        <w:rPr>
          <w:rFonts w:asciiTheme="minorHAnsi" w:hAnsiTheme="minorHAnsi" w:cstheme="minorHAnsi"/>
          <w:color w:val="000000" w:themeColor="text1"/>
          <w:sz w:val="24"/>
          <w:szCs w:val="24"/>
        </w:rPr>
        <w:t xml:space="preserve"> (Dz. U. z 201</w:t>
      </w:r>
      <w:r w:rsidR="00036838">
        <w:rPr>
          <w:rFonts w:asciiTheme="minorHAnsi" w:hAnsiTheme="minorHAnsi" w:cstheme="minorHAnsi"/>
          <w:color w:val="000000" w:themeColor="text1"/>
          <w:sz w:val="24"/>
          <w:szCs w:val="24"/>
        </w:rPr>
        <w:t>8</w:t>
      </w:r>
      <w:r w:rsidR="00B84CD7" w:rsidRPr="00375799">
        <w:rPr>
          <w:rFonts w:asciiTheme="minorHAnsi" w:hAnsiTheme="minorHAnsi" w:cstheme="minorHAnsi"/>
          <w:color w:val="000000" w:themeColor="text1"/>
          <w:sz w:val="24"/>
          <w:szCs w:val="24"/>
        </w:rPr>
        <w:t xml:space="preserve"> r. poz. </w:t>
      </w:r>
      <w:r w:rsidR="00036838">
        <w:rPr>
          <w:rFonts w:asciiTheme="minorHAnsi" w:hAnsiTheme="minorHAnsi" w:cstheme="minorHAnsi"/>
          <w:color w:val="000000" w:themeColor="text1"/>
          <w:sz w:val="24"/>
          <w:szCs w:val="24"/>
        </w:rPr>
        <w:t>1269, 1544, 1629 i 1669</w:t>
      </w:r>
      <w:r w:rsidR="00B84CD7" w:rsidRPr="00375799">
        <w:rPr>
          <w:rFonts w:asciiTheme="minorHAnsi" w:hAnsiTheme="minorHAnsi" w:cstheme="minorHAnsi"/>
          <w:color w:val="000000" w:themeColor="text1"/>
          <w:sz w:val="24"/>
          <w:szCs w:val="24"/>
        </w:rPr>
        <w:t>)</w:t>
      </w:r>
      <w:bookmarkEnd w:id="137"/>
    </w:p>
    <w:p w14:paraId="32720475" w14:textId="079D31F6"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przepisów ustawy wynika, iż administratorem danych osobowych rejestrów, o których mowa w art. 158 ustawy </w:t>
      </w:r>
      <w:r w:rsidR="00F7657D">
        <w:rPr>
          <w:rFonts w:cstheme="minorHAnsi"/>
          <w:color w:val="000000" w:themeColor="text1"/>
          <w:sz w:val="24"/>
          <w:szCs w:val="24"/>
        </w:rPr>
        <w:t xml:space="preserve">z dnia 20 lutego 2015 r. </w:t>
      </w:r>
      <w:r w:rsidRPr="00375799">
        <w:rPr>
          <w:rFonts w:cstheme="minorHAnsi"/>
          <w:color w:val="000000" w:themeColor="text1"/>
          <w:sz w:val="24"/>
          <w:szCs w:val="24"/>
        </w:rPr>
        <w:t xml:space="preserve">o odnawialnych źródłach energii, jest </w:t>
      </w:r>
      <w:r w:rsidRPr="00375799">
        <w:rPr>
          <w:rFonts w:cstheme="minorHAnsi"/>
          <w:color w:val="000000" w:themeColor="text1"/>
          <w:sz w:val="24"/>
          <w:szCs w:val="24"/>
        </w:rPr>
        <w:lastRenderedPageBreak/>
        <w:t>Prezes Urzędu Dozoru Technicznego, biorąc pod uwagę powyższe</w:t>
      </w:r>
      <w:r w:rsidR="00CA54EF">
        <w:rPr>
          <w:rFonts w:cstheme="minorHAnsi"/>
          <w:color w:val="000000" w:themeColor="text1"/>
          <w:sz w:val="24"/>
          <w:szCs w:val="24"/>
        </w:rPr>
        <w:t>,</w:t>
      </w:r>
      <w:r w:rsidRPr="00375799">
        <w:rPr>
          <w:rFonts w:cstheme="minorHAnsi"/>
          <w:color w:val="000000" w:themeColor="text1"/>
          <w:sz w:val="24"/>
          <w:szCs w:val="24"/>
        </w:rPr>
        <w:t xml:space="preserve"> nie jest zasadne pozostawienie w przepisach art. 159 ust. 1.</w:t>
      </w:r>
    </w:p>
    <w:p w14:paraId="5B21BDD7"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387CC9EE" w14:textId="1D391BB6"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38" w:name="_Toc530565110"/>
      <w:r w:rsidRPr="00375799">
        <w:rPr>
          <w:rFonts w:asciiTheme="minorHAnsi" w:hAnsiTheme="minorHAnsi" w:cstheme="minorHAnsi"/>
          <w:color w:val="000000" w:themeColor="text1"/>
          <w:sz w:val="24"/>
          <w:szCs w:val="24"/>
        </w:rPr>
        <w:t>Ustawa z dnia 20 marca 2015 r. o działaczach opozycji antykomunistycznej oraz osobach represjonowanych z powodów politycznych (Dz. U. z 2018 r. poz. 690)</w:t>
      </w:r>
      <w:bookmarkEnd w:id="138"/>
    </w:p>
    <w:p w14:paraId="265B8DB9"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2158B904" w14:textId="790BE9A4"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Przepisy zmienianej ustawy o działaczach opozycji antykomunistycznej oraz osobach represjonowanych z powodów politycznych przewidują możliwość przetwarzania danych osobowych o charakterze wrażliwym, dotyczących stanu zdrowia, w postępowaniu o przyznanie pomocy pieniężnej. Trzeba jednak pamiętać, że postępowanie w tej sprawie wszczynane jest na wniosek osoby uprawnionej, która występuje o przyznanie pomocy pieniężnej od Szefa </w:t>
      </w:r>
      <w:proofErr w:type="spellStart"/>
      <w:r w:rsidRPr="00375799">
        <w:rPr>
          <w:rFonts w:cstheme="minorHAnsi"/>
          <w:color w:val="000000" w:themeColor="text1"/>
          <w:sz w:val="24"/>
          <w:szCs w:val="24"/>
        </w:rPr>
        <w:t>UdSKIOR</w:t>
      </w:r>
      <w:proofErr w:type="spellEnd"/>
      <w:r w:rsidRPr="00375799">
        <w:rPr>
          <w:rFonts w:cstheme="minorHAnsi"/>
          <w:color w:val="000000" w:themeColor="text1"/>
          <w:sz w:val="24"/>
          <w:szCs w:val="24"/>
        </w:rPr>
        <w:t xml:space="preserve"> i prowadzone jest w rygorach </w:t>
      </w:r>
      <w:r w:rsidR="00F7657D" w:rsidRPr="00375799">
        <w:rPr>
          <w:rFonts w:cstheme="minorHAnsi"/>
          <w:color w:val="000000" w:themeColor="text1"/>
          <w:sz w:val="24"/>
          <w:szCs w:val="24"/>
        </w:rPr>
        <w:t>Kpa</w:t>
      </w:r>
      <w:r w:rsidRPr="00375799">
        <w:rPr>
          <w:rFonts w:cstheme="minorHAnsi"/>
          <w:color w:val="000000" w:themeColor="text1"/>
          <w:sz w:val="24"/>
          <w:szCs w:val="24"/>
        </w:rPr>
        <w:t>. W ocenie projektodawcy będzie miał tu zastosowanie art. 9 ust. 2 lit. f rozporządzenia dopuszczający przetwarzanie danych wrażliwych</w:t>
      </w:r>
      <w:r w:rsidR="00CA54EF">
        <w:rPr>
          <w:rFonts w:cstheme="minorHAnsi"/>
          <w:color w:val="000000" w:themeColor="text1"/>
          <w:sz w:val="24"/>
          <w:szCs w:val="24"/>
        </w:rPr>
        <w:t>,</w:t>
      </w:r>
      <w:r w:rsidRPr="00375799">
        <w:rPr>
          <w:rFonts w:cstheme="minorHAnsi"/>
          <w:color w:val="000000" w:themeColor="text1"/>
          <w:sz w:val="24"/>
          <w:szCs w:val="24"/>
        </w:rPr>
        <w:t xml:space="preserve"> gdy jest to niezbędne do ustalenia, dochodzenia lub obrony roszczeń lub w ramach sprawowania wymiaru sprawiedliwości przez sąd. Zgodnie z treścią motywu 52 </w:t>
      </w:r>
      <w:r w:rsidR="00F7657D">
        <w:rPr>
          <w:rFonts w:cstheme="minorHAnsi"/>
          <w:color w:val="000000" w:themeColor="text1"/>
          <w:sz w:val="24"/>
          <w:szCs w:val="24"/>
        </w:rPr>
        <w:t>RODO</w:t>
      </w:r>
      <w:r w:rsidRPr="00375799">
        <w:rPr>
          <w:rFonts w:cstheme="minorHAnsi"/>
          <w:color w:val="000000" w:themeColor="text1"/>
          <w:sz w:val="24"/>
          <w:szCs w:val="24"/>
        </w:rPr>
        <w:t xml:space="preserve"> chodzi tutaj o roszczenia w postępowaniu sądowym, administracyjnym lub innym postępowaniu pozasądowym. Do przetwarzania danych wrażliwych w oparciu o tę podstawę art. 9 ust. 3 </w:t>
      </w:r>
      <w:r w:rsidR="00F7657D">
        <w:rPr>
          <w:rFonts w:cstheme="minorHAnsi"/>
          <w:color w:val="000000" w:themeColor="text1"/>
          <w:sz w:val="24"/>
          <w:szCs w:val="24"/>
        </w:rPr>
        <w:t xml:space="preserve">RODO </w:t>
      </w:r>
      <w:r w:rsidRPr="00375799">
        <w:rPr>
          <w:rFonts w:cstheme="minorHAnsi"/>
          <w:color w:val="000000" w:themeColor="text1"/>
          <w:sz w:val="24"/>
          <w:szCs w:val="24"/>
        </w:rPr>
        <w:t>zastosowania nie ma.</w:t>
      </w:r>
    </w:p>
    <w:p w14:paraId="63BE9AE1"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22488E12"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547F0455" w14:textId="69C6A64B"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39" w:name="_Toc530565111"/>
      <w:r w:rsidRPr="00375799">
        <w:rPr>
          <w:rFonts w:asciiTheme="minorHAnsi" w:hAnsiTheme="minorHAnsi" w:cstheme="minorHAnsi"/>
          <w:color w:val="000000" w:themeColor="text1"/>
          <w:sz w:val="24"/>
          <w:szCs w:val="24"/>
        </w:rPr>
        <w:t xml:space="preserve">Ustawa z dnia 12 czerwca 2015 r. o systemie handlu uprawnieniami do emisji gazów cieplarnianych </w:t>
      </w:r>
      <w:r w:rsidR="00B84CD7" w:rsidRPr="00375799">
        <w:rPr>
          <w:rFonts w:asciiTheme="minorHAnsi" w:hAnsiTheme="minorHAnsi" w:cstheme="minorHAnsi"/>
          <w:color w:val="000000" w:themeColor="text1"/>
          <w:sz w:val="24"/>
          <w:szCs w:val="24"/>
        </w:rPr>
        <w:t>(Dz. U. z 2018 r. poz. 1201)</w:t>
      </w:r>
      <w:bookmarkEnd w:id="139"/>
    </w:p>
    <w:p w14:paraId="27D608C6" w14:textId="77777777" w:rsidR="00F50614" w:rsidRPr="00375799" w:rsidRDefault="00F50614" w:rsidP="0055107B">
      <w:pPr>
        <w:spacing w:after="0" w:line="276" w:lineRule="auto"/>
        <w:ind w:left="57" w:right="57"/>
        <w:contextualSpacing/>
        <w:jc w:val="both"/>
        <w:rPr>
          <w:rFonts w:cstheme="minorHAnsi"/>
          <w:color w:val="000000" w:themeColor="text1"/>
          <w:sz w:val="24"/>
          <w:szCs w:val="24"/>
        </w:rPr>
      </w:pPr>
    </w:p>
    <w:p w14:paraId="591B49E0" w14:textId="6B3D5FC7" w:rsidR="008706DD" w:rsidRPr="00375799" w:rsidRDefault="00F149C8"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przepis art. 7 ust. 2 ustawy</w:t>
      </w:r>
      <w:r w:rsidR="00DB01FD">
        <w:rPr>
          <w:rFonts w:cstheme="minorHAnsi"/>
          <w:color w:val="000000" w:themeColor="text1"/>
          <w:sz w:val="24"/>
          <w:szCs w:val="24"/>
        </w:rPr>
        <w:t xml:space="preserve"> z dnia 12 czerwca 2015 r.</w:t>
      </w:r>
      <w:r w:rsidRPr="00375799">
        <w:rPr>
          <w:rFonts w:cstheme="minorHAnsi"/>
          <w:color w:val="000000" w:themeColor="text1"/>
          <w:sz w:val="24"/>
          <w:szCs w:val="24"/>
        </w:rPr>
        <w:t xml:space="preserve"> o systemie handlu uprawnieniami do emisji gazów cieplarnianych przewiduje środki chroniące prawnie uzasadnione interesy osób, których dane dotyczą, w postaci: po pierwsze – dopuszczenia do przetwarzania danych osobowych wyłącznie osób posiadających pisemne upoważnienie nadane przez administratora danych, oraz po drugie – pisemnego zobowiązania osób upoważnionych do przetwarzania danych osobowych do zachowania ich w poufności. Wprowadzenie takich środków na poziomie ustawowym pozwoli administratorowi danych zastosować przepis art. 14 ust. 5 lit. c </w:t>
      </w:r>
      <w:r w:rsidR="006E00BC" w:rsidRPr="00375799">
        <w:rPr>
          <w:rFonts w:cstheme="minorHAnsi"/>
          <w:color w:val="000000" w:themeColor="text1"/>
          <w:sz w:val="24"/>
          <w:szCs w:val="24"/>
        </w:rPr>
        <w:t>RODO</w:t>
      </w:r>
      <w:r w:rsidRPr="00375799">
        <w:rPr>
          <w:rFonts w:cstheme="minorHAnsi"/>
          <w:color w:val="000000" w:themeColor="text1"/>
          <w:sz w:val="24"/>
          <w:szCs w:val="24"/>
        </w:rPr>
        <w:t>. Należy mieć na uwadze, że w szczególności w ramach prowadzenia rejestru Unii, o którym mowa w art. 4 rozporządzenia Komisji nr 389/2013, sprawdzania informacji przedstawianych na potrzeby wniosków o przydział uprawnień do emisji czy opiniowania, o którym mowa w art. 54 ust. 2</w:t>
      </w:r>
      <w:r w:rsidR="00CA54EF">
        <w:rPr>
          <w:rFonts w:cstheme="minorHAnsi"/>
          <w:color w:val="000000" w:themeColor="text1"/>
          <w:sz w:val="24"/>
          <w:szCs w:val="24"/>
        </w:rPr>
        <w:t>,</w:t>
      </w:r>
      <w:r w:rsidRPr="00375799">
        <w:rPr>
          <w:rFonts w:cstheme="minorHAnsi"/>
          <w:color w:val="000000" w:themeColor="text1"/>
          <w:sz w:val="24"/>
          <w:szCs w:val="24"/>
        </w:rPr>
        <w:t xml:space="preserve"> oraz przeprowadzania oceny raportów na temat wielkości emisji, o którym mowa w art. 86 ust. 5, Krajowy ośrodek przetwarza dane osobowe często pochodzące od  innych niż osoby, których one dotyczą. W stosunku do tych osób trzecich administrator danych nie będzie wykonywał obowiązku informacyjnego,</w:t>
      </w:r>
      <w:r w:rsidR="009317C8">
        <w:rPr>
          <w:rFonts w:cstheme="minorHAnsi"/>
          <w:color w:val="000000" w:themeColor="text1"/>
          <w:sz w:val="24"/>
          <w:szCs w:val="24"/>
        </w:rPr>
        <w:t xml:space="preserve"> o którym mowa w art. 14 ust. 1–4 </w:t>
      </w:r>
      <w:r w:rsidR="006E00BC" w:rsidRPr="00375799">
        <w:rPr>
          <w:rFonts w:cstheme="minorHAnsi"/>
          <w:color w:val="000000" w:themeColor="text1"/>
          <w:sz w:val="24"/>
          <w:szCs w:val="24"/>
        </w:rPr>
        <w:t>RODO</w:t>
      </w:r>
      <w:r w:rsidRPr="00375799">
        <w:rPr>
          <w:rFonts w:cstheme="minorHAnsi"/>
          <w:color w:val="000000" w:themeColor="text1"/>
          <w:sz w:val="24"/>
          <w:szCs w:val="24"/>
        </w:rPr>
        <w:t>.</w:t>
      </w:r>
    </w:p>
    <w:p w14:paraId="06EE0E30" w14:textId="77777777" w:rsidR="00082F73" w:rsidRPr="00375799" w:rsidRDefault="00082F73" w:rsidP="0055107B">
      <w:pPr>
        <w:spacing w:line="276" w:lineRule="auto"/>
        <w:contextualSpacing/>
        <w:jc w:val="both"/>
        <w:rPr>
          <w:rFonts w:cstheme="minorHAnsi"/>
          <w:color w:val="000000" w:themeColor="text1"/>
          <w:sz w:val="24"/>
          <w:szCs w:val="24"/>
          <w:lang w:eastAsia="pl-PL"/>
        </w:rPr>
      </w:pPr>
    </w:p>
    <w:p w14:paraId="75A30BEB" w14:textId="664425F4"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40" w:name="_Toc530565112"/>
      <w:r w:rsidRPr="00375799">
        <w:rPr>
          <w:rFonts w:asciiTheme="minorHAnsi" w:hAnsiTheme="minorHAnsi" w:cstheme="minorHAnsi"/>
          <w:color w:val="000000" w:themeColor="text1"/>
          <w:sz w:val="24"/>
          <w:szCs w:val="24"/>
        </w:rPr>
        <w:lastRenderedPageBreak/>
        <w:t xml:space="preserve">Ustawa z dnia 25 czerwca 2015 r. o leczeniu niepłodności </w:t>
      </w:r>
      <w:r w:rsidR="00B84CD7" w:rsidRPr="00375799">
        <w:rPr>
          <w:rFonts w:asciiTheme="minorHAnsi" w:hAnsiTheme="minorHAnsi" w:cstheme="minorHAnsi"/>
          <w:color w:val="000000" w:themeColor="text1"/>
          <w:sz w:val="24"/>
          <w:szCs w:val="24"/>
        </w:rPr>
        <w:t>(Dz. U. z 2017 r. poz. 865)</w:t>
      </w:r>
      <w:bookmarkEnd w:id="140"/>
    </w:p>
    <w:p w14:paraId="0B0D3754"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51035DC" w14:textId="3C20D21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ustawie z dnia 25 czerwca 2015 r. o leczeniu </w:t>
      </w:r>
      <w:r w:rsidR="00CA54EF">
        <w:rPr>
          <w:rFonts w:cstheme="minorHAnsi"/>
          <w:color w:val="000000" w:themeColor="text1"/>
          <w:sz w:val="24"/>
          <w:szCs w:val="24"/>
        </w:rPr>
        <w:t xml:space="preserve">niepłodności </w:t>
      </w:r>
      <w:r w:rsidRPr="00375799">
        <w:rPr>
          <w:rFonts w:cstheme="minorHAnsi"/>
          <w:color w:val="000000" w:themeColor="text1"/>
          <w:sz w:val="24"/>
          <w:szCs w:val="24"/>
        </w:rPr>
        <w:t xml:space="preserve">uchylono przepisy odnoszące się do ustawy </w:t>
      </w:r>
      <w:r w:rsidR="00F7657D">
        <w:rPr>
          <w:rFonts w:cstheme="minorHAnsi"/>
          <w:color w:val="000000" w:themeColor="text1"/>
          <w:sz w:val="24"/>
          <w:szCs w:val="24"/>
        </w:rPr>
        <w:t xml:space="preserve">z dnia 29 sierpnia 1997 r. </w:t>
      </w:r>
      <w:r w:rsidRPr="00375799">
        <w:rPr>
          <w:rFonts w:cstheme="minorHAnsi"/>
          <w:color w:val="000000" w:themeColor="text1"/>
          <w:sz w:val="24"/>
          <w:szCs w:val="24"/>
        </w:rPr>
        <w:t>o ochronie danych osobowych. Przepisy te zostały usunięte również dlatego, że powtarzają regulacje zawarte w RODO.</w:t>
      </w:r>
    </w:p>
    <w:p w14:paraId="29EEF012" w14:textId="77777777"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p>
    <w:p w14:paraId="4E7CB064" w14:textId="0BB303F0"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41" w:name="_Toc530565113"/>
      <w:r w:rsidRPr="00375799">
        <w:rPr>
          <w:rFonts w:asciiTheme="minorHAnsi" w:hAnsiTheme="minorHAnsi" w:cstheme="minorHAnsi"/>
          <w:color w:val="000000" w:themeColor="text1"/>
          <w:sz w:val="24"/>
          <w:szCs w:val="24"/>
        </w:rPr>
        <w:t>Ustawa z dnia 10 lipca 2015 r. o wspieraniu zrównoważonego rozwoju sektora rybackiego z udziałem Europejskiego Funduszu Morskiego i Rybackiego</w:t>
      </w:r>
      <w:r w:rsidR="00B84CD7" w:rsidRPr="00375799">
        <w:rPr>
          <w:rFonts w:asciiTheme="minorHAnsi" w:hAnsiTheme="minorHAnsi" w:cstheme="minorHAnsi"/>
          <w:color w:val="000000" w:themeColor="text1"/>
          <w:sz w:val="24"/>
          <w:szCs w:val="24"/>
        </w:rPr>
        <w:t xml:space="preserve"> (Dz. U. z 2017 r. poz. 1267)</w:t>
      </w:r>
      <w:bookmarkEnd w:id="141"/>
      <w:r w:rsidRPr="00375799">
        <w:rPr>
          <w:rFonts w:asciiTheme="minorHAnsi" w:hAnsiTheme="minorHAnsi" w:cstheme="minorHAnsi"/>
          <w:color w:val="000000" w:themeColor="text1"/>
          <w:sz w:val="24"/>
          <w:szCs w:val="24"/>
        </w:rPr>
        <w:t xml:space="preserve"> </w:t>
      </w:r>
    </w:p>
    <w:p w14:paraId="2087BB9B" w14:textId="77777777" w:rsidR="00F50614" w:rsidRPr="00375799" w:rsidRDefault="00F50614" w:rsidP="0055107B">
      <w:pPr>
        <w:spacing w:after="0" w:line="276" w:lineRule="auto"/>
        <w:ind w:left="57" w:right="57"/>
        <w:contextualSpacing/>
        <w:jc w:val="both"/>
        <w:rPr>
          <w:rFonts w:cstheme="minorHAnsi"/>
          <w:color w:val="000000" w:themeColor="text1"/>
          <w:sz w:val="24"/>
          <w:szCs w:val="24"/>
        </w:rPr>
      </w:pPr>
    </w:p>
    <w:p w14:paraId="1234E388" w14:textId="4B823FE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wejściem w życie </w:t>
      </w:r>
      <w:r w:rsidR="00793268" w:rsidRPr="00375799">
        <w:rPr>
          <w:rFonts w:cstheme="minorHAnsi"/>
          <w:color w:val="000000" w:themeColor="text1"/>
          <w:sz w:val="24"/>
          <w:szCs w:val="24"/>
        </w:rPr>
        <w:t>RODO powstaje</w:t>
      </w:r>
      <w:r w:rsidRPr="00375799">
        <w:rPr>
          <w:rFonts w:cstheme="minorHAnsi"/>
          <w:color w:val="000000" w:themeColor="text1"/>
          <w:sz w:val="24"/>
          <w:szCs w:val="24"/>
        </w:rPr>
        <w:t xml:space="preserve"> konieczność jednoznacznego wskazania podmiotu odpowiedzialnego za administrowanie danymi osobowymi.</w:t>
      </w:r>
    </w:p>
    <w:p w14:paraId="1209910E" w14:textId="6138D1C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art. 4 pkt 7 oraz art. 6 ust. 3 </w:t>
      </w:r>
      <w:r w:rsidR="006E00BC" w:rsidRPr="00375799">
        <w:rPr>
          <w:rFonts w:cstheme="minorHAnsi"/>
          <w:color w:val="000000" w:themeColor="text1"/>
          <w:sz w:val="24"/>
          <w:szCs w:val="24"/>
        </w:rPr>
        <w:t>RODO</w:t>
      </w:r>
      <w:r w:rsidR="00793268" w:rsidRPr="00375799">
        <w:rPr>
          <w:rFonts w:cstheme="minorHAnsi"/>
          <w:color w:val="000000" w:themeColor="text1"/>
          <w:sz w:val="24"/>
          <w:szCs w:val="24"/>
        </w:rPr>
        <w:t xml:space="preserve"> </w:t>
      </w:r>
      <w:r w:rsidRPr="00375799">
        <w:rPr>
          <w:rFonts w:cstheme="minorHAnsi"/>
          <w:color w:val="000000" w:themeColor="text1"/>
          <w:sz w:val="24"/>
          <w:szCs w:val="24"/>
        </w:rPr>
        <w:t>istnieje możliwość wyznaczenia administratora danych osobowych w przepisach prawa państwa członkowskiego, jeżeli cele i sposoby przetwarzania danych osobowych są wyznaczone w prawie Unii Europejskiej lub państwa członkowskiego.</w:t>
      </w:r>
    </w:p>
    <w:p w14:paraId="140E85DA" w14:textId="75C10143"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powyższym </w:t>
      </w:r>
      <w:r w:rsidR="00F7657D">
        <w:rPr>
          <w:rFonts w:cstheme="minorHAnsi"/>
          <w:color w:val="000000" w:themeColor="text1"/>
          <w:sz w:val="24"/>
          <w:szCs w:val="24"/>
        </w:rPr>
        <w:t>projektodawca</w:t>
      </w:r>
      <w:r w:rsidR="00F7657D" w:rsidRPr="00375799">
        <w:rPr>
          <w:rFonts w:cstheme="minorHAnsi"/>
          <w:color w:val="000000" w:themeColor="text1"/>
          <w:sz w:val="24"/>
          <w:szCs w:val="24"/>
        </w:rPr>
        <w:t xml:space="preserve"> </w:t>
      </w:r>
      <w:r w:rsidRPr="00375799">
        <w:rPr>
          <w:rFonts w:cstheme="minorHAnsi"/>
          <w:color w:val="000000" w:themeColor="text1"/>
          <w:sz w:val="24"/>
          <w:szCs w:val="24"/>
        </w:rPr>
        <w:t>przesądził w art. 25</w:t>
      </w:r>
      <w:r w:rsidR="00F7657D">
        <w:rPr>
          <w:rFonts w:cstheme="minorHAnsi"/>
          <w:color w:val="000000" w:themeColor="text1"/>
          <w:sz w:val="24"/>
          <w:szCs w:val="24"/>
        </w:rPr>
        <w:t xml:space="preserve"> ust. 1a</w:t>
      </w:r>
      <w:r w:rsidRPr="00375799">
        <w:rPr>
          <w:rFonts w:cstheme="minorHAnsi"/>
          <w:color w:val="000000" w:themeColor="text1"/>
          <w:sz w:val="24"/>
          <w:szCs w:val="24"/>
        </w:rPr>
        <w:t xml:space="preserve"> ustawy o wspieraniu zrównoważonego rozwoju sektora rybackiego z udziałem Europejskiego Funduszu Morskiego i Rybackiego, że administratorem </w:t>
      </w:r>
      <w:r w:rsidR="00F7657D">
        <w:rPr>
          <w:rFonts w:cstheme="minorHAnsi"/>
          <w:color w:val="000000" w:themeColor="text1"/>
          <w:sz w:val="24"/>
          <w:szCs w:val="24"/>
        </w:rPr>
        <w:t>danych zgromadzonych w systemie</w:t>
      </w:r>
      <w:r w:rsidR="00F7657D" w:rsidRPr="00375799">
        <w:rPr>
          <w:rFonts w:cstheme="minorHAnsi"/>
          <w:color w:val="000000" w:themeColor="text1"/>
          <w:sz w:val="24"/>
          <w:szCs w:val="24"/>
        </w:rPr>
        <w:t xml:space="preserve"> </w:t>
      </w:r>
      <w:r w:rsidRPr="00375799">
        <w:rPr>
          <w:rFonts w:cstheme="minorHAnsi"/>
          <w:color w:val="000000" w:themeColor="text1"/>
          <w:sz w:val="24"/>
          <w:szCs w:val="24"/>
        </w:rPr>
        <w:t>elektronicznej rejestracji i przechowywania danych, o którym mowa w art. 125 ust. 2 lit. d rozporządzenia nr 1303/2013</w:t>
      </w:r>
      <w:r w:rsidR="00CA54EF">
        <w:rPr>
          <w:rFonts w:cstheme="minorHAnsi"/>
          <w:color w:val="000000" w:themeColor="text1"/>
          <w:sz w:val="24"/>
          <w:szCs w:val="24"/>
        </w:rPr>
        <w:t>,</w:t>
      </w:r>
      <w:r w:rsidRPr="00375799">
        <w:rPr>
          <w:rFonts w:cstheme="minorHAnsi"/>
          <w:color w:val="000000" w:themeColor="text1"/>
          <w:sz w:val="24"/>
          <w:szCs w:val="24"/>
        </w:rPr>
        <w:t xml:space="preserve"> jest Agencja Restrukturyzacji i Modernizacji Rolnictwa.</w:t>
      </w:r>
    </w:p>
    <w:p w14:paraId="0C31C5C7"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Konieczność taka wynika ze zgłaszanych wątpliwości w tej materii, a kwestia ta nie jest uregulowana w przepisach prawa powszechnie obowiązującego.</w:t>
      </w:r>
    </w:p>
    <w:p w14:paraId="6C7D2501"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p>
    <w:p w14:paraId="18017CAB" w14:textId="085A6719" w:rsidR="008706DD" w:rsidRPr="00375799" w:rsidRDefault="00F50614"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42" w:name="_Toc530565114"/>
      <w:r w:rsidRPr="00375799">
        <w:rPr>
          <w:rFonts w:asciiTheme="minorHAnsi" w:hAnsiTheme="minorHAnsi" w:cstheme="minorHAnsi"/>
          <w:color w:val="000000" w:themeColor="text1"/>
          <w:sz w:val="24"/>
          <w:szCs w:val="24"/>
        </w:rPr>
        <w:t>U</w:t>
      </w:r>
      <w:r w:rsidR="008706DD" w:rsidRPr="00375799">
        <w:rPr>
          <w:rFonts w:asciiTheme="minorHAnsi" w:hAnsiTheme="minorHAnsi" w:cstheme="minorHAnsi"/>
          <w:color w:val="000000" w:themeColor="text1"/>
          <w:sz w:val="24"/>
          <w:szCs w:val="24"/>
        </w:rPr>
        <w:t>staw</w:t>
      </w:r>
      <w:r w:rsidRPr="00375799">
        <w:rPr>
          <w:rFonts w:asciiTheme="minorHAnsi" w:hAnsiTheme="minorHAnsi" w:cstheme="minorHAnsi"/>
          <w:color w:val="000000" w:themeColor="text1"/>
          <w:sz w:val="24"/>
          <w:szCs w:val="24"/>
        </w:rPr>
        <w:t>a</w:t>
      </w:r>
      <w:r w:rsidR="008706DD" w:rsidRPr="00375799">
        <w:rPr>
          <w:rFonts w:asciiTheme="minorHAnsi" w:hAnsiTheme="minorHAnsi" w:cstheme="minorHAnsi"/>
          <w:color w:val="000000" w:themeColor="text1"/>
          <w:sz w:val="24"/>
          <w:szCs w:val="24"/>
        </w:rPr>
        <w:t xml:space="preserve"> z dnia 11 września 2015 r. o działalności ubezpieczeniowej i reasekuracyjnej</w:t>
      </w:r>
      <w:r w:rsidR="00B84CD7" w:rsidRPr="00375799">
        <w:rPr>
          <w:rFonts w:asciiTheme="minorHAnsi" w:hAnsiTheme="minorHAnsi" w:cstheme="minorHAnsi"/>
          <w:color w:val="000000" w:themeColor="text1"/>
          <w:sz w:val="24"/>
          <w:szCs w:val="24"/>
        </w:rPr>
        <w:t xml:space="preserve"> (Dz. U. z 2018 r. poz. 999</w:t>
      </w:r>
      <w:r w:rsidR="00036838">
        <w:rPr>
          <w:rFonts w:asciiTheme="minorHAnsi" w:hAnsiTheme="minorHAnsi" w:cstheme="minorHAnsi"/>
          <w:color w:val="000000" w:themeColor="text1"/>
          <w:sz w:val="24"/>
          <w:szCs w:val="24"/>
        </w:rPr>
        <w:t>,</w:t>
      </w:r>
      <w:r w:rsidR="00B84CD7" w:rsidRPr="00375799">
        <w:rPr>
          <w:rFonts w:asciiTheme="minorHAnsi" w:hAnsiTheme="minorHAnsi" w:cstheme="minorHAnsi"/>
          <w:color w:val="000000" w:themeColor="text1"/>
          <w:sz w:val="24"/>
          <w:szCs w:val="24"/>
        </w:rPr>
        <w:t xml:space="preserve"> 1000</w:t>
      </w:r>
      <w:r w:rsidR="00036838">
        <w:rPr>
          <w:rFonts w:asciiTheme="minorHAnsi" w:hAnsiTheme="minorHAnsi" w:cstheme="minorHAnsi"/>
          <w:color w:val="000000" w:themeColor="text1"/>
          <w:sz w:val="24"/>
          <w:szCs w:val="24"/>
        </w:rPr>
        <w:t xml:space="preserve"> i 1669</w:t>
      </w:r>
      <w:r w:rsidR="00B84CD7" w:rsidRPr="00375799">
        <w:rPr>
          <w:rFonts w:asciiTheme="minorHAnsi" w:hAnsiTheme="minorHAnsi" w:cstheme="minorHAnsi"/>
          <w:color w:val="000000" w:themeColor="text1"/>
          <w:sz w:val="24"/>
          <w:szCs w:val="24"/>
        </w:rPr>
        <w:t>)</w:t>
      </w:r>
      <w:bookmarkEnd w:id="142"/>
    </w:p>
    <w:p w14:paraId="0C1875C7" w14:textId="77777777" w:rsidR="00F118D1" w:rsidRPr="00375799" w:rsidRDefault="00F118D1" w:rsidP="0055107B">
      <w:pPr>
        <w:spacing w:line="276" w:lineRule="auto"/>
        <w:contextualSpacing/>
        <w:rPr>
          <w:rFonts w:cstheme="minorHAnsi"/>
          <w:color w:val="000000" w:themeColor="text1"/>
          <w:sz w:val="24"/>
          <w:szCs w:val="24"/>
        </w:rPr>
      </w:pPr>
    </w:p>
    <w:p w14:paraId="216B1BFA" w14:textId="68FF681F" w:rsidR="00453774" w:rsidRPr="00375799" w:rsidRDefault="00F7657D"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1. </w:t>
      </w:r>
      <w:r w:rsidR="00453774" w:rsidRPr="00375799">
        <w:rPr>
          <w:rFonts w:cstheme="minorHAnsi"/>
          <w:color w:val="000000" w:themeColor="text1"/>
          <w:sz w:val="24"/>
          <w:szCs w:val="24"/>
        </w:rPr>
        <w:t>Zmiana art. 3 ust. 1 pkt 33a</w:t>
      </w:r>
      <w:r>
        <w:rPr>
          <w:rFonts w:cstheme="minorHAnsi"/>
          <w:color w:val="000000" w:themeColor="text1"/>
          <w:sz w:val="24"/>
          <w:szCs w:val="24"/>
        </w:rPr>
        <w:t>.</w:t>
      </w:r>
    </w:p>
    <w:p w14:paraId="251D00A4" w14:textId="3B3C9C08"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Zmiana polega na dodaniu przepisu w art. 3 ust. 1 pkt 33a ustawy </w:t>
      </w:r>
      <w:r w:rsidR="007D6D86">
        <w:rPr>
          <w:rFonts w:cstheme="minorHAnsi"/>
          <w:color w:val="000000" w:themeColor="text1"/>
          <w:sz w:val="24"/>
          <w:szCs w:val="24"/>
        </w:rPr>
        <w:t>z dnia 11</w:t>
      </w:r>
      <w:r w:rsidR="00F7657D">
        <w:rPr>
          <w:rFonts w:cstheme="minorHAnsi"/>
          <w:color w:val="000000" w:themeColor="text1"/>
          <w:sz w:val="24"/>
          <w:szCs w:val="24"/>
        </w:rPr>
        <w:t xml:space="preserve"> </w:t>
      </w:r>
      <w:r w:rsidR="007D6D86">
        <w:rPr>
          <w:rFonts w:cstheme="minorHAnsi"/>
          <w:color w:val="000000" w:themeColor="text1"/>
          <w:sz w:val="24"/>
          <w:szCs w:val="24"/>
        </w:rPr>
        <w:t xml:space="preserve">września 2015 r. o działalności ubezpieczeniowej i reasekuracyjnej </w:t>
      </w:r>
      <w:r w:rsidRPr="00375799">
        <w:rPr>
          <w:rFonts w:cstheme="minorHAnsi"/>
          <w:color w:val="000000" w:themeColor="text1"/>
          <w:sz w:val="24"/>
          <w:szCs w:val="24"/>
        </w:rPr>
        <w:t>i ma na celu uzupełnienie słowniczka o wyjaśnienie skrótu profilowanie.</w:t>
      </w:r>
    </w:p>
    <w:p w14:paraId="64AE5D9B" w14:textId="76AD14AF" w:rsidR="00453774" w:rsidRPr="00375799" w:rsidRDefault="00F7657D"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2. </w:t>
      </w:r>
      <w:r w:rsidR="00793268" w:rsidRPr="00375799">
        <w:rPr>
          <w:rFonts w:cstheme="minorHAnsi"/>
          <w:color w:val="000000" w:themeColor="text1"/>
          <w:sz w:val="24"/>
          <w:szCs w:val="24"/>
        </w:rPr>
        <w:t>Z</w:t>
      </w:r>
      <w:r w:rsidR="00453774" w:rsidRPr="00375799">
        <w:rPr>
          <w:rFonts w:cstheme="minorHAnsi"/>
          <w:color w:val="000000" w:themeColor="text1"/>
          <w:sz w:val="24"/>
          <w:szCs w:val="24"/>
        </w:rPr>
        <w:t>miana art. 3 ust. 1 pkt 37a</w:t>
      </w:r>
      <w:r>
        <w:rPr>
          <w:rFonts w:cstheme="minorHAnsi"/>
          <w:color w:val="000000" w:themeColor="text1"/>
          <w:sz w:val="24"/>
          <w:szCs w:val="24"/>
        </w:rPr>
        <w:t>.</w:t>
      </w:r>
    </w:p>
    <w:p w14:paraId="1049EED5" w14:textId="0F31D206"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Zmiana polega na dodaniu przepisu w art. 3 ust. 1 pkt 37a ustawy o działalności ubezpieczeniowej i reasekuracyjnej i ma na celu uzupełnienie słowniczka o wyjaśnienie skrótu </w:t>
      </w:r>
      <w:r w:rsidR="00F7657D">
        <w:rPr>
          <w:rFonts w:cstheme="minorHAnsi"/>
          <w:color w:val="000000" w:themeColor="text1"/>
          <w:sz w:val="24"/>
          <w:szCs w:val="24"/>
        </w:rPr>
        <w:t>rozporządzenie 2016/679</w:t>
      </w:r>
      <w:r w:rsidRPr="00375799">
        <w:rPr>
          <w:rFonts w:cstheme="minorHAnsi"/>
          <w:color w:val="000000" w:themeColor="text1"/>
          <w:sz w:val="24"/>
          <w:szCs w:val="24"/>
        </w:rPr>
        <w:t>.</w:t>
      </w:r>
    </w:p>
    <w:p w14:paraId="7F5C2DF4" w14:textId="5D613EA4" w:rsidR="00453774" w:rsidRPr="00375799" w:rsidRDefault="00F7657D"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3. </w:t>
      </w:r>
      <w:r w:rsidR="00793268" w:rsidRPr="00375799">
        <w:rPr>
          <w:rFonts w:cstheme="minorHAnsi"/>
          <w:color w:val="000000" w:themeColor="text1"/>
          <w:sz w:val="24"/>
          <w:szCs w:val="24"/>
        </w:rPr>
        <w:t>Z</w:t>
      </w:r>
      <w:r w:rsidR="00453774" w:rsidRPr="00375799">
        <w:rPr>
          <w:rFonts w:cstheme="minorHAnsi"/>
          <w:color w:val="000000" w:themeColor="text1"/>
          <w:sz w:val="24"/>
          <w:szCs w:val="24"/>
        </w:rPr>
        <w:t>miana art. 35 ust. 7</w:t>
      </w:r>
      <w:r>
        <w:rPr>
          <w:rFonts w:cstheme="minorHAnsi"/>
          <w:color w:val="000000" w:themeColor="text1"/>
          <w:sz w:val="24"/>
          <w:szCs w:val="24"/>
        </w:rPr>
        <w:t>.</w:t>
      </w:r>
    </w:p>
    <w:p w14:paraId="0E5BDBE9" w14:textId="0552DC8B"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Propozycja uzupełnienia art. 35 ust. 7 ustawy o działalności ubezpieczeniowej i reasekuracyjnej poprzez wskazanie Ubezpieczeniowego Funduszu Gwarancyjnego i Polskiego Biura Ubezpieczycieli Komunikacyjnych (obok Polskiej Izby Ubezpieczeń) jako podmiotów zobowiązanych do zachowania tajemnicy dotyczącej poszczególnych umów ubezpieczenia. </w:t>
      </w:r>
      <w:r w:rsidRPr="00375799">
        <w:rPr>
          <w:rFonts w:cstheme="minorHAnsi"/>
          <w:color w:val="000000" w:themeColor="text1"/>
          <w:sz w:val="24"/>
          <w:szCs w:val="24"/>
        </w:rPr>
        <w:lastRenderedPageBreak/>
        <w:t>Propozycja ma na celu potwierdzenie objęcia obowiązkiem zachowania tajemnicy ubezpieczeniowej Ubezpieczeniowego Funduszu Gwarancyjnego</w:t>
      </w:r>
      <w:r w:rsidR="00DA1789">
        <w:rPr>
          <w:rFonts w:cstheme="minorHAnsi"/>
          <w:color w:val="000000" w:themeColor="text1"/>
          <w:sz w:val="24"/>
          <w:szCs w:val="24"/>
        </w:rPr>
        <w:t xml:space="preserve"> (UFG)</w:t>
      </w:r>
      <w:r w:rsidRPr="00375799">
        <w:rPr>
          <w:rFonts w:cstheme="minorHAnsi"/>
          <w:color w:val="000000" w:themeColor="text1"/>
          <w:sz w:val="24"/>
          <w:szCs w:val="24"/>
        </w:rPr>
        <w:t xml:space="preserve">, co jest związane m.in. z prowadzeniem przez UFG informatycznych baz danych, które obejmują informacje o wypłaconych odszkodowaniach i świadczeniach z umów ubezpieczenia. Należy wskazać, iż UFG przejęło część uprawnień do prowadzenia baz danych od Polskiej Izby Ubezpieczeń (art. 102a ustawy z dnia 22 maja 2003 r. o ubezpieczeniach obowiązkowych, Ubezpieczeniowym Funduszu Gwarancyjnym i Polskim Biurze Ubezpieczycieli Komunikacyjnych). Przetwarzanie przez UFG danych sensytywnych wymaga w świetle RODO (art. 9 i </w:t>
      </w:r>
      <w:r w:rsidR="00CA54EF">
        <w:rPr>
          <w:rFonts w:cstheme="minorHAnsi"/>
          <w:color w:val="000000" w:themeColor="text1"/>
          <w:sz w:val="24"/>
          <w:szCs w:val="24"/>
        </w:rPr>
        <w:t xml:space="preserve">art. </w:t>
      </w:r>
      <w:r w:rsidRPr="00375799">
        <w:rPr>
          <w:rFonts w:cstheme="minorHAnsi"/>
          <w:color w:val="000000" w:themeColor="text1"/>
          <w:sz w:val="24"/>
          <w:szCs w:val="24"/>
        </w:rPr>
        <w:t xml:space="preserve">10) dodatkowych gwarancji praw i wolności. Objęcie UFG </w:t>
      </w:r>
      <w:r w:rsidRPr="003654A8">
        <w:rPr>
          <w:rFonts w:cstheme="minorHAnsi"/>
          <w:i/>
          <w:color w:val="000000" w:themeColor="text1"/>
          <w:sz w:val="24"/>
          <w:szCs w:val="24"/>
        </w:rPr>
        <w:t>expressis verbis</w:t>
      </w:r>
      <w:r w:rsidRPr="00375799">
        <w:rPr>
          <w:rFonts w:cstheme="minorHAnsi"/>
          <w:color w:val="000000" w:themeColor="text1"/>
          <w:sz w:val="24"/>
          <w:szCs w:val="24"/>
        </w:rPr>
        <w:t xml:space="preserve"> tajemnicą ubezpieczeniową będzie mogło być uznane za taką gwarancję. Propozycja objęcia obowiązkiem zachowania tajemnicy ubezpieczeniowej Polskiego Biura Ubezpieczycieli Komunikacyjnych związana jest z umożliwieniem Biuru, na gruncie przepisów RODO, przetwarzanie danych osobowych dotyczących naruszeń prawa. Na podstawie obecnie obowiązujących regulacji PBUK otrzymuje od Policji informacje dotyczące wypadku drogowego, wśród których znajdują się m.in. informacje dotyczące przyczyny wypadku, jeżeli ją ustalono osoby sprawcy albo osoby, której przedstawiono zarzut lub przeciwko której skierowano wniosek do sądu albo informację o wystąpieniu o wszczęcie postępowania karnego. Przedmiotowe informacje są niezbędne do wykonywania przez Biuro zadań ustawowych. Mając na uwadze art. 10 RODO przetwarzania danych osobowych dotyczących naruszeń prawa musi być dozwolone prawem Unii lub prawem państwa członkowskiego przewidującym zabezpieczenia praw i wolności osób, których dane dotyczą. Objęcie tajemnicą ubezpieczeniową Biura będzie stanowiło element takiego zabezpieczenia. </w:t>
      </w:r>
    </w:p>
    <w:p w14:paraId="75102D44" w14:textId="7CCD2A9D" w:rsidR="00453774" w:rsidRPr="00375799" w:rsidRDefault="00DA1789"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4. D</w:t>
      </w:r>
      <w:r w:rsidR="00453774" w:rsidRPr="00375799">
        <w:rPr>
          <w:rFonts w:cstheme="minorHAnsi"/>
          <w:color w:val="000000" w:themeColor="text1"/>
          <w:sz w:val="24"/>
          <w:szCs w:val="24"/>
        </w:rPr>
        <w:t>odani</w:t>
      </w:r>
      <w:r>
        <w:rPr>
          <w:rFonts w:cstheme="minorHAnsi"/>
          <w:color w:val="000000" w:themeColor="text1"/>
          <w:sz w:val="24"/>
          <w:szCs w:val="24"/>
        </w:rPr>
        <w:t>e</w:t>
      </w:r>
      <w:r w:rsidR="00453774" w:rsidRPr="00375799">
        <w:rPr>
          <w:rFonts w:cstheme="minorHAnsi"/>
          <w:color w:val="000000" w:themeColor="text1"/>
          <w:sz w:val="24"/>
          <w:szCs w:val="24"/>
        </w:rPr>
        <w:t xml:space="preserve"> art. 35a</w:t>
      </w:r>
    </w:p>
    <w:p w14:paraId="08A58FAE" w14:textId="3DB19F4D"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Zjawisko przestępczości ubezpieczeniowej w Unii Europejskiej (wypłaty nienależnych odszkodowań i świadczeń z umów ubezpieczenia) jest duże i niezmiennie wykazuje tendencję wzrostową. Zgodnie z szacunkami </w:t>
      </w:r>
      <w:proofErr w:type="spellStart"/>
      <w:r w:rsidRPr="00375799">
        <w:rPr>
          <w:rFonts w:cstheme="minorHAnsi"/>
          <w:color w:val="000000" w:themeColor="text1"/>
          <w:sz w:val="24"/>
          <w:szCs w:val="24"/>
        </w:rPr>
        <w:t>Insurance</w:t>
      </w:r>
      <w:proofErr w:type="spellEnd"/>
      <w:r w:rsidRPr="00375799">
        <w:rPr>
          <w:rFonts w:cstheme="minorHAnsi"/>
          <w:color w:val="000000" w:themeColor="text1"/>
          <w:sz w:val="24"/>
          <w:szCs w:val="24"/>
        </w:rPr>
        <w:t xml:space="preserve"> Europe (Europejska Federacja Stowarzyszeń Ubezpieczycieli i Reasekuratorów) ok. 10% wypłaconych odszkodowań i świadczeń wypłacanych jest na skutek oszustwa ubezpieczeniowego. Biorąc pod uwagę, że w 2016 roku zakłady ubezpieczeń w Polsce dokonały wypłat odszkodowań i świadczeń w wysokości 36 68 mld zł (zakłady ubezpieczeń na życie - 18 28 mld zł; pozostałe zakłady ubezpieczeń – 18, 40 mld zł), to, przyjmując szacunki </w:t>
      </w:r>
      <w:proofErr w:type="spellStart"/>
      <w:r w:rsidRPr="00375799">
        <w:rPr>
          <w:rFonts w:cstheme="minorHAnsi"/>
          <w:color w:val="000000" w:themeColor="text1"/>
          <w:sz w:val="24"/>
          <w:szCs w:val="24"/>
        </w:rPr>
        <w:t>Insurance</w:t>
      </w:r>
      <w:proofErr w:type="spellEnd"/>
      <w:r w:rsidRPr="00375799">
        <w:rPr>
          <w:rFonts w:cstheme="minorHAnsi"/>
          <w:color w:val="000000" w:themeColor="text1"/>
          <w:sz w:val="24"/>
          <w:szCs w:val="24"/>
        </w:rPr>
        <w:t xml:space="preserve"> Europe, można uznać, że zakłady ubezpieczeń mogły potencjalnie wypłacić w 2016 nawet 3,7 mld zł nienależnych odszkodowań i świadczeń. Właściwa ochrona prze</w:t>
      </w:r>
      <w:r w:rsidR="00CA54EF">
        <w:rPr>
          <w:rFonts w:cstheme="minorHAnsi"/>
          <w:color w:val="000000" w:themeColor="text1"/>
          <w:sz w:val="24"/>
          <w:szCs w:val="24"/>
        </w:rPr>
        <w:t>d</w:t>
      </w:r>
      <w:r w:rsidRPr="00375799">
        <w:rPr>
          <w:rFonts w:cstheme="minorHAnsi"/>
          <w:color w:val="000000" w:themeColor="text1"/>
          <w:sz w:val="24"/>
          <w:szCs w:val="24"/>
        </w:rPr>
        <w:t xml:space="preserve"> wyłudzeniami nienależnych odszkodowań i świadczeń zabezpiecza interesy ubezpieczających, w tym także kilkunastu milionów posiadaczy pojazdów mechanicznych w Polsce ubezpieczających się z racji obowiązkowego ubezpieczenia odpowiedzialności cywilnej posiadaczy pojazdów mechanicznych. J</w:t>
      </w:r>
      <w:r w:rsidR="00393127">
        <w:rPr>
          <w:rFonts w:cstheme="minorHAnsi"/>
          <w:color w:val="000000" w:themeColor="text1"/>
          <w:sz w:val="24"/>
          <w:szCs w:val="24"/>
        </w:rPr>
        <w:t xml:space="preserve">ednocześnie należy wskazać, że </w:t>
      </w:r>
      <w:r w:rsidRPr="00375799">
        <w:rPr>
          <w:rFonts w:cstheme="minorHAnsi"/>
          <w:color w:val="000000" w:themeColor="text1"/>
          <w:sz w:val="24"/>
          <w:szCs w:val="24"/>
        </w:rPr>
        <w:t xml:space="preserve">wartość wypłacanych odszkodowań i świadczeń ma wpływ na ustalanie poziomu stawek i taryf usług ubezpieczeniowych, ponieważ składkę ubezpieczeniową ustala się w wysokości, która zapewnia co najmniej wykonanie wszystkich zobowiązań z umów </w:t>
      </w:r>
      <w:r w:rsidRPr="00375799">
        <w:rPr>
          <w:rFonts w:cstheme="minorHAnsi"/>
          <w:color w:val="000000" w:themeColor="text1"/>
          <w:sz w:val="24"/>
          <w:szCs w:val="24"/>
        </w:rPr>
        <w:lastRenderedPageBreak/>
        <w:t xml:space="preserve">ubezpieczenia i pokrycie kosztów wykonywania działalności ubezpieczeniowej zakładu ubezpieczeń (art. 33 ust. 2 ustawy o działalności ubezpieczeniowej i reasekuracyjnej). </w:t>
      </w:r>
    </w:p>
    <w:p w14:paraId="5285B0FF" w14:textId="30BF4096"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Zgodnie z art. 35 ust. 6 ustawy o działalności ubezpieczeniowej </w:t>
      </w:r>
      <w:r w:rsidR="00CA54EF">
        <w:rPr>
          <w:rFonts w:cstheme="minorHAnsi"/>
          <w:color w:val="000000" w:themeColor="text1"/>
          <w:sz w:val="24"/>
          <w:szCs w:val="24"/>
        </w:rPr>
        <w:t>i reasekuracyjnej</w:t>
      </w:r>
      <w:r w:rsidRPr="00375799">
        <w:rPr>
          <w:rFonts w:cstheme="minorHAnsi"/>
          <w:color w:val="000000" w:themeColor="text1"/>
          <w:sz w:val="24"/>
          <w:szCs w:val="24"/>
        </w:rPr>
        <w:t xml:space="preserve"> nie narusza obowiązku zachowania tajemnicy dotyczącej poszczególnych umów ubezpieczenia złożenie zawiadomienia o uzasadnionym podejrzeniu popełnienia  przestępstwa na szkodę zakładu ubezpieczeń albo o tym że działalność zakładu ubezpieczeń jest wykorzystywana w celu ukrycia przestępstwa lub przestępstwa skarbowego lub do celów mających związek z przestępstwem lub przestępstwem skarbowym. W celu zapewnienia zakładom ubezpieczeń możliwości skutecznego zapobiegania przestępczości na ich szkodę (a w dalszej konsekwencji na szkodę ogółu ubezpieczonych) proponuje się uzupełnienie brzmienia art. 35 ustawy o działalności ubezpieczeniowej i reasekuracyjnej  poprzez nadanie zakładowi ubezpieczeń uprawnienia do przetwarzanie informacji w przypadku uzasadnionego popełnienia przestępstwa na jego szkodę w celu i w zakresie niezbędnym do zapobiegania temu przestępstwu.</w:t>
      </w:r>
    </w:p>
    <w:p w14:paraId="6DE3F59C" w14:textId="4B2882D9" w:rsidR="00453774" w:rsidRPr="00375799" w:rsidRDefault="006F1710"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5.</w:t>
      </w:r>
      <w:r w:rsidR="00453774" w:rsidRPr="00375799">
        <w:rPr>
          <w:rFonts w:cstheme="minorHAnsi"/>
          <w:color w:val="000000" w:themeColor="text1"/>
          <w:sz w:val="24"/>
          <w:szCs w:val="24"/>
        </w:rPr>
        <w:t xml:space="preserve"> </w:t>
      </w:r>
      <w:r>
        <w:rPr>
          <w:rFonts w:cstheme="minorHAnsi"/>
          <w:color w:val="000000" w:themeColor="text1"/>
          <w:sz w:val="24"/>
          <w:szCs w:val="24"/>
        </w:rPr>
        <w:t>D</w:t>
      </w:r>
      <w:r w:rsidR="00453774" w:rsidRPr="00375799">
        <w:rPr>
          <w:rFonts w:cstheme="minorHAnsi"/>
          <w:color w:val="000000" w:themeColor="text1"/>
          <w:sz w:val="24"/>
          <w:szCs w:val="24"/>
        </w:rPr>
        <w:t>odani</w:t>
      </w:r>
      <w:r>
        <w:rPr>
          <w:rFonts w:cstheme="minorHAnsi"/>
          <w:color w:val="000000" w:themeColor="text1"/>
          <w:sz w:val="24"/>
          <w:szCs w:val="24"/>
        </w:rPr>
        <w:t>e</w:t>
      </w:r>
      <w:r w:rsidR="00453774" w:rsidRPr="00375799">
        <w:rPr>
          <w:rFonts w:cstheme="minorHAnsi"/>
          <w:color w:val="000000" w:themeColor="text1"/>
          <w:sz w:val="24"/>
          <w:szCs w:val="24"/>
        </w:rPr>
        <w:t xml:space="preserve"> art. 35b</w:t>
      </w:r>
      <w:r w:rsidR="00195403">
        <w:rPr>
          <w:rFonts w:cstheme="minorHAnsi"/>
          <w:color w:val="000000" w:themeColor="text1"/>
          <w:sz w:val="24"/>
          <w:szCs w:val="24"/>
        </w:rPr>
        <w:t>.</w:t>
      </w:r>
      <w:r w:rsidR="00453774" w:rsidRPr="00375799">
        <w:rPr>
          <w:rFonts w:cstheme="minorHAnsi"/>
          <w:color w:val="000000" w:themeColor="text1"/>
          <w:sz w:val="24"/>
          <w:szCs w:val="24"/>
        </w:rPr>
        <w:t xml:space="preserve"> </w:t>
      </w:r>
    </w:p>
    <w:p w14:paraId="5D524CBE" w14:textId="1DF0C095"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Projektowany przepis art. 35b wyłącza możliwość stosowania art. 15 RODO, w przypadku przetwarzania przez zakład ubezpieczeń danych na potrzeby przeciwdziałania praniu pieniędzy i finansowaniu terroryzmu oraz zapobiegania przestępstwom. Wyłączenie to dotyczy prawa dostępu przysługującego osobie, której dane dotyczą, i będzie możliwe przy przetwarzaniu danych osobowych w zakresie</w:t>
      </w:r>
      <w:r w:rsidR="00CA54EF">
        <w:rPr>
          <w:rFonts w:cstheme="minorHAnsi"/>
          <w:color w:val="000000" w:themeColor="text1"/>
          <w:sz w:val="24"/>
          <w:szCs w:val="24"/>
        </w:rPr>
        <w:t>,</w:t>
      </w:r>
      <w:r w:rsidRPr="00375799">
        <w:rPr>
          <w:rFonts w:cstheme="minorHAnsi"/>
          <w:color w:val="000000" w:themeColor="text1"/>
          <w:sz w:val="24"/>
          <w:szCs w:val="24"/>
        </w:rPr>
        <w:t xml:space="preserve"> w jakim będzie to niezbędne dla prawidłowej realizacji zadań dotyczących przeciwdziałania praniu pieniędzy i finansowaniu terroryzmu oraz zapobiegania przestępstwom. Należy podkreślić, że możliwość wskazanego wyłączenia jest uprawniona w świetle art. 23 ust. 1 lit. d i e RODO. Ponadto, mając na uwadze art. 23 ust. 2 </w:t>
      </w:r>
      <w:r w:rsidR="00195403">
        <w:rPr>
          <w:rFonts w:cstheme="minorHAnsi"/>
          <w:color w:val="000000" w:themeColor="text1"/>
          <w:sz w:val="24"/>
          <w:szCs w:val="24"/>
        </w:rPr>
        <w:t>RODO</w:t>
      </w:r>
      <w:r w:rsidRPr="00375799">
        <w:rPr>
          <w:rFonts w:cstheme="minorHAnsi"/>
          <w:color w:val="000000" w:themeColor="text1"/>
          <w:sz w:val="24"/>
          <w:szCs w:val="24"/>
        </w:rPr>
        <w:t xml:space="preserve">, przetwarzanie danych osobowych podlegać będzie zabezpieczeniom i ochronie wynikającym z obowiązku zakładu ubezpieczeń do zachowania tajemnicy dotyczącej poszczególnych umów ubezpieczenia, o której mowa w art. 35 ust. 1 ustawy o działalności ubezpieczeniowej i reasekuracyjnej. </w:t>
      </w:r>
    </w:p>
    <w:p w14:paraId="39570498" w14:textId="28E7067A" w:rsidR="00453774" w:rsidRPr="00375799" w:rsidRDefault="00195403"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6. </w:t>
      </w:r>
      <w:r w:rsidR="00793268" w:rsidRPr="00375799">
        <w:rPr>
          <w:rFonts w:cstheme="minorHAnsi"/>
          <w:color w:val="000000" w:themeColor="text1"/>
          <w:sz w:val="24"/>
          <w:szCs w:val="24"/>
        </w:rPr>
        <w:t>Z</w:t>
      </w:r>
      <w:r w:rsidR="00453774" w:rsidRPr="00375799">
        <w:rPr>
          <w:rFonts w:cstheme="minorHAnsi"/>
          <w:color w:val="000000" w:themeColor="text1"/>
          <w:sz w:val="24"/>
          <w:szCs w:val="24"/>
        </w:rPr>
        <w:t>miana art. 38 ust. 6 i 8</w:t>
      </w:r>
      <w:r>
        <w:rPr>
          <w:rFonts w:cstheme="minorHAnsi"/>
          <w:color w:val="000000" w:themeColor="text1"/>
          <w:sz w:val="24"/>
          <w:szCs w:val="24"/>
        </w:rPr>
        <w:t>.</w:t>
      </w:r>
      <w:r w:rsidR="00453774" w:rsidRPr="00375799">
        <w:rPr>
          <w:rFonts w:cstheme="minorHAnsi"/>
          <w:color w:val="000000" w:themeColor="text1"/>
          <w:sz w:val="24"/>
          <w:szCs w:val="24"/>
        </w:rPr>
        <w:t xml:space="preserve"> </w:t>
      </w:r>
    </w:p>
    <w:p w14:paraId="5A580074" w14:textId="4C5CF9AE"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Propozycja zmiany brzmienia art. 38 ust. 6 i 8 dotyczy modyfikacji </w:t>
      </w:r>
      <w:r w:rsidR="00CA54EF">
        <w:rPr>
          <w:rFonts w:cstheme="minorHAnsi"/>
          <w:color w:val="000000" w:themeColor="text1"/>
          <w:sz w:val="24"/>
          <w:szCs w:val="24"/>
        </w:rPr>
        <w:t>w</w:t>
      </w:r>
      <w:r w:rsidRPr="00375799">
        <w:rPr>
          <w:rFonts w:cstheme="minorHAnsi"/>
          <w:color w:val="000000" w:themeColor="text1"/>
          <w:sz w:val="24"/>
          <w:szCs w:val="24"/>
        </w:rPr>
        <w:t xml:space="preserve"> zakresie sposobu udzielenia zgody przez osobę, której dane o stanie zdrowia dotyczą. </w:t>
      </w:r>
    </w:p>
    <w:p w14:paraId="7D1635AF" w14:textId="5E3C0236"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Wyrażenie zgody na przetwarzanie danych osobowych przez osobę ubezpieczoną, osobę</w:t>
      </w:r>
      <w:r w:rsidR="005C750E">
        <w:rPr>
          <w:rFonts w:cstheme="minorHAnsi"/>
          <w:color w:val="000000" w:themeColor="text1"/>
          <w:sz w:val="24"/>
          <w:szCs w:val="24"/>
        </w:rPr>
        <w:t>,</w:t>
      </w:r>
      <w:r w:rsidRPr="00375799">
        <w:rPr>
          <w:rFonts w:cstheme="minorHAnsi"/>
          <w:color w:val="000000" w:themeColor="text1"/>
          <w:sz w:val="24"/>
          <w:szCs w:val="24"/>
        </w:rPr>
        <w:t xml:space="preserve"> na której rachunek ma być zawarta umowa ubezpieczenia lub przedstawiciela ustawowego każdej z tych osób, wynika z art. 9 ust. 2 lit. a RODO, który </w:t>
      </w:r>
      <w:r w:rsidRPr="003654A8">
        <w:rPr>
          <w:rFonts w:cstheme="minorHAnsi"/>
          <w:i/>
          <w:color w:val="000000" w:themeColor="text1"/>
          <w:sz w:val="24"/>
          <w:szCs w:val="24"/>
        </w:rPr>
        <w:t>explicite</w:t>
      </w:r>
      <w:r w:rsidRPr="00375799">
        <w:rPr>
          <w:rFonts w:cstheme="minorHAnsi"/>
          <w:color w:val="000000" w:themeColor="text1"/>
          <w:sz w:val="24"/>
          <w:szCs w:val="24"/>
        </w:rPr>
        <w:t xml:space="preserve"> wskazuje na konieczność pozyskania wyraźnej zgody.</w:t>
      </w:r>
    </w:p>
    <w:p w14:paraId="581668B8" w14:textId="3FF0BB53"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Zaproponowana zmiana zapewni zgodność regulacji krajowych z regulacjami unijnymi. Ponadto w określonych sytuacjach fakt udzielenia zgody na podstawie art. 9 ust. 2 lit. a RODO może mieć bardziej praktyczne zastosowanie, niż fakt udzielenia pisemnej zgody, która w określonych sytuacjach losowych może być pozbawiona elementu wyraźnej świadomości osoby, która tej zgody udziela. Taki sposób rozumienia wymogu udzielenia wyraźnej zgody przewiduje również uzasadnienie wynikające z motywu 111 RODO.</w:t>
      </w:r>
    </w:p>
    <w:p w14:paraId="6EBC3548" w14:textId="114F34CC"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Ponadto warunkiem wyrażenia zgody, zapewniającym jej wyraźny charakter są obowiązki nałożone na administratora dotyczące sposobu sformułowania klauzuli wyrażenia zgody. Dotyczą one jej przejrzystości i precyzyjnego sformułowania, co jest dodatkowym elementem, uzasadniającym wystarczający charakter wyraźnego udzielenia zgody, przez osobę, której dane dotyczą.</w:t>
      </w:r>
    </w:p>
    <w:p w14:paraId="4554EE36" w14:textId="556F8339" w:rsidR="00453774" w:rsidRPr="00375799" w:rsidRDefault="00195403"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7. </w:t>
      </w:r>
      <w:r w:rsidR="00793268" w:rsidRPr="00375799">
        <w:rPr>
          <w:rFonts w:cstheme="minorHAnsi"/>
          <w:color w:val="000000" w:themeColor="text1"/>
          <w:sz w:val="24"/>
          <w:szCs w:val="24"/>
        </w:rPr>
        <w:t>Z</w:t>
      </w:r>
      <w:r w:rsidR="00453774" w:rsidRPr="00375799">
        <w:rPr>
          <w:rFonts w:cstheme="minorHAnsi"/>
          <w:color w:val="000000" w:themeColor="text1"/>
          <w:sz w:val="24"/>
          <w:szCs w:val="24"/>
        </w:rPr>
        <w:t>miana art. 39 ust. 1</w:t>
      </w:r>
      <w:r>
        <w:rPr>
          <w:rFonts w:cstheme="minorHAnsi"/>
          <w:color w:val="000000" w:themeColor="text1"/>
          <w:sz w:val="24"/>
          <w:szCs w:val="24"/>
        </w:rPr>
        <w:t>.</w:t>
      </w:r>
      <w:r w:rsidR="00453774" w:rsidRPr="00375799">
        <w:rPr>
          <w:rFonts w:cstheme="minorHAnsi"/>
          <w:color w:val="000000" w:themeColor="text1"/>
          <w:sz w:val="24"/>
          <w:szCs w:val="24"/>
        </w:rPr>
        <w:t xml:space="preserve"> </w:t>
      </w:r>
    </w:p>
    <w:p w14:paraId="66436C8D" w14:textId="526E78F0"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Zmiana rekomendowana w odniesieniu do brzmienia art. 39 ust.</w:t>
      </w:r>
      <w:r w:rsidR="00CA54EF">
        <w:rPr>
          <w:rFonts w:cstheme="minorHAnsi"/>
          <w:color w:val="000000" w:themeColor="text1"/>
          <w:sz w:val="24"/>
          <w:szCs w:val="24"/>
        </w:rPr>
        <w:t xml:space="preserve"> </w:t>
      </w:r>
      <w:r w:rsidRPr="00375799">
        <w:rPr>
          <w:rFonts w:cstheme="minorHAnsi"/>
          <w:color w:val="000000" w:themeColor="text1"/>
          <w:sz w:val="24"/>
          <w:szCs w:val="24"/>
        </w:rPr>
        <w:t xml:space="preserve">1 ustawy o działalności ubezpieczeniowej i reasekuracyjnej dotyczy sposobu wyrażenia zgody przez podmiot danych na udostępnienie danych osobowych innym zakładom ubezpieczeń. Uzasadnione jest usunięcie wymogu formy pisemnej (pisemnego żądania) w odniesieniu do wyrażania zgody na udostępnienia danych osobowych. </w:t>
      </w:r>
    </w:p>
    <w:p w14:paraId="43A83C62" w14:textId="43BC1EC4"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Postulat ten wydaje się być zasadny nie tylko na gruncie omówionego, w odniesieniu do propozycji zmiany art. 38  ustawy o działalności ubezpieczeniowej i reasekuracyjnej wymogu uzyskania zgody</w:t>
      </w:r>
      <w:r w:rsidR="00CA54EF">
        <w:rPr>
          <w:rFonts w:cstheme="minorHAnsi"/>
          <w:color w:val="000000" w:themeColor="text1"/>
          <w:sz w:val="24"/>
          <w:szCs w:val="24"/>
        </w:rPr>
        <w:t>,</w:t>
      </w:r>
      <w:r w:rsidRPr="00375799">
        <w:rPr>
          <w:rFonts w:cstheme="minorHAnsi"/>
          <w:color w:val="000000" w:themeColor="text1"/>
          <w:sz w:val="24"/>
          <w:szCs w:val="24"/>
        </w:rPr>
        <w:t xml:space="preserve"> </w:t>
      </w:r>
      <w:r w:rsidR="00195403">
        <w:rPr>
          <w:rFonts w:cstheme="minorHAnsi"/>
          <w:color w:val="000000" w:themeColor="text1"/>
          <w:sz w:val="24"/>
          <w:szCs w:val="24"/>
        </w:rPr>
        <w:t>(</w:t>
      </w:r>
      <w:r w:rsidRPr="00375799">
        <w:rPr>
          <w:rFonts w:cstheme="minorHAnsi"/>
          <w:color w:val="000000" w:themeColor="text1"/>
          <w:sz w:val="24"/>
          <w:szCs w:val="24"/>
        </w:rPr>
        <w:t>a nie pisemnej zgody</w:t>
      </w:r>
      <w:r w:rsidR="00195403">
        <w:rPr>
          <w:rFonts w:cstheme="minorHAnsi"/>
          <w:color w:val="000000" w:themeColor="text1"/>
          <w:sz w:val="24"/>
          <w:szCs w:val="24"/>
        </w:rPr>
        <w:t>)</w:t>
      </w:r>
      <w:r w:rsidRPr="00375799">
        <w:rPr>
          <w:rFonts w:cstheme="minorHAnsi"/>
          <w:color w:val="000000" w:themeColor="text1"/>
          <w:sz w:val="24"/>
          <w:szCs w:val="24"/>
        </w:rPr>
        <w:t xml:space="preserve"> osoby, której dane dotyczą, ale również na gruncie art. 43 ustawy o działalności ubezpieczeniowej i reasekuracyjnej, który przewiduje możliwość tworzenia dokumentów – ale w konsekwencji nakładający obowiązki na zakład ubezpieczeń należytego ich utrwalenia i zabezpieczenia – dotyczących zawierania i wykonywania umów ubezpieczenia w postaci elektronicznej. Zmiana jest również zgodna z art. 6 ust. 1 lit. a w zw. z art. 7  RODO, który nie odwołuje się do wymogu pisemności zgody osoby, której dane dotyczą.</w:t>
      </w:r>
    </w:p>
    <w:p w14:paraId="2821494E" w14:textId="26A94130" w:rsidR="00453774" w:rsidRPr="00375799" w:rsidRDefault="00195403"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 xml:space="preserve">8. </w:t>
      </w:r>
      <w:r w:rsidR="00793268" w:rsidRPr="00375799">
        <w:rPr>
          <w:rFonts w:cstheme="minorHAnsi"/>
          <w:color w:val="000000" w:themeColor="text1"/>
          <w:sz w:val="24"/>
          <w:szCs w:val="24"/>
        </w:rPr>
        <w:t>Zmiana</w:t>
      </w:r>
      <w:r w:rsidR="00453774" w:rsidRPr="00375799">
        <w:rPr>
          <w:rFonts w:cstheme="minorHAnsi"/>
          <w:color w:val="000000" w:themeColor="text1"/>
          <w:sz w:val="24"/>
          <w:szCs w:val="24"/>
        </w:rPr>
        <w:t xml:space="preserve"> art. 41 ust. 1</w:t>
      </w:r>
      <w:r>
        <w:rPr>
          <w:rFonts w:cstheme="minorHAnsi"/>
          <w:color w:val="000000" w:themeColor="text1"/>
          <w:sz w:val="24"/>
          <w:szCs w:val="24"/>
        </w:rPr>
        <w:t xml:space="preserve"> oraz dodanie art. 41 ust. 1a i 1b.</w:t>
      </w:r>
    </w:p>
    <w:p w14:paraId="2005F6AD" w14:textId="4636A86D"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Biorąc pod uwagę ciągły rozwój technologiczny polskiego sektora finansowego, konieczność dokonywania przez zakłady ubezpieczeń oceny ryzyka ubezpieczeniowego ubezpieczonego przed zawarciem umowy ubezpieczenia oraz wypłacania należnych odszkodowań i świadczeń, a także prawidłowe ustalenie wysokości składki i efektywność procesów likwidacyjnych - projektodawca zdecydował o wprowadzeniu przepisu, na podstawie którego zakłady ubezpieczeń będą mogły podejmować decyzję, która opiera się wyłącznie na zautomatyzowanym przetwarzaniu danych, w tym profilowaniu, w procesie dokonywania oceny ryzyka ubezpieczeniowego oraz wykonywania czynności ubezpieczeniowych, o których mowa w art. 4 ust. 9 pkt 1 i 2 ustawy o działalności ubezpieczeniowej i reasekuracyjnej (zmieniany art. 41 ust. 1). Jednocześnie zdecydowano się na wprowadzenie przepisów, których celem jest zapewnienie osobie fizycznej zarówno prawa do zakwestionowania takiej decyzji, prawa do wyrażenia własnego stanowiska w tej sprawie oraz do uzyskania interwencji ludzkiej. Ponadto zakład ubezpieczeń będzie zobowiązany do przedstawienia - na wniosek osoby, której dane dotyczą - stosownych wyjaśnień,  co do podstaw podjętej decyzji wyłącznie na podstawie zautomatyzowanego przetwarzania, w tym profilowania. Z kolei dodawany ust. 1a w art. 41 ustawy o działalności ubezpieczeniowej i reasekuracyjnej, zawierający katalog danych, sprawi, iż w celu podjęcia  decyzji w oparciu o dane osobowe wyłącznie przetwarzane automatycznie, w tym profilowanie, zakład ubezpieczeń będzie mógł wykorzystać tylko te dane, które zostały określone w ustawie. W </w:t>
      </w:r>
      <w:r w:rsidRPr="00375799">
        <w:rPr>
          <w:rFonts w:cstheme="minorHAnsi"/>
          <w:color w:val="000000" w:themeColor="text1"/>
          <w:sz w:val="24"/>
          <w:szCs w:val="24"/>
        </w:rPr>
        <w:lastRenderedPageBreak/>
        <w:t>katalogu tym wymienione  zostały również dane wrażliwe o stanie zdrowia ubezpieczonego, których przetwarzanie jest niezbędne m.in. przy ocenie ryzyka ubezpieczeniowego oraz wypłaty świadczenia w ubezpieczeniach na życie. Należy przy tym podkreślić, że jednym z warunków przetwarzania szczególnych kategorii danych osobowych, w tym danych o stanie zdrowia</w:t>
      </w:r>
      <w:r w:rsidR="00CA54EF">
        <w:rPr>
          <w:rFonts w:cstheme="minorHAnsi"/>
          <w:color w:val="000000" w:themeColor="text1"/>
          <w:sz w:val="24"/>
          <w:szCs w:val="24"/>
        </w:rPr>
        <w:t>,</w:t>
      </w:r>
      <w:r w:rsidRPr="00375799">
        <w:rPr>
          <w:rFonts w:cstheme="minorHAnsi"/>
          <w:color w:val="000000" w:themeColor="text1"/>
          <w:sz w:val="24"/>
          <w:szCs w:val="24"/>
        </w:rPr>
        <w:t xml:space="preserve"> jest wyrażenia wyraźnej zgody na ich przewarzania przez osobę, któr</w:t>
      </w:r>
      <w:r w:rsidR="00195403">
        <w:rPr>
          <w:rFonts w:cstheme="minorHAnsi"/>
          <w:color w:val="000000" w:themeColor="text1"/>
          <w:sz w:val="24"/>
          <w:szCs w:val="24"/>
        </w:rPr>
        <w:t>ej</w:t>
      </w:r>
      <w:r w:rsidRPr="00375799">
        <w:rPr>
          <w:rFonts w:cstheme="minorHAnsi"/>
          <w:color w:val="000000" w:themeColor="text1"/>
          <w:sz w:val="24"/>
          <w:szCs w:val="24"/>
        </w:rPr>
        <w:t xml:space="preserve"> te dane </w:t>
      </w:r>
      <w:r w:rsidR="00180738">
        <w:rPr>
          <w:rFonts w:cstheme="minorHAnsi"/>
          <w:color w:val="000000" w:themeColor="text1"/>
          <w:sz w:val="24"/>
          <w:szCs w:val="24"/>
        </w:rPr>
        <w:t xml:space="preserve">dotyczą (art. 9 ust. 2 lit. a </w:t>
      </w:r>
      <w:r w:rsidRPr="00375799">
        <w:rPr>
          <w:rFonts w:cstheme="minorHAnsi"/>
          <w:color w:val="000000" w:themeColor="text1"/>
          <w:sz w:val="24"/>
          <w:szCs w:val="24"/>
        </w:rPr>
        <w:t xml:space="preserve">RODO). </w:t>
      </w:r>
    </w:p>
    <w:p w14:paraId="1FD50D50" w14:textId="1D80EB67"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 kolei na podstawie art. 22 ust. 4 rozporządzenia RODO, decyzje oparte na zautomatyzowanym przetwarzaniu, w tym profilowaniu, nie mogą opierać się na szczególnych kategoriach danych osobowych, o których mowa w art. 9 ust. 1</w:t>
      </w:r>
      <w:r w:rsidR="00195403">
        <w:rPr>
          <w:rFonts w:cstheme="minorHAnsi"/>
          <w:color w:val="000000" w:themeColor="text1"/>
          <w:sz w:val="24"/>
          <w:szCs w:val="24"/>
        </w:rPr>
        <w:t xml:space="preserve"> RODO</w:t>
      </w:r>
      <w:r w:rsidRPr="00375799">
        <w:rPr>
          <w:rFonts w:cstheme="minorHAnsi"/>
          <w:color w:val="000000" w:themeColor="text1"/>
          <w:sz w:val="24"/>
          <w:szCs w:val="24"/>
        </w:rPr>
        <w:t xml:space="preserve">, chyba że zastosowanie ma art. 9 ust. 2 lit. a. W tym przypadku znajdzie więc zastosowanie wyjątek określony w art. 22 ust. 4 rozporządzenia RODO, który zostanie wprost określony w prawie krajowym zgodnie z możliwością wynikającą z art. 22 ust. 2 lit. b RODO. </w:t>
      </w:r>
    </w:p>
    <w:p w14:paraId="4B6C6DF5" w14:textId="75D39D64"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konsekwencji w przypadku wyrażenia zgody na podstawie art. 9 ust. 2 lit. a RODO, zakład ubezpieczeń będzie mógł podejmować zautomatyzowane decyzje w oparciu o dane dotyczące stanu zdrowia ubezpieczonego na podst</w:t>
      </w:r>
      <w:r w:rsidR="00CA54EF">
        <w:rPr>
          <w:rFonts w:cstheme="minorHAnsi"/>
          <w:color w:val="000000" w:themeColor="text1"/>
          <w:sz w:val="24"/>
          <w:szCs w:val="24"/>
        </w:rPr>
        <w:t xml:space="preserve">awie zaproponowanego przepisu. </w:t>
      </w:r>
      <w:r w:rsidRPr="00375799">
        <w:rPr>
          <w:rFonts w:cstheme="minorHAnsi"/>
          <w:color w:val="000000" w:themeColor="text1"/>
          <w:sz w:val="24"/>
          <w:szCs w:val="24"/>
        </w:rPr>
        <w:t xml:space="preserve">Ponadto zakład ubezpieczeń będzie zobowiązany do spełnienia ogólnych warunków dotyczących obowiązków informacyjnych, o których mowa w art. 13 i </w:t>
      </w:r>
      <w:r w:rsidR="00CA54EF">
        <w:rPr>
          <w:rFonts w:cstheme="minorHAnsi"/>
          <w:color w:val="000000" w:themeColor="text1"/>
          <w:sz w:val="24"/>
          <w:szCs w:val="24"/>
        </w:rPr>
        <w:t xml:space="preserve">art. </w:t>
      </w:r>
      <w:r w:rsidR="005C750E">
        <w:rPr>
          <w:rFonts w:cstheme="minorHAnsi"/>
          <w:color w:val="000000" w:themeColor="text1"/>
          <w:sz w:val="24"/>
          <w:szCs w:val="24"/>
        </w:rPr>
        <w:t xml:space="preserve">14 </w:t>
      </w:r>
      <w:r w:rsidRPr="00375799">
        <w:rPr>
          <w:rFonts w:cstheme="minorHAnsi"/>
          <w:color w:val="000000" w:themeColor="text1"/>
          <w:sz w:val="24"/>
          <w:szCs w:val="24"/>
        </w:rPr>
        <w:t>RODO</w:t>
      </w:r>
      <w:r w:rsidR="00CA54EF">
        <w:rPr>
          <w:rFonts w:cstheme="minorHAnsi"/>
          <w:color w:val="000000" w:themeColor="text1"/>
          <w:sz w:val="24"/>
          <w:szCs w:val="24"/>
        </w:rPr>
        <w:t>,</w:t>
      </w:r>
      <w:r w:rsidRPr="00375799">
        <w:rPr>
          <w:rFonts w:cstheme="minorHAnsi"/>
          <w:color w:val="000000" w:themeColor="text1"/>
          <w:sz w:val="24"/>
          <w:szCs w:val="24"/>
        </w:rPr>
        <w:t xml:space="preserve"> m.in. w zakresie informowania osoby o  zautomatyzowanym podejmowaniu decyzji, w tym profilowaniu na podstawie danych dotyczących tej osoby.  </w:t>
      </w:r>
    </w:p>
    <w:p w14:paraId="19C33D2D" w14:textId="013FA7F9"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Wydaje się zatem, iż wprowadzany przepis w pełni koresponduje z przepisami RODO dot. decyzji, która opiera się wyłącznie na zautomatyzowanym przetwarzaniu danych, w tym profilowaniu. Rozwiązanie implementowane do prawa polskiego powinno zapewnić możliwość usprawnienia procedury oceny ryzyka ubezpieczeniowego i procesów likwidacyjnych, tak aby te procesy były efektywniejsze przy jednoczesnym zachowaniu praw dla osoby, której dan</w:t>
      </w:r>
      <w:r w:rsidR="00195403">
        <w:rPr>
          <w:rFonts w:cstheme="minorHAnsi"/>
          <w:color w:val="000000" w:themeColor="text1"/>
          <w:sz w:val="24"/>
          <w:szCs w:val="24"/>
        </w:rPr>
        <w:t>e</w:t>
      </w:r>
      <w:r w:rsidRPr="00375799">
        <w:rPr>
          <w:rFonts w:cstheme="minorHAnsi"/>
          <w:color w:val="000000" w:themeColor="text1"/>
          <w:sz w:val="24"/>
          <w:szCs w:val="24"/>
        </w:rPr>
        <w:t xml:space="preserve"> dotyczą</w:t>
      </w:r>
      <w:r w:rsidR="00CA54EF">
        <w:rPr>
          <w:rFonts w:cstheme="minorHAnsi"/>
          <w:color w:val="000000" w:themeColor="text1"/>
          <w:sz w:val="24"/>
          <w:szCs w:val="24"/>
        </w:rPr>
        <w:t>,</w:t>
      </w:r>
      <w:r w:rsidRPr="00375799">
        <w:rPr>
          <w:rFonts w:cstheme="minorHAnsi"/>
          <w:color w:val="000000" w:themeColor="text1"/>
          <w:sz w:val="24"/>
          <w:szCs w:val="24"/>
        </w:rPr>
        <w:t xml:space="preserve"> do otrzymania stosownych wyjaśnień co do podstaw podjętej decyzji czy uzyskania interwencji ludzkiej.</w:t>
      </w:r>
    </w:p>
    <w:p w14:paraId="720EB3C6" w14:textId="0554262A"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Ponadto, biorąc pod uwagę art. 17 RODO dotyczący tzw. prawa do bycia zapomnianym</w:t>
      </w:r>
      <w:r w:rsidR="00CA54EF">
        <w:rPr>
          <w:rFonts w:cstheme="minorHAnsi"/>
          <w:color w:val="000000" w:themeColor="text1"/>
          <w:sz w:val="24"/>
          <w:szCs w:val="24"/>
        </w:rPr>
        <w:t>,</w:t>
      </w:r>
      <w:r w:rsidRPr="00375799">
        <w:rPr>
          <w:rFonts w:cstheme="minorHAnsi"/>
          <w:color w:val="000000" w:themeColor="text1"/>
          <w:sz w:val="24"/>
          <w:szCs w:val="24"/>
        </w:rPr>
        <w:t xml:space="preserve"> warto wskazać, iż w przypadku cofnięcia zgody osoba, której dane dotyczą</w:t>
      </w:r>
      <w:r w:rsidR="005C750E">
        <w:rPr>
          <w:rFonts w:cstheme="minorHAnsi"/>
          <w:color w:val="000000" w:themeColor="text1"/>
          <w:sz w:val="24"/>
          <w:szCs w:val="24"/>
        </w:rPr>
        <w:t>,</w:t>
      </w:r>
      <w:r w:rsidRPr="00375799">
        <w:rPr>
          <w:rFonts w:cstheme="minorHAnsi"/>
          <w:color w:val="000000" w:themeColor="text1"/>
          <w:sz w:val="24"/>
          <w:szCs w:val="24"/>
        </w:rPr>
        <w:t xml:space="preserve"> ma prawo do żądania od administratora niezwłocznego usunięcia dotyczących jej danych osobowych</w:t>
      </w:r>
      <w:r w:rsidR="00CA54EF">
        <w:rPr>
          <w:rFonts w:cstheme="minorHAnsi"/>
          <w:color w:val="000000" w:themeColor="text1"/>
          <w:sz w:val="24"/>
          <w:szCs w:val="24"/>
        </w:rPr>
        <w:t>,</w:t>
      </w:r>
      <w:r w:rsidRPr="00375799">
        <w:rPr>
          <w:rFonts w:cstheme="minorHAnsi"/>
          <w:color w:val="000000" w:themeColor="text1"/>
          <w:sz w:val="24"/>
          <w:szCs w:val="24"/>
        </w:rPr>
        <w:t xml:space="preserve"> a administrator bez zbędnej zwłoki ma obowiązek te dane usunąć chyba, że występuje inna podstawa prawna przetwarzania ty</w:t>
      </w:r>
      <w:r w:rsidR="00195403">
        <w:rPr>
          <w:rFonts w:cstheme="minorHAnsi"/>
          <w:color w:val="000000" w:themeColor="text1"/>
          <w:sz w:val="24"/>
          <w:szCs w:val="24"/>
        </w:rPr>
        <w:t>ch danych. W</w:t>
      </w:r>
      <w:r w:rsidRPr="00375799">
        <w:rPr>
          <w:rFonts w:cstheme="minorHAnsi"/>
          <w:color w:val="000000" w:themeColor="text1"/>
          <w:sz w:val="24"/>
          <w:szCs w:val="24"/>
        </w:rPr>
        <w:t xml:space="preserve"> przypadku przetwarzania danych osobowych zakłady ubezpieczeń, na podstawie dodawanego w art. 41 ust. 1b</w:t>
      </w:r>
      <w:r w:rsidR="00FF264D">
        <w:rPr>
          <w:rFonts w:cstheme="minorHAnsi"/>
          <w:color w:val="000000" w:themeColor="text1"/>
          <w:sz w:val="24"/>
          <w:szCs w:val="24"/>
        </w:rPr>
        <w:t xml:space="preserve"> ustawy</w:t>
      </w:r>
      <w:r w:rsidRPr="00375799">
        <w:rPr>
          <w:rFonts w:cstheme="minorHAnsi"/>
          <w:color w:val="000000" w:themeColor="text1"/>
          <w:sz w:val="24"/>
          <w:szCs w:val="24"/>
        </w:rPr>
        <w:t>, będą mogły przetwarzać dane klientów niezależnie od tego</w:t>
      </w:r>
      <w:r w:rsidR="00CA54EF">
        <w:rPr>
          <w:rFonts w:cstheme="minorHAnsi"/>
          <w:color w:val="000000" w:themeColor="text1"/>
          <w:sz w:val="24"/>
          <w:szCs w:val="24"/>
        </w:rPr>
        <w:t>,</w:t>
      </w:r>
      <w:r w:rsidRPr="00375799">
        <w:rPr>
          <w:rFonts w:cstheme="minorHAnsi"/>
          <w:color w:val="000000" w:themeColor="text1"/>
          <w:sz w:val="24"/>
          <w:szCs w:val="24"/>
        </w:rPr>
        <w:t xml:space="preserve"> czy klient cofnie wyrażoną zgodę, w celach, o których mowa w art. 33 ust. 3 ustawy. Dane staty</w:t>
      </w:r>
      <w:r w:rsidR="00CA54EF">
        <w:rPr>
          <w:rFonts w:cstheme="minorHAnsi"/>
          <w:color w:val="000000" w:themeColor="text1"/>
          <w:sz w:val="24"/>
          <w:szCs w:val="24"/>
        </w:rPr>
        <w:t>stycz</w:t>
      </w:r>
      <w:r w:rsidRPr="00375799">
        <w:rPr>
          <w:rFonts w:cstheme="minorHAnsi"/>
          <w:color w:val="000000" w:themeColor="text1"/>
          <w:sz w:val="24"/>
          <w:szCs w:val="24"/>
        </w:rPr>
        <w:t>ne</w:t>
      </w:r>
      <w:r w:rsidR="00CA54EF">
        <w:rPr>
          <w:rFonts w:cstheme="minorHAnsi"/>
          <w:color w:val="000000" w:themeColor="text1"/>
          <w:sz w:val="24"/>
          <w:szCs w:val="24"/>
        </w:rPr>
        <w:t>,</w:t>
      </w:r>
      <w:r w:rsidRPr="00375799">
        <w:rPr>
          <w:rFonts w:cstheme="minorHAnsi"/>
          <w:color w:val="000000" w:themeColor="text1"/>
          <w:sz w:val="24"/>
          <w:szCs w:val="24"/>
        </w:rPr>
        <w:t xml:space="preserve"> o których mowa w art. 33 ust. 3 ustawy</w:t>
      </w:r>
      <w:r w:rsidR="00CA54EF">
        <w:rPr>
          <w:rFonts w:cstheme="minorHAnsi"/>
          <w:color w:val="000000" w:themeColor="text1"/>
          <w:sz w:val="24"/>
          <w:szCs w:val="24"/>
        </w:rPr>
        <w:t>,</w:t>
      </w:r>
      <w:r w:rsidRPr="00375799">
        <w:rPr>
          <w:rFonts w:cstheme="minorHAnsi"/>
          <w:color w:val="000000" w:themeColor="text1"/>
          <w:sz w:val="24"/>
          <w:szCs w:val="24"/>
        </w:rPr>
        <w:t xml:space="preserve"> obejmują dane zagregowane (zbiorcze) oraz dane dotyczące poszczególnych osób fizycznych w celu ustalania na ich podstawie wysokości składek ubezpieczeniowych, składek reasekuracyjnych oraz rezerw techniczno-ubezpieczeniowych. Dodatkowo projektodawca przewiduje, że dane te będą przetwarzane nie dłużej niż  przez 12 lat od rozwiązania umowy ubezpieczenia. Propozycja 12</w:t>
      </w:r>
      <w:r w:rsidR="00CA54EF">
        <w:rPr>
          <w:rFonts w:cstheme="minorHAnsi"/>
          <w:color w:val="000000" w:themeColor="text1"/>
          <w:sz w:val="24"/>
          <w:szCs w:val="24"/>
        </w:rPr>
        <w:t>-</w:t>
      </w:r>
      <w:r w:rsidRPr="00375799">
        <w:rPr>
          <w:rFonts w:cstheme="minorHAnsi"/>
          <w:color w:val="000000" w:themeColor="text1"/>
          <w:sz w:val="24"/>
          <w:szCs w:val="24"/>
        </w:rPr>
        <w:t xml:space="preserve">letniego okresu przetwarzania danych  jest </w:t>
      </w:r>
      <w:r w:rsidRPr="00375799">
        <w:rPr>
          <w:rFonts w:cstheme="minorHAnsi"/>
          <w:color w:val="000000" w:themeColor="text1"/>
          <w:sz w:val="24"/>
          <w:szCs w:val="24"/>
        </w:rPr>
        <w:lastRenderedPageBreak/>
        <w:t xml:space="preserve">analogiczna do regulacji zawartej w art. 105a ust. 5 </w:t>
      </w:r>
      <w:r w:rsidR="00CA54EF" w:rsidRPr="00375799">
        <w:rPr>
          <w:rFonts w:cstheme="minorHAnsi"/>
          <w:color w:val="000000" w:themeColor="text1"/>
          <w:sz w:val="24"/>
          <w:szCs w:val="24"/>
        </w:rPr>
        <w:t>ustaw</w:t>
      </w:r>
      <w:r w:rsidR="00CA54EF">
        <w:rPr>
          <w:rFonts w:cstheme="minorHAnsi"/>
          <w:color w:val="000000" w:themeColor="text1"/>
          <w:sz w:val="24"/>
          <w:szCs w:val="24"/>
        </w:rPr>
        <w:t>y</w:t>
      </w:r>
      <w:r w:rsidR="00CA54EF" w:rsidRPr="00375799">
        <w:rPr>
          <w:rFonts w:cstheme="minorHAnsi"/>
          <w:color w:val="000000" w:themeColor="text1"/>
          <w:sz w:val="24"/>
          <w:szCs w:val="24"/>
        </w:rPr>
        <w:t xml:space="preserve"> </w:t>
      </w:r>
      <w:r w:rsidRPr="00375799">
        <w:rPr>
          <w:rFonts w:cstheme="minorHAnsi"/>
          <w:color w:val="000000" w:themeColor="text1"/>
          <w:sz w:val="24"/>
          <w:szCs w:val="24"/>
        </w:rPr>
        <w:t xml:space="preserve">z dnia 29 sierpnia 1997 r. </w:t>
      </w:r>
      <w:r w:rsidR="00CA54EF">
        <w:rPr>
          <w:rFonts w:cstheme="minorHAnsi"/>
          <w:color w:val="000000" w:themeColor="text1"/>
          <w:sz w:val="24"/>
          <w:szCs w:val="24"/>
        </w:rPr>
        <w:t xml:space="preserve">– </w:t>
      </w:r>
      <w:r w:rsidRPr="00375799">
        <w:rPr>
          <w:rFonts w:cstheme="minorHAnsi"/>
          <w:color w:val="000000" w:themeColor="text1"/>
          <w:sz w:val="24"/>
          <w:szCs w:val="24"/>
        </w:rPr>
        <w:t>Prawo bankowe (Dz. U. z 2017 r. poz. 1876</w:t>
      </w:r>
      <w:r w:rsidR="00CA54EF">
        <w:rPr>
          <w:rFonts w:cstheme="minorHAnsi"/>
          <w:color w:val="000000" w:themeColor="text1"/>
          <w:sz w:val="24"/>
          <w:szCs w:val="24"/>
        </w:rPr>
        <w:t>,</w:t>
      </w:r>
      <w:r w:rsidRPr="00375799">
        <w:rPr>
          <w:rFonts w:cstheme="minorHAnsi"/>
          <w:color w:val="000000" w:themeColor="text1"/>
          <w:sz w:val="24"/>
          <w:szCs w:val="24"/>
        </w:rPr>
        <w:t xml:space="preserve"> z późn. zm.).</w:t>
      </w:r>
    </w:p>
    <w:p w14:paraId="39139742" w14:textId="0CD52F94" w:rsidR="00453774" w:rsidRPr="00375799" w:rsidRDefault="00195403"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9. D</w:t>
      </w:r>
      <w:r w:rsidR="00453774" w:rsidRPr="00375799">
        <w:rPr>
          <w:rFonts w:cstheme="minorHAnsi"/>
          <w:color w:val="000000" w:themeColor="text1"/>
          <w:sz w:val="24"/>
          <w:szCs w:val="24"/>
        </w:rPr>
        <w:t>odani</w:t>
      </w:r>
      <w:r>
        <w:rPr>
          <w:rFonts w:cstheme="minorHAnsi"/>
          <w:color w:val="000000" w:themeColor="text1"/>
          <w:sz w:val="24"/>
          <w:szCs w:val="24"/>
        </w:rPr>
        <w:t>e</w:t>
      </w:r>
      <w:r w:rsidR="00453774" w:rsidRPr="00375799">
        <w:rPr>
          <w:rFonts w:cstheme="minorHAnsi"/>
          <w:color w:val="000000" w:themeColor="text1"/>
          <w:sz w:val="24"/>
          <w:szCs w:val="24"/>
        </w:rPr>
        <w:t xml:space="preserve"> art. 42 ust. 2a</w:t>
      </w:r>
      <w:r>
        <w:rPr>
          <w:rFonts w:cstheme="minorHAnsi"/>
          <w:color w:val="000000" w:themeColor="text1"/>
          <w:sz w:val="24"/>
          <w:szCs w:val="24"/>
        </w:rPr>
        <w:t>.</w:t>
      </w:r>
      <w:r w:rsidR="00453774" w:rsidRPr="00375799">
        <w:rPr>
          <w:rFonts w:cstheme="minorHAnsi"/>
          <w:color w:val="000000" w:themeColor="text1"/>
          <w:sz w:val="24"/>
          <w:szCs w:val="24"/>
        </w:rPr>
        <w:t xml:space="preserve"> </w:t>
      </w:r>
    </w:p>
    <w:p w14:paraId="3F9EA135" w14:textId="2D9E6749" w:rsidR="00453774"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art. 42 ustawy proponuje się uregulować podstawę prawną dla przetwarzania przez zakłady ubezpieczeń, Ubezpieczeniowy Fundusz Gwarancyjny, Polskie Biuro Ubezpieczycieli Komunikacyjnych </w:t>
      </w:r>
      <w:r w:rsidR="00195403">
        <w:rPr>
          <w:rFonts w:cstheme="minorHAnsi"/>
          <w:color w:val="000000" w:themeColor="text1"/>
          <w:sz w:val="24"/>
          <w:szCs w:val="24"/>
        </w:rPr>
        <w:t xml:space="preserve">(PBUK) </w:t>
      </w:r>
      <w:r w:rsidRPr="00375799">
        <w:rPr>
          <w:rFonts w:cstheme="minorHAnsi"/>
          <w:color w:val="000000" w:themeColor="text1"/>
          <w:sz w:val="24"/>
          <w:szCs w:val="24"/>
        </w:rPr>
        <w:t>i Rzecznika Finansowego danych</w:t>
      </w:r>
      <w:r w:rsidR="00CA54EF">
        <w:rPr>
          <w:rFonts w:cstheme="minorHAnsi"/>
          <w:color w:val="000000" w:themeColor="text1"/>
          <w:sz w:val="24"/>
          <w:szCs w:val="24"/>
        </w:rPr>
        <w:t>,</w:t>
      </w:r>
      <w:r w:rsidRPr="00375799">
        <w:rPr>
          <w:rFonts w:cstheme="minorHAnsi"/>
          <w:color w:val="000000" w:themeColor="text1"/>
          <w:sz w:val="24"/>
          <w:szCs w:val="24"/>
        </w:rPr>
        <w:t xml:space="preserve"> o których mowa w art. 10  RODO</w:t>
      </w:r>
      <w:r w:rsidR="00CA54EF">
        <w:rPr>
          <w:rFonts w:cstheme="minorHAnsi"/>
          <w:color w:val="000000" w:themeColor="text1"/>
          <w:sz w:val="24"/>
          <w:szCs w:val="24"/>
        </w:rPr>
        <w:t>,</w:t>
      </w:r>
      <w:r w:rsidRPr="00375799">
        <w:rPr>
          <w:rFonts w:cstheme="minorHAnsi"/>
          <w:color w:val="000000" w:themeColor="text1"/>
          <w:sz w:val="24"/>
          <w:szCs w:val="24"/>
        </w:rPr>
        <w:t xml:space="preserve"> w przypadku gdy sąd, prokuratura, Policja oraz inne organy i instytucje udzielają informacji o stanie sprawy oraz udostępniają zebrane materiały w zakresie ustalenia okoliczności wypadków i zdarzeń drogowych. W przeważającej części produktów ubezpieczeniowych zawarte są wyłączenia odpowiedzialności dotyczące zdarzeń będących następstwem przestępstw. Dla ustalenia odpowiedzialności zakładu ubezpieczeń, a także UFG i PBUK niezbędne jest przetwarzanie danych osobowych, o których mowa w art. 10  RODO (mandaty, środki karne, postanowienia o warunkowym umorzeniu postępowania, postanowienia o zatrzymaniu dowodu rejestracyjnego, decyzje o zatrzymaniu prawa jazdy), np. w ubezpieczeniach ochrony prawnej oraz odpowiedzialności cywilnej ustalenie odpowiedzialności jest często nierozerwalnie związane z ustaleniem odpowiedzialności karnej ubezpieczonych. W sprawach z ubezpieczeń odpowiedzialności cywilnej osoby uprawnione często zwracają się po wielu latach z roszczeniami o wypłatę odszkodowania. Przetwarzanie danych osobowych, o których mowa w art. 10 RODO</w:t>
      </w:r>
      <w:r w:rsidR="00CA54EF">
        <w:rPr>
          <w:rFonts w:cstheme="minorHAnsi"/>
          <w:color w:val="000000" w:themeColor="text1"/>
          <w:sz w:val="24"/>
          <w:szCs w:val="24"/>
        </w:rPr>
        <w:t>,</w:t>
      </w:r>
      <w:r w:rsidRPr="00375799">
        <w:rPr>
          <w:rFonts w:cstheme="minorHAnsi"/>
          <w:color w:val="000000" w:themeColor="text1"/>
          <w:sz w:val="24"/>
          <w:szCs w:val="24"/>
        </w:rPr>
        <w:t xml:space="preserve"> jest możliwe dopiero po spełnieniu przez administratora danych dwóch szczególnych warunków, z których pierwszy dotyczy funkcjonowania normy prawnej, przewidzianej na gruncie prawa krajowego umożliwiającej przetwarzanie tego rodzaju danych, a drugi związany jest z koniecznością wdrożenia odpowiednich środków ochrony. Środkiem ochrony z pewnością jest zobowiązanie zakładów ubezpieczeń do zachowania tajemnicy dotyczącej poszczególnych umów ubezpieczenia tzw. tajemnica ubezpieczeniowa (art. 35 ust. 1 ustawy o działalności ubezpieczeniowej i reasekuracyjnej). W projekcie ustawy zaproponowano również objęcie tą tajemnicą Ubezpieczeniowego Funduszu Gwarancyjnego oraz Polskiego Biura Ubezpieczycieli Komunikacyjnych (prop</w:t>
      </w:r>
      <w:r w:rsidR="007935C5">
        <w:rPr>
          <w:rFonts w:cstheme="minorHAnsi"/>
          <w:color w:val="000000" w:themeColor="text1"/>
          <w:sz w:val="24"/>
          <w:szCs w:val="24"/>
        </w:rPr>
        <w:t>ozycja zmiany  art. 35 ust. 7).</w:t>
      </w:r>
      <w:r w:rsidRPr="00375799">
        <w:rPr>
          <w:rFonts w:cstheme="minorHAnsi"/>
          <w:color w:val="000000" w:themeColor="text1"/>
          <w:sz w:val="24"/>
          <w:szCs w:val="24"/>
        </w:rPr>
        <w:t xml:space="preserve"> Obowiązek dochowania tajemnicy ubezpieczeniowej jest istotnym środkiem dążącym do zapewnienia ochrony praw i wolności podmiotu danych. </w:t>
      </w:r>
    </w:p>
    <w:p w14:paraId="439B4D1D" w14:textId="1EC74760" w:rsidR="008706DD" w:rsidRPr="00375799" w:rsidRDefault="00453774"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Ponadto środkiem ochrony byłby również dotychczasowy art. 42 ust. 3 i 4 ustawy o działalności ubezpieczeniowej i reasekuracyjnej. Na podstawie tej normy prawnej zakłady ubezpieczeń, UFG oraz PBUK na żądanie ubezpieczonego lub uprawnionego z umowy ubezpieczenia udostępnia</w:t>
      </w:r>
      <w:r w:rsidR="007935C5">
        <w:rPr>
          <w:rFonts w:cstheme="minorHAnsi"/>
          <w:color w:val="000000" w:themeColor="text1"/>
          <w:sz w:val="24"/>
          <w:szCs w:val="24"/>
        </w:rPr>
        <w:t>ją</w:t>
      </w:r>
      <w:r w:rsidRPr="00375799">
        <w:rPr>
          <w:rFonts w:cstheme="minorHAnsi"/>
          <w:color w:val="000000" w:themeColor="text1"/>
          <w:sz w:val="24"/>
          <w:szCs w:val="24"/>
        </w:rPr>
        <w:t xml:space="preserve"> posiadane przez siebie informacje  związane z wypadkiem lub zdarzeniem losowym będącym podstawą ustalenia jego odpowiedzialności oraz ustalenia okoliczności wypadków i zdarzeń losowych, jak również wysokości odszkodowania lub świadczenia.  Z kolei na podstawie art. 32a ust. 1 ustawy z dnia 5 sierpnia 2015 r. o rozpatrywaniu reklamacji przez podmioty rynku finansowego i o Rzeczniku Finansowym (Dz. </w:t>
      </w:r>
      <w:r w:rsidR="007935C5">
        <w:rPr>
          <w:rFonts w:cstheme="minorHAnsi"/>
          <w:color w:val="000000" w:themeColor="text1"/>
          <w:sz w:val="24"/>
          <w:szCs w:val="24"/>
        </w:rPr>
        <w:t xml:space="preserve">U. </w:t>
      </w:r>
      <w:r w:rsidRPr="00375799">
        <w:rPr>
          <w:rFonts w:cstheme="minorHAnsi"/>
          <w:color w:val="000000" w:themeColor="text1"/>
          <w:sz w:val="24"/>
          <w:szCs w:val="24"/>
        </w:rPr>
        <w:t>z 2017 r. poz. 2270 i 2486 oraz z 2018 r. poz. 1075), pracownicy biura Rzeczn</w:t>
      </w:r>
      <w:r w:rsidR="00C05AB5">
        <w:rPr>
          <w:rFonts w:cstheme="minorHAnsi"/>
          <w:color w:val="000000" w:themeColor="text1"/>
          <w:sz w:val="24"/>
          <w:szCs w:val="24"/>
        </w:rPr>
        <w:t xml:space="preserve">ika Finansowego są </w:t>
      </w:r>
      <w:r w:rsidR="007935C5">
        <w:rPr>
          <w:rFonts w:cstheme="minorHAnsi"/>
          <w:color w:val="000000" w:themeColor="text1"/>
          <w:sz w:val="24"/>
          <w:szCs w:val="24"/>
        </w:rPr>
        <w:t xml:space="preserve">obowiązani do ochrony </w:t>
      </w:r>
      <w:r w:rsidRPr="00375799">
        <w:rPr>
          <w:rFonts w:cstheme="minorHAnsi"/>
          <w:color w:val="000000" w:themeColor="text1"/>
          <w:sz w:val="24"/>
          <w:szCs w:val="24"/>
        </w:rPr>
        <w:t xml:space="preserve">tajemnicy przedsiębiorstwa w rozumieniu art. 11 ust. </w:t>
      </w:r>
      <w:r w:rsidRPr="00375799">
        <w:rPr>
          <w:rFonts w:cstheme="minorHAnsi"/>
          <w:color w:val="000000" w:themeColor="text1"/>
          <w:sz w:val="24"/>
          <w:szCs w:val="24"/>
        </w:rPr>
        <w:lastRenderedPageBreak/>
        <w:t xml:space="preserve">4 ustawy z dnia 16 kwietnia 1993 r. o zwalczaniu nieuczciwej konkurencji (Dz. U. z 2003 r. poz. 1503, z późn. zm.) oraz innych informacji podlegających ochronie na </w:t>
      </w:r>
      <w:r w:rsidR="007935C5">
        <w:rPr>
          <w:rFonts w:cstheme="minorHAnsi"/>
          <w:color w:val="000000" w:themeColor="text1"/>
          <w:sz w:val="24"/>
          <w:szCs w:val="24"/>
        </w:rPr>
        <w:t>podstawie odrębnych przepisów, o których powzięli wiadomość w związku z</w:t>
      </w:r>
      <w:r w:rsidRPr="00375799">
        <w:rPr>
          <w:rFonts w:cstheme="minorHAnsi"/>
          <w:color w:val="000000" w:themeColor="text1"/>
          <w:sz w:val="24"/>
          <w:szCs w:val="24"/>
        </w:rPr>
        <w:t xml:space="preserve"> czynnościami wykonywanymi na podstawie ustawy.</w:t>
      </w:r>
      <w:r w:rsidR="008706DD" w:rsidRPr="00375799">
        <w:rPr>
          <w:rFonts w:cstheme="minorHAnsi"/>
          <w:color w:val="000000" w:themeColor="text1"/>
          <w:sz w:val="24"/>
          <w:szCs w:val="24"/>
        </w:rPr>
        <w:t xml:space="preserve"> </w:t>
      </w:r>
    </w:p>
    <w:p w14:paraId="37EA29BA" w14:textId="77777777" w:rsidR="00F50614" w:rsidRPr="00375799" w:rsidRDefault="00F50614" w:rsidP="0055107B">
      <w:pPr>
        <w:spacing w:after="0" w:line="276" w:lineRule="auto"/>
        <w:ind w:left="57" w:right="57"/>
        <w:contextualSpacing/>
        <w:jc w:val="both"/>
        <w:rPr>
          <w:rFonts w:cstheme="minorHAnsi"/>
          <w:color w:val="000000" w:themeColor="text1"/>
          <w:sz w:val="24"/>
          <w:szCs w:val="24"/>
        </w:rPr>
      </w:pPr>
    </w:p>
    <w:p w14:paraId="614961A7" w14:textId="2D2C8A20"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43" w:name="_Toc530565115"/>
      <w:r w:rsidRPr="00375799">
        <w:rPr>
          <w:rFonts w:asciiTheme="minorHAnsi" w:hAnsiTheme="minorHAnsi" w:cstheme="minorHAnsi"/>
          <w:color w:val="000000" w:themeColor="text1"/>
          <w:sz w:val="24"/>
          <w:szCs w:val="24"/>
        </w:rPr>
        <w:t>Ustawa z dnia 9 października 2015 r. o wykonywaniu Umowy między Rządem Rzeczypospolitej Polskiej a Rządem Stanów Zjednoczonych Ameryki w sprawie poprawy wypełniania międzynarodowych obowiązków podatkowych oraz wdrożenia ustawodawstwa FATCA</w:t>
      </w:r>
      <w:r w:rsidR="00B84CD7" w:rsidRPr="00375799">
        <w:rPr>
          <w:rFonts w:asciiTheme="minorHAnsi" w:hAnsiTheme="minorHAnsi" w:cstheme="minorHAnsi"/>
          <w:color w:val="000000" w:themeColor="text1"/>
          <w:sz w:val="24"/>
          <w:szCs w:val="24"/>
        </w:rPr>
        <w:t xml:space="preserve"> (Dz. U. z 2017 r. poz. 1858)</w:t>
      </w:r>
      <w:bookmarkEnd w:id="143"/>
    </w:p>
    <w:p w14:paraId="2870CED2" w14:textId="5E09FFC5" w:rsidR="002711A7" w:rsidRPr="00C87C95" w:rsidRDefault="002711A7" w:rsidP="002711A7">
      <w:pPr>
        <w:widowControl w:val="0"/>
        <w:spacing w:after="0" w:line="276" w:lineRule="auto"/>
        <w:ind w:left="57" w:right="57"/>
        <w:contextualSpacing/>
        <w:jc w:val="both"/>
        <w:outlineLvl w:val="1"/>
        <w:rPr>
          <w:rFonts w:eastAsiaTheme="majorEastAsia" w:cstheme="minorHAnsi"/>
          <w:color w:val="000000" w:themeColor="text1"/>
          <w:sz w:val="24"/>
          <w:szCs w:val="24"/>
        </w:rPr>
      </w:pPr>
    </w:p>
    <w:p w14:paraId="0B906F24" w14:textId="062C1662" w:rsidR="002711A7" w:rsidRPr="00EE719F" w:rsidRDefault="002711A7" w:rsidP="00EE719F">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W ustawie</w:t>
      </w:r>
      <w:r w:rsidR="00C05AB5">
        <w:rPr>
          <w:rFonts w:cstheme="minorHAnsi"/>
          <w:color w:val="000000" w:themeColor="text1"/>
          <w:sz w:val="24"/>
          <w:szCs w:val="24"/>
        </w:rPr>
        <w:t xml:space="preserve"> </w:t>
      </w:r>
      <w:r w:rsidRPr="00EE719F">
        <w:rPr>
          <w:rFonts w:cstheme="minorHAnsi"/>
          <w:color w:val="000000" w:themeColor="text1"/>
          <w:sz w:val="24"/>
          <w:szCs w:val="24"/>
        </w:rPr>
        <w:t xml:space="preserve">dodaje się art. </w:t>
      </w:r>
      <w:r w:rsidR="00195403">
        <w:rPr>
          <w:rFonts w:cstheme="minorHAnsi"/>
          <w:color w:val="000000" w:themeColor="text1"/>
          <w:sz w:val="24"/>
          <w:szCs w:val="24"/>
        </w:rPr>
        <w:t>11</w:t>
      </w:r>
      <w:r w:rsidRPr="00EE719F">
        <w:rPr>
          <w:rFonts w:cstheme="minorHAnsi"/>
          <w:color w:val="000000" w:themeColor="text1"/>
          <w:sz w:val="24"/>
          <w:szCs w:val="24"/>
        </w:rPr>
        <w:t xml:space="preserve"> ust. 3, który ma na celu realizację warunku wprowadzenia ograniczenia, o którym mowa w art. 23 ust. 2 lit. f RODO, poprzez wprowadzenie obowiązku wprowadzenia zabezpieczeń zapobiegających nadużyciom lub niezgodnemu z prawem dostępowi lub przekazywaniu.</w:t>
      </w:r>
    </w:p>
    <w:p w14:paraId="0822D5F5" w14:textId="5B1B306A" w:rsidR="008706DD" w:rsidRPr="00375799" w:rsidRDefault="002711A7" w:rsidP="002711A7">
      <w:pPr>
        <w:spacing w:after="0" w:line="276" w:lineRule="auto"/>
        <w:ind w:left="57" w:right="57"/>
        <w:contextualSpacing/>
        <w:jc w:val="both"/>
        <w:rPr>
          <w:rFonts w:cstheme="minorHAnsi"/>
          <w:color w:val="000000" w:themeColor="text1"/>
          <w:sz w:val="24"/>
          <w:szCs w:val="24"/>
        </w:rPr>
      </w:pPr>
      <w:r w:rsidRPr="00EE719F">
        <w:rPr>
          <w:rFonts w:cstheme="minorHAnsi"/>
          <w:color w:val="000000" w:themeColor="text1"/>
          <w:sz w:val="24"/>
          <w:szCs w:val="24"/>
        </w:rPr>
        <w:t xml:space="preserve">W tym celu art. </w:t>
      </w:r>
      <w:r w:rsidR="00195403">
        <w:rPr>
          <w:rFonts w:cstheme="minorHAnsi"/>
          <w:color w:val="000000" w:themeColor="text1"/>
          <w:sz w:val="24"/>
          <w:szCs w:val="24"/>
        </w:rPr>
        <w:t>11</w:t>
      </w:r>
      <w:r w:rsidRPr="00EE719F">
        <w:rPr>
          <w:rFonts w:cstheme="minorHAnsi"/>
          <w:color w:val="000000" w:themeColor="text1"/>
          <w:sz w:val="24"/>
          <w:szCs w:val="24"/>
        </w:rPr>
        <w:t xml:space="preserve"> ust. 3 </w:t>
      </w:r>
      <w:r w:rsidR="00846E17">
        <w:rPr>
          <w:rFonts w:cstheme="minorHAnsi"/>
          <w:color w:val="000000" w:themeColor="text1"/>
          <w:sz w:val="24"/>
          <w:szCs w:val="24"/>
        </w:rPr>
        <w:t>ustawy</w:t>
      </w:r>
      <w:r w:rsidR="00195403">
        <w:rPr>
          <w:rFonts w:cstheme="minorHAnsi"/>
          <w:color w:val="000000" w:themeColor="text1"/>
          <w:sz w:val="24"/>
          <w:szCs w:val="24"/>
        </w:rPr>
        <w:t xml:space="preserve"> </w:t>
      </w:r>
      <w:r w:rsidRPr="00EE719F">
        <w:rPr>
          <w:rFonts w:cstheme="minorHAnsi"/>
          <w:color w:val="000000" w:themeColor="text1"/>
          <w:sz w:val="24"/>
          <w:szCs w:val="24"/>
        </w:rPr>
        <w:t>zawiera wykaz czynności w zakresie danych osobowych przetwarzanych w celu wykonywania zadań wynikających z ustawy. Z uwagi na to, iż szereg zagadnień dotyczących przekazywania informacji o amerykańskich rachunkach raportowanych uregulowanych jest wprost w umowie między Rządem Rzeczypospolitej Polskiej a Rządem Stanów Zjednoczonych Ameryki w sprawie poprawy wypełniania międzynarodowych obowiązków podatkowych oraz wdrożenia ustawodawstwa FATCA, wraz z towarzyszącymi Uzgodnieniami Końcowymi z dnia 7 października 2014 r. (Dz. U. z 2015 r. poz. 1647), kwestie przetwarzania danych osobowych dotyczą także przedmiotowej Umowy.</w:t>
      </w:r>
    </w:p>
    <w:p w14:paraId="3B76DCF0" w14:textId="77777777" w:rsidR="009D7AF5" w:rsidRPr="00375799" w:rsidRDefault="009D7AF5" w:rsidP="0055107B">
      <w:pPr>
        <w:spacing w:after="0" w:line="276" w:lineRule="auto"/>
        <w:ind w:left="57" w:right="57"/>
        <w:contextualSpacing/>
        <w:jc w:val="both"/>
        <w:rPr>
          <w:rFonts w:cstheme="minorHAnsi"/>
          <w:color w:val="000000" w:themeColor="text1"/>
          <w:sz w:val="24"/>
          <w:szCs w:val="24"/>
        </w:rPr>
      </w:pPr>
    </w:p>
    <w:p w14:paraId="5A06C139" w14:textId="2B79BA45"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44" w:name="_Toc530565116"/>
      <w:r w:rsidRPr="00375799">
        <w:rPr>
          <w:rFonts w:asciiTheme="minorHAnsi" w:hAnsiTheme="minorHAnsi" w:cstheme="minorHAnsi"/>
          <w:color w:val="000000" w:themeColor="text1"/>
          <w:sz w:val="24"/>
          <w:szCs w:val="24"/>
        </w:rPr>
        <w:t>Ustawa z dnia 9 października 2015 r. o rewitalizacji (Dz. U. z 201</w:t>
      </w:r>
      <w:r w:rsidR="00036838">
        <w:rPr>
          <w:rFonts w:asciiTheme="minorHAnsi" w:hAnsiTheme="minorHAnsi" w:cstheme="minorHAnsi"/>
          <w:color w:val="000000" w:themeColor="text1"/>
          <w:sz w:val="24"/>
          <w:szCs w:val="24"/>
        </w:rPr>
        <w:t>8</w:t>
      </w:r>
      <w:r w:rsidRPr="00375799">
        <w:rPr>
          <w:rFonts w:asciiTheme="minorHAnsi" w:hAnsiTheme="minorHAnsi" w:cstheme="minorHAnsi"/>
          <w:color w:val="000000" w:themeColor="text1"/>
          <w:sz w:val="24"/>
          <w:szCs w:val="24"/>
        </w:rPr>
        <w:t xml:space="preserve"> r. poz. </w:t>
      </w:r>
      <w:r w:rsidR="00036838">
        <w:rPr>
          <w:rFonts w:asciiTheme="minorHAnsi" w:hAnsiTheme="minorHAnsi" w:cstheme="minorHAnsi"/>
          <w:color w:val="000000" w:themeColor="text1"/>
          <w:sz w:val="24"/>
          <w:szCs w:val="24"/>
        </w:rPr>
        <w:t>1398</w:t>
      </w:r>
      <w:r w:rsidRPr="00375799">
        <w:rPr>
          <w:rFonts w:asciiTheme="minorHAnsi" w:hAnsiTheme="minorHAnsi" w:cstheme="minorHAnsi"/>
          <w:color w:val="000000" w:themeColor="text1"/>
          <w:sz w:val="24"/>
          <w:szCs w:val="24"/>
        </w:rPr>
        <w:t>)</w:t>
      </w:r>
      <w:bookmarkEnd w:id="144"/>
      <w:r w:rsidRPr="00375799">
        <w:rPr>
          <w:rFonts w:asciiTheme="minorHAnsi" w:hAnsiTheme="minorHAnsi" w:cstheme="minorHAnsi"/>
          <w:color w:val="000000" w:themeColor="text1"/>
          <w:sz w:val="24"/>
          <w:szCs w:val="24"/>
        </w:rPr>
        <w:t xml:space="preserve"> </w:t>
      </w:r>
    </w:p>
    <w:p w14:paraId="502F7FF9" w14:textId="77777777" w:rsidR="00F118D1" w:rsidRPr="00375799" w:rsidRDefault="00F118D1" w:rsidP="0055107B">
      <w:pPr>
        <w:spacing w:after="0" w:line="276" w:lineRule="auto"/>
        <w:ind w:left="57" w:right="57"/>
        <w:contextualSpacing/>
        <w:jc w:val="both"/>
        <w:rPr>
          <w:rFonts w:cstheme="minorHAnsi"/>
          <w:color w:val="000000" w:themeColor="text1"/>
          <w:sz w:val="24"/>
          <w:szCs w:val="24"/>
        </w:rPr>
      </w:pPr>
    </w:p>
    <w:p w14:paraId="494D4C3F" w14:textId="0CCB41E1"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Zmiany wprowadzone do ustawy z dnia 11 sierpnia 2001 r. o szczególnych zasadach odbudowy, remontów i rozbiórek obiektów budowlanych zniszczonych lub uszkodzonych w wyniku działania żywiołu; ustawy z dnia 27 marca 2003 r. o planowaniu i zagospodarowaniu przestrzennym oraz ustawy z dnia 9 października 2015 r. o rewitalizacji mają na celu usprawnienie procesu sporządzania i uchwalania aktów planowania przestrzennego. Proces sporządzania i późniejszego uchwalania aktów planistycznych z uwagi na ich zasięg przestrzenny oraz stopień skomplikowania (interdyscyplinarność) wymaga szerokich konsultacji publicznych z wieloma podmiotami, zarówno osobami fizycznymi, przedsiębiorstwami, organizacjami lokalnymi. W związku z powyższym każdorazowe informowanie wszystkich zainteresowanych osób o dokonywanych czynnościach administracyjnych znacząco opóźniłoby proces planistyczny. </w:t>
      </w:r>
    </w:p>
    <w:p w14:paraId="3572F018" w14:textId="7B01D9A5"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celu ochrony osób biorących udział i składających wnioski w ramach wyżej wskazanych konsultacji zasadne jest ponadto ograniczenie uprawnienia wynikającego z art. 15 ust. 1 lit. g </w:t>
      </w:r>
      <w:r w:rsidR="006E00BC" w:rsidRPr="00375799">
        <w:rPr>
          <w:rFonts w:cstheme="minorHAnsi"/>
          <w:color w:val="000000" w:themeColor="text1"/>
          <w:sz w:val="24"/>
          <w:szCs w:val="24"/>
        </w:rPr>
        <w:t>RODO</w:t>
      </w:r>
      <w:r w:rsidRPr="00375799">
        <w:rPr>
          <w:rFonts w:cstheme="minorHAnsi"/>
          <w:color w:val="000000" w:themeColor="text1"/>
          <w:sz w:val="24"/>
          <w:szCs w:val="24"/>
        </w:rPr>
        <w:t xml:space="preserve">. Lokalny charakter tych procesów prowadzonych często w ramach małych lokalnych społeczności w pełni uzasadnia wprowadzenie ochrony danych osób biorących w </w:t>
      </w:r>
      <w:r w:rsidRPr="00375799">
        <w:rPr>
          <w:rFonts w:cstheme="minorHAnsi"/>
          <w:color w:val="000000" w:themeColor="text1"/>
          <w:sz w:val="24"/>
          <w:szCs w:val="24"/>
        </w:rPr>
        <w:lastRenderedPageBreak/>
        <w:t xml:space="preserve">nich udział. Prawo, o którym mowa w art. 15 ust. 1 lit. g </w:t>
      </w:r>
      <w:r w:rsidR="006E00BC" w:rsidRPr="00375799">
        <w:rPr>
          <w:rFonts w:cstheme="minorHAnsi"/>
          <w:color w:val="000000" w:themeColor="text1"/>
          <w:sz w:val="24"/>
          <w:szCs w:val="24"/>
        </w:rPr>
        <w:t>RODO</w:t>
      </w:r>
      <w:r w:rsidR="00793268" w:rsidRPr="00375799">
        <w:rPr>
          <w:rFonts w:cstheme="minorHAnsi"/>
          <w:color w:val="000000" w:themeColor="text1"/>
          <w:sz w:val="24"/>
          <w:szCs w:val="24"/>
        </w:rPr>
        <w:t xml:space="preserve"> </w:t>
      </w:r>
      <w:r w:rsidRPr="00375799">
        <w:rPr>
          <w:rFonts w:cstheme="minorHAnsi"/>
          <w:color w:val="000000" w:themeColor="text1"/>
          <w:sz w:val="24"/>
          <w:szCs w:val="24"/>
        </w:rPr>
        <w:t>w zakresie wystąpień zawierających dane osobowe osób trzecich, przysługiwać będzie w zakresie, w jakim nie ma wpływu na ochronę praw i wolności osób, od których dane pozyskano. Skorzystanie z przedmiotowego ograniczenia nie będzie zatem automatyczne i zależeć będzie od oceny spełnienia odpowiednich przesłanek przez organ</w:t>
      </w:r>
      <w:r w:rsidR="007935C5">
        <w:rPr>
          <w:rFonts w:cstheme="minorHAnsi"/>
          <w:color w:val="000000" w:themeColor="text1"/>
          <w:sz w:val="24"/>
          <w:szCs w:val="24"/>
        </w:rPr>
        <w:t>,</w:t>
      </w:r>
      <w:r w:rsidRPr="00375799">
        <w:rPr>
          <w:rFonts w:cstheme="minorHAnsi"/>
          <w:color w:val="000000" w:themeColor="text1"/>
          <w:sz w:val="24"/>
          <w:szCs w:val="24"/>
        </w:rPr>
        <w:t xml:space="preserve"> przetwarzając dane osobowe. </w:t>
      </w:r>
    </w:p>
    <w:p w14:paraId="15718F14" w14:textId="110791B2"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Ponadto wyraźnie wskazano, że wystąpienie z żądaniem, o którym mowa w art. 18 ust. 1 </w:t>
      </w:r>
      <w:r w:rsidR="006E00BC" w:rsidRPr="00375799">
        <w:rPr>
          <w:rFonts w:cstheme="minorHAnsi"/>
          <w:color w:val="000000" w:themeColor="text1"/>
          <w:sz w:val="24"/>
          <w:szCs w:val="24"/>
        </w:rPr>
        <w:t>RODO</w:t>
      </w:r>
      <w:r w:rsidR="006E00BC" w:rsidRPr="00375799" w:rsidDel="006E00BC">
        <w:rPr>
          <w:rFonts w:cstheme="minorHAnsi"/>
          <w:color w:val="000000" w:themeColor="text1"/>
          <w:sz w:val="24"/>
          <w:szCs w:val="24"/>
        </w:rPr>
        <w:t xml:space="preserve"> </w:t>
      </w:r>
      <w:r w:rsidRPr="00375799">
        <w:rPr>
          <w:rFonts w:cstheme="minorHAnsi"/>
          <w:color w:val="000000" w:themeColor="text1"/>
          <w:sz w:val="24"/>
          <w:szCs w:val="24"/>
        </w:rPr>
        <w:t>(tj. prawo żądania przez osobę, której dane osobowe dotyczą, ograniczenia przetwarzania jej danych)</w:t>
      </w:r>
      <w:r w:rsidR="007935C5">
        <w:rPr>
          <w:rFonts w:cstheme="minorHAnsi"/>
          <w:color w:val="000000" w:themeColor="text1"/>
          <w:sz w:val="24"/>
          <w:szCs w:val="24"/>
        </w:rPr>
        <w:t>,</w:t>
      </w:r>
      <w:r w:rsidRPr="00375799">
        <w:rPr>
          <w:rFonts w:cstheme="minorHAnsi"/>
          <w:color w:val="000000" w:themeColor="text1"/>
          <w:sz w:val="24"/>
          <w:szCs w:val="24"/>
        </w:rPr>
        <w:t xml:space="preserve"> nie wpływa na przebieg postępowań planistycznych. Powyższe ma na celu umożliwienie skutecznego i efektywnego wykonywania ww. zadań (uniemożliwienie wykorzystywania prawa do ograniczenia przetwarzania danych w celu przedłużania lub blokowania działań organów w ww. zakresie).</w:t>
      </w:r>
    </w:p>
    <w:p w14:paraId="6E4EC2F9" w14:textId="746A3213" w:rsidR="00735DC6" w:rsidRPr="00375799" w:rsidRDefault="00735DC6"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Jednocześnie wskazano, że z uwagi na ww. ograniczenie art. 15 ust. 1 lit. g RODO dodano dodatkowe gwarancje dla osób, których dane dotyczą</w:t>
      </w:r>
      <w:r w:rsidR="007935C5">
        <w:rPr>
          <w:rFonts w:cstheme="minorHAnsi"/>
          <w:color w:val="000000" w:themeColor="text1"/>
          <w:sz w:val="24"/>
          <w:szCs w:val="24"/>
        </w:rPr>
        <w:t>,</w:t>
      </w:r>
      <w:r w:rsidRPr="00375799">
        <w:rPr>
          <w:rFonts w:cstheme="minorHAnsi"/>
          <w:color w:val="000000" w:themeColor="text1"/>
          <w:sz w:val="24"/>
          <w:szCs w:val="24"/>
        </w:rPr>
        <w:t xml:space="preserve"> w postaci zobowiązania administratora o poinformowaniu o ograniczeniu osoby, której dane dotyczą</w:t>
      </w:r>
      <w:r w:rsidR="007935C5">
        <w:rPr>
          <w:rFonts w:cstheme="minorHAnsi"/>
          <w:color w:val="000000" w:themeColor="text1"/>
          <w:sz w:val="24"/>
          <w:szCs w:val="24"/>
        </w:rPr>
        <w:t>,</w:t>
      </w:r>
      <w:r w:rsidRPr="00375799">
        <w:rPr>
          <w:rFonts w:cstheme="minorHAnsi"/>
          <w:color w:val="000000" w:themeColor="text1"/>
          <w:sz w:val="24"/>
          <w:szCs w:val="24"/>
        </w:rPr>
        <w:t xml:space="preserve"> przy pierwszej czynności do niej skierowanej. Ponadto wskazano, że w przypadku gdy okres przechowywania danych osobowych nie wynika z przepisów ustawy z dnia 14 lipca 1983 r. o narodowym zasobie archiwalnym i archiwach</w:t>
      </w:r>
      <w:r w:rsidR="007935C5">
        <w:rPr>
          <w:rFonts w:cstheme="minorHAnsi"/>
          <w:color w:val="000000" w:themeColor="text1"/>
          <w:sz w:val="24"/>
          <w:szCs w:val="24"/>
        </w:rPr>
        <w:t>,</w:t>
      </w:r>
      <w:r w:rsidRPr="00375799">
        <w:rPr>
          <w:rFonts w:cstheme="minorHAnsi"/>
          <w:color w:val="000000" w:themeColor="text1"/>
          <w:sz w:val="24"/>
          <w:szCs w:val="24"/>
        </w:rPr>
        <w:t xml:space="preserve"> wójt, burmistrz, prezydent miasta oraz wojewoda ustalają  okres ich przechowywania w przepisach wydawanych na podstawie art. 6 ust. 1 i 2 tej ustawy. Wprowadzono też zabezpieczenie w postaci nałożenia obowiązku dopuszczenia do przetwarzania danych osobowych wyłącznie osób posiadających pisemne upoważnienie wydane przez administratora oraz konieczności udzielania pisemnego zobowiązania osób upoważnionych do przetwarzania danych osobowych do zachowania ich w tajemnicy.</w:t>
      </w:r>
    </w:p>
    <w:p w14:paraId="408ABB3F" w14:textId="77777777" w:rsidR="00A87DD1" w:rsidRPr="00375799" w:rsidRDefault="00A87DD1" w:rsidP="0055107B">
      <w:pPr>
        <w:spacing w:after="0" w:line="276" w:lineRule="auto"/>
        <w:ind w:left="57" w:right="57"/>
        <w:contextualSpacing/>
        <w:jc w:val="both"/>
        <w:rPr>
          <w:rFonts w:cstheme="minorHAnsi"/>
          <w:color w:val="000000" w:themeColor="text1"/>
          <w:sz w:val="24"/>
          <w:szCs w:val="24"/>
        </w:rPr>
      </w:pPr>
    </w:p>
    <w:p w14:paraId="253E3695" w14:textId="65E0F9BA" w:rsidR="008706DD" w:rsidRPr="00375799" w:rsidRDefault="008706DD" w:rsidP="0055107B">
      <w:pPr>
        <w:pStyle w:val="Nagwek2"/>
        <w:spacing w:before="0" w:line="276" w:lineRule="auto"/>
        <w:ind w:left="57" w:right="57"/>
        <w:contextualSpacing/>
        <w:rPr>
          <w:rFonts w:asciiTheme="minorHAnsi" w:hAnsiTheme="minorHAnsi" w:cstheme="minorHAnsi"/>
          <w:color w:val="000000" w:themeColor="text1"/>
          <w:sz w:val="24"/>
          <w:szCs w:val="24"/>
        </w:rPr>
      </w:pPr>
      <w:bookmarkStart w:id="145" w:name="_Toc530565117"/>
      <w:r w:rsidRPr="00375799">
        <w:rPr>
          <w:rFonts w:asciiTheme="minorHAnsi" w:hAnsiTheme="minorHAnsi" w:cstheme="minorHAnsi"/>
          <w:color w:val="000000" w:themeColor="text1"/>
          <w:sz w:val="24"/>
          <w:szCs w:val="24"/>
        </w:rPr>
        <w:t xml:space="preserve">Ustawa z dnia 11 lutego 2016 r. o pomocy państwa w wychowywaniu dzieci </w:t>
      </w:r>
      <w:r w:rsidR="00B84CD7" w:rsidRPr="00375799">
        <w:rPr>
          <w:rFonts w:asciiTheme="minorHAnsi" w:hAnsiTheme="minorHAnsi" w:cstheme="minorHAnsi"/>
          <w:color w:val="000000" w:themeColor="text1"/>
          <w:sz w:val="24"/>
          <w:szCs w:val="24"/>
        </w:rPr>
        <w:t>(Dz. U. z 201</w:t>
      </w:r>
      <w:r w:rsidR="00481BA0">
        <w:rPr>
          <w:rFonts w:asciiTheme="minorHAnsi" w:hAnsiTheme="minorHAnsi" w:cstheme="minorHAnsi"/>
          <w:color w:val="000000" w:themeColor="text1"/>
          <w:sz w:val="24"/>
          <w:szCs w:val="24"/>
        </w:rPr>
        <w:t>8</w:t>
      </w:r>
      <w:r w:rsidR="00B84CD7" w:rsidRPr="00375799">
        <w:rPr>
          <w:rFonts w:asciiTheme="minorHAnsi" w:hAnsiTheme="minorHAnsi" w:cstheme="minorHAnsi"/>
          <w:color w:val="000000" w:themeColor="text1"/>
          <w:sz w:val="24"/>
          <w:szCs w:val="24"/>
        </w:rPr>
        <w:t xml:space="preserve"> r. poz. </w:t>
      </w:r>
      <w:r w:rsidR="00481BA0">
        <w:rPr>
          <w:rFonts w:asciiTheme="minorHAnsi" w:hAnsiTheme="minorHAnsi" w:cstheme="minorHAnsi"/>
          <w:color w:val="000000" w:themeColor="text1"/>
          <w:sz w:val="24"/>
          <w:szCs w:val="24"/>
        </w:rPr>
        <w:t>2134</w:t>
      </w:r>
      <w:r w:rsidR="00B84CD7" w:rsidRPr="00375799">
        <w:rPr>
          <w:rFonts w:asciiTheme="minorHAnsi" w:hAnsiTheme="minorHAnsi" w:cstheme="minorHAnsi"/>
          <w:color w:val="000000" w:themeColor="text1"/>
          <w:sz w:val="24"/>
          <w:szCs w:val="24"/>
        </w:rPr>
        <w:t>)</w:t>
      </w:r>
      <w:bookmarkEnd w:id="145"/>
    </w:p>
    <w:p w14:paraId="5EC0ABAC" w14:textId="77777777" w:rsidR="00A87DD1" w:rsidRPr="00375799" w:rsidRDefault="00A87DD1" w:rsidP="0055107B">
      <w:pPr>
        <w:spacing w:after="0" w:line="276" w:lineRule="auto"/>
        <w:ind w:left="57" w:right="57"/>
        <w:contextualSpacing/>
        <w:jc w:val="both"/>
        <w:rPr>
          <w:rFonts w:cstheme="minorHAnsi"/>
          <w:color w:val="000000" w:themeColor="text1"/>
          <w:sz w:val="24"/>
          <w:szCs w:val="24"/>
        </w:rPr>
      </w:pPr>
    </w:p>
    <w:p w14:paraId="2086D282"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Ustawa z dnia 11 lutego 2016 r. o pomocy państwa w wychowywaniu dzieci przewiduje przetwarzanie danych osobowych osób ubiegających się o świadczenia wychowawcze oraz członków ich rodzin. </w:t>
      </w:r>
    </w:p>
    <w:p w14:paraId="6F4683B7" w14:textId="638544E8"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Projektowane zmiany tej ustawy wprowadzają regulacje służące odpowiedniemu zabezpieczeniu wyżej wskazanych danych osobowych (do celów realizacji ustawy przetwarzane są tzw. wrażliwe dane osobowe</w:t>
      </w:r>
      <w:r w:rsidR="007935C5">
        <w:rPr>
          <w:rFonts w:cstheme="minorHAnsi"/>
          <w:color w:val="000000" w:themeColor="text1"/>
          <w:sz w:val="24"/>
          <w:szCs w:val="24"/>
        </w:rPr>
        <w:t>)</w:t>
      </w:r>
      <w:r w:rsidRPr="00375799">
        <w:rPr>
          <w:rFonts w:cstheme="minorHAnsi"/>
          <w:color w:val="000000" w:themeColor="text1"/>
          <w:sz w:val="24"/>
          <w:szCs w:val="24"/>
        </w:rPr>
        <w:t xml:space="preserve">. </w:t>
      </w:r>
    </w:p>
    <w:p w14:paraId="7F37F00C" w14:textId="5177231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Dodatkowo projekt przewiduje zastąpienie uprawnienia przetwarzania danych osobowych osób ubiegających się o świadczenia wychowawcze oraz członków ich rodzin przez podmioty posiadające obecnie to uprawnienie obowiązkiem ich przetwarzania</w:t>
      </w:r>
      <w:r w:rsidR="00195403">
        <w:rPr>
          <w:rFonts w:cstheme="minorHAnsi"/>
          <w:color w:val="000000" w:themeColor="text1"/>
          <w:sz w:val="24"/>
          <w:szCs w:val="24"/>
        </w:rPr>
        <w:t>.</w:t>
      </w:r>
      <w:r w:rsidRPr="00375799">
        <w:rPr>
          <w:rFonts w:cstheme="minorHAnsi"/>
          <w:color w:val="000000" w:themeColor="text1"/>
          <w:sz w:val="24"/>
          <w:szCs w:val="24"/>
        </w:rPr>
        <w:t xml:space="preserve"> </w:t>
      </w:r>
      <w:r w:rsidR="006E00BC" w:rsidRPr="00375799">
        <w:rPr>
          <w:rFonts w:cstheme="minorHAnsi"/>
          <w:color w:val="000000" w:themeColor="text1"/>
          <w:sz w:val="24"/>
          <w:szCs w:val="24"/>
        </w:rPr>
        <w:t>RODO</w:t>
      </w:r>
      <w:r w:rsidR="00793268" w:rsidRPr="00375799">
        <w:rPr>
          <w:rFonts w:cstheme="minorHAnsi"/>
          <w:color w:val="000000" w:themeColor="text1"/>
          <w:sz w:val="24"/>
          <w:szCs w:val="24"/>
        </w:rPr>
        <w:t xml:space="preserve"> </w:t>
      </w:r>
      <w:r w:rsidRPr="00375799">
        <w:rPr>
          <w:rFonts w:cstheme="minorHAnsi"/>
          <w:color w:val="000000" w:themeColor="text1"/>
          <w:sz w:val="24"/>
          <w:szCs w:val="24"/>
        </w:rPr>
        <w:t>stanowi</w:t>
      </w:r>
      <w:r w:rsidR="00195403">
        <w:rPr>
          <w:rFonts w:cstheme="minorHAnsi"/>
          <w:color w:val="000000" w:themeColor="text1"/>
          <w:sz w:val="24"/>
          <w:szCs w:val="24"/>
        </w:rPr>
        <w:t xml:space="preserve"> bowiem</w:t>
      </w:r>
      <w:r w:rsidRPr="00375799">
        <w:rPr>
          <w:rFonts w:cstheme="minorHAnsi"/>
          <w:color w:val="000000" w:themeColor="text1"/>
          <w:sz w:val="24"/>
          <w:szCs w:val="24"/>
        </w:rPr>
        <w:t>, że przetwarzanie danych osobowych jest zgodne z prawem</w:t>
      </w:r>
      <w:r w:rsidR="007935C5">
        <w:rPr>
          <w:rFonts w:cstheme="minorHAnsi"/>
          <w:color w:val="000000" w:themeColor="text1"/>
          <w:sz w:val="24"/>
          <w:szCs w:val="24"/>
        </w:rPr>
        <w:t>,</w:t>
      </w:r>
      <w:r w:rsidRPr="00375799">
        <w:rPr>
          <w:rFonts w:cstheme="minorHAnsi"/>
          <w:color w:val="000000" w:themeColor="text1"/>
          <w:sz w:val="24"/>
          <w:szCs w:val="24"/>
        </w:rPr>
        <w:t xml:space="preserve"> jeżeli jest niezbędne do wypełnienia obowiązku prawnego ciążącego na administratorze danych osobowych. Aby podmioty te mogły realizować swoje zadania ustawowe, muszą przetwarzać określone w ustawie dane osobowe.</w:t>
      </w:r>
    </w:p>
    <w:p w14:paraId="20010435" w14:textId="77777777"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lastRenderedPageBreak/>
        <w:t>Projektowana ustawa przewiduje także uregulowanie kwestii związanych z przetwarzaniem danych osobowych wnioskodawców (i członków ich rodzin) składających wnioski o świadczenie z Programu „Rodzina 500+” za pomocą systemów teleinformatycznych banków krajowych i spółdzielczych kas oszczędnościowo-kredytowych.</w:t>
      </w:r>
    </w:p>
    <w:p w14:paraId="620B24DE" w14:textId="08C87B4A"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Ustawa o pomocy państwa w wychowywaniu dzieci przewiduje dość innowacyjne</w:t>
      </w:r>
      <w:r w:rsidR="00AF1E91" w:rsidRPr="00375799">
        <w:rPr>
          <w:rFonts w:cstheme="minorHAnsi"/>
          <w:color w:val="000000" w:themeColor="text1"/>
          <w:sz w:val="24"/>
          <w:szCs w:val="24"/>
        </w:rPr>
        <w:t xml:space="preserve">, </w:t>
      </w:r>
      <w:r w:rsidRPr="00375799">
        <w:rPr>
          <w:rFonts w:cstheme="minorHAnsi"/>
          <w:color w:val="000000" w:themeColor="text1"/>
          <w:sz w:val="24"/>
          <w:szCs w:val="24"/>
        </w:rPr>
        <w:t>w porównaniu do funkcjonujących obecnie w systemie prawnym sposobów składan</w:t>
      </w:r>
      <w:r w:rsidR="00AF1E91" w:rsidRPr="00375799">
        <w:rPr>
          <w:rFonts w:cstheme="minorHAnsi"/>
          <w:color w:val="000000" w:themeColor="text1"/>
          <w:sz w:val="24"/>
          <w:szCs w:val="24"/>
        </w:rPr>
        <w:t xml:space="preserve">ia wniosków o różne świadczenia, </w:t>
      </w:r>
      <w:r w:rsidRPr="00375799">
        <w:rPr>
          <w:rFonts w:cstheme="minorHAnsi"/>
          <w:color w:val="000000" w:themeColor="text1"/>
          <w:sz w:val="24"/>
          <w:szCs w:val="24"/>
        </w:rPr>
        <w:t>rozwiązanie w zakresie sposobu składania wniosku o świadczenie wychowawcze. Zgodnie z ustawą o pomocy państwa w wychowywaniu dzieci wniosek o świadczenie wychowawcze może zostać złożony drogą elektroniczną za pomocą systemu teleinformatycznego banku krajowego świadczącego usługi drogą elektroniczną, spółdzielczej kasy oszczędnościowo-kredytowej oraz Zakładu Ubezpieczeń Społecznych. Rozwiązanie takie zostało wprowadzone ze względu na to, aby maksymalnie ułatwić obywatelom ubieganie się o świadczenie wychowawcze bez konieczności stania w kolejk</w:t>
      </w:r>
      <w:r w:rsidR="00AF1E91" w:rsidRPr="00375799">
        <w:rPr>
          <w:rFonts w:cstheme="minorHAnsi"/>
          <w:color w:val="000000" w:themeColor="text1"/>
          <w:sz w:val="24"/>
          <w:szCs w:val="24"/>
        </w:rPr>
        <w:t xml:space="preserve">ach w urzędzie czy na poczcie, </w:t>
      </w:r>
      <w:r w:rsidRPr="00375799">
        <w:rPr>
          <w:rFonts w:cstheme="minorHAnsi"/>
          <w:color w:val="000000" w:themeColor="text1"/>
          <w:sz w:val="24"/>
          <w:szCs w:val="24"/>
        </w:rPr>
        <w:t xml:space="preserve"> a bankowość elektroniczną w naszym kraju posiada znaczna część obywateli. W praktyce rozwiązanie to funkcjonuje w taki sposób, że na stronie internetowej banku (po zalogowaniu się do konta) dostępna jest zakładka</w:t>
      </w:r>
      <w:r w:rsidR="007935C5">
        <w:rPr>
          <w:rFonts w:cstheme="minorHAnsi"/>
          <w:color w:val="000000" w:themeColor="text1"/>
          <w:sz w:val="24"/>
          <w:szCs w:val="24"/>
        </w:rPr>
        <w:t>,</w:t>
      </w:r>
      <w:r w:rsidRPr="00375799">
        <w:rPr>
          <w:rFonts w:cstheme="minorHAnsi"/>
          <w:color w:val="000000" w:themeColor="text1"/>
          <w:sz w:val="24"/>
          <w:szCs w:val="24"/>
        </w:rPr>
        <w:t xml:space="preserve"> w której udostępniona jest usługa umożliwiająca wypełnienie wniosku o świadczenie wychowawcze, dołączenia do niego odpowiednich załączników i wysłanie do adresata, tj. do gminy (administratora danych). Aby umożliwić komunikację systemu teleinformatycznego banku z systemem teleinformatycznym gminy, wniosek (wraz z załącznikami) „przepływa” przez system teleinformatyczny ministra właściwego do spraw rodziny (</w:t>
      </w:r>
      <w:proofErr w:type="spellStart"/>
      <w:r w:rsidRPr="00375799">
        <w:rPr>
          <w:rFonts w:cstheme="minorHAnsi"/>
          <w:color w:val="000000" w:themeColor="text1"/>
          <w:sz w:val="24"/>
          <w:szCs w:val="24"/>
        </w:rPr>
        <w:t>Emp@tia</w:t>
      </w:r>
      <w:proofErr w:type="spellEnd"/>
      <w:r w:rsidRPr="00375799">
        <w:rPr>
          <w:rFonts w:cstheme="minorHAnsi"/>
          <w:color w:val="000000" w:themeColor="text1"/>
          <w:sz w:val="24"/>
          <w:szCs w:val="24"/>
        </w:rPr>
        <w:t xml:space="preserve">), który jest połączony bezpośrednio z wszystkimi gminami w Polsce (każda gmina ma na </w:t>
      </w:r>
      <w:proofErr w:type="spellStart"/>
      <w:r w:rsidRPr="00375799">
        <w:rPr>
          <w:rFonts w:cstheme="minorHAnsi"/>
          <w:color w:val="000000" w:themeColor="text1"/>
          <w:sz w:val="24"/>
          <w:szCs w:val="24"/>
        </w:rPr>
        <w:t>Emp@tii</w:t>
      </w:r>
      <w:proofErr w:type="spellEnd"/>
      <w:r w:rsidRPr="00375799">
        <w:rPr>
          <w:rFonts w:cstheme="minorHAnsi"/>
          <w:color w:val="000000" w:themeColor="text1"/>
          <w:sz w:val="24"/>
          <w:szCs w:val="24"/>
        </w:rPr>
        <w:t xml:space="preserve"> odpowiednią skrzynkę podawczą). W tym miejscu należy zwrócić uwagę, że dane osobowe wniosku złożonego w banku są niezwłocznie, gdy tylko bank dostanie informację o złożeniu wniosku w gminie, usuwane. Określa to wprost art. 13 ust. 21 ustawy o pomocy państwa w wychowywaniu dzieci. </w:t>
      </w:r>
    </w:p>
    <w:p w14:paraId="60923AA7" w14:textId="3C788E72" w:rsidR="008706DD" w:rsidRPr="00375799" w:rsidRDefault="00195403" w:rsidP="0055107B">
      <w:pPr>
        <w:spacing w:after="0" w:line="276" w:lineRule="auto"/>
        <w:ind w:left="57" w:right="57"/>
        <w:contextualSpacing/>
        <w:jc w:val="both"/>
        <w:rPr>
          <w:rFonts w:cstheme="minorHAnsi"/>
          <w:color w:val="000000" w:themeColor="text1"/>
          <w:sz w:val="24"/>
          <w:szCs w:val="24"/>
        </w:rPr>
      </w:pPr>
      <w:r>
        <w:rPr>
          <w:rFonts w:cstheme="minorHAnsi"/>
          <w:color w:val="000000" w:themeColor="text1"/>
          <w:sz w:val="24"/>
          <w:szCs w:val="24"/>
        </w:rPr>
        <w:t>P</w:t>
      </w:r>
      <w:r w:rsidR="008706DD" w:rsidRPr="00375799">
        <w:rPr>
          <w:rFonts w:cstheme="minorHAnsi"/>
          <w:color w:val="000000" w:themeColor="text1"/>
          <w:sz w:val="24"/>
          <w:szCs w:val="24"/>
        </w:rPr>
        <w:t xml:space="preserve">owyższe rozwiązanie realizowane </w:t>
      </w:r>
      <w:r>
        <w:rPr>
          <w:rFonts w:cstheme="minorHAnsi"/>
          <w:color w:val="000000" w:themeColor="text1"/>
          <w:sz w:val="24"/>
          <w:szCs w:val="24"/>
        </w:rPr>
        <w:t>było</w:t>
      </w:r>
      <w:r w:rsidR="008706DD" w:rsidRPr="00375799">
        <w:rPr>
          <w:rFonts w:cstheme="minorHAnsi"/>
          <w:color w:val="000000" w:themeColor="text1"/>
          <w:sz w:val="24"/>
          <w:szCs w:val="24"/>
        </w:rPr>
        <w:t xml:space="preserve"> w oparciu o art. 2 ust. 3 ustawy </w:t>
      </w:r>
      <w:r>
        <w:rPr>
          <w:rFonts w:cstheme="minorHAnsi"/>
          <w:color w:val="000000" w:themeColor="text1"/>
          <w:sz w:val="24"/>
          <w:szCs w:val="24"/>
        </w:rPr>
        <w:t xml:space="preserve">z dnia 29 sierpnia 1997 r. </w:t>
      </w:r>
      <w:r w:rsidR="008706DD" w:rsidRPr="00375799">
        <w:rPr>
          <w:rFonts w:cstheme="minorHAnsi"/>
          <w:color w:val="000000" w:themeColor="text1"/>
          <w:sz w:val="24"/>
          <w:szCs w:val="24"/>
        </w:rPr>
        <w:t>o ochronie danych osobowych, zgodnie z którym, w odniesieniu do zbiorów danych osobowych sporządzanych doraźnie, wyłącznie ze względów technicznych, szkoleniowych lub w związku z dydaktyką w szkołach wyższych, a po ich wykorzystaniu niezwłocznie usuwanych a</w:t>
      </w:r>
      <w:r w:rsidR="005961AA">
        <w:rPr>
          <w:rFonts w:cstheme="minorHAnsi"/>
          <w:color w:val="000000" w:themeColor="text1"/>
          <w:sz w:val="24"/>
          <w:szCs w:val="24"/>
        </w:rPr>
        <w:t>lbo poddanych anonimizacji, miały</w:t>
      </w:r>
      <w:r w:rsidR="008706DD" w:rsidRPr="00375799">
        <w:rPr>
          <w:rFonts w:cstheme="minorHAnsi"/>
          <w:color w:val="000000" w:themeColor="text1"/>
          <w:sz w:val="24"/>
          <w:szCs w:val="24"/>
        </w:rPr>
        <w:t xml:space="preserve"> zastosowanie jedynie p</w:t>
      </w:r>
      <w:r w:rsidR="00B37F0A">
        <w:rPr>
          <w:rFonts w:cstheme="minorHAnsi"/>
          <w:color w:val="000000" w:themeColor="text1"/>
          <w:sz w:val="24"/>
          <w:szCs w:val="24"/>
        </w:rPr>
        <w:t>rzepisy rozdziału 5 tej ustawy.</w:t>
      </w:r>
    </w:p>
    <w:p w14:paraId="64E108FC" w14:textId="4811AAFD"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Omawiane rozwiązanie funkcjon</w:t>
      </w:r>
      <w:r w:rsidR="00786344">
        <w:rPr>
          <w:rFonts w:cstheme="minorHAnsi"/>
          <w:color w:val="000000" w:themeColor="text1"/>
          <w:sz w:val="24"/>
          <w:szCs w:val="24"/>
        </w:rPr>
        <w:t>owało</w:t>
      </w:r>
      <w:r w:rsidRPr="00375799">
        <w:rPr>
          <w:rFonts w:cstheme="minorHAnsi"/>
          <w:color w:val="000000" w:themeColor="text1"/>
          <w:sz w:val="24"/>
          <w:szCs w:val="24"/>
        </w:rPr>
        <w:t xml:space="preserve"> bez zarzutu i w ten sposób składanych jest ok</w:t>
      </w:r>
      <w:r w:rsidR="007935C5">
        <w:rPr>
          <w:rFonts w:cstheme="minorHAnsi"/>
          <w:color w:val="000000" w:themeColor="text1"/>
          <w:sz w:val="24"/>
          <w:szCs w:val="24"/>
        </w:rPr>
        <w:t>.</w:t>
      </w:r>
      <w:r w:rsidRPr="00375799">
        <w:rPr>
          <w:rFonts w:cstheme="minorHAnsi"/>
          <w:color w:val="000000" w:themeColor="text1"/>
          <w:sz w:val="24"/>
          <w:szCs w:val="24"/>
        </w:rPr>
        <w:t xml:space="preserve"> 25% wniosków. </w:t>
      </w:r>
    </w:p>
    <w:p w14:paraId="2822901A" w14:textId="5759517C" w:rsidR="008706DD" w:rsidRPr="00375799" w:rsidRDefault="008706DD"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W związku z powyższym w projekcie proponuje się wykorzystanie rozwiązania określonego w art. 28 </w:t>
      </w:r>
      <w:r w:rsidR="006E00BC" w:rsidRPr="00375799">
        <w:rPr>
          <w:rFonts w:cstheme="minorHAnsi"/>
          <w:color w:val="000000" w:themeColor="text1"/>
          <w:sz w:val="24"/>
          <w:szCs w:val="24"/>
        </w:rPr>
        <w:t>RODO</w:t>
      </w:r>
      <w:r w:rsidRPr="00375799">
        <w:rPr>
          <w:rFonts w:cstheme="minorHAnsi"/>
          <w:color w:val="000000" w:themeColor="text1"/>
          <w:sz w:val="24"/>
          <w:szCs w:val="24"/>
        </w:rPr>
        <w:t xml:space="preserve">. Tym samym projektowana ustawa wprost stanowi, że przetwarzanie danych osobowych przez podmiot przetwarzający (bank krajowy świadczący usługi drogą elektroniczną, spółdzielcza kasa oszczędnościowo-kredytowa oraz Zakład Ubezpieczeń Społecznych) odbywa się na podstawie ustawy o pomocy państwa w wychowywaniu dzieci, z zachowaniem wymogów określonych w art. 28 </w:t>
      </w:r>
      <w:r w:rsidR="006E00BC" w:rsidRPr="00375799">
        <w:rPr>
          <w:rFonts w:cstheme="minorHAnsi"/>
          <w:color w:val="000000" w:themeColor="text1"/>
          <w:sz w:val="24"/>
          <w:szCs w:val="24"/>
        </w:rPr>
        <w:t>RODO</w:t>
      </w:r>
      <w:r w:rsidR="00F118D1" w:rsidRPr="00375799">
        <w:rPr>
          <w:rFonts w:cstheme="minorHAnsi"/>
          <w:color w:val="000000" w:themeColor="text1"/>
          <w:sz w:val="24"/>
          <w:szCs w:val="24"/>
        </w:rPr>
        <w:t>.</w:t>
      </w:r>
    </w:p>
    <w:p w14:paraId="50FF0624" w14:textId="77777777" w:rsidR="00F50614" w:rsidRPr="00375799" w:rsidRDefault="00F50614" w:rsidP="0055107B">
      <w:pPr>
        <w:spacing w:after="0" w:line="276" w:lineRule="auto"/>
        <w:ind w:left="57" w:right="57"/>
        <w:contextualSpacing/>
        <w:jc w:val="both"/>
        <w:rPr>
          <w:rFonts w:cstheme="minorHAnsi"/>
          <w:color w:val="000000" w:themeColor="text1"/>
          <w:sz w:val="24"/>
          <w:szCs w:val="24"/>
        </w:rPr>
      </w:pPr>
    </w:p>
    <w:p w14:paraId="0348FB89" w14:textId="3F02C7AF" w:rsidR="008706DD" w:rsidRPr="00375799" w:rsidRDefault="008706DD" w:rsidP="00C15B44">
      <w:pPr>
        <w:pStyle w:val="Nagwek2"/>
        <w:spacing w:before="0" w:line="276" w:lineRule="auto"/>
        <w:ind w:left="57" w:right="57"/>
        <w:contextualSpacing/>
        <w:rPr>
          <w:rFonts w:asciiTheme="minorHAnsi" w:hAnsiTheme="minorHAnsi" w:cstheme="minorHAnsi"/>
          <w:color w:val="000000" w:themeColor="text1"/>
          <w:sz w:val="24"/>
          <w:szCs w:val="24"/>
        </w:rPr>
      </w:pPr>
      <w:bookmarkStart w:id="146" w:name="_Toc530565118"/>
      <w:r w:rsidRPr="00375799">
        <w:rPr>
          <w:rFonts w:asciiTheme="minorHAnsi" w:hAnsiTheme="minorHAnsi" w:cstheme="minorHAnsi"/>
          <w:color w:val="000000" w:themeColor="text1"/>
          <w:sz w:val="24"/>
          <w:szCs w:val="24"/>
        </w:rPr>
        <w:lastRenderedPageBreak/>
        <w:t>Ustawa z dnia 25 lutego 2016 r. o ponownym wykorzystywaniu informacji</w:t>
      </w:r>
      <w:r w:rsidR="004D30BD" w:rsidRPr="00375799">
        <w:rPr>
          <w:rFonts w:asciiTheme="minorHAnsi" w:hAnsiTheme="minorHAnsi" w:cstheme="minorHAnsi"/>
          <w:color w:val="000000" w:themeColor="text1"/>
          <w:sz w:val="24"/>
          <w:szCs w:val="24"/>
        </w:rPr>
        <w:t xml:space="preserve"> </w:t>
      </w:r>
      <w:r w:rsidRPr="00375799">
        <w:rPr>
          <w:rFonts w:asciiTheme="minorHAnsi" w:hAnsiTheme="minorHAnsi" w:cstheme="minorHAnsi"/>
          <w:color w:val="000000" w:themeColor="text1"/>
          <w:sz w:val="24"/>
          <w:szCs w:val="24"/>
        </w:rPr>
        <w:t xml:space="preserve">sektora publicznego </w:t>
      </w:r>
      <w:r w:rsidR="00B84CD7" w:rsidRPr="00375799">
        <w:rPr>
          <w:rFonts w:asciiTheme="minorHAnsi" w:hAnsiTheme="minorHAnsi" w:cstheme="minorHAnsi"/>
          <w:color w:val="000000" w:themeColor="text1"/>
          <w:sz w:val="24"/>
          <w:szCs w:val="24"/>
        </w:rPr>
        <w:t>(Dz. U. z 2018 r. poz. 1243</w:t>
      </w:r>
      <w:r w:rsidR="00481BA0">
        <w:rPr>
          <w:rFonts w:asciiTheme="minorHAnsi" w:hAnsiTheme="minorHAnsi" w:cstheme="minorHAnsi"/>
          <w:color w:val="000000" w:themeColor="text1"/>
          <w:sz w:val="24"/>
          <w:szCs w:val="24"/>
        </w:rPr>
        <w:t xml:space="preserve"> i 1669</w:t>
      </w:r>
      <w:r w:rsidR="00B84CD7" w:rsidRPr="00375799">
        <w:rPr>
          <w:rFonts w:asciiTheme="minorHAnsi" w:hAnsiTheme="minorHAnsi" w:cstheme="minorHAnsi"/>
          <w:color w:val="000000" w:themeColor="text1"/>
          <w:sz w:val="24"/>
          <w:szCs w:val="24"/>
        </w:rPr>
        <w:t>)</w:t>
      </w:r>
      <w:bookmarkEnd w:id="146"/>
    </w:p>
    <w:p w14:paraId="21E6574A" w14:textId="77777777" w:rsidR="00F118D1" w:rsidRPr="00375799" w:rsidRDefault="00F118D1" w:rsidP="0055107B">
      <w:pPr>
        <w:spacing w:after="0" w:line="276" w:lineRule="auto"/>
        <w:ind w:left="57" w:right="57" w:firstLine="0"/>
        <w:contextualSpacing/>
        <w:jc w:val="both"/>
        <w:rPr>
          <w:rFonts w:cstheme="minorHAnsi"/>
          <w:color w:val="000000" w:themeColor="text1"/>
          <w:sz w:val="24"/>
          <w:szCs w:val="24"/>
        </w:rPr>
      </w:pPr>
    </w:p>
    <w:p w14:paraId="1CAF8548" w14:textId="68D976C3"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Zgodnie z brzmieniem art. 86 RODO dane osobowe zawarte w dokumentach urzędowych, które posiada organ albo podmiot publiczny lub podmiot prywatny, w celu wykonania zadania realizowanego w interesie publicznym</w:t>
      </w:r>
      <w:r w:rsidR="00786344">
        <w:rPr>
          <w:rFonts w:cstheme="minorHAnsi"/>
          <w:color w:val="000000" w:themeColor="text1"/>
          <w:sz w:val="24"/>
          <w:szCs w:val="24"/>
        </w:rPr>
        <w:t>,</w:t>
      </w:r>
      <w:r w:rsidRPr="00375799">
        <w:rPr>
          <w:rFonts w:cstheme="minorHAnsi"/>
          <w:color w:val="000000" w:themeColor="text1"/>
          <w:sz w:val="24"/>
          <w:szCs w:val="24"/>
        </w:rPr>
        <w:t xml:space="preserve"> mogą zostać przez ten organ lub podmiot ujawnione zgodnie z prawem Unii lub prawem państwa członkowskiego, któremu podlega ten organ lub podmiot, dla pogodzenia publicznego dostępu do dokumentów urzędowych z prawem do ochrony danych osobowych na mocy tego  rozporządzenia. Jego dopełnieniem wyznaczającym wskazówki interpretacyjne jest motyw 154  RODO, który pozwala uwzględnić przy stosowaniu przepisów rozporządzenia zasadę publicznego dostępu do dokumentów urzędowych. Publiczny dostęp do dokumentów urzędowych można uznać za interes publiczny. Organ publiczny lub podmiot publiczny powinny móc publicznie ujawniać dane osobowe z dokumentów przez siebie przechowywanych, jeżeli takie ujawnienie jest przewidziane przepisami prawa Unii lub prawa państwa członkowskiego, któremu organ ten lub podmiot podlegają. Przepisy takie powinny godzić publiczny dostęp do dokumentów urzędowych i ponowne wykorzystywanie informacji sektora publicznego z prawem do ochrony danych osobowych i dlatego mogą przewidywać niezbędne uwzględnienie prawa do ochrony danych osobowych na podstawie tego rozporządzenia. Wzmianka o organach i podmiotach publicznych powinna w tym kontekście dotyczyć wszystkich organów lub innych podmiotów objętych prawem państwa członkowskiego dotyczącym publicznego dostępu do dokumentów. Dyrektywa 2003/98/WE Parlamentu Europejskiego i Rady z dnia 17 listopada 2003 r. w sprawie ponownego wykorzystywania informacji sektora publicznego nie narusza</w:t>
      </w:r>
      <w:r w:rsidR="00786344">
        <w:rPr>
          <w:rFonts w:cstheme="minorHAnsi"/>
          <w:color w:val="000000" w:themeColor="text1"/>
          <w:sz w:val="24"/>
          <w:szCs w:val="24"/>
        </w:rPr>
        <w:t>,</w:t>
      </w:r>
      <w:r w:rsidRPr="00375799">
        <w:rPr>
          <w:rFonts w:cstheme="minorHAnsi"/>
          <w:color w:val="000000" w:themeColor="text1"/>
          <w:sz w:val="24"/>
          <w:szCs w:val="24"/>
        </w:rPr>
        <w:t xml:space="preserve"> ani w żaden sposób nie wpływa na stopień ochrony osób fizycznych w związku z przetwarzaniem danych osobowych wynikający z przepisów prawa Unii i prawa państwa członkowskiego, a w szczególności nie zmienia obowiązków i praw przewidzianych w niniejszym rozporządzeniu. Dyrektywa ta nie powinna mieć zastosowania w szczególności do dokumentów, do których – w ramach systemów dostępu – dostęp jest wykluczony lub ograniczony z powodu ochrony danych osobowych ani do fragmentów dokumentów dostępnych w ramach tych systemów, ale zawierających dane osobowe, których ponowne wykorzystanie zostało określone w prawie jako niezgodne z prawem o ochronie osób fizycznych w związku z przetwarzaniem danych osobowych.</w:t>
      </w:r>
    </w:p>
    <w:p w14:paraId="1498EC02" w14:textId="239A967E"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przytoczonego fragmentu brzmienia RODO wynika, że ustawodawca unijny odniósł się do relacji prawa do ochrony danych osobowych z dwoma uprawnieniami informacyjnymi, tj. prawa dostępu do dokumentów urzędowych i prawa do ponownego wykorzystywania informacji sektora publicznego. Prawo do ponownego wykorzystywania podlega harmonizacji w drodze dyrektywy 2003/98/WE Parlamentu Europejskiego i Rady z dnia 17 listopada 2003 r. w sprawie ponownego wykorzystywania informacji sektora publicznego, która wraz z dyrektywą 2013/37/UE Parlamentu Europejskiego i Rady z dnia 26 czerwca 2013 r. zmieniającą tą dyrektywę została wdrożona do krajowego porządku prawnego przepisami </w:t>
      </w:r>
      <w:r w:rsidRPr="00375799">
        <w:rPr>
          <w:rFonts w:cstheme="minorHAnsi"/>
          <w:color w:val="000000" w:themeColor="text1"/>
          <w:sz w:val="24"/>
          <w:szCs w:val="24"/>
        </w:rPr>
        <w:lastRenderedPageBreak/>
        <w:t xml:space="preserve">ustawy z dnia 25 lutego 2016 r. o ponownym wykorzystywaniu informacji sektora publicznego (dalej </w:t>
      </w:r>
      <w:proofErr w:type="spellStart"/>
      <w:r w:rsidRPr="00375799">
        <w:rPr>
          <w:rFonts w:cstheme="minorHAnsi"/>
          <w:color w:val="000000" w:themeColor="text1"/>
          <w:sz w:val="24"/>
          <w:szCs w:val="24"/>
        </w:rPr>
        <w:t>upw</w:t>
      </w:r>
      <w:proofErr w:type="spellEnd"/>
      <w:r w:rsidRPr="00375799">
        <w:rPr>
          <w:rFonts w:cstheme="minorHAnsi"/>
          <w:color w:val="000000" w:themeColor="text1"/>
          <w:sz w:val="24"/>
          <w:szCs w:val="24"/>
        </w:rPr>
        <w:t>).</w:t>
      </w:r>
    </w:p>
    <w:p w14:paraId="49A2BBD4" w14:textId="7C8C2FDE"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Artykuł 86 RODO należy zaliczyć do tej kategorii przepisów, które – zdaniem doktryny powinny być obligatoryjnie przyjęte w prawie krajowym (zob. m.in. </w:t>
      </w:r>
      <w:proofErr w:type="spellStart"/>
      <w:r w:rsidRPr="00375799">
        <w:rPr>
          <w:rFonts w:cstheme="minorHAnsi"/>
          <w:color w:val="000000" w:themeColor="text1"/>
          <w:sz w:val="24"/>
          <w:szCs w:val="24"/>
        </w:rPr>
        <w:t>Sibiga</w:t>
      </w:r>
      <w:proofErr w:type="spellEnd"/>
      <w:r w:rsidRPr="00375799">
        <w:rPr>
          <w:rFonts w:cstheme="minorHAnsi"/>
          <w:color w:val="000000" w:themeColor="text1"/>
          <w:sz w:val="24"/>
          <w:szCs w:val="24"/>
        </w:rPr>
        <w:t xml:space="preserve"> G., Dopuszczalny zakres polskich przepisów o ochronie danych osobowych po rozpoczęciu obowiązywania ogólnego rozporządzenia o ochronie danych osobowych – wybrane zagadnienia, Warszawa 2016, Biblioteka Monitora Prawniczego, s. 16–21). Wprawdzie nie służy on bezpośrednio wdrożeniu postanowień RODO, ale zachowaniu równowagi między prawem ochrony danych osobowych oraz prawem do informacji, które może być w różnorodny sposób ujęte w prawie krajowym.</w:t>
      </w:r>
    </w:p>
    <w:p w14:paraId="030C8937" w14:textId="5420D6BD"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ocenie projektodawcy ponowne wykorzystywanie danych osobowych w sytuacji,  w której nie dochodzi do naruszenia prywatności osoby fizycznej</w:t>
      </w:r>
      <w:r w:rsidR="007935C5">
        <w:rPr>
          <w:rFonts w:cstheme="minorHAnsi"/>
          <w:color w:val="000000" w:themeColor="text1"/>
          <w:sz w:val="24"/>
          <w:szCs w:val="24"/>
        </w:rPr>
        <w:t>,</w:t>
      </w:r>
      <w:r w:rsidRPr="00375799">
        <w:rPr>
          <w:rFonts w:cstheme="minorHAnsi"/>
          <w:color w:val="000000" w:themeColor="text1"/>
          <w:sz w:val="24"/>
          <w:szCs w:val="24"/>
        </w:rPr>
        <w:t xml:space="preserve"> należy uznać za interes publiczny, o którym mowa w RODO.</w:t>
      </w:r>
    </w:p>
    <w:p w14:paraId="12F8A440" w14:textId="29155E85"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Ponowne wykorzystywanie informacji sektora publicznego stanowiących lub zawierających dane osobowe będzie na gruncie przepisów RODO oznaczać ich przetwarzanie. Dlatego też zgodnie z projektowanym art. 7 ust. 3 </w:t>
      </w:r>
      <w:r w:rsidR="00786344">
        <w:rPr>
          <w:rFonts w:cstheme="minorHAnsi"/>
          <w:color w:val="000000" w:themeColor="text1"/>
          <w:sz w:val="24"/>
          <w:szCs w:val="24"/>
        </w:rPr>
        <w:t xml:space="preserve">ustawy ... </w:t>
      </w:r>
      <w:r w:rsidRPr="00375799">
        <w:rPr>
          <w:rFonts w:cstheme="minorHAnsi"/>
          <w:color w:val="000000" w:themeColor="text1"/>
          <w:sz w:val="24"/>
          <w:szCs w:val="24"/>
        </w:rPr>
        <w:t>w sytuacji, w której możliwe jest ponowne wykorzystywanie danych osobowych przez podmiot zobowiązany udostępniający lub przekazujący te dane, nie będzie miał zastosowania art. 13 ust. 3 RODO.</w:t>
      </w:r>
    </w:p>
    <w:p w14:paraId="67C1F79A" w14:textId="7D93494E"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Zgodnie z tym przepisem RODO, jeżeli administrator planuje dalej przetwarzać dane osobowe w celu innym niż cel, w którym dane osobowe zostały zebrane, przed takim dalszym przetwarzaniem informuje on osobę, której dane dotyczą, o tym innym celu oraz udziela jej wszelkich innych stosownych informacji, o których mowa w ust. 2. Wyłącz</w:t>
      </w:r>
      <w:r w:rsidR="007935C5">
        <w:rPr>
          <w:rFonts w:cstheme="minorHAnsi"/>
          <w:color w:val="000000" w:themeColor="text1"/>
          <w:sz w:val="24"/>
          <w:szCs w:val="24"/>
        </w:rPr>
        <w:t>e</w:t>
      </w:r>
      <w:r w:rsidRPr="00375799">
        <w:rPr>
          <w:rFonts w:cstheme="minorHAnsi"/>
          <w:color w:val="000000" w:themeColor="text1"/>
          <w:sz w:val="24"/>
          <w:szCs w:val="24"/>
        </w:rPr>
        <w:t xml:space="preserve">nie stosowania art. 13 ust. 3 RODO jest w pełni uzasadnione naturą prawa do ponownego wykorzystywania. Z samej definicji ponownego wykorzystywania, o której mowa w art. 2 ust. 2 </w:t>
      </w:r>
      <w:proofErr w:type="spellStart"/>
      <w:r w:rsidRPr="00375799">
        <w:rPr>
          <w:rFonts w:cstheme="minorHAnsi"/>
          <w:color w:val="000000" w:themeColor="text1"/>
          <w:sz w:val="24"/>
          <w:szCs w:val="24"/>
        </w:rPr>
        <w:t>upw</w:t>
      </w:r>
      <w:proofErr w:type="spellEnd"/>
      <w:r w:rsidRPr="00375799">
        <w:rPr>
          <w:rFonts w:cstheme="minorHAnsi"/>
          <w:color w:val="000000" w:themeColor="text1"/>
          <w:sz w:val="24"/>
          <w:szCs w:val="24"/>
        </w:rPr>
        <w:t xml:space="preserve">, wynika, że dane te w procesie ponownego wykorzystywania będą przetwarzane w innym celu niż cel, dla którego zostały zebrane. Administrator danych, czyli na gruncie przepisów </w:t>
      </w:r>
      <w:proofErr w:type="spellStart"/>
      <w:r w:rsidRPr="00375799">
        <w:rPr>
          <w:rFonts w:cstheme="minorHAnsi"/>
          <w:color w:val="000000" w:themeColor="text1"/>
          <w:sz w:val="24"/>
          <w:szCs w:val="24"/>
        </w:rPr>
        <w:t>upw</w:t>
      </w:r>
      <w:proofErr w:type="spellEnd"/>
      <w:r w:rsidRPr="00375799">
        <w:rPr>
          <w:rFonts w:cstheme="minorHAnsi"/>
          <w:color w:val="000000" w:themeColor="text1"/>
          <w:sz w:val="24"/>
          <w:szCs w:val="24"/>
        </w:rPr>
        <w:t xml:space="preserve"> podmiot zobowiązany nie może z góry przewidzieć do jakich celów związanych z realizacją prawa do ponownego wykorzystywania dane te mogą być potencjalnie przetwarzane. Natomiast nie uwzględniono wyłączenia art. 17 RODO, gdyż nie ma on zastosowania ze względu na ust. 3 lit</w:t>
      </w:r>
      <w:r w:rsidR="007935C5">
        <w:rPr>
          <w:rFonts w:cstheme="minorHAnsi"/>
          <w:color w:val="000000" w:themeColor="text1"/>
          <w:sz w:val="24"/>
          <w:szCs w:val="24"/>
        </w:rPr>
        <w:t>.</w:t>
      </w:r>
      <w:r w:rsidRPr="00375799">
        <w:rPr>
          <w:rFonts w:cstheme="minorHAnsi"/>
          <w:color w:val="000000" w:themeColor="text1"/>
          <w:sz w:val="24"/>
          <w:szCs w:val="24"/>
        </w:rPr>
        <w:t xml:space="preserve"> b tego </w:t>
      </w:r>
      <w:r w:rsidR="00786344">
        <w:rPr>
          <w:rFonts w:cstheme="minorHAnsi"/>
          <w:color w:val="000000" w:themeColor="text1"/>
          <w:sz w:val="24"/>
          <w:szCs w:val="24"/>
        </w:rPr>
        <w:t>przepisu,</w:t>
      </w:r>
      <w:r w:rsidRPr="00375799">
        <w:rPr>
          <w:rFonts w:cstheme="minorHAnsi"/>
          <w:color w:val="000000" w:themeColor="text1"/>
          <w:sz w:val="24"/>
          <w:szCs w:val="24"/>
        </w:rPr>
        <w:t xml:space="preserve"> zgodnie z którym ust. 1 i 2 nie mają zastosowania w zakresie</w:t>
      </w:r>
      <w:r w:rsidR="007935C5">
        <w:rPr>
          <w:rFonts w:cstheme="minorHAnsi"/>
          <w:color w:val="000000" w:themeColor="text1"/>
          <w:sz w:val="24"/>
          <w:szCs w:val="24"/>
        </w:rPr>
        <w:t>,</w:t>
      </w:r>
      <w:r w:rsidRPr="00375799">
        <w:rPr>
          <w:rFonts w:cstheme="minorHAnsi"/>
          <w:color w:val="000000" w:themeColor="text1"/>
          <w:sz w:val="24"/>
          <w:szCs w:val="24"/>
        </w:rPr>
        <w:t xml:space="preserve"> w jakim przetwarzanie jest niezbędne do wywiązania się z prawnego obowiązku wymagającego przetwarzania na mocy prawa Unii lub prawa państwa członkowskiego, któremu podlega administrator, lub do wykonania zadania realizowanego w interesie publicznym lub w ramach sprawowania władzy publicznej powierzonej administratorowi. W tym przypadku podmiot zobowiązany jest obowiązany do udostępniania lub przekazywania informacji sektora publicznego do ponownego wykorzystywania w oparciu o </w:t>
      </w:r>
      <w:proofErr w:type="spellStart"/>
      <w:r w:rsidRPr="00375799">
        <w:rPr>
          <w:rFonts w:cstheme="minorHAnsi"/>
          <w:color w:val="000000" w:themeColor="text1"/>
          <w:sz w:val="24"/>
          <w:szCs w:val="24"/>
        </w:rPr>
        <w:t>upw</w:t>
      </w:r>
      <w:proofErr w:type="spellEnd"/>
      <w:r w:rsidRPr="00375799">
        <w:rPr>
          <w:rFonts w:cstheme="minorHAnsi"/>
          <w:color w:val="000000" w:themeColor="text1"/>
          <w:sz w:val="24"/>
          <w:szCs w:val="24"/>
        </w:rPr>
        <w:t>.</w:t>
      </w:r>
    </w:p>
    <w:p w14:paraId="1744C350" w14:textId="705D59CB"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Nowo</w:t>
      </w:r>
      <w:r w:rsidR="007935C5">
        <w:rPr>
          <w:rFonts w:cstheme="minorHAnsi"/>
          <w:color w:val="000000" w:themeColor="text1"/>
          <w:sz w:val="24"/>
          <w:szCs w:val="24"/>
        </w:rPr>
        <w:t xml:space="preserve"> </w:t>
      </w:r>
      <w:r w:rsidRPr="00375799">
        <w:rPr>
          <w:rFonts w:cstheme="minorHAnsi"/>
          <w:color w:val="000000" w:themeColor="text1"/>
          <w:sz w:val="24"/>
          <w:szCs w:val="24"/>
        </w:rPr>
        <w:t xml:space="preserve">projektowany art. 7 ust. 5 </w:t>
      </w:r>
      <w:proofErr w:type="spellStart"/>
      <w:r w:rsidRPr="00375799">
        <w:rPr>
          <w:rFonts w:cstheme="minorHAnsi"/>
          <w:color w:val="000000" w:themeColor="text1"/>
          <w:sz w:val="24"/>
          <w:szCs w:val="24"/>
        </w:rPr>
        <w:t>upw</w:t>
      </w:r>
      <w:proofErr w:type="spellEnd"/>
      <w:r w:rsidRPr="00375799">
        <w:rPr>
          <w:rFonts w:cstheme="minorHAnsi"/>
          <w:color w:val="000000" w:themeColor="text1"/>
          <w:sz w:val="24"/>
          <w:szCs w:val="24"/>
        </w:rPr>
        <w:t xml:space="preserve"> określa sposób wypełnienia obowiązku wynikającego z art. 19 RODO. Obowiązek powiadomienia o sprostowaniu lub usunięciu danych osobowych lub o ograniczeniu przetwarzania w odniesieniu do danych osobowych </w:t>
      </w:r>
      <w:r w:rsidRPr="00375799">
        <w:rPr>
          <w:rFonts w:cstheme="minorHAnsi"/>
          <w:color w:val="000000" w:themeColor="text1"/>
          <w:sz w:val="24"/>
          <w:szCs w:val="24"/>
        </w:rPr>
        <w:lastRenderedPageBreak/>
        <w:t xml:space="preserve">udostępnionych w Biuletynie Informacji Publicznej, Centralnym Repozytorium Informacji Publicznej lub w inny sposób (por. art. 5 pkt 1 </w:t>
      </w:r>
      <w:proofErr w:type="spellStart"/>
      <w:r w:rsidRPr="00375799">
        <w:rPr>
          <w:rFonts w:cstheme="minorHAnsi"/>
          <w:color w:val="000000" w:themeColor="text1"/>
          <w:sz w:val="24"/>
          <w:szCs w:val="24"/>
        </w:rPr>
        <w:t>upw</w:t>
      </w:r>
      <w:proofErr w:type="spellEnd"/>
      <w:r w:rsidRPr="00375799">
        <w:rPr>
          <w:rFonts w:cstheme="minorHAnsi"/>
          <w:color w:val="000000" w:themeColor="text1"/>
          <w:sz w:val="24"/>
          <w:szCs w:val="24"/>
        </w:rPr>
        <w:t>).</w:t>
      </w:r>
    </w:p>
    <w:p w14:paraId="44058AE9" w14:textId="4E5E845E"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ocenie projektodawcy nie zachodzi potrzeba wyłączenia zasad wynikających z art. 20 RODO Prawo do przenoszenia danych, gdyż nie ma on zastosowania, bowiem nie dotyczy zautomatyzowanego przetwarzania. Natomiast art. 6 ust. 1 lit</w:t>
      </w:r>
      <w:r w:rsidR="007935C5">
        <w:rPr>
          <w:rFonts w:cstheme="minorHAnsi"/>
          <w:color w:val="000000" w:themeColor="text1"/>
          <w:sz w:val="24"/>
          <w:szCs w:val="24"/>
        </w:rPr>
        <w:t>.</w:t>
      </w:r>
      <w:r w:rsidRPr="00375799">
        <w:rPr>
          <w:rFonts w:cstheme="minorHAnsi"/>
          <w:color w:val="000000" w:themeColor="text1"/>
          <w:sz w:val="24"/>
          <w:szCs w:val="24"/>
        </w:rPr>
        <w:t xml:space="preserve"> c RODO wyłącza art. 21 </w:t>
      </w:r>
      <w:r w:rsidR="00786344">
        <w:rPr>
          <w:rFonts w:cstheme="minorHAnsi"/>
          <w:color w:val="000000" w:themeColor="text1"/>
          <w:sz w:val="24"/>
          <w:szCs w:val="24"/>
        </w:rPr>
        <w:t>RODO</w:t>
      </w:r>
      <w:r w:rsidRPr="00375799">
        <w:rPr>
          <w:rFonts w:cstheme="minorHAnsi"/>
          <w:color w:val="000000" w:themeColor="text1"/>
          <w:sz w:val="24"/>
          <w:szCs w:val="24"/>
        </w:rPr>
        <w:t>, gdyż przetwarzanie jest niezbędne do wypełnienia obowiązku prawnego ciążącego na administratorze.</w:t>
      </w:r>
    </w:p>
    <w:p w14:paraId="23AEE4FD" w14:textId="77777777"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W odniesieniu do użytkownika wyłączenie zasad obejmie art. 14 ust. 1-4 RODO, ale w odniesieniu do enumeratywnie wymienionych kategorii danych. W tym przypadku zostaje spełniony cel z art. 23 ust. 1 lit. e RODO. Ponowne wykorzystywanie informacji sektora publicznego służy ważnym celom leżącym w ogólnym interesie publicznym Unii lub państwa członkowskiego, w szczególności ważnemu interesowi gospodarczemu lub finansowemu. Komisja Europejska wielokrotnie podkreślała, temu też służy kolejna nowelizacja dyrektywy 2003/98/WE w sprawie ponownego wykorzystywania informacji sektora publicznego, że dyrektywa ta przyczynia się do realizacji głównych celów polityki horyzontalnej, której celem jest ułatwienie ponownego wykorzystywania informacji sektora publicznego tak, aby w pełni wykorzystać potencjał, jaki tkwi w informacjach sektora publicznego, z korzyścią dla europejskiej gospodarki i europejskiego społeczeństwa.</w:t>
      </w:r>
    </w:p>
    <w:p w14:paraId="0793774F" w14:textId="77777777"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 tego powodu projektodawca w art. 7 ust. 4 </w:t>
      </w:r>
      <w:proofErr w:type="spellStart"/>
      <w:r w:rsidRPr="00375799">
        <w:rPr>
          <w:rFonts w:cstheme="minorHAnsi"/>
          <w:color w:val="000000" w:themeColor="text1"/>
          <w:sz w:val="24"/>
          <w:szCs w:val="24"/>
        </w:rPr>
        <w:t>upw</w:t>
      </w:r>
      <w:proofErr w:type="spellEnd"/>
      <w:r w:rsidRPr="00375799">
        <w:rPr>
          <w:rFonts w:cstheme="minorHAnsi"/>
          <w:color w:val="000000" w:themeColor="text1"/>
          <w:sz w:val="24"/>
          <w:szCs w:val="24"/>
        </w:rPr>
        <w:t xml:space="preserve"> zaproponował wyłączenie stosowania art. 14 ust. 1-4 w odniesieniu do danych osobowych:  </w:t>
      </w:r>
    </w:p>
    <w:p w14:paraId="3F54CA6C" w14:textId="1B08F42D"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1)</w:t>
      </w:r>
      <w:r w:rsidRPr="00375799">
        <w:rPr>
          <w:rFonts w:cstheme="minorHAnsi"/>
          <w:color w:val="000000" w:themeColor="text1"/>
          <w:sz w:val="24"/>
          <w:szCs w:val="24"/>
        </w:rPr>
        <w:tab/>
        <w:t>osób pełniących funkcje publiczne mających związek z pełnieniem tych funkcji, w tym o warunkach powierzenia i wykonywania funkcji</w:t>
      </w:r>
      <w:r w:rsidR="00786344">
        <w:rPr>
          <w:rFonts w:cstheme="minorHAnsi"/>
          <w:color w:val="000000" w:themeColor="text1"/>
          <w:sz w:val="24"/>
          <w:szCs w:val="24"/>
        </w:rPr>
        <w:t>;</w:t>
      </w:r>
    </w:p>
    <w:p w14:paraId="32E657F8" w14:textId="418C16A6"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2)</w:t>
      </w:r>
      <w:r w:rsidRPr="00375799">
        <w:rPr>
          <w:rFonts w:cstheme="minorHAnsi"/>
          <w:color w:val="000000" w:themeColor="text1"/>
          <w:sz w:val="24"/>
          <w:szCs w:val="24"/>
        </w:rPr>
        <w:tab/>
        <w:t>osób fizycznych reprezentujących osoby prawne, w tym ich dane  kontaktowe</w:t>
      </w:r>
      <w:r w:rsidR="00786344">
        <w:rPr>
          <w:rFonts w:cstheme="minorHAnsi"/>
          <w:color w:val="000000" w:themeColor="text1"/>
          <w:sz w:val="24"/>
          <w:szCs w:val="24"/>
        </w:rPr>
        <w:t>;</w:t>
      </w:r>
    </w:p>
    <w:p w14:paraId="49C98A8D" w14:textId="77777777"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3)</w:t>
      </w:r>
      <w:r w:rsidRPr="00375799">
        <w:rPr>
          <w:rFonts w:cstheme="minorHAnsi"/>
          <w:color w:val="000000" w:themeColor="text1"/>
          <w:sz w:val="24"/>
          <w:szCs w:val="24"/>
        </w:rPr>
        <w:tab/>
        <w:t>obejmujących nazwę (firmę), NIP albo imię i nazwisko kontrahenta podmiotu zobowiązanego.</w:t>
      </w:r>
    </w:p>
    <w:p w14:paraId="53D52BAC" w14:textId="77777777"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Dane dotyczące osób publicznych pełniących funkcje publiczne mające związek z pełnieniem tych funkcji pozostają jawne na gruncie przepisów ustawy z  dnia 6 września 2001 r. o dostępie do informacji publicznej (por. art. 5 ust. 2).</w:t>
      </w:r>
    </w:p>
    <w:p w14:paraId="33F94744" w14:textId="77777777"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Zgodnie z motywem 14 RODO, nie dotyczy ono przetwarzania danych osobowych dotyczących osób prawnych, w szczególności przedsiębiorstw będących osobami prawnymi, w tym danych o firmie i formie prawnej oraz danych kontaktowych osoby prawnej.</w:t>
      </w:r>
    </w:p>
    <w:p w14:paraId="7D2FD71D" w14:textId="364DAFE7"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Dostęp do danych identyfikując</w:t>
      </w:r>
      <w:r w:rsidR="007935C5">
        <w:rPr>
          <w:rFonts w:cstheme="minorHAnsi"/>
          <w:color w:val="000000" w:themeColor="text1"/>
          <w:sz w:val="24"/>
          <w:szCs w:val="24"/>
        </w:rPr>
        <w:t>ych</w:t>
      </w:r>
      <w:r w:rsidRPr="00375799">
        <w:rPr>
          <w:rFonts w:cstheme="minorHAnsi"/>
          <w:color w:val="000000" w:themeColor="text1"/>
          <w:sz w:val="24"/>
          <w:szCs w:val="24"/>
        </w:rPr>
        <w:t xml:space="preserve"> kontrahenta podmiotu zobowiązanego, tj. nazwę (firmę) wraz z numerem NIP, jeżeli go posiada</w:t>
      </w:r>
      <w:r w:rsidR="007935C5">
        <w:rPr>
          <w:rFonts w:cstheme="minorHAnsi"/>
          <w:color w:val="000000" w:themeColor="text1"/>
          <w:sz w:val="24"/>
          <w:szCs w:val="24"/>
        </w:rPr>
        <w:t>,</w:t>
      </w:r>
      <w:r w:rsidRPr="00375799">
        <w:rPr>
          <w:rFonts w:cstheme="minorHAnsi"/>
          <w:color w:val="000000" w:themeColor="text1"/>
          <w:sz w:val="24"/>
          <w:szCs w:val="24"/>
        </w:rPr>
        <w:t xml:space="preserve"> albo imię i nazwisko kontrahenta zapewnia projekt ustawy o jawności życia publicznego. Według projektodawcy celem prowadzenia i udostępnienia rejestru umów był wzrost przejrzystości zarządzania majątkiem państwa, a także lepsze możliwości kontroli, również społecznej nad instytucjami finansowanymi przez państwo. Już obecnie bez sformułowanej wprost podstawy prawnej wiele podmiotów zobowiązanych rejestry umów zawierające ww. dane w Biuletynie Informacji Publicznej lub Centralnym Repozytorium, w konsekwencji dane te już obecnie są ponownie wykorzystywane bez ograniczeń. W orzecznictwie nie budzi wątpliwości, że te dane stanowią informację </w:t>
      </w:r>
      <w:r w:rsidRPr="00375799">
        <w:rPr>
          <w:rFonts w:cstheme="minorHAnsi"/>
          <w:color w:val="000000" w:themeColor="text1"/>
          <w:sz w:val="24"/>
          <w:szCs w:val="24"/>
        </w:rPr>
        <w:lastRenderedPageBreak/>
        <w:t>publiczną (por. wyrok SN z dnia 8 listopada 2012 r.</w:t>
      </w:r>
      <w:r w:rsidR="00786344">
        <w:rPr>
          <w:rFonts w:cstheme="minorHAnsi"/>
          <w:color w:val="000000" w:themeColor="text1"/>
          <w:sz w:val="24"/>
          <w:szCs w:val="24"/>
        </w:rPr>
        <w:t>,</w:t>
      </w:r>
      <w:r w:rsidRPr="00375799">
        <w:rPr>
          <w:rFonts w:cstheme="minorHAnsi"/>
          <w:color w:val="000000" w:themeColor="text1"/>
          <w:sz w:val="24"/>
          <w:szCs w:val="24"/>
        </w:rPr>
        <w:t xml:space="preserve"> sygn. akt I CSK 190/12</w:t>
      </w:r>
      <w:r w:rsidR="00786344">
        <w:rPr>
          <w:rFonts w:cstheme="minorHAnsi"/>
          <w:color w:val="000000" w:themeColor="text1"/>
          <w:sz w:val="24"/>
          <w:szCs w:val="24"/>
        </w:rPr>
        <w:t>, OSNC 2013, nr 5, poz. 67</w:t>
      </w:r>
      <w:r w:rsidRPr="00375799">
        <w:rPr>
          <w:rFonts w:cstheme="minorHAnsi"/>
          <w:color w:val="000000" w:themeColor="text1"/>
          <w:sz w:val="24"/>
          <w:szCs w:val="24"/>
        </w:rPr>
        <w:t>).</w:t>
      </w:r>
    </w:p>
    <w:p w14:paraId="2F5C6474" w14:textId="77777777"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 xml:space="preserve">Zmienione brzmienie art. 7 ust. 1 </w:t>
      </w:r>
      <w:proofErr w:type="spellStart"/>
      <w:r w:rsidRPr="00375799">
        <w:rPr>
          <w:rFonts w:cstheme="minorHAnsi"/>
          <w:color w:val="000000" w:themeColor="text1"/>
          <w:sz w:val="24"/>
          <w:szCs w:val="24"/>
        </w:rPr>
        <w:t>upw</w:t>
      </w:r>
      <w:proofErr w:type="spellEnd"/>
      <w:r w:rsidRPr="00375799">
        <w:rPr>
          <w:rFonts w:cstheme="minorHAnsi"/>
          <w:color w:val="000000" w:themeColor="text1"/>
          <w:sz w:val="24"/>
          <w:szCs w:val="24"/>
        </w:rPr>
        <w:t xml:space="preserve"> ma na celu uporządkowanie normy kolizyjnej określającej relację </w:t>
      </w:r>
      <w:proofErr w:type="spellStart"/>
      <w:r w:rsidRPr="00375799">
        <w:rPr>
          <w:rFonts w:cstheme="minorHAnsi"/>
          <w:color w:val="000000" w:themeColor="text1"/>
          <w:sz w:val="24"/>
          <w:szCs w:val="24"/>
        </w:rPr>
        <w:t>upw</w:t>
      </w:r>
      <w:proofErr w:type="spellEnd"/>
      <w:r w:rsidRPr="00375799">
        <w:rPr>
          <w:rFonts w:cstheme="minorHAnsi"/>
          <w:color w:val="000000" w:themeColor="text1"/>
          <w:sz w:val="24"/>
          <w:szCs w:val="24"/>
        </w:rPr>
        <w:t xml:space="preserve"> z przepisami innych ustaw określających zasady, warunki i tryb dostępu lub ponownego wykorzystywania informacji będących informacjami sektora publicznego. Jest to uzasadnione tym, że niektóre inne ustawy przewidują szczególne przepisy o ponownym wykorzystywaniu, które powinny mieć pierwszeństwo przed lub uzupełniają </w:t>
      </w:r>
      <w:proofErr w:type="spellStart"/>
      <w:r w:rsidRPr="00375799">
        <w:rPr>
          <w:rFonts w:cstheme="minorHAnsi"/>
          <w:color w:val="000000" w:themeColor="text1"/>
          <w:sz w:val="24"/>
          <w:szCs w:val="24"/>
        </w:rPr>
        <w:t>upw</w:t>
      </w:r>
      <w:proofErr w:type="spellEnd"/>
      <w:r w:rsidRPr="00375799">
        <w:rPr>
          <w:rFonts w:cstheme="minorHAnsi"/>
          <w:color w:val="000000" w:themeColor="text1"/>
          <w:sz w:val="24"/>
          <w:szCs w:val="24"/>
        </w:rPr>
        <w:t xml:space="preserve">. </w:t>
      </w:r>
    </w:p>
    <w:p w14:paraId="068685CB" w14:textId="2A9C0039" w:rsidR="00D55C0B" w:rsidRPr="00375799" w:rsidRDefault="00D55C0B" w:rsidP="0055107B">
      <w:pPr>
        <w:spacing w:after="0" w:line="276" w:lineRule="auto"/>
        <w:ind w:left="57" w:right="57"/>
        <w:contextualSpacing/>
        <w:jc w:val="both"/>
        <w:rPr>
          <w:rFonts w:cstheme="minorHAnsi"/>
          <w:color w:val="000000" w:themeColor="text1"/>
          <w:sz w:val="24"/>
          <w:szCs w:val="24"/>
        </w:rPr>
      </w:pPr>
      <w:r w:rsidRPr="00375799">
        <w:rPr>
          <w:rFonts w:cstheme="minorHAnsi"/>
          <w:color w:val="000000" w:themeColor="text1"/>
          <w:sz w:val="24"/>
          <w:szCs w:val="24"/>
        </w:rPr>
        <w:t>Ponadto w projekcie zaproponowano poszerzenie katalogu możliwych warunków ponownego wykorzystywania informacji sektora publicznego (art. 14 ust. 1 pkt 4</w:t>
      </w:r>
      <w:r w:rsidR="00786344">
        <w:rPr>
          <w:rFonts w:cstheme="minorHAnsi"/>
          <w:color w:val="000000" w:themeColor="text1"/>
          <w:sz w:val="24"/>
          <w:szCs w:val="24"/>
        </w:rPr>
        <w:t xml:space="preserve"> </w:t>
      </w:r>
      <w:proofErr w:type="spellStart"/>
      <w:r w:rsidR="00786344">
        <w:rPr>
          <w:rFonts w:cstheme="minorHAnsi"/>
          <w:color w:val="000000" w:themeColor="text1"/>
          <w:sz w:val="24"/>
          <w:szCs w:val="24"/>
        </w:rPr>
        <w:t>upw</w:t>
      </w:r>
      <w:proofErr w:type="spellEnd"/>
      <w:r w:rsidRPr="00375799">
        <w:rPr>
          <w:rFonts w:cstheme="minorHAnsi"/>
          <w:color w:val="000000" w:themeColor="text1"/>
          <w:sz w:val="24"/>
          <w:szCs w:val="24"/>
        </w:rPr>
        <w:t>) w sytuacji, w której zawierają one dane osobowe. Tym samym podmiot zobowiązany</w:t>
      </w:r>
      <w:r w:rsidR="007935C5">
        <w:rPr>
          <w:rFonts w:cstheme="minorHAnsi"/>
          <w:color w:val="000000" w:themeColor="text1"/>
          <w:sz w:val="24"/>
          <w:szCs w:val="24"/>
        </w:rPr>
        <w:t>,</w:t>
      </w:r>
      <w:r w:rsidRPr="00375799">
        <w:rPr>
          <w:rFonts w:cstheme="minorHAnsi"/>
          <w:color w:val="000000" w:themeColor="text1"/>
          <w:sz w:val="24"/>
          <w:szCs w:val="24"/>
        </w:rPr>
        <w:t xml:space="preserve"> udostępniając dane osobowe do ponownego wykorzystywania, o ile będzie to zasadne, będzie mógł określić warunki przetwarzania takich danych. Dotychczasowy katalog warunków nie przewidywał możliwości uwzględnienia danych osobowych.</w:t>
      </w:r>
    </w:p>
    <w:p w14:paraId="71C77371" w14:textId="77777777" w:rsidR="00D55C0B" w:rsidRPr="00375799" w:rsidRDefault="00D55C0B" w:rsidP="0055107B">
      <w:pPr>
        <w:spacing w:after="0" w:line="276" w:lineRule="auto"/>
        <w:ind w:left="57" w:right="57"/>
        <w:contextualSpacing/>
        <w:jc w:val="both"/>
        <w:rPr>
          <w:rFonts w:cstheme="minorHAnsi"/>
          <w:color w:val="000000" w:themeColor="text1"/>
          <w:sz w:val="24"/>
          <w:szCs w:val="24"/>
        </w:rPr>
      </w:pPr>
    </w:p>
    <w:p w14:paraId="0BA4A6D2" w14:textId="17215FCA"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47" w:name="_Toc530565119"/>
      <w:r w:rsidRPr="00375799">
        <w:rPr>
          <w:rFonts w:eastAsia="Times New Roman" w:cstheme="minorHAnsi"/>
          <w:color w:val="000000" w:themeColor="text1"/>
          <w:sz w:val="24"/>
          <w:szCs w:val="24"/>
        </w:rPr>
        <w:t>Ustawa z dnia 29 kwietnia 2016 r. o szczególnych zasadach wykonywania niektórych zadań z zakresu informatyzacji działalności organów Krajowej Administracji Skarbowej</w:t>
      </w:r>
      <w:r w:rsidR="00B84CD7" w:rsidRPr="00375799">
        <w:rPr>
          <w:rFonts w:eastAsia="Times New Roman" w:cstheme="minorHAnsi"/>
          <w:color w:val="000000" w:themeColor="text1"/>
          <w:sz w:val="24"/>
          <w:szCs w:val="24"/>
        </w:rPr>
        <w:t xml:space="preserve"> (Dz. U. z 2017 r. poz. 2192)</w:t>
      </w:r>
      <w:bookmarkEnd w:id="147"/>
    </w:p>
    <w:p w14:paraId="46A08800" w14:textId="77777777" w:rsidR="00850D88" w:rsidRPr="00375799" w:rsidRDefault="00850D88" w:rsidP="0055107B">
      <w:pPr>
        <w:spacing w:line="276" w:lineRule="auto"/>
        <w:contextualSpacing/>
        <w:jc w:val="both"/>
        <w:rPr>
          <w:rFonts w:eastAsia="Calibri" w:cstheme="minorHAnsi"/>
          <w:color w:val="000000" w:themeColor="text1"/>
          <w:sz w:val="24"/>
          <w:szCs w:val="24"/>
        </w:rPr>
      </w:pPr>
    </w:p>
    <w:p w14:paraId="178E4D4E" w14:textId="11C5200C"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Zaproponowana zmiana ustawy </w:t>
      </w:r>
      <w:r w:rsidR="00786344">
        <w:rPr>
          <w:rFonts w:eastAsia="Calibri" w:cstheme="minorHAnsi"/>
          <w:color w:val="000000" w:themeColor="text1"/>
          <w:sz w:val="24"/>
          <w:szCs w:val="24"/>
        </w:rPr>
        <w:t xml:space="preserve">z dnia 29 kwietnia 2016 r. o szczególnych zasadach wykonywania niektórych zadań z zakresu </w:t>
      </w:r>
      <w:r w:rsidR="00197F3E">
        <w:rPr>
          <w:rFonts w:eastAsia="Calibri" w:cstheme="minorHAnsi"/>
          <w:color w:val="000000" w:themeColor="text1"/>
          <w:sz w:val="24"/>
          <w:szCs w:val="24"/>
        </w:rPr>
        <w:t>informatyzacji</w:t>
      </w:r>
      <w:r w:rsidR="00786344">
        <w:rPr>
          <w:rFonts w:eastAsia="Calibri" w:cstheme="minorHAnsi"/>
          <w:color w:val="000000" w:themeColor="text1"/>
          <w:sz w:val="24"/>
          <w:szCs w:val="24"/>
        </w:rPr>
        <w:t xml:space="preserve"> działalności organów Krajowej Administracji Skarbowej, zwanej dalej „ustawą o informatyzacji” KAS </w:t>
      </w:r>
      <w:r w:rsidRPr="00375799">
        <w:rPr>
          <w:rFonts w:eastAsia="Calibri" w:cstheme="minorHAnsi"/>
          <w:color w:val="000000" w:themeColor="text1"/>
          <w:sz w:val="24"/>
          <w:szCs w:val="24"/>
        </w:rPr>
        <w:t xml:space="preserve">ma na celu zapewnienie, że spółka celowa, która jest spółką prawa handlowego, realizuje zadania publiczne powierzone przez Ministra Finansów i możliwe będzie w przypadku danych osobowych przetwarzanych przez spółkę celową stosowanie ograniczeń/wyłączeń przewidzianych w projektowanym art. 3-5 ustawy </w:t>
      </w:r>
      <w:r w:rsidR="00786344">
        <w:rPr>
          <w:rFonts w:eastAsia="Calibri" w:cstheme="minorHAnsi"/>
          <w:color w:val="000000" w:themeColor="text1"/>
          <w:sz w:val="24"/>
          <w:szCs w:val="24"/>
        </w:rPr>
        <w:t xml:space="preserve">z dnia 10 maja 2018 r. </w:t>
      </w:r>
      <w:r w:rsidRPr="00375799">
        <w:rPr>
          <w:rFonts w:eastAsia="Calibri" w:cstheme="minorHAnsi"/>
          <w:color w:val="000000" w:themeColor="text1"/>
          <w:sz w:val="24"/>
          <w:szCs w:val="24"/>
        </w:rPr>
        <w:t xml:space="preserve">o ochronie danych osobowych. </w:t>
      </w:r>
    </w:p>
    <w:p w14:paraId="493872FD" w14:textId="52397494" w:rsidR="00850D88" w:rsidRPr="00375799" w:rsidRDefault="00786344"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P</w:t>
      </w:r>
      <w:r w:rsidR="00165003">
        <w:rPr>
          <w:rFonts w:eastAsia="Calibri" w:cstheme="minorHAnsi"/>
          <w:color w:val="000000" w:themeColor="text1"/>
          <w:sz w:val="24"/>
          <w:szCs w:val="24"/>
        </w:rPr>
        <w:t>rzepisy art. 3–</w:t>
      </w:r>
      <w:r w:rsidR="00850D88" w:rsidRPr="00375799">
        <w:rPr>
          <w:rFonts w:eastAsia="Calibri" w:cstheme="minorHAnsi"/>
          <w:color w:val="000000" w:themeColor="text1"/>
          <w:sz w:val="24"/>
          <w:szCs w:val="24"/>
        </w:rPr>
        <w:t xml:space="preserve">5 ustawy </w:t>
      </w:r>
      <w:r>
        <w:rPr>
          <w:rFonts w:eastAsia="Calibri" w:cstheme="minorHAnsi"/>
          <w:color w:val="000000" w:themeColor="text1"/>
          <w:sz w:val="24"/>
          <w:szCs w:val="24"/>
        </w:rPr>
        <w:t xml:space="preserve">z dnia 10 maja 2018 r. </w:t>
      </w:r>
      <w:r w:rsidR="00850D88" w:rsidRPr="00375799">
        <w:rPr>
          <w:rFonts w:eastAsia="Calibri" w:cstheme="minorHAnsi"/>
          <w:color w:val="000000" w:themeColor="text1"/>
          <w:sz w:val="24"/>
          <w:szCs w:val="24"/>
        </w:rPr>
        <w:t>o ochronie danych osobowych będą miały zastosowan</w:t>
      </w:r>
      <w:r>
        <w:rPr>
          <w:rFonts w:eastAsia="Calibri" w:cstheme="minorHAnsi"/>
          <w:color w:val="000000" w:themeColor="text1"/>
          <w:sz w:val="24"/>
          <w:szCs w:val="24"/>
        </w:rPr>
        <w:t>i</w:t>
      </w:r>
      <w:r w:rsidR="00850D88" w:rsidRPr="00375799">
        <w:rPr>
          <w:rFonts w:eastAsia="Calibri" w:cstheme="minorHAnsi"/>
          <w:color w:val="000000" w:themeColor="text1"/>
          <w:sz w:val="24"/>
          <w:szCs w:val="24"/>
        </w:rPr>
        <w:t>e w zakresie niezbędnym do realizowania</w:t>
      </w:r>
      <w:r>
        <w:rPr>
          <w:rFonts w:eastAsia="Calibri" w:cstheme="minorHAnsi"/>
          <w:color w:val="000000" w:themeColor="text1"/>
          <w:sz w:val="24"/>
          <w:szCs w:val="24"/>
        </w:rPr>
        <w:t xml:space="preserve"> przez organy</w:t>
      </w:r>
      <w:r w:rsidR="00850D88" w:rsidRPr="00375799">
        <w:rPr>
          <w:rFonts w:eastAsia="Calibri" w:cstheme="minorHAnsi"/>
          <w:color w:val="000000" w:themeColor="text1"/>
          <w:sz w:val="24"/>
          <w:szCs w:val="24"/>
        </w:rPr>
        <w:t xml:space="preserve"> </w:t>
      </w:r>
      <w:r w:rsidR="00165003">
        <w:rPr>
          <w:rFonts w:eastAsia="Calibri" w:cstheme="minorHAnsi"/>
          <w:color w:val="000000" w:themeColor="text1"/>
          <w:sz w:val="24"/>
          <w:szCs w:val="24"/>
        </w:rPr>
        <w:t xml:space="preserve">podatkowe </w:t>
      </w:r>
      <w:r w:rsidR="00850D88" w:rsidRPr="00375799">
        <w:rPr>
          <w:rFonts w:eastAsia="Calibri" w:cstheme="minorHAnsi"/>
          <w:color w:val="000000" w:themeColor="text1"/>
          <w:sz w:val="24"/>
          <w:szCs w:val="24"/>
        </w:rPr>
        <w:t xml:space="preserve">zadań spółki celowej utworzonej w celu realizacji niektórych projektów informatycznych o publicznym zastosowaniu z zakresu spraw należących do działu administracji rządowej </w:t>
      </w:r>
      <w:r>
        <w:rPr>
          <w:rFonts w:eastAsia="Calibri" w:cstheme="minorHAnsi"/>
          <w:color w:val="000000" w:themeColor="text1"/>
          <w:sz w:val="24"/>
          <w:szCs w:val="24"/>
        </w:rPr>
        <w:t xml:space="preserve">– </w:t>
      </w:r>
      <w:r w:rsidR="00850D88" w:rsidRPr="00375799">
        <w:rPr>
          <w:rFonts w:eastAsia="Calibri" w:cstheme="minorHAnsi"/>
          <w:color w:val="000000" w:themeColor="text1"/>
          <w:sz w:val="24"/>
          <w:szCs w:val="24"/>
        </w:rPr>
        <w:t xml:space="preserve">finanse publiczne. Celem projektów realizowanych przez spółkę celową jest zapewnienie organom Krajowej Administracji Skarbowej systemów teleinformatycznych wspierających wykrywanie naruszenia przepisów prawa podatkowego w oparciu o dane uzyskiwane z systemów teleinformatycznych ministra właściwego do spraw finansów publicznych oraz organów Krajowej Administracji Skarbowej. W związku z tym za dopuszczalne uznać należy powoływanie się przez spółkę celową na przesłankę ważnego celu leżącego w ogólnym interesie publicznym, o którym mowa w art. 23 ust. 1 lit. e </w:t>
      </w:r>
      <w:r w:rsidR="006E00BC" w:rsidRPr="00375799">
        <w:rPr>
          <w:rFonts w:cstheme="minorHAnsi"/>
          <w:color w:val="000000" w:themeColor="text1"/>
          <w:sz w:val="24"/>
          <w:szCs w:val="24"/>
        </w:rPr>
        <w:t>RODO</w:t>
      </w:r>
      <w:r w:rsidR="00850D88" w:rsidRPr="00375799">
        <w:rPr>
          <w:rFonts w:eastAsia="Calibri" w:cstheme="minorHAnsi"/>
          <w:color w:val="000000" w:themeColor="text1"/>
          <w:sz w:val="24"/>
          <w:szCs w:val="24"/>
        </w:rPr>
        <w:t>.</w:t>
      </w:r>
    </w:p>
    <w:p w14:paraId="40356BD3" w14:textId="5936B256"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celu zagwarantowania realizacji wymogów określonych w art. 23 ust. 2 lit. d </w:t>
      </w:r>
      <w:r w:rsidR="006E00BC" w:rsidRPr="00375799">
        <w:rPr>
          <w:rFonts w:cstheme="minorHAnsi"/>
          <w:color w:val="000000" w:themeColor="text1"/>
          <w:sz w:val="24"/>
          <w:szCs w:val="24"/>
        </w:rPr>
        <w:t>RODO</w:t>
      </w:r>
      <w:r w:rsidR="00AF1E91"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nałożono na administratora danych obowiązek wdrażania zabezpieczeń zapobiegających nadużyciom lub niezgodnemu z prawem dostępowi lub przekazywaniu</w:t>
      </w:r>
      <w:r w:rsidR="00786344">
        <w:rPr>
          <w:rFonts w:eastAsia="Calibri" w:cstheme="minorHAnsi"/>
          <w:color w:val="000000" w:themeColor="text1"/>
          <w:sz w:val="24"/>
          <w:szCs w:val="24"/>
        </w:rPr>
        <w:t>.</w:t>
      </w:r>
    </w:p>
    <w:p w14:paraId="40A8C9BC" w14:textId="5FC16CD4"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lastRenderedPageBreak/>
        <w:t>Zmiana w art. 18 ust. 1, 2 i 6</w:t>
      </w:r>
      <w:r w:rsidR="00786344">
        <w:rPr>
          <w:rFonts w:eastAsia="Calibri" w:cstheme="minorHAnsi"/>
          <w:color w:val="000000" w:themeColor="text1"/>
          <w:sz w:val="24"/>
          <w:szCs w:val="24"/>
        </w:rPr>
        <w:t xml:space="preserve"> ustawy o informatyzacji KAS </w:t>
      </w:r>
      <w:r w:rsidRPr="00375799">
        <w:rPr>
          <w:rFonts w:eastAsia="Calibri" w:cstheme="minorHAnsi"/>
          <w:color w:val="000000" w:themeColor="text1"/>
          <w:sz w:val="24"/>
          <w:szCs w:val="24"/>
        </w:rPr>
        <w:t>ma</w:t>
      </w:r>
      <w:r w:rsidR="00786344">
        <w:rPr>
          <w:rFonts w:eastAsia="Calibri" w:cstheme="minorHAnsi"/>
          <w:color w:val="000000" w:themeColor="text1"/>
          <w:sz w:val="24"/>
          <w:szCs w:val="24"/>
        </w:rPr>
        <w:t xml:space="preserve"> natomiast</w:t>
      </w:r>
      <w:r w:rsidRPr="00375799">
        <w:rPr>
          <w:rFonts w:eastAsia="Calibri" w:cstheme="minorHAnsi"/>
          <w:color w:val="000000" w:themeColor="text1"/>
          <w:sz w:val="24"/>
          <w:szCs w:val="24"/>
        </w:rPr>
        <w:t xml:space="preserve"> charakter dostosowawczy i polega na </w:t>
      </w:r>
      <w:r w:rsidR="00786344">
        <w:rPr>
          <w:rFonts w:eastAsia="Calibri" w:cstheme="minorHAnsi"/>
          <w:color w:val="000000" w:themeColor="text1"/>
          <w:sz w:val="24"/>
          <w:szCs w:val="24"/>
        </w:rPr>
        <w:t xml:space="preserve">wprowadzenie ogólnego odwołania </w:t>
      </w:r>
      <w:r w:rsidRPr="00375799">
        <w:rPr>
          <w:rFonts w:eastAsia="Calibri" w:cstheme="minorHAnsi"/>
          <w:color w:val="000000" w:themeColor="text1"/>
          <w:sz w:val="24"/>
          <w:szCs w:val="24"/>
        </w:rPr>
        <w:t xml:space="preserve">do przepisów o ochronie danych osobowych zamiast obecnie </w:t>
      </w:r>
      <w:r w:rsidR="00786344" w:rsidRPr="00375799">
        <w:rPr>
          <w:rFonts w:eastAsia="Calibri" w:cstheme="minorHAnsi"/>
          <w:color w:val="000000" w:themeColor="text1"/>
          <w:sz w:val="24"/>
          <w:szCs w:val="24"/>
        </w:rPr>
        <w:t>obowiązując</w:t>
      </w:r>
      <w:r w:rsidR="00786344">
        <w:rPr>
          <w:rFonts w:eastAsia="Calibri" w:cstheme="minorHAnsi"/>
          <w:color w:val="000000" w:themeColor="text1"/>
          <w:sz w:val="24"/>
          <w:szCs w:val="24"/>
        </w:rPr>
        <w:t>ego odwołania do</w:t>
      </w:r>
      <w:r w:rsidR="00786344"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przepisów ustawy z dnia 29 sierpnia 1997 r. o ochronie danych osobowych.</w:t>
      </w:r>
      <w:r w:rsidR="00AF1E91" w:rsidRPr="00375799">
        <w:rPr>
          <w:rFonts w:eastAsia="Calibri" w:cstheme="minorHAnsi"/>
          <w:color w:val="000000" w:themeColor="text1"/>
          <w:sz w:val="24"/>
          <w:szCs w:val="24"/>
        </w:rPr>
        <w:t xml:space="preserve"> Następuje też rozdzielenie funkcji inspektora ochrony danych od pełnomocnika</w:t>
      </w:r>
      <w:r w:rsidR="000A4ACF">
        <w:rPr>
          <w:rFonts w:eastAsia="Calibri" w:cstheme="minorHAnsi"/>
          <w:color w:val="000000" w:themeColor="text1"/>
          <w:sz w:val="24"/>
          <w:szCs w:val="24"/>
        </w:rPr>
        <w:t>, o którym mowa</w:t>
      </w:r>
      <w:r w:rsidR="00AF1E91" w:rsidRPr="00375799">
        <w:rPr>
          <w:rFonts w:eastAsia="Calibri" w:cstheme="minorHAnsi"/>
          <w:color w:val="000000" w:themeColor="text1"/>
          <w:sz w:val="24"/>
          <w:szCs w:val="24"/>
        </w:rPr>
        <w:t xml:space="preserve"> art. 17 ust. 3 </w:t>
      </w:r>
      <w:r w:rsidR="000A4ACF">
        <w:rPr>
          <w:rFonts w:eastAsia="Calibri" w:cstheme="minorHAnsi"/>
          <w:color w:val="000000" w:themeColor="text1"/>
          <w:sz w:val="24"/>
          <w:szCs w:val="24"/>
        </w:rPr>
        <w:t>ustawy o informatyzacji KAS</w:t>
      </w:r>
      <w:r w:rsidR="00B71B78">
        <w:rPr>
          <w:rFonts w:eastAsia="Calibri" w:cstheme="minorHAnsi"/>
          <w:color w:val="000000" w:themeColor="text1"/>
          <w:sz w:val="24"/>
          <w:szCs w:val="24"/>
        </w:rPr>
        <w:t>.</w:t>
      </w:r>
    </w:p>
    <w:p w14:paraId="264FFDE0"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65CB4646" w14:textId="745AAB92"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48" w:name="_Toc530565120"/>
      <w:r w:rsidRPr="00375799">
        <w:rPr>
          <w:rFonts w:eastAsia="Times New Roman" w:cstheme="minorHAnsi"/>
          <w:color w:val="000000" w:themeColor="text1"/>
          <w:sz w:val="24"/>
          <w:szCs w:val="24"/>
        </w:rPr>
        <w:t>Ustawa z dnia 13 maja 2016 r. o przeciwdziałaniu zagrożeniom przestępczością na tle seksualnym</w:t>
      </w:r>
      <w:r w:rsidR="00B84CD7" w:rsidRPr="00375799">
        <w:rPr>
          <w:rFonts w:eastAsia="Times New Roman" w:cstheme="minorHAnsi"/>
          <w:color w:val="000000" w:themeColor="text1"/>
          <w:sz w:val="24"/>
          <w:szCs w:val="24"/>
        </w:rPr>
        <w:t xml:space="preserve"> (Dz. U. z 2018 r. poz. 405)</w:t>
      </w:r>
      <w:bookmarkEnd w:id="148"/>
    </w:p>
    <w:p w14:paraId="4253EBB5"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28865765" w14:textId="091809CA"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Zmiana art. 5 ust. 2 ustawy</w:t>
      </w:r>
      <w:r w:rsidR="000A4ACF">
        <w:rPr>
          <w:rFonts w:eastAsia="Calibri" w:cstheme="minorHAnsi"/>
          <w:color w:val="000000" w:themeColor="text1"/>
          <w:sz w:val="24"/>
          <w:szCs w:val="24"/>
        </w:rPr>
        <w:t xml:space="preserve"> z dnia 13 maja 2016 r.</w:t>
      </w:r>
      <w:r w:rsidRPr="00375799">
        <w:rPr>
          <w:rFonts w:eastAsia="Calibri" w:cstheme="minorHAnsi"/>
          <w:color w:val="000000" w:themeColor="text1"/>
          <w:sz w:val="24"/>
          <w:szCs w:val="24"/>
        </w:rPr>
        <w:t xml:space="preserve"> o przeciwdziałaniu zagrożeniom przestępczością na tle seksualnym ma na celu usunięcie odwołania do ustawy z dnia 29 sierpnia 1997 r</w:t>
      </w:r>
      <w:r w:rsidR="0026790A">
        <w:rPr>
          <w:rFonts w:eastAsia="Calibri" w:cstheme="minorHAnsi"/>
          <w:color w:val="000000" w:themeColor="text1"/>
          <w:sz w:val="24"/>
          <w:szCs w:val="24"/>
        </w:rPr>
        <w:t xml:space="preserve">. o ochronie danych osobowych. </w:t>
      </w:r>
      <w:r w:rsidRPr="00375799">
        <w:rPr>
          <w:rFonts w:eastAsia="Calibri" w:cstheme="minorHAnsi"/>
          <w:color w:val="000000" w:themeColor="text1"/>
          <w:sz w:val="24"/>
          <w:szCs w:val="24"/>
        </w:rPr>
        <w:t xml:space="preserve">Z racji istnienia definicji legalnej administratora danych w </w:t>
      </w:r>
      <w:r w:rsidR="000A4ACF">
        <w:rPr>
          <w:rFonts w:eastAsia="Calibri" w:cstheme="minorHAnsi"/>
          <w:color w:val="000000" w:themeColor="text1"/>
          <w:sz w:val="24"/>
          <w:szCs w:val="24"/>
        </w:rPr>
        <w:t>RODO</w:t>
      </w:r>
      <w:r w:rsidRPr="00375799">
        <w:rPr>
          <w:rFonts w:eastAsia="Calibri" w:cstheme="minorHAnsi"/>
          <w:color w:val="000000" w:themeColor="text1"/>
          <w:sz w:val="24"/>
          <w:szCs w:val="24"/>
        </w:rPr>
        <w:t xml:space="preserve"> nie jest konieczne precyzowanie, że Minister Sprawiedliwości pełni tę funkcję w rozumieniu innego aktu.</w:t>
      </w:r>
    </w:p>
    <w:p w14:paraId="44D392F6"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03B9B5F9"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0686B354" w14:textId="175FA6D4"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49" w:name="_Toc530565121"/>
      <w:r w:rsidRPr="00375799">
        <w:rPr>
          <w:rFonts w:eastAsia="Times New Roman" w:cstheme="minorHAnsi"/>
          <w:color w:val="000000" w:themeColor="text1"/>
          <w:sz w:val="24"/>
          <w:szCs w:val="24"/>
        </w:rPr>
        <w:t xml:space="preserve">Ustawa z dnia 10 czerwca 2016 r. o Bankowym Funduszu Gwarancyjnym, systemie gwarantowania depozytów oraz przymusowej restrukturyzacji </w:t>
      </w:r>
      <w:r w:rsidR="00B84CD7" w:rsidRPr="00375799">
        <w:rPr>
          <w:rFonts w:eastAsia="Times New Roman" w:cstheme="minorHAnsi"/>
          <w:color w:val="000000" w:themeColor="text1"/>
          <w:sz w:val="24"/>
          <w:szCs w:val="24"/>
        </w:rPr>
        <w:t>(Dz. U. z 2017 r. poz. 1937 i 2491 oraz z 2018 r. poz. 685</w:t>
      </w:r>
      <w:r w:rsidR="00481BA0">
        <w:rPr>
          <w:rFonts w:eastAsia="Times New Roman" w:cstheme="minorHAnsi"/>
          <w:color w:val="000000" w:themeColor="text1"/>
          <w:sz w:val="24"/>
          <w:szCs w:val="24"/>
        </w:rPr>
        <w:t>,</w:t>
      </w:r>
      <w:r w:rsidR="00B84CD7" w:rsidRPr="00375799">
        <w:rPr>
          <w:rFonts w:eastAsia="Times New Roman" w:cstheme="minorHAnsi"/>
          <w:color w:val="000000" w:themeColor="text1"/>
          <w:sz w:val="24"/>
          <w:szCs w:val="24"/>
        </w:rPr>
        <w:t xml:space="preserve"> 723</w:t>
      </w:r>
      <w:r w:rsidR="00481BA0">
        <w:rPr>
          <w:rFonts w:eastAsia="Times New Roman" w:cstheme="minorHAnsi"/>
          <w:color w:val="000000" w:themeColor="text1"/>
          <w:sz w:val="24"/>
          <w:szCs w:val="24"/>
        </w:rPr>
        <w:t xml:space="preserve"> i 1637</w:t>
      </w:r>
      <w:r w:rsidR="00B84CD7" w:rsidRPr="00375799">
        <w:rPr>
          <w:rFonts w:eastAsia="Times New Roman" w:cstheme="minorHAnsi"/>
          <w:color w:val="000000" w:themeColor="text1"/>
          <w:sz w:val="24"/>
          <w:szCs w:val="24"/>
        </w:rPr>
        <w:t>)</w:t>
      </w:r>
      <w:bookmarkEnd w:id="149"/>
    </w:p>
    <w:p w14:paraId="789A54E2"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0B69E6CC" w14:textId="7B1DB093" w:rsidR="002711A7" w:rsidRPr="000B11C8" w:rsidRDefault="002711A7" w:rsidP="002711A7">
      <w:pPr>
        <w:spacing w:after="0" w:line="276" w:lineRule="auto"/>
        <w:ind w:left="57" w:right="57"/>
        <w:contextualSpacing/>
        <w:jc w:val="both"/>
        <w:rPr>
          <w:rFonts w:eastAsia="Calibri" w:cstheme="minorHAnsi"/>
          <w:color w:val="000000" w:themeColor="text1"/>
          <w:sz w:val="24"/>
          <w:szCs w:val="24"/>
        </w:rPr>
      </w:pPr>
      <w:r w:rsidRPr="000B11C8">
        <w:rPr>
          <w:rFonts w:eastAsia="Calibri" w:cstheme="minorHAnsi"/>
          <w:color w:val="000000" w:themeColor="text1"/>
          <w:sz w:val="24"/>
          <w:szCs w:val="24"/>
        </w:rPr>
        <w:t xml:space="preserve">Celem projektowanych zmian jest </w:t>
      </w:r>
      <w:r w:rsidR="000A4ACF">
        <w:rPr>
          <w:rFonts w:eastAsia="Calibri" w:cstheme="minorHAnsi"/>
          <w:color w:val="000000" w:themeColor="text1"/>
          <w:sz w:val="24"/>
          <w:szCs w:val="24"/>
        </w:rPr>
        <w:t>precyzyjniejsze</w:t>
      </w:r>
      <w:r w:rsidRPr="000B11C8">
        <w:rPr>
          <w:rFonts w:eastAsia="Calibri" w:cstheme="minorHAnsi"/>
          <w:color w:val="000000" w:themeColor="text1"/>
          <w:sz w:val="24"/>
          <w:szCs w:val="24"/>
        </w:rPr>
        <w:t xml:space="preserve"> określenie w ustawie z dnia 10 czerwca 2016 r. o Bankowym Funduszu Gwarancyjnym, systemie gwarantowania depozytów oraz przymusowej restrukturyzacji</w:t>
      </w:r>
      <w:r w:rsidR="000A4ACF">
        <w:rPr>
          <w:rFonts w:eastAsia="Calibri" w:cstheme="minorHAnsi"/>
          <w:color w:val="000000" w:themeColor="text1"/>
          <w:sz w:val="24"/>
          <w:szCs w:val="24"/>
        </w:rPr>
        <w:t>, zwanej dalej „ustawą o BFG”</w:t>
      </w:r>
      <w:r w:rsidRPr="000B11C8">
        <w:rPr>
          <w:rFonts w:eastAsia="Calibri" w:cstheme="minorHAnsi"/>
          <w:color w:val="000000" w:themeColor="text1"/>
          <w:sz w:val="24"/>
          <w:szCs w:val="24"/>
        </w:rPr>
        <w:t xml:space="preserve"> </w:t>
      </w:r>
      <w:r w:rsidR="000A4ACF">
        <w:rPr>
          <w:rFonts w:eastAsia="Calibri" w:cstheme="minorHAnsi"/>
          <w:color w:val="000000" w:themeColor="text1"/>
          <w:sz w:val="24"/>
          <w:szCs w:val="24"/>
        </w:rPr>
        <w:t xml:space="preserve">zakresu wprowadzenia </w:t>
      </w:r>
      <w:r w:rsidRPr="000B11C8">
        <w:rPr>
          <w:rFonts w:eastAsia="Calibri" w:cstheme="minorHAnsi"/>
          <w:color w:val="000000" w:themeColor="text1"/>
          <w:sz w:val="24"/>
          <w:szCs w:val="24"/>
        </w:rPr>
        <w:t xml:space="preserve">do przetwarzania danych osobowych przez </w:t>
      </w:r>
      <w:r w:rsidR="000A4ACF">
        <w:rPr>
          <w:rFonts w:eastAsia="Calibri" w:cstheme="minorHAnsi"/>
          <w:color w:val="000000" w:themeColor="text1"/>
          <w:sz w:val="24"/>
          <w:szCs w:val="24"/>
        </w:rPr>
        <w:t>Bankowy Fundusz Gwarancyjny (BFG</w:t>
      </w:r>
      <w:r w:rsidR="00132174">
        <w:rPr>
          <w:rFonts w:eastAsia="Calibri" w:cstheme="minorHAnsi"/>
          <w:color w:val="000000" w:themeColor="text1"/>
          <w:sz w:val="24"/>
          <w:szCs w:val="24"/>
        </w:rPr>
        <w:t>,</w:t>
      </w:r>
      <w:r w:rsidR="000A4ACF">
        <w:rPr>
          <w:rFonts w:eastAsia="Calibri" w:cstheme="minorHAnsi"/>
          <w:color w:val="000000" w:themeColor="text1"/>
          <w:sz w:val="24"/>
          <w:szCs w:val="24"/>
        </w:rPr>
        <w:t xml:space="preserve"> Fundusz)</w:t>
      </w:r>
      <w:r w:rsidRPr="000B11C8">
        <w:rPr>
          <w:rFonts w:eastAsia="Calibri" w:cstheme="minorHAnsi"/>
          <w:color w:val="000000" w:themeColor="text1"/>
          <w:sz w:val="24"/>
          <w:szCs w:val="24"/>
        </w:rPr>
        <w:t>oraz podmiot realizujący wypłaty środków gwarantowanych deponentom.</w:t>
      </w:r>
    </w:p>
    <w:p w14:paraId="78C7CA97" w14:textId="2D435E2B" w:rsidR="002711A7" w:rsidRPr="000B11C8" w:rsidRDefault="002711A7" w:rsidP="002711A7">
      <w:pPr>
        <w:spacing w:after="0" w:line="276" w:lineRule="auto"/>
        <w:ind w:left="57" w:right="57"/>
        <w:contextualSpacing/>
        <w:jc w:val="both"/>
        <w:rPr>
          <w:rFonts w:eastAsia="Calibri" w:cstheme="minorHAnsi"/>
          <w:color w:val="000000" w:themeColor="text1"/>
          <w:sz w:val="24"/>
          <w:szCs w:val="24"/>
        </w:rPr>
      </w:pPr>
      <w:r w:rsidRPr="000B11C8">
        <w:rPr>
          <w:rFonts w:eastAsia="Calibri" w:cstheme="minorHAnsi"/>
          <w:color w:val="000000" w:themeColor="text1"/>
          <w:sz w:val="24"/>
          <w:szCs w:val="24"/>
        </w:rPr>
        <w:t xml:space="preserve">Podmioty te, </w:t>
      </w:r>
      <w:r w:rsidR="000A4ACF">
        <w:rPr>
          <w:rFonts w:eastAsia="Calibri" w:cstheme="minorHAnsi"/>
          <w:color w:val="000000" w:themeColor="text1"/>
          <w:sz w:val="24"/>
          <w:szCs w:val="24"/>
        </w:rPr>
        <w:t>zgodnie z</w:t>
      </w:r>
      <w:r w:rsidRPr="000B11C8">
        <w:rPr>
          <w:rFonts w:eastAsia="Calibri" w:cstheme="minorHAnsi"/>
          <w:color w:val="000000" w:themeColor="text1"/>
          <w:sz w:val="24"/>
          <w:szCs w:val="24"/>
        </w:rPr>
        <w:t xml:space="preserve"> ustaw</w:t>
      </w:r>
      <w:r w:rsidR="000A4ACF">
        <w:rPr>
          <w:rFonts w:eastAsia="Calibri" w:cstheme="minorHAnsi"/>
          <w:color w:val="000000" w:themeColor="text1"/>
          <w:sz w:val="24"/>
          <w:szCs w:val="24"/>
        </w:rPr>
        <w:t>ą</w:t>
      </w:r>
      <w:r w:rsidRPr="000B11C8">
        <w:rPr>
          <w:rFonts w:eastAsia="Calibri" w:cstheme="minorHAnsi"/>
          <w:color w:val="000000" w:themeColor="text1"/>
          <w:sz w:val="24"/>
          <w:szCs w:val="24"/>
        </w:rPr>
        <w:t xml:space="preserve"> o BFG, są obligowane do realizacji w określonych sytuacjach zadań w szeroko rozumianym interesie publicznym (społecznym i gospodarczym). Co więcej nałożone na te podmioty obowiązki ustawowe wynikają także z faktu wdrożenia do krajowego porządku prawnego przepisów prawa unijnego</w:t>
      </w:r>
      <w:r w:rsidR="000A4ACF">
        <w:rPr>
          <w:rFonts w:eastAsia="Calibri" w:cstheme="minorHAnsi"/>
          <w:color w:val="000000" w:themeColor="text1"/>
          <w:sz w:val="24"/>
          <w:szCs w:val="24"/>
        </w:rPr>
        <w:t>.</w:t>
      </w:r>
      <w:r w:rsidRPr="000B11C8">
        <w:rPr>
          <w:rFonts w:eastAsia="Calibri" w:cstheme="minorHAnsi"/>
          <w:color w:val="000000" w:themeColor="text1"/>
          <w:sz w:val="24"/>
          <w:szCs w:val="24"/>
        </w:rPr>
        <w:t xml:space="preserve"> </w:t>
      </w:r>
      <w:r w:rsidR="000A4ACF">
        <w:rPr>
          <w:rFonts w:eastAsia="Calibri" w:cstheme="minorHAnsi"/>
          <w:color w:val="000000" w:themeColor="text1"/>
          <w:sz w:val="24"/>
          <w:szCs w:val="24"/>
        </w:rPr>
        <w:t>R</w:t>
      </w:r>
      <w:r w:rsidRPr="000B11C8">
        <w:rPr>
          <w:rFonts w:eastAsia="Calibri" w:cstheme="minorHAnsi"/>
          <w:color w:val="000000" w:themeColor="text1"/>
          <w:sz w:val="24"/>
          <w:szCs w:val="24"/>
        </w:rPr>
        <w:t xml:space="preserve">ozwiązania zawarte w ustawie o BFG są odzwierciedleniem przepisów zawartych w dwóch istotnych dla funkcjonowania rynku finansowego dyrektywach implementowanych w ustawie o BFG – dyrektywie </w:t>
      </w:r>
      <w:r w:rsidR="000B6356">
        <w:rPr>
          <w:rFonts w:eastAsia="Calibri" w:cstheme="minorHAnsi"/>
          <w:color w:val="000000" w:themeColor="text1"/>
          <w:sz w:val="24"/>
          <w:szCs w:val="24"/>
        </w:rPr>
        <w:t>B</w:t>
      </w:r>
      <w:r w:rsidR="000B6356" w:rsidRPr="000B6356">
        <w:rPr>
          <w:rFonts w:eastAsia="Calibri" w:cstheme="minorHAnsi"/>
          <w:color w:val="000000" w:themeColor="text1"/>
          <w:sz w:val="24"/>
          <w:szCs w:val="24"/>
        </w:rPr>
        <w:t xml:space="preserve">ank </w:t>
      </w:r>
      <w:proofErr w:type="spellStart"/>
      <w:r w:rsidR="000B6356" w:rsidRPr="000B6356">
        <w:rPr>
          <w:rFonts w:eastAsia="Calibri" w:cstheme="minorHAnsi"/>
          <w:color w:val="000000" w:themeColor="text1"/>
          <w:sz w:val="24"/>
          <w:szCs w:val="24"/>
        </w:rPr>
        <w:t>Recovery</w:t>
      </w:r>
      <w:proofErr w:type="spellEnd"/>
      <w:r w:rsidR="000B6356" w:rsidRPr="000B6356">
        <w:rPr>
          <w:rFonts w:eastAsia="Calibri" w:cstheme="minorHAnsi"/>
          <w:color w:val="000000" w:themeColor="text1"/>
          <w:sz w:val="24"/>
          <w:szCs w:val="24"/>
        </w:rPr>
        <w:t xml:space="preserve"> &amp; Resolution</w:t>
      </w:r>
      <w:r w:rsidRPr="000B11C8">
        <w:rPr>
          <w:rFonts w:eastAsia="Calibri" w:cstheme="minorHAnsi"/>
          <w:color w:val="000000" w:themeColor="text1"/>
          <w:sz w:val="24"/>
          <w:szCs w:val="24"/>
        </w:rPr>
        <w:t xml:space="preserve"> i dyrektywie DGS. Charakter ciążących na ww. podmiotach zadań determinuje konieczność podejmowania działań, w ramach których podmioty te mogą mieć do czynienia z przetwarzaniem danych osobowych w zakresie, w jakim wynika to z charakteru zadań dla realizacji zakładanych przez ustawodawcę celów.</w:t>
      </w:r>
    </w:p>
    <w:p w14:paraId="23B402AF" w14:textId="1F01E74F" w:rsidR="002711A7" w:rsidRPr="000B11C8" w:rsidRDefault="002711A7" w:rsidP="002711A7">
      <w:pPr>
        <w:spacing w:after="0" w:line="276" w:lineRule="auto"/>
        <w:ind w:left="57" w:right="57"/>
        <w:contextualSpacing/>
        <w:jc w:val="both"/>
        <w:rPr>
          <w:rFonts w:eastAsia="Calibri" w:cstheme="minorHAnsi"/>
          <w:color w:val="000000" w:themeColor="text1"/>
          <w:sz w:val="24"/>
          <w:szCs w:val="24"/>
        </w:rPr>
      </w:pPr>
      <w:r w:rsidRPr="000B11C8">
        <w:rPr>
          <w:rFonts w:eastAsia="Calibri" w:cstheme="minorHAnsi"/>
          <w:color w:val="000000" w:themeColor="text1"/>
          <w:sz w:val="24"/>
          <w:szCs w:val="24"/>
        </w:rPr>
        <w:t xml:space="preserve">Fundusz funkcjonuje od 1995 r., pierwotnie na podstawie ustawy z dnia 14 grudnia 1994 r. o Bankowym Funduszu Gwarancyjnym. Na przestrzeni ponad 20 lat zakres zadań, a co za tym idzie także kompetencji Funduszu, był rozszerzany zarówno w ujęciu podmiotowym, jak i przedmiotowym. Przez wiele lat od ustanowienia BFG był instytucją, której </w:t>
      </w:r>
      <w:r w:rsidR="000B6356" w:rsidRPr="000B11C8">
        <w:rPr>
          <w:rFonts w:eastAsia="Calibri" w:cstheme="minorHAnsi"/>
          <w:color w:val="000000" w:themeColor="text1"/>
          <w:sz w:val="24"/>
          <w:szCs w:val="24"/>
        </w:rPr>
        <w:t>podstawow</w:t>
      </w:r>
      <w:r w:rsidR="000B6356">
        <w:rPr>
          <w:rFonts w:eastAsia="Calibri" w:cstheme="minorHAnsi"/>
          <w:color w:val="000000" w:themeColor="text1"/>
          <w:sz w:val="24"/>
          <w:szCs w:val="24"/>
        </w:rPr>
        <w:t>e</w:t>
      </w:r>
      <w:r w:rsidR="000B6356" w:rsidRPr="000B11C8">
        <w:rPr>
          <w:rFonts w:eastAsia="Calibri" w:cstheme="minorHAnsi"/>
          <w:color w:val="000000" w:themeColor="text1"/>
          <w:sz w:val="24"/>
          <w:szCs w:val="24"/>
        </w:rPr>
        <w:t xml:space="preserve"> </w:t>
      </w:r>
      <w:r w:rsidRPr="000B11C8">
        <w:rPr>
          <w:rFonts w:eastAsia="Calibri" w:cstheme="minorHAnsi"/>
          <w:color w:val="000000" w:themeColor="text1"/>
          <w:sz w:val="24"/>
          <w:szCs w:val="24"/>
        </w:rPr>
        <w:lastRenderedPageBreak/>
        <w:t xml:space="preserve">zadanie </w:t>
      </w:r>
      <w:r w:rsidR="000B6356">
        <w:rPr>
          <w:rFonts w:eastAsia="Calibri" w:cstheme="minorHAnsi"/>
          <w:color w:val="000000" w:themeColor="text1"/>
          <w:sz w:val="24"/>
          <w:szCs w:val="24"/>
        </w:rPr>
        <w:t>stanowiła</w:t>
      </w:r>
      <w:r w:rsidR="000B6356" w:rsidRPr="000B11C8">
        <w:rPr>
          <w:rFonts w:eastAsia="Calibri" w:cstheme="minorHAnsi"/>
          <w:color w:val="000000" w:themeColor="text1"/>
          <w:sz w:val="24"/>
          <w:szCs w:val="24"/>
        </w:rPr>
        <w:t xml:space="preserve"> </w:t>
      </w:r>
      <w:r w:rsidRPr="000B11C8">
        <w:rPr>
          <w:rFonts w:eastAsia="Calibri" w:cstheme="minorHAnsi"/>
          <w:color w:val="000000" w:themeColor="text1"/>
          <w:sz w:val="24"/>
          <w:szCs w:val="24"/>
        </w:rPr>
        <w:t xml:space="preserve">ochrona środków powierzanych przez deponentów i zapewnienie ich wypłaty w przypadku upadłości podmiotu objętego systemem gwarantowania depozytów – zakres ochrony, jej poziom kwotowy oraz rozwiązania organizacyjne związane z realizacją procesu wypłat środków gwarantowanych wielokrotnie ulegały zmianom. Ponadto BFG mógł udzielać zwrotnej pomocy finansowej </w:t>
      </w:r>
      <w:r w:rsidR="007935C5">
        <w:rPr>
          <w:rFonts w:eastAsia="Calibri" w:cstheme="minorHAnsi"/>
          <w:color w:val="000000" w:themeColor="text1"/>
          <w:sz w:val="24"/>
          <w:szCs w:val="24"/>
        </w:rPr>
        <w:t xml:space="preserve">na </w:t>
      </w:r>
      <w:r w:rsidRPr="000B11C8">
        <w:rPr>
          <w:rFonts w:eastAsia="Calibri" w:cstheme="minorHAnsi"/>
          <w:color w:val="000000" w:themeColor="text1"/>
          <w:sz w:val="24"/>
          <w:szCs w:val="24"/>
        </w:rPr>
        <w:t>udzielanie podmiotom objętym systemem gwarantowania depozytów m.in. w przypadku powstania sytuacji zagrożenia wypłacalności. Pod koniec 2013 r. obowiązkowym systemem gwarantowania depozytów zostały objęte także spółdzielcze kasy oszczędnościowo-kredytowe (kasy) oraz przewidziano w przepisach uczestnictwo Funduszu w realizacji procesów restrukturyzacyjnych w kasach. W związku z wdrożeniem unijnych przepisów dyrektywy BRR i dyrektywy DGS Fundusz obecnie oprócz pełnienia funkcji gwaranta depozytów (znacząco rozwiniętej w stosunku do początkowych lat istnienia BFG) jest także organem ds. przymusowej restrukturyzacji. Przymusowa restrukturyzacja to procesy obejmujące działania ukierunkowane na utrzymanie stabilności finansowej, w tym sprawne przeprowadzanie restrukturyzacji banków, kas i firm inwestycyjnych doświadczających trudności finansowych.</w:t>
      </w:r>
    </w:p>
    <w:p w14:paraId="4BD7C8EB" w14:textId="2713795F" w:rsidR="002711A7" w:rsidRPr="000B11C8" w:rsidRDefault="002711A7" w:rsidP="002711A7">
      <w:pPr>
        <w:spacing w:after="0" w:line="276" w:lineRule="auto"/>
        <w:ind w:left="57" w:right="57"/>
        <w:contextualSpacing/>
        <w:jc w:val="both"/>
        <w:rPr>
          <w:rFonts w:eastAsia="Calibri" w:cstheme="minorHAnsi"/>
          <w:color w:val="000000" w:themeColor="text1"/>
          <w:sz w:val="24"/>
          <w:szCs w:val="24"/>
        </w:rPr>
      </w:pPr>
      <w:r w:rsidRPr="000B11C8">
        <w:rPr>
          <w:rFonts w:eastAsia="Calibri" w:cstheme="minorHAnsi"/>
          <w:color w:val="000000" w:themeColor="text1"/>
          <w:sz w:val="24"/>
          <w:szCs w:val="24"/>
        </w:rPr>
        <w:t>W zakresie funkcji gwarancyjnej należy wskazać, że w przypadku upadłości podmiotu objętego systemem gwarantowania depozytów kluczowym aspektem dla utrzymania zaufania deponentów do instytucji kredytowych, a co za tym idzie także stabilności finansowej na rynku, jest sprawny przebieg wypłaty środków gwarantowanych. W takiej sytuacji deponenci są bowiem zainteresowani jak najszybszym odzyskaniem środków w należnej im wysokości. Dla zapewnienia, że tak właśnie będzie</w:t>
      </w:r>
      <w:r w:rsidR="007935C5">
        <w:rPr>
          <w:rFonts w:eastAsia="Calibri" w:cstheme="minorHAnsi"/>
          <w:color w:val="000000" w:themeColor="text1"/>
          <w:sz w:val="24"/>
          <w:szCs w:val="24"/>
        </w:rPr>
        <w:t>,</w:t>
      </w:r>
      <w:r w:rsidRPr="000B11C8">
        <w:rPr>
          <w:rFonts w:eastAsia="Calibri" w:cstheme="minorHAnsi"/>
          <w:color w:val="000000" w:themeColor="text1"/>
          <w:sz w:val="24"/>
          <w:szCs w:val="24"/>
        </w:rPr>
        <w:t xml:space="preserve"> Fundusz realizuje szereg działań takich jak kontrola danych zawartych w systemach wyliczania (działanie proaktywne), wsparcie przy sporządzaniu listy deponentów przez podmiot uprawniony do reprezentacji, weryfikacja roszczeń deponentów i ich zasadności</w:t>
      </w:r>
      <w:r w:rsidR="000B6356">
        <w:rPr>
          <w:rFonts w:eastAsia="Calibri" w:cstheme="minorHAnsi"/>
          <w:color w:val="000000" w:themeColor="text1"/>
          <w:sz w:val="24"/>
          <w:szCs w:val="24"/>
        </w:rPr>
        <w:t xml:space="preserve"> oraz </w:t>
      </w:r>
      <w:r w:rsidRPr="000B11C8">
        <w:rPr>
          <w:rFonts w:eastAsia="Calibri" w:cstheme="minorHAnsi"/>
          <w:color w:val="000000" w:themeColor="text1"/>
          <w:sz w:val="24"/>
          <w:szCs w:val="24"/>
        </w:rPr>
        <w:t>sporządzenie listy wypłat i rozpoczęcie samego procesu wypłat. W celu właściwej realizacji tych działań Fundusz musi mieć zapewniony dostęp do danych osobowych deponentów zawartych w systemach wyliczania oraz w dokumentacji banków i kas.</w:t>
      </w:r>
    </w:p>
    <w:p w14:paraId="3043B4F1" w14:textId="312409C7" w:rsidR="002711A7" w:rsidRPr="000B11C8" w:rsidRDefault="002711A7" w:rsidP="002711A7">
      <w:pPr>
        <w:spacing w:after="0" w:line="276" w:lineRule="auto"/>
        <w:ind w:left="57" w:right="57"/>
        <w:contextualSpacing/>
        <w:jc w:val="both"/>
        <w:rPr>
          <w:rFonts w:eastAsia="Calibri" w:cstheme="minorHAnsi"/>
          <w:color w:val="000000" w:themeColor="text1"/>
          <w:sz w:val="24"/>
          <w:szCs w:val="24"/>
        </w:rPr>
      </w:pPr>
      <w:r w:rsidRPr="000B11C8">
        <w:rPr>
          <w:rFonts w:eastAsia="Calibri" w:cstheme="minorHAnsi"/>
          <w:color w:val="000000" w:themeColor="text1"/>
          <w:sz w:val="24"/>
          <w:szCs w:val="24"/>
        </w:rPr>
        <w:t>Ponadto ustawa o BFG przewiduje możliwość zawierania przez Fundusz umów o dokonanie wypłat środków gwarantowanych w imieniu i na rachunek Funduszu przez inne podmioty, z którymi Fundusz zawarł taką umowę. Tego rodzaju rozwiązanie z powodzeniem funkcjonuje już od wielu lat. Obecnie są to trzy banki, które organizacyjnie poprzez rozbudowaną sieć oddziałów i placówek umożliwiają sprawne rozpoczęcie i przeprowadzenie procesu wypłat, a tym samym szybkie zaspokojenie roszczeń deponentów. Dla realizacji tego zadania podmiotom tym BFG przekazuje listy wypłat zawierające dane niezbędne do dokonywania wypłat. W przypadku osób fizycznych wypłaty dokonywane są po zweryfikowaniu zgodności danych zawartych w dokumencie tożsamości z danymi otrzymanymi na liście wypłat. Jednocześnie BFG sprawuje bieżącą kontrolę dokonywania wypłat. Po zakończeniu wypłat przez podmioty zewnętrzne dalsze ewentualne wypłaty realizowane są na analogicznych zasadach w siedzibie Funduszu.</w:t>
      </w:r>
    </w:p>
    <w:p w14:paraId="308145A9" w14:textId="4E97F015" w:rsidR="002711A7" w:rsidRPr="000B11C8" w:rsidRDefault="002711A7" w:rsidP="002711A7">
      <w:pPr>
        <w:spacing w:after="0" w:line="276" w:lineRule="auto"/>
        <w:ind w:left="57" w:right="57"/>
        <w:contextualSpacing/>
        <w:jc w:val="both"/>
        <w:rPr>
          <w:rFonts w:eastAsia="Calibri" w:cstheme="minorHAnsi"/>
          <w:color w:val="000000" w:themeColor="text1"/>
          <w:sz w:val="24"/>
          <w:szCs w:val="24"/>
        </w:rPr>
      </w:pPr>
      <w:r w:rsidRPr="000B11C8">
        <w:rPr>
          <w:rFonts w:eastAsia="Calibri" w:cstheme="minorHAnsi"/>
          <w:color w:val="000000" w:themeColor="text1"/>
          <w:sz w:val="24"/>
          <w:szCs w:val="24"/>
        </w:rPr>
        <w:lastRenderedPageBreak/>
        <w:t>Rozwiązania z zakresu przymusowej restrukturyzacji zostały wprowadzone do krajowego porządku prawnego w związku z implementacją dyrektywy BRR. Cele przymusowej restrukturyzacji zostały określone w art. 66 ustawy o BFG. Dotyczą one m.in. utrzymania stabilności finansowej, ochrony deponentów i inwestorów, zapewnienia kontynuacji realizacji przez podmiot objęty przymusową restrukturyzacją funkcji krytycznych, ograniczenia ryzyka użycia środków publicznych do ratowania problematycznych instytucji. Działania interwencyjne przewidziane w ustawie o BFG są podejmowane przez BFG w odniesieniu do podmiotu doświadczającego trudności finansowych, wobec którego spełnione zostały przesłanki wszczęcia przymusowej restrukturyzacji określone w art. 101 ust. 7 ustawy o BFG. Przymusowa restrukturyzacja jest jednak procesem wielowymiarowym i oprócz samych działań interwencyjnych i związanych z nimi procedur przy zastosowaniu instrumentów określonych w ustawie o BFG obejmuje także działania związane m.in. z przygotowywaniem, aktualizacją i oceną wykonalności planów przymusowej restrukturyzacji</w:t>
      </w:r>
      <w:r w:rsidR="000B6356">
        <w:rPr>
          <w:rFonts w:eastAsia="Calibri" w:cstheme="minorHAnsi"/>
          <w:color w:val="000000" w:themeColor="text1"/>
          <w:sz w:val="24"/>
          <w:szCs w:val="24"/>
        </w:rPr>
        <w:t>,</w:t>
      </w:r>
      <w:r w:rsidRPr="000B11C8">
        <w:rPr>
          <w:rFonts w:eastAsia="Calibri" w:cstheme="minorHAnsi"/>
          <w:color w:val="000000" w:themeColor="text1"/>
          <w:sz w:val="24"/>
          <w:szCs w:val="24"/>
        </w:rPr>
        <w:t xml:space="preserve"> zawierających m.in. szczegółową analizę podmiotu oraz możliwości zastosowania względem niego określonych instrumentów przymusowej restrukturyzacji. W ramach realizacji zadań z zakresu przymusowej restrukturyzacji i stosowania przewidzianych w ustawie o BFG dla tego procesu instrumentów Fundusz współpracuje z wieloma podmiotami zaangażowanymi w działania zarówno na etapie opracowywania planów, jak i w przypadku wszczęcia i prowadzenia przymusowej restrukturyzacji. W związku z tym, że w ramach tych działań Fundusz ma dostęp do licznych informacji i dokumentów, może mieć także do czynienia z przetwarzaniem danych osobowych. </w:t>
      </w:r>
      <w:r w:rsidR="000B6356">
        <w:rPr>
          <w:rFonts w:eastAsia="Calibri" w:cstheme="minorHAnsi"/>
          <w:color w:val="000000" w:themeColor="text1"/>
          <w:sz w:val="24"/>
          <w:szCs w:val="24"/>
        </w:rPr>
        <w:t>Zważywszy na to, że</w:t>
      </w:r>
      <w:r w:rsidR="000B6356" w:rsidRPr="000B11C8">
        <w:rPr>
          <w:rFonts w:eastAsia="Calibri" w:cstheme="minorHAnsi"/>
          <w:color w:val="000000" w:themeColor="text1"/>
          <w:sz w:val="24"/>
          <w:szCs w:val="24"/>
        </w:rPr>
        <w:t xml:space="preserve"> </w:t>
      </w:r>
      <w:r w:rsidRPr="000B11C8">
        <w:rPr>
          <w:rFonts w:eastAsia="Calibri" w:cstheme="minorHAnsi"/>
          <w:color w:val="000000" w:themeColor="text1"/>
          <w:sz w:val="24"/>
          <w:szCs w:val="24"/>
        </w:rPr>
        <w:t>zarówno współpraca z podmiotami, jak i dostęp do różnorodnych informacji i dokumentów, są niezbędne dla prawidłowego przygotowania i prowadzenia przymusowej restrukturyzacji</w:t>
      </w:r>
      <w:r w:rsidR="007935C5">
        <w:rPr>
          <w:rFonts w:eastAsia="Calibri" w:cstheme="minorHAnsi"/>
          <w:color w:val="000000" w:themeColor="text1"/>
          <w:sz w:val="24"/>
          <w:szCs w:val="24"/>
        </w:rPr>
        <w:t>,</w:t>
      </w:r>
      <w:r w:rsidRPr="000B11C8">
        <w:rPr>
          <w:rFonts w:eastAsia="Calibri" w:cstheme="minorHAnsi"/>
          <w:color w:val="000000" w:themeColor="text1"/>
          <w:sz w:val="24"/>
          <w:szCs w:val="24"/>
        </w:rPr>
        <w:t xml:space="preserve"> należy zapewnić, że także przetwarzanie danych osobowych w takich sytuacjach jest uzasadnione względami realizacji zadań określonych w ustawie o BFG. Jednocześnie biorąc pod uwagę cele przymusowej restrukturyzacji</w:t>
      </w:r>
      <w:r w:rsidR="007935C5">
        <w:rPr>
          <w:rFonts w:eastAsia="Calibri" w:cstheme="minorHAnsi"/>
          <w:color w:val="000000" w:themeColor="text1"/>
          <w:sz w:val="24"/>
          <w:szCs w:val="24"/>
        </w:rPr>
        <w:t>,</w:t>
      </w:r>
      <w:r w:rsidRPr="000B11C8">
        <w:rPr>
          <w:rFonts w:eastAsia="Calibri" w:cstheme="minorHAnsi"/>
          <w:color w:val="000000" w:themeColor="text1"/>
          <w:sz w:val="24"/>
          <w:szCs w:val="24"/>
        </w:rPr>
        <w:t xml:space="preserve"> należy stwierdzić, że są one realizowane zarówno w interesie społecznym, jak i gospodarczym. Służą ochronie klientów instytucji finansowych, ochronie środków podatników oraz zapewnieniu w miarę możliwości utrzymania realizacji przez podmiot (bank, kasę, firmę inwestycyjną) funkcji krytycznych związanych ze świadczeniem istotnych usług na rzecz gospodarki realnej.</w:t>
      </w:r>
    </w:p>
    <w:p w14:paraId="1EC77CEF" w14:textId="3C611E6D" w:rsidR="00850D88" w:rsidRPr="00375799" w:rsidRDefault="002711A7" w:rsidP="0055107B">
      <w:pPr>
        <w:spacing w:after="0" w:line="276" w:lineRule="auto"/>
        <w:ind w:left="57" w:right="57"/>
        <w:contextualSpacing/>
        <w:jc w:val="both"/>
        <w:rPr>
          <w:rFonts w:eastAsia="Calibri" w:cstheme="minorHAnsi"/>
          <w:color w:val="000000" w:themeColor="text1"/>
          <w:sz w:val="24"/>
          <w:szCs w:val="24"/>
        </w:rPr>
      </w:pPr>
      <w:r w:rsidRPr="000B11C8">
        <w:rPr>
          <w:rFonts w:eastAsia="Calibri" w:cstheme="minorHAnsi"/>
          <w:color w:val="000000" w:themeColor="text1"/>
          <w:sz w:val="24"/>
          <w:szCs w:val="24"/>
        </w:rPr>
        <w:t>Oprócz ww. zmian proponuje się wprowadzenie także korekty o charakterze legislacyjnym wynikającej z proponowanych zmian. W art. 42 ustawy o BFG</w:t>
      </w:r>
      <w:r w:rsidR="000B6356">
        <w:rPr>
          <w:rFonts w:eastAsia="Calibri" w:cstheme="minorHAnsi"/>
          <w:color w:val="000000" w:themeColor="text1"/>
          <w:sz w:val="24"/>
          <w:szCs w:val="24"/>
        </w:rPr>
        <w:t xml:space="preserve"> proponuje się uchylić </w:t>
      </w:r>
      <w:r w:rsidRPr="000B11C8">
        <w:rPr>
          <w:rFonts w:eastAsia="Calibri" w:cstheme="minorHAnsi"/>
          <w:color w:val="000000" w:themeColor="text1"/>
          <w:sz w:val="24"/>
          <w:szCs w:val="24"/>
        </w:rPr>
        <w:t xml:space="preserve">ust. 4, ponieważ treść tego przepisu zostaje odzwierciedlona w ramach </w:t>
      </w:r>
      <w:r w:rsidR="000B6356">
        <w:rPr>
          <w:rFonts w:eastAsia="Calibri" w:cstheme="minorHAnsi"/>
          <w:color w:val="000000" w:themeColor="text1"/>
          <w:sz w:val="24"/>
          <w:szCs w:val="24"/>
        </w:rPr>
        <w:t>projektowanych</w:t>
      </w:r>
      <w:r w:rsidR="000B6356" w:rsidRPr="000B11C8">
        <w:rPr>
          <w:rFonts w:eastAsia="Calibri" w:cstheme="minorHAnsi"/>
          <w:color w:val="000000" w:themeColor="text1"/>
          <w:sz w:val="24"/>
          <w:szCs w:val="24"/>
        </w:rPr>
        <w:t xml:space="preserve"> </w:t>
      </w:r>
      <w:r w:rsidRPr="000B11C8">
        <w:rPr>
          <w:rFonts w:eastAsia="Calibri" w:cstheme="minorHAnsi"/>
          <w:color w:val="000000" w:themeColor="text1"/>
          <w:sz w:val="24"/>
          <w:szCs w:val="24"/>
        </w:rPr>
        <w:t>zmian wskazanych w pkt 1 (dodanie art. 5a) i 3 (dodanie ust. 2a w art. 45).</w:t>
      </w:r>
    </w:p>
    <w:p w14:paraId="66109F82"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26C43165" w14:textId="1FD8C636"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50" w:name="_Toc530565122"/>
      <w:r w:rsidRPr="00375799">
        <w:rPr>
          <w:rFonts w:eastAsia="Times New Roman" w:cstheme="minorHAnsi"/>
          <w:color w:val="000000" w:themeColor="text1"/>
          <w:sz w:val="24"/>
          <w:szCs w:val="24"/>
        </w:rPr>
        <w:t>Ustawa z dnia 21 października 2016 r. o umowie koncesji na roboty budowlane lub usługi</w:t>
      </w:r>
      <w:r w:rsidR="00A37C96" w:rsidRPr="00375799">
        <w:rPr>
          <w:rFonts w:eastAsia="Times New Roman" w:cstheme="minorHAnsi"/>
          <w:color w:val="000000" w:themeColor="text1"/>
          <w:sz w:val="24"/>
          <w:szCs w:val="24"/>
        </w:rPr>
        <w:t xml:space="preserve"> (Dz. U. poz. 1920 oraz z 2018 r. poz. 1669 i 1693)</w:t>
      </w:r>
      <w:bookmarkEnd w:id="150"/>
    </w:p>
    <w:p w14:paraId="4FA7AA23" w14:textId="77777777"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p>
    <w:p w14:paraId="6E36CE43" w14:textId="77777777" w:rsidR="00850D88" w:rsidRPr="00375799" w:rsidRDefault="00850D88" w:rsidP="0055107B">
      <w:pPr>
        <w:spacing w:after="0" w:line="276" w:lineRule="auto"/>
        <w:ind w:left="57" w:right="57" w:firstLine="426"/>
        <w:contextualSpacing/>
        <w:jc w:val="both"/>
        <w:rPr>
          <w:rFonts w:eastAsia="Calibri" w:cstheme="minorHAnsi"/>
          <w:b/>
          <w:color w:val="000000" w:themeColor="text1"/>
          <w:sz w:val="24"/>
          <w:szCs w:val="24"/>
        </w:rPr>
      </w:pPr>
    </w:p>
    <w:p w14:paraId="459756B3" w14:textId="2CCB89A4" w:rsidR="000B6356" w:rsidRDefault="00850D88" w:rsidP="0055107B">
      <w:pPr>
        <w:spacing w:after="0" w:line="276" w:lineRule="auto"/>
        <w:ind w:left="57" w:right="57" w:firstLine="567"/>
        <w:contextualSpacing/>
        <w:jc w:val="both"/>
        <w:rPr>
          <w:rFonts w:eastAsia="Calibri" w:cstheme="minorHAnsi"/>
          <w:color w:val="000000" w:themeColor="text1"/>
          <w:sz w:val="24"/>
          <w:szCs w:val="24"/>
          <w:shd w:val="clear" w:color="auto" w:fill="FFFFFF"/>
        </w:rPr>
      </w:pPr>
      <w:r w:rsidRPr="00375799">
        <w:rPr>
          <w:rFonts w:eastAsia="Calibri" w:cstheme="minorHAnsi"/>
          <w:color w:val="000000" w:themeColor="text1"/>
          <w:sz w:val="24"/>
          <w:szCs w:val="24"/>
        </w:rPr>
        <w:t xml:space="preserve">Przetwarzanie danych osobowych może wystąpić na każdym etapie postępowania o zawarcie umowy koncesji, korzystania ze środków ochrony prawnej, zawarcia i wykonywania </w:t>
      </w:r>
      <w:r w:rsidRPr="00375799">
        <w:rPr>
          <w:rFonts w:eastAsia="Calibri" w:cstheme="minorHAnsi"/>
          <w:color w:val="000000" w:themeColor="text1"/>
          <w:sz w:val="24"/>
          <w:szCs w:val="24"/>
        </w:rPr>
        <w:lastRenderedPageBreak/>
        <w:t>umowy koncesji, w tym weryfikacji zatrudnienia osób skierowanych do realizacji umowy, podczas udostępniania przez zamawiających dokumentacji koncesji (jak również po zakończeniu postępowania w związku z przetwarzaniem i udostępnianiem dokumentacji archiwalnej) i jest ściśle powiązane ze stosowaniem ustawy z dnia 21 października 2016 r. o umowie koncesji na roboty budowlane lub usługi, zwanej dalej „ustawą koncesyjną”.</w:t>
      </w:r>
      <w:r w:rsidR="000B6356">
        <w:rPr>
          <w:rFonts w:eastAsia="Calibri" w:cstheme="minorHAnsi"/>
          <w:color w:val="000000" w:themeColor="text1"/>
          <w:sz w:val="24"/>
          <w:szCs w:val="24"/>
        </w:rPr>
        <w:t xml:space="preserve"> Dlatego też należy przyjąć, że </w:t>
      </w:r>
      <w:r w:rsidR="000B6356">
        <w:rPr>
          <w:rFonts w:eastAsia="Calibri" w:cstheme="minorHAnsi"/>
          <w:color w:val="000000" w:themeColor="text1"/>
          <w:sz w:val="24"/>
          <w:szCs w:val="24"/>
          <w:shd w:val="clear" w:color="auto" w:fill="FFFFFF"/>
        </w:rPr>
        <w:t>n</w:t>
      </w:r>
      <w:r w:rsidRPr="00375799">
        <w:rPr>
          <w:rFonts w:eastAsia="Calibri" w:cstheme="minorHAnsi"/>
          <w:color w:val="000000" w:themeColor="text1"/>
          <w:sz w:val="24"/>
          <w:szCs w:val="24"/>
          <w:shd w:val="clear" w:color="auto" w:fill="FFFFFF"/>
        </w:rPr>
        <w:t xml:space="preserve">a gruncie ustawy koncesyjnej przetwarzanie danych osobowych odbywa się w oparciu o przesłankę określoną w art. 6 ust. 1 lit. c </w:t>
      </w:r>
      <w:r w:rsidR="006E00B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tj.  </w:t>
      </w:r>
      <w:r w:rsidRPr="00375799">
        <w:rPr>
          <w:rFonts w:eastAsia="Calibri" w:cstheme="minorHAnsi"/>
          <w:color w:val="000000" w:themeColor="text1"/>
          <w:sz w:val="24"/>
          <w:szCs w:val="24"/>
          <w:shd w:val="clear" w:color="auto" w:fill="FFFFFF"/>
        </w:rPr>
        <w:t xml:space="preserve">przetwarzanie jest niezbędne do wypełnienia obowiązku prawnego ciążącego na administratorze. </w:t>
      </w:r>
    </w:p>
    <w:p w14:paraId="0F172673" w14:textId="3519CB84"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Projektowane przepisy nie zawierają odniesienia do art. 21 </w:t>
      </w:r>
      <w:r w:rsidR="006E00B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ponieważ przepis ten nie znajduje zastosowania w przypadku przetwarzania danych osobowych na podstawie art. 6 ust. 1 lit. c </w:t>
      </w:r>
      <w:r w:rsidR="006E00BC" w:rsidRPr="00375799">
        <w:rPr>
          <w:rFonts w:eastAsia="Calibri" w:cstheme="minorHAnsi"/>
          <w:color w:val="000000" w:themeColor="text1"/>
          <w:sz w:val="24"/>
          <w:szCs w:val="24"/>
        </w:rPr>
        <w:t>RODO</w:t>
      </w:r>
      <w:r w:rsidR="000B6356">
        <w:rPr>
          <w:rFonts w:eastAsia="Calibri" w:cstheme="minorHAnsi"/>
          <w:color w:val="000000" w:themeColor="text1"/>
          <w:sz w:val="24"/>
          <w:szCs w:val="24"/>
        </w:rPr>
        <w:t>.</w:t>
      </w:r>
      <w:r w:rsidRPr="00375799">
        <w:rPr>
          <w:rFonts w:eastAsia="Calibri" w:cstheme="minorHAnsi"/>
          <w:color w:val="000000" w:themeColor="text1"/>
          <w:sz w:val="24"/>
          <w:szCs w:val="24"/>
        </w:rPr>
        <w:t xml:space="preserve"> </w:t>
      </w:r>
      <w:r w:rsidR="000B6356">
        <w:rPr>
          <w:rFonts w:eastAsia="Calibri" w:cstheme="minorHAnsi"/>
          <w:color w:val="000000" w:themeColor="text1"/>
          <w:sz w:val="24"/>
          <w:szCs w:val="24"/>
        </w:rPr>
        <w:t xml:space="preserve">Zatem </w:t>
      </w:r>
      <w:r w:rsidRPr="00375799">
        <w:rPr>
          <w:rFonts w:eastAsia="Calibri" w:cstheme="minorHAnsi"/>
          <w:color w:val="000000" w:themeColor="text1"/>
          <w:sz w:val="24"/>
          <w:szCs w:val="24"/>
        </w:rPr>
        <w:t xml:space="preserve">na mocy samego art. 21 </w:t>
      </w:r>
      <w:r w:rsidR="006E00B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stosowanie</w:t>
      </w:r>
      <w:r w:rsidR="00BA0A78">
        <w:rPr>
          <w:rFonts w:eastAsia="Calibri" w:cstheme="minorHAnsi"/>
          <w:color w:val="000000" w:themeColor="text1"/>
          <w:sz w:val="24"/>
          <w:szCs w:val="24"/>
        </w:rPr>
        <w:t xml:space="preserve"> tego</w:t>
      </w:r>
      <w:r w:rsidRPr="00375799">
        <w:rPr>
          <w:rFonts w:eastAsia="Calibri" w:cstheme="minorHAnsi"/>
          <w:color w:val="000000" w:themeColor="text1"/>
          <w:sz w:val="24"/>
          <w:szCs w:val="24"/>
        </w:rPr>
        <w:t xml:space="preserve"> przepisu w odniesieniu do zawierania umów koncesji zostało wyłączone.  </w:t>
      </w:r>
    </w:p>
    <w:p w14:paraId="062ACEDD" w14:textId="52AED2CF" w:rsidR="00850D88" w:rsidRPr="00375799" w:rsidRDefault="00BA0A78" w:rsidP="0055107B">
      <w:pPr>
        <w:spacing w:after="0" w:line="276" w:lineRule="auto"/>
        <w:ind w:left="57" w:right="57" w:firstLine="567"/>
        <w:contextualSpacing/>
        <w:jc w:val="both"/>
        <w:rPr>
          <w:rFonts w:eastAsia="Calibri" w:cstheme="minorHAnsi"/>
          <w:color w:val="000000" w:themeColor="text1"/>
          <w:sz w:val="24"/>
          <w:szCs w:val="24"/>
        </w:rPr>
      </w:pPr>
      <w:r>
        <w:rPr>
          <w:rFonts w:eastAsia="Calibri" w:cstheme="minorHAnsi"/>
          <w:color w:val="000000" w:themeColor="text1"/>
          <w:sz w:val="24"/>
          <w:szCs w:val="24"/>
          <w:shd w:val="clear" w:color="auto" w:fill="FFFFFF"/>
        </w:rPr>
        <w:t>Z</w:t>
      </w:r>
      <w:r w:rsidR="00850D88" w:rsidRPr="00375799">
        <w:rPr>
          <w:rFonts w:eastAsia="Calibri" w:cstheme="minorHAnsi"/>
          <w:color w:val="000000" w:themeColor="text1"/>
          <w:sz w:val="24"/>
          <w:szCs w:val="24"/>
          <w:shd w:val="clear" w:color="auto" w:fill="FFFFFF"/>
        </w:rPr>
        <w:t>akres przetwarzanych danych osobowych, który nie jest wprost uregulowany w ustawie koncesyjnej, będzie oceniany przez pryzmat niezbędności i proporcjonalności. Powyższe potwierdza również treść art. 35 ust. 3 ustawy koncesyjnej, zgodnie z którym „Sposób przedłożenia dokumentów oraz ich zakres musi być niedyskryminacyjny i proporcjonalny do przedmiotu umowy koncesji oraz służyć wyłącznie wykazaniu przez wykonawcę spełniania kryteriów kwalifikacji oraz braku podstaw wykluczenia.”.</w:t>
      </w:r>
    </w:p>
    <w:p w14:paraId="334EB9E5" w14:textId="09618435"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shd w:val="clear" w:color="auto" w:fill="FFFFFF"/>
        </w:rPr>
        <w:t xml:space="preserve">Biorąc pod uwagę konieczność zapewnienia </w:t>
      </w:r>
      <w:r w:rsidRPr="00375799">
        <w:rPr>
          <w:rFonts w:eastAsia="Calibri" w:cstheme="minorHAnsi"/>
          <w:color w:val="000000" w:themeColor="text1"/>
          <w:sz w:val="24"/>
          <w:szCs w:val="24"/>
        </w:rPr>
        <w:t xml:space="preserve">skutecznego stosowania przepisów </w:t>
      </w:r>
      <w:r w:rsidR="006E00BC" w:rsidRPr="00375799">
        <w:rPr>
          <w:rFonts w:eastAsia="Calibri" w:cstheme="minorHAnsi"/>
          <w:color w:val="000000" w:themeColor="text1"/>
          <w:sz w:val="24"/>
          <w:szCs w:val="24"/>
        </w:rPr>
        <w:t>RODO</w:t>
      </w:r>
      <w:r w:rsidR="006E00BC" w:rsidRPr="00375799" w:rsidDel="006E00BC">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w odniesieniu do zawierania umów koncesji na roboty budowlane lub usługi, a jednocześnie mając na względzie obowiązek zapewnienia efektywnego przeprowadzania postępowań o zawarcie umów koncesji, niezbędne jest wprowadzenie do ustawy koncesyjnej zmian mających na celu dostosowanie przepisów tej ustawy do przepisów rozporządzenia. </w:t>
      </w:r>
    </w:p>
    <w:p w14:paraId="6E3E5636" w14:textId="77777777"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p>
    <w:p w14:paraId="687E5585" w14:textId="28F7A433" w:rsidR="00850D88" w:rsidRPr="00375799" w:rsidRDefault="00BA0A78" w:rsidP="0055107B">
      <w:pPr>
        <w:spacing w:after="0" w:line="276" w:lineRule="auto"/>
        <w:ind w:left="57" w:right="57" w:firstLine="56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1. </w:t>
      </w:r>
      <w:r w:rsidR="00850D88" w:rsidRPr="00375799">
        <w:rPr>
          <w:rFonts w:eastAsia="Calibri" w:cstheme="minorHAnsi"/>
          <w:color w:val="000000" w:themeColor="text1"/>
          <w:sz w:val="24"/>
          <w:szCs w:val="24"/>
        </w:rPr>
        <w:t>Projektowany art. 13 ust. 2a ustaw</w:t>
      </w:r>
      <w:r>
        <w:rPr>
          <w:rFonts w:eastAsia="Calibri" w:cstheme="minorHAnsi"/>
          <w:color w:val="000000" w:themeColor="text1"/>
          <w:sz w:val="24"/>
          <w:szCs w:val="24"/>
        </w:rPr>
        <w:t>y</w:t>
      </w:r>
      <w:r w:rsidR="00850D88" w:rsidRPr="00375799">
        <w:rPr>
          <w:rFonts w:eastAsia="Calibri" w:cstheme="minorHAnsi"/>
          <w:color w:val="000000" w:themeColor="text1"/>
          <w:sz w:val="24"/>
          <w:szCs w:val="24"/>
        </w:rPr>
        <w:t xml:space="preserve"> koncesyjnej</w:t>
      </w:r>
      <w:r>
        <w:rPr>
          <w:rFonts w:eastAsia="Calibri" w:cstheme="minorHAnsi"/>
          <w:color w:val="000000" w:themeColor="text1"/>
          <w:sz w:val="24"/>
          <w:szCs w:val="24"/>
        </w:rPr>
        <w:t>.</w:t>
      </w:r>
    </w:p>
    <w:p w14:paraId="51A3AB8D" w14:textId="61A889F6"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art. 13 ustawy koncesyjnej projektuje się dodanie ust. 2a, zgodnie z którym zamawiający udostępnia dane osobowe, o których mowa w art. 10 </w:t>
      </w:r>
      <w:r w:rsidR="006E00B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w celu umożliwienia korzystania ze środków ochrony prawnej, do upływu terminu na ich wniesienie. Projektowany art. 13 ust. 2a wprowadza ograniczenie zasady jawności, a więc dostępu do danych osobowych dotyczących wyroków i skazań, w odniesieniu do celu przetwarzania (korzystanie ze środków ochrony prawnej uregulowanych w Rozdziale 10 ustawy koncesyjnej) oraz do czasu przetwarzania (do upływu terminu na ich wniesienie).</w:t>
      </w:r>
    </w:p>
    <w:p w14:paraId="0EF93111" w14:textId="2F2FE22A" w:rsidR="00850D88" w:rsidRPr="00375799" w:rsidRDefault="006E00BC"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RODO</w:t>
      </w:r>
      <w:r w:rsidRPr="00375799" w:rsidDel="006E00BC">
        <w:rPr>
          <w:rFonts w:eastAsia="Calibri" w:cstheme="minorHAnsi"/>
          <w:color w:val="000000" w:themeColor="text1"/>
          <w:sz w:val="24"/>
          <w:szCs w:val="24"/>
        </w:rPr>
        <w:t xml:space="preserve"> </w:t>
      </w:r>
      <w:r w:rsidR="00850D88" w:rsidRPr="00375799">
        <w:rPr>
          <w:rFonts w:eastAsia="Calibri" w:cstheme="minorHAnsi"/>
          <w:color w:val="000000" w:themeColor="text1"/>
          <w:sz w:val="24"/>
          <w:szCs w:val="24"/>
        </w:rPr>
        <w:t>w art. 10 zezwala na przetwarzanie danych osobowych dotyczących wyroków skazujących i naruszeń prawa, jeżeli przetwarzanie to jest dozwolone prawem państwa członkowskiego, które przewiduje odpowiednie zabezpieczenia praw i wolności osób, których dane dotyczą. W przepisach ustawy koncesyjnej zabezpieczenie takie w odniesieniu do danych osobowych dotyczących wyroków i skazań będzie zatem polegało na ograniczeniu kręgu podmiotów, którym dane te będą udostępniane</w:t>
      </w:r>
      <w:r w:rsidR="00BA0A78">
        <w:rPr>
          <w:rFonts w:eastAsia="Calibri" w:cstheme="minorHAnsi"/>
          <w:color w:val="000000" w:themeColor="text1"/>
          <w:sz w:val="24"/>
          <w:szCs w:val="24"/>
        </w:rPr>
        <w:t>,</w:t>
      </w:r>
      <w:r w:rsidR="00850D88" w:rsidRPr="00375799">
        <w:rPr>
          <w:rFonts w:eastAsia="Calibri" w:cstheme="minorHAnsi"/>
          <w:color w:val="000000" w:themeColor="text1"/>
          <w:sz w:val="24"/>
          <w:szCs w:val="24"/>
        </w:rPr>
        <w:t xml:space="preserve"> poprzez cel, jakim przysługuje tym podmiotom na gruncie ustawy koncesyjnej prawo do korzystania ze środków ochrony prawnej, w tym w oparciu o informacje dotyczące wyroków i skazań.</w:t>
      </w:r>
    </w:p>
    <w:p w14:paraId="08DC21C9" w14:textId="77777777"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lastRenderedPageBreak/>
        <w:t xml:space="preserve">Ponadto, w myśl projektowanego art. 29 ust. 7 ustawy koncesyjnej, zamawiający nie tylko na etapie postępowania o zawarcie umowy koncesji, ale również po jego zakończeniu, będą zobowiązani do przetwarzania danych osobowych (w tym ich udostępniania) w sposób gwarantujący zabezpieczenie przed ich bezprawnym rozpowszechnianiem. </w:t>
      </w:r>
    </w:p>
    <w:p w14:paraId="0008CFE0" w14:textId="30CF1785"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Dodatkowo, zgodnie z projektowanym art. 30 ust. 6 ustawy koncesyjnej, osoby upoważnione do przetwarzania danych osobowych, o których mowa w art. 10 </w:t>
      </w:r>
      <w:r w:rsidR="006E00B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zobowiązane będą do zachowania ich w poufności. </w:t>
      </w:r>
    </w:p>
    <w:p w14:paraId="6D1B6C29" w14:textId="77777777" w:rsidR="00850D88" w:rsidRPr="00375799" w:rsidRDefault="00850D88" w:rsidP="0055107B">
      <w:pPr>
        <w:spacing w:after="0" w:line="276" w:lineRule="auto"/>
        <w:ind w:left="57" w:right="57" w:firstLine="567"/>
        <w:contextualSpacing/>
        <w:jc w:val="both"/>
        <w:rPr>
          <w:rFonts w:eastAsia="Times New Roman" w:cstheme="minorHAnsi"/>
          <w:color w:val="000000" w:themeColor="text1"/>
          <w:sz w:val="24"/>
          <w:szCs w:val="24"/>
          <w:lang w:eastAsia="pl-PL"/>
        </w:rPr>
      </w:pPr>
      <w:r w:rsidRPr="00375799">
        <w:rPr>
          <w:rFonts w:eastAsia="Calibri" w:cstheme="minorHAnsi"/>
          <w:color w:val="000000" w:themeColor="text1"/>
          <w:sz w:val="24"/>
          <w:szCs w:val="24"/>
        </w:rPr>
        <w:t xml:space="preserve">Zgodnie z art. 13 ust. 1 ustawy koncesyjnej, „Zamawiający udostępnia </w:t>
      </w:r>
      <w:r w:rsidRPr="00375799">
        <w:rPr>
          <w:rFonts w:eastAsia="Times New Roman" w:cstheme="minorHAnsi"/>
          <w:color w:val="000000" w:themeColor="text1"/>
          <w:sz w:val="24"/>
          <w:szCs w:val="24"/>
          <w:lang w:eastAsia="pl-PL"/>
        </w:rPr>
        <w:t xml:space="preserve">informacje związane z postępowaniem o zawarcie umowy koncesji w przypadkach określonych w ustawie. Po zakończeniu postępowania o zawarcie umowy koncesji albo po unieważnieniu tego postępowania informacje z nim związane podlegają udostępnieniu na zasadach określonych w przepisach o dostępie do informacji publicznej.”. </w:t>
      </w:r>
    </w:p>
    <w:p w14:paraId="50114C0B" w14:textId="4D123276" w:rsidR="00850D88" w:rsidRPr="00375799" w:rsidRDefault="00850D88" w:rsidP="0055107B">
      <w:pPr>
        <w:spacing w:after="0" w:line="276" w:lineRule="auto"/>
        <w:ind w:left="57" w:right="57" w:firstLine="426"/>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 Adresatem normy wyrażonej w projektowanym art. 13 ust. </w:t>
      </w:r>
      <w:r w:rsidR="00BA0A78">
        <w:rPr>
          <w:rFonts w:eastAsia="Calibri" w:cstheme="minorHAnsi"/>
          <w:color w:val="000000" w:themeColor="text1"/>
          <w:sz w:val="24"/>
          <w:szCs w:val="24"/>
        </w:rPr>
        <w:t>2a</w:t>
      </w:r>
      <w:r w:rsidRPr="00375799">
        <w:rPr>
          <w:rFonts w:eastAsia="Calibri" w:cstheme="minorHAnsi"/>
          <w:color w:val="000000" w:themeColor="text1"/>
          <w:sz w:val="24"/>
          <w:szCs w:val="24"/>
        </w:rPr>
        <w:t xml:space="preserve"> będą zamawiający udostępniający w postępowaniu o zawarcie umowy koncesji dokumentację koncesji (zawierającą dane osobowe dotyczące wyroków lub skazań) podmiotom, które mają interes do wniesienia środków ochrony prawnej i wyłącznie do upływu terminu na ich wniesienie. Projektowany przepis modyfikuje zasadę wyrażoną w art. 13 ust. 1 zd. 2 ustawy koncesyjnej, który stanowi, że p</w:t>
      </w:r>
      <w:r w:rsidRPr="00375799">
        <w:rPr>
          <w:rFonts w:eastAsia="Times New Roman" w:cstheme="minorHAnsi"/>
          <w:color w:val="000000" w:themeColor="text1"/>
          <w:sz w:val="24"/>
          <w:szCs w:val="24"/>
          <w:lang w:eastAsia="pl-PL"/>
        </w:rPr>
        <w:t>o zakończeniu postępowania o zawarcie umowy koncesji albo po unieważnieniu tego postępowania informacje z nim związane podlegają udostępnieniu na zasadach określonych w przepisach o dostępie do informacji publicznej.</w:t>
      </w:r>
      <w:r w:rsidRPr="00375799">
        <w:rPr>
          <w:rFonts w:eastAsia="Calibri" w:cstheme="minorHAnsi"/>
          <w:color w:val="000000" w:themeColor="text1"/>
          <w:sz w:val="24"/>
          <w:szCs w:val="24"/>
        </w:rPr>
        <w:t xml:space="preserve"> Zamawiający udostępnia dokumentację postępowania zawierającą dane osobowe dotyczącą wyroków skazujących i naruszeń prawa, wyłącznie w celu korzystania ze środków ochrony prawnej, a więc tylko podmiotom uprawnionym oraz tylko w terminie na wniesienie środków ochrony prawnej (sytuacja taka może zaistnieć również wtedy, gdy umowa koncesji została już zawarta</w:t>
      </w:r>
      <w:r w:rsidRPr="00375799">
        <w:rPr>
          <w:rFonts w:eastAsia="Calibri" w:cstheme="minorHAnsi"/>
          <w:i/>
          <w:color w:val="000000" w:themeColor="text1"/>
          <w:sz w:val="24"/>
          <w:szCs w:val="24"/>
        </w:rPr>
        <w:t xml:space="preserve"> vide:</w:t>
      </w:r>
      <w:r w:rsidRPr="00375799">
        <w:rPr>
          <w:rFonts w:eastAsia="Calibri" w:cstheme="minorHAnsi"/>
          <w:color w:val="000000" w:themeColor="text1"/>
          <w:sz w:val="24"/>
          <w:szCs w:val="24"/>
        </w:rPr>
        <w:t xml:space="preserve"> art. 55 ustawy koncesyjnej). </w:t>
      </w:r>
    </w:p>
    <w:p w14:paraId="429F1FE2" w14:textId="77777777"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Po upływie terminu na skorzystanie ze środków ochrony prawnej albo w przypadku, gdy o dostęp do dokumentów zawierających informacje o wyrokach skazujących i naruszeniach prawa ubiegają się podmioty, którym nie przysługuje prawo do korzystania ze środków ochrony prawnej,  zamawiający udostępnia dane osobowe zawarte w dokumentach po ich odpowiednim </w:t>
      </w:r>
      <w:proofErr w:type="spellStart"/>
      <w:r w:rsidRPr="00375799">
        <w:rPr>
          <w:rFonts w:eastAsia="Calibri" w:cstheme="minorHAnsi"/>
          <w:color w:val="000000" w:themeColor="text1"/>
          <w:sz w:val="24"/>
          <w:szCs w:val="24"/>
        </w:rPr>
        <w:t>spseudonimizowaniu</w:t>
      </w:r>
      <w:proofErr w:type="spellEnd"/>
      <w:r w:rsidRPr="00375799">
        <w:rPr>
          <w:rFonts w:eastAsia="Calibri" w:cstheme="minorHAnsi"/>
          <w:color w:val="000000" w:themeColor="text1"/>
          <w:sz w:val="24"/>
          <w:szCs w:val="24"/>
        </w:rPr>
        <w:t xml:space="preserve">.  </w:t>
      </w:r>
    </w:p>
    <w:p w14:paraId="6D96EB6E" w14:textId="3D24211E"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Natomiast, w odniesieniu do ograniczenia udostępniania innych danych osobowych, które nie dotyczą wyroków skazujących i naruszeń praw, albo dotyczą wyroków skazujących lub naruszeń prawa, które zostały przekazane zamawiającemu z inicjatywy własnej wykonawcy,  będzie miała zastosowanie zasada ogólna wynikająca z art. 5 ust. 1 pkt b </w:t>
      </w:r>
      <w:r w:rsidR="006E00B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wyrażająca zakaz przetwarzania danych, których przetwarzanie nie wynika z prawnie uzasadnionych celów. </w:t>
      </w:r>
    </w:p>
    <w:p w14:paraId="51D2BBFE" w14:textId="77777777"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Projektowana regulacja nie będzie miała zastosowania do organów publicznych lub instytucji, które są uprawnione na mocy innych regulacji szczegółowych do żądania od zamawiającego udostępnienia dokumentacji postępowania. </w:t>
      </w:r>
    </w:p>
    <w:p w14:paraId="1C82E1CE" w14:textId="77777777"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lastRenderedPageBreak/>
        <w:t xml:space="preserve">Co do zasady, na gruncie ustawy koncesyjnej dane osobowe dotyczące wyroków i skazań mogą zawierać informacje z Krajowego Rejestru Karnego czy uzasadnienie wykluczenia wykonawcy zawierające dane osobowe dotyczące wyroków skazujących i naruszeń prawa. Ograniczenie zasady jawności w odniesieniu do danych osobowych zawartych w informacji z KRK nie będzie miało zastosowania w sytuacji, gdy dana osoba nie figuruje w rejestrze skazań za przestępstwa lub wykroczenia. </w:t>
      </w:r>
    </w:p>
    <w:p w14:paraId="641D7034" w14:textId="4E9D5837" w:rsidR="00850D88" w:rsidRPr="00375799" w:rsidRDefault="00BA0A78" w:rsidP="00BA0A78">
      <w:pPr>
        <w:suppressAutoHyphens/>
        <w:autoSpaceDE w:val="0"/>
        <w:autoSpaceDN w:val="0"/>
        <w:adjustRightInd w:val="0"/>
        <w:spacing w:after="0" w:line="276" w:lineRule="auto"/>
        <w:ind w:left="57" w:right="57" w:firstLine="567"/>
        <w:contextualSpacing/>
        <w:jc w:val="both"/>
        <w:rPr>
          <w:rFonts w:eastAsia="Calibri" w:cstheme="minorHAnsi"/>
          <w:color w:val="000000" w:themeColor="text1"/>
          <w:sz w:val="24"/>
          <w:szCs w:val="24"/>
        </w:rPr>
      </w:pPr>
      <w:r>
        <w:rPr>
          <w:rFonts w:eastAsia="Times New Roman" w:cstheme="minorHAnsi"/>
          <w:color w:val="000000" w:themeColor="text1"/>
          <w:sz w:val="24"/>
          <w:szCs w:val="24"/>
          <w:lang w:eastAsia="pl-PL"/>
        </w:rPr>
        <w:t xml:space="preserve">2. </w:t>
      </w:r>
      <w:r w:rsidR="00850D88" w:rsidRPr="00BA0A78">
        <w:rPr>
          <w:rFonts w:eastAsia="Times New Roman" w:cstheme="minorHAnsi"/>
          <w:color w:val="000000" w:themeColor="text1"/>
          <w:sz w:val="24"/>
          <w:szCs w:val="24"/>
          <w:lang w:eastAsia="pl-PL"/>
        </w:rPr>
        <w:t>Projektowany</w:t>
      </w:r>
      <w:r w:rsidR="00850D88" w:rsidRPr="00375799">
        <w:rPr>
          <w:rFonts w:eastAsia="Calibri" w:cstheme="minorHAnsi"/>
          <w:color w:val="000000" w:themeColor="text1"/>
          <w:sz w:val="24"/>
          <w:szCs w:val="24"/>
        </w:rPr>
        <w:t xml:space="preserve"> art. 13a ustaw</w:t>
      </w:r>
      <w:r>
        <w:rPr>
          <w:rFonts w:eastAsia="Calibri" w:cstheme="minorHAnsi"/>
          <w:color w:val="000000" w:themeColor="text1"/>
          <w:sz w:val="24"/>
          <w:szCs w:val="24"/>
        </w:rPr>
        <w:t>y</w:t>
      </w:r>
      <w:r w:rsidR="00850D88" w:rsidRPr="00375799">
        <w:rPr>
          <w:rFonts w:eastAsia="Calibri" w:cstheme="minorHAnsi"/>
          <w:color w:val="000000" w:themeColor="text1"/>
          <w:sz w:val="24"/>
          <w:szCs w:val="24"/>
        </w:rPr>
        <w:t xml:space="preserve"> koncesyjnej</w:t>
      </w:r>
      <w:r>
        <w:rPr>
          <w:rFonts w:eastAsia="Calibri" w:cstheme="minorHAnsi"/>
          <w:color w:val="000000" w:themeColor="text1"/>
          <w:sz w:val="24"/>
          <w:szCs w:val="24"/>
        </w:rPr>
        <w:t>.</w:t>
      </w:r>
    </w:p>
    <w:p w14:paraId="586668F6" w14:textId="598E6296" w:rsidR="00850D88" w:rsidRPr="00375799" w:rsidRDefault="00850D88" w:rsidP="0055107B">
      <w:pPr>
        <w:suppressAutoHyphens/>
        <w:autoSpaceDE w:val="0"/>
        <w:autoSpaceDN w:val="0"/>
        <w:adjustRightInd w:val="0"/>
        <w:spacing w:after="0" w:line="276" w:lineRule="auto"/>
        <w:ind w:left="57" w:right="57" w:firstLine="567"/>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xml:space="preserve">Obecnie ustawa koncesyjna nie stanowi o okresie przechowywania dokumentacji postępowania. Biorąc pod uwagę fakt, że w dokumentacji takiej zawarte są dane osobowe, zasadne jest wprowadzenie do ustawy koncesyjnej regulacji stanowiącej o okresie przechowywania, powiązanym z okresem, na jaki są z reguły zawierane umowy koncesji. Zgodnie z projektowanym art. 13a </w:t>
      </w:r>
      <w:r w:rsidR="00BA0A78">
        <w:rPr>
          <w:rFonts w:eastAsia="Times New Roman" w:cstheme="minorHAnsi"/>
          <w:color w:val="000000" w:themeColor="text1"/>
          <w:sz w:val="24"/>
          <w:szCs w:val="24"/>
          <w:lang w:eastAsia="pl-PL"/>
        </w:rPr>
        <w:t xml:space="preserve">ustawy koncesyjnej </w:t>
      </w:r>
      <w:r w:rsidRPr="00375799">
        <w:rPr>
          <w:rFonts w:eastAsia="Times New Roman" w:cstheme="minorHAnsi"/>
          <w:color w:val="000000" w:themeColor="text1"/>
          <w:sz w:val="24"/>
          <w:szCs w:val="24"/>
          <w:lang w:eastAsia="pl-PL"/>
        </w:rPr>
        <w:t xml:space="preserve">„Zamawiający przechowuje dokumentację postępowania, w tym umowę koncesji, przez okres 5 lat od dnia zakończenia postępowania o zawarcie umowy koncesji, w sposób gwarantujący jej nienaruszalność. Jeżeli czas trwania umowy koncesji przekracza 5 lat, zamawiający przechowuje umowę przez cały czas jej trwania.”.  </w:t>
      </w:r>
    </w:p>
    <w:p w14:paraId="46690316" w14:textId="04F36AC9" w:rsidR="00BA0A78" w:rsidRDefault="00BA0A78" w:rsidP="0055107B">
      <w:pPr>
        <w:spacing w:after="0" w:line="276" w:lineRule="auto"/>
        <w:ind w:left="57" w:right="57" w:firstLine="567"/>
        <w:contextualSpacing/>
        <w:jc w:val="both"/>
        <w:rPr>
          <w:rFonts w:eastAsia="Calibri" w:cstheme="minorHAnsi"/>
          <w:color w:val="000000" w:themeColor="text1"/>
          <w:sz w:val="24"/>
          <w:szCs w:val="24"/>
        </w:rPr>
      </w:pPr>
      <w:r>
        <w:rPr>
          <w:rFonts w:eastAsia="Calibri" w:cstheme="minorHAnsi"/>
          <w:color w:val="000000" w:themeColor="text1"/>
          <w:sz w:val="24"/>
          <w:szCs w:val="24"/>
        </w:rPr>
        <w:t>3. Projektowany art. 16a ust. 1–4.</w:t>
      </w:r>
    </w:p>
    <w:p w14:paraId="6BD578AF" w14:textId="2D11EBC8"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shd w:val="clear" w:color="auto" w:fill="FFFFFF"/>
        </w:rPr>
      </w:pPr>
      <w:r w:rsidRPr="00375799">
        <w:rPr>
          <w:rFonts w:eastAsia="Calibri" w:cstheme="minorHAnsi"/>
          <w:color w:val="000000" w:themeColor="text1"/>
          <w:sz w:val="24"/>
          <w:szCs w:val="24"/>
        </w:rPr>
        <w:t xml:space="preserve">Projektowane przepisy w art. 16a ust. 1-4 mają na celu dostosowanie sposobu realizacji uprawnień wynikających z tych przepisów do uwarunkowań wynikających ze stosowania ustawy koncesyjnej (dotyczy to przepisów art. 13 i </w:t>
      </w:r>
      <w:r w:rsidR="007935C5">
        <w:rPr>
          <w:rFonts w:eastAsia="Calibri" w:cstheme="minorHAnsi"/>
          <w:color w:val="000000" w:themeColor="text1"/>
          <w:sz w:val="24"/>
          <w:szCs w:val="24"/>
        </w:rPr>
        <w:t xml:space="preserve">art. </w:t>
      </w:r>
      <w:r w:rsidRPr="00375799">
        <w:rPr>
          <w:rFonts w:eastAsia="Calibri" w:cstheme="minorHAnsi"/>
          <w:color w:val="000000" w:themeColor="text1"/>
          <w:sz w:val="24"/>
          <w:szCs w:val="24"/>
        </w:rPr>
        <w:t xml:space="preserve">16 </w:t>
      </w:r>
      <w:r w:rsidR="006E00B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lub stanowią niezbędne ograniczenia stosowania rozporządzenia 2016/679 (dotyczy to przepisów art. 15, </w:t>
      </w:r>
      <w:r w:rsidR="007935C5">
        <w:rPr>
          <w:rFonts w:eastAsia="Calibri" w:cstheme="minorHAnsi"/>
          <w:color w:val="000000" w:themeColor="text1"/>
          <w:sz w:val="24"/>
          <w:szCs w:val="24"/>
        </w:rPr>
        <w:t xml:space="preserve">art. </w:t>
      </w:r>
      <w:r w:rsidRPr="00375799">
        <w:rPr>
          <w:rFonts w:eastAsia="Calibri" w:cstheme="minorHAnsi"/>
          <w:color w:val="000000" w:themeColor="text1"/>
          <w:sz w:val="24"/>
          <w:szCs w:val="24"/>
        </w:rPr>
        <w:t>18).</w:t>
      </w:r>
    </w:p>
    <w:p w14:paraId="7783D12D" w14:textId="491C4EC1"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Biorąc pod uwagę, że umowy koncesji na roboty budowlane lub usługi są udzielane i realizowane w interesie publicznym (w tym państw UE) oraz konieczność zapewnienia efektywnego procesu udzielania umów koncesji, niezbędne jest zmodyfikowanie stosowania niektórych przepisów </w:t>
      </w:r>
      <w:r w:rsidR="006E00BC" w:rsidRPr="00375799">
        <w:rPr>
          <w:rFonts w:eastAsia="Calibri" w:cstheme="minorHAnsi"/>
          <w:color w:val="000000" w:themeColor="text1"/>
          <w:sz w:val="24"/>
          <w:szCs w:val="24"/>
        </w:rPr>
        <w:t>RODO</w:t>
      </w:r>
      <w:r w:rsidR="006E00BC" w:rsidRPr="00375799" w:rsidDel="006E00BC">
        <w:rPr>
          <w:rFonts w:eastAsia="Calibri" w:cstheme="minorHAnsi"/>
          <w:color w:val="000000" w:themeColor="text1"/>
          <w:sz w:val="24"/>
          <w:szCs w:val="24"/>
        </w:rPr>
        <w:t xml:space="preserve"> </w:t>
      </w:r>
      <w:r w:rsidRPr="00375799">
        <w:rPr>
          <w:rFonts w:eastAsia="Calibri" w:cstheme="minorHAnsi"/>
          <w:color w:val="000000" w:themeColor="text1"/>
          <w:sz w:val="24"/>
          <w:szCs w:val="24"/>
        </w:rPr>
        <w:t>poprzez dostosowanie sposobu realizacji uprawnień wynikających z tych przepisów do uwarunkowań wynikających z ustawy koncesyjnej, co ma na celu zapobieżenie – w interesie publicznym – nadmiernego wydłużania, a czasem zahamowania procesu zawierania umów koncesji.</w:t>
      </w:r>
    </w:p>
    <w:p w14:paraId="16FC9214" w14:textId="054E033C"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Należy przy tym wyjaśnić, że z przepisów ustawy koncesyjnej wynika</w:t>
      </w:r>
      <w:r w:rsidR="007935C5">
        <w:rPr>
          <w:rFonts w:eastAsia="Calibri" w:cstheme="minorHAnsi"/>
          <w:color w:val="000000" w:themeColor="text1"/>
          <w:sz w:val="24"/>
          <w:szCs w:val="24"/>
        </w:rPr>
        <w:t>,</w:t>
      </w:r>
      <w:r w:rsidRPr="00375799">
        <w:rPr>
          <w:rFonts w:eastAsia="Calibri" w:cstheme="minorHAnsi"/>
          <w:color w:val="000000" w:themeColor="text1"/>
          <w:sz w:val="24"/>
          <w:szCs w:val="24"/>
        </w:rPr>
        <w:t xml:space="preserve"> kto jest na gruncie tej ustawy administratorem określonego zbioru danych osobowych (będzie to w szczególności: zamawiający, wykonawca lub koncesjonariusz, Prezes UZP, Prezes Krajowej Izby Odwoławczej); jakie są cele przetwarzania (np. prowadzenie postępowania o zawarcie umowy koncesji, zawarcie umowy, realizacja umowy) oraz kategorie danych osobowych (tzw. dane osobowe zwykłe oraz dane osobowe dotyczące wyroków skazujących i naruszeń prawa). Zatem, pomimo wprowadzenia do ustawy koncesyjnej niezbędnych ograniczeń w stosowaniu </w:t>
      </w:r>
      <w:r w:rsidR="006E00B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 tym wynikających z brzmienia art. 23 ust. 2 lit. a, b i e – nie zachodzi potrzeba określenia wprost w przepisach ustawy koncesyjnej: celów przetwarzania, administratorów danych osobowych czy kategorii danych osobowych. Natomiast okresy przechowywania dokumentacji postępowania określone zostały w projektowanym brzmieniu art. 13a ustawy koncesyjnej. </w:t>
      </w:r>
    </w:p>
    <w:p w14:paraId="727CBDF0" w14:textId="2B458520" w:rsidR="00850D88" w:rsidRPr="00375799" w:rsidRDefault="00BA0A78" w:rsidP="00BA0A78">
      <w:pPr>
        <w:spacing w:after="0" w:line="276" w:lineRule="auto"/>
        <w:ind w:left="57" w:right="57" w:firstLine="567"/>
        <w:contextualSpacing/>
        <w:jc w:val="both"/>
        <w:rPr>
          <w:rFonts w:eastAsia="Calibri" w:cstheme="minorHAnsi"/>
          <w:color w:val="000000" w:themeColor="text1"/>
          <w:sz w:val="24"/>
          <w:szCs w:val="24"/>
        </w:rPr>
      </w:pPr>
      <w:r>
        <w:rPr>
          <w:rFonts w:eastAsia="Calibri" w:cstheme="minorHAnsi"/>
          <w:color w:val="000000" w:themeColor="text1"/>
          <w:sz w:val="24"/>
          <w:szCs w:val="24"/>
        </w:rPr>
        <w:lastRenderedPageBreak/>
        <w:t xml:space="preserve">3.1. </w:t>
      </w:r>
      <w:r w:rsidR="00850D88" w:rsidRPr="00375799">
        <w:rPr>
          <w:rFonts w:eastAsia="Calibri" w:cstheme="minorHAnsi"/>
          <w:color w:val="000000" w:themeColor="text1"/>
          <w:sz w:val="24"/>
          <w:szCs w:val="24"/>
        </w:rPr>
        <w:t>Projektowany art. 16a ust. 1 ustaw</w:t>
      </w:r>
      <w:r w:rsidR="0043734D">
        <w:rPr>
          <w:rFonts w:eastAsia="Calibri" w:cstheme="minorHAnsi"/>
          <w:color w:val="000000" w:themeColor="text1"/>
          <w:sz w:val="24"/>
          <w:szCs w:val="24"/>
        </w:rPr>
        <w:t>y</w:t>
      </w:r>
      <w:r w:rsidR="00850D88" w:rsidRPr="00375799">
        <w:rPr>
          <w:rFonts w:eastAsia="Calibri" w:cstheme="minorHAnsi"/>
          <w:color w:val="000000" w:themeColor="text1"/>
          <w:sz w:val="24"/>
          <w:szCs w:val="24"/>
        </w:rPr>
        <w:t xml:space="preserve"> koncesyjnej</w:t>
      </w:r>
      <w:r>
        <w:rPr>
          <w:rFonts w:eastAsia="Calibri" w:cstheme="minorHAnsi"/>
          <w:color w:val="000000" w:themeColor="text1"/>
          <w:sz w:val="24"/>
          <w:szCs w:val="24"/>
        </w:rPr>
        <w:t>.</w:t>
      </w:r>
    </w:p>
    <w:p w14:paraId="368F94A1" w14:textId="2DD81561" w:rsidR="00850D88" w:rsidRPr="00375799" w:rsidRDefault="00850D88" w:rsidP="0055107B">
      <w:pPr>
        <w:shd w:val="clear" w:color="auto" w:fill="FFFFFF"/>
        <w:spacing w:after="0" w:line="276" w:lineRule="auto"/>
        <w:ind w:left="57" w:right="57" w:firstLine="567"/>
        <w:contextualSpacing/>
        <w:jc w:val="both"/>
        <w:rPr>
          <w:rFonts w:eastAsia="Calibri" w:cstheme="minorHAnsi"/>
          <w:bCs/>
          <w:color w:val="000000" w:themeColor="text1"/>
          <w:sz w:val="24"/>
          <w:szCs w:val="24"/>
          <w:shd w:val="clear" w:color="auto" w:fill="FFFFFF"/>
        </w:rPr>
      </w:pPr>
      <w:r w:rsidRPr="00375799">
        <w:rPr>
          <w:rFonts w:eastAsia="Calibri" w:cstheme="minorHAnsi"/>
          <w:color w:val="000000" w:themeColor="text1"/>
          <w:sz w:val="24"/>
          <w:szCs w:val="24"/>
        </w:rPr>
        <w:t xml:space="preserve">Projektowany przepis ma na celu dostosowanie sposobu realizacji obowiązku informacyjnego, określonego w art. 13 ust. 1-3 </w:t>
      </w:r>
      <w:r w:rsidR="006E00BC" w:rsidRPr="00375799">
        <w:rPr>
          <w:rFonts w:eastAsia="Calibri" w:cstheme="minorHAnsi"/>
          <w:color w:val="000000" w:themeColor="text1"/>
          <w:sz w:val="24"/>
          <w:szCs w:val="24"/>
        </w:rPr>
        <w:t>RODO</w:t>
      </w:r>
      <w:r w:rsidRPr="00375799">
        <w:rPr>
          <w:rFonts w:eastAsia="Times New Roman" w:cstheme="minorHAnsi"/>
          <w:color w:val="000000" w:themeColor="text1"/>
          <w:sz w:val="24"/>
          <w:szCs w:val="24"/>
          <w:lang w:eastAsia="pl-PL"/>
        </w:rPr>
        <w:t xml:space="preserve">, </w:t>
      </w:r>
      <w:r w:rsidRPr="00375799">
        <w:rPr>
          <w:rFonts w:eastAsia="Calibri" w:cstheme="minorHAnsi"/>
          <w:color w:val="000000" w:themeColor="text1"/>
          <w:sz w:val="24"/>
          <w:szCs w:val="24"/>
        </w:rPr>
        <w:t>do uwarunkowań wynikających ze stosowania ustawy koncesyjnej.</w:t>
      </w:r>
    </w:p>
    <w:p w14:paraId="3D45A274" w14:textId="77777777" w:rsidR="00850D88" w:rsidRPr="00375799" w:rsidRDefault="00850D88" w:rsidP="0055107B">
      <w:pPr>
        <w:shd w:val="clear" w:color="auto" w:fill="FFFFFF"/>
        <w:spacing w:after="0" w:line="276" w:lineRule="auto"/>
        <w:ind w:left="57" w:right="57" w:firstLine="567"/>
        <w:contextualSpacing/>
        <w:jc w:val="both"/>
        <w:rPr>
          <w:rFonts w:eastAsia="Calibri" w:cstheme="minorHAnsi"/>
          <w:bCs/>
          <w:color w:val="000000" w:themeColor="text1"/>
          <w:sz w:val="24"/>
          <w:szCs w:val="24"/>
          <w:shd w:val="clear" w:color="auto" w:fill="FFFFFF"/>
        </w:rPr>
      </w:pPr>
    </w:p>
    <w:p w14:paraId="33761E4C" w14:textId="2510F8A4" w:rsidR="00850D88" w:rsidRPr="00375799" w:rsidRDefault="00850D88" w:rsidP="0055107B">
      <w:pPr>
        <w:shd w:val="clear" w:color="auto" w:fill="FFFFFF"/>
        <w:spacing w:after="0" w:line="276" w:lineRule="auto"/>
        <w:ind w:left="57" w:right="57" w:firstLine="567"/>
        <w:contextualSpacing/>
        <w:jc w:val="both"/>
        <w:rPr>
          <w:rFonts w:eastAsia="Times New Roman" w:cstheme="minorHAnsi"/>
          <w:b/>
          <w:color w:val="000000" w:themeColor="text1"/>
          <w:sz w:val="24"/>
          <w:szCs w:val="24"/>
          <w:lang w:eastAsia="pl-PL"/>
        </w:rPr>
      </w:pPr>
      <w:r w:rsidRPr="00375799">
        <w:rPr>
          <w:rFonts w:eastAsia="Calibri" w:cstheme="minorHAnsi"/>
          <w:bCs/>
          <w:color w:val="000000" w:themeColor="text1"/>
          <w:sz w:val="24"/>
          <w:szCs w:val="24"/>
          <w:shd w:val="clear" w:color="auto" w:fill="FFFFFF"/>
        </w:rPr>
        <w:t>Przepis ten</w:t>
      </w:r>
      <w:r w:rsidRPr="00375799">
        <w:rPr>
          <w:rFonts w:eastAsia="Calibri" w:cstheme="minorHAnsi"/>
          <w:color w:val="000000" w:themeColor="text1"/>
          <w:sz w:val="24"/>
          <w:szCs w:val="24"/>
        </w:rPr>
        <w:t xml:space="preserve"> wprowadza możliwość, ale nie obowiązek, elastycznego podejścia do obowiązku informacyjnego, określonego w art. 13 </w:t>
      </w:r>
      <w:r w:rsidR="006E00BC" w:rsidRPr="00375799">
        <w:rPr>
          <w:rFonts w:eastAsia="Calibri" w:cstheme="minorHAnsi"/>
          <w:color w:val="000000" w:themeColor="text1"/>
          <w:sz w:val="24"/>
          <w:szCs w:val="24"/>
        </w:rPr>
        <w:t>RODO</w:t>
      </w:r>
      <w:r w:rsidRPr="00375799">
        <w:rPr>
          <w:rFonts w:eastAsia="Times New Roman" w:cstheme="minorHAnsi"/>
          <w:color w:val="000000" w:themeColor="text1"/>
          <w:sz w:val="24"/>
          <w:szCs w:val="24"/>
          <w:lang w:eastAsia="pl-PL"/>
        </w:rPr>
        <w:t>,</w:t>
      </w:r>
      <w:r w:rsidRPr="00375799">
        <w:rPr>
          <w:rFonts w:eastAsia="Calibri" w:cstheme="minorHAnsi"/>
          <w:color w:val="000000" w:themeColor="text1"/>
          <w:sz w:val="24"/>
          <w:szCs w:val="24"/>
        </w:rPr>
        <w:t xml:space="preserve"> w przypadku zbierania danych od osoby, której dane dotyczą, realizowanego przez zamawiających. W praktyce będzie to dotyczyło obowiązku informacyjnego realizowanego względem wykonawcy będącego osobą fizyczną, który będzie musiał już na początku zapoznać się z treścią ogłoszenia o koncesji, wstępnym ogłoszeniu informacyjnym, zaproszeniu do ubiegania się o zawarcie umowy koncesji lub dokumentów koncesji, aby móc uczestniczyć w danych postępowaniu lub konkursie. Zatem informacje, o których mowa w art. 13 ust. 1-3 </w:t>
      </w:r>
      <w:r w:rsidR="006E00BC" w:rsidRPr="00375799">
        <w:rPr>
          <w:rFonts w:eastAsia="Calibri" w:cstheme="minorHAnsi"/>
          <w:color w:val="000000" w:themeColor="text1"/>
          <w:sz w:val="24"/>
          <w:szCs w:val="24"/>
        </w:rPr>
        <w:t>RODO</w:t>
      </w:r>
      <w:r w:rsidRPr="00375799">
        <w:rPr>
          <w:rFonts w:eastAsia="Times New Roman" w:cstheme="minorHAnsi"/>
          <w:color w:val="000000" w:themeColor="text1"/>
          <w:sz w:val="24"/>
          <w:szCs w:val="24"/>
          <w:lang w:eastAsia="pl-PL"/>
        </w:rPr>
        <w:t>,</w:t>
      </w:r>
      <w:r w:rsidRPr="00375799">
        <w:rPr>
          <w:rFonts w:eastAsia="Calibri" w:cstheme="minorHAnsi"/>
          <w:color w:val="000000" w:themeColor="text1"/>
          <w:sz w:val="24"/>
          <w:szCs w:val="24"/>
        </w:rPr>
        <w:t xml:space="preserve"> dotrą do takiego wykonawcy już na początku postępowania. Z uwagi na fakt, że informacje te byłyby podawane w konkretnym postępowaniu o zawarcie umowy koncesji</w:t>
      </w:r>
      <w:r w:rsidR="007935C5">
        <w:rPr>
          <w:rFonts w:eastAsia="Calibri" w:cstheme="minorHAnsi"/>
          <w:color w:val="000000" w:themeColor="text1"/>
          <w:sz w:val="24"/>
          <w:szCs w:val="24"/>
        </w:rPr>
        <w:t>,</w:t>
      </w:r>
      <w:r w:rsidRPr="00375799">
        <w:rPr>
          <w:rFonts w:eastAsia="Calibri" w:cstheme="minorHAnsi"/>
          <w:color w:val="000000" w:themeColor="text1"/>
          <w:sz w:val="24"/>
          <w:szCs w:val="24"/>
        </w:rPr>
        <w:t xml:space="preserve"> obowiązek indywidualnego informowania, o którym mowa w art. 13 </w:t>
      </w:r>
      <w:r w:rsidR="006E00B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realizowany byłby przy pomocy narzędzi i sposobów dostępnych zamawiającemu w ramach prowadzonego postępowania. Projektowana regulacja umożliwia nieprzekazywanie powyższych informacji odrębnie każdej osobie, ubiegającej się o zawarcie umowy koncesji, której dane dotyczą, ale przekazanie ich w formie komunikatu poprzez zawarcie wszystkich niezbędnych informacji przez zamawiającego w ogłoszeniu o koncesji, wstępnym ogłoszeniu informacyjnym, zaproszeniu do ubiegania się o zawarcie umowy koncesji lub w dokumentach koncesji. </w:t>
      </w:r>
      <w:r w:rsidRPr="00375799">
        <w:rPr>
          <w:rFonts w:eastAsia="Times New Roman" w:cstheme="minorHAnsi"/>
          <w:color w:val="000000" w:themeColor="text1"/>
          <w:sz w:val="24"/>
          <w:szCs w:val="24"/>
          <w:lang w:eastAsia="pl-PL"/>
        </w:rPr>
        <w:t xml:space="preserve">Mając na względzie treść art. 12 </w:t>
      </w:r>
      <w:r w:rsidR="006E00BC" w:rsidRPr="00375799">
        <w:rPr>
          <w:rFonts w:eastAsia="Calibri" w:cstheme="minorHAnsi"/>
          <w:color w:val="000000" w:themeColor="text1"/>
          <w:sz w:val="24"/>
          <w:szCs w:val="24"/>
        </w:rPr>
        <w:t>RODO</w:t>
      </w:r>
      <w:r w:rsidRPr="00375799">
        <w:rPr>
          <w:rFonts w:eastAsia="Times New Roman" w:cstheme="minorHAnsi"/>
          <w:color w:val="000000" w:themeColor="text1"/>
          <w:sz w:val="24"/>
          <w:szCs w:val="24"/>
          <w:lang w:eastAsia="pl-PL"/>
        </w:rPr>
        <w:t>, informacje te muszą być zamieszczone w łatwo dostępnej formie i opisane przejrzystym, zrozumiałym</w:t>
      </w:r>
      <w:r w:rsidR="007935C5">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 jasnym i prostym językiem.</w:t>
      </w:r>
      <w:r w:rsidRPr="00375799">
        <w:rPr>
          <w:rFonts w:eastAsia="Times New Roman" w:cstheme="minorHAnsi"/>
          <w:b/>
          <w:color w:val="000000" w:themeColor="text1"/>
          <w:sz w:val="24"/>
          <w:szCs w:val="24"/>
          <w:lang w:eastAsia="pl-PL"/>
        </w:rPr>
        <w:t xml:space="preserve"> </w:t>
      </w:r>
    </w:p>
    <w:p w14:paraId="55752180" w14:textId="12F35E39" w:rsidR="00850D88" w:rsidRPr="00375799" w:rsidRDefault="00850D88" w:rsidP="0055107B">
      <w:pPr>
        <w:suppressAutoHyphens/>
        <w:autoSpaceDE w:val="0"/>
        <w:autoSpaceDN w:val="0"/>
        <w:adjustRightInd w:val="0"/>
        <w:spacing w:after="0" w:line="276" w:lineRule="auto"/>
        <w:ind w:left="57" w:right="57" w:firstLine="567"/>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Reasumując, biorąc pod uwagę specyfikę zawierania umów koncesji na roboty budowlane lub usługi oraz konieczność zapewnienia efektywnego prowadzenia postępowania o zawarcie umowy koncesji</w:t>
      </w:r>
      <w:r w:rsidR="007935C5">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 proponuje się wprowadzenie możliwości elastycznego stosowania art. 13 </w:t>
      </w:r>
      <w:r w:rsidR="006E00BC" w:rsidRPr="00375799">
        <w:rPr>
          <w:rFonts w:eastAsia="Calibri" w:cstheme="minorHAnsi"/>
          <w:color w:val="000000" w:themeColor="text1"/>
          <w:sz w:val="24"/>
          <w:szCs w:val="24"/>
        </w:rPr>
        <w:t>RODO</w:t>
      </w:r>
      <w:r w:rsidRPr="00375799">
        <w:rPr>
          <w:rFonts w:eastAsia="Times New Roman" w:cstheme="minorHAnsi"/>
          <w:color w:val="000000" w:themeColor="text1"/>
          <w:sz w:val="24"/>
          <w:szCs w:val="24"/>
          <w:lang w:eastAsia="pl-PL"/>
        </w:rPr>
        <w:t xml:space="preserve">. Zatem, zgodnie z projektowanym art. 16a ust. 1, „Zamawiający realizuje obowiązek informacyjny, o którym mowa w art. 13 ust. 1-3 </w:t>
      </w:r>
      <w:r w:rsidR="006E00BC" w:rsidRPr="00375799">
        <w:rPr>
          <w:rFonts w:eastAsia="Calibri" w:cstheme="minorHAnsi"/>
          <w:color w:val="000000" w:themeColor="text1"/>
          <w:sz w:val="24"/>
          <w:szCs w:val="24"/>
        </w:rPr>
        <w:t>RODO</w:t>
      </w:r>
      <w:r w:rsidR="006E00BC" w:rsidRPr="00375799" w:rsidDel="006E00BC">
        <w:rPr>
          <w:rFonts w:eastAsia="Times New Roman" w:cstheme="minorHAnsi"/>
          <w:color w:val="000000" w:themeColor="text1"/>
          <w:sz w:val="24"/>
          <w:szCs w:val="24"/>
          <w:lang w:eastAsia="pl-PL"/>
        </w:rPr>
        <w:t xml:space="preserve"> </w:t>
      </w:r>
      <w:r w:rsidRPr="00375799">
        <w:rPr>
          <w:rFonts w:eastAsia="Times New Roman" w:cstheme="minorHAnsi"/>
          <w:color w:val="000000" w:themeColor="text1"/>
          <w:sz w:val="24"/>
          <w:szCs w:val="24"/>
          <w:lang w:eastAsia="pl-PL"/>
        </w:rPr>
        <w:t xml:space="preserve"> przez zamieszczenie wymaganych informacji w ogłoszeniu o koncesji, wstępnym ogłoszeniu informacyjnym, zaproszeniu do ubiegania się o zawarcie umowy koncesji lub w dokumentach koncesji lub przy pierwszej czynności skierowanej do wykonawcy.”. </w:t>
      </w:r>
    </w:p>
    <w:p w14:paraId="099307D1" w14:textId="29DEEA23" w:rsidR="00850D88" w:rsidRPr="00375799" w:rsidRDefault="00BA0A78" w:rsidP="0055107B">
      <w:pPr>
        <w:spacing w:after="0" w:line="276" w:lineRule="auto"/>
        <w:ind w:left="57" w:right="57" w:firstLine="360"/>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3.2. </w:t>
      </w:r>
      <w:r w:rsidR="00850D88" w:rsidRPr="00375799">
        <w:rPr>
          <w:rFonts w:eastAsia="Calibri" w:cstheme="minorHAnsi"/>
          <w:color w:val="000000" w:themeColor="text1"/>
          <w:sz w:val="24"/>
          <w:szCs w:val="24"/>
        </w:rPr>
        <w:t>Projektowany art. 16a ust. 2 ustaw</w:t>
      </w:r>
      <w:r w:rsidR="0043734D">
        <w:rPr>
          <w:rFonts w:eastAsia="Calibri" w:cstheme="minorHAnsi"/>
          <w:color w:val="000000" w:themeColor="text1"/>
          <w:sz w:val="24"/>
          <w:szCs w:val="24"/>
        </w:rPr>
        <w:t>y</w:t>
      </w:r>
      <w:r w:rsidR="00850D88" w:rsidRPr="00375799">
        <w:rPr>
          <w:rFonts w:eastAsia="Calibri" w:cstheme="minorHAnsi"/>
          <w:color w:val="000000" w:themeColor="text1"/>
          <w:sz w:val="24"/>
          <w:szCs w:val="24"/>
        </w:rPr>
        <w:t xml:space="preserve"> koncesyjnej</w:t>
      </w:r>
      <w:r>
        <w:rPr>
          <w:rFonts w:eastAsia="Calibri" w:cstheme="minorHAnsi"/>
          <w:color w:val="000000" w:themeColor="text1"/>
          <w:sz w:val="24"/>
          <w:szCs w:val="24"/>
        </w:rPr>
        <w:t>.</w:t>
      </w:r>
    </w:p>
    <w:p w14:paraId="689F8802" w14:textId="552CC771" w:rsidR="00850D88" w:rsidRPr="00375799" w:rsidRDefault="00850D88" w:rsidP="0055107B">
      <w:pPr>
        <w:spacing w:after="0" w:line="276" w:lineRule="auto"/>
        <w:ind w:left="57" w:right="57" w:firstLine="360"/>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Mając na względzie dążenie do ograniczenia obowiązków administracyjnych w odniesieniu do zamawiających (co zostało również wyrażone w dyrektywie UE dotyczącej koncesji), jak również wprowadzenie wymogu wdrożenia przez zamawiających odpowiednich zabezpieczeń, prawnie uzasadnione jest oraz praktycznie niezbędne zmodyfikowanie art. 15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poprzez dostosowanie sposobu realizacji uprawnień wynikających z tego przepisu do uwarunkowań wynikających ze stosowania ustawy koncesyjnej, co ma na celu zapobieżenie – w interesie publicznym – nadmiernemu obciążaniu zamawiających, którzy w przeciwnym razie byliby </w:t>
      </w:r>
      <w:r w:rsidRPr="00375799">
        <w:rPr>
          <w:rFonts w:eastAsia="Calibri" w:cstheme="minorHAnsi"/>
          <w:color w:val="000000" w:themeColor="text1"/>
          <w:sz w:val="24"/>
          <w:szCs w:val="24"/>
        </w:rPr>
        <w:lastRenderedPageBreak/>
        <w:t xml:space="preserve">obciążeni obowiązkiem przeszukiwania nieraz znacznej ilości dokumentacji w celu ustalenia, czy konkretne dane osobowe były przetwarzane. Proponowane ograniczenie jest środkiem niezbędnym i proporcjonalnym do celów gromadzenia oraz przechowywania – w interesie publicznym – dokumentacji postępowania, a więc spełniona została przesłanka, o której mowa w art. 23 ust. 1 lit. e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t>
      </w:r>
    </w:p>
    <w:p w14:paraId="4B319F93" w14:textId="0FC2D526" w:rsidR="00850D88" w:rsidRPr="00375799" w:rsidRDefault="00850D88" w:rsidP="0055107B">
      <w:pPr>
        <w:spacing w:after="0" w:line="276" w:lineRule="auto"/>
        <w:ind w:left="57" w:right="57" w:firstLine="360"/>
        <w:contextualSpacing/>
        <w:jc w:val="both"/>
        <w:rPr>
          <w:rFonts w:eastAsia="Calibri" w:cstheme="minorHAnsi"/>
          <w:b/>
          <w:color w:val="000000" w:themeColor="text1"/>
          <w:sz w:val="24"/>
          <w:szCs w:val="24"/>
          <w:u w:val="single"/>
        </w:rPr>
      </w:pPr>
      <w:r w:rsidRPr="00375799">
        <w:rPr>
          <w:rFonts w:eastAsia="Calibri" w:cstheme="minorHAnsi"/>
          <w:color w:val="000000" w:themeColor="text1"/>
          <w:sz w:val="24"/>
          <w:szCs w:val="24"/>
        </w:rPr>
        <w:t>Zatem, zgodnie z projektowanym art. 16a ust. 2, „W przypadku, gdy w postępowaniu o zawarcie umowy koncesji albo po jego zakończeniu wykonanie obowiązku,</w:t>
      </w:r>
      <w:r w:rsidR="00C9481A">
        <w:rPr>
          <w:rFonts w:eastAsia="Calibri" w:cstheme="minorHAnsi"/>
          <w:color w:val="000000" w:themeColor="text1"/>
          <w:sz w:val="24"/>
          <w:szCs w:val="24"/>
        </w:rPr>
        <w:t xml:space="preserve"> o którym mowa w art. 15 ust. 1–</w:t>
      </w:r>
      <w:r w:rsidRPr="00375799">
        <w:rPr>
          <w:rFonts w:eastAsia="Calibri" w:cstheme="minorHAnsi"/>
          <w:color w:val="000000" w:themeColor="text1"/>
          <w:sz w:val="24"/>
          <w:szCs w:val="24"/>
        </w:rPr>
        <w:t xml:space="preserve">3 </w:t>
      </w:r>
      <w:r w:rsidR="00BA0A78">
        <w:rPr>
          <w:rFonts w:eastAsia="Calibri" w:cstheme="minorHAnsi"/>
          <w:color w:val="000000" w:themeColor="text1"/>
          <w:sz w:val="24"/>
          <w:szCs w:val="24"/>
        </w:rPr>
        <w:t>rozporząd</w:t>
      </w:r>
      <w:r w:rsidR="00C9481A">
        <w:rPr>
          <w:rFonts w:eastAsia="Calibri" w:cstheme="minorHAnsi"/>
          <w:color w:val="000000" w:themeColor="text1"/>
          <w:sz w:val="24"/>
          <w:szCs w:val="24"/>
        </w:rPr>
        <w:t>zenia 2016/679</w:t>
      </w:r>
      <w:r w:rsidRPr="00375799">
        <w:rPr>
          <w:rFonts w:eastAsia="Calibri" w:cstheme="minorHAnsi"/>
          <w:color w:val="000000" w:themeColor="text1"/>
          <w:sz w:val="24"/>
          <w:szCs w:val="24"/>
        </w:rPr>
        <w:t>, wymagałoby niewspółmiernie dużego wysiłku, zamawiający może żądać od osoby, której dane dotyczą wskazania dodatkowych informacji mających w szczególności na celu sprecyzowanie nazwy lub daty postępowania o zawarcie umowy koncesji”.</w:t>
      </w:r>
    </w:p>
    <w:p w14:paraId="49C3A4FE" w14:textId="12871976" w:rsidR="00850D88" w:rsidRPr="00375799" w:rsidRDefault="00BA0A78" w:rsidP="0055107B">
      <w:pPr>
        <w:spacing w:after="0" w:line="276" w:lineRule="auto"/>
        <w:ind w:left="57" w:right="57" w:firstLine="56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3.3. </w:t>
      </w:r>
      <w:r w:rsidR="00850D88" w:rsidRPr="00375799">
        <w:rPr>
          <w:rFonts w:eastAsia="Calibri" w:cstheme="minorHAnsi"/>
          <w:color w:val="000000" w:themeColor="text1"/>
          <w:sz w:val="24"/>
          <w:szCs w:val="24"/>
        </w:rPr>
        <w:t>Projektowany art. 16a ust. 3 ustaw</w:t>
      </w:r>
      <w:r w:rsidR="0043734D">
        <w:rPr>
          <w:rFonts w:eastAsia="Calibri" w:cstheme="minorHAnsi"/>
          <w:color w:val="000000" w:themeColor="text1"/>
          <w:sz w:val="24"/>
          <w:szCs w:val="24"/>
        </w:rPr>
        <w:t>y</w:t>
      </w:r>
      <w:r w:rsidR="00850D88" w:rsidRPr="00375799">
        <w:rPr>
          <w:rFonts w:eastAsia="Calibri" w:cstheme="minorHAnsi"/>
          <w:color w:val="000000" w:themeColor="text1"/>
          <w:sz w:val="24"/>
          <w:szCs w:val="24"/>
        </w:rPr>
        <w:t xml:space="preserve"> koncesyjnej</w:t>
      </w:r>
      <w:r>
        <w:rPr>
          <w:rFonts w:eastAsia="Calibri" w:cstheme="minorHAnsi"/>
          <w:color w:val="000000" w:themeColor="text1"/>
          <w:sz w:val="24"/>
          <w:szCs w:val="24"/>
        </w:rPr>
        <w:t>.</w:t>
      </w:r>
    </w:p>
    <w:p w14:paraId="719D6EE6" w14:textId="63E88E58" w:rsidR="00850D88" w:rsidRPr="00375799" w:rsidRDefault="00850D88" w:rsidP="0055107B">
      <w:pPr>
        <w:suppressAutoHyphens/>
        <w:autoSpaceDE w:val="0"/>
        <w:autoSpaceDN w:val="0"/>
        <w:adjustRightInd w:val="0"/>
        <w:spacing w:after="0" w:line="276" w:lineRule="auto"/>
        <w:ind w:left="57" w:right="57" w:firstLine="567"/>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Przepis ten ma na celu doprecyzowanie, że skorzystanie przez osobę, której dane osobowe dotyczą</w:t>
      </w:r>
      <w:r w:rsidR="007935C5">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 z uprawnienia do sprostowania lub uzupełnienia, o którym mowa w art. 16 </w:t>
      </w:r>
      <w:r w:rsidR="008D5D28" w:rsidRPr="00375799">
        <w:rPr>
          <w:rFonts w:eastAsia="Calibri" w:cstheme="minorHAnsi"/>
          <w:color w:val="000000" w:themeColor="text1"/>
          <w:sz w:val="24"/>
          <w:szCs w:val="24"/>
        </w:rPr>
        <w:t>RODO</w:t>
      </w:r>
      <w:r w:rsidRPr="00375799">
        <w:rPr>
          <w:rFonts w:eastAsia="Times New Roman" w:cstheme="minorHAnsi"/>
          <w:color w:val="000000" w:themeColor="text1"/>
          <w:sz w:val="24"/>
          <w:szCs w:val="24"/>
          <w:lang w:eastAsia="pl-PL"/>
        </w:rPr>
        <w:t xml:space="preserve">, nie może skutkować zmianą wyniku postępowania o zawarcie umowy koncesji ani umowy w zakresie niezgodnym z ustawą oraz nie może naruszać integralności przechowywanej dokumentacji postępowania. Nie będzie więc możliwa niezgodna z ustawą koncesyjną zmiana reguł toczącego się postępowania o zawarcie umowy koncesji czy postanowień umowy, w oparciu o przysługujące uprawnienie z art. 16 </w:t>
      </w:r>
      <w:r w:rsidR="008D5D28" w:rsidRPr="00375799">
        <w:rPr>
          <w:rFonts w:eastAsia="Calibri" w:cstheme="minorHAnsi"/>
          <w:color w:val="000000" w:themeColor="text1"/>
          <w:sz w:val="24"/>
          <w:szCs w:val="24"/>
        </w:rPr>
        <w:t>RODO</w:t>
      </w:r>
      <w:r w:rsidR="000C33E9">
        <w:rPr>
          <w:rFonts w:eastAsia="Times New Roman" w:cstheme="minorHAnsi"/>
          <w:color w:val="000000" w:themeColor="text1"/>
          <w:sz w:val="24"/>
          <w:szCs w:val="24"/>
          <w:lang w:eastAsia="pl-PL"/>
        </w:rPr>
        <w:t xml:space="preserve">. </w:t>
      </w:r>
      <w:r w:rsidRPr="00375799">
        <w:rPr>
          <w:rFonts w:eastAsia="Times New Roman" w:cstheme="minorHAnsi"/>
          <w:color w:val="000000" w:themeColor="text1"/>
          <w:sz w:val="24"/>
          <w:szCs w:val="24"/>
          <w:lang w:eastAsia="pl-PL"/>
        </w:rPr>
        <w:t xml:space="preserve">Nie będzie również możliwa jakakolwiek bezpośrednia ingerencja w treść przechowywanej dokumentacji postępowania, w oparciu o przysługujące uprawnienie z art. 16 </w:t>
      </w:r>
      <w:r w:rsidR="008D5D28" w:rsidRPr="00375799">
        <w:rPr>
          <w:rFonts w:eastAsia="Calibri" w:cstheme="minorHAnsi"/>
          <w:color w:val="000000" w:themeColor="text1"/>
          <w:sz w:val="24"/>
          <w:szCs w:val="24"/>
        </w:rPr>
        <w:t>RODO</w:t>
      </w:r>
      <w:r w:rsidRPr="00375799">
        <w:rPr>
          <w:rFonts w:eastAsia="Times New Roman" w:cstheme="minorHAnsi"/>
          <w:color w:val="000000" w:themeColor="text1"/>
          <w:sz w:val="24"/>
          <w:szCs w:val="24"/>
          <w:lang w:eastAsia="pl-PL"/>
        </w:rPr>
        <w:t>, gdyż dokumentacja postępowania przechowywana jest przede wszystkim w interesie publicznym, np. do celów kontroli. Wszelkie sprostowania lub uzupełnienia będą możliwe wyłącznie w postaci nowych dokumentów składanych jako załączniki do dokumentów, w których dane osobowe będą prostowane lub uzupełniane.</w:t>
      </w:r>
    </w:p>
    <w:p w14:paraId="3FB46A76" w14:textId="688F3566" w:rsidR="00850D88" w:rsidRPr="00375799" w:rsidRDefault="00BA0A78" w:rsidP="0055107B">
      <w:pPr>
        <w:spacing w:after="0" w:line="276" w:lineRule="auto"/>
        <w:ind w:left="57" w:right="57" w:firstLine="56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3.4. </w:t>
      </w:r>
      <w:r w:rsidR="00850D88" w:rsidRPr="00375799">
        <w:rPr>
          <w:rFonts w:eastAsia="Calibri" w:cstheme="minorHAnsi"/>
          <w:color w:val="000000" w:themeColor="text1"/>
          <w:sz w:val="24"/>
          <w:szCs w:val="24"/>
        </w:rPr>
        <w:t>Projektowany art. 16a ust. 4 ustaw</w:t>
      </w:r>
      <w:r w:rsidR="0043734D">
        <w:rPr>
          <w:rFonts w:eastAsia="Calibri" w:cstheme="minorHAnsi"/>
          <w:color w:val="000000" w:themeColor="text1"/>
          <w:sz w:val="24"/>
          <w:szCs w:val="24"/>
        </w:rPr>
        <w:t>y</w:t>
      </w:r>
      <w:r w:rsidR="00850D88" w:rsidRPr="00375799">
        <w:rPr>
          <w:rFonts w:eastAsia="Calibri" w:cstheme="minorHAnsi"/>
          <w:color w:val="000000" w:themeColor="text1"/>
          <w:sz w:val="24"/>
          <w:szCs w:val="24"/>
        </w:rPr>
        <w:t xml:space="preserve"> koncesyjnej</w:t>
      </w:r>
      <w:r w:rsidR="0043734D">
        <w:rPr>
          <w:rFonts w:eastAsia="Calibri" w:cstheme="minorHAnsi"/>
          <w:color w:val="000000" w:themeColor="text1"/>
          <w:sz w:val="24"/>
          <w:szCs w:val="24"/>
        </w:rPr>
        <w:t>.</w:t>
      </w:r>
    </w:p>
    <w:p w14:paraId="076502EB" w14:textId="59007E91" w:rsidR="00850D88" w:rsidRPr="00375799" w:rsidRDefault="00850D88" w:rsidP="0055107B">
      <w:pPr>
        <w:widowControl w:val="0"/>
        <w:autoSpaceDE w:val="0"/>
        <w:autoSpaceDN w:val="0"/>
        <w:adjustRightInd w:val="0"/>
        <w:spacing w:after="0" w:line="276" w:lineRule="auto"/>
        <w:ind w:left="57" w:right="57" w:firstLine="567"/>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Stosowanie w postępowaniu o zawarcie umowy koncesji art. 18</w:t>
      </w:r>
      <w:r w:rsidR="0043734D">
        <w:rPr>
          <w:rFonts w:eastAsia="Times New Roman" w:cstheme="minorHAnsi"/>
          <w:color w:val="000000" w:themeColor="text1"/>
          <w:sz w:val="24"/>
          <w:szCs w:val="24"/>
          <w:lang w:eastAsia="pl-PL"/>
        </w:rPr>
        <w:t xml:space="preserve"> ust. 1</w:t>
      </w:r>
      <w:r w:rsidRPr="00375799">
        <w:rPr>
          <w:rFonts w:eastAsia="Times New Roman" w:cstheme="minorHAnsi"/>
          <w:color w:val="000000" w:themeColor="text1"/>
          <w:sz w:val="24"/>
          <w:szCs w:val="24"/>
          <w:lang w:eastAsia="pl-PL"/>
        </w:rPr>
        <w:t xml:space="preserve"> </w:t>
      </w:r>
      <w:r w:rsidR="008D5D28" w:rsidRPr="00375799">
        <w:rPr>
          <w:rFonts w:eastAsia="Calibri" w:cstheme="minorHAnsi"/>
          <w:color w:val="000000" w:themeColor="text1"/>
          <w:sz w:val="24"/>
          <w:szCs w:val="24"/>
        </w:rPr>
        <w:t>RODO</w:t>
      </w:r>
      <w:r w:rsidR="008D5D28" w:rsidRPr="00375799" w:rsidDel="008D5D28">
        <w:rPr>
          <w:rFonts w:eastAsia="Times New Roman" w:cstheme="minorHAnsi"/>
          <w:color w:val="000000" w:themeColor="text1"/>
          <w:sz w:val="24"/>
          <w:szCs w:val="24"/>
          <w:lang w:eastAsia="pl-PL"/>
        </w:rPr>
        <w:t xml:space="preserve"> </w:t>
      </w:r>
      <w:r w:rsidRPr="00375799">
        <w:rPr>
          <w:rFonts w:eastAsia="Times New Roman" w:cstheme="minorHAnsi"/>
          <w:color w:val="000000" w:themeColor="text1"/>
          <w:sz w:val="24"/>
          <w:szCs w:val="24"/>
          <w:lang w:eastAsia="pl-PL"/>
        </w:rPr>
        <w:t>stanowiącego o prawie osoby, której dane dotyczą</w:t>
      </w:r>
      <w:r w:rsidR="007935C5">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 do żądania od administratora ograniczenia przetwarzania tych danych mogłoby sparaliżować proces zawierania umów koncesji, z uwagi na powiązany z tym uprawnieniem obowiązek wstrzymania lub ograniczenia przetwarzania danych przez zamawiającego.</w:t>
      </w:r>
    </w:p>
    <w:p w14:paraId="492DA0E0" w14:textId="3728CB41"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Biorąc pod uwagę specyfikę zawierania umów koncesji, które są udzielane i realizowane w interesie publicznym (w tym państw UE)</w:t>
      </w:r>
      <w:r w:rsidR="0043734D">
        <w:rPr>
          <w:rFonts w:eastAsia="Calibri" w:cstheme="minorHAnsi"/>
          <w:color w:val="000000" w:themeColor="text1"/>
          <w:sz w:val="24"/>
          <w:szCs w:val="24"/>
        </w:rPr>
        <w:t>,</w:t>
      </w:r>
      <w:r w:rsidRPr="00375799">
        <w:rPr>
          <w:rFonts w:eastAsia="Calibri" w:cstheme="minorHAnsi"/>
          <w:color w:val="000000" w:themeColor="text1"/>
          <w:sz w:val="24"/>
          <w:szCs w:val="24"/>
        </w:rPr>
        <w:t xml:space="preserve"> oraz konieczność zapewnienia efektywnego procesu zawierania umów koncesji, niezbędne jest zmodyfikowanie art. 18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poprzez dostosowanie sposobu realizacji uprawnień wynikających z tego przepisu do uwarunkowań wynikających ze stosowania ustawy koncesyjnej, co ma na celu zapobieżenie – w interesie publicznym – nadmiernemu wydłużaniu, a czasem zahamowaniu procesu zawierania umów koncesji. Proponowane ograniczenie jest środkiem niezbędnym i proporcjonalnym do celów realizowanych przez proces zawierania umów koncesji, a zatem spełniona została przesłanka, o której mowa w art. 23 ust. 1 lit. e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t>
      </w:r>
    </w:p>
    <w:p w14:paraId="7681915B" w14:textId="03046BD4" w:rsidR="00850D88" w:rsidRPr="00375799" w:rsidRDefault="00850D88" w:rsidP="0055107B">
      <w:pPr>
        <w:spacing w:after="0" w:line="276" w:lineRule="auto"/>
        <w:ind w:left="57" w:right="57" w:firstLine="567"/>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lastRenderedPageBreak/>
        <w:t>Zatem, zgodnie z projektowanym art. 16a ust. 4</w:t>
      </w:r>
      <w:r w:rsidR="0043734D">
        <w:rPr>
          <w:rFonts w:eastAsia="Times New Roman" w:cstheme="minorHAnsi"/>
          <w:bCs/>
          <w:color w:val="000000" w:themeColor="text1"/>
          <w:sz w:val="24"/>
          <w:szCs w:val="24"/>
          <w:lang w:eastAsia="pl-PL"/>
        </w:rPr>
        <w:t xml:space="preserve"> ustawy koncesyjnej</w:t>
      </w:r>
      <w:r w:rsidRPr="00375799">
        <w:rPr>
          <w:rFonts w:eastAsia="Times New Roman" w:cstheme="minorHAnsi"/>
          <w:bCs/>
          <w:color w:val="000000" w:themeColor="text1"/>
          <w:sz w:val="24"/>
          <w:szCs w:val="24"/>
          <w:lang w:eastAsia="pl-PL"/>
        </w:rPr>
        <w:t xml:space="preserve">, „Wystąpienie z żądaniem, o którym mowa w art. 18 ust. 1 </w:t>
      </w:r>
      <w:r w:rsidR="0043734D">
        <w:rPr>
          <w:rFonts w:eastAsia="Calibri" w:cstheme="minorHAnsi"/>
          <w:color w:val="000000" w:themeColor="text1"/>
          <w:sz w:val="24"/>
          <w:szCs w:val="24"/>
        </w:rPr>
        <w:t>rozporządzenia 2016/679 ...</w:t>
      </w:r>
      <w:r w:rsidRPr="00375799">
        <w:rPr>
          <w:rFonts w:eastAsia="Times New Roman" w:cstheme="minorHAnsi"/>
          <w:bCs/>
          <w:color w:val="000000" w:themeColor="text1"/>
          <w:sz w:val="24"/>
          <w:szCs w:val="24"/>
          <w:lang w:eastAsia="pl-PL"/>
        </w:rPr>
        <w:t>, nie ogranicza przetwarzania danych osobowych do czasu zakończenia postępowania o zawarcie umowy koncesji.”.</w:t>
      </w:r>
    </w:p>
    <w:p w14:paraId="63B2440C" w14:textId="09189F43" w:rsidR="00850D88" w:rsidRPr="00375799" w:rsidRDefault="0043734D" w:rsidP="0055107B">
      <w:pPr>
        <w:spacing w:after="0" w:line="276" w:lineRule="auto"/>
        <w:ind w:left="57" w:right="57" w:firstLine="56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3.5. </w:t>
      </w:r>
      <w:r w:rsidR="00850D88" w:rsidRPr="00375799">
        <w:rPr>
          <w:rFonts w:eastAsia="Calibri" w:cstheme="minorHAnsi"/>
          <w:color w:val="000000" w:themeColor="text1"/>
          <w:sz w:val="24"/>
          <w:szCs w:val="24"/>
        </w:rPr>
        <w:t>Projektowany art. 16a ust. 5 ustaw</w:t>
      </w:r>
      <w:r>
        <w:rPr>
          <w:rFonts w:eastAsia="Calibri" w:cstheme="minorHAnsi"/>
          <w:color w:val="000000" w:themeColor="text1"/>
          <w:sz w:val="24"/>
          <w:szCs w:val="24"/>
        </w:rPr>
        <w:t>y</w:t>
      </w:r>
      <w:r w:rsidR="00850D88" w:rsidRPr="00375799">
        <w:rPr>
          <w:rFonts w:eastAsia="Calibri" w:cstheme="minorHAnsi"/>
          <w:color w:val="000000" w:themeColor="text1"/>
          <w:sz w:val="24"/>
          <w:szCs w:val="24"/>
        </w:rPr>
        <w:t xml:space="preserve"> koncesyjnej</w:t>
      </w:r>
      <w:r>
        <w:rPr>
          <w:rFonts w:eastAsia="Calibri" w:cstheme="minorHAnsi"/>
          <w:color w:val="000000" w:themeColor="text1"/>
          <w:sz w:val="24"/>
          <w:szCs w:val="24"/>
        </w:rPr>
        <w:t>.</w:t>
      </w:r>
    </w:p>
    <w:p w14:paraId="48E96117" w14:textId="483DD69D"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Przepis ten jest konsekwencją wprowadzenia do art. 16a ust. 2 i 4 niezbędnych ograniczeń stosowania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(dotyczy to przepisów art. 15, </w:t>
      </w:r>
      <w:r w:rsidR="007935C5">
        <w:rPr>
          <w:rFonts w:eastAsia="Calibri" w:cstheme="minorHAnsi"/>
          <w:color w:val="000000" w:themeColor="text1"/>
          <w:sz w:val="24"/>
          <w:szCs w:val="24"/>
        </w:rPr>
        <w:t xml:space="preserve">art. </w:t>
      </w:r>
      <w:r w:rsidRPr="00375799">
        <w:rPr>
          <w:rFonts w:eastAsia="Calibri" w:cstheme="minorHAnsi"/>
          <w:color w:val="000000" w:themeColor="text1"/>
          <w:sz w:val="24"/>
          <w:szCs w:val="24"/>
        </w:rPr>
        <w:t xml:space="preserve">18), mających na celu dostosowanie sposobu realizacji uprawnień wynikających z tych przepisów do uwarunkowań wynikających ze stosowania ustawy koncesyjnej. </w:t>
      </w:r>
    </w:p>
    <w:p w14:paraId="3C3E9C4D" w14:textId="0541A5D5" w:rsidR="00850D88" w:rsidRPr="00375799" w:rsidRDefault="00850D88" w:rsidP="0055107B">
      <w:pPr>
        <w:shd w:val="clear" w:color="auto" w:fill="FFFFFF"/>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Zgodnie z art. 23 ust. 2 lit. h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wymagane jest wówczas wprowadzenie przepisu stanowiącego o prawie osób, których dane dotyczą, do uzyskania informacji o ograniczeniach w stosowaniu </w:t>
      </w:r>
      <w:r w:rsidR="008D5D28" w:rsidRPr="00375799">
        <w:rPr>
          <w:rFonts w:eastAsia="Calibri" w:cstheme="minorHAnsi"/>
          <w:color w:val="000000" w:themeColor="text1"/>
          <w:sz w:val="24"/>
          <w:szCs w:val="24"/>
        </w:rPr>
        <w:t>RODO</w:t>
      </w:r>
      <w:r w:rsidRPr="00375799">
        <w:rPr>
          <w:rFonts w:eastAsia="Calibri" w:cstheme="minorHAnsi"/>
          <w:b/>
          <w:color w:val="000000" w:themeColor="text1"/>
          <w:sz w:val="24"/>
          <w:szCs w:val="24"/>
        </w:rPr>
        <w:t xml:space="preserve">. </w:t>
      </w:r>
      <w:r w:rsidRPr="00375799">
        <w:rPr>
          <w:rFonts w:eastAsia="Calibri" w:cstheme="minorHAnsi"/>
          <w:color w:val="000000" w:themeColor="text1"/>
          <w:sz w:val="24"/>
          <w:szCs w:val="24"/>
        </w:rPr>
        <w:t>Projektowane brzmienie art. 16a ust. 5</w:t>
      </w:r>
      <w:r w:rsidR="0043734D">
        <w:rPr>
          <w:rFonts w:eastAsia="Calibri" w:cstheme="minorHAnsi"/>
          <w:color w:val="000000" w:themeColor="text1"/>
          <w:sz w:val="24"/>
          <w:szCs w:val="24"/>
        </w:rPr>
        <w:t xml:space="preserve"> ustawy koncesyjnej</w:t>
      </w:r>
      <w:r w:rsidRPr="00375799">
        <w:rPr>
          <w:rFonts w:eastAsia="Calibri" w:cstheme="minorHAnsi"/>
          <w:color w:val="000000" w:themeColor="text1"/>
          <w:sz w:val="24"/>
          <w:szCs w:val="24"/>
        </w:rPr>
        <w:t xml:space="preserve">, w praktyce pozostawi zamawiającemu możliwość wyboru jednego </w:t>
      </w:r>
      <w:r w:rsidR="0043734D">
        <w:rPr>
          <w:rFonts w:eastAsia="Calibri" w:cstheme="minorHAnsi"/>
          <w:color w:val="000000" w:themeColor="text1"/>
          <w:sz w:val="24"/>
          <w:szCs w:val="24"/>
        </w:rPr>
        <w:t>sposobu informowania o ograniczeniach</w:t>
      </w:r>
      <w:r w:rsidRPr="00375799">
        <w:rPr>
          <w:rFonts w:eastAsia="Calibri" w:cstheme="minorHAnsi"/>
          <w:color w:val="000000" w:themeColor="text1"/>
          <w:sz w:val="24"/>
          <w:szCs w:val="24"/>
        </w:rPr>
        <w:t xml:space="preserve"> wymienionych w tym przepisie. Będzie miał zastosowanie do wszystkich postępowań o zawarcie umowy koncesji prowadzonych w oparciu o przepisy tej ustawy. Uznano, że nałożenie na zamawiających obowiązku informowania o ograniczeniach w stosowaniu art. 15 i art. 18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zawsze na stronie internetowej prowadzonego postępowania oraz dodatkowo w ogłoszeniu o koncesji, wstępnym ogłoszeniu informacyjnym, zaproszeniu do ubiegania się o zawarcie umowy koncesji, w dokumentach koncesji lub w inny sposób dostępny dla osoby, której dane osobowe dotyczą</w:t>
      </w:r>
      <w:r w:rsidR="007935C5">
        <w:rPr>
          <w:rFonts w:eastAsia="Calibri" w:cstheme="minorHAnsi"/>
          <w:color w:val="000000" w:themeColor="text1"/>
          <w:sz w:val="24"/>
          <w:szCs w:val="24"/>
        </w:rPr>
        <w:t>,</w:t>
      </w:r>
      <w:r w:rsidRPr="00375799">
        <w:rPr>
          <w:rFonts w:eastAsia="Calibri" w:cstheme="minorHAnsi"/>
          <w:color w:val="000000" w:themeColor="text1"/>
          <w:sz w:val="24"/>
          <w:szCs w:val="24"/>
        </w:rPr>
        <w:t xml:space="preserve"> wydaje się nadmiernym obciążeniem zamawiających. Projektowany przepis art. 16a ust. 5</w:t>
      </w:r>
      <w:r w:rsidR="0043734D">
        <w:rPr>
          <w:rFonts w:eastAsia="Calibri" w:cstheme="minorHAnsi"/>
          <w:color w:val="000000" w:themeColor="text1"/>
          <w:sz w:val="24"/>
          <w:szCs w:val="24"/>
        </w:rPr>
        <w:t xml:space="preserve"> ustawy koncesyjnej </w:t>
      </w:r>
      <w:r w:rsidRPr="00375799">
        <w:rPr>
          <w:rFonts w:eastAsia="Calibri" w:cstheme="minorHAnsi"/>
          <w:color w:val="000000" w:themeColor="text1"/>
          <w:sz w:val="24"/>
          <w:szCs w:val="24"/>
        </w:rPr>
        <w:t xml:space="preserve">jest bowiem tylko dodatkowym sposobem przekazywania informacji o ograniczeniach w stosowaniu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które zostaną wprowadzone przepisami powszechnie obowiązującego prawa, tj. projektowanymi przepisami art. 16a ust. 2 i 4 </w:t>
      </w:r>
      <w:r w:rsidR="0043734D">
        <w:rPr>
          <w:rFonts w:eastAsia="Calibri" w:cstheme="minorHAnsi"/>
          <w:color w:val="000000" w:themeColor="text1"/>
          <w:sz w:val="24"/>
          <w:szCs w:val="24"/>
        </w:rPr>
        <w:t>ustawy koncesyjnej</w:t>
      </w:r>
      <w:r w:rsidRPr="00375799">
        <w:rPr>
          <w:rFonts w:eastAsia="Calibri" w:cstheme="minorHAnsi"/>
          <w:color w:val="000000" w:themeColor="text1"/>
          <w:sz w:val="24"/>
          <w:szCs w:val="24"/>
        </w:rPr>
        <w:t>. Stąd wystarczające wydaje się spełnienie obowiązku informowania o tych ograniczeniach tylko w jeden z wymienionych w art. 16a ust. 5 sposobów.</w:t>
      </w:r>
    </w:p>
    <w:p w14:paraId="48FF13DC" w14:textId="6C2B0A86" w:rsidR="00850D88" w:rsidRPr="00375799" w:rsidRDefault="00850D88" w:rsidP="0055107B">
      <w:pPr>
        <w:shd w:val="clear" w:color="auto" w:fill="FFFFFF"/>
        <w:spacing w:after="0" w:line="276" w:lineRule="auto"/>
        <w:ind w:left="57" w:right="57" w:firstLine="567"/>
        <w:contextualSpacing/>
        <w:jc w:val="both"/>
        <w:rPr>
          <w:rFonts w:eastAsia="Calibri" w:cstheme="minorHAnsi"/>
          <w:color w:val="000000" w:themeColor="text1"/>
          <w:sz w:val="24"/>
          <w:szCs w:val="24"/>
          <w:u w:val="single"/>
        </w:rPr>
      </w:pPr>
      <w:r w:rsidRPr="00375799">
        <w:rPr>
          <w:rFonts w:eastAsia="Calibri" w:cstheme="minorHAnsi"/>
          <w:color w:val="000000" w:themeColor="text1"/>
          <w:sz w:val="24"/>
          <w:szCs w:val="24"/>
        </w:rPr>
        <w:tab/>
        <w:t xml:space="preserve">Należy przy tym zauważyć, że w przypadkach prowadzenia konkurencyjnych postępowań o zawarcie umowy koncesji dokumenty koncesji są udostępniane na stronie internetowej prowadzonego postępowania. W takim przypadku nie wydaje się uzasadnione, aby informacja o ograniczeniach stosowania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była oprócz tego zawsze zamieszczana na stronie internetowej prowadzonego postępowania.</w:t>
      </w:r>
    </w:p>
    <w:p w14:paraId="7CA9A93F" w14:textId="4B274242" w:rsidR="00850D88" w:rsidRPr="00375799" w:rsidRDefault="0043734D" w:rsidP="0055107B">
      <w:pPr>
        <w:spacing w:after="0" w:line="276" w:lineRule="auto"/>
        <w:ind w:left="57" w:right="57" w:firstLine="56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4. </w:t>
      </w:r>
      <w:r w:rsidR="00850D88" w:rsidRPr="00375799">
        <w:rPr>
          <w:rFonts w:eastAsia="Calibri" w:cstheme="minorHAnsi"/>
          <w:color w:val="000000" w:themeColor="text1"/>
          <w:sz w:val="24"/>
          <w:szCs w:val="24"/>
        </w:rPr>
        <w:t>Projektowany art. 18a ustaw</w:t>
      </w:r>
      <w:r>
        <w:rPr>
          <w:rFonts w:eastAsia="Calibri" w:cstheme="minorHAnsi"/>
          <w:color w:val="000000" w:themeColor="text1"/>
          <w:sz w:val="24"/>
          <w:szCs w:val="24"/>
        </w:rPr>
        <w:t>y</w:t>
      </w:r>
      <w:r w:rsidR="00850D88" w:rsidRPr="00375799">
        <w:rPr>
          <w:rFonts w:eastAsia="Calibri" w:cstheme="minorHAnsi"/>
          <w:color w:val="000000" w:themeColor="text1"/>
          <w:sz w:val="24"/>
          <w:szCs w:val="24"/>
        </w:rPr>
        <w:t xml:space="preserve"> koncesyjnej</w:t>
      </w:r>
      <w:r>
        <w:rPr>
          <w:rFonts w:eastAsia="Calibri" w:cstheme="minorHAnsi"/>
          <w:color w:val="000000" w:themeColor="text1"/>
          <w:sz w:val="24"/>
          <w:szCs w:val="24"/>
        </w:rPr>
        <w:t>.</w:t>
      </w:r>
    </w:p>
    <w:p w14:paraId="13CEDD49" w14:textId="77777777" w:rsidR="00850D88" w:rsidRPr="00375799" w:rsidRDefault="00850D88" w:rsidP="0055107B">
      <w:pPr>
        <w:spacing w:after="0" w:line="276" w:lineRule="auto"/>
        <w:ind w:left="57" w:right="57" w:firstLine="567"/>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 xml:space="preserve">W związku z tym, że na gruncie ustawy koncesyjnej Prezes UZP wydaje w formie elektronicznej Biuletyn Zamówień Publicznych (dalej: „BZP”), natomiast zamawiający zamieszczają w BZP ogłoszenia - niezbędne jest doprecyzowanie wprost w ustawie koncesyjnej podziału zakresu obowiązków realizowanych przez tych administratorów danych osobowych.  </w:t>
      </w:r>
    </w:p>
    <w:p w14:paraId="020BF5B1" w14:textId="20DE8702" w:rsidR="00850D88" w:rsidRPr="00375799" w:rsidRDefault="00850D88" w:rsidP="0055107B">
      <w:pPr>
        <w:suppressAutoHyphens/>
        <w:autoSpaceDE w:val="0"/>
        <w:autoSpaceDN w:val="0"/>
        <w:adjustRightInd w:val="0"/>
        <w:spacing w:after="0" w:line="276" w:lineRule="auto"/>
        <w:ind w:left="57" w:right="57" w:firstLine="51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xml:space="preserve">Mając na względzie fakt, że wyłącznie zamawiający uprawnieni są do zamieszczania ogłoszeń w BZP konieczne i zasadne jest wprowadzenie regulacji, zgodnie z którą osoby, których dane osobowe dotyczą, chcąc korzystać z prawa do uzyskania informacji, o którym mowa w art. 15 </w:t>
      </w:r>
      <w:r w:rsidR="008D5D28" w:rsidRPr="00375799">
        <w:rPr>
          <w:rFonts w:eastAsia="Calibri" w:cstheme="minorHAnsi"/>
          <w:color w:val="000000" w:themeColor="text1"/>
          <w:sz w:val="24"/>
          <w:szCs w:val="24"/>
        </w:rPr>
        <w:t>RODO</w:t>
      </w:r>
      <w:r w:rsidRPr="00375799">
        <w:rPr>
          <w:rFonts w:eastAsia="Times New Roman" w:cstheme="minorHAnsi"/>
          <w:color w:val="000000" w:themeColor="text1"/>
          <w:sz w:val="24"/>
          <w:szCs w:val="24"/>
          <w:lang w:eastAsia="pl-PL"/>
        </w:rPr>
        <w:t xml:space="preserve">, będą zwracać się z odpowiednim żądaniem do zamawiającego, który </w:t>
      </w:r>
      <w:r w:rsidRPr="00375799">
        <w:rPr>
          <w:rFonts w:eastAsia="Times New Roman" w:cstheme="minorHAnsi"/>
          <w:color w:val="000000" w:themeColor="text1"/>
          <w:sz w:val="24"/>
          <w:szCs w:val="24"/>
          <w:lang w:eastAsia="pl-PL"/>
        </w:rPr>
        <w:lastRenderedPageBreak/>
        <w:t>zamieścił dane osobowe, nie zaś do Prezesa UZP (</w:t>
      </w:r>
      <w:r w:rsidRPr="00375799">
        <w:rPr>
          <w:rFonts w:eastAsia="Times New Roman" w:cstheme="minorHAnsi"/>
          <w:i/>
          <w:color w:val="000000" w:themeColor="text1"/>
          <w:sz w:val="24"/>
          <w:szCs w:val="24"/>
          <w:lang w:eastAsia="pl-PL"/>
        </w:rPr>
        <w:t>vide:</w:t>
      </w:r>
      <w:r w:rsidRPr="00375799">
        <w:rPr>
          <w:rFonts w:eastAsia="Times New Roman" w:cstheme="minorHAnsi"/>
          <w:color w:val="000000" w:themeColor="text1"/>
          <w:sz w:val="24"/>
          <w:szCs w:val="24"/>
          <w:lang w:eastAsia="pl-PL"/>
        </w:rPr>
        <w:t xml:space="preserve"> projektowany art. 18a ust. 1</w:t>
      </w:r>
      <w:r w:rsidR="0043734D">
        <w:rPr>
          <w:rFonts w:eastAsia="Times New Roman" w:cstheme="minorHAnsi"/>
          <w:color w:val="000000" w:themeColor="text1"/>
          <w:sz w:val="24"/>
          <w:szCs w:val="24"/>
          <w:lang w:eastAsia="pl-PL"/>
        </w:rPr>
        <w:t xml:space="preserve"> ustawy koncesyjnej</w:t>
      </w:r>
      <w:r w:rsidRPr="00375799">
        <w:rPr>
          <w:rFonts w:eastAsia="Times New Roman" w:cstheme="minorHAnsi"/>
          <w:color w:val="000000" w:themeColor="text1"/>
          <w:sz w:val="24"/>
          <w:szCs w:val="24"/>
          <w:lang w:eastAsia="pl-PL"/>
        </w:rPr>
        <w:t>).</w:t>
      </w:r>
    </w:p>
    <w:p w14:paraId="1FDD354F" w14:textId="668151CC" w:rsidR="00850D88" w:rsidRPr="00375799" w:rsidRDefault="00850D88" w:rsidP="0055107B">
      <w:pPr>
        <w:suppressAutoHyphens/>
        <w:autoSpaceDE w:val="0"/>
        <w:autoSpaceDN w:val="0"/>
        <w:adjustRightInd w:val="0"/>
        <w:spacing w:after="0" w:line="276" w:lineRule="auto"/>
        <w:ind w:left="57" w:right="57" w:firstLine="510"/>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 xml:space="preserve">Na tej samej zasadzie, jak powyżej, będzie realizowane prawo do sprostowania danych oraz uzupełnienia niekompletnych danych, o którym mowa w art. 16 </w:t>
      </w:r>
      <w:r w:rsidR="008D5D28" w:rsidRPr="00375799">
        <w:rPr>
          <w:rFonts w:eastAsia="Calibri" w:cstheme="minorHAnsi"/>
          <w:color w:val="000000" w:themeColor="text1"/>
          <w:sz w:val="24"/>
          <w:szCs w:val="24"/>
        </w:rPr>
        <w:t>RODO</w:t>
      </w:r>
      <w:r w:rsidRPr="00375799">
        <w:rPr>
          <w:rFonts w:eastAsia="Times New Roman" w:cstheme="minorHAnsi"/>
          <w:color w:val="000000" w:themeColor="text1"/>
          <w:sz w:val="24"/>
          <w:szCs w:val="24"/>
          <w:lang w:eastAsia="pl-PL"/>
        </w:rPr>
        <w:t xml:space="preserve"> (vide: p</w:t>
      </w:r>
      <w:r w:rsidR="00AF1E91" w:rsidRPr="00375799">
        <w:rPr>
          <w:rFonts w:eastAsia="Times New Roman" w:cstheme="minorHAnsi"/>
          <w:color w:val="000000" w:themeColor="text1"/>
          <w:sz w:val="24"/>
          <w:szCs w:val="24"/>
          <w:lang w:eastAsia="pl-PL"/>
        </w:rPr>
        <w:t>rojektowany art. 18a ust. 2).</w:t>
      </w:r>
    </w:p>
    <w:p w14:paraId="0452DF69" w14:textId="3C25B6FE" w:rsidR="00850D88" w:rsidRPr="00375799" w:rsidRDefault="00850D88" w:rsidP="0055107B">
      <w:pPr>
        <w:suppressAutoHyphens/>
        <w:autoSpaceDE w:val="0"/>
        <w:autoSpaceDN w:val="0"/>
        <w:adjustRightInd w:val="0"/>
        <w:spacing w:after="0" w:line="276" w:lineRule="auto"/>
        <w:ind w:left="57" w:right="57" w:firstLine="567"/>
        <w:contextualSpacing/>
        <w:jc w:val="both"/>
        <w:rPr>
          <w:rFonts w:eastAsia="Times New Roman" w:cstheme="minorHAnsi"/>
          <w:color w:val="000000" w:themeColor="text1"/>
          <w:sz w:val="24"/>
          <w:szCs w:val="24"/>
          <w:lang w:eastAsia="pl-PL"/>
        </w:rPr>
      </w:pPr>
      <w:r w:rsidRPr="00375799">
        <w:rPr>
          <w:rFonts w:eastAsia="Times New Roman" w:cstheme="minorHAnsi"/>
          <w:color w:val="000000" w:themeColor="text1"/>
          <w:sz w:val="24"/>
          <w:szCs w:val="24"/>
          <w:lang w:eastAsia="pl-PL"/>
        </w:rPr>
        <w:t>Natomiast zadaniem Prezesa Urzędu Zamówień Publicznych będzie zapewnienie technicznego utrzymania systemu teleinformatycznego</w:t>
      </w:r>
      <w:r w:rsidR="007935C5">
        <w:rPr>
          <w:rFonts w:eastAsia="Times New Roman" w:cstheme="minorHAnsi"/>
          <w:color w:val="000000" w:themeColor="text1"/>
          <w:sz w:val="24"/>
          <w:szCs w:val="24"/>
          <w:lang w:eastAsia="pl-PL"/>
        </w:rPr>
        <w:t>,</w:t>
      </w:r>
      <w:r w:rsidRPr="00375799">
        <w:rPr>
          <w:rFonts w:eastAsia="Times New Roman" w:cstheme="minorHAnsi"/>
          <w:color w:val="000000" w:themeColor="text1"/>
          <w:sz w:val="24"/>
          <w:szCs w:val="24"/>
          <w:lang w:eastAsia="pl-PL"/>
        </w:rPr>
        <w:t xml:space="preserve"> przy użyciu którego udostępniany jest  BZP, ponadto Prezes UZP zobligowany będzie do określenia w wewnętrznych regulacjach okresów przechowywania danych osobowych zamieszczonych w BZP (vide: projektowany art. 18a ust. 3</w:t>
      </w:r>
      <w:r w:rsidR="0043734D">
        <w:rPr>
          <w:rFonts w:eastAsia="Times New Roman" w:cstheme="minorHAnsi"/>
          <w:color w:val="000000" w:themeColor="text1"/>
          <w:sz w:val="24"/>
          <w:szCs w:val="24"/>
          <w:lang w:eastAsia="pl-PL"/>
        </w:rPr>
        <w:t>ustawy koncesyjnej</w:t>
      </w:r>
      <w:r w:rsidRPr="00375799">
        <w:rPr>
          <w:rFonts w:eastAsia="Times New Roman" w:cstheme="minorHAnsi"/>
          <w:color w:val="000000" w:themeColor="text1"/>
          <w:sz w:val="24"/>
          <w:szCs w:val="24"/>
          <w:lang w:eastAsia="pl-PL"/>
        </w:rPr>
        <w:t xml:space="preserve">). </w:t>
      </w:r>
    </w:p>
    <w:p w14:paraId="7A51831A" w14:textId="650FA02C" w:rsidR="00850D88" w:rsidRPr="00375799" w:rsidRDefault="0043734D" w:rsidP="0055107B">
      <w:pPr>
        <w:spacing w:after="0" w:line="276" w:lineRule="auto"/>
        <w:ind w:left="57" w:right="57" w:firstLine="56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5. </w:t>
      </w:r>
      <w:r w:rsidR="00850D88" w:rsidRPr="00375799">
        <w:rPr>
          <w:rFonts w:eastAsia="Calibri" w:cstheme="minorHAnsi"/>
          <w:color w:val="000000" w:themeColor="text1"/>
          <w:sz w:val="24"/>
          <w:szCs w:val="24"/>
        </w:rPr>
        <w:t>Projektowany art. 26 ust. 8 ustaw</w:t>
      </w:r>
      <w:r>
        <w:rPr>
          <w:rFonts w:eastAsia="Calibri" w:cstheme="minorHAnsi"/>
          <w:color w:val="000000" w:themeColor="text1"/>
          <w:sz w:val="24"/>
          <w:szCs w:val="24"/>
        </w:rPr>
        <w:t>y</w:t>
      </w:r>
      <w:r w:rsidR="00850D88" w:rsidRPr="00375799">
        <w:rPr>
          <w:rFonts w:eastAsia="Calibri" w:cstheme="minorHAnsi"/>
          <w:color w:val="000000" w:themeColor="text1"/>
          <w:sz w:val="24"/>
          <w:szCs w:val="24"/>
        </w:rPr>
        <w:t xml:space="preserve"> koncesyjnej</w:t>
      </w:r>
    </w:p>
    <w:p w14:paraId="241F72FC" w14:textId="77777777" w:rsidR="00850D88" w:rsidRPr="00375799" w:rsidRDefault="00850D88" w:rsidP="0055107B">
      <w:pPr>
        <w:spacing w:after="0" w:line="276" w:lineRule="auto"/>
        <w:ind w:left="57" w:right="57" w:firstLine="567"/>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 xml:space="preserve">Zasadniczym celem projektowanego przepisu jest przesądzenie wprost w przepisach ustawy koncesyjnej zakresu danych osobowych niezbędnych do weryfikacji zatrudnienia przez koncesjonariusza lub podwykonawcę na podstawie umowy o pracę, w przypadku, o którym mowa w art. 26 ust. 6. </w:t>
      </w:r>
    </w:p>
    <w:p w14:paraId="658AEECF" w14:textId="77777777" w:rsidR="00850D88" w:rsidRPr="00375799" w:rsidRDefault="00850D88" w:rsidP="0055107B">
      <w:pPr>
        <w:spacing w:after="0" w:line="276" w:lineRule="auto"/>
        <w:ind w:left="57" w:right="57" w:firstLine="567"/>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Zamawiający będzie mógł zatem żądać:</w:t>
      </w:r>
    </w:p>
    <w:p w14:paraId="1DF85D0F" w14:textId="77777777" w:rsidR="00850D88" w:rsidRPr="00375799" w:rsidRDefault="00850D88" w:rsidP="0055107B">
      <w:pPr>
        <w:spacing w:after="0" w:line="276" w:lineRule="auto"/>
        <w:ind w:left="57" w:right="57" w:hanging="510"/>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1)</w:t>
      </w:r>
      <w:r w:rsidRPr="00375799">
        <w:rPr>
          <w:rFonts w:eastAsia="Times New Roman" w:cstheme="minorHAnsi"/>
          <w:bCs/>
          <w:color w:val="000000" w:themeColor="text1"/>
          <w:sz w:val="24"/>
          <w:szCs w:val="24"/>
          <w:lang w:eastAsia="pl-PL"/>
        </w:rPr>
        <w:tab/>
        <w:t>oświadczenia koncesjonariusza lub podwykonawcy o zatrudnieniu pracownika na podstawie umowy o pracę,</w:t>
      </w:r>
    </w:p>
    <w:p w14:paraId="5C16C477" w14:textId="77777777" w:rsidR="00850D88" w:rsidRPr="00375799" w:rsidRDefault="00850D88" w:rsidP="0055107B">
      <w:pPr>
        <w:spacing w:after="0" w:line="276" w:lineRule="auto"/>
        <w:ind w:left="57" w:right="57" w:hanging="510"/>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2)</w:t>
      </w:r>
      <w:r w:rsidRPr="00375799">
        <w:rPr>
          <w:rFonts w:eastAsia="Times New Roman" w:cstheme="minorHAnsi"/>
          <w:bCs/>
          <w:color w:val="000000" w:themeColor="text1"/>
          <w:sz w:val="24"/>
          <w:szCs w:val="24"/>
          <w:lang w:eastAsia="pl-PL"/>
        </w:rPr>
        <w:tab/>
        <w:t xml:space="preserve">poświadczonej za zgodność z oryginałem kopii umowy o pracę zatrudnionego pracownika, </w:t>
      </w:r>
    </w:p>
    <w:p w14:paraId="707BF606" w14:textId="77777777" w:rsidR="00850D88" w:rsidRPr="00375799" w:rsidRDefault="00850D88" w:rsidP="0055107B">
      <w:pPr>
        <w:spacing w:after="0" w:line="276" w:lineRule="auto"/>
        <w:ind w:left="57" w:right="57" w:hanging="510"/>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3)</w:t>
      </w:r>
      <w:r w:rsidRPr="00375799">
        <w:rPr>
          <w:rFonts w:eastAsia="Times New Roman" w:cstheme="minorHAnsi"/>
          <w:bCs/>
          <w:color w:val="000000" w:themeColor="text1"/>
          <w:sz w:val="24"/>
          <w:szCs w:val="24"/>
          <w:lang w:eastAsia="pl-PL"/>
        </w:rPr>
        <w:tab/>
        <w:t>innych dokumentów</w:t>
      </w:r>
    </w:p>
    <w:p w14:paraId="5E9A3A7D" w14:textId="77777777" w:rsidR="00850D88" w:rsidRPr="00375799" w:rsidRDefault="00850D88" w:rsidP="0055107B">
      <w:pPr>
        <w:spacing w:after="0" w:line="276" w:lineRule="auto"/>
        <w:ind w:left="57" w:right="57" w:hanging="709"/>
        <w:contextualSpacing/>
        <w:jc w:val="both"/>
        <w:rPr>
          <w:rFonts w:eastAsia="Times New Roman" w:cstheme="minorHAnsi"/>
          <w:bCs/>
          <w:color w:val="000000" w:themeColor="text1"/>
          <w:sz w:val="24"/>
          <w:szCs w:val="24"/>
          <w:lang w:eastAsia="pl-PL"/>
        </w:rPr>
      </w:pPr>
      <w:r w:rsidRPr="00375799">
        <w:rPr>
          <w:rFonts w:eastAsia="Times New Roman" w:cstheme="minorHAnsi"/>
          <w:bCs/>
          <w:color w:val="000000" w:themeColor="text1"/>
          <w:sz w:val="24"/>
          <w:szCs w:val="24"/>
          <w:lang w:eastAsia="pl-PL"/>
        </w:rPr>
        <w:t xml:space="preserve"> - </w:t>
      </w:r>
      <w:r w:rsidRPr="00375799">
        <w:rPr>
          <w:rFonts w:eastAsia="Times New Roman" w:cstheme="minorHAnsi"/>
          <w:bCs/>
          <w:color w:val="000000" w:themeColor="text1"/>
          <w:sz w:val="24"/>
          <w:szCs w:val="24"/>
          <w:lang w:eastAsia="pl-PL"/>
        </w:rPr>
        <w:tab/>
        <w:t>zawierających informacje, w tym dane osobowe, niezbędne do weryfikacji zatrudnienia na podstawie umowy o pracę, w szczególności: imię i nazwisko zatrudnionego pracownika, datę zawarcia umowy o pracę, rodzaj umowy o pracę,  zakres obowiązków pracownika.</w:t>
      </w:r>
    </w:p>
    <w:p w14:paraId="5DC2C66B" w14:textId="19CB3645" w:rsidR="00850D88" w:rsidRPr="00375799" w:rsidRDefault="0043734D" w:rsidP="0055107B">
      <w:pPr>
        <w:spacing w:after="0" w:line="276" w:lineRule="auto"/>
        <w:ind w:left="57" w:right="57" w:firstLine="56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6. </w:t>
      </w:r>
      <w:r w:rsidR="00850D88" w:rsidRPr="00375799">
        <w:rPr>
          <w:rFonts w:eastAsia="Calibri" w:cstheme="minorHAnsi"/>
          <w:color w:val="000000" w:themeColor="text1"/>
          <w:sz w:val="24"/>
          <w:szCs w:val="24"/>
        </w:rPr>
        <w:t>Projektowany art. 29 ust. 7 ustaw</w:t>
      </w:r>
      <w:r>
        <w:rPr>
          <w:rFonts w:eastAsia="Calibri" w:cstheme="minorHAnsi"/>
          <w:color w:val="000000" w:themeColor="text1"/>
          <w:sz w:val="24"/>
          <w:szCs w:val="24"/>
        </w:rPr>
        <w:t>y</w:t>
      </w:r>
      <w:r w:rsidR="00850D88" w:rsidRPr="00375799">
        <w:rPr>
          <w:rFonts w:eastAsia="Calibri" w:cstheme="minorHAnsi"/>
          <w:color w:val="000000" w:themeColor="text1"/>
          <w:sz w:val="24"/>
          <w:szCs w:val="24"/>
        </w:rPr>
        <w:t xml:space="preserve"> koncesyjnej</w:t>
      </w:r>
      <w:r>
        <w:rPr>
          <w:rFonts w:eastAsia="Calibri" w:cstheme="minorHAnsi"/>
          <w:color w:val="000000" w:themeColor="text1"/>
          <w:sz w:val="24"/>
          <w:szCs w:val="24"/>
        </w:rPr>
        <w:t>.</w:t>
      </w:r>
    </w:p>
    <w:p w14:paraId="1442DE20" w14:textId="23EDBD86"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Przepis ten jest ogólną regulacją wymaganą przez art. 23 ust. 2 lit. d i g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Projektowana regulacja będzie miała zastosowanie do wszystkich przypadków przetwarzania danych na gruncie ustawy koncesyjnej, w szczególności do przetwarzania (w tym ujawniania) danych dotyczących wyroków skazujących i naruszeń prawa. Zgodnie bowiem z projektowanym art. 29 ust. 7, zamawiający przetwarza dane osobowe zebrane w toku oraz po zakończeniu postępowania o zawarcie umowy koncesji w sposób gwarantujący zabezpieczenie przed ich bezprawnym rozpowszechnianiem.  </w:t>
      </w:r>
    </w:p>
    <w:p w14:paraId="645030A3" w14:textId="14955266" w:rsidR="00850D88" w:rsidRPr="00375799" w:rsidRDefault="0043734D" w:rsidP="0055107B">
      <w:pPr>
        <w:spacing w:after="0" w:line="276" w:lineRule="auto"/>
        <w:ind w:left="57" w:right="57" w:firstLine="56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7. </w:t>
      </w:r>
      <w:r w:rsidR="00850D88" w:rsidRPr="00375799">
        <w:rPr>
          <w:rFonts w:eastAsia="Calibri" w:cstheme="minorHAnsi"/>
          <w:color w:val="000000" w:themeColor="text1"/>
          <w:sz w:val="24"/>
          <w:szCs w:val="24"/>
        </w:rPr>
        <w:t>Projektowany art. 30 ust. 6 ustaw</w:t>
      </w:r>
      <w:r>
        <w:rPr>
          <w:rFonts w:eastAsia="Calibri" w:cstheme="minorHAnsi"/>
          <w:color w:val="000000" w:themeColor="text1"/>
          <w:sz w:val="24"/>
          <w:szCs w:val="24"/>
        </w:rPr>
        <w:t>y</w:t>
      </w:r>
      <w:r w:rsidR="00850D88" w:rsidRPr="00375799">
        <w:rPr>
          <w:rFonts w:eastAsia="Calibri" w:cstheme="minorHAnsi"/>
          <w:color w:val="000000" w:themeColor="text1"/>
          <w:sz w:val="24"/>
          <w:szCs w:val="24"/>
        </w:rPr>
        <w:t xml:space="preserve"> koncesyjnej</w:t>
      </w:r>
      <w:r>
        <w:rPr>
          <w:rFonts w:eastAsia="Calibri" w:cstheme="minorHAnsi"/>
          <w:color w:val="000000" w:themeColor="text1"/>
          <w:sz w:val="24"/>
          <w:szCs w:val="24"/>
        </w:rPr>
        <w:t>.</w:t>
      </w:r>
    </w:p>
    <w:p w14:paraId="7366D433" w14:textId="54BD93EF"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Przepis ten przewiduje wymóg wprowadzenia dodatkowego zabezpieczenia praw i wolności osób, których dane dotyczą, w przypadku przetwarzania (w tym ich udostępniania) danych dotyczących wyroków skazujących i naruszeń prawa. Projektowany przepis realizuje wymagania przewidziane w art. 10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w odniesieniu do prawa państwa członkowskiego, które oprócz podstawy prawnej do przetwarzania danych dotyczących wyroków skazujących i naruszeń prawa, musi zawierać odpowiednie zabezpieczenia praw i wolności osób, których dane dotyczą. </w:t>
      </w:r>
    </w:p>
    <w:p w14:paraId="4AE79373" w14:textId="07E10A8C"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lastRenderedPageBreak/>
        <w:t xml:space="preserve">Zatem zgodnie z projektowanym art. 30 ust. 6, „Do przetwarzania danych osobowych, o których mowa w art. 10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mogą być dopuszczone wyłącznie osoby posiadające pisemne upoważnienie. Osoby dopuszczone do przetwarzania takich danych są obowiązane do zachowania ich w poufności.”. </w:t>
      </w:r>
    </w:p>
    <w:p w14:paraId="31108469" w14:textId="5F5E64B7" w:rsidR="00850D88" w:rsidRPr="00375799" w:rsidRDefault="00850D88" w:rsidP="0055107B">
      <w:pPr>
        <w:spacing w:after="0" w:line="276" w:lineRule="auto"/>
        <w:ind w:left="57" w:right="57" w:firstLine="56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Wyjaśnienia wymaga, że projektowany art. 30 ust. 6 ustawy koncesyjnej nie zawiera wprost odesłania do danych, o których mowa w art. 9 ust. 1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gdyż obecnie na gruncie ustawy koncesyjnej nie jest możliwe żądanie tego rodzaju danych osobowych. Jednakże, gdyby zamawiający otrzymał w związku z prowadzonym postępowaniem o zawarcie umowy koncesji takie dane osobowe, to tym bardziej osoby przetwarzające takie dane osobowe byłyby zobowiązane do zachowania ich w poufności. </w:t>
      </w:r>
    </w:p>
    <w:p w14:paraId="64440F8E"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2215AFC7" w14:textId="3F86D72A"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51" w:name="_Toc530565123"/>
      <w:r w:rsidRPr="00375799">
        <w:rPr>
          <w:rFonts w:eastAsia="Times New Roman" w:cstheme="minorHAnsi"/>
          <w:color w:val="000000" w:themeColor="text1"/>
          <w:sz w:val="24"/>
          <w:szCs w:val="24"/>
        </w:rPr>
        <w:t>Ustawa z dnia 16 listopada 2016 r. o Krajowej Administracji Skarbowej</w:t>
      </w:r>
      <w:r w:rsidR="00A37C96" w:rsidRPr="00375799">
        <w:rPr>
          <w:rFonts w:eastAsia="Times New Roman" w:cstheme="minorHAnsi"/>
          <w:color w:val="000000" w:themeColor="text1"/>
          <w:sz w:val="24"/>
          <w:szCs w:val="24"/>
        </w:rPr>
        <w:t xml:space="preserve"> (Dz. U. z 2018 r. poz. 508, 650, 723, 1000</w:t>
      </w:r>
      <w:r w:rsidR="00481BA0">
        <w:rPr>
          <w:rFonts w:eastAsia="Times New Roman" w:cstheme="minorHAnsi"/>
          <w:color w:val="000000" w:themeColor="text1"/>
          <w:sz w:val="24"/>
          <w:szCs w:val="24"/>
        </w:rPr>
        <w:t>,</w:t>
      </w:r>
      <w:r w:rsidR="00A37C96" w:rsidRPr="00375799">
        <w:rPr>
          <w:rFonts w:eastAsia="Times New Roman" w:cstheme="minorHAnsi"/>
          <w:color w:val="000000" w:themeColor="text1"/>
          <w:sz w:val="24"/>
          <w:szCs w:val="24"/>
        </w:rPr>
        <w:t xml:space="preserve"> 1039</w:t>
      </w:r>
      <w:r w:rsidR="00481BA0">
        <w:rPr>
          <w:rFonts w:eastAsia="Times New Roman" w:cstheme="minorHAnsi"/>
          <w:color w:val="000000" w:themeColor="text1"/>
          <w:sz w:val="24"/>
          <w:szCs w:val="24"/>
        </w:rPr>
        <w:t>, 1499, 1544, 1577 i 1654</w:t>
      </w:r>
      <w:r w:rsidR="00A37C96" w:rsidRPr="00375799">
        <w:rPr>
          <w:rFonts w:eastAsia="Times New Roman" w:cstheme="minorHAnsi"/>
          <w:color w:val="000000" w:themeColor="text1"/>
          <w:sz w:val="24"/>
          <w:szCs w:val="24"/>
        </w:rPr>
        <w:t>)</w:t>
      </w:r>
      <w:bookmarkEnd w:id="151"/>
    </w:p>
    <w:p w14:paraId="35051C11"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2012898D" w14:textId="2090EED2" w:rsidR="00850D88" w:rsidRPr="00375799" w:rsidRDefault="0043734D"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1. </w:t>
      </w:r>
      <w:r w:rsidR="00850D88" w:rsidRPr="00375799">
        <w:rPr>
          <w:rFonts w:eastAsia="Calibri" w:cstheme="minorHAnsi"/>
          <w:color w:val="000000" w:themeColor="text1"/>
          <w:sz w:val="24"/>
          <w:szCs w:val="24"/>
        </w:rPr>
        <w:t>Dodanie art. 34a</w:t>
      </w:r>
      <w:r>
        <w:rPr>
          <w:rFonts w:eastAsia="Calibri" w:cstheme="minorHAnsi"/>
          <w:color w:val="000000" w:themeColor="text1"/>
          <w:sz w:val="24"/>
          <w:szCs w:val="24"/>
        </w:rPr>
        <w:t>.</w:t>
      </w:r>
    </w:p>
    <w:p w14:paraId="0233A3BE" w14:textId="34D9BCED"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Przepis art. 34a </w:t>
      </w:r>
      <w:r w:rsidR="0043734D">
        <w:rPr>
          <w:rFonts w:eastAsia="Calibri" w:cstheme="minorHAnsi"/>
          <w:color w:val="000000" w:themeColor="text1"/>
          <w:sz w:val="24"/>
          <w:szCs w:val="24"/>
        </w:rPr>
        <w:t>ustaw</w:t>
      </w:r>
      <w:r w:rsidR="00847396">
        <w:rPr>
          <w:rFonts w:eastAsia="Calibri" w:cstheme="minorHAnsi"/>
          <w:color w:val="000000" w:themeColor="text1"/>
          <w:sz w:val="24"/>
          <w:szCs w:val="24"/>
        </w:rPr>
        <w:t xml:space="preserve">y </w:t>
      </w:r>
      <w:r w:rsidRPr="00375799">
        <w:rPr>
          <w:rFonts w:eastAsia="Calibri" w:cstheme="minorHAnsi"/>
          <w:color w:val="000000" w:themeColor="text1"/>
          <w:sz w:val="24"/>
          <w:szCs w:val="24"/>
        </w:rPr>
        <w:t xml:space="preserve">ma na celu stworzenie podstawy prawnej do udzielania upoważnień przez organ do dostępu oraz przetwarzania danych osobowych. W obowiązującej ustawie o ochronie danych osobowych taka podstawa prawna istnieje w art. 37. Zgodnie z tym przepisem „Do przetwarzania danych mogą być dopuszczone wyłącznie osoby posiadające upoważnienie nadane przez administratora danych.”. </w:t>
      </w:r>
      <w:r w:rsidR="0043734D">
        <w:rPr>
          <w:rFonts w:eastAsia="Calibri" w:cstheme="minorHAnsi"/>
          <w:color w:val="000000" w:themeColor="text1"/>
          <w:sz w:val="24"/>
          <w:szCs w:val="24"/>
        </w:rPr>
        <w:t xml:space="preserve">RODO </w:t>
      </w:r>
      <w:r w:rsidRPr="00375799">
        <w:rPr>
          <w:rFonts w:eastAsia="Calibri" w:cstheme="minorHAnsi"/>
          <w:color w:val="000000" w:themeColor="text1"/>
          <w:sz w:val="24"/>
          <w:szCs w:val="24"/>
        </w:rPr>
        <w:t xml:space="preserve">nie przewiduje wprost takiej normy prawnej. Jedynie z przepisów (art. 29 i </w:t>
      </w:r>
      <w:r w:rsidR="007935C5">
        <w:rPr>
          <w:rFonts w:eastAsia="Calibri" w:cstheme="minorHAnsi"/>
          <w:color w:val="000000" w:themeColor="text1"/>
          <w:sz w:val="24"/>
          <w:szCs w:val="24"/>
        </w:rPr>
        <w:t xml:space="preserve">art. </w:t>
      </w:r>
      <w:r w:rsidRPr="00375799">
        <w:rPr>
          <w:rFonts w:eastAsia="Calibri" w:cstheme="minorHAnsi"/>
          <w:color w:val="000000" w:themeColor="text1"/>
          <w:sz w:val="24"/>
          <w:szCs w:val="24"/>
        </w:rPr>
        <w:t>32</w:t>
      </w:r>
      <w:r w:rsidR="0043734D">
        <w:rPr>
          <w:rFonts w:eastAsia="Calibri" w:cstheme="minorHAnsi"/>
          <w:color w:val="000000" w:themeColor="text1"/>
          <w:sz w:val="24"/>
          <w:szCs w:val="24"/>
        </w:rPr>
        <w:t xml:space="preserve"> RODO</w:t>
      </w:r>
      <w:r w:rsidRPr="00375799">
        <w:rPr>
          <w:rFonts w:eastAsia="Calibri" w:cstheme="minorHAnsi"/>
          <w:color w:val="000000" w:themeColor="text1"/>
          <w:sz w:val="24"/>
          <w:szCs w:val="24"/>
        </w:rPr>
        <w:t>) można wnioskować, że umocowanie do przetwarzania danych powinno mieć miejsce. W literaturze przedmiotu wspomina się, że brak szczegółowej regulacji w tym zakresie ma zapewnić administratorowi danych elastyczność w sposobie upoważniania osób zatrudnionych do dostępu i przetwarzania danych osobowych: „Samo umocowanie do przetwarzania – upoważnienie sensu largo – wypływać musi odpowiednio od administratora lub podmiotu przetwarzającego, natomiast – co ważne – niezależnie od źródła tego umocowania, osoba upoważniona tak przez administratora, jak i podmiot przetwarzający, oraz sam podmiot przetwarzający mogą działać wyłącznie na podstawie i w granicach polecenia wydawanego jedynie przez administratora. (…) Z przepisu tego nie wynika, że na administratorze lub podmiocie przetwarzającym ciąży obowiązek nadawania upoważnień do przetwarzania danych.” (Bielak-</w:t>
      </w:r>
      <w:proofErr w:type="spellStart"/>
      <w:r w:rsidRPr="00375799">
        <w:rPr>
          <w:rFonts w:eastAsia="Calibri" w:cstheme="minorHAnsi"/>
          <w:color w:val="000000" w:themeColor="text1"/>
          <w:sz w:val="24"/>
          <w:szCs w:val="24"/>
        </w:rPr>
        <w:t>Jomaa</w:t>
      </w:r>
      <w:proofErr w:type="spellEnd"/>
      <w:r w:rsidRPr="00375799">
        <w:rPr>
          <w:rFonts w:eastAsia="Calibri" w:cstheme="minorHAnsi"/>
          <w:color w:val="000000" w:themeColor="text1"/>
          <w:sz w:val="24"/>
          <w:szCs w:val="24"/>
        </w:rPr>
        <w:t xml:space="preserve"> Edyta (red.), Lubasz Dominik (red.), RODO. Ogólne rozporządzenie o ochronie danych. Komentarz. Opublikowano: WKP 2018). „Rozporządzenie nie przesądza, czy upoważnienie powinno być nadawane indywidualnie, czy też może przyjąć formę zbiorczej listy obejmującej wykaz upoważnianych osób. Wydaje się, że celowo decyzja w tym zakresie została pozostawiona administratorom danych, gdyż istotny jest fakt dopuszczenia do przetwarzania danych osób upoważnionych, zaś drugorzędne znaczenie ma forma aktu upoważnienia.” („Rozporządzenie UE w sprawie ochrony osób fizycznych w związku z przetwarzaniem danych osobowych i swobodnym przepływem takich danych. Komentarz” red. dr Paweł Litwiński, 2018). Takie stanowisko potwierdza również NSA w wyroku z dnia 31 maja 2017 r.</w:t>
      </w:r>
      <w:r w:rsidR="0043734D">
        <w:rPr>
          <w:rFonts w:eastAsia="Calibri" w:cstheme="minorHAnsi"/>
          <w:color w:val="000000" w:themeColor="text1"/>
          <w:sz w:val="24"/>
          <w:szCs w:val="24"/>
        </w:rPr>
        <w:t>,</w:t>
      </w:r>
      <w:r w:rsidRPr="00375799">
        <w:rPr>
          <w:rFonts w:eastAsia="Calibri" w:cstheme="minorHAnsi"/>
          <w:color w:val="000000" w:themeColor="text1"/>
          <w:sz w:val="24"/>
          <w:szCs w:val="24"/>
        </w:rPr>
        <w:t xml:space="preserve"> sygn. akt I FSK 1835/15, </w:t>
      </w:r>
      <w:r w:rsidR="0043734D">
        <w:rPr>
          <w:rFonts w:eastAsia="Calibri" w:cstheme="minorHAnsi"/>
          <w:color w:val="000000" w:themeColor="text1"/>
          <w:sz w:val="24"/>
          <w:szCs w:val="24"/>
        </w:rPr>
        <w:lastRenderedPageBreak/>
        <w:t xml:space="preserve">CBOSA, </w:t>
      </w:r>
      <w:r w:rsidRPr="00375799">
        <w:rPr>
          <w:rFonts w:eastAsia="Calibri" w:cstheme="minorHAnsi"/>
          <w:color w:val="000000" w:themeColor="text1"/>
          <w:sz w:val="24"/>
          <w:szCs w:val="24"/>
        </w:rPr>
        <w:t xml:space="preserve">w którym Sąd stwierdził na gruncie Ordynacji podatkowej „Udzielenie upoważnienia zgodnie z art. 143 § 1 </w:t>
      </w:r>
      <w:proofErr w:type="spellStart"/>
      <w:r w:rsidRPr="00375799">
        <w:rPr>
          <w:rFonts w:eastAsia="Calibri" w:cstheme="minorHAnsi"/>
          <w:color w:val="000000" w:themeColor="text1"/>
          <w:sz w:val="24"/>
          <w:szCs w:val="24"/>
        </w:rPr>
        <w:t>o.p</w:t>
      </w:r>
      <w:proofErr w:type="spellEnd"/>
      <w:r w:rsidRPr="00375799">
        <w:rPr>
          <w:rFonts w:eastAsia="Calibri" w:cstheme="minorHAnsi"/>
          <w:color w:val="000000" w:themeColor="text1"/>
          <w:sz w:val="24"/>
          <w:szCs w:val="24"/>
        </w:rPr>
        <w:t>. jest czynnością wewnętrzną organu podatkowego, w związku z tym nie doręcza się go stronie w związku z wszczęciem postępowania, nie musi się również ono znajdować w aktach postępowania. Za prawidłowe, z zachowaniem wymogu pisemności, należy uznać upoważnienie wynikające z regulaminu urzędu, zarządzenia czy zakresu czynności, które są dostępne, czy to w siedzibie organu, czy też na jego stronie internetowej.” Mając na uwadze powyższe</w:t>
      </w:r>
      <w:r w:rsidR="0043734D">
        <w:rPr>
          <w:rFonts w:eastAsia="Calibri" w:cstheme="minorHAnsi"/>
          <w:color w:val="000000" w:themeColor="text1"/>
          <w:sz w:val="24"/>
          <w:szCs w:val="24"/>
        </w:rPr>
        <w:t>,</w:t>
      </w:r>
      <w:r w:rsidRPr="00375799">
        <w:rPr>
          <w:rFonts w:eastAsia="Calibri" w:cstheme="minorHAnsi"/>
          <w:color w:val="000000" w:themeColor="text1"/>
          <w:sz w:val="24"/>
          <w:szCs w:val="24"/>
        </w:rPr>
        <w:t xml:space="preserve"> projektowany przepis wychodzi naprzeciw potrzebom organów będących jednocześnie administratorami danych. Jego celem jest z jednej strony utworzenie podstawy prawnej do wydania upoważnienia, a z drugiej wprowadzenie możliwości nadania tego upoważnienia również innym aktem niż indywidualnym dokumentem. Biorąc pod uwagę ilość osób realizujących zadania Krajowej Administracji Skarbowej, w których niezbędny jest dostęp do danych osobowych, rozwiązanie to wydaje się optymalne i spełnia zarówno wymogi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(dotyczące istnienia upoważnienia), nie przeszkadza w wywiązywaniu się z zasady rozliczalności określonej w art. 24 ust. 1 i art. 30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a ponadto umożliwia odstąpienie od sformalizowanego obowiązku wydawania każdorazowo osobom zatrudnionym oraz funkcjonariuszom indywidualnych upoważnień.</w:t>
      </w:r>
    </w:p>
    <w:p w14:paraId="121D685F"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Z uwagi na to, że dane mogą być przetwarzane na polecenie administratora (przez osoby działające z upoważnienia) albo gdy wymaga tego prawo Unii lub państwa członkowskiego, należałoby przyjąć, że polecenie to wynika z zakresu obowiązków osoby na danym stanowisku albo z opisu stanowiska (w ten sposób uniemożliwi się jednocześnie dostęp do danych, które nie będą potrzebne do wykonywania zadań służbowych poszczególnych pracowników na ich stanowiskach). Jednocześnie organy KAS będą prowadziły rejestry osób upoważnionych do przetwarzania danych osobowych.</w:t>
      </w:r>
    </w:p>
    <w:p w14:paraId="0D39CEC5"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Przepis ust. 2 przewiduje odpowiednie zastosowanie ust. 1 do Krajowej Szkoły Skarbowości. </w:t>
      </w:r>
    </w:p>
    <w:p w14:paraId="7DBE2644" w14:textId="65150F8D" w:rsidR="00850D88" w:rsidRPr="00375799" w:rsidRDefault="0043734D"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2. </w:t>
      </w:r>
      <w:r w:rsidR="00850D88" w:rsidRPr="00375799">
        <w:rPr>
          <w:rFonts w:eastAsia="Calibri" w:cstheme="minorHAnsi"/>
          <w:color w:val="000000" w:themeColor="text1"/>
          <w:sz w:val="24"/>
          <w:szCs w:val="24"/>
        </w:rPr>
        <w:t>Zmiana art. 35 ust. 3 i 4</w:t>
      </w:r>
      <w:r>
        <w:rPr>
          <w:rFonts w:eastAsia="Calibri" w:cstheme="minorHAnsi"/>
          <w:color w:val="000000" w:themeColor="text1"/>
          <w:sz w:val="24"/>
          <w:szCs w:val="24"/>
        </w:rPr>
        <w:t>.</w:t>
      </w:r>
    </w:p>
    <w:p w14:paraId="02CF0295"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Istota zmiany sprowadza się do uzupełnienia katalogu danych gromadzonych w CRDP o informacje przekazane organom KAS w celu realizacji zadań ustawowych.</w:t>
      </w:r>
    </w:p>
    <w:p w14:paraId="5AA2B59D" w14:textId="1E13F8AA" w:rsidR="00850D88" w:rsidRPr="00375799" w:rsidRDefault="0043734D"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3. </w:t>
      </w:r>
      <w:r w:rsidR="00850D88" w:rsidRPr="00375799">
        <w:rPr>
          <w:rFonts w:eastAsia="Calibri" w:cstheme="minorHAnsi"/>
          <w:color w:val="000000" w:themeColor="text1"/>
          <w:sz w:val="24"/>
          <w:szCs w:val="24"/>
        </w:rPr>
        <w:t>Zmiana art. 45 ust. 1</w:t>
      </w:r>
      <w:r>
        <w:rPr>
          <w:rFonts w:eastAsia="Calibri" w:cstheme="minorHAnsi"/>
          <w:color w:val="000000" w:themeColor="text1"/>
          <w:sz w:val="24"/>
          <w:szCs w:val="24"/>
        </w:rPr>
        <w:t>.</w:t>
      </w:r>
    </w:p>
    <w:p w14:paraId="2F1E3DAD" w14:textId="7FB814FB"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Zmiana w art. 45</w:t>
      </w:r>
      <w:r w:rsidR="0043734D">
        <w:rPr>
          <w:rFonts w:eastAsia="Calibri" w:cstheme="minorHAnsi"/>
          <w:color w:val="000000" w:themeColor="text1"/>
          <w:sz w:val="24"/>
          <w:szCs w:val="24"/>
        </w:rPr>
        <w:t xml:space="preserve"> u</w:t>
      </w:r>
      <w:r w:rsidR="00FA7E14">
        <w:rPr>
          <w:rFonts w:eastAsia="Calibri" w:cstheme="minorHAnsi"/>
          <w:color w:val="000000" w:themeColor="text1"/>
          <w:sz w:val="24"/>
          <w:szCs w:val="24"/>
        </w:rPr>
        <w:t>stawy</w:t>
      </w:r>
      <w:r w:rsidR="0043734D">
        <w:rPr>
          <w:rFonts w:eastAsia="Calibri" w:cstheme="minorHAnsi"/>
          <w:color w:val="000000" w:themeColor="text1"/>
          <w:sz w:val="24"/>
          <w:szCs w:val="24"/>
        </w:rPr>
        <w:t xml:space="preserve"> </w:t>
      </w:r>
      <w:r w:rsidRPr="00375799">
        <w:rPr>
          <w:rFonts w:eastAsia="Calibri" w:cstheme="minorHAnsi"/>
          <w:color w:val="000000" w:themeColor="text1"/>
          <w:sz w:val="24"/>
          <w:szCs w:val="24"/>
        </w:rPr>
        <w:t>polega na usunięciu sformułowania „bez wiedzy i zgody osoby, której dane dotyczą”. Organy administracji publicznej przetwarzają dane osobowe w związku z realizacją ich zadań ustawowych. W ustaw</w:t>
      </w:r>
      <w:r w:rsidR="0043734D">
        <w:rPr>
          <w:rFonts w:eastAsia="Calibri" w:cstheme="minorHAnsi"/>
          <w:color w:val="000000" w:themeColor="text1"/>
          <w:sz w:val="24"/>
          <w:szCs w:val="24"/>
        </w:rPr>
        <w:t>ie</w:t>
      </w:r>
      <w:r w:rsidRPr="00375799">
        <w:rPr>
          <w:rFonts w:eastAsia="Calibri" w:cstheme="minorHAnsi"/>
          <w:color w:val="000000" w:themeColor="text1"/>
          <w:sz w:val="24"/>
          <w:szCs w:val="24"/>
        </w:rPr>
        <w:t xml:space="preserve"> o ochronie danych osobowych w art. </w:t>
      </w:r>
      <w:r w:rsidR="0043734D">
        <w:rPr>
          <w:rFonts w:eastAsia="Calibri" w:cstheme="minorHAnsi"/>
          <w:color w:val="000000" w:themeColor="text1"/>
          <w:sz w:val="24"/>
          <w:szCs w:val="24"/>
        </w:rPr>
        <w:t>4</w:t>
      </w:r>
      <w:r w:rsidRPr="00375799">
        <w:rPr>
          <w:rFonts w:eastAsia="Calibri" w:cstheme="minorHAnsi"/>
          <w:color w:val="000000" w:themeColor="text1"/>
          <w:sz w:val="24"/>
          <w:szCs w:val="24"/>
        </w:rPr>
        <w:t xml:space="preserve"> zawarto ograniczenia stosowania art. 14 ust. 1, 2 i 4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przez organy realizujące zadania publiczne. Powyższe oznacza, że w przypadku pozyskiwania danych osobowych w sposób inny niż od osoby, której dane dotyczą, organ nie ma obowiązku informowania o tym tej osoby (przy spełnieniu warunków określonych w tym przepisie), a zatem dane te będą przetwarzane „bez wiedzy i zgody osoby, której dane dotyczą”. W związku z tym nie jest zasadne powtarzanie tego zwrotu w poszczególnych przepisach ustawy. </w:t>
      </w:r>
    </w:p>
    <w:p w14:paraId="3630E712" w14:textId="6B77C2E5" w:rsidR="00850D88" w:rsidRPr="00375799" w:rsidRDefault="0043734D"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4. </w:t>
      </w:r>
      <w:r w:rsidR="00850D88" w:rsidRPr="00375799">
        <w:rPr>
          <w:rFonts w:eastAsia="Calibri" w:cstheme="minorHAnsi"/>
          <w:color w:val="000000" w:themeColor="text1"/>
          <w:sz w:val="24"/>
          <w:szCs w:val="24"/>
        </w:rPr>
        <w:t>Zmiana art. 47 ust. 1 i 2</w:t>
      </w:r>
      <w:r>
        <w:rPr>
          <w:rFonts w:eastAsia="Calibri" w:cstheme="minorHAnsi"/>
          <w:color w:val="000000" w:themeColor="text1"/>
          <w:sz w:val="24"/>
          <w:szCs w:val="24"/>
        </w:rPr>
        <w:t>.</w:t>
      </w:r>
    </w:p>
    <w:p w14:paraId="0D1D737C" w14:textId="7C78D3BC"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lastRenderedPageBreak/>
        <w:t xml:space="preserve">Zmiany w art. 47 </w:t>
      </w:r>
      <w:r w:rsidR="009D4CB0">
        <w:rPr>
          <w:rFonts w:eastAsia="Calibri" w:cstheme="minorHAnsi"/>
          <w:color w:val="000000" w:themeColor="text1"/>
          <w:sz w:val="24"/>
          <w:szCs w:val="24"/>
        </w:rPr>
        <w:t>ustawy</w:t>
      </w:r>
      <w:r w:rsidR="0043734D">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polegają na usunięciu odesłań do ustawy z dnia 29 sierpnia 1997 r. o ochronie danych osobowych oraz wprowadzeniu odesłania do nowych przepisów z zakresu danych osobowych dotyczących danych wrażliwych. Przetwarzanie danych wrażliwych jest realizowane w celach, o których mowa w art. 9 ust. 2 lit. g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t>
      </w:r>
    </w:p>
    <w:p w14:paraId="3DE41CA3"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stosunku do dotychczasowego brzmienia w ust. 1 usunięto również sformułowanie „bez wiedzy i zgody osoby, której dane dotyczą”. </w:t>
      </w:r>
    </w:p>
    <w:p w14:paraId="732B62B7" w14:textId="60D84619" w:rsidR="00850D88" w:rsidRPr="00375799" w:rsidRDefault="0043734D"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5. </w:t>
      </w:r>
      <w:r w:rsidR="00850D88" w:rsidRPr="00375799">
        <w:rPr>
          <w:rFonts w:eastAsia="Calibri" w:cstheme="minorHAnsi"/>
          <w:color w:val="000000" w:themeColor="text1"/>
          <w:sz w:val="24"/>
          <w:szCs w:val="24"/>
        </w:rPr>
        <w:t xml:space="preserve">Dodanie art. 47a </w:t>
      </w:r>
      <w:r>
        <w:rPr>
          <w:rFonts w:eastAsia="Calibri" w:cstheme="minorHAnsi"/>
          <w:color w:val="000000" w:themeColor="text1"/>
          <w:sz w:val="24"/>
          <w:szCs w:val="24"/>
        </w:rPr>
        <w:t>.</w:t>
      </w:r>
    </w:p>
    <w:p w14:paraId="62770DF3" w14:textId="242B2AC2"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Zgodnie z art. 47a </w:t>
      </w:r>
      <w:r w:rsidR="0043734D">
        <w:rPr>
          <w:rFonts w:eastAsia="Calibri" w:cstheme="minorHAnsi"/>
          <w:color w:val="000000" w:themeColor="text1"/>
          <w:sz w:val="24"/>
          <w:szCs w:val="24"/>
        </w:rPr>
        <w:t>ust</w:t>
      </w:r>
      <w:r w:rsidR="009D4CB0">
        <w:rPr>
          <w:rFonts w:eastAsia="Calibri" w:cstheme="minorHAnsi"/>
          <w:color w:val="000000" w:themeColor="text1"/>
          <w:sz w:val="24"/>
          <w:szCs w:val="24"/>
        </w:rPr>
        <w:t>awy</w:t>
      </w:r>
      <w:r w:rsidR="0043734D">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organy KAS będące administratorami danych osobowych mogą przetwarzać dane osobowe, w tym również w systemie CRDP, wyłącznie w celach realizacji ich zadań i obowiązków, przy czym dane te mogą być przetwarzane przez okres niezbędny do osiągnięcia tych celów. </w:t>
      </w:r>
    </w:p>
    <w:p w14:paraId="0C5F0CB4" w14:textId="21D5BC0C"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Wprowadzenie tego przepisu ma na celu realizację warunku wprowadzenia ograniczeń, o którym mowa w art. 23 ust. 2 lit. d i f</w:t>
      </w:r>
      <w:r w:rsidR="0043734D">
        <w:rPr>
          <w:rFonts w:eastAsia="Calibri" w:cstheme="minorHAnsi"/>
          <w:color w:val="000000" w:themeColor="text1"/>
          <w:sz w:val="24"/>
          <w:szCs w:val="24"/>
        </w:rPr>
        <w:t xml:space="preserve"> RODO</w:t>
      </w:r>
      <w:r w:rsidR="007935C5">
        <w:rPr>
          <w:rFonts w:eastAsia="Calibri" w:cstheme="minorHAnsi"/>
          <w:color w:val="000000" w:themeColor="text1"/>
          <w:sz w:val="24"/>
          <w:szCs w:val="24"/>
        </w:rPr>
        <w:t>,</w:t>
      </w:r>
      <w:r w:rsidRPr="00375799">
        <w:rPr>
          <w:rFonts w:eastAsia="Calibri" w:cstheme="minorHAnsi"/>
          <w:color w:val="000000" w:themeColor="text1"/>
          <w:sz w:val="24"/>
          <w:szCs w:val="24"/>
        </w:rPr>
        <w:t xml:space="preserve"> oraz normy </w:t>
      </w:r>
      <w:r w:rsidR="0043734D">
        <w:rPr>
          <w:rFonts w:eastAsia="Calibri" w:cstheme="minorHAnsi"/>
          <w:color w:val="000000" w:themeColor="text1"/>
          <w:sz w:val="24"/>
          <w:szCs w:val="24"/>
        </w:rPr>
        <w:t xml:space="preserve">wynikające z </w:t>
      </w:r>
      <w:r w:rsidRPr="00375799">
        <w:rPr>
          <w:rFonts w:eastAsia="Calibri" w:cstheme="minorHAnsi"/>
          <w:color w:val="000000" w:themeColor="text1"/>
          <w:sz w:val="24"/>
          <w:szCs w:val="24"/>
        </w:rPr>
        <w:t xml:space="preserve">art. 13 ust. 2 lit. a </w:t>
      </w:r>
      <w:r w:rsidR="008D5D28" w:rsidRPr="00375799">
        <w:rPr>
          <w:rFonts w:eastAsia="Calibri" w:cstheme="minorHAnsi"/>
          <w:color w:val="000000" w:themeColor="text1"/>
          <w:sz w:val="24"/>
          <w:szCs w:val="24"/>
        </w:rPr>
        <w:t>RODO</w:t>
      </w:r>
      <w:r w:rsidR="007935C5">
        <w:rPr>
          <w:rFonts w:eastAsia="Calibri" w:cstheme="minorHAnsi"/>
          <w:color w:val="000000" w:themeColor="text1"/>
          <w:sz w:val="24"/>
          <w:szCs w:val="24"/>
        </w:rPr>
        <w:t>,</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poprzez wskazanie ustawowo określonego okresu przechowywania danych osobowych – „okres niezbędny do osiągnięcia tych celów”. Z uwagi na to, że nie ma możliwości określenia tego terminu</w:t>
      </w:r>
      <w:r w:rsidR="007935C5">
        <w:rPr>
          <w:rFonts w:eastAsia="Calibri" w:cstheme="minorHAnsi"/>
          <w:color w:val="000000" w:themeColor="text1"/>
          <w:sz w:val="24"/>
          <w:szCs w:val="24"/>
        </w:rPr>
        <w:t>,</w:t>
      </w:r>
      <w:r w:rsidRPr="00375799">
        <w:rPr>
          <w:rFonts w:eastAsia="Calibri" w:cstheme="minorHAnsi"/>
          <w:color w:val="000000" w:themeColor="text1"/>
          <w:sz w:val="24"/>
          <w:szCs w:val="24"/>
        </w:rPr>
        <w:t xml:space="preserve"> propozycja brzmienia nie z</w:t>
      </w:r>
      <w:r w:rsidR="007935C5">
        <w:rPr>
          <w:rFonts w:eastAsia="Calibri" w:cstheme="minorHAnsi"/>
          <w:color w:val="000000" w:themeColor="text1"/>
          <w:sz w:val="24"/>
          <w:szCs w:val="24"/>
        </w:rPr>
        <w:t>a</w:t>
      </w:r>
      <w:r w:rsidRPr="00375799">
        <w:rPr>
          <w:rFonts w:eastAsia="Calibri" w:cstheme="minorHAnsi"/>
          <w:color w:val="000000" w:themeColor="text1"/>
          <w:sz w:val="24"/>
          <w:szCs w:val="24"/>
        </w:rPr>
        <w:t>wiera konkretnego terminu</w:t>
      </w:r>
      <w:r w:rsidR="007935C5">
        <w:rPr>
          <w:rFonts w:eastAsia="Calibri" w:cstheme="minorHAnsi"/>
          <w:color w:val="000000" w:themeColor="text1"/>
          <w:sz w:val="24"/>
          <w:szCs w:val="24"/>
        </w:rPr>
        <w:t>,</w:t>
      </w:r>
      <w:r w:rsidRPr="00375799">
        <w:rPr>
          <w:rFonts w:eastAsia="Calibri" w:cstheme="minorHAnsi"/>
          <w:color w:val="000000" w:themeColor="text1"/>
          <w:sz w:val="24"/>
          <w:szCs w:val="24"/>
        </w:rPr>
        <w:t xml:space="preserve"> wskazując przesłankę niezbędności przetwarzania danych przez organ, natomiast kwestia dokonywania przeglądu tych danych będzie faktycznie realizowana na podstawie obowiązujących przepisów odnoszących się do stosowanych przez organy KAS procedur. </w:t>
      </w:r>
    </w:p>
    <w:p w14:paraId="35771EAC"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35E078B0" w14:textId="4A795CC3" w:rsidR="00850D88" w:rsidRPr="00375799" w:rsidRDefault="0043734D"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6. </w:t>
      </w:r>
      <w:r w:rsidR="00850D88" w:rsidRPr="00375799">
        <w:rPr>
          <w:rFonts w:eastAsia="Calibri" w:cstheme="minorHAnsi"/>
          <w:color w:val="000000" w:themeColor="text1"/>
          <w:sz w:val="24"/>
          <w:szCs w:val="24"/>
        </w:rPr>
        <w:t>Dodanie art. 47b</w:t>
      </w:r>
      <w:r>
        <w:rPr>
          <w:rFonts w:eastAsia="Calibri" w:cstheme="minorHAnsi"/>
          <w:color w:val="000000" w:themeColor="text1"/>
          <w:sz w:val="24"/>
          <w:szCs w:val="24"/>
        </w:rPr>
        <w:t>.</w:t>
      </w:r>
    </w:p>
    <w:p w14:paraId="7F82C75C" w14:textId="5A5D5885"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Przepis art. 47b </w:t>
      </w:r>
      <w:r w:rsidR="009D4CB0">
        <w:rPr>
          <w:rFonts w:eastAsia="Calibri" w:cstheme="minorHAnsi"/>
          <w:color w:val="000000" w:themeColor="text1"/>
          <w:sz w:val="24"/>
          <w:szCs w:val="24"/>
        </w:rPr>
        <w:t>ustawy</w:t>
      </w:r>
      <w:r w:rsidR="007026A7">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wprowadza normę, która pozwoli na wyłączenie zakazu wynikającego z art. 22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 odniesieniu do zautomatyzowanego przetwarzania danych i podejmowania na tej podstawie decyzji. Przepis wyraźnie stanowi, że prowadzenie działalności analitycznej, prognostycznej i badawczej dotyczącej zjawisk występujących we właściwości KAS oraz analizy ryzyka, o których mowa w art. 2 ust. 1 pkt 10 i 12a</w:t>
      </w:r>
      <w:r w:rsidR="009D4CB0">
        <w:rPr>
          <w:rFonts w:eastAsia="Calibri" w:cstheme="minorHAnsi"/>
          <w:color w:val="000000" w:themeColor="text1"/>
          <w:sz w:val="24"/>
          <w:szCs w:val="24"/>
        </w:rPr>
        <w:t xml:space="preserve"> ustawy</w:t>
      </w:r>
      <w:r w:rsidRPr="00375799">
        <w:rPr>
          <w:rFonts w:eastAsia="Calibri" w:cstheme="minorHAnsi"/>
          <w:color w:val="000000" w:themeColor="text1"/>
          <w:sz w:val="24"/>
          <w:szCs w:val="24"/>
        </w:rPr>
        <w:t xml:space="preserve">, może polegać na zautomatyzowanym przetwarzaniu danych, w tym profilowaniu, i może wywoływać skutki prawne, w tym podejmować decyzje, wobec osoby profilowanej lub której dane podlegają zautomatyzowanemu przetwarzaniu danych. Przetwarzanie danych może opierać się na danych osobowych ujawniających pochodzenie rasowe lub etniczne oraz dane biometryczne, w celach, o których mowa w art. 9 ust. 2 lit. g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w:t>
      </w:r>
    </w:p>
    <w:p w14:paraId="572702F1" w14:textId="16E8E7B9"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przepisie odesłano do konkretnych zadań realizowanych przez organy KAS, tj. prowadzenie działalności analitycznej, prognostycznej i badawczej dotyczącej zjawisk występujących we właściwości KAS oraz analizy ryzyka (art. 2 ust. 1 pkt 10), o której mowa w art. 58 ustawy o KAS, a także przeciwdziałanie wykorzystywaniu działalności banków w rozumieniu art. 119zg pkt 1 ustawy </w:t>
      </w:r>
      <w:r w:rsidR="007935C5">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Ordynacja podatkowa i spółdzielczych kas oszczędnościowo-kredytowych do celów mających związek z wyłudzeniami skarbowymi w rozumieniu art. 119zg pkt 9 Ordynacji podatkowej oraz nadzór nad wykonywaniem przez izbę rozliczeniową w rozumieniu art. 119zg pkt 3 Ordynacji podatkowej obowiązków, o których mowa w dziale IIIB Ordynacji podatkowej. Zadanie to realizowane jest poprzez m.in. analizę </w:t>
      </w:r>
      <w:r w:rsidRPr="00375799">
        <w:rPr>
          <w:rFonts w:eastAsia="Calibri" w:cstheme="minorHAnsi"/>
          <w:color w:val="000000" w:themeColor="text1"/>
          <w:sz w:val="24"/>
          <w:szCs w:val="24"/>
        </w:rPr>
        <w:lastRenderedPageBreak/>
        <w:t>ryzyka, o której mowa w art. 199zn Ordynacji podatkowej „Szef Krajowej Administracji Skarbowej dokonuje analizy ryzyka wykorzystywania działalności banków i spółdzielczych kas oszczędnościowo-kredytowych do celów mających związek z wyłudzeniami skarbowymi, uwzględniając posiadane dane, w tym wskaźnik ryzyka oraz informacje i zestawienia, o których mowa w art. 119zq oraz art. 119zs. Rozstrzygnięcia zapadające w związku ze zautomatyzowanym przetwarzaniem danych osobowych podlegają zaskarżeniu w administracyjnym toku instancji i kontroli sądów administracyjnych.</w:t>
      </w:r>
    </w:p>
    <w:p w14:paraId="0EA8AE65" w14:textId="50926048" w:rsidR="00850D88" w:rsidRPr="00375799" w:rsidRDefault="007026A7"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7. </w:t>
      </w:r>
      <w:r w:rsidR="00850D88" w:rsidRPr="00375799">
        <w:rPr>
          <w:rFonts w:eastAsia="Calibri" w:cstheme="minorHAnsi"/>
          <w:color w:val="000000" w:themeColor="text1"/>
          <w:sz w:val="24"/>
          <w:szCs w:val="24"/>
        </w:rPr>
        <w:t>Dodanie art. 47c</w:t>
      </w:r>
      <w:r>
        <w:rPr>
          <w:rFonts w:eastAsia="Calibri" w:cstheme="minorHAnsi"/>
          <w:color w:val="000000" w:themeColor="text1"/>
          <w:sz w:val="24"/>
          <w:szCs w:val="24"/>
        </w:rPr>
        <w:t>.</w:t>
      </w:r>
    </w:p>
    <w:p w14:paraId="7837202B" w14:textId="08FCB439"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Proponowane przepisy uszczegóławiają sposób realizacji obowiązków wynikających z art. 13 ust. 1 i 2 </w:t>
      </w:r>
      <w:r w:rsidR="007026A7">
        <w:rPr>
          <w:rFonts w:eastAsia="Calibri" w:cstheme="minorHAnsi"/>
          <w:color w:val="000000" w:themeColor="text1"/>
          <w:sz w:val="24"/>
          <w:szCs w:val="24"/>
        </w:rPr>
        <w:t xml:space="preserve">RODO </w:t>
      </w:r>
      <w:r w:rsidRPr="00375799">
        <w:rPr>
          <w:rFonts w:eastAsia="Calibri" w:cstheme="minorHAnsi"/>
          <w:color w:val="000000" w:themeColor="text1"/>
          <w:sz w:val="24"/>
          <w:szCs w:val="24"/>
        </w:rPr>
        <w:t>oraz art. 21 ust. 4 RODO</w:t>
      </w:r>
      <w:r w:rsidR="007935C5">
        <w:rPr>
          <w:rFonts w:eastAsia="Calibri" w:cstheme="minorHAnsi"/>
          <w:color w:val="000000" w:themeColor="text1"/>
          <w:sz w:val="24"/>
          <w:szCs w:val="24"/>
        </w:rPr>
        <w:t>,</w:t>
      </w:r>
      <w:r w:rsidRPr="00375799">
        <w:rPr>
          <w:rFonts w:eastAsia="Calibri" w:cstheme="minorHAnsi"/>
          <w:color w:val="000000" w:themeColor="text1"/>
          <w:sz w:val="24"/>
          <w:szCs w:val="24"/>
        </w:rPr>
        <w:t xml:space="preserve"> wskazując, że organy KAS realizują te obowiązki poprzez zamieszczenie informacji o zbieraniu danych osobowych w miejscu publicznie dostępnym w siedzibie organu, formularzach urzędowych, pismach kierowanych do osób fizycznych oraz na stronie podmiotowej w Biuletynie Informacji Publicznej lub na swojej stronie internetowej. Powyższe rozwiązanie nie ingeruje w istotę praw osób fizycznych uregulowanych w RODO.</w:t>
      </w:r>
    </w:p>
    <w:p w14:paraId="75DA1CC3"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Dodać należy, że w odniesieniu do skarg, wniosków czy innych wystąpień to obywatele z własnej woli przekazują dane osobowe ich dotyczące (np. składając wnioski lub skargi), godząc się w istocie na to, że adresat podania będzie przetwarzał te dane, oczywiście w zakresie niezbędnym do załatwienia danej sprawy.</w:t>
      </w:r>
    </w:p>
    <w:p w14:paraId="4B8E4A84" w14:textId="04721512" w:rsidR="00850D88" w:rsidRPr="00375799" w:rsidRDefault="007026A7"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8. </w:t>
      </w:r>
      <w:r w:rsidR="00850D88" w:rsidRPr="00375799">
        <w:rPr>
          <w:rFonts w:eastAsia="Calibri" w:cstheme="minorHAnsi"/>
          <w:color w:val="000000" w:themeColor="text1"/>
          <w:sz w:val="24"/>
          <w:szCs w:val="24"/>
        </w:rPr>
        <w:t>Dodanie art. 47d</w:t>
      </w:r>
      <w:r>
        <w:rPr>
          <w:rFonts w:eastAsia="Calibri" w:cstheme="minorHAnsi"/>
          <w:color w:val="000000" w:themeColor="text1"/>
          <w:sz w:val="24"/>
          <w:szCs w:val="24"/>
        </w:rPr>
        <w:t>.</w:t>
      </w:r>
    </w:p>
    <w:p w14:paraId="2CCD9687" w14:textId="4654F2E8"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Przepis art. 47d </w:t>
      </w:r>
      <w:r w:rsidR="00147695">
        <w:rPr>
          <w:rFonts w:eastAsia="Calibri" w:cstheme="minorHAnsi"/>
          <w:color w:val="000000" w:themeColor="text1"/>
          <w:sz w:val="24"/>
          <w:szCs w:val="24"/>
        </w:rPr>
        <w:t>ustawy</w:t>
      </w:r>
      <w:r w:rsidR="007026A7">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zawiera wskazanie zabezpieczeń zapobiegającym nadużyciom lub niezgodnemu z prawem dostępowi lub przekazywaniu danych osobowych. Określone zostały w katalogu otwartym środki techniczne i organizacyjne, jakie powinny zostać zastosowane w celu realizacji zasady minimalizacji danych, przy czym ustawa o KAS będzie miała zastosowanie w przypadkach, w których przepisy odrębne nie przewidują takich regulacji. </w:t>
      </w:r>
    </w:p>
    <w:p w14:paraId="0F860933" w14:textId="350DF392" w:rsidR="007026A7" w:rsidRDefault="007026A7"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9. Dodanie art. 145a.</w:t>
      </w:r>
    </w:p>
    <w:p w14:paraId="66147416" w14:textId="61C72D98"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Propozycja dodania art. 145a </w:t>
      </w:r>
      <w:r w:rsidR="00147695">
        <w:rPr>
          <w:rFonts w:eastAsia="Calibri" w:cstheme="minorHAnsi"/>
          <w:color w:val="000000" w:themeColor="text1"/>
          <w:sz w:val="24"/>
          <w:szCs w:val="24"/>
        </w:rPr>
        <w:t>ustawy</w:t>
      </w:r>
      <w:r w:rsidR="007026A7">
        <w:rPr>
          <w:rFonts w:eastAsia="Calibri" w:cstheme="minorHAnsi"/>
          <w:color w:val="000000" w:themeColor="text1"/>
          <w:sz w:val="24"/>
          <w:szCs w:val="24"/>
        </w:rPr>
        <w:t xml:space="preserve"> </w:t>
      </w:r>
      <w:r w:rsidRPr="00375799">
        <w:rPr>
          <w:rFonts w:eastAsia="Calibri" w:cstheme="minorHAnsi"/>
          <w:color w:val="000000" w:themeColor="text1"/>
          <w:sz w:val="24"/>
          <w:szCs w:val="24"/>
        </w:rPr>
        <w:t>jest związana z koniecznością przetwarzania w zakresie</w:t>
      </w:r>
      <w:r w:rsidR="007935C5">
        <w:rPr>
          <w:rFonts w:eastAsia="Calibri" w:cstheme="minorHAnsi"/>
          <w:color w:val="000000" w:themeColor="text1"/>
          <w:sz w:val="24"/>
          <w:szCs w:val="24"/>
        </w:rPr>
        <w:t>,</w:t>
      </w:r>
      <w:r w:rsidRPr="00375799">
        <w:rPr>
          <w:rFonts w:eastAsia="Calibri" w:cstheme="minorHAnsi"/>
          <w:color w:val="000000" w:themeColor="text1"/>
          <w:sz w:val="24"/>
          <w:szCs w:val="24"/>
        </w:rPr>
        <w:t xml:space="preserve"> w jakim jest to niezbędne do realizacji zadania ministra właściwego do spraw finansów publicznych, Szefa KAS oraz dyrektorów IAS, danych osobowych „wrażliwych”, o których mowa w art. 9 ust. 1 i art. 10 </w:t>
      </w:r>
      <w:r w:rsidR="008D5D28" w:rsidRPr="00375799">
        <w:rPr>
          <w:rFonts w:eastAsia="Calibri" w:cstheme="minorHAnsi"/>
          <w:color w:val="000000" w:themeColor="text1"/>
          <w:sz w:val="24"/>
          <w:szCs w:val="24"/>
        </w:rPr>
        <w:t>RODO</w:t>
      </w:r>
      <w:r w:rsidR="007026A7">
        <w:rPr>
          <w:rFonts w:eastAsia="Calibri" w:cstheme="minorHAnsi"/>
          <w:color w:val="000000" w:themeColor="text1"/>
          <w:sz w:val="24"/>
          <w:szCs w:val="24"/>
        </w:rPr>
        <w:t>,</w:t>
      </w:r>
      <w:r w:rsidRPr="00375799">
        <w:rPr>
          <w:rFonts w:eastAsia="Calibri" w:cstheme="minorHAnsi"/>
          <w:color w:val="000000" w:themeColor="text1"/>
          <w:sz w:val="24"/>
          <w:szCs w:val="24"/>
        </w:rPr>
        <w:t xml:space="preserve"> w związku z przetwarzaniem danych osobowych, dotyczących funkcjonariuszy. Zakres przetwarzanych danych wrażliwych nie może być szerszy niż jest to niezbędne do realizacji określonego zadania. W proponowanym przepisie uszczegółowiony został katalog danych wrażliwych, które mogą być przetwarzane, poprzez wyłączenie </w:t>
      </w:r>
      <w:r w:rsidR="007026A7">
        <w:rPr>
          <w:rFonts w:eastAsia="Calibri" w:cstheme="minorHAnsi"/>
          <w:color w:val="000000" w:themeColor="text1"/>
          <w:sz w:val="24"/>
          <w:szCs w:val="24"/>
        </w:rPr>
        <w:t xml:space="preserve">możliwości przetwarzania </w:t>
      </w:r>
      <w:r w:rsidRPr="00375799">
        <w:rPr>
          <w:rFonts w:eastAsia="Calibri" w:cstheme="minorHAnsi"/>
          <w:color w:val="000000" w:themeColor="text1"/>
          <w:sz w:val="24"/>
          <w:szCs w:val="24"/>
        </w:rPr>
        <w:t xml:space="preserve">danych ujawniających pochodzenie rasowe lub etniczne, poglądy polityczne, przekonania religijne lub światopoglądowe oraz danych genetycznych. Przetwarzane będą mogły być </w:t>
      </w:r>
      <w:r w:rsidR="007026A7">
        <w:rPr>
          <w:rFonts w:eastAsia="Calibri" w:cstheme="minorHAnsi"/>
          <w:color w:val="000000" w:themeColor="text1"/>
          <w:sz w:val="24"/>
          <w:szCs w:val="24"/>
        </w:rPr>
        <w:t>natomiast</w:t>
      </w:r>
      <w:r w:rsidR="007026A7"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dane wrażliwe dotyczące zdrowia, przynależności do związków zawodowych, dane biometryczne, dane dotyczące seksualności lub orientacji seksualnej. Konieczność przetwarzania danych dotyczących seksualności może zaistnieć w sytuacji skargi funkcjonariusza lub pracownika dotyczącej np. molestowania seksualnego. W </w:t>
      </w:r>
      <w:r w:rsidRPr="00375799">
        <w:rPr>
          <w:rFonts w:eastAsia="Calibri" w:cstheme="minorHAnsi"/>
          <w:color w:val="000000" w:themeColor="text1"/>
          <w:sz w:val="24"/>
          <w:szCs w:val="24"/>
        </w:rPr>
        <w:lastRenderedPageBreak/>
        <w:t>takiej sytuacji organ KAS jako pracodawca musi podjąć stosowne działania wyjaśniające, co wiąże się z koniecznością przetwarzania danych wrażliwych. W celu zagwarantowania praw funkcjonariuszy niepełnosprawnych niezbędne będzie przetwarzanie danych o stanie ich zdrowia, a w przypadku skierowania funkcjonariusza do realizacji zadań</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przy których wymagana jest niekaralność prawomocnym wyrokiem sądu za przestępstwo lub przestępstwo skarbowe (art. 151 ust. 2 pkt 2 ustawy o KAS)</w:t>
      </w:r>
      <w:r w:rsidR="007935C5">
        <w:rPr>
          <w:rFonts w:eastAsia="Calibri" w:cstheme="minorHAnsi"/>
          <w:color w:val="000000" w:themeColor="text1"/>
          <w:sz w:val="24"/>
          <w:szCs w:val="24"/>
        </w:rPr>
        <w:t>,</w:t>
      </w:r>
      <w:r w:rsidRPr="00375799">
        <w:rPr>
          <w:rFonts w:eastAsia="Calibri" w:cstheme="minorHAnsi"/>
          <w:color w:val="000000" w:themeColor="text1"/>
          <w:sz w:val="24"/>
          <w:szCs w:val="24"/>
        </w:rPr>
        <w:t xml:space="preserve"> konieczne będzie przetwarzanie danych wrażliwych dotyczących karalności. Ponadto do przetwarzania danych wrażliwych będą mogli być dopuszczeni wyłącznie funkcjonariusze posiadający pisemne upoważnienie do przetwarzania takich danych nadane przez Szefa KAS lub dyrektora izby administracji skarbowej, jednocześnie funkcjonariusze dopuszczeni do przetwarzania takich danych obowiązani będą do zachowania ich w tajemnicy.</w:t>
      </w:r>
    </w:p>
    <w:p w14:paraId="39B64EED" w14:textId="3F35FCE0" w:rsidR="00850D88" w:rsidRPr="00375799" w:rsidRDefault="00850D88" w:rsidP="0055107B">
      <w:pPr>
        <w:spacing w:after="0" w:line="276" w:lineRule="auto"/>
        <w:ind w:left="57" w:right="57"/>
        <w:contextualSpacing/>
        <w:jc w:val="both"/>
        <w:rPr>
          <w:rFonts w:eastAsia="Calibri" w:cstheme="minorHAnsi"/>
          <w:b/>
          <w:color w:val="000000" w:themeColor="text1"/>
          <w:sz w:val="24"/>
          <w:szCs w:val="24"/>
        </w:rPr>
      </w:pPr>
      <w:r w:rsidRPr="00375799">
        <w:rPr>
          <w:rFonts w:eastAsia="Calibri" w:cstheme="minorHAnsi"/>
          <w:color w:val="000000" w:themeColor="text1"/>
          <w:sz w:val="24"/>
          <w:szCs w:val="24"/>
        </w:rPr>
        <w:t xml:space="preserve">W przypadku danych osobowych niebędących danymi wrażliwymi, będą one przetwarzane na ogólnych zasadach wynikających z </w:t>
      </w:r>
      <w:r w:rsidR="007026A7">
        <w:rPr>
          <w:rFonts w:eastAsia="Calibri" w:cstheme="minorHAnsi"/>
          <w:color w:val="000000" w:themeColor="text1"/>
          <w:sz w:val="24"/>
          <w:szCs w:val="24"/>
        </w:rPr>
        <w:t>RODO</w:t>
      </w:r>
      <w:r w:rsidRPr="00375799">
        <w:rPr>
          <w:rFonts w:eastAsia="Calibri" w:cstheme="minorHAnsi"/>
          <w:color w:val="000000" w:themeColor="text1"/>
          <w:sz w:val="24"/>
          <w:szCs w:val="24"/>
        </w:rPr>
        <w:t>, a więc dyrektorzy IAS oraz Szef KAS będą mogli je przetwarzać jako pracodawcy, a Szef KAS również w przypadkach, gdy przepisy materialne wskazują uprawnienia albo obowiązki wobec funkcjonariuszy, dla których kierownikiem jest dyrektor IAS.</w:t>
      </w:r>
    </w:p>
    <w:p w14:paraId="21FEB942"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Przepis ust. 4 stanowi dostosowanie do zmian w Kodeksie pracy wprowadzonych ustawą z dnia 10 maja 2018 r. o ochronie danych osobowych (Dz. U. poz. 1000), mając na względzie, że w ramach jednej jednostki organizacyjnej KAS funkcjonują pracownicy oraz funkcjonariusze.</w:t>
      </w:r>
    </w:p>
    <w:p w14:paraId="4415E6AD"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173F628D" w14:textId="3A48154C"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52" w:name="_Toc530565124"/>
      <w:r w:rsidRPr="00375799">
        <w:rPr>
          <w:rFonts w:eastAsia="Times New Roman" w:cstheme="minorHAnsi"/>
          <w:color w:val="000000" w:themeColor="text1"/>
          <w:sz w:val="24"/>
          <w:szCs w:val="24"/>
        </w:rPr>
        <w:t>Ustawa z dnia 30 listopada 2016 r. o organizacji i trybie postępowania przed Trybunałem Konstytucyjnym</w:t>
      </w:r>
      <w:r w:rsidR="00223989" w:rsidRPr="00375799">
        <w:rPr>
          <w:rFonts w:eastAsia="Times New Roman" w:cstheme="minorHAnsi"/>
          <w:color w:val="000000" w:themeColor="text1"/>
          <w:sz w:val="24"/>
          <w:szCs w:val="24"/>
        </w:rPr>
        <w:t xml:space="preserve"> </w:t>
      </w:r>
      <w:r w:rsidR="00A37C96" w:rsidRPr="00375799">
        <w:rPr>
          <w:rFonts w:eastAsia="Times New Roman" w:cstheme="minorHAnsi"/>
          <w:color w:val="000000" w:themeColor="text1"/>
          <w:sz w:val="24"/>
          <w:szCs w:val="24"/>
        </w:rPr>
        <w:t>(Dz. U. poz. 2072)</w:t>
      </w:r>
      <w:bookmarkEnd w:id="152"/>
    </w:p>
    <w:p w14:paraId="75B47DAE"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284680D6" w14:textId="3C3CDE05"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Uzasadnienie wspólne do zmian projektowanych w następujących ustawach: </w:t>
      </w:r>
      <w:r w:rsidR="007935C5">
        <w:rPr>
          <w:rFonts w:eastAsia="Calibri" w:cstheme="minorHAnsi"/>
          <w:color w:val="000000" w:themeColor="text1"/>
          <w:sz w:val="24"/>
          <w:szCs w:val="24"/>
        </w:rPr>
        <w:t>u</w:t>
      </w:r>
      <w:r w:rsidRPr="00375799">
        <w:rPr>
          <w:rFonts w:eastAsia="Calibri" w:cstheme="minorHAnsi"/>
          <w:color w:val="000000" w:themeColor="text1"/>
          <w:sz w:val="24"/>
          <w:szCs w:val="24"/>
        </w:rPr>
        <w:t>stawa z dnia 27 lipca 2001 r. – Prawo o ustroju s</w:t>
      </w:r>
      <w:r w:rsidR="007935C5">
        <w:rPr>
          <w:rFonts w:eastAsia="Calibri" w:cstheme="minorHAnsi"/>
          <w:color w:val="000000" w:themeColor="text1"/>
          <w:sz w:val="24"/>
          <w:szCs w:val="24"/>
        </w:rPr>
        <w:t>ą</w:t>
      </w:r>
      <w:r w:rsidRPr="00375799">
        <w:rPr>
          <w:rFonts w:eastAsia="Calibri" w:cstheme="minorHAnsi"/>
          <w:color w:val="000000" w:themeColor="text1"/>
          <w:sz w:val="24"/>
          <w:szCs w:val="24"/>
        </w:rPr>
        <w:t>dów powszechnych, ustawa z dnia 21 sierpnia 1997 r. – Prawo o ustroju sądów wojskowych, ustawa z dnia 25 lipca 2002 r. – Prawo o ustroju sądów administracyjnych, ustawa z dnia 8 grudnia 2017 r. o Sądzie Najwyższym, ustawa z dnia 15 czerwca 2007 r. o lekarzu sądowym, ustawa z dnia 23 stycznia 2009 r. o Krajowej Szkole Sądownictwa i Prokuratury, ustawa z dnia 11 maja 2011 r. o Krajowej Radzie Sądownictwa, ustawa z dnia 30 listopada 2016 r. o organizacji i trybie postępowania przed Trybunałem Konstytucyjnym, ustawa z dnia 26 marca 1982 r. o Trybunale Stanu</w:t>
      </w:r>
      <w:r w:rsidR="008D5D28" w:rsidRPr="00375799">
        <w:rPr>
          <w:rFonts w:eastAsia="Calibri" w:cstheme="minorHAnsi"/>
          <w:color w:val="000000" w:themeColor="text1"/>
          <w:sz w:val="24"/>
          <w:szCs w:val="24"/>
        </w:rPr>
        <w:t xml:space="preserve"> </w:t>
      </w:r>
      <w:r w:rsidR="008D5D28" w:rsidRPr="00375799">
        <w:rPr>
          <w:rFonts w:eastAsiaTheme="majorEastAsia" w:cstheme="minorHAnsi"/>
          <w:color w:val="000000" w:themeColor="text1"/>
          <w:sz w:val="24"/>
          <w:szCs w:val="24"/>
        </w:rPr>
        <w:t xml:space="preserve">znajduje się na stronie </w:t>
      </w:r>
      <w:r w:rsidR="00D918BF" w:rsidRPr="00375799">
        <w:rPr>
          <w:rFonts w:eastAsiaTheme="majorEastAsia" w:cstheme="minorHAnsi"/>
          <w:color w:val="000000" w:themeColor="text1"/>
          <w:sz w:val="24"/>
          <w:szCs w:val="24"/>
        </w:rPr>
        <w:t>12</w:t>
      </w:r>
      <w:r w:rsidR="007026A7">
        <w:rPr>
          <w:rFonts w:eastAsiaTheme="majorEastAsia" w:cstheme="minorHAnsi"/>
          <w:color w:val="000000" w:themeColor="text1"/>
          <w:sz w:val="24"/>
          <w:szCs w:val="24"/>
        </w:rPr>
        <w:t>5</w:t>
      </w:r>
      <w:r w:rsidR="00D918BF" w:rsidRPr="00375799">
        <w:rPr>
          <w:rFonts w:eastAsiaTheme="majorEastAsia" w:cstheme="minorHAnsi"/>
          <w:color w:val="000000" w:themeColor="text1"/>
          <w:sz w:val="24"/>
          <w:szCs w:val="24"/>
        </w:rPr>
        <w:t xml:space="preserve"> </w:t>
      </w:r>
      <w:r w:rsidR="008D5D28" w:rsidRPr="00375799">
        <w:rPr>
          <w:rFonts w:eastAsiaTheme="majorEastAsia" w:cstheme="minorHAnsi"/>
          <w:color w:val="000000" w:themeColor="text1"/>
          <w:sz w:val="24"/>
          <w:szCs w:val="24"/>
        </w:rPr>
        <w:t>uzasadnienia</w:t>
      </w:r>
      <w:r w:rsidRPr="00375799">
        <w:rPr>
          <w:rFonts w:eastAsia="Calibri" w:cstheme="minorHAnsi"/>
          <w:color w:val="000000" w:themeColor="text1"/>
          <w:sz w:val="24"/>
          <w:szCs w:val="24"/>
        </w:rPr>
        <w:t>.</w:t>
      </w:r>
    </w:p>
    <w:p w14:paraId="33C958B3" w14:textId="77777777"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p>
    <w:p w14:paraId="4E5CA564" w14:textId="061E4A13"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53" w:name="_Toc530565125"/>
      <w:r w:rsidRPr="00375799">
        <w:rPr>
          <w:rFonts w:eastAsia="Times New Roman" w:cstheme="minorHAnsi"/>
          <w:color w:val="000000" w:themeColor="text1"/>
          <w:sz w:val="24"/>
          <w:szCs w:val="24"/>
        </w:rPr>
        <w:t xml:space="preserve">Ustawa z dnia 14 grudnia 2016 r. – Prawo oświatowe </w:t>
      </w:r>
      <w:r w:rsidR="00A37C96" w:rsidRPr="00375799">
        <w:rPr>
          <w:rFonts w:eastAsia="Times New Roman" w:cstheme="minorHAnsi"/>
          <w:color w:val="000000" w:themeColor="text1"/>
          <w:sz w:val="24"/>
          <w:szCs w:val="24"/>
        </w:rPr>
        <w:t>(Dz. U. z 2018 r. poz. 996</w:t>
      </w:r>
      <w:r w:rsidR="00481BA0">
        <w:rPr>
          <w:rFonts w:eastAsia="Times New Roman" w:cstheme="minorHAnsi"/>
          <w:color w:val="000000" w:themeColor="text1"/>
          <w:sz w:val="24"/>
          <w:szCs w:val="24"/>
        </w:rPr>
        <w:t>,</w:t>
      </w:r>
      <w:r w:rsidR="00A37C96" w:rsidRPr="00375799">
        <w:rPr>
          <w:rFonts w:eastAsia="Times New Roman" w:cstheme="minorHAnsi"/>
          <w:color w:val="000000" w:themeColor="text1"/>
          <w:sz w:val="24"/>
          <w:szCs w:val="24"/>
        </w:rPr>
        <w:t xml:space="preserve"> 1000</w:t>
      </w:r>
      <w:r w:rsidR="00481BA0">
        <w:rPr>
          <w:rFonts w:eastAsia="Times New Roman" w:cstheme="minorHAnsi"/>
          <w:color w:val="000000" w:themeColor="text1"/>
          <w:sz w:val="24"/>
          <w:szCs w:val="24"/>
        </w:rPr>
        <w:t>, 1290 i 1669</w:t>
      </w:r>
      <w:r w:rsidR="00A37C96" w:rsidRPr="00375799">
        <w:rPr>
          <w:rFonts w:eastAsia="Times New Roman" w:cstheme="minorHAnsi"/>
          <w:color w:val="000000" w:themeColor="text1"/>
          <w:sz w:val="24"/>
          <w:szCs w:val="24"/>
        </w:rPr>
        <w:t>)</w:t>
      </w:r>
      <w:bookmarkEnd w:id="153"/>
    </w:p>
    <w:p w14:paraId="5341C96A"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1DD8CA6A" w14:textId="6AF65A70" w:rsidR="00850D88" w:rsidRPr="00375799" w:rsidRDefault="007026A7"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1. </w:t>
      </w:r>
      <w:r w:rsidR="00850D88" w:rsidRPr="00375799">
        <w:rPr>
          <w:rFonts w:eastAsia="Calibri" w:cstheme="minorHAnsi"/>
          <w:color w:val="000000" w:themeColor="text1"/>
          <w:sz w:val="24"/>
          <w:szCs w:val="24"/>
        </w:rPr>
        <w:t>Dodanie art. 30a</w:t>
      </w:r>
      <w:r>
        <w:rPr>
          <w:rFonts w:eastAsia="Calibri" w:cstheme="minorHAnsi"/>
          <w:color w:val="000000" w:themeColor="text1"/>
          <w:sz w:val="24"/>
          <w:szCs w:val="24"/>
        </w:rPr>
        <w:t>.</w:t>
      </w:r>
    </w:p>
    <w:p w14:paraId="20DA155C" w14:textId="7955FB86"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Projektowane dodanie nowego art. 30a w ustawie z dnia 14 grudnia 2016 r. – Prawo oświatowe </w:t>
      </w:r>
      <w:r w:rsidR="007026A7">
        <w:rPr>
          <w:rFonts w:eastAsia="Calibri" w:cstheme="minorHAnsi"/>
          <w:color w:val="000000" w:themeColor="text1"/>
          <w:sz w:val="24"/>
          <w:szCs w:val="24"/>
        </w:rPr>
        <w:t xml:space="preserve">zwanej dalej „ustawą – Prawo oświatowe” </w:t>
      </w:r>
      <w:r w:rsidRPr="00375799">
        <w:rPr>
          <w:rFonts w:eastAsia="Calibri" w:cstheme="minorHAnsi"/>
          <w:color w:val="000000" w:themeColor="text1"/>
          <w:sz w:val="24"/>
          <w:szCs w:val="24"/>
        </w:rPr>
        <w:t xml:space="preserve">ma na celu doprecyzowanie </w:t>
      </w:r>
      <w:r w:rsidRPr="00375799">
        <w:rPr>
          <w:rFonts w:eastAsia="Calibri" w:cstheme="minorHAnsi"/>
          <w:color w:val="000000" w:themeColor="text1"/>
          <w:sz w:val="24"/>
          <w:szCs w:val="24"/>
        </w:rPr>
        <w:lastRenderedPageBreak/>
        <w:t>obowiązków jednostek organizacyjnych i innych podmiotów realizujących zadania i obowiązki określone w tej ustawie, związanych z przetwarzaniem danych osobowych. Zmiana uwzględnia przesłanki przetwarzania danych osobowych określone w RODO.</w:t>
      </w:r>
    </w:p>
    <w:p w14:paraId="69721D85" w14:textId="48E5C8F0"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Projektowany przepis art. 30a ust. 2 </w:t>
      </w:r>
      <w:r w:rsidR="007026A7">
        <w:rPr>
          <w:rFonts w:eastAsia="Calibri" w:cstheme="minorHAnsi"/>
          <w:color w:val="000000" w:themeColor="text1"/>
          <w:sz w:val="24"/>
          <w:szCs w:val="24"/>
        </w:rPr>
        <w:t xml:space="preserve">ustawy – Prawo oświatowe </w:t>
      </w:r>
      <w:r w:rsidRPr="00375799">
        <w:rPr>
          <w:rFonts w:eastAsia="Calibri" w:cstheme="minorHAnsi"/>
          <w:color w:val="000000" w:themeColor="text1"/>
          <w:sz w:val="24"/>
          <w:szCs w:val="24"/>
        </w:rPr>
        <w:t>nakładający na nauczycieli oraz innych pracowników podmiotów wymienionych w ust. 1, realizujących czynności związane z przetwarzaniem tzw. danych wrażliwych, obowiązek zachowania w poufności informacji, które powzięli w toku wykonywania czynności służbowych, stanowi wzmocnienie środków ochrony podstawowych praw i interesów osób, których dane są przetwarzane na podstawie przepisów prawa w celu realizacji praw i obowiązków edukacyjnych.</w:t>
      </w:r>
    </w:p>
    <w:p w14:paraId="59E372DF" w14:textId="54718CBF" w:rsidR="00850D88" w:rsidRPr="00375799" w:rsidRDefault="007026A7" w:rsidP="0055107B">
      <w:pPr>
        <w:spacing w:after="0" w:line="276" w:lineRule="auto"/>
        <w:ind w:left="57" w:right="57"/>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2. </w:t>
      </w:r>
      <w:r w:rsidR="00850D88" w:rsidRPr="00375799">
        <w:rPr>
          <w:rFonts w:eastAsia="Calibri" w:cstheme="minorHAnsi"/>
          <w:color w:val="000000" w:themeColor="text1"/>
          <w:sz w:val="24"/>
          <w:szCs w:val="24"/>
        </w:rPr>
        <w:t>Dodanie pkt 12 w ust. 1 w art. 68</w:t>
      </w:r>
      <w:r>
        <w:rPr>
          <w:rFonts w:eastAsia="Calibri" w:cstheme="minorHAnsi"/>
          <w:color w:val="000000" w:themeColor="text1"/>
          <w:sz w:val="24"/>
          <w:szCs w:val="24"/>
        </w:rPr>
        <w:t>.</w:t>
      </w:r>
    </w:p>
    <w:p w14:paraId="05BAC303" w14:textId="1F270E96"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Dodanie nowego pkt 12 w ust. 1 w art. 68 ustawy – Prawo oświatowe ma na celu uzupełnienie zakresu obowiązków dyrektora szkoły lub placówki zawartego w tym przepisie, o zobowiązanie do odpowiedniego zabezpieczenia procesów przetwarzania danych osobowych przez szkołę lub placówkę, tak aby zapewnić ich zgodność z przepisami obowiązującymi w tym zakresie.</w:t>
      </w:r>
    </w:p>
    <w:p w14:paraId="3F220CA0"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184B3C68" w14:textId="38674611"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54" w:name="_Toc530565126"/>
      <w:r w:rsidRPr="00375799">
        <w:rPr>
          <w:rFonts w:eastAsia="Times New Roman" w:cstheme="minorHAnsi"/>
          <w:color w:val="000000" w:themeColor="text1"/>
          <w:sz w:val="24"/>
          <w:szCs w:val="24"/>
        </w:rPr>
        <w:t xml:space="preserve">Ustawa </w:t>
      </w:r>
      <w:r w:rsidR="00CF7B15">
        <w:rPr>
          <w:rFonts w:eastAsia="Times New Roman" w:cstheme="minorHAnsi"/>
          <w:color w:val="000000" w:themeColor="text1"/>
          <w:sz w:val="24"/>
          <w:szCs w:val="24"/>
        </w:rPr>
        <w:t xml:space="preserve">z </w:t>
      </w:r>
      <w:r w:rsidRPr="00375799">
        <w:rPr>
          <w:rFonts w:eastAsia="Times New Roman" w:cstheme="minorHAnsi"/>
          <w:color w:val="000000" w:themeColor="text1"/>
          <w:sz w:val="24"/>
          <w:szCs w:val="24"/>
        </w:rPr>
        <w:t>dnia 15 grudnia 2016 r. o Prokuratorii Generalnej Rzeczypospolitej Polskiej (Dz. U. poz. 2261</w:t>
      </w:r>
      <w:r w:rsidR="00A37C96" w:rsidRPr="00375799">
        <w:rPr>
          <w:rFonts w:eastAsia="Times New Roman" w:cstheme="minorHAnsi"/>
          <w:color w:val="000000" w:themeColor="text1"/>
          <w:sz w:val="24"/>
          <w:szCs w:val="24"/>
        </w:rPr>
        <w:t xml:space="preserve"> oraz z 2018 r. poz. 723</w:t>
      </w:r>
      <w:r w:rsidR="00481BA0">
        <w:rPr>
          <w:rFonts w:eastAsia="Times New Roman" w:cstheme="minorHAnsi"/>
          <w:color w:val="000000" w:themeColor="text1"/>
          <w:sz w:val="24"/>
          <w:szCs w:val="24"/>
        </w:rPr>
        <w:t>, 1544 i 1669</w:t>
      </w:r>
      <w:r w:rsidRPr="00375799">
        <w:rPr>
          <w:rFonts w:eastAsia="Times New Roman" w:cstheme="minorHAnsi"/>
          <w:color w:val="000000" w:themeColor="text1"/>
          <w:sz w:val="24"/>
          <w:szCs w:val="24"/>
        </w:rPr>
        <w:t>)</w:t>
      </w:r>
      <w:bookmarkEnd w:id="154"/>
    </w:p>
    <w:p w14:paraId="195912F0"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09383AA9" w14:textId="6CD1E9E1"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Projekt </w:t>
      </w:r>
      <w:r w:rsidR="00847C43" w:rsidRPr="00375799">
        <w:rPr>
          <w:rFonts w:eastAsia="Calibri" w:cstheme="minorHAnsi"/>
          <w:color w:val="000000" w:themeColor="text1"/>
          <w:sz w:val="24"/>
          <w:szCs w:val="24"/>
        </w:rPr>
        <w:t xml:space="preserve">ustawy o zmianie niektórych ustaw w związku z zapewnieniem stosowania </w:t>
      </w:r>
      <w:r w:rsidR="00BA17AE">
        <w:rPr>
          <w:rFonts w:eastAsia="Calibri" w:cstheme="minorHAnsi"/>
          <w:color w:val="000000" w:themeColor="text1"/>
          <w:sz w:val="24"/>
          <w:szCs w:val="24"/>
        </w:rPr>
        <w:t>rozporządzenia 2016/679</w:t>
      </w:r>
      <w:r w:rsidR="00BA17AE" w:rsidRPr="00375799">
        <w:rPr>
          <w:rFonts w:eastAsia="Calibri" w:cstheme="minorHAnsi"/>
          <w:color w:val="000000" w:themeColor="text1"/>
          <w:sz w:val="24"/>
          <w:szCs w:val="24"/>
        </w:rPr>
        <w:t xml:space="preserve"> zakłada zmianę </w:t>
      </w:r>
      <w:r w:rsidRPr="00375799">
        <w:rPr>
          <w:rFonts w:eastAsia="Calibri" w:cstheme="minorHAnsi"/>
          <w:color w:val="000000" w:themeColor="text1"/>
          <w:sz w:val="24"/>
          <w:szCs w:val="24"/>
        </w:rPr>
        <w:t xml:space="preserve">polegającą na dodaniu do jej treści przepisu art. </w:t>
      </w:r>
      <w:r w:rsidR="00BA17AE">
        <w:rPr>
          <w:rFonts w:eastAsia="Calibri" w:cstheme="minorHAnsi"/>
          <w:color w:val="000000" w:themeColor="text1"/>
          <w:sz w:val="24"/>
          <w:szCs w:val="24"/>
        </w:rPr>
        <w:t>154</w:t>
      </w:r>
      <w:r w:rsidRPr="00375799">
        <w:rPr>
          <w:rFonts w:eastAsia="Calibri" w:cstheme="minorHAnsi"/>
          <w:color w:val="000000" w:themeColor="text1"/>
          <w:sz w:val="24"/>
          <w:szCs w:val="24"/>
        </w:rPr>
        <w:t xml:space="preserve">, w którym proponuje się dokonać zmian w ustawie z dnia 15 grudnia 2016 r. o Prokuratorii Generalnej Rzeczypospolitej Polskiej, przez dodanie do niej przepisu art. 6a, umożliwiającego wyłączenie bezpośredniego stosowania określonych przepisów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t>
      </w:r>
    </w:p>
    <w:p w14:paraId="4D2F2515" w14:textId="4C065A3E"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Dopuszczalność ustanowienia takiego wyłączenia przez państwo członkowskie przewidziana została w treści art. 23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pod warunkiem uznania, że przepisy krajowe odpowiadają prawom i obowiązkom przewidzianym w art. 12-22 </w:t>
      </w:r>
      <w:r w:rsidR="00BA17AE">
        <w:rPr>
          <w:rFonts w:eastAsia="Calibri" w:cstheme="minorHAnsi"/>
          <w:color w:val="000000" w:themeColor="text1"/>
          <w:sz w:val="24"/>
          <w:szCs w:val="24"/>
        </w:rPr>
        <w:t>RODO</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o ile ograniczenie takie nie narusza istoty podstawowych praw i wolności oraz jest w demokratycznym społeczeństwie środkiem niezbędnym i proporcjonalnym, służącym określonym w tym przepisie wartościom. </w:t>
      </w:r>
    </w:p>
    <w:p w14:paraId="24AE7F9B" w14:textId="0478871F"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Mając na względzie zadania Prokuratorii Generalnej Rzeczypospolitej Polskiej, w ramach których mogą być przetwarzane dane osobowe, do których odwołuje się wybiórczo proponowana regulacja, konieczne jest więc zapewnienie realizacji ważnych celów leżących w ogólnym interesie publicznym Unii Europejskiej i państwa (art. 23 ust. 1 lit. e</w:t>
      </w:r>
      <w:r w:rsidR="00BA17AE">
        <w:rPr>
          <w:rFonts w:eastAsia="Calibri" w:cstheme="minorHAnsi"/>
          <w:color w:val="000000" w:themeColor="text1"/>
          <w:sz w:val="24"/>
          <w:szCs w:val="24"/>
        </w:rPr>
        <w:t xml:space="preserve"> RODO</w:t>
      </w:r>
      <w:r w:rsidRPr="00375799">
        <w:rPr>
          <w:rFonts w:eastAsia="Calibri" w:cstheme="minorHAnsi"/>
          <w:color w:val="000000" w:themeColor="text1"/>
          <w:sz w:val="24"/>
          <w:szCs w:val="24"/>
        </w:rPr>
        <w:t xml:space="preserve">) oraz ochronie postępowania sądowego (art. 23 ust. 1 lit. f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t>
      </w:r>
    </w:p>
    <w:p w14:paraId="55622324" w14:textId="1C2B5A59"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Dla oceny przesłanek niezbędności i proporcjonalności uzasadniających dopuszczalność wyłączenia bezpośredniego stosowania przepisów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kluczowe znaczenie ma waga spraw realizowanych w ramach przywołanych w projektowanym przepisie zadań Prokuratorii Generalnej, wśród których wymienić należy zastępstwo Skarbu Państwa, organów </w:t>
      </w:r>
      <w:r w:rsidRPr="00375799">
        <w:rPr>
          <w:rFonts w:eastAsia="Calibri" w:cstheme="minorHAnsi"/>
          <w:color w:val="000000" w:themeColor="text1"/>
          <w:sz w:val="24"/>
          <w:szCs w:val="24"/>
        </w:rPr>
        <w:lastRenderedPageBreak/>
        <w:t>administracji rządowej, państwowych jednostek organizacyjnych nieposiadających osobowości prawnej oraz innych, niż Skarb Państwa osób prawnych przed Sądem Najwyższym, sądami powszechnymi, sądami administracyjnymi oraz polubownymi. W ramach tych zadań mieści się również zastępstwo Rzeczypospolitej Polskiej przed sądami, trybunałami i innymi organami orzekającymi w stosunkach międzynarodowych oraz wydawanie opinii prawnych w sprawach dotyczących praw i interesów Rzeczypospolitej Polskiej, w tym praw i interesów Skarbu Państwa, a także udział w negocjacjach i mediacjach. W art. 6 ust. 1 tejże ustawy przewidziany został obowiązek współdziałania Prokuratorii Generalnej i Prezesa Prokuratorii Generalnej z określonymi w tym przepisie podmiotami, które zobowiązane są do przekazywania informacji i dokumentów, w tym stanowiących tajemnicę prawnie chronioną, niezbędnych do wykonywania ich zadań.</w:t>
      </w:r>
    </w:p>
    <w:p w14:paraId="30EB0102" w14:textId="445C6EE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Natomiast przywołane przepisy ustawy z dnia 16 grudnia 2016 r. o zasadach zarządzania mieniem państwowym nakładają określone zadania na Prezesa Prokuratorii, który, w art. 16 ust. 2 upoważniony został do występowania z powództwem o stwierdzenie nieważności zbycia akcji należących do Skarbu Państwa lub państwowej osoby prawnej oraz zobowiązany – w określonych przypadkach - do wyrażania zgody na dokonanie przez państwową osobę prawną czynności prawnej w zakresie rozporządzenia składnikami aktywów trwałych, zaliczonych do wartości niematerialnych i prawnych, rzeczowych aktywów trwałych lub inwestycji długoterminowych, w tym wniesienia ich jako wkładu do spółki lub spółdzielni, a także do wyrażania zgody na dokonanie przez państwową osobę prawną czynności prawnej w zakresie oddania tych składników do korzystania innemu podmiotowi, na okres dłuższy niż 180 dni w roku kalendarzowym (por. art. 38 ust. 1 i 2 ustawy o zarządzaniu mieniem państwowym). W art. 43 pkt 2 tejże ustawy na Prezesa Prokuratorii Generalnej Rzeczypospolitej Polskiej został ponadto nałożony obowiązek prowadzenia ewidencji podmiotów, w szczególności państwowych jednostek organizacyjnych, którym przysługuje prawo wykonywania uprawnień wynikających z praw majątkowych Skarbu Państwa lub do działania w imieniu Skarbu Państwa. </w:t>
      </w:r>
    </w:p>
    <w:p w14:paraId="429276E7" w14:textId="208E6ADB"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Realizacja tych zadań, obowiązków oraz uprawnień wiąże się więc w sposób naturalny z przetwarzaniem danych osobowych stron postępowań lub osób, których dane zostaną uzyskane w ramach wydawania opinii prawnych, udziału w negocjacjach i mediacjach oraz w ramach współdziałania z podmiotami określonymi w art. 6 ust. 1 ustawy o Prokuratorii Generalnej Rzeczypospolitej Polskiej. Podlegające przetwarzaniu dane osobowe osób trzecich mogą być również uzyskane w wyniku występowania z powództwem o stwierdzenie nieważności zbycia akcji należących do Skarbu Państwa lub państwowej osoby prawnej, wyrażania zgód czy też w przypadku realizacji obowiązku prowadzenia ewidencji podmiotów, o których mowa w przywołanych powyżej przepisach o zasadach zarządzania mieniem państwowym. Mając zatem na względzie wagę czynności, które podejmowane są w celu realizacji ustawowych zadań zarówno Prokuratorii Generalnej, jak i jej Prezesa oraz obowiązujące przepisy prawne, a także regulacje projektowane w ustawie o ochronie danych osobowych, zmierzające do ustanowienia w krajowym porządku prawnym praw i obowiązków </w:t>
      </w:r>
      <w:r w:rsidRPr="00375799">
        <w:rPr>
          <w:rFonts w:eastAsia="Calibri" w:cstheme="minorHAnsi"/>
          <w:color w:val="000000" w:themeColor="text1"/>
          <w:sz w:val="24"/>
          <w:szCs w:val="24"/>
        </w:rPr>
        <w:lastRenderedPageBreak/>
        <w:t xml:space="preserve">w zakresie ochrony danych osobowych, oparte na rozwiązaniach przyjętych w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zasadnym jest wyłączenie bezpośredniego stosowania wskazanych przepisów tego aktu w przypadku ich przetwarzania w ramach przedstawionych powyżej zadań.</w:t>
      </w:r>
    </w:p>
    <w:p w14:paraId="07E85935" w14:textId="3F42BF16"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Należy podkreślić, że w celu urzeczywistnienia realizacji przesłanek niezbędności i proporcjonalności projektowanego ograniczenia wskazane przepisy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podlegać mają wyłączeniu od bezpośredniego stosowania jedynie w przypadkach realizacji ustawowych zadań Prokuratorii, służących ważnym celom leżącym w ogólnym interesie publicznym państwa polskiego. Przywołany powyżej zakres zadań realizowany przez Prokuratorię Generalną, której celem - zgodnie z art. 1 ustawy o Prokuratorii Generalnej Rzeczypospolitej Polskiej - jest stanie na straży praw i interesów Rzeczypospolitej Polskiej, w tym praw i interesów Skarbu Państwa, oraz mienia państwowego nienależącego do Skarbu Państwa, niewątpliwie mieści się w kategorii ważnych celów leżących w ogólnym interesie publicznym, w rozumieniu art. 23 ust. 1 lit. e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W świetle powyższego obowiązku istotne jest zatem zapewnienie odpowiedniego poziomu ochrony tych wartości w ramach przetwarzania danych osobowych w związku z wypełnianiem zadań w interesie publicznym.</w:t>
      </w:r>
    </w:p>
    <w:p w14:paraId="77B2FF32" w14:textId="12A62921"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Odrębną wartością uzasadniającą wyłączenie bezpośredniego stosowania przepisów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w zakresie zadań Prokuratorii Generalnej jest ponadto ochrona postępowania sądowego, wskazana w art. 23 ust. 1 lit. e </w:t>
      </w:r>
      <w:r w:rsidR="00BA17AE">
        <w:rPr>
          <w:rFonts w:eastAsia="Calibri" w:cstheme="minorHAnsi"/>
          <w:color w:val="000000" w:themeColor="text1"/>
          <w:sz w:val="24"/>
          <w:szCs w:val="24"/>
        </w:rPr>
        <w:t>RODO</w:t>
      </w:r>
      <w:r w:rsidRPr="00375799">
        <w:rPr>
          <w:rFonts w:eastAsia="Calibri" w:cstheme="minorHAnsi"/>
          <w:color w:val="000000" w:themeColor="text1"/>
          <w:sz w:val="24"/>
          <w:szCs w:val="24"/>
        </w:rPr>
        <w:t>. Brak proponowanego ograniczenia może stanowić zagrożenie dla postępowań sądowych prowadzonych przez Prokuratorię, znacznie utrudniając lub uniemożliwiając procesową ochronę praw i interesów Rzeczypospolitej Polskiej, Skarbu Państwa oraz mienia państwowego nienależącego do Skarbu Państwa.</w:t>
      </w:r>
    </w:p>
    <w:p w14:paraId="28F5232B" w14:textId="793EEC30"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Regulacje ograniczające przetwarzanie danych osobowych w polskim porządku prawnym zawarte zostały przede wszystkim w przepisach Konstytucji Rzeczypospolitej Polskiej. W art. 51 Ustawy Zasadniczej zawarto bowiem dla władz publicznych zarówno zakaz pozaustawowego nakładania obowiązku ujawniania informacji zawierających dane osobowe, jak i zakaz pozyskiwania, gromadzenia i udostępniania innych informacji o obywatelach, niż jest to niezbędne w demokratycznym państwie prawnym. Przepis ten zawiera również w swej treści publiczne prawa podmiotowe w zakresie dostępu do urzędowych dokumentów i zbiorów danych, umożliwiając jednocześnie ograniczenie tego prawa przez ustawę oraz do żądania sprostowania i usunięcia informacji nieprawdziwych, niepełnych lub zebranych w sposób sprzeczny z ustawą, powierzając temu aktowi </w:t>
      </w:r>
      <w:r w:rsidR="000C33E9" w:rsidRPr="00375799">
        <w:rPr>
          <w:rFonts w:eastAsia="Calibri" w:cstheme="minorHAnsi"/>
          <w:color w:val="000000" w:themeColor="text1"/>
          <w:sz w:val="24"/>
          <w:szCs w:val="24"/>
        </w:rPr>
        <w:t>normatywne</w:t>
      </w:r>
      <w:r w:rsidR="000C33E9">
        <w:rPr>
          <w:rFonts w:eastAsia="Calibri" w:cstheme="minorHAnsi"/>
          <w:color w:val="000000" w:themeColor="text1"/>
          <w:sz w:val="24"/>
          <w:szCs w:val="24"/>
        </w:rPr>
        <w:t>mu</w:t>
      </w:r>
      <w:r w:rsidR="000C33E9"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określenie zasad i trybu gromadzenia oraz udostępniania informacji. Ograniczenia ustawowe, o których mowa powyżej</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muszą jednak odpowiadać konstytucyjnym warunkom ich wprowadzania </w:t>
      </w:r>
      <w:r w:rsidR="000C33E9" w:rsidRPr="00375799">
        <w:rPr>
          <w:rFonts w:eastAsia="Calibri" w:cstheme="minorHAnsi"/>
          <w:color w:val="000000" w:themeColor="text1"/>
          <w:sz w:val="24"/>
          <w:szCs w:val="24"/>
        </w:rPr>
        <w:t>wymagany</w:t>
      </w:r>
      <w:r w:rsidR="000C33E9">
        <w:rPr>
          <w:rFonts w:eastAsia="Calibri" w:cstheme="minorHAnsi"/>
          <w:color w:val="000000" w:themeColor="text1"/>
          <w:sz w:val="24"/>
          <w:szCs w:val="24"/>
        </w:rPr>
        <w:t>m</w:t>
      </w:r>
      <w:r w:rsidR="000C33E9"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przez art. 31 ust. 3 Konstytucji RP, który to przepis uzależnia dopuszczalność ingerencji w konstytucyjne wolności i prawa pod warunkiem jej obiektywnej konieczności w demokratycznym państwie dla jego bezpieczeństwa lub porządku publicznego, bądź dla ochrony środowiska, zdrowia i moralności publicznej, albo wolności i praw innych osób.</w:t>
      </w:r>
    </w:p>
    <w:p w14:paraId="5F52E1CA" w14:textId="2C337504"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Proponowane przepisy projektu ustawy ograniczające bezpośrednie stosowanie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realizują zarówno wymogi niezbędności i proporcjonalności w rozumieniu tego rozporządzenia, jak i przesłanki dokonywania ograniczeń w korzystaniu z praw podmiotowych, </w:t>
      </w:r>
      <w:r w:rsidRPr="00375799">
        <w:rPr>
          <w:rFonts w:eastAsia="Calibri" w:cstheme="minorHAnsi"/>
          <w:color w:val="000000" w:themeColor="text1"/>
          <w:sz w:val="24"/>
          <w:szCs w:val="24"/>
        </w:rPr>
        <w:lastRenderedPageBreak/>
        <w:t xml:space="preserve">wynikające z Konstytucji RP. Odnosząc się do przywołanej uprzednio treści art. 1 ustawy o Prokuratorii Generalnej Rzeczypospolitej Polskiej, który statuuje Prokuratorię jako jednostkę zobowiązaną do stania na straży praw i interesów Rzeczypospolitej Polskiej, w tym praw i interesów Skarbu Państwa, oraz mienia państwowego nienależącego do Skarbu Państwa stwierdzić należy, że tak sformułowany cel powołania tej instytucji wiąże się naturalnie z ochroną porządku publicznego, która stanowi jedną z przywołanych powyżej przesłanek ustawowego ograniczenia konstytucyjnych wolności i praw. Zarówno proponowany zakres ograniczeń, jak i gwarancje normatywne dotyczące zasad przetwarzania danych osobowych, pozwalają na uznanie, że projektowane regulacje są proporcjonalne wobec realizowanych celów i nie naruszają istoty wolności i praw. Zauważyć przy tym należy, że regulacje wyłączające bezpośrednie stosowanie niektórych przepisów rozporządzenia odniesione zostały jedynie do obowiązujących regulacji ustaw, normujących zadania Prokuratorii oraz uprawnienia i obowiązki Prezesa Prokuratorii, na podstawie których mogą być przetwarzane dane osobowe konieczne do realizacji zasadniczego celu ustawy. Relatywnie wąskie określenie rzeczywistego zakresu dopuszczalnych wyłączeń bezpośredniego stosowania rozporządzenia realizuje więc przesłankę niezbędności, określoną w art. 23 ust. 1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w:t>
      </w:r>
    </w:p>
    <w:p w14:paraId="09ACF2EE" w14:textId="4D1CDEB6"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Konieczność przetwarzania danych wrażliwych, o których mowa w art. 9 ust. 1</w:t>
      </w:r>
      <w:r w:rsidR="003F4602" w:rsidRPr="00375799">
        <w:rPr>
          <w:rFonts w:eastAsia="Calibri" w:cstheme="minorHAnsi"/>
          <w:color w:val="000000" w:themeColor="text1"/>
          <w:sz w:val="24"/>
          <w:szCs w:val="24"/>
        </w:rPr>
        <w:t xml:space="preserve"> i art. 10</w:t>
      </w:r>
      <w:r w:rsidRPr="00375799">
        <w:rPr>
          <w:rFonts w:eastAsia="Calibri" w:cstheme="minorHAnsi"/>
          <w:color w:val="000000" w:themeColor="text1"/>
          <w:sz w:val="24"/>
          <w:szCs w:val="24"/>
        </w:rPr>
        <w:t xml:space="preserve"> </w:t>
      </w:r>
      <w:r w:rsidR="00BA17AE">
        <w:rPr>
          <w:rFonts w:eastAsia="Calibri" w:cstheme="minorHAnsi"/>
          <w:color w:val="000000" w:themeColor="text1"/>
          <w:sz w:val="24"/>
          <w:szCs w:val="24"/>
        </w:rPr>
        <w:t>RODO</w:t>
      </w:r>
      <w:r w:rsidRPr="00375799">
        <w:rPr>
          <w:rFonts w:eastAsia="Calibri" w:cstheme="minorHAnsi"/>
          <w:color w:val="000000" w:themeColor="text1"/>
          <w:sz w:val="24"/>
          <w:szCs w:val="24"/>
        </w:rPr>
        <w:t>, podyktowana jest charakterem formułowanych roszczeń wobec Rzeczypospolitej Polskiej i Skarbu Państwa, zastępowanych przez Prokuratorię Generalną, co jednocześnie umożliwia wyłączenie zakazu ich przetwarzania z uwagi na spełnienie warunku określonego w ust. 2 lit. f tego przepisu, przez uznanie, że przetwarzanie tych danych jest konieczne do ustalenia, dochodzenia lub obrony roszczeń.</w:t>
      </w:r>
    </w:p>
    <w:p w14:paraId="4AF04131"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Projektowane przepisy nie naruszają zasady równości w relacji do regulacji wiążących inne podmioty świadczące usługi prawne, ponieważ Prokuratoria Generalna wykonuje wyłączne zastępstwo Skarbu Państwa przed Sądem Najwyższym. Zastępstwo Skarbu Państwa wykonywane przez Prokuratorię Generalną jest obowiązkowe do zakończenia sprawy:</w:t>
      </w:r>
    </w:p>
    <w:p w14:paraId="7E01DF7F"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1) w sprawach rozpoznawanych w pierwszej instancji przez sąd okręgowy; </w:t>
      </w:r>
    </w:p>
    <w:p w14:paraId="28E7FE27"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2) w sprawach: </w:t>
      </w:r>
    </w:p>
    <w:p w14:paraId="670DF11D"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a) o uzgodnienie treści księgi wieczystej z rzeczywistym stanem prawnym, </w:t>
      </w:r>
    </w:p>
    <w:p w14:paraId="1CE7C24D"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b) o stwierdzenie zasiedzenia - jeżeli wartość przedmiotu sprawy przekracza kwotę 1 000 000 zł; </w:t>
      </w:r>
    </w:p>
    <w:p w14:paraId="0215B282" w14:textId="6798D829"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3) w sprawach rozpoznawanych przez sądy polubowne, niezależnie od tego, czy miejsce postępowania przed tym sądem znajduje się na terytorium Rzeczypospolitej Polskiej czy poza jej granicami lub nie jest oznaczone; </w:t>
      </w:r>
    </w:p>
    <w:p w14:paraId="156DD0FD"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4) w sprawach o uchylenie wyroku sądu polubownego oraz uznanie albo stwierdzenie wykonalności wyroku sądu polubownego lub ugody przed nim zawartej (art. 7 ust. 2 ustawy). </w:t>
      </w:r>
    </w:p>
    <w:p w14:paraId="30F73063" w14:textId="6DA99A3F"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Ustanawiając ograniczenia w zakresie wypełniania przez Prokuratorię Generalną obowiązków informacyjnych określonych w </w:t>
      </w:r>
      <w:r w:rsidR="008D5D28" w:rsidRPr="00375799">
        <w:rPr>
          <w:rFonts w:eastAsia="Calibri" w:cstheme="minorHAnsi"/>
          <w:color w:val="000000" w:themeColor="text1"/>
          <w:sz w:val="24"/>
          <w:szCs w:val="24"/>
        </w:rPr>
        <w:t>RODO</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należy mieć na uwadze tajemnicę Prokuratorii Generalnej, określoną w przepisach rozdziału 4 ustawy z dnia 16 grudnia 2016 r. o Prokuratorii Generalnej Rzeczypospolitej Polskiej. Zgodnie z art. 38 ust. 1 tej ustawy czynności </w:t>
      </w:r>
      <w:r w:rsidRPr="00375799">
        <w:rPr>
          <w:rFonts w:eastAsia="Calibri" w:cstheme="minorHAnsi"/>
          <w:color w:val="000000" w:themeColor="text1"/>
          <w:sz w:val="24"/>
          <w:szCs w:val="24"/>
        </w:rPr>
        <w:lastRenderedPageBreak/>
        <w:t>Prokuratorii Generalnej związane z wykonywaniem zastępstwa, wydawaniem opinii, sporządzaniem raportów, analiz i stanowisk, udziałem w negocjacjach i mediacjach oraz w postępowaniach przed organami międzynarodowymi, a także informacje i dokumenty stanowiące podstawę dokonania takich czynności są objęte tajemnicą Prokuratorii Generalnej. Dokumenty sporządzone w związku z tymi czynnościami przez Prokuratorię Generalną, podmiot reprezentujący Skarb Państwa, organ lub osobę zastępowaną mogą być udostępnione przez właściwą jednostkę albo osobę prawną po zakończeniu sprawy. Natomiast w przypadku gdy dokumenty zakończonej sprawy są związane z inną sprawą prowadzoną przez Prokuratorię Generalną, podmiot reprezentujący Skarb Państwa, organ lub osobę zastępowaną mogą być one udostępnione po zakończeniu tej sprawy. Tym samym prawo dostępu osoby fizycznej do dotyczących jej urzędowych dokumentów i zbiorów danych zostało ograniczone zgodnie z art. 51 ust. 3 Konstytucji RP z zachowaniem zasady proporcjonalności.</w:t>
      </w:r>
    </w:p>
    <w:p w14:paraId="16081278"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Proponowany zakres wyłączeń stosowania przepisów przedmiotowego rozporządzenia uzasadniony jest następującymi względami. </w:t>
      </w:r>
    </w:p>
    <w:p w14:paraId="4EB94A87" w14:textId="7943D7E8"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Art. 12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nakłada na administratora obowiązek przejrzystego informowania i komunikacji z osobą, której dane dotyczą</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oraz tryb korzystania z praw przez osobę, której dane dotyczą. Przepis ten nie podlega wyłączeniu, gdyż jego treść określa jedynie sposób realizacji przez administratora praw przewidzianych w dalszej części rozporządzenia.</w:t>
      </w:r>
    </w:p>
    <w:p w14:paraId="356CFB14" w14:textId="7D2FA2A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myśl art. 13 ust. 1 </w:t>
      </w:r>
      <w:r w:rsidR="00C10F49">
        <w:rPr>
          <w:rFonts w:eastAsia="Calibri" w:cstheme="minorHAnsi"/>
          <w:color w:val="000000" w:themeColor="text1"/>
          <w:sz w:val="24"/>
          <w:szCs w:val="24"/>
        </w:rPr>
        <w:t>RODO</w:t>
      </w:r>
      <w:r w:rsidR="00C10F49"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na administratorze podczas pozyskiwania danych osobowych od osoby, której dane dotyczą, ciąży obowiązek przedstawienia jej informacji określonych w pkt a-f oraz w ust. 2. Obowiązek ten rozciągnięty został ponadto na konieczność informowania tejże osoby o zamiarze dalszego przetwarzania pozyskanych danych, co pociąga za sobą również przekazanie jej wszelkich innych stosownych informacji, o których mowa w ust. 2. Jednocześnie przepis ust. 4 wyłącza stosowanie przepisów poprzedzających, gdy – i w zakresie, w jakim – osoba, której dane dotyczą, dysponuje już tymi informacjami. </w:t>
      </w:r>
    </w:p>
    <w:p w14:paraId="30E90688"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Przyjmując, że Prokuratoria Generalna jest podmiotem publicznym, zaś informacje dotyczące tożsamości administratora i dane kontaktowe dostępne są na stronie BIP, która zawierać może również pozostałe informacje, o których mowa w ust. 1 i 2, włącznie z przywołaniem ustawowych celów, podstaw prawnych przetwarzania i kryteriów ustalania okresu przechowywania danych, do których to informacji odsyłać będą odpowiednie klauzule informacyjne, osoba przekazująca swoje dane osobowe będzie miała świadomość informacji związanych z przekazanymi przez nią danymi osobowymi, co - zgodnie z przepisem ust. 4 - pozwoli na wyłączenie stosowania tego przepisu w większości jednostkowych przypadków. </w:t>
      </w:r>
    </w:p>
    <w:p w14:paraId="76AC6831" w14:textId="5390D2B4"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Przepis art. 14 </w:t>
      </w:r>
      <w:r w:rsidR="00C10F49">
        <w:rPr>
          <w:rFonts w:eastAsia="Calibri" w:cstheme="minorHAnsi"/>
          <w:color w:val="000000" w:themeColor="text1"/>
          <w:sz w:val="24"/>
          <w:szCs w:val="24"/>
        </w:rPr>
        <w:t xml:space="preserve">RODO </w:t>
      </w:r>
      <w:r w:rsidRPr="00375799">
        <w:rPr>
          <w:rFonts w:eastAsia="Calibri" w:cstheme="minorHAnsi"/>
          <w:color w:val="000000" w:themeColor="text1"/>
          <w:sz w:val="24"/>
          <w:szCs w:val="24"/>
        </w:rPr>
        <w:t>reguluje zakres informacji, jakie mają być podawane przez administratora osobie, której dane dotyczą, a zebrane zostały w sposób inny, niż od tej osoby. W ust. 5 tego przepisu wskazane zostały sytuacje wyłączające obowiązek podawania przez administratora określonych w nich informacji, warunkujące stosowanie przepisów poprzedzających w zakresie, w jakim osoba, której dane dotyczą</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dysponuje tymi informacjami, udzielenie ich jest niemożliwe lub wymagałoby to niewspółmiernie dużego </w:t>
      </w:r>
      <w:r w:rsidRPr="00375799">
        <w:rPr>
          <w:rFonts w:eastAsia="Calibri" w:cstheme="minorHAnsi"/>
          <w:color w:val="000000" w:themeColor="text1"/>
          <w:sz w:val="24"/>
          <w:szCs w:val="24"/>
        </w:rPr>
        <w:lastRenderedPageBreak/>
        <w:t>wysiłku lub o ile obowiązek przekazania takich informacji mógłby uniemożliwić lub poważnie utrudnić realizację celów takiego przetwarzania. Brak konieczności realizacji powyższego obowiązku może być ponadto uzasadniony, gdy pozyskiwanie lub ujawnianie jest wyraźnie uregulowane prawem Unii lub prawem państwa członkowskiego, któremu podlega administrator, przewidującym odpowiednie środki chroniące prawnie uzasadnione interesy osoby, której dane dotyczą (ust. 5 lit. c) oraz gdy dane osobowe muszą pozostać poufne zgodnie z obowiązkiem zachowania tajemnicy zawodowej przewidzianym w prawie Unii lub państwa członkowskiego, w tym ustawowym obowiązkiem zachowania tajemnicy.</w:t>
      </w:r>
    </w:p>
    <w:p w14:paraId="4F26295E" w14:textId="353CCC62"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Przyjmując, że w przypadku Prokuratorii Generalnej zarówno pozyskiwanie i ujawnianie danych osobowych uregulowane jest w sposób wyraźny w przepisach dotyczących zasad współdziałania z innymi podmiotami wydanych na podstawie art. 37 ustawy o Prokuratorii Generalnej Rzeczypospolitej Polskiej oraz w przepisach właściwych procedur, w tym zwłaszcza w Kodeksie postępowania cywilnego, zaś dane osobowe pozostają poufne w świetle obowiązku zachowania tajemnicy, tym samym realizowane są co najmniej dwie przesłanki wymienione w art. 14 ust. 5 lit. c i d</w:t>
      </w:r>
      <w:r w:rsidR="00C10F49">
        <w:rPr>
          <w:rFonts w:eastAsia="Calibri" w:cstheme="minorHAnsi"/>
          <w:color w:val="000000" w:themeColor="text1"/>
          <w:sz w:val="24"/>
          <w:szCs w:val="24"/>
        </w:rPr>
        <w:t xml:space="preserve"> RODO</w:t>
      </w:r>
      <w:r w:rsidRPr="00375799">
        <w:rPr>
          <w:rFonts w:eastAsia="Calibri" w:cstheme="minorHAnsi"/>
          <w:color w:val="000000" w:themeColor="text1"/>
          <w:sz w:val="24"/>
          <w:szCs w:val="24"/>
        </w:rPr>
        <w:t xml:space="preserve">, warunkujące brak zastosowania ust. 1-4 tego przepisu, co skutkuje brakiem konieczności odrębnego wyłączania jego zastosowania w treści projektu. </w:t>
      </w:r>
    </w:p>
    <w:p w14:paraId="060DE7E0" w14:textId="19811C62"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Konieczność ochrony tajemnicy Prokuratorii Generalnej stanowi podstawę do częściowego wyłączenia stosowania przepisów art. 15 ust. 1 i 3 oraz art. 19 </w:t>
      </w:r>
      <w:r w:rsidR="00C10F49">
        <w:rPr>
          <w:rFonts w:eastAsia="Calibri" w:cstheme="minorHAnsi"/>
          <w:color w:val="000000" w:themeColor="text1"/>
          <w:sz w:val="24"/>
          <w:szCs w:val="24"/>
        </w:rPr>
        <w:t>RODO.</w:t>
      </w:r>
      <w:r w:rsidR="00847C43"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Prawa i obowiązki przewidziane w tych przepisach będą więc podlegać ograniczeniu, w sytuacji uznania przez administratora, że wskutek ich realizacji przedmiotowa tajemnica może doznać uszczerbku. Mając na względzie wskazane powyżej, określone w rozporządzeniu, wymogi niezbędności i proporcjonalności ograniczeń stosowania przepisów rozporządzenia, projektowany przepis art. 6a ust. 1 wyłącza, w określonym w nim zakresie, prawa do uzyskania potwierdzenia o przetwarzaniu danych, dostępu do danych, żądania ograniczenia ich przetwarzania oraz uzyskania informacji przewidzianych w art. 15 ust. 1</w:t>
      </w:r>
      <w:r w:rsidR="00C10F49">
        <w:rPr>
          <w:rFonts w:eastAsia="Calibri" w:cstheme="minorHAnsi"/>
          <w:color w:val="000000" w:themeColor="text1"/>
          <w:sz w:val="24"/>
          <w:szCs w:val="24"/>
        </w:rPr>
        <w:t xml:space="preserve"> RODO</w:t>
      </w:r>
      <w:r w:rsidRPr="00375799">
        <w:rPr>
          <w:rFonts w:eastAsia="Calibri" w:cstheme="minorHAnsi"/>
          <w:color w:val="000000" w:themeColor="text1"/>
          <w:sz w:val="24"/>
          <w:szCs w:val="24"/>
        </w:rPr>
        <w:t xml:space="preserve">, a także obowiązki administratora, o których mowa w art. 15 ust. 3 i art. 19 </w:t>
      </w:r>
      <w:r w:rsidR="00C10F4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Proponowana regulacja, której podstawą jest realizacja ważnego interesu gospodarczego oraz ochrona postępowania sądowego, w rozumieniu art. 23 ust. 1 lit e i f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spełnia również wymogi określone w ust. 2 tego przepisu.</w:t>
      </w:r>
    </w:p>
    <w:p w14:paraId="5E851EFE" w14:textId="406987D1"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Art. 16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uprawnia osobę, której dane dotyczą</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do żądania niezwłocznego sprostowania dotyczących jej danych osobowych, które są nieprawidłowe, a także do żądania uzupełnienia niekompletnych danych osobowych. Mając na względzie fakt, że w art. 51 ust. 4 Konstytucji </w:t>
      </w:r>
      <w:r w:rsidR="00C10F49">
        <w:rPr>
          <w:rFonts w:eastAsia="Calibri" w:cstheme="minorHAnsi"/>
          <w:color w:val="000000" w:themeColor="text1"/>
          <w:sz w:val="24"/>
          <w:szCs w:val="24"/>
        </w:rPr>
        <w:t>RP</w:t>
      </w:r>
      <w:r w:rsidRPr="00375799">
        <w:rPr>
          <w:rFonts w:eastAsia="Calibri" w:cstheme="minorHAnsi"/>
          <w:color w:val="000000" w:themeColor="text1"/>
          <w:sz w:val="24"/>
          <w:szCs w:val="24"/>
        </w:rPr>
        <w:t xml:space="preserve"> gwarantowane jest publiczne prawo podmiotowe w postaci żądania sprostowania oraz usunięcia informacji nieprawdziwych, niepełnych lub zebranych w sposób sprzeczny z ustawą, przepis ten nie może podlegać wyłączeniu. </w:t>
      </w:r>
    </w:p>
    <w:p w14:paraId="3402CCF7" w14:textId="3E5440E8"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Art. 17 </w:t>
      </w:r>
      <w:r w:rsidR="00C10F49">
        <w:rPr>
          <w:rFonts w:eastAsia="Calibri" w:cstheme="minorHAnsi"/>
          <w:color w:val="000000" w:themeColor="text1"/>
          <w:sz w:val="24"/>
          <w:szCs w:val="24"/>
        </w:rPr>
        <w:t xml:space="preserve">RODO </w:t>
      </w:r>
      <w:r w:rsidRPr="00375799">
        <w:rPr>
          <w:rFonts w:eastAsia="Calibri" w:cstheme="minorHAnsi"/>
          <w:color w:val="000000" w:themeColor="text1"/>
          <w:sz w:val="24"/>
          <w:szCs w:val="24"/>
        </w:rPr>
        <w:t>zawierający w swej treści prawo żądania od administratora usunięcia danych (prawo do bycia zapomnianym), z czym wiąże się obowiązek administratora do niezwłocznego usunięcia danych osobowych na żądanie tejże osoby, może nie mieć zastosowania ze względu na jedną z przesłanek wymienionych w treści ust. 3</w:t>
      </w:r>
      <w:r w:rsidR="00C10F49">
        <w:rPr>
          <w:rFonts w:eastAsia="Calibri" w:cstheme="minorHAnsi"/>
          <w:color w:val="000000" w:themeColor="text1"/>
          <w:sz w:val="24"/>
          <w:szCs w:val="24"/>
        </w:rPr>
        <w:t xml:space="preserve"> lit. b</w:t>
      </w:r>
      <w:r w:rsidRPr="00375799">
        <w:rPr>
          <w:rFonts w:eastAsia="Calibri" w:cstheme="minorHAnsi"/>
          <w:color w:val="000000" w:themeColor="text1"/>
          <w:sz w:val="24"/>
          <w:szCs w:val="24"/>
        </w:rPr>
        <w:t xml:space="preserve"> tego </w:t>
      </w:r>
      <w:r w:rsidRPr="00375799">
        <w:rPr>
          <w:rFonts w:eastAsia="Calibri" w:cstheme="minorHAnsi"/>
          <w:color w:val="000000" w:themeColor="text1"/>
          <w:sz w:val="24"/>
          <w:szCs w:val="24"/>
        </w:rPr>
        <w:lastRenderedPageBreak/>
        <w:t xml:space="preserve">przepisu. W przypadku Prokuratorii Generalnej przesłanką tą jest niezbędność przetwarzania w celu wykonania zadania realizowanego w interesie publicznym. Zatem art. 17 </w:t>
      </w:r>
      <w:r w:rsidR="00C10F49">
        <w:rPr>
          <w:rFonts w:eastAsia="Calibri" w:cstheme="minorHAnsi"/>
          <w:color w:val="000000" w:themeColor="text1"/>
          <w:sz w:val="24"/>
          <w:szCs w:val="24"/>
        </w:rPr>
        <w:t xml:space="preserve">RODO </w:t>
      </w:r>
      <w:r w:rsidRPr="00375799">
        <w:rPr>
          <w:rFonts w:eastAsia="Calibri" w:cstheme="minorHAnsi"/>
          <w:color w:val="000000" w:themeColor="text1"/>
          <w:sz w:val="24"/>
          <w:szCs w:val="24"/>
        </w:rPr>
        <w:t>nie ma zastosowania do Prokuratorii Generalnej.</w:t>
      </w:r>
    </w:p>
    <w:p w14:paraId="6A7DFFA3" w14:textId="414AECF5"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Projektowana ustawa przewiduje, że wystąpienie przez osobę fizyczną z żądaniem, o którym mowa w art. 18 ust. 1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(tj. prawo żądania przez osobę, której dane osobowe dotyczą, ograniczenia przetwarzania jej danych) nie wpływa na wykonywanie zadań Prokuratorii Generalnej</w:t>
      </w:r>
      <w:r w:rsidR="00847C43" w:rsidRPr="00375799">
        <w:rPr>
          <w:rFonts w:eastAsia="Calibri" w:cstheme="minorHAnsi"/>
          <w:color w:val="000000" w:themeColor="text1"/>
          <w:sz w:val="24"/>
          <w:szCs w:val="24"/>
        </w:rPr>
        <w:t xml:space="preserve"> </w:t>
      </w:r>
      <w:r w:rsidR="00C10F49">
        <w:rPr>
          <w:rFonts w:eastAsia="Calibri" w:cstheme="minorHAnsi"/>
          <w:color w:val="000000" w:themeColor="text1"/>
          <w:sz w:val="24"/>
          <w:szCs w:val="24"/>
        </w:rPr>
        <w:t>lub zgodnie z przepisami</w:t>
      </w:r>
      <w:r w:rsidR="00C10F49" w:rsidRPr="00375799">
        <w:rPr>
          <w:rFonts w:eastAsia="Calibri" w:cstheme="minorHAnsi"/>
          <w:color w:val="000000" w:themeColor="text1"/>
          <w:sz w:val="24"/>
          <w:szCs w:val="24"/>
        </w:rPr>
        <w:t xml:space="preserve"> </w:t>
      </w:r>
      <w:r w:rsidR="00847C43" w:rsidRPr="00375799">
        <w:rPr>
          <w:rFonts w:eastAsia="Calibri" w:cstheme="minorHAnsi"/>
          <w:color w:val="000000" w:themeColor="text1"/>
          <w:sz w:val="24"/>
          <w:szCs w:val="24"/>
        </w:rPr>
        <w:t>Prezesa Prokuratorii Generalnej</w:t>
      </w:r>
      <w:r w:rsidRPr="00375799">
        <w:rPr>
          <w:rFonts w:eastAsia="Calibri" w:cstheme="minorHAnsi"/>
          <w:color w:val="000000" w:themeColor="text1"/>
          <w:sz w:val="24"/>
          <w:szCs w:val="24"/>
        </w:rPr>
        <w:t>. Powyższe ma na celu umożliwienie skutecznego i efektywnego wykonywania ww. zadań (uniemożliwienie wykorzystywania prawa do ograniczenia przetwarzania danych w celu przedłużania lub blokowania czynności podejmowanych przez Prokuratorię Generalną).</w:t>
      </w:r>
    </w:p>
    <w:p w14:paraId="7EC4FD3B" w14:textId="3DF6E3ED"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odniesieniu do art. 20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w którym zawierającym w swej treści prawo do przenoszenia danych osobowych osoby, której dane dotyczą</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zauważa się, że zgodnie z ust. 3 tego przepisu prawo to nie ma zastosowania do przetwarzania, które jest niezbędne do wykonania zadania realizowanego w interesie publicznym. Zważywszy na określone ustawą cele i zadania Prokuratorii Generalnej należy przyjąć, że przepis ten nie wymaga odrębnego wyłączania, gdyż nie ma on zastosowania do Prokuratorii Generalnej. </w:t>
      </w:r>
    </w:p>
    <w:p w14:paraId="6633CBA6" w14:textId="72714353"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Warunkiem ograniczenia gwarantowanego treścią art. 21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prawa do sprzeciwu wobec przetwarzania danych osobowych, pociągającym za sobą dopuszczalność dalszego przetwarzania danych mimo sprzeciwu, jest wypełnienie przez administratora obowiązku polegającego na wykazaniu istnienia ważnych prawnie uzasadnionych podstaw do przetwarzania, nadrzędnych wobec interesów, praw i wolności osoby, której dane dotyczą</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lub wykazaniem podstaw do ustalenia, dochodzenia lub obrony roszczeń. Ograniczenie zastosowania art. 21 </w:t>
      </w:r>
      <w:r w:rsidR="00C10F49">
        <w:rPr>
          <w:rFonts w:eastAsia="Calibri" w:cstheme="minorHAnsi"/>
          <w:color w:val="000000" w:themeColor="text1"/>
          <w:sz w:val="24"/>
          <w:szCs w:val="24"/>
        </w:rPr>
        <w:t>RODO</w:t>
      </w:r>
      <w:r w:rsidR="00C10F49"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uzasadnia dodatkowo treść art. 6 ust. 1 lit</w:t>
      </w:r>
      <w:r w:rsidR="00C10F49">
        <w:rPr>
          <w:rFonts w:eastAsia="Calibri" w:cstheme="minorHAnsi"/>
          <w:color w:val="000000" w:themeColor="text1"/>
          <w:sz w:val="24"/>
          <w:szCs w:val="24"/>
        </w:rPr>
        <w:t>.</w:t>
      </w:r>
      <w:r w:rsidRPr="00375799">
        <w:rPr>
          <w:rFonts w:eastAsia="Calibri" w:cstheme="minorHAnsi"/>
          <w:color w:val="000000" w:themeColor="text1"/>
          <w:sz w:val="24"/>
          <w:szCs w:val="24"/>
        </w:rPr>
        <w:t xml:space="preserve"> c, który uznaje zgodność z prawem przetwarzania danych osobowych, gdy przetwarzanie to jest niezbędne do wypełnienia obowiązku prawnego ciążącego na administratorze.</w:t>
      </w:r>
    </w:p>
    <w:p w14:paraId="6C188C06" w14:textId="7E30BC90"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Wzmiankowana powyżej tajemnica Prokuratorii Generalnej, obowiązująca zarówno radców, referendarzy, innych pracowników Prokuratorii Generalnej, jak również członków Kolegium oraz Sądu Polubownego, stanowi tajemnicę zawodową w rozumieniu przepisów odrębnych, zdaje stanowić się niezależną od projektowanych przepisów, dodatkową – istniejącą już – gwarancję zabezpieczeń zapobiegających nadużyciom lub niezgodnemu z prawem dostępowi lub przekazywaniu danych, który to warunek określony został w art. 23 ust. 2 lit. d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 celu realizacji tego wymogu projekt ustawy proponuje ponadto nałożenie na administratora danych osobowych obowiązków określonych w ust. 4-7 proponowanego przepisu, które to obowiązki realizują jednocześnie pozostałe warunki wymagane - przez art. 23 ust. 2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 od regulacji krajowej, w zakresie ograniczenia bezpośredniego stosowania przepisów </w:t>
      </w:r>
      <w:r w:rsidR="00C10F4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 szczególności proponuje się, ażeby czas przechowywania danych osobowych był powiązany z okresem ich ochrony na mocy tajemnicy Prokuratorii Generalnej. Z art. 38 ust. 3 ustawy o Prokuratorii Generalnej Rzeczypospolitej Polskiej wynika, iż w przypadku gdy dokumenty zakończonej sprawy są związane z inną sprawą prowadzoną przez Prokuratorię Generalną, podmiot reprezentujący Skarb Państwa, organ lub osobę </w:t>
      </w:r>
      <w:r w:rsidRPr="00375799">
        <w:rPr>
          <w:rFonts w:eastAsia="Calibri" w:cstheme="minorHAnsi"/>
          <w:color w:val="000000" w:themeColor="text1"/>
          <w:sz w:val="24"/>
          <w:szCs w:val="24"/>
        </w:rPr>
        <w:lastRenderedPageBreak/>
        <w:t>zastępowaną</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mogą być one udostępnione po zakończeniu tej sprawy. Mając na uwadze długotrwałość postępowań sądowych (wynikającą z konieczności rozpatrywania danej sprawy przez sądy różnych instancji), jak również okoliczność powiązania podmiotowego lub przedmiotowego spraw sądowych, proponuje się, ażeby weryfikowanie niezbędności przechowywania danych osobowych odbywało się nie rzadziej niż co 10 lat, a więc z uwzględnieniem terminu przedawnienia roszczeń cywilnoprawnych (art. 118 i art. 124 Kodeksu cywilnego). Natomiast w przypadku realizowania przez Prezesa Prokuratorii Generalnej zadań określonych przez przepisy ustawy o zasadach zarządzania mieniem państwowym, proponuje się</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ażeby weryfikowanie danych osobowych odbywało się co 2 lata.</w:t>
      </w:r>
    </w:p>
    <w:p w14:paraId="04C0B187"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6F673885" w14:textId="77777777" w:rsidR="00850D88" w:rsidRPr="00375799" w:rsidRDefault="00850D88" w:rsidP="0055107B">
      <w:pPr>
        <w:spacing w:after="0" w:line="276" w:lineRule="auto"/>
        <w:ind w:right="57" w:firstLine="0"/>
        <w:contextualSpacing/>
        <w:jc w:val="both"/>
        <w:rPr>
          <w:rFonts w:eastAsia="Calibri" w:cstheme="minorHAnsi"/>
          <w:color w:val="000000" w:themeColor="text1"/>
          <w:sz w:val="24"/>
          <w:szCs w:val="24"/>
        </w:rPr>
      </w:pPr>
    </w:p>
    <w:p w14:paraId="65F03429" w14:textId="2EBED26E"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55" w:name="_Toc530565127"/>
      <w:r w:rsidRPr="00375799">
        <w:rPr>
          <w:rFonts w:eastAsia="Times New Roman" w:cstheme="minorHAnsi"/>
          <w:color w:val="000000" w:themeColor="text1"/>
          <w:sz w:val="24"/>
          <w:szCs w:val="24"/>
        </w:rPr>
        <w:t>Ustawa z dnia 16 grudnia 2016 r. o zasadach zarządzania mieniem państwowym</w:t>
      </w:r>
      <w:r w:rsidR="00A37C96" w:rsidRPr="00375799">
        <w:rPr>
          <w:rFonts w:eastAsia="Times New Roman" w:cstheme="minorHAnsi"/>
          <w:color w:val="000000" w:themeColor="text1"/>
          <w:sz w:val="24"/>
          <w:szCs w:val="24"/>
        </w:rPr>
        <w:t xml:space="preserve"> (Dz. U. z 2018 r. poz. 1182</w:t>
      </w:r>
      <w:r w:rsidR="00A76E67">
        <w:rPr>
          <w:rFonts w:eastAsia="Times New Roman" w:cstheme="minorHAnsi"/>
          <w:color w:val="000000" w:themeColor="text1"/>
          <w:sz w:val="24"/>
          <w:szCs w:val="24"/>
        </w:rPr>
        <w:t xml:space="preserve">, </w:t>
      </w:r>
      <w:r w:rsidR="00A76E67" w:rsidRPr="00A76E67">
        <w:rPr>
          <w:rFonts w:eastAsia="Times New Roman" w:cstheme="minorHAnsi"/>
          <w:color w:val="000000" w:themeColor="text1"/>
          <w:sz w:val="24"/>
          <w:szCs w:val="24"/>
        </w:rPr>
        <w:t>1669, 1735 i 2024</w:t>
      </w:r>
      <w:r w:rsidR="00A37C96" w:rsidRPr="00375799">
        <w:rPr>
          <w:rFonts w:eastAsia="Times New Roman" w:cstheme="minorHAnsi"/>
          <w:color w:val="000000" w:themeColor="text1"/>
          <w:sz w:val="24"/>
          <w:szCs w:val="24"/>
        </w:rPr>
        <w:t>)</w:t>
      </w:r>
      <w:bookmarkEnd w:id="155"/>
    </w:p>
    <w:p w14:paraId="4B0DEDD3" w14:textId="77777777"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p>
    <w:p w14:paraId="706984D3"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celu koordynowania przez Prezesa Rady Ministrów wykonywania uprawnień przysługujących Skarbowi Państwa w spółkach, w ustawie z dnia 16 grudnia 2016 r. o zasadach zarządzania mieniem państwowym dodano przepis art. 8a upoważniający Kancelarię Prezesa Rady Ministrów do prowadzenia listy członków organów zarządzających i nadzorczych spółek oraz pełnomocników wspólnika, o którym mowa w art. 11 ust. 2 ustawy z dnia 30 sierpnia 1996 r. o komercjalizacji i niektórych uprawnieniach pracowników. </w:t>
      </w:r>
    </w:p>
    <w:p w14:paraId="1B19964E" w14:textId="283B2D40"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Kancelaria będzie również prowadzić listę osób będących akcjonariuszami albo wspólnikami spółek z udziałem Skarbu Państw</w:t>
      </w:r>
      <w:r w:rsidR="000C33E9">
        <w:rPr>
          <w:rFonts w:eastAsia="Calibri" w:cstheme="minorHAnsi"/>
          <w:color w:val="000000" w:themeColor="text1"/>
          <w:sz w:val="24"/>
          <w:szCs w:val="24"/>
        </w:rPr>
        <w:t>a</w:t>
      </w:r>
      <w:r w:rsidRPr="00375799">
        <w:rPr>
          <w:rFonts w:eastAsia="Calibri" w:cstheme="minorHAnsi"/>
          <w:color w:val="000000" w:themeColor="text1"/>
          <w:sz w:val="24"/>
          <w:szCs w:val="24"/>
        </w:rPr>
        <w:t>, reprezentującymi co najmniej jedną dwudziestą kapitału zakładowego spółki. Dane o akcjonariuszach będą pozyskiwane od spółek z udziałem Skarbu Państwa na podstawie postanowień statutów, a także przepisów art. 342 § 7 Kodeksu spółek handlowych, uprawniającego każdego z akcjonariuszy do otrzymania odpisu z księgi akcyjnej spółki.</w:t>
      </w:r>
    </w:p>
    <w:p w14:paraId="3FA7E75B" w14:textId="699B9203"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Ponadto Kancelaria Prezesa Rady Ministrów będzie prowadzić listę osób, które złożyły egzamin na członków organów nadzorczych przed komisją, o której mowa w art. 19 ust. 1 pkt 1 lit. h-j ustawy o zasadach zarządzania mieniem państwowym</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oraz osób, które uzyskały uprawnienia do zasiadania w radach nadzorczych na podstawie wcześniej obowiązujących przepisów. </w:t>
      </w:r>
    </w:p>
    <w:p w14:paraId="276370AB"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przypadku przekazania przez Prezesa Rady Ministrów, na podstawie art. 8 ust. 1 ustawy o zasadach zarządzania mieniem państwowym, wykonywania uprawnień z akcji należących do Skarbu Państwa innym podmiotom, podmioty te, wraz z Kancelarią Prezesa Rady Ministrów, będą współadministratorami danych osobowych członków organów zarządzających i nadzorczych spółek, pełnomocników wspólnika oraz osób będących akcjonariuszami spółek w zakresie wykonywania uprawnień przekazanych im przez Prezesa Rady Ministrów. Wzajemne prawa i obowiązki współadministratorów określone zostaną w porozumieniu. </w:t>
      </w:r>
    </w:p>
    <w:p w14:paraId="2CE60519" w14:textId="1C87F5C0"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lastRenderedPageBreak/>
        <w:t>Również w tych samych przypadkach, w zakresie niezbędnym do wykonywania przez te podmioty uprawnień przekazanych przez Prezesa Rady Ministrów, w tym powoływania członków organów nadzorczych albo pełnomocników wspólnika, Kancelaria Prezesa Rady Ministrów może udostępnić tym podmiotom dane osób, które złożyły egzamin na członków organów nadzorczych przed komisją, o której mowa w art. 19 ust. 1 pkt 1 lit. h-j ustawy o zasadach zarządzania mieniem państwowym</w:t>
      </w:r>
      <w:r w:rsidR="000C33E9">
        <w:rPr>
          <w:rFonts w:eastAsia="Calibri" w:cstheme="minorHAnsi"/>
          <w:color w:val="000000" w:themeColor="text1"/>
          <w:sz w:val="24"/>
          <w:szCs w:val="24"/>
        </w:rPr>
        <w:t>,</w:t>
      </w:r>
      <w:r w:rsidRPr="00375799">
        <w:rPr>
          <w:rFonts w:eastAsia="Calibri" w:cstheme="minorHAnsi"/>
          <w:color w:val="000000" w:themeColor="text1"/>
          <w:sz w:val="24"/>
          <w:szCs w:val="24"/>
        </w:rPr>
        <w:t xml:space="preserve"> oraz osób, które uzyskały uprawnienia do zasiadania w radach nadzorczych na podstawie wcześniej obowiązujących przepisów.  </w:t>
      </w:r>
    </w:p>
    <w:p w14:paraId="0F5E53AC"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30BC9AD1" w14:textId="3688F9E9" w:rsidR="00850D88" w:rsidRPr="00375799" w:rsidRDefault="00850D88" w:rsidP="00C15B44">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56" w:name="_Toc530565128"/>
      <w:r w:rsidRPr="00375799">
        <w:rPr>
          <w:rFonts w:eastAsia="Times New Roman" w:cstheme="minorHAnsi"/>
          <w:color w:val="000000" w:themeColor="text1"/>
          <w:sz w:val="24"/>
          <w:szCs w:val="24"/>
        </w:rPr>
        <w:t>Ustawa z dnia 16 grudnia 2016 r. – Przepisy wprowadzające ustawę o zasadach zarządzania mieniem państwowym</w:t>
      </w:r>
      <w:r w:rsidR="00A37C96" w:rsidRPr="00375799">
        <w:rPr>
          <w:rFonts w:eastAsia="Times New Roman" w:cstheme="minorHAnsi"/>
          <w:color w:val="000000" w:themeColor="text1"/>
          <w:sz w:val="24"/>
          <w:szCs w:val="24"/>
        </w:rPr>
        <w:t xml:space="preserve"> (Dz. U. poz. 2260</w:t>
      </w:r>
      <w:r w:rsidR="008341B7">
        <w:rPr>
          <w:rFonts w:eastAsia="Times New Roman" w:cstheme="minorHAnsi"/>
          <w:color w:val="000000" w:themeColor="text1"/>
          <w:sz w:val="24"/>
          <w:szCs w:val="24"/>
        </w:rPr>
        <w:t xml:space="preserve"> </w:t>
      </w:r>
      <w:r w:rsidR="008341B7" w:rsidRPr="008341B7">
        <w:rPr>
          <w:rFonts w:eastAsia="Times New Roman" w:cstheme="minorHAnsi"/>
          <w:color w:val="000000" w:themeColor="text1"/>
          <w:sz w:val="24"/>
          <w:szCs w:val="24"/>
        </w:rPr>
        <w:t>oraz z 2018 r. poz. 1669</w:t>
      </w:r>
      <w:r w:rsidR="00A37C96" w:rsidRPr="00375799">
        <w:rPr>
          <w:rFonts w:eastAsia="Times New Roman" w:cstheme="minorHAnsi"/>
          <w:color w:val="000000" w:themeColor="text1"/>
          <w:sz w:val="24"/>
          <w:szCs w:val="24"/>
        </w:rPr>
        <w:t>)</w:t>
      </w:r>
      <w:bookmarkEnd w:id="156"/>
    </w:p>
    <w:p w14:paraId="4E8C19A5"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6FC0A0FC"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ustawie z dnia 16 grudnia 2016 r. – Przepisy wprowadzające ustawę o zasadach zarządzania mieniem państwowym dodano przepis art. 109a, na podstawie którego minister właściwy do spraw gospodarki może powierzyć Kancelarii Prezesa Rady Ministrów wykonywanie zadań związanych z wdrożeniem, utrzymaniem i rozwojem systemu teleinformatycznego wspierającego wykonywanie umów, o których mowa w art. 109 tej ustawy. W systemie przetwarzane będą dane osobowe nabywców akcji i udziałów spółek Skarbu Państwa oraz nabywców mienia Skarbu Państwa w ramach prywatyzacji bezpośredniej, w tym będących dłużnikami Skarbu Państwa z tytułu zobowiązań cenowych i </w:t>
      </w:r>
      <w:proofErr w:type="spellStart"/>
      <w:r w:rsidRPr="00375799">
        <w:rPr>
          <w:rFonts w:eastAsia="Calibri" w:cstheme="minorHAnsi"/>
          <w:color w:val="000000" w:themeColor="text1"/>
          <w:sz w:val="24"/>
          <w:szCs w:val="24"/>
        </w:rPr>
        <w:t>pozacenowych</w:t>
      </w:r>
      <w:proofErr w:type="spellEnd"/>
      <w:r w:rsidRPr="00375799">
        <w:rPr>
          <w:rFonts w:eastAsia="Calibri" w:cstheme="minorHAnsi"/>
          <w:color w:val="000000" w:themeColor="text1"/>
          <w:sz w:val="24"/>
          <w:szCs w:val="24"/>
        </w:rPr>
        <w:t xml:space="preserve"> (kapitałowych, korporacyjnych, pracowniczych, sprawozdawczych).</w:t>
      </w:r>
    </w:p>
    <w:p w14:paraId="4BECDFC7" w14:textId="77777777"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p>
    <w:p w14:paraId="5951B56D" w14:textId="7CE3FD2E"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57" w:name="_Toc530565129"/>
      <w:r w:rsidRPr="00375799">
        <w:rPr>
          <w:rFonts w:eastAsia="Times New Roman" w:cstheme="minorHAnsi"/>
          <w:color w:val="000000" w:themeColor="text1"/>
          <w:sz w:val="24"/>
          <w:szCs w:val="24"/>
        </w:rPr>
        <w:t>Ustawa z dnia 9 marca 2017 r. o wymianie informacji podatkowych z innymi państwami</w:t>
      </w:r>
      <w:r w:rsidR="00A37C96" w:rsidRPr="00375799">
        <w:rPr>
          <w:rFonts w:eastAsia="Times New Roman" w:cstheme="minorHAnsi"/>
          <w:color w:val="000000" w:themeColor="text1"/>
          <w:sz w:val="24"/>
          <w:szCs w:val="24"/>
        </w:rPr>
        <w:t xml:space="preserve"> (Dz. U. poz. 648 oraz z 2018 r. poz. 723</w:t>
      </w:r>
      <w:r w:rsidR="00481BA0">
        <w:rPr>
          <w:rFonts w:eastAsia="Times New Roman" w:cstheme="minorHAnsi"/>
          <w:color w:val="000000" w:themeColor="text1"/>
          <w:sz w:val="24"/>
          <w:szCs w:val="24"/>
        </w:rPr>
        <w:t xml:space="preserve"> i 1499</w:t>
      </w:r>
      <w:r w:rsidR="00A37C96" w:rsidRPr="00375799">
        <w:rPr>
          <w:rFonts w:eastAsia="Times New Roman" w:cstheme="minorHAnsi"/>
          <w:color w:val="000000" w:themeColor="text1"/>
          <w:sz w:val="24"/>
          <w:szCs w:val="24"/>
        </w:rPr>
        <w:t>)</w:t>
      </w:r>
      <w:bookmarkEnd w:id="157"/>
    </w:p>
    <w:p w14:paraId="2EA9F229"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1AE8825C" w14:textId="3D9CB89F" w:rsidR="002711A7" w:rsidRPr="00EE719F" w:rsidRDefault="002711A7" w:rsidP="00EE719F">
      <w:pPr>
        <w:spacing w:after="0" w:line="276" w:lineRule="auto"/>
        <w:ind w:left="57" w:right="57"/>
        <w:contextualSpacing/>
        <w:jc w:val="both"/>
        <w:rPr>
          <w:rFonts w:eastAsia="Calibri" w:cstheme="minorHAnsi"/>
          <w:color w:val="000000" w:themeColor="text1"/>
          <w:sz w:val="24"/>
          <w:szCs w:val="24"/>
        </w:rPr>
      </w:pPr>
      <w:r w:rsidRPr="00EE719F">
        <w:rPr>
          <w:rFonts w:eastAsia="Calibri" w:cstheme="minorHAnsi"/>
          <w:color w:val="000000" w:themeColor="text1"/>
          <w:sz w:val="24"/>
          <w:szCs w:val="24"/>
        </w:rPr>
        <w:t>Analogiczne rozwiązania, jak w ustawie z dnia 9 października 2015 r. o wykonywaniu Umowy między Rządem Rzeczypospolitej Polskiej a Rządem Stanów Zjednoczonych Ameryki w sprawie poprawy wypełniania międzynarodowych obowiązków podatkowych oraz wdrożenia ustawodawstwa FATCA, przyjęto także w ustawie z dnia 9 marca 2017 r. o wymianie informacji podatkowych z innymi państwami. Dodając art. 6 ust.</w:t>
      </w:r>
      <w:r w:rsidR="000C33E9">
        <w:rPr>
          <w:rFonts w:eastAsia="Calibri" w:cstheme="minorHAnsi"/>
          <w:color w:val="000000" w:themeColor="text1"/>
          <w:sz w:val="24"/>
          <w:szCs w:val="24"/>
        </w:rPr>
        <w:t xml:space="preserve"> 2 </w:t>
      </w:r>
      <w:r w:rsidR="00C10F49">
        <w:rPr>
          <w:rFonts w:eastAsia="Calibri" w:cstheme="minorHAnsi"/>
          <w:color w:val="000000" w:themeColor="text1"/>
          <w:sz w:val="24"/>
          <w:szCs w:val="24"/>
        </w:rPr>
        <w:t xml:space="preserve">do </w:t>
      </w:r>
      <w:r w:rsidR="00487DFA">
        <w:rPr>
          <w:rFonts w:eastAsia="Calibri" w:cstheme="minorHAnsi"/>
          <w:color w:val="000000" w:themeColor="text1"/>
          <w:sz w:val="24"/>
          <w:szCs w:val="24"/>
        </w:rPr>
        <w:t xml:space="preserve">ustawy </w:t>
      </w:r>
      <w:r w:rsidRPr="00EE719F">
        <w:rPr>
          <w:rFonts w:eastAsia="Calibri" w:cstheme="minorHAnsi"/>
          <w:color w:val="000000" w:themeColor="text1"/>
          <w:sz w:val="24"/>
          <w:szCs w:val="24"/>
        </w:rPr>
        <w:t>również wprowadzono obowiązek zabezpieczenia danych w sposób zapobiegający nadużyciom lub niezgodnemu z prawem dostępowi lub przekazywaniu.</w:t>
      </w:r>
    </w:p>
    <w:p w14:paraId="64DDB912" w14:textId="103D64F2" w:rsidR="002711A7" w:rsidRPr="00EE719F" w:rsidRDefault="002711A7" w:rsidP="00EE719F">
      <w:pPr>
        <w:spacing w:after="0" w:line="276" w:lineRule="auto"/>
        <w:ind w:left="57" w:right="57"/>
        <w:contextualSpacing/>
        <w:jc w:val="both"/>
        <w:rPr>
          <w:rFonts w:eastAsia="Calibri" w:cstheme="minorHAnsi"/>
          <w:color w:val="000000" w:themeColor="text1"/>
          <w:sz w:val="24"/>
          <w:szCs w:val="24"/>
        </w:rPr>
      </w:pPr>
      <w:r w:rsidRPr="00EE719F">
        <w:rPr>
          <w:rFonts w:eastAsia="Calibri" w:cstheme="minorHAnsi"/>
          <w:color w:val="000000" w:themeColor="text1"/>
          <w:sz w:val="24"/>
          <w:szCs w:val="24"/>
        </w:rPr>
        <w:t>Dodatkowo zmiany w art. 30 ust. 1 polegają na usunięciu odesłań do ustawy z dnia 29 sierpnia 1997 r. o ochronie danych osobowych oraz wprowadzeniu odesłania do przepisów RODO.</w:t>
      </w:r>
    </w:p>
    <w:p w14:paraId="09E4FFDB" w14:textId="7DA2C55E" w:rsidR="00850D88" w:rsidRDefault="002711A7" w:rsidP="0055107B">
      <w:pPr>
        <w:spacing w:after="0" w:line="276" w:lineRule="auto"/>
        <w:ind w:left="57" w:right="57"/>
        <w:contextualSpacing/>
        <w:jc w:val="both"/>
        <w:rPr>
          <w:rFonts w:eastAsia="Calibri" w:cstheme="minorHAnsi"/>
          <w:color w:val="000000" w:themeColor="text1"/>
          <w:sz w:val="24"/>
          <w:szCs w:val="24"/>
        </w:rPr>
      </w:pPr>
      <w:r w:rsidRPr="00EE719F">
        <w:rPr>
          <w:rFonts w:eastAsia="Calibri" w:cstheme="minorHAnsi"/>
          <w:color w:val="000000" w:themeColor="text1"/>
          <w:sz w:val="24"/>
          <w:szCs w:val="24"/>
        </w:rPr>
        <w:t>Zmieniane ustawy po uwzględnieniu zmian przewidzianych w niniejszej ustawie zawierają regulacje wymagane przez art. 23 ust. 2 RODO dla skuteczności zaproponowanych w ustawie o ochronie danych osobowych i w ww. ustawach ograniczeń.</w:t>
      </w:r>
    </w:p>
    <w:p w14:paraId="4DE5902C" w14:textId="77777777" w:rsidR="002711A7" w:rsidRPr="00375799" w:rsidRDefault="002711A7" w:rsidP="0055107B">
      <w:pPr>
        <w:spacing w:after="0" w:line="276" w:lineRule="auto"/>
        <w:ind w:left="57" w:right="57"/>
        <w:contextualSpacing/>
        <w:jc w:val="both"/>
        <w:rPr>
          <w:rFonts w:eastAsia="Calibri" w:cstheme="minorHAnsi"/>
          <w:color w:val="000000" w:themeColor="text1"/>
          <w:sz w:val="24"/>
          <w:szCs w:val="24"/>
        </w:rPr>
      </w:pPr>
    </w:p>
    <w:p w14:paraId="313820FE" w14:textId="5174B5A3"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58" w:name="_Toc530565130"/>
      <w:r w:rsidRPr="00375799">
        <w:rPr>
          <w:rFonts w:eastAsia="Times New Roman" w:cstheme="minorHAnsi"/>
          <w:color w:val="000000" w:themeColor="text1"/>
          <w:sz w:val="24"/>
          <w:szCs w:val="24"/>
        </w:rPr>
        <w:lastRenderedPageBreak/>
        <w:t>Ustawa z dnia 9 marca 2017 r. o systemie monitorowania drogowego przewozu towarów</w:t>
      </w:r>
      <w:r w:rsidR="00352068" w:rsidRPr="00375799">
        <w:rPr>
          <w:rFonts w:eastAsia="Times New Roman" w:cstheme="minorHAnsi"/>
          <w:color w:val="000000" w:themeColor="text1"/>
          <w:sz w:val="24"/>
          <w:szCs w:val="24"/>
        </w:rPr>
        <w:t xml:space="preserve"> (Dz. U. poz. 708 oraz z 2018 r. poz. 138</w:t>
      </w:r>
      <w:r w:rsidR="00481BA0">
        <w:rPr>
          <w:rFonts w:eastAsia="Times New Roman" w:cstheme="minorHAnsi"/>
          <w:color w:val="000000" w:themeColor="text1"/>
          <w:sz w:val="24"/>
          <w:szCs w:val="24"/>
        </w:rPr>
        <w:t>, 1000, 1039 i 1539</w:t>
      </w:r>
      <w:r w:rsidR="00352068" w:rsidRPr="00375799">
        <w:rPr>
          <w:rFonts w:eastAsia="Times New Roman" w:cstheme="minorHAnsi"/>
          <w:color w:val="000000" w:themeColor="text1"/>
          <w:sz w:val="24"/>
          <w:szCs w:val="24"/>
        </w:rPr>
        <w:t>)</w:t>
      </w:r>
      <w:bookmarkEnd w:id="158"/>
    </w:p>
    <w:p w14:paraId="4E7DCAB3" w14:textId="77777777" w:rsidR="00352068" w:rsidRPr="00375799" w:rsidRDefault="0035206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p>
    <w:p w14:paraId="7E56BF37"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Proponuje się uchylenie przepisu stanowiące, że do danych gromadzonych w rejestrze zgłoszeń nie stosuje się przepisu, o którym mowa w art. 24 ust. 1 ustawy z dnia 29 sierpnia 1997 r. o ochronie danych osobowych. </w:t>
      </w:r>
    </w:p>
    <w:p w14:paraId="60F298B7" w14:textId="50FE016A"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Ze względu na wprowadzenie do ustawy o ochronie danych osobowych przepisów</w:t>
      </w:r>
      <w:r w:rsidR="00E146C3">
        <w:rPr>
          <w:rFonts w:eastAsia="Calibri" w:cstheme="minorHAnsi"/>
          <w:color w:val="000000" w:themeColor="text1"/>
          <w:sz w:val="24"/>
          <w:szCs w:val="24"/>
        </w:rPr>
        <w:t xml:space="preserve"> art. 3–</w:t>
      </w:r>
      <w:r w:rsidRPr="00375799">
        <w:rPr>
          <w:rFonts w:eastAsia="Calibri" w:cstheme="minorHAnsi"/>
          <w:color w:val="000000" w:themeColor="text1"/>
          <w:sz w:val="24"/>
          <w:szCs w:val="24"/>
        </w:rPr>
        <w:t xml:space="preserve">5 przewidujących możliwość ograniczenia (wyłączenia) stosowania niektórych przepisów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w odniesieniu do administratorów realizujących zadania publiczne, nie istnieje potrzeba wprowadzania dodatkowej regulacji w miejsce uchylanego ust. 6. </w:t>
      </w:r>
      <w:r w:rsidR="00EA3823">
        <w:rPr>
          <w:rFonts w:eastAsia="Calibri" w:cstheme="minorHAnsi"/>
          <w:color w:val="000000" w:themeColor="text1"/>
          <w:sz w:val="24"/>
          <w:szCs w:val="24"/>
        </w:rPr>
        <w:t>P</w:t>
      </w:r>
      <w:r w:rsidRPr="00375799">
        <w:rPr>
          <w:rFonts w:eastAsia="Calibri" w:cstheme="minorHAnsi"/>
          <w:color w:val="000000" w:themeColor="text1"/>
          <w:sz w:val="24"/>
          <w:szCs w:val="24"/>
        </w:rPr>
        <w:t xml:space="preserve">rzepisy art. 3-5 ustawy o ochronie danych osobowych </w:t>
      </w:r>
      <w:r w:rsidR="00EA3823">
        <w:rPr>
          <w:rFonts w:eastAsia="Calibri" w:cstheme="minorHAnsi"/>
          <w:color w:val="000000" w:themeColor="text1"/>
          <w:sz w:val="24"/>
          <w:szCs w:val="24"/>
        </w:rPr>
        <w:t>mają</w:t>
      </w:r>
      <w:r w:rsidRPr="00375799">
        <w:rPr>
          <w:rFonts w:eastAsia="Calibri" w:cstheme="minorHAnsi"/>
          <w:color w:val="000000" w:themeColor="text1"/>
          <w:sz w:val="24"/>
          <w:szCs w:val="24"/>
        </w:rPr>
        <w:t xml:space="preserve"> bowiem zastosowanie wprost do organów publicznych i innych podmiotów realizujących zadania publiczne w przypadku zaistnienia przesłanek wskazanych w tych przepisach. Oznacza to, że administratorzy danych realizujący zadania publiczne, w tym Szef Krajowej Administracji Skarbowej, będą mogli powołać się na treść tych przepisów i w konsekwencji </w:t>
      </w:r>
      <w:r w:rsidR="00EA3823">
        <w:rPr>
          <w:rFonts w:eastAsia="Calibri" w:cstheme="minorHAnsi"/>
          <w:color w:val="000000" w:themeColor="text1"/>
          <w:sz w:val="24"/>
          <w:szCs w:val="24"/>
        </w:rPr>
        <w:t>odmówić</w:t>
      </w:r>
      <w:r w:rsidR="00EA3823"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realizacji praw przysługujących osobie, której dane dotyczą, </w:t>
      </w:r>
      <w:r w:rsidR="00EA3823">
        <w:rPr>
          <w:rFonts w:eastAsia="Calibri" w:cstheme="minorHAnsi"/>
          <w:color w:val="000000" w:themeColor="text1"/>
          <w:sz w:val="24"/>
          <w:szCs w:val="24"/>
        </w:rPr>
        <w:t>zwłaszcza</w:t>
      </w:r>
      <w:r w:rsidRPr="00375799">
        <w:rPr>
          <w:rFonts w:eastAsia="Calibri" w:cstheme="minorHAnsi"/>
          <w:color w:val="000000" w:themeColor="text1"/>
          <w:sz w:val="24"/>
          <w:szCs w:val="24"/>
        </w:rPr>
        <w:t xml:space="preserve"> gdy ograniczenie to będzie służyło ważnym celom leżącym w ogólnym interesie publicznym Unii lub państwa członkowskiego, w szczególności ważnemu interesowi gospodarczemu lub finansowemu Unii lub państwa członkowskiego, w tym kwestiom pieniężnym, budżetowym i podatkowym, zdrowiu publicznemu i zabezpieczeniu społecznemu (art. 23 ust. 1 lit. e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t>
      </w:r>
    </w:p>
    <w:p w14:paraId="55D98882"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1556CFE0" w14:textId="281CC2EF"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59" w:name="_Toc530565131"/>
      <w:r w:rsidRPr="00375799">
        <w:rPr>
          <w:rFonts w:eastAsia="Times New Roman" w:cstheme="minorHAnsi"/>
          <w:color w:val="000000" w:themeColor="text1"/>
          <w:sz w:val="24"/>
          <w:szCs w:val="24"/>
        </w:rPr>
        <w:t xml:space="preserve">Ustawa z dnia 21 kwietnia 2017 r. o zwalczaniu dopingu w sporcie </w:t>
      </w:r>
      <w:r w:rsidR="002F35D6" w:rsidRPr="00375799">
        <w:rPr>
          <w:rFonts w:eastAsia="Times New Roman" w:cstheme="minorHAnsi"/>
          <w:color w:val="000000" w:themeColor="text1"/>
          <w:sz w:val="24"/>
          <w:szCs w:val="24"/>
        </w:rPr>
        <w:t>(Dz. U. poz. 1051)</w:t>
      </w:r>
      <w:bookmarkEnd w:id="159"/>
    </w:p>
    <w:p w14:paraId="3E718663" w14:textId="77777777"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p>
    <w:p w14:paraId="243D5EC8" w14:textId="028AFE5B"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Projektowana ustawa wprowadza do katalogu zadań Polskiej Agencji Antydopingowej, ustalonego w art. 5 ust. 1 ustawy </w:t>
      </w:r>
      <w:r w:rsidR="00E146C3">
        <w:rPr>
          <w:rFonts w:eastAsia="Calibri" w:cstheme="minorHAnsi"/>
          <w:color w:val="000000" w:themeColor="text1"/>
          <w:sz w:val="24"/>
          <w:szCs w:val="24"/>
        </w:rPr>
        <w:t xml:space="preserve">z dnia 21 kwietnia 2017 r. </w:t>
      </w:r>
      <w:r w:rsidRPr="00375799">
        <w:rPr>
          <w:rFonts w:eastAsia="Calibri" w:cstheme="minorHAnsi"/>
          <w:color w:val="000000" w:themeColor="text1"/>
          <w:sz w:val="24"/>
          <w:szCs w:val="24"/>
        </w:rPr>
        <w:t>o zwalczaniu dopingu w sporcie, zadanie polegające na prowadzeniu czynności wyjaśniających zmierzających do ustalenia odpowiedzialności dyscyplinarnej za doping w sporcie zawodnika lub w przypadkach, o któ</w:t>
      </w:r>
      <w:r w:rsidR="00E146C3">
        <w:rPr>
          <w:rFonts w:eastAsia="Calibri" w:cstheme="minorHAnsi"/>
          <w:color w:val="000000" w:themeColor="text1"/>
          <w:sz w:val="24"/>
          <w:szCs w:val="24"/>
        </w:rPr>
        <w:t>rych mowa w art. 3 ust. 1 pkt 5–</w:t>
      </w:r>
      <w:r w:rsidRPr="00375799">
        <w:rPr>
          <w:rFonts w:eastAsia="Calibri" w:cstheme="minorHAnsi"/>
          <w:color w:val="000000" w:themeColor="text1"/>
          <w:sz w:val="24"/>
          <w:szCs w:val="24"/>
        </w:rPr>
        <w:t xml:space="preserve">9 </w:t>
      </w:r>
      <w:r w:rsidR="00EA3823">
        <w:rPr>
          <w:rFonts w:eastAsia="Calibri" w:cstheme="minorHAnsi"/>
          <w:color w:val="000000" w:themeColor="text1"/>
          <w:sz w:val="24"/>
          <w:szCs w:val="24"/>
        </w:rPr>
        <w:t xml:space="preserve">tej </w:t>
      </w:r>
      <w:r w:rsidRPr="00375799">
        <w:rPr>
          <w:rFonts w:eastAsia="Calibri" w:cstheme="minorHAnsi"/>
          <w:color w:val="000000" w:themeColor="text1"/>
          <w:sz w:val="24"/>
          <w:szCs w:val="24"/>
        </w:rPr>
        <w:t xml:space="preserve">ustawy, osoby pomagającej w przygotowaniu do współzawodnictwa sportowego. Podstawą realizacji odpowiedzialności dyscyplinarnej za doping w sporcie mogą być, poza wynikami analiz próbek fizjologicznych, informacje uzyskane w toku działań Agencji, w tym dotyczące zawodników uzyskane od osób trzecich. Tego rodzaju informacje mogą równocześnie stanowić podstawę do sporządzenia zawiadomienia o podejrzeniu popełnienia przestępstwa, w szczególności stypizowanego w art. 48 i </w:t>
      </w:r>
      <w:r w:rsidR="000C33E9">
        <w:rPr>
          <w:rFonts w:eastAsia="Calibri" w:cstheme="minorHAnsi"/>
          <w:color w:val="000000" w:themeColor="text1"/>
          <w:sz w:val="24"/>
          <w:szCs w:val="24"/>
        </w:rPr>
        <w:t xml:space="preserve">art. </w:t>
      </w:r>
      <w:r w:rsidRPr="00375799">
        <w:rPr>
          <w:rFonts w:eastAsia="Calibri" w:cstheme="minorHAnsi"/>
          <w:color w:val="000000" w:themeColor="text1"/>
          <w:sz w:val="24"/>
          <w:szCs w:val="24"/>
        </w:rPr>
        <w:t xml:space="preserve">49 ustawy o zwalczaniu dopingu w sporcie. Ponadto Agencja może wejść w posiadanie informacji świadczących o potencjalnym naruszeniu przepisów antydopingowych z urzędu, na podstawie art. 44 ustawy o zwalczaniu dopingu w sporcie, od organów takich jak Policja, Służba Celno-Skarbowa, Straż Graniczna, Żandarmeria Wojskowa oraz prokurator. </w:t>
      </w:r>
    </w:p>
    <w:p w14:paraId="6169D7D3" w14:textId="6E5DB6B1"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Uzasadnione wątpliwości może zatem budzić informowanie osób, których ww. informacje dotyczą i których dane są przetwarzane, zgodnie z art. 14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 przypadkach podejrzenia naruszenia przez nie przepisów antydopingowych (mogącego także skutkować </w:t>
      </w:r>
      <w:r w:rsidRPr="00375799">
        <w:rPr>
          <w:rFonts w:eastAsia="Calibri" w:cstheme="minorHAnsi"/>
          <w:color w:val="000000" w:themeColor="text1"/>
          <w:sz w:val="24"/>
          <w:szCs w:val="24"/>
        </w:rPr>
        <w:lastRenderedPageBreak/>
        <w:t xml:space="preserve">podejrzeniem popełnienia przestępstwa). Wydaje się to sprzeczne z celem działania Agencji i może negatywnie wpływać na pracę służb i organów wymienionych w art. 44 ustawy o zwalczaniu dopingu w sporcie. Innymi słowy informowanie osób których dotyczą dane pozyskanych w inny sposób niż bezpośrednio od tych osób, mogłoby prowadzić do zniweczenia celowości realizacji czynności wyjaśniających ukierunkowanych na wykrywanie naruszeń przepisów antydopingowych, które do momentu postawienia osobom podejrzanym zarzutu dyscyplinarnego powinny pozostawać poufne. </w:t>
      </w:r>
    </w:p>
    <w:p w14:paraId="3489AA32" w14:textId="76C20113"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Intencją projektodawcy jest ograniczenie stosowania art. 14 </w:t>
      </w:r>
      <w:r w:rsidR="008D5D28" w:rsidRPr="00375799">
        <w:rPr>
          <w:rFonts w:eastAsia="Calibri" w:cstheme="minorHAnsi"/>
          <w:color w:val="000000" w:themeColor="text1"/>
          <w:sz w:val="24"/>
          <w:szCs w:val="24"/>
        </w:rPr>
        <w:t>RODO</w:t>
      </w:r>
      <w:r w:rsidR="008D5D28"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w stosunku do przetwarzania danych uzyskanych w toku czynności wyjaśniających zmierzających do ustalenia odpowiedzialności dyscyplinarnej za doping w sporcie, na podstawie art. 4 ustawy o ochronie danych osobowych. Zgodnie z treścią przywołanego przepisu, w zakresie nieuregulowanym w art. 14 ust. 5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administrator wykonujący zadanie publiczne nie przekazuje informacji, o których mowa w art. 14 ust. 1, 2 i 4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jeżeli służy to realizacji zadania publicznego i niewykonanie obowiązku, o którym mowa w art. 14 ust. 1, 2 i 4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jest niezbędne dla realizacji celów, o których mowa w art. 23 ust. 1 tego rozporządzenia, oraz przekazanie tych informacji uniemożliwi lub znacząco utrudni prawidłowe wykonanie zadania publicznego, a interes lub podstawowe prawa lub wolności osoby, której dane dotyczą, nie są nadrzędne w stosunku do interesu wynikającego z realizacji tego zadania publicznego, lub naruszy ochronę informacji niejawnych. Stąd wprowadzenie do katalogu zadań realizowanych przez POLADA zadania proponowanego w projektowanej ustawie. </w:t>
      </w:r>
    </w:p>
    <w:p w14:paraId="20531343" w14:textId="7A391B10"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Rozdział 3 ustawy o zwalczaniu dopingu w sporcie dotyczy kontroli antydopingowej, w tym planowania i realizacji kontroli antydopingowej. Proces ten wymaga przetwarzania danych kontrolerów antydopingowych przez POLADA. Dlatego projektowany przepis art. 27a </w:t>
      </w:r>
      <w:r w:rsidR="00250F97">
        <w:rPr>
          <w:rFonts w:eastAsia="Calibri" w:cstheme="minorHAnsi"/>
          <w:color w:val="000000" w:themeColor="text1"/>
          <w:sz w:val="24"/>
          <w:szCs w:val="24"/>
        </w:rPr>
        <w:t>ustawy</w:t>
      </w:r>
      <w:r w:rsidR="00EA3823">
        <w:rPr>
          <w:rFonts w:eastAsia="Calibri" w:cstheme="minorHAnsi"/>
          <w:color w:val="000000" w:themeColor="text1"/>
          <w:sz w:val="24"/>
          <w:szCs w:val="24"/>
        </w:rPr>
        <w:t xml:space="preserve"> </w:t>
      </w:r>
      <w:r w:rsidRPr="00375799">
        <w:rPr>
          <w:rFonts w:eastAsia="Calibri" w:cstheme="minorHAnsi"/>
          <w:color w:val="000000" w:themeColor="text1"/>
          <w:sz w:val="24"/>
          <w:szCs w:val="24"/>
        </w:rPr>
        <w:t>przewiduje możliwość przetwarzania przez Agencję danych osobowych kontrolerów, w związku z planowaniem i przeprowadzaniem kontroli antydopingowej w okresie podczas zawodów oraz w okresie poza nimi. Katalog danych podlegających na tej podstawie przetwarzaniu obejmuje wyłącznie dane konieczne do realizacji zadań Agencji w tym zakresie.</w:t>
      </w:r>
    </w:p>
    <w:p w14:paraId="2E16B5AD"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Projektowana ustawa przewiduje również zmiany art. 29 ustawy o zwalczaniu dopingu w sporcie. Przepis ten dotyczy przetwarzania przez Agencję danych osobowych zawodników na potrzeby realizowanej kontroli antydopingowej. Projektowana ustawa przewiduje następujące zmiany w ramach zakresu regulacji art. 29 ustawy:</w:t>
      </w:r>
    </w:p>
    <w:p w14:paraId="38447A80" w14:textId="61A7D63B"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1)</w:t>
      </w:r>
      <w:r w:rsidRPr="00375799">
        <w:rPr>
          <w:rFonts w:eastAsia="Calibri" w:cstheme="minorHAnsi"/>
          <w:color w:val="000000" w:themeColor="text1"/>
          <w:sz w:val="24"/>
          <w:szCs w:val="24"/>
        </w:rPr>
        <w:tab/>
        <w:t xml:space="preserve">dokonuje się zmiany w ust. 1, wynikającej z zastąpienia pojęcia dobra publicznego pojęciem interesu publicznego, zgodnie z </w:t>
      </w:r>
      <w:r w:rsidR="008D5D28" w:rsidRPr="00375799">
        <w:rPr>
          <w:rFonts w:eastAsia="Calibri" w:cstheme="minorHAnsi"/>
          <w:color w:val="000000" w:themeColor="text1"/>
          <w:sz w:val="24"/>
          <w:szCs w:val="24"/>
        </w:rPr>
        <w:t>RODO</w:t>
      </w:r>
      <w:r w:rsidRPr="00375799">
        <w:rPr>
          <w:rFonts w:eastAsia="Calibri" w:cstheme="minorHAnsi"/>
          <w:color w:val="000000" w:themeColor="text1"/>
          <w:sz w:val="24"/>
          <w:szCs w:val="24"/>
        </w:rPr>
        <w:t>, a także z uchylenia przepisu, na podstawie którego pojęcie to wprowadzono do ustawy o zwalczaniu dopingu w sporcie, tj. art. 23 ust. 1 pkt 4 ustawy z dnia 29 sierpnia 1997 r. o ochronie danych osobowych;</w:t>
      </w:r>
    </w:p>
    <w:p w14:paraId="361C535F"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2)</w:t>
      </w:r>
      <w:r w:rsidRPr="00375799">
        <w:rPr>
          <w:rFonts w:eastAsia="Calibri" w:cstheme="minorHAnsi"/>
          <w:color w:val="000000" w:themeColor="text1"/>
          <w:sz w:val="24"/>
          <w:szCs w:val="24"/>
        </w:rPr>
        <w:tab/>
        <w:t>dodaje się ust. 3a dotyczący zabezpieczeń, jakim w toku przetwarzania podlegają dane osobowe zawodników;</w:t>
      </w:r>
    </w:p>
    <w:p w14:paraId="77B7394D" w14:textId="0BB02480"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3)</w:t>
      </w:r>
      <w:r w:rsidRPr="00375799">
        <w:rPr>
          <w:rFonts w:eastAsia="Calibri" w:cstheme="minorHAnsi"/>
          <w:color w:val="000000" w:themeColor="text1"/>
          <w:sz w:val="24"/>
          <w:szCs w:val="24"/>
        </w:rPr>
        <w:tab/>
        <w:t>dokonuje się ujednolicenia terminologicznego i korekty redakcyjnej ust. 4 oraz ust. 5-8</w:t>
      </w:r>
      <w:r w:rsidR="00EA3823">
        <w:rPr>
          <w:rFonts w:eastAsia="Calibri" w:cstheme="minorHAnsi"/>
          <w:color w:val="000000" w:themeColor="text1"/>
          <w:sz w:val="24"/>
          <w:szCs w:val="24"/>
        </w:rPr>
        <w:t>.</w:t>
      </w:r>
    </w:p>
    <w:p w14:paraId="624AD471"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lastRenderedPageBreak/>
        <w:t>Zgodnie z art. 29 ustawy o zwalczaniu dopingu w sporcie, POLADA przetwarza dane zawodników, w związku z realizowaną kontrolą antydopingową. Częścią kontroli antydopingowej jest zarządzanie jej wynikami, w tym realizacja odpowiedzialności dyscyplinarnej za doping w sporcie. Za doping w sporcie uznaje się wystąpienie co najmniej jednego z zachowań, o których mowa w art. 3 ust. 1 ustawy o zwalczaniu dopingu w sporcie. Do katalogu naruszeń przepisów antydopingowych należy m.in.: obecność substancji zabronionej, jej metabolitów lub markerów w próbce fizjologicznej zawodnika, posiadanie substancji zabronionej lub przyrządów umożliwiających użycie metody zabronionej, wprowadzenie do obrotu lub usiłowanie wprowadzenia do obrotu substancji zabronionej lub przyrządów umożliwiających użycie metody zabronionej, podanie lub usiłowanie podania zawodnikowi w okresie podczas zawodów substancji zabronionej lub metody zabronionej albo podanie lub usiłowanie podania zawodnikowi w okresie poza zawodami substancji zabronionej w okresie poza zawodami lub metody zabronionej w okresie poza zawodami.</w:t>
      </w:r>
    </w:p>
    <w:p w14:paraId="6BC4D368" w14:textId="42B474FD"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Polska Agencja Antydopingowa realizuje, w ramach kontroli antydopingowej, postępowania wyjaśniające oraz zaangażowana jest jako strona skarżąca w post</w:t>
      </w:r>
      <w:r w:rsidR="000C33E9">
        <w:rPr>
          <w:rFonts w:eastAsia="Calibri" w:cstheme="minorHAnsi"/>
          <w:color w:val="000000" w:themeColor="text1"/>
          <w:sz w:val="24"/>
          <w:szCs w:val="24"/>
        </w:rPr>
        <w:t>ę</w:t>
      </w:r>
      <w:r w:rsidRPr="00375799">
        <w:rPr>
          <w:rFonts w:eastAsia="Calibri" w:cstheme="minorHAnsi"/>
          <w:color w:val="000000" w:themeColor="text1"/>
          <w:sz w:val="24"/>
          <w:szCs w:val="24"/>
        </w:rPr>
        <w:t xml:space="preserve">powania dyscyplinarne przed Panelem Dyscyplinarnym przy Polskiej Agencji Antydopingowej. Przepis art. 18 ust. 2 </w:t>
      </w:r>
      <w:r w:rsidR="00DC4B0C" w:rsidRPr="00375799">
        <w:rPr>
          <w:rFonts w:eastAsia="Calibri" w:cstheme="minorHAnsi"/>
          <w:color w:val="000000" w:themeColor="text1"/>
          <w:sz w:val="24"/>
          <w:szCs w:val="24"/>
        </w:rPr>
        <w:t>RODO</w:t>
      </w:r>
      <w:r w:rsidR="00DC4B0C" w:rsidRPr="00375799" w:rsidDel="008D5D28">
        <w:rPr>
          <w:rFonts w:eastAsia="Calibri" w:cstheme="minorHAnsi"/>
          <w:color w:val="000000" w:themeColor="text1"/>
          <w:sz w:val="24"/>
          <w:szCs w:val="24"/>
        </w:rPr>
        <w:t xml:space="preserve"> </w:t>
      </w:r>
      <w:r w:rsidRPr="00375799">
        <w:rPr>
          <w:rFonts w:eastAsia="Calibri" w:cstheme="minorHAnsi"/>
          <w:color w:val="000000" w:themeColor="text1"/>
          <w:sz w:val="24"/>
          <w:szCs w:val="24"/>
        </w:rPr>
        <w:t>rodzi realne niebezpieczeństwo pojawienia się prób wpływania na przebieg wskazanych postępowań, a zwłaszcza na szybkość ich realizacji. Żądanie ograniczenia przetwarzania danych, w szczególności kwestionowania prawidłowości danych przez osobę, której one dotyczą, prowadziłoby do wstrzymywania realizacji postępowań. Można wyobrazić sobie sytuację, w której to zawodnik obwiniony za stosowanie wykrytej w pobranej od niego próbce substancji zabronionej będzie kwestionował np. prawidłowość wyniku laboratoryjnego czy danych zawartych w protokole kontroli antydopingowej lub protokole z przeprowadzonej rozprawy. Każda taka interwencja wpływałaby na ograniczenie przetwarzania danych osobowych przez Agencję.</w:t>
      </w:r>
    </w:p>
    <w:p w14:paraId="0AA7BC75"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5FF57DA3" w14:textId="1FE2F95E"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60" w:name="_Toc530565132"/>
      <w:r w:rsidRPr="00375799">
        <w:rPr>
          <w:rFonts w:eastAsia="Times New Roman" w:cstheme="minorHAnsi"/>
          <w:color w:val="000000" w:themeColor="text1"/>
          <w:sz w:val="24"/>
          <w:szCs w:val="24"/>
        </w:rPr>
        <w:t>Ustawa z dnia 11 maja 2017 r. o biegłych rewidentach, firmach audytorskich oraz nadzorze publicznym</w:t>
      </w:r>
      <w:r w:rsidR="002F35D6" w:rsidRPr="00375799">
        <w:rPr>
          <w:rFonts w:eastAsia="Times New Roman" w:cstheme="minorHAnsi"/>
          <w:color w:val="000000" w:themeColor="text1"/>
          <w:sz w:val="24"/>
          <w:szCs w:val="24"/>
        </w:rPr>
        <w:t xml:space="preserve"> (Dz. U. poz. 1089</w:t>
      </w:r>
      <w:r w:rsidR="00481BA0">
        <w:rPr>
          <w:rFonts w:eastAsia="Times New Roman" w:cstheme="minorHAnsi"/>
          <w:color w:val="000000" w:themeColor="text1"/>
          <w:sz w:val="24"/>
          <w:szCs w:val="24"/>
        </w:rPr>
        <w:t xml:space="preserve"> oraz z 2018 r. poz. 398 i 1669</w:t>
      </w:r>
      <w:r w:rsidR="002F35D6" w:rsidRPr="00375799">
        <w:rPr>
          <w:rFonts w:eastAsia="Times New Roman" w:cstheme="minorHAnsi"/>
          <w:color w:val="000000" w:themeColor="text1"/>
          <w:sz w:val="24"/>
          <w:szCs w:val="24"/>
        </w:rPr>
        <w:t>)</w:t>
      </w:r>
      <w:bookmarkEnd w:id="160"/>
    </w:p>
    <w:p w14:paraId="67E1CBB3" w14:textId="25007AFC"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Dodanie art. 2a </w:t>
      </w:r>
      <w:r w:rsidR="00250F97">
        <w:rPr>
          <w:rFonts w:eastAsia="Calibri" w:cstheme="minorHAnsi"/>
          <w:color w:val="000000" w:themeColor="text1"/>
          <w:sz w:val="24"/>
          <w:szCs w:val="24"/>
        </w:rPr>
        <w:t>do ustawy</w:t>
      </w:r>
      <w:bookmarkStart w:id="161" w:name="_GoBack"/>
      <w:bookmarkEnd w:id="161"/>
      <w:r w:rsidR="00EA3823">
        <w:rPr>
          <w:rFonts w:eastAsia="Calibri" w:cstheme="minorHAnsi"/>
          <w:color w:val="000000" w:themeColor="text1"/>
          <w:sz w:val="24"/>
          <w:szCs w:val="24"/>
        </w:rPr>
        <w:t xml:space="preserve"> </w:t>
      </w:r>
      <w:r w:rsidRPr="00375799">
        <w:rPr>
          <w:rFonts w:eastAsia="Calibri" w:cstheme="minorHAnsi"/>
          <w:color w:val="000000" w:themeColor="text1"/>
          <w:sz w:val="24"/>
          <w:szCs w:val="24"/>
        </w:rPr>
        <w:t>wynika z konieczności dostosowania obowiązując</w:t>
      </w:r>
      <w:r w:rsidR="00EA3823">
        <w:rPr>
          <w:rFonts w:eastAsia="Calibri" w:cstheme="minorHAnsi"/>
          <w:color w:val="000000" w:themeColor="text1"/>
          <w:sz w:val="24"/>
          <w:szCs w:val="24"/>
        </w:rPr>
        <w:t>ych</w:t>
      </w:r>
      <w:r w:rsidRPr="00375799">
        <w:rPr>
          <w:rFonts w:eastAsia="Calibri" w:cstheme="minorHAnsi"/>
          <w:color w:val="000000" w:themeColor="text1"/>
          <w:sz w:val="24"/>
          <w:szCs w:val="24"/>
        </w:rPr>
        <w:t xml:space="preserve"> </w:t>
      </w:r>
      <w:r w:rsidR="00EA3823">
        <w:rPr>
          <w:rFonts w:eastAsia="Calibri" w:cstheme="minorHAnsi"/>
          <w:color w:val="000000" w:themeColor="text1"/>
          <w:sz w:val="24"/>
          <w:szCs w:val="24"/>
        </w:rPr>
        <w:t>regulacji</w:t>
      </w:r>
      <w:r w:rsidRPr="00375799">
        <w:rPr>
          <w:rFonts w:eastAsia="Calibri" w:cstheme="minorHAnsi"/>
          <w:color w:val="000000" w:themeColor="text1"/>
          <w:sz w:val="24"/>
          <w:szCs w:val="24"/>
        </w:rPr>
        <w:t xml:space="preserve"> do przepisów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w:t>
      </w:r>
    </w:p>
    <w:p w14:paraId="5C508B09" w14:textId="35B1D2D4"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Powyższa ustawa nie przewiduje regulacji związanych z ochroną danych osobowych, jednak określa zadania publiczne, prowadzące do gromadzenia i przetwarzania takich danych, w związku z czym w świetle nowych regulacji prawa Unii Europejskiej zajdzie konieczność wprowadzenia stosownych przepisów ustawowych, w których zostaną określone ograniczenia zakresu obowiązków i praw wynikających z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w:t>
      </w:r>
    </w:p>
    <w:p w14:paraId="18F2BF86" w14:textId="21AC3512"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Proponowane przepisy określają, iż w zakresie danych osobowych przetwarzanych w celu realizacji zadań i obowiązków związanych z działalnością Komisji Egzaminacyjnej przeprowadzającej egzaminy dla kandydatów na biegłych rewidentów, a także w zakresie danych osobowych związanych z organizacją i przeprowadzaniem tych egzaminów funkcje administratora danych pełni Polska Izba Biegłych Rewidentów (PIBR).</w:t>
      </w:r>
      <w:r w:rsidR="000C33E9">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Takie określenie </w:t>
      </w:r>
      <w:r w:rsidRPr="00375799">
        <w:rPr>
          <w:rFonts w:eastAsia="Calibri" w:cstheme="minorHAnsi"/>
          <w:color w:val="000000" w:themeColor="text1"/>
          <w:sz w:val="24"/>
          <w:szCs w:val="24"/>
        </w:rPr>
        <w:lastRenderedPageBreak/>
        <w:t>administratora wynika z faktu, iż zgodnie z art. 13 ust. 4 ustawy PIBR zapewnia obsługę Komisji i egzaminów oraz pokrywa koszty z tym związane.</w:t>
      </w:r>
    </w:p>
    <w:p w14:paraId="5980AA71" w14:textId="4ECFF179"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W celu wykonania dyrektyw zawartych w art. 23 ust. 2 lit. d i f RODO proponuje się wyraźne wskazanie, że dane osobowe podlegają przetwarzaniu wyłącznie przez okres niezbędny do realizacji zadań i obowiązków wynikających z ustawy oraz rozporządzenia nr 537/2014. Wprowadzono także przepisy dotyczące stosowanych przez administratora danych osobowych zabezpieczeń zapobiegających nadużyciom lub niezgodnemu z prawem dostępowi lub przekazywaniu. Zabezpieczenia takie zostały zawarte w katalogu otwartym poprzez wskazanie</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jakie minimalne środki techniczne i organizacyjne powinny zostać zastosowane w celu zabezpieczenia przetwarzanych danych. Ponadto dodatkowym zabezpieczeniem, które przewiduje ustawa</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jest obowiązek zachowania tajemnicy, o którym mowa w art. </w:t>
      </w:r>
      <w:r w:rsidR="00EA3823">
        <w:rPr>
          <w:rFonts w:eastAsia="Calibri" w:cstheme="minorHAnsi"/>
          <w:color w:val="000000" w:themeColor="text1"/>
          <w:sz w:val="24"/>
          <w:szCs w:val="24"/>
        </w:rPr>
        <w:t>78 i art. 95</w:t>
      </w:r>
      <w:r w:rsidRPr="00375799">
        <w:rPr>
          <w:rFonts w:eastAsia="Calibri" w:cstheme="minorHAnsi"/>
          <w:color w:val="000000" w:themeColor="text1"/>
          <w:sz w:val="24"/>
          <w:szCs w:val="24"/>
        </w:rPr>
        <w:t xml:space="preserve"> ustawy.</w:t>
      </w:r>
    </w:p>
    <w:p w14:paraId="3817929C" w14:textId="1A6F9E3B"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Wprowadzono również obowiązek zachowania tajemnicy, o której mowa </w:t>
      </w:r>
      <w:r w:rsidR="005A1F80">
        <w:rPr>
          <w:rFonts w:eastAsia="Calibri" w:cstheme="minorHAnsi"/>
          <w:color w:val="000000" w:themeColor="text1"/>
          <w:sz w:val="24"/>
          <w:szCs w:val="24"/>
        </w:rPr>
        <w:t xml:space="preserve">w </w:t>
      </w:r>
      <w:r w:rsidRPr="00375799">
        <w:rPr>
          <w:rFonts w:eastAsia="Calibri" w:cstheme="minorHAnsi"/>
          <w:color w:val="000000" w:themeColor="text1"/>
          <w:sz w:val="24"/>
          <w:szCs w:val="24"/>
        </w:rPr>
        <w:t>art. 78 i art. 95</w:t>
      </w:r>
      <w:r w:rsidR="006D03AE">
        <w:rPr>
          <w:rFonts w:eastAsia="Calibri" w:cstheme="minorHAnsi"/>
          <w:color w:val="000000" w:themeColor="text1"/>
          <w:sz w:val="24"/>
          <w:szCs w:val="24"/>
        </w:rPr>
        <w:t>,</w:t>
      </w:r>
      <w:r w:rsidRPr="00375799">
        <w:rPr>
          <w:rFonts w:eastAsia="Calibri" w:cstheme="minorHAnsi"/>
          <w:color w:val="000000" w:themeColor="text1"/>
          <w:sz w:val="24"/>
          <w:szCs w:val="24"/>
        </w:rPr>
        <w:t xml:space="preserve"> przez podmioty wymienione w tych przepisach, także wówczas gdy do dostępu do informacji uzyskanych w związku z wykonywaniem zawodu biegłego rewidenta albo wykonywaniem zadań przez te podmioty występuje  Prezes Urzędu Ochrony Danych Osobowych. Nie oznacza to, że dane osobowe gromadzone przez firmy i biegłych rewidentów, czy też KNA, PIBR czy KNF nie będą chronione, gdyż podstawową ochronę zapewnia im tajemnica zawodowa</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do przestrzegania której są zobowiązani i za naruszenie której ponoszą odpowiedzialność. Z uwagi, iż tajemnica chroni klientów firm audytorskich</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w tym ich interesy gospodarcze, brak podstaw</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by przedkładać uprawnienia kontrolne organu nadzorczego nad prawo klientów firm audytorskich. </w:t>
      </w:r>
    </w:p>
    <w:p w14:paraId="7B60312D"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344B88A1" w14:textId="61854D62"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62" w:name="_Toc530565133"/>
      <w:r w:rsidRPr="00375799">
        <w:rPr>
          <w:rFonts w:eastAsia="Times New Roman" w:cstheme="minorHAnsi"/>
          <w:color w:val="000000" w:themeColor="text1"/>
          <w:sz w:val="24"/>
          <w:szCs w:val="24"/>
        </w:rPr>
        <w:t xml:space="preserve">Ustawa z dnia 27 października 2017 r. o podstawowej opiece zdrowotnej </w:t>
      </w:r>
      <w:r w:rsidR="002F35D6" w:rsidRPr="00375799">
        <w:rPr>
          <w:rFonts w:eastAsia="Times New Roman" w:cstheme="minorHAnsi"/>
          <w:color w:val="000000" w:themeColor="text1"/>
          <w:sz w:val="24"/>
          <w:szCs w:val="24"/>
        </w:rPr>
        <w:t>(Dz. U. poz. 2217 oraz z 2018 r. poz. 1000</w:t>
      </w:r>
      <w:r w:rsidR="00481BA0">
        <w:rPr>
          <w:rFonts w:eastAsia="Times New Roman" w:cstheme="minorHAnsi"/>
          <w:color w:val="000000" w:themeColor="text1"/>
          <w:sz w:val="24"/>
          <w:szCs w:val="24"/>
        </w:rPr>
        <w:t xml:space="preserve"> i 1544</w:t>
      </w:r>
      <w:r w:rsidR="002F35D6" w:rsidRPr="00375799">
        <w:rPr>
          <w:rFonts w:eastAsia="Times New Roman" w:cstheme="minorHAnsi"/>
          <w:color w:val="000000" w:themeColor="text1"/>
          <w:sz w:val="24"/>
          <w:szCs w:val="24"/>
        </w:rPr>
        <w:t>)</w:t>
      </w:r>
      <w:bookmarkEnd w:id="162"/>
    </w:p>
    <w:p w14:paraId="50C556F0" w14:textId="77777777"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p>
    <w:p w14:paraId="3DA515D8" w14:textId="4715FDCC"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W ustawie z dnia 27 października 2017 r. o podstawowej opiece zdrowotnej wprowadzono zmianę związaną z tym, że zawarte były w niej odesłania do nieobowiązującej ustawy z dnia 29 sierpnia 1997 r. o ochronie danych osobowych.</w:t>
      </w:r>
    </w:p>
    <w:p w14:paraId="0143E573" w14:textId="77777777"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p>
    <w:p w14:paraId="24C6286C" w14:textId="31B65613"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63" w:name="_Toc530565134"/>
      <w:r w:rsidRPr="00375799">
        <w:rPr>
          <w:rFonts w:eastAsia="Times New Roman" w:cstheme="minorHAnsi"/>
          <w:color w:val="000000" w:themeColor="text1"/>
          <w:sz w:val="24"/>
          <w:szCs w:val="24"/>
        </w:rPr>
        <w:t>Ustawa z dnia 8 grudnia 2017 r. o Sądzie Najwyższym</w:t>
      </w:r>
      <w:r w:rsidR="002F35D6" w:rsidRPr="00375799">
        <w:rPr>
          <w:rFonts w:eastAsia="Times New Roman" w:cstheme="minorHAnsi"/>
          <w:color w:val="000000" w:themeColor="text1"/>
          <w:sz w:val="24"/>
          <w:szCs w:val="24"/>
        </w:rPr>
        <w:t xml:space="preserve"> (Dz. U. z 2018 r. poz. 5, 650, 771, 847, 848</w:t>
      </w:r>
      <w:r w:rsidR="00481BA0">
        <w:rPr>
          <w:rFonts w:eastAsia="Times New Roman" w:cstheme="minorHAnsi"/>
          <w:color w:val="000000" w:themeColor="text1"/>
          <w:sz w:val="24"/>
          <w:szCs w:val="24"/>
        </w:rPr>
        <w:t>,</w:t>
      </w:r>
      <w:r w:rsidR="002F35D6" w:rsidRPr="00375799">
        <w:rPr>
          <w:rFonts w:eastAsia="Times New Roman" w:cstheme="minorHAnsi"/>
          <w:color w:val="000000" w:themeColor="text1"/>
          <w:sz w:val="24"/>
          <w:szCs w:val="24"/>
        </w:rPr>
        <w:t xml:space="preserve"> 1045</w:t>
      </w:r>
      <w:r w:rsidR="00481BA0">
        <w:rPr>
          <w:rFonts w:eastAsia="Times New Roman" w:cstheme="minorHAnsi"/>
          <w:color w:val="000000" w:themeColor="text1"/>
          <w:sz w:val="24"/>
          <w:szCs w:val="24"/>
        </w:rPr>
        <w:t xml:space="preserve"> i 1443</w:t>
      </w:r>
      <w:r w:rsidR="002F35D6" w:rsidRPr="00375799">
        <w:rPr>
          <w:rFonts w:eastAsia="Times New Roman" w:cstheme="minorHAnsi"/>
          <w:color w:val="000000" w:themeColor="text1"/>
          <w:sz w:val="24"/>
          <w:szCs w:val="24"/>
        </w:rPr>
        <w:t>)</w:t>
      </w:r>
      <w:bookmarkEnd w:id="163"/>
    </w:p>
    <w:p w14:paraId="61098130"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3F2572CD" w14:textId="1B9A9455" w:rsidR="00DC4B0C" w:rsidRPr="00375799" w:rsidRDefault="00850D88" w:rsidP="0055107B">
      <w:pPr>
        <w:spacing w:line="276" w:lineRule="auto"/>
        <w:contextualSpacing/>
        <w:jc w:val="both"/>
        <w:rPr>
          <w:rFonts w:eastAsiaTheme="majorEastAsia" w:cstheme="minorHAnsi"/>
          <w:color w:val="000000" w:themeColor="text1"/>
          <w:sz w:val="24"/>
          <w:szCs w:val="24"/>
        </w:rPr>
      </w:pPr>
      <w:r w:rsidRPr="00375799">
        <w:rPr>
          <w:rFonts w:eastAsia="Calibri" w:cstheme="minorHAnsi"/>
          <w:color w:val="000000" w:themeColor="text1"/>
          <w:sz w:val="24"/>
          <w:szCs w:val="24"/>
        </w:rPr>
        <w:t xml:space="preserve">Uzasadnienie wspólne do zmian projektowanych w następujących ustawach: </w:t>
      </w:r>
      <w:r w:rsidR="005A1F80">
        <w:rPr>
          <w:rFonts w:eastAsia="Calibri" w:cstheme="minorHAnsi"/>
          <w:color w:val="000000" w:themeColor="text1"/>
          <w:sz w:val="24"/>
          <w:szCs w:val="24"/>
        </w:rPr>
        <w:t>u</w:t>
      </w:r>
      <w:r w:rsidRPr="00375799">
        <w:rPr>
          <w:rFonts w:eastAsia="Calibri" w:cstheme="minorHAnsi"/>
          <w:color w:val="000000" w:themeColor="text1"/>
          <w:sz w:val="24"/>
          <w:szCs w:val="24"/>
        </w:rPr>
        <w:t>stawa z dnia 27 lipca 2001 r. – Prawo o ustroju s</w:t>
      </w:r>
      <w:r w:rsidR="005A1F80">
        <w:rPr>
          <w:rFonts w:eastAsia="Calibri" w:cstheme="minorHAnsi"/>
          <w:color w:val="000000" w:themeColor="text1"/>
          <w:sz w:val="24"/>
          <w:szCs w:val="24"/>
        </w:rPr>
        <w:t>ą</w:t>
      </w:r>
      <w:r w:rsidRPr="00375799">
        <w:rPr>
          <w:rFonts w:eastAsia="Calibri" w:cstheme="minorHAnsi"/>
          <w:color w:val="000000" w:themeColor="text1"/>
          <w:sz w:val="24"/>
          <w:szCs w:val="24"/>
        </w:rPr>
        <w:t>dów powszechnych, ustawa z dnia 21 sierpnia 1997 r. – Prawo o ustroju sądów wojskowych, ustawa z dnia 25 lipca 2002 r. – Prawo o ustroju sądów administracyjnych, ustawa z dnia 8 grudn</w:t>
      </w:r>
      <w:r w:rsidR="003A5E61">
        <w:rPr>
          <w:rFonts w:eastAsia="Calibri" w:cstheme="minorHAnsi"/>
          <w:color w:val="000000" w:themeColor="text1"/>
          <w:sz w:val="24"/>
          <w:szCs w:val="24"/>
        </w:rPr>
        <w:t>ia 2017 r. o Sądzie Najwyższym</w:t>
      </w:r>
      <w:r w:rsidRPr="00375799">
        <w:rPr>
          <w:rFonts w:eastAsia="Calibri" w:cstheme="minorHAnsi"/>
          <w:color w:val="000000" w:themeColor="text1"/>
          <w:sz w:val="24"/>
          <w:szCs w:val="24"/>
        </w:rPr>
        <w:t xml:space="preserve">, ustawa z dnia 23 stycznia 2009 r. o Krajowej Szkole Sądownictwa i Prokuratury, ustawa z dnia 11 maja 2011 r. o Krajowej Radzie Sądownictwa, ustawa z dnia 30 listopada 2016 r. o organizacji i trybie </w:t>
      </w:r>
      <w:r w:rsidRPr="00375799">
        <w:rPr>
          <w:rFonts w:eastAsia="Calibri" w:cstheme="minorHAnsi"/>
          <w:color w:val="000000" w:themeColor="text1"/>
          <w:sz w:val="24"/>
          <w:szCs w:val="24"/>
        </w:rPr>
        <w:lastRenderedPageBreak/>
        <w:t>postępowania przed Trybunałem Konstytucyjnym, ustawa z dnia 26 marca 1982 r. o Trybunale Stanu</w:t>
      </w:r>
      <w:r w:rsidR="00DC4B0C" w:rsidRPr="00375799">
        <w:rPr>
          <w:rFonts w:eastAsia="Calibri" w:cstheme="minorHAnsi"/>
          <w:color w:val="000000" w:themeColor="text1"/>
          <w:sz w:val="24"/>
          <w:szCs w:val="24"/>
        </w:rPr>
        <w:t xml:space="preserve"> </w:t>
      </w:r>
      <w:r w:rsidR="00DC4B0C" w:rsidRPr="00375799">
        <w:rPr>
          <w:rFonts w:eastAsiaTheme="majorEastAsia" w:cstheme="minorHAnsi"/>
          <w:color w:val="000000" w:themeColor="text1"/>
          <w:sz w:val="24"/>
          <w:szCs w:val="24"/>
        </w:rPr>
        <w:t xml:space="preserve">znajduje się na stronie </w:t>
      </w:r>
      <w:r w:rsidR="00D918BF" w:rsidRPr="00375799">
        <w:rPr>
          <w:rFonts w:eastAsiaTheme="majorEastAsia" w:cstheme="minorHAnsi"/>
          <w:color w:val="000000" w:themeColor="text1"/>
          <w:sz w:val="24"/>
          <w:szCs w:val="24"/>
        </w:rPr>
        <w:t>12</w:t>
      </w:r>
      <w:r w:rsidR="00EA3823">
        <w:rPr>
          <w:rFonts w:eastAsiaTheme="majorEastAsia" w:cstheme="minorHAnsi"/>
          <w:color w:val="000000" w:themeColor="text1"/>
          <w:sz w:val="24"/>
          <w:szCs w:val="24"/>
        </w:rPr>
        <w:t>5</w:t>
      </w:r>
      <w:r w:rsidR="00D918BF" w:rsidRPr="00375799">
        <w:rPr>
          <w:rFonts w:eastAsiaTheme="majorEastAsia" w:cstheme="minorHAnsi"/>
          <w:color w:val="000000" w:themeColor="text1"/>
          <w:sz w:val="24"/>
          <w:szCs w:val="24"/>
        </w:rPr>
        <w:t xml:space="preserve"> </w:t>
      </w:r>
      <w:r w:rsidR="00DC4B0C" w:rsidRPr="00375799">
        <w:rPr>
          <w:rFonts w:eastAsiaTheme="majorEastAsia" w:cstheme="minorHAnsi"/>
          <w:color w:val="000000" w:themeColor="text1"/>
          <w:sz w:val="24"/>
          <w:szCs w:val="24"/>
        </w:rPr>
        <w:t>uzasadnienia</w:t>
      </w:r>
      <w:r w:rsidR="00EA3823">
        <w:rPr>
          <w:rFonts w:eastAsiaTheme="majorEastAsia" w:cstheme="minorHAnsi"/>
          <w:color w:val="000000" w:themeColor="text1"/>
          <w:sz w:val="24"/>
          <w:szCs w:val="24"/>
        </w:rPr>
        <w:t>.</w:t>
      </w:r>
    </w:p>
    <w:p w14:paraId="62090715"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0F618C45" w14:textId="24867609"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64" w:name="_Toc530565135"/>
      <w:r w:rsidRPr="00375799">
        <w:rPr>
          <w:rFonts w:eastAsia="Times New Roman" w:cstheme="minorHAnsi"/>
          <w:color w:val="000000" w:themeColor="text1"/>
          <w:sz w:val="24"/>
          <w:szCs w:val="24"/>
        </w:rPr>
        <w:t>Ustawa z dnia 10 stycznia 2018 r. o zmianie niektórych ustaw w związku ze skróceniem okresu przechowywania akt pracowniczych oraz ich elektronizacją</w:t>
      </w:r>
      <w:r w:rsidR="002F35D6" w:rsidRPr="00375799">
        <w:rPr>
          <w:rFonts w:eastAsia="Times New Roman" w:cstheme="minorHAnsi"/>
          <w:color w:val="000000" w:themeColor="text1"/>
          <w:sz w:val="24"/>
          <w:szCs w:val="24"/>
        </w:rPr>
        <w:t xml:space="preserve"> (Dz. U. poz. 357)</w:t>
      </w:r>
      <w:bookmarkEnd w:id="164"/>
    </w:p>
    <w:p w14:paraId="2C4EEC2A" w14:textId="77777777"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p>
    <w:p w14:paraId="6AC6CA77" w14:textId="55AA0C9E"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Zmiana w ustawie</w:t>
      </w:r>
      <w:r w:rsidR="00EA3823">
        <w:rPr>
          <w:rFonts w:eastAsia="Calibri" w:cstheme="minorHAnsi"/>
          <w:color w:val="000000" w:themeColor="text1"/>
          <w:sz w:val="24"/>
          <w:szCs w:val="24"/>
        </w:rPr>
        <w:t xml:space="preserve"> z dnia 10 stycznia 2018 r. o zmianie niektórych ustaw w związku ze skróceniem okresu przechowywania akt pracowniczych oraz ich elektronizacji</w:t>
      </w:r>
      <w:r w:rsidRPr="00375799">
        <w:rPr>
          <w:rFonts w:eastAsia="Calibri" w:cstheme="minorHAnsi"/>
          <w:color w:val="000000" w:themeColor="text1"/>
          <w:sz w:val="24"/>
          <w:szCs w:val="24"/>
        </w:rPr>
        <w:t>, która to ustawa wejdzie w życie z dniem 1 stycznia 2019 r., ma charakter wyłącznie porządkowy – jest ona konieczna ze względu na nadanie przez niniejszą ustawę nowego brzmienia art. 22</w:t>
      </w:r>
      <w:r w:rsidRPr="00375799">
        <w:rPr>
          <w:rFonts w:eastAsia="Calibri" w:cstheme="minorHAnsi"/>
          <w:color w:val="000000" w:themeColor="text1"/>
          <w:sz w:val="24"/>
          <w:szCs w:val="24"/>
          <w:vertAlign w:val="superscript"/>
        </w:rPr>
        <w:t>1</w:t>
      </w:r>
      <w:r w:rsidRPr="00375799">
        <w:rPr>
          <w:rFonts w:eastAsia="Calibri" w:cstheme="minorHAnsi"/>
          <w:color w:val="000000" w:themeColor="text1"/>
          <w:sz w:val="24"/>
          <w:szCs w:val="24"/>
        </w:rPr>
        <w:t xml:space="preserve"> Kodeksu pracy i tym samym zmianę numeracji paragrafów i punktów w tym artykule, w którym zmianę wprowadza również ww. ustawa z dnia 10 stycznia 2018 r.</w:t>
      </w:r>
    </w:p>
    <w:p w14:paraId="675234CF"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57C0D385" w14:textId="281D064B"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65" w:name="_Toc530565136"/>
      <w:r w:rsidRPr="00375799">
        <w:rPr>
          <w:rFonts w:eastAsia="Times New Roman" w:cstheme="minorHAnsi"/>
          <w:color w:val="000000" w:themeColor="text1"/>
          <w:sz w:val="24"/>
          <w:szCs w:val="24"/>
        </w:rPr>
        <w:t>Ustawa z dnia 1 marca 2018 r. o przeciwdziałaniu praniu pieniędzy oraz finansowani</w:t>
      </w:r>
      <w:r w:rsidR="005A1F80">
        <w:rPr>
          <w:rFonts w:eastAsia="Times New Roman" w:cstheme="minorHAnsi"/>
          <w:color w:val="000000" w:themeColor="text1"/>
          <w:sz w:val="24"/>
          <w:szCs w:val="24"/>
        </w:rPr>
        <w:t>u</w:t>
      </w:r>
      <w:r w:rsidRPr="00375799">
        <w:rPr>
          <w:rFonts w:eastAsia="Times New Roman" w:cstheme="minorHAnsi"/>
          <w:color w:val="000000" w:themeColor="text1"/>
          <w:sz w:val="24"/>
          <w:szCs w:val="24"/>
        </w:rPr>
        <w:t xml:space="preserve"> terroryzmu </w:t>
      </w:r>
      <w:r w:rsidR="002F35D6" w:rsidRPr="00375799">
        <w:rPr>
          <w:rFonts w:eastAsia="Times New Roman" w:cstheme="minorHAnsi"/>
          <w:color w:val="000000" w:themeColor="text1"/>
          <w:sz w:val="24"/>
          <w:szCs w:val="24"/>
        </w:rPr>
        <w:t>(Dz. U. poz. 723</w:t>
      </w:r>
      <w:r w:rsidR="00481BA0">
        <w:rPr>
          <w:rFonts w:eastAsia="Times New Roman" w:cstheme="minorHAnsi"/>
          <w:color w:val="000000" w:themeColor="text1"/>
          <w:sz w:val="24"/>
          <w:szCs w:val="24"/>
        </w:rPr>
        <w:t>,</w:t>
      </w:r>
      <w:r w:rsidR="002F35D6" w:rsidRPr="00375799">
        <w:rPr>
          <w:rFonts w:eastAsia="Times New Roman" w:cstheme="minorHAnsi"/>
          <w:color w:val="000000" w:themeColor="text1"/>
          <w:sz w:val="24"/>
          <w:szCs w:val="24"/>
        </w:rPr>
        <w:t xml:space="preserve"> 1075</w:t>
      </w:r>
      <w:r w:rsidR="00481BA0">
        <w:rPr>
          <w:rFonts w:eastAsia="Times New Roman" w:cstheme="minorHAnsi"/>
          <w:color w:val="000000" w:themeColor="text1"/>
          <w:sz w:val="24"/>
          <w:szCs w:val="24"/>
        </w:rPr>
        <w:t xml:space="preserve"> i 1499</w:t>
      </w:r>
      <w:r w:rsidR="002F35D6" w:rsidRPr="00375799">
        <w:rPr>
          <w:rFonts w:eastAsia="Times New Roman" w:cstheme="minorHAnsi"/>
          <w:color w:val="000000" w:themeColor="text1"/>
          <w:sz w:val="24"/>
          <w:szCs w:val="24"/>
        </w:rPr>
        <w:t>)</w:t>
      </w:r>
      <w:bookmarkEnd w:id="165"/>
    </w:p>
    <w:p w14:paraId="1B7F8BDB"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072511AD" w14:textId="7C87442F"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związku z dotychczasową treścią art. 66 ustawy o przeciwdziałaniu praniu pieniędzy oraz finansowaniu terroryzmu zachodzi konieczność dostosowania powyższego przepisu do postanowień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 zakresie wyłączenia części obowiązków informacyjnych – to jest obowiązków wynikających z art. 15 ust. 1 lit. c </w:t>
      </w:r>
      <w:r w:rsidR="00EA3823">
        <w:rPr>
          <w:rFonts w:eastAsia="Calibri" w:cstheme="minorHAnsi"/>
          <w:color w:val="000000" w:themeColor="text1"/>
          <w:sz w:val="24"/>
          <w:szCs w:val="24"/>
        </w:rPr>
        <w:t>RODO</w:t>
      </w:r>
      <w:r w:rsidRPr="00375799">
        <w:rPr>
          <w:rFonts w:eastAsia="Calibri" w:cstheme="minorHAnsi"/>
          <w:color w:val="000000" w:themeColor="text1"/>
          <w:sz w:val="24"/>
          <w:szCs w:val="24"/>
        </w:rPr>
        <w:t>: wyłączenie obowiązku informacyjnego w zakresie przekazania osobie, której dane dotyczą</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informacji o odbiorcach lub kategoriach odbiorców, którym dane osobowe zostały lub zostaną ujawnione, w szczególności o odbiorcach w państwach trzecich lub organizacjach międzynarodowych.</w:t>
      </w:r>
    </w:p>
    <w:p w14:paraId="3423C768"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5BA5A50A" w14:textId="23194E10"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66" w:name="_Toc530565137"/>
      <w:r w:rsidRPr="00375799">
        <w:rPr>
          <w:rFonts w:eastAsia="Times New Roman" w:cstheme="minorHAnsi"/>
          <w:color w:val="000000" w:themeColor="text1"/>
          <w:sz w:val="24"/>
          <w:szCs w:val="24"/>
        </w:rPr>
        <w:t xml:space="preserve">Ustawa z dnia 6 marca 2018 r. o Centralnej Ewidencji i Informacji o Działalności Gospodarczej i Punkcie Informacji dla Przedsiębiorcy </w:t>
      </w:r>
      <w:r w:rsidR="002F35D6" w:rsidRPr="00375799">
        <w:rPr>
          <w:rFonts w:eastAsia="Times New Roman" w:cstheme="minorHAnsi"/>
          <w:color w:val="000000" w:themeColor="text1"/>
          <w:sz w:val="24"/>
          <w:szCs w:val="24"/>
        </w:rPr>
        <w:t>(Dz. U. poz. 647</w:t>
      </w:r>
      <w:r w:rsidR="00481BA0">
        <w:rPr>
          <w:rFonts w:eastAsia="Times New Roman" w:cstheme="minorHAnsi"/>
          <w:color w:val="000000" w:themeColor="text1"/>
          <w:sz w:val="24"/>
          <w:szCs w:val="24"/>
        </w:rPr>
        <w:t>, 1544 i 1629</w:t>
      </w:r>
      <w:r w:rsidR="002F35D6" w:rsidRPr="00375799">
        <w:rPr>
          <w:rFonts w:eastAsia="Times New Roman" w:cstheme="minorHAnsi"/>
          <w:color w:val="000000" w:themeColor="text1"/>
          <w:sz w:val="24"/>
          <w:szCs w:val="24"/>
        </w:rPr>
        <w:t>)</w:t>
      </w:r>
      <w:bookmarkEnd w:id="166"/>
    </w:p>
    <w:p w14:paraId="7CB95CAD"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6E255633" w14:textId="623F5E80"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art. 50 ustawy z dnia </w:t>
      </w:r>
      <w:r w:rsidR="00EA3823">
        <w:rPr>
          <w:rFonts w:eastAsia="Calibri" w:cstheme="minorHAnsi"/>
          <w:color w:val="000000" w:themeColor="text1"/>
          <w:sz w:val="24"/>
          <w:szCs w:val="24"/>
        </w:rPr>
        <w:t>6</w:t>
      </w:r>
      <w:r w:rsidR="00EA3823"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marca 2018 r. o Centralnej Ewidencji i Informacji o Działalności Gospodarczej i Punkcie Informacji dla Przedsiębiorcy znajduje się uregulowanie polegające na wyłączeniu stosowania ustawy </w:t>
      </w:r>
      <w:r w:rsidR="00EA3823">
        <w:rPr>
          <w:rFonts w:eastAsia="Calibri" w:cstheme="minorHAnsi"/>
          <w:color w:val="000000" w:themeColor="text1"/>
          <w:sz w:val="24"/>
          <w:szCs w:val="24"/>
        </w:rPr>
        <w:t xml:space="preserve">z dnia 29 sierpnia 1997 r. </w:t>
      </w:r>
      <w:r w:rsidRPr="00375799">
        <w:rPr>
          <w:rFonts w:eastAsia="Calibri" w:cstheme="minorHAnsi"/>
          <w:color w:val="000000" w:themeColor="text1"/>
          <w:sz w:val="24"/>
          <w:szCs w:val="24"/>
        </w:rPr>
        <w:t xml:space="preserve">o ochronie danych osobowych do jawnych danych udostępnianych przez Centralną Ewidencję i Informację o Działalności Gospodarczej. </w:t>
      </w:r>
    </w:p>
    <w:p w14:paraId="2968DE63" w14:textId="73763476"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Przepis ten należy uchylić w związku z uchyleniem ustawy </w:t>
      </w:r>
      <w:r w:rsidR="00EA3823">
        <w:rPr>
          <w:rFonts w:eastAsia="Calibri" w:cstheme="minorHAnsi"/>
          <w:color w:val="000000" w:themeColor="text1"/>
          <w:sz w:val="24"/>
          <w:szCs w:val="24"/>
        </w:rPr>
        <w:t xml:space="preserve">z dnia 29 sierpnia 1997 r. </w:t>
      </w:r>
      <w:r w:rsidRPr="00375799">
        <w:rPr>
          <w:rFonts w:eastAsia="Calibri" w:cstheme="minorHAnsi"/>
          <w:color w:val="000000" w:themeColor="text1"/>
          <w:sz w:val="24"/>
          <w:szCs w:val="24"/>
        </w:rPr>
        <w:t>o ochronie danych osobowych wraz z wejście</w:t>
      </w:r>
      <w:r w:rsidR="005A1F80">
        <w:rPr>
          <w:rFonts w:eastAsia="Calibri" w:cstheme="minorHAnsi"/>
          <w:color w:val="000000" w:themeColor="text1"/>
          <w:sz w:val="24"/>
          <w:szCs w:val="24"/>
        </w:rPr>
        <w:t>m</w:t>
      </w:r>
      <w:r w:rsidRPr="00375799">
        <w:rPr>
          <w:rFonts w:eastAsia="Calibri" w:cstheme="minorHAnsi"/>
          <w:color w:val="000000" w:themeColor="text1"/>
          <w:sz w:val="24"/>
          <w:szCs w:val="24"/>
        </w:rPr>
        <w:t xml:space="preserve"> w życie RODO.</w:t>
      </w:r>
    </w:p>
    <w:p w14:paraId="3728392F"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Ustawa </w:t>
      </w:r>
      <w:proofErr w:type="spellStart"/>
      <w:r w:rsidRPr="00375799">
        <w:rPr>
          <w:rFonts w:eastAsia="Calibri" w:cstheme="minorHAnsi"/>
          <w:color w:val="000000" w:themeColor="text1"/>
          <w:sz w:val="24"/>
          <w:szCs w:val="24"/>
        </w:rPr>
        <w:t>CEIDGPiP</w:t>
      </w:r>
      <w:proofErr w:type="spellEnd"/>
      <w:r w:rsidRPr="00375799">
        <w:rPr>
          <w:rFonts w:eastAsia="Calibri" w:cstheme="minorHAnsi"/>
          <w:color w:val="000000" w:themeColor="text1"/>
          <w:sz w:val="24"/>
          <w:szCs w:val="24"/>
        </w:rPr>
        <w:t xml:space="preserve"> reguluje jedynie sposób przetwarzania danych zawartych w CEIDG przez ministra właściwego ds. gospodarki oraz przez rejestry publiczne powiązane z CEIDG. Nie reguluje sposobu przetwarzania danych przez inne podmioty, gdy przetwarzają dane zbieżne z danymi publicznie dostępnymi w CEIDG. Tym samym brak jest podstaw - na gruncie RODO - do zastosowania analogicznego do obecnie obowiązującego przepisu. Nie spełniałby on wymagań art. 23 RODO. </w:t>
      </w:r>
    </w:p>
    <w:p w14:paraId="6978FF61" w14:textId="1CD47C7A"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67" w:name="_Toc530565138"/>
      <w:r w:rsidRPr="00375799">
        <w:rPr>
          <w:rFonts w:eastAsia="Times New Roman" w:cstheme="minorHAnsi"/>
          <w:color w:val="000000" w:themeColor="text1"/>
          <w:sz w:val="24"/>
          <w:szCs w:val="24"/>
        </w:rPr>
        <w:lastRenderedPageBreak/>
        <w:t xml:space="preserve">Ustawa z dnia 22 marca 2018 r. o komornikach sądowych </w:t>
      </w:r>
      <w:r w:rsidR="002F35D6" w:rsidRPr="00375799">
        <w:rPr>
          <w:rFonts w:eastAsia="Times New Roman" w:cstheme="minorHAnsi"/>
          <w:color w:val="000000" w:themeColor="text1"/>
          <w:sz w:val="24"/>
          <w:szCs w:val="24"/>
        </w:rPr>
        <w:t xml:space="preserve"> (Dz. U. z 2018 r. poz. 771</w:t>
      </w:r>
      <w:r w:rsidR="00481BA0">
        <w:rPr>
          <w:rFonts w:eastAsia="Times New Roman" w:cstheme="minorHAnsi"/>
          <w:color w:val="000000" w:themeColor="text1"/>
          <w:sz w:val="24"/>
          <w:szCs w:val="24"/>
        </w:rPr>
        <w:t>, 1443 i 1669</w:t>
      </w:r>
      <w:r w:rsidR="002F35D6" w:rsidRPr="00375799">
        <w:rPr>
          <w:rFonts w:eastAsia="Times New Roman" w:cstheme="minorHAnsi"/>
          <w:color w:val="000000" w:themeColor="text1"/>
          <w:sz w:val="24"/>
          <w:szCs w:val="24"/>
        </w:rPr>
        <w:t>)</w:t>
      </w:r>
      <w:bookmarkEnd w:id="167"/>
    </w:p>
    <w:p w14:paraId="61EA2B2A"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2422D675" w14:textId="2272FFE4"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Projektowany art. 159a zawiera przepisy służące wyeliminowaniu wątpliwości w zakresie funkcjonowania systemu teleinformatycznego obsługującego postępowanie egzekucyjne. Zgodnie bowiem z art. 159 ustawy z dnia 22 marca 2018 r. o komornikach sądowych Minister Sprawiedliwości jako administrator systemu teleinformatycznego, odpowiadający za jego wdrożenie i prawidłowe funkcjonowanie nie ma swobodnego dostępu do informacji w nim zawartych, w tym do danych osobowych. Oznacza to, że Minister Sprawiedliwości jest jedynie jego dostawcą, natomiast użytkownikami, odpowiadającymi za treść przechowywanych w nim danych</w:t>
      </w:r>
      <w:r w:rsidR="00EA3823">
        <w:rPr>
          <w:rFonts w:eastAsia="Calibri" w:cstheme="minorHAnsi"/>
          <w:color w:val="000000" w:themeColor="text1"/>
          <w:sz w:val="24"/>
          <w:szCs w:val="24"/>
        </w:rPr>
        <w:t>,</w:t>
      </w:r>
      <w:r w:rsidRPr="00375799">
        <w:rPr>
          <w:rFonts w:eastAsia="Calibri" w:cstheme="minorHAnsi"/>
          <w:color w:val="000000" w:themeColor="text1"/>
          <w:sz w:val="24"/>
          <w:szCs w:val="24"/>
        </w:rPr>
        <w:t xml:space="preserve"> są komornicy. Dlatego też z jednej strony konieczne jest ustawowe zagwarantowanie, że dane znajdujące się w systemie będą bezpieczne (art. 159a ust. 1</w:t>
      </w:r>
      <w:r w:rsidR="001844A9">
        <w:rPr>
          <w:rFonts w:eastAsia="Calibri" w:cstheme="minorHAnsi"/>
          <w:color w:val="000000" w:themeColor="text1"/>
          <w:sz w:val="24"/>
          <w:szCs w:val="24"/>
        </w:rPr>
        <w:t xml:space="preserve"> ustawy</w:t>
      </w:r>
      <w:r w:rsidRPr="00375799">
        <w:rPr>
          <w:rFonts w:eastAsia="Calibri" w:cstheme="minorHAnsi"/>
          <w:color w:val="000000" w:themeColor="text1"/>
          <w:sz w:val="24"/>
          <w:szCs w:val="24"/>
        </w:rPr>
        <w:t>), z drugiej zaś strony dla ostatecznego wyeliminowania wątpliwości, kto jest administratorem zawartych w systemie danych osobowych</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konieczne jest dodanie art. 159a ust. 2.</w:t>
      </w:r>
    </w:p>
    <w:p w14:paraId="678A0E5C" w14:textId="34406545"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Projektowany art. 164a </w:t>
      </w:r>
      <w:r w:rsidR="001844A9">
        <w:rPr>
          <w:rFonts w:eastAsia="Calibri" w:cstheme="minorHAnsi"/>
          <w:color w:val="000000" w:themeColor="text1"/>
          <w:sz w:val="24"/>
          <w:szCs w:val="24"/>
        </w:rPr>
        <w:t>ustawy</w:t>
      </w:r>
      <w:r w:rsidR="00EA3823">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zawiera przepisy określające zasady wykonywania przez komorników sądowych obowiązków wynikających z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w:t>
      </w:r>
    </w:p>
    <w:p w14:paraId="3655C0AE" w14:textId="2445DE9C"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W ust. 1 przewidziano, że komornik</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zbierając dane od osoby, której dane te dotyczą, będzie każdorazowo podawał jej swoją tożsamość i dane kontaktowe oraz cele przetwarzania danych i podstawę prawną ich przetwarzania. W pozostałym zakresie odnoszącym się do udzielenia informacji wymaganych przez art. 13 ust. 1 lit. b oraz ust. 2 lit a, b i d-e </w:t>
      </w:r>
      <w:r w:rsidR="00DC4B0C" w:rsidRPr="00375799">
        <w:rPr>
          <w:rFonts w:eastAsia="Calibri" w:cstheme="minorHAnsi"/>
          <w:color w:val="000000" w:themeColor="text1"/>
          <w:sz w:val="24"/>
          <w:szCs w:val="24"/>
        </w:rPr>
        <w:t>RODO</w:t>
      </w:r>
      <w:r w:rsidR="00DC4B0C" w:rsidRPr="00375799" w:rsidDel="00DC4B0C">
        <w:rPr>
          <w:rFonts w:eastAsia="Calibri" w:cstheme="minorHAnsi"/>
          <w:color w:val="000000" w:themeColor="text1"/>
          <w:sz w:val="24"/>
          <w:szCs w:val="24"/>
        </w:rPr>
        <w:t xml:space="preserve"> </w:t>
      </w:r>
      <w:r w:rsidRPr="00375799">
        <w:rPr>
          <w:rFonts w:eastAsia="Calibri" w:cstheme="minorHAnsi"/>
          <w:color w:val="000000" w:themeColor="text1"/>
          <w:sz w:val="24"/>
          <w:szCs w:val="24"/>
        </w:rPr>
        <w:t>komornik ogólne informacje w tym przedmiocie może zamieścić w miejscu publicznie dostępnym w siedzibie kancelarii lub na stronie internetowej kancelarii, pod warunkiem jednak poinformowania o tym osoby, której informacje dotyczą, podczas pozyskiwania od niej danych osobowych.</w:t>
      </w:r>
    </w:p>
    <w:p w14:paraId="12CDA436" w14:textId="387F7030"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projekcie świadomie odstąpiono od regulacji zakresu wyłączenia stosowania art. 14 ust. 1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albowiem wyłączenie stosowania tego przepisu w odniesieniu do komorników sądowych wynika wprost z art. 14 ust. 5 lit. c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w:t>
      </w:r>
    </w:p>
    <w:p w14:paraId="76216CA7" w14:textId="201D2786"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ust. 2 określono, że wynikające z art. 15 </w:t>
      </w:r>
      <w:r w:rsidR="00DC4B0C" w:rsidRPr="00375799">
        <w:rPr>
          <w:rFonts w:eastAsia="Calibri" w:cstheme="minorHAnsi"/>
          <w:color w:val="000000" w:themeColor="text1"/>
          <w:sz w:val="24"/>
          <w:szCs w:val="24"/>
        </w:rPr>
        <w:t>RODO</w:t>
      </w:r>
      <w:r w:rsidR="00DC4B0C" w:rsidRPr="00375799" w:rsidDel="00DC4B0C">
        <w:rPr>
          <w:rFonts w:eastAsia="Calibri" w:cstheme="minorHAnsi"/>
          <w:color w:val="000000" w:themeColor="text1"/>
          <w:sz w:val="24"/>
          <w:szCs w:val="24"/>
        </w:rPr>
        <w:t xml:space="preserve"> </w:t>
      </w:r>
      <w:r w:rsidRPr="00375799">
        <w:rPr>
          <w:rFonts w:eastAsia="Calibri" w:cstheme="minorHAnsi"/>
          <w:color w:val="000000" w:themeColor="text1"/>
          <w:sz w:val="24"/>
          <w:szCs w:val="24"/>
        </w:rPr>
        <w:t>uprawnienie do dostępu do danych osobowych realizowane jest wyłącznie na zasadach określonych w art. 9 ustawy z dnia 17 listopada 1964 r. – Kodeks postępowania cywilnego (Dz. U. z 2018 r. poz. 155</w:t>
      </w:r>
      <w:r w:rsidR="00852AFD">
        <w:rPr>
          <w:rFonts w:eastAsia="Calibri" w:cstheme="minorHAnsi"/>
          <w:color w:val="000000" w:themeColor="text1"/>
          <w:sz w:val="24"/>
          <w:szCs w:val="24"/>
        </w:rPr>
        <w:t>, zwanej dalej „k.p.c.”</w:t>
      </w:r>
      <w:r w:rsidRPr="00375799">
        <w:rPr>
          <w:rFonts w:eastAsia="Calibri" w:cstheme="minorHAnsi"/>
          <w:color w:val="000000" w:themeColor="text1"/>
          <w:sz w:val="24"/>
          <w:szCs w:val="24"/>
        </w:rPr>
        <w:t>) i to jedynie w zakresie, w jakim nie narusza to obowiązku zachowania przez komornika tajemnicy zawodowej. Rozwiązanie takie znajduje podstawę w treści ar</w:t>
      </w:r>
      <w:r w:rsidR="00352068" w:rsidRPr="00375799">
        <w:rPr>
          <w:rFonts w:eastAsia="Calibri" w:cstheme="minorHAnsi"/>
          <w:color w:val="000000" w:themeColor="text1"/>
          <w:sz w:val="24"/>
          <w:szCs w:val="24"/>
        </w:rPr>
        <w:t>t. 23 ust. 1 lit.</w:t>
      </w:r>
      <w:r w:rsidR="005A1F80">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j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który w przypadku egzekucji roszczeń cywilnoprawnych pozwala ograniczyć aktem prawnym zakres obowiązków i praw przewidzianych w art. 15</w:t>
      </w:r>
      <w:r w:rsidR="00852AFD">
        <w:rPr>
          <w:rFonts w:eastAsia="Calibri" w:cstheme="minorHAnsi"/>
          <w:color w:val="000000" w:themeColor="text1"/>
          <w:sz w:val="24"/>
          <w:szCs w:val="24"/>
        </w:rPr>
        <w:t xml:space="preserve"> RODO</w:t>
      </w:r>
      <w:r w:rsidRPr="00375799">
        <w:rPr>
          <w:rFonts w:eastAsia="Calibri" w:cstheme="minorHAnsi"/>
          <w:color w:val="000000" w:themeColor="text1"/>
          <w:sz w:val="24"/>
          <w:szCs w:val="24"/>
        </w:rPr>
        <w:t xml:space="preserve">. Należy zwrócić uwagę, że k.p.c. w sposób całościowy reguluje zasady dostępu stron do akt sprawy, co odpowiada wymogom art. 23 ust. 2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Rozwiązanie takie jest również komplementarne w stosunku do regulacji zawartych w art. 5 ustawy o ochronie danych osobowych.</w:t>
      </w:r>
    </w:p>
    <w:p w14:paraId="1BEDCD01" w14:textId="19820152"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ust. 3 przyjęto, że w zakresie prowadzonych postępowań lub czynności podejmowanych przez komornika na podstawie art. 3 ust. 3 i </w:t>
      </w:r>
      <w:r w:rsidR="00852AFD">
        <w:rPr>
          <w:rFonts w:eastAsia="Calibri" w:cstheme="minorHAnsi"/>
          <w:color w:val="000000" w:themeColor="text1"/>
          <w:sz w:val="24"/>
          <w:szCs w:val="24"/>
        </w:rPr>
        <w:t xml:space="preserve">ust. </w:t>
      </w:r>
      <w:r w:rsidRPr="00375799">
        <w:rPr>
          <w:rFonts w:eastAsia="Calibri" w:cstheme="minorHAnsi"/>
          <w:color w:val="000000" w:themeColor="text1"/>
          <w:sz w:val="24"/>
          <w:szCs w:val="24"/>
        </w:rPr>
        <w:t xml:space="preserve">4 pkt 1-2, a zatem w </w:t>
      </w:r>
      <w:r w:rsidRPr="00375799">
        <w:rPr>
          <w:rFonts w:eastAsia="Calibri" w:cstheme="minorHAnsi"/>
          <w:color w:val="000000" w:themeColor="text1"/>
          <w:sz w:val="24"/>
          <w:szCs w:val="24"/>
        </w:rPr>
        <w:lastRenderedPageBreak/>
        <w:t xml:space="preserve">zakresie, w jakim działania komornika podlegają kontroli orzeczniczej sądu, art. </w:t>
      </w:r>
      <w:r w:rsidR="00DC4B0C" w:rsidRPr="00375799">
        <w:rPr>
          <w:rFonts w:eastAsia="Calibri" w:cstheme="minorHAnsi"/>
          <w:color w:val="000000" w:themeColor="text1"/>
          <w:sz w:val="24"/>
          <w:szCs w:val="24"/>
        </w:rPr>
        <w:t>RODO</w:t>
      </w:r>
      <w:r w:rsidR="00DC4B0C" w:rsidRPr="00375799" w:rsidDel="00DC4B0C">
        <w:rPr>
          <w:rFonts w:eastAsia="Calibri" w:cstheme="minorHAnsi"/>
          <w:color w:val="000000" w:themeColor="text1"/>
          <w:sz w:val="24"/>
          <w:szCs w:val="24"/>
        </w:rPr>
        <w:t xml:space="preserve"> </w:t>
      </w:r>
      <w:r w:rsidRPr="00375799">
        <w:rPr>
          <w:rFonts w:eastAsia="Calibri" w:cstheme="minorHAnsi"/>
          <w:color w:val="000000" w:themeColor="text1"/>
          <w:sz w:val="24"/>
          <w:szCs w:val="24"/>
        </w:rPr>
        <w:t>stosuje się wyłącznie w zakresie i na zasadach przewidzianych w k.p.c.</w:t>
      </w:r>
    </w:p>
    <w:p w14:paraId="0CDE6BB8" w14:textId="14FD71B5"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ust. 4 przewidziano, że w ramach wykonywania przez komornika zadań, o których mowa w art. </w:t>
      </w:r>
      <w:r w:rsidR="00852AFD">
        <w:rPr>
          <w:rFonts w:eastAsia="Calibri" w:cstheme="minorHAnsi"/>
          <w:color w:val="000000" w:themeColor="text1"/>
          <w:sz w:val="24"/>
          <w:szCs w:val="24"/>
        </w:rPr>
        <w:t>3</w:t>
      </w:r>
      <w:r w:rsidRPr="00375799">
        <w:rPr>
          <w:rFonts w:eastAsia="Calibri" w:cstheme="minorHAnsi"/>
          <w:color w:val="000000" w:themeColor="text1"/>
          <w:sz w:val="24"/>
          <w:szCs w:val="24"/>
        </w:rPr>
        <w:t xml:space="preserve"> ust. 3 i </w:t>
      </w:r>
      <w:r w:rsidR="00852AFD">
        <w:rPr>
          <w:rFonts w:eastAsia="Calibri" w:cstheme="minorHAnsi"/>
          <w:color w:val="000000" w:themeColor="text1"/>
          <w:sz w:val="24"/>
          <w:szCs w:val="24"/>
        </w:rPr>
        <w:t xml:space="preserve">ust. </w:t>
      </w:r>
      <w:r w:rsidRPr="00375799">
        <w:rPr>
          <w:rFonts w:eastAsia="Calibri" w:cstheme="minorHAnsi"/>
          <w:color w:val="000000" w:themeColor="text1"/>
          <w:sz w:val="24"/>
          <w:szCs w:val="24"/>
        </w:rPr>
        <w:t xml:space="preserve">4 pkt 1 i </w:t>
      </w:r>
      <w:r w:rsidR="00852AFD">
        <w:rPr>
          <w:rFonts w:eastAsia="Calibri" w:cstheme="minorHAnsi"/>
          <w:color w:val="000000" w:themeColor="text1"/>
          <w:sz w:val="24"/>
          <w:szCs w:val="24"/>
        </w:rPr>
        <w:t>2</w:t>
      </w:r>
      <w:r w:rsidRPr="00375799">
        <w:rPr>
          <w:rFonts w:eastAsia="Calibri" w:cstheme="minorHAnsi"/>
          <w:color w:val="000000" w:themeColor="text1"/>
          <w:sz w:val="24"/>
          <w:szCs w:val="24"/>
        </w:rPr>
        <w:t xml:space="preserve">, skorzystanie przez daną osobę z prawa do ograniczenia przetwarzania danych osobowych, o którym mowa w art. 18 ust. 1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odbywać się będzie wyłącznie w sposób przewidziany w art. 767 k.p.c. Rozwiązanie takie znajduje podstawę w treści art. 23 ust. 1 lit. j </w:t>
      </w:r>
      <w:r w:rsidR="00852AFD">
        <w:rPr>
          <w:rFonts w:eastAsia="Calibri" w:cstheme="minorHAnsi"/>
          <w:color w:val="000000" w:themeColor="text1"/>
          <w:sz w:val="24"/>
          <w:szCs w:val="24"/>
        </w:rPr>
        <w:t>RODO</w:t>
      </w:r>
      <w:r w:rsidRPr="00375799">
        <w:rPr>
          <w:rFonts w:eastAsia="Calibri" w:cstheme="minorHAnsi"/>
          <w:color w:val="000000" w:themeColor="text1"/>
          <w:sz w:val="24"/>
          <w:szCs w:val="24"/>
        </w:rPr>
        <w:t xml:space="preserve">, który w przypadku egzekucji roszczeń cywilnoprawnych pozwala ograniczyć aktem prawnym zakres praw i obowiązków przewidzianych w art. 18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Należy zwrócić uwagę</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że k.p.c. w sposób całościowy reguluje zasady nadzoru sprawowanego przez sąd nad komornikiem, co odpowiada wymogom art. 32 ust. 2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Nadzór sprawowany przez sąd w trybie art. 759 § 2 k.p.c. i art. 767 k.p.c. nie jest ograniczony przedmiotowo ani podmiotowo. Zgodnie z tym przepisem skarga może dotyczyć każdego działania lub zaniechania komornika, a złożyć ją może nie tylko strona, lecz również inna osoba, której prawa zostały przez czynności lub zaniechanie komornika naruszone bądź zagrożone. Co istotne, na mocy art. 4 ust. 3 ustawy z dnia 22 marca 2018 r. o komornikach sądowych (Dz. U. poz. 771) możliwość wniesienia skargi na czynność komornika została rozszerzona na czynności komornika niebędące czynnościami prowadzonymi w ramach postępowania cywilnego, takie jak doręczenie korespondencji i sporządzenie protokołu stanu faktycznego. </w:t>
      </w:r>
    </w:p>
    <w:p w14:paraId="1846A663" w14:textId="49EAD65A"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Za przyjęciem proponowanej w ust. 4 konstrukcji przemawia szereg ważkich argumentów natury prawnej. Ma ona przede wszystkim na celu wyeliminowanie sytuacji, w której oceny działań komornika podejmował się jednocześnie sąd i organ administracji publicznej właściwy do ochrony danych osobowych. W zakresie decydowania o czynnościach komornika sąd powszechny ma bowiem pełną autonomię, a do czynności podejmowanych w ramach postępowania nadzorczego nie mają zastosowania art. 95 i art. 96 ustawy o ochronie danych osobowych. Nadzór judykacyjny nie mieści się bowiem w dyspozycji przepisu art. 92 tej ustawy. W razie braku wyraźnego zastrzeżenia, że korzystanie z prawa do graniczenia przetwarzania danych odbywa się wyłącznie w granicach przewidzianych przez k.p.c., mogłoby dojść do sytuacji, w której zainteresowany zaskarżyłby zaniechanie komornika zarówno na podstawie przepisów o ochronie danych osobowych, jak i przepisów k.p.c. W konsekwencji zaś istniałoby ryzyko podjęcia na gruncie tej samej sprawy dwóch wykluczających się rozstrzygnięć. Mogłoby również dojść do poddania jednego rozstrzygnięcia jednoczesnej kontroli sądu powszechnego i sądu administracyjnego. Nie bez znaczenia jest też okoliczność, że zakres przetwarzanych przez komornika danych jest nierzadko bardzo szeroki i w ramach jednego postępowania gromadzone są wrażliwe informacje dotyczące wielu podmiotów. Stosownie zaś do art. 20 ust. 1 ustawy z dnia 29 sierpnia 1997 r. o komornikach sądowych i egzekucji komornik jest obowiązany zachować w tajemnicy okoliczności sprawy, o których powziął wiadomość ze względu na wykonywane czynności. </w:t>
      </w:r>
    </w:p>
    <w:p w14:paraId="6969D51E" w14:textId="512E2458"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Niezależnie od powyższego należy zauważyć, że pełne stosowanie art. 18 </w:t>
      </w:r>
      <w:r w:rsidR="00DC4B0C" w:rsidRPr="00375799">
        <w:rPr>
          <w:rFonts w:eastAsia="Calibri" w:cstheme="minorHAnsi"/>
          <w:color w:val="000000" w:themeColor="text1"/>
          <w:sz w:val="24"/>
          <w:szCs w:val="24"/>
        </w:rPr>
        <w:t>RODO</w:t>
      </w:r>
      <w:r w:rsidR="00DC4B0C" w:rsidRPr="00375799" w:rsidDel="00DC4B0C">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nie daje się pogodzić z samą istotą prowadzonych przez komornika postępowań. Jest tak, gdyż </w:t>
      </w:r>
      <w:r w:rsidRPr="00375799">
        <w:rPr>
          <w:rFonts w:eastAsia="Calibri" w:cstheme="minorHAnsi"/>
          <w:color w:val="000000" w:themeColor="text1"/>
          <w:sz w:val="24"/>
          <w:szCs w:val="24"/>
        </w:rPr>
        <w:lastRenderedPageBreak/>
        <w:t xml:space="preserve">komornik jako organ władzy publicznej działa na podstawie i w granicach prawa, a zasady tego postępowania określają przede wszystkim przepisy k.p.c. Przepisy k.p.c. określają przy tym również zasady, cele i granice przetwarzania danych dotyczących osób zaangażowanych w toczące się postępowanie. W tym zakresie k.p.c. odpowiada wymogom art. 23 ust. 2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Jedynym zaś organem kompetentnym do dokonywania ustaleń, czy działania komornika naruszają wymienione przepisy, jest sąd powszechny sprawujący nadzór judykacyjny nad komornikiem. Należy przy tym pamiętać, że większość podejmowanych przez komornika czynności ma charakter przymusowy oraz ma na celu uniemożliwienie podejmowania przez strony prowadzonych postępowań takich działań, które uniemożliwiałyby szybkie i efektywne dokonywanie czynności. Przyznanie dłużnikowi lub osobom trzecim zbyt szerokich uprawnień mogłoby poważnie utrudnić realizację celów związanych z egzekucją roszczeń cywilnoprawnych. Tym samym, dla uniknięcia ryzyka sparaliżowania działań komornika poprzez nadużywanie uprawnień przewidzianych art. 18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konieczne jest ograniczenie możliwości korzystania z tych uprawnień przez ten przepis gwarantowanych do form przewidzianych przez ustawę procesową. W odniesieniu zaś do pozostałych przypisanych komornikowi ustawowo zadań realizuje on je w sposób ściśle związany z funkcjonowaniem wymiaru sprawiedliwości, co również uzasadnia zastosowanie omawianych wyłączeń, stosownie do art. 23 ust. 1 lit. f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t>
      </w:r>
    </w:p>
    <w:p w14:paraId="55C54EFC" w14:textId="20626978"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projekcie świadomie odstąpiono od regulacji wyłączeń w stosowaniu art. 21 </w:t>
      </w:r>
      <w:r w:rsidR="00DC4B0C" w:rsidRPr="00375799">
        <w:rPr>
          <w:rFonts w:eastAsia="Calibri" w:cstheme="minorHAnsi"/>
          <w:color w:val="000000" w:themeColor="text1"/>
          <w:sz w:val="24"/>
          <w:szCs w:val="24"/>
        </w:rPr>
        <w:t>RODO</w:t>
      </w:r>
      <w:r w:rsidR="00DC4B0C" w:rsidRPr="00375799" w:rsidDel="00DC4B0C">
        <w:rPr>
          <w:rFonts w:eastAsia="Calibri" w:cstheme="minorHAnsi"/>
          <w:color w:val="000000" w:themeColor="text1"/>
          <w:sz w:val="24"/>
          <w:szCs w:val="24"/>
        </w:rPr>
        <w:t xml:space="preserve"> </w:t>
      </w:r>
      <w:r w:rsidRPr="00375799">
        <w:rPr>
          <w:rFonts w:eastAsia="Calibri" w:cstheme="minorHAnsi"/>
          <w:color w:val="000000" w:themeColor="text1"/>
          <w:sz w:val="24"/>
          <w:szCs w:val="24"/>
        </w:rPr>
        <w:t>z uwagi na fakt, że podstawą działań podejmowanych przez komorników nie jest art. 6 ust. 1 lit. e, lecz lit. c. Komornicy</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podejmując czynności</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realizują bowiem obowiązek prawny wynikający z orzeczenia sądu. Źródłem tego obowiązku jest, w przeważającej większości przypadków, nakaz zawarty z treści klauzuli wykonalności. Komornik nie ma zresztą prawa odmówić podjęcia czynności lub przeprowadzenia postępowania, do których jest właściwy (art. 9 ustawy).</w:t>
      </w:r>
    </w:p>
    <w:p w14:paraId="0D740286" w14:textId="72352227" w:rsidR="00713DA6" w:rsidRDefault="00713DA6"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Zmiana art. 276 dotyczy przepisu zmieniającego ustawę o ewidencji ludności  w okresie  vacatio legis i ma na celu doprecyzowanie przepisów dotyczących udostępniania danych z rejestru PESEL podmiotom, o których mowa w art. 46 ust. 1 w zakresie sposobu udostępniania danych z tego rejestru.</w:t>
      </w:r>
    </w:p>
    <w:p w14:paraId="1635755A" w14:textId="77777777" w:rsidR="00E141FA" w:rsidRDefault="00E141FA" w:rsidP="0055107B">
      <w:pPr>
        <w:spacing w:after="0" w:line="276" w:lineRule="auto"/>
        <w:ind w:left="57" w:right="57"/>
        <w:contextualSpacing/>
        <w:jc w:val="both"/>
        <w:rPr>
          <w:rFonts w:eastAsia="Calibri" w:cstheme="minorHAnsi"/>
          <w:color w:val="000000" w:themeColor="text1"/>
          <w:sz w:val="24"/>
          <w:szCs w:val="24"/>
        </w:rPr>
      </w:pPr>
    </w:p>
    <w:p w14:paraId="09FB4A86" w14:textId="0889AD55"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68" w:name="_Toc530565139"/>
      <w:r w:rsidRPr="00375799">
        <w:rPr>
          <w:rFonts w:eastAsia="Times New Roman" w:cstheme="minorHAnsi"/>
          <w:color w:val="000000" w:themeColor="text1"/>
          <w:sz w:val="24"/>
          <w:szCs w:val="24"/>
        </w:rPr>
        <w:t>Ustawa z dnia 10 maja 2018 r. o ochronie danych osobowych (Dz. U</w:t>
      </w:r>
      <w:r w:rsidR="00EB0079">
        <w:rPr>
          <w:rFonts w:eastAsia="Times New Roman" w:cstheme="minorHAnsi"/>
          <w:color w:val="000000" w:themeColor="text1"/>
          <w:sz w:val="24"/>
          <w:szCs w:val="24"/>
        </w:rPr>
        <w:t>.</w:t>
      </w:r>
      <w:r w:rsidRPr="00375799">
        <w:rPr>
          <w:rFonts w:eastAsia="Times New Roman" w:cstheme="minorHAnsi"/>
          <w:color w:val="000000" w:themeColor="text1"/>
          <w:sz w:val="24"/>
          <w:szCs w:val="24"/>
        </w:rPr>
        <w:t xml:space="preserve"> poz. 1000</w:t>
      </w:r>
      <w:r w:rsidR="00EE719F">
        <w:rPr>
          <w:rFonts w:eastAsia="Times New Roman" w:cstheme="minorHAnsi"/>
          <w:color w:val="000000" w:themeColor="text1"/>
          <w:sz w:val="24"/>
          <w:szCs w:val="24"/>
        </w:rPr>
        <w:t xml:space="preserve"> i 1669</w:t>
      </w:r>
      <w:r w:rsidRPr="00375799">
        <w:rPr>
          <w:rFonts w:eastAsia="Times New Roman" w:cstheme="minorHAnsi"/>
          <w:color w:val="000000" w:themeColor="text1"/>
          <w:sz w:val="24"/>
          <w:szCs w:val="24"/>
        </w:rPr>
        <w:t>)</w:t>
      </w:r>
      <w:bookmarkEnd w:id="168"/>
      <w:r w:rsidRPr="00375799">
        <w:rPr>
          <w:rFonts w:eastAsia="Times New Roman" w:cstheme="minorHAnsi"/>
          <w:color w:val="000000" w:themeColor="text1"/>
          <w:sz w:val="24"/>
          <w:szCs w:val="24"/>
        </w:rPr>
        <w:t xml:space="preserve"> </w:t>
      </w:r>
    </w:p>
    <w:p w14:paraId="08669D7F" w14:textId="77777777" w:rsidR="00850D88" w:rsidRPr="00375799" w:rsidRDefault="00850D88" w:rsidP="0055107B">
      <w:pPr>
        <w:spacing w:after="0" w:line="276" w:lineRule="auto"/>
        <w:contextualSpacing/>
        <w:jc w:val="both"/>
        <w:rPr>
          <w:rFonts w:eastAsia="Calibri" w:cstheme="minorHAnsi"/>
          <w:color w:val="000000" w:themeColor="text1"/>
          <w:sz w:val="24"/>
          <w:szCs w:val="24"/>
        </w:rPr>
      </w:pPr>
    </w:p>
    <w:p w14:paraId="63B4C80F" w14:textId="16352185" w:rsidR="00850D88" w:rsidRPr="00375799" w:rsidRDefault="00850D88" w:rsidP="0055107B">
      <w:pPr>
        <w:spacing w:after="0"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ustawie </w:t>
      </w:r>
      <w:r w:rsidR="00EB0079" w:rsidRPr="00EB0079">
        <w:rPr>
          <w:rFonts w:eastAsia="Calibri" w:cstheme="minorHAnsi"/>
          <w:color w:val="000000" w:themeColor="text1"/>
          <w:sz w:val="24"/>
          <w:szCs w:val="24"/>
        </w:rPr>
        <w:t xml:space="preserve">z dnia 10 maja 2018 r. </w:t>
      </w:r>
      <w:r w:rsidRPr="00375799">
        <w:rPr>
          <w:rFonts w:eastAsia="Calibri" w:cstheme="minorHAnsi"/>
          <w:color w:val="000000" w:themeColor="text1"/>
          <w:sz w:val="24"/>
          <w:szCs w:val="24"/>
        </w:rPr>
        <w:t>o ochronie danych osobowych proponuje się dodanie art. 5a</w:t>
      </w:r>
      <w:r w:rsidR="00EB0079">
        <w:rPr>
          <w:rFonts w:eastAsia="Calibri" w:cstheme="minorHAnsi"/>
          <w:color w:val="000000" w:themeColor="text1"/>
          <w:sz w:val="24"/>
          <w:szCs w:val="24"/>
        </w:rPr>
        <w:t>,</w:t>
      </w:r>
      <w:r w:rsidRPr="00375799">
        <w:rPr>
          <w:rFonts w:eastAsia="Calibri" w:cstheme="minorHAnsi"/>
          <w:color w:val="000000" w:themeColor="text1"/>
          <w:sz w:val="24"/>
          <w:szCs w:val="24"/>
        </w:rPr>
        <w:t xml:space="preserve"> zgodnie z którym administrator, który otrzymał dane osobowe od podmiotu realizującego zadanie publiczne, nie wykonuje obowiązków, o których mowa w art. 15 ust. 1–3 </w:t>
      </w:r>
      <w:r w:rsidR="00DC4B0C" w:rsidRPr="00375799">
        <w:rPr>
          <w:rFonts w:eastAsia="Calibri" w:cstheme="minorHAnsi"/>
          <w:color w:val="000000" w:themeColor="text1"/>
          <w:sz w:val="24"/>
          <w:szCs w:val="24"/>
        </w:rPr>
        <w:t>RODO</w:t>
      </w:r>
      <w:r w:rsidRPr="00375799">
        <w:rPr>
          <w:rFonts w:eastAsia="Calibri" w:cstheme="minorHAnsi"/>
          <w:color w:val="000000" w:themeColor="text1"/>
          <w:sz w:val="24"/>
          <w:szCs w:val="24"/>
        </w:rPr>
        <w:t>, w przypadku, gdy podmiot przekazujący dane osobowe wystąpił z żądaniem w tym zakresie ze względu na konieczność prawidłowego wykonania zadania publicznego mającego na celu:</w:t>
      </w:r>
    </w:p>
    <w:p w14:paraId="296BC6C2" w14:textId="77777777" w:rsidR="00850D88" w:rsidRPr="00375799" w:rsidRDefault="00850D88" w:rsidP="0055107B">
      <w:pPr>
        <w:spacing w:after="0"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lastRenderedPageBreak/>
        <w:t>1)</w:t>
      </w:r>
      <w:r w:rsidRPr="00375799">
        <w:rPr>
          <w:rFonts w:eastAsia="Calibri" w:cstheme="minorHAnsi"/>
          <w:color w:val="000000" w:themeColor="text1"/>
          <w:sz w:val="24"/>
          <w:szCs w:val="24"/>
        </w:rPr>
        <w:tab/>
        <w:t>zapobieganie przestępczości, wykrywanie lub ściganie czynów zabronionych lub wykonywanie kar, w tym ochronę przed zagrożeniami dla bezpieczeństwa publicznego i zapobieganie takim zagrożeniom;</w:t>
      </w:r>
    </w:p>
    <w:p w14:paraId="26B4DC1E" w14:textId="77777777" w:rsidR="00850D88" w:rsidRPr="00375799" w:rsidRDefault="00850D88" w:rsidP="0055107B">
      <w:pPr>
        <w:spacing w:after="0"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2)</w:t>
      </w:r>
      <w:r w:rsidRPr="00375799">
        <w:rPr>
          <w:rFonts w:eastAsia="Calibri" w:cstheme="minorHAnsi"/>
          <w:color w:val="000000" w:themeColor="text1"/>
          <w:sz w:val="24"/>
          <w:szCs w:val="24"/>
        </w:rPr>
        <w:tab/>
        <w:t xml:space="preserve">ochronę interesów gospodarczych i finansowych państwa obejmującą w szczególności: </w:t>
      </w:r>
    </w:p>
    <w:p w14:paraId="036D23FF" w14:textId="77777777" w:rsidR="00850D88" w:rsidRPr="00375799" w:rsidRDefault="00850D88" w:rsidP="0055107B">
      <w:pPr>
        <w:spacing w:after="0" w:line="276" w:lineRule="auto"/>
        <w:ind w:left="708"/>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a)</w:t>
      </w:r>
      <w:r w:rsidRPr="00375799">
        <w:rPr>
          <w:rFonts w:eastAsia="Calibri" w:cstheme="minorHAnsi"/>
          <w:color w:val="000000" w:themeColor="text1"/>
          <w:sz w:val="24"/>
          <w:szCs w:val="24"/>
        </w:rPr>
        <w:tab/>
        <w:t>realizację i dochodzenie dochodów z podatków, opłat, niepodatkowych należności budżetowych oraz innych należności,</w:t>
      </w:r>
    </w:p>
    <w:p w14:paraId="0D0AB0DA" w14:textId="77777777" w:rsidR="00850D88" w:rsidRPr="00375799" w:rsidRDefault="00850D88" w:rsidP="0055107B">
      <w:pPr>
        <w:spacing w:after="0" w:line="276" w:lineRule="auto"/>
        <w:ind w:left="708"/>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b)</w:t>
      </w:r>
      <w:r w:rsidRPr="00375799">
        <w:rPr>
          <w:rFonts w:eastAsia="Calibri" w:cstheme="minorHAnsi"/>
          <w:color w:val="000000" w:themeColor="text1"/>
          <w:sz w:val="24"/>
          <w:szCs w:val="24"/>
        </w:rPr>
        <w:tab/>
        <w:t>wykonywanie egzekucji administracyjnej należności pieniężnych i niepieniężnych oraz wykonywanie zabezpieczenia należności pieniężnych i niepieniężnych,</w:t>
      </w:r>
    </w:p>
    <w:p w14:paraId="6E2F4C0C" w14:textId="77777777" w:rsidR="00850D88" w:rsidRPr="00375799" w:rsidRDefault="00850D88" w:rsidP="0055107B">
      <w:pPr>
        <w:spacing w:after="0" w:line="276" w:lineRule="auto"/>
        <w:ind w:left="708"/>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c)</w:t>
      </w:r>
      <w:r w:rsidRPr="00375799">
        <w:rPr>
          <w:rFonts w:eastAsia="Calibri" w:cstheme="minorHAnsi"/>
          <w:color w:val="000000" w:themeColor="text1"/>
          <w:sz w:val="24"/>
          <w:szCs w:val="24"/>
        </w:rPr>
        <w:tab/>
        <w:t>przeciwdziałanie wykorzystywaniu działalności banków i instytucji finansowych do celów mających związek z wyłudzeniami skarbowymi,</w:t>
      </w:r>
    </w:p>
    <w:p w14:paraId="278552AF" w14:textId="77777777" w:rsidR="00850D88" w:rsidRPr="00375799" w:rsidRDefault="00850D88" w:rsidP="0055107B">
      <w:pPr>
        <w:spacing w:after="0" w:line="276" w:lineRule="auto"/>
        <w:ind w:left="708"/>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d)</w:t>
      </w:r>
      <w:r w:rsidRPr="00375799">
        <w:rPr>
          <w:rFonts w:eastAsia="Calibri" w:cstheme="minorHAnsi"/>
          <w:color w:val="000000" w:themeColor="text1"/>
          <w:sz w:val="24"/>
          <w:szCs w:val="24"/>
        </w:rPr>
        <w:tab/>
        <w:t xml:space="preserve">ujawnianie i odzyskiwanie mienia zagrożonego przepadkiem w związku z przestępstwami, </w:t>
      </w:r>
    </w:p>
    <w:p w14:paraId="43518AF1" w14:textId="77777777" w:rsidR="00852AFD" w:rsidRDefault="00850D88" w:rsidP="0055107B">
      <w:pPr>
        <w:spacing w:after="0" w:line="276" w:lineRule="auto"/>
        <w:ind w:left="708"/>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e)</w:t>
      </w:r>
      <w:r w:rsidRPr="00375799">
        <w:rPr>
          <w:rFonts w:eastAsia="Calibri" w:cstheme="minorHAnsi"/>
          <w:color w:val="000000" w:themeColor="text1"/>
          <w:sz w:val="24"/>
          <w:szCs w:val="24"/>
        </w:rPr>
        <w:tab/>
        <w:t xml:space="preserve">prowadzenie kontroli, w tym kontroli celno-skarbowych. </w:t>
      </w:r>
    </w:p>
    <w:p w14:paraId="40C1D3D3" w14:textId="2A4C0563" w:rsidR="00850D88" w:rsidRPr="00375799" w:rsidRDefault="00850D88" w:rsidP="003654A8">
      <w:pPr>
        <w:spacing w:after="0"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przypadku, o którym mowa w ust. 1, administrator udziela odpowiedzi na żądanie wniesione na podstawie art. 15 </w:t>
      </w:r>
      <w:r w:rsidR="002F35D6" w:rsidRPr="00375799">
        <w:rPr>
          <w:rFonts w:eastAsia="Calibri" w:cstheme="minorHAnsi"/>
          <w:color w:val="000000" w:themeColor="text1"/>
          <w:sz w:val="24"/>
          <w:szCs w:val="24"/>
        </w:rPr>
        <w:t>RODO</w:t>
      </w:r>
      <w:r w:rsidRPr="00375799">
        <w:rPr>
          <w:rFonts w:eastAsia="Calibri" w:cstheme="minorHAnsi"/>
          <w:color w:val="000000" w:themeColor="text1"/>
          <w:sz w:val="24"/>
          <w:szCs w:val="24"/>
        </w:rPr>
        <w:t xml:space="preserve"> w sposób, który uniemożliwia ustalenie, że administrator przetwarza dane osobowe otrzymane od podmiotu wykonującego zadanie publiczne.</w:t>
      </w:r>
    </w:p>
    <w:p w14:paraId="11E82B20" w14:textId="4683990B" w:rsidR="000C4BD5" w:rsidRDefault="00850D88" w:rsidP="0055107B">
      <w:pPr>
        <w:spacing w:after="0"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Przepis ten będzie miał zastosowanie w tych sytuacjach</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w których umożliwienie osobie</w:t>
      </w:r>
      <w:r w:rsidR="00852AFD">
        <w:rPr>
          <w:rFonts w:eastAsia="Calibri" w:cstheme="minorHAnsi"/>
          <w:color w:val="000000" w:themeColor="text1"/>
          <w:sz w:val="24"/>
          <w:szCs w:val="24"/>
        </w:rPr>
        <w:t>,</w:t>
      </w:r>
      <w:r w:rsidRPr="00375799">
        <w:rPr>
          <w:rFonts w:eastAsia="Calibri" w:cstheme="minorHAnsi"/>
          <w:color w:val="000000" w:themeColor="text1"/>
          <w:sz w:val="24"/>
          <w:szCs w:val="24"/>
        </w:rPr>
        <w:t xml:space="preserve"> której dane dotyczą</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dostępu do informacji np. skąd administrator uzyskał dane (art. 15 ust. 1 lit. g RODO) spowodowałoby lub znacznie utrudniło realizacje zadania publicznego. Powyższa regulacja spełnia wymagania art. 23 RODO poprzez dookreślenie celów leżących w interesie Państwa</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tj. ści</w:t>
      </w:r>
      <w:r w:rsidR="005A1F80">
        <w:rPr>
          <w:rFonts w:eastAsia="Calibri" w:cstheme="minorHAnsi"/>
          <w:color w:val="000000" w:themeColor="text1"/>
          <w:sz w:val="24"/>
          <w:szCs w:val="24"/>
        </w:rPr>
        <w:t>g</w:t>
      </w:r>
      <w:r w:rsidRPr="00375799">
        <w:rPr>
          <w:rFonts w:eastAsia="Calibri" w:cstheme="minorHAnsi"/>
          <w:color w:val="000000" w:themeColor="text1"/>
          <w:sz w:val="24"/>
          <w:szCs w:val="24"/>
        </w:rPr>
        <w:t>anie przestępstw. Warto nadmienić</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iż dyrektywa Parlamentu Europejskiego i Rady (UE) 2016/680 z dnia 27 kwietnia 2016 r. w sprawie ochrony osób fizycznych w związku z przetwarzaniem danych osobowych przez właściwe organy do celów zapobiegania przestępczości, prowadzenia postępowań przygotowawczych, wykrywania i ścigania czynów zabronionych i wykonywania kar, w sprawie swobodnego przepływu takich danych oraz uchylająca decyzję ramową Rady 2008/977/WSiSW (Dz. Urz. UE L </w:t>
      </w:r>
      <w:r w:rsidR="00EB0079">
        <w:rPr>
          <w:rFonts w:eastAsia="Calibri" w:cstheme="minorHAnsi"/>
          <w:color w:val="000000" w:themeColor="text1"/>
          <w:sz w:val="24"/>
          <w:szCs w:val="24"/>
        </w:rPr>
        <w:t xml:space="preserve">119 </w:t>
      </w:r>
      <w:r w:rsidRPr="00375799">
        <w:rPr>
          <w:rFonts w:eastAsia="Calibri" w:cstheme="minorHAnsi"/>
          <w:color w:val="000000" w:themeColor="text1"/>
          <w:sz w:val="24"/>
          <w:szCs w:val="24"/>
        </w:rPr>
        <w:t xml:space="preserve">z </w:t>
      </w:r>
      <w:r w:rsidR="00EB0079">
        <w:rPr>
          <w:rFonts w:eastAsia="Calibri" w:cstheme="minorHAnsi"/>
          <w:color w:val="000000" w:themeColor="text1"/>
          <w:sz w:val="24"/>
          <w:szCs w:val="24"/>
        </w:rPr>
        <w:t>0</w:t>
      </w:r>
      <w:r w:rsidRPr="00375799">
        <w:rPr>
          <w:rFonts w:eastAsia="Calibri" w:cstheme="minorHAnsi"/>
          <w:color w:val="000000" w:themeColor="text1"/>
          <w:sz w:val="24"/>
          <w:szCs w:val="24"/>
        </w:rPr>
        <w:t>4.</w:t>
      </w:r>
      <w:r w:rsidR="00EB0079">
        <w:rPr>
          <w:rFonts w:eastAsia="Calibri" w:cstheme="minorHAnsi"/>
          <w:color w:val="000000" w:themeColor="text1"/>
          <w:sz w:val="24"/>
          <w:szCs w:val="24"/>
        </w:rPr>
        <w:t>0</w:t>
      </w:r>
      <w:r w:rsidRPr="00375799">
        <w:rPr>
          <w:rFonts w:eastAsia="Calibri" w:cstheme="minorHAnsi"/>
          <w:color w:val="000000" w:themeColor="text1"/>
          <w:sz w:val="24"/>
          <w:szCs w:val="24"/>
        </w:rPr>
        <w:t>5.2016, str. 89) ma zastosowanie do przetwarzania danych przez organy prowadzące postępowanie karne. W przypadku gdy organy te udostępniają dane osobowe</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dokonują odpytania np. instytucją prywatnych na podstawie przepisów np. kodeksu postępowania karnego</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zbierając materiał dowodowy, zastosowanie znajduje </w:t>
      </w:r>
      <w:r w:rsidR="00852AFD">
        <w:rPr>
          <w:rFonts w:eastAsia="Calibri" w:cstheme="minorHAnsi"/>
          <w:color w:val="000000" w:themeColor="text1"/>
          <w:sz w:val="24"/>
          <w:szCs w:val="24"/>
        </w:rPr>
        <w:t>RODO</w:t>
      </w:r>
      <w:r w:rsidRPr="00375799">
        <w:rPr>
          <w:rFonts w:eastAsia="Calibri" w:cstheme="minorHAnsi"/>
          <w:color w:val="000000" w:themeColor="text1"/>
          <w:sz w:val="24"/>
          <w:szCs w:val="24"/>
        </w:rPr>
        <w:t>. Podmiot prywatny zobowiązany jest wi</w:t>
      </w:r>
      <w:r w:rsidR="005A1F80">
        <w:rPr>
          <w:rFonts w:eastAsia="Calibri" w:cstheme="minorHAnsi"/>
          <w:color w:val="000000" w:themeColor="text1"/>
          <w:sz w:val="24"/>
          <w:szCs w:val="24"/>
        </w:rPr>
        <w:t>ę</w:t>
      </w:r>
      <w:r w:rsidRPr="00375799">
        <w:rPr>
          <w:rFonts w:eastAsia="Calibri" w:cstheme="minorHAnsi"/>
          <w:color w:val="000000" w:themeColor="text1"/>
          <w:sz w:val="24"/>
          <w:szCs w:val="24"/>
        </w:rPr>
        <w:t>c stosować względem osoby której dane pozyskał od organów ścigania uprawnienia np. z art. 15 lit. g</w:t>
      </w:r>
      <w:r w:rsidR="00852AFD">
        <w:rPr>
          <w:rFonts w:eastAsia="Calibri" w:cstheme="minorHAnsi"/>
          <w:color w:val="000000" w:themeColor="text1"/>
          <w:sz w:val="24"/>
          <w:szCs w:val="24"/>
        </w:rPr>
        <w:t xml:space="preserve"> RODO</w:t>
      </w:r>
      <w:r w:rsidRPr="00375799">
        <w:rPr>
          <w:rFonts w:eastAsia="Calibri" w:cstheme="minorHAnsi"/>
          <w:color w:val="000000" w:themeColor="text1"/>
          <w:sz w:val="24"/>
          <w:szCs w:val="24"/>
        </w:rPr>
        <w:t xml:space="preserve">. Realizacja uprawnienia przez osobę podejrzaną mogłaby uniemożliwić działania organów ścigania. Zasadne jest więc wprowadzenie ogólnej regulacji w art. 5a uniemożliwiającej wykorzystywanie </w:t>
      </w:r>
      <w:r w:rsidR="00852AFD">
        <w:rPr>
          <w:rFonts w:eastAsia="Calibri" w:cstheme="minorHAnsi"/>
          <w:color w:val="000000" w:themeColor="text1"/>
          <w:sz w:val="24"/>
          <w:szCs w:val="24"/>
        </w:rPr>
        <w:t xml:space="preserve">RODO </w:t>
      </w:r>
      <w:r w:rsidRPr="00375799">
        <w:rPr>
          <w:rFonts w:eastAsia="Calibri" w:cstheme="minorHAnsi"/>
          <w:color w:val="000000" w:themeColor="text1"/>
          <w:sz w:val="24"/>
          <w:szCs w:val="24"/>
        </w:rPr>
        <w:t>jako sposobu utrudnienia wykonywania ustawowych zadań przez organy publiczne np. w ramach procedur karnych</w:t>
      </w:r>
      <w:r w:rsidR="005A1F80">
        <w:rPr>
          <w:rFonts w:eastAsia="Calibri" w:cstheme="minorHAnsi"/>
          <w:color w:val="000000" w:themeColor="text1"/>
          <w:sz w:val="24"/>
          <w:szCs w:val="24"/>
        </w:rPr>
        <w:t>,</w:t>
      </w:r>
      <w:r w:rsidRPr="00375799">
        <w:rPr>
          <w:rFonts w:eastAsia="Calibri" w:cstheme="minorHAnsi"/>
          <w:color w:val="000000" w:themeColor="text1"/>
          <w:sz w:val="24"/>
          <w:szCs w:val="24"/>
        </w:rPr>
        <w:t xml:space="preserve"> ale także procedur podatkowych itp. </w:t>
      </w:r>
    </w:p>
    <w:p w14:paraId="57B38A5C" w14:textId="7366992B" w:rsidR="000C4BD5" w:rsidRPr="000C4BD5" w:rsidRDefault="000C4BD5" w:rsidP="000C4BD5">
      <w:pPr>
        <w:spacing w:after="0" w:line="276" w:lineRule="auto"/>
        <w:contextualSpacing/>
        <w:jc w:val="both"/>
        <w:rPr>
          <w:rFonts w:eastAsia="Calibri" w:cstheme="minorHAnsi"/>
          <w:color w:val="000000" w:themeColor="text1"/>
          <w:sz w:val="24"/>
          <w:szCs w:val="24"/>
        </w:rPr>
      </w:pPr>
      <w:r w:rsidRPr="000C4BD5">
        <w:rPr>
          <w:rFonts w:eastAsia="Calibri" w:cstheme="minorHAnsi"/>
          <w:color w:val="000000" w:themeColor="text1"/>
          <w:sz w:val="24"/>
          <w:szCs w:val="24"/>
        </w:rPr>
        <w:t>Uz</w:t>
      </w:r>
      <w:r>
        <w:rPr>
          <w:rFonts w:eastAsia="Calibri" w:cstheme="minorHAnsi"/>
          <w:color w:val="000000" w:themeColor="text1"/>
          <w:sz w:val="24"/>
          <w:szCs w:val="24"/>
        </w:rPr>
        <w:t xml:space="preserve">asadnieniem do wprowadzenia </w:t>
      </w:r>
      <w:r w:rsidRPr="000C4BD5">
        <w:rPr>
          <w:rFonts w:eastAsia="Calibri" w:cstheme="minorHAnsi"/>
          <w:color w:val="000000" w:themeColor="text1"/>
          <w:sz w:val="24"/>
          <w:szCs w:val="24"/>
        </w:rPr>
        <w:t>zmiany</w:t>
      </w:r>
      <w:r>
        <w:rPr>
          <w:rFonts w:eastAsia="Calibri" w:cstheme="minorHAnsi"/>
          <w:color w:val="000000" w:themeColor="text1"/>
          <w:sz w:val="24"/>
          <w:szCs w:val="24"/>
        </w:rPr>
        <w:t xml:space="preserve"> w pkt 2</w:t>
      </w:r>
      <w:r w:rsidRPr="000C4BD5">
        <w:rPr>
          <w:rFonts w:eastAsia="Calibri" w:cstheme="minorHAnsi"/>
          <w:color w:val="000000" w:themeColor="text1"/>
          <w:sz w:val="24"/>
          <w:szCs w:val="24"/>
        </w:rPr>
        <w:t xml:space="preserve"> </w:t>
      </w:r>
      <w:r w:rsidR="00490A3E">
        <w:rPr>
          <w:rFonts w:eastAsia="Calibri" w:cstheme="minorHAnsi"/>
          <w:color w:val="000000" w:themeColor="text1"/>
          <w:sz w:val="24"/>
          <w:szCs w:val="24"/>
        </w:rPr>
        <w:t xml:space="preserve">(dodanie art. 6a) </w:t>
      </w:r>
      <w:r w:rsidRPr="000C4BD5">
        <w:rPr>
          <w:rFonts w:eastAsia="Calibri" w:cstheme="minorHAnsi"/>
          <w:color w:val="000000" w:themeColor="text1"/>
          <w:sz w:val="24"/>
          <w:szCs w:val="24"/>
        </w:rPr>
        <w:t xml:space="preserve">jest fakt, iż od dnia 25 maja 2018 r. w polskim porządku prawnym obowiązuje bezpośrednio </w:t>
      </w:r>
      <w:r w:rsidR="00852AFD">
        <w:rPr>
          <w:rFonts w:eastAsia="Calibri" w:cstheme="minorHAnsi"/>
          <w:color w:val="000000" w:themeColor="text1"/>
          <w:sz w:val="24"/>
          <w:szCs w:val="24"/>
        </w:rPr>
        <w:t>RODO</w:t>
      </w:r>
      <w:r w:rsidRPr="000C4BD5">
        <w:rPr>
          <w:rFonts w:eastAsia="Calibri" w:cstheme="minorHAnsi"/>
          <w:color w:val="000000" w:themeColor="text1"/>
          <w:sz w:val="24"/>
          <w:szCs w:val="24"/>
        </w:rPr>
        <w:t xml:space="preserve"> oraz ustawa z </w:t>
      </w:r>
      <w:r w:rsidRPr="000C4BD5">
        <w:rPr>
          <w:rFonts w:eastAsia="Calibri" w:cstheme="minorHAnsi"/>
          <w:color w:val="000000" w:themeColor="text1"/>
          <w:sz w:val="24"/>
          <w:szCs w:val="24"/>
        </w:rPr>
        <w:lastRenderedPageBreak/>
        <w:t xml:space="preserve">dnia 10 maja 2018 r. o ochronie danych osobowych, która ma na celu zapewnienie możliwości stosowania ww. rozporządzenia. W art. 2 </w:t>
      </w:r>
      <w:r w:rsidR="00852AFD">
        <w:rPr>
          <w:rFonts w:eastAsia="Calibri" w:cstheme="minorHAnsi"/>
          <w:color w:val="000000" w:themeColor="text1"/>
          <w:sz w:val="24"/>
          <w:szCs w:val="24"/>
        </w:rPr>
        <w:t>RODO</w:t>
      </w:r>
      <w:r w:rsidRPr="000C4BD5">
        <w:rPr>
          <w:rFonts w:eastAsia="Calibri" w:cstheme="minorHAnsi"/>
          <w:color w:val="000000" w:themeColor="text1"/>
          <w:sz w:val="24"/>
          <w:szCs w:val="24"/>
        </w:rPr>
        <w:t xml:space="preserve"> określony został materialny, przedmiotowy zakres zastosowania rozporządzenia. Zgodnie z tym artykułem rozporządzenie ma zastosowanie do przetwarzania danych osobowych w sposób całkowicie lub częściowo zautomatyzowany oraz do przetwarzania w sposób inny niż zautomatyzowany danych osobowych stanowiących część zbioru danych lub mających stanowić część zbioru danych. Jednocześnie w ust. 2 art. 2 wskazane zostały przypadki przetwarzania danych, do których rozporządzenie nie ma zastosowania. Zgodnie z tą regulacją rozporządzenie nie ma zastosowania do m.in. przetwarzania danych w ramach działalności nieobjętej zakresem prawa Unii Europejskiej.  Wskazany w art. 2 ust. 2 zakres wyłączeń zastosowania rozporządzenia rodzi wiele pytań i wątpliwości interpretacyjnych. W motywie 16 </w:t>
      </w:r>
      <w:r w:rsidR="00852AFD">
        <w:rPr>
          <w:rFonts w:eastAsia="Calibri" w:cstheme="minorHAnsi"/>
          <w:color w:val="000000" w:themeColor="text1"/>
          <w:sz w:val="24"/>
          <w:szCs w:val="24"/>
        </w:rPr>
        <w:t>RODO</w:t>
      </w:r>
      <w:r w:rsidRPr="000C4BD5">
        <w:rPr>
          <w:rFonts w:eastAsia="Calibri" w:cstheme="minorHAnsi"/>
          <w:color w:val="000000" w:themeColor="text1"/>
          <w:sz w:val="24"/>
          <w:szCs w:val="24"/>
        </w:rPr>
        <w:t xml:space="preserve">, jako przykład takiego rodzaju działalności wskazano kwestie ochrony podstawowych praw i wolności oraz swobodnego przepływu danych osobowych w związku z działalnością dotyczącą bezpieczeństwa narodowego, które zgodnie z art. 4 ust. 2 Traktatu o Unii Europejskiej, dalej zwanego </w:t>
      </w:r>
      <w:r w:rsidR="005A1F80">
        <w:rPr>
          <w:rFonts w:eastAsia="Calibri" w:cstheme="minorHAnsi"/>
          <w:color w:val="000000" w:themeColor="text1"/>
          <w:sz w:val="24"/>
          <w:szCs w:val="24"/>
        </w:rPr>
        <w:t>„</w:t>
      </w:r>
      <w:r w:rsidRPr="000C4BD5">
        <w:rPr>
          <w:rFonts w:eastAsia="Calibri" w:cstheme="minorHAnsi"/>
          <w:color w:val="000000" w:themeColor="text1"/>
          <w:sz w:val="24"/>
          <w:szCs w:val="24"/>
        </w:rPr>
        <w:t>TUE</w:t>
      </w:r>
      <w:r w:rsidR="005A1F80">
        <w:rPr>
          <w:rFonts w:eastAsia="Calibri" w:cstheme="minorHAnsi"/>
          <w:color w:val="000000" w:themeColor="text1"/>
          <w:sz w:val="24"/>
          <w:szCs w:val="24"/>
        </w:rPr>
        <w:t>”</w:t>
      </w:r>
      <w:r w:rsidRPr="000C4BD5">
        <w:rPr>
          <w:rFonts w:eastAsia="Calibri" w:cstheme="minorHAnsi"/>
          <w:color w:val="000000" w:themeColor="text1"/>
          <w:sz w:val="24"/>
          <w:szCs w:val="24"/>
        </w:rPr>
        <w:t xml:space="preserve">, oraz art. 73 Traktatu o Funkcjonowaniu Unii Europejskiej, dalej zwanego </w:t>
      </w:r>
      <w:r w:rsidR="005A1F80">
        <w:rPr>
          <w:rFonts w:eastAsia="Calibri" w:cstheme="minorHAnsi"/>
          <w:color w:val="000000" w:themeColor="text1"/>
          <w:sz w:val="24"/>
          <w:szCs w:val="24"/>
        </w:rPr>
        <w:t>„</w:t>
      </w:r>
      <w:r w:rsidRPr="000C4BD5">
        <w:rPr>
          <w:rFonts w:eastAsia="Calibri" w:cstheme="minorHAnsi"/>
          <w:color w:val="000000" w:themeColor="text1"/>
          <w:sz w:val="24"/>
          <w:szCs w:val="24"/>
        </w:rPr>
        <w:t>TFUE</w:t>
      </w:r>
      <w:r w:rsidR="005A1F80">
        <w:rPr>
          <w:rFonts w:eastAsia="Calibri" w:cstheme="minorHAnsi"/>
          <w:color w:val="000000" w:themeColor="text1"/>
          <w:sz w:val="24"/>
          <w:szCs w:val="24"/>
        </w:rPr>
        <w:t>”</w:t>
      </w:r>
      <w:r w:rsidRPr="000C4BD5">
        <w:rPr>
          <w:rFonts w:eastAsia="Calibri" w:cstheme="minorHAnsi"/>
          <w:color w:val="000000" w:themeColor="text1"/>
          <w:sz w:val="24"/>
          <w:szCs w:val="24"/>
        </w:rPr>
        <w:t>, jest poddane wyraźnie odpowiedzialności regulacyjnej państw członkowskich. W celu precyzyjnego określenia zakresu zastosowania tego wyłączenia należałoby wskazać te dziedziny, do których prawo Unii Europejskiej nie ma zastosowania. Zgodnie z art. 5 TUE, Unia Europejska może podejmować tylko takie działania, do których została wyraźnie upoważniona przez państwa członkowskie. Przepisami doprecyzowującym</w:t>
      </w:r>
      <w:r w:rsidR="005A1F80">
        <w:rPr>
          <w:rFonts w:eastAsia="Calibri" w:cstheme="minorHAnsi"/>
          <w:color w:val="000000" w:themeColor="text1"/>
          <w:sz w:val="24"/>
          <w:szCs w:val="24"/>
        </w:rPr>
        <w:t>i</w:t>
      </w:r>
      <w:r w:rsidRPr="000C4BD5">
        <w:rPr>
          <w:rFonts w:eastAsia="Calibri" w:cstheme="minorHAnsi"/>
          <w:color w:val="000000" w:themeColor="text1"/>
          <w:sz w:val="24"/>
          <w:szCs w:val="24"/>
        </w:rPr>
        <w:t xml:space="preserve"> tę ogólną normę są art. 2–6 TFUE, które dokonują podziału kompetencji UE na kompetencje wyłączne, dzielone oraz koordynacyjne. Z całą pewnością więc </w:t>
      </w:r>
      <w:r w:rsidR="00852AFD">
        <w:rPr>
          <w:rFonts w:eastAsia="Calibri" w:cstheme="minorHAnsi"/>
          <w:color w:val="000000" w:themeColor="text1"/>
          <w:sz w:val="24"/>
          <w:szCs w:val="24"/>
        </w:rPr>
        <w:t>RODO</w:t>
      </w:r>
      <w:r w:rsidRPr="000C4BD5">
        <w:rPr>
          <w:rFonts w:eastAsia="Calibri" w:cstheme="minorHAnsi"/>
          <w:color w:val="000000" w:themeColor="text1"/>
          <w:sz w:val="24"/>
          <w:szCs w:val="24"/>
        </w:rPr>
        <w:t xml:space="preserve"> znajduje zastosowanie do tych obszarów, w których państwa członkowskie przyznały UE wyłączną kompetencję do podejmowania działań ustawodawczych bądź kompetencje dzielone</w:t>
      </w:r>
      <w:r w:rsidR="005A1F80">
        <w:rPr>
          <w:rFonts w:eastAsia="Calibri" w:cstheme="minorHAnsi"/>
          <w:color w:val="000000" w:themeColor="text1"/>
          <w:sz w:val="24"/>
          <w:szCs w:val="24"/>
        </w:rPr>
        <w:t>,</w:t>
      </w:r>
      <w:r w:rsidRPr="000C4BD5">
        <w:rPr>
          <w:rFonts w:eastAsia="Calibri" w:cstheme="minorHAnsi"/>
          <w:color w:val="000000" w:themeColor="text1"/>
          <w:sz w:val="24"/>
          <w:szCs w:val="24"/>
        </w:rPr>
        <w:t xml:space="preserve"> gdy kompetencja UE aktualizuje się z chwilą podjęcia przez nią określonych działań legislacyjnych. Jednocześnie przepisy TFUE przewidują obszary, w których kompetencje do stanowienia prawa będą co do zasady należały tylko do państw członkowskich. Kompetencje te, tzw. kompetencje koordynacyjne, wskazuje art. 6 TFUE.  W obszarach tych Unia Europejska nie może podejmować działań unifikacyjnych. Przy określaniu zakresu kompetencji Unii Europejskiej należy również pamiętać o wskazanej w art. 5 ust. 2 TUE zasadzie, zgodnie z którą Unia działa wyłącznie w granicach kompetencji przyznanych jej przez Państwa Członkowskie w Traktatach do osiągnięcia określonych w nich celów, a wszelkie kompetencje nieprzyznane Unii w Traktatach należą do Państw Członkowskich. Co więcej</w:t>
      </w:r>
      <w:r w:rsidR="00490A3E">
        <w:rPr>
          <w:rFonts w:eastAsia="Calibri" w:cstheme="minorHAnsi"/>
          <w:color w:val="000000" w:themeColor="text1"/>
          <w:sz w:val="24"/>
          <w:szCs w:val="24"/>
        </w:rPr>
        <w:t>,</w:t>
      </w:r>
      <w:r w:rsidRPr="000C4BD5">
        <w:rPr>
          <w:rFonts w:eastAsia="Calibri" w:cstheme="minorHAnsi"/>
          <w:color w:val="000000" w:themeColor="text1"/>
          <w:sz w:val="24"/>
          <w:szCs w:val="24"/>
        </w:rPr>
        <w:t xml:space="preserve"> na kwestię kompetencji Unii Europejskiej należy spojrzeć również przez pryzmat art. 4 ust. 2 TUE, zgodnie z którym „Unia szanuje równość Państw Członkowskich wobec Traktatów, jak również ich tożsamość narodową, nierozerwalnie związaną z ich podstawowymi strukturami politycznymi i konstytucyjnymi, w tym w odniesieniu do samorządu regionalnego i lokalnego. Szanuje podstawowe funkcje państwa, zwłaszcza funkcje mające na celu zapewnienie jego integralności terytorialnej, utrzymanie porządku publicznego oraz ochronę bezpieczeństwa narodowego. W szczególności bezpieczeństwo narodowe pozostaje w zakresie wyłącznej odpowiedzialności każdego Państwa Członkowskiego.”. Wskazany powyżej art. 4 ust. 2 TUE, jak podnosi się w </w:t>
      </w:r>
      <w:r w:rsidRPr="000C4BD5">
        <w:rPr>
          <w:rFonts w:eastAsia="Calibri" w:cstheme="minorHAnsi"/>
          <w:color w:val="000000" w:themeColor="text1"/>
          <w:sz w:val="24"/>
          <w:szCs w:val="24"/>
        </w:rPr>
        <w:lastRenderedPageBreak/>
        <w:t>doktrynie, stanowi swoistą namiastkę negatywnego katalogu kompetencyjnego Unii Europejskiej. W artykule tym uwzględniono tzw. tożsamość narodową czy też inaczej tożsamość konstytucyjną państw członkowskich, która wiąże się z ochroną ustroju konstytucyjnego państwa członkowskiego. Zrewidowana przez Traktat z Lizbony klauzula tożsamości narodowej poszerza sposób pojmowania tej klauzuli. Tożsamość narodowa to nie tylko kultura, język, obyczaje itd.</w:t>
      </w:r>
      <w:r w:rsidR="005A1F80">
        <w:rPr>
          <w:rFonts w:eastAsia="Calibri" w:cstheme="minorHAnsi"/>
          <w:color w:val="000000" w:themeColor="text1"/>
          <w:sz w:val="24"/>
          <w:szCs w:val="24"/>
        </w:rPr>
        <w:t>,</w:t>
      </w:r>
      <w:r w:rsidRPr="000C4BD5">
        <w:rPr>
          <w:rFonts w:eastAsia="Calibri" w:cstheme="minorHAnsi"/>
          <w:color w:val="000000" w:themeColor="text1"/>
          <w:sz w:val="24"/>
          <w:szCs w:val="24"/>
        </w:rPr>
        <w:t xml:space="preserve"> ale także struktury polityczne i konstytucyjne. </w:t>
      </w:r>
    </w:p>
    <w:p w14:paraId="48E8F4D4" w14:textId="39F612F3" w:rsidR="000C4BD5" w:rsidRPr="000C4BD5" w:rsidRDefault="000C4BD5" w:rsidP="007A4F9F">
      <w:pPr>
        <w:spacing w:after="0" w:line="276" w:lineRule="auto"/>
        <w:contextualSpacing/>
        <w:jc w:val="both"/>
        <w:rPr>
          <w:rFonts w:eastAsia="Calibri" w:cstheme="minorHAnsi"/>
          <w:color w:val="000000" w:themeColor="text1"/>
          <w:sz w:val="24"/>
          <w:szCs w:val="24"/>
        </w:rPr>
      </w:pPr>
      <w:r w:rsidRPr="000C4BD5">
        <w:rPr>
          <w:rFonts w:eastAsia="Calibri" w:cstheme="minorHAnsi"/>
          <w:color w:val="000000" w:themeColor="text1"/>
          <w:sz w:val="24"/>
          <w:szCs w:val="24"/>
        </w:rPr>
        <w:t xml:space="preserve">W kontekście powyższego, w stosunku do prerogatyw Prezydenta Rzeczypospolitej Polskiej określonych w Konstytucji </w:t>
      </w:r>
      <w:r w:rsidR="00852AFD">
        <w:rPr>
          <w:rFonts w:eastAsia="Calibri" w:cstheme="minorHAnsi"/>
          <w:color w:val="000000" w:themeColor="text1"/>
          <w:sz w:val="24"/>
          <w:szCs w:val="24"/>
        </w:rPr>
        <w:t>RP</w:t>
      </w:r>
      <w:r w:rsidR="00EB0079" w:rsidRPr="00EB0079" w:rsidDel="00EB0079">
        <w:rPr>
          <w:rFonts w:eastAsia="Calibri" w:cstheme="minorHAnsi"/>
          <w:color w:val="000000" w:themeColor="text1"/>
          <w:sz w:val="24"/>
          <w:szCs w:val="24"/>
        </w:rPr>
        <w:t xml:space="preserve"> </w:t>
      </w:r>
      <w:r w:rsidRPr="000C4BD5">
        <w:rPr>
          <w:rFonts w:eastAsia="Calibri" w:cstheme="minorHAnsi"/>
          <w:color w:val="000000" w:themeColor="text1"/>
          <w:sz w:val="24"/>
          <w:szCs w:val="24"/>
        </w:rPr>
        <w:t xml:space="preserve">oraz kompetencji Prezydenta Rzeczypospolitej Polskiej, określonych w ustawach, nie znajdą zastosowania przepisy </w:t>
      </w:r>
      <w:r w:rsidR="00852AFD">
        <w:rPr>
          <w:rFonts w:eastAsia="Calibri" w:cstheme="minorHAnsi"/>
          <w:color w:val="000000" w:themeColor="text1"/>
          <w:sz w:val="24"/>
          <w:szCs w:val="24"/>
        </w:rPr>
        <w:t>RODO</w:t>
      </w:r>
      <w:r w:rsidRPr="000C4BD5">
        <w:rPr>
          <w:rFonts w:eastAsia="Calibri" w:cstheme="minorHAnsi"/>
          <w:color w:val="000000" w:themeColor="text1"/>
          <w:sz w:val="24"/>
          <w:szCs w:val="24"/>
        </w:rPr>
        <w:t>. Prezydent Rzeczypospolitej Polskiej, jako najwyższy przedstawiciel państwa i gwarant ciągłości władzy państwowej, czuwa nad przestrzeganiem Konstytucji</w:t>
      </w:r>
      <w:r w:rsidR="00490A3E" w:rsidRPr="00490A3E">
        <w:t xml:space="preserve"> </w:t>
      </w:r>
      <w:r w:rsidR="00852AFD">
        <w:rPr>
          <w:rFonts w:eastAsia="Calibri" w:cstheme="minorHAnsi"/>
          <w:color w:val="000000" w:themeColor="text1"/>
          <w:sz w:val="24"/>
          <w:szCs w:val="24"/>
        </w:rPr>
        <w:t>RP</w:t>
      </w:r>
      <w:r w:rsidRPr="000C4BD5">
        <w:rPr>
          <w:rFonts w:eastAsia="Calibri" w:cstheme="minorHAnsi"/>
          <w:color w:val="000000" w:themeColor="text1"/>
          <w:sz w:val="24"/>
          <w:szCs w:val="24"/>
        </w:rPr>
        <w:t xml:space="preserve">, stoi na straży suwerenności państwa, nienaruszalności i niepodzielności jego terytorium, posługując się w realizacji tych zadań kompetencjami ujętymi w Konstytucji </w:t>
      </w:r>
      <w:r w:rsidR="00852AFD">
        <w:rPr>
          <w:rFonts w:eastAsia="Calibri" w:cstheme="minorHAnsi"/>
          <w:color w:val="000000" w:themeColor="text1"/>
          <w:sz w:val="24"/>
          <w:szCs w:val="24"/>
        </w:rPr>
        <w:t>RP</w:t>
      </w:r>
      <w:r w:rsidR="00490A3E" w:rsidRPr="00490A3E">
        <w:rPr>
          <w:rFonts w:eastAsia="Calibri" w:cstheme="minorHAnsi"/>
          <w:color w:val="000000" w:themeColor="text1"/>
          <w:sz w:val="24"/>
          <w:szCs w:val="24"/>
        </w:rPr>
        <w:t xml:space="preserve"> </w:t>
      </w:r>
      <w:r w:rsidRPr="000C4BD5">
        <w:rPr>
          <w:rFonts w:eastAsia="Calibri" w:cstheme="minorHAnsi"/>
          <w:color w:val="000000" w:themeColor="text1"/>
          <w:sz w:val="24"/>
          <w:szCs w:val="24"/>
        </w:rPr>
        <w:t>i ustawach (art. 126 Konstytucji</w:t>
      </w:r>
      <w:r w:rsidR="00490A3E" w:rsidRPr="00490A3E">
        <w:t xml:space="preserve"> </w:t>
      </w:r>
      <w:r w:rsidR="00852AFD">
        <w:rPr>
          <w:rFonts w:eastAsia="Calibri" w:cstheme="minorHAnsi"/>
          <w:color w:val="000000" w:themeColor="text1"/>
          <w:sz w:val="24"/>
          <w:szCs w:val="24"/>
        </w:rPr>
        <w:t>RP</w:t>
      </w:r>
      <w:r w:rsidRPr="000C4BD5">
        <w:rPr>
          <w:rFonts w:eastAsia="Calibri" w:cstheme="minorHAnsi"/>
          <w:color w:val="000000" w:themeColor="text1"/>
          <w:sz w:val="24"/>
          <w:szCs w:val="24"/>
        </w:rPr>
        <w:t xml:space="preserve">). Kompetencje Prezydenta Rzeczypospolitej Polskiej pozostają w sferze kompetencji przysługującej wyłącznie państwu członkowskiemu. Naczelny Sąd Administracyjny podzielił stanowisko przyjęte w uchwale </w:t>
      </w:r>
      <w:r w:rsidR="00852AFD">
        <w:rPr>
          <w:rFonts w:eastAsia="Calibri" w:cstheme="minorHAnsi"/>
          <w:color w:val="000000" w:themeColor="text1"/>
          <w:sz w:val="24"/>
          <w:szCs w:val="24"/>
        </w:rPr>
        <w:t xml:space="preserve">składu 7 sędziów </w:t>
      </w:r>
      <w:r w:rsidRPr="000C4BD5">
        <w:rPr>
          <w:rFonts w:eastAsia="Calibri" w:cstheme="minorHAnsi"/>
          <w:color w:val="000000" w:themeColor="text1"/>
          <w:sz w:val="24"/>
          <w:szCs w:val="24"/>
        </w:rPr>
        <w:t>z dnia 9 listopada 1998 r. (</w:t>
      </w:r>
      <w:r w:rsidR="00852AFD">
        <w:rPr>
          <w:rFonts w:eastAsia="Calibri" w:cstheme="minorHAnsi"/>
          <w:color w:val="000000" w:themeColor="text1"/>
          <w:sz w:val="24"/>
          <w:szCs w:val="24"/>
        </w:rPr>
        <w:t xml:space="preserve">sygn.. akt. </w:t>
      </w:r>
      <w:r w:rsidRPr="000C4BD5">
        <w:rPr>
          <w:rFonts w:eastAsia="Calibri" w:cstheme="minorHAnsi"/>
          <w:color w:val="000000" w:themeColor="text1"/>
          <w:sz w:val="24"/>
          <w:szCs w:val="24"/>
        </w:rPr>
        <w:t>OPS 4/98</w:t>
      </w:r>
      <w:r w:rsidR="00852AFD">
        <w:rPr>
          <w:rFonts w:eastAsia="Calibri" w:cstheme="minorHAnsi"/>
          <w:color w:val="000000" w:themeColor="text1"/>
          <w:sz w:val="24"/>
          <w:szCs w:val="24"/>
        </w:rPr>
        <w:t>, CBOSA</w:t>
      </w:r>
      <w:r w:rsidRPr="000C4BD5">
        <w:rPr>
          <w:rFonts w:eastAsia="Calibri" w:cstheme="minorHAnsi"/>
          <w:color w:val="000000" w:themeColor="text1"/>
          <w:sz w:val="24"/>
          <w:szCs w:val="24"/>
        </w:rPr>
        <w:t>), wedle którego w zakresie w jakim Prezydent Rzeczypospolitej Polskiej działa jako głowa Państwa Polskiego, symbolizując majestat Państwa, jego suwerenność, w pełni uznaniowa władza Państwa wykracza poza sfery działalności administracyjnej i nie jest wykonywaniem administracji publicznej. Realizacja kompetencji takich jak np. powoływanie sędziów, prawo łaski oraz nadawanie obywatelstwa polskiego nie jest uprawnieniem z zakresu administracji publicznej, lecz stosowaniem norm konstytucyjnych. W piśmiennictwie nie budzi wątpliwości, że np. regulacje dotyczące nabycia lub utraty obywatelstwa są jedną z podstawowych prerogatyw każdego państwa członkowskiego, nieobjętą zakresem działania prawa Unii Europejskiej. Zgodnie z deklaracją nr 2 dołączoną do TUE, kwestia posiadania przez daną osobę obywatelstwa danego państwa członkowskiego rozstrzygana jest wyłącznie w oparciu o przepisy danego państwa członkowskiego dotyczące obywatelstwa. Również Trybunał Sprawiedliwości potwierdził, że kwestie nabycia lub utraty obywatelstwa państwa członkowskiego leżą w gestii państw członkowskich. Oznacza to, że regulacje dotyczące nabycia lub u</w:t>
      </w:r>
      <w:r w:rsidR="005A1F80">
        <w:rPr>
          <w:rFonts w:eastAsia="Calibri" w:cstheme="minorHAnsi"/>
          <w:color w:val="000000" w:themeColor="text1"/>
          <w:sz w:val="24"/>
          <w:szCs w:val="24"/>
        </w:rPr>
        <w:t>t</w:t>
      </w:r>
      <w:r w:rsidRPr="000C4BD5">
        <w:rPr>
          <w:rFonts w:eastAsia="Calibri" w:cstheme="minorHAnsi"/>
          <w:color w:val="000000" w:themeColor="text1"/>
          <w:sz w:val="24"/>
          <w:szCs w:val="24"/>
        </w:rPr>
        <w:t xml:space="preserve">raty obywatelstwa należą do kompetencji wyłącznych państwa członkowskiego. Również np. prerogatywa polegająca na stosowaniu przez Prezydenta Rzeczypospolitej Polskiej prawa łaski nie jest objęta zakresem przedmiotowym </w:t>
      </w:r>
      <w:r w:rsidR="00852AFD">
        <w:rPr>
          <w:rFonts w:eastAsia="Calibri" w:cstheme="minorHAnsi"/>
          <w:color w:val="000000" w:themeColor="text1"/>
          <w:sz w:val="24"/>
          <w:szCs w:val="24"/>
        </w:rPr>
        <w:t>RODO</w:t>
      </w:r>
      <w:r w:rsidRPr="000C4BD5">
        <w:rPr>
          <w:rFonts w:eastAsia="Calibri" w:cstheme="minorHAnsi"/>
          <w:color w:val="000000" w:themeColor="text1"/>
          <w:sz w:val="24"/>
          <w:szCs w:val="24"/>
        </w:rPr>
        <w:t xml:space="preserve">. Trudno bowiem zaliczyć akt łaski, który jest aktem władzy państwowej realizowanym przez najwyższego przedstawiciela państwa polskiego (art. 139 w związku z art. 126 ust. 1 </w:t>
      </w:r>
      <w:r w:rsidR="00852AFD">
        <w:rPr>
          <w:rFonts w:eastAsia="Calibri" w:cstheme="minorHAnsi"/>
          <w:color w:val="000000" w:themeColor="text1"/>
          <w:sz w:val="24"/>
          <w:szCs w:val="24"/>
        </w:rPr>
        <w:t>Konstytucji RP</w:t>
      </w:r>
      <w:r w:rsidRPr="000C4BD5">
        <w:rPr>
          <w:rFonts w:eastAsia="Calibri" w:cstheme="minorHAnsi"/>
          <w:color w:val="000000" w:themeColor="text1"/>
          <w:sz w:val="24"/>
          <w:szCs w:val="24"/>
        </w:rPr>
        <w:t>), do kompetencji czy to wyłącznych</w:t>
      </w:r>
      <w:r w:rsidR="005A1F80">
        <w:rPr>
          <w:rFonts w:eastAsia="Calibri" w:cstheme="minorHAnsi"/>
          <w:color w:val="000000" w:themeColor="text1"/>
          <w:sz w:val="24"/>
          <w:szCs w:val="24"/>
        </w:rPr>
        <w:t>,</w:t>
      </w:r>
      <w:r w:rsidRPr="000C4BD5">
        <w:rPr>
          <w:rFonts w:eastAsia="Calibri" w:cstheme="minorHAnsi"/>
          <w:color w:val="000000" w:themeColor="text1"/>
          <w:sz w:val="24"/>
          <w:szCs w:val="24"/>
        </w:rPr>
        <w:t xml:space="preserve"> czy dzielonych Unii Europejskiej. Reasumując</w:t>
      </w:r>
      <w:r w:rsidR="00852AFD">
        <w:rPr>
          <w:rFonts w:eastAsia="Calibri" w:cstheme="minorHAnsi"/>
          <w:color w:val="000000" w:themeColor="text1"/>
          <w:sz w:val="24"/>
          <w:szCs w:val="24"/>
        </w:rPr>
        <w:t>,</w:t>
      </w:r>
      <w:r w:rsidRPr="000C4BD5">
        <w:rPr>
          <w:rFonts w:eastAsia="Calibri" w:cstheme="minorHAnsi"/>
          <w:color w:val="000000" w:themeColor="text1"/>
          <w:sz w:val="24"/>
          <w:szCs w:val="24"/>
        </w:rPr>
        <w:t xml:space="preserve"> UE nie ma kompetencji do ingerowania w realizację konstytucyjnych i ustawowych kompetencji Prezydenta RP, ponieważ jest to działalność związana z suwerennością państwa polskiego, ochroną jego dziedzictwa narodowego i historycznego</w:t>
      </w:r>
      <w:r w:rsidR="005A1F80">
        <w:rPr>
          <w:rFonts w:eastAsia="Calibri" w:cstheme="minorHAnsi"/>
          <w:color w:val="000000" w:themeColor="text1"/>
          <w:sz w:val="24"/>
          <w:szCs w:val="24"/>
        </w:rPr>
        <w:t>,</w:t>
      </w:r>
      <w:r w:rsidRPr="000C4BD5">
        <w:rPr>
          <w:rFonts w:eastAsia="Calibri" w:cstheme="minorHAnsi"/>
          <w:color w:val="000000" w:themeColor="text1"/>
          <w:sz w:val="24"/>
          <w:szCs w:val="24"/>
        </w:rPr>
        <w:t xml:space="preserve"> tożsamością narodową mieszcząc</w:t>
      </w:r>
      <w:r w:rsidR="005A1F80">
        <w:rPr>
          <w:rFonts w:eastAsia="Calibri" w:cstheme="minorHAnsi"/>
          <w:color w:val="000000" w:themeColor="text1"/>
          <w:sz w:val="24"/>
          <w:szCs w:val="24"/>
        </w:rPr>
        <w:t>ą</w:t>
      </w:r>
      <w:r w:rsidRPr="000C4BD5">
        <w:rPr>
          <w:rFonts w:eastAsia="Calibri" w:cstheme="minorHAnsi"/>
          <w:color w:val="000000" w:themeColor="text1"/>
          <w:sz w:val="24"/>
          <w:szCs w:val="24"/>
        </w:rPr>
        <w:t xml:space="preserve"> się z sferze tożsamości narodowej, o której stanowi art. 4 ust. 2 TUE. </w:t>
      </w:r>
    </w:p>
    <w:p w14:paraId="2C053F09" w14:textId="11D17E01" w:rsidR="000C4BD5" w:rsidRPr="000C4BD5" w:rsidRDefault="000C4BD5" w:rsidP="000C4BD5">
      <w:pPr>
        <w:spacing w:after="0" w:line="276" w:lineRule="auto"/>
        <w:contextualSpacing/>
        <w:jc w:val="both"/>
        <w:rPr>
          <w:rFonts w:eastAsia="Calibri" w:cstheme="minorHAnsi"/>
          <w:color w:val="000000" w:themeColor="text1"/>
          <w:sz w:val="24"/>
          <w:szCs w:val="24"/>
        </w:rPr>
      </w:pPr>
      <w:r w:rsidRPr="000C4BD5">
        <w:rPr>
          <w:rFonts w:eastAsia="Calibri" w:cstheme="minorHAnsi"/>
          <w:color w:val="000000" w:themeColor="text1"/>
          <w:sz w:val="24"/>
          <w:szCs w:val="24"/>
        </w:rPr>
        <w:t xml:space="preserve">Uznanie, że w obszarach prerogatyw Prezydenta </w:t>
      </w:r>
      <w:r w:rsidR="00EB0079" w:rsidRPr="00EB0079">
        <w:rPr>
          <w:rFonts w:eastAsia="Calibri" w:cstheme="minorHAnsi"/>
          <w:color w:val="000000" w:themeColor="text1"/>
          <w:sz w:val="24"/>
          <w:szCs w:val="24"/>
        </w:rPr>
        <w:t>Rzeczypospolitej Polskiej</w:t>
      </w:r>
      <w:r w:rsidRPr="000C4BD5">
        <w:rPr>
          <w:rFonts w:eastAsia="Calibri" w:cstheme="minorHAnsi"/>
          <w:color w:val="000000" w:themeColor="text1"/>
          <w:sz w:val="24"/>
          <w:szCs w:val="24"/>
        </w:rPr>
        <w:t xml:space="preserve">, przepisów </w:t>
      </w:r>
      <w:r w:rsidR="00852AFD">
        <w:rPr>
          <w:rFonts w:eastAsia="Calibri" w:cstheme="minorHAnsi"/>
          <w:color w:val="000000" w:themeColor="text1"/>
          <w:sz w:val="24"/>
          <w:szCs w:val="24"/>
        </w:rPr>
        <w:t>RODO</w:t>
      </w:r>
      <w:r w:rsidRPr="000C4BD5">
        <w:rPr>
          <w:rFonts w:eastAsia="Calibri" w:cstheme="minorHAnsi"/>
          <w:color w:val="000000" w:themeColor="text1"/>
          <w:sz w:val="24"/>
          <w:szCs w:val="24"/>
        </w:rPr>
        <w:t xml:space="preserve"> nie stosuje się, powoduje jednak powstanie luki prawnej. W związku z powyższym </w:t>
      </w:r>
      <w:r w:rsidRPr="000C4BD5">
        <w:rPr>
          <w:rFonts w:eastAsia="Calibri" w:cstheme="minorHAnsi"/>
          <w:color w:val="000000" w:themeColor="text1"/>
          <w:sz w:val="24"/>
          <w:szCs w:val="24"/>
        </w:rPr>
        <w:lastRenderedPageBreak/>
        <w:t>przyjęto, że z punktu widzenia ochrony prawa podstawowego, jakim jest prawo do ochrony danych osobowych</w:t>
      </w:r>
      <w:r w:rsidR="005A1F80">
        <w:rPr>
          <w:rFonts w:eastAsia="Calibri" w:cstheme="minorHAnsi"/>
          <w:color w:val="000000" w:themeColor="text1"/>
          <w:sz w:val="24"/>
          <w:szCs w:val="24"/>
        </w:rPr>
        <w:t>,</w:t>
      </w:r>
      <w:r w:rsidRPr="000C4BD5">
        <w:rPr>
          <w:rFonts w:eastAsia="Calibri" w:cstheme="minorHAnsi"/>
          <w:color w:val="000000" w:themeColor="text1"/>
          <w:sz w:val="24"/>
          <w:szCs w:val="24"/>
        </w:rPr>
        <w:t xml:space="preserve"> zasadne jest zastosowanie wskazanych na wstępie przepisów</w:t>
      </w:r>
      <w:r w:rsidR="00852AFD">
        <w:rPr>
          <w:rFonts w:eastAsia="Calibri" w:cstheme="minorHAnsi"/>
          <w:color w:val="000000" w:themeColor="text1"/>
          <w:sz w:val="24"/>
          <w:szCs w:val="24"/>
        </w:rPr>
        <w:t xml:space="preserve"> RODO</w:t>
      </w:r>
      <w:r w:rsidRPr="000C4BD5">
        <w:rPr>
          <w:rFonts w:eastAsia="Calibri" w:cstheme="minorHAnsi"/>
          <w:color w:val="000000" w:themeColor="text1"/>
          <w:sz w:val="24"/>
          <w:szCs w:val="24"/>
        </w:rPr>
        <w:t xml:space="preserve"> do działalności związanej z przetwarzaniem danych osobowych w ramach realizacji przez Prezydenta Rzeczypospolitej Polskiej jego konstytucyjnych i ustawowych kompetencji. </w:t>
      </w:r>
    </w:p>
    <w:p w14:paraId="15B06FBA" w14:textId="74890686" w:rsidR="000C4BD5" w:rsidRDefault="000C4BD5" w:rsidP="000C4BD5">
      <w:pPr>
        <w:spacing w:after="0" w:line="276" w:lineRule="auto"/>
        <w:contextualSpacing/>
        <w:jc w:val="both"/>
        <w:rPr>
          <w:rFonts w:eastAsia="Calibri" w:cstheme="minorHAnsi"/>
          <w:color w:val="000000" w:themeColor="text1"/>
          <w:sz w:val="24"/>
          <w:szCs w:val="24"/>
        </w:rPr>
      </w:pPr>
      <w:r w:rsidRPr="000C4BD5">
        <w:rPr>
          <w:rFonts w:eastAsia="Calibri" w:cstheme="minorHAnsi"/>
          <w:color w:val="000000" w:themeColor="text1"/>
          <w:sz w:val="24"/>
          <w:szCs w:val="24"/>
        </w:rPr>
        <w:t xml:space="preserve">Proponowany zakres stosowania przepisów </w:t>
      </w:r>
      <w:r w:rsidR="004A0674">
        <w:rPr>
          <w:rFonts w:eastAsia="Calibri" w:cstheme="minorHAnsi"/>
          <w:color w:val="000000" w:themeColor="text1"/>
          <w:sz w:val="24"/>
          <w:szCs w:val="24"/>
        </w:rPr>
        <w:t>RODO</w:t>
      </w:r>
      <w:r w:rsidRPr="000C4BD5">
        <w:rPr>
          <w:rFonts w:eastAsia="Calibri" w:cstheme="minorHAnsi"/>
          <w:color w:val="000000" w:themeColor="text1"/>
          <w:sz w:val="24"/>
          <w:szCs w:val="24"/>
        </w:rPr>
        <w:t xml:space="preserve"> nie wpływa na istotę prawa do ochrony danych osobowych. Postanowiono o odpowiednim stosowaniu przez Prezydenta </w:t>
      </w:r>
      <w:r w:rsidR="00EB0079" w:rsidRPr="00EB0079">
        <w:rPr>
          <w:rFonts w:eastAsia="Calibri" w:cstheme="minorHAnsi"/>
          <w:color w:val="000000" w:themeColor="text1"/>
          <w:sz w:val="24"/>
          <w:szCs w:val="24"/>
        </w:rPr>
        <w:t>Rzeczypospolitej Polskiej</w:t>
      </w:r>
      <w:r w:rsidR="00EB0079" w:rsidRPr="00EB0079" w:rsidDel="00EB0079">
        <w:rPr>
          <w:rFonts w:eastAsia="Calibri" w:cstheme="minorHAnsi"/>
          <w:color w:val="000000" w:themeColor="text1"/>
          <w:sz w:val="24"/>
          <w:szCs w:val="24"/>
        </w:rPr>
        <w:t xml:space="preserve"> </w:t>
      </w:r>
      <w:r w:rsidRPr="000C4BD5">
        <w:rPr>
          <w:rFonts w:eastAsia="Calibri" w:cstheme="minorHAnsi"/>
          <w:color w:val="000000" w:themeColor="text1"/>
          <w:sz w:val="24"/>
          <w:szCs w:val="24"/>
        </w:rPr>
        <w:t xml:space="preserve">zasad przetwarzania danych osobowych, określonych w art. 5 </w:t>
      </w:r>
      <w:r w:rsidR="004A0674">
        <w:rPr>
          <w:rFonts w:eastAsia="Calibri" w:cstheme="minorHAnsi"/>
          <w:color w:val="000000" w:themeColor="text1"/>
          <w:sz w:val="24"/>
          <w:szCs w:val="24"/>
        </w:rPr>
        <w:t>RODO</w:t>
      </w:r>
      <w:r w:rsidRPr="000C4BD5">
        <w:rPr>
          <w:rFonts w:eastAsia="Calibri" w:cstheme="minorHAnsi"/>
          <w:color w:val="000000" w:themeColor="text1"/>
          <w:sz w:val="24"/>
          <w:szCs w:val="24"/>
        </w:rPr>
        <w:t xml:space="preserve">. Zastosowanie znajdą również przepisy art. 16 i </w:t>
      </w:r>
      <w:r w:rsidR="00EB0079">
        <w:rPr>
          <w:rFonts w:eastAsia="Calibri" w:cstheme="minorHAnsi"/>
          <w:color w:val="000000" w:themeColor="text1"/>
          <w:sz w:val="24"/>
          <w:szCs w:val="24"/>
        </w:rPr>
        <w:t xml:space="preserve">art. </w:t>
      </w:r>
      <w:r w:rsidRPr="000C4BD5">
        <w:rPr>
          <w:rFonts w:eastAsia="Calibri" w:cstheme="minorHAnsi"/>
          <w:color w:val="000000" w:themeColor="text1"/>
          <w:sz w:val="24"/>
          <w:szCs w:val="24"/>
        </w:rPr>
        <w:t xml:space="preserve">17 </w:t>
      </w:r>
      <w:r w:rsidR="004A0674">
        <w:rPr>
          <w:rFonts w:eastAsia="Calibri" w:cstheme="minorHAnsi"/>
          <w:color w:val="000000" w:themeColor="text1"/>
          <w:sz w:val="24"/>
          <w:szCs w:val="24"/>
        </w:rPr>
        <w:t>RODO</w:t>
      </w:r>
      <w:r w:rsidRPr="000C4BD5">
        <w:rPr>
          <w:rFonts w:eastAsia="Calibri" w:cstheme="minorHAnsi"/>
          <w:color w:val="000000" w:themeColor="text1"/>
          <w:sz w:val="24"/>
          <w:szCs w:val="24"/>
        </w:rPr>
        <w:t xml:space="preserve"> dotyczące praw osób, których dane dotyczą. Przepisy, które nie znajdują zastosowania do przetwarzania danych osobowych</w:t>
      </w:r>
      <w:r w:rsidR="005A1F80">
        <w:rPr>
          <w:rFonts w:eastAsia="Calibri" w:cstheme="minorHAnsi"/>
          <w:color w:val="000000" w:themeColor="text1"/>
          <w:sz w:val="24"/>
          <w:szCs w:val="24"/>
        </w:rPr>
        <w:t>,</w:t>
      </w:r>
      <w:r w:rsidRPr="000C4BD5">
        <w:rPr>
          <w:rFonts w:eastAsia="Calibri" w:cstheme="minorHAnsi"/>
          <w:color w:val="000000" w:themeColor="text1"/>
          <w:sz w:val="24"/>
          <w:szCs w:val="24"/>
        </w:rPr>
        <w:t xml:space="preserve"> są przepisami, które ze swej istoty albo nie znajdą zastosowania w działalności Prezydenta RP</w:t>
      </w:r>
      <w:r w:rsidR="005A1F80">
        <w:rPr>
          <w:rFonts w:eastAsia="Calibri" w:cstheme="minorHAnsi"/>
          <w:color w:val="000000" w:themeColor="text1"/>
          <w:sz w:val="24"/>
          <w:szCs w:val="24"/>
        </w:rPr>
        <w:t>,</w:t>
      </w:r>
      <w:r w:rsidRPr="000C4BD5">
        <w:rPr>
          <w:rFonts w:eastAsia="Calibri" w:cstheme="minorHAnsi"/>
          <w:color w:val="000000" w:themeColor="text1"/>
          <w:sz w:val="24"/>
          <w:szCs w:val="24"/>
        </w:rPr>
        <w:t xml:space="preserve"> albo są przepisami, których zastosowanie mogłoby znacznie utrudnić albo uniemożliwić skuteczne wykonywanie kompetencji Prezydenta Rzeczypospolitej Polskiej.</w:t>
      </w:r>
    </w:p>
    <w:p w14:paraId="2CBAE9DE" w14:textId="77777777" w:rsidR="000C4BD5" w:rsidRDefault="000C4BD5" w:rsidP="0055107B">
      <w:pPr>
        <w:spacing w:after="0" w:line="276" w:lineRule="auto"/>
        <w:contextualSpacing/>
        <w:jc w:val="both"/>
        <w:rPr>
          <w:rFonts w:eastAsia="Calibri" w:cstheme="minorHAnsi"/>
          <w:color w:val="000000" w:themeColor="text1"/>
          <w:sz w:val="24"/>
          <w:szCs w:val="24"/>
        </w:rPr>
      </w:pPr>
    </w:p>
    <w:p w14:paraId="66E80DBB" w14:textId="47CC2D87" w:rsidR="00850D88" w:rsidRDefault="00490A3E" w:rsidP="0055107B">
      <w:pPr>
        <w:spacing w:after="0"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Kolejn</w:t>
      </w:r>
      <w:r>
        <w:rPr>
          <w:rFonts w:eastAsia="Calibri" w:cstheme="minorHAnsi"/>
          <w:color w:val="000000" w:themeColor="text1"/>
          <w:sz w:val="24"/>
          <w:szCs w:val="24"/>
        </w:rPr>
        <w:t>ą</w:t>
      </w:r>
      <w:r w:rsidRPr="00375799">
        <w:rPr>
          <w:rFonts w:eastAsia="Calibri" w:cstheme="minorHAnsi"/>
          <w:color w:val="000000" w:themeColor="text1"/>
          <w:sz w:val="24"/>
          <w:szCs w:val="24"/>
        </w:rPr>
        <w:t xml:space="preserve"> </w:t>
      </w:r>
      <w:r>
        <w:rPr>
          <w:rFonts w:eastAsia="Calibri" w:cstheme="minorHAnsi"/>
          <w:color w:val="000000" w:themeColor="text1"/>
          <w:sz w:val="24"/>
          <w:szCs w:val="24"/>
        </w:rPr>
        <w:t xml:space="preserve">projektowaną </w:t>
      </w:r>
      <w:r w:rsidR="00850D88" w:rsidRPr="00375799">
        <w:rPr>
          <w:rFonts w:eastAsia="Calibri" w:cstheme="minorHAnsi"/>
          <w:color w:val="000000" w:themeColor="text1"/>
          <w:sz w:val="24"/>
          <w:szCs w:val="24"/>
        </w:rPr>
        <w:t xml:space="preserve">zmianą </w:t>
      </w:r>
      <w:r>
        <w:rPr>
          <w:rFonts w:eastAsia="Calibri" w:cstheme="minorHAnsi"/>
          <w:color w:val="000000" w:themeColor="text1"/>
          <w:sz w:val="24"/>
          <w:szCs w:val="24"/>
        </w:rPr>
        <w:t xml:space="preserve">ustawy z dnia 10 maja 2018 r. o ochronie danych osobowych </w:t>
      </w:r>
      <w:r w:rsidR="00850D88" w:rsidRPr="00375799">
        <w:rPr>
          <w:rFonts w:eastAsia="Calibri" w:cstheme="minorHAnsi"/>
          <w:color w:val="000000" w:themeColor="text1"/>
          <w:sz w:val="24"/>
          <w:szCs w:val="24"/>
        </w:rPr>
        <w:t>jest zawężenie katalogu podmiotów uprawnionych do wystąpienia do Prezesa U</w:t>
      </w:r>
      <w:r w:rsidR="00EB0079">
        <w:rPr>
          <w:rFonts w:eastAsia="Calibri" w:cstheme="minorHAnsi"/>
          <w:color w:val="000000" w:themeColor="text1"/>
          <w:sz w:val="24"/>
          <w:szCs w:val="24"/>
        </w:rPr>
        <w:t xml:space="preserve">rzędu </w:t>
      </w:r>
      <w:r w:rsidR="00850D88" w:rsidRPr="00375799">
        <w:rPr>
          <w:rFonts w:eastAsia="Calibri" w:cstheme="minorHAnsi"/>
          <w:color w:val="000000" w:themeColor="text1"/>
          <w:sz w:val="24"/>
          <w:szCs w:val="24"/>
        </w:rPr>
        <w:t>O</w:t>
      </w:r>
      <w:r w:rsidR="00EB0079">
        <w:rPr>
          <w:rFonts w:eastAsia="Calibri" w:cstheme="minorHAnsi"/>
          <w:color w:val="000000" w:themeColor="text1"/>
          <w:sz w:val="24"/>
          <w:szCs w:val="24"/>
        </w:rPr>
        <w:t xml:space="preserve">chrony </w:t>
      </w:r>
      <w:r w:rsidR="00850D88" w:rsidRPr="00375799">
        <w:rPr>
          <w:rFonts w:eastAsia="Calibri" w:cstheme="minorHAnsi"/>
          <w:color w:val="000000" w:themeColor="text1"/>
          <w:sz w:val="24"/>
          <w:szCs w:val="24"/>
        </w:rPr>
        <w:t>D</w:t>
      </w:r>
      <w:r w:rsidR="00EB0079">
        <w:rPr>
          <w:rFonts w:eastAsia="Calibri" w:cstheme="minorHAnsi"/>
          <w:color w:val="000000" w:themeColor="text1"/>
          <w:sz w:val="24"/>
          <w:szCs w:val="24"/>
        </w:rPr>
        <w:t xml:space="preserve">anych </w:t>
      </w:r>
      <w:r w:rsidR="00850D88" w:rsidRPr="00375799">
        <w:rPr>
          <w:rFonts w:eastAsia="Calibri" w:cstheme="minorHAnsi"/>
          <w:color w:val="000000" w:themeColor="text1"/>
          <w:sz w:val="24"/>
          <w:szCs w:val="24"/>
        </w:rPr>
        <w:t>O</w:t>
      </w:r>
      <w:r w:rsidR="00EB0079">
        <w:rPr>
          <w:rFonts w:eastAsia="Calibri" w:cstheme="minorHAnsi"/>
          <w:color w:val="000000" w:themeColor="text1"/>
          <w:sz w:val="24"/>
          <w:szCs w:val="24"/>
        </w:rPr>
        <w:t>sobowych</w:t>
      </w:r>
      <w:r w:rsidR="00850D88" w:rsidRPr="00375799">
        <w:rPr>
          <w:rFonts w:eastAsia="Calibri" w:cstheme="minorHAnsi"/>
          <w:color w:val="000000" w:themeColor="text1"/>
          <w:sz w:val="24"/>
          <w:szCs w:val="24"/>
        </w:rPr>
        <w:t xml:space="preserve"> o </w:t>
      </w:r>
      <w:r w:rsidR="00EB0079">
        <w:rPr>
          <w:rFonts w:eastAsia="Calibri" w:cstheme="minorHAnsi"/>
          <w:color w:val="000000" w:themeColor="text1"/>
          <w:sz w:val="24"/>
          <w:szCs w:val="24"/>
        </w:rPr>
        <w:t>przeprowadzenie</w:t>
      </w:r>
      <w:r w:rsidR="00EB0079" w:rsidRPr="00375799">
        <w:rPr>
          <w:rFonts w:eastAsia="Calibri" w:cstheme="minorHAnsi"/>
          <w:color w:val="000000" w:themeColor="text1"/>
          <w:sz w:val="24"/>
          <w:szCs w:val="24"/>
        </w:rPr>
        <w:t xml:space="preserve"> </w:t>
      </w:r>
      <w:r w:rsidR="00850D88" w:rsidRPr="00375799">
        <w:rPr>
          <w:rFonts w:eastAsia="Calibri" w:cstheme="minorHAnsi"/>
          <w:color w:val="000000" w:themeColor="text1"/>
          <w:sz w:val="24"/>
          <w:szCs w:val="24"/>
        </w:rPr>
        <w:t xml:space="preserve">uprzednich konsultacji, o których mowa w art. 36 </w:t>
      </w:r>
      <w:r w:rsidR="00DC4B0C" w:rsidRPr="00375799">
        <w:rPr>
          <w:rFonts w:eastAsia="Calibri" w:cstheme="minorHAnsi"/>
          <w:color w:val="000000" w:themeColor="text1"/>
          <w:sz w:val="24"/>
          <w:szCs w:val="24"/>
        </w:rPr>
        <w:t>RODO</w:t>
      </w:r>
      <w:r w:rsidR="00850D88" w:rsidRPr="00375799">
        <w:rPr>
          <w:rFonts w:eastAsia="Calibri" w:cstheme="minorHAnsi"/>
          <w:color w:val="000000" w:themeColor="text1"/>
          <w:sz w:val="24"/>
          <w:szCs w:val="24"/>
        </w:rPr>
        <w:t xml:space="preserve">. W ustawie z dnia 10 maja 2018 r. o ochronie danych osobowych oprócz administratora danych wskazano także podmiot przetwarzający jako uprawnionego do wystąpienia o udzielenie uprzednich konsultacji. W ocenie Prezesa </w:t>
      </w:r>
      <w:r w:rsidR="00EB0079" w:rsidRPr="00EB0079">
        <w:rPr>
          <w:rFonts w:eastAsia="Calibri" w:cstheme="minorHAnsi"/>
          <w:color w:val="000000" w:themeColor="text1"/>
          <w:sz w:val="24"/>
          <w:szCs w:val="24"/>
        </w:rPr>
        <w:t xml:space="preserve">Urzędu Ochrony Danych Osobowych </w:t>
      </w:r>
      <w:r w:rsidR="004A0674" w:rsidRPr="00375799">
        <w:rPr>
          <w:rFonts w:eastAsia="Calibri" w:cstheme="minorHAnsi"/>
          <w:color w:val="000000" w:themeColor="text1"/>
          <w:sz w:val="24"/>
          <w:szCs w:val="24"/>
        </w:rPr>
        <w:t xml:space="preserve">ww. </w:t>
      </w:r>
      <w:r w:rsidR="00850D88" w:rsidRPr="00375799">
        <w:rPr>
          <w:rFonts w:eastAsia="Calibri" w:cstheme="minorHAnsi"/>
          <w:color w:val="000000" w:themeColor="text1"/>
          <w:sz w:val="24"/>
          <w:szCs w:val="24"/>
        </w:rPr>
        <w:t>przepis należy zawęzić wyłącznie do literalnego brzmienia art. 36 RODO, tym samym ograniczyć zakres uprawnionych podmiotów. Konsekwencją ww. regulacji jest wprowadzenie przepisu przejściowego regulującego sytuację</w:t>
      </w:r>
      <w:r w:rsidR="005A1F80">
        <w:rPr>
          <w:rFonts w:eastAsia="Calibri" w:cstheme="minorHAnsi"/>
          <w:color w:val="000000" w:themeColor="text1"/>
          <w:sz w:val="24"/>
          <w:szCs w:val="24"/>
        </w:rPr>
        <w:t>,</w:t>
      </w:r>
      <w:r w:rsidR="00850D88" w:rsidRPr="00375799">
        <w:rPr>
          <w:rFonts w:eastAsia="Calibri" w:cstheme="minorHAnsi"/>
          <w:color w:val="000000" w:themeColor="text1"/>
          <w:sz w:val="24"/>
          <w:szCs w:val="24"/>
        </w:rPr>
        <w:t xml:space="preserve"> w której podmiot przetwarzający przed wejściem w życie niniejszej regulacji wystąpi z wnioskiem o udzielenie uprzednich konsultacji. </w:t>
      </w:r>
    </w:p>
    <w:p w14:paraId="08A9FFEF" w14:textId="77777777" w:rsidR="00EE719F" w:rsidRDefault="00EE719F" w:rsidP="0055107B">
      <w:pPr>
        <w:spacing w:after="0" w:line="276" w:lineRule="auto"/>
        <w:contextualSpacing/>
        <w:jc w:val="both"/>
        <w:rPr>
          <w:rFonts w:eastAsia="Calibri" w:cstheme="minorHAnsi"/>
          <w:color w:val="000000" w:themeColor="text1"/>
          <w:sz w:val="24"/>
          <w:szCs w:val="24"/>
        </w:rPr>
      </w:pPr>
    </w:p>
    <w:p w14:paraId="4E855525" w14:textId="1EB824CC" w:rsidR="00EE719F" w:rsidRDefault="00EE719F" w:rsidP="00EE719F">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69" w:name="_Toc530565140"/>
      <w:r w:rsidRPr="00EE719F">
        <w:rPr>
          <w:rFonts w:eastAsia="Times New Roman" w:cstheme="minorHAnsi"/>
          <w:color w:val="000000" w:themeColor="text1"/>
          <w:sz w:val="24"/>
          <w:szCs w:val="24"/>
        </w:rPr>
        <w:t>Ustawa z dnia 20 lipca 2018 r. – Prawo o szkolnictwie wyższym i nauce (Dz. U. poz. 1668</w:t>
      </w:r>
      <w:r w:rsidR="00481BA0">
        <w:rPr>
          <w:rFonts w:eastAsia="Times New Roman" w:cstheme="minorHAnsi"/>
          <w:color w:val="000000" w:themeColor="text1"/>
          <w:sz w:val="24"/>
          <w:szCs w:val="24"/>
        </w:rPr>
        <w:t xml:space="preserve"> i 2024</w:t>
      </w:r>
      <w:r w:rsidRPr="00EE719F">
        <w:rPr>
          <w:rFonts w:eastAsia="Times New Roman" w:cstheme="minorHAnsi"/>
          <w:color w:val="000000" w:themeColor="text1"/>
          <w:sz w:val="24"/>
          <w:szCs w:val="24"/>
        </w:rPr>
        <w:t>)</w:t>
      </w:r>
      <w:bookmarkEnd w:id="169"/>
    </w:p>
    <w:p w14:paraId="6A6E71AB" w14:textId="27512AF2" w:rsidR="00C80A1E" w:rsidRPr="00C80A1E" w:rsidRDefault="00C80A1E" w:rsidP="00C80A1E">
      <w:pPr>
        <w:spacing w:after="0" w:line="276" w:lineRule="auto"/>
        <w:contextualSpacing/>
        <w:jc w:val="both"/>
        <w:rPr>
          <w:rFonts w:eastAsia="Calibri" w:cstheme="minorHAnsi"/>
          <w:color w:val="000000" w:themeColor="text1"/>
          <w:sz w:val="24"/>
          <w:szCs w:val="24"/>
        </w:rPr>
      </w:pPr>
      <w:r w:rsidRPr="00C80A1E">
        <w:rPr>
          <w:rFonts w:eastAsia="Calibri" w:cstheme="minorHAnsi"/>
          <w:color w:val="000000" w:themeColor="text1"/>
          <w:sz w:val="24"/>
          <w:szCs w:val="24"/>
        </w:rPr>
        <w:t xml:space="preserve">Projektowana zmiana ma na celu dostosowanie przepisów ustawy do wymogów i zasad przetwarzania danych osobowych, wprowadzonych przepisami RODO. </w:t>
      </w:r>
    </w:p>
    <w:p w14:paraId="2A0B8D68" w14:textId="128B3B3C" w:rsidR="00C80A1E" w:rsidRPr="00C80A1E" w:rsidRDefault="00C80A1E" w:rsidP="00C80A1E">
      <w:pPr>
        <w:spacing w:after="0" w:line="276" w:lineRule="auto"/>
        <w:contextualSpacing/>
        <w:jc w:val="both"/>
        <w:rPr>
          <w:rFonts w:eastAsia="Calibri" w:cstheme="minorHAnsi"/>
          <w:color w:val="000000" w:themeColor="text1"/>
          <w:sz w:val="24"/>
          <w:szCs w:val="24"/>
        </w:rPr>
      </w:pPr>
      <w:r w:rsidRPr="00C80A1E">
        <w:rPr>
          <w:rFonts w:eastAsia="Calibri" w:cstheme="minorHAnsi"/>
          <w:color w:val="000000" w:themeColor="text1"/>
          <w:sz w:val="24"/>
          <w:szCs w:val="24"/>
        </w:rPr>
        <w:t xml:space="preserve">W tym celu </w:t>
      </w:r>
      <w:r w:rsidR="00BB296C">
        <w:rPr>
          <w:rFonts w:eastAsia="Calibri" w:cstheme="minorHAnsi"/>
          <w:color w:val="000000" w:themeColor="text1"/>
          <w:sz w:val="24"/>
          <w:szCs w:val="24"/>
        </w:rPr>
        <w:t>do ustawy</w:t>
      </w:r>
      <w:r w:rsidR="00BB296C" w:rsidRPr="00BB296C">
        <w:t xml:space="preserve"> </w:t>
      </w:r>
      <w:r w:rsidR="00BB296C" w:rsidRPr="00BB296C">
        <w:rPr>
          <w:rFonts w:eastAsia="Calibri" w:cstheme="minorHAnsi"/>
          <w:color w:val="000000" w:themeColor="text1"/>
          <w:sz w:val="24"/>
          <w:szCs w:val="24"/>
        </w:rPr>
        <w:t>z dnia 20 lipca 2018 r. – Prawo o szkolnictwie wyższym i nauce</w:t>
      </w:r>
      <w:r w:rsidR="00BB296C">
        <w:rPr>
          <w:rFonts w:eastAsia="Calibri" w:cstheme="minorHAnsi"/>
          <w:color w:val="000000" w:themeColor="text1"/>
          <w:sz w:val="24"/>
          <w:szCs w:val="24"/>
        </w:rPr>
        <w:t xml:space="preserve"> </w:t>
      </w:r>
      <w:r w:rsidR="004A0674">
        <w:rPr>
          <w:rFonts w:eastAsia="Calibri" w:cstheme="minorHAnsi"/>
          <w:color w:val="000000" w:themeColor="text1"/>
          <w:sz w:val="24"/>
          <w:szCs w:val="24"/>
        </w:rPr>
        <w:t xml:space="preserve">proponuje się dodać </w:t>
      </w:r>
      <w:r w:rsidRPr="00C80A1E">
        <w:rPr>
          <w:rFonts w:eastAsia="Calibri" w:cstheme="minorHAnsi"/>
          <w:color w:val="000000" w:themeColor="text1"/>
          <w:sz w:val="24"/>
          <w:szCs w:val="24"/>
        </w:rPr>
        <w:t xml:space="preserve">nowy dział </w:t>
      </w:r>
      <w:proofErr w:type="spellStart"/>
      <w:r w:rsidRPr="00C80A1E">
        <w:rPr>
          <w:rFonts w:eastAsia="Calibri" w:cstheme="minorHAnsi"/>
          <w:color w:val="000000" w:themeColor="text1"/>
          <w:sz w:val="24"/>
          <w:szCs w:val="24"/>
        </w:rPr>
        <w:t>XIVa</w:t>
      </w:r>
      <w:proofErr w:type="spellEnd"/>
      <w:r w:rsidRPr="00C80A1E">
        <w:rPr>
          <w:rFonts w:eastAsia="Calibri" w:cstheme="minorHAnsi"/>
          <w:color w:val="000000" w:themeColor="text1"/>
          <w:sz w:val="24"/>
          <w:szCs w:val="24"/>
        </w:rPr>
        <w:t xml:space="preserve"> Przetwarzanie danych osobowych, w którym są ujęte przepisy dotyczące ochrony danych osobowych w zakresie szkolnictwa wyższego i nauki.</w:t>
      </w:r>
    </w:p>
    <w:p w14:paraId="183C91EB" w14:textId="6A12AE1F" w:rsidR="00C80A1E" w:rsidRPr="00C80A1E" w:rsidRDefault="004A0674" w:rsidP="00C80A1E">
      <w:pPr>
        <w:spacing w:after="0" w:line="276" w:lineRule="auto"/>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Projektowany art. 469a </w:t>
      </w:r>
      <w:r w:rsidR="00462ACA">
        <w:rPr>
          <w:rFonts w:eastAsia="Calibri" w:cstheme="minorHAnsi"/>
          <w:color w:val="000000" w:themeColor="text1"/>
          <w:sz w:val="24"/>
          <w:szCs w:val="24"/>
        </w:rPr>
        <w:t>ustawy</w:t>
      </w:r>
      <w:r>
        <w:rPr>
          <w:rFonts w:eastAsia="Calibri" w:cstheme="minorHAnsi"/>
          <w:color w:val="000000" w:themeColor="text1"/>
          <w:sz w:val="24"/>
          <w:szCs w:val="24"/>
        </w:rPr>
        <w:t xml:space="preserve"> zakłada, </w:t>
      </w:r>
      <w:r w:rsidR="00C80A1E" w:rsidRPr="00C80A1E">
        <w:rPr>
          <w:rFonts w:eastAsia="Calibri" w:cstheme="minorHAnsi"/>
          <w:color w:val="000000" w:themeColor="text1"/>
          <w:sz w:val="24"/>
          <w:szCs w:val="24"/>
        </w:rPr>
        <w:t>że sprostowania danych osobowych przetwarzanych w celu realizacji zadań wynikających z ustawy dokonują podmioty, które pozyskały te dane od osób fizycznych, których te dane dotyczą.</w:t>
      </w:r>
    </w:p>
    <w:p w14:paraId="66B6B49E" w14:textId="6536B5DD" w:rsidR="00C80A1E" w:rsidRPr="00C80A1E" w:rsidRDefault="00C80A1E" w:rsidP="00C80A1E">
      <w:pPr>
        <w:spacing w:after="0" w:line="276" w:lineRule="auto"/>
        <w:contextualSpacing/>
        <w:jc w:val="both"/>
        <w:rPr>
          <w:rFonts w:eastAsia="Calibri" w:cstheme="minorHAnsi"/>
          <w:color w:val="000000" w:themeColor="text1"/>
          <w:sz w:val="24"/>
          <w:szCs w:val="24"/>
        </w:rPr>
      </w:pPr>
      <w:r w:rsidRPr="00C80A1E">
        <w:rPr>
          <w:rFonts w:eastAsia="Calibri" w:cstheme="minorHAnsi"/>
          <w:color w:val="000000" w:themeColor="text1"/>
          <w:sz w:val="24"/>
          <w:szCs w:val="24"/>
        </w:rPr>
        <w:t>Ponadto proponuje się wyłączenie stosowania art. 15, art. 16, art. 18 i art. 21 RODO do przetwarzania danych osobowych wykorzystywanych do celów badawczych</w:t>
      </w:r>
      <w:r w:rsidR="00BB296C">
        <w:rPr>
          <w:rFonts w:eastAsia="Calibri" w:cstheme="minorHAnsi"/>
          <w:color w:val="000000" w:themeColor="text1"/>
          <w:sz w:val="24"/>
          <w:szCs w:val="24"/>
        </w:rPr>
        <w:t xml:space="preserve"> i prac rozwojowych, jeżeli wyłączenia te są konieczne do realizacji tych celów</w:t>
      </w:r>
      <w:r w:rsidRPr="00C80A1E">
        <w:rPr>
          <w:rFonts w:eastAsia="Calibri" w:cstheme="minorHAnsi"/>
          <w:color w:val="000000" w:themeColor="text1"/>
          <w:sz w:val="24"/>
          <w:szCs w:val="24"/>
        </w:rPr>
        <w:t xml:space="preserve">. </w:t>
      </w:r>
    </w:p>
    <w:p w14:paraId="055BBDBD" w14:textId="431F7256" w:rsidR="00FB4C93" w:rsidRDefault="00C80A1E" w:rsidP="00C80A1E">
      <w:pPr>
        <w:spacing w:after="0" w:line="276" w:lineRule="auto"/>
        <w:contextualSpacing/>
        <w:jc w:val="both"/>
        <w:rPr>
          <w:rFonts w:eastAsia="Calibri" w:cstheme="minorHAnsi"/>
          <w:color w:val="000000" w:themeColor="text1"/>
          <w:sz w:val="24"/>
          <w:szCs w:val="24"/>
          <w:highlight w:val="yellow"/>
        </w:rPr>
      </w:pPr>
      <w:r w:rsidRPr="00FB4C93">
        <w:rPr>
          <w:rFonts w:eastAsia="Calibri" w:cstheme="minorHAnsi"/>
          <w:color w:val="000000" w:themeColor="text1"/>
          <w:sz w:val="24"/>
          <w:szCs w:val="24"/>
        </w:rPr>
        <w:lastRenderedPageBreak/>
        <w:t>Wprowadzane art. 469b przepisy dotyczą</w:t>
      </w:r>
      <w:r w:rsidR="00FB4C93" w:rsidRPr="00FB4C93">
        <w:rPr>
          <w:rFonts w:eastAsia="Calibri" w:cstheme="minorHAnsi"/>
          <w:color w:val="000000" w:themeColor="text1"/>
          <w:sz w:val="24"/>
          <w:szCs w:val="24"/>
        </w:rPr>
        <w:t xml:space="preserve"> </w:t>
      </w:r>
      <w:r w:rsidR="00FB4C93" w:rsidRPr="00375799">
        <w:rPr>
          <w:rFonts w:cstheme="minorHAnsi"/>
          <w:color w:val="000000" w:themeColor="text1"/>
          <w:sz w:val="24"/>
          <w:szCs w:val="24"/>
        </w:rPr>
        <w:t>wyłączenia stosowania RODO w ww. zakresie przy realizacji badań naukowych i prac rozwojowych ze względu na specyfikę działalności badawczo-rozwojowej i gwarantowanej przez prawo wolności badawczej.</w:t>
      </w:r>
      <w:r w:rsidRPr="00FB4C93">
        <w:rPr>
          <w:rFonts w:eastAsia="Calibri" w:cstheme="minorHAnsi"/>
          <w:color w:val="000000" w:themeColor="text1"/>
          <w:sz w:val="24"/>
          <w:szCs w:val="24"/>
          <w:highlight w:val="yellow"/>
        </w:rPr>
        <w:t xml:space="preserve"> </w:t>
      </w:r>
    </w:p>
    <w:p w14:paraId="3AD2D145" w14:textId="2B8AA09A" w:rsidR="00C80A1E" w:rsidRPr="00C80A1E" w:rsidRDefault="00C80A1E" w:rsidP="00C80A1E">
      <w:pPr>
        <w:spacing w:after="0" w:line="276" w:lineRule="auto"/>
        <w:contextualSpacing/>
        <w:jc w:val="both"/>
        <w:rPr>
          <w:rFonts w:eastAsia="Calibri" w:cstheme="minorHAnsi"/>
          <w:color w:val="000000" w:themeColor="text1"/>
          <w:sz w:val="24"/>
          <w:szCs w:val="24"/>
        </w:rPr>
      </w:pPr>
      <w:r w:rsidRPr="00FB4C93">
        <w:rPr>
          <w:rFonts w:eastAsia="Calibri" w:cstheme="minorHAnsi"/>
          <w:color w:val="000000" w:themeColor="text1"/>
          <w:sz w:val="24"/>
          <w:szCs w:val="24"/>
        </w:rPr>
        <w:t>RODO</w:t>
      </w:r>
      <w:r w:rsidRPr="00FB4C93" w:rsidDel="00D44F5B">
        <w:rPr>
          <w:rFonts w:eastAsia="Calibri" w:cstheme="minorHAnsi"/>
          <w:color w:val="000000" w:themeColor="text1"/>
          <w:sz w:val="24"/>
          <w:szCs w:val="24"/>
        </w:rPr>
        <w:t xml:space="preserve"> </w:t>
      </w:r>
      <w:r w:rsidRPr="00FB4C93">
        <w:rPr>
          <w:rFonts w:eastAsia="Calibri" w:cstheme="minorHAnsi"/>
          <w:color w:val="000000" w:themeColor="text1"/>
          <w:sz w:val="24"/>
          <w:szCs w:val="24"/>
        </w:rPr>
        <w:t>dopuszcza możliwość ograniczenia</w:t>
      </w:r>
      <w:r w:rsidRPr="00C80A1E">
        <w:rPr>
          <w:rFonts w:eastAsia="Calibri" w:cstheme="minorHAnsi"/>
          <w:color w:val="000000" w:themeColor="text1"/>
          <w:sz w:val="24"/>
          <w:szCs w:val="24"/>
        </w:rPr>
        <w:t xml:space="preserve"> w ustawodawstwie krajowym praw osób fizycznych, związanych z ochroną ich danych osobowych, jeżeli miałoby to umożliwić prowadzenie działalności badawczej i byłoby podyktowane interesem publicznym. Warunkiem jest, aby cele działalności badawczej, w ramach których dane osobowe są przetwarzane, nie naruszały istoty prawa do ochrony tych danych i przewidywały odpowiednie, konkretne środki ochrony praw podstawowych i interesów osoby fizycznej, której dane dotyczą.</w:t>
      </w:r>
    </w:p>
    <w:p w14:paraId="44B308B3" w14:textId="77777777" w:rsidR="00C80A1E" w:rsidRPr="00C80A1E" w:rsidRDefault="00C80A1E" w:rsidP="00C80A1E">
      <w:pPr>
        <w:spacing w:after="0" w:line="276" w:lineRule="auto"/>
        <w:contextualSpacing/>
        <w:jc w:val="both"/>
        <w:rPr>
          <w:rFonts w:eastAsia="Calibri" w:cstheme="minorHAnsi"/>
          <w:color w:val="000000" w:themeColor="text1"/>
          <w:sz w:val="24"/>
          <w:szCs w:val="24"/>
        </w:rPr>
      </w:pPr>
      <w:r w:rsidRPr="00C80A1E">
        <w:rPr>
          <w:rFonts w:eastAsia="Calibri" w:cstheme="minorHAnsi"/>
          <w:color w:val="000000" w:themeColor="text1"/>
          <w:sz w:val="24"/>
          <w:szCs w:val="24"/>
        </w:rPr>
        <w:t>Dodawane przepisy pozwolą zabezpieczyć szereg sytuacji, w których przetwarzanie danych osobowych jest niezbędne do realizacji celów badawczych. Dotyczy to zwłaszcza badań o charakterze sektorowym prowadzonych na dużej populacji osób.</w:t>
      </w:r>
    </w:p>
    <w:p w14:paraId="2361A38E" w14:textId="3286C094" w:rsidR="00C80A1E" w:rsidRPr="00C80A1E" w:rsidRDefault="00C80A1E" w:rsidP="00C80A1E">
      <w:pPr>
        <w:spacing w:after="0" w:line="276" w:lineRule="auto"/>
        <w:contextualSpacing/>
        <w:jc w:val="both"/>
        <w:rPr>
          <w:rFonts w:eastAsia="Calibri" w:cstheme="minorHAnsi"/>
          <w:color w:val="000000" w:themeColor="text1"/>
          <w:sz w:val="24"/>
          <w:szCs w:val="24"/>
        </w:rPr>
      </w:pPr>
      <w:r w:rsidRPr="00C80A1E">
        <w:rPr>
          <w:rFonts w:eastAsia="Calibri" w:cstheme="minorHAnsi"/>
          <w:color w:val="000000" w:themeColor="text1"/>
          <w:sz w:val="24"/>
          <w:szCs w:val="24"/>
        </w:rPr>
        <w:t>Wolność badań naukowych zagwarantowana jest zarówno na gruncie międzynarodowym (art. 13 Karty Praw Podstawowych U</w:t>
      </w:r>
      <w:r w:rsidR="00BB296C">
        <w:rPr>
          <w:rFonts w:eastAsia="Calibri" w:cstheme="minorHAnsi"/>
          <w:color w:val="000000" w:themeColor="text1"/>
          <w:sz w:val="24"/>
          <w:szCs w:val="24"/>
        </w:rPr>
        <w:t xml:space="preserve">nii </w:t>
      </w:r>
      <w:r w:rsidRPr="00C80A1E">
        <w:rPr>
          <w:rFonts w:eastAsia="Calibri" w:cstheme="minorHAnsi"/>
          <w:color w:val="000000" w:themeColor="text1"/>
          <w:sz w:val="24"/>
          <w:szCs w:val="24"/>
        </w:rPr>
        <w:t>E</w:t>
      </w:r>
      <w:r w:rsidR="00BB296C">
        <w:rPr>
          <w:rFonts w:eastAsia="Calibri" w:cstheme="minorHAnsi"/>
          <w:color w:val="000000" w:themeColor="text1"/>
          <w:sz w:val="24"/>
          <w:szCs w:val="24"/>
        </w:rPr>
        <w:t>uropejskiej</w:t>
      </w:r>
      <w:r w:rsidRPr="00C80A1E">
        <w:rPr>
          <w:rFonts w:eastAsia="Calibri" w:cstheme="minorHAnsi"/>
          <w:color w:val="000000" w:themeColor="text1"/>
          <w:sz w:val="24"/>
          <w:szCs w:val="24"/>
        </w:rPr>
        <w:t xml:space="preserve">), jak również krajowym (art. 73 Konstytucji </w:t>
      </w:r>
      <w:r w:rsidR="004A0674">
        <w:rPr>
          <w:rFonts w:eastAsia="Calibri" w:cstheme="minorHAnsi"/>
          <w:color w:val="000000" w:themeColor="text1"/>
          <w:sz w:val="24"/>
          <w:szCs w:val="24"/>
        </w:rPr>
        <w:t>RP</w:t>
      </w:r>
      <w:r w:rsidRPr="00C80A1E">
        <w:rPr>
          <w:rFonts w:eastAsia="Calibri" w:cstheme="minorHAnsi"/>
          <w:color w:val="000000" w:themeColor="text1"/>
          <w:sz w:val="24"/>
          <w:szCs w:val="24"/>
        </w:rPr>
        <w:t>). W związku z prawem do wolności wypowiedzi i informacji, przewidzianymi w art. 11 Karty</w:t>
      </w:r>
      <w:r w:rsidR="004A0674">
        <w:rPr>
          <w:rFonts w:eastAsia="Calibri" w:cstheme="minorHAnsi"/>
          <w:color w:val="000000" w:themeColor="text1"/>
          <w:sz w:val="24"/>
          <w:szCs w:val="24"/>
        </w:rPr>
        <w:t xml:space="preserve"> Praw Podstawowych Unii Europejskiej</w:t>
      </w:r>
      <w:r w:rsidRPr="00C80A1E">
        <w:rPr>
          <w:rFonts w:eastAsia="Calibri" w:cstheme="minorHAnsi"/>
          <w:color w:val="000000" w:themeColor="text1"/>
          <w:sz w:val="24"/>
          <w:szCs w:val="24"/>
        </w:rPr>
        <w:t>, powinno się zabezpieczyć również prawa wolności badawczej.</w:t>
      </w:r>
    </w:p>
    <w:p w14:paraId="73CC40F8" w14:textId="3709B131" w:rsidR="00C80A1E" w:rsidRPr="00C80A1E" w:rsidRDefault="00C80A1E" w:rsidP="00C80A1E">
      <w:pPr>
        <w:spacing w:after="0" w:line="276" w:lineRule="auto"/>
        <w:contextualSpacing/>
        <w:jc w:val="both"/>
        <w:rPr>
          <w:rFonts w:eastAsia="Calibri" w:cstheme="minorHAnsi"/>
          <w:color w:val="000000" w:themeColor="text1"/>
          <w:sz w:val="24"/>
          <w:szCs w:val="24"/>
        </w:rPr>
      </w:pPr>
      <w:r w:rsidRPr="00C80A1E">
        <w:rPr>
          <w:rFonts w:eastAsia="Calibri" w:cstheme="minorHAnsi"/>
          <w:color w:val="000000" w:themeColor="text1"/>
          <w:sz w:val="24"/>
          <w:szCs w:val="24"/>
        </w:rPr>
        <w:t>Możliwość taka wynika bezpośrednio z art. 89 ust. 2 RODO.</w:t>
      </w:r>
    </w:p>
    <w:p w14:paraId="7DE567BF" w14:textId="0D2D2842" w:rsidR="00C80A1E" w:rsidRPr="00C80A1E" w:rsidRDefault="00BB296C" w:rsidP="00C80A1E">
      <w:pPr>
        <w:spacing w:after="0" w:line="276" w:lineRule="auto"/>
        <w:contextualSpacing/>
        <w:jc w:val="both"/>
        <w:rPr>
          <w:rFonts w:eastAsia="Calibri" w:cstheme="minorHAnsi"/>
          <w:color w:val="000000" w:themeColor="text1"/>
          <w:sz w:val="24"/>
          <w:szCs w:val="24"/>
        </w:rPr>
      </w:pPr>
      <w:r>
        <w:rPr>
          <w:rFonts w:eastAsia="Calibri" w:cstheme="minorHAnsi"/>
          <w:color w:val="000000" w:themeColor="text1"/>
          <w:sz w:val="24"/>
          <w:szCs w:val="24"/>
        </w:rPr>
        <w:t>Projekt zmian</w:t>
      </w:r>
      <w:r w:rsidR="00C80A1E" w:rsidRPr="00C80A1E">
        <w:rPr>
          <w:rFonts w:eastAsia="Calibri" w:cstheme="minorHAnsi"/>
          <w:color w:val="000000" w:themeColor="text1"/>
          <w:sz w:val="24"/>
          <w:szCs w:val="24"/>
        </w:rPr>
        <w:t xml:space="preserve">, </w:t>
      </w:r>
      <w:r w:rsidRPr="00C80A1E">
        <w:rPr>
          <w:rFonts w:eastAsia="Calibri" w:cstheme="minorHAnsi"/>
          <w:color w:val="000000" w:themeColor="text1"/>
          <w:sz w:val="24"/>
          <w:szCs w:val="24"/>
        </w:rPr>
        <w:t>dotycząc</w:t>
      </w:r>
      <w:r>
        <w:rPr>
          <w:rFonts w:eastAsia="Calibri" w:cstheme="minorHAnsi"/>
          <w:color w:val="000000" w:themeColor="text1"/>
          <w:sz w:val="24"/>
          <w:szCs w:val="24"/>
        </w:rPr>
        <w:t xml:space="preserve">y </w:t>
      </w:r>
      <w:r w:rsidR="00C80A1E" w:rsidRPr="00C80A1E">
        <w:rPr>
          <w:rFonts w:eastAsia="Calibri" w:cstheme="minorHAnsi"/>
          <w:color w:val="000000" w:themeColor="text1"/>
          <w:sz w:val="24"/>
          <w:szCs w:val="24"/>
        </w:rPr>
        <w:t xml:space="preserve">ograniczenia stosowania na gruncie badań naukowych artykułów: 15 (Prawo dostępu), 16 (Prawo do sprostowania), 18 (Prawo do ograniczenia przetwarzania) i 21 (Prawo do sprzeciwu) rozporządzenia, wynika z wyraźnego kontrastu, jaki powstał pomiędzy zasadami ogólnymi oraz ustawodawstwem krajowym gwarantującym dotychczas wolność badań naukowych i autonomię uczelni a regulacjami zawartymi w </w:t>
      </w:r>
      <w:r w:rsidR="004A0674">
        <w:rPr>
          <w:rFonts w:eastAsia="Calibri" w:cstheme="minorHAnsi"/>
          <w:color w:val="000000" w:themeColor="text1"/>
          <w:sz w:val="24"/>
          <w:szCs w:val="24"/>
        </w:rPr>
        <w:t>RODO</w:t>
      </w:r>
      <w:r w:rsidR="00C80A1E" w:rsidRPr="00C80A1E">
        <w:rPr>
          <w:rFonts w:eastAsia="Calibri" w:cstheme="minorHAnsi"/>
          <w:color w:val="000000" w:themeColor="text1"/>
          <w:sz w:val="24"/>
          <w:szCs w:val="24"/>
        </w:rPr>
        <w:t>.</w:t>
      </w:r>
    </w:p>
    <w:p w14:paraId="64C9FBC0" w14:textId="7582838B" w:rsidR="00C80A1E" w:rsidRPr="00C80A1E" w:rsidRDefault="00C80A1E" w:rsidP="00C80A1E">
      <w:pPr>
        <w:spacing w:after="0" w:line="276" w:lineRule="auto"/>
        <w:contextualSpacing/>
        <w:jc w:val="both"/>
        <w:rPr>
          <w:rFonts w:eastAsia="Calibri" w:cstheme="minorHAnsi"/>
          <w:color w:val="000000" w:themeColor="text1"/>
          <w:sz w:val="24"/>
          <w:szCs w:val="24"/>
        </w:rPr>
      </w:pPr>
      <w:r w:rsidRPr="00C80A1E">
        <w:rPr>
          <w:rFonts w:eastAsia="Calibri" w:cstheme="minorHAnsi"/>
          <w:color w:val="000000" w:themeColor="text1"/>
          <w:sz w:val="24"/>
          <w:szCs w:val="24"/>
        </w:rPr>
        <w:t xml:space="preserve">Nadmienić należy, że zgodnie z motywem 39 </w:t>
      </w:r>
      <w:r w:rsidR="00DF5B18">
        <w:rPr>
          <w:rFonts w:eastAsia="Calibri" w:cstheme="minorHAnsi"/>
          <w:color w:val="000000" w:themeColor="text1"/>
          <w:sz w:val="24"/>
          <w:szCs w:val="24"/>
        </w:rPr>
        <w:t>RODO</w:t>
      </w:r>
      <w:r w:rsidRPr="00C80A1E">
        <w:rPr>
          <w:rFonts w:eastAsia="Calibri" w:cstheme="minorHAnsi"/>
          <w:color w:val="000000" w:themeColor="text1"/>
          <w:sz w:val="24"/>
          <w:szCs w:val="24"/>
        </w:rPr>
        <w:t>, dane osobowe powinny być przetwarzane tylko w przypadkach, gdy celu przetwarzania nie można w rozsądny sposób osiągnąć innymi sposobami. Udostępnienie danych osobowych, w tym do celów badań naukowych</w:t>
      </w:r>
      <w:r w:rsidR="006D03AE">
        <w:rPr>
          <w:rFonts w:eastAsia="Calibri" w:cstheme="minorHAnsi"/>
          <w:color w:val="000000" w:themeColor="text1"/>
          <w:sz w:val="24"/>
          <w:szCs w:val="24"/>
        </w:rPr>
        <w:t>,</w:t>
      </w:r>
      <w:r w:rsidRPr="00C80A1E">
        <w:rPr>
          <w:rFonts w:eastAsia="Calibri" w:cstheme="minorHAnsi"/>
          <w:color w:val="000000" w:themeColor="text1"/>
          <w:sz w:val="24"/>
          <w:szCs w:val="24"/>
        </w:rPr>
        <w:t xml:space="preserve"> warunkowane jest wykazaniem słusznego interesu publicznego. Zatem przyjąć należy, że proponowany przepis ustawy dotyczący ograniczenia stosowania art. 15, art. 16, art. 18 i art. 21 w odniesieniu do badań naukowych, nie spowoduje negatywnych skutków w praktyce. </w:t>
      </w:r>
    </w:p>
    <w:p w14:paraId="33CBEE36" w14:textId="2AFD505A" w:rsidR="00C80A1E" w:rsidRPr="00C80A1E" w:rsidRDefault="00C80A1E" w:rsidP="00C80A1E">
      <w:pPr>
        <w:spacing w:after="0" w:line="276" w:lineRule="auto"/>
        <w:contextualSpacing/>
        <w:jc w:val="both"/>
        <w:rPr>
          <w:rFonts w:eastAsia="Calibri" w:cstheme="minorHAnsi"/>
          <w:color w:val="000000" w:themeColor="text1"/>
          <w:sz w:val="24"/>
          <w:szCs w:val="24"/>
        </w:rPr>
      </w:pPr>
      <w:r w:rsidRPr="00C80A1E">
        <w:rPr>
          <w:rFonts w:eastAsia="Calibri" w:cstheme="minorHAnsi"/>
          <w:color w:val="000000" w:themeColor="text1"/>
          <w:sz w:val="24"/>
          <w:szCs w:val="24"/>
        </w:rPr>
        <w:t>Szereg badań naukowych prowadzonych m.in. poprzez przetwarzanie danych osobowych dotyczy wielu dziedzin życia społecznego, w tym z obszaru socjologii, edukacji czy zdrowia publicznego i ma charakter systemowy. Znaczna większość badań systemowych służących identyfikacji i zrozumieniu zjawisk społecznych opierana jest na analizie ściśle określonej grupy lub populacji. Prowadzenie działalności naukowej wymusza korzystanie z różnych źródeł</w:t>
      </w:r>
      <w:r w:rsidR="006D03AE">
        <w:rPr>
          <w:rFonts w:eastAsia="Calibri" w:cstheme="minorHAnsi"/>
          <w:color w:val="000000" w:themeColor="text1"/>
          <w:sz w:val="24"/>
          <w:szCs w:val="24"/>
        </w:rPr>
        <w:t>,</w:t>
      </w:r>
      <w:r w:rsidRPr="00C80A1E">
        <w:rPr>
          <w:rFonts w:eastAsia="Calibri" w:cstheme="minorHAnsi"/>
          <w:color w:val="000000" w:themeColor="text1"/>
          <w:sz w:val="24"/>
          <w:szCs w:val="24"/>
        </w:rPr>
        <w:t xml:space="preserve"> w tym archiwalnych</w:t>
      </w:r>
      <w:r w:rsidR="006D03AE">
        <w:rPr>
          <w:rFonts w:eastAsia="Calibri" w:cstheme="minorHAnsi"/>
          <w:color w:val="000000" w:themeColor="text1"/>
          <w:sz w:val="24"/>
          <w:szCs w:val="24"/>
        </w:rPr>
        <w:t>,</w:t>
      </w:r>
      <w:r w:rsidRPr="00C80A1E">
        <w:rPr>
          <w:rFonts w:eastAsia="Calibri" w:cstheme="minorHAnsi"/>
          <w:color w:val="000000" w:themeColor="text1"/>
          <w:sz w:val="24"/>
          <w:szCs w:val="24"/>
        </w:rPr>
        <w:t xml:space="preserve"> i nie zawsze jest tak, że wiedzy dostarczą dane o charakterze statystycznym. Dostęp do rejestrów i dokumentacji źródłowej jest częstokroć jedyną metodą osiągnięcia założonego celu badawczego. Niemniej, w myśl obowiązującego dotychczas stanu prawnego, standardem jest, że dane osobowe przetwarzane do celów badań naukowych są adekwatne, stosowne i ograniczone do tego, co jest niezbędne dla celów, dla </w:t>
      </w:r>
      <w:r w:rsidRPr="00C80A1E">
        <w:rPr>
          <w:rFonts w:eastAsia="Calibri" w:cstheme="minorHAnsi"/>
          <w:color w:val="000000" w:themeColor="text1"/>
          <w:sz w:val="24"/>
          <w:szCs w:val="24"/>
        </w:rPr>
        <w:lastRenderedPageBreak/>
        <w:t>których są przetwarzane. Standardem również jest, że dane osobowe, które służyły działalności badawczej, przechowywane są jedynie w okresie niezbędnego minimum.</w:t>
      </w:r>
    </w:p>
    <w:p w14:paraId="317E51F4" w14:textId="4E794953" w:rsidR="00C80A1E" w:rsidRPr="00C80A1E" w:rsidRDefault="00C80A1E" w:rsidP="00C80A1E">
      <w:pPr>
        <w:spacing w:after="0" w:line="276" w:lineRule="auto"/>
        <w:contextualSpacing/>
        <w:jc w:val="both"/>
        <w:rPr>
          <w:rFonts w:eastAsia="Calibri" w:cstheme="minorHAnsi"/>
          <w:color w:val="000000" w:themeColor="text1"/>
          <w:sz w:val="24"/>
          <w:szCs w:val="24"/>
        </w:rPr>
      </w:pPr>
      <w:r w:rsidRPr="00C80A1E">
        <w:rPr>
          <w:rFonts w:eastAsia="Calibri" w:cstheme="minorHAnsi"/>
          <w:color w:val="000000" w:themeColor="text1"/>
          <w:sz w:val="24"/>
          <w:szCs w:val="24"/>
        </w:rPr>
        <w:t>Ponadto należy zauważyć, że przepisy powinny zabezpieczyć możliwość przetwarzania tzw. wrażliwych danych osobowych obejmujących np. ujawniających pochodzenie rasowe lub etniczne, poglądy polityczne, przekonania religijne lub światopoglądowe, przynależność do związków zawodowych oraz przetwarzanie danych genetycznych, danych biometrycznych w celu jednoznacznego zidentyfikowania osób fizycznych lub danych dotyczących zdrowia, seksualności lub orientacji seksualnej w celu realizacji badań naukowych niezbędnych do prowadzenia właściwej polityki społecznej, edukacyjnej lub w celu analizy zmian zachodzących w społeczeństwie. Należy przy tym nadmienić, że nie jest możliwe doprecyzowanie zakresu danych osobowych</w:t>
      </w:r>
      <w:r w:rsidR="006D03AE">
        <w:rPr>
          <w:rFonts w:eastAsia="Calibri" w:cstheme="minorHAnsi"/>
          <w:color w:val="000000" w:themeColor="text1"/>
          <w:sz w:val="24"/>
          <w:szCs w:val="24"/>
        </w:rPr>
        <w:t>,</w:t>
      </w:r>
      <w:r w:rsidRPr="00C80A1E">
        <w:rPr>
          <w:rFonts w:eastAsia="Calibri" w:cstheme="minorHAnsi"/>
          <w:color w:val="000000" w:themeColor="text1"/>
          <w:sz w:val="24"/>
          <w:szCs w:val="24"/>
        </w:rPr>
        <w:t xml:space="preserve"> jak i wskazanie konkretnych celów takich badań. Ponadto należy zauważyć, że badania naukowe mogą być prowadzone na dużych populacjach osób, a w takich przypadkach spełnienie wymagań określonych w art. 15, art. 16, art. 18 i art. 21 RODO wymagałoby nakładów niewspółmiernie wysokich do pozostałych kosztów badań naukowych. </w:t>
      </w:r>
    </w:p>
    <w:p w14:paraId="5CCF721E" w14:textId="77777777" w:rsidR="00C80A1E" w:rsidRDefault="00C80A1E" w:rsidP="00C80A1E">
      <w:pPr>
        <w:spacing w:after="0" w:line="276" w:lineRule="auto"/>
        <w:contextualSpacing/>
        <w:jc w:val="both"/>
        <w:rPr>
          <w:rFonts w:cstheme="minorHAnsi"/>
          <w:color w:val="000000" w:themeColor="text1"/>
          <w:sz w:val="24"/>
          <w:szCs w:val="24"/>
        </w:rPr>
      </w:pPr>
      <w:r w:rsidRPr="00C80A1E">
        <w:rPr>
          <w:rFonts w:eastAsia="Calibri" w:cstheme="minorHAnsi"/>
          <w:color w:val="000000" w:themeColor="text1"/>
          <w:sz w:val="24"/>
          <w:szCs w:val="24"/>
        </w:rPr>
        <w:t>W związku z powyższymi zmianami zachodzi także konieczność modyfikacji art. 176 pkt 1, tak aby ww. zmiany dotyczyły także federacji podmiotów systemu szkolnictwa wyższego i nauki.</w:t>
      </w:r>
    </w:p>
    <w:p w14:paraId="48CAB7E7" w14:textId="1D59BEB2" w:rsidR="00C80A1E" w:rsidRDefault="00C80A1E" w:rsidP="00C80A1E">
      <w:pPr>
        <w:spacing w:after="0" w:line="276" w:lineRule="auto"/>
        <w:contextualSpacing/>
        <w:jc w:val="both"/>
        <w:rPr>
          <w:rFonts w:eastAsia="Calibri" w:cstheme="minorHAnsi"/>
          <w:color w:val="000000" w:themeColor="text1"/>
          <w:sz w:val="24"/>
          <w:szCs w:val="24"/>
        </w:rPr>
      </w:pPr>
      <w:r w:rsidRPr="00C80A1E">
        <w:rPr>
          <w:rFonts w:eastAsia="Calibri" w:cstheme="minorHAnsi"/>
          <w:color w:val="000000" w:themeColor="text1"/>
          <w:sz w:val="24"/>
          <w:szCs w:val="24"/>
        </w:rPr>
        <w:t>Ponadto w celu ujednolicenia przepisów w zakresie danych osobowych w ustawie z dnia 20 lipca 2018 r. – Prawo o szkolnictwie wyższym i nauce proponuje się usunięcie ust. 3 w art. 258.</w:t>
      </w:r>
    </w:p>
    <w:p w14:paraId="7859B3D3" w14:textId="77777777" w:rsidR="00850D88" w:rsidRPr="00375799" w:rsidRDefault="00850D88" w:rsidP="0055107B">
      <w:pPr>
        <w:spacing w:line="276" w:lineRule="auto"/>
        <w:contextualSpacing/>
        <w:jc w:val="both"/>
        <w:rPr>
          <w:rFonts w:eastAsia="Calibri" w:cstheme="minorHAnsi"/>
          <w:color w:val="000000" w:themeColor="text1"/>
          <w:sz w:val="24"/>
          <w:szCs w:val="24"/>
        </w:rPr>
      </w:pPr>
    </w:p>
    <w:p w14:paraId="2454A269" w14:textId="42AA9126"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Art. </w:t>
      </w:r>
      <w:r w:rsidR="00600F1A" w:rsidRPr="00375799">
        <w:rPr>
          <w:rFonts w:eastAsia="Calibri" w:cstheme="minorHAnsi"/>
          <w:color w:val="000000" w:themeColor="text1"/>
          <w:sz w:val="24"/>
          <w:szCs w:val="24"/>
        </w:rPr>
        <w:t>1</w:t>
      </w:r>
      <w:r w:rsidR="00FB4C93">
        <w:rPr>
          <w:rFonts w:eastAsia="Calibri" w:cstheme="minorHAnsi"/>
          <w:color w:val="000000" w:themeColor="text1"/>
          <w:sz w:val="24"/>
          <w:szCs w:val="24"/>
        </w:rPr>
        <w:t>69</w:t>
      </w:r>
      <w:r w:rsidR="00EC790B">
        <w:rPr>
          <w:rFonts w:eastAsia="Calibri" w:cstheme="minorHAnsi"/>
          <w:color w:val="000000" w:themeColor="text1"/>
          <w:sz w:val="24"/>
          <w:szCs w:val="24"/>
        </w:rPr>
        <w:t>.</w:t>
      </w:r>
    </w:p>
    <w:p w14:paraId="5DE75A41" w14:textId="1DFED417" w:rsidR="00850D88"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związku z uchyleniem art. 4 ust. 4 ustawy </w:t>
      </w:r>
      <w:r w:rsidR="001A26ED" w:rsidRPr="001A26ED">
        <w:rPr>
          <w:rFonts w:eastAsia="Calibri" w:cstheme="minorHAnsi"/>
          <w:color w:val="000000" w:themeColor="text1"/>
          <w:sz w:val="24"/>
          <w:szCs w:val="24"/>
        </w:rPr>
        <w:t xml:space="preserve">z dnia 20 kwietnia 2004 r. </w:t>
      </w:r>
      <w:r w:rsidRPr="00375799">
        <w:rPr>
          <w:rFonts w:eastAsia="Calibri" w:cstheme="minorHAnsi"/>
          <w:color w:val="000000" w:themeColor="text1"/>
          <w:sz w:val="24"/>
          <w:szCs w:val="24"/>
        </w:rPr>
        <w:t>o promocji zatrudnienia i instytucjach rynku pracy</w:t>
      </w:r>
      <w:r w:rsidR="00DF5B18">
        <w:rPr>
          <w:rFonts w:eastAsia="Calibri" w:cstheme="minorHAnsi"/>
          <w:color w:val="000000" w:themeColor="text1"/>
          <w:sz w:val="24"/>
          <w:szCs w:val="24"/>
        </w:rPr>
        <w:t>,</w:t>
      </w:r>
      <w:r w:rsidRPr="00375799">
        <w:rPr>
          <w:rFonts w:eastAsia="Calibri" w:cstheme="minorHAnsi"/>
          <w:color w:val="000000" w:themeColor="text1"/>
          <w:sz w:val="24"/>
          <w:szCs w:val="24"/>
        </w:rPr>
        <w:t xml:space="preserve"> stanowiącego podstawę do tworzenia przez </w:t>
      </w:r>
      <w:r w:rsidR="006D03AE">
        <w:rPr>
          <w:rFonts w:eastAsia="Calibri" w:cstheme="minorHAnsi"/>
          <w:color w:val="000000" w:themeColor="text1"/>
          <w:sz w:val="24"/>
          <w:szCs w:val="24"/>
        </w:rPr>
        <w:t>m</w:t>
      </w:r>
      <w:r w:rsidRPr="00375799">
        <w:rPr>
          <w:rFonts w:eastAsia="Calibri" w:cstheme="minorHAnsi"/>
          <w:color w:val="000000" w:themeColor="text1"/>
          <w:sz w:val="24"/>
          <w:szCs w:val="24"/>
        </w:rPr>
        <w:t>inistra właściwego do spraw pracy rejestrów centralnych, konieczne jest zapewnienie dalszego prowadzenia tych rejestrów na podstawie art. 4 ust. 4a – nowego przepisu dodawanego projektowaną ustawą.</w:t>
      </w:r>
    </w:p>
    <w:p w14:paraId="68BFD847" w14:textId="1AB591E4" w:rsidR="00EC790B" w:rsidRDefault="00EC790B" w:rsidP="0055107B">
      <w:pPr>
        <w:spacing w:line="276" w:lineRule="auto"/>
        <w:contextualSpacing/>
        <w:jc w:val="both"/>
        <w:rPr>
          <w:rFonts w:eastAsia="Calibri" w:cstheme="minorHAnsi"/>
          <w:color w:val="000000" w:themeColor="text1"/>
          <w:sz w:val="24"/>
          <w:szCs w:val="24"/>
        </w:rPr>
      </w:pPr>
      <w:r>
        <w:rPr>
          <w:rFonts w:eastAsia="Calibri" w:cstheme="minorHAnsi"/>
          <w:color w:val="000000" w:themeColor="text1"/>
          <w:sz w:val="24"/>
          <w:szCs w:val="24"/>
        </w:rPr>
        <w:t>Art. 170.</w:t>
      </w:r>
    </w:p>
    <w:p w14:paraId="29897E0D" w14:textId="4198CE10" w:rsidR="00EC790B" w:rsidRPr="00375799" w:rsidRDefault="004A7298" w:rsidP="0055107B">
      <w:pPr>
        <w:spacing w:line="276" w:lineRule="auto"/>
        <w:contextualSpacing/>
        <w:jc w:val="both"/>
        <w:rPr>
          <w:rFonts w:eastAsia="Calibri" w:cstheme="minorHAnsi"/>
          <w:color w:val="000000" w:themeColor="text1"/>
          <w:sz w:val="24"/>
          <w:szCs w:val="24"/>
        </w:rPr>
      </w:pPr>
      <w:r>
        <w:rPr>
          <w:rFonts w:cstheme="minorHAnsi"/>
          <w:color w:val="000000" w:themeColor="text1"/>
          <w:sz w:val="24"/>
          <w:szCs w:val="24"/>
        </w:rPr>
        <w:t xml:space="preserve">Wprowadzone </w:t>
      </w:r>
      <w:r w:rsidR="00EC790B">
        <w:rPr>
          <w:rFonts w:cstheme="minorHAnsi"/>
          <w:color w:val="000000" w:themeColor="text1"/>
          <w:sz w:val="24"/>
          <w:szCs w:val="24"/>
        </w:rPr>
        <w:t xml:space="preserve">w ustawie </w:t>
      </w:r>
      <w:r w:rsidR="00EC790B" w:rsidRPr="00EC790B">
        <w:rPr>
          <w:rFonts w:cstheme="minorHAnsi"/>
          <w:color w:val="000000" w:themeColor="text1"/>
          <w:sz w:val="24"/>
          <w:szCs w:val="24"/>
        </w:rPr>
        <w:t>z dnia 20 kwietnia 2004 r. o promocji zatrudnienia i instytucjach rynku pracy</w:t>
      </w:r>
      <w:r w:rsidR="00EC790B">
        <w:rPr>
          <w:rFonts w:cstheme="minorHAnsi"/>
          <w:color w:val="000000" w:themeColor="text1"/>
          <w:sz w:val="24"/>
          <w:szCs w:val="24"/>
        </w:rPr>
        <w:t xml:space="preserve"> </w:t>
      </w:r>
      <w:r w:rsidR="00EC790B" w:rsidRPr="00375799">
        <w:rPr>
          <w:rFonts w:cstheme="minorHAnsi"/>
          <w:color w:val="000000" w:themeColor="text1"/>
          <w:sz w:val="24"/>
          <w:szCs w:val="24"/>
        </w:rPr>
        <w:t>zabezpieczenie w postaci nałożenia obowiązku dopuszczenia do przetwarzania danych osobowych wyłącznie osób posiadających pisemne upoważnienie wydane przez administratora oraz konieczności udzielania pisemnego zobowiązania osób upoważnionych do przetwarzania danych osobowyc</w:t>
      </w:r>
      <w:r>
        <w:rPr>
          <w:rFonts w:cstheme="minorHAnsi"/>
          <w:color w:val="000000" w:themeColor="text1"/>
          <w:sz w:val="24"/>
          <w:szCs w:val="24"/>
        </w:rPr>
        <w:t xml:space="preserve">h do zachowania ich w tajemnicy zostanie spełnione </w:t>
      </w:r>
      <w:r w:rsidRPr="004A7298">
        <w:rPr>
          <w:rFonts w:cstheme="minorHAnsi"/>
          <w:color w:val="000000" w:themeColor="text1"/>
          <w:sz w:val="24"/>
          <w:szCs w:val="24"/>
        </w:rPr>
        <w:t>do dnia 31 grudnia 2018 r.</w:t>
      </w:r>
    </w:p>
    <w:p w14:paraId="0F7E4DBA" w14:textId="248F36EC"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Art. </w:t>
      </w:r>
      <w:r w:rsidR="00600F1A" w:rsidRPr="00375799">
        <w:rPr>
          <w:rFonts w:eastAsia="Calibri" w:cstheme="minorHAnsi"/>
          <w:color w:val="000000" w:themeColor="text1"/>
          <w:sz w:val="24"/>
          <w:szCs w:val="24"/>
        </w:rPr>
        <w:t>17</w:t>
      </w:r>
      <w:r w:rsidR="00FB4C93">
        <w:rPr>
          <w:rFonts w:eastAsia="Calibri" w:cstheme="minorHAnsi"/>
          <w:color w:val="000000" w:themeColor="text1"/>
          <w:sz w:val="24"/>
          <w:szCs w:val="24"/>
        </w:rPr>
        <w:t>1</w:t>
      </w:r>
      <w:r w:rsidR="00EC790B">
        <w:rPr>
          <w:rFonts w:eastAsia="Calibri" w:cstheme="minorHAnsi"/>
          <w:color w:val="000000" w:themeColor="text1"/>
          <w:sz w:val="24"/>
          <w:szCs w:val="24"/>
        </w:rPr>
        <w:t>.</w:t>
      </w:r>
    </w:p>
    <w:p w14:paraId="7B789170" w14:textId="541B2F26"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Przepis przewiduje odpowiednie stosowanie znowelizowanych przepisów przejściowych ustawy </w:t>
      </w:r>
      <w:r w:rsidR="00DF5B18">
        <w:rPr>
          <w:rFonts w:eastAsia="Calibri" w:cstheme="minorHAnsi"/>
          <w:color w:val="000000" w:themeColor="text1"/>
          <w:sz w:val="24"/>
          <w:szCs w:val="24"/>
        </w:rPr>
        <w:t xml:space="preserve">z dnia </w:t>
      </w:r>
      <w:r w:rsidR="001A26ED" w:rsidRPr="001A26ED">
        <w:rPr>
          <w:rFonts w:eastAsia="Calibri" w:cstheme="minorHAnsi"/>
          <w:color w:val="000000" w:themeColor="text1"/>
          <w:sz w:val="24"/>
          <w:szCs w:val="24"/>
        </w:rPr>
        <w:t>28 listopada 2014 r.</w:t>
      </w:r>
      <w:r w:rsidR="006D03AE">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 Prawo o aktach stanu cywilnego do aktów urodzenia i małżeństwa sporządzonych w księdze stanu cywilnego dotyczących osób, dla których nie sporządzono aktu zgonu lub nie zarejestrowano informacji o zgonie, jeżeli księgi urodzeń i </w:t>
      </w:r>
      <w:r w:rsidRPr="00375799">
        <w:rPr>
          <w:rFonts w:eastAsia="Calibri" w:cstheme="minorHAnsi"/>
          <w:color w:val="000000" w:themeColor="text1"/>
          <w:sz w:val="24"/>
          <w:szCs w:val="24"/>
        </w:rPr>
        <w:lastRenderedPageBreak/>
        <w:t>małżeństw, w których sporządzono te akty, zostały przekazane do właściwego archiwum państwowego</w:t>
      </w:r>
      <w:r w:rsidR="006D03AE">
        <w:rPr>
          <w:rFonts w:eastAsia="Calibri" w:cstheme="minorHAnsi"/>
          <w:color w:val="000000" w:themeColor="text1"/>
          <w:sz w:val="24"/>
          <w:szCs w:val="24"/>
        </w:rPr>
        <w:t>.</w:t>
      </w:r>
    </w:p>
    <w:p w14:paraId="5B7070B8" w14:textId="253AC697"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Art. </w:t>
      </w:r>
      <w:r w:rsidR="00600F1A" w:rsidRPr="00375799">
        <w:rPr>
          <w:rFonts w:eastAsia="Calibri" w:cstheme="minorHAnsi"/>
          <w:color w:val="000000" w:themeColor="text1"/>
          <w:sz w:val="24"/>
          <w:szCs w:val="24"/>
        </w:rPr>
        <w:t>17</w:t>
      </w:r>
      <w:r w:rsidR="00FB4C93">
        <w:rPr>
          <w:rFonts w:eastAsia="Calibri" w:cstheme="minorHAnsi"/>
          <w:color w:val="000000" w:themeColor="text1"/>
          <w:sz w:val="24"/>
          <w:szCs w:val="24"/>
        </w:rPr>
        <w:t>2</w:t>
      </w:r>
      <w:r w:rsidR="00EC790B">
        <w:rPr>
          <w:rFonts w:eastAsia="Calibri" w:cstheme="minorHAnsi"/>
          <w:color w:val="000000" w:themeColor="text1"/>
          <w:sz w:val="24"/>
          <w:szCs w:val="24"/>
        </w:rPr>
        <w:t>.</w:t>
      </w:r>
    </w:p>
    <w:p w14:paraId="03A12694" w14:textId="77777777"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Przepis rozstrzyga kwestię zainicjowania corocznych przeglądów danych osobowych osób uprawnionych do korzystania z zakładowego funduszu świadczeń socjalnych po wejściu w życie ustawy. Przeglądu za rok 2018 pracodawca zobowiązany jest dokonać w terminie do dnia 31 marca 2019 r. </w:t>
      </w:r>
    </w:p>
    <w:p w14:paraId="5851A62D" w14:textId="5AE153F0"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Art. </w:t>
      </w:r>
      <w:r w:rsidR="00600F1A" w:rsidRPr="00375799">
        <w:rPr>
          <w:rFonts w:eastAsia="Calibri" w:cstheme="minorHAnsi"/>
          <w:color w:val="000000" w:themeColor="text1"/>
          <w:sz w:val="24"/>
          <w:szCs w:val="24"/>
        </w:rPr>
        <w:t>17</w:t>
      </w:r>
      <w:r w:rsidR="00FB4C93">
        <w:rPr>
          <w:rFonts w:eastAsia="Calibri" w:cstheme="minorHAnsi"/>
          <w:color w:val="000000" w:themeColor="text1"/>
          <w:sz w:val="24"/>
          <w:szCs w:val="24"/>
        </w:rPr>
        <w:t>3</w:t>
      </w:r>
      <w:r w:rsidR="00EC790B">
        <w:rPr>
          <w:rFonts w:eastAsia="Calibri" w:cstheme="minorHAnsi"/>
          <w:color w:val="000000" w:themeColor="text1"/>
          <w:sz w:val="24"/>
          <w:szCs w:val="24"/>
        </w:rPr>
        <w:t>.</w:t>
      </w:r>
    </w:p>
    <w:p w14:paraId="4F60DED8" w14:textId="77777777" w:rsidR="00341CD6" w:rsidRPr="00375799" w:rsidRDefault="007D0A1E"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Przepis</w:t>
      </w:r>
      <w:r w:rsidR="00341CD6" w:rsidRPr="00375799">
        <w:rPr>
          <w:rFonts w:eastAsia="Calibri" w:cstheme="minorHAnsi"/>
          <w:color w:val="000000" w:themeColor="text1"/>
          <w:sz w:val="24"/>
          <w:szCs w:val="24"/>
        </w:rPr>
        <w:t xml:space="preserve"> zawiera regulacje przejściowe związane z proponowanymi zmianami w ustawie o udostępnianiu informacji gospodarczych i wymianie danych gospodarczych („</w:t>
      </w:r>
      <w:proofErr w:type="spellStart"/>
      <w:r w:rsidR="00341CD6" w:rsidRPr="00375799">
        <w:rPr>
          <w:rFonts w:eastAsia="Calibri" w:cstheme="minorHAnsi"/>
          <w:color w:val="000000" w:themeColor="text1"/>
          <w:sz w:val="24"/>
          <w:szCs w:val="24"/>
        </w:rPr>
        <w:t>u.i.g</w:t>
      </w:r>
      <w:proofErr w:type="spellEnd"/>
      <w:r w:rsidR="00341CD6" w:rsidRPr="00375799">
        <w:rPr>
          <w:rFonts w:eastAsia="Calibri" w:cstheme="minorHAnsi"/>
          <w:color w:val="000000" w:themeColor="text1"/>
          <w:sz w:val="24"/>
          <w:szCs w:val="24"/>
        </w:rPr>
        <w:t>.”).</w:t>
      </w:r>
    </w:p>
    <w:p w14:paraId="5251DDC8" w14:textId="77777777" w:rsidR="00341CD6" w:rsidRPr="00375799" w:rsidRDefault="00341CD6"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Zakłada się, że biuro prowadzące działalność w dniu wejścia w życie ustawy będzie obowiązane dostosować regulamin zarządzania danymi do zmienionych przepisów </w:t>
      </w:r>
      <w:proofErr w:type="spellStart"/>
      <w:r w:rsidRPr="00375799">
        <w:rPr>
          <w:rFonts w:eastAsia="Calibri" w:cstheme="minorHAnsi"/>
          <w:color w:val="000000" w:themeColor="text1"/>
          <w:sz w:val="24"/>
          <w:szCs w:val="24"/>
        </w:rPr>
        <w:t>u.i.g</w:t>
      </w:r>
      <w:proofErr w:type="spellEnd"/>
      <w:r w:rsidRPr="00375799">
        <w:rPr>
          <w:rFonts w:eastAsia="Calibri" w:cstheme="minorHAnsi"/>
          <w:color w:val="000000" w:themeColor="text1"/>
          <w:sz w:val="24"/>
          <w:szCs w:val="24"/>
        </w:rPr>
        <w:t xml:space="preserve">. w terminie 3 miesięcy od dnia wejścia w życie zmiany i dostosowany regulamin przekazać nie później niż w terminie 14 dni od dnia uchwalenia jego zmian ministrowi właściwemu do spraw gospodarki do zatwierdzenia. Do momentu zatwierdzenia dostosowanego regulaminu biuro będzie mogło kontynuować działalność gospodarczą w oparciu o poprzednio zatwierdzony regulamin. </w:t>
      </w:r>
    </w:p>
    <w:p w14:paraId="29B62F47" w14:textId="77777777" w:rsidR="00341CD6" w:rsidRPr="00375799" w:rsidRDefault="00341CD6"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W przypadku nieprzekazania przez biuro informacji gospodarczej ministrowi właściwemu do spraw gospodarki do zatwierdzenia regulaminu zarządzania danymi w ww. terminie, minister właściwy do spraw gospodarki wyda decyzję o zakazie wykonywania działalności gospodarczej przez biuro. Powyższa decyzja skutkuje rozwiązaniem spółki, która prowadzi biuro – w analogiczny sposób następstwa wydania decyzji o zakazie wykonywania działalności gospodarczej przez biuro zostały unormowane w art. 43 ust. 4 </w:t>
      </w:r>
      <w:proofErr w:type="spellStart"/>
      <w:r w:rsidRPr="00375799">
        <w:rPr>
          <w:rFonts w:eastAsia="Calibri" w:cstheme="minorHAnsi"/>
          <w:color w:val="000000" w:themeColor="text1"/>
          <w:sz w:val="24"/>
          <w:szCs w:val="24"/>
        </w:rPr>
        <w:t>u.i.g</w:t>
      </w:r>
      <w:proofErr w:type="spellEnd"/>
      <w:r w:rsidRPr="00375799">
        <w:rPr>
          <w:rFonts w:eastAsia="Calibri" w:cstheme="minorHAnsi"/>
          <w:color w:val="000000" w:themeColor="text1"/>
          <w:sz w:val="24"/>
          <w:szCs w:val="24"/>
        </w:rPr>
        <w:t>.</w:t>
      </w:r>
    </w:p>
    <w:p w14:paraId="4D4086AB" w14:textId="777D50B4" w:rsidR="00341CD6" w:rsidRPr="00375799" w:rsidRDefault="00341CD6"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Należy podkreślić, że określona w ust. 2 sankcja nie pozostaje w zbiegu z innymi środkami represyjnymi unormowanymi w </w:t>
      </w:r>
      <w:proofErr w:type="spellStart"/>
      <w:r w:rsidRPr="00375799">
        <w:rPr>
          <w:rFonts w:eastAsia="Calibri" w:cstheme="minorHAnsi"/>
          <w:color w:val="000000" w:themeColor="text1"/>
          <w:sz w:val="24"/>
          <w:szCs w:val="24"/>
        </w:rPr>
        <w:t>u.i.g</w:t>
      </w:r>
      <w:proofErr w:type="spellEnd"/>
      <w:r w:rsidRPr="00375799">
        <w:rPr>
          <w:rFonts w:eastAsia="Calibri" w:cstheme="minorHAnsi"/>
          <w:color w:val="000000" w:themeColor="text1"/>
          <w:sz w:val="24"/>
          <w:szCs w:val="24"/>
        </w:rPr>
        <w:t xml:space="preserve">., w szczególności z karą pieniężną i zakazem wykonywania działalności gospodarczej przez biuro, o których mowa w art. 43 ust. 2 i 3 </w:t>
      </w:r>
      <w:proofErr w:type="spellStart"/>
      <w:r w:rsidRPr="00375799">
        <w:rPr>
          <w:rFonts w:eastAsia="Calibri" w:cstheme="minorHAnsi"/>
          <w:color w:val="000000" w:themeColor="text1"/>
          <w:sz w:val="24"/>
          <w:szCs w:val="24"/>
        </w:rPr>
        <w:t>u.i.g</w:t>
      </w:r>
      <w:proofErr w:type="spellEnd"/>
      <w:r w:rsidRPr="00375799">
        <w:rPr>
          <w:rFonts w:eastAsia="Calibri" w:cstheme="minorHAnsi"/>
          <w:color w:val="000000" w:themeColor="text1"/>
          <w:sz w:val="24"/>
          <w:szCs w:val="24"/>
        </w:rPr>
        <w:t>. Decyzja oparta na art. 175 ust. 2 projektowanej ustawy zostanie wydana obligatoryjnie po upływie terminu, o którym mowa w ust. 1</w:t>
      </w:r>
      <w:r w:rsidR="006D03AE">
        <w:rPr>
          <w:rFonts w:eastAsia="Calibri" w:cstheme="minorHAnsi"/>
          <w:color w:val="000000" w:themeColor="text1"/>
          <w:sz w:val="24"/>
          <w:szCs w:val="24"/>
        </w:rPr>
        <w:t>,</w:t>
      </w:r>
      <w:r w:rsidRPr="00375799">
        <w:rPr>
          <w:rFonts w:eastAsia="Calibri" w:cstheme="minorHAnsi"/>
          <w:color w:val="000000" w:themeColor="text1"/>
          <w:sz w:val="24"/>
          <w:szCs w:val="24"/>
        </w:rPr>
        <w:t xml:space="preserve"> i zaowocuje zakończeniem działalności gospodarczej biura oraz rozwiązaniem spółki. Termin ten nie może być zmieniony np. na podstawie decyzji ministra właściwego do spraw gospodarki. Środki ujęte natomiast w art. 43 ust. 2 i 3 </w:t>
      </w:r>
      <w:proofErr w:type="spellStart"/>
      <w:r w:rsidRPr="00375799">
        <w:rPr>
          <w:rFonts w:eastAsia="Calibri" w:cstheme="minorHAnsi"/>
          <w:color w:val="000000" w:themeColor="text1"/>
          <w:sz w:val="24"/>
          <w:szCs w:val="24"/>
        </w:rPr>
        <w:t>u.i.g</w:t>
      </w:r>
      <w:proofErr w:type="spellEnd"/>
      <w:r w:rsidRPr="00375799">
        <w:rPr>
          <w:rFonts w:eastAsia="Calibri" w:cstheme="minorHAnsi"/>
          <w:color w:val="000000" w:themeColor="text1"/>
          <w:sz w:val="24"/>
          <w:szCs w:val="24"/>
        </w:rPr>
        <w:t xml:space="preserve">. mogą zostać zastosowane wyłącznie w następstwie przeprowadzonej kontroli, w wyniku której stwierdzono naruszenie przepisów ustawy lub regulaminu i wezwano do usunięcia naruszenia. Termin usunięcia naruszenia w tym przypadku określa organ. Projektowane przepisy przejściowe nie pozostawiają ministrowi właściwemu do spraw gospodarki wyboru: naruszenie obowiązku wyrażonego w ust. 1 zobliguje organ do wydania decyzji o zakazie wykonywania działalności gospodarczej przez biuro, co uczyni bezprzedmiotowym dalsze prowadzenie kontroli działalności gospodarczej i zastosowanie środków, </w:t>
      </w:r>
      <w:r w:rsidR="00DF3A6D">
        <w:rPr>
          <w:rFonts w:eastAsia="Calibri" w:cstheme="minorHAnsi"/>
          <w:color w:val="000000" w:themeColor="text1"/>
          <w:sz w:val="24"/>
          <w:szCs w:val="24"/>
        </w:rPr>
        <w:t>o których mowa w art. 43 ust. 1–</w:t>
      </w:r>
      <w:r w:rsidRPr="00375799">
        <w:rPr>
          <w:rFonts w:eastAsia="Calibri" w:cstheme="minorHAnsi"/>
          <w:color w:val="000000" w:themeColor="text1"/>
          <w:sz w:val="24"/>
          <w:szCs w:val="24"/>
        </w:rPr>
        <w:t xml:space="preserve">3 </w:t>
      </w:r>
      <w:proofErr w:type="spellStart"/>
      <w:r w:rsidRPr="00375799">
        <w:rPr>
          <w:rFonts w:eastAsia="Calibri" w:cstheme="minorHAnsi"/>
          <w:color w:val="000000" w:themeColor="text1"/>
          <w:sz w:val="24"/>
          <w:szCs w:val="24"/>
        </w:rPr>
        <w:t>u.i.g</w:t>
      </w:r>
      <w:proofErr w:type="spellEnd"/>
      <w:r w:rsidRPr="00375799">
        <w:rPr>
          <w:rFonts w:eastAsia="Calibri" w:cstheme="minorHAnsi"/>
          <w:color w:val="000000" w:themeColor="text1"/>
          <w:sz w:val="24"/>
          <w:szCs w:val="24"/>
        </w:rPr>
        <w:t xml:space="preserve">. </w:t>
      </w:r>
    </w:p>
    <w:p w14:paraId="3F7B19B9" w14:textId="31ECB8DF" w:rsidR="00850D88" w:rsidRDefault="006D03AE" w:rsidP="0055107B">
      <w:pPr>
        <w:spacing w:line="276" w:lineRule="auto"/>
        <w:contextualSpacing/>
        <w:jc w:val="both"/>
        <w:rPr>
          <w:rFonts w:eastAsia="Calibri" w:cstheme="minorHAnsi"/>
          <w:color w:val="000000" w:themeColor="text1"/>
          <w:sz w:val="24"/>
          <w:szCs w:val="24"/>
        </w:rPr>
      </w:pPr>
      <w:r>
        <w:rPr>
          <w:rFonts w:eastAsia="Calibri" w:cstheme="minorHAnsi"/>
          <w:color w:val="000000" w:themeColor="text1"/>
          <w:sz w:val="24"/>
          <w:szCs w:val="24"/>
        </w:rPr>
        <w:t>Pon</w:t>
      </w:r>
      <w:r w:rsidR="00341CD6" w:rsidRPr="00375799">
        <w:rPr>
          <w:rFonts w:eastAsia="Calibri" w:cstheme="minorHAnsi"/>
          <w:color w:val="000000" w:themeColor="text1"/>
          <w:sz w:val="24"/>
          <w:szCs w:val="24"/>
        </w:rPr>
        <w:t xml:space="preserve">adto przewiduje się, że regulaminy zarządzania danymi lub zmiany w regulaminach przekazane do zatwierdzenia przez ministra właściwego do spraw gospodarki przed dniem </w:t>
      </w:r>
      <w:r w:rsidR="00341CD6" w:rsidRPr="00375799">
        <w:rPr>
          <w:rFonts w:eastAsia="Calibri" w:cstheme="minorHAnsi"/>
          <w:color w:val="000000" w:themeColor="text1"/>
          <w:sz w:val="24"/>
          <w:szCs w:val="24"/>
        </w:rPr>
        <w:lastRenderedPageBreak/>
        <w:t>wejścia w życie niniejszej ustawy i niezatwierdzone do tego dnia podlegają zwrotowi celem dostosowania do ww. zmian. Jeszcze przed zwrotem zarząd biura, którego dotyczy projektowany ust. 4, będzie miał możliwość uchwalenia zmian dostosowujących regulamin. Przepis nie stawia tym samym w gorszej sytuacji biur, które przekazały regulaminy przed dniem wejścia w życie ustawy.</w:t>
      </w:r>
    </w:p>
    <w:p w14:paraId="49B6956D" w14:textId="04028F06" w:rsidR="00600F1A" w:rsidRDefault="00600F1A" w:rsidP="0055107B">
      <w:pPr>
        <w:spacing w:line="276" w:lineRule="auto"/>
        <w:contextualSpacing/>
        <w:jc w:val="both"/>
        <w:rPr>
          <w:rFonts w:eastAsia="Calibri" w:cstheme="minorHAnsi"/>
          <w:color w:val="000000" w:themeColor="text1"/>
          <w:sz w:val="24"/>
          <w:szCs w:val="24"/>
        </w:rPr>
      </w:pPr>
      <w:r>
        <w:rPr>
          <w:rFonts w:eastAsia="Calibri" w:cstheme="minorHAnsi"/>
          <w:color w:val="000000" w:themeColor="text1"/>
          <w:sz w:val="24"/>
          <w:szCs w:val="24"/>
        </w:rPr>
        <w:t>Art. 17</w:t>
      </w:r>
      <w:r w:rsidR="00FB4C93">
        <w:rPr>
          <w:rFonts w:eastAsia="Calibri" w:cstheme="minorHAnsi"/>
          <w:color w:val="000000" w:themeColor="text1"/>
          <w:sz w:val="24"/>
          <w:szCs w:val="24"/>
        </w:rPr>
        <w:t>4</w:t>
      </w:r>
      <w:r>
        <w:rPr>
          <w:rFonts w:eastAsia="Calibri" w:cstheme="minorHAnsi"/>
          <w:color w:val="000000" w:themeColor="text1"/>
          <w:sz w:val="24"/>
          <w:szCs w:val="24"/>
        </w:rPr>
        <w:t xml:space="preserve">. </w:t>
      </w:r>
    </w:p>
    <w:p w14:paraId="6371161B" w14:textId="617D0459" w:rsidR="00600F1A" w:rsidRDefault="00600F1A"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W postępowaniu o udzielenie zamówienia publicznego wszczętym po wejściu w życie projektowanej ustawy przewiduje się obowiązek uwzględnienia określonych w art. 143e postanowień umownych. Przepis ten przesądza obowiązywanie ustawy do spraw będących w toku w chwili jej wejścia w życie. Jednocześnie wskazana regulacja jest zgodna z zasadą demokratycznego państwa prawnego.</w:t>
      </w:r>
    </w:p>
    <w:p w14:paraId="7C42414D" w14:textId="2F814DC6" w:rsidR="00600F1A" w:rsidRDefault="00600F1A" w:rsidP="0055107B">
      <w:pPr>
        <w:spacing w:line="276" w:lineRule="auto"/>
        <w:contextualSpacing/>
        <w:jc w:val="both"/>
        <w:rPr>
          <w:rFonts w:eastAsia="Calibri" w:cstheme="minorHAnsi"/>
          <w:color w:val="000000" w:themeColor="text1"/>
          <w:sz w:val="24"/>
          <w:szCs w:val="24"/>
        </w:rPr>
      </w:pPr>
      <w:r>
        <w:rPr>
          <w:rFonts w:eastAsia="Calibri" w:cstheme="minorHAnsi"/>
          <w:color w:val="000000" w:themeColor="text1"/>
          <w:sz w:val="24"/>
          <w:szCs w:val="24"/>
        </w:rPr>
        <w:t>Art. 17</w:t>
      </w:r>
      <w:r w:rsidR="00FB4C93">
        <w:rPr>
          <w:rFonts w:eastAsia="Calibri" w:cstheme="minorHAnsi"/>
          <w:color w:val="000000" w:themeColor="text1"/>
          <w:sz w:val="24"/>
          <w:szCs w:val="24"/>
        </w:rPr>
        <w:t>5</w:t>
      </w:r>
      <w:r>
        <w:rPr>
          <w:rFonts w:eastAsia="Calibri" w:cstheme="minorHAnsi"/>
          <w:color w:val="000000" w:themeColor="text1"/>
          <w:sz w:val="24"/>
          <w:szCs w:val="24"/>
        </w:rPr>
        <w:t xml:space="preserve">. </w:t>
      </w:r>
    </w:p>
    <w:p w14:paraId="2094EFCB" w14:textId="2C11E3CB" w:rsidR="00600F1A" w:rsidRDefault="00AF55DB"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Przepis reguluje sytuację podmiotów, które mimo wcześniejszego wystąpienia z wnioskiem o przeprowadzenie uprzednich konsultacji w sprawie mogłyby w dniu wejścia w życie projektowanej ustawy wystąpić z wnioskiem na podstawie art. 57 ust. 1 w brzmieniu przedstawionym w projekcie. W związku z koniecznością rozstrzygnięcia kwestii postępowań wszczętych przed wejściem w życie ustawy proponuje się ich umorzenie.</w:t>
      </w:r>
    </w:p>
    <w:p w14:paraId="61F49F0A" w14:textId="7A694EE5" w:rsidR="00AF55DB" w:rsidRDefault="00AF55DB" w:rsidP="0055107B">
      <w:pPr>
        <w:spacing w:line="276" w:lineRule="auto"/>
        <w:contextualSpacing/>
        <w:jc w:val="both"/>
        <w:rPr>
          <w:rFonts w:eastAsia="Calibri" w:cstheme="minorHAnsi"/>
          <w:color w:val="000000" w:themeColor="text1"/>
          <w:sz w:val="24"/>
          <w:szCs w:val="24"/>
        </w:rPr>
      </w:pPr>
      <w:r>
        <w:rPr>
          <w:rFonts w:eastAsia="Calibri" w:cstheme="minorHAnsi"/>
          <w:color w:val="000000" w:themeColor="text1"/>
          <w:sz w:val="24"/>
          <w:szCs w:val="24"/>
        </w:rPr>
        <w:t>Art. 17</w:t>
      </w:r>
      <w:r w:rsidR="00FB4C93">
        <w:rPr>
          <w:rFonts w:eastAsia="Calibri" w:cstheme="minorHAnsi"/>
          <w:color w:val="000000" w:themeColor="text1"/>
          <w:sz w:val="24"/>
          <w:szCs w:val="24"/>
        </w:rPr>
        <w:t>6</w:t>
      </w:r>
      <w:r>
        <w:rPr>
          <w:rFonts w:eastAsia="Calibri" w:cstheme="minorHAnsi"/>
          <w:color w:val="000000" w:themeColor="text1"/>
          <w:sz w:val="24"/>
          <w:szCs w:val="24"/>
        </w:rPr>
        <w:t>.</w:t>
      </w:r>
    </w:p>
    <w:p w14:paraId="255C3111" w14:textId="77882C7C" w:rsidR="00AF55DB" w:rsidRPr="00375799" w:rsidRDefault="00AF55DB"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Przepis ma na celu pozostawienie czasu pracodawcom na dostosowanie się do przepisów art. 22</w:t>
      </w:r>
      <w:r w:rsidRPr="00375799">
        <w:rPr>
          <w:rFonts w:eastAsia="Calibri" w:cstheme="minorHAnsi"/>
          <w:color w:val="000000" w:themeColor="text1"/>
          <w:sz w:val="24"/>
          <w:szCs w:val="24"/>
          <w:vertAlign w:val="superscript"/>
        </w:rPr>
        <w:t>2</w:t>
      </w:r>
      <w:r w:rsidRPr="00375799">
        <w:rPr>
          <w:rFonts w:eastAsia="Calibri" w:cstheme="minorHAnsi"/>
          <w:color w:val="000000" w:themeColor="text1"/>
          <w:sz w:val="24"/>
          <w:szCs w:val="24"/>
        </w:rPr>
        <w:t xml:space="preserve"> § 2 </w:t>
      </w:r>
      <w:r w:rsidR="004A0674">
        <w:rPr>
          <w:rFonts w:eastAsia="Calibri" w:cstheme="minorHAnsi"/>
          <w:color w:val="000000" w:themeColor="text1"/>
          <w:sz w:val="24"/>
          <w:szCs w:val="24"/>
        </w:rPr>
        <w:t xml:space="preserve">Kodeksu pracy </w:t>
      </w:r>
      <w:r w:rsidRPr="00375799">
        <w:rPr>
          <w:rFonts w:eastAsia="Calibri" w:cstheme="minorHAnsi"/>
          <w:color w:val="000000" w:themeColor="text1"/>
          <w:sz w:val="24"/>
          <w:szCs w:val="24"/>
        </w:rPr>
        <w:t xml:space="preserve">w brzmieniu nadanym niniejszą ustawą. Po zmianie przepisów pracodawca jest obowiązany do uzyskania zgody </w:t>
      </w:r>
      <w:r w:rsidR="004A6E26" w:rsidRPr="00375799">
        <w:rPr>
          <w:rFonts w:eastAsia="Calibri" w:cstheme="minorHAnsi"/>
          <w:color w:val="000000" w:themeColor="text1"/>
          <w:sz w:val="24"/>
          <w:szCs w:val="24"/>
        </w:rPr>
        <w:t>zakładowej organizacji związkowej lub przedstawiciela pracowników wyłonionego w trybie przyjętym u tego pracodawcy</w:t>
      </w:r>
      <w:r w:rsidR="004A6E26"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na stosowanie monitoringu pomieszczeń sanitarnych. W przypadku braku zgody w terminie przewidzianym w ustawie zaprzestaje monitoringu ww. pomieszczeń.</w:t>
      </w:r>
    </w:p>
    <w:p w14:paraId="7096B29C" w14:textId="0FF54FAA"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Art. </w:t>
      </w:r>
      <w:r w:rsidR="00A968D7" w:rsidRPr="00375799">
        <w:rPr>
          <w:rFonts w:eastAsia="Calibri" w:cstheme="minorHAnsi"/>
          <w:color w:val="000000" w:themeColor="text1"/>
          <w:sz w:val="24"/>
          <w:szCs w:val="24"/>
        </w:rPr>
        <w:t>17</w:t>
      </w:r>
      <w:r w:rsidR="00FB4C93">
        <w:rPr>
          <w:rFonts w:eastAsia="Calibri" w:cstheme="minorHAnsi"/>
          <w:color w:val="000000" w:themeColor="text1"/>
          <w:sz w:val="24"/>
          <w:szCs w:val="24"/>
        </w:rPr>
        <w:t>7.</w:t>
      </w:r>
    </w:p>
    <w:p w14:paraId="604EF3CB" w14:textId="77777777"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W artykule przewidziano okresowe zachowanie mocy do dnia wejścia w życie nowych przepisów wykonawczych:</w:t>
      </w:r>
    </w:p>
    <w:p w14:paraId="4FEBACF4" w14:textId="0EE17904"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1) rozporządzenia wydawanego przez ministra właściwego do spraw kultury i ochrony dziedzictwa narodowego na podstawie art. 6 ust. 3 ustawy o ochronie dziedzictwa Fryderyka Chopina</w:t>
      </w:r>
      <w:r w:rsidR="00A968D7">
        <w:rPr>
          <w:rFonts w:eastAsia="Calibri" w:cstheme="minorHAnsi"/>
          <w:color w:val="000000" w:themeColor="text1"/>
          <w:sz w:val="24"/>
          <w:szCs w:val="24"/>
        </w:rPr>
        <w:t>,</w:t>
      </w:r>
    </w:p>
    <w:p w14:paraId="1F56F04C" w14:textId="346A41C4"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2) </w:t>
      </w:r>
      <w:r w:rsidR="00DA54C6" w:rsidRPr="00375799">
        <w:rPr>
          <w:rFonts w:eastAsia="Calibri" w:cstheme="minorHAnsi"/>
          <w:color w:val="000000" w:themeColor="text1"/>
          <w:sz w:val="24"/>
          <w:szCs w:val="24"/>
        </w:rPr>
        <w:t>rozporządzeni</w:t>
      </w:r>
      <w:r w:rsidR="00DA54C6">
        <w:rPr>
          <w:rFonts w:eastAsia="Calibri" w:cstheme="minorHAnsi"/>
          <w:color w:val="000000" w:themeColor="text1"/>
          <w:sz w:val="24"/>
          <w:szCs w:val="24"/>
        </w:rPr>
        <w:t>a</w:t>
      </w:r>
      <w:r w:rsidR="00DA54C6" w:rsidRPr="00375799">
        <w:rPr>
          <w:rFonts w:eastAsia="Calibri" w:cstheme="minorHAnsi"/>
          <w:color w:val="000000" w:themeColor="text1"/>
          <w:sz w:val="24"/>
          <w:szCs w:val="24"/>
        </w:rPr>
        <w:t xml:space="preserve"> </w:t>
      </w:r>
      <w:r w:rsidRPr="00375799">
        <w:rPr>
          <w:rFonts w:eastAsia="Calibri" w:cstheme="minorHAnsi"/>
          <w:color w:val="000000" w:themeColor="text1"/>
          <w:sz w:val="24"/>
          <w:szCs w:val="24"/>
        </w:rPr>
        <w:t xml:space="preserve">wydawanego przez ministra właściwego do spraw wewnętrznych </w:t>
      </w:r>
      <w:r w:rsidR="006D03AE">
        <w:rPr>
          <w:rFonts w:eastAsia="Calibri" w:cstheme="minorHAnsi"/>
          <w:color w:val="000000" w:themeColor="text1"/>
          <w:sz w:val="24"/>
          <w:szCs w:val="24"/>
        </w:rPr>
        <w:t xml:space="preserve">na podstawie </w:t>
      </w:r>
      <w:r w:rsidRPr="00375799">
        <w:rPr>
          <w:rFonts w:eastAsia="Calibri" w:cstheme="minorHAnsi"/>
          <w:color w:val="000000" w:themeColor="text1"/>
          <w:sz w:val="24"/>
          <w:szCs w:val="24"/>
        </w:rPr>
        <w:t>art. 14g ust. 5 ustawy o ochronie przeciwpożarowej</w:t>
      </w:r>
      <w:r w:rsidR="00A968D7">
        <w:rPr>
          <w:rFonts w:eastAsia="Calibri" w:cstheme="minorHAnsi"/>
          <w:color w:val="000000" w:themeColor="text1"/>
          <w:sz w:val="24"/>
          <w:szCs w:val="24"/>
        </w:rPr>
        <w:t>,</w:t>
      </w:r>
    </w:p>
    <w:p w14:paraId="654D5D69" w14:textId="7AEC4C6A"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3) rozporządzeni</w:t>
      </w:r>
      <w:r w:rsidR="006D03AE">
        <w:rPr>
          <w:rFonts w:eastAsia="Calibri" w:cstheme="minorHAnsi"/>
          <w:color w:val="000000" w:themeColor="text1"/>
          <w:sz w:val="24"/>
          <w:szCs w:val="24"/>
        </w:rPr>
        <w:t>a</w:t>
      </w:r>
      <w:r w:rsidRPr="00375799">
        <w:rPr>
          <w:rFonts w:eastAsia="Calibri" w:cstheme="minorHAnsi"/>
          <w:color w:val="000000" w:themeColor="text1"/>
          <w:sz w:val="24"/>
          <w:szCs w:val="24"/>
        </w:rPr>
        <w:t xml:space="preserve"> ministra do spraw pracy </w:t>
      </w:r>
      <w:r w:rsidR="006D03AE">
        <w:rPr>
          <w:rFonts w:eastAsia="Calibri" w:cstheme="minorHAnsi"/>
          <w:color w:val="000000" w:themeColor="text1"/>
          <w:sz w:val="24"/>
          <w:szCs w:val="24"/>
        </w:rPr>
        <w:t xml:space="preserve">wydanego </w:t>
      </w:r>
      <w:r w:rsidRPr="00375799">
        <w:rPr>
          <w:rFonts w:eastAsia="Calibri" w:cstheme="minorHAnsi"/>
          <w:color w:val="000000" w:themeColor="text1"/>
          <w:sz w:val="24"/>
          <w:szCs w:val="24"/>
        </w:rPr>
        <w:t>na podstawie art. 33 ust. 5 ustawy o promocji zatrudnienia i instytucjach rynku pracy</w:t>
      </w:r>
      <w:r w:rsidR="00A968D7">
        <w:rPr>
          <w:rFonts w:eastAsia="Calibri" w:cstheme="minorHAnsi"/>
          <w:color w:val="000000" w:themeColor="text1"/>
          <w:sz w:val="24"/>
          <w:szCs w:val="24"/>
        </w:rPr>
        <w:t>,</w:t>
      </w:r>
    </w:p>
    <w:p w14:paraId="602696E5" w14:textId="66776239" w:rsidR="00A968D7" w:rsidRDefault="001020B1" w:rsidP="0055107B">
      <w:pPr>
        <w:spacing w:line="276" w:lineRule="auto"/>
        <w:contextualSpacing/>
        <w:jc w:val="both"/>
        <w:rPr>
          <w:rFonts w:eastAsia="Calibri" w:cstheme="minorHAnsi"/>
          <w:color w:val="000000" w:themeColor="text1"/>
          <w:sz w:val="24"/>
          <w:szCs w:val="24"/>
        </w:rPr>
      </w:pPr>
      <w:r>
        <w:rPr>
          <w:rFonts w:eastAsia="Calibri" w:cstheme="minorHAnsi"/>
          <w:color w:val="000000" w:themeColor="text1"/>
          <w:sz w:val="24"/>
          <w:szCs w:val="24"/>
        </w:rPr>
        <w:t>4) rozporządzenia</w:t>
      </w:r>
      <w:r w:rsidR="00850D88" w:rsidRPr="00375799">
        <w:rPr>
          <w:rFonts w:eastAsia="Calibri" w:cstheme="minorHAnsi"/>
          <w:color w:val="000000" w:themeColor="text1"/>
          <w:sz w:val="24"/>
          <w:szCs w:val="24"/>
        </w:rPr>
        <w:t xml:space="preserve"> ministra właściwego do spraw środowiska wydan</w:t>
      </w:r>
      <w:r>
        <w:rPr>
          <w:rFonts w:eastAsia="Calibri" w:cstheme="minorHAnsi"/>
          <w:color w:val="000000" w:themeColor="text1"/>
          <w:sz w:val="24"/>
          <w:szCs w:val="24"/>
        </w:rPr>
        <w:t>ego</w:t>
      </w:r>
      <w:r w:rsidR="00850D88" w:rsidRPr="00375799">
        <w:rPr>
          <w:rFonts w:eastAsia="Calibri" w:cstheme="minorHAnsi"/>
          <w:color w:val="000000" w:themeColor="text1"/>
          <w:sz w:val="24"/>
          <w:szCs w:val="24"/>
        </w:rPr>
        <w:t xml:space="preserve"> na podstawie art. 21 ust. 3 ustawy – Prawo łowieckie</w:t>
      </w:r>
      <w:r w:rsidR="00A968D7">
        <w:rPr>
          <w:rFonts w:eastAsia="Calibri" w:cstheme="minorHAnsi"/>
          <w:color w:val="000000" w:themeColor="text1"/>
          <w:sz w:val="24"/>
          <w:szCs w:val="24"/>
        </w:rPr>
        <w:t>,</w:t>
      </w:r>
    </w:p>
    <w:p w14:paraId="6405821F" w14:textId="63CE571D" w:rsidR="00850D88" w:rsidRPr="00375799" w:rsidRDefault="00A968D7" w:rsidP="0055107B">
      <w:pPr>
        <w:spacing w:line="276" w:lineRule="auto"/>
        <w:contextualSpacing/>
        <w:jc w:val="both"/>
        <w:rPr>
          <w:rFonts w:eastAsia="Calibri" w:cstheme="minorHAnsi"/>
          <w:color w:val="000000" w:themeColor="text1"/>
          <w:sz w:val="24"/>
          <w:szCs w:val="24"/>
        </w:rPr>
      </w:pPr>
      <w:r>
        <w:rPr>
          <w:rFonts w:eastAsia="Calibri" w:cstheme="minorHAnsi"/>
          <w:color w:val="000000" w:themeColor="text1"/>
          <w:sz w:val="24"/>
          <w:szCs w:val="24"/>
        </w:rPr>
        <w:t xml:space="preserve">5) rozporządzenia ministra właściwego </w:t>
      </w:r>
      <w:r w:rsidR="00DA54C6">
        <w:rPr>
          <w:rFonts w:eastAsia="Calibri" w:cstheme="minorHAnsi"/>
          <w:color w:val="000000" w:themeColor="text1"/>
          <w:sz w:val="24"/>
          <w:szCs w:val="24"/>
        </w:rPr>
        <w:t xml:space="preserve">do spraw zdrowia wydawanego </w:t>
      </w:r>
      <w:r w:rsidR="00DA54C6" w:rsidRPr="00DA54C6">
        <w:rPr>
          <w:rFonts w:eastAsia="Calibri" w:cstheme="minorHAnsi"/>
          <w:color w:val="000000" w:themeColor="text1"/>
          <w:sz w:val="24"/>
          <w:szCs w:val="24"/>
        </w:rPr>
        <w:t>w porozumieniu z ministrem właściwym do spraw instytucji finansowych</w:t>
      </w:r>
      <w:r w:rsidR="00DA54C6">
        <w:rPr>
          <w:rFonts w:eastAsia="Calibri" w:cstheme="minorHAnsi"/>
          <w:color w:val="000000" w:themeColor="text1"/>
          <w:sz w:val="24"/>
          <w:szCs w:val="24"/>
        </w:rPr>
        <w:t xml:space="preserve"> na podstawie </w:t>
      </w:r>
      <w:r w:rsidR="00DA54C6" w:rsidRPr="006D03AE">
        <w:rPr>
          <w:sz w:val="24"/>
          <w:szCs w:val="24"/>
        </w:rPr>
        <w:t>art. 38 ust. 9 ustawy o działalności ubezpieczeniowej i reasekuracyjnej.</w:t>
      </w:r>
    </w:p>
    <w:p w14:paraId="425DDE91" w14:textId="6B14EF6E"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lastRenderedPageBreak/>
        <w:t>Zachowanie powyższych aktów prawnych jest niezbędne dla zachowania ciągłości prac i działania instytucji objętych dokonywanym</w:t>
      </w:r>
      <w:r w:rsidR="006D03AE">
        <w:rPr>
          <w:rFonts w:eastAsia="Calibri" w:cstheme="minorHAnsi"/>
          <w:color w:val="000000" w:themeColor="text1"/>
          <w:sz w:val="24"/>
          <w:szCs w:val="24"/>
        </w:rPr>
        <w:t>i</w:t>
      </w:r>
      <w:r w:rsidRPr="00375799">
        <w:rPr>
          <w:rFonts w:eastAsia="Calibri" w:cstheme="minorHAnsi"/>
          <w:color w:val="000000" w:themeColor="text1"/>
          <w:sz w:val="24"/>
          <w:szCs w:val="24"/>
        </w:rPr>
        <w:t xml:space="preserve"> w ustawie zmianami przepisów</w:t>
      </w:r>
      <w:r w:rsidR="006D03AE">
        <w:rPr>
          <w:rFonts w:eastAsia="Calibri" w:cstheme="minorHAnsi"/>
          <w:color w:val="000000" w:themeColor="text1"/>
          <w:sz w:val="24"/>
          <w:szCs w:val="24"/>
        </w:rPr>
        <w:t>;</w:t>
      </w:r>
      <w:r w:rsidRPr="00375799">
        <w:rPr>
          <w:rFonts w:eastAsia="Calibri" w:cstheme="minorHAnsi"/>
          <w:color w:val="000000" w:themeColor="text1"/>
          <w:sz w:val="24"/>
          <w:szCs w:val="24"/>
        </w:rPr>
        <w:t xml:space="preserve"> jednocześnie zachowan</w:t>
      </w:r>
      <w:r w:rsidR="006D03AE">
        <w:rPr>
          <w:rFonts w:eastAsia="Calibri" w:cstheme="minorHAnsi"/>
          <w:color w:val="000000" w:themeColor="text1"/>
          <w:sz w:val="24"/>
          <w:szCs w:val="24"/>
        </w:rPr>
        <w:t>i</w:t>
      </w:r>
      <w:r w:rsidRPr="00375799">
        <w:rPr>
          <w:rFonts w:eastAsia="Calibri" w:cstheme="minorHAnsi"/>
          <w:color w:val="000000" w:themeColor="text1"/>
          <w:sz w:val="24"/>
          <w:szCs w:val="24"/>
        </w:rPr>
        <w:t>e w mocy ww. akt</w:t>
      </w:r>
      <w:r w:rsidR="006D03AE">
        <w:rPr>
          <w:rFonts w:eastAsia="Calibri" w:cstheme="minorHAnsi"/>
          <w:color w:val="000000" w:themeColor="text1"/>
          <w:sz w:val="24"/>
          <w:szCs w:val="24"/>
        </w:rPr>
        <w:t>ów</w:t>
      </w:r>
      <w:r w:rsidRPr="00375799">
        <w:rPr>
          <w:rFonts w:eastAsia="Calibri" w:cstheme="minorHAnsi"/>
          <w:color w:val="000000" w:themeColor="text1"/>
          <w:sz w:val="24"/>
          <w:szCs w:val="24"/>
        </w:rPr>
        <w:t xml:space="preserve"> wykonawczych jest zgodne z Zasadami Techniki Prawodawczej, gdyż akty te nie są niezgodne</w:t>
      </w:r>
      <w:r w:rsidR="00A968D7">
        <w:rPr>
          <w:rFonts w:eastAsia="Calibri" w:cstheme="minorHAnsi"/>
          <w:color w:val="000000" w:themeColor="text1"/>
          <w:sz w:val="24"/>
          <w:szCs w:val="24"/>
        </w:rPr>
        <w:t xml:space="preserve"> z</w:t>
      </w:r>
      <w:r w:rsidRPr="00375799">
        <w:rPr>
          <w:rFonts w:eastAsia="Calibri" w:cstheme="minorHAnsi"/>
          <w:color w:val="000000" w:themeColor="text1"/>
          <w:sz w:val="24"/>
          <w:szCs w:val="24"/>
        </w:rPr>
        <w:t xml:space="preserve"> wprowadzaną</w:t>
      </w:r>
      <w:r w:rsidRPr="00375799">
        <w:rPr>
          <w:rFonts w:eastAsia="Calibri" w:cstheme="minorHAnsi"/>
          <w:color w:val="000000" w:themeColor="text1"/>
          <w:sz w:val="24"/>
          <w:szCs w:val="24"/>
          <w:shd w:val="clear" w:color="auto" w:fill="FFFFFF"/>
        </w:rPr>
        <w:t xml:space="preserve"> ustawą.</w:t>
      </w:r>
    </w:p>
    <w:p w14:paraId="26302B75" w14:textId="7A899A9C"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Art. </w:t>
      </w:r>
      <w:r w:rsidR="00AF55DB" w:rsidRPr="00375799">
        <w:rPr>
          <w:rFonts w:eastAsia="Calibri" w:cstheme="minorHAnsi"/>
          <w:color w:val="000000" w:themeColor="text1"/>
          <w:sz w:val="24"/>
          <w:szCs w:val="24"/>
        </w:rPr>
        <w:t>17</w:t>
      </w:r>
      <w:r w:rsidR="00FB4C93">
        <w:rPr>
          <w:rFonts w:eastAsia="Calibri" w:cstheme="minorHAnsi"/>
          <w:color w:val="000000" w:themeColor="text1"/>
          <w:sz w:val="24"/>
          <w:szCs w:val="24"/>
        </w:rPr>
        <w:t>8</w:t>
      </w:r>
      <w:r w:rsidR="00AF55DB">
        <w:rPr>
          <w:rFonts w:eastAsia="Calibri" w:cstheme="minorHAnsi"/>
          <w:color w:val="000000" w:themeColor="text1"/>
          <w:sz w:val="24"/>
          <w:szCs w:val="24"/>
        </w:rPr>
        <w:t>.</w:t>
      </w:r>
    </w:p>
    <w:p w14:paraId="20FFE59F" w14:textId="4496B2CA"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Uchwały Rady gminy w zakresie wzoru deklaracji o wysokości opłaty za gospodarowanie odpadami komunalnymi wydane przed dniem wejścia w życie projektowanej ustawy na podstawie art. 6n ust. 1 pkt 1 ustawy </w:t>
      </w:r>
      <w:r w:rsidR="004A0674">
        <w:rPr>
          <w:rFonts w:eastAsia="Calibri" w:cstheme="minorHAnsi"/>
          <w:color w:val="000000" w:themeColor="text1"/>
          <w:sz w:val="24"/>
          <w:szCs w:val="24"/>
        </w:rPr>
        <w:t xml:space="preserve">z dnia ... </w:t>
      </w:r>
      <w:r w:rsidRPr="00375799">
        <w:rPr>
          <w:rFonts w:eastAsia="Calibri" w:cstheme="minorHAnsi"/>
          <w:color w:val="000000" w:themeColor="text1"/>
          <w:sz w:val="24"/>
          <w:szCs w:val="24"/>
        </w:rPr>
        <w:t xml:space="preserve">o utrzymaniu czystości i porządku w gminach zachowają moc przez okres 12 miesięcy. Zachowanie w życiu dotychczasowych uchwał jest niezbędne z uwagi na konieczność zapewnienia gminom możliwości dokonania nowelizacji ww. aktów prawa miejscowego. Wskazany termin zachowania aktów prawa miejscowego uwzględnia specyfikę procesu uchwałodawczego. </w:t>
      </w:r>
    </w:p>
    <w:p w14:paraId="54A7D08F" w14:textId="050C46DD" w:rsidR="00850D88" w:rsidRPr="00375799"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Art. </w:t>
      </w:r>
      <w:r w:rsidR="00FB4C93">
        <w:rPr>
          <w:rFonts w:eastAsia="Calibri" w:cstheme="minorHAnsi"/>
          <w:color w:val="000000" w:themeColor="text1"/>
          <w:sz w:val="24"/>
          <w:szCs w:val="24"/>
        </w:rPr>
        <w:t>179.</w:t>
      </w:r>
    </w:p>
    <w:p w14:paraId="44F8EDF8" w14:textId="1FEBF914" w:rsidR="00850D88" w:rsidRDefault="00850D88" w:rsidP="0055107B">
      <w:pPr>
        <w:spacing w:line="276" w:lineRule="auto"/>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Projektodawca proponuje wejście w życie ustawy po standardowym, 14-dniowym okresie </w:t>
      </w:r>
      <w:r w:rsidRPr="003654A8">
        <w:rPr>
          <w:rFonts w:eastAsia="Calibri" w:cstheme="minorHAnsi"/>
          <w:i/>
          <w:color w:val="000000" w:themeColor="text1"/>
          <w:sz w:val="24"/>
          <w:szCs w:val="24"/>
        </w:rPr>
        <w:t>vacatio legis</w:t>
      </w:r>
      <w:r w:rsidRPr="00375799">
        <w:rPr>
          <w:rFonts w:eastAsia="Calibri" w:cstheme="minorHAnsi"/>
          <w:color w:val="000000" w:themeColor="text1"/>
          <w:sz w:val="24"/>
          <w:szCs w:val="24"/>
        </w:rPr>
        <w:t xml:space="preserve">, który, mimo niecierpiącej zwłoki konieczności dostosowania przepisów krajowych do przepisów </w:t>
      </w:r>
      <w:r w:rsidR="00DC4B0C" w:rsidRPr="00375799">
        <w:rPr>
          <w:rFonts w:eastAsia="Calibri" w:cstheme="minorHAnsi"/>
          <w:color w:val="000000" w:themeColor="text1"/>
          <w:sz w:val="24"/>
          <w:szCs w:val="24"/>
        </w:rPr>
        <w:t>RODO</w:t>
      </w:r>
      <w:r w:rsidR="00DC4B0C" w:rsidRPr="00375799" w:rsidDel="00DC4B0C">
        <w:rPr>
          <w:rFonts w:eastAsia="Calibri" w:cstheme="minorHAnsi"/>
          <w:color w:val="000000" w:themeColor="text1"/>
          <w:sz w:val="24"/>
          <w:szCs w:val="24"/>
        </w:rPr>
        <w:t xml:space="preserve"> </w:t>
      </w:r>
      <w:r w:rsidRPr="00375799">
        <w:rPr>
          <w:rFonts w:eastAsia="Calibri" w:cstheme="minorHAnsi"/>
          <w:color w:val="000000" w:themeColor="text1"/>
          <w:sz w:val="24"/>
          <w:szCs w:val="24"/>
        </w:rPr>
        <w:t>i nowej ustawy o ochronie danych osobowych, wydaje się być niezbędnym dla zapewnienia adresatom norm możliwości zapoznania się z nimi i prawidłowego wdrożenia, a w konsekwencji zagwarantowania odpowiedn</w:t>
      </w:r>
      <w:r w:rsidR="00C027F2">
        <w:rPr>
          <w:rFonts w:eastAsia="Calibri" w:cstheme="minorHAnsi"/>
          <w:color w:val="000000" w:themeColor="text1"/>
          <w:sz w:val="24"/>
          <w:szCs w:val="24"/>
        </w:rPr>
        <w:t xml:space="preserve">ich standardów legislacyjnych. </w:t>
      </w:r>
      <w:r w:rsidR="001D5606">
        <w:rPr>
          <w:rFonts w:eastAsia="Calibri" w:cstheme="minorHAnsi"/>
          <w:color w:val="000000" w:themeColor="text1"/>
          <w:sz w:val="24"/>
          <w:szCs w:val="24"/>
        </w:rPr>
        <w:t xml:space="preserve">Uzasadnienie dla </w:t>
      </w:r>
      <w:r w:rsidR="004A0674">
        <w:rPr>
          <w:rFonts w:eastAsia="Calibri" w:cstheme="minorHAnsi"/>
          <w:color w:val="000000" w:themeColor="text1"/>
          <w:sz w:val="24"/>
          <w:szCs w:val="24"/>
        </w:rPr>
        <w:t xml:space="preserve">art. 179 </w:t>
      </w:r>
      <w:r w:rsidR="001D5606">
        <w:rPr>
          <w:rFonts w:eastAsia="Calibri" w:cstheme="minorHAnsi"/>
          <w:color w:val="000000" w:themeColor="text1"/>
          <w:sz w:val="24"/>
          <w:szCs w:val="24"/>
        </w:rPr>
        <w:t xml:space="preserve">pkt 1 znajduje się w opisie zmian dotyczących ustawy o dokumentach paszportowych. W </w:t>
      </w:r>
      <w:r w:rsidR="004A0674">
        <w:rPr>
          <w:rFonts w:eastAsia="Calibri" w:cstheme="minorHAnsi"/>
          <w:color w:val="000000" w:themeColor="text1"/>
          <w:sz w:val="24"/>
          <w:szCs w:val="24"/>
        </w:rPr>
        <w:t xml:space="preserve">art. 179 </w:t>
      </w:r>
      <w:r w:rsidR="001D5606">
        <w:rPr>
          <w:rFonts w:eastAsia="Calibri" w:cstheme="minorHAnsi"/>
          <w:color w:val="000000" w:themeColor="text1"/>
          <w:sz w:val="24"/>
          <w:szCs w:val="24"/>
        </w:rPr>
        <w:t>pkt 2 zawarty został przepis o p</w:t>
      </w:r>
      <w:r w:rsidRPr="00375799">
        <w:rPr>
          <w:rFonts w:eastAsia="Calibri" w:cstheme="minorHAnsi"/>
          <w:color w:val="000000" w:themeColor="text1"/>
          <w:sz w:val="24"/>
          <w:szCs w:val="24"/>
        </w:rPr>
        <w:t>rzesunięci</w:t>
      </w:r>
      <w:r w:rsidR="001D5606">
        <w:rPr>
          <w:rFonts w:eastAsia="Calibri" w:cstheme="minorHAnsi"/>
          <w:color w:val="000000" w:themeColor="text1"/>
          <w:sz w:val="24"/>
          <w:szCs w:val="24"/>
        </w:rPr>
        <w:t>u</w:t>
      </w:r>
      <w:r w:rsidRPr="00375799">
        <w:rPr>
          <w:rFonts w:eastAsia="Calibri" w:cstheme="minorHAnsi"/>
          <w:color w:val="000000" w:themeColor="text1"/>
          <w:sz w:val="24"/>
          <w:szCs w:val="24"/>
        </w:rPr>
        <w:t xml:space="preserve"> wejścia w życie przepisów zmieniających ustawę o Państwowym Ratownictwie Medycznym</w:t>
      </w:r>
      <w:r w:rsidR="00C027F2">
        <w:rPr>
          <w:rFonts w:eastAsia="Calibri" w:cstheme="minorHAnsi"/>
          <w:color w:val="000000" w:themeColor="text1"/>
          <w:sz w:val="24"/>
          <w:szCs w:val="24"/>
        </w:rPr>
        <w:t xml:space="preserve">. </w:t>
      </w:r>
      <w:r w:rsidR="001D5606">
        <w:rPr>
          <w:rFonts w:eastAsia="Calibri" w:cstheme="minorHAnsi"/>
          <w:color w:val="000000" w:themeColor="text1"/>
          <w:sz w:val="24"/>
          <w:szCs w:val="24"/>
        </w:rPr>
        <w:t>S</w:t>
      </w:r>
      <w:r w:rsidRPr="00375799">
        <w:rPr>
          <w:rFonts w:eastAsia="Calibri" w:cstheme="minorHAnsi"/>
          <w:color w:val="000000" w:themeColor="text1"/>
          <w:sz w:val="24"/>
          <w:szCs w:val="24"/>
        </w:rPr>
        <w:t xml:space="preserve">powodowane jest </w:t>
      </w:r>
      <w:r w:rsidR="001D5606">
        <w:rPr>
          <w:rFonts w:eastAsia="Calibri" w:cstheme="minorHAnsi"/>
          <w:color w:val="000000" w:themeColor="text1"/>
          <w:sz w:val="24"/>
          <w:szCs w:val="24"/>
        </w:rPr>
        <w:t xml:space="preserve">to </w:t>
      </w:r>
      <w:r w:rsidRPr="00375799">
        <w:rPr>
          <w:rFonts w:eastAsia="Calibri" w:cstheme="minorHAnsi"/>
          <w:color w:val="000000" w:themeColor="text1"/>
          <w:sz w:val="24"/>
          <w:szCs w:val="24"/>
        </w:rPr>
        <w:t>faktem, iż z dniem 1 stycznia 2019 r. wchodzi w życie ustawa zmieniając</w:t>
      </w:r>
      <w:r w:rsidR="006D03AE">
        <w:rPr>
          <w:rFonts w:eastAsia="Calibri" w:cstheme="minorHAnsi"/>
          <w:color w:val="000000" w:themeColor="text1"/>
          <w:sz w:val="24"/>
          <w:szCs w:val="24"/>
        </w:rPr>
        <w:t>a</w:t>
      </w:r>
      <w:r w:rsidRPr="00375799">
        <w:rPr>
          <w:rFonts w:eastAsia="Calibri" w:cstheme="minorHAnsi"/>
          <w:color w:val="000000" w:themeColor="text1"/>
          <w:sz w:val="24"/>
          <w:szCs w:val="24"/>
        </w:rPr>
        <w:t xml:space="preserve"> ustawę o Państwowym Ratownictwie Medycznym przenosząca zadania pomiędzy ministrem właściwym do spraw zdrow</w:t>
      </w:r>
      <w:r w:rsidR="006D03AE">
        <w:rPr>
          <w:rFonts w:eastAsia="Calibri" w:cstheme="minorHAnsi"/>
          <w:color w:val="000000" w:themeColor="text1"/>
          <w:sz w:val="24"/>
          <w:szCs w:val="24"/>
        </w:rPr>
        <w:t>i</w:t>
      </w:r>
      <w:r w:rsidRPr="00375799">
        <w:rPr>
          <w:rFonts w:eastAsia="Calibri" w:cstheme="minorHAnsi"/>
          <w:color w:val="000000" w:themeColor="text1"/>
          <w:sz w:val="24"/>
          <w:szCs w:val="24"/>
        </w:rPr>
        <w:t xml:space="preserve">a a ministrem właściwym do spraw wewnętrznych. </w:t>
      </w:r>
    </w:p>
    <w:p w14:paraId="433A0079" w14:textId="77777777" w:rsidR="001D5606" w:rsidRPr="00375799" w:rsidRDefault="001D5606" w:rsidP="0055107B">
      <w:pPr>
        <w:spacing w:line="276" w:lineRule="auto"/>
        <w:contextualSpacing/>
        <w:jc w:val="both"/>
        <w:rPr>
          <w:rFonts w:eastAsia="Calibri" w:cstheme="minorHAnsi"/>
          <w:color w:val="000000" w:themeColor="text1"/>
          <w:sz w:val="24"/>
          <w:szCs w:val="24"/>
        </w:rPr>
      </w:pPr>
    </w:p>
    <w:p w14:paraId="3B59FE91" w14:textId="00305D3F" w:rsidR="00850D88" w:rsidRPr="00375799" w:rsidRDefault="00850D88" w:rsidP="0055107B">
      <w:pPr>
        <w:keepNext/>
        <w:keepLines/>
        <w:spacing w:after="0" w:line="276" w:lineRule="auto"/>
        <w:ind w:left="57" w:right="57"/>
        <w:contextualSpacing/>
        <w:jc w:val="both"/>
        <w:outlineLvl w:val="1"/>
        <w:rPr>
          <w:rFonts w:eastAsia="Times New Roman" w:cstheme="minorHAnsi"/>
          <w:color w:val="000000" w:themeColor="text1"/>
          <w:sz w:val="24"/>
          <w:szCs w:val="24"/>
        </w:rPr>
      </w:pPr>
      <w:bookmarkStart w:id="170" w:name="_Toc530565141"/>
      <w:r w:rsidRPr="00375799">
        <w:rPr>
          <w:rFonts w:eastAsia="Times New Roman" w:cstheme="minorHAnsi"/>
          <w:color w:val="000000" w:themeColor="text1"/>
          <w:sz w:val="24"/>
          <w:szCs w:val="24"/>
        </w:rPr>
        <w:t>Opis końcow</w:t>
      </w:r>
      <w:r w:rsidR="00B77BA5">
        <w:rPr>
          <w:rFonts w:eastAsia="Times New Roman" w:cstheme="minorHAnsi"/>
          <w:color w:val="000000" w:themeColor="text1"/>
          <w:sz w:val="24"/>
          <w:szCs w:val="24"/>
        </w:rPr>
        <w:t>y – postanowienia wynikające z R</w:t>
      </w:r>
      <w:r w:rsidRPr="00375799">
        <w:rPr>
          <w:rFonts w:eastAsia="Times New Roman" w:cstheme="minorHAnsi"/>
          <w:color w:val="000000" w:themeColor="text1"/>
          <w:sz w:val="24"/>
          <w:szCs w:val="24"/>
        </w:rPr>
        <w:t>egulaminu pracy Rady Ministrów</w:t>
      </w:r>
      <w:bookmarkEnd w:id="170"/>
    </w:p>
    <w:p w14:paraId="0687C5D7"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21BD6F52"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Projekt ustawy jest zgodny z prawem Unii Europejskiej. </w:t>
      </w:r>
    </w:p>
    <w:p w14:paraId="7B6468B0" w14:textId="6E98E4AC"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Projektowana regulacja nie zawiera przepisów technicznych w rozumieniu rozporządzenia Rady Ministrów z dnia 23 grudnia 2002 r. w sprawie sposobu funkcjonowania krajowego systemu notyfikacji norm i aktów prawnych (Dz. U</w:t>
      </w:r>
      <w:r w:rsidR="00DF3A6D">
        <w:rPr>
          <w:rFonts w:eastAsia="Calibri" w:cstheme="minorHAnsi"/>
          <w:color w:val="000000" w:themeColor="text1"/>
          <w:sz w:val="24"/>
          <w:szCs w:val="24"/>
        </w:rPr>
        <w:t>. poz. 2039 oraz z 2004 r. poz. </w:t>
      </w:r>
      <w:r w:rsidRPr="00375799">
        <w:rPr>
          <w:rFonts w:eastAsia="Calibri" w:cstheme="minorHAnsi"/>
          <w:color w:val="000000" w:themeColor="text1"/>
          <w:sz w:val="24"/>
          <w:szCs w:val="24"/>
        </w:rPr>
        <w:t>597) i nie podlega notyfikacji Komisji Europejskiej.</w:t>
      </w:r>
    </w:p>
    <w:p w14:paraId="56112837"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p>
    <w:p w14:paraId="6B409E9E"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Projektowana regulacja nie będzie wymagała notyfikacji Komisji Europejskiej w trybie ustawy z dnia 30 kwietnia 2004 r. o postępowaniu w sprawach dotyczących pomocy publicznej (Dz. U. z 2018 r. poz. 362).</w:t>
      </w:r>
    </w:p>
    <w:p w14:paraId="29120F08" w14:textId="77777777" w:rsidR="00850D88" w:rsidRPr="00375799" w:rsidRDefault="00850D88" w:rsidP="0055107B">
      <w:pPr>
        <w:spacing w:after="0" w:line="276" w:lineRule="auto"/>
        <w:ind w:left="57" w:right="57"/>
        <w:contextualSpacing/>
        <w:jc w:val="both"/>
        <w:rPr>
          <w:rFonts w:eastAsia="Calibri" w:cstheme="minorHAnsi"/>
          <w:color w:val="000000" w:themeColor="text1"/>
          <w:sz w:val="24"/>
          <w:szCs w:val="24"/>
        </w:rPr>
      </w:pPr>
      <w:r w:rsidRPr="00375799">
        <w:rPr>
          <w:rFonts w:eastAsia="Calibri" w:cstheme="minorHAnsi"/>
          <w:color w:val="000000" w:themeColor="text1"/>
          <w:sz w:val="24"/>
          <w:szCs w:val="24"/>
        </w:rPr>
        <w:t xml:space="preserve">Projekt nie wymaga przedstawienia właściwym organom i instytucjom Unii Europejskiej, w tym Europejskiemu Bankowi Centralnemu, w celu uzyskania opinii, dokonania powiadomienia, konsultacji albo uzgodnienia. </w:t>
      </w:r>
    </w:p>
    <w:p w14:paraId="3623A505" w14:textId="167A9982" w:rsidR="00CC283E" w:rsidRPr="00A40189" w:rsidRDefault="00850D88" w:rsidP="00A40189">
      <w:pPr>
        <w:spacing w:after="0" w:line="276" w:lineRule="auto"/>
        <w:ind w:left="57" w:right="57"/>
        <w:contextualSpacing/>
        <w:jc w:val="both"/>
        <w:rPr>
          <w:rFonts w:eastAsia="Calibri" w:cstheme="minorHAnsi"/>
          <w:i/>
          <w:color w:val="000000" w:themeColor="text1"/>
          <w:sz w:val="24"/>
          <w:szCs w:val="24"/>
        </w:rPr>
      </w:pPr>
      <w:r w:rsidRPr="00375799">
        <w:rPr>
          <w:rFonts w:eastAsia="Calibri" w:cstheme="minorHAnsi"/>
          <w:color w:val="000000" w:themeColor="text1"/>
          <w:sz w:val="24"/>
          <w:szCs w:val="24"/>
        </w:rPr>
        <w:lastRenderedPageBreak/>
        <w:t>Projekt ustawy został zamieszczony w Biuletynie Informacji Publicznej na stronie podmiotowej Rządowego Centrum Legislacji, w serwisie „Rządowy Proces Legislacyjny”</w:t>
      </w:r>
      <w:r w:rsidR="006D03AE">
        <w:rPr>
          <w:rFonts w:eastAsia="Calibri" w:cstheme="minorHAnsi"/>
          <w:color w:val="000000" w:themeColor="text1"/>
          <w:sz w:val="24"/>
          <w:szCs w:val="24"/>
        </w:rPr>
        <w:t>,</w:t>
      </w:r>
      <w:r w:rsidRPr="00375799">
        <w:rPr>
          <w:rFonts w:eastAsia="Calibri" w:cstheme="minorHAnsi"/>
          <w:color w:val="000000" w:themeColor="text1"/>
          <w:sz w:val="24"/>
          <w:szCs w:val="24"/>
        </w:rPr>
        <w:t xml:space="preserve"> oraz w Biuletynie Informacji Publicznej na stronie podmiotowej Ministra Cyfryzacji.</w:t>
      </w:r>
    </w:p>
    <w:sectPr w:rsidR="00CC283E" w:rsidRPr="00A40189" w:rsidSect="00686858">
      <w:headerReference w:type="default" r:id="rId10"/>
      <w:footnotePr>
        <w:numRestart w:val="eachSect"/>
      </w:footnotePr>
      <w:pgSz w:w="11906" w:h="16838"/>
      <w:pgMar w:top="1560" w:right="1434" w:bottom="1560" w:left="1134" w:header="709" w:footer="709" w:gutter="0"/>
      <w:cols w:space="708"/>
      <w:titlePg/>
      <w:docGrid w:linePitch="254"/>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41B4066" w14:textId="77777777" w:rsidR="00DF3C4F" w:rsidRDefault="00DF3C4F" w:rsidP="00543D22">
      <w:pPr>
        <w:spacing w:after="0" w:line="240" w:lineRule="auto"/>
      </w:pPr>
      <w:r>
        <w:separator/>
      </w:r>
    </w:p>
  </w:endnote>
  <w:endnote w:type="continuationSeparator" w:id="0">
    <w:p w14:paraId="467DDADE" w14:textId="77777777" w:rsidR="00DF3C4F" w:rsidRDefault="00DF3C4F" w:rsidP="00543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imes">
    <w:panose1 w:val="02020603050405020304"/>
    <w:charset w:val="00"/>
    <w:family w:val="roman"/>
    <w:notTrueType/>
    <w:pitch w:val="variable"/>
    <w:sig w:usb0="00000003" w:usb1="00000000" w:usb2="00000000" w:usb3="00000000" w:csb0="00000001" w:csb1="00000000"/>
  </w:font>
  <w:font w:name="Arial">
    <w:panose1 w:val="020B0604020202020204"/>
    <w:charset w:val="EE"/>
    <w:family w:val="swiss"/>
    <w:pitch w:val="variable"/>
    <w:sig w:usb0="E0002AFF" w:usb1="C0007843" w:usb2="00000009" w:usb3="00000000" w:csb0="000001FF" w:csb1="00000000"/>
  </w:font>
  <w:font w:name="Tahoma">
    <w:panose1 w:val="020B0604030504040204"/>
    <w:charset w:val="EE"/>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Helvetica">
    <w:panose1 w:val="020B0604020202020204"/>
    <w:charset w:val="00"/>
    <w:family w:val="swiss"/>
    <w:notTrueType/>
    <w:pitch w:val="variable"/>
    <w:sig w:usb0="00000003" w:usb1="00000000" w:usb2="00000000" w:usb3="00000000" w:csb0="00000001" w:csb1="00000000"/>
  </w:font>
  <w:font w:name="Fira Sans">
    <w:altName w:val="Cambria Math"/>
    <w:charset w:val="EE"/>
    <w:family w:val="swiss"/>
    <w:pitch w:val="variable"/>
    <w:sig w:usb0="00000001" w:usb1="02000001" w:usb2="00000000" w:usb3="00000000" w:csb0="0000019F" w:csb1="00000000"/>
  </w:font>
  <w:font w:name="Cambria">
    <w:panose1 w:val="02040503050406030204"/>
    <w:charset w:val="EE"/>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380F184F" w14:textId="77777777" w:rsidR="00DF3C4F" w:rsidRDefault="00DF3C4F" w:rsidP="00543D22">
      <w:pPr>
        <w:spacing w:after="0" w:line="240" w:lineRule="auto"/>
      </w:pPr>
      <w:r>
        <w:separator/>
      </w:r>
    </w:p>
  </w:footnote>
  <w:footnote w:type="continuationSeparator" w:id="0">
    <w:p w14:paraId="2C94D5C6" w14:textId="77777777" w:rsidR="00DF3C4F" w:rsidRDefault="00DF3C4F" w:rsidP="00543D22">
      <w:pPr>
        <w:spacing w:after="0" w:line="240" w:lineRule="auto"/>
      </w:pPr>
      <w:r>
        <w:continuationSeparator/>
      </w:r>
    </w:p>
  </w:footnote>
  <w:footnote w:id="1">
    <w:p w14:paraId="433C4059" w14:textId="177F2A2C" w:rsidR="00DF3C4F" w:rsidRDefault="00DF3C4F" w:rsidP="00CF5F32">
      <w:pPr>
        <w:pStyle w:val="NormalnyWeb"/>
        <w:shd w:val="clear" w:color="auto" w:fill="FFFFFF"/>
        <w:spacing w:before="30" w:after="0"/>
        <w:ind w:firstLine="0"/>
        <w:rPr>
          <w:rFonts w:ascii="Fira Sans" w:hAnsi="Fira Sans"/>
          <w:bCs/>
          <w:sz w:val="16"/>
          <w:szCs w:val="16"/>
        </w:rPr>
      </w:pPr>
      <w:r w:rsidRPr="00EE6D95">
        <w:rPr>
          <w:rStyle w:val="Odwoanieprzypisudolnego"/>
        </w:rPr>
        <w:footnoteRef/>
      </w:r>
      <w:r w:rsidRPr="003654A8">
        <w:rPr>
          <w:vertAlign w:val="superscript"/>
        </w:rPr>
        <w:t>)</w:t>
      </w:r>
      <w:r>
        <w:t xml:space="preserve"> </w:t>
      </w:r>
      <w:r>
        <w:rPr>
          <w:rFonts w:ascii="Fira Sans" w:hAnsi="Fira Sans"/>
          <w:bCs/>
          <w:sz w:val="16"/>
          <w:szCs w:val="16"/>
        </w:rPr>
        <w:t xml:space="preserve">Wyrok Trybunału Sprawiedliwości z dnia 9 listopada 2010 r. w sprawie </w:t>
      </w:r>
      <w:proofErr w:type="spellStart"/>
      <w:r>
        <w:rPr>
          <w:rFonts w:ascii="Fira Sans" w:hAnsi="Fira Sans"/>
          <w:bCs/>
          <w:sz w:val="16"/>
          <w:szCs w:val="16"/>
        </w:rPr>
        <w:t>Volker</w:t>
      </w:r>
      <w:proofErr w:type="spellEnd"/>
      <w:r>
        <w:rPr>
          <w:rFonts w:ascii="Fira Sans" w:hAnsi="Fira Sans"/>
          <w:bCs/>
          <w:sz w:val="16"/>
          <w:szCs w:val="16"/>
        </w:rPr>
        <w:t xml:space="preserve"> </w:t>
      </w:r>
      <w:proofErr w:type="spellStart"/>
      <w:r>
        <w:rPr>
          <w:rFonts w:ascii="Fira Sans" w:hAnsi="Fira Sans"/>
          <w:bCs/>
          <w:sz w:val="16"/>
          <w:szCs w:val="16"/>
        </w:rPr>
        <w:t>und</w:t>
      </w:r>
      <w:proofErr w:type="spellEnd"/>
      <w:r>
        <w:rPr>
          <w:rFonts w:ascii="Fira Sans" w:hAnsi="Fira Sans"/>
          <w:bCs/>
          <w:sz w:val="16"/>
          <w:szCs w:val="16"/>
        </w:rPr>
        <w:t xml:space="preserve"> Markus </w:t>
      </w:r>
      <w:proofErr w:type="spellStart"/>
      <w:r>
        <w:rPr>
          <w:rFonts w:ascii="Fira Sans" w:hAnsi="Fira Sans"/>
          <w:bCs/>
          <w:sz w:val="16"/>
          <w:szCs w:val="16"/>
        </w:rPr>
        <w:t>Schecke</w:t>
      </w:r>
      <w:proofErr w:type="spellEnd"/>
      <w:r>
        <w:rPr>
          <w:rFonts w:ascii="Fira Sans" w:hAnsi="Fira Sans"/>
          <w:bCs/>
          <w:sz w:val="16"/>
          <w:szCs w:val="16"/>
        </w:rPr>
        <w:t xml:space="preserve"> </w:t>
      </w:r>
      <w:proofErr w:type="spellStart"/>
      <w:r>
        <w:rPr>
          <w:rFonts w:ascii="Fira Sans" w:hAnsi="Fira Sans"/>
          <w:bCs/>
          <w:sz w:val="16"/>
          <w:szCs w:val="16"/>
        </w:rPr>
        <w:t>GbR</w:t>
      </w:r>
      <w:proofErr w:type="spellEnd"/>
      <w:r>
        <w:rPr>
          <w:rFonts w:ascii="Fira Sans" w:hAnsi="Fira Sans"/>
          <w:bCs/>
          <w:sz w:val="16"/>
          <w:szCs w:val="16"/>
        </w:rPr>
        <w:t xml:space="preserve"> (</w:t>
      </w:r>
      <w:r w:rsidRPr="002C4027">
        <w:rPr>
          <w:rFonts w:ascii="Fira Sans" w:eastAsiaTheme="majorEastAsia" w:hAnsi="Fira Sans"/>
          <w:bCs/>
          <w:sz w:val="16"/>
          <w:szCs w:val="16"/>
        </w:rPr>
        <w:t>C-92/09</w:t>
      </w:r>
      <w:r>
        <w:rPr>
          <w:rFonts w:ascii="Fira Sans" w:hAnsi="Fira Sans"/>
          <w:bCs/>
          <w:sz w:val="16"/>
          <w:szCs w:val="16"/>
        </w:rPr>
        <w:t xml:space="preserve">) i </w:t>
      </w:r>
      <w:proofErr w:type="spellStart"/>
      <w:r>
        <w:rPr>
          <w:rFonts w:ascii="Fira Sans" w:hAnsi="Fira Sans"/>
          <w:bCs/>
          <w:sz w:val="16"/>
          <w:szCs w:val="16"/>
        </w:rPr>
        <w:t>Hartmut</w:t>
      </w:r>
      <w:proofErr w:type="spellEnd"/>
      <w:r>
        <w:rPr>
          <w:rFonts w:ascii="Fira Sans" w:hAnsi="Fira Sans"/>
          <w:bCs/>
          <w:sz w:val="16"/>
          <w:szCs w:val="16"/>
        </w:rPr>
        <w:t xml:space="preserve"> </w:t>
      </w:r>
      <w:proofErr w:type="spellStart"/>
      <w:r>
        <w:rPr>
          <w:rFonts w:ascii="Fira Sans" w:hAnsi="Fira Sans"/>
          <w:bCs/>
          <w:sz w:val="16"/>
          <w:szCs w:val="16"/>
        </w:rPr>
        <w:t>Eifert</w:t>
      </w:r>
      <w:proofErr w:type="spellEnd"/>
      <w:r>
        <w:rPr>
          <w:rFonts w:ascii="Fira Sans" w:hAnsi="Fira Sans"/>
          <w:bCs/>
          <w:sz w:val="16"/>
          <w:szCs w:val="16"/>
        </w:rPr>
        <w:t xml:space="preserve"> (C-93/09) przeciwko Land </w:t>
      </w:r>
      <w:proofErr w:type="spellStart"/>
      <w:r>
        <w:rPr>
          <w:rFonts w:ascii="Fira Sans" w:hAnsi="Fira Sans"/>
          <w:bCs/>
          <w:sz w:val="16"/>
          <w:szCs w:val="16"/>
        </w:rPr>
        <w:t>Hessen</w:t>
      </w:r>
      <w:proofErr w:type="spellEnd"/>
      <w:r>
        <w:rPr>
          <w:rFonts w:ascii="Fira Sans" w:hAnsi="Fira Sans"/>
          <w:bCs/>
          <w:sz w:val="16"/>
          <w:szCs w:val="16"/>
        </w:rPr>
        <w:t>, http://curia.europa.eu/juris/.</w:t>
      </w:r>
    </w:p>
    <w:p w14:paraId="797D5E56" w14:textId="77777777" w:rsidR="00DF3C4F" w:rsidRDefault="00DF3C4F" w:rsidP="00081450">
      <w:pPr>
        <w:pStyle w:val="Tekstprzypisudolnego"/>
        <w:rPr>
          <w:rFonts w:ascii="Times New Roman" w:hAnsi="Times New Roman"/>
          <w:lang w:eastAsia="x-none"/>
        </w:rPr>
      </w:pP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4A59CBC" w14:textId="77777777" w:rsidR="00DF3C4F" w:rsidRDefault="00DF3C4F" w:rsidP="00202A53">
    <w:pPr>
      <w:pStyle w:val="Nagwek"/>
      <w:jc w:val="center"/>
    </w:pPr>
    <w:r>
      <w:t xml:space="preserve">– </w:t>
    </w:r>
    <w:r>
      <w:fldChar w:fldCharType="begin"/>
    </w:r>
    <w:r>
      <w:instrText xml:space="preserve"> PAGE  \* MERGEFORMAT </w:instrText>
    </w:r>
    <w:r>
      <w:fldChar w:fldCharType="separate"/>
    </w:r>
    <w:r w:rsidR="002B1AB1">
      <w:rPr>
        <w:noProof/>
      </w:rPr>
      <w:t>272</w:t>
    </w:r>
    <w:r>
      <w:rPr>
        <w:noProof/>
      </w:rPr>
      <w:fldChar w:fldCharType="end"/>
    </w:r>
    <w: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2C023F4"/>
    <w:multiLevelType w:val="hybridMultilevel"/>
    <w:tmpl w:val="1CDA217C"/>
    <w:lvl w:ilvl="0" w:tplc="FE56C31C">
      <w:start w:val="1"/>
      <w:numFmt w:val="bullet"/>
      <w:lvlText w:val=""/>
      <w:lvlJc w:val="left"/>
      <w:pPr>
        <w:ind w:left="1068" w:hanging="360"/>
      </w:pPr>
      <w:rPr>
        <w:rFonts w:ascii="Symbol" w:hAnsi="Symbol" w:hint="default"/>
      </w:rPr>
    </w:lvl>
    <w:lvl w:ilvl="1" w:tplc="04150003" w:tentative="1">
      <w:start w:val="1"/>
      <w:numFmt w:val="bullet"/>
      <w:lvlText w:val="o"/>
      <w:lvlJc w:val="left"/>
      <w:pPr>
        <w:ind w:left="1788" w:hanging="360"/>
      </w:pPr>
      <w:rPr>
        <w:rFonts w:ascii="Courier New" w:hAnsi="Courier New" w:cs="Courier New" w:hint="default"/>
      </w:rPr>
    </w:lvl>
    <w:lvl w:ilvl="2" w:tplc="04150005" w:tentative="1">
      <w:start w:val="1"/>
      <w:numFmt w:val="bullet"/>
      <w:lvlText w:val=""/>
      <w:lvlJc w:val="left"/>
      <w:pPr>
        <w:ind w:left="2508" w:hanging="360"/>
      </w:pPr>
      <w:rPr>
        <w:rFonts w:ascii="Wingdings" w:hAnsi="Wingdings" w:hint="default"/>
      </w:rPr>
    </w:lvl>
    <w:lvl w:ilvl="3" w:tplc="04150001" w:tentative="1">
      <w:start w:val="1"/>
      <w:numFmt w:val="bullet"/>
      <w:lvlText w:val=""/>
      <w:lvlJc w:val="left"/>
      <w:pPr>
        <w:ind w:left="3228" w:hanging="360"/>
      </w:pPr>
      <w:rPr>
        <w:rFonts w:ascii="Symbol" w:hAnsi="Symbol" w:hint="default"/>
      </w:rPr>
    </w:lvl>
    <w:lvl w:ilvl="4" w:tplc="04150003" w:tentative="1">
      <w:start w:val="1"/>
      <w:numFmt w:val="bullet"/>
      <w:lvlText w:val="o"/>
      <w:lvlJc w:val="left"/>
      <w:pPr>
        <w:ind w:left="3948" w:hanging="360"/>
      </w:pPr>
      <w:rPr>
        <w:rFonts w:ascii="Courier New" w:hAnsi="Courier New" w:cs="Courier New" w:hint="default"/>
      </w:rPr>
    </w:lvl>
    <w:lvl w:ilvl="5" w:tplc="04150005" w:tentative="1">
      <w:start w:val="1"/>
      <w:numFmt w:val="bullet"/>
      <w:lvlText w:val=""/>
      <w:lvlJc w:val="left"/>
      <w:pPr>
        <w:ind w:left="4668" w:hanging="360"/>
      </w:pPr>
      <w:rPr>
        <w:rFonts w:ascii="Wingdings" w:hAnsi="Wingdings" w:hint="default"/>
      </w:rPr>
    </w:lvl>
    <w:lvl w:ilvl="6" w:tplc="04150001" w:tentative="1">
      <w:start w:val="1"/>
      <w:numFmt w:val="bullet"/>
      <w:lvlText w:val=""/>
      <w:lvlJc w:val="left"/>
      <w:pPr>
        <w:ind w:left="5388" w:hanging="360"/>
      </w:pPr>
      <w:rPr>
        <w:rFonts w:ascii="Symbol" w:hAnsi="Symbol" w:hint="default"/>
      </w:rPr>
    </w:lvl>
    <w:lvl w:ilvl="7" w:tplc="04150003" w:tentative="1">
      <w:start w:val="1"/>
      <w:numFmt w:val="bullet"/>
      <w:lvlText w:val="o"/>
      <w:lvlJc w:val="left"/>
      <w:pPr>
        <w:ind w:left="6108" w:hanging="360"/>
      </w:pPr>
      <w:rPr>
        <w:rFonts w:ascii="Courier New" w:hAnsi="Courier New" w:cs="Courier New" w:hint="default"/>
      </w:rPr>
    </w:lvl>
    <w:lvl w:ilvl="8" w:tplc="04150005" w:tentative="1">
      <w:start w:val="1"/>
      <w:numFmt w:val="bullet"/>
      <w:lvlText w:val=""/>
      <w:lvlJc w:val="left"/>
      <w:pPr>
        <w:ind w:left="6828" w:hanging="360"/>
      </w:pPr>
      <w:rPr>
        <w:rFonts w:ascii="Wingdings" w:hAnsi="Wingdings" w:hint="default"/>
      </w:rPr>
    </w:lvl>
  </w:abstractNum>
  <w:abstractNum w:abstractNumId="1">
    <w:nsid w:val="0FF01284"/>
    <w:multiLevelType w:val="hybridMultilevel"/>
    <w:tmpl w:val="0548EC96"/>
    <w:lvl w:ilvl="0" w:tplc="04150011">
      <w:start w:val="1"/>
      <w:numFmt w:val="decimal"/>
      <w:lvlText w:val="%1)"/>
      <w:lvlJc w:val="left"/>
      <w:pPr>
        <w:ind w:left="417" w:hanging="360"/>
      </w:p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2">
    <w:nsid w:val="1D1B3B67"/>
    <w:multiLevelType w:val="hybridMultilevel"/>
    <w:tmpl w:val="301E6B9A"/>
    <w:lvl w:ilvl="0" w:tplc="04150011">
      <w:start w:val="1"/>
      <w:numFmt w:val="decimal"/>
      <w:lvlText w:val="%1)"/>
      <w:lvlJc w:val="left"/>
      <w:pPr>
        <w:ind w:left="417" w:hanging="360"/>
      </w:p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3">
    <w:nsid w:val="28A175CF"/>
    <w:multiLevelType w:val="hybridMultilevel"/>
    <w:tmpl w:val="92F407EC"/>
    <w:lvl w:ilvl="0" w:tplc="04150011">
      <w:start w:val="1"/>
      <w:numFmt w:val="decimal"/>
      <w:lvlText w:val="%1)"/>
      <w:lvlJc w:val="left"/>
      <w:pPr>
        <w:ind w:left="1486" w:hanging="360"/>
      </w:pPr>
    </w:lvl>
    <w:lvl w:ilvl="1" w:tplc="04150019" w:tentative="1">
      <w:start w:val="1"/>
      <w:numFmt w:val="lowerLetter"/>
      <w:lvlText w:val="%2."/>
      <w:lvlJc w:val="left"/>
      <w:pPr>
        <w:ind w:left="2206" w:hanging="360"/>
      </w:pPr>
    </w:lvl>
    <w:lvl w:ilvl="2" w:tplc="0415001B" w:tentative="1">
      <w:start w:val="1"/>
      <w:numFmt w:val="lowerRoman"/>
      <w:lvlText w:val="%3."/>
      <w:lvlJc w:val="right"/>
      <w:pPr>
        <w:ind w:left="2926" w:hanging="180"/>
      </w:pPr>
    </w:lvl>
    <w:lvl w:ilvl="3" w:tplc="0415000F" w:tentative="1">
      <w:start w:val="1"/>
      <w:numFmt w:val="decimal"/>
      <w:lvlText w:val="%4."/>
      <w:lvlJc w:val="left"/>
      <w:pPr>
        <w:ind w:left="3646" w:hanging="360"/>
      </w:pPr>
    </w:lvl>
    <w:lvl w:ilvl="4" w:tplc="04150019" w:tentative="1">
      <w:start w:val="1"/>
      <w:numFmt w:val="lowerLetter"/>
      <w:lvlText w:val="%5."/>
      <w:lvlJc w:val="left"/>
      <w:pPr>
        <w:ind w:left="4366" w:hanging="360"/>
      </w:pPr>
    </w:lvl>
    <w:lvl w:ilvl="5" w:tplc="0415001B" w:tentative="1">
      <w:start w:val="1"/>
      <w:numFmt w:val="lowerRoman"/>
      <w:lvlText w:val="%6."/>
      <w:lvlJc w:val="right"/>
      <w:pPr>
        <w:ind w:left="5086" w:hanging="180"/>
      </w:pPr>
    </w:lvl>
    <w:lvl w:ilvl="6" w:tplc="0415000F" w:tentative="1">
      <w:start w:val="1"/>
      <w:numFmt w:val="decimal"/>
      <w:lvlText w:val="%7."/>
      <w:lvlJc w:val="left"/>
      <w:pPr>
        <w:ind w:left="5806" w:hanging="360"/>
      </w:pPr>
    </w:lvl>
    <w:lvl w:ilvl="7" w:tplc="04150019" w:tentative="1">
      <w:start w:val="1"/>
      <w:numFmt w:val="lowerLetter"/>
      <w:lvlText w:val="%8."/>
      <w:lvlJc w:val="left"/>
      <w:pPr>
        <w:ind w:left="6526" w:hanging="360"/>
      </w:pPr>
    </w:lvl>
    <w:lvl w:ilvl="8" w:tplc="0415001B" w:tentative="1">
      <w:start w:val="1"/>
      <w:numFmt w:val="lowerRoman"/>
      <w:lvlText w:val="%9."/>
      <w:lvlJc w:val="right"/>
      <w:pPr>
        <w:ind w:left="7246" w:hanging="180"/>
      </w:pPr>
    </w:lvl>
  </w:abstractNum>
  <w:abstractNum w:abstractNumId="4">
    <w:nsid w:val="2F440AE8"/>
    <w:multiLevelType w:val="hybridMultilevel"/>
    <w:tmpl w:val="12E43D3A"/>
    <w:lvl w:ilvl="0" w:tplc="04150011">
      <w:start w:val="1"/>
      <w:numFmt w:val="decimal"/>
      <w:lvlText w:val="%1)"/>
      <w:lvlJc w:val="left"/>
      <w:pPr>
        <w:ind w:left="1486" w:hanging="360"/>
      </w:pPr>
    </w:lvl>
    <w:lvl w:ilvl="1" w:tplc="04150019" w:tentative="1">
      <w:start w:val="1"/>
      <w:numFmt w:val="lowerLetter"/>
      <w:lvlText w:val="%2."/>
      <w:lvlJc w:val="left"/>
      <w:pPr>
        <w:ind w:left="2206" w:hanging="360"/>
      </w:pPr>
    </w:lvl>
    <w:lvl w:ilvl="2" w:tplc="0415001B" w:tentative="1">
      <w:start w:val="1"/>
      <w:numFmt w:val="lowerRoman"/>
      <w:lvlText w:val="%3."/>
      <w:lvlJc w:val="right"/>
      <w:pPr>
        <w:ind w:left="2926" w:hanging="180"/>
      </w:pPr>
    </w:lvl>
    <w:lvl w:ilvl="3" w:tplc="0415000F" w:tentative="1">
      <w:start w:val="1"/>
      <w:numFmt w:val="decimal"/>
      <w:lvlText w:val="%4."/>
      <w:lvlJc w:val="left"/>
      <w:pPr>
        <w:ind w:left="3646" w:hanging="360"/>
      </w:pPr>
    </w:lvl>
    <w:lvl w:ilvl="4" w:tplc="04150019" w:tentative="1">
      <w:start w:val="1"/>
      <w:numFmt w:val="lowerLetter"/>
      <w:lvlText w:val="%5."/>
      <w:lvlJc w:val="left"/>
      <w:pPr>
        <w:ind w:left="4366" w:hanging="360"/>
      </w:pPr>
    </w:lvl>
    <w:lvl w:ilvl="5" w:tplc="0415001B" w:tentative="1">
      <w:start w:val="1"/>
      <w:numFmt w:val="lowerRoman"/>
      <w:lvlText w:val="%6."/>
      <w:lvlJc w:val="right"/>
      <w:pPr>
        <w:ind w:left="5086" w:hanging="180"/>
      </w:pPr>
    </w:lvl>
    <w:lvl w:ilvl="6" w:tplc="0415000F" w:tentative="1">
      <w:start w:val="1"/>
      <w:numFmt w:val="decimal"/>
      <w:lvlText w:val="%7."/>
      <w:lvlJc w:val="left"/>
      <w:pPr>
        <w:ind w:left="5806" w:hanging="360"/>
      </w:pPr>
    </w:lvl>
    <w:lvl w:ilvl="7" w:tplc="04150019" w:tentative="1">
      <w:start w:val="1"/>
      <w:numFmt w:val="lowerLetter"/>
      <w:lvlText w:val="%8."/>
      <w:lvlJc w:val="left"/>
      <w:pPr>
        <w:ind w:left="6526" w:hanging="360"/>
      </w:pPr>
    </w:lvl>
    <w:lvl w:ilvl="8" w:tplc="0415001B" w:tentative="1">
      <w:start w:val="1"/>
      <w:numFmt w:val="lowerRoman"/>
      <w:lvlText w:val="%9."/>
      <w:lvlJc w:val="right"/>
      <w:pPr>
        <w:ind w:left="7246" w:hanging="180"/>
      </w:pPr>
    </w:lvl>
  </w:abstractNum>
  <w:abstractNum w:abstractNumId="5">
    <w:nsid w:val="57313977"/>
    <w:multiLevelType w:val="hybridMultilevel"/>
    <w:tmpl w:val="B49C76A0"/>
    <w:lvl w:ilvl="0" w:tplc="04150011">
      <w:start w:val="1"/>
      <w:numFmt w:val="decimal"/>
      <w:lvlText w:val="%1)"/>
      <w:lvlJc w:val="left"/>
      <w:pPr>
        <w:ind w:left="360" w:hanging="360"/>
      </w:p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6">
    <w:nsid w:val="5F07652B"/>
    <w:multiLevelType w:val="hybridMultilevel"/>
    <w:tmpl w:val="CADE21BA"/>
    <w:lvl w:ilvl="0" w:tplc="04150011">
      <w:start w:val="1"/>
      <w:numFmt w:val="decimal"/>
      <w:lvlText w:val="%1)"/>
      <w:lvlJc w:val="left"/>
      <w:pPr>
        <w:ind w:left="417" w:hanging="360"/>
      </w:p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7">
    <w:nsid w:val="65E13CBB"/>
    <w:multiLevelType w:val="hybridMultilevel"/>
    <w:tmpl w:val="A0CE86D2"/>
    <w:lvl w:ilvl="0" w:tplc="C4020D22">
      <w:start w:val="1"/>
      <w:numFmt w:val="decimal"/>
      <w:lvlText w:val="%1)"/>
      <w:lvlJc w:val="left"/>
      <w:pPr>
        <w:ind w:left="417" w:hanging="360"/>
      </w:pPr>
      <w:rPr>
        <w:rFonts w:asciiTheme="minorHAnsi" w:hAnsiTheme="minorHAnsi" w:cstheme="minorHAnsi" w:hint="default"/>
      </w:r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8">
    <w:nsid w:val="732476F5"/>
    <w:multiLevelType w:val="hybridMultilevel"/>
    <w:tmpl w:val="CC52F948"/>
    <w:lvl w:ilvl="0" w:tplc="04150011">
      <w:start w:val="1"/>
      <w:numFmt w:val="decimal"/>
      <w:lvlText w:val="%1)"/>
      <w:lvlJc w:val="left"/>
      <w:pPr>
        <w:ind w:left="417" w:hanging="360"/>
      </w:pPr>
    </w:lvl>
    <w:lvl w:ilvl="1" w:tplc="04150019" w:tentative="1">
      <w:start w:val="1"/>
      <w:numFmt w:val="lowerLetter"/>
      <w:lvlText w:val="%2."/>
      <w:lvlJc w:val="left"/>
      <w:pPr>
        <w:ind w:left="1137" w:hanging="360"/>
      </w:pPr>
    </w:lvl>
    <w:lvl w:ilvl="2" w:tplc="0415001B" w:tentative="1">
      <w:start w:val="1"/>
      <w:numFmt w:val="lowerRoman"/>
      <w:lvlText w:val="%3."/>
      <w:lvlJc w:val="right"/>
      <w:pPr>
        <w:ind w:left="1857" w:hanging="180"/>
      </w:pPr>
    </w:lvl>
    <w:lvl w:ilvl="3" w:tplc="0415000F" w:tentative="1">
      <w:start w:val="1"/>
      <w:numFmt w:val="decimal"/>
      <w:lvlText w:val="%4."/>
      <w:lvlJc w:val="left"/>
      <w:pPr>
        <w:ind w:left="2577" w:hanging="360"/>
      </w:pPr>
    </w:lvl>
    <w:lvl w:ilvl="4" w:tplc="04150019" w:tentative="1">
      <w:start w:val="1"/>
      <w:numFmt w:val="lowerLetter"/>
      <w:lvlText w:val="%5."/>
      <w:lvlJc w:val="left"/>
      <w:pPr>
        <w:ind w:left="3297" w:hanging="360"/>
      </w:pPr>
    </w:lvl>
    <w:lvl w:ilvl="5" w:tplc="0415001B" w:tentative="1">
      <w:start w:val="1"/>
      <w:numFmt w:val="lowerRoman"/>
      <w:lvlText w:val="%6."/>
      <w:lvlJc w:val="right"/>
      <w:pPr>
        <w:ind w:left="4017" w:hanging="180"/>
      </w:pPr>
    </w:lvl>
    <w:lvl w:ilvl="6" w:tplc="0415000F" w:tentative="1">
      <w:start w:val="1"/>
      <w:numFmt w:val="decimal"/>
      <w:lvlText w:val="%7."/>
      <w:lvlJc w:val="left"/>
      <w:pPr>
        <w:ind w:left="4737" w:hanging="360"/>
      </w:pPr>
    </w:lvl>
    <w:lvl w:ilvl="7" w:tplc="04150019" w:tentative="1">
      <w:start w:val="1"/>
      <w:numFmt w:val="lowerLetter"/>
      <w:lvlText w:val="%8."/>
      <w:lvlJc w:val="left"/>
      <w:pPr>
        <w:ind w:left="5457" w:hanging="360"/>
      </w:pPr>
    </w:lvl>
    <w:lvl w:ilvl="8" w:tplc="0415001B" w:tentative="1">
      <w:start w:val="1"/>
      <w:numFmt w:val="lowerRoman"/>
      <w:lvlText w:val="%9."/>
      <w:lvlJc w:val="right"/>
      <w:pPr>
        <w:ind w:left="6177" w:hanging="180"/>
      </w:pPr>
    </w:lvl>
  </w:abstractNum>
  <w:abstractNum w:abstractNumId="9">
    <w:nsid w:val="73AB4556"/>
    <w:multiLevelType w:val="hybridMultilevel"/>
    <w:tmpl w:val="855E0996"/>
    <w:lvl w:ilvl="0" w:tplc="FE56C31C">
      <w:start w:val="1"/>
      <w:numFmt w:val="bullet"/>
      <w:lvlText w:val=""/>
      <w:lvlJc w:val="left"/>
      <w:pPr>
        <w:ind w:left="417" w:hanging="360"/>
      </w:pPr>
      <w:rPr>
        <w:rFonts w:ascii="Symbol" w:hAnsi="Symbol" w:hint="default"/>
      </w:rPr>
    </w:lvl>
    <w:lvl w:ilvl="1" w:tplc="04150003" w:tentative="1">
      <w:start w:val="1"/>
      <w:numFmt w:val="bullet"/>
      <w:lvlText w:val="o"/>
      <w:lvlJc w:val="left"/>
      <w:pPr>
        <w:ind w:left="1137" w:hanging="360"/>
      </w:pPr>
      <w:rPr>
        <w:rFonts w:ascii="Courier New" w:hAnsi="Courier New" w:cs="Courier New" w:hint="default"/>
      </w:rPr>
    </w:lvl>
    <w:lvl w:ilvl="2" w:tplc="04150005" w:tentative="1">
      <w:start w:val="1"/>
      <w:numFmt w:val="bullet"/>
      <w:lvlText w:val=""/>
      <w:lvlJc w:val="left"/>
      <w:pPr>
        <w:ind w:left="1857" w:hanging="360"/>
      </w:pPr>
      <w:rPr>
        <w:rFonts w:ascii="Wingdings" w:hAnsi="Wingdings" w:hint="default"/>
      </w:rPr>
    </w:lvl>
    <w:lvl w:ilvl="3" w:tplc="04150001" w:tentative="1">
      <w:start w:val="1"/>
      <w:numFmt w:val="bullet"/>
      <w:lvlText w:val=""/>
      <w:lvlJc w:val="left"/>
      <w:pPr>
        <w:ind w:left="2577" w:hanging="360"/>
      </w:pPr>
      <w:rPr>
        <w:rFonts w:ascii="Symbol" w:hAnsi="Symbol" w:hint="default"/>
      </w:rPr>
    </w:lvl>
    <w:lvl w:ilvl="4" w:tplc="04150003" w:tentative="1">
      <w:start w:val="1"/>
      <w:numFmt w:val="bullet"/>
      <w:lvlText w:val="o"/>
      <w:lvlJc w:val="left"/>
      <w:pPr>
        <w:ind w:left="3297" w:hanging="360"/>
      </w:pPr>
      <w:rPr>
        <w:rFonts w:ascii="Courier New" w:hAnsi="Courier New" w:cs="Courier New" w:hint="default"/>
      </w:rPr>
    </w:lvl>
    <w:lvl w:ilvl="5" w:tplc="04150005" w:tentative="1">
      <w:start w:val="1"/>
      <w:numFmt w:val="bullet"/>
      <w:lvlText w:val=""/>
      <w:lvlJc w:val="left"/>
      <w:pPr>
        <w:ind w:left="4017" w:hanging="360"/>
      </w:pPr>
      <w:rPr>
        <w:rFonts w:ascii="Wingdings" w:hAnsi="Wingdings" w:hint="default"/>
      </w:rPr>
    </w:lvl>
    <w:lvl w:ilvl="6" w:tplc="04150001" w:tentative="1">
      <w:start w:val="1"/>
      <w:numFmt w:val="bullet"/>
      <w:lvlText w:val=""/>
      <w:lvlJc w:val="left"/>
      <w:pPr>
        <w:ind w:left="4737" w:hanging="360"/>
      </w:pPr>
      <w:rPr>
        <w:rFonts w:ascii="Symbol" w:hAnsi="Symbol" w:hint="default"/>
      </w:rPr>
    </w:lvl>
    <w:lvl w:ilvl="7" w:tplc="04150003" w:tentative="1">
      <w:start w:val="1"/>
      <w:numFmt w:val="bullet"/>
      <w:lvlText w:val="o"/>
      <w:lvlJc w:val="left"/>
      <w:pPr>
        <w:ind w:left="5457" w:hanging="360"/>
      </w:pPr>
      <w:rPr>
        <w:rFonts w:ascii="Courier New" w:hAnsi="Courier New" w:cs="Courier New" w:hint="default"/>
      </w:rPr>
    </w:lvl>
    <w:lvl w:ilvl="8" w:tplc="04150005" w:tentative="1">
      <w:start w:val="1"/>
      <w:numFmt w:val="bullet"/>
      <w:lvlText w:val=""/>
      <w:lvlJc w:val="left"/>
      <w:pPr>
        <w:ind w:left="6177" w:hanging="360"/>
      </w:pPr>
      <w:rPr>
        <w:rFonts w:ascii="Wingdings" w:hAnsi="Wingdings" w:hint="default"/>
      </w:rPr>
    </w:lvl>
  </w:abstractNum>
  <w:abstractNum w:abstractNumId="10">
    <w:nsid w:val="75B02F6B"/>
    <w:multiLevelType w:val="hybridMultilevel"/>
    <w:tmpl w:val="B4C2F920"/>
    <w:lvl w:ilvl="0" w:tplc="93B2B5A2">
      <w:start w:val="1"/>
      <w:numFmt w:val="lowerLetter"/>
      <w:lvlText w:val="%1)"/>
      <w:lvlJc w:val="left"/>
      <w:pPr>
        <w:ind w:left="1126" w:hanging="360"/>
      </w:pPr>
      <w:rPr>
        <w:rFonts w:hint="default"/>
      </w:rPr>
    </w:lvl>
    <w:lvl w:ilvl="1" w:tplc="04150019" w:tentative="1">
      <w:start w:val="1"/>
      <w:numFmt w:val="lowerLetter"/>
      <w:lvlText w:val="%2."/>
      <w:lvlJc w:val="left"/>
      <w:pPr>
        <w:ind w:left="1846" w:hanging="360"/>
      </w:pPr>
    </w:lvl>
    <w:lvl w:ilvl="2" w:tplc="0415001B" w:tentative="1">
      <w:start w:val="1"/>
      <w:numFmt w:val="lowerRoman"/>
      <w:lvlText w:val="%3."/>
      <w:lvlJc w:val="right"/>
      <w:pPr>
        <w:ind w:left="2566" w:hanging="180"/>
      </w:pPr>
    </w:lvl>
    <w:lvl w:ilvl="3" w:tplc="0415000F" w:tentative="1">
      <w:start w:val="1"/>
      <w:numFmt w:val="decimal"/>
      <w:lvlText w:val="%4."/>
      <w:lvlJc w:val="left"/>
      <w:pPr>
        <w:ind w:left="3286" w:hanging="360"/>
      </w:pPr>
    </w:lvl>
    <w:lvl w:ilvl="4" w:tplc="04150019" w:tentative="1">
      <w:start w:val="1"/>
      <w:numFmt w:val="lowerLetter"/>
      <w:lvlText w:val="%5."/>
      <w:lvlJc w:val="left"/>
      <w:pPr>
        <w:ind w:left="4006" w:hanging="360"/>
      </w:pPr>
    </w:lvl>
    <w:lvl w:ilvl="5" w:tplc="0415001B" w:tentative="1">
      <w:start w:val="1"/>
      <w:numFmt w:val="lowerRoman"/>
      <w:lvlText w:val="%6."/>
      <w:lvlJc w:val="right"/>
      <w:pPr>
        <w:ind w:left="4726" w:hanging="180"/>
      </w:pPr>
    </w:lvl>
    <w:lvl w:ilvl="6" w:tplc="0415000F" w:tentative="1">
      <w:start w:val="1"/>
      <w:numFmt w:val="decimal"/>
      <w:lvlText w:val="%7."/>
      <w:lvlJc w:val="left"/>
      <w:pPr>
        <w:ind w:left="5446" w:hanging="360"/>
      </w:pPr>
    </w:lvl>
    <w:lvl w:ilvl="7" w:tplc="04150019" w:tentative="1">
      <w:start w:val="1"/>
      <w:numFmt w:val="lowerLetter"/>
      <w:lvlText w:val="%8."/>
      <w:lvlJc w:val="left"/>
      <w:pPr>
        <w:ind w:left="6166" w:hanging="360"/>
      </w:pPr>
    </w:lvl>
    <w:lvl w:ilvl="8" w:tplc="0415001B" w:tentative="1">
      <w:start w:val="1"/>
      <w:numFmt w:val="lowerRoman"/>
      <w:lvlText w:val="%9."/>
      <w:lvlJc w:val="right"/>
      <w:pPr>
        <w:ind w:left="6886" w:hanging="180"/>
      </w:pPr>
    </w:lvl>
  </w:abstractNum>
  <w:abstractNum w:abstractNumId="11">
    <w:nsid w:val="762127B8"/>
    <w:multiLevelType w:val="hybridMultilevel"/>
    <w:tmpl w:val="F9362DC0"/>
    <w:lvl w:ilvl="0" w:tplc="04150011">
      <w:start w:val="1"/>
      <w:numFmt w:val="decimal"/>
      <w:lvlText w:val="%1)"/>
      <w:lvlJc w:val="left"/>
      <w:pPr>
        <w:ind w:left="1486" w:hanging="360"/>
      </w:pPr>
    </w:lvl>
    <w:lvl w:ilvl="1" w:tplc="04150019" w:tentative="1">
      <w:start w:val="1"/>
      <w:numFmt w:val="lowerLetter"/>
      <w:lvlText w:val="%2."/>
      <w:lvlJc w:val="left"/>
      <w:pPr>
        <w:ind w:left="2206" w:hanging="360"/>
      </w:pPr>
    </w:lvl>
    <w:lvl w:ilvl="2" w:tplc="0415001B" w:tentative="1">
      <w:start w:val="1"/>
      <w:numFmt w:val="lowerRoman"/>
      <w:lvlText w:val="%3."/>
      <w:lvlJc w:val="right"/>
      <w:pPr>
        <w:ind w:left="2926" w:hanging="180"/>
      </w:pPr>
    </w:lvl>
    <w:lvl w:ilvl="3" w:tplc="0415000F" w:tentative="1">
      <w:start w:val="1"/>
      <w:numFmt w:val="decimal"/>
      <w:lvlText w:val="%4."/>
      <w:lvlJc w:val="left"/>
      <w:pPr>
        <w:ind w:left="3646" w:hanging="360"/>
      </w:pPr>
    </w:lvl>
    <w:lvl w:ilvl="4" w:tplc="04150019" w:tentative="1">
      <w:start w:val="1"/>
      <w:numFmt w:val="lowerLetter"/>
      <w:lvlText w:val="%5."/>
      <w:lvlJc w:val="left"/>
      <w:pPr>
        <w:ind w:left="4366" w:hanging="360"/>
      </w:pPr>
    </w:lvl>
    <w:lvl w:ilvl="5" w:tplc="0415001B" w:tentative="1">
      <w:start w:val="1"/>
      <w:numFmt w:val="lowerRoman"/>
      <w:lvlText w:val="%6."/>
      <w:lvlJc w:val="right"/>
      <w:pPr>
        <w:ind w:left="5086" w:hanging="180"/>
      </w:pPr>
    </w:lvl>
    <w:lvl w:ilvl="6" w:tplc="0415000F" w:tentative="1">
      <w:start w:val="1"/>
      <w:numFmt w:val="decimal"/>
      <w:lvlText w:val="%7."/>
      <w:lvlJc w:val="left"/>
      <w:pPr>
        <w:ind w:left="5806" w:hanging="360"/>
      </w:pPr>
    </w:lvl>
    <w:lvl w:ilvl="7" w:tplc="04150019" w:tentative="1">
      <w:start w:val="1"/>
      <w:numFmt w:val="lowerLetter"/>
      <w:lvlText w:val="%8."/>
      <w:lvlJc w:val="left"/>
      <w:pPr>
        <w:ind w:left="6526" w:hanging="360"/>
      </w:pPr>
    </w:lvl>
    <w:lvl w:ilvl="8" w:tplc="0415001B" w:tentative="1">
      <w:start w:val="1"/>
      <w:numFmt w:val="lowerRoman"/>
      <w:lvlText w:val="%9."/>
      <w:lvlJc w:val="right"/>
      <w:pPr>
        <w:ind w:left="7246" w:hanging="180"/>
      </w:pPr>
    </w:lvl>
  </w:abstractNum>
  <w:abstractNum w:abstractNumId="12">
    <w:nsid w:val="7E9C7513"/>
    <w:multiLevelType w:val="hybridMultilevel"/>
    <w:tmpl w:val="6510A5C4"/>
    <w:lvl w:ilvl="0" w:tplc="04150011">
      <w:start w:val="1"/>
      <w:numFmt w:val="decimal"/>
      <w:lvlText w:val="%1)"/>
      <w:lvlJc w:val="left"/>
      <w:pPr>
        <w:ind w:left="1429" w:hanging="360"/>
      </w:pPr>
    </w:lvl>
    <w:lvl w:ilvl="1" w:tplc="04150019" w:tentative="1">
      <w:start w:val="1"/>
      <w:numFmt w:val="lowerLetter"/>
      <w:lvlText w:val="%2."/>
      <w:lvlJc w:val="left"/>
      <w:pPr>
        <w:ind w:left="2149" w:hanging="360"/>
      </w:pPr>
    </w:lvl>
    <w:lvl w:ilvl="2" w:tplc="0415001B" w:tentative="1">
      <w:start w:val="1"/>
      <w:numFmt w:val="lowerRoman"/>
      <w:lvlText w:val="%3."/>
      <w:lvlJc w:val="right"/>
      <w:pPr>
        <w:ind w:left="2869" w:hanging="180"/>
      </w:pPr>
    </w:lvl>
    <w:lvl w:ilvl="3" w:tplc="0415000F" w:tentative="1">
      <w:start w:val="1"/>
      <w:numFmt w:val="decimal"/>
      <w:lvlText w:val="%4."/>
      <w:lvlJc w:val="left"/>
      <w:pPr>
        <w:ind w:left="3589" w:hanging="360"/>
      </w:pPr>
    </w:lvl>
    <w:lvl w:ilvl="4" w:tplc="04150019" w:tentative="1">
      <w:start w:val="1"/>
      <w:numFmt w:val="lowerLetter"/>
      <w:lvlText w:val="%5."/>
      <w:lvlJc w:val="left"/>
      <w:pPr>
        <w:ind w:left="4309" w:hanging="360"/>
      </w:pPr>
    </w:lvl>
    <w:lvl w:ilvl="5" w:tplc="0415001B" w:tentative="1">
      <w:start w:val="1"/>
      <w:numFmt w:val="lowerRoman"/>
      <w:lvlText w:val="%6."/>
      <w:lvlJc w:val="right"/>
      <w:pPr>
        <w:ind w:left="5029" w:hanging="180"/>
      </w:pPr>
    </w:lvl>
    <w:lvl w:ilvl="6" w:tplc="0415000F" w:tentative="1">
      <w:start w:val="1"/>
      <w:numFmt w:val="decimal"/>
      <w:lvlText w:val="%7."/>
      <w:lvlJc w:val="left"/>
      <w:pPr>
        <w:ind w:left="5749" w:hanging="360"/>
      </w:pPr>
    </w:lvl>
    <w:lvl w:ilvl="7" w:tplc="04150019" w:tentative="1">
      <w:start w:val="1"/>
      <w:numFmt w:val="lowerLetter"/>
      <w:lvlText w:val="%8."/>
      <w:lvlJc w:val="left"/>
      <w:pPr>
        <w:ind w:left="6469" w:hanging="360"/>
      </w:pPr>
    </w:lvl>
    <w:lvl w:ilvl="8" w:tplc="0415001B" w:tentative="1">
      <w:start w:val="1"/>
      <w:numFmt w:val="lowerRoman"/>
      <w:lvlText w:val="%9."/>
      <w:lvlJc w:val="right"/>
      <w:pPr>
        <w:ind w:left="7189" w:hanging="180"/>
      </w:pPr>
    </w:lvl>
  </w:abstractNum>
  <w:abstractNum w:abstractNumId="13">
    <w:nsid w:val="7EA0120B"/>
    <w:multiLevelType w:val="hybridMultilevel"/>
    <w:tmpl w:val="DDFCB564"/>
    <w:lvl w:ilvl="0" w:tplc="4ADC32CA">
      <w:start w:val="1"/>
      <w:numFmt w:val="decimal"/>
      <w:pStyle w:val="Spistreci2"/>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13"/>
  </w:num>
  <w:num w:numId="2">
    <w:abstractNumId w:val="3"/>
  </w:num>
  <w:num w:numId="3">
    <w:abstractNumId w:val="12"/>
  </w:num>
  <w:num w:numId="4">
    <w:abstractNumId w:val="9"/>
  </w:num>
  <w:num w:numId="5">
    <w:abstractNumId w:val="7"/>
  </w:num>
  <w:num w:numId="6">
    <w:abstractNumId w:val="5"/>
  </w:num>
  <w:num w:numId="7">
    <w:abstractNumId w:val="2"/>
  </w:num>
  <w:num w:numId="8">
    <w:abstractNumId w:val="11"/>
  </w:num>
  <w:num w:numId="9">
    <w:abstractNumId w:val="8"/>
  </w:num>
  <w:num w:numId="10">
    <w:abstractNumId w:val="0"/>
  </w:num>
  <w:num w:numId="11">
    <w:abstractNumId w:val="6"/>
  </w:num>
  <w:num w:numId="12">
    <w:abstractNumId w:val="10"/>
  </w:num>
  <w:num w:numId="13">
    <w:abstractNumId w:val="4"/>
  </w:num>
  <w:num w:numId="14">
    <w:abstractNumId w:val="1"/>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stylePaneFormatFilter w:val="1028" w:allStyles="0" w:customStyles="0" w:latentStyles="0" w:stylesInUse="1" w:headingStyles="1" w:numberingStyles="0" w:tableStyles="0" w:directFormattingOnRuns="0" w:directFormattingOnParagraphs="0" w:directFormattingOnNumbering="0" w:directFormattingOnTables="0" w:clearFormatting="1" w:top3HeadingStyles="0" w:visibleStyles="0" w:alternateStyleNames="0"/>
  <w:stylePaneSortMethod w:val="0004"/>
  <w:defaultTabStop w:val="708"/>
  <w:hyphenationZone w:val="425"/>
  <w:characterSpacingControl w:val="doNotCompress"/>
  <w:footnotePr>
    <w:numRestart w:val="eachSect"/>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3D22"/>
    <w:rsid w:val="00002B23"/>
    <w:rsid w:val="00004E20"/>
    <w:rsid w:val="00006BF9"/>
    <w:rsid w:val="0001249F"/>
    <w:rsid w:val="0001302B"/>
    <w:rsid w:val="000162C5"/>
    <w:rsid w:val="00016673"/>
    <w:rsid w:val="0002234B"/>
    <w:rsid w:val="0002455E"/>
    <w:rsid w:val="00024633"/>
    <w:rsid w:val="0002736A"/>
    <w:rsid w:val="0002757F"/>
    <w:rsid w:val="00030A07"/>
    <w:rsid w:val="00030C26"/>
    <w:rsid w:val="0003196A"/>
    <w:rsid w:val="00032ACC"/>
    <w:rsid w:val="00036838"/>
    <w:rsid w:val="000372EB"/>
    <w:rsid w:val="000517FC"/>
    <w:rsid w:val="00052847"/>
    <w:rsid w:val="00052BEC"/>
    <w:rsid w:val="00053A1D"/>
    <w:rsid w:val="00053EFC"/>
    <w:rsid w:val="000549CE"/>
    <w:rsid w:val="00060A0B"/>
    <w:rsid w:val="0006137F"/>
    <w:rsid w:val="000637DD"/>
    <w:rsid w:val="0006433F"/>
    <w:rsid w:val="000661CB"/>
    <w:rsid w:val="0007157D"/>
    <w:rsid w:val="000717FE"/>
    <w:rsid w:val="00073081"/>
    <w:rsid w:val="00073605"/>
    <w:rsid w:val="00077AB4"/>
    <w:rsid w:val="00081450"/>
    <w:rsid w:val="00082F73"/>
    <w:rsid w:val="00083210"/>
    <w:rsid w:val="00083B94"/>
    <w:rsid w:val="000876B1"/>
    <w:rsid w:val="000A0A1A"/>
    <w:rsid w:val="000A4ACF"/>
    <w:rsid w:val="000A56FA"/>
    <w:rsid w:val="000A58B1"/>
    <w:rsid w:val="000A7860"/>
    <w:rsid w:val="000B043D"/>
    <w:rsid w:val="000B2D44"/>
    <w:rsid w:val="000B358F"/>
    <w:rsid w:val="000B6356"/>
    <w:rsid w:val="000C33E9"/>
    <w:rsid w:val="000C4BD5"/>
    <w:rsid w:val="000C6BC1"/>
    <w:rsid w:val="000C6EF8"/>
    <w:rsid w:val="000D005B"/>
    <w:rsid w:val="000D5272"/>
    <w:rsid w:val="000D58D8"/>
    <w:rsid w:val="000D5BE9"/>
    <w:rsid w:val="000E0903"/>
    <w:rsid w:val="000E11EC"/>
    <w:rsid w:val="000E1D17"/>
    <w:rsid w:val="000E2928"/>
    <w:rsid w:val="000E6C9A"/>
    <w:rsid w:val="000F04FD"/>
    <w:rsid w:val="000F1D4B"/>
    <w:rsid w:val="000F5261"/>
    <w:rsid w:val="00101D3D"/>
    <w:rsid w:val="001020B1"/>
    <w:rsid w:val="00103010"/>
    <w:rsid w:val="001043FA"/>
    <w:rsid w:val="00110B1C"/>
    <w:rsid w:val="00112004"/>
    <w:rsid w:val="00114E2A"/>
    <w:rsid w:val="00117B43"/>
    <w:rsid w:val="00124040"/>
    <w:rsid w:val="001257D0"/>
    <w:rsid w:val="00125DC3"/>
    <w:rsid w:val="001265F4"/>
    <w:rsid w:val="00132174"/>
    <w:rsid w:val="00133BCC"/>
    <w:rsid w:val="001401FF"/>
    <w:rsid w:val="00141998"/>
    <w:rsid w:val="00143B62"/>
    <w:rsid w:val="00144C9F"/>
    <w:rsid w:val="0014546D"/>
    <w:rsid w:val="00147695"/>
    <w:rsid w:val="00147917"/>
    <w:rsid w:val="001511B6"/>
    <w:rsid w:val="001527E4"/>
    <w:rsid w:val="00152A6B"/>
    <w:rsid w:val="00153B4A"/>
    <w:rsid w:val="00154791"/>
    <w:rsid w:val="0015533A"/>
    <w:rsid w:val="00156EC5"/>
    <w:rsid w:val="00156FBE"/>
    <w:rsid w:val="0016170F"/>
    <w:rsid w:val="00162149"/>
    <w:rsid w:val="00163E54"/>
    <w:rsid w:val="00165003"/>
    <w:rsid w:val="001668C0"/>
    <w:rsid w:val="00171F61"/>
    <w:rsid w:val="001734C1"/>
    <w:rsid w:val="00173A66"/>
    <w:rsid w:val="0017720C"/>
    <w:rsid w:val="00180738"/>
    <w:rsid w:val="001825D2"/>
    <w:rsid w:val="00183BC3"/>
    <w:rsid w:val="00183D92"/>
    <w:rsid w:val="001844A9"/>
    <w:rsid w:val="001921C7"/>
    <w:rsid w:val="001938BD"/>
    <w:rsid w:val="00193A01"/>
    <w:rsid w:val="00195223"/>
    <w:rsid w:val="00195403"/>
    <w:rsid w:val="001958EE"/>
    <w:rsid w:val="00197024"/>
    <w:rsid w:val="001973BE"/>
    <w:rsid w:val="00197F3E"/>
    <w:rsid w:val="001A1951"/>
    <w:rsid w:val="001A1FEC"/>
    <w:rsid w:val="001A26ED"/>
    <w:rsid w:val="001A6F90"/>
    <w:rsid w:val="001B095B"/>
    <w:rsid w:val="001B10D4"/>
    <w:rsid w:val="001B31E8"/>
    <w:rsid w:val="001C075E"/>
    <w:rsid w:val="001C1C4D"/>
    <w:rsid w:val="001C38AA"/>
    <w:rsid w:val="001C577F"/>
    <w:rsid w:val="001C7719"/>
    <w:rsid w:val="001D02DB"/>
    <w:rsid w:val="001D418A"/>
    <w:rsid w:val="001D5606"/>
    <w:rsid w:val="001E3751"/>
    <w:rsid w:val="001F245D"/>
    <w:rsid w:val="001F350B"/>
    <w:rsid w:val="001F5130"/>
    <w:rsid w:val="0020170B"/>
    <w:rsid w:val="00202A53"/>
    <w:rsid w:val="002042A6"/>
    <w:rsid w:val="0020469F"/>
    <w:rsid w:val="0020500C"/>
    <w:rsid w:val="002072E4"/>
    <w:rsid w:val="0021208B"/>
    <w:rsid w:val="002136F9"/>
    <w:rsid w:val="00220146"/>
    <w:rsid w:val="0022090B"/>
    <w:rsid w:val="00220D75"/>
    <w:rsid w:val="00221A13"/>
    <w:rsid w:val="002223D6"/>
    <w:rsid w:val="00223386"/>
    <w:rsid w:val="00223989"/>
    <w:rsid w:val="00231DEE"/>
    <w:rsid w:val="00236320"/>
    <w:rsid w:val="00241850"/>
    <w:rsid w:val="00247242"/>
    <w:rsid w:val="002475E0"/>
    <w:rsid w:val="00250984"/>
    <w:rsid w:val="00250E46"/>
    <w:rsid w:val="00250F97"/>
    <w:rsid w:val="00251E52"/>
    <w:rsid w:val="00252AB5"/>
    <w:rsid w:val="00253794"/>
    <w:rsid w:val="00255CDD"/>
    <w:rsid w:val="00256073"/>
    <w:rsid w:val="00257938"/>
    <w:rsid w:val="00262CDB"/>
    <w:rsid w:val="0026790A"/>
    <w:rsid w:val="002700FA"/>
    <w:rsid w:val="002711A7"/>
    <w:rsid w:val="002735B4"/>
    <w:rsid w:val="00274C3D"/>
    <w:rsid w:val="00277498"/>
    <w:rsid w:val="00280C01"/>
    <w:rsid w:val="00285128"/>
    <w:rsid w:val="002855AB"/>
    <w:rsid w:val="00286D23"/>
    <w:rsid w:val="002879BB"/>
    <w:rsid w:val="002938C4"/>
    <w:rsid w:val="00293E3F"/>
    <w:rsid w:val="00294024"/>
    <w:rsid w:val="00294795"/>
    <w:rsid w:val="002A07A9"/>
    <w:rsid w:val="002A18A0"/>
    <w:rsid w:val="002A4274"/>
    <w:rsid w:val="002A5D0D"/>
    <w:rsid w:val="002A62C1"/>
    <w:rsid w:val="002B1AB1"/>
    <w:rsid w:val="002B3F42"/>
    <w:rsid w:val="002B43B5"/>
    <w:rsid w:val="002C0B01"/>
    <w:rsid w:val="002C3703"/>
    <w:rsid w:val="002C6E7A"/>
    <w:rsid w:val="002D07AD"/>
    <w:rsid w:val="002D42A7"/>
    <w:rsid w:val="002E00B5"/>
    <w:rsid w:val="002E22F5"/>
    <w:rsid w:val="002E22F9"/>
    <w:rsid w:val="002E3216"/>
    <w:rsid w:val="002F35D6"/>
    <w:rsid w:val="0030020B"/>
    <w:rsid w:val="00300274"/>
    <w:rsid w:val="00303200"/>
    <w:rsid w:val="00304E74"/>
    <w:rsid w:val="00306046"/>
    <w:rsid w:val="00307C32"/>
    <w:rsid w:val="00310C3A"/>
    <w:rsid w:val="00310F83"/>
    <w:rsid w:val="0031227D"/>
    <w:rsid w:val="00314728"/>
    <w:rsid w:val="00315986"/>
    <w:rsid w:val="00316680"/>
    <w:rsid w:val="00316F79"/>
    <w:rsid w:val="00320423"/>
    <w:rsid w:val="00322353"/>
    <w:rsid w:val="00326C16"/>
    <w:rsid w:val="00327CF7"/>
    <w:rsid w:val="0033121E"/>
    <w:rsid w:val="00331531"/>
    <w:rsid w:val="00334704"/>
    <w:rsid w:val="00340C88"/>
    <w:rsid w:val="00341364"/>
    <w:rsid w:val="00341A6A"/>
    <w:rsid w:val="00341CD6"/>
    <w:rsid w:val="00343546"/>
    <w:rsid w:val="0034486B"/>
    <w:rsid w:val="003503EC"/>
    <w:rsid w:val="00352068"/>
    <w:rsid w:val="00355190"/>
    <w:rsid w:val="00357EAC"/>
    <w:rsid w:val="003613C5"/>
    <w:rsid w:val="00362F61"/>
    <w:rsid w:val="00364A68"/>
    <w:rsid w:val="00364B42"/>
    <w:rsid w:val="003654A8"/>
    <w:rsid w:val="00366565"/>
    <w:rsid w:val="00371369"/>
    <w:rsid w:val="0037396F"/>
    <w:rsid w:val="00375799"/>
    <w:rsid w:val="0037589C"/>
    <w:rsid w:val="00375D4C"/>
    <w:rsid w:val="003831A3"/>
    <w:rsid w:val="00383B39"/>
    <w:rsid w:val="00383EFC"/>
    <w:rsid w:val="003860E0"/>
    <w:rsid w:val="00386689"/>
    <w:rsid w:val="00390C22"/>
    <w:rsid w:val="00391A9A"/>
    <w:rsid w:val="00391FAA"/>
    <w:rsid w:val="00392E58"/>
    <w:rsid w:val="00393127"/>
    <w:rsid w:val="0039405D"/>
    <w:rsid w:val="003954E5"/>
    <w:rsid w:val="003A24C1"/>
    <w:rsid w:val="003A39E5"/>
    <w:rsid w:val="003A3B17"/>
    <w:rsid w:val="003A431F"/>
    <w:rsid w:val="003A5E61"/>
    <w:rsid w:val="003A6714"/>
    <w:rsid w:val="003A7EE1"/>
    <w:rsid w:val="003B1D59"/>
    <w:rsid w:val="003B243E"/>
    <w:rsid w:val="003B33B9"/>
    <w:rsid w:val="003B7486"/>
    <w:rsid w:val="003C7B4F"/>
    <w:rsid w:val="003D0090"/>
    <w:rsid w:val="003D0492"/>
    <w:rsid w:val="003D129F"/>
    <w:rsid w:val="003D1368"/>
    <w:rsid w:val="003D1D77"/>
    <w:rsid w:val="003D3EE4"/>
    <w:rsid w:val="003D41A7"/>
    <w:rsid w:val="003D4901"/>
    <w:rsid w:val="003E0B08"/>
    <w:rsid w:val="003E6899"/>
    <w:rsid w:val="003E7122"/>
    <w:rsid w:val="003F0B2E"/>
    <w:rsid w:val="003F1D61"/>
    <w:rsid w:val="003F3117"/>
    <w:rsid w:val="003F3B15"/>
    <w:rsid w:val="003F4602"/>
    <w:rsid w:val="00403E8B"/>
    <w:rsid w:val="00403F2D"/>
    <w:rsid w:val="00404439"/>
    <w:rsid w:val="00406959"/>
    <w:rsid w:val="00407A6E"/>
    <w:rsid w:val="00414365"/>
    <w:rsid w:val="00431995"/>
    <w:rsid w:val="0043580C"/>
    <w:rsid w:val="0043734D"/>
    <w:rsid w:val="004506D8"/>
    <w:rsid w:val="0045144A"/>
    <w:rsid w:val="00453774"/>
    <w:rsid w:val="004558C5"/>
    <w:rsid w:val="00455A4F"/>
    <w:rsid w:val="004567CF"/>
    <w:rsid w:val="00460565"/>
    <w:rsid w:val="00460DA2"/>
    <w:rsid w:val="00462ACA"/>
    <w:rsid w:val="00465823"/>
    <w:rsid w:val="00467EFC"/>
    <w:rsid w:val="00471DF9"/>
    <w:rsid w:val="004737BA"/>
    <w:rsid w:val="0047570E"/>
    <w:rsid w:val="00476B2E"/>
    <w:rsid w:val="00480FB1"/>
    <w:rsid w:val="0048197B"/>
    <w:rsid w:val="00481BA0"/>
    <w:rsid w:val="004856FF"/>
    <w:rsid w:val="00485A1D"/>
    <w:rsid w:val="00487DFA"/>
    <w:rsid w:val="0049036F"/>
    <w:rsid w:val="00490A3E"/>
    <w:rsid w:val="00497F65"/>
    <w:rsid w:val="004A0674"/>
    <w:rsid w:val="004A1B16"/>
    <w:rsid w:val="004A6E26"/>
    <w:rsid w:val="004A7298"/>
    <w:rsid w:val="004B0F3E"/>
    <w:rsid w:val="004B69A8"/>
    <w:rsid w:val="004C0458"/>
    <w:rsid w:val="004C0B65"/>
    <w:rsid w:val="004C6263"/>
    <w:rsid w:val="004D226C"/>
    <w:rsid w:val="004D30BD"/>
    <w:rsid w:val="004D4209"/>
    <w:rsid w:val="004D433B"/>
    <w:rsid w:val="004D79F6"/>
    <w:rsid w:val="004E205C"/>
    <w:rsid w:val="004E6005"/>
    <w:rsid w:val="004F127E"/>
    <w:rsid w:val="004F35C1"/>
    <w:rsid w:val="005014B0"/>
    <w:rsid w:val="00507309"/>
    <w:rsid w:val="0051073B"/>
    <w:rsid w:val="0051184F"/>
    <w:rsid w:val="005129A9"/>
    <w:rsid w:val="00514251"/>
    <w:rsid w:val="00514643"/>
    <w:rsid w:val="005150C7"/>
    <w:rsid w:val="005231C8"/>
    <w:rsid w:val="00525C72"/>
    <w:rsid w:val="00525EEA"/>
    <w:rsid w:val="00527206"/>
    <w:rsid w:val="005301DD"/>
    <w:rsid w:val="00532795"/>
    <w:rsid w:val="00533ECE"/>
    <w:rsid w:val="005354DC"/>
    <w:rsid w:val="00543D22"/>
    <w:rsid w:val="005461CF"/>
    <w:rsid w:val="00546CC0"/>
    <w:rsid w:val="005472AC"/>
    <w:rsid w:val="005502E3"/>
    <w:rsid w:val="0055107B"/>
    <w:rsid w:val="00551472"/>
    <w:rsid w:val="005622CA"/>
    <w:rsid w:val="00565FD5"/>
    <w:rsid w:val="00567918"/>
    <w:rsid w:val="0057101B"/>
    <w:rsid w:val="005809D4"/>
    <w:rsid w:val="0058782F"/>
    <w:rsid w:val="00590B80"/>
    <w:rsid w:val="00591056"/>
    <w:rsid w:val="00593F10"/>
    <w:rsid w:val="00595B63"/>
    <w:rsid w:val="0059614E"/>
    <w:rsid w:val="005961AA"/>
    <w:rsid w:val="005970B3"/>
    <w:rsid w:val="005973E9"/>
    <w:rsid w:val="005A1481"/>
    <w:rsid w:val="005A1F80"/>
    <w:rsid w:val="005B310A"/>
    <w:rsid w:val="005B36DB"/>
    <w:rsid w:val="005B37FA"/>
    <w:rsid w:val="005B3E45"/>
    <w:rsid w:val="005B4E17"/>
    <w:rsid w:val="005C5F18"/>
    <w:rsid w:val="005C750E"/>
    <w:rsid w:val="005C78AA"/>
    <w:rsid w:val="005D2366"/>
    <w:rsid w:val="005D445A"/>
    <w:rsid w:val="005D4EE9"/>
    <w:rsid w:val="005D5A99"/>
    <w:rsid w:val="005D6D62"/>
    <w:rsid w:val="005D6DD1"/>
    <w:rsid w:val="005D7008"/>
    <w:rsid w:val="005D78C0"/>
    <w:rsid w:val="005E0227"/>
    <w:rsid w:val="005E1B8D"/>
    <w:rsid w:val="005E2B3D"/>
    <w:rsid w:val="005E55BB"/>
    <w:rsid w:val="005F2D44"/>
    <w:rsid w:val="005F743B"/>
    <w:rsid w:val="00600F1A"/>
    <w:rsid w:val="00604557"/>
    <w:rsid w:val="00604E09"/>
    <w:rsid w:val="00606CD2"/>
    <w:rsid w:val="00606ECE"/>
    <w:rsid w:val="00611AD5"/>
    <w:rsid w:val="006168AA"/>
    <w:rsid w:val="00616ECB"/>
    <w:rsid w:val="006175CE"/>
    <w:rsid w:val="00621795"/>
    <w:rsid w:val="00624081"/>
    <w:rsid w:val="00624CA4"/>
    <w:rsid w:val="006265EE"/>
    <w:rsid w:val="00632320"/>
    <w:rsid w:val="00633235"/>
    <w:rsid w:val="00633AC2"/>
    <w:rsid w:val="00634740"/>
    <w:rsid w:val="00641051"/>
    <w:rsid w:val="006428C4"/>
    <w:rsid w:val="00647AB0"/>
    <w:rsid w:val="00650A48"/>
    <w:rsid w:val="00651B7C"/>
    <w:rsid w:val="00652CE4"/>
    <w:rsid w:val="00654DF7"/>
    <w:rsid w:val="0065798A"/>
    <w:rsid w:val="0066253E"/>
    <w:rsid w:val="00663921"/>
    <w:rsid w:val="00664BC3"/>
    <w:rsid w:val="006708D2"/>
    <w:rsid w:val="00674348"/>
    <w:rsid w:val="00676731"/>
    <w:rsid w:val="00676F1A"/>
    <w:rsid w:val="00681DD5"/>
    <w:rsid w:val="00684881"/>
    <w:rsid w:val="00684B25"/>
    <w:rsid w:val="00686858"/>
    <w:rsid w:val="00686DD6"/>
    <w:rsid w:val="0068770C"/>
    <w:rsid w:val="00695995"/>
    <w:rsid w:val="006A5AF9"/>
    <w:rsid w:val="006B06B5"/>
    <w:rsid w:val="006B1CE7"/>
    <w:rsid w:val="006B34D8"/>
    <w:rsid w:val="006B49D5"/>
    <w:rsid w:val="006B7EB0"/>
    <w:rsid w:val="006C0624"/>
    <w:rsid w:val="006C07B5"/>
    <w:rsid w:val="006C4AA9"/>
    <w:rsid w:val="006C4BE8"/>
    <w:rsid w:val="006C4C71"/>
    <w:rsid w:val="006C61FA"/>
    <w:rsid w:val="006D03AE"/>
    <w:rsid w:val="006D286C"/>
    <w:rsid w:val="006D2A4D"/>
    <w:rsid w:val="006E00BC"/>
    <w:rsid w:val="006E24B9"/>
    <w:rsid w:val="006E530E"/>
    <w:rsid w:val="006E53FE"/>
    <w:rsid w:val="006E5635"/>
    <w:rsid w:val="006E6B5F"/>
    <w:rsid w:val="006E758F"/>
    <w:rsid w:val="006E7AC1"/>
    <w:rsid w:val="006F1710"/>
    <w:rsid w:val="006F2E9F"/>
    <w:rsid w:val="006F4196"/>
    <w:rsid w:val="006F686C"/>
    <w:rsid w:val="00700214"/>
    <w:rsid w:val="00701F3A"/>
    <w:rsid w:val="007026A7"/>
    <w:rsid w:val="007036CB"/>
    <w:rsid w:val="00706433"/>
    <w:rsid w:val="007072E2"/>
    <w:rsid w:val="00710AEB"/>
    <w:rsid w:val="00713DA6"/>
    <w:rsid w:val="0071571F"/>
    <w:rsid w:val="00722707"/>
    <w:rsid w:val="00726E84"/>
    <w:rsid w:val="00731061"/>
    <w:rsid w:val="00732F55"/>
    <w:rsid w:val="00735DC6"/>
    <w:rsid w:val="0073692F"/>
    <w:rsid w:val="007501CB"/>
    <w:rsid w:val="00750245"/>
    <w:rsid w:val="0075056A"/>
    <w:rsid w:val="00757D42"/>
    <w:rsid w:val="00760F78"/>
    <w:rsid w:val="00762F41"/>
    <w:rsid w:val="007659FB"/>
    <w:rsid w:val="0076655E"/>
    <w:rsid w:val="00771528"/>
    <w:rsid w:val="007728F2"/>
    <w:rsid w:val="007737D7"/>
    <w:rsid w:val="00775375"/>
    <w:rsid w:val="00781C84"/>
    <w:rsid w:val="0078314A"/>
    <w:rsid w:val="00784A6C"/>
    <w:rsid w:val="00784B25"/>
    <w:rsid w:val="00786344"/>
    <w:rsid w:val="007871CA"/>
    <w:rsid w:val="007914E8"/>
    <w:rsid w:val="00793268"/>
    <w:rsid w:val="007935C5"/>
    <w:rsid w:val="00793888"/>
    <w:rsid w:val="0079496E"/>
    <w:rsid w:val="007A0346"/>
    <w:rsid w:val="007A38AE"/>
    <w:rsid w:val="007A4F9F"/>
    <w:rsid w:val="007B23C7"/>
    <w:rsid w:val="007B366E"/>
    <w:rsid w:val="007B57DE"/>
    <w:rsid w:val="007B5BC3"/>
    <w:rsid w:val="007B7709"/>
    <w:rsid w:val="007C1992"/>
    <w:rsid w:val="007C23D9"/>
    <w:rsid w:val="007D052F"/>
    <w:rsid w:val="007D0A1E"/>
    <w:rsid w:val="007D6D86"/>
    <w:rsid w:val="007D7370"/>
    <w:rsid w:val="007E409E"/>
    <w:rsid w:val="007F2DFB"/>
    <w:rsid w:val="007F3219"/>
    <w:rsid w:val="007F34AF"/>
    <w:rsid w:val="007F46EA"/>
    <w:rsid w:val="007F724E"/>
    <w:rsid w:val="00800D85"/>
    <w:rsid w:val="0080305F"/>
    <w:rsid w:val="0081022E"/>
    <w:rsid w:val="00811CE3"/>
    <w:rsid w:val="008175D1"/>
    <w:rsid w:val="00817BAB"/>
    <w:rsid w:val="0082120B"/>
    <w:rsid w:val="00821382"/>
    <w:rsid w:val="00824F1E"/>
    <w:rsid w:val="008321AE"/>
    <w:rsid w:val="008329AD"/>
    <w:rsid w:val="00833A0A"/>
    <w:rsid w:val="008341B7"/>
    <w:rsid w:val="0083436D"/>
    <w:rsid w:val="008400E8"/>
    <w:rsid w:val="00843A4A"/>
    <w:rsid w:val="00843D0F"/>
    <w:rsid w:val="00844EC3"/>
    <w:rsid w:val="00846477"/>
    <w:rsid w:val="00846E17"/>
    <w:rsid w:val="00847396"/>
    <w:rsid w:val="00847C43"/>
    <w:rsid w:val="00850D88"/>
    <w:rsid w:val="00852AFD"/>
    <w:rsid w:val="0085551C"/>
    <w:rsid w:val="008574A6"/>
    <w:rsid w:val="00862B1C"/>
    <w:rsid w:val="00864389"/>
    <w:rsid w:val="00864517"/>
    <w:rsid w:val="0086548A"/>
    <w:rsid w:val="008706DD"/>
    <w:rsid w:val="008762ED"/>
    <w:rsid w:val="00876352"/>
    <w:rsid w:val="00876815"/>
    <w:rsid w:val="00876E93"/>
    <w:rsid w:val="0087701C"/>
    <w:rsid w:val="00882167"/>
    <w:rsid w:val="008855B6"/>
    <w:rsid w:val="00892515"/>
    <w:rsid w:val="008960E2"/>
    <w:rsid w:val="00896526"/>
    <w:rsid w:val="008A1672"/>
    <w:rsid w:val="008A6127"/>
    <w:rsid w:val="008B1F0B"/>
    <w:rsid w:val="008B54E8"/>
    <w:rsid w:val="008C5FF2"/>
    <w:rsid w:val="008C73ED"/>
    <w:rsid w:val="008D1F98"/>
    <w:rsid w:val="008D2C9A"/>
    <w:rsid w:val="008D5D28"/>
    <w:rsid w:val="008D6651"/>
    <w:rsid w:val="008D7348"/>
    <w:rsid w:val="008E225C"/>
    <w:rsid w:val="008E386E"/>
    <w:rsid w:val="008E38B5"/>
    <w:rsid w:val="008E461C"/>
    <w:rsid w:val="008F0D04"/>
    <w:rsid w:val="008F1E78"/>
    <w:rsid w:val="008F2EFF"/>
    <w:rsid w:val="008F3221"/>
    <w:rsid w:val="008F70BF"/>
    <w:rsid w:val="00902B7A"/>
    <w:rsid w:val="00903DC7"/>
    <w:rsid w:val="00905E6D"/>
    <w:rsid w:val="00910E8F"/>
    <w:rsid w:val="00915E20"/>
    <w:rsid w:val="00922542"/>
    <w:rsid w:val="00930342"/>
    <w:rsid w:val="0093086C"/>
    <w:rsid w:val="009317C8"/>
    <w:rsid w:val="0093317E"/>
    <w:rsid w:val="00934569"/>
    <w:rsid w:val="00935A8F"/>
    <w:rsid w:val="009435F5"/>
    <w:rsid w:val="00945AC9"/>
    <w:rsid w:val="00946780"/>
    <w:rsid w:val="00963506"/>
    <w:rsid w:val="00964513"/>
    <w:rsid w:val="0096469E"/>
    <w:rsid w:val="00971104"/>
    <w:rsid w:val="00971A03"/>
    <w:rsid w:val="00972FB5"/>
    <w:rsid w:val="00973573"/>
    <w:rsid w:val="00974EF4"/>
    <w:rsid w:val="00982EDF"/>
    <w:rsid w:val="00983474"/>
    <w:rsid w:val="00983643"/>
    <w:rsid w:val="0098373E"/>
    <w:rsid w:val="00985838"/>
    <w:rsid w:val="00986325"/>
    <w:rsid w:val="00992D90"/>
    <w:rsid w:val="00993612"/>
    <w:rsid w:val="009A0187"/>
    <w:rsid w:val="009A2BAA"/>
    <w:rsid w:val="009A7C53"/>
    <w:rsid w:val="009B1F34"/>
    <w:rsid w:val="009B2C3D"/>
    <w:rsid w:val="009C30AE"/>
    <w:rsid w:val="009C688C"/>
    <w:rsid w:val="009C72A1"/>
    <w:rsid w:val="009D1308"/>
    <w:rsid w:val="009D1DB1"/>
    <w:rsid w:val="009D4CB0"/>
    <w:rsid w:val="009D4D12"/>
    <w:rsid w:val="009D7AF5"/>
    <w:rsid w:val="009E0C91"/>
    <w:rsid w:val="009E24D9"/>
    <w:rsid w:val="009E2E89"/>
    <w:rsid w:val="009E4589"/>
    <w:rsid w:val="009E5B2F"/>
    <w:rsid w:val="009E6475"/>
    <w:rsid w:val="009F0AAB"/>
    <w:rsid w:val="009F24DD"/>
    <w:rsid w:val="009F392D"/>
    <w:rsid w:val="009F6C32"/>
    <w:rsid w:val="00A00BBE"/>
    <w:rsid w:val="00A0130E"/>
    <w:rsid w:val="00A020F0"/>
    <w:rsid w:val="00A072C8"/>
    <w:rsid w:val="00A073AD"/>
    <w:rsid w:val="00A116DA"/>
    <w:rsid w:val="00A11C6F"/>
    <w:rsid w:val="00A16989"/>
    <w:rsid w:val="00A20BF5"/>
    <w:rsid w:val="00A31141"/>
    <w:rsid w:val="00A312AB"/>
    <w:rsid w:val="00A363B2"/>
    <w:rsid w:val="00A36F20"/>
    <w:rsid w:val="00A377ED"/>
    <w:rsid w:val="00A37C96"/>
    <w:rsid w:val="00A40189"/>
    <w:rsid w:val="00A40F4F"/>
    <w:rsid w:val="00A43C7E"/>
    <w:rsid w:val="00A4435F"/>
    <w:rsid w:val="00A44743"/>
    <w:rsid w:val="00A501EE"/>
    <w:rsid w:val="00A52A1A"/>
    <w:rsid w:val="00A566E5"/>
    <w:rsid w:val="00A5677D"/>
    <w:rsid w:val="00A6605B"/>
    <w:rsid w:val="00A66423"/>
    <w:rsid w:val="00A70C4F"/>
    <w:rsid w:val="00A71D3E"/>
    <w:rsid w:val="00A72AF1"/>
    <w:rsid w:val="00A72CAC"/>
    <w:rsid w:val="00A73A0D"/>
    <w:rsid w:val="00A74F99"/>
    <w:rsid w:val="00A74FF8"/>
    <w:rsid w:val="00A767B2"/>
    <w:rsid w:val="00A7684C"/>
    <w:rsid w:val="00A76E67"/>
    <w:rsid w:val="00A823CE"/>
    <w:rsid w:val="00A82D75"/>
    <w:rsid w:val="00A84A5B"/>
    <w:rsid w:val="00A86238"/>
    <w:rsid w:val="00A87DD1"/>
    <w:rsid w:val="00A92FEA"/>
    <w:rsid w:val="00A9386C"/>
    <w:rsid w:val="00A945A4"/>
    <w:rsid w:val="00A968D7"/>
    <w:rsid w:val="00AA2C40"/>
    <w:rsid w:val="00AA3567"/>
    <w:rsid w:val="00AA44EB"/>
    <w:rsid w:val="00AB197F"/>
    <w:rsid w:val="00AB6443"/>
    <w:rsid w:val="00AC1E37"/>
    <w:rsid w:val="00AC2A9C"/>
    <w:rsid w:val="00AC5ABC"/>
    <w:rsid w:val="00AC5ACE"/>
    <w:rsid w:val="00AC62C8"/>
    <w:rsid w:val="00AD1DDF"/>
    <w:rsid w:val="00AD1FDC"/>
    <w:rsid w:val="00AD3349"/>
    <w:rsid w:val="00AE6756"/>
    <w:rsid w:val="00AE7E0F"/>
    <w:rsid w:val="00AF1E91"/>
    <w:rsid w:val="00AF304E"/>
    <w:rsid w:val="00AF55DB"/>
    <w:rsid w:val="00AF73AC"/>
    <w:rsid w:val="00AF7BF7"/>
    <w:rsid w:val="00B013AE"/>
    <w:rsid w:val="00B02E53"/>
    <w:rsid w:val="00B053DB"/>
    <w:rsid w:val="00B13199"/>
    <w:rsid w:val="00B17BAC"/>
    <w:rsid w:val="00B21D5C"/>
    <w:rsid w:val="00B2523B"/>
    <w:rsid w:val="00B26A69"/>
    <w:rsid w:val="00B32442"/>
    <w:rsid w:val="00B3322B"/>
    <w:rsid w:val="00B35CDD"/>
    <w:rsid w:val="00B36ED7"/>
    <w:rsid w:val="00B37F0A"/>
    <w:rsid w:val="00B402C0"/>
    <w:rsid w:val="00B42492"/>
    <w:rsid w:val="00B459F8"/>
    <w:rsid w:val="00B4783F"/>
    <w:rsid w:val="00B501AB"/>
    <w:rsid w:val="00B505E0"/>
    <w:rsid w:val="00B6125F"/>
    <w:rsid w:val="00B63989"/>
    <w:rsid w:val="00B670B3"/>
    <w:rsid w:val="00B70941"/>
    <w:rsid w:val="00B71B78"/>
    <w:rsid w:val="00B72F5C"/>
    <w:rsid w:val="00B75ED1"/>
    <w:rsid w:val="00B77BA5"/>
    <w:rsid w:val="00B8253A"/>
    <w:rsid w:val="00B84496"/>
    <w:rsid w:val="00B84CD7"/>
    <w:rsid w:val="00B90558"/>
    <w:rsid w:val="00B90BEC"/>
    <w:rsid w:val="00B92480"/>
    <w:rsid w:val="00B92976"/>
    <w:rsid w:val="00B94361"/>
    <w:rsid w:val="00B9531E"/>
    <w:rsid w:val="00BA0A78"/>
    <w:rsid w:val="00BA17AE"/>
    <w:rsid w:val="00BA40C3"/>
    <w:rsid w:val="00BA67EC"/>
    <w:rsid w:val="00BB25C5"/>
    <w:rsid w:val="00BB296C"/>
    <w:rsid w:val="00BB41FC"/>
    <w:rsid w:val="00BB76A4"/>
    <w:rsid w:val="00BC4328"/>
    <w:rsid w:val="00BC49F2"/>
    <w:rsid w:val="00BC7DB7"/>
    <w:rsid w:val="00BD22BD"/>
    <w:rsid w:val="00BD38B5"/>
    <w:rsid w:val="00BD5F51"/>
    <w:rsid w:val="00BD6326"/>
    <w:rsid w:val="00BE5F4D"/>
    <w:rsid w:val="00BE6F26"/>
    <w:rsid w:val="00BE7863"/>
    <w:rsid w:val="00BF1F34"/>
    <w:rsid w:val="00BF4730"/>
    <w:rsid w:val="00BF6398"/>
    <w:rsid w:val="00BF6CA5"/>
    <w:rsid w:val="00BF7E37"/>
    <w:rsid w:val="00C013A9"/>
    <w:rsid w:val="00C027F2"/>
    <w:rsid w:val="00C036E1"/>
    <w:rsid w:val="00C0462F"/>
    <w:rsid w:val="00C05AB5"/>
    <w:rsid w:val="00C05C56"/>
    <w:rsid w:val="00C06435"/>
    <w:rsid w:val="00C10F49"/>
    <w:rsid w:val="00C1272D"/>
    <w:rsid w:val="00C12768"/>
    <w:rsid w:val="00C13421"/>
    <w:rsid w:val="00C15B44"/>
    <w:rsid w:val="00C225B5"/>
    <w:rsid w:val="00C23542"/>
    <w:rsid w:val="00C27DCB"/>
    <w:rsid w:val="00C30CCD"/>
    <w:rsid w:val="00C33966"/>
    <w:rsid w:val="00C35A4D"/>
    <w:rsid w:val="00C37E97"/>
    <w:rsid w:val="00C4113F"/>
    <w:rsid w:val="00C41700"/>
    <w:rsid w:val="00C4272C"/>
    <w:rsid w:val="00C508CC"/>
    <w:rsid w:val="00C5477F"/>
    <w:rsid w:val="00C55F41"/>
    <w:rsid w:val="00C568FA"/>
    <w:rsid w:val="00C6046C"/>
    <w:rsid w:val="00C61AD2"/>
    <w:rsid w:val="00C6380C"/>
    <w:rsid w:val="00C70436"/>
    <w:rsid w:val="00C7354F"/>
    <w:rsid w:val="00C80A1E"/>
    <w:rsid w:val="00C84459"/>
    <w:rsid w:val="00C86A72"/>
    <w:rsid w:val="00C9041B"/>
    <w:rsid w:val="00C923A3"/>
    <w:rsid w:val="00C9481A"/>
    <w:rsid w:val="00C95593"/>
    <w:rsid w:val="00CA3E2C"/>
    <w:rsid w:val="00CA54EF"/>
    <w:rsid w:val="00CA61F3"/>
    <w:rsid w:val="00CB002E"/>
    <w:rsid w:val="00CB545D"/>
    <w:rsid w:val="00CB56B3"/>
    <w:rsid w:val="00CB5ED6"/>
    <w:rsid w:val="00CC283E"/>
    <w:rsid w:val="00CC3314"/>
    <w:rsid w:val="00CC5D76"/>
    <w:rsid w:val="00CC7017"/>
    <w:rsid w:val="00CD1915"/>
    <w:rsid w:val="00CD6102"/>
    <w:rsid w:val="00CE2087"/>
    <w:rsid w:val="00CE2A48"/>
    <w:rsid w:val="00CE2ADB"/>
    <w:rsid w:val="00CE6886"/>
    <w:rsid w:val="00CF4472"/>
    <w:rsid w:val="00CF5F32"/>
    <w:rsid w:val="00CF7B15"/>
    <w:rsid w:val="00D0016A"/>
    <w:rsid w:val="00D01D66"/>
    <w:rsid w:val="00D06A64"/>
    <w:rsid w:val="00D117D9"/>
    <w:rsid w:val="00D1349E"/>
    <w:rsid w:val="00D1659E"/>
    <w:rsid w:val="00D20C84"/>
    <w:rsid w:val="00D22C61"/>
    <w:rsid w:val="00D23487"/>
    <w:rsid w:val="00D23BFD"/>
    <w:rsid w:val="00D3168E"/>
    <w:rsid w:val="00D40211"/>
    <w:rsid w:val="00D44F5B"/>
    <w:rsid w:val="00D45EB7"/>
    <w:rsid w:val="00D4638F"/>
    <w:rsid w:val="00D50489"/>
    <w:rsid w:val="00D52D5A"/>
    <w:rsid w:val="00D55C0B"/>
    <w:rsid w:val="00D57CF6"/>
    <w:rsid w:val="00D61FF8"/>
    <w:rsid w:val="00D621A8"/>
    <w:rsid w:val="00D62216"/>
    <w:rsid w:val="00D64A44"/>
    <w:rsid w:val="00D65A0C"/>
    <w:rsid w:val="00D711AB"/>
    <w:rsid w:val="00D74EBD"/>
    <w:rsid w:val="00D7792F"/>
    <w:rsid w:val="00D818A9"/>
    <w:rsid w:val="00D82BC1"/>
    <w:rsid w:val="00D87236"/>
    <w:rsid w:val="00D87F0A"/>
    <w:rsid w:val="00D918BF"/>
    <w:rsid w:val="00D94643"/>
    <w:rsid w:val="00D96777"/>
    <w:rsid w:val="00DA1789"/>
    <w:rsid w:val="00DA3314"/>
    <w:rsid w:val="00DA4F69"/>
    <w:rsid w:val="00DA54C6"/>
    <w:rsid w:val="00DB01FD"/>
    <w:rsid w:val="00DB3AB8"/>
    <w:rsid w:val="00DB465E"/>
    <w:rsid w:val="00DB49AA"/>
    <w:rsid w:val="00DB6997"/>
    <w:rsid w:val="00DB714C"/>
    <w:rsid w:val="00DC3A26"/>
    <w:rsid w:val="00DC3B28"/>
    <w:rsid w:val="00DC4B0C"/>
    <w:rsid w:val="00DC4CA0"/>
    <w:rsid w:val="00DC5CBA"/>
    <w:rsid w:val="00DC6B88"/>
    <w:rsid w:val="00DD2420"/>
    <w:rsid w:val="00DD2946"/>
    <w:rsid w:val="00DD3FDE"/>
    <w:rsid w:val="00DD6D24"/>
    <w:rsid w:val="00DE1E3C"/>
    <w:rsid w:val="00DE2720"/>
    <w:rsid w:val="00DF2094"/>
    <w:rsid w:val="00DF3A6D"/>
    <w:rsid w:val="00DF3C4F"/>
    <w:rsid w:val="00DF5A13"/>
    <w:rsid w:val="00DF5B18"/>
    <w:rsid w:val="00DF7B6C"/>
    <w:rsid w:val="00E00163"/>
    <w:rsid w:val="00E00FB2"/>
    <w:rsid w:val="00E02272"/>
    <w:rsid w:val="00E0316D"/>
    <w:rsid w:val="00E04B3B"/>
    <w:rsid w:val="00E11796"/>
    <w:rsid w:val="00E141FA"/>
    <w:rsid w:val="00E146C3"/>
    <w:rsid w:val="00E1548D"/>
    <w:rsid w:val="00E22322"/>
    <w:rsid w:val="00E24677"/>
    <w:rsid w:val="00E24851"/>
    <w:rsid w:val="00E252D4"/>
    <w:rsid w:val="00E2533C"/>
    <w:rsid w:val="00E25B8B"/>
    <w:rsid w:val="00E2723D"/>
    <w:rsid w:val="00E301E2"/>
    <w:rsid w:val="00E33907"/>
    <w:rsid w:val="00E34BE8"/>
    <w:rsid w:val="00E4142F"/>
    <w:rsid w:val="00E449AA"/>
    <w:rsid w:val="00E456CD"/>
    <w:rsid w:val="00E56E9E"/>
    <w:rsid w:val="00E57C9E"/>
    <w:rsid w:val="00E63B1F"/>
    <w:rsid w:val="00E63FE5"/>
    <w:rsid w:val="00E65371"/>
    <w:rsid w:val="00E75CC2"/>
    <w:rsid w:val="00E76A5E"/>
    <w:rsid w:val="00E80841"/>
    <w:rsid w:val="00E83496"/>
    <w:rsid w:val="00E867C6"/>
    <w:rsid w:val="00E902EC"/>
    <w:rsid w:val="00E93E8D"/>
    <w:rsid w:val="00E94957"/>
    <w:rsid w:val="00EA17A7"/>
    <w:rsid w:val="00EA1D47"/>
    <w:rsid w:val="00EA3823"/>
    <w:rsid w:val="00EA4B2E"/>
    <w:rsid w:val="00EA5226"/>
    <w:rsid w:val="00EA6726"/>
    <w:rsid w:val="00EA7DEC"/>
    <w:rsid w:val="00EB0079"/>
    <w:rsid w:val="00EB4B9A"/>
    <w:rsid w:val="00EB4F22"/>
    <w:rsid w:val="00EB7F4A"/>
    <w:rsid w:val="00EC0E6F"/>
    <w:rsid w:val="00EC0F13"/>
    <w:rsid w:val="00EC1C6D"/>
    <w:rsid w:val="00EC20A4"/>
    <w:rsid w:val="00EC37DF"/>
    <w:rsid w:val="00EC7464"/>
    <w:rsid w:val="00EC790B"/>
    <w:rsid w:val="00ED131A"/>
    <w:rsid w:val="00ED5EE8"/>
    <w:rsid w:val="00ED655C"/>
    <w:rsid w:val="00EE002E"/>
    <w:rsid w:val="00EE32AA"/>
    <w:rsid w:val="00EE6D95"/>
    <w:rsid w:val="00EE719F"/>
    <w:rsid w:val="00EF3D8A"/>
    <w:rsid w:val="00EF66C9"/>
    <w:rsid w:val="00F01429"/>
    <w:rsid w:val="00F03863"/>
    <w:rsid w:val="00F05192"/>
    <w:rsid w:val="00F11121"/>
    <w:rsid w:val="00F118D1"/>
    <w:rsid w:val="00F11A51"/>
    <w:rsid w:val="00F124AF"/>
    <w:rsid w:val="00F1380B"/>
    <w:rsid w:val="00F149C8"/>
    <w:rsid w:val="00F1689A"/>
    <w:rsid w:val="00F16BA2"/>
    <w:rsid w:val="00F2163E"/>
    <w:rsid w:val="00F216BC"/>
    <w:rsid w:val="00F24098"/>
    <w:rsid w:val="00F254F3"/>
    <w:rsid w:val="00F26596"/>
    <w:rsid w:val="00F31C4C"/>
    <w:rsid w:val="00F3390D"/>
    <w:rsid w:val="00F340A3"/>
    <w:rsid w:val="00F343D8"/>
    <w:rsid w:val="00F3474D"/>
    <w:rsid w:val="00F35426"/>
    <w:rsid w:val="00F36E71"/>
    <w:rsid w:val="00F37D06"/>
    <w:rsid w:val="00F42D40"/>
    <w:rsid w:val="00F45409"/>
    <w:rsid w:val="00F45E0B"/>
    <w:rsid w:val="00F47330"/>
    <w:rsid w:val="00F50614"/>
    <w:rsid w:val="00F524AD"/>
    <w:rsid w:val="00F54D0E"/>
    <w:rsid w:val="00F60AF4"/>
    <w:rsid w:val="00F60DDF"/>
    <w:rsid w:val="00F63AE9"/>
    <w:rsid w:val="00F70B14"/>
    <w:rsid w:val="00F70E3D"/>
    <w:rsid w:val="00F7657D"/>
    <w:rsid w:val="00F81490"/>
    <w:rsid w:val="00F90417"/>
    <w:rsid w:val="00F93DA0"/>
    <w:rsid w:val="00F93ED7"/>
    <w:rsid w:val="00F94F15"/>
    <w:rsid w:val="00F9627D"/>
    <w:rsid w:val="00FA0436"/>
    <w:rsid w:val="00FA063C"/>
    <w:rsid w:val="00FA2366"/>
    <w:rsid w:val="00FA58FF"/>
    <w:rsid w:val="00FA5DF9"/>
    <w:rsid w:val="00FA78C3"/>
    <w:rsid w:val="00FA7E14"/>
    <w:rsid w:val="00FB09B3"/>
    <w:rsid w:val="00FB10FD"/>
    <w:rsid w:val="00FB2649"/>
    <w:rsid w:val="00FB2AD2"/>
    <w:rsid w:val="00FB3CB5"/>
    <w:rsid w:val="00FB3FEE"/>
    <w:rsid w:val="00FB4C93"/>
    <w:rsid w:val="00FC23D9"/>
    <w:rsid w:val="00FC5506"/>
    <w:rsid w:val="00FC6359"/>
    <w:rsid w:val="00FD1592"/>
    <w:rsid w:val="00FD3063"/>
    <w:rsid w:val="00FE0F02"/>
    <w:rsid w:val="00FE42E3"/>
    <w:rsid w:val="00FE5F1D"/>
    <w:rsid w:val="00FE6BEE"/>
    <w:rsid w:val="00FE6F4E"/>
    <w:rsid w:val="00FF264D"/>
    <w:rsid w:val="00FF2FE4"/>
    <w:rsid w:val="00FF4370"/>
    <w:rsid w:val="00FF51ED"/>
    <w:rsid w:val="00FF627E"/>
    <w:rsid w:val="00FF74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D65C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C283E"/>
    <w:pPr>
      <w:ind w:firstLine="709"/>
    </w:pPr>
  </w:style>
  <w:style w:type="paragraph" w:styleId="Nagwek1">
    <w:name w:val="heading 1"/>
    <w:basedOn w:val="Normalny"/>
    <w:next w:val="Normalny"/>
    <w:link w:val="Nagwek1Znak"/>
    <w:uiPriority w:val="99"/>
    <w:rsid w:val="00543D22"/>
    <w:pPr>
      <w:keepNext/>
      <w:keepLines/>
      <w:widowControl w:val="0"/>
      <w:suppressAutoHyphens/>
      <w:spacing w:before="480" w:after="0" w:line="360" w:lineRule="auto"/>
      <w:jc w:val="both"/>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Nagwek2">
    <w:name w:val="heading 2"/>
    <w:basedOn w:val="Normalny"/>
    <w:next w:val="Normalny"/>
    <w:link w:val="Nagwek2Znak"/>
    <w:uiPriority w:val="9"/>
    <w:unhideWhenUsed/>
    <w:qFormat/>
    <w:rsid w:val="00543D22"/>
    <w:pPr>
      <w:keepNext/>
      <w:keepLines/>
      <w:spacing w:before="40" w:after="0" w:line="360" w:lineRule="auto"/>
      <w:jc w:val="both"/>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9"/>
    <w:unhideWhenUsed/>
    <w:qFormat/>
    <w:rsid w:val="00543D22"/>
    <w:pPr>
      <w:keepNext/>
      <w:keepLines/>
      <w:widowControl w:val="0"/>
      <w:autoSpaceDE w:val="0"/>
      <w:autoSpaceDN w:val="0"/>
      <w:adjustRightInd w:val="0"/>
      <w:spacing w:before="40" w:after="0" w:line="360" w:lineRule="auto"/>
      <w:jc w:val="both"/>
      <w:outlineLvl w:val="2"/>
    </w:pPr>
    <w:rPr>
      <w:rFonts w:asciiTheme="majorHAnsi" w:eastAsiaTheme="majorEastAsia" w:hAnsiTheme="majorHAnsi" w:cstheme="majorBidi"/>
      <w:color w:val="1F4D78" w:themeColor="accent1" w:themeShade="7F"/>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543D22"/>
    <w:rPr>
      <w:rFonts w:asciiTheme="majorHAnsi" w:eastAsiaTheme="majorEastAsia" w:hAnsiTheme="majorHAnsi" w:cstheme="majorBidi"/>
      <w:b/>
      <w:bCs/>
      <w:color w:val="2E74B5" w:themeColor="accent1" w:themeShade="BF"/>
      <w:kern w:val="1"/>
      <w:sz w:val="28"/>
      <w:szCs w:val="28"/>
      <w:lang w:eastAsia="ar-SA"/>
    </w:rPr>
  </w:style>
  <w:style w:type="character" w:customStyle="1" w:styleId="Nagwek2Znak">
    <w:name w:val="Nagłówek 2 Znak"/>
    <w:basedOn w:val="Domylnaczcionkaakapitu"/>
    <w:link w:val="Nagwek2"/>
    <w:uiPriority w:val="9"/>
    <w:rsid w:val="00543D22"/>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9"/>
    <w:rsid w:val="00543D22"/>
    <w:rPr>
      <w:rFonts w:asciiTheme="majorHAnsi" w:eastAsiaTheme="majorEastAsia" w:hAnsiTheme="majorHAnsi" w:cstheme="majorBidi"/>
      <w:color w:val="1F4D78" w:themeColor="accent1" w:themeShade="7F"/>
      <w:sz w:val="24"/>
      <w:szCs w:val="24"/>
      <w:lang w:eastAsia="pl-PL"/>
    </w:rPr>
  </w:style>
  <w:style w:type="paragraph" w:customStyle="1" w:styleId="ZLITwPKTzmlitwpktartykuempunktem">
    <w:name w:val="Z/LIT_w_PKT – zm. lit. w pkt artykułem (punktem)"/>
    <w:basedOn w:val="LITlitera"/>
    <w:uiPriority w:val="32"/>
    <w:qFormat/>
    <w:rsid w:val="00543D22"/>
    <w:pPr>
      <w:ind w:left="1497"/>
    </w:pPr>
  </w:style>
  <w:style w:type="paragraph" w:customStyle="1" w:styleId="ZTIRwPKTzmtirwpktartykuempunktem">
    <w:name w:val="Z/TIR_w_PKT – zm. tir. w pkt artykułem (punktem)"/>
    <w:basedOn w:val="TIRtiret"/>
    <w:uiPriority w:val="33"/>
    <w:qFormat/>
    <w:rsid w:val="00543D22"/>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543D22"/>
    <w:pPr>
      <w:ind w:left="1021"/>
    </w:pPr>
  </w:style>
  <w:style w:type="paragraph" w:customStyle="1" w:styleId="2TIRpodwjnytiret">
    <w:name w:val="2TIR – podwójny tiret"/>
    <w:basedOn w:val="TIRtiret"/>
    <w:uiPriority w:val="73"/>
    <w:qFormat/>
    <w:rsid w:val="00543D22"/>
    <w:pPr>
      <w:ind w:left="1780"/>
    </w:pPr>
  </w:style>
  <w:style w:type="character" w:styleId="Odwoanieprzypisudolnego">
    <w:name w:val="footnote reference"/>
    <w:aliases w:val="FZ"/>
    <w:uiPriority w:val="99"/>
    <w:rsid w:val="00543D22"/>
    <w:rPr>
      <w:rFonts w:cs="Times New Roman"/>
      <w:vertAlign w:val="superscript"/>
    </w:rPr>
  </w:style>
  <w:style w:type="paragraph" w:styleId="Nagwek">
    <w:name w:val="header"/>
    <w:basedOn w:val="Normalny"/>
    <w:link w:val="NagwekZnak"/>
    <w:rsid w:val="00543D22"/>
    <w:pPr>
      <w:widowControl w:val="0"/>
      <w:tabs>
        <w:tab w:val="center" w:pos="4536"/>
        <w:tab w:val="right" w:pos="9072"/>
      </w:tabs>
      <w:suppressAutoHyphens/>
      <w:spacing w:after="0" w:line="360" w:lineRule="auto"/>
      <w:jc w:val="both"/>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rsid w:val="00543D22"/>
    <w:rPr>
      <w:rFonts w:ascii="Times" w:eastAsia="Times New Roman" w:hAnsi="Times" w:cs="Times New Roman"/>
      <w:kern w:val="1"/>
      <w:sz w:val="24"/>
      <w:szCs w:val="24"/>
      <w:lang w:eastAsia="ar-SA"/>
    </w:rPr>
  </w:style>
  <w:style w:type="paragraph" w:styleId="Stopka">
    <w:name w:val="footer"/>
    <w:basedOn w:val="Normalny"/>
    <w:link w:val="StopkaZnak"/>
    <w:uiPriority w:val="99"/>
    <w:rsid w:val="00543D22"/>
    <w:pPr>
      <w:widowControl w:val="0"/>
      <w:tabs>
        <w:tab w:val="center" w:pos="4536"/>
        <w:tab w:val="right" w:pos="9072"/>
      </w:tabs>
      <w:suppressAutoHyphens/>
      <w:spacing w:after="0" w:line="360" w:lineRule="auto"/>
      <w:jc w:val="both"/>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543D22"/>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543D22"/>
    <w:pPr>
      <w:widowControl w:val="0"/>
      <w:suppressAutoHyphens/>
      <w:spacing w:after="0" w:line="360" w:lineRule="auto"/>
      <w:jc w:val="both"/>
    </w:pPr>
    <w:rPr>
      <w:rFonts w:ascii="Tahoma" w:eastAsia="Times New Roman" w:hAnsi="Tahoma" w:cs="Tahoma"/>
      <w:kern w:val="1"/>
      <w:sz w:val="24"/>
      <w:szCs w:val="16"/>
      <w:lang w:eastAsia="ar-SA"/>
    </w:rPr>
  </w:style>
  <w:style w:type="character" w:customStyle="1" w:styleId="TekstdymkaZnak">
    <w:name w:val="Tekst dymka Znak"/>
    <w:basedOn w:val="Domylnaczcionkaakapitu"/>
    <w:link w:val="Tekstdymka"/>
    <w:uiPriority w:val="99"/>
    <w:semiHidden/>
    <w:rsid w:val="00543D22"/>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543D2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543D22"/>
    <w:pPr>
      <w:ind w:left="1497"/>
    </w:pPr>
  </w:style>
  <w:style w:type="paragraph" w:customStyle="1" w:styleId="ZTIRwLITzmtirwlitartykuempunktem">
    <w:name w:val="Z/TIR_w_LIT – zm. tir. w lit. artykułem (punktem)"/>
    <w:basedOn w:val="TIRtiret"/>
    <w:uiPriority w:val="33"/>
    <w:qFormat/>
    <w:rsid w:val="00543D2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543D22"/>
  </w:style>
  <w:style w:type="paragraph" w:styleId="Bezodstpw">
    <w:name w:val="No Spacing"/>
    <w:uiPriority w:val="1"/>
    <w:qFormat/>
    <w:rsid w:val="00543D22"/>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543D22"/>
    <w:pPr>
      <w:ind w:left="1020"/>
    </w:pPr>
  </w:style>
  <w:style w:type="paragraph" w:customStyle="1" w:styleId="ZARTzmartartykuempunktem">
    <w:name w:val="Z/ART(§) – zm. art. (§) artykułem (punktem)"/>
    <w:basedOn w:val="ARTartustawynprozporzdzenia"/>
    <w:uiPriority w:val="30"/>
    <w:qFormat/>
    <w:rsid w:val="00543D22"/>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543D22"/>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543D22"/>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543D22"/>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43D22"/>
    <w:rPr>
      <w:bCs/>
    </w:rPr>
  </w:style>
  <w:style w:type="paragraph" w:customStyle="1" w:styleId="OZNRODZAKTUtznustawalubrozporzdzenieiorganwydajcy">
    <w:name w:val="OZN_RODZ_AKTU – tzn. ustawa lub rozporządzenie i organ wydający"/>
    <w:next w:val="DATAAKTUdatauchwalenialubwydaniaaktu"/>
    <w:uiPriority w:val="5"/>
    <w:qFormat/>
    <w:rsid w:val="00543D2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543D22"/>
    <w:pPr>
      <w:spacing w:before="0"/>
    </w:pPr>
    <w:rPr>
      <w:bCs/>
    </w:rPr>
  </w:style>
  <w:style w:type="paragraph" w:customStyle="1" w:styleId="PKTpunkt">
    <w:name w:val="PKT – punkt"/>
    <w:uiPriority w:val="14"/>
    <w:qFormat/>
    <w:rsid w:val="00543D22"/>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543D22"/>
    <w:pPr>
      <w:ind w:left="0" w:firstLine="0"/>
    </w:pPr>
  </w:style>
  <w:style w:type="paragraph" w:customStyle="1" w:styleId="LITlitera">
    <w:name w:val="LIT – litera"/>
    <w:basedOn w:val="PKTpunkt"/>
    <w:uiPriority w:val="14"/>
    <w:qFormat/>
    <w:rsid w:val="00543D22"/>
    <w:pPr>
      <w:ind w:left="986" w:hanging="476"/>
    </w:pPr>
  </w:style>
  <w:style w:type="paragraph" w:customStyle="1" w:styleId="CZWSPLITczwsplnaliter">
    <w:name w:val="CZ_WSP_LIT – część wspólna liter"/>
    <w:basedOn w:val="LITlitera"/>
    <w:next w:val="USTustnpkodeksu"/>
    <w:uiPriority w:val="17"/>
    <w:qFormat/>
    <w:rsid w:val="00543D22"/>
    <w:pPr>
      <w:ind w:left="510" w:firstLine="0"/>
    </w:pPr>
    <w:rPr>
      <w:szCs w:val="24"/>
    </w:rPr>
  </w:style>
  <w:style w:type="paragraph" w:customStyle="1" w:styleId="TIRtiret">
    <w:name w:val="TIR – tiret"/>
    <w:basedOn w:val="LITlitera"/>
    <w:uiPriority w:val="15"/>
    <w:qFormat/>
    <w:rsid w:val="00543D22"/>
    <w:pPr>
      <w:ind w:left="1384" w:hanging="397"/>
    </w:pPr>
  </w:style>
  <w:style w:type="paragraph" w:customStyle="1" w:styleId="CZWSPTIRczwsplnatiret">
    <w:name w:val="CZ_WSP_TIR – część wspólna tiret"/>
    <w:basedOn w:val="TIRtiret"/>
    <w:next w:val="USTustnpkodeksu"/>
    <w:uiPriority w:val="17"/>
    <w:qFormat/>
    <w:rsid w:val="00543D22"/>
    <w:pPr>
      <w:ind w:left="987" w:firstLine="0"/>
    </w:pPr>
  </w:style>
  <w:style w:type="paragraph" w:customStyle="1" w:styleId="CYTcytatnpprzysigi">
    <w:name w:val="CYT – cytat np. przysięgi"/>
    <w:basedOn w:val="USTustnpkodeksu"/>
    <w:next w:val="USTustnpkodeksu"/>
    <w:uiPriority w:val="18"/>
    <w:qFormat/>
    <w:rsid w:val="00543D2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543D22"/>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543D22"/>
  </w:style>
  <w:style w:type="paragraph" w:customStyle="1" w:styleId="ZLITCZWSPTIRwLITzmczciwsptirwlitliter">
    <w:name w:val="Z_LIT/CZ_WSP_TIR_w_LIT – zm. części wsp. tir. w lit. literą"/>
    <w:basedOn w:val="CZWSPTIRczwsplnatiret"/>
    <w:next w:val="LITlitera"/>
    <w:uiPriority w:val="51"/>
    <w:qFormat/>
    <w:rsid w:val="00543D22"/>
    <w:pPr>
      <w:ind w:left="1463"/>
    </w:pPr>
  </w:style>
  <w:style w:type="paragraph" w:customStyle="1" w:styleId="ZLITTIRwLITzmtirwlitliter">
    <w:name w:val="Z_LIT/TIR_w_LIT – zm. tir. w lit. literą"/>
    <w:basedOn w:val="TIRtiret"/>
    <w:uiPriority w:val="49"/>
    <w:qFormat/>
    <w:rsid w:val="00543D22"/>
    <w:pPr>
      <w:ind w:left="1860"/>
    </w:pPr>
  </w:style>
  <w:style w:type="paragraph" w:customStyle="1" w:styleId="TYTDZOZNoznaczenietytuulubdziau">
    <w:name w:val="TYT(DZ)_OZN – oznaczenie tytułu lub działu"/>
    <w:next w:val="Normalny"/>
    <w:uiPriority w:val="9"/>
    <w:qFormat/>
    <w:rsid w:val="00543D22"/>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543D2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543D2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543D22"/>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543D22"/>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543D22"/>
    <w:pPr>
      <w:ind w:left="510"/>
    </w:pPr>
  </w:style>
  <w:style w:type="paragraph" w:customStyle="1" w:styleId="ZZLITzmianazmlit">
    <w:name w:val="ZZ/LIT – zmiana zm. lit."/>
    <w:basedOn w:val="ZZPKTzmianazmpkt"/>
    <w:uiPriority w:val="67"/>
    <w:qFormat/>
    <w:rsid w:val="00543D22"/>
    <w:pPr>
      <w:ind w:left="2370" w:hanging="476"/>
    </w:pPr>
  </w:style>
  <w:style w:type="paragraph" w:customStyle="1" w:styleId="ZZTIRzmianazmtir">
    <w:name w:val="ZZ/TIR – zmiana zm. tir."/>
    <w:basedOn w:val="ZZLITzmianazmlit"/>
    <w:uiPriority w:val="67"/>
    <w:qFormat/>
    <w:rsid w:val="00543D2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543D22"/>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543D22"/>
    <w:pPr>
      <w:ind w:left="987"/>
    </w:pPr>
  </w:style>
  <w:style w:type="paragraph" w:customStyle="1" w:styleId="ZLITPKTzmpktliter">
    <w:name w:val="Z_LIT/PKT – zm. pkt literą"/>
    <w:basedOn w:val="PKTpunkt"/>
    <w:uiPriority w:val="47"/>
    <w:qFormat/>
    <w:rsid w:val="00543D22"/>
    <w:pPr>
      <w:ind w:left="1497"/>
    </w:pPr>
  </w:style>
  <w:style w:type="paragraph" w:customStyle="1" w:styleId="ZZCZWSPPKTzmianazmczciwsppkt">
    <w:name w:val="ZZ/CZ_WSP_PKT – zmiana. zm. części wsp. pkt"/>
    <w:basedOn w:val="ZZARTzmianazmart"/>
    <w:next w:val="ZPKTzmpktartykuempunktem"/>
    <w:uiPriority w:val="68"/>
    <w:qFormat/>
    <w:rsid w:val="00543D22"/>
    <w:pPr>
      <w:ind w:firstLine="0"/>
    </w:pPr>
  </w:style>
  <w:style w:type="paragraph" w:customStyle="1" w:styleId="ZLITLITzmlitliter">
    <w:name w:val="Z_LIT/LIT – zm. lit. literą"/>
    <w:basedOn w:val="LITlitera"/>
    <w:uiPriority w:val="48"/>
    <w:qFormat/>
    <w:rsid w:val="00543D22"/>
    <w:pPr>
      <w:ind w:left="1463"/>
    </w:pPr>
  </w:style>
  <w:style w:type="paragraph" w:customStyle="1" w:styleId="ZLITCZWSPPKTzmczciwsppktliter">
    <w:name w:val="Z_LIT/CZ_WSP_PKT – zm. części wsp. pkt literą"/>
    <w:basedOn w:val="CZWSPLITczwsplnaliter"/>
    <w:next w:val="LITlitera"/>
    <w:uiPriority w:val="50"/>
    <w:qFormat/>
    <w:rsid w:val="00543D22"/>
    <w:pPr>
      <w:ind w:left="987"/>
    </w:pPr>
  </w:style>
  <w:style w:type="paragraph" w:customStyle="1" w:styleId="ZLITTIRzmtirliter">
    <w:name w:val="Z_LIT/TIR – zm. tir. literą"/>
    <w:basedOn w:val="TIRtiret"/>
    <w:uiPriority w:val="49"/>
    <w:qFormat/>
    <w:rsid w:val="00543D22"/>
  </w:style>
  <w:style w:type="paragraph" w:customStyle="1" w:styleId="ZZCZWSPLITwPKTzmianazmczciwsplitwpkt">
    <w:name w:val="ZZ/CZ_WSP_LIT_w_PKT – zmiana zm. części wsp. lit. w pkt"/>
    <w:basedOn w:val="ZZLITwPKTzmianazmlitwpkt"/>
    <w:uiPriority w:val="69"/>
    <w:qFormat/>
    <w:rsid w:val="00543D22"/>
    <w:pPr>
      <w:ind w:left="2404" w:firstLine="0"/>
    </w:pPr>
  </w:style>
  <w:style w:type="paragraph" w:customStyle="1" w:styleId="ZLITLITwPKTzmlitwpktliter">
    <w:name w:val="Z_LIT/LIT_w_PKT – zm. lit. w pkt literą"/>
    <w:basedOn w:val="LITlitera"/>
    <w:uiPriority w:val="48"/>
    <w:qFormat/>
    <w:rsid w:val="00543D22"/>
    <w:pPr>
      <w:ind w:left="1973"/>
    </w:pPr>
  </w:style>
  <w:style w:type="paragraph" w:customStyle="1" w:styleId="ZLITCZWSPLITwPKTzmczciwsplitwpktliter">
    <w:name w:val="Z_LIT/CZ_WSP_LIT_w_PKT – zm. części wsp. lit. w pkt literą"/>
    <w:basedOn w:val="CZWSPLITczwsplnaliter"/>
    <w:next w:val="LITlitera"/>
    <w:uiPriority w:val="51"/>
    <w:qFormat/>
    <w:rsid w:val="00543D22"/>
    <w:pPr>
      <w:ind w:left="1497"/>
    </w:pPr>
  </w:style>
  <w:style w:type="paragraph" w:customStyle="1" w:styleId="ZLITTIRwPKTzmtirwpktliter">
    <w:name w:val="Z_LIT/TIR_w_PKT – zm. tir. w pkt literą"/>
    <w:basedOn w:val="TIRtiret"/>
    <w:uiPriority w:val="49"/>
    <w:qFormat/>
    <w:rsid w:val="00543D22"/>
    <w:pPr>
      <w:ind w:left="2370"/>
    </w:pPr>
  </w:style>
  <w:style w:type="paragraph" w:customStyle="1" w:styleId="ZLITCZWSPTIRwPKTzmczciwsptirwpktliter">
    <w:name w:val="Z_LIT/CZ_WSP_TIR_w_PKT – zm. części wsp. tir. w pkt literą"/>
    <w:basedOn w:val="CZWSPTIRczwsplnatiret"/>
    <w:next w:val="LITlitera"/>
    <w:uiPriority w:val="51"/>
    <w:qFormat/>
    <w:rsid w:val="00543D22"/>
    <w:pPr>
      <w:ind w:left="1973"/>
    </w:pPr>
  </w:style>
  <w:style w:type="paragraph" w:styleId="Tekstprzypisudolnego">
    <w:name w:val="footnote text"/>
    <w:basedOn w:val="Normalny"/>
    <w:link w:val="TekstprzypisudolnegoZnak"/>
    <w:uiPriority w:val="99"/>
    <w:semiHidden/>
    <w:qFormat/>
    <w:rsid w:val="00543D22"/>
    <w:pPr>
      <w:widowControl w:val="0"/>
      <w:autoSpaceDE w:val="0"/>
      <w:autoSpaceDN w:val="0"/>
      <w:adjustRightInd w:val="0"/>
      <w:spacing w:after="0" w:line="360" w:lineRule="auto"/>
      <w:jc w:val="both"/>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543D22"/>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543D22"/>
    <w:pPr>
      <w:ind w:left="1859"/>
    </w:pPr>
  </w:style>
  <w:style w:type="paragraph" w:customStyle="1" w:styleId="ZTIRCZWSPPKTzmczciwsppkttiret">
    <w:name w:val="Z_TIR/CZ_WSP_PKT – zm. części wsp. pkt tiret"/>
    <w:basedOn w:val="CZWSPLITczwsplnaliter"/>
    <w:next w:val="TIRtiret"/>
    <w:uiPriority w:val="58"/>
    <w:qFormat/>
    <w:rsid w:val="00543D22"/>
    <w:pPr>
      <w:ind w:left="1383"/>
    </w:pPr>
  </w:style>
  <w:style w:type="paragraph" w:customStyle="1" w:styleId="ZTIRTIRzmtirtiret">
    <w:name w:val="Z_TIR/TIR – zm. tir. tiret"/>
    <w:basedOn w:val="TIRtiret"/>
    <w:uiPriority w:val="57"/>
    <w:qFormat/>
    <w:rsid w:val="00543D22"/>
    <w:pPr>
      <w:ind w:left="1780"/>
    </w:pPr>
  </w:style>
  <w:style w:type="paragraph" w:customStyle="1" w:styleId="ZZCZWSPTIRwPKTzmianazmczciwsptirwpkt">
    <w:name w:val="ZZ/CZ_WSP_TIR_w_PKT – zmiana zm. części wsp. tir. w pkt"/>
    <w:basedOn w:val="ZZTIRwPKTzmianazmtirwpkt"/>
    <w:uiPriority w:val="70"/>
    <w:qFormat/>
    <w:rsid w:val="00543D22"/>
    <w:pPr>
      <w:ind w:left="2880" w:firstLine="0"/>
    </w:pPr>
  </w:style>
  <w:style w:type="paragraph" w:customStyle="1" w:styleId="ZZTIRwLITzmianazmtirwlit">
    <w:name w:val="ZZ/TIR_w_LIT – zmiana zm. tir. w lit."/>
    <w:basedOn w:val="ZZTIRzmianazmtir"/>
    <w:uiPriority w:val="67"/>
    <w:qFormat/>
    <w:rsid w:val="00543D22"/>
    <w:pPr>
      <w:ind w:left="2767"/>
    </w:pPr>
  </w:style>
  <w:style w:type="paragraph" w:customStyle="1" w:styleId="ZTIRTIRwLITzmtirwlittiret">
    <w:name w:val="Z_TIR/TIR_w_LIT – zm. tir. w lit. tiret"/>
    <w:basedOn w:val="TIRtiret"/>
    <w:uiPriority w:val="57"/>
    <w:qFormat/>
    <w:rsid w:val="00543D22"/>
    <w:pPr>
      <w:ind w:left="2257"/>
    </w:pPr>
  </w:style>
  <w:style w:type="paragraph" w:customStyle="1" w:styleId="ZTIRCZWSPTIRwLITzmczciwsptirwlittiret">
    <w:name w:val="Z_TIR/CZ_WSP_TIR_w_LIT – zm. części wsp. tir. w lit. tiret"/>
    <w:basedOn w:val="CZWSPTIRczwsplnatiret"/>
    <w:next w:val="TIRtiret"/>
    <w:uiPriority w:val="60"/>
    <w:qFormat/>
    <w:rsid w:val="00543D22"/>
    <w:pPr>
      <w:ind w:left="1860"/>
    </w:pPr>
  </w:style>
  <w:style w:type="paragraph" w:customStyle="1" w:styleId="CZWSP2TIRczwsplnapodwjnychtiret">
    <w:name w:val="CZ_WSP_2TIR – część wspólna podwójnych tiret"/>
    <w:basedOn w:val="CZWSPTIRczwsplnatiret"/>
    <w:next w:val="TIRtiret"/>
    <w:uiPriority w:val="73"/>
    <w:qFormat/>
    <w:rsid w:val="00543D22"/>
    <w:pPr>
      <w:ind w:left="1780"/>
    </w:pPr>
  </w:style>
  <w:style w:type="paragraph" w:customStyle="1" w:styleId="Z2TIRzmpodwtirartykuempunktem">
    <w:name w:val="Z/2TIR – zm. podw. tir. artykułem (punktem)"/>
    <w:basedOn w:val="TIRtiret"/>
    <w:uiPriority w:val="73"/>
    <w:qFormat/>
    <w:rsid w:val="00543D22"/>
    <w:pPr>
      <w:ind w:left="907"/>
    </w:pPr>
  </w:style>
  <w:style w:type="paragraph" w:customStyle="1" w:styleId="ZZCZWSPTIRwLITzmianazmczciwsptirwlit">
    <w:name w:val="ZZ/CZ_WSP_TIR_w_LIT – zmiana zm. części wsp. tir. w lit."/>
    <w:basedOn w:val="ZZTIRwLITzmianazmtirwlit"/>
    <w:uiPriority w:val="70"/>
    <w:qFormat/>
    <w:rsid w:val="00543D22"/>
    <w:pPr>
      <w:ind w:left="2370" w:firstLine="0"/>
    </w:pPr>
  </w:style>
  <w:style w:type="paragraph" w:customStyle="1" w:styleId="ZLIT2TIRzmpodwtirliter">
    <w:name w:val="Z_LIT/2TIR – zm. podw. tir. literą"/>
    <w:basedOn w:val="TIRtiret"/>
    <w:uiPriority w:val="75"/>
    <w:qFormat/>
    <w:rsid w:val="00543D22"/>
  </w:style>
  <w:style w:type="paragraph" w:customStyle="1" w:styleId="ZTIR2TIRzmpodwtirtiret">
    <w:name w:val="Z_TIR/2TIR – zm. podw. tir. tiret"/>
    <w:basedOn w:val="TIRtiret"/>
    <w:uiPriority w:val="78"/>
    <w:qFormat/>
    <w:rsid w:val="00543D2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543D22"/>
    <w:pPr>
      <w:ind w:left="1780"/>
    </w:pPr>
  </w:style>
  <w:style w:type="paragraph" w:customStyle="1" w:styleId="Z2TIRwPKTzmpodwtirwpktartykuempunktem">
    <w:name w:val="Z/2TIR_w_PKT – zm. podw. tir. w pkt artykułem (punktem)"/>
    <w:basedOn w:val="TIRtiret"/>
    <w:next w:val="ZPKTzmpktartykuempunktem"/>
    <w:uiPriority w:val="74"/>
    <w:qFormat/>
    <w:rsid w:val="00543D22"/>
    <w:pPr>
      <w:ind w:left="2291"/>
    </w:pPr>
  </w:style>
  <w:style w:type="paragraph" w:customStyle="1" w:styleId="ZTIRPKTzmpkttiret">
    <w:name w:val="Z_TIR/PKT – zm. pkt tiret"/>
    <w:basedOn w:val="PKTpunkt"/>
    <w:uiPriority w:val="56"/>
    <w:qFormat/>
    <w:rsid w:val="00543D22"/>
    <w:pPr>
      <w:ind w:left="1893"/>
    </w:pPr>
  </w:style>
  <w:style w:type="paragraph" w:customStyle="1" w:styleId="ZTIRLITwPKTzmlitwpkttiret">
    <w:name w:val="Z_TIR/LIT_w_PKT – zm. lit. w pkt tiret"/>
    <w:basedOn w:val="LITlitera"/>
    <w:uiPriority w:val="57"/>
    <w:qFormat/>
    <w:rsid w:val="00543D22"/>
    <w:pPr>
      <w:ind w:left="2336"/>
    </w:pPr>
  </w:style>
  <w:style w:type="paragraph" w:customStyle="1" w:styleId="ZTIRCZWSPLITwPKTzmczciwsplitwpkttiret">
    <w:name w:val="Z_TIR/CZ_WSP_LIT_w_PKT – zm. części wsp. lit. w pkt tiret"/>
    <w:basedOn w:val="CZWSPLITczwsplnaliter"/>
    <w:uiPriority w:val="59"/>
    <w:qFormat/>
    <w:rsid w:val="00543D22"/>
    <w:pPr>
      <w:ind w:left="1860"/>
    </w:pPr>
  </w:style>
  <w:style w:type="paragraph" w:customStyle="1" w:styleId="ZTIR2TIRwLITzmpodwtirwlittiret">
    <w:name w:val="Z_TIR/2TIR_w_LIT – zm. podw. tir. w lit. tiret"/>
    <w:basedOn w:val="TIRtiret"/>
    <w:uiPriority w:val="79"/>
    <w:qFormat/>
    <w:rsid w:val="00543D2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543D22"/>
    <w:pPr>
      <w:ind w:left="2257"/>
    </w:pPr>
  </w:style>
  <w:style w:type="paragraph" w:customStyle="1" w:styleId="ZTIR2TIRwTIRzmpodwtirwtirtiret">
    <w:name w:val="Z_TIR/2TIR_w_TIR – zm. podw. tir. w tir. tiret"/>
    <w:basedOn w:val="TIRtiret"/>
    <w:uiPriority w:val="78"/>
    <w:qFormat/>
    <w:rsid w:val="00543D22"/>
    <w:pPr>
      <w:ind w:left="2177"/>
    </w:pPr>
  </w:style>
  <w:style w:type="paragraph" w:customStyle="1" w:styleId="ZTIRCZWSP2TIRwTIRzmczciwsppodwtirwtirtiret">
    <w:name w:val="Z_TIR/CZ_WSP_2TIR_w_TIR – zm. części wsp. podw. tir. w tir. tiret"/>
    <w:basedOn w:val="CZWSPTIRczwsplnatiret"/>
    <w:uiPriority w:val="79"/>
    <w:qFormat/>
    <w:rsid w:val="00543D22"/>
    <w:pPr>
      <w:ind w:left="1780"/>
    </w:pPr>
  </w:style>
  <w:style w:type="paragraph" w:customStyle="1" w:styleId="Z2TIRLITzmlitpodwjnymtiret">
    <w:name w:val="Z_2TIR/LIT – zm. lit. podwójnym tiret"/>
    <w:basedOn w:val="LITlitera"/>
    <w:uiPriority w:val="84"/>
    <w:qFormat/>
    <w:rsid w:val="00543D22"/>
    <w:pPr>
      <w:ind w:left="2256"/>
    </w:pPr>
  </w:style>
  <w:style w:type="paragraph" w:customStyle="1" w:styleId="ZZ2TIRwTIRzmianazmpodwtirwtir">
    <w:name w:val="ZZ/2TIR_w_TIR – zmiana zm. podw. tir. w tir."/>
    <w:basedOn w:val="ZZCZWSP2TIRzmianazmczciwsppodwtir"/>
    <w:uiPriority w:val="93"/>
    <w:qFormat/>
    <w:rsid w:val="00543D22"/>
    <w:pPr>
      <w:ind w:left="2688" w:hanging="397"/>
    </w:pPr>
  </w:style>
  <w:style w:type="paragraph" w:customStyle="1" w:styleId="ZZ2TIRwLITzmianazmpodwtirwlit">
    <w:name w:val="ZZ/2TIR_w_LIT – zmiana zm. podw. tir. w lit."/>
    <w:basedOn w:val="ZZ2TIRwTIRzmianazmpodwtirwtir"/>
    <w:uiPriority w:val="94"/>
    <w:qFormat/>
    <w:rsid w:val="00543D22"/>
    <w:pPr>
      <w:ind w:left="3164"/>
    </w:pPr>
  </w:style>
  <w:style w:type="paragraph" w:customStyle="1" w:styleId="Z2TIRTIRwLITzmtirwlitpodwjnymtiret">
    <w:name w:val="Z_2TIR/TIR_w_LIT – zm. tir. w lit. podwójnym tiret"/>
    <w:basedOn w:val="TIRtiret"/>
    <w:uiPriority w:val="84"/>
    <w:qFormat/>
    <w:rsid w:val="00543D2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543D22"/>
    <w:pPr>
      <w:ind w:left="2257"/>
    </w:pPr>
  </w:style>
  <w:style w:type="paragraph" w:customStyle="1" w:styleId="ZZ2TIRwPKTzmianazmpodwtirwpkt">
    <w:name w:val="ZZ/2TIR_w_PKT – zmiana zm. podw. tir. w pkt"/>
    <w:basedOn w:val="ZZ2TIRwLITzmianazmpodwtirwlit"/>
    <w:uiPriority w:val="94"/>
    <w:qFormat/>
    <w:rsid w:val="00543D22"/>
    <w:pPr>
      <w:ind w:left="3674"/>
    </w:pPr>
  </w:style>
  <w:style w:type="paragraph" w:customStyle="1" w:styleId="ZZCZWSP2TIRwTIRzmianazmczciwsppodwtirwtir">
    <w:name w:val="ZZ/CZ_WSP_2TIR_w_TIR – zmiana zm. części wsp. podw. tir. w tir."/>
    <w:basedOn w:val="ZZ2TIRwLITzmianazmpodwtirwlit"/>
    <w:uiPriority w:val="94"/>
    <w:qFormat/>
    <w:rsid w:val="00543D22"/>
    <w:pPr>
      <w:ind w:left="2291" w:firstLine="0"/>
    </w:pPr>
  </w:style>
  <w:style w:type="paragraph" w:customStyle="1" w:styleId="Z2TIR2TIRwTIRzmpodwtirwtirpodwjnymtiret">
    <w:name w:val="Z_2TIR/2TIR_w_TIR – zm. podw. tir. w tir. podwójnym tiret"/>
    <w:basedOn w:val="TIRtiret"/>
    <w:uiPriority w:val="85"/>
    <w:qFormat/>
    <w:rsid w:val="00543D2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543D22"/>
    <w:pPr>
      <w:ind w:left="2177"/>
    </w:pPr>
  </w:style>
  <w:style w:type="paragraph" w:customStyle="1" w:styleId="Z2TIR2TIRwLITzmpodwtirwlitpodwjnymtiret">
    <w:name w:val="Z_2TIR/2TIR_w_LIT – zm. podw. tir. w lit. podwójnym tiret"/>
    <w:basedOn w:val="TIRtiret"/>
    <w:uiPriority w:val="86"/>
    <w:qFormat/>
    <w:rsid w:val="00543D2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543D2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543D2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543D22"/>
    <w:pPr>
      <w:spacing w:after="120"/>
      <w:ind w:left="510"/>
    </w:pPr>
    <w:rPr>
      <w:b w:val="0"/>
    </w:rPr>
  </w:style>
  <w:style w:type="character" w:styleId="Odwoaniedokomentarza">
    <w:name w:val="annotation reference"/>
    <w:basedOn w:val="Domylnaczcionkaakapitu"/>
    <w:uiPriority w:val="99"/>
    <w:rsid w:val="00543D22"/>
    <w:rPr>
      <w:sz w:val="16"/>
      <w:szCs w:val="16"/>
    </w:rPr>
  </w:style>
  <w:style w:type="paragraph" w:styleId="Tekstkomentarza">
    <w:name w:val="annotation text"/>
    <w:basedOn w:val="Normalny"/>
    <w:link w:val="TekstkomentarzaZnak"/>
    <w:uiPriority w:val="99"/>
    <w:rsid w:val="00543D22"/>
    <w:pPr>
      <w:widowControl w:val="0"/>
      <w:autoSpaceDE w:val="0"/>
      <w:autoSpaceDN w:val="0"/>
      <w:adjustRightInd w:val="0"/>
      <w:spacing w:after="0" w:line="360" w:lineRule="auto"/>
      <w:jc w:val="both"/>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rsid w:val="00543D22"/>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543D22"/>
    <w:rPr>
      <w:b/>
      <w:bCs/>
    </w:rPr>
  </w:style>
  <w:style w:type="character" w:customStyle="1" w:styleId="TematkomentarzaZnak">
    <w:name w:val="Temat komentarza Znak"/>
    <w:basedOn w:val="TekstkomentarzaZnak"/>
    <w:link w:val="Tematkomentarza"/>
    <w:uiPriority w:val="99"/>
    <w:semiHidden/>
    <w:rsid w:val="00543D22"/>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543D22"/>
    <w:pPr>
      <w:ind w:left="1894"/>
    </w:pPr>
  </w:style>
  <w:style w:type="paragraph" w:customStyle="1" w:styleId="ZZPKTzmianazmpkt">
    <w:name w:val="ZZ/PKT – zmiana zm. pkt"/>
    <w:basedOn w:val="ZPKTzmpktartykuempunktem"/>
    <w:uiPriority w:val="66"/>
    <w:qFormat/>
    <w:rsid w:val="00543D22"/>
    <w:pPr>
      <w:ind w:left="2404"/>
    </w:pPr>
  </w:style>
  <w:style w:type="paragraph" w:customStyle="1" w:styleId="ZZLITwPKTzmianazmlitwpkt">
    <w:name w:val="ZZ/LIT_w_PKT – zmiana zm. lit. w pkt"/>
    <w:basedOn w:val="ZLITwPKTzmlitwpktartykuempunktem"/>
    <w:uiPriority w:val="67"/>
    <w:qFormat/>
    <w:rsid w:val="00543D22"/>
    <w:pPr>
      <w:ind w:left="2880"/>
    </w:pPr>
  </w:style>
  <w:style w:type="paragraph" w:customStyle="1" w:styleId="ZZTIRwPKTzmianazmtirwpkt">
    <w:name w:val="ZZ/TIR_w_PKT – zmiana zm. tir. w pkt"/>
    <w:basedOn w:val="ZTIRwPKTzmtirwpktartykuempunktem"/>
    <w:uiPriority w:val="67"/>
    <w:qFormat/>
    <w:rsid w:val="00543D22"/>
    <w:pPr>
      <w:ind w:left="3277"/>
    </w:pPr>
  </w:style>
  <w:style w:type="paragraph" w:customStyle="1" w:styleId="ZZWMATFIZCHEMzmwzorumatfizlubchem">
    <w:name w:val="ZZ/W_MAT(FIZ|CHEM) – zm. wzoru mat. (fiz. lub chem.)"/>
    <w:basedOn w:val="ZWMATFIZCHEMzmwzorumatfizlubchemartykuempunktem"/>
    <w:uiPriority w:val="71"/>
    <w:qFormat/>
    <w:rsid w:val="00543D22"/>
    <w:pPr>
      <w:ind w:left="2404"/>
    </w:pPr>
  </w:style>
  <w:style w:type="paragraph" w:customStyle="1" w:styleId="ODNONIKtreodnonika">
    <w:name w:val="ODNOŚNIK – treść odnośnika"/>
    <w:uiPriority w:val="19"/>
    <w:qFormat/>
    <w:rsid w:val="00543D22"/>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543D2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543D22"/>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543D22"/>
    <w:rPr>
      <w:rFonts w:ascii="Times New Roman" w:hAnsi="Times New Roman"/>
    </w:rPr>
  </w:style>
  <w:style w:type="paragraph" w:customStyle="1" w:styleId="ZTIRTIRwPKTzmtirwpkttiret">
    <w:name w:val="Z_TIR/TIR_w_PKT – zm. tir. w pkt tiret"/>
    <w:basedOn w:val="ZTIRTIRwLITzmtirwlittiret"/>
    <w:uiPriority w:val="57"/>
    <w:qFormat/>
    <w:rsid w:val="00543D22"/>
    <w:pPr>
      <w:ind w:left="2733"/>
    </w:pPr>
  </w:style>
  <w:style w:type="paragraph" w:customStyle="1" w:styleId="ZTIRCZWSPTIRwPKTzmczciwsptirtiret">
    <w:name w:val="Z_TIR/CZ_WSP_TIR_w_PKT – zm. części wsp. tir. tiret"/>
    <w:basedOn w:val="ZTIRTIRwPKTzmtirwpkttiret"/>
    <w:next w:val="TIRtiret"/>
    <w:uiPriority w:val="60"/>
    <w:qFormat/>
    <w:rsid w:val="00543D2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543D22"/>
    <w:pPr>
      <w:ind w:left="510" w:firstLine="0"/>
    </w:pPr>
  </w:style>
  <w:style w:type="paragraph" w:customStyle="1" w:styleId="ROZDZODDZOZNoznaczenierozdziauluboddziau">
    <w:name w:val="ROZDZ(ODDZ)_OZN – oznaczenie rozdziału lub oddziału"/>
    <w:next w:val="ARTartustawynprozporzdzenia"/>
    <w:uiPriority w:val="10"/>
    <w:qFormat/>
    <w:rsid w:val="00543D22"/>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543D22"/>
    <w:pPr>
      <w:ind w:left="2177"/>
    </w:pPr>
  </w:style>
  <w:style w:type="paragraph" w:customStyle="1" w:styleId="Z2TIRTIRzmtirpodwjnymtiret">
    <w:name w:val="Z_2TIR/TIR – zm. tir. podwójnym tiret"/>
    <w:basedOn w:val="TIRtiret"/>
    <w:uiPriority w:val="84"/>
    <w:qFormat/>
    <w:rsid w:val="00543D2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543D22"/>
    <w:pPr>
      <w:ind w:left="1021"/>
    </w:pPr>
  </w:style>
  <w:style w:type="paragraph" w:customStyle="1" w:styleId="ZLITSKARNzmsankcjikarnejliter">
    <w:name w:val="Z_LIT/S_KARN – zm. sankcji karnej literą"/>
    <w:basedOn w:val="ZSKARNzmsankcjikarnejwszczeglnociwKodeksiekarnym"/>
    <w:uiPriority w:val="53"/>
    <w:qFormat/>
    <w:rsid w:val="00543D2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543D2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543D22"/>
    <w:pPr>
      <w:ind w:left="1894" w:firstLine="0"/>
    </w:pPr>
  </w:style>
  <w:style w:type="paragraph" w:customStyle="1" w:styleId="Z2TIRwLITzmpodwtirwlitartykuempunktem">
    <w:name w:val="Z/2TIR_w_LIT – zm. podw. tir. w lit. artykułem (punktem)"/>
    <w:basedOn w:val="Z2TIRwPKTzmpodwtirwpktartykuempunktem"/>
    <w:uiPriority w:val="74"/>
    <w:qFormat/>
    <w:rsid w:val="00543D22"/>
    <w:pPr>
      <w:ind w:left="1780"/>
    </w:pPr>
  </w:style>
  <w:style w:type="paragraph" w:customStyle="1" w:styleId="Z2TIRwTIRzmpodwtirwtirartykuempunktem">
    <w:name w:val="Z/2TIR_w_TIR – zm. podw. tir. w tir. artykułem (punktem)"/>
    <w:basedOn w:val="Z2TIRwLITzmpodwtirwlitartykuempunktem"/>
    <w:uiPriority w:val="73"/>
    <w:qFormat/>
    <w:rsid w:val="00543D2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543D2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543D22"/>
    <w:pPr>
      <w:ind w:left="1383" w:firstLine="0"/>
    </w:pPr>
  </w:style>
  <w:style w:type="paragraph" w:customStyle="1" w:styleId="ZZCZWSP2TIRzmianazmczciwsppodwtir">
    <w:name w:val="ZZ/CZ_WSP_2TIR – zmiana zm. części wsp. podw. tir."/>
    <w:basedOn w:val="ZZTIRzmianazmtir"/>
    <w:next w:val="ZZUSTzmianazmust"/>
    <w:uiPriority w:val="94"/>
    <w:qFormat/>
    <w:rsid w:val="00543D22"/>
    <w:pPr>
      <w:ind w:left="1894" w:firstLine="0"/>
    </w:pPr>
  </w:style>
  <w:style w:type="paragraph" w:customStyle="1" w:styleId="PKTODNONIKApunktodnonika">
    <w:name w:val="PKT_ODNOŚNIKA – punkt odnośnika"/>
    <w:basedOn w:val="ODNONIKtreodnonika"/>
    <w:uiPriority w:val="19"/>
    <w:qFormat/>
    <w:rsid w:val="00543D22"/>
    <w:pPr>
      <w:ind w:left="568"/>
    </w:pPr>
  </w:style>
  <w:style w:type="paragraph" w:customStyle="1" w:styleId="ZODNONIKAzmtekstuodnonikaartykuempunktem">
    <w:name w:val="Z/ODNOŚNIKA – zm. tekstu odnośnika artykułem (punktem)"/>
    <w:basedOn w:val="ODNONIKtreodnonika"/>
    <w:uiPriority w:val="39"/>
    <w:qFormat/>
    <w:rsid w:val="00543D2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543D22"/>
    <w:pPr>
      <w:ind w:left="1304"/>
    </w:pPr>
  </w:style>
  <w:style w:type="paragraph" w:customStyle="1" w:styleId="ZPKTODNONIKAzmpktodnonikaartykuempunktem">
    <w:name w:val="Z/PKT_ODNOŚNIKA – zm. pkt odnośnika artykułem (punktem)"/>
    <w:basedOn w:val="ZODNONIKAzmtekstuodnonikaartykuempunktem"/>
    <w:uiPriority w:val="39"/>
    <w:qFormat/>
    <w:rsid w:val="00543D22"/>
  </w:style>
  <w:style w:type="paragraph" w:customStyle="1" w:styleId="ZLIT2TIRwTIRzmpodwtirwtirliter">
    <w:name w:val="Z_LIT/2TIR_w_TIR – zm. podw. tir. w tir. literą"/>
    <w:basedOn w:val="ZLIT2TIRzmpodwtirliter"/>
    <w:uiPriority w:val="75"/>
    <w:qFormat/>
    <w:rsid w:val="00543D22"/>
    <w:pPr>
      <w:ind w:left="1780"/>
    </w:pPr>
  </w:style>
  <w:style w:type="paragraph" w:customStyle="1" w:styleId="ZLIT2TIRwLITzmpodwtirwlitliter">
    <w:name w:val="Z_LIT/2TIR_w_LIT – zm. podw. tir. w lit. literą"/>
    <w:basedOn w:val="ZLIT2TIRwTIRzmpodwtirwtirliter"/>
    <w:uiPriority w:val="76"/>
    <w:qFormat/>
    <w:rsid w:val="00543D22"/>
    <w:pPr>
      <w:ind w:left="2257"/>
    </w:pPr>
  </w:style>
  <w:style w:type="paragraph" w:customStyle="1" w:styleId="ZLIT2TIRwPKTzmpodwtirwpktliter">
    <w:name w:val="Z_LIT/2TIR_w_PKT – zm. podw. tir. w pkt literą"/>
    <w:basedOn w:val="ZLIT2TIRwLITzmpodwtirwlitliter"/>
    <w:uiPriority w:val="76"/>
    <w:qFormat/>
    <w:rsid w:val="00543D2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543D2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543D2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543D22"/>
    <w:pPr>
      <w:ind w:left="2370" w:firstLine="0"/>
    </w:pPr>
  </w:style>
  <w:style w:type="paragraph" w:customStyle="1" w:styleId="ZTIR2TIRwPKTzmpodwtirwpkttiret">
    <w:name w:val="Z_TIR/2TIR_w_PKT – zm. podw. tir. w pkt tiret"/>
    <w:basedOn w:val="ZTIR2TIRwLITzmpodwtirwlittiret"/>
    <w:uiPriority w:val="79"/>
    <w:qFormat/>
    <w:rsid w:val="00543D2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543D2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543D22"/>
    <w:pPr>
      <w:ind w:left="2767"/>
    </w:pPr>
  </w:style>
  <w:style w:type="paragraph" w:customStyle="1" w:styleId="ZZCZWSP2TIRwPKTzmianazmczciwsppodwtirwpkt">
    <w:name w:val="ZZ/CZ_WSP_2TIR_w_PKT – zmiana zm. części wsp. podw. tir. w pkt"/>
    <w:basedOn w:val="ZZ2TIRwLITzmianazmpodwtirwlit"/>
    <w:uiPriority w:val="95"/>
    <w:qFormat/>
    <w:rsid w:val="00543D2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543D22"/>
  </w:style>
  <w:style w:type="paragraph" w:customStyle="1" w:styleId="ZLITCZWSP2TIRzmczciwsppodwtirliter">
    <w:name w:val="Z_LIT/CZ_WSP_2TIR – zm. części wsp. podw. tir. literą"/>
    <w:basedOn w:val="ZLITCZWSPPKTzmczciwsppktliter"/>
    <w:next w:val="LITlitera"/>
    <w:uiPriority w:val="76"/>
    <w:qFormat/>
    <w:rsid w:val="00543D22"/>
  </w:style>
  <w:style w:type="paragraph" w:customStyle="1" w:styleId="ZTIRCZWSP2TIRzmczciwsppodwtirtiret">
    <w:name w:val="Z_TIR/CZ_WSP_2TIR – zm. części wsp. podw. tir. tiret"/>
    <w:basedOn w:val="ZLITCZWSP2TIRzmczciwsppodwtirliter"/>
    <w:next w:val="TIRtiret"/>
    <w:uiPriority w:val="79"/>
    <w:qFormat/>
    <w:rsid w:val="00543D22"/>
  </w:style>
  <w:style w:type="paragraph" w:customStyle="1" w:styleId="ZZ2TIRzmianazmpodwtir">
    <w:name w:val="ZZ/2TIR – zmiana zm. podw. tir."/>
    <w:basedOn w:val="ZZCZWSP2TIRzmianazmczciwsppodwtir"/>
    <w:uiPriority w:val="93"/>
    <w:qFormat/>
    <w:rsid w:val="00543D2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543D22"/>
  </w:style>
  <w:style w:type="paragraph" w:customStyle="1" w:styleId="ZCZWSPTIRzmczciwsptirartykuempunktem">
    <w:name w:val="Z/CZ_WSP_TIR – zm. części wsp. tir. artykułem (punktem)"/>
    <w:basedOn w:val="ZCZWSPPKTzmczciwsppktartykuempunktem"/>
    <w:next w:val="PKTpunkt"/>
    <w:uiPriority w:val="35"/>
    <w:qFormat/>
    <w:rsid w:val="00543D22"/>
  </w:style>
  <w:style w:type="paragraph" w:customStyle="1" w:styleId="ZLITCZWSPLITzmczciwsplitliter">
    <w:name w:val="Z_LIT/CZ_WSP_LIT – zm. części wsp. lit. literą"/>
    <w:basedOn w:val="ZLITCZWSPPKTzmczciwsppktliter"/>
    <w:next w:val="LITlitera"/>
    <w:uiPriority w:val="51"/>
    <w:qFormat/>
    <w:rsid w:val="00543D22"/>
  </w:style>
  <w:style w:type="paragraph" w:customStyle="1" w:styleId="ZLITCZWSPTIRzmczciwsptirliter">
    <w:name w:val="Z_LIT/CZ_WSP_TIR – zm. części wsp. tir. literą"/>
    <w:basedOn w:val="ZLITCZWSPPKTzmczciwsppktliter"/>
    <w:next w:val="LITlitera"/>
    <w:uiPriority w:val="51"/>
    <w:qFormat/>
    <w:rsid w:val="00543D22"/>
  </w:style>
  <w:style w:type="paragraph" w:customStyle="1" w:styleId="ZTIRCZWSPLITzmczciwsplittiret">
    <w:name w:val="Z_TIR/CZ_WSP_LIT – zm. części wsp. lit. tiret"/>
    <w:basedOn w:val="ZTIRCZWSPPKTzmczciwsppkttiret"/>
    <w:next w:val="TIRtiret"/>
    <w:uiPriority w:val="59"/>
    <w:qFormat/>
    <w:rsid w:val="00543D22"/>
  </w:style>
  <w:style w:type="paragraph" w:customStyle="1" w:styleId="ZTIRCZWSPTIRzmczciwsptirtiret">
    <w:name w:val="Z_TIR/CZ_WSP_TIR – zm. części wsp. tir. tiret"/>
    <w:basedOn w:val="ZTIRCZWSPPKTzmczciwsppkttiret"/>
    <w:next w:val="TIRtiret"/>
    <w:uiPriority w:val="60"/>
    <w:qFormat/>
    <w:rsid w:val="00543D22"/>
  </w:style>
  <w:style w:type="paragraph" w:customStyle="1" w:styleId="ZZCZWSPLITzmianazmczciwsplit">
    <w:name w:val="ZZ/CZ_WSP_LIT – zmiana. zm. części wsp. lit."/>
    <w:basedOn w:val="ZZCZWSPPKTzmianazmczciwsppkt"/>
    <w:uiPriority w:val="69"/>
    <w:qFormat/>
    <w:rsid w:val="00543D22"/>
  </w:style>
  <w:style w:type="paragraph" w:customStyle="1" w:styleId="ZZCZWSPTIRzmianazmczciwsptir">
    <w:name w:val="ZZ/CZ_WSP_TIR – zmiana. zm. części wsp. tir."/>
    <w:basedOn w:val="ZZCZWSPPKTzmianazmczciwsppkt"/>
    <w:uiPriority w:val="69"/>
    <w:qFormat/>
    <w:rsid w:val="00543D22"/>
  </w:style>
  <w:style w:type="paragraph" w:customStyle="1" w:styleId="Z2TIRCZWSPTIRzmczciwsptirpodwjnymtiret">
    <w:name w:val="Z_2TIR/CZ_WSP_TIR – zm. części wsp. tir. podwójnym tiret"/>
    <w:basedOn w:val="Z2TIRCZWSPLITzmczciwsplitpodwjnymtiret"/>
    <w:next w:val="2TIRpodwjnytiret"/>
    <w:uiPriority w:val="87"/>
    <w:qFormat/>
    <w:rsid w:val="00543D2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543D22"/>
  </w:style>
  <w:style w:type="paragraph" w:customStyle="1" w:styleId="ZUSTzmustartykuempunktem">
    <w:name w:val="Z/UST(§) – zm. ust. (§) artykułem (punktem)"/>
    <w:basedOn w:val="ZARTzmartartykuempunktem"/>
    <w:uiPriority w:val="30"/>
    <w:qFormat/>
    <w:rsid w:val="00543D22"/>
  </w:style>
  <w:style w:type="paragraph" w:customStyle="1" w:styleId="ZZUSTzmianazmust">
    <w:name w:val="ZZ/UST(§) – zmiana zm. ust. (§)"/>
    <w:basedOn w:val="ZZARTzmianazmart"/>
    <w:uiPriority w:val="65"/>
    <w:qFormat/>
    <w:rsid w:val="00543D22"/>
  </w:style>
  <w:style w:type="paragraph" w:customStyle="1" w:styleId="TYTDZPRZEDMprzedmiotregulacjitytuulubdziau">
    <w:name w:val="TYT(DZ)_PRZEDM – przedmiot regulacji tytułu lub działu"/>
    <w:next w:val="ARTartustawynprozporzdzenia"/>
    <w:uiPriority w:val="9"/>
    <w:qFormat/>
    <w:rsid w:val="00543D22"/>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543D22"/>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543D2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543D2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543D22"/>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543D2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543D22"/>
    <w:pPr>
      <w:ind w:left="1894"/>
    </w:pPr>
  </w:style>
  <w:style w:type="paragraph" w:customStyle="1" w:styleId="P1wTABELIpoziom1numeracjiwtabeli">
    <w:name w:val="P1_w_TABELI – poziom 1 numeracji w tabeli"/>
    <w:basedOn w:val="PKTpunkt"/>
    <w:uiPriority w:val="24"/>
    <w:qFormat/>
    <w:rsid w:val="00543D2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543D22"/>
    <w:pPr>
      <w:ind w:left="0" w:firstLine="0"/>
    </w:pPr>
  </w:style>
  <w:style w:type="paragraph" w:customStyle="1" w:styleId="P2wTABELIpoziom2numeracjiwtabeli">
    <w:name w:val="P2_w_TABELI – poziom 2 numeracji w tabeli"/>
    <w:basedOn w:val="P1wTABELIpoziom1numeracjiwtabeli"/>
    <w:uiPriority w:val="24"/>
    <w:qFormat/>
    <w:rsid w:val="00543D22"/>
    <w:pPr>
      <w:ind w:left="794"/>
    </w:pPr>
  </w:style>
  <w:style w:type="paragraph" w:customStyle="1" w:styleId="P3wTABELIpoziom3numeracjiwtabeli">
    <w:name w:val="P3_w_TABELI – poziom 3 numeracji w tabeli"/>
    <w:basedOn w:val="P2wTABELIpoziom2numeracjiwtabeli"/>
    <w:uiPriority w:val="24"/>
    <w:qFormat/>
    <w:rsid w:val="00543D2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543D2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543D2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543D22"/>
    <w:pPr>
      <w:ind w:left="1191"/>
    </w:pPr>
  </w:style>
  <w:style w:type="paragraph" w:customStyle="1" w:styleId="P4wTABELIpoziom4numeracjiwtabeli">
    <w:name w:val="P4_w_TABELI – poziom 4 numeracji w tabeli"/>
    <w:basedOn w:val="P3wTABELIpoziom3numeracjiwtabeli"/>
    <w:uiPriority w:val="24"/>
    <w:qFormat/>
    <w:rsid w:val="00543D22"/>
    <w:pPr>
      <w:ind w:left="1588"/>
    </w:pPr>
  </w:style>
  <w:style w:type="paragraph" w:customStyle="1" w:styleId="TYTTABELItytutabeli">
    <w:name w:val="TYT_TABELI – tytuł tabeli"/>
    <w:basedOn w:val="TYTDZOZNoznaczenietytuulubdziau"/>
    <w:uiPriority w:val="22"/>
    <w:qFormat/>
    <w:rsid w:val="00543D22"/>
    <w:rPr>
      <w:b/>
    </w:rPr>
  </w:style>
  <w:style w:type="paragraph" w:customStyle="1" w:styleId="OZNPROJEKTUwskazaniedatylubwersjiprojektu">
    <w:name w:val="OZN_PROJEKTU – wskazanie daty lub wersji projektu"/>
    <w:next w:val="OZNRODZAKTUtznustawalubrozporzdzenieiorganwydajcy"/>
    <w:uiPriority w:val="5"/>
    <w:qFormat/>
    <w:rsid w:val="00543D22"/>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543D2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543D22"/>
    <w:pPr>
      <w:ind w:left="0" w:right="4820"/>
      <w:jc w:val="left"/>
    </w:pPr>
  </w:style>
  <w:style w:type="paragraph" w:customStyle="1" w:styleId="TEKSTwporozumieniu">
    <w:name w:val="TEKST&quot;w porozumieniu:&quot;"/>
    <w:next w:val="NAZORGWPOROZUMIENIUnazwaorganuwporozumieniuzktrymaktjestwydawany"/>
    <w:uiPriority w:val="27"/>
    <w:qFormat/>
    <w:rsid w:val="00543D22"/>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543D2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543D22"/>
    <w:pPr>
      <w:ind w:left="510" w:firstLine="0"/>
    </w:pPr>
  </w:style>
  <w:style w:type="paragraph" w:customStyle="1" w:styleId="NOTATKILEGISLATORA">
    <w:name w:val="NOTATKI_LEGISLATORA"/>
    <w:basedOn w:val="Normalny"/>
    <w:uiPriority w:val="5"/>
    <w:qFormat/>
    <w:rsid w:val="00543D22"/>
    <w:pPr>
      <w:widowControl w:val="0"/>
      <w:autoSpaceDE w:val="0"/>
      <w:autoSpaceDN w:val="0"/>
      <w:adjustRightInd w:val="0"/>
      <w:spacing w:after="0" w:line="360" w:lineRule="auto"/>
      <w:jc w:val="both"/>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543D22"/>
    <w:pPr>
      <w:keepNext/>
    </w:pPr>
    <w:rPr>
      <w:b/>
      <w:u w:val="none"/>
    </w:rPr>
  </w:style>
  <w:style w:type="paragraph" w:customStyle="1" w:styleId="OZNPARAFYADNOTACJE">
    <w:name w:val="OZN_PARAFY(ADNOTACJE)"/>
    <w:basedOn w:val="ODNONIKtreodnonika"/>
    <w:uiPriority w:val="26"/>
    <w:qFormat/>
    <w:rsid w:val="00543D22"/>
  </w:style>
  <w:style w:type="paragraph" w:customStyle="1" w:styleId="TEKSTZacznikido">
    <w:name w:val="TEKST&quot;Załącznik(i) do ...&quot;"/>
    <w:uiPriority w:val="28"/>
    <w:qFormat/>
    <w:rsid w:val="00543D22"/>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543D22"/>
    <w:pPr>
      <w:ind w:left="851"/>
    </w:pPr>
  </w:style>
  <w:style w:type="paragraph" w:customStyle="1" w:styleId="CZWSPLITODNONIKAczwspliterodnonika">
    <w:name w:val="CZ_WSP_LIT_ODNOŚNIKA – część wsp. liter odnośnika"/>
    <w:basedOn w:val="LITODNONIKAliteraodnonika"/>
    <w:uiPriority w:val="22"/>
    <w:qFormat/>
    <w:rsid w:val="00543D2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543D2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543D2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543D2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543D2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543D2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543D2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543D22"/>
  </w:style>
  <w:style w:type="paragraph" w:customStyle="1" w:styleId="ZLITwPKTODNONIKAzmlitwpktodnonikaartykuempunktem">
    <w:name w:val="Z/LIT_w_PKT_ODNOŚNIKA – zm. lit. w pkt odnośnika artykułem (punktem)"/>
    <w:basedOn w:val="ZLITODNONIKAzmlitodnonikaartykuempunktem"/>
    <w:uiPriority w:val="40"/>
    <w:qFormat/>
    <w:rsid w:val="00543D2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543D2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543D2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543D2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543D2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543D2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543D22"/>
  </w:style>
  <w:style w:type="paragraph" w:customStyle="1" w:styleId="ZZFRAGzmianazmfragmentunpzdania">
    <w:name w:val="ZZ/FRAG – zmiana zm. fragmentu (np. zdania)"/>
    <w:basedOn w:val="ZZCZWSPPKTzmianazmczciwsppkt"/>
    <w:uiPriority w:val="70"/>
    <w:qFormat/>
    <w:rsid w:val="00543D22"/>
  </w:style>
  <w:style w:type="paragraph" w:customStyle="1" w:styleId="Z2TIRPKTzmpktpodwjnymtiret">
    <w:name w:val="Z_2TIR/PKT – zm. pkt podwójnym tiret"/>
    <w:basedOn w:val="Z2TIRLITzmlitpodwjnymtiret"/>
    <w:uiPriority w:val="83"/>
    <w:qFormat/>
    <w:rsid w:val="00543D2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543D2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543D2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543D2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543D22"/>
    <w:pPr>
      <w:ind w:left="1780" w:firstLine="510"/>
    </w:pPr>
  </w:style>
  <w:style w:type="paragraph" w:customStyle="1" w:styleId="Z2TIRUSTzmustpodwjnymtiret">
    <w:name w:val="Z_2TIR/UST(§) – zm. ust. (§) podwójnym tiret"/>
    <w:basedOn w:val="Z2TIRPKTzmpktpodwjnymtiret"/>
    <w:uiPriority w:val="82"/>
    <w:qFormat/>
    <w:rsid w:val="00543D2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543D22"/>
    <w:pPr>
      <w:ind w:left="3164" w:firstLine="0"/>
    </w:pPr>
  </w:style>
  <w:style w:type="paragraph" w:customStyle="1" w:styleId="Z2TIRCZWSPPKTzmczciwsppktpodwjnymtiret">
    <w:name w:val="Z_2TIR/CZ_WSP_PKT – zm. części wsp. pkt podwójnym tiret"/>
    <w:basedOn w:val="Z2TIRPKTzmpktpodwjnymtiret"/>
    <w:uiPriority w:val="86"/>
    <w:qFormat/>
    <w:rsid w:val="00543D2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543D2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543D22"/>
    <w:pPr>
      <w:ind w:left="2767" w:firstLine="0"/>
    </w:pPr>
  </w:style>
  <w:style w:type="paragraph" w:customStyle="1" w:styleId="ZLITARTzmartliter">
    <w:name w:val="Z_LIT/ART(§) – zm. art. (§) literą"/>
    <w:basedOn w:val="ZLITUSTzmustliter"/>
    <w:uiPriority w:val="46"/>
    <w:qFormat/>
    <w:rsid w:val="00543D22"/>
    <w:rPr>
      <w:rFonts w:ascii="Times New Roman" w:hAnsi="Times New Roman"/>
    </w:rPr>
  </w:style>
  <w:style w:type="paragraph" w:customStyle="1" w:styleId="ZTIRARTzmarttiret">
    <w:name w:val="Z_TIR/ART(§) – zm. art. (§) tiret"/>
    <w:basedOn w:val="ZTIRPKTzmpkttiret"/>
    <w:uiPriority w:val="55"/>
    <w:qFormat/>
    <w:rsid w:val="00543D22"/>
    <w:pPr>
      <w:ind w:left="1383" w:firstLine="510"/>
    </w:pPr>
    <w:rPr>
      <w:rFonts w:ascii="Times New Roman" w:hAnsi="Times New Roman"/>
    </w:rPr>
  </w:style>
  <w:style w:type="paragraph" w:customStyle="1" w:styleId="ZTIRUSTzmusttiret">
    <w:name w:val="Z_TIR/UST(§) – zm. ust. (§) tiret"/>
    <w:basedOn w:val="ZTIRARTzmarttiret"/>
    <w:uiPriority w:val="55"/>
    <w:qFormat/>
    <w:rsid w:val="00543D22"/>
  </w:style>
  <w:style w:type="paragraph" w:customStyle="1" w:styleId="ZLITKSIGIzmozniprzedmksigiliter">
    <w:name w:val="Z_LIT/KSIĘGI – zm. ozn. i przedm. księgi literą"/>
    <w:basedOn w:val="ZCZCIKSIGIzmozniprzedmczciksigiartykuempunktem"/>
    <w:uiPriority w:val="44"/>
    <w:qFormat/>
    <w:rsid w:val="00543D2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543D2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543D22"/>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543D2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543D22"/>
    <w:pPr>
      <w:ind w:left="987"/>
    </w:pPr>
  </w:style>
  <w:style w:type="paragraph" w:customStyle="1" w:styleId="ZTIRDZOZNzmozndziautiret">
    <w:name w:val="Z_TIR/DZ_OZN – zm. ozn. działu tiret"/>
    <w:basedOn w:val="ZLITTYTDZOZNzmozntytuudziauliter"/>
    <w:next w:val="ZTIRDZPRZEDMzmprzedmdziautiret"/>
    <w:uiPriority w:val="54"/>
    <w:qFormat/>
    <w:rsid w:val="00543D22"/>
    <w:pPr>
      <w:ind w:left="1383"/>
    </w:pPr>
  </w:style>
  <w:style w:type="paragraph" w:customStyle="1" w:styleId="ZTIRDZPRZEDMzmprzedmdziautiret">
    <w:name w:val="Z_TIR/DZ_PRZEDM – zm. przedm. działu tiret"/>
    <w:basedOn w:val="ZLITTYTDZPRZEDMzmprzedmtytuudziauliter"/>
    <w:uiPriority w:val="54"/>
    <w:qFormat/>
    <w:rsid w:val="00543D2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543D22"/>
    <w:pPr>
      <w:ind w:left="1383"/>
    </w:pPr>
  </w:style>
  <w:style w:type="paragraph" w:customStyle="1" w:styleId="ZTIRROZDZODDZPRZEDMzmprzedmrozdzoddztiret">
    <w:name w:val="Z_TIR/ROZDZ(ODDZ)_PRZEDM – zm. przedm. rozdz. (oddz.) tiret"/>
    <w:basedOn w:val="ZLITROZDZODDZPRZEDMzmprzedmrozdzoddzliter"/>
    <w:uiPriority w:val="54"/>
    <w:qFormat/>
    <w:rsid w:val="00543D2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543D22"/>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543D22"/>
    <w:pPr>
      <w:ind w:left="1780"/>
    </w:pPr>
  </w:style>
  <w:style w:type="character" w:customStyle="1" w:styleId="IGindeksgrny">
    <w:name w:val="_IG_ – indeks górny"/>
    <w:basedOn w:val="Domylnaczcionkaakapitu"/>
    <w:uiPriority w:val="2"/>
    <w:qFormat/>
    <w:rsid w:val="00543D22"/>
    <w:rPr>
      <w:b w:val="0"/>
      <w:i w:val="0"/>
      <w:vanish w:val="0"/>
      <w:spacing w:val="0"/>
      <w:vertAlign w:val="superscript"/>
    </w:rPr>
  </w:style>
  <w:style w:type="character" w:customStyle="1" w:styleId="IDindeksdolny">
    <w:name w:val="_ID_ – indeks dolny"/>
    <w:basedOn w:val="Domylnaczcionkaakapitu"/>
    <w:uiPriority w:val="3"/>
    <w:qFormat/>
    <w:rsid w:val="00543D22"/>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43D22"/>
    <w:rPr>
      <w:b/>
      <w:vanish w:val="0"/>
      <w:spacing w:val="0"/>
      <w:vertAlign w:val="subscript"/>
    </w:rPr>
  </w:style>
  <w:style w:type="character" w:customStyle="1" w:styleId="IDKindeksdolnyikursywa">
    <w:name w:val="_ID_K_ – indeks dolny i kursywa"/>
    <w:basedOn w:val="Domylnaczcionkaakapitu"/>
    <w:uiPriority w:val="3"/>
    <w:qFormat/>
    <w:rsid w:val="00543D22"/>
    <w:rPr>
      <w:i/>
      <w:vanish w:val="0"/>
      <w:spacing w:val="0"/>
      <w:vertAlign w:val="subscript"/>
    </w:rPr>
  </w:style>
  <w:style w:type="character" w:customStyle="1" w:styleId="IGPindeksgrnyipogrubienie">
    <w:name w:val="_IG_P_ – indeks górny i pogrubienie"/>
    <w:basedOn w:val="Domylnaczcionkaakapitu"/>
    <w:uiPriority w:val="2"/>
    <w:qFormat/>
    <w:rsid w:val="00543D22"/>
    <w:rPr>
      <w:b/>
      <w:vanish w:val="0"/>
      <w:spacing w:val="0"/>
      <w:vertAlign w:val="superscript"/>
    </w:rPr>
  </w:style>
  <w:style w:type="character" w:customStyle="1" w:styleId="IGKindeksgrnyikursywa">
    <w:name w:val="_IG_K_ – indeks górny i kursywa"/>
    <w:basedOn w:val="Domylnaczcionkaakapitu"/>
    <w:uiPriority w:val="2"/>
    <w:qFormat/>
    <w:rsid w:val="00543D22"/>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43D22"/>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43D22"/>
    <w:rPr>
      <w:b/>
      <w:i/>
      <w:vanish w:val="0"/>
      <w:spacing w:val="0"/>
      <w:vertAlign w:val="subscript"/>
    </w:rPr>
  </w:style>
  <w:style w:type="character" w:customStyle="1" w:styleId="Ppogrubienie">
    <w:name w:val="_P_ – pogrubienie"/>
    <w:basedOn w:val="Domylnaczcionkaakapitu"/>
    <w:uiPriority w:val="1"/>
    <w:qFormat/>
    <w:rsid w:val="00543D22"/>
    <w:rPr>
      <w:b/>
    </w:rPr>
  </w:style>
  <w:style w:type="character" w:customStyle="1" w:styleId="Kkursywa">
    <w:name w:val="_K_ – kursywa"/>
    <w:basedOn w:val="Domylnaczcionkaakapitu"/>
    <w:uiPriority w:val="1"/>
    <w:qFormat/>
    <w:rsid w:val="00543D22"/>
    <w:rPr>
      <w:i/>
    </w:rPr>
  </w:style>
  <w:style w:type="character" w:customStyle="1" w:styleId="PKpogrubieniekursywa">
    <w:name w:val="_P_K_ – pogrubienie kursywa"/>
    <w:basedOn w:val="Domylnaczcionkaakapitu"/>
    <w:uiPriority w:val="1"/>
    <w:qFormat/>
    <w:rsid w:val="00543D22"/>
    <w:rPr>
      <w:b/>
      <w:i/>
    </w:rPr>
  </w:style>
  <w:style w:type="character" w:customStyle="1" w:styleId="TEKSTOZNACZONYWDOKUMENCIERDOWYMJAKOUKRYTY">
    <w:name w:val="_TEKST_OZNACZONY_W_DOKUMENCIE_ŹRÓDŁOWYM_JAKO_UKRYTY_"/>
    <w:basedOn w:val="Domylnaczcionkaakapitu"/>
    <w:uiPriority w:val="4"/>
    <w:unhideWhenUsed/>
    <w:qFormat/>
    <w:rsid w:val="00543D22"/>
    <w:rPr>
      <w:vanish w:val="0"/>
      <w:color w:val="FF0000"/>
      <w:u w:val="single" w:color="FF0000"/>
    </w:rPr>
  </w:style>
  <w:style w:type="character" w:customStyle="1" w:styleId="BEZWERSALIKW">
    <w:name w:val="_BEZ_WERSALIKÓW_"/>
    <w:basedOn w:val="Domylnaczcionkaakapitu"/>
    <w:uiPriority w:val="4"/>
    <w:qFormat/>
    <w:rsid w:val="00543D22"/>
    <w:rPr>
      <w:caps/>
    </w:rPr>
  </w:style>
  <w:style w:type="character" w:customStyle="1" w:styleId="IIGPindeksgrnyindeksugrnegoipogrubienie">
    <w:name w:val="_IIG_P_ – indeks górny indeksu górnego i pogrubienie"/>
    <w:basedOn w:val="Domylnaczcionkaakapitu"/>
    <w:uiPriority w:val="3"/>
    <w:qFormat/>
    <w:rsid w:val="00543D22"/>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543D22"/>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543D22"/>
    <w:pPr>
      <w:spacing w:after="0" w:line="240" w:lineRule="auto"/>
      <w:ind w:left="283" w:hanging="170"/>
      <w:jc w:val="both"/>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543D22"/>
    <w:pPr>
      <w:suppressAutoHyphens/>
      <w:autoSpaceDE w:val="0"/>
      <w:autoSpaceDN w:val="0"/>
      <w:adjustRightInd w:val="0"/>
      <w:spacing w:after="0" w:line="360" w:lineRule="auto"/>
      <w:ind w:firstLine="510"/>
      <w:jc w:val="both"/>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543D22"/>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543D22"/>
    <w:pPr>
      <w:ind w:left="1894"/>
    </w:pPr>
  </w:style>
  <w:style w:type="paragraph" w:customStyle="1" w:styleId="ZZSKARNzmianazmsankcjikarnej">
    <w:name w:val="ZZ/S_KARN – zmiana zm. sankcji karnej"/>
    <w:basedOn w:val="ZZFRAGzmianazmfragmentunpzdania"/>
    <w:uiPriority w:val="71"/>
    <w:qFormat/>
    <w:rsid w:val="00543D2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543D22"/>
    <w:pPr>
      <w:ind w:left="2291" w:firstLine="0"/>
    </w:pPr>
  </w:style>
  <w:style w:type="paragraph" w:customStyle="1" w:styleId="WMATFIZCHEMwzrmatfizlubchem">
    <w:name w:val="W_MAT(FIZ|CHEM) – wzór mat. (fiz. lub chem.)"/>
    <w:uiPriority w:val="18"/>
    <w:qFormat/>
    <w:rsid w:val="00543D22"/>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543D2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543D2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543D2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543D2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543D2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543D2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543D2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543D2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543D22"/>
    <w:pPr>
      <w:ind w:left="3085"/>
    </w:pPr>
  </w:style>
  <w:style w:type="paragraph" w:customStyle="1" w:styleId="ZLITCYTzmcytatunpprzysigiliter">
    <w:name w:val="Z_LIT/CYT – zm. cytatu np. przysięgi literą"/>
    <w:basedOn w:val="ZCYTzmcytatunpprzysigiartykuempunktem"/>
    <w:uiPriority w:val="53"/>
    <w:qFormat/>
    <w:rsid w:val="00543D22"/>
    <w:pPr>
      <w:ind w:left="1497"/>
    </w:pPr>
  </w:style>
  <w:style w:type="paragraph" w:customStyle="1" w:styleId="ZTIRCYTzmcytatunpprzysigitiret">
    <w:name w:val="Z_TIR/CYT – zm. cytatu np. przysięgi tiret"/>
    <w:basedOn w:val="ZLITCYTzmcytatunpprzysigiliter"/>
    <w:next w:val="ZTIRUSTzmusttiret"/>
    <w:uiPriority w:val="61"/>
    <w:qFormat/>
    <w:rsid w:val="00543D2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543D22"/>
    <w:pPr>
      <w:ind w:left="2291"/>
    </w:pPr>
  </w:style>
  <w:style w:type="paragraph" w:customStyle="1" w:styleId="ZZCYTzmianazmcytatunpprzysigi">
    <w:name w:val="ZZ/CYT – zmiana zm. cytatu np. przysięgi"/>
    <w:basedOn w:val="ZZFRAGzmianazmfragmentunpzdania"/>
    <w:next w:val="ZZUSTzmianazmust"/>
    <w:uiPriority w:val="71"/>
    <w:qFormat/>
    <w:rsid w:val="00543D2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543D22"/>
    <w:pPr>
      <w:ind w:left="1780"/>
    </w:pPr>
  </w:style>
  <w:style w:type="table" w:styleId="Tabela-Siatka">
    <w:name w:val="Table Grid"/>
    <w:basedOn w:val="Standardowy"/>
    <w:rsid w:val="00543D22"/>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543D22"/>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543D2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543D2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543D22"/>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543D22"/>
    <w:rPr>
      <w:color w:val="808080"/>
    </w:rPr>
  </w:style>
  <w:style w:type="character" w:styleId="Pogrubienie">
    <w:name w:val="Strong"/>
    <w:basedOn w:val="Domylnaczcionkaakapitu"/>
    <w:uiPriority w:val="22"/>
    <w:qFormat/>
    <w:rsid w:val="00543D22"/>
    <w:rPr>
      <w:b/>
      <w:bCs/>
    </w:rPr>
  </w:style>
  <w:style w:type="character" w:styleId="Uwydatnienie">
    <w:name w:val="Emphasis"/>
    <w:basedOn w:val="Domylnaczcionkaakapitu"/>
    <w:uiPriority w:val="20"/>
    <w:qFormat/>
    <w:rsid w:val="00543D22"/>
    <w:rPr>
      <w:i/>
      <w:iCs/>
    </w:rPr>
  </w:style>
  <w:style w:type="paragraph" w:styleId="Akapitzlist">
    <w:name w:val="List Paragraph"/>
    <w:aliases w:val="Dot pt,F5 List Paragraph"/>
    <w:basedOn w:val="Normalny"/>
    <w:link w:val="AkapitzlistZnak"/>
    <w:uiPriority w:val="34"/>
    <w:qFormat/>
    <w:rsid w:val="00543D22"/>
    <w:pPr>
      <w:spacing w:after="200" w:line="276" w:lineRule="auto"/>
      <w:ind w:left="720"/>
      <w:contextualSpacing/>
      <w:jc w:val="both"/>
    </w:pPr>
    <w:rPr>
      <w:rFonts w:ascii="Times New Roman" w:hAnsi="Times New Roman"/>
    </w:rPr>
  </w:style>
  <w:style w:type="paragraph" w:styleId="NormalnyWeb">
    <w:name w:val="Normal (Web)"/>
    <w:basedOn w:val="Normalny"/>
    <w:uiPriority w:val="99"/>
    <w:unhideWhenUsed/>
    <w:rsid w:val="00543D22"/>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543D22"/>
    <w:rPr>
      <w:color w:val="0563C1" w:themeColor="hyperlink"/>
      <w:u w:val="single"/>
    </w:rPr>
  </w:style>
  <w:style w:type="paragraph" w:styleId="Poprawka">
    <w:name w:val="Revision"/>
    <w:hidden/>
    <w:uiPriority w:val="99"/>
    <w:semiHidden/>
    <w:rsid w:val="00543D22"/>
    <w:pPr>
      <w:spacing w:after="0" w:line="240" w:lineRule="auto"/>
    </w:pPr>
    <w:rPr>
      <w:rFonts w:ascii="Times New Roman" w:eastAsiaTheme="minorEastAsia" w:hAnsi="Times New Roman" w:cs="Arial"/>
      <w:sz w:val="24"/>
      <w:szCs w:val="20"/>
      <w:lang w:eastAsia="pl-PL"/>
    </w:rPr>
  </w:style>
  <w:style w:type="paragraph" w:customStyle="1" w:styleId="Domylnie">
    <w:name w:val="Domyślnie"/>
    <w:rsid w:val="00543D22"/>
    <w:pPr>
      <w:suppressAutoHyphens/>
      <w:spacing w:after="200" w:line="360" w:lineRule="auto"/>
      <w:jc w:val="both"/>
    </w:pPr>
    <w:rPr>
      <w:rFonts w:ascii="Calibri" w:eastAsia="SimSun" w:hAnsi="Calibri" w:cs="Calibri"/>
      <w:sz w:val="26"/>
      <w:szCs w:val="26"/>
    </w:rPr>
  </w:style>
  <w:style w:type="character" w:customStyle="1" w:styleId="Teksttreci7">
    <w:name w:val="Tekst treści (7)"/>
    <w:basedOn w:val="Domylnaczcionkaakapitu"/>
    <w:rsid w:val="00543D22"/>
    <w:rPr>
      <w:rFonts w:ascii="Times New Roman" w:eastAsia="Times New Roman" w:hAnsi="Times New Roman" w:cs="Times New Roman" w:hint="default"/>
      <w:b w:val="0"/>
      <w:bCs w:val="0"/>
      <w:i/>
      <w:iCs/>
      <w:smallCaps w:val="0"/>
      <w:strike w:val="0"/>
      <w:dstrike w:val="0"/>
      <w:color w:val="000000"/>
      <w:spacing w:val="0"/>
      <w:w w:val="100"/>
      <w:position w:val="0"/>
      <w:sz w:val="20"/>
      <w:szCs w:val="20"/>
      <w:u w:val="single"/>
      <w:effect w:val="none"/>
      <w:lang w:val="pl-PL" w:eastAsia="pl-PL" w:bidi="pl-PL"/>
    </w:rPr>
  </w:style>
  <w:style w:type="character" w:customStyle="1" w:styleId="AkapitzlistZnak">
    <w:name w:val="Akapit z listą Znak"/>
    <w:aliases w:val="Dot pt Znak,F5 List Paragraph Znak"/>
    <w:link w:val="Akapitzlist"/>
    <w:uiPriority w:val="34"/>
    <w:locked/>
    <w:rsid w:val="00543D22"/>
    <w:rPr>
      <w:rFonts w:ascii="Times New Roman" w:hAnsi="Times New Roman"/>
    </w:rPr>
  </w:style>
  <w:style w:type="paragraph" w:styleId="Zwykytekst">
    <w:name w:val="Plain Text"/>
    <w:basedOn w:val="Normalny"/>
    <w:link w:val="ZwykytekstZnak"/>
    <w:uiPriority w:val="99"/>
    <w:semiHidden/>
    <w:unhideWhenUsed/>
    <w:rsid w:val="00543D22"/>
    <w:pPr>
      <w:spacing w:after="0" w:line="240" w:lineRule="auto"/>
      <w:jc w:val="both"/>
    </w:pPr>
    <w:rPr>
      <w:rFonts w:ascii="Calibri" w:hAnsi="Calibri"/>
      <w:szCs w:val="21"/>
    </w:rPr>
  </w:style>
  <w:style w:type="character" w:customStyle="1" w:styleId="ZwykytekstZnak">
    <w:name w:val="Zwykły tekst Znak"/>
    <w:basedOn w:val="Domylnaczcionkaakapitu"/>
    <w:link w:val="Zwykytekst"/>
    <w:uiPriority w:val="99"/>
    <w:semiHidden/>
    <w:rsid w:val="00543D22"/>
    <w:rPr>
      <w:rFonts w:ascii="Calibri" w:hAnsi="Calibri"/>
      <w:szCs w:val="21"/>
    </w:rPr>
  </w:style>
  <w:style w:type="paragraph" w:styleId="Tekstpodstawowy">
    <w:name w:val="Body Text"/>
    <w:basedOn w:val="Normalny"/>
    <w:link w:val="TekstpodstawowyZnak"/>
    <w:uiPriority w:val="99"/>
    <w:semiHidden/>
    <w:unhideWhenUsed/>
    <w:rsid w:val="00543D22"/>
    <w:pPr>
      <w:spacing w:after="120" w:line="360" w:lineRule="auto"/>
      <w:jc w:val="both"/>
    </w:pPr>
    <w:rPr>
      <w:rFonts w:ascii="Times New Roman" w:hAnsi="Times New Roman"/>
    </w:rPr>
  </w:style>
  <w:style w:type="character" w:customStyle="1" w:styleId="TekstpodstawowyZnak">
    <w:name w:val="Tekst podstawowy Znak"/>
    <w:basedOn w:val="Domylnaczcionkaakapitu"/>
    <w:link w:val="Tekstpodstawowy"/>
    <w:uiPriority w:val="99"/>
    <w:semiHidden/>
    <w:rsid w:val="00543D22"/>
    <w:rPr>
      <w:rFonts w:ascii="Times New Roman" w:hAnsi="Times New Roman"/>
    </w:rPr>
  </w:style>
  <w:style w:type="paragraph" w:styleId="Tekstpodstawowyzwciciem">
    <w:name w:val="Body Text First Indent"/>
    <w:basedOn w:val="Tekstpodstawowy"/>
    <w:link w:val="TekstpodstawowyzwciciemZnak"/>
    <w:uiPriority w:val="99"/>
    <w:unhideWhenUsed/>
    <w:rsid w:val="00543D22"/>
    <w:pPr>
      <w:spacing w:after="200" w:line="276" w:lineRule="auto"/>
      <w:ind w:firstLine="360"/>
    </w:pPr>
    <w:rPr>
      <w:rFonts w:ascii="Calibri" w:eastAsia="Calibri" w:hAnsi="Calibri" w:cs="Times New Roman"/>
    </w:rPr>
  </w:style>
  <w:style w:type="character" w:customStyle="1" w:styleId="TekstpodstawowyzwciciemZnak">
    <w:name w:val="Tekst podstawowy z wcięciem Znak"/>
    <w:basedOn w:val="TekstpodstawowyZnak"/>
    <w:link w:val="Tekstpodstawowyzwciciem"/>
    <w:uiPriority w:val="99"/>
    <w:rsid w:val="00543D22"/>
    <w:rPr>
      <w:rFonts w:ascii="Calibri" w:eastAsia="Calibri" w:hAnsi="Calibri" w:cs="Times New Roman"/>
    </w:rPr>
  </w:style>
  <w:style w:type="paragraph" w:customStyle="1" w:styleId="Default">
    <w:name w:val="Default"/>
    <w:rsid w:val="00543D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ivparagraph">
    <w:name w:val="div.paragraph"/>
    <w:rsid w:val="00543D22"/>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customStyle="1" w:styleId="Style1">
    <w:name w:val="Style1"/>
    <w:basedOn w:val="Normalny"/>
    <w:uiPriority w:val="99"/>
    <w:rsid w:val="00543D22"/>
    <w:pPr>
      <w:autoSpaceDE w:val="0"/>
      <w:autoSpaceDN w:val="0"/>
      <w:spacing w:after="0" w:line="398" w:lineRule="exact"/>
      <w:jc w:val="both"/>
    </w:pPr>
    <w:rPr>
      <w:rFonts w:ascii="Times New Roman" w:hAnsi="Times New Roman" w:cs="Times New Roman"/>
      <w:sz w:val="24"/>
      <w:szCs w:val="24"/>
      <w:lang w:eastAsia="pl-PL"/>
    </w:rPr>
  </w:style>
  <w:style w:type="character" w:customStyle="1" w:styleId="txt-new">
    <w:name w:val="txt-new"/>
    <w:basedOn w:val="Domylnaczcionkaakapitu"/>
    <w:rsid w:val="00543D22"/>
  </w:style>
  <w:style w:type="paragraph" w:customStyle="1" w:styleId="Style3">
    <w:name w:val="Style3"/>
    <w:basedOn w:val="Normalny"/>
    <w:uiPriority w:val="99"/>
    <w:rsid w:val="00543D22"/>
    <w:pPr>
      <w:widowControl w:val="0"/>
      <w:autoSpaceDE w:val="0"/>
      <w:autoSpaceDN w:val="0"/>
      <w:adjustRightInd w:val="0"/>
      <w:spacing w:after="0" w:line="414" w:lineRule="exact"/>
      <w:ind w:firstLine="706"/>
      <w:jc w:val="both"/>
    </w:pPr>
    <w:rPr>
      <w:rFonts w:ascii="Times New Roman" w:eastAsiaTheme="minorEastAsia" w:hAnsi="Times New Roman" w:cs="Times New Roman"/>
      <w:sz w:val="24"/>
      <w:szCs w:val="24"/>
      <w:lang w:eastAsia="pl-PL"/>
    </w:rPr>
  </w:style>
  <w:style w:type="character" w:customStyle="1" w:styleId="FontStyle20">
    <w:name w:val="Font Style20"/>
    <w:basedOn w:val="Domylnaczcionkaakapitu"/>
    <w:uiPriority w:val="99"/>
    <w:rsid w:val="00543D22"/>
    <w:rPr>
      <w:rFonts w:ascii="Times New Roman" w:hAnsi="Times New Roman" w:cs="Times New Roman"/>
      <w:sz w:val="18"/>
      <w:szCs w:val="18"/>
    </w:rPr>
  </w:style>
  <w:style w:type="paragraph" w:styleId="Nagwekspisutreci">
    <w:name w:val="TOC Heading"/>
    <w:basedOn w:val="Nagwek1"/>
    <w:next w:val="Normalny"/>
    <w:uiPriority w:val="39"/>
    <w:unhideWhenUsed/>
    <w:qFormat/>
    <w:rsid w:val="00543D22"/>
    <w:pPr>
      <w:widowControl/>
      <w:suppressAutoHyphens w:val="0"/>
      <w:spacing w:before="240" w:line="259" w:lineRule="auto"/>
      <w:jc w:val="left"/>
      <w:outlineLvl w:val="9"/>
    </w:pPr>
    <w:rPr>
      <w:b w:val="0"/>
      <w:bCs w:val="0"/>
      <w:kern w:val="0"/>
      <w:sz w:val="32"/>
      <w:szCs w:val="32"/>
      <w:lang w:eastAsia="pl-PL"/>
    </w:rPr>
  </w:style>
  <w:style w:type="paragraph" w:styleId="Spistreci1">
    <w:name w:val="toc 1"/>
    <w:basedOn w:val="Normalny"/>
    <w:next w:val="Normalny"/>
    <w:autoRedefine/>
    <w:uiPriority w:val="39"/>
    <w:unhideWhenUsed/>
    <w:rsid w:val="00543D22"/>
    <w:pPr>
      <w:spacing w:after="100" w:line="360" w:lineRule="auto"/>
      <w:jc w:val="both"/>
    </w:pPr>
    <w:rPr>
      <w:rFonts w:ascii="Times New Roman" w:hAnsi="Times New Roman"/>
    </w:rPr>
  </w:style>
  <w:style w:type="paragraph" w:styleId="Spistreci2">
    <w:name w:val="toc 2"/>
    <w:basedOn w:val="Normalny"/>
    <w:next w:val="Normalny"/>
    <w:autoRedefine/>
    <w:uiPriority w:val="39"/>
    <w:unhideWhenUsed/>
    <w:rsid w:val="00300274"/>
    <w:pPr>
      <w:numPr>
        <w:numId w:val="1"/>
      </w:numPr>
      <w:tabs>
        <w:tab w:val="right" w:leader="dot" w:pos="9239"/>
      </w:tabs>
      <w:spacing w:after="100"/>
      <w:ind w:left="630" w:hanging="425"/>
    </w:pPr>
  </w:style>
  <w:style w:type="paragraph" w:styleId="Spistreci3">
    <w:name w:val="toc 3"/>
    <w:basedOn w:val="Normalny"/>
    <w:next w:val="Normalny"/>
    <w:autoRedefine/>
    <w:uiPriority w:val="39"/>
    <w:unhideWhenUsed/>
    <w:rsid w:val="00686858"/>
    <w:pPr>
      <w:spacing w:after="100"/>
      <w:ind w:left="440"/>
    </w:pPr>
    <w:rPr>
      <w:rFonts w:eastAsiaTheme="minorEastAsia"/>
      <w:lang w:eastAsia="pl-PL"/>
    </w:rPr>
  </w:style>
  <w:style w:type="paragraph" w:styleId="Spistreci4">
    <w:name w:val="toc 4"/>
    <w:basedOn w:val="Normalny"/>
    <w:next w:val="Normalny"/>
    <w:autoRedefine/>
    <w:uiPriority w:val="39"/>
    <w:unhideWhenUsed/>
    <w:rsid w:val="00686858"/>
    <w:pPr>
      <w:spacing w:after="100"/>
      <w:ind w:left="660"/>
    </w:pPr>
    <w:rPr>
      <w:rFonts w:eastAsiaTheme="minorEastAsia"/>
      <w:lang w:eastAsia="pl-PL"/>
    </w:rPr>
  </w:style>
  <w:style w:type="paragraph" w:styleId="Spistreci5">
    <w:name w:val="toc 5"/>
    <w:basedOn w:val="Normalny"/>
    <w:next w:val="Normalny"/>
    <w:autoRedefine/>
    <w:uiPriority w:val="39"/>
    <w:unhideWhenUsed/>
    <w:rsid w:val="00686858"/>
    <w:pPr>
      <w:spacing w:after="100"/>
      <w:ind w:left="880"/>
    </w:pPr>
    <w:rPr>
      <w:rFonts w:eastAsiaTheme="minorEastAsia"/>
      <w:lang w:eastAsia="pl-PL"/>
    </w:rPr>
  </w:style>
  <w:style w:type="paragraph" w:styleId="Spistreci6">
    <w:name w:val="toc 6"/>
    <w:basedOn w:val="Normalny"/>
    <w:next w:val="Normalny"/>
    <w:autoRedefine/>
    <w:uiPriority w:val="39"/>
    <w:unhideWhenUsed/>
    <w:rsid w:val="00686858"/>
    <w:pPr>
      <w:spacing w:after="100"/>
      <w:ind w:left="1100"/>
    </w:pPr>
    <w:rPr>
      <w:rFonts w:eastAsiaTheme="minorEastAsia"/>
      <w:lang w:eastAsia="pl-PL"/>
    </w:rPr>
  </w:style>
  <w:style w:type="paragraph" w:styleId="Spistreci7">
    <w:name w:val="toc 7"/>
    <w:basedOn w:val="Normalny"/>
    <w:next w:val="Normalny"/>
    <w:autoRedefine/>
    <w:uiPriority w:val="39"/>
    <w:unhideWhenUsed/>
    <w:rsid w:val="00686858"/>
    <w:pPr>
      <w:spacing w:after="100"/>
      <w:ind w:left="1320"/>
    </w:pPr>
    <w:rPr>
      <w:rFonts w:eastAsiaTheme="minorEastAsia"/>
      <w:lang w:eastAsia="pl-PL"/>
    </w:rPr>
  </w:style>
  <w:style w:type="paragraph" w:styleId="Spistreci8">
    <w:name w:val="toc 8"/>
    <w:basedOn w:val="Normalny"/>
    <w:next w:val="Normalny"/>
    <w:autoRedefine/>
    <w:uiPriority w:val="39"/>
    <w:unhideWhenUsed/>
    <w:rsid w:val="00686858"/>
    <w:pPr>
      <w:spacing w:after="100"/>
      <w:ind w:left="1540"/>
    </w:pPr>
    <w:rPr>
      <w:rFonts w:eastAsiaTheme="minorEastAsia"/>
      <w:lang w:eastAsia="pl-PL"/>
    </w:rPr>
  </w:style>
  <w:style w:type="paragraph" w:styleId="Spistreci9">
    <w:name w:val="toc 9"/>
    <w:basedOn w:val="Normalny"/>
    <w:next w:val="Normalny"/>
    <w:autoRedefine/>
    <w:uiPriority w:val="39"/>
    <w:unhideWhenUsed/>
    <w:rsid w:val="00686858"/>
    <w:pPr>
      <w:spacing w:after="100"/>
      <w:ind w:left="1760"/>
    </w:pPr>
    <w:rPr>
      <w:rFonts w:eastAsiaTheme="minorEastAsia"/>
      <w:lang w:eastAsia="pl-PL"/>
    </w:rPr>
  </w:style>
  <w:style w:type="character" w:styleId="UyteHipercze">
    <w:name w:val="FollowedHyperlink"/>
    <w:basedOn w:val="Domylnaczcionkaakapitu"/>
    <w:uiPriority w:val="99"/>
    <w:semiHidden/>
    <w:unhideWhenUsed/>
    <w:rsid w:val="00DB49AA"/>
    <w:rPr>
      <w:color w:val="954F72" w:themeColor="followedHyperlink"/>
      <w:u w:val="single"/>
    </w:rPr>
  </w:style>
  <w:style w:type="character" w:customStyle="1" w:styleId="st">
    <w:name w:val="st"/>
    <w:basedOn w:val="Domylnaczcionkaakapitu"/>
    <w:rsid w:val="000B635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qFormat="1"/>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Elegant" w:uiPriority="0"/>
    <w:lsdException w:name="Table Grid"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C283E"/>
    <w:pPr>
      <w:ind w:firstLine="709"/>
    </w:pPr>
  </w:style>
  <w:style w:type="paragraph" w:styleId="Nagwek1">
    <w:name w:val="heading 1"/>
    <w:basedOn w:val="Normalny"/>
    <w:next w:val="Normalny"/>
    <w:link w:val="Nagwek1Znak"/>
    <w:uiPriority w:val="99"/>
    <w:rsid w:val="00543D22"/>
    <w:pPr>
      <w:keepNext/>
      <w:keepLines/>
      <w:widowControl w:val="0"/>
      <w:suppressAutoHyphens/>
      <w:spacing w:before="480" w:after="0" w:line="360" w:lineRule="auto"/>
      <w:jc w:val="both"/>
      <w:outlineLvl w:val="0"/>
    </w:pPr>
    <w:rPr>
      <w:rFonts w:asciiTheme="majorHAnsi" w:eastAsiaTheme="majorEastAsia" w:hAnsiTheme="majorHAnsi" w:cstheme="majorBidi"/>
      <w:b/>
      <w:bCs/>
      <w:color w:val="2E74B5" w:themeColor="accent1" w:themeShade="BF"/>
      <w:kern w:val="1"/>
      <w:sz w:val="28"/>
      <w:szCs w:val="28"/>
      <w:lang w:eastAsia="ar-SA"/>
    </w:rPr>
  </w:style>
  <w:style w:type="paragraph" w:styleId="Nagwek2">
    <w:name w:val="heading 2"/>
    <w:basedOn w:val="Normalny"/>
    <w:next w:val="Normalny"/>
    <w:link w:val="Nagwek2Znak"/>
    <w:uiPriority w:val="9"/>
    <w:unhideWhenUsed/>
    <w:qFormat/>
    <w:rsid w:val="00543D22"/>
    <w:pPr>
      <w:keepNext/>
      <w:keepLines/>
      <w:spacing w:before="40" w:after="0" w:line="360" w:lineRule="auto"/>
      <w:jc w:val="both"/>
      <w:outlineLvl w:val="1"/>
    </w:pPr>
    <w:rPr>
      <w:rFonts w:asciiTheme="majorHAnsi" w:eastAsiaTheme="majorEastAsia" w:hAnsiTheme="majorHAnsi" w:cstheme="majorBidi"/>
      <w:color w:val="2E74B5" w:themeColor="accent1" w:themeShade="BF"/>
      <w:sz w:val="26"/>
      <w:szCs w:val="26"/>
    </w:rPr>
  </w:style>
  <w:style w:type="paragraph" w:styleId="Nagwek3">
    <w:name w:val="heading 3"/>
    <w:basedOn w:val="Normalny"/>
    <w:next w:val="Normalny"/>
    <w:link w:val="Nagwek3Znak"/>
    <w:uiPriority w:val="99"/>
    <w:unhideWhenUsed/>
    <w:qFormat/>
    <w:rsid w:val="00543D22"/>
    <w:pPr>
      <w:keepNext/>
      <w:keepLines/>
      <w:widowControl w:val="0"/>
      <w:autoSpaceDE w:val="0"/>
      <w:autoSpaceDN w:val="0"/>
      <w:adjustRightInd w:val="0"/>
      <w:spacing w:before="40" w:after="0" w:line="360" w:lineRule="auto"/>
      <w:jc w:val="both"/>
      <w:outlineLvl w:val="2"/>
    </w:pPr>
    <w:rPr>
      <w:rFonts w:asciiTheme="majorHAnsi" w:eastAsiaTheme="majorEastAsia" w:hAnsiTheme="majorHAnsi" w:cstheme="majorBidi"/>
      <w:color w:val="1F4D78" w:themeColor="accent1" w:themeShade="7F"/>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9"/>
    <w:rsid w:val="00543D22"/>
    <w:rPr>
      <w:rFonts w:asciiTheme="majorHAnsi" w:eastAsiaTheme="majorEastAsia" w:hAnsiTheme="majorHAnsi" w:cstheme="majorBidi"/>
      <w:b/>
      <w:bCs/>
      <w:color w:val="2E74B5" w:themeColor="accent1" w:themeShade="BF"/>
      <w:kern w:val="1"/>
      <w:sz w:val="28"/>
      <w:szCs w:val="28"/>
      <w:lang w:eastAsia="ar-SA"/>
    </w:rPr>
  </w:style>
  <w:style w:type="character" w:customStyle="1" w:styleId="Nagwek2Znak">
    <w:name w:val="Nagłówek 2 Znak"/>
    <w:basedOn w:val="Domylnaczcionkaakapitu"/>
    <w:link w:val="Nagwek2"/>
    <w:uiPriority w:val="9"/>
    <w:rsid w:val="00543D22"/>
    <w:rPr>
      <w:rFonts w:asciiTheme="majorHAnsi" w:eastAsiaTheme="majorEastAsia" w:hAnsiTheme="majorHAnsi" w:cstheme="majorBidi"/>
      <w:color w:val="2E74B5" w:themeColor="accent1" w:themeShade="BF"/>
      <w:sz w:val="26"/>
      <w:szCs w:val="26"/>
    </w:rPr>
  </w:style>
  <w:style w:type="character" w:customStyle="1" w:styleId="Nagwek3Znak">
    <w:name w:val="Nagłówek 3 Znak"/>
    <w:basedOn w:val="Domylnaczcionkaakapitu"/>
    <w:link w:val="Nagwek3"/>
    <w:uiPriority w:val="99"/>
    <w:rsid w:val="00543D22"/>
    <w:rPr>
      <w:rFonts w:asciiTheme="majorHAnsi" w:eastAsiaTheme="majorEastAsia" w:hAnsiTheme="majorHAnsi" w:cstheme="majorBidi"/>
      <w:color w:val="1F4D78" w:themeColor="accent1" w:themeShade="7F"/>
      <w:sz w:val="24"/>
      <w:szCs w:val="24"/>
      <w:lang w:eastAsia="pl-PL"/>
    </w:rPr>
  </w:style>
  <w:style w:type="paragraph" w:customStyle="1" w:styleId="ZLITwPKTzmlitwpktartykuempunktem">
    <w:name w:val="Z/LIT_w_PKT – zm. lit. w pkt artykułem (punktem)"/>
    <w:basedOn w:val="LITlitera"/>
    <w:uiPriority w:val="32"/>
    <w:qFormat/>
    <w:rsid w:val="00543D22"/>
    <w:pPr>
      <w:ind w:left="1497"/>
    </w:pPr>
  </w:style>
  <w:style w:type="paragraph" w:customStyle="1" w:styleId="ZTIRwPKTzmtirwpktartykuempunktem">
    <w:name w:val="Z/TIR_w_PKT – zm. tir. w pkt artykułem (punktem)"/>
    <w:basedOn w:val="TIRtiret"/>
    <w:uiPriority w:val="33"/>
    <w:qFormat/>
    <w:rsid w:val="00543D22"/>
    <w:pPr>
      <w:ind w:left="1894"/>
    </w:pPr>
  </w:style>
  <w:style w:type="paragraph" w:customStyle="1" w:styleId="ZCZWSPLITwPKTzmczciwsplitwpktartykuempunktem">
    <w:name w:val="Z/CZ_WSP_LIT_w_PKT – zm. części wsp. lit. w pkt artykułem (punktem)"/>
    <w:basedOn w:val="CZWSPLITczwsplnaliter"/>
    <w:next w:val="ZARTzmartartykuempunktem"/>
    <w:uiPriority w:val="35"/>
    <w:qFormat/>
    <w:rsid w:val="00543D22"/>
    <w:pPr>
      <w:ind w:left="1021"/>
    </w:pPr>
  </w:style>
  <w:style w:type="paragraph" w:customStyle="1" w:styleId="2TIRpodwjnytiret">
    <w:name w:val="2TIR – podwójny tiret"/>
    <w:basedOn w:val="TIRtiret"/>
    <w:uiPriority w:val="73"/>
    <w:qFormat/>
    <w:rsid w:val="00543D22"/>
    <w:pPr>
      <w:ind w:left="1780"/>
    </w:pPr>
  </w:style>
  <w:style w:type="character" w:styleId="Odwoanieprzypisudolnego">
    <w:name w:val="footnote reference"/>
    <w:aliases w:val="FZ"/>
    <w:uiPriority w:val="99"/>
    <w:rsid w:val="00543D22"/>
    <w:rPr>
      <w:rFonts w:cs="Times New Roman"/>
      <w:vertAlign w:val="superscript"/>
    </w:rPr>
  </w:style>
  <w:style w:type="paragraph" w:styleId="Nagwek">
    <w:name w:val="header"/>
    <w:basedOn w:val="Normalny"/>
    <w:link w:val="NagwekZnak"/>
    <w:rsid w:val="00543D22"/>
    <w:pPr>
      <w:widowControl w:val="0"/>
      <w:tabs>
        <w:tab w:val="center" w:pos="4536"/>
        <w:tab w:val="right" w:pos="9072"/>
      </w:tabs>
      <w:suppressAutoHyphens/>
      <w:spacing w:after="0" w:line="360" w:lineRule="auto"/>
      <w:jc w:val="both"/>
    </w:pPr>
    <w:rPr>
      <w:rFonts w:ascii="Times" w:eastAsia="Times New Roman" w:hAnsi="Times" w:cs="Times New Roman"/>
      <w:kern w:val="1"/>
      <w:sz w:val="24"/>
      <w:szCs w:val="24"/>
      <w:lang w:eastAsia="ar-SA"/>
    </w:rPr>
  </w:style>
  <w:style w:type="character" w:customStyle="1" w:styleId="NagwekZnak">
    <w:name w:val="Nagłówek Znak"/>
    <w:basedOn w:val="Domylnaczcionkaakapitu"/>
    <w:link w:val="Nagwek"/>
    <w:rsid w:val="00543D22"/>
    <w:rPr>
      <w:rFonts w:ascii="Times" w:eastAsia="Times New Roman" w:hAnsi="Times" w:cs="Times New Roman"/>
      <w:kern w:val="1"/>
      <w:sz w:val="24"/>
      <w:szCs w:val="24"/>
      <w:lang w:eastAsia="ar-SA"/>
    </w:rPr>
  </w:style>
  <w:style w:type="paragraph" w:styleId="Stopka">
    <w:name w:val="footer"/>
    <w:basedOn w:val="Normalny"/>
    <w:link w:val="StopkaZnak"/>
    <w:uiPriority w:val="99"/>
    <w:rsid w:val="00543D22"/>
    <w:pPr>
      <w:widowControl w:val="0"/>
      <w:tabs>
        <w:tab w:val="center" w:pos="4536"/>
        <w:tab w:val="right" w:pos="9072"/>
      </w:tabs>
      <w:suppressAutoHyphens/>
      <w:spacing w:after="0" w:line="360" w:lineRule="auto"/>
      <w:jc w:val="both"/>
    </w:pPr>
    <w:rPr>
      <w:rFonts w:ascii="Times" w:eastAsia="Times New Roman" w:hAnsi="Times" w:cs="Times New Roman"/>
      <w:kern w:val="1"/>
      <w:sz w:val="24"/>
      <w:szCs w:val="24"/>
      <w:lang w:eastAsia="ar-SA"/>
    </w:rPr>
  </w:style>
  <w:style w:type="character" w:customStyle="1" w:styleId="StopkaZnak">
    <w:name w:val="Stopka Znak"/>
    <w:basedOn w:val="Domylnaczcionkaakapitu"/>
    <w:link w:val="Stopka"/>
    <w:uiPriority w:val="99"/>
    <w:rsid w:val="00543D22"/>
    <w:rPr>
      <w:rFonts w:ascii="Times" w:eastAsia="Times New Roman" w:hAnsi="Times" w:cs="Times New Roman"/>
      <w:kern w:val="1"/>
      <w:sz w:val="24"/>
      <w:szCs w:val="24"/>
      <w:lang w:eastAsia="ar-SA"/>
    </w:rPr>
  </w:style>
  <w:style w:type="paragraph" w:styleId="Tekstdymka">
    <w:name w:val="Balloon Text"/>
    <w:basedOn w:val="Normalny"/>
    <w:link w:val="TekstdymkaZnak"/>
    <w:uiPriority w:val="99"/>
    <w:semiHidden/>
    <w:rsid w:val="00543D22"/>
    <w:pPr>
      <w:widowControl w:val="0"/>
      <w:suppressAutoHyphens/>
      <w:spacing w:after="0" w:line="360" w:lineRule="auto"/>
      <w:jc w:val="both"/>
    </w:pPr>
    <w:rPr>
      <w:rFonts w:ascii="Tahoma" w:eastAsia="Times New Roman" w:hAnsi="Tahoma" w:cs="Tahoma"/>
      <w:kern w:val="1"/>
      <w:sz w:val="24"/>
      <w:szCs w:val="16"/>
      <w:lang w:eastAsia="ar-SA"/>
    </w:rPr>
  </w:style>
  <w:style w:type="character" w:customStyle="1" w:styleId="TekstdymkaZnak">
    <w:name w:val="Tekst dymka Znak"/>
    <w:basedOn w:val="Domylnaczcionkaakapitu"/>
    <w:link w:val="Tekstdymka"/>
    <w:uiPriority w:val="99"/>
    <w:semiHidden/>
    <w:rsid w:val="00543D22"/>
    <w:rPr>
      <w:rFonts w:ascii="Tahoma" w:eastAsia="Times New Roman" w:hAnsi="Tahoma" w:cs="Tahoma"/>
      <w:kern w:val="1"/>
      <w:sz w:val="24"/>
      <w:szCs w:val="16"/>
      <w:lang w:eastAsia="ar-SA"/>
    </w:rPr>
  </w:style>
  <w:style w:type="paragraph" w:customStyle="1" w:styleId="ARTartustawynprozporzdzenia">
    <w:name w:val="ART(§) – art. ustawy (§ np. rozporządzenia)"/>
    <w:uiPriority w:val="11"/>
    <w:qFormat/>
    <w:rsid w:val="00543D22"/>
    <w:pPr>
      <w:suppressAutoHyphens/>
      <w:autoSpaceDE w:val="0"/>
      <w:autoSpaceDN w:val="0"/>
      <w:adjustRightInd w:val="0"/>
      <w:spacing w:before="120" w:after="0" w:line="360" w:lineRule="auto"/>
      <w:ind w:firstLine="510"/>
      <w:jc w:val="both"/>
    </w:pPr>
    <w:rPr>
      <w:rFonts w:ascii="Times" w:eastAsiaTheme="minorEastAsia" w:hAnsi="Times" w:cs="Arial"/>
      <w:sz w:val="24"/>
      <w:szCs w:val="20"/>
      <w:lang w:eastAsia="pl-PL"/>
    </w:rPr>
  </w:style>
  <w:style w:type="paragraph" w:customStyle="1" w:styleId="ZCZWSPTIRwPKTzmczciwsptirwpktartykuempunktem">
    <w:name w:val="Z/CZ_WSP_TIR_w_PKT – zm. części wsp. tir. w pkt artykułem (punktem)"/>
    <w:basedOn w:val="CZWSPTIRczwsplnatiret"/>
    <w:next w:val="ZPKTzmpktartykuempunktem"/>
    <w:uiPriority w:val="36"/>
    <w:qFormat/>
    <w:rsid w:val="00543D22"/>
    <w:pPr>
      <w:ind w:left="1497"/>
    </w:pPr>
  </w:style>
  <w:style w:type="paragraph" w:customStyle="1" w:styleId="ZTIRwLITzmtirwlitartykuempunktem">
    <w:name w:val="Z/TIR_w_LIT – zm. tir. w lit. artykułem (punktem)"/>
    <w:basedOn w:val="TIRtiret"/>
    <w:uiPriority w:val="33"/>
    <w:qFormat/>
    <w:rsid w:val="00543D22"/>
  </w:style>
  <w:style w:type="paragraph" w:customStyle="1" w:styleId="ZCZWSPTIRwLITzmczciwsptirwlitartykuempunktem">
    <w:name w:val="Z/CZ_WSP_TIR_w_LIT – zm. części wsp. tir. w lit. artykułem (punktem)"/>
    <w:basedOn w:val="CZWSPTIRczwsplnatiret"/>
    <w:next w:val="ZLITzmlitartykuempunktem"/>
    <w:uiPriority w:val="36"/>
    <w:qFormat/>
    <w:rsid w:val="00543D22"/>
  </w:style>
  <w:style w:type="paragraph" w:styleId="Bezodstpw">
    <w:name w:val="No Spacing"/>
    <w:uiPriority w:val="1"/>
    <w:qFormat/>
    <w:rsid w:val="00543D22"/>
    <w:pPr>
      <w:widowControl w:val="0"/>
      <w:suppressAutoHyphens/>
      <w:spacing w:after="0" w:line="360" w:lineRule="auto"/>
    </w:pPr>
    <w:rPr>
      <w:rFonts w:ascii="Times" w:eastAsia="Times New Roman" w:hAnsi="Times" w:cs="Times New Roman"/>
      <w:kern w:val="1"/>
      <w:sz w:val="24"/>
      <w:szCs w:val="24"/>
      <w:lang w:eastAsia="ar-SA"/>
    </w:rPr>
  </w:style>
  <w:style w:type="paragraph" w:customStyle="1" w:styleId="ZPKTzmpktartykuempunktem">
    <w:name w:val="Z/PKT – zm. pkt artykułem (punktem)"/>
    <w:basedOn w:val="PKTpunkt"/>
    <w:uiPriority w:val="31"/>
    <w:qFormat/>
    <w:rsid w:val="00543D22"/>
    <w:pPr>
      <w:ind w:left="1020"/>
    </w:pPr>
  </w:style>
  <w:style w:type="paragraph" w:customStyle="1" w:styleId="ZARTzmartartykuempunktem">
    <w:name w:val="Z/ART(§) – zm. art. (§) artykułem (punktem)"/>
    <w:basedOn w:val="ARTartustawynprozporzdzenia"/>
    <w:uiPriority w:val="30"/>
    <w:qFormat/>
    <w:rsid w:val="00543D22"/>
    <w:pPr>
      <w:spacing w:before="0"/>
      <w:ind w:left="510"/>
    </w:pPr>
  </w:style>
  <w:style w:type="paragraph" w:customStyle="1" w:styleId="DATAAKTUdatauchwalenialubwydaniaaktu">
    <w:name w:val="DATA_AKTU – data uchwalenia lub wydania aktu"/>
    <w:next w:val="TYTUAKTUprzedmiotregulacjiustawylubrozporzdzenia"/>
    <w:uiPriority w:val="6"/>
    <w:qFormat/>
    <w:rsid w:val="00543D22"/>
    <w:pPr>
      <w:keepNext/>
      <w:suppressAutoHyphens/>
      <w:spacing w:before="120" w:after="120" w:line="360" w:lineRule="auto"/>
      <w:jc w:val="center"/>
    </w:pPr>
    <w:rPr>
      <w:rFonts w:ascii="Times" w:eastAsiaTheme="minorEastAsia" w:hAnsi="Times" w:cs="Arial"/>
      <w:bCs/>
      <w:sz w:val="24"/>
      <w:szCs w:val="24"/>
      <w:lang w:eastAsia="pl-PL"/>
    </w:rPr>
  </w:style>
  <w:style w:type="paragraph" w:customStyle="1" w:styleId="TYTUAKTUprzedmiotregulacjiustawylubrozporzdzenia">
    <w:name w:val="TYTUŁ_AKTU – przedmiot regulacji ustawy lub rozporządzenia"/>
    <w:next w:val="ARTartustawynprozporzdzenia"/>
    <w:uiPriority w:val="6"/>
    <w:qFormat/>
    <w:rsid w:val="00543D22"/>
    <w:pPr>
      <w:keepNext/>
      <w:suppressAutoHyphens/>
      <w:spacing w:before="120" w:after="360" w:line="360" w:lineRule="auto"/>
      <w:jc w:val="center"/>
    </w:pPr>
    <w:rPr>
      <w:rFonts w:ascii="Times" w:eastAsiaTheme="minorEastAsia" w:hAnsi="Times" w:cs="Arial"/>
      <w:b/>
      <w:bCs/>
      <w:sz w:val="24"/>
      <w:szCs w:val="24"/>
      <w:lang w:eastAsia="pl-PL"/>
    </w:rPr>
  </w:style>
  <w:style w:type="paragraph" w:customStyle="1" w:styleId="CZKSIGAoznaczenieiprzedmiotczcilubksigi">
    <w:name w:val="CZĘŚĆ(KSIĘGA) – oznaczenie i przedmiot części lub księgi"/>
    <w:next w:val="ARTartustawynprozporzdzenia"/>
    <w:uiPriority w:val="8"/>
    <w:qFormat/>
    <w:rsid w:val="00543D22"/>
    <w:pPr>
      <w:keepNext/>
      <w:suppressAutoHyphens/>
      <w:spacing w:before="120" w:after="0" w:line="360" w:lineRule="auto"/>
      <w:jc w:val="center"/>
    </w:pPr>
    <w:rPr>
      <w:rFonts w:ascii="Times" w:eastAsia="Times New Roman" w:hAnsi="Times" w:cs="Times New Roman"/>
      <w:b/>
      <w:bCs/>
      <w:caps/>
      <w:kern w:val="24"/>
      <w:sz w:val="24"/>
      <w:szCs w:val="24"/>
      <w:lang w:eastAsia="pl-PL"/>
    </w:rPr>
  </w:style>
  <w:style w:type="paragraph" w:customStyle="1" w:styleId="NIEARTTEKSTtekstnieartykuowanynppodstprawnarozplubpreambua">
    <w:name w:val="NIEART_TEKST – tekst nieartykułowany (np. podst. prawna rozp. lub preambuła)"/>
    <w:basedOn w:val="ARTartustawynprozporzdzenia"/>
    <w:next w:val="ARTartustawynprozporzdzenia"/>
    <w:uiPriority w:val="7"/>
    <w:qFormat/>
    <w:rsid w:val="00543D22"/>
    <w:rPr>
      <w:bCs/>
    </w:rPr>
  </w:style>
  <w:style w:type="paragraph" w:customStyle="1" w:styleId="OZNRODZAKTUtznustawalubrozporzdzenieiorganwydajcy">
    <w:name w:val="OZN_RODZ_AKTU – tzn. ustawa lub rozporządzenie i organ wydający"/>
    <w:next w:val="DATAAKTUdatauchwalenialubwydaniaaktu"/>
    <w:uiPriority w:val="5"/>
    <w:qFormat/>
    <w:rsid w:val="00543D22"/>
    <w:pPr>
      <w:keepNext/>
      <w:suppressAutoHyphens/>
      <w:spacing w:after="120" w:line="360" w:lineRule="auto"/>
      <w:jc w:val="center"/>
    </w:pPr>
    <w:rPr>
      <w:rFonts w:ascii="Times" w:eastAsia="Times New Roman" w:hAnsi="Times" w:cs="Times New Roman"/>
      <w:b/>
      <w:bCs/>
      <w:caps/>
      <w:spacing w:val="54"/>
      <w:kern w:val="24"/>
      <w:sz w:val="24"/>
      <w:szCs w:val="24"/>
      <w:lang w:eastAsia="pl-PL"/>
    </w:rPr>
  </w:style>
  <w:style w:type="paragraph" w:customStyle="1" w:styleId="USTustnpkodeksu">
    <w:name w:val="UST(§) – ust. (§ np. kodeksu)"/>
    <w:basedOn w:val="ARTartustawynprozporzdzenia"/>
    <w:uiPriority w:val="12"/>
    <w:qFormat/>
    <w:rsid w:val="00543D22"/>
    <w:pPr>
      <w:spacing w:before="0"/>
    </w:pPr>
    <w:rPr>
      <w:bCs/>
    </w:rPr>
  </w:style>
  <w:style w:type="paragraph" w:customStyle="1" w:styleId="PKTpunkt">
    <w:name w:val="PKT – punkt"/>
    <w:uiPriority w:val="14"/>
    <w:qFormat/>
    <w:rsid w:val="00543D22"/>
    <w:pPr>
      <w:spacing w:after="0" w:line="360" w:lineRule="auto"/>
      <w:ind w:left="510" w:hanging="510"/>
      <w:jc w:val="both"/>
    </w:pPr>
    <w:rPr>
      <w:rFonts w:ascii="Times" w:eastAsiaTheme="minorEastAsia" w:hAnsi="Times" w:cs="Arial"/>
      <w:bCs/>
      <w:sz w:val="24"/>
      <w:szCs w:val="20"/>
      <w:lang w:eastAsia="pl-PL"/>
    </w:rPr>
  </w:style>
  <w:style w:type="paragraph" w:customStyle="1" w:styleId="CZWSPPKTczwsplnapunktw">
    <w:name w:val="CZ_WSP_PKT – część wspólna punktów"/>
    <w:basedOn w:val="PKTpunkt"/>
    <w:next w:val="USTustnpkodeksu"/>
    <w:uiPriority w:val="16"/>
    <w:qFormat/>
    <w:rsid w:val="00543D22"/>
    <w:pPr>
      <w:ind w:left="0" w:firstLine="0"/>
    </w:pPr>
  </w:style>
  <w:style w:type="paragraph" w:customStyle="1" w:styleId="LITlitera">
    <w:name w:val="LIT – litera"/>
    <w:basedOn w:val="PKTpunkt"/>
    <w:uiPriority w:val="14"/>
    <w:qFormat/>
    <w:rsid w:val="00543D22"/>
    <w:pPr>
      <w:ind w:left="986" w:hanging="476"/>
    </w:pPr>
  </w:style>
  <w:style w:type="paragraph" w:customStyle="1" w:styleId="CZWSPLITczwsplnaliter">
    <w:name w:val="CZ_WSP_LIT – część wspólna liter"/>
    <w:basedOn w:val="LITlitera"/>
    <w:next w:val="USTustnpkodeksu"/>
    <w:uiPriority w:val="17"/>
    <w:qFormat/>
    <w:rsid w:val="00543D22"/>
    <w:pPr>
      <w:ind w:left="510" w:firstLine="0"/>
    </w:pPr>
    <w:rPr>
      <w:szCs w:val="24"/>
    </w:rPr>
  </w:style>
  <w:style w:type="paragraph" w:customStyle="1" w:styleId="TIRtiret">
    <w:name w:val="TIR – tiret"/>
    <w:basedOn w:val="LITlitera"/>
    <w:uiPriority w:val="15"/>
    <w:qFormat/>
    <w:rsid w:val="00543D22"/>
    <w:pPr>
      <w:ind w:left="1384" w:hanging="397"/>
    </w:pPr>
  </w:style>
  <w:style w:type="paragraph" w:customStyle="1" w:styleId="CZWSPTIRczwsplnatiret">
    <w:name w:val="CZ_WSP_TIR – część wspólna tiret"/>
    <w:basedOn w:val="TIRtiret"/>
    <w:next w:val="USTustnpkodeksu"/>
    <w:uiPriority w:val="17"/>
    <w:qFormat/>
    <w:rsid w:val="00543D22"/>
    <w:pPr>
      <w:ind w:left="987" w:firstLine="0"/>
    </w:pPr>
  </w:style>
  <w:style w:type="paragraph" w:customStyle="1" w:styleId="CYTcytatnpprzysigi">
    <w:name w:val="CYT – cytat np. przysięgi"/>
    <w:basedOn w:val="USTustnpkodeksu"/>
    <w:next w:val="USTustnpkodeksu"/>
    <w:uiPriority w:val="18"/>
    <w:qFormat/>
    <w:rsid w:val="00543D22"/>
    <w:pPr>
      <w:ind w:left="510" w:right="510" w:firstLine="0"/>
      <w:mirrorIndents/>
    </w:pPr>
  </w:style>
  <w:style w:type="paragraph" w:customStyle="1" w:styleId="ROZDZODDZPRZEDMprzedmiotregulacjirozdziauluboddziau">
    <w:name w:val="ROZDZ(ODDZ)_PRZEDM – przedmiot regulacji rozdziału lub oddziału"/>
    <w:next w:val="ARTartustawynprozporzdzenia"/>
    <w:uiPriority w:val="10"/>
    <w:qFormat/>
    <w:rsid w:val="00543D22"/>
    <w:pPr>
      <w:keepNext/>
      <w:suppressAutoHyphens/>
      <w:spacing w:before="120" w:after="0" w:line="360" w:lineRule="auto"/>
      <w:jc w:val="center"/>
    </w:pPr>
    <w:rPr>
      <w:rFonts w:ascii="Times" w:eastAsiaTheme="minorEastAsia" w:hAnsi="Times" w:cs="Times New Roman"/>
      <w:b/>
      <w:bCs/>
      <w:sz w:val="24"/>
      <w:szCs w:val="24"/>
      <w:lang w:eastAsia="pl-PL"/>
    </w:rPr>
  </w:style>
  <w:style w:type="paragraph" w:customStyle="1" w:styleId="ZLITzmlitartykuempunktem">
    <w:name w:val="Z/LIT – zm. lit. artykułem (punktem)"/>
    <w:basedOn w:val="LITlitera"/>
    <w:uiPriority w:val="32"/>
    <w:qFormat/>
    <w:rsid w:val="00543D22"/>
  </w:style>
  <w:style w:type="paragraph" w:customStyle="1" w:styleId="ZLITCZWSPTIRwLITzmczciwsptirwlitliter">
    <w:name w:val="Z_LIT/CZ_WSP_TIR_w_LIT – zm. części wsp. tir. w lit. literą"/>
    <w:basedOn w:val="CZWSPTIRczwsplnatiret"/>
    <w:next w:val="LITlitera"/>
    <w:uiPriority w:val="51"/>
    <w:qFormat/>
    <w:rsid w:val="00543D22"/>
    <w:pPr>
      <w:ind w:left="1463"/>
    </w:pPr>
  </w:style>
  <w:style w:type="paragraph" w:customStyle="1" w:styleId="ZLITTIRwLITzmtirwlitliter">
    <w:name w:val="Z_LIT/TIR_w_LIT – zm. tir. w lit. literą"/>
    <w:basedOn w:val="TIRtiret"/>
    <w:uiPriority w:val="49"/>
    <w:qFormat/>
    <w:rsid w:val="00543D22"/>
    <w:pPr>
      <w:ind w:left="1860"/>
    </w:pPr>
  </w:style>
  <w:style w:type="paragraph" w:customStyle="1" w:styleId="TYTDZOZNoznaczenietytuulubdziau">
    <w:name w:val="TYT(DZ)_OZN – oznaczenie tytułu lub działu"/>
    <w:next w:val="Normalny"/>
    <w:uiPriority w:val="9"/>
    <w:qFormat/>
    <w:rsid w:val="00543D22"/>
    <w:pPr>
      <w:keepNext/>
      <w:spacing w:before="120" w:after="0" w:line="360" w:lineRule="auto"/>
      <w:jc w:val="center"/>
    </w:pPr>
    <w:rPr>
      <w:rFonts w:ascii="Times" w:eastAsiaTheme="minorEastAsia" w:hAnsi="Times" w:cs="Arial"/>
      <w:bCs/>
      <w:caps/>
      <w:kern w:val="24"/>
      <w:sz w:val="24"/>
      <w:szCs w:val="24"/>
      <w:lang w:eastAsia="pl-PL"/>
    </w:rPr>
  </w:style>
  <w:style w:type="paragraph" w:customStyle="1" w:styleId="ZWMATFIZCHEMzmwzorumatfizlubchemartykuempunktem">
    <w:name w:val="Z/W_MAT(FIZ|CHEM) – zm. wzoru mat. (fiz. lub chem.) artykułem (punktem)"/>
    <w:basedOn w:val="WMATFIZCHEMwzrmatfizlubchem"/>
    <w:uiPriority w:val="38"/>
    <w:qFormat/>
    <w:rsid w:val="00543D22"/>
    <w:pPr>
      <w:ind w:left="510"/>
    </w:pPr>
  </w:style>
  <w:style w:type="paragraph" w:customStyle="1" w:styleId="ZTYTDZOZNzmozntytuudziauartykuempunktem">
    <w:name w:val="Z/TYT(DZ)_OZN – zm. ozn. tytułu (działu) artykułem (punktem)"/>
    <w:basedOn w:val="TYTDZOZNoznaczenietytuulubdziau"/>
    <w:next w:val="ZTYTDZPRZEDMzmprzedmtytuulubdziauartykuempunktem"/>
    <w:uiPriority w:val="28"/>
    <w:qFormat/>
    <w:rsid w:val="00543D22"/>
    <w:pPr>
      <w:spacing w:before="0"/>
      <w:ind w:left="510"/>
    </w:pPr>
  </w:style>
  <w:style w:type="paragraph" w:customStyle="1" w:styleId="ZTYTDZPRZEDMzmprzedmtytuulubdziauartykuempunktem">
    <w:name w:val="Z/TYT(DZ)_PRZEDM – zm. przedm. tytułu lub działu artykułem (punktem)"/>
    <w:next w:val="ZARTzmartartykuempunktem"/>
    <w:uiPriority w:val="28"/>
    <w:qFormat/>
    <w:rsid w:val="00543D22"/>
    <w:pPr>
      <w:keepNext/>
      <w:suppressAutoHyphens/>
      <w:spacing w:after="0" w:line="360" w:lineRule="auto"/>
      <w:ind w:left="510"/>
      <w:jc w:val="center"/>
    </w:pPr>
    <w:rPr>
      <w:rFonts w:ascii="Times" w:eastAsia="Times New Roman" w:hAnsi="Times" w:cs="Times New Roman"/>
      <w:sz w:val="24"/>
      <w:szCs w:val="26"/>
      <w:lang w:eastAsia="pl-PL"/>
    </w:rPr>
  </w:style>
  <w:style w:type="paragraph" w:customStyle="1" w:styleId="ZTIRzmtirartykuempunktem">
    <w:name w:val="Z/TIR – zm. tir. artykułem (punktem)"/>
    <w:basedOn w:val="TIRtiret"/>
    <w:next w:val="PKTpunkt"/>
    <w:uiPriority w:val="33"/>
    <w:qFormat/>
    <w:rsid w:val="00543D22"/>
    <w:pPr>
      <w:ind w:left="907"/>
    </w:pPr>
  </w:style>
  <w:style w:type="paragraph" w:customStyle="1" w:styleId="ZCZWSPPKTzmczciwsppktartykuempunktem">
    <w:name w:val="Z/CZ_WSP_PKT – zm. części wsp. pkt artykułem (punktem)"/>
    <w:basedOn w:val="CZWSPPKTczwsplnapunktw"/>
    <w:next w:val="ZARTzmartartykuempunktem"/>
    <w:uiPriority w:val="34"/>
    <w:qFormat/>
    <w:rsid w:val="00543D22"/>
    <w:pPr>
      <w:ind w:left="510"/>
    </w:pPr>
  </w:style>
  <w:style w:type="paragraph" w:customStyle="1" w:styleId="ZZLITzmianazmlit">
    <w:name w:val="ZZ/LIT – zmiana zm. lit."/>
    <w:basedOn w:val="ZZPKTzmianazmpkt"/>
    <w:uiPriority w:val="67"/>
    <w:qFormat/>
    <w:rsid w:val="00543D22"/>
    <w:pPr>
      <w:ind w:left="2370" w:hanging="476"/>
    </w:pPr>
  </w:style>
  <w:style w:type="paragraph" w:customStyle="1" w:styleId="ZZTIRzmianazmtir">
    <w:name w:val="ZZ/TIR – zmiana zm. tir."/>
    <w:basedOn w:val="ZZLITzmianazmlit"/>
    <w:uiPriority w:val="67"/>
    <w:qFormat/>
    <w:rsid w:val="00543D22"/>
    <w:pPr>
      <w:ind w:left="2291" w:hanging="397"/>
    </w:pPr>
  </w:style>
  <w:style w:type="paragraph" w:customStyle="1" w:styleId="ZROZDZODDZOZNzmoznrozdzoddzartykuempunktem">
    <w:name w:val="Z/ROZDZ(ODDZ)_OZN – zm. ozn. rozdz. (oddz.) artykułem (punktem)"/>
    <w:next w:val="ZROZDZODDZPRZEDMzmprzedmrozdzoddzartykuempunktem"/>
    <w:uiPriority w:val="29"/>
    <w:qFormat/>
    <w:rsid w:val="00543D22"/>
    <w:pPr>
      <w:keepNext/>
      <w:suppressAutoHyphens/>
      <w:spacing w:after="0" w:line="360" w:lineRule="auto"/>
      <w:ind w:left="510"/>
      <w:jc w:val="center"/>
    </w:pPr>
    <w:rPr>
      <w:rFonts w:ascii="Times" w:eastAsiaTheme="minorEastAsia" w:hAnsi="Times" w:cs="Arial"/>
      <w:bCs/>
      <w:kern w:val="24"/>
      <w:sz w:val="24"/>
      <w:szCs w:val="24"/>
      <w:lang w:eastAsia="pl-PL"/>
    </w:rPr>
  </w:style>
  <w:style w:type="paragraph" w:customStyle="1" w:styleId="ZLITUSTzmustliter">
    <w:name w:val="Z_LIT/UST(§) – zm. ust. (§) literą"/>
    <w:basedOn w:val="USTustnpkodeksu"/>
    <w:uiPriority w:val="46"/>
    <w:qFormat/>
    <w:rsid w:val="00543D22"/>
    <w:pPr>
      <w:ind w:left="987"/>
    </w:pPr>
  </w:style>
  <w:style w:type="paragraph" w:customStyle="1" w:styleId="ZLITPKTzmpktliter">
    <w:name w:val="Z_LIT/PKT – zm. pkt literą"/>
    <w:basedOn w:val="PKTpunkt"/>
    <w:uiPriority w:val="47"/>
    <w:qFormat/>
    <w:rsid w:val="00543D22"/>
    <w:pPr>
      <w:ind w:left="1497"/>
    </w:pPr>
  </w:style>
  <w:style w:type="paragraph" w:customStyle="1" w:styleId="ZZCZWSPPKTzmianazmczciwsppkt">
    <w:name w:val="ZZ/CZ_WSP_PKT – zmiana. zm. części wsp. pkt"/>
    <w:basedOn w:val="ZZARTzmianazmart"/>
    <w:next w:val="ZPKTzmpktartykuempunktem"/>
    <w:uiPriority w:val="68"/>
    <w:qFormat/>
    <w:rsid w:val="00543D22"/>
    <w:pPr>
      <w:ind w:firstLine="0"/>
    </w:pPr>
  </w:style>
  <w:style w:type="paragraph" w:customStyle="1" w:styleId="ZLITLITzmlitliter">
    <w:name w:val="Z_LIT/LIT – zm. lit. literą"/>
    <w:basedOn w:val="LITlitera"/>
    <w:uiPriority w:val="48"/>
    <w:qFormat/>
    <w:rsid w:val="00543D22"/>
    <w:pPr>
      <w:ind w:left="1463"/>
    </w:pPr>
  </w:style>
  <w:style w:type="paragraph" w:customStyle="1" w:styleId="ZLITCZWSPPKTzmczciwsppktliter">
    <w:name w:val="Z_LIT/CZ_WSP_PKT – zm. części wsp. pkt literą"/>
    <w:basedOn w:val="CZWSPLITczwsplnaliter"/>
    <w:next w:val="LITlitera"/>
    <w:uiPriority w:val="50"/>
    <w:qFormat/>
    <w:rsid w:val="00543D22"/>
    <w:pPr>
      <w:ind w:left="987"/>
    </w:pPr>
  </w:style>
  <w:style w:type="paragraph" w:customStyle="1" w:styleId="ZLITTIRzmtirliter">
    <w:name w:val="Z_LIT/TIR – zm. tir. literą"/>
    <w:basedOn w:val="TIRtiret"/>
    <w:uiPriority w:val="49"/>
    <w:qFormat/>
    <w:rsid w:val="00543D22"/>
  </w:style>
  <w:style w:type="paragraph" w:customStyle="1" w:styleId="ZZCZWSPLITwPKTzmianazmczciwsplitwpkt">
    <w:name w:val="ZZ/CZ_WSP_LIT_w_PKT – zmiana zm. części wsp. lit. w pkt"/>
    <w:basedOn w:val="ZZLITwPKTzmianazmlitwpkt"/>
    <w:uiPriority w:val="69"/>
    <w:qFormat/>
    <w:rsid w:val="00543D22"/>
    <w:pPr>
      <w:ind w:left="2404" w:firstLine="0"/>
    </w:pPr>
  </w:style>
  <w:style w:type="paragraph" w:customStyle="1" w:styleId="ZLITLITwPKTzmlitwpktliter">
    <w:name w:val="Z_LIT/LIT_w_PKT – zm. lit. w pkt literą"/>
    <w:basedOn w:val="LITlitera"/>
    <w:uiPriority w:val="48"/>
    <w:qFormat/>
    <w:rsid w:val="00543D22"/>
    <w:pPr>
      <w:ind w:left="1973"/>
    </w:pPr>
  </w:style>
  <w:style w:type="paragraph" w:customStyle="1" w:styleId="ZLITCZWSPLITwPKTzmczciwsplitwpktliter">
    <w:name w:val="Z_LIT/CZ_WSP_LIT_w_PKT – zm. części wsp. lit. w pkt literą"/>
    <w:basedOn w:val="CZWSPLITczwsplnaliter"/>
    <w:next w:val="LITlitera"/>
    <w:uiPriority w:val="51"/>
    <w:qFormat/>
    <w:rsid w:val="00543D22"/>
    <w:pPr>
      <w:ind w:left="1497"/>
    </w:pPr>
  </w:style>
  <w:style w:type="paragraph" w:customStyle="1" w:styleId="ZLITTIRwPKTzmtirwpktliter">
    <w:name w:val="Z_LIT/TIR_w_PKT – zm. tir. w pkt literą"/>
    <w:basedOn w:val="TIRtiret"/>
    <w:uiPriority w:val="49"/>
    <w:qFormat/>
    <w:rsid w:val="00543D22"/>
    <w:pPr>
      <w:ind w:left="2370"/>
    </w:pPr>
  </w:style>
  <w:style w:type="paragraph" w:customStyle="1" w:styleId="ZLITCZWSPTIRwPKTzmczciwsptirwpktliter">
    <w:name w:val="Z_LIT/CZ_WSP_TIR_w_PKT – zm. części wsp. tir. w pkt literą"/>
    <w:basedOn w:val="CZWSPTIRczwsplnatiret"/>
    <w:next w:val="LITlitera"/>
    <w:uiPriority w:val="51"/>
    <w:qFormat/>
    <w:rsid w:val="00543D22"/>
    <w:pPr>
      <w:ind w:left="1973"/>
    </w:pPr>
  </w:style>
  <w:style w:type="paragraph" w:styleId="Tekstprzypisudolnego">
    <w:name w:val="footnote text"/>
    <w:basedOn w:val="Normalny"/>
    <w:link w:val="TekstprzypisudolnegoZnak"/>
    <w:uiPriority w:val="99"/>
    <w:semiHidden/>
    <w:qFormat/>
    <w:rsid w:val="00543D22"/>
    <w:pPr>
      <w:widowControl w:val="0"/>
      <w:autoSpaceDE w:val="0"/>
      <w:autoSpaceDN w:val="0"/>
      <w:adjustRightInd w:val="0"/>
      <w:spacing w:after="0" w:line="360" w:lineRule="auto"/>
      <w:jc w:val="both"/>
    </w:pPr>
    <w:rPr>
      <w:rFonts w:ascii="Times" w:eastAsia="Times New Roman" w:hAnsi="Times" w:cs="Times New Roman"/>
      <w:sz w:val="24"/>
      <w:szCs w:val="24"/>
      <w:lang w:eastAsia="pl-PL"/>
    </w:rPr>
  </w:style>
  <w:style w:type="character" w:customStyle="1" w:styleId="TekstprzypisudolnegoZnak">
    <w:name w:val="Tekst przypisu dolnego Znak"/>
    <w:basedOn w:val="Domylnaczcionkaakapitu"/>
    <w:link w:val="Tekstprzypisudolnego"/>
    <w:uiPriority w:val="99"/>
    <w:semiHidden/>
    <w:rsid w:val="00543D22"/>
    <w:rPr>
      <w:rFonts w:ascii="Times" w:eastAsia="Times New Roman" w:hAnsi="Times" w:cs="Times New Roman"/>
      <w:sz w:val="24"/>
      <w:szCs w:val="24"/>
      <w:lang w:eastAsia="pl-PL"/>
    </w:rPr>
  </w:style>
  <w:style w:type="paragraph" w:customStyle="1" w:styleId="ZTIRLITzmlittiret">
    <w:name w:val="Z_TIR/LIT – zm. lit. tiret"/>
    <w:basedOn w:val="LITlitera"/>
    <w:uiPriority w:val="57"/>
    <w:qFormat/>
    <w:rsid w:val="00543D22"/>
    <w:pPr>
      <w:ind w:left="1859"/>
    </w:pPr>
  </w:style>
  <w:style w:type="paragraph" w:customStyle="1" w:styleId="ZTIRCZWSPPKTzmczciwsppkttiret">
    <w:name w:val="Z_TIR/CZ_WSP_PKT – zm. części wsp. pkt tiret"/>
    <w:basedOn w:val="CZWSPLITczwsplnaliter"/>
    <w:next w:val="TIRtiret"/>
    <w:uiPriority w:val="58"/>
    <w:qFormat/>
    <w:rsid w:val="00543D22"/>
    <w:pPr>
      <w:ind w:left="1383"/>
    </w:pPr>
  </w:style>
  <w:style w:type="paragraph" w:customStyle="1" w:styleId="ZTIRTIRzmtirtiret">
    <w:name w:val="Z_TIR/TIR – zm. tir. tiret"/>
    <w:basedOn w:val="TIRtiret"/>
    <w:uiPriority w:val="57"/>
    <w:qFormat/>
    <w:rsid w:val="00543D22"/>
    <w:pPr>
      <w:ind w:left="1780"/>
    </w:pPr>
  </w:style>
  <w:style w:type="paragraph" w:customStyle="1" w:styleId="ZZCZWSPTIRwPKTzmianazmczciwsptirwpkt">
    <w:name w:val="ZZ/CZ_WSP_TIR_w_PKT – zmiana zm. części wsp. tir. w pkt"/>
    <w:basedOn w:val="ZZTIRwPKTzmianazmtirwpkt"/>
    <w:uiPriority w:val="70"/>
    <w:qFormat/>
    <w:rsid w:val="00543D22"/>
    <w:pPr>
      <w:ind w:left="2880" w:firstLine="0"/>
    </w:pPr>
  </w:style>
  <w:style w:type="paragraph" w:customStyle="1" w:styleId="ZZTIRwLITzmianazmtirwlit">
    <w:name w:val="ZZ/TIR_w_LIT – zmiana zm. tir. w lit."/>
    <w:basedOn w:val="ZZTIRzmianazmtir"/>
    <w:uiPriority w:val="67"/>
    <w:qFormat/>
    <w:rsid w:val="00543D22"/>
    <w:pPr>
      <w:ind w:left="2767"/>
    </w:pPr>
  </w:style>
  <w:style w:type="paragraph" w:customStyle="1" w:styleId="ZTIRTIRwLITzmtirwlittiret">
    <w:name w:val="Z_TIR/TIR_w_LIT – zm. tir. w lit. tiret"/>
    <w:basedOn w:val="TIRtiret"/>
    <w:uiPriority w:val="57"/>
    <w:qFormat/>
    <w:rsid w:val="00543D22"/>
    <w:pPr>
      <w:ind w:left="2257"/>
    </w:pPr>
  </w:style>
  <w:style w:type="paragraph" w:customStyle="1" w:styleId="ZTIRCZWSPTIRwLITzmczciwsptirwlittiret">
    <w:name w:val="Z_TIR/CZ_WSP_TIR_w_LIT – zm. części wsp. tir. w lit. tiret"/>
    <w:basedOn w:val="CZWSPTIRczwsplnatiret"/>
    <w:next w:val="TIRtiret"/>
    <w:uiPriority w:val="60"/>
    <w:qFormat/>
    <w:rsid w:val="00543D22"/>
    <w:pPr>
      <w:ind w:left="1860"/>
    </w:pPr>
  </w:style>
  <w:style w:type="paragraph" w:customStyle="1" w:styleId="CZWSP2TIRczwsplnapodwjnychtiret">
    <w:name w:val="CZ_WSP_2TIR – część wspólna podwójnych tiret"/>
    <w:basedOn w:val="CZWSPTIRczwsplnatiret"/>
    <w:next w:val="TIRtiret"/>
    <w:uiPriority w:val="73"/>
    <w:qFormat/>
    <w:rsid w:val="00543D22"/>
    <w:pPr>
      <w:ind w:left="1780"/>
    </w:pPr>
  </w:style>
  <w:style w:type="paragraph" w:customStyle="1" w:styleId="Z2TIRzmpodwtirartykuempunktem">
    <w:name w:val="Z/2TIR – zm. podw. tir. artykułem (punktem)"/>
    <w:basedOn w:val="TIRtiret"/>
    <w:uiPriority w:val="73"/>
    <w:qFormat/>
    <w:rsid w:val="00543D22"/>
    <w:pPr>
      <w:ind w:left="907"/>
    </w:pPr>
  </w:style>
  <w:style w:type="paragraph" w:customStyle="1" w:styleId="ZZCZWSPTIRwLITzmianazmczciwsptirwlit">
    <w:name w:val="ZZ/CZ_WSP_TIR_w_LIT – zmiana zm. części wsp. tir. w lit."/>
    <w:basedOn w:val="ZZTIRwLITzmianazmtirwlit"/>
    <w:uiPriority w:val="70"/>
    <w:qFormat/>
    <w:rsid w:val="00543D22"/>
    <w:pPr>
      <w:ind w:left="2370" w:firstLine="0"/>
    </w:pPr>
  </w:style>
  <w:style w:type="paragraph" w:customStyle="1" w:styleId="ZLIT2TIRzmpodwtirliter">
    <w:name w:val="Z_LIT/2TIR – zm. podw. tir. literą"/>
    <w:basedOn w:val="TIRtiret"/>
    <w:uiPriority w:val="75"/>
    <w:qFormat/>
    <w:rsid w:val="00543D22"/>
  </w:style>
  <w:style w:type="paragraph" w:customStyle="1" w:styleId="ZTIR2TIRzmpodwtirtiret">
    <w:name w:val="Z_TIR/2TIR – zm. podw. tir. tiret"/>
    <w:basedOn w:val="TIRtiret"/>
    <w:uiPriority w:val="78"/>
    <w:qFormat/>
    <w:rsid w:val="00543D22"/>
    <w:pPr>
      <w:ind w:left="1780"/>
    </w:pPr>
  </w:style>
  <w:style w:type="paragraph" w:customStyle="1" w:styleId="Z2TIRCZWSPLITzmczciwsplitpodwjnymtiret">
    <w:name w:val="Z_2TIR/CZ_WSP_LIT – zm. części wsp. lit. podwójnym tiret"/>
    <w:basedOn w:val="CZWSPTIRczwsplnatiret"/>
    <w:next w:val="2TIRpodwjnytiret"/>
    <w:uiPriority w:val="87"/>
    <w:qFormat/>
    <w:rsid w:val="00543D22"/>
    <w:pPr>
      <w:ind w:left="1780"/>
    </w:pPr>
  </w:style>
  <w:style w:type="paragraph" w:customStyle="1" w:styleId="Z2TIRwPKTzmpodwtirwpktartykuempunktem">
    <w:name w:val="Z/2TIR_w_PKT – zm. podw. tir. w pkt artykułem (punktem)"/>
    <w:basedOn w:val="TIRtiret"/>
    <w:next w:val="ZPKTzmpktartykuempunktem"/>
    <w:uiPriority w:val="74"/>
    <w:qFormat/>
    <w:rsid w:val="00543D22"/>
    <w:pPr>
      <w:ind w:left="2291"/>
    </w:pPr>
  </w:style>
  <w:style w:type="paragraph" w:customStyle="1" w:styleId="ZTIRPKTzmpkttiret">
    <w:name w:val="Z_TIR/PKT – zm. pkt tiret"/>
    <w:basedOn w:val="PKTpunkt"/>
    <w:uiPriority w:val="56"/>
    <w:qFormat/>
    <w:rsid w:val="00543D22"/>
    <w:pPr>
      <w:ind w:left="1893"/>
    </w:pPr>
  </w:style>
  <w:style w:type="paragraph" w:customStyle="1" w:styleId="ZTIRLITwPKTzmlitwpkttiret">
    <w:name w:val="Z_TIR/LIT_w_PKT – zm. lit. w pkt tiret"/>
    <w:basedOn w:val="LITlitera"/>
    <w:uiPriority w:val="57"/>
    <w:qFormat/>
    <w:rsid w:val="00543D22"/>
    <w:pPr>
      <w:ind w:left="2336"/>
    </w:pPr>
  </w:style>
  <w:style w:type="paragraph" w:customStyle="1" w:styleId="ZTIRCZWSPLITwPKTzmczciwsplitwpkttiret">
    <w:name w:val="Z_TIR/CZ_WSP_LIT_w_PKT – zm. części wsp. lit. w pkt tiret"/>
    <w:basedOn w:val="CZWSPLITczwsplnaliter"/>
    <w:uiPriority w:val="59"/>
    <w:qFormat/>
    <w:rsid w:val="00543D22"/>
    <w:pPr>
      <w:ind w:left="1860"/>
    </w:pPr>
  </w:style>
  <w:style w:type="paragraph" w:customStyle="1" w:styleId="ZTIR2TIRwLITzmpodwtirwlittiret">
    <w:name w:val="Z_TIR/2TIR_w_LIT – zm. podw. tir. w lit. tiret"/>
    <w:basedOn w:val="TIRtiret"/>
    <w:uiPriority w:val="79"/>
    <w:qFormat/>
    <w:rsid w:val="00543D22"/>
    <w:pPr>
      <w:ind w:left="2654"/>
    </w:pPr>
  </w:style>
  <w:style w:type="paragraph" w:customStyle="1" w:styleId="ZTIRCZWSP2TIRwLITzmczciwsppodwtirwlittiret">
    <w:name w:val="Z_TIR/CZ_WSP_2TIR_w_LIT – zm. części wsp. podw. tir. w lit. tiret"/>
    <w:basedOn w:val="CZWSPTIRczwsplnatiret"/>
    <w:next w:val="TIRtiret"/>
    <w:uiPriority w:val="80"/>
    <w:qFormat/>
    <w:rsid w:val="00543D22"/>
    <w:pPr>
      <w:ind w:left="2257"/>
    </w:pPr>
  </w:style>
  <w:style w:type="paragraph" w:customStyle="1" w:styleId="ZTIR2TIRwTIRzmpodwtirwtirtiret">
    <w:name w:val="Z_TIR/2TIR_w_TIR – zm. podw. tir. w tir. tiret"/>
    <w:basedOn w:val="TIRtiret"/>
    <w:uiPriority w:val="78"/>
    <w:qFormat/>
    <w:rsid w:val="00543D22"/>
    <w:pPr>
      <w:ind w:left="2177"/>
    </w:pPr>
  </w:style>
  <w:style w:type="paragraph" w:customStyle="1" w:styleId="ZTIRCZWSP2TIRwTIRzmczciwsppodwtirwtirtiret">
    <w:name w:val="Z_TIR/CZ_WSP_2TIR_w_TIR – zm. części wsp. podw. tir. w tir. tiret"/>
    <w:basedOn w:val="CZWSPTIRczwsplnatiret"/>
    <w:uiPriority w:val="79"/>
    <w:qFormat/>
    <w:rsid w:val="00543D22"/>
    <w:pPr>
      <w:ind w:left="1780"/>
    </w:pPr>
  </w:style>
  <w:style w:type="paragraph" w:customStyle="1" w:styleId="Z2TIRLITzmlitpodwjnymtiret">
    <w:name w:val="Z_2TIR/LIT – zm. lit. podwójnym tiret"/>
    <w:basedOn w:val="LITlitera"/>
    <w:uiPriority w:val="84"/>
    <w:qFormat/>
    <w:rsid w:val="00543D22"/>
    <w:pPr>
      <w:ind w:left="2256"/>
    </w:pPr>
  </w:style>
  <w:style w:type="paragraph" w:customStyle="1" w:styleId="ZZ2TIRwTIRzmianazmpodwtirwtir">
    <w:name w:val="ZZ/2TIR_w_TIR – zmiana zm. podw. tir. w tir."/>
    <w:basedOn w:val="ZZCZWSP2TIRzmianazmczciwsppodwtir"/>
    <w:uiPriority w:val="93"/>
    <w:qFormat/>
    <w:rsid w:val="00543D22"/>
    <w:pPr>
      <w:ind w:left="2688" w:hanging="397"/>
    </w:pPr>
  </w:style>
  <w:style w:type="paragraph" w:customStyle="1" w:styleId="ZZ2TIRwLITzmianazmpodwtirwlit">
    <w:name w:val="ZZ/2TIR_w_LIT – zmiana zm. podw. tir. w lit."/>
    <w:basedOn w:val="ZZ2TIRwTIRzmianazmpodwtirwtir"/>
    <w:uiPriority w:val="94"/>
    <w:qFormat/>
    <w:rsid w:val="00543D22"/>
    <w:pPr>
      <w:ind w:left="3164"/>
    </w:pPr>
  </w:style>
  <w:style w:type="paragraph" w:customStyle="1" w:styleId="Z2TIRTIRwLITzmtirwlitpodwjnymtiret">
    <w:name w:val="Z_2TIR/TIR_w_LIT – zm. tir. w lit. podwójnym tiret"/>
    <w:basedOn w:val="TIRtiret"/>
    <w:uiPriority w:val="84"/>
    <w:qFormat/>
    <w:rsid w:val="00543D22"/>
    <w:pPr>
      <w:ind w:left="2654"/>
    </w:pPr>
  </w:style>
  <w:style w:type="paragraph" w:customStyle="1" w:styleId="Z2TIRCZWSPTIRwLITzmczciwsptirwlitpodwjnymtiret">
    <w:name w:val="Z_2TIR/CZ_WSP_TIR_w_LIT – zm. części wsp. tir. w lit. podwójnym tiret"/>
    <w:basedOn w:val="CZWSPTIRczwsplnatiret"/>
    <w:next w:val="2TIRpodwjnytiret"/>
    <w:uiPriority w:val="87"/>
    <w:qFormat/>
    <w:rsid w:val="00543D22"/>
    <w:pPr>
      <w:ind w:left="2257"/>
    </w:pPr>
  </w:style>
  <w:style w:type="paragraph" w:customStyle="1" w:styleId="ZZ2TIRwPKTzmianazmpodwtirwpkt">
    <w:name w:val="ZZ/2TIR_w_PKT – zmiana zm. podw. tir. w pkt"/>
    <w:basedOn w:val="ZZ2TIRwLITzmianazmpodwtirwlit"/>
    <w:uiPriority w:val="94"/>
    <w:qFormat/>
    <w:rsid w:val="00543D22"/>
    <w:pPr>
      <w:ind w:left="3674"/>
    </w:pPr>
  </w:style>
  <w:style w:type="paragraph" w:customStyle="1" w:styleId="ZZCZWSP2TIRwTIRzmianazmczciwsppodwtirwtir">
    <w:name w:val="ZZ/CZ_WSP_2TIR_w_TIR – zmiana zm. części wsp. podw. tir. w tir."/>
    <w:basedOn w:val="ZZ2TIRwLITzmianazmpodwtirwlit"/>
    <w:uiPriority w:val="94"/>
    <w:qFormat/>
    <w:rsid w:val="00543D22"/>
    <w:pPr>
      <w:ind w:left="2291" w:firstLine="0"/>
    </w:pPr>
  </w:style>
  <w:style w:type="paragraph" w:customStyle="1" w:styleId="Z2TIR2TIRwTIRzmpodwtirwtirpodwjnymtiret">
    <w:name w:val="Z_2TIR/2TIR_w_TIR – zm. podw. tir. w tir. podwójnym tiret"/>
    <w:basedOn w:val="TIRtiret"/>
    <w:uiPriority w:val="85"/>
    <w:qFormat/>
    <w:rsid w:val="00543D22"/>
    <w:pPr>
      <w:ind w:left="2574"/>
    </w:pPr>
  </w:style>
  <w:style w:type="paragraph" w:customStyle="1" w:styleId="Z2TIRCZWSP2TIRwTIRzmczciwsppodwtirwtiretpodwjnymtiret">
    <w:name w:val="Z_2TIR/CZ_WSP_2TIR_w_TIR – zm. części wsp. podw. tir. w tiret podwójnym tiret"/>
    <w:basedOn w:val="CZWSPTIRczwsplnatiret"/>
    <w:next w:val="2TIRpodwjnytiret"/>
    <w:uiPriority w:val="88"/>
    <w:qFormat/>
    <w:rsid w:val="00543D22"/>
    <w:pPr>
      <w:ind w:left="2177"/>
    </w:pPr>
  </w:style>
  <w:style w:type="paragraph" w:customStyle="1" w:styleId="Z2TIR2TIRwLITzmpodwtirwlitpodwjnymtiret">
    <w:name w:val="Z_2TIR/2TIR_w_LIT – zm. podw. tir. w lit. podwójnym tiret"/>
    <w:basedOn w:val="TIRtiret"/>
    <w:uiPriority w:val="86"/>
    <w:qFormat/>
    <w:rsid w:val="00543D22"/>
    <w:pPr>
      <w:ind w:left="3051"/>
    </w:pPr>
  </w:style>
  <w:style w:type="paragraph" w:customStyle="1" w:styleId="Z2TIRCZWSP2TIRwLITzmczciwsppodwtirwlitpodwjnymtiret">
    <w:name w:val="Z_2TIR/CZ_WSP_2TIR_w_LIT – zm. części wsp. podw. tir. w lit. podwójnym tiret"/>
    <w:basedOn w:val="CZWSPTIRczwsplnatiret"/>
    <w:next w:val="2TIRpodwjnytiret"/>
    <w:uiPriority w:val="89"/>
    <w:qFormat/>
    <w:rsid w:val="00543D22"/>
    <w:pPr>
      <w:ind w:left="2654"/>
    </w:pPr>
  </w:style>
  <w:style w:type="paragraph" w:customStyle="1" w:styleId="ZCZCIKSIGIzmozniprzedmczciksigiartykuempunktem">
    <w:name w:val="Z/CZĘŚCI(KSIĘGI) – zm. ozn. i przedm. części (księgi) artykułem (punktem)"/>
    <w:basedOn w:val="CZKSIGAoznaczenieiprzedmiotczcilubksigi"/>
    <w:uiPriority w:val="28"/>
    <w:qFormat/>
    <w:rsid w:val="00543D22"/>
    <w:pPr>
      <w:ind w:left="510"/>
    </w:pPr>
    <w:rPr>
      <w:b w:val="0"/>
    </w:rPr>
  </w:style>
  <w:style w:type="paragraph" w:customStyle="1" w:styleId="ZROZDZODDZPRZEDMzmprzedmrozdzoddzartykuempunktem">
    <w:name w:val="Z/ROZDZ(ODDZ)_PRZEDM – zm. przedm. rozdz. (oddz.) artykułem (punktem)"/>
    <w:basedOn w:val="ROZDZODDZPRZEDMprzedmiotregulacjirozdziauluboddziau"/>
    <w:next w:val="ZARTzmartartykuempunktem"/>
    <w:uiPriority w:val="29"/>
    <w:qFormat/>
    <w:rsid w:val="00543D22"/>
    <w:pPr>
      <w:spacing w:after="120"/>
      <w:ind w:left="510"/>
    </w:pPr>
    <w:rPr>
      <w:b w:val="0"/>
    </w:rPr>
  </w:style>
  <w:style w:type="character" w:styleId="Odwoaniedokomentarza">
    <w:name w:val="annotation reference"/>
    <w:basedOn w:val="Domylnaczcionkaakapitu"/>
    <w:uiPriority w:val="99"/>
    <w:rsid w:val="00543D22"/>
    <w:rPr>
      <w:sz w:val="16"/>
      <w:szCs w:val="16"/>
    </w:rPr>
  </w:style>
  <w:style w:type="paragraph" w:styleId="Tekstkomentarza">
    <w:name w:val="annotation text"/>
    <w:basedOn w:val="Normalny"/>
    <w:link w:val="TekstkomentarzaZnak"/>
    <w:uiPriority w:val="99"/>
    <w:rsid w:val="00543D22"/>
    <w:pPr>
      <w:widowControl w:val="0"/>
      <w:autoSpaceDE w:val="0"/>
      <w:autoSpaceDN w:val="0"/>
      <w:adjustRightInd w:val="0"/>
      <w:spacing w:after="0" w:line="360" w:lineRule="auto"/>
      <w:jc w:val="both"/>
    </w:pPr>
    <w:rPr>
      <w:rFonts w:ascii="Times" w:eastAsia="Times New Roman" w:hAnsi="Times" w:cs="Times New Roman"/>
      <w:sz w:val="24"/>
      <w:szCs w:val="24"/>
      <w:lang w:eastAsia="pl-PL"/>
    </w:rPr>
  </w:style>
  <w:style w:type="character" w:customStyle="1" w:styleId="TekstkomentarzaZnak">
    <w:name w:val="Tekst komentarza Znak"/>
    <w:basedOn w:val="Domylnaczcionkaakapitu"/>
    <w:link w:val="Tekstkomentarza"/>
    <w:uiPriority w:val="99"/>
    <w:rsid w:val="00543D22"/>
    <w:rPr>
      <w:rFonts w:ascii="Times" w:eastAsia="Times New Roman" w:hAnsi="Times" w:cs="Times New Roman"/>
      <w:sz w:val="24"/>
      <w:szCs w:val="24"/>
      <w:lang w:eastAsia="pl-PL"/>
    </w:rPr>
  </w:style>
  <w:style w:type="paragraph" w:styleId="Tematkomentarza">
    <w:name w:val="annotation subject"/>
    <w:basedOn w:val="Tekstkomentarza"/>
    <w:next w:val="Tekstkomentarza"/>
    <w:link w:val="TematkomentarzaZnak"/>
    <w:uiPriority w:val="99"/>
    <w:semiHidden/>
    <w:rsid w:val="00543D22"/>
    <w:rPr>
      <w:b/>
      <w:bCs/>
    </w:rPr>
  </w:style>
  <w:style w:type="character" w:customStyle="1" w:styleId="TematkomentarzaZnak">
    <w:name w:val="Temat komentarza Znak"/>
    <w:basedOn w:val="TekstkomentarzaZnak"/>
    <w:link w:val="Tematkomentarza"/>
    <w:uiPriority w:val="99"/>
    <w:semiHidden/>
    <w:rsid w:val="00543D22"/>
    <w:rPr>
      <w:rFonts w:ascii="Times" w:eastAsia="Times New Roman" w:hAnsi="Times" w:cs="Times New Roman"/>
      <w:b/>
      <w:bCs/>
      <w:sz w:val="24"/>
      <w:szCs w:val="24"/>
      <w:lang w:eastAsia="pl-PL"/>
    </w:rPr>
  </w:style>
  <w:style w:type="paragraph" w:customStyle="1" w:styleId="ZZARTzmianazmart">
    <w:name w:val="ZZ/ART(§) – zmiana zm. art. (§)"/>
    <w:basedOn w:val="ZARTzmartartykuempunktem"/>
    <w:uiPriority w:val="65"/>
    <w:qFormat/>
    <w:rsid w:val="00543D22"/>
    <w:pPr>
      <w:ind w:left="1894"/>
    </w:pPr>
  </w:style>
  <w:style w:type="paragraph" w:customStyle="1" w:styleId="ZZPKTzmianazmpkt">
    <w:name w:val="ZZ/PKT – zmiana zm. pkt"/>
    <w:basedOn w:val="ZPKTzmpktartykuempunktem"/>
    <w:uiPriority w:val="66"/>
    <w:qFormat/>
    <w:rsid w:val="00543D22"/>
    <w:pPr>
      <w:ind w:left="2404"/>
    </w:pPr>
  </w:style>
  <w:style w:type="paragraph" w:customStyle="1" w:styleId="ZZLITwPKTzmianazmlitwpkt">
    <w:name w:val="ZZ/LIT_w_PKT – zmiana zm. lit. w pkt"/>
    <w:basedOn w:val="ZLITwPKTzmlitwpktartykuempunktem"/>
    <w:uiPriority w:val="67"/>
    <w:qFormat/>
    <w:rsid w:val="00543D22"/>
    <w:pPr>
      <w:ind w:left="2880"/>
    </w:pPr>
  </w:style>
  <w:style w:type="paragraph" w:customStyle="1" w:styleId="ZZTIRwPKTzmianazmtirwpkt">
    <w:name w:val="ZZ/TIR_w_PKT – zmiana zm. tir. w pkt"/>
    <w:basedOn w:val="ZTIRwPKTzmtirwpktartykuempunktem"/>
    <w:uiPriority w:val="67"/>
    <w:qFormat/>
    <w:rsid w:val="00543D22"/>
    <w:pPr>
      <w:ind w:left="3277"/>
    </w:pPr>
  </w:style>
  <w:style w:type="paragraph" w:customStyle="1" w:styleId="ZZWMATFIZCHEMzmwzorumatfizlubchem">
    <w:name w:val="ZZ/W_MAT(FIZ|CHEM) – zm. wzoru mat. (fiz. lub chem.)"/>
    <w:basedOn w:val="ZWMATFIZCHEMzmwzorumatfizlubchemartykuempunktem"/>
    <w:uiPriority w:val="71"/>
    <w:qFormat/>
    <w:rsid w:val="00543D22"/>
    <w:pPr>
      <w:ind w:left="2404"/>
    </w:pPr>
  </w:style>
  <w:style w:type="paragraph" w:customStyle="1" w:styleId="ODNONIKtreodnonika">
    <w:name w:val="ODNOŚNIK – treść odnośnika"/>
    <w:uiPriority w:val="19"/>
    <w:qFormat/>
    <w:rsid w:val="00543D22"/>
    <w:pPr>
      <w:spacing w:after="0" w:line="240" w:lineRule="auto"/>
      <w:ind w:left="284" w:hanging="284"/>
      <w:jc w:val="both"/>
    </w:pPr>
    <w:rPr>
      <w:rFonts w:ascii="Times New Roman" w:eastAsiaTheme="minorEastAsia" w:hAnsi="Times New Roman" w:cs="Arial"/>
      <w:sz w:val="20"/>
      <w:szCs w:val="20"/>
      <w:lang w:eastAsia="pl-PL"/>
    </w:rPr>
  </w:style>
  <w:style w:type="paragraph" w:customStyle="1" w:styleId="ZFRAGzmfragmentunpzdaniaartykuempunktem">
    <w:name w:val="Z/FRAG – zm. fragmentu (np. zdania) artykułem (punktem)"/>
    <w:basedOn w:val="ZARTzmartartykuempunktem"/>
    <w:next w:val="PKTpunkt"/>
    <w:uiPriority w:val="36"/>
    <w:qFormat/>
    <w:rsid w:val="00543D22"/>
    <w:pPr>
      <w:ind w:firstLine="0"/>
    </w:pPr>
    <w:rPr>
      <w:rFonts w:ascii="Times New Roman" w:hAnsi="Times New Roman"/>
    </w:rPr>
  </w:style>
  <w:style w:type="paragraph" w:customStyle="1" w:styleId="ZLITFRAGzmlitfragmentunpzdanialiter">
    <w:name w:val="Z_LIT/FRAG – zm. lit. fragmentu (np. zdania) literą"/>
    <w:basedOn w:val="ZLITUSTzmustliter"/>
    <w:next w:val="LITlitera"/>
    <w:uiPriority w:val="52"/>
    <w:qFormat/>
    <w:rsid w:val="00543D22"/>
    <w:pPr>
      <w:ind w:firstLine="0"/>
    </w:pPr>
    <w:rPr>
      <w:rFonts w:ascii="Times New Roman" w:hAnsi="Times New Roman"/>
    </w:rPr>
  </w:style>
  <w:style w:type="paragraph" w:customStyle="1" w:styleId="ZTIRFRAGMzmnpwprdowyliczeniatiret">
    <w:name w:val="Z_TIR/FRAGM – zm. np. wpr. do wyliczenia tiret"/>
    <w:basedOn w:val="ZTIRCZWSPPKTzmczciwsppkttiret"/>
    <w:next w:val="TIRtiret"/>
    <w:uiPriority w:val="60"/>
    <w:qFormat/>
    <w:rsid w:val="00543D22"/>
    <w:rPr>
      <w:rFonts w:ascii="Times New Roman" w:hAnsi="Times New Roman"/>
    </w:rPr>
  </w:style>
  <w:style w:type="paragraph" w:customStyle="1" w:styleId="ZTIRTIRwPKTzmtirwpkttiret">
    <w:name w:val="Z_TIR/TIR_w_PKT – zm. tir. w pkt tiret"/>
    <w:basedOn w:val="ZTIRTIRwLITzmtirwlittiret"/>
    <w:uiPriority w:val="57"/>
    <w:qFormat/>
    <w:rsid w:val="00543D22"/>
    <w:pPr>
      <w:ind w:left="2733"/>
    </w:pPr>
  </w:style>
  <w:style w:type="paragraph" w:customStyle="1" w:styleId="ZTIRCZWSPTIRwPKTzmczciwsptirtiret">
    <w:name w:val="Z_TIR/CZ_WSP_TIR_w_PKT – zm. części wsp. tir. tiret"/>
    <w:basedOn w:val="ZTIRTIRwPKTzmtirwpkttiret"/>
    <w:next w:val="TIRtiret"/>
    <w:uiPriority w:val="60"/>
    <w:qFormat/>
    <w:rsid w:val="00543D22"/>
    <w:pPr>
      <w:ind w:left="2336" w:firstLine="0"/>
    </w:pPr>
  </w:style>
  <w:style w:type="paragraph" w:customStyle="1" w:styleId="SKARNsankcjakarnawszczeglnociwKodeksiekarnym">
    <w:name w:val="S_KARN – sankcja karna w szczególności w Kodeksie karnym"/>
    <w:basedOn w:val="USTustnpkodeksu"/>
    <w:next w:val="ARTartustawynprozporzdzenia"/>
    <w:uiPriority w:val="18"/>
    <w:qFormat/>
    <w:rsid w:val="00543D22"/>
    <w:pPr>
      <w:ind w:left="510" w:firstLine="0"/>
    </w:pPr>
  </w:style>
  <w:style w:type="paragraph" w:customStyle="1" w:styleId="ROZDZODDZOZNoznaczenierozdziauluboddziau">
    <w:name w:val="ROZDZ(ODDZ)_OZN – oznaczenie rozdziału lub oddziału"/>
    <w:next w:val="ARTartustawynprozporzdzenia"/>
    <w:uiPriority w:val="10"/>
    <w:qFormat/>
    <w:rsid w:val="00543D22"/>
    <w:pPr>
      <w:keepNext/>
      <w:suppressAutoHyphens/>
      <w:spacing w:before="120" w:after="0" w:line="360" w:lineRule="auto"/>
      <w:jc w:val="center"/>
    </w:pPr>
    <w:rPr>
      <w:rFonts w:ascii="Times" w:eastAsiaTheme="minorEastAsia" w:hAnsi="Times" w:cs="Arial"/>
      <w:bCs/>
      <w:kern w:val="24"/>
      <w:sz w:val="24"/>
      <w:szCs w:val="24"/>
      <w:lang w:eastAsia="pl-PL"/>
    </w:rPr>
  </w:style>
  <w:style w:type="paragraph" w:customStyle="1" w:styleId="Z2TIR2TIRzmpodwtirpodwjnymtiret">
    <w:name w:val="Z_2TIR/2TIR – zm. podw. tir. podwójnym tiret"/>
    <w:basedOn w:val="TIRtiret"/>
    <w:uiPriority w:val="85"/>
    <w:qFormat/>
    <w:rsid w:val="00543D22"/>
    <w:pPr>
      <w:ind w:left="2177"/>
    </w:pPr>
  </w:style>
  <w:style w:type="paragraph" w:customStyle="1" w:styleId="Z2TIRTIRzmtirpodwjnymtiret">
    <w:name w:val="Z_2TIR/TIR – zm. tir. podwójnym tiret"/>
    <w:basedOn w:val="TIRtiret"/>
    <w:uiPriority w:val="84"/>
    <w:qFormat/>
    <w:rsid w:val="00543D22"/>
    <w:pPr>
      <w:ind w:left="2177"/>
    </w:pPr>
  </w:style>
  <w:style w:type="paragraph" w:customStyle="1" w:styleId="ZSKARNzmsankcjikarnejwszczeglnociwKodeksiekarnym">
    <w:name w:val="Z/S_KARN – zm. sankcji karnej w szczególności w Kodeksie karnym"/>
    <w:basedOn w:val="SKARNsankcjakarnawszczeglnociwKodeksiekarnym"/>
    <w:next w:val="PKTpunkt"/>
    <w:uiPriority w:val="37"/>
    <w:qFormat/>
    <w:rsid w:val="00543D22"/>
    <w:pPr>
      <w:ind w:left="1021"/>
    </w:pPr>
  </w:style>
  <w:style w:type="paragraph" w:customStyle="1" w:styleId="ZLITSKARNzmsankcjikarnejliter">
    <w:name w:val="Z_LIT/S_KARN – zm. sankcji karnej literą"/>
    <w:basedOn w:val="ZSKARNzmsankcjikarnejwszczeglnociwKodeksiekarnym"/>
    <w:uiPriority w:val="53"/>
    <w:qFormat/>
    <w:rsid w:val="00543D22"/>
    <w:pPr>
      <w:ind w:left="1497"/>
    </w:pPr>
  </w:style>
  <w:style w:type="paragraph" w:customStyle="1" w:styleId="ZCYTzmcytatunpprzysigiartykuempunktem">
    <w:name w:val="Z/CYT – zm. cytatu np. przysięgi artykułem (punktem)"/>
    <w:basedOn w:val="CYTcytatnpprzysigi"/>
    <w:next w:val="ZUSTzmustartykuempunktem"/>
    <w:uiPriority w:val="37"/>
    <w:qFormat/>
    <w:rsid w:val="00543D22"/>
    <w:pPr>
      <w:ind w:left="1021"/>
    </w:pPr>
  </w:style>
  <w:style w:type="paragraph" w:customStyle="1" w:styleId="ZCZWSP2TIRwPKTzmczciwsppodwtirwpktartykuempunktem">
    <w:name w:val="Z/CZ_WSP_2TIR_w_PKT – zm. części wsp. podw. tir. w pkt artykułem (punktem)"/>
    <w:basedOn w:val="Z2TIRwPKTzmpodwtirwpktartykuempunktem"/>
    <w:next w:val="ZZUSTzmianazmust"/>
    <w:uiPriority w:val="75"/>
    <w:qFormat/>
    <w:rsid w:val="00543D22"/>
    <w:pPr>
      <w:ind w:left="1894" w:firstLine="0"/>
    </w:pPr>
  </w:style>
  <w:style w:type="paragraph" w:customStyle="1" w:styleId="Z2TIRwLITzmpodwtirwlitartykuempunktem">
    <w:name w:val="Z/2TIR_w_LIT – zm. podw. tir. w lit. artykułem (punktem)"/>
    <w:basedOn w:val="Z2TIRwPKTzmpodwtirwpktartykuempunktem"/>
    <w:uiPriority w:val="74"/>
    <w:qFormat/>
    <w:rsid w:val="00543D22"/>
    <w:pPr>
      <w:ind w:left="1780"/>
    </w:pPr>
  </w:style>
  <w:style w:type="paragraph" w:customStyle="1" w:styleId="Z2TIRwTIRzmpodwtirwtirartykuempunktem">
    <w:name w:val="Z/2TIR_w_TIR – zm. podw. tir. w tir. artykułem (punktem)"/>
    <w:basedOn w:val="Z2TIRwLITzmpodwtirwlitartykuempunktem"/>
    <w:uiPriority w:val="73"/>
    <w:qFormat/>
    <w:rsid w:val="00543D22"/>
    <w:pPr>
      <w:ind w:left="1304"/>
    </w:pPr>
  </w:style>
  <w:style w:type="paragraph" w:customStyle="1" w:styleId="ZCZWSP2TIRwTIRzmczciwsppodwtirwtirartykuempunktem">
    <w:name w:val="Z/CZ_WSP_2TIR_w_TIR – zm. części wsp. podw. tir. w tir. artykułem (punktem)"/>
    <w:basedOn w:val="Z2TIRwTIRzmpodwtirwtirartykuempunktem"/>
    <w:next w:val="PKTpunkt"/>
    <w:uiPriority w:val="74"/>
    <w:qFormat/>
    <w:rsid w:val="00543D22"/>
    <w:pPr>
      <w:ind w:left="907" w:firstLine="0"/>
    </w:pPr>
  </w:style>
  <w:style w:type="paragraph" w:customStyle="1" w:styleId="ZCZWSP2TIRwLITzmczciwsppodwtirwlitartykuempunktem">
    <w:name w:val="Z/CZ_WSP_2TIR_w_LIT – zm. części wsp. podw. tir. w lit. artykułem (punktem)"/>
    <w:basedOn w:val="Z2TIRwLITzmpodwtirwlitartykuempunktem"/>
    <w:next w:val="ZZUSTzmianazmust"/>
    <w:uiPriority w:val="75"/>
    <w:qFormat/>
    <w:rsid w:val="00543D22"/>
    <w:pPr>
      <w:ind w:left="1383" w:firstLine="0"/>
    </w:pPr>
  </w:style>
  <w:style w:type="paragraph" w:customStyle="1" w:styleId="ZZCZWSP2TIRzmianazmczciwsppodwtir">
    <w:name w:val="ZZ/CZ_WSP_2TIR – zmiana zm. części wsp. podw. tir."/>
    <w:basedOn w:val="ZZTIRzmianazmtir"/>
    <w:next w:val="ZZUSTzmianazmust"/>
    <w:uiPriority w:val="94"/>
    <w:qFormat/>
    <w:rsid w:val="00543D22"/>
    <w:pPr>
      <w:ind w:left="1894" w:firstLine="0"/>
    </w:pPr>
  </w:style>
  <w:style w:type="paragraph" w:customStyle="1" w:styleId="PKTODNONIKApunktodnonika">
    <w:name w:val="PKT_ODNOŚNIKA – punkt odnośnika"/>
    <w:basedOn w:val="ODNONIKtreodnonika"/>
    <w:uiPriority w:val="19"/>
    <w:qFormat/>
    <w:rsid w:val="00543D22"/>
    <w:pPr>
      <w:ind w:left="568"/>
    </w:pPr>
  </w:style>
  <w:style w:type="paragraph" w:customStyle="1" w:styleId="ZODNONIKAzmtekstuodnonikaartykuempunktem">
    <w:name w:val="Z/ODNOŚNIKA – zm. tekstu odnośnika artykułem (punktem)"/>
    <w:basedOn w:val="ODNONIKtreodnonika"/>
    <w:uiPriority w:val="39"/>
    <w:qFormat/>
    <w:rsid w:val="00543D22"/>
    <w:pPr>
      <w:spacing w:line="360" w:lineRule="auto"/>
      <w:ind w:left="907" w:hanging="397"/>
    </w:pPr>
    <w:rPr>
      <w:sz w:val="24"/>
    </w:rPr>
  </w:style>
  <w:style w:type="paragraph" w:customStyle="1" w:styleId="ZPKTwODNONIKUzmpktwzmienianymodnonikuartykuempunktem">
    <w:name w:val="Z/PKT_w_ODNOŚNIKU – zm. pkt w zmienianym odnośniku artykułem (punktem)"/>
    <w:basedOn w:val="ZODNONIKAzmtekstuodnonikaartykuempunktem"/>
    <w:uiPriority w:val="39"/>
    <w:qFormat/>
    <w:rsid w:val="00543D22"/>
    <w:pPr>
      <w:ind w:left="1304"/>
    </w:pPr>
  </w:style>
  <w:style w:type="paragraph" w:customStyle="1" w:styleId="ZPKTODNONIKAzmpktodnonikaartykuempunktem">
    <w:name w:val="Z/PKT_ODNOŚNIKA – zm. pkt odnośnika artykułem (punktem)"/>
    <w:basedOn w:val="ZODNONIKAzmtekstuodnonikaartykuempunktem"/>
    <w:uiPriority w:val="39"/>
    <w:qFormat/>
    <w:rsid w:val="00543D22"/>
  </w:style>
  <w:style w:type="paragraph" w:customStyle="1" w:styleId="ZLIT2TIRwTIRzmpodwtirwtirliter">
    <w:name w:val="Z_LIT/2TIR_w_TIR – zm. podw. tir. w tir. literą"/>
    <w:basedOn w:val="ZLIT2TIRzmpodwtirliter"/>
    <w:uiPriority w:val="75"/>
    <w:qFormat/>
    <w:rsid w:val="00543D22"/>
    <w:pPr>
      <w:ind w:left="1780"/>
    </w:pPr>
  </w:style>
  <w:style w:type="paragraph" w:customStyle="1" w:styleId="ZLIT2TIRwLITzmpodwtirwlitliter">
    <w:name w:val="Z_LIT/2TIR_w_LIT – zm. podw. tir. w lit. literą"/>
    <w:basedOn w:val="ZLIT2TIRwTIRzmpodwtirwtirliter"/>
    <w:uiPriority w:val="76"/>
    <w:qFormat/>
    <w:rsid w:val="00543D22"/>
    <w:pPr>
      <w:ind w:left="2257"/>
    </w:pPr>
  </w:style>
  <w:style w:type="paragraph" w:customStyle="1" w:styleId="ZLIT2TIRwPKTzmpodwtirwpktliter">
    <w:name w:val="Z_LIT/2TIR_w_PKT – zm. podw. tir. w pkt literą"/>
    <w:basedOn w:val="ZLIT2TIRwLITzmpodwtirwlitliter"/>
    <w:uiPriority w:val="76"/>
    <w:qFormat/>
    <w:rsid w:val="00543D22"/>
    <w:pPr>
      <w:ind w:left="2767"/>
    </w:pPr>
  </w:style>
  <w:style w:type="paragraph" w:customStyle="1" w:styleId="ZLITCZWSP2TIRwTIRzmczciwsppodwtirwtirliter">
    <w:name w:val="Z_LIT/CZ_WSP_2TIR_w_TIR – zm. części wsp. podw. tir. w tir. literą"/>
    <w:basedOn w:val="ZLIT2TIRwTIRzmpodwtirwtirliter"/>
    <w:next w:val="LITlitera"/>
    <w:uiPriority w:val="76"/>
    <w:qFormat/>
    <w:rsid w:val="00543D22"/>
    <w:pPr>
      <w:ind w:left="1383" w:firstLine="0"/>
    </w:pPr>
  </w:style>
  <w:style w:type="paragraph" w:customStyle="1" w:styleId="ZLITCZWSP2TIRwLITzmczciwsppodwtirwlitliter">
    <w:name w:val="Z_LIT/CZ_WSP_2TIR_w_LIT – zm. części wsp. podw. tir. w lit. literą"/>
    <w:basedOn w:val="ZLIT2TIRwLITzmpodwtirwlitliter"/>
    <w:next w:val="LITlitera"/>
    <w:uiPriority w:val="77"/>
    <w:qFormat/>
    <w:rsid w:val="00543D22"/>
    <w:pPr>
      <w:ind w:left="1860" w:firstLine="0"/>
    </w:pPr>
  </w:style>
  <w:style w:type="paragraph" w:customStyle="1" w:styleId="ZLITCZWSP2TIRwPKTzmczciwsppodwtirwpktliter">
    <w:name w:val="Z_LIT/CZ_WSP_2TIR_w_PKT – zm. części wsp. podw. tir. w pkt literą"/>
    <w:basedOn w:val="ZLIT2TIRwPKTzmpodwtirwpktliter"/>
    <w:next w:val="LITlitera"/>
    <w:uiPriority w:val="77"/>
    <w:qFormat/>
    <w:rsid w:val="00543D22"/>
    <w:pPr>
      <w:ind w:left="2370" w:firstLine="0"/>
    </w:pPr>
  </w:style>
  <w:style w:type="paragraph" w:customStyle="1" w:styleId="ZTIR2TIRwPKTzmpodwtirwpkttiret">
    <w:name w:val="Z_TIR/2TIR_w_PKT – zm. podw. tir. w pkt tiret"/>
    <w:basedOn w:val="ZTIR2TIRwLITzmpodwtirwlittiret"/>
    <w:uiPriority w:val="79"/>
    <w:qFormat/>
    <w:rsid w:val="00543D22"/>
    <w:pPr>
      <w:ind w:left="3164"/>
    </w:pPr>
  </w:style>
  <w:style w:type="paragraph" w:customStyle="1" w:styleId="ZTIRCZWSP2TIRwPKTzmczciwsppodwtirwpkttiret">
    <w:name w:val="Z_TIR/CZ_WSP_2TIR_w_PKT – zm. części wsp. podw. tir. w pkt tiret"/>
    <w:basedOn w:val="ZTIR2TIRwPKTzmpodwtirwpkttiret"/>
    <w:next w:val="TIRtiret"/>
    <w:uiPriority w:val="80"/>
    <w:qFormat/>
    <w:rsid w:val="00543D22"/>
    <w:pPr>
      <w:ind w:left="2767" w:firstLine="0"/>
    </w:pPr>
  </w:style>
  <w:style w:type="paragraph" w:customStyle="1" w:styleId="ZZCZWSP2TIRwLITzmianazmczciwsppodwtirwlit">
    <w:name w:val="ZZ/CZ_WSP_2TIR_w_LIT – zmiana zm. części wsp. podw. tir. w lit."/>
    <w:basedOn w:val="ZZ2TIRwLITzmianazmpodwtirwlit"/>
    <w:uiPriority w:val="95"/>
    <w:qFormat/>
    <w:rsid w:val="00543D22"/>
    <w:pPr>
      <w:ind w:left="2767"/>
    </w:pPr>
  </w:style>
  <w:style w:type="paragraph" w:customStyle="1" w:styleId="ZZCZWSP2TIRwPKTzmianazmczciwsppodwtirwpkt">
    <w:name w:val="ZZ/CZ_WSP_2TIR_w_PKT – zmiana zm. części wsp. podw. tir. w pkt"/>
    <w:basedOn w:val="ZZ2TIRwLITzmianazmpodwtirwlit"/>
    <w:uiPriority w:val="95"/>
    <w:qFormat/>
    <w:rsid w:val="00543D22"/>
    <w:pPr>
      <w:ind w:left="3277" w:firstLine="0"/>
    </w:pPr>
  </w:style>
  <w:style w:type="paragraph" w:customStyle="1" w:styleId="ZCZWSP2TIRzmczciwsplnejpodwtirartykuempunktem">
    <w:name w:val="Z/CZ_WSP_2TIR – zm. części wspólnej podw. tir. artykułem (punktem)"/>
    <w:basedOn w:val="ZCZWSPPKTzmczciwsppktartykuempunktem"/>
    <w:next w:val="PKTpunkt"/>
    <w:uiPriority w:val="74"/>
    <w:qFormat/>
    <w:rsid w:val="00543D22"/>
  </w:style>
  <w:style w:type="paragraph" w:customStyle="1" w:styleId="ZLITCZWSP2TIRzmczciwsppodwtirliter">
    <w:name w:val="Z_LIT/CZ_WSP_2TIR – zm. części wsp. podw. tir. literą"/>
    <w:basedOn w:val="ZLITCZWSPPKTzmczciwsppktliter"/>
    <w:next w:val="LITlitera"/>
    <w:uiPriority w:val="76"/>
    <w:qFormat/>
    <w:rsid w:val="00543D22"/>
  </w:style>
  <w:style w:type="paragraph" w:customStyle="1" w:styleId="ZTIRCZWSP2TIRzmczciwsppodwtirtiret">
    <w:name w:val="Z_TIR/CZ_WSP_2TIR – zm. części wsp. podw. tir. tiret"/>
    <w:basedOn w:val="ZLITCZWSP2TIRzmczciwsppodwtirliter"/>
    <w:next w:val="TIRtiret"/>
    <w:uiPriority w:val="79"/>
    <w:qFormat/>
    <w:rsid w:val="00543D22"/>
  </w:style>
  <w:style w:type="paragraph" w:customStyle="1" w:styleId="ZZ2TIRzmianazmpodwtir">
    <w:name w:val="ZZ/2TIR – zmiana zm. podw. tir."/>
    <w:basedOn w:val="ZZCZWSP2TIRzmianazmczciwsppodwtir"/>
    <w:uiPriority w:val="93"/>
    <w:qFormat/>
    <w:rsid w:val="00543D22"/>
    <w:pPr>
      <w:ind w:left="2291" w:hanging="397"/>
    </w:pPr>
  </w:style>
  <w:style w:type="paragraph" w:customStyle="1" w:styleId="ZCZWSPLITzmczciwsplitartykuempunktem">
    <w:name w:val="Z/CZ_WSP_LIT – zm. części wsp. lit. artykułem (punktem)"/>
    <w:basedOn w:val="ZCZWSPPKTzmczciwsppktartykuempunktem"/>
    <w:next w:val="PKTpunkt"/>
    <w:uiPriority w:val="35"/>
    <w:qFormat/>
    <w:rsid w:val="00543D22"/>
  </w:style>
  <w:style w:type="paragraph" w:customStyle="1" w:styleId="ZCZWSPTIRzmczciwsptirartykuempunktem">
    <w:name w:val="Z/CZ_WSP_TIR – zm. części wsp. tir. artykułem (punktem)"/>
    <w:basedOn w:val="ZCZWSPPKTzmczciwsppktartykuempunktem"/>
    <w:next w:val="PKTpunkt"/>
    <w:uiPriority w:val="35"/>
    <w:qFormat/>
    <w:rsid w:val="00543D22"/>
  </w:style>
  <w:style w:type="paragraph" w:customStyle="1" w:styleId="ZLITCZWSPLITzmczciwsplitliter">
    <w:name w:val="Z_LIT/CZ_WSP_LIT – zm. części wsp. lit. literą"/>
    <w:basedOn w:val="ZLITCZWSPPKTzmczciwsppktliter"/>
    <w:next w:val="LITlitera"/>
    <w:uiPriority w:val="51"/>
    <w:qFormat/>
    <w:rsid w:val="00543D22"/>
  </w:style>
  <w:style w:type="paragraph" w:customStyle="1" w:styleId="ZLITCZWSPTIRzmczciwsptirliter">
    <w:name w:val="Z_LIT/CZ_WSP_TIR – zm. części wsp. tir. literą"/>
    <w:basedOn w:val="ZLITCZWSPPKTzmczciwsppktliter"/>
    <w:next w:val="LITlitera"/>
    <w:uiPriority w:val="51"/>
    <w:qFormat/>
    <w:rsid w:val="00543D22"/>
  </w:style>
  <w:style w:type="paragraph" w:customStyle="1" w:styleId="ZTIRCZWSPLITzmczciwsplittiret">
    <w:name w:val="Z_TIR/CZ_WSP_LIT – zm. części wsp. lit. tiret"/>
    <w:basedOn w:val="ZTIRCZWSPPKTzmczciwsppkttiret"/>
    <w:next w:val="TIRtiret"/>
    <w:uiPriority w:val="59"/>
    <w:qFormat/>
    <w:rsid w:val="00543D22"/>
  </w:style>
  <w:style w:type="paragraph" w:customStyle="1" w:styleId="ZTIRCZWSPTIRzmczciwsptirtiret">
    <w:name w:val="Z_TIR/CZ_WSP_TIR – zm. części wsp. tir. tiret"/>
    <w:basedOn w:val="ZTIRCZWSPPKTzmczciwsppkttiret"/>
    <w:next w:val="TIRtiret"/>
    <w:uiPriority w:val="60"/>
    <w:qFormat/>
    <w:rsid w:val="00543D22"/>
  </w:style>
  <w:style w:type="paragraph" w:customStyle="1" w:styleId="ZZCZWSPLITzmianazmczciwsplit">
    <w:name w:val="ZZ/CZ_WSP_LIT – zmiana. zm. części wsp. lit."/>
    <w:basedOn w:val="ZZCZWSPPKTzmianazmczciwsppkt"/>
    <w:uiPriority w:val="69"/>
    <w:qFormat/>
    <w:rsid w:val="00543D22"/>
  </w:style>
  <w:style w:type="paragraph" w:customStyle="1" w:styleId="ZZCZWSPTIRzmianazmczciwsptir">
    <w:name w:val="ZZ/CZ_WSP_TIR – zmiana. zm. części wsp. tir."/>
    <w:basedOn w:val="ZZCZWSPPKTzmianazmczciwsppkt"/>
    <w:uiPriority w:val="69"/>
    <w:qFormat/>
    <w:rsid w:val="00543D22"/>
  </w:style>
  <w:style w:type="paragraph" w:customStyle="1" w:styleId="Z2TIRCZWSPTIRzmczciwsptirpodwjnymtiret">
    <w:name w:val="Z_2TIR/CZ_WSP_TIR – zm. części wsp. tir. podwójnym tiret"/>
    <w:basedOn w:val="Z2TIRCZWSPLITzmczciwsplitpodwjnymtiret"/>
    <w:next w:val="2TIRpodwjnytiret"/>
    <w:uiPriority w:val="87"/>
    <w:qFormat/>
    <w:rsid w:val="00543D22"/>
  </w:style>
  <w:style w:type="paragraph" w:customStyle="1" w:styleId="Z2TIRCZWSP2TIRzmczciwsppodwtirpodwjnymtiret">
    <w:name w:val="Z_2TIR/CZ_WSP_2TIR – zm. części wsp. podw. tir. podwójnym tiret"/>
    <w:basedOn w:val="Z2TIRCZWSPLITzmczciwsplitpodwjnymtiret"/>
    <w:next w:val="2TIRpodwjnytiret"/>
    <w:uiPriority w:val="88"/>
    <w:qFormat/>
    <w:rsid w:val="00543D22"/>
  </w:style>
  <w:style w:type="paragraph" w:customStyle="1" w:styleId="ZUSTzmustartykuempunktem">
    <w:name w:val="Z/UST(§) – zm. ust. (§) artykułem (punktem)"/>
    <w:basedOn w:val="ZARTzmartartykuempunktem"/>
    <w:uiPriority w:val="30"/>
    <w:qFormat/>
    <w:rsid w:val="00543D22"/>
  </w:style>
  <w:style w:type="paragraph" w:customStyle="1" w:styleId="ZZUSTzmianazmust">
    <w:name w:val="ZZ/UST(§) – zmiana zm. ust. (§)"/>
    <w:basedOn w:val="ZZARTzmianazmart"/>
    <w:uiPriority w:val="65"/>
    <w:qFormat/>
    <w:rsid w:val="00543D22"/>
  </w:style>
  <w:style w:type="paragraph" w:customStyle="1" w:styleId="TYTDZPRZEDMprzedmiotregulacjitytuulubdziau">
    <w:name w:val="TYT(DZ)_PRZEDM – przedmiot regulacji tytułu lub działu"/>
    <w:next w:val="ARTartustawynprozporzdzenia"/>
    <w:uiPriority w:val="9"/>
    <w:qFormat/>
    <w:rsid w:val="00543D22"/>
    <w:pPr>
      <w:keepNext/>
      <w:suppressAutoHyphens/>
      <w:spacing w:before="120" w:after="0" w:line="360" w:lineRule="auto"/>
      <w:jc w:val="center"/>
    </w:pPr>
    <w:rPr>
      <w:rFonts w:ascii="Times" w:eastAsia="Times New Roman" w:hAnsi="Times" w:cs="Times New Roman"/>
      <w:b/>
      <w:sz w:val="24"/>
      <w:szCs w:val="26"/>
      <w:lang w:eastAsia="pl-PL"/>
    </w:rPr>
  </w:style>
  <w:style w:type="paragraph" w:customStyle="1" w:styleId="ZNIEARTTEKSTzmtekstunieartykuowanego">
    <w:name w:val="Z/NIEART_TEKST – zm. tekstu nieartykułowanego"/>
    <w:basedOn w:val="NIEARTTEKSTtekstnieartykuowanynppodstprawnarozplubpreambua"/>
    <w:uiPriority w:val="37"/>
    <w:qFormat/>
    <w:rsid w:val="00543D22"/>
    <w:pPr>
      <w:ind w:left="510"/>
    </w:pPr>
  </w:style>
  <w:style w:type="paragraph" w:customStyle="1" w:styleId="ZZCZCIKSIGIzmianazmozniprzedmczciksigiartykuempunktem">
    <w:name w:val="ZZ/CZĘŚCI(KSIĘGI) – zmiana zm. ozn. i przedm. części (księgi) artykułem (punktem)"/>
    <w:basedOn w:val="ZCZCIKSIGIzmozniprzedmczciksigiartykuempunktem"/>
    <w:next w:val="ZZARTzmianazmart"/>
    <w:uiPriority w:val="63"/>
    <w:qFormat/>
    <w:rsid w:val="00543D22"/>
    <w:pPr>
      <w:spacing w:before="0"/>
      <w:ind w:left="1894"/>
    </w:pPr>
  </w:style>
  <w:style w:type="paragraph" w:customStyle="1" w:styleId="ZZTYTDZOZNzmianazmozntytuudziauartykuempunktem">
    <w:name w:val="ZZ/TYT(DZ)_OZN – zmiana zm. ozn. tytułu (działu) artykułem (punktem)"/>
    <w:basedOn w:val="ZTYTDZOZNzmozntytuudziauartykuempunktem"/>
    <w:next w:val="ZZARTzmianazmart"/>
    <w:uiPriority w:val="63"/>
    <w:qFormat/>
    <w:rsid w:val="00543D22"/>
    <w:pPr>
      <w:ind w:left="1894"/>
    </w:pPr>
  </w:style>
  <w:style w:type="paragraph" w:customStyle="1" w:styleId="ZZTYTDZPRZEDMzmianazmprzedmtytuulubdziauartykuempunktem">
    <w:name w:val="ZZ/TYT(DZ)_PRZEDM – zmiana zm. przedm. tytułu lub działu artykułem (punktem)"/>
    <w:basedOn w:val="ZTYTDZPRZEDMzmprzedmtytuulubdziauartykuempunktem"/>
    <w:next w:val="ZZARTzmianazmart"/>
    <w:uiPriority w:val="63"/>
    <w:qFormat/>
    <w:rsid w:val="00543D22"/>
    <w:pPr>
      <w:ind w:left="1894"/>
    </w:pPr>
  </w:style>
  <w:style w:type="paragraph" w:customStyle="1" w:styleId="ZZROZDZODDZOZNzmianazmoznrozdzoddzartykuempunktem">
    <w:name w:val="ZZ/ROZDZ(ODDZ)_OZN – zmiana zm. ozn. rozdz. (oddz.) artykułem (punktem)"/>
    <w:basedOn w:val="ZROZDZODDZOZNzmoznrozdzoddzartykuempunktem"/>
    <w:next w:val="ZZROZDZODDZPRZEDMzmianazmprzedmrozdzoddzartykuempunktem"/>
    <w:uiPriority w:val="64"/>
    <w:qFormat/>
    <w:rsid w:val="00543D22"/>
    <w:pPr>
      <w:ind w:left="1894"/>
    </w:pPr>
  </w:style>
  <w:style w:type="paragraph" w:customStyle="1" w:styleId="ZZROZDZODDZPRZEDMzmianazmprzedmrozdzoddzartykuempunktem">
    <w:name w:val="ZZ/ROZDZ(ODDZ)_PRZEDM – zmiana zm. przedm. rozdz. (oddz.) artykułem (punktem)"/>
    <w:basedOn w:val="ZROZDZODDZPRZEDMzmprzedmrozdzoddzartykuempunktem"/>
    <w:next w:val="ZZARTzmianazmart"/>
    <w:uiPriority w:val="64"/>
    <w:qFormat/>
    <w:rsid w:val="00543D22"/>
    <w:pPr>
      <w:ind w:left="1894"/>
    </w:pPr>
  </w:style>
  <w:style w:type="paragraph" w:customStyle="1" w:styleId="P1wTABELIpoziom1numeracjiwtabeli">
    <w:name w:val="P1_w_TABELI – poziom 1 numeracji w tabeli"/>
    <w:basedOn w:val="PKTpunkt"/>
    <w:uiPriority w:val="24"/>
    <w:qFormat/>
    <w:rsid w:val="00543D22"/>
    <w:pPr>
      <w:ind w:left="397" w:hanging="397"/>
    </w:pPr>
    <w:rPr>
      <w:kern w:val="24"/>
    </w:rPr>
  </w:style>
  <w:style w:type="paragraph" w:customStyle="1" w:styleId="CZWSPP1wTABELIczwsppoziomu1numeracjiwtabeli">
    <w:name w:val="CZ_WSP_P1_w_TABELI – część wsp. poziomu 1 numeracji w tabeli"/>
    <w:basedOn w:val="P1wTABELIpoziom1numeracjiwtabeli"/>
    <w:next w:val="Normalny"/>
    <w:uiPriority w:val="25"/>
    <w:qFormat/>
    <w:rsid w:val="00543D22"/>
    <w:pPr>
      <w:ind w:left="0" w:firstLine="0"/>
    </w:pPr>
  </w:style>
  <w:style w:type="paragraph" w:customStyle="1" w:styleId="P2wTABELIpoziom2numeracjiwtabeli">
    <w:name w:val="P2_w_TABELI – poziom 2 numeracji w tabeli"/>
    <w:basedOn w:val="P1wTABELIpoziom1numeracjiwtabeli"/>
    <w:uiPriority w:val="24"/>
    <w:qFormat/>
    <w:rsid w:val="00543D22"/>
    <w:pPr>
      <w:ind w:left="794"/>
    </w:pPr>
  </w:style>
  <w:style w:type="paragraph" w:customStyle="1" w:styleId="P3wTABELIpoziom3numeracjiwtabeli">
    <w:name w:val="P3_w_TABELI – poziom 3 numeracji w tabeli"/>
    <w:basedOn w:val="P2wTABELIpoziom2numeracjiwtabeli"/>
    <w:uiPriority w:val="24"/>
    <w:qFormat/>
    <w:rsid w:val="00543D22"/>
    <w:pPr>
      <w:ind w:left="1191"/>
    </w:pPr>
  </w:style>
  <w:style w:type="paragraph" w:customStyle="1" w:styleId="CZWSPP2wTABELIczwsppoziomu2numeracjiwtabeli">
    <w:name w:val="CZ_WSP_P2_w_TABELI – część wsp. poziomu 2 numeracji w tabeli"/>
    <w:basedOn w:val="CZWSPP1wTABELIczwsppoziomu1numeracjiwtabeli"/>
    <w:next w:val="Normalny"/>
    <w:uiPriority w:val="25"/>
    <w:qFormat/>
    <w:rsid w:val="00543D22"/>
    <w:pPr>
      <w:ind w:left="397"/>
    </w:pPr>
  </w:style>
  <w:style w:type="paragraph" w:customStyle="1" w:styleId="CZWSPP3wTABELIczwsppoziomu3numeracjiwtabeli">
    <w:name w:val="CZ_WSP_P3_w_TABELI – część wsp. poziomu 3 numeracji w tabeli"/>
    <w:basedOn w:val="CZWSPP2wTABELIczwsppoziomu2numeracjiwtabeli"/>
    <w:uiPriority w:val="25"/>
    <w:qFormat/>
    <w:rsid w:val="00543D22"/>
    <w:pPr>
      <w:ind w:left="794"/>
    </w:pPr>
  </w:style>
  <w:style w:type="paragraph" w:customStyle="1" w:styleId="CZWSPP4wTABELIczwsppoziomu4numeracjiwtabeli">
    <w:name w:val="CZ_WSP_P4_w_TABELI – część wsp. poziomu 4 numeracji w tabeli"/>
    <w:basedOn w:val="CZWSPP3wTABELIczwsppoziomu3numeracjiwtabeli"/>
    <w:uiPriority w:val="25"/>
    <w:qFormat/>
    <w:rsid w:val="00543D22"/>
    <w:pPr>
      <w:ind w:left="1191"/>
    </w:pPr>
  </w:style>
  <w:style w:type="paragraph" w:customStyle="1" w:styleId="P4wTABELIpoziom4numeracjiwtabeli">
    <w:name w:val="P4_w_TABELI – poziom 4 numeracji w tabeli"/>
    <w:basedOn w:val="P3wTABELIpoziom3numeracjiwtabeli"/>
    <w:uiPriority w:val="24"/>
    <w:qFormat/>
    <w:rsid w:val="00543D22"/>
    <w:pPr>
      <w:ind w:left="1588"/>
    </w:pPr>
  </w:style>
  <w:style w:type="paragraph" w:customStyle="1" w:styleId="TYTTABELItytutabeli">
    <w:name w:val="TYT_TABELI – tytuł tabeli"/>
    <w:basedOn w:val="TYTDZOZNoznaczenietytuulubdziau"/>
    <w:uiPriority w:val="22"/>
    <w:qFormat/>
    <w:rsid w:val="00543D22"/>
    <w:rPr>
      <w:b/>
    </w:rPr>
  </w:style>
  <w:style w:type="paragraph" w:customStyle="1" w:styleId="OZNPROJEKTUwskazaniedatylubwersjiprojektu">
    <w:name w:val="OZN_PROJEKTU – wskazanie daty lub wersji projektu"/>
    <w:next w:val="OZNRODZAKTUtznustawalubrozporzdzenieiorganwydajcy"/>
    <w:uiPriority w:val="5"/>
    <w:qFormat/>
    <w:rsid w:val="00543D22"/>
    <w:pPr>
      <w:spacing w:after="0" w:line="360" w:lineRule="auto"/>
      <w:jc w:val="right"/>
    </w:pPr>
    <w:rPr>
      <w:rFonts w:ascii="Times New Roman" w:eastAsiaTheme="minorEastAsia" w:hAnsi="Times New Roman" w:cs="Arial"/>
      <w:sz w:val="24"/>
      <w:szCs w:val="20"/>
      <w:u w:val="single"/>
      <w:lang w:eastAsia="pl-PL"/>
    </w:rPr>
  </w:style>
  <w:style w:type="paragraph" w:customStyle="1" w:styleId="NAZORGWYDnazwaorganuwydajcegoprojektowanyakt">
    <w:name w:val="NAZ_ORG_WYD – nazwa organu wydającego projektowany akt"/>
    <w:basedOn w:val="OZNRODZAKTUtznustawalubrozporzdzenieiorganwydajcy"/>
    <w:uiPriority w:val="27"/>
    <w:qFormat/>
    <w:rsid w:val="00543D22"/>
    <w:pPr>
      <w:ind w:left="4820"/>
    </w:pPr>
    <w:rPr>
      <w:spacing w:val="0"/>
    </w:rPr>
  </w:style>
  <w:style w:type="paragraph" w:customStyle="1" w:styleId="NAZORGWPOROZUMIENIUnazwaorganuwporozumieniuzktrymaktjestwydawany">
    <w:name w:val="NAZ_ORG_W_POROZUMIENIU – nazwa organu w porozumieniu z którym akt jest wydawany"/>
    <w:basedOn w:val="NAZORGWYDnazwaorganuwydajcegoprojektowanyakt"/>
    <w:uiPriority w:val="28"/>
    <w:qFormat/>
    <w:rsid w:val="00543D22"/>
    <w:pPr>
      <w:ind w:left="0" w:right="4820"/>
      <w:jc w:val="left"/>
    </w:pPr>
  </w:style>
  <w:style w:type="paragraph" w:customStyle="1" w:styleId="TEKSTwporozumieniu">
    <w:name w:val="TEKST&quot;w porozumieniu:&quot;"/>
    <w:next w:val="NAZORGWPOROZUMIENIUnazwaorganuwporozumieniuzktrymaktjestwydawany"/>
    <w:uiPriority w:val="27"/>
    <w:qFormat/>
    <w:rsid w:val="00543D22"/>
    <w:pPr>
      <w:spacing w:after="0" w:line="360" w:lineRule="auto"/>
    </w:pPr>
    <w:rPr>
      <w:rFonts w:ascii="Times New Roman" w:eastAsiaTheme="minorEastAsia" w:hAnsi="Times New Roman" w:cs="Arial"/>
      <w:b/>
      <w:sz w:val="24"/>
      <w:szCs w:val="20"/>
      <w:lang w:eastAsia="pl-PL"/>
    </w:rPr>
  </w:style>
  <w:style w:type="paragraph" w:customStyle="1" w:styleId="CZWSPPKTODNONIKAczwsppunkwodnonika">
    <w:name w:val="CZ_WSP_PKT_ODNOŚNIKA – część wsp. punków odnośnika"/>
    <w:basedOn w:val="PKTODNONIKApunktodnonika"/>
    <w:uiPriority w:val="21"/>
    <w:qFormat/>
    <w:rsid w:val="00543D22"/>
    <w:pPr>
      <w:ind w:left="284" w:firstLine="0"/>
    </w:pPr>
  </w:style>
  <w:style w:type="paragraph" w:customStyle="1" w:styleId="ZCZWSPPKTODNONIKAzmczciwsppktodnonikaartykuempunktem">
    <w:name w:val="Z/CZ_WSP_PKT_ODNOŚNIKA – zm. części wsp. pkt odnośnika artykułem (punktem)"/>
    <w:basedOn w:val="ZPKTODNONIKAzmpktodnonikaartykuempunktem"/>
    <w:next w:val="PKTpunkt"/>
    <w:uiPriority w:val="41"/>
    <w:qFormat/>
    <w:rsid w:val="00543D22"/>
    <w:pPr>
      <w:ind w:left="510" w:firstLine="0"/>
    </w:pPr>
  </w:style>
  <w:style w:type="paragraph" w:customStyle="1" w:styleId="NOTATKILEGISLATORA">
    <w:name w:val="NOTATKI_LEGISLATORA"/>
    <w:basedOn w:val="Normalny"/>
    <w:uiPriority w:val="5"/>
    <w:qFormat/>
    <w:rsid w:val="00543D22"/>
    <w:pPr>
      <w:widowControl w:val="0"/>
      <w:autoSpaceDE w:val="0"/>
      <w:autoSpaceDN w:val="0"/>
      <w:adjustRightInd w:val="0"/>
      <w:spacing w:after="0" w:line="360" w:lineRule="auto"/>
      <w:jc w:val="both"/>
    </w:pPr>
    <w:rPr>
      <w:rFonts w:ascii="Times New Roman" w:eastAsiaTheme="minorEastAsia" w:hAnsi="Times New Roman" w:cs="Arial"/>
      <w:b/>
      <w:i/>
      <w:sz w:val="24"/>
      <w:szCs w:val="20"/>
      <w:lang w:eastAsia="pl-PL"/>
    </w:rPr>
  </w:style>
  <w:style w:type="paragraph" w:customStyle="1" w:styleId="OZNZACZNIKAwskazanienrzacznika">
    <w:name w:val="OZN_ZAŁĄCZNIKA – wskazanie nr załącznika"/>
    <w:basedOn w:val="OZNPROJEKTUwskazaniedatylubwersjiprojektu"/>
    <w:uiPriority w:val="28"/>
    <w:qFormat/>
    <w:rsid w:val="00543D22"/>
    <w:pPr>
      <w:keepNext/>
    </w:pPr>
    <w:rPr>
      <w:b/>
      <w:u w:val="none"/>
    </w:rPr>
  </w:style>
  <w:style w:type="paragraph" w:customStyle="1" w:styleId="OZNPARAFYADNOTACJE">
    <w:name w:val="OZN_PARAFY(ADNOTACJE)"/>
    <w:basedOn w:val="ODNONIKtreodnonika"/>
    <w:uiPriority w:val="26"/>
    <w:qFormat/>
    <w:rsid w:val="00543D22"/>
  </w:style>
  <w:style w:type="paragraph" w:customStyle="1" w:styleId="TEKSTZacznikido">
    <w:name w:val="TEKST&quot;Załącznik(i) do ...&quot;"/>
    <w:uiPriority w:val="28"/>
    <w:qFormat/>
    <w:rsid w:val="00543D22"/>
    <w:pPr>
      <w:keepNext/>
      <w:spacing w:after="240" w:line="240" w:lineRule="auto"/>
      <w:ind w:left="5670"/>
      <w:contextualSpacing/>
    </w:pPr>
    <w:rPr>
      <w:rFonts w:ascii="Times New Roman" w:eastAsiaTheme="minorEastAsia" w:hAnsi="Times New Roman" w:cs="Arial"/>
      <w:sz w:val="24"/>
      <w:szCs w:val="20"/>
      <w:lang w:eastAsia="pl-PL"/>
    </w:rPr>
  </w:style>
  <w:style w:type="paragraph" w:customStyle="1" w:styleId="LITODNONIKAliteraodnonika">
    <w:name w:val="LIT_ODNOŚNIKA – litera odnośnika"/>
    <w:basedOn w:val="PKTODNONIKApunktodnonika"/>
    <w:uiPriority w:val="20"/>
    <w:qFormat/>
    <w:rsid w:val="00543D22"/>
    <w:pPr>
      <w:ind w:left="851"/>
    </w:pPr>
  </w:style>
  <w:style w:type="paragraph" w:customStyle="1" w:styleId="CZWSPLITODNONIKAczwspliterodnonika">
    <w:name w:val="CZ_WSP_LIT_ODNOŚNIKA – część wsp. liter odnośnika"/>
    <w:basedOn w:val="LITODNONIKAliteraodnonika"/>
    <w:uiPriority w:val="22"/>
    <w:qFormat/>
    <w:rsid w:val="00543D22"/>
    <w:pPr>
      <w:ind w:left="567" w:firstLine="0"/>
    </w:pPr>
  </w:style>
  <w:style w:type="paragraph" w:customStyle="1" w:styleId="PKTOTJpunktobwieszczeniatekstujednolitegonp1">
    <w:name w:val="PKT_OTJ – punkt obwieszczenia tekstu jednolitego np. &quot;1.&quot;"/>
    <w:basedOn w:val="ARTartustawynprozporzdzenia"/>
    <w:uiPriority w:val="98"/>
    <w:semiHidden/>
    <w:qFormat/>
    <w:rsid w:val="00543D22"/>
    <w:pPr>
      <w:ind w:left="-510"/>
    </w:pPr>
  </w:style>
  <w:style w:type="paragraph" w:customStyle="1" w:styleId="PPKTOTJpodpunktwobwieszczeniutekstujednolitegonp1">
    <w:name w:val="PPKT_OTJ – podpunkt w obwieszczeniu tekstu jednolitego np. &quot;1)&quot;"/>
    <w:basedOn w:val="PKTOTJpunktobwieszczeniatekstujednolitegonp1"/>
    <w:uiPriority w:val="98"/>
    <w:semiHidden/>
    <w:qFormat/>
    <w:rsid w:val="00543D22"/>
    <w:pPr>
      <w:ind w:left="0" w:hanging="510"/>
    </w:pPr>
  </w:style>
  <w:style w:type="paragraph" w:customStyle="1" w:styleId="CZWSPPPKTOTJczwsppodpunktwwobwieszczeniutekstujednolitego">
    <w:name w:val="CZ_WSP_PPKT_OTJ – część wsp. podpunktów w obwieszczeniu tekstu jednolitego"/>
    <w:basedOn w:val="PPKTOTJpodpunktwobwieszczeniutekstujednolitegonp1"/>
    <w:uiPriority w:val="99"/>
    <w:semiHidden/>
    <w:qFormat/>
    <w:rsid w:val="00543D22"/>
    <w:pPr>
      <w:ind w:left="-510" w:firstLine="0"/>
    </w:pPr>
  </w:style>
  <w:style w:type="paragraph" w:customStyle="1" w:styleId="TEKSTOBWIESZCZENIENAZWAORGANUWYDAJCEGOOTJ">
    <w:name w:val="TEKST&quot;OBWIESZCZENIE&quot;(NAZWA_ORGANU_WYDAJĄCEGO_OTJ)"/>
    <w:basedOn w:val="OZNRODZAKTUtznustawalubrozporzdzenieiorganwydajcy"/>
    <w:uiPriority w:val="96"/>
    <w:semiHidden/>
    <w:qFormat/>
    <w:rsid w:val="00543D22"/>
    <w:pPr>
      <w:ind w:left="-510"/>
    </w:pPr>
  </w:style>
  <w:style w:type="paragraph" w:customStyle="1" w:styleId="DATAOTJdatawydaniaobwieszczeniatekstujednolitego">
    <w:name w:val="DATA_OTJ – data wydania obwieszczenia tekstu jednolitego"/>
    <w:basedOn w:val="DATAAKTUdatauchwalenialubwydaniaaktu"/>
    <w:uiPriority w:val="97"/>
    <w:semiHidden/>
    <w:qFormat/>
    <w:rsid w:val="00543D22"/>
    <w:pPr>
      <w:ind w:left="-510"/>
    </w:pPr>
  </w:style>
  <w:style w:type="paragraph" w:customStyle="1" w:styleId="TYTUOTJprzedmiotobwieszczeniatekstujednolitego">
    <w:name w:val="TYTUŁ_OTJ – przedmiot obwieszczenia tekstu jednolitego"/>
    <w:basedOn w:val="TYTUAKTUprzedmiotregulacjiustawylubrozporzdzenia"/>
    <w:uiPriority w:val="97"/>
    <w:semiHidden/>
    <w:qFormat/>
    <w:rsid w:val="00543D22"/>
    <w:pPr>
      <w:ind w:left="-510"/>
    </w:pPr>
  </w:style>
  <w:style w:type="paragraph" w:customStyle="1" w:styleId="ZLITODNONIKAzmlitodnonikaartykuempunktem">
    <w:name w:val="Z/LIT_ODNOŚNIKA – zm. lit. odnośnika artykułem (punktem)"/>
    <w:basedOn w:val="ZPKTODNONIKAzmpktodnonikaartykuempunktem"/>
    <w:next w:val="PKTpunkt"/>
    <w:uiPriority w:val="40"/>
    <w:qFormat/>
    <w:rsid w:val="00543D22"/>
  </w:style>
  <w:style w:type="paragraph" w:customStyle="1" w:styleId="ZLITwPKTODNONIKAzmlitwpktodnonikaartykuempunktem">
    <w:name w:val="Z/LIT_w_PKT_ODNOŚNIKA – zm. lit. w pkt odnośnika artykułem (punktem)"/>
    <w:basedOn w:val="ZLITODNONIKAzmlitodnonikaartykuempunktem"/>
    <w:uiPriority w:val="40"/>
    <w:qFormat/>
    <w:rsid w:val="00543D22"/>
    <w:pPr>
      <w:ind w:left="1304"/>
    </w:pPr>
  </w:style>
  <w:style w:type="paragraph" w:customStyle="1" w:styleId="ZLITwPKTwODNONIKUzmlitwpktwzmienianymodnonikuartykuempunktem">
    <w:name w:val="Z/LIT_w_PKT_w_ODNOŚNIKU – zm. lit. w pkt w zmienianym odnośniku artykułem (punktem)"/>
    <w:basedOn w:val="ZPKTwODNONIKUzmpktwzmienianymodnonikuartykuempunktem"/>
    <w:uiPriority w:val="40"/>
    <w:qFormat/>
    <w:rsid w:val="00543D22"/>
    <w:pPr>
      <w:ind w:left="1701"/>
    </w:pPr>
  </w:style>
  <w:style w:type="paragraph" w:customStyle="1" w:styleId="ZCZWSPLITODNONIKAzmczciwsplitodnonikaartykuempunktem">
    <w:name w:val="Z/CZ_WSP_LIT_ODNOŚNIKA – zm. części wsp. lit odnośnika artykułem (punktem)"/>
    <w:basedOn w:val="ZCZWSPPKTODNONIKAzmczciwsppktodnonikaartykuempunktem"/>
    <w:next w:val="PKTpunkt"/>
    <w:uiPriority w:val="42"/>
    <w:qFormat/>
    <w:rsid w:val="00543D22"/>
  </w:style>
  <w:style w:type="paragraph" w:customStyle="1" w:styleId="ZCZWSPLITwPKTODNONIKAzmczciwsplitwpktodnonikaartykuempunktem">
    <w:name w:val="Z/CZ_WSP_LIT_w_PKT_ODNOŚNIKA – zm. części wsp. lit. w pkt odnośnika artykułem (punktem)"/>
    <w:basedOn w:val="ZCZWSPLITODNONIKAzmczciwsplitodnonikaartykuempunktem"/>
    <w:uiPriority w:val="42"/>
    <w:qFormat/>
    <w:rsid w:val="00543D22"/>
    <w:pPr>
      <w:ind w:left="907"/>
    </w:pPr>
  </w:style>
  <w:style w:type="paragraph" w:customStyle="1" w:styleId="ZCZWSPPKTwODNONIKUzmczciwsppktwzmienianymodnonikuartykuempunktem">
    <w:name w:val="Z/CZ_WSP_PKT_w_ODNOŚNIKU – zm. części wsp. pkt w zmienianym odnośniku artykułem (punktem)"/>
    <w:basedOn w:val="ZCZWSPPKTODNONIKAzmczciwsppktodnonikaartykuempunktem"/>
    <w:uiPriority w:val="41"/>
    <w:qFormat/>
    <w:rsid w:val="00543D22"/>
    <w:pPr>
      <w:ind w:left="907"/>
    </w:pPr>
  </w:style>
  <w:style w:type="paragraph" w:customStyle="1" w:styleId="ZCZWSPLITwPKTwODNONIKUzmczciwsplitwpktwzmienianymodnonikuartykuempunktem">
    <w:name w:val="Z/CZ_WSP_LIT_w_PKT_w_ODNOŚNIKU – zm. części wsp. lit. w pkt w zmienianym odnośniku artykułem (punktem)"/>
    <w:basedOn w:val="ZCZWSPPKTwODNONIKUzmczciwsppktwzmienianymodnonikuartykuempunktem"/>
    <w:uiPriority w:val="42"/>
    <w:qFormat/>
    <w:rsid w:val="00543D22"/>
    <w:pPr>
      <w:ind w:left="1304"/>
    </w:pPr>
  </w:style>
  <w:style w:type="paragraph" w:customStyle="1" w:styleId="ZDANIENASTNOWYWIERSZnpzddrugienowywierszwust">
    <w:name w:val="ZDANIE_NAST_NOWY_WIERSZ – np. zd. drugie (nowy wiersz) w ust."/>
    <w:basedOn w:val="CZWSPPKTczwsplnapunktw"/>
    <w:next w:val="USTustnpkodeksu"/>
    <w:uiPriority w:val="17"/>
    <w:qFormat/>
    <w:rsid w:val="00543D22"/>
  </w:style>
  <w:style w:type="paragraph" w:customStyle="1" w:styleId="ZZFRAGzmianazmfragmentunpzdania">
    <w:name w:val="ZZ/FRAG – zmiana zm. fragmentu (np. zdania)"/>
    <w:basedOn w:val="ZZCZWSPPKTzmianazmczciwsppkt"/>
    <w:uiPriority w:val="70"/>
    <w:qFormat/>
    <w:rsid w:val="00543D22"/>
  </w:style>
  <w:style w:type="paragraph" w:customStyle="1" w:styleId="Z2TIRPKTzmpktpodwjnymtiret">
    <w:name w:val="Z_2TIR/PKT – zm. pkt podwójnym tiret"/>
    <w:basedOn w:val="Z2TIRLITzmlitpodwjnymtiret"/>
    <w:uiPriority w:val="83"/>
    <w:qFormat/>
    <w:rsid w:val="00543D22"/>
    <w:pPr>
      <w:ind w:left="2290" w:hanging="510"/>
    </w:pPr>
    <w:rPr>
      <w:rFonts w:ascii="Times New Roman" w:hAnsi="Times New Roman"/>
    </w:rPr>
  </w:style>
  <w:style w:type="paragraph" w:customStyle="1" w:styleId="Z2TIRLITwPKTzmlitwpktpodwjnymtiret">
    <w:name w:val="Z_2TIR/LIT_w_PKT – zm. lit. w pkt podwójnym tiret"/>
    <w:basedOn w:val="Z2TIRLITzmlitpodwjnymtiret"/>
    <w:uiPriority w:val="84"/>
    <w:qFormat/>
    <w:rsid w:val="00543D22"/>
    <w:pPr>
      <w:ind w:left="2767"/>
    </w:pPr>
    <w:rPr>
      <w:rFonts w:ascii="Times New Roman" w:hAnsi="Times New Roman"/>
    </w:rPr>
  </w:style>
  <w:style w:type="paragraph" w:customStyle="1" w:styleId="Z2TIRTIRwPKTzmtirwpktpodwjnymtiret">
    <w:name w:val="Z_2TIR/TIR_w_PKT – zm. tir. w pkt podwójnym tiret"/>
    <w:basedOn w:val="Z2TIRTIRwLITzmtirwlitpodwjnymtiret"/>
    <w:uiPriority w:val="84"/>
    <w:qFormat/>
    <w:rsid w:val="00543D22"/>
    <w:pPr>
      <w:ind w:left="3164"/>
    </w:pPr>
    <w:rPr>
      <w:rFonts w:ascii="Times New Roman" w:hAnsi="Times New Roman"/>
      <w:lang w:val="en-US"/>
    </w:rPr>
  </w:style>
  <w:style w:type="paragraph" w:customStyle="1" w:styleId="Z2TIR2TIRwPKTzmpodwtirwpktpodwjnymtiret">
    <w:name w:val="Z_2TIR/2TIR_w_PKT – zm. podw. tir. w pkt podwójnym tiret"/>
    <w:basedOn w:val="Z2TIR2TIRwLITzmpodwtirwlitpodwjnymtiret"/>
    <w:uiPriority w:val="86"/>
    <w:qFormat/>
    <w:rsid w:val="00543D22"/>
    <w:pPr>
      <w:ind w:left="3561"/>
    </w:pPr>
    <w:rPr>
      <w:rFonts w:ascii="Times New Roman" w:hAnsi="Times New Roman"/>
      <w:lang w:val="en-US"/>
    </w:rPr>
  </w:style>
  <w:style w:type="paragraph" w:customStyle="1" w:styleId="Z2TIRARTzmartpodwjnymtiret">
    <w:name w:val="Z_2TIR/ART(§) – zm. art. (§) podwójnym tiret"/>
    <w:basedOn w:val="Z2TIRPKTzmpktpodwjnymtiret"/>
    <w:uiPriority w:val="82"/>
    <w:qFormat/>
    <w:rsid w:val="00543D22"/>
    <w:pPr>
      <w:ind w:left="1780" w:firstLine="510"/>
    </w:pPr>
  </w:style>
  <w:style w:type="paragraph" w:customStyle="1" w:styleId="Z2TIRUSTzmustpodwjnymtiret">
    <w:name w:val="Z_2TIR/UST(§) – zm. ust. (§) podwójnym tiret"/>
    <w:basedOn w:val="Z2TIRPKTzmpktpodwjnymtiret"/>
    <w:uiPriority w:val="82"/>
    <w:qFormat/>
    <w:rsid w:val="00543D22"/>
    <w:pPr>
      <w:ind w:left="1780" w:firstLine="510"/>
    </w:pPr>
  </w:style>
  <w:style w:type="paragraph" w:customStyle="1" w:styleId="Z2TIRCZWSP2TIRwPKTzmczciwsppodwtirwpktpodwjnymtiret">
    <w:name w:val="Z_2TIR/CZ_WSP_2TIR_w_PKT – zm. części wsp. podw. tir. w pkt podwójnym tiret"/>
    <w:basedOn w:val="Z2TIR2TIRwPKTzmpodwtirwpktpodwjnymtiret"/>
    <w:uiPriority w:val="89"/>
    <w:qFormat/>
    <w:rsid w:val="00543D22"/>
    <w:pPr>
      <w:ind w:left="3164" w:firstLine="0"/>
    </w:pPr>
  </w:style>
  <w:style w:type="paragraph" w:customStyle="1" w:styleId="Z2TIRCZWSPPKTzmczciwsppktpodwjnymtiret">
    <w:name w:val="Z_2TIR/CZ_WSP_PKT – zm. części wsp. pkt podwójnym tiret"/>
    <w:basedOn w:val="Z2TIRPKTzmpktpodwjnymtiret"/>
    <w:uiPriority w:val="86"/>
    <w:qFormat/>
    <w:rsid w:val="00543D22"/>
    <w:pPr>
      <w:ind w:left="1780" w:firstLine="0"/>
    </w:pPr>
  </w:style>
  <w:style w:type="paragraph" w:customStyle="1" w:styleId="Z2TIRCZWSPLITwPKTzmczciwsplitwpktpodwjnymtiret">
    <w:name w:val="Z_2TIR/CZ_WSP_LIT_w_PKT – zm. części wsp. lit. w pkt podwójnym tiret"/>
    <w:basedOn w:val="Z2TIRLITwPKTzmlitwpktpodwjnymtiret"/>
    <w:uiPriority w:val="87"/>
    <w:qFormat/>
    <w:rsid w:val="00543D22"/>
    <w:pPr>
      <w:ind w:left="2291" w:firstLine="0"/>
    </w:pPr>
  </w:style>
  <w:style w:type="paragraph" w:customStyle="1" w:styleId="Z2TIRCZWSPTIRwPKTzmczciwsptirwpktpodwjnymtiret">
    <w:name w:val="Z_2TIR/CZ_WSP_TIR_w_PKT – zm. części wsp. tir. w pkt podwójnym tiret"/>
    <w:basedOn w:val="Z2TIRTIRwPKTzmtirwpktpodwjnymtiret"/>
    <w:uiPriority w:val="87"/>
    <w:qFormat/>
    <w:rsid w:val="00543D22"/>
    <w:pPr>
      <w:ind w:left="2767" w:firstLine="0"/>
    </w:pPr>
  </w:style>
  <w:style w:type="paragraph" w:customStyle="1" w:styleId="ZLITARTzmartliter">
    <w:name w:val="Z_LIT/ART(§) – zm. art. (§) literą"/>
    <w:basedOn w:val="ZLITUSTzmustliter"/>
    <w:uiPriority w:val="46"/>
    <w:qFormat/>
    <w:rsid w:val="00543D22"/>
    <w:rPr>
      <w:rFonts w:ascii="Times New Roman" w:hAnsi="Times New Roman"/>
    </w:rPr>
  </w:style>
  <w:style w:type="paragraph" w:customStyle="1" w:styleId="ZTIRARTzmarttiret">
    <w:name w:val="Z_TIR/ART(§) – zm. art. (§) tiret"/>
    <w:basedOn w:val="ZTIRPKTzmpkttiret"/>
    <w:uiPriority w:val="55"/>
    <w:qFormat/>
    <w:rsid w:val="00543D22"/>
    <w:pPr>
      <w:ind w:left="1383" w:firstLine="510"/>
    </w:pPr>
    <w:rPr>
      <w:rFonts w:ascii="Times New Roman" w:hAnsi="Times New Roman"/>
    </w:rPr>
  </w:style>
  <w:style w:type="paragraph" w:customStyle="1" w:styleId="ZTIRUSTzmusttiret">
    <w:name w:val="Z_TIR/UST(§) – zm. ust. (§) tiret"/>
    <w:basedOn w:val="ZTIRARTzmarttiret"/>
    <w:uiPriority w:val="55"/>
    <w:qFormat/>
    <w:rsid w:val="00543D22"/>
  </w:style>
  <w:style w:type="paragraph" w:customStyle="1" w:styleId="ZLITKSIGIzmozniprzedmksigiliter">
    <w:name w:val="Z_LIT/KSIĘGI – zm. ozn. i przedm. księgi literą"/>
    <w:basedOn w:val="ZCZCIKSIGIzmozniprzedmczciksigiartykuempunktem"/>
    <w:uiPriority w:val="44"/>
    <w:qFormat/>
    <w:rsid w:val="00543D22"/>
    <w:pPr>
      <w:ind w:left="987"/>
    </w:pPr>
  </w:style>
  <w:style w:type="paragraph" w:customStyle="1" w:styleId="ZLITTYTDZOZNzmozntytuudziauliter">
    <w:name w:val="Z_LIT/TYT(DZ)_OZN – zm. ozn. tytułu (działu) literą"/>
    <w:basedOn w:val="ZTYTDZOZNzmozntytuudziauartykuempunktem"/>
    <w:next w:val="ZLITTYTDZPRZEDMzmprzedmtytuudziauliter"/>
    <w:uiPriority w:val="44"/>
    <w:qFormat/>
    <w:rsid w:val="00543D22"/>
    <w:pPr>
      <w:ind w:left="987"/>
    </w:pPr>
  </w:style>
  <w:style w:type="paragraph" w:customStyle="1" w:styleId="ZLITTYTDZPRZEDMzmprzedmtytuudziauliter">
    <w:name w:val="Z_LIT/TYT(DZ)_PRZEDM – zm. przedm. tytułu (działu) literą"/>
    <w:basedOn w:val="ZTYTDZPRZEDMzmprzedmtytuulubdziauartykuempunktem"/>
    <w:uiPriority w:val="44"/>
    <w:qFormat/>
    <w:rsid w:val="00543D22"/>
    <w:pPr>
      <w:ind w:left="987"/>
    </w:pPr>
  </w:style>
  <w:style w:type="paragraph" w:customStyle="1" w:styleId="ZLITROZDZODDZOZNzmoznrozdzoddzliter">
    <w:name w:val="Z_LIT/ROZDZ(ODDZ)_OZN – zm. ozn. rozdz. (oddz.) literą"/>
    <w:basedOn w:val="ZROZDZODDZOZNzmoznrozdzoddzartykuempunktem"/>
    <w:next w:val="ZLITROZDZODDZPRZEDMzmprzedmrozdzoddzliter"/>
    <w:uiPriority w:val="45"/>
    <w:qFormat/>
    <w:rsid w:val="00543D22"/>
    <w:pPr>
      <w:ind w:left="987"/>
    </w:pPr>
  </w:style>
  <w:style w:type="paragraph" w:customStyle="1" w:styleId="ZLITROZDZODDZPRZEDMzmprzedmrozdzoddzliter">
    <w:name w:val="Z_LIT/ROZDZ(ODDZ)_PRZEDM – zm. przedm. rozdz. (oddz.) literą"/>
    <w:basedOn w:val="ZROZDZODDZPRZEDMzmprzedmrozdzoddzartykuempunktem"/>
    <w:next w:val="ZLITARTzmartliter"/>
    <w:uiPriority w:val="45"/>
    <w:qFormat/>
    <w:rsid w:val="00543D22"/>
    <w:pPr>
      <w:ind w:left="987"/>
    </w:pPr>
  </w:style>
  <w:style w:type="paragraph" w:customStyle="1" w:styleId="ZTIRDZOZNzmozndziautiret">
    <w:name w:val="Z_TIR/DZ_OZN – zm. ozn. działu tiret"/>
    <w:basedOn w:val="ZLITTYTDZOZNzmozntytuudziauliter"/>
    <w:next w:val="ZTIRDZPRZEDMzmprzedmdziautiret"/>
    <w:uiPriority w:val="54"/>
    <w:qFormat/>
    <w:rsid w:val="00543D22"/>
    <w:pPr>
      <w:ind w:left="1383"/>
    </w:pPr>
  </w:style>
  <w:style w:type="paragraph" w:customStyle="1" w:styleId="ZTIRDZPRZEDMzmprzedmdziautiret">
    <w:name w:val="Z_TIR/DZ_PRZEDM – zm. przedm. działu tiret"/>
    <w:basedOn w:val="ZLITTYTDZPRZEDMzmprzedmtytuudziauliter"/>
    <w:uiPriority w:val="54"/>
    <w:qFormat/>
    <w:rsid w:val="00543D22"/>
    <w:pPr>
      <w:ind w:left="1383"/>
    </w:pPr>
  </w:style>
  <w:style w:type="paragraph" w:customStyle="1" w:styleId="ZTIRROZDZODDZOZNzmoznrozdzoddztiret">
    <w:name w:val="Z_TIR/ROZDZ(ODDZ)_OZN – zm. ozn. rozdz. (oddz.) tiret"/>
    <w:basedOn w:val="ZLITROZDZODDZOZNzmoznrozdzoddzliter"/>
    <w:next w:val="ZTIRROZDZODDZPRZEDMzmprzedmrozdzoddztiret"/>
    <w:uiPriority w:val="54"/>
    <w:qFormat/>
    <w:rsid w:val="00543D22"/>
    <w:pPr>
      <w:ind w:left="1383"/>
    </w:pPr>
  </w:style>
  <w:style w:type="paragraph" w:customStyle="1" w:styleId="ZTIRROZDZODDZPRZEDMzmprzedmrozdzoddztiret">
    <w:name w:val="Z_TIR/ROZDZ(ODDZ)_PRZEDM – zm. przedm. rozdz. (oddz.) tiret"/>
    <w:basedOn w:val="ZLITROZDZODDZPRZEDMzmprzedmrozdzoddzliter"/>
    <w:uiPriority w:val="54"/>
    <w:qFormat/>
    <w:rsid w:val="00543D22"/>
    <w:pPr>
      <w:ind w:left="1383"/>
    </w:pPr>
  </w:style>
  <w:style w:type="paragraph" w:customStyle="1" w:styleId="Z2TIRROZDZODDZOZNzmoznrozdzoddzpodwjnymtiret">
    <w:name w:val="Z_2TIR/ROZDZ(ODDZ)_OZN – zm. ozn. rozdz. (oddz.) podwójnym tiret"/>
    <w:basedOn w:val="ZTIRROZDZODDZOZNzmoznrozdzoddztiret"/>
    <w:next w:val="Z2TIRROZDZODDZPRZEDMzmprzedmrozdzoddzpodwjnymtiret"/>
    <w:uiPriority w:val="81"/>
    <w:qFormat/>
    <w:rsid w:val="00543D22"/>
    <w:pPr>
      <w:ind w:left="1780"/>
    </w:pPr>
  </w:style>
  <w:style w:type="paragraph" w:customStyle="1" w:styleId="Z2TIRROZDZODDZPRZEDMzmprzedmrozdzoddzpodwjnymtiret">
    <w:name w:val="Z_2TIR/ROZDZ(ODDZ)_PRZEDM – zm. przedm. rozdz. (oddz.) podwójnym tiret"/>
    <w:basedOn w:val="ZTIRROZDZODDZPRZEDMzmprzedmrozdzoddztiret"/>
    <w:next w:val="Z2TIRARTzmartpodwjnymtiret"/>
    <w:uiPriority w:val="81"/>
    <w:qFormat/>
    <w:rsid w:val="00543D22"/>
    <w:pPr>
      <w:ind w:left="1780"/>
    </w:pPr>
  </w:style>
  <w:style w:type="character" w:customStyle="1" w:styleId="IGindeksgrny">
    <w:name w:val="_IG_ – indeks górny"/>
    <w:basedOn w:val="Domylnaczcionkaakapitu"/>
    <w:uiPriority w:val="2"/>
    <w:qFormat/>
    <w:rsid w:val="00543D22"/>
    <w:rPr>
      <w:b w:val="0"/>
      <w:i w:val="0"/>
      <w:vanish w:val="0"/>
      <w:spacing w:val="0"/>
      <w:vertAlign w:val="superscript"/>
    </w:rPr>
  </w:style>
  <w:style w:type="character" w:customStyle="1" w:styleId="IDindeksdolny">
    <w:name w:val="_ID_ – indeks dolny"/>
    <w:basedOn w:val="Domylnaczcionkaakapitu"/>
    <w:uiPriority w:val="3"/>
    <w:qFormat/>
    <w:rsid w:val="00543D22"/>
    <w:rPr>
      <w:b w:val="0"/>
      <w:i w:val="0"/>
      <w:vanish w:val="0"/>
      <w:spacing w:val="0"/>
      <w:vertAlign w:val="subscript"/>
    </w:rPr>
  </w:style>
  <w:style w:type="character" w:customStyle="1" w:styleId="IDPindeksdolnyipogrubienie">
    <w:name w:val="_ID_P_ – indeks dolny i pogrubienie"/>
    <w:basedOn w:val="Domylnaczcionkaakapitu"/>
    <w:uiPriority w:val="3"/>
    <w:qFormat/>
    <w:rsid w:val="00543D22"/>
    <w:rPr>
      <w:b/>
      <w:vanish w:val="0"/>
      <w:spacing w:val="0"/>
      <w:vertAlign w:val="subscript"/>
    </w:rPr>
  </w:style>
  <w:style w:type="character" w:customStyle="1" w:styleId="IDKindeksdolnyikursywa">
    <w:name w:val="_ID_K_ – indeks dolny i kursywa"/>
    <w:basedOn w:val="Domylnaczcionkaakapitu"/>
    <w:uiPriority w:val="3"/>
    <w:qFormat/>
    <w:rsid w:val="00543D22"/>
    <w:rPr>
      <w:i/>
      <w:vanish w:val="0"/>
      <w:spacing w:val="0"/>
      <w:vertAlign w:val="subscript"/>
    </w:rPr>
  </w:style>
  <w:style w:type="character" w:customStyle="1" w:styleId="IGPindeksgrnyipogrubienie">
    <w:name w:val="_IG_P_ – indeks górny i pogrubienie"/>
    <w:basedOn w:val="Domylnaczcionkaakapitu"/>
    <w:uiPriority w:val="2"/>
    <w:qFormat/>
    <w:rsid w:val="00543D22"/>
    <w:rPr>
      <w:b/>
      <w:vanish w:val="0"/>
      <w:spacing w:val="0"/>
      <w:vertAlign w:val="superscript"/>
    </w:rPr>
  </w:style>
  <w:style w:type="character" w:customStyle="1" w:styleId="IGKindeksgrnyikursywa">
    <w:name w:val="_IG_K_ – indeks górny i kursywa"/>
    <w:basedOn w:val="Domylnaczcionkaakapitu"/>
    <w:uiPriority w:val="2"/>
    <w:qFormat/>
    <w:rsid w:val="00543D22"/>
    <w:rPr>
      <w:i/>
      <w:vanish w:val="0"/>
      <w:spacing w:val="0"/>
      <w:vertAlign w:val="superscript"/>
    </w:rPr>
  </w:style>
  <w:style w:type="character" w:customStyle="1" w:styleId="IGPKindeksgrnyipogrubieniekursywa">
    <w:name w:val="_IG_P_K_ – indeks górny i pogrubienie kursywa"/>
    <w:basedOn w:val="Domylnaczcionkaakapitu"/>
    <w:uiPriority w:val="2"/>
    <w:qFormat/>
    <w:rsid w:val="00543D22"/>
    <w:rPr>
      <w:b/>
      <w:i/>
      <w:vanish w:val="0"/>
      <w:spacing w:val="0"/>
      <w:vertAlign w:val="superscript"/>
    </w:rPr>
  </w:style>
  <w:style w:type="character" w:customStyle="1" w:styleId="IDPKindeksdolnyipogrugieniekursywa">
    <w:name w:val="_ID_P_K_ – indeks dolny i pogrugienie kursywa"/>
    <w:basedOn w:val="Domylnaczcionkaakapitu"/>
    <w:uiPriority w:val="3"/>
    <w:qFormat/>
    <w:rsid w:val="00543D22"/>
    <w:rPr>
      <w:b/>
      <w:i/>
      <w:vanish w:val="0"/>
      <w:spacing w:val="0"/>
      <w:vertAlign w:val="subscript"/>
    </w:rPr>
  </w:style>
  <w:style w:type="character" w:customStyle="1" w:styleId="Ppogrubienie">
    <w:name w:val="_P_ – pogrubienie"/>
    <w:basedOn w:val="Domylnaczcionkaakapitu"/>
    <w:uiPriority w:val="1"/>
    <w:qFormat/>
    <w:rsid w:val="00543D22"/>
    <w:rPr>
      <w:b/>
    </w:rPr>
  </w:style>
  <w:style w:type="character" w:customStyle="1" w:styleId="Kkursywa">
    <w:name w:val="_K_ – kursywa"/>
    <w:basedOn w:val="Domylnaczcionkaakapitu"/>
    <w:uiPriority w:val="1"/>
    <w:qFormat/>
    <w:rsid w:val="00543D22"/>
    <w:rPr>
      <w:i/>
    </w:rPr>
  </w:style>
  <w:style w:type="character" w:customStyle="1" w:styleId="PKpogrubieniekursywa">
    <w:name w:val="_P_K_ – pogrubienie kursywa"/>
    <w:basedOn w:val="Domylnaczcionkaakapitu"/>
    <w:uiPriority w:val="1"/>
    <w:qFormat/>
    <w:rsid w:val="00543D22"/>
    <w:rPr>
      <w:b/>
      <w:i/>
    </w:rPr>
  </w:style>
  <w:style w:type="character" w:customStyle="1" w:styleId="TEKSTOZNACZONYWDOKUMENCIERDOWYMJAKOUKRYTY">
    <w:name w:val="_TEKST_OZNACZONY_W_DOKUMENCIE_ŹRÓDŁOWYM_JAKO_UKRYTY_"/>
    <w:basedOn w:val="Domylnaczcionkaakapitu"/>
    <w:uiPriority w:val="4"/>
    <w:unhideWhenUsed/>
    <w:qFormat/>
    <w:rsid w:val="00543D22"/>
    <w:rPr>
      <w:vanish w:val="0"/>
      <w:color w:val="FF0000"/>
      <w:u w:val="single" w:color="FF0000"/>
    </w:rPr>
  </w:style>
  <w:style w:type="character" w:customStyle="1" w:styleId="BEZWERSALIKW">
    <w:name w:val="_BEZ_WERSALIKÓW_"/>
    <w:basedOn w:val="Domylnaczcionkaakapitu"/>
    <w:uiPriority w:val="4"/>
    <w:qFormat/>
    <w:rsid w:val="00543D22"/>
    <w:rPr>
      <w:caps/>
    </w:rPr>
  </w:style>
  <w:style w:type="character" w:customStyle="1" w:styleId="IIGPindeksgrnyindeksugrnegoipogrubienie">
    <w:name w:val="_IIG_P_ – indeks górny indeksu górnego i pogrubienie"/>
    <w:basedOn w:val="Domylnaczcionkaakapitu"/>
    <w:uiPriority w:val="3"/>
    <w:qFormat/>
    <w:rsid w:val="00543D22"/>
    <w:rPr>
      <w:b/>
      <w:vanish w:val="0"/>
      <w:spacing w:val="0"/>
      <w:position w:val="6"/>
      <w:vertAlign w:val="superscript"/>
    </w:rPr>
  </w:style>
  <w:style w:type="character" w:customStyle="1" w:styleId="IIGindeksgrnyindeksugrnego">
    <w:name w:val="_IIG_ – indeks górny indeksu górnego"/>
    <w:basedOn w:val="IIGPindeksgrnyindeksugrnegoipogrubienie"/>
    <w:uiPriority w:val="3"/>
    <w:qFormat/>
    <w:rsid w:val="00543D22"/>
    <w:rPr>
      <w:b w:val="0"/>
      <w:i w:val="0"/>
      <w:vanish w:val="0"/>
      <w:spacing w:val="0"/>
      <w:position w:val="6"/>
      <w:vertAlign w:val="superscript"/>
    </w:rPr>
  </w:style>
  <w:style w:type="paragraph" w:customStyle="1" w:styleId="ODNONIKSPECtreodnonikadoodnonika">
    <w:name w:val="ODNOŚNIK_SPEC – treść odnośnika do odnośnika"/>
    <w:basedOn w:val="Normalny"/>
    <w:uiPriority w:val="19"/>
    <w:qFormat/>
    <w:rsid w:val="00543D22"/>
    <w:pPr>
      <w:spacing w:after="0" w:line="240" w:lineRule="auto"/>
      <w:ind w:left="283" w:hanging="170"/>
      <w:jc w:val="both"/>
    </w:pPr>
    <w:rPr>
      <w:rFonts w:ascii="Times New Roman" w:eastAsiaTheme="minorEastAsia" w:hAnsi="Times New Roman" w:cs="Arial"/>
      <w:sz w:val="20"/>
      <w:szCs w:val="20"/>
      <w:lang w:eastAsia="pl-PL"/>
    </w:rPr>
  </w:style>
  <w:style w:type="paragraph" w:customStyle="1" w:styleId="TEKSTwTABELItekstzwcitympierwwierszem">
    <w:name w:val="TEKST_w_TABELI – tekst z wciętym pierw. wierszem"/>
    <w:basedOn w:val="Normalny"/>
    <w:uiPriority w:val="23"/>
    <w:qFormat/>
    <w:rsid w:val="00543D22"/>
    <w:pPr>
      <w:suppressAutoHyphens/>
      <w:autoSpaceDE w:val="0"/>
      <w:autoSpaceDN w:val="0"/>
      <w:adjustRightInd w:val="0"/>
      <w:spacing w:after="0" w:line="360" w:lineRule="auto"/>
      <w:ind w:firstLine="510"/>
      <w:jc w:val="both"/>
    </w:pPr>
    <w:rPr>
      <w:rFonts w:ascii="Times" w:eastAsiaTheme="minorEastAsia" w:hAnsi="Times" w:cs="Arial"/>
      <w:bCs/>
      <w:kern w:val="24"/>
      <w:sz w:val="24"/>
      <w:szCs w:val="20"/>
      <w:lang w:eastAsia="pl-PL"/>
    </w:rPr>
  </w:style>
  <w:style w:type="paragraph" w:customStyle="1" w:styleId="TEKSTwTABELIWYRODKOWANYtekstwyrodkowanywpoziomie">
    <w:name w:val="TEKST_w_TABELI_WYŚRODKOWANY – tekst wyśrodkowany w poziomie"/>
    <w:basedOn w:val="Normalny"/>
    <w:uiPriority w:val="23"/>
    <w:qFormat/>
    <w:rsid w:val="00543D22"/>
    <w:pPr>
      <w:suppressAutoHyphens/>
      <w:autoSpaceDE w:val="0"/>
      <w:autoSpaceDN w:val="0"/>
      <w:adjustRightInd w:val="0"/>
      <w:spacing w:after="0" w:line="360" w:lineRule="auto"/>
      <w:jc w:val="center"/>
    </w:pPr>
    <w:rPr>
      <w:rFonts w:ascii="Times" w:eastAsiaTheme="minorEastAsia" w:hAnsi="Times" w:cs="Arial"/>
      <w:bCs/>
      <w:kern w:val="24"/>
      <w:sz w:val="24"/>
      <w:szCs w:val="20"/>
      <w:lang w:eastAsia="pl-PL"/>
    </w:rPr>
  </w:style>
  <w:style w:type="paragraph" w:customStyle="1" w:styleId="ZTIRSKARNzmsankcjikarnejtiret">
    <w:name w:val="Z_TIR/S_KARN – zm. sankcji karnej tiret"/>
    <w:basedOn w:val="ZLITSKARNzmsankcjikarnejliter"/>
    <w:next w:val="ZTIRARTzmarttiret"/>
    <w:uiPriority w:val="61"/>
    <w:qFormat/>
    <w:rsid w:val="00543D22"/>
    <w:pPr>
      <w:ind w:left="1894"/>
    </w:pPr>
  </w:style>
  <w:style w:type="paragraph" w:customStyle="1" w:styleId="ZZSKARNzmianazmsankcjikarnej">
    <w:name w:val="ZZ/S_KARN – zmiana zm. sankcji karnej"/>
    <w:basedOn w:val="ZZFRAGzmianazmfragmentunpzdania"/>
    <w:uiPriority w:val="71"/>
    <w:qFormat/>
    <w:rsid w:val="00543D22"/>
    <w:pPr>
      <w:ind w:left="2404"/>
    </w:pPr>
  </w:style>
  <w:style w:type="paragraph" w:customStyle="1" w:styleId="Z2TIRSKARNzmianasankcjikarnejpodwjnymtiret">
    <w:name w:val="Z_2TIR/S_KARN – zmiana sankcji karnej podwójnym tiret"/>
    <w:basedOn w:val="Z2TIRARTzmartpodwjnymtiret"/>
    <w:next w:val="Z2TIRARTzmartpodwjnymtiret"/>
    <w:uiPriority w:val="90"/>
    <w:qFormat/>
    <w:rsid w:val="00543D22"/>
    <w:pPr>
      <w:ind w:left="2291" w:firstLine="0"/>
    </w:pPr>
  </w:style>
  <w:style w:type="paragraph" w:customStyle="1" w:styleId="WMATFIZCHEMwzrmatfizlubchem">
    <w:name w:val="W_MAT(FIZ|CHEM) – wzór mat. (fiz. lub chem.)"/>
    <w:uiPriority w:val="18"/>
    <w:qFormat/>
    <w:rsid w:val="00543D22"/>
    <w:pPr>
      <w:spacing w:after="0" w:line="360" w:lineRule="auto"/>
      <w:jc w:val="center"/>
    </w:pPr>
    <w:rPr>
      <w:rFonts w:ascii="Times New Roman" w:eastAsiaTheme="minorEastAsia" w:hAnsi="Times New Roman" w:cs="Arial"/>
      <w:sz w:val="24"/>
      <w:szCs w:val="20"/>
      <w:lang w:eastAsia="pl-PL"/>
    </w:rPr>
  </w:style>
  <w:style w:type="paragraph" w:customStyle="1" w:styleId="LEGWMATFIZCHEMlegendawzorumatfizlubchem">
    <w:name w:val="LEG_W_MAT(FIZ|CHEM) – legenda wzoru mat. (fiz. lub chem.)"/>
    <w:basedOn w:val="WMATFIZCHEMwzrmatfizlubchem"/>
    <w:uiPriority w:val="19"/>
    <w:qFormat/>
    <w:rsid w:val="00543D22"/>
    <w:pPr>
      <w:ind w:left="1304" w:hanging="794"/>
      <w:jc w:val="both"/>
    </w:pPr>
  </w:style>
  <w:style w:type="paragraph" w:customStyle="1" w:styleId="ZLEGWMATFIZCHEMzmlegendywzorumatfizlubchemartykuempunktem">
    <w:name w:val="Z/LEG_W_MAT(FIZ|CHEM) – zm. legendy wzoru mat. (fiz. lub chem.) artykułem (punktem)"/>
    <w:basedOn w:val="LEGWMATFIZCHEMlegendawzorumatfizlubchem"/>
    <w:uiPriority w:val="39"/>
    <w:qFormat/>
    <w:rsid w:val="00543D22"/>
    <w:pPr>
      <w:ind w:left="1815"/>
    </w:pPr>
  </w:style>
  <w:style w:type="paragraph" w:customStyle="1" w:styleId="ZZLEGWMATFIZCHEMzmlegendywzorumatfizlubchem">
    <w:name w:val="ZZ/LEG_W_MAT(FIZ|CHEM) – zm. legendy wzoru mat. (fiz. lub chem.)"/>
    <w:basedOn w:val="ZLEGWMATFIZCHEMzmlegendywzorumatfizlubchemartykuempunktem"/>
    <w:uiPriority w:val="72"/>
    <w:qFormat/>
    <w:rsid w:val="00543D22"/>
    <w:pPr>
      <w:ind w:left="3198"/>
    </w:pPr>
  </w:style>
  <w:style w:type="paragraph" w:customStyle="1" w:styleId="ZLITLEGWMATFIZCHEMzmlegendywzorumatfizlubchemliter">
    <w:name w:val="Z_LIT/LEG_W_MAT(FIZ|CHEM) – zm. legendy wzoru mat. (fiz. lub chem.) literą"/>
    <w:basedOn w:val="ZLEGWMATFIZCHEMzmlegendywzorumatfizlubchemartykuempunktem"/>
    <w:uiPriority w:val="54"/>
    <w:qFormat/>
    <w:rsid w:val="00543D22"/>
    <w:pPr>
      <w:ind w:left="2291"/>
    </w:pPr>
  </w:style>
  <w:style w:type="paragraph" w:customStyle="1" w:styleId="ZLITWMATFIZCHEMzmwzorumatfizlubchemliter">
    <w:name w:val="Z_LIT/W_MAT(FIZ|CHEM) – zm. wzoru mat. (fiz. lub chem.) literą"/>
    <w:basedOn w:val="ZWMATFIZCHEMzmwzorumatfizlubchemartykuempunktem"/>
    <w:next w:val="ZLITUSTzmustliter"/>
    <w:uiPriority w:val="53"/>
    <w:qFormat/>
    <w:rsid w:val="00543D22"/>
    <w:pPr>
      <w:ind w:left="987"/>
    </w:pPr>
  </w:style>
  <w:style w:type="paragraph" w:customStyle="1" w:styleId="ZTIRWMATFIZCHEMzmwzorumatfizlubchemtiret">
    <w:name w:val="Z_TIR/W_MAT(FIZ|CHEM) – zm. wzoru mat. (fiz. lub chem.) tiret"/>
    <w:basedOn w:val="ZLITWMATFIZCHEMzmwzorumatfizlubchemliter"/>
    <w:next w:val="ZTIRUSTzmusttiret"/>
    <w:uiPriority w:val="62"/>
    <w:qFormat/>
    <w:rsid w:val="00543D22"/>
    <w:pPr>
      <w:ind w:left="1383"/>
    </w:pPr>
  </w:style>
  <w:style w:type="paragraph" w:customStyle="1" w:styleId="ZTIRLEGWMATFIZCHEMzmlegendywzorumatfizlubchemtiret">
    <w:name w:val="Z_TIR/LEG_W_MAT(FIZ|CHEM) – zm. legendy wzoru mat. (fiz. lub chem.) tiret"/>
    <w:basedOn w:val="ZLITLEGWMATFIZCHEMzmlegendywzorumatfizlubchemliter"/>
    <w:uiPriority w:val="63"/>
    <w:qFormat/>
    <w:rsid w:val="00543D22"/>
    <w:pPr>
      <w:ind w:left="2688"/>
    </w:pPr>
  </w:style>
  <w:style w:type="paragraph" w:customStyle="1" w:styleId="Z2TIRWMATFIZCHEMzmwzorumatfizlubchempodwjnymtiret">
    <w:name w:val="Z_2TIR/W_MAT(FIZ|CHEM) – zm. wzoru mat. (fiz. lub chem.) podwójnym tiret"/>
    <w:basedOn w:val="ZTIRWMATFIZCHEMzmwzorumatfizlubchemtiret"/>
    <w:next w:val="Z2TIRUSTzmustpodwjnymtiret"/>
    <w:uiPriority w:val="91"/>
    <w:qFormat/>
    <w:rsid w:val="00543D22"/>
    <w:pPr>
      <w:ind w:left="1780"/>
    </w:pPr>
  </w:style>
  <w:style w:type="paragraph" w:customStyle="1" w:styleId="Z2TIRLEGWMATFIZCHEMzmlegendywzorumatfizlubchempodwjnymtiret">
    <w:name w:val="Z_2TIR/LEG_W_MAT(FIZ|CHEM) – zm. legendy wzoru mat. (fiz. lub chem.) podwójnym tiret"/>
    <w:basedOn w:val="ZTIRLEGWMATFIZCHEMzmlegendywzorumatfizlubchemtiret"/>
    <w:uiPriority w:val="92"/>
    <w:qFormat/>
    <w:rsid w:val="00543D22"/>
    <w:pPr>
      <w:ind w:left="3085"/>
    </w:pPr>
  </w:style>
  <w:style w:type="paragraph" w:customStyle="1" w:styleId="ZLITCYTzmcytatunpprzysigiliter">
    <w:name w:val="Z_LIT/CYT – zm. cytatu np. przysięgi literą"/>
    <w:basedOn w:val="ZCYTzmcytatunpprzysigiartykuempunktem"/>
    <w:uiPriority w:val="53"/>
    <w:qFormat/>
    <w:rsid w:val="00543D22"/>
    <w:pPr>
      <w:ind w:left="1497"/>
    </w:pPr>
  </w:style>
  <w:style w:type="paragraph" w:customStyle="1" w:styleId="ZTIRCYTzmcytatunpprzysigitiret">
    <w:name w:val="Z_TIR/CYT – zm. cytatu np. przysięgi tiret"/>
    <w:basedOn w:val="ZLITCYTzmcytatunpprzysigiliter"/>
    <w:next w:val="ZTIRUSTzmusttiret"/>
    <w:uiPriority w:val="61"/>
    <w:qFormat/>
    <w:rsid w:val="00543D22"/>
    <w:pPr>
      <w:ind w:left="1894"/>
    </w:pPr>
  </w:style>
  <w:style w:type="paragraph" w:customStyle="1" w:styleId="Z2TIRCYTzmcytatunpprzysigipodwjnymtiret">
    <w:name w:val="Z_2TIR/CYT – zm. cytatu np. przysięgi podwójnym tiret"/>
    <w:basedOn w:val="ZTIRCYTzmcytatunpprzysigitiret"/>
    <w:next w:val="Z2TIRUSTzmustpodwjnymtiret"/>
    <w:uiPriority w:val="90"/>
    <w:qFormat/>
    <w:rsid w:val="00543D22"/>
    <w:pPr>
      <w:ind w:left="2291"/>
    </w:pPr>
  </w:style>
  <w:style w:type="paragraph" w:customStyle="1" w:styleId="ZZCYTzmianazmcytatunpprzysigi">
    <w:name w:val="ZZ/CYT – zmiana zm. cytatu np. przysięgi"/>
    <w:basedOn w:val="ZZFRAGzmianazmfragmentunpzdania"/>
    <w:next w:val="ZZUSTzmianazmust"/>
    <w:uiPriority w:val="71"/>
    <w:qFormat/>
    <w:rsid w:val="00543D22"/>
    <w:pPr>
      <w:ind w:left="2404"/>
    </w:pPr>
  </w:style>
  <w:style w:type="paragraph" w:customStyle="1" w:styleId="Z2TIRFRAGMzmnpwprdowyliczeniapodwjnymtiret">
    <w:name w:val="Z_2TIR/FRAGM – zm. np. wpr. do wyliczenia podwójnym tiret"/>
    <w:basedOn w:val="ZTIRFRAGMzmnpwprdowyliczeniatiret"/>
    <w:next w:val="2TIRpodwjnytiret"/>
    <w:uiPriority w:val="89"/>
    <w:qFormat/>
    <w:rsid w:val="00543D22"/>
    <w:pPr>
      <w:ind w:left="1780"/>
    </w:pPr>
  </w:style>
  <w:style w:type="table" w:styleId="Tabela-Siatka">
    <w:name w:val="Table Grid"/>
    <w:basedOn w:val="Standardowy"/>
    <w:rsid w:val="00543D22"/>
    <w:pPr>
      <w:spacing w:after="0" w:line="240" w:lineRule="auto"/>
    </w:pPr>
    <w:rPr>
      <w:rFonts w:ascii="Times" w:eastAsia="Times New Roman" w:hAnsi="Times" w:cs="Times New Roman"/>
      <w:sz w:val="24"/>
      <w:szCs w:val="24"/>
      <w:lang w:eastAsia="pl-P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a-Elegancki">
    <w:name w:val="Table Elegant"/>
    <w:basedOn w:val="Standardowy"/>
    <w:rsid w:val="00543D22"/>
    <w:pPr>
      <w:widowControl w:val="0"/>
      <w:autoSpaceDE w:val="0"/>
      <w:autoSpaceDN w:val="0"/>
      <w:adjustRightInd w:val="0"/>
      <w:spacing w:after="0" w:line="360" w:lineRule="auto"/>
      <w:jc w:val="both"/>
    </w:pPr>
    <w:rPr>
      <w:rFonts w:ascii="Times" w:eastAsia="Times New Roman" w:hAnsi="Times" w:cs="Times New Roman"/>
      <w:sz w:val="24"/>
      <w:szCs w:val="24"/>
      <w:lang w:eastAsia="pl-PL"/>
    </w:r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customStyle="1" w:styleId="TABELA2zszablonu">
    <w:name w:val="TABELA 2 z szablonu"/>
    <w:basedOn w:val="Tabela-Elegancki"/>
    <w:uiPriority w:val="99"/>
    <w:rsid w:val="00543D22"/>
    <w:pPr>
      <w:spacing w:line="240" w:lineRule="auto"/>
      <w:jc w:val="left"/>
    </w:pPr>
    <w:tblPr>
      <w:jc w:val="center"/>
      <w:tblBorders>
        <w:top w:val="single" w:sz="12" w:space="0" w:color="000000"/>
        <w:left w:val="single" w:sz="12" w:space="0" w:color="000000"/>
        <w:bottom w:val="single" w:sz="12" w:space="0" w:color="000000"/>
        <w:right w:val="single" w:sz="12" w:space="0" w:color="000000"/>
        <w:insideH w:val="none" w:sz="0" w:space="0" w:color="auto"/>
        <w:insideV w:val="none" w:sz="0" w:space="0" w:color="auto"/>
      </w:tblBorders>
    </w:tblPr>
    <w:trPr>
      <w:jc w:val="center"/>
    </w:tr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style>
  <w:style w:type="table" w:customStyle="1" w:styleId="TABELA1zszablonu">
    <w:name w:val="TABELA 1 z szablonu"/>
    <w:basedOn w:val="Tabela-Siatka"/>
    <w:uiPriority w:val="99"/>
    <w:rsid w:val="00543D22"/>
    <w:tblPr>
      <w:jc w:val="center"/>
      <w:tblBorders>
        <w:top w:val="single" w:sz="12" w:space="0" w:color="auto"/>
        <w:left w:val="single" w:sz="12" w:space="0" w:color="auto"/>
        <w:bottom w:val="single" w:sz="12" w:space="0" w:color="auto"/>
        <w:right w:val="single" w:sz="12" w:space="0" w:color="auto"/>
        <w:insideH w:val="single" w:sz="8" w:space="0" w:color="auto"/>
        <w:insideV w:val="single" w:sz="8" w:space="0" w:color="auto"/>
      </w:tblBorders>
    </w:tblPr>
    <w:trPr>
      <w:jc w:val="center"/>
    </w:trPr>
  </w:style>
  <w:style w:type="table" w:customStyle="1" w:styleId="TABELA3zszablonu">
    <w:name w:val="TABELA 3 z szablonu"/>
    <w:basedOn w:val="TABELA2zszablonu"/>
    <w:uiPriority w:val="99"/>
    <w:rsid w:val="00543D22"/>
    <w:tblPr/>
    <w:tcPr>
      <w:shd w:val="clear" w:color="auto" w:fill="auto"/>
    </w:tcPr>
    <w:tblStylePr w:type="firstRow">
      <w:rPr>
        <w:caps/>
        <w:color w:val="auto"/>
      </w:rPr>
      <w:tblPr/>
      <w:tcPr>
        <w:tcBorders>
          <w:top w:val="single" w:sz="12" w:space="0" w:color="000000"/>
          <w:left w:val="single" w:sz="12" w:space="0" w:color="000000"/>
          <w:bottom w:val="single" w:sz="12" w:space="0" w:color="000000"/>
          <w:right w:val="single" w:sz="12" w:space="0" w:color="000000"/>
          <w:insideH w:val="nil"/>
          <w:insideV w:val="single" w:sz="6" w:space="0" w:color="000000"/>
          <w:tl2br w:val="nil"/>
          <w:tr2bl w:val="nil"/>
        </w:tcBorders>
        <w:shd w:val="clear" w:color="auto" w:fill="auto"/>
      </w:tcPr>
    </w:tblStylePr>
    <w:tblStylePr w:type="firstCo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tblStylePr w:type="nwCell">
      <w:tblPr/>
      <w:tcPr>
        <w:tcBorders>
          <w:top w:val="single" w:sz="12" w:space="0" w:color="auto"/>
          <w:left w:val="single" w:sz="12" w:space="0" w:color="auto"/>
          <w:bottom w:val="single" w:sz="12" w:space="0" w:color="auto"/>
          <w:right w:val="single" w:sz="12" w:space="0" w:color="auto"/>
          <w:insideH w:val="nil"/>
          <w:insideV w:val="nil"/>
          <w:tl2br w:val="nil"/>
          <w:tr2bl w:val="nil"/>
        </w:tcBorders>
        <w:shd w:val="clear" w:color="auto" w:fill="auto"/>
      </w:tcPr>
    </w:tblStylePr>
  </w:style>
  <w:style w:type="character" w:styleId="Tekstzastpczy">
    <w:name w:val="Placeholder Text"/>
    <w:basedOn w:val="Domylnaczcionkaakapitu"/>
    <w:uiPriority w:val="99"/>
    <w:semiHidden/>
    <w:rsid w:val="00543D22"/>
    <w:rPr>
      <w:color w:val="808080"/>
    </w:rPr>
  </w:style>
  <w:style w:type="character" w:styleId="Pogrubienie">
    <w:name w:val="Strong"/>
    <w:basedOn w:val="Domylnaczcionkaakapitu"/>
    <w:uiPriority w:val="22"/>
    <w:qFormat/>
    <w:rsid w:val="00543D22"/>
    <w:rPr>
      <w:b/>
      <w:bCs/>
    </w:rPr>
  </w:style>
  <w:style w:type="character" w:styleId="Uwydatnienie">
    <w:name w:val="Emphasis"/>
    <w:basedOn w:val="Domylnaczcionkaakapitu"/>
    <w:uiPriority w:val="20"/>
    <w:qFormat/>
    <w:rsid w:val="00543D22"/>
    <w:rPr>
      <w:i/>
      <w:iCs/>
    </w:rPr>
  </w:style>
  <w:style w:type="paragraph" w:styleId="Akapitzlist">
    <w:name w:val="List Paragraph"/>
    <w:aliases w:val="Dot pt,F5 List Paragraph"/>
    <w:basedOn w:val="Normalny"/>
    <w:link w:val="AkapitzlistZnak"/>
    <w:uiPriority w:val="34"/>
    <w:qFormat/>
    <w:rsid w:val="00543D22"/>
    <w:pPr>
      <w:spacing w:after="200" w:line="276" w:lineRule="auto"/>
      <w:ind w:left="720"/>
      <w:contextualSpacing/>
      <w:jc w:val="both"/>
    </w:pPr>
    <w:rPr>
      <w:rFonts w:ascii="Times New Roman" w:hAnsi="Times New Roman"/>
    </w:rPr>
  </w:style>
  <w:style w:type="paragraph" w:styleId="NormalnyWeb">
    <w:name w:val="Normal (Web)"/>
    <w:basedOn w:val="Normalny"/>
    <w:uiPriority w:val="99"/>
    <w:unhideWhenUsed/>
    <w:rsid w:val="00543D22"/>
    <w:pPr>
      <w:spacing w:before="100" w:beforeAutospacing="1" w:after="100" w:afterAutospacing="1" w:line="240" w:lineRule="auto"/>
      <w:jc w:val="both"/>
    </w:pPr>
    <w:rPr>
      <w:rFonts w:ascii="Times New Roman" w:eastAsia="Times New Roman" w:hAnsi="Times New Roman" w:cs="Times New Roman"/>
      <w:sz w:val="24"/>
      <w:szCs w:val="24"/>
      <w:lang w:eastAsia="pl-PL"/>
    </w:rPr>
  </w:style>
  <w:style w:type="character" w:styleId="Hipercze">
    <w:name w:val="Hyperlink"/>
    <w:basedOn w:val="Domylnaczcionkaakapitu"/>
    <w:uiPriority w:val="99"/>
    <w:unhideWhenUsed/>
    <w:rsid w:val="00543D22"/>
    <w:rPr>
      <w:color w:val="0563C1" w:themeColor="hyperlink"/>
      <w:u w:val="single"/>
    </w:rPr>
  </w:style>
  <w:style w:type="paragraph" w:styleId="Poprawka">
    <w:name w:val="Revision"/>
    <w:hidden/>
    <w:uiPriority w:val="99"/>
    <w:semiHidden/>
    <w:rsid w:val="00543D22"/>
    <w:pPr>
      <w:spacing w:after="0" w:line="240" w:lineRule="auto"/>
    </w:pPr>
    <w:rPr>
      <w:rFonts w:ascii="Times New Roman" w:eastAsiaTheme="minorEastAsia" w:hAnsi="Times New Roman" w:cs="Arial"/>
      <w:sz w:val="24"/>
      <w:szCs w:val="20"/>
      <w:lang w:eastAsia="pl-PL"/>
    </w:rPr>
  </w:style>
  <w:style w:type="paragraph" w:customStyle="1" w:styleId="Domylnie">
    <w:name w:val="Domyślnie"/>
    <w:rsid w:val="00543D22"/>
    <w:pPr>
      <w:suppressAutoHyphens/>
      <w:spacing w:after="200" w:line="360" w:lineRule="auto"/>
      <w:jc w:val="both"/>
    </w:pPr>
    <w:rPr>
      <w:rFonts w:ascii="Calibri" w:eastAsia="SimSun" w:hAnsi="Calibri" w:cs="Calibri"/>
      <w:sz w:val="26"/>
      <w:szCs w:val="26"/>
    </w:rPr>
  </w:style>
  <w:style w:type="character" w:customStyle="1" w:styleId="Teksttreci7">
    <w:name w:val="Tekst treści (7)"/>
    <w:basedOn w:val="Domylnaczcionkaakapitu"/>
    <w:rsid w:val="00543D22"/>
    <w:rPr>
      <w:rFonts w:ascii="Times New Roman" w:eastAsia="Times New Roman" w:hAnsi="Times New Roman" w:cs="Times New Roman" w:hint="default"/>
      <w:b w:val="0"/>
      <w:bCs w:val="0"/>
      <w:i/>
      <w:iCs/>
      <w:smallCaps w:val="0"/>
      <w:strike w:val="0"/>
      <w:dstrike w:val="0"/>
      <w:color w:val="000000"/>
      <w:spacing w:val="0"/>
      <w:w w:val="100"/>
      <w:position w:val="0"/>
      <w:sz w:val="20"/>
      <w:szCs w:val="20"/>
      <w:u w:val="single"/>
      <w:effect w:val="none"/>
      <w:lang w:val="pl-PL" w:eastAsia="pl-PL" w:bidi="pl-PL"/>
    </w:rPr>
  </w:style>
  <w:style w:type="character" w:customStyle="1" w:styleId="AkapitzlistZnak">
    <w:name w:val="Akapit z listą Znak"/>
    <w:aliases w:val="Dot pt Znak,F5 List Paragraph Znak"/>
    <w:link w:val="Akapitzlist"/>
    <w:uiPriority w:val="34"/>
    <w:locked/>
    <w:rsid w:val="00543D22"/>
    <w:rPr>
      <w:rFonts w:ascii="Times New Roman" w:hAnsi="Times New Roman"/>
    </w:rPr>
  </w:style>
  <w:style w:type="paragraph" w:styleId="Zwykytekst">
    <w:name w:val="Plain Text"/>
    <w:basedOn w:val="Normalny"/>
    <w:link w:val="ZwykytekstZnak"/>
    <w:uiPriority w:val="99"/>
    <w:semiHidden/>
    <w:unhideWhenUsed/>
    <w:rsid w:val="00543D22"/>
    <w:pPr>
      <w:spacing w:after="0" w:line="240" w:lineRule="auto"/>
      <w:jc w:val="both"/>
    </w:pPr>
    <w:rPr>
      <w:rFonts w:ascii="Calibri" w:hAnsi="Calibri"/>
      <w:szCs w:val="21"/>
    </w:rPr>
  </w:style>
  <w:style w:type="character" w:customStyle="1" w:styleId="ZwykytekstZnak">
    <w:name w:val="Zwykły tekst Znak"/>
    <w:basedOn w:val="Domylnaczcionkaakapitu"/>
    <w:link w:val="Zwykytekst"/>
    <w:uiPriority w:val="99"/>
    <w:semiHidden/>
    <w:rsid w:val="00543D22"/>
    <w:rPr>
      <w:rFonts w:ascii="Calibri" w:hAnsi="Calibri"/>
      <w:szCs w:val="21"/>
    </w:rPr>
  </w:style>
  <w:style w:type="paragraph" w:styleId="Tekstpodstawowy">
    <w:name w:val="Body Text"/>
    <w:basedOn w:val="Normalny"/>
    <w:link w:val="TekstpodstawowyZnak"/>
    <w:uiPriority w:val="99"/>
    <w:semiHidden/>
    <w:unhideWhenUsed/>
    <w:rsid w:val="00543D22"/>
    <w:pPr>
      <w:spacing w:after="120" w:line="360" w:lineRule="auto"/>
      <w:jc w:val="both"/>
    </w:pPr>
    <w:rPr>
      <w:rFonts w:ascii="Times New Roman" w:hAnsi="Times New Roman"/>
    </w:rPr>
  </w:style>
  <w:style w:type="character" w:customStyle="1" w:styleId="TekstpodstawowyZnak">
    <w:name w:val="Tekst podstawowy Znak"/>
    <w:basedOn w:val="Domylnaczcionkaakapitu"/>
    <w:link w:val="Tekstpodstawowy"/>
    <w:uiPriority w:val="99"/>
    <w:semiHidden/>
    <w:rsid w:val="00543D22"/>
    <w:rPr>
      <w:rFonts w:ascii="Times New Roman" w:hAnsi="Times New Roman"/>
    </w:rPr>
  </w:style>
  <w:style w:type="paragraph" w:styleId="Tekstpodstawowyzwciciem">
    <w:name w:val="Body Text First Indent"/>
    <w:basedOn w:val="Tekstpodstawowy"/>
    <w:link w:val="TekstpodstawowyzwciciemZnak"/>
    <w:uiPriority w:val="99"/>
    <w:unhideWhenUsed/>
    <w:rsid w:val="00543D22"/>
    <w:pPr>
      <w:spacing w:after="200" w:line="276" w:lineRule="auto"/>
      <w:ind w:firstLine="360"/>
    </w:pPr>
    <w:rPr>
      <w:rFonts w:ascii="Calibri" w:eastAsia="Calibri" w:hAnsi="Calibri" w:cs="Times New Roman"/>
    </w:rPr>
  </w:style>
  <w:style w:type="character" w:customStyle="1" w:styleId="TekstpodstawowyzwciciemZnak">
    <w:name w:val="Tekst podstawowy z wcięciem Znak"/>
    <w:basedOn w:val="TekstpodstawowyZnak"/>
    <w:link w:val="Tekstpodstawowyzwciciem"/>
    <w:uiPriority w:val="99"/>
    <w:rsid w:val="00543D22"/>
    <w:rPr>
      <w:rFonts w:ascii="Calibri" w:eastAsia="Calibri" w:hAnsi="Calibri" w:cs="Times New Roman"/>
    </w:rPr>
  </w:style>
  <w:style w:type="paragraph" w:customStyle="1" w:styleId="Default">
    <w:name w:val="Default"/>
    <w:rsid w:val="00543D22"/>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divparagraph">
    <w:name w:val="div.paragraph"/>
    <w:rsid w:val="00543D22"/>
    <w:pPr>
      <w:widowControl w:val="0"/>
      <w:autoSpaceDE w:val="0"/>
      <w:autoSpaceDN w:val="0"/>
      <w:adjustRightInd w:val="0"/>
      <w:spacing w:after="0" w:line="40" w:lineRule="atLeast"/>
    </w:pPr>
    <w:rPr>
      <w:rFonts w:ascii="Helvetica" w:eastAsiaTheme="minorEastAsia" w:hAnsi="Helvetica" w:cs="Helvetica"/>
      <w:color w:val="000000"/>
      <w:sz w:val="18"/>
      <w:szCs w:val="18"/>
      <w:lang w:eastAsia="pl-PL"/>
    </w:rPr>
  </w:style>
  <w:style w:type="paragraph" w:customStyle="1" w:styleId="Style1">
    <w:name w:val="Style1"/>
    <w:basedOn w:val="Normalny"/>
    <w:uiPriority w:val="99"/>
    <w:rsid w:val="00543D22"/>
    <w:pPr>
      <w:autoSpaceDE w:val="0"/>
      <w:autoSpaceDN w:val="0"/>
      <w:spacing w:after="0" w:line="398" w:lineRule="exact"/>
      <w:jc w:val="both"/>
    </w:pPr>
    <w:rPr>
      <w:rFonts w:ascii="Times New Roman" w:hAnsi="Times New Roman" w:cs="Times New Roman"/>
      <w:sz w:val="24"/>
      <w:szCs w:val="24"/>
      <w:lang w:eastAsia="pl-PL"/>
    </w:rPr>
  </w:style>
  <w:style w:type="character" w:customStyle="1" w:styleId="txt-new">
    <w:name w:val="txt-new"/>
    <w:basedOn w:val="Domylnaczcionkaakapitu"/>
    <w:rsid w:val="00543D22"/>
  </w:style>
  <w:style w:type="paragraph" w:customStyle="1" w:styleId="Style3">
    <w:name w:val="Style3"/>
    <w:basedOn w:val="Normalny"/>
    <w:uiPriority w:val="99"/>
    <w:rsid w:val="00543D22"/>
    <w:pPr>
      <w:widowControl w:val="0"/>
      <w:autoSpaceDE w:val="0"/>
      <w:autoSpaceDN w:val="0"/>
      <w:adjustRightInd w:val="0"/>
      <w:spacing w:after="0" w:line="414" w:lineRule="exact"/>
      <w:ind w:firstLine="706"/>
      <w:jc w:val="both"/>
    </w:pPr>
    <w:rPr>
      <w:rFonts w:ascii="Times New Roman" w:eastAsiaTheme="minorEastAsia" w:hAnsi="Times New Roman" w:cs="Times New Roman"/>
      <w:sz w:val="24"/>
      <w:szCs w:val="24"/>
      <w:lang w:eastAsia="pl-PL"/>
    </w:rPr>
  </w:style>
  <w:style w:type="character" w:customStyle="1" w:styleId="FontStyle20">
    <w:name w:val="Font Style20"/>
    <w:basedOn w:val="Domylnaczcionkaakapitu"/>
    <w:uiPriority w:val="99"/>
    <w:rsid w:val="00543D22"/>
    <w:rPr>
      <w:rFonts w:ascii="Times New Roman" w:hAnsi="Times New Roman" w:cs="Times New Roman"/>
      <w:sz w:val="18"/>
      <w:szCs w:val="18"/>
    </w:rPr>
  </w:style>
  <w:style w:type="paragraph" w:styleId="Nagwekspisutreci">
    <w:name w:val="TOC Heading"/>
    <w:basedOn w:val="Nagwek1"/>
    <w:next w:val="Normalny"/>
    <w:uiPriority w:val="39"/>
    <w:unhideWhenUsed/>
    <w:qFormat/>
    <w:rsid w:val="00543D22"/>
    <w:pPr>
      <w:widowControl/>
      <w:suppressAutoHyphens w:val="0"/>
      <w:spacing w:before="240" w:line="259" w:lineRule="auto"/>
      <w:jc w:val="left"/>
      <w:outlineLvl w:val="9"/>
    </w:pPr>
    <w:rPr>
      <w:b w:val="0"/>
      <w:bCs w:val="0"/>
      <w:kern w:val="0"/>
      <w:sz w:val="32"/>
      <w:szCs w:val="32"/>
      <w:lang w:eastAsia="pl-PL"/>
    </w:rPr>
  </w:style>
  <w:style w:type="paragraph" w:styleId="Spistreci1">
    <w:name w:val="toc 1"/>
    <w:basedOn w:val="Normalny"/>
    <w:next w:val="Normalny"/>
    <w:autoRedefine/>
    <w:uiPriority w:val="39"/>
    <w:unhideWhenUsed/>
    <w:rsid w:val="00543D22"/>
    <w:pPr>
      <w:spacing w:after="100" w:line="360" w:lineRule="auto"/>
      <w:jc w:val="both"/>
    </w:pPr>
    <w:rPr>
      <w:rFonts w:ascii="Times New Roman" w:hAnsi="Times New Roman"/>
    </w:rPr>
  </w:style>
  <w:style w:type="paragraph" w:styleId="Spistreci2">
    <w:name w:val="toc 2"/>
    <w:basedOn w:val="Normalny"/>
    <w:next w:val="Normalny"/>
    <w:autoRedefine/>
    <w:uiPriority w:val="39"/>
    <w:unhideWhenUsed/>
    <w:rsid w:val="00300274"/>
    <w:pPr>
      <w:numPr>
        <w:numId w:val="1"/>
      </w:numPr>
      <w:tabs>
        <w:tab w:val="right" w:leader="dot" w:pos="9239"/>
      </w:tabs>
      <w:spacing w:after="100"/>
      <w:ind w:left="630" w:hanging="425"/>
    </w:pPr>
  </w:style>
  <w:style w:type="paragraph" w:styleId="Spistreci3">
    <w:name w:val="toc 3"/>
    <w:basedOn w:val="Normalny"/>
    <w:next w:val="Normalny"/>
    <w:autoRedefine/>
    <w:uiPriority w:val="39"/>
    <w:unhideWhenUsed/>
    <w:rsid w:val="00686858"/>
    <w:pPr>
      <w:spacing w:after="100"/>
      <w:ind w:left="440"/>
    </w:pPr>
    <w:rPr>
      <w:rFonts w:eastAsiaTheme="minorEastAsia"/>
      <w:lang w:eastAsia="pl-PL"/>
    </w:rPr>
  </w:style>
  <w:style w:type="paragraph" w:styleId="Spistreci4">
    <w:name w:val="toc 4"/>
    <w:basedOn w:val="Normalny"/>
    <w:next w:val="Normalny"/>
    <w:autoRedefine/>
    <w:uiPriority w:val="39"/>
    <w:unhideWhenUsed/>
    <w:rsid w:val="00686858"/>
    <w:pPr>
      <w:spacing w:after="100"/>
      <w:ind w:left="660"/>
    </w:pPr>
    <w:rPr>
      <w:rFonts w:eastAsiaTheme="minorEastAsia"/>
      <w:lang w:eastAsia="pl-PL"/>
    </w:rPr>
  </w:style>
  <w:style w:type="paragraph" w:styleId="Spistreci5">
    <w:name w:val="toc 5"/>
    <w:basedOn w:val="Normalny"/>
    <w:next w:val="Normalny"/>
    <w:autoRedefine/>
    <w:uiPriority w:val="39"/>
    <w:unhideWhenUsed/>
    <w:rsid w:val="00686858"/>
    <w:pPr>
      <w:spacing w:after="100"/>
      <w:ind w:left="880"/>
    </w:pPr>
    <w:rPr>
      <w:rFonts w:eastAsiaTheme="minorEastAsia"/>
      <w:lang w:eastAsia="pl-PL"/>
    </w:rPr>
  </w:style>
  <w:style w:type="paragraph" w:styleId="Spistreci6">
    <w:name w:val="toc 6"/>
    <w:basedOn w:val="Normalny"/>
    <w:next w:val="Normalny"/>
    <w:autoRedefine/>
    <w:uiPriority w:val="39"/>
    <w:unhideWhenUsed/>
    <w:rsid w:val="00686858"/>
    <w:pPr>
      <w:spacing w:after="100"/>
      <w:ind w:left="1100"/>
    </w:pPr>
    <w:rPr>
      <w:rFonts w:eastAsiaTheme="minorEastAsia"/>
      <w:lang w:eastAsia="pl-PL"/>
    </w:rPr>
  </w:style>
  <w:style w:type="paragraph" w:styleId="Spistreci7">
    <w:name w:val="toc 7"/>
    <w:basedOn w:val="Normalny"/>
    <w:next w:val="Normalny"/>
    <w:autoRedefine/>
    <w:uiPriority w:val="39"/>
    <w:unhideWhenUsed/>
    <w:rsid w:val="00686858"/>
    <w:pPr>
      <w:spacing w:after="100"/>
      <w:ind w:left="1320"/>
    </w:pPr>
    <w:rPr>
      <w:rFonts w:eastAsiaTheme="minorEastAsia"/>
      <w:lang w:eastAsia="pl-PL"/>
    </w:rPr>
  </w:style>
  <w:style w:type="paragraph" w:styleId="Spistreci8">
    <w:name w:val="toc 8"/>
    <w:basedOn w:val="Normalny"/>
    <w:next w:val="Normalny"/>
    <w:autoRedefine/>
    <w:uiPriority w:val="39"/>
    <w:unhideWhenUsed/>
    <w:rsid w:val="00686858"/>
    <w:pPr>
      <w:spacing w:after="100"/>
      <w:ind w:left="1540"/>
    </w:pPr>
    <w:rPr>
      <w:rFonts w:eastAsiaTheme="minorEastAsia"/>
      <w:lang w:eastAsia="pl-PL"/>
    </w:rPr>
  </w:style>
  <w:style w:type="paragraph" w:styleId="Spistreci9">
    <w:name w:val="toc 9"/>
    <w:basedOn w:val="Normalny"/>
    <w:next w:val="Normalny"/>
    <w:autoRedefine/>
    <w:uiPriority w:val="39"/>
    <w:unhideWhenUsed/>
    <w:rsid w:val="00686858"/>
    <w:pPr>
      <w:spacing w:after="100"/>
      <w:ind w:left="1760"/>
    </w:pPr>
    <w:rPr>
      <w:rFonts w:eastAsiaTheme="minorEastAsia"/>
      <w:lang w:eastAsia="pl-PL"/>
    </w:rPr>
  </w:style>
  <w:style w:type="character" w:styleId="UyteHipercze">
    <w:name w:val="FollowedHyperlink"/>
    <w:basedOn w:val="Domylnaczcionkaakapitu"/>
    <w:uiPriority w:val="99"/>
    <w:semiHidden/>
    <w:unhideWhenUsed/>
    <w:rsid w:val="00DB49AA"/>
    <w:rPr>
      <w:color w:val="954F72" w:themeColor="followedHyperlink"/>
      <w:u w:val="single"/>
    </w:rPr>
  </w:style>
  <w:style w:type="character" w:customStyle="1" w:styleId="st">
    <w:name w:val="st"/>
    <w:basedOn w:val="Domylnaczcionkaakapitu"/>
    <w:rsid w:val="000B63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503766">
      <w:bodyDiv w:val="1"/>
      <w:marLeft w:val="0"/>
      <w:marRight w:val="0"/>
      <w:marTop w:val="0"/>
      <w:marBottom w:val="0"/>
      <w:divBdr>
        <w:top w:val="none" w:sz="0" w:space="0" w:color="auto"/>
        <w:left w:val="none" w:sz="0" w:space="0" w:color="auto"/>
        <w:bottom w:val="none" w:sz="0" w:space="0" w:color="auto"/>
        <w:right w:val="none" w:sz="0" w:space="0" w:color="auto"/>
      </w:divBdr>
    </w:div>
    <w:div w:id="29915871">
      <w:bodyDiv w:val="1"/>
      <w:marLeft w:val="0"/>
      <w:marRight w:val="0"/>
      <w:marTop w:val="0"/>
      <w:marBottom w:val="0"/>
      <w:divBdr>
        <w:top w:val="none" w:sz="0" w:space="0" w:color="auto"/>
        <w:left w:val="none" w:sz="0" w:space="0" w:color="auto"/>
        <w:bottom w:val="none" w:sz="0" w:space="0" w:color="auto"/>
        <w:right w:val="none" w:sz="0" w:space="0" w:color="auto"/>
      </w:divBdr>
    </w:div>
    <w:div w:id="90708081">
      <w:bodyDiv w:val="1"/>
      <w:marLeft w:val="0"/>
      <w:marRight w:val="0"/>
      <w:marTop w:val="0"/>
      <w:marBottom w:val="0"/>
      <w:divBdr>
        <w:top w:val="none" w:sz="0" w:space="0" w:color="auto"/>
        <w:left w:val="none" w:sz="0" w:space="0" w:color="auto"/>
        <w:bottom w:val="none" w:sz="0" w:space="0" w:color="auto"/>
        <w:right w:val="none" w:sz="0" w:space="0" w:color="auto"/>
      </w:divBdr>
    </w:div>
    <w:div w:id="203449734">
      <w:bodyDiv w:val="1"/>
      <w:marLeft w:val="0"/>
      <w:marRight w:val="0"/>
      <w:marTop w:val="0"/>
      <w:marBottom w:val="0"/>
      <w:divBdr>
        <w:top w:val="none" w:sz="0" w:space="0" w:color="auto"/>
        <w:left w:val="none" w:sz="0" w:space="0" w:color="auto"/>
        <w:bottom w:val="none" w:sz="0" w:space="0" w:color="auto"/>
        <w:right w:val="none" w:sz="0" w:space="0" w:color="auto"/>
      </w:divBdr>
    </w:div>
    <w:div w:id="228856068">
      <w:bodyDiv w:val="1"/>
      <w:marLeft w:val="0"/>
      <w:marRight w:val="0"/>
      <w:marTop w:val="0"/>
      <w:marBottom w:val="0"/>
      <w:divBdr>
        <w:top w:val="none" w:sz="0" w:space="0" w:color="auto"/>
        <w:left w:val="none" w:sz="0" w:space="0" w:color="auto"/>
        <w:bottom w:val="none" w:sz="0" w:space="0" w:color="auto"/>
        <w:right w:val="none" w:sz="0" w:space="0" w:color="auto"/>
      </w:divBdr>
    </w:div>
    <w:div w:id="324016015">
      <w:bodyDiv w:val="1"/>
      <w:marLeft w:val="0"/>
      <w:marRight w:val="0"/>
      <w:marTop w:val="0"/>
      <w:marBottom w:val="0"/>
      <w:divBdr>
        <w:top w:val="none" w:sz="0" w:space="0" w:color="auto"/>
        <w:left w:val="none" w:sz="0" w:space="0" w:color="auto"/>
        <w:bottom w:val="none" w:sz="0" w:space="0" w:color="auto"/>
        <w:right w:val="none" w:sz="0" w:space="0" w:color="auto"/>
      </w:divBdr>
    </w:div>
    <w:div w:id="481964826">
      <w:bodyDiv w:val="1"/>
      <w:marLeft w:val="0"/>
      <w:marRight w:val="0"/>
      <w:marTop w:val="0"/>
      <w:marBottom w:val="0"/>
      <w:divBdr>
        <w:top w:val="none" w:sz="0" w:space="0" w:color="auto"/>
        <w:left w:val="none" w:sz="0" w:space="0" w:color="auto"/>
        <w:bottom w:val="none" w:sz="0" w:space="0" w:color="auto"/>
        <w:right w:val="none" w:sz="0" w:space="0" w:color="auto"/>
      </w:divBdr>
    </w:div>
    <w:div w:id="499925454">
      <w:bodyDiv w:val="1"/>
      <w:marLeft w:val="0"/>
      <w:marRight w:val="0"/>
      <w:marTop w:val="0"/>
      <w:marBottom w:val="0"/>
      <w:divBdr>
        <w:top w:val="none" w:sz="0" w:space="0" w:color="auto"/>
        <w:left w:val="none" w:sz="0" w:space="0" w:color="auto"/>
        <w:bottom w:val="none" w:sz="0" w:space="0" w:color="auto"/>
        <w:right w:val="none" w:sz="0" w:space="0" w:color="auto"/>
      </w:divBdr>
    </w:div>
    <w:div w:id="538007581">
      <w:bodyDiv w:val="1"/>
      <w:marLeft w:val="0"/>
      <w:marRight w:val="0"/>
      <w:marTop w:val="0"/>
      <w:marBottom w:val="0"/>
      <w:divBdr>
        <w:top w:val="none" w:sz="0" w:space="0" w:color="auto"/>
        <w:left w:val="none" w:sz="0" w:space="0" w:color="auto"/>
        <w:bottom w:val="none" w:sz="0" w:space="0" w:color="auto"/>
        <w:right w:val="none" w:sz="0" w:space="0" w:color="auto"/>
      </w:divBdr>
    </w:div>
    <w:div w:id="887567870">
      <w:bodyDiv w:val="1"/>
      <w:marLeft w:val="0"/>
      <w:marRight w:val="0"/>
      <w:marTop w:val="0"/>
      <w:marBottom w:val="0"/>
      <w:divBdr>
        <w:top w:val="none" w:sz="0" w:space="0" w:color="auto"/>
        <w:left w:val="none" w:sz="0" w:space="0" w:color="auto"/>
        <w:bottom w:val="none" w:sz="0" w:space="0" w:color="auto"/>
        <w:right w:val="none" w:sz="0" w:space="0" w:color="auto"/>
      </w:divBdr>
    </w:div>
    <w:div w:id="969356471">
      <w:bodyDiv w:val="1"/>
      <w:marLeft w:val="0"/>
      <w:marRight w:val="0"/>
      <w:marTop w:val="0"/>
      <w:marBottom w:val="0"/>
      <w:divBdr>
        <w:top w:val="none" w:sz="0" w:space="0" w:color="auto"/>
        <w:left w:val="none" w:sz="0" w:space="0" w:color="auto"/>
        <w:bottom w:val="none" w:sz="0" w:space="0" w:color="auto"/>
        <w:right w:val="none" w:sz="0" w:space="0" w:color="auto"/>
      </w:divBdr>
    </w:div>
    <w:div w:id="1173951523">
      <w:bodyDiv w:val="1"/>
      <w:marLeft w:val="0"/>
      <w:marRight w:val="0"/>
      <w:marTop w:val="0"/>
      <w:marBottom w:val="0"/>
      <w:divBdr>
        <w:top w:val="none" w:sz="0" w:space="0" w:color="auto"/>
        <w:left w:val="none" w:sz="0" w:space="0" w:color="auto"/>
        <w:bottom w:val="none" w:sz="0" w:space="0" w:color="auto"/>
        <w:right w:val="none" w:sz="0" w:space="0" w:color="auto"/>
      </w:divBdr>
    </w:div>
    <w:div w:id="1219392820">
      <w:bodyDiv w:val="1"/>
      <w:marLeft w:val="0"/>
      <w:marRight w:val="0"/>
      <w:marTop w:val="0"/>
      <w:marBottom w:val="0"/>
      <w:divBdr>
        <w:top w:val="none" w:sz="0" w:space="0" w:color="auto"/>
        <w:left w:val="none" w:sz="0" w:space="0" w:color="auto"/>
        <w:bottom w:val="none" w:sz="0" w:space="0" w:color="auto"/>
        <w:right w:val="none" w:sz="0" w:space="0" w:color="auto"/>
      </w:divBdr>
    </w:div>
    <w:div w:id="1276407513">
      <w:bodyDiv w:val="1"/>
      <w:marLeft w:val="0"/>
      <w:marRight w:val="0"/>
      <w:marTop w:val="0"/>
      <w:marBottom w:val="0"/>
      <w:divBdr>
        <w:top w:val="none" w:sz="0" w:space="0" w:color="auto"/>
        <w:left w:val="none" w:sz="0" w:space="0" w:color="auto"/>
        <w:bottom w:val="none" w:sz="0" w:space="0" w:color="auto"/>
        <w:right w:val="none" w:sz="0" w:space="0" w:color="auto"/>
      </w:divBdr>
    </w:div>
    <w:div w:id="1631474272">
      <w:bodyDiv w:val="1"/>
      <w:marLeft w:val="0"/>
      <w:marRight w:val="0"/>
      <w:marTop w:val="0"/>
      <w:marBottom w:val="0"/>
      <w:divBdr>
        <w:top w:val="none" w:sz="0" w:space="0" w:color="auto"/>
        <w:left w:val="none" w:sz="0" w:space="0" w:color="auto"/>
        <w:bottom w:val="none" w:sz="0" w:space="0" w:color="auto"/>
        <w:right w:val="none" w:sz="0" w:space="0" w:color="auto"/>
      </w:divBdr>
    </w:div>
    <w:div w:id="1648852620">
      <w:bodyDiv w:val="1"/>
      <w:marLeft w:val="0"/>
      <w:marRight w:val="0"/>
      <w:marTop w:val="0"/>
      <w:marBottom w:val="0"/>
      <w:divBdr>
        <w:top w:val="none" w:sz="0" w:space="0" w:color="auto"/>
        <w:left w:val="none" w:sz="0" w:space="0" w:color="auto"/>
        <w:bottom w:val="none" w:sz="0" w:space="0" w:color="auto"/>
        <w:right w:val="none" w:sz="0" w:space="0" w:color="auto"/>
      </w:divBdr>
    </w:div>
    <w:div w:id="1780834089">
      <w:bodyDiv w:val="1"/>
      <w:marLeft w:val="0"/>
      <w:marRight w:val="0"/>
      <w:marTop w:val="0"/>
      <w:marBottom w:val="0"/>
      <w:divBdr>
        <w:top w:val="none" w:sz="0" w:space="0" w:color="auto"/>
        <w:left w:val="none" w:sz="0" w:space="0" w:color="auto"/>
        <w:bottom w:val="none" w:sz="0" w:space="0" w:color="auto"/>
        <w:right w:val="none" w:sz="0" w:space="0" w:color="auto"/>
      </w:divBdr>
    </w:div>
    <w:div w:id="2021351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geo:0,0?q=2017%20r.%20poz.%20657%20i%202286%20oraz" TargetMode="Externa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6C1467-5DA1-4374-9386-082E234BBFB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288</TotalTime>
  <Pages>287</Pages>
  <Words>125871</Words>
  <Characters>755232</Characters>
  <Application>Microsoft Office Word</Application>
  <DocSecurity>0</DocSecurity>
  <Lines>6293</Lines>
  <Paragraphs>1758</Paragraphs>
  <ScaleCrop>false</ScaleCrop>
  <HeadingPairs>
    <vt:vector size="2" baseType="variant">
      <vt:variant>
        <vt:lpstr>Tytuł</vt:lpstr>
      </vt:variant>
      <vt:variant>
        <vt:i4>1</vt:i4>
      </vt:variant>
    </vt:vector>
  </HeadingPairs>
  <TitlesOfParts>
    <vt:vector size="1" baseType="lpstr">
      <vt:lpstr/>
    </vt:vector>
  </TitlesOfParts>
  <Company>KPRM</Company>
  <LinksUpToDate>false</LinksUpToDate>
  <CharactersWithSpaces>879345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Szczepaniak Sylwester</dc:creator>
  <cp:lastModifiedBy>Jankowska-Słomianko Dorota</cp:lastModifiedBy>
  <cp:revision>188</cp:revision>
  <cp:lastPrinted>2018-11-23T14:16:00Z</cp:lastPrinted>
  <dcterms:created xsi:type="dcterms:W3CDTF">2018-11-21T11:08:00Z</dcterms:created>
  <dcterms:modified xsi:type="dcterms:W3CDTF">2018-11-23T15:02:00Z</dcterms:modified>
</cp:coreProperties>
</file>