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B40" w:rsidRPr="00C44A29" w:rsidRDefault="00FA6B40" w:rsidP="003835D3">
      <w:pPr>
        <w:widowControl w:val="0"/>
        <w:autoSpaceDE w:val="0"/>
        <w:autoSpaceDN w:val="0"/>
        <w:adjustRightInd w:val="0"/>
        <w:spacing w:before="120" w:line="360" w:lineRule="auto"/>
        <w:jc w:val="center"/>
        <w:rPr>
          <w:rFonts w:eastAsiaTheme="minorEastAsia"/>
          <w:b/>
        </w:rPr>
      </w:pPr>
      <w:bookmarkStart w:id="0" w:name="_GoBack"/>
      <w:r w:rsidRPr="00C44A29">
        <w:rPr>
          <w:rFonts w:eastAsiaTheme="minorEastAsia"/>
          <w:b/>
        </w:rPr>
        <w:t>UZASADNIENIE</w:t>
      </w:r>
    </w:p>
    <w:bookmarkEnd w:id="0"/>
    <w:p w:rsidR="00FA6B40" w:rsidRPr="00E261BF" w:rsidRDefault="00FA6B40" w:rsidP="000F26EE">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Potrzeba i cel wydania ustawy</w:t>
      </w:r>
    </w:p>
    <w:p w:rsidR="00FA6B40" w:rsidRPr="00E261BF" w:rsidRDefault="00FA6B40" w:rsidP="003835D3">
      <w:pPr>
        <w:spacing w:before="120" w:line="360" w:lineRule="auto"/>
        <w:jc w:val="both"/>
        <w:rPr>
          <w:rFonts w:eastAsia="Calibri"/>
          <w:b/>
          <w:lang w:eastAsia="en-US"/>
        </w:rPr>
      </w:pPr>
      <w:r w:rsidRPr="00E261BF">
        <w:rPr>
          <w:rFonts w:eastAsia="Calibri"/>
          <w:b/>
          <w:lang w:eastAsia="en-US"/>
        </w:rPr>
        <w:t>Wprowadzenie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Polska posiada potencjał podwojenia produkcji ciepła w kogeneracji dzięki zamianie kotłów ciepłowniczych na jednostki kogeneracji. Wykorzystanie potencjału kogeneracji wymaga jednak bardzo wysokich nakładów inwestycyjnych. Niestety, trwająca od kilku lat trudna sytuacja przedsiębiorstw ciepłowniczy</w:t>
      </w:r>
      <w:r w:rsidR="003835D3">
        <w:rPr>
          <w:rFonts w:eastAsia="Calibri"/>
          <w:lang w:eastAsia="en-US"/>
        </w:rPr>
        <w:t>ch stanowi poważną przeszkodę w </w:t>
      </w:r>
      <w:r w:rsidRPr="00E261BF">
        <w:rPr>
          <w:rFonts w:eastAsia="Calibri"/>
          <w:lang w:eastAsia="en-US"/>
        </w:rPr>
        <w:t>realizacji wymaganych inwestycji. Większość aktywów ciepłowniczych należy przede wszystkim do</w:t>
      </w:r>
      <w:r w:rsidR="00680107">
        <w:rPr>
          <w:rFonts w:eastAsia="Calibri"/>
          <w:lang w:eastAsia="en-US"/>
        </w:rPr>
        <w:t xml:space="preserve"> </w:t>
      </w:r>
      <w:r w:rsidRPr="00E261BF">
        <w:rPr>
          <w:rFonts w:eastAsia="Calibri"/>
          <w:lang w:eastAsia="en-US"/>
        </w:rPr>
        <w:t>samorządów, które często mają trudności z ich utrzymaniem, przeprowadzeniem kosztownych inwestycji oraz zapewnieniem odpowiednich kompetencji do ich rozwoju. Własność samorządowa dotyczy głównie systemów ciepłowniczych i lokalnych kotłowni w</w:t>
      </w:r>
      <w:r w:rsidR="00680107">
        <w:rPr>
          <w:rFonts w:eastAsia="Calibri"/>
          <w:lang w:eastAsia="en-US"/>
        </w:rPr>
        <w:t xml:space="preserve"> </w:t>
      </w:r>
      <w:r w:rsidRPr="00E261BF">
        <w:rPr>
          <w:rFonts w:eastAsia="Calibri"/>
          <w:lang w:eastAsia="en-US"/>
        </w:rPr>
        <w:t>mniejszych miejscowościach. W większych miastach ciepłownictwo podlegało procesom komercjalizacji i prywatyzacji, dlatego znaczna część aktywów ciepłowniczych na ich obszarze należy obecnie do podmiotów prywatnych, w tym koncernów zagranicznych oraz krajowych grup energetycznych.</w:t>
      </w:r>
    </w:p>
    <w:p w:rsidR="00FA6B40" w:rsidRPr="00E261BF" w:rsidRDefault="00FA6B40" w:rsidP="003835D3">
      <w:pPr>
        <w:spacing w:before="120" w:line="360" w:lineRule="auto"/>
        <w:jc w:val="both"/>
        <w:rPr>
          <w:rFonts w:eastAsia="Calibri"/>
          <w:b/>
          <w:lang w:eastAsia="en-US"/>
        </w:rPr>
      </w:pPr>
      <w:r w:rsidRPr="00E261BF">
        <w:rPr>
          <w:rFonts w:eastAsia="Calibri"/>
          <w:b/>
          <w:lang w:eastAsia="en-US"/>
        </w:rPr>
        <w:t>Problem jakości powietrza w Polsce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Jednym z poważniejszych problemów społecznych naszego kraju związanych z</w:t>
      </w:r>
      <w:r w:rsidR="003835D3">
        <w:rPr>
          <w:rFonts w:eastAsia="Calibri"/>
          <w:lang w:eastAsia="en-US"/>
        </w:rPr>
        <w:t> </w:t>
      </w:r>
      <w:r w:rsidRPr="00E261BF">
        <w:rPr>
          <w:rFonts w:eastAsia="Calibri"/>
          <w:lang w:eastAsia="en-US"/>
        </w:rPr>
        <w:t xml:space="preserve">występowaniem niekorzystnych zjawisk środowiskowych jest niska jakość powietrza, wiążąca się również ze zjawiskami tzw. niskiej emisji oraz smogu. O ile w dużych aglomeracjach za złą jakość powietrza odpowiadają przede wszystkim </w:t>
      </w:r>
      <w:r w:rsidRPr="00E261BF">
        <w:t>emisje zanieczyszczeń z transportu</w:t>
      </w:r>
      <w:r w:rsidRPr="00E261BF">
        <w:rPr>
          <w:rFonts w:eastAsia="Calibri"/>
          <w:lang w:eastAsia="en-US"/>
        </w:rPr>
        <w:t xml:space="preserve">, to w mniejszych miejscowościach głównym jego powodem są indywidualne domowe paleniska zasilane paliwem złej jakości. Doświadczenia samorządów pokazują, że nawet najlepsze zachęty do wymiany kotłów na gazowe, elektryczne i inne są bardzo powolne, ponieważ „nieekologiczne” postawy obywateli (jak np. spalanie odpadów albo spalanie paliw niskiej jakości) wynikają głównie z ubóstwa i niskiej świadomości społecznej i ekologicznej. Dlatego systemowa walka z problemem niskiej jakości powietrza musi być ściśle skorelowana z wysiłkami władz na rzecz zapewnienia bezpieczeństwa obywatelom </w:t>
      </w:r>
      <w:r w:rsidR="00680107">
        <w:rPr>
          <w:rFonts w:eastAsia="Calibri"/>
          <w:lang w:eastAsia="en-US"/>
        </w:rPr>
        <w:t>–</w:t>
      </w:r>
      <w:r w:rsidRPr="00E261BF">
        <w:rPr>
          <w:rFonts w:eastAsia="Calibri"/>
          <w:lang w:eastAsia="en-US"/>
        </w:rPr>
        <w:t xml:space="preserve"> bezpieczeństwa socjalnego, energetycznego i</w:t>
      </w:r>
      <w:r w:rsidR="00680107">
        <w:rPr>
          <w:rFonts w:eastAsia="Calibri"/>
          <w:lang w:eastAsia="en-US"/>
        </w:rPr>
        <w:t xml:space="preserve"> </w:t>
      </w:r>
      <w:r w:rsidRPr="00E261BF">
        <w:rPr>
          <w:rFonts w:eastAsia="Calibri"/>
          <w:lang w:eastAsia="en-US"/>
        </w:rPr>
        <w:t>wreszcie zdrowotnego: wyższej jakości życia w czystym powietrzu. Odczuwalna poprawa jakości powietrza doprowadzi do wymiernych skutków w</w:t>
      </w:r>
      <w:r w:rsidR="00680107">
        <w:rPr>
          <w:rFonts w:eastAsia="Calibri"/>
          <w:lang w:eastAsia="en-US"/>
        </w:rPr>
        <w:t xml:space="preserve"> </w:t>
      </w:r>
      <w:r w:rsidRPr="00E261BF">
        <w:rPr>
          <w:rFonts w:eastAsia="Calibri"/>
          <w:lang w:eastAsia="en-US"/>
        </w:rPr>
        <w:t xml:space="preserve">postaci zmniejszenia obciążeń służby zdrowia, które są powodowane chorobami układu krążenia oraz oddechowego milionów Polaków. </w:t>
      </w:r>
    </w:p>
    <w:p w:rsidR="00FA6B40" w:rsidRPr="00E261BF" w:rsidRDefault="00FA6B40" w:rsidP="003835D3">
      <w:pPr>
        <w:spacing w:before="120" w:line="360" w:lineRule="auto"/>
        <w:jc w:val="both"/>
        <w:rPr>
          <w:rFonts w:eastAsia="Calibri"/>
          <w:lang w:eastAsia="en-US"/>
        </w:rPr>
      </w:pPr>
      <w:r w:rsidRPr="00E261BF">
        <w:rPr>
          <w:rFonts w:eastAsia="Calibri"/>
          <w:lang w:eastAsia="en-US"/>
        </w:rPr>
        <w:lastRenderedPageBreak/>
        <w:t>Powyżej wskazane problemy można rozwiązać poprzez m.in. rozwój ciepłownictwa sieciowego zasilanego ciepłem wytwarzanym w procesie kogeneracji. Kogeneracja jest optymalnym sposobem wykorzystania paliw, ponieważ efektywność takiego procesu może być nawet o 50% większa, niż w przypadku gdy ciepło i energia elektryczna są produkowane osobno. Zmniejsza się też odpowiednio emisja zanieczyszczeń, tj. np.: dwutlenku węgla, pyłów, tlenków siarki i azotu oraz innych szkodliwych dla środowiska substancji.</w:t>
      </w:r>
    </w:p>
    <w:p w:rsidR="00FA6B40" w:rsidRPr="00E261BF" w:rsidRDefault="00FA6B40" w:rsidP="003835D3">
      <w:pPr>
        <w:spacing w:before="120" w:line="360" w:lineRule="auto"/>
        <w:jc w:val="both"/>
        <w:rPr>
          <w:rFonts w:eastAsia="Calibri"/>
          <w:b/>
          <w:lang w:eastAsia="en-US"/>
        </w:rPr>
      </w:pPr>
      <w:r w:rsidRPr="00E261BF">
        <w:rPr>
          <w:rFonts w:eastAsia="Calibri"/>
          <w:b/>
          <w:lang w:eastAsia="en-US"/>
        </w:rPr>
        <w:t>Nieefektywne energetycznie systemy ciepłownicze lub chłodnicze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Zgodnie z art. 7b ust. 4 ustawy z dnia 10 kwietnia 1997 r. – Prawo energetyczne (Dz.</w:t>
      </w:r>
      <w:r w:rsidR="00680107">
        <w:rPr>
          <w:rFonts w:eastAsia="Calibri"/>
          <w:lang w:eastAsia="en-US"/>
        </w:rPr>
        <w:t xml:space="preserve"> </w:t>
      </w:r>
      <w:r w:rsidRPr="00E261BF">
        <w:rPr>
          <w:rFonts w:eastAsia="Calibri"/>
          <w:lang w:eastAsia="en-US"/>
        </w:rPr>
        <w:t>U.</w:t>
      </w:r>
      <w:r w:rsidR="00680107">
        <w:rPr>
          <w:rFonts w:eastAsia="Calibri"/>
          <w:lang w:eastAsia="en-US"/>
        </w:rPr>
        <w:t xml:space="preserve"> </w:t>
      </w:r>
      <w:r w:rsidRPr="00E261BF">
        <w:rPr>
          <w:rFonts w:eastAsia="Calibri"/>
          <w:lang w:eastAsia="en-US"/>
        </w:rPr>
        <w:t>z</w:t>
      </w:r>
      <w:r w:rsidR="00680107">
        <w:rPr>
          <w:rFonts w:eastAsia="Calibri"/>
          <w:lang w:eastAsia="en-US"/>
        </w:rPr>
        <w:t xml:space="preserve"> </w:t>
      </w:r>
      <w:r w:rsidRPr="00E261BF">
        <w:rPr>
          <w:rFonts w:eastAsia="Calibri"/>
          <w:lang w:eastAsia="en-US"/>
        </w:rPr>
        <w:t>2018</w:t>
      </w:r>
      <w:r w:rsidR="00680107">
        <w:rPr>
          <w:rFonts w:eastAsia="Calibri"/>
          <w:lang w:eastAsia="en-US"/>
        </w:rPr>
        <w:t xml:space="preserve"> </w:t>
      </w:r>
      <w:r w:rsidRPr="00E261BF">
        <w:rPr>
          <w:rFonts w:eastAsia="Calibri"/>
          <w:lang w:eastAsia="en-US"/>
        </w:rPr>
        <w:t>r. poz.</w:t>
      </w:r>
      <w:r w:rsidR="00680107">
        <w:rPr>
          <w:rFonts w:eastAsia="Calibri"/>
          <w:lang w:eastAsia="en-US"/>
        </w:rPr>
        <w:t xml:space="preserve"> </w:t>
      </w:r>
      <w:r w:rsidRPr="00E261BF">
        <w:rPr>
          <w:rFonts w:eastAsia="Calibri"/>
          <w:lang w:eastAsia="en-US"/>
        </w:rPr>
        <w:t>755</w:t>
      </w:r>
      <w:r w:rsidR="005D4A51">
        <w:rPr>
          <w:rFonts w:eastAsia="Calibri"/>
          <w:lang w:eastAsia="en-US"/>
        </w:rPr>
        <w:t>,</w:t>
      </w:r>
      <w:r w:rsidRPr="00E261BF">
        <w:rPr>
          <w:rFonts w:eastAsia="Calibri"/>
          <w:lang w:eastAsia="en-US"/>
        </w:rPr>
        <w:t xml:space="preserve"> z późn. zm.) przez efektywny energetycznie system ciepłowniczy lub chłodniczy rozumie się taki system, w którym do wytwarzania ciepła lub chłodu wykorzystuje się co najmniej w:</w:t>
      </w:r>
    </w:p>
    <w:p w:rsidR="00FA6B40" w:rsidRPr="00E261BF" w:rsidRDefault="00E261BF" w:rsidP="003835D3">
      <w:pPr>
        <w:spacing w:before="120" w:line="360" w:lineRule="auto"/>
        <w:ind w:left="284" w:hanging="284"/>
        <w:jc w:val="both"/>
        <w:rPr>
          <w:rFonts w:eastAsia="Calibri"/>
          <w:lang w:eastAsia="en-US"/>
        </w:rPr>
      </w:pPr>
      <w:r>
        <w:rPr>
          <w:rFonts w:eastAsia="Calibri"/>
          <w:lang w:eastAsia="en-US"/>
        </w:rPr>
        <w:t>1)</w:t>
      </w:r>
      <w:r>
        <w:rPr>
          <w:rFonts w:eastAsia="Calibri"/>
          <w:lang w:eastAsia="en-US"/>
        </w:rPr>
        <w:tab/>
      </w:r>
      <w:r w:rsidR="00FA6B40" w:rsidRPr="00E261BF">
        <w:rPr>
          <w:rFonts w:eastAsia="Calibri"/>
          <w:lang w:eastAsia="en-US"/>
        </w:rPr>
        <w:t>50% energię z odnawialnych źródeł energii lub</w:t>
      </w:r>
    </w:p>
    <w:p w:rsidR="00FA6B40" w:rsidRPr="00E261BF" w:rsidRDefault="00E261BF" w:rsidP="003835D3">
      <w:pPr>
        <w:spacing w:before="120" w:line="360" w:lineRule="auto"/>
        <w:ind w:left="284" w:hanging="284"/>
        <w:jc w:val="both"/>
        <w:rPr>
          <w:rFonts w:eastAsia="Calibri"/>
          <w:lang w:eastAsia="en-US"/>
        </w:rPr>
      </w:pPr>
      <w:r>
        <w:rPr>
          <w:rFonts w:eastAsia="Calibri"/>
          <w:lang w:eastAsia="en-US"/>
        </w:rPr>
        <w:t>2)</w:t>
      </w:r>
      <w:r>
        <w:rPr>
          <w:rFonts w:eastAsia="Calibri"/>
          <w:lang w:eastAsia="en-US"/>
        </w:rPr>
        <w:tab/>
      </w:r>
      <w:r w:rsidR="00FA6B40" w:rsidRPr="00E261BF">
        <w:rPr>
          <w:rFonts w:eastAsia="Calibri"/>
          <w:lang w:eastAsia="en-US"/>
        </w:rPr>
        <w:t>50% ciepło odpadowe, lub</w:t>
      </w:r>
    </w:p>
    <w:p w:rsidR="00FA6B40" w:rsidRPr="00E261BF" w:rsidRDefault="00E261BF" w:rsidP="003835D3">
      <w:pPr>
        <w:spacing w:before="120" w:line="360" w:lineRule="auto"/>
        <w:ind w:left="284" w:hanging="284"/>
        <w:jc w:val="both"/>
        <w:rPr>
          <w:rFonts w:eastAsia="Calibri"/>
          <w:lang w:eastAsia="en-US"/>
        </w:rPr>
      </w:pPr>
      <w:r>
        <w:rPr>
          <w:rFonts w:eastAsia="Calibri"/>
          <w:lang w:eastAsia="en-US"/>
        </w:rPr>
        <w:t>3)</w:t>
      </w:r>
      <w:r>
        <w:rPr>
          <w:rFonts w:eastAsia="Calibri"/>
          <w:lang w:eastAsia="en-US"/>
        </w:rPr>
        <w:tab/>
      </w:r>
      <w:r w:rsidR="00FA6B40" w:rsidRPr="00E261BF">
        <w:rPr>
          <w:rFonts w:eastAsia="Calibri"/>
          <w:lang w:eastAsia="en-US"/>
        </w:rPr>
        <w:t>75% ciepło pochodzące z kogeneracji, lub</w:t>
      </w:r>
    </w:p>
    <w:p w:rsidR="00FA6B40" w:rsidRPr="00E261BF" w:rsidRDefault="00E261BF" w:rsidP="003835D3">
      <w:pPr>
        <w:spacing w:before="120" w:line="360" w:lineRule="auto"/>
        <w:ind w:left="284" w:hanging="284"/>
        <w:jc w:val="both"/>
        <w:rPr>
          <w:rFonts w:eastAsia="Calibri"/>
          <w:lang w:eastAsia="en-US"/>
        </w:rPr>
      </w:pPr>
      <w:r>
        <w:rPr>
          <w:rFonts w:eastAsia="Calibri"/>
          <w:lang w:eastAsia="en-US"/>
        </w:rPr>
        <w:t>4)</w:t>
      </w:r>
      <w:r>
        <w:rPr>
          <w:rFonts w:eastAsia="Calibri"/>
          <w:lang w:eastAsia="en-US"/>
        </w:rPr>
        <w:tab/>
      </w:r>
      <w:r w:rsidR="00FA6B40" w:rsidRPr="00E261BF">
        <w:rPr>
          <w:rFonts w:eastAsia="Calibri"/>
          <w:lang w:eastAsia="en-US"/>
        </w:rPr>
        <w:t>50% połączenie energii i ciepła, o których mowa w pkt 1–3.</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W kwietniu 2018 roku Izba Gospodarcza Ciepłownictwo Polskie na prośbę Ministerstwa Energii przeprowadziła wśród zrzeszonych w niej przedsiębiorstw ciepłowniczych badanie, na podstawie którego stwierdzono, że na 255 systemów ciepłowniczych eksploatowanych przez członków Izby (na łączna liczbę 412 koncesjonowanych przedsiębiorstw ciepłowniczych </w:t>
      </w:r>
      <w:r w:rsidR="00680107">
        <w:rPr>
          <w:rFonts w:eastAsia="Calibri"/>
          <w:lang w:eastAsia="en-US"/>
        </w:rPr>
        <w:t>–</w:t>
      </w:r>
      <w:r w:rsidRPr="00E261BF">
        <w:rPr>
          <w:rFonts w:eastAsia="Calibri"/>
          <w:lang w:eastAsia="en-US"/>
        </w:rPr>
        <w:t xml:space="preserve"> wg stanu na dzień 31 grudnia 2016 r.), które obejmują około 85% ogólnego wolumen</w:t>
      </w:r>
      <w:r w:rsidR="003835D3">
        <w:rPr>
          <w:rFonts w:eastAsia="Calibri"/>
          <w:lang w:eastAsia="en-US"/>
        </w:rPr>
        <w:t>u ilości ciepła dostarczanego z </w:t>
      </w:r>
      <w:r w:rsidRPr="00E261BF">
        <w:rPr>
          <w:rFonts w:eastAsia="Calibri"/>
          <w:lang w:eastAsia="en-US"/>
        </w:rPr>
        <w:t>systemów ciepłowniczych w Polsce, tylko ok. 20% spełnia kryterium efektywnego energetycznie systemu ciepłowniczego lub chłodniczego.</w:t>
      </w:r>
    </w:p>
    <w:p w:rsidR="00FA6B40" w:rsidRPr="00E261BF" w:rsidRDefault="00FA6B40" w:rsidP="003835D3">
      <w:pPr>
        <w:spacing w:before="120" w:line="360" w:lineRule="auto"/>
        <w:jc w:val="both"/>
        <w:rPr>
          <w:rFonts w:eastAsia="Calibri"/>
          <w:lang w:eastAsia="en-US"/>
        </w:rPr>
      </w:pPr>
      <w:r w:rsidRPr="00E261BF">
        <w:rPr>
          <w:rFonts w:eastAsia="Calibri"/>
          <w:lang w:eastAsia="en-US"/>
        </w:rPr>
        <w:t>Należy również zwrócić uwagę, że systemy ciepłownicze, które znajdują się w grupie spełniających kryterium efektywnego energetycznie systemu ciepłowniczego lub</w:t>
      </w:r>
      <w:r w:rsidR="00680107">
        <w:rPr>
          <w:rFonts w:eastAsia="Calibri"/>
          <w:lang w:eastAsia="en-US"/>
        </w:rPr>
        <w:t xml:space="preserve"> </w:t>
      </w:r>
      <w:r w:rsidRPr="00E261BF">
        <w:rPr>
          <w:rFonts w:eastAsia="Calibri"/>
          <w:lang w:eastAsia="en-US"/>
        </w:rPr>
        <w:t>chłodniczego, to systemy dostarczające ciepło odbiorcom w największych miastach Polski.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Mając powyższe na uwadze, należy zauważyć, iż niezbędne jest podjęcie działań długoterminowych, których celem będzie eliminacja systemów nieefektywnych poprzez inwestycje m.in. w jednostki odnawialnych źródeł energii oraz jednostki kogeneracji </w:t>
      </w:r>
      <w:r w:rsidRPr="00E261BF">
        <w:rPr>
          <w:rFonts w:eastAsia="Calibri"/>
          <w:lang w:eastAsia="en-US"/>
        </w:rPr>
        <w:lastRenderedPageBreak/>
        <w:t>(w</w:t>
      </w:r>
      <w:r w:rsidR="003835D3">
        <w:rPr>
          <w:rFonts w:eastAsia="Calibri"/>
          <w:lang w:eastAsia="en-US"/>
        </w:rPr>
        <w:t> </w:t>
      </w:r>
      <w:r w:rsidRPr="00E261BF">
        <w:rPr>
          <w:rFonts w:eastAsia="Calibri"/>
          <w:lang w:eastAsia="en-US"/>
        </w:rPr>
        <w:t>tym również wykorzystujące odnawialne źródła energii). Dodatkowo, koncentracja wsparcia głównie na jednostkach o mocy do 50 MW oraz ułatwienia proceduralne dla instalacji do</w:t>
      </w:r>
      <w:r w:rsidR="00680107">
        <w:rPr>
          <w:rFonts w:eastAsia="Calibri"/>
          <w:lang w:eastAsia="en-US"/>
        </w:rPr>
        <w:t xml:space="preserve"> </w:t>
      </w:r>
      <w:r w:rsidRPr="00E261BF">
        <w:rPr>
          <w:rFonts w:eastAsia="Calibri"/>
          <w:lang w:eastAsia="en-US"/>
        </w:rPr>
        <w:t>1</w:t>
      </w:r>
      <w:r w:rsidR="00680107">
        <w:rPr>
          <w:rFonts w:eastAsia="Calibri"/>
          <w:lang w:eastAsia="en-US"/>
        </w:rPr>
        <w:t xml:space="preserve"> </w:t>
      </w:r>
      <w:r w:rsidRPr="00E261BF">
        <w:rPr>
          <w:rFonts w:eastAsia="Calibri"/>
          <w:lang w:eastAsia="en-US"/>
        </w:rPr>
        <w:t>MW przyczynią się do rozwoju efektywnych energetycznie systemów ciepłowniczych na terenie mniejszych aglomeracji miejskich.</w:t>
      </w:r>
    </w:p>
    <w:p w:rsidR="00FA6B40" w:rsidRPr="00E261BF" w:rsidRDefault="00FA6B40" w:rsidP="003835D3">
      <w:pPr>
        <w:spacing w:before="120" w:line="360" w:lineRule="auto"/>
        <w:jc w:val="both"/>
        <w:rPr>
          <w:rFonts w:eastAsia="Calibri"/>
          <w:b/>
          <w:lang w:eastAsia="en-US"/>
        </w:rPr>
      </w:pPr>
      <w:r w:rsidRPr="00E261BF">
        <w:rPr>
          <w:rFonts w:eastAsia="Calibri"/>
          <w:b/>
          <w:lang w:eastAsia="en-US"/>
        </w:rPr>
        <w:t>Koniec obecnego systemu wsparcia dla wysokosprawnej kogeneracji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Obecnie funkcjonującym instrumentem, służącym do zapewnienia realizacji celu w</w:t>
      </w:r>
      <w:r w:rsidR="003835D3">
        <w:rPr>
          <w:rFonts w:eastAsia="Calibri"/>
          <w:lang w:eastAsia="en-US"/>
        </w:rPr>
        <w:t> </w:t>
      </w:r>
      <w:r w:rsidRPr="00E261BF">
        <w:rPr>
          <w:rFonts w:eastAsia="Calibri"/>
          <w:lang w:eastAsia="en-US"/>
        </w:rPr>
        <w:t>zakresie produkcji energii elektrycznej z wysokosprawnej kogeneracji, jest system wsparcia operacyjnego oparty o system świadectw pochodzenia. Poziom wsparcia uzależniony jest od</w:t>
      </w:r>
      <w:r w:rsidR="00680107">
        <w:rPr>
          <w:rFonts w:eastAsia="Calibri"/>
          <w:lang w:eastAsia="en-US"/>
        </w:rPr>
        <w:t xml:space="preserve"> </w:t>
      </w:r>
      <w:r w:rsidRPr="00E261BF">
        <w:rPr>
          <w:rFonts w:eastAsia="Calibri"/>
          <w:lang w:eastAsia="en-US"/>
        </w:rPr>
        <w:t>wielkości produkcji. System ten na podstawie pierwotnych przepisów funkcjonował w latach 2007</w:t>
      </w:r>
      <w:r w:rsidR="00680107">
        <w:rPr>
          <w:rFonts w:eastAsia="Calibri"/>
          <w:lang w:eastAsia="en-US"/>
        </w:rPr>
        <w:t>–</w:t>
      </w:r>
      <w:r w:rsidRPr="00E261BF">
        <w:rPr>
          <w:rFonts w:eastAsia="Calibri"/>
          <w:lang w:eastAsia="en-US"/>
        </w:rPr>
        <w:t xml:space="preserve">2012. Poprzez nowelizację ustawy </w:t>
      </w:r>
      <w:r w:rsidR="00680107">
        <w:rPr>
          <w:rFonts w:eastAsia="Calibri"/>
          <w:lang w:eastAsia="en-US"/>
        </w:rPr>
        <w:t>–</w:t>
      </w:r>
      <w:r w:rsidRPr="00E261BF">
        <w:rPr>
          <w:rFonts w:eastAsia="Calibri"/>
          <w:lang w:eastAsia="en-US"/>
        </w:rPr>
        <w:t xml:space="preserve"> Prawo energetyczne uchwaloną w 2014 roku przywrócono oraz przedłużono funkcjonowanie tego systemu do końca 2018 roku. Po tej dacie obecny system wygaśnie.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Okres eksploatacji istniejących jednostek kogeneracyjnych (jak również horyzont planowania nowych inwestycji) jest jednak znacznie dłuższy niż przewidywany okres wsparcia. Brak kierunkowych regulacji, związany m.in. z brakiem przedłużenia systemu wsparcia na 2013 rok oraz krótki okres kontynuacji systemu wsparcia (jedynie do roku 2018) powoduje ograniczony rozwój nowych źródeł oraz trudności z osiągnięciem rentowności na</w:t>
      </w:r>
      <w:r w:rsidR="00680107">
        <w:rPr>
          <w:rFonts w:eastAsia="Calibri"/>
          <w:lang w:eastAsia="en-US"/>
        </w:rPr>
        <w:t xml:space="preserve"> </w:t>
      </w:r>
      <w:r w:rsidRPr="00E261BF">
        <w:rPr>
          <w:rFonts w:eastAsia="Calibri"/>
          <w:lang w:eastAsia="en-US"/>
        </w:rPr>
        <w:t xml:space="preserve">uzasadnionym poziomie w przypadku istniejących jednostek wytwórczych.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Dla zapewnienia stabilności wsparcia oraz długofalowego planowania działań inwestycyjnych w obszarze wysokosprawnej kogeneracji niezbędne jest podjęcie środków zapewniających gwarancję niezmienności wsparcia w okresie niezbędnym do zwrotu poniesionych przez inwestorów nakładów inwestycyjnych. Proponowany okres na jaki zostanie udzielone wsparcie – 15 l</w:t>
      </w:r>
      <w:r w:rsidR="003835D3">
        <w:rPr>
          <w:rFonts w:eastAsia="Calibri"/>
          <w:lang w:eastAsia="en-US"/>
        </w:rPr>
        <w:t>at, wydaje się być optymalnym i </w:t>
      </w:r>
      <w:r w:rsidRPr="00E261BF">
        <w:rPr>
          <w:rFonts w:eastAsia="Calibri"/>
          <w:lang w:eastAsia="en-US"/>
        </w:rPr>
        <w:t>wystarczającym z punktu widzenia inwestorów. Wskazany okres wsparcia jest również spójny z analogicznymi rozwiązaniami przyjętymi w obszarze mechanizmów wsparcia dla odnawialnych źródeł energii. Zapewnienie impulsu inwestycyjnego jest jednym z kluczowych zadań nowego mechanizmu wsparcia, który, z uwagi na ograniczony okres funkcjonowania dotychczasowego mechanizmu był ograniczony.</w:t>
      </w:r>
    </w:p>
    <w:p w:rsidR="00FA6B40" w:rsidRPr="00E261BF" w:rsidRDefault="00FA6B40" w:rsidP="003835D3">
      <w:pPr>
        <w:spacing w:before="120" w:line="360" w:lineRule="auto"/>
        <w:jc w:val="both"/>
        <w:rPr>
          <w:rFonts w:eastAsia="Calibri"/>
          <w:lang w:eastAsia="en-US"/>
        </w:rPr>
      </w:pPr>
      <w:r w:rsidRPr="00E261BF">
        <w:rPr>
          <w:rFonts w:eastAsia="Calibri"/>
          <w:lang w:eastAsia="en-US"/>
        </w:rPr>
        <w:t>Jednocześnie większe zróżnicowanie poziomów wsparcia względem dotychczasowych rozwiązań (3 kategorie jednostek kogeneracji, o których mo</w:t>
      </w:r>
      <w:r w:rsidR="003835D3">
        <w:rPr>
          <w:rFonts w:eastAsia="Calibri"/>
          <w:lang w:eastAsia="en-US"/>
        </w:rPr>
        <w:t>wa w art. 9l ust. 1 pkt 1, 1a i </w:t>
      </w:r>
      <w:r w:rsidRPr="00E261BF">
        <w:rPr>
          <w:rFonts w:eastAsia="Calibri"/>
          <w:lang w:eastAsia="en-US"/>
        </w:rPr>
        <w:t xml:space="preserve">2 ustawy – Prawo energetyczne) przyczyni się do efektywniejszej alokacji środków </w:t>
      </w:r>
      <w:r w:rsidRPr="00E261BF">
        <w:rPr>
          <w:rFonts w:eastAsia="Calibri"/>
          <w:lang w:eastAsia="en-US"/>
        </w:rPr>
        <w:lastRenderedPageBreak/>
        <w:t>dostępnych w ramach nowego mechanizmu oraz</w:t>
      </w:r>
      <w:r w:rsidR="003835D3">
        <w:rPr>
          <w:rFonts w:eastAsia="Calibri"/>
          <w:lang w:eastAsia="en-US"/>
        </w:rPr>
        <w:t xml:space="preserve"> do umożliwienia konkurowania o </w:t>
      </w:r>
      <w:r w:rsidRPr="00E261BF">
        <w:rPr>
          <w:rFonts w:eastAsia="Calibri"/>
          <w:lang w:eastAsia="en-US"/>
        </w:rPr>
        <w:t>wsparcie jednostek o porównywalnych parametrach ekonomicznych.</w:t>
      </w:r>
    </w:p>
    <w:p w:rsidR="00FA6B40" w:rsidRPr="00E261BF" w:rsidRDefault="00FA6B40" w:rsidP="003835D3">
      <w:pPr>
        <w:spacing w:before="120" w:line="360" w:lineRule="auto"/>
        <w:jc w:val="both"/>
        <w:rPr>
          <w:rFonts w:eastAsia="Calibri"/>
          <w:b/>
          <w:lang w:eastAsia="en-US"/>
        </w:rPr>
      </w:pPr>
      <w:r w:rsidRPr="00E261BF">
        <w:rPr>
          <w:rFonts w:eastAsia="Calibri"/>
          <w:b/>
          <w:lang w:eastAsia="en-US"/>
        </w:rPr>
        <w:t>Podsumowanie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Analiza ww. obszarów dowodzi potrzeby opracowania nowego systemu wsparcia dla</w:t>
      </w:r>
      <w:r w:rsidR="00680107">
        <w:rPr>
          <w:rFonts w:eastAsia="Calibri"/>
          <w:lang w:eastAsia="en-US"/>
        </w:rPr>
        <w:t xml:space="preserve"> </w:t>
      </w:r>
      <w:r w:rsidRPr="00E261BF">
        <w:rPr>
          <w:rFonts w:eastAsia="Calibri"/>
          <w:lang w:eastAsia="en-US"/>
        </w:rPr>
        <w:t>jednostek kogeneracji, który zastąpi dotychczas istniejący mechanizm bazujący na formule świadectw pochodzenia (zakończenie funkc</w:t>
      </w:r>
      <w:r w:rsidR="003835D3">
        <w:rPr>
          <w:rFonts w:eastAsia="Calibri"/>
          <w:lang w:eastAsia="en-US"/>
        </w:rPr>
        <w:t>jonowania systemu z końcem 2018 </w:t>
      </w:r>
      <w:r w:rsidRPr="00E261BF">
        <w:rPr>
          <w:rFonts w:eastAsia="Calibri"/>
          <w:lang w:eastAsia="en-US"/>
        </w:rPr>
        <w:t>r. – możliwość objęcia wytworzonej energii świadectwami pochodzenia). Celem zaproponowanych rozwiązań jest ograniczenie niekorzystnych zjawisk środowiskowych przy jednoczesnym zapewnieniu bezpieczeństwa dostaw c</w:t>
      </w:r>
      <w:r w:rsidR="003835D3">
        <w:rPr>
          <w:rFonts w:eastAsia="Calibri"/>
          <w:lang w:eastAsia="en-US"/>
        </w:rPr>
        <w:t>iepła i energii elektrycznej, a </w:t>
      </w:r>
      <w:r w:rsidRPr="00E261BF">
        <w:rPr>
          <w:rFonts w:eastAsia="Calibri"/>
          <w:lang w:eastAsia="en-US"/>
        </w:rPr>
        <w:t>także poprawa efektywności wykorzystania nośników energii poprzez rozwój wysokosprawnej kogeneracji.</w:t>
      </w:r>
      <w:r w:rsidRPr="00E261BF">
        <w:t xml:space="preserve"> </w:t>
      </w:r>
      <w:r w:rsidRPr="00E261BF">
        <w:rPr>
          <w:rFonts w:eastAsia="Calibri"/>
          <w:lang w:eastAsia="en-US"/>
        </w:rPr>
        <w:t>Promowanie energii elektrycznej z wysokosprawnej kogeneracji poprzez zaproponowany w niniejszej ustawie mechanizm wsparcia przyczyni się do realizacji założonych celów w sposób efektywny ekonomicznie (skuteczna alokacja środków w niezbędnej wielkości do rozwoju tego typu jednostek).</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426" w:hanging="426"/>
        <w:contextualSpacing w:val="0"/>
        <w:jc w:val="both"/>
        <w:rPr>
          <w:rFonts w:eastAsiaTheme="minorEastAsia"/>
          <w:b/>
        </w:rPr>
      </w:pPr>
      <w:r w:rsidRPr="00E261BF">
        <w:rPr>
          <w:rFonts w:eastAsiaTheme="minorEastAsia"/>
          <w:b/>
        </w:rPr>
        <w:t>Przyjęty model wsparcia</w:t>
      </w:r>
    </w:p>
    <w:p w:rsidR="00FA6B40" w:rsidRPr="00E261BF" w:rsidRDefault="00FA6B40" w:rsidP="003835D3">
      <w:pPr>
        <w:numPr>
          <w:ilvl w:val="0"/>
          <w:numId w:val="1"/>
        </w:numPr>
        <w:spacing w:before="120" w:line="360" w:lineRule="auto"/>
        <w:ind w:left="284" w:hanging="284"/>
        <w:jc w:val="both"/>
        <w:rPr>
          <w:rFonts w:eastAsia="Calibri"/>
          <w:b/>
          <w:lang w:eastAsia="en-US"/>
        </w:rPr>
      </w:pPr>
      <w:r w:rsidRPr="00E261BF">
        <w:rPr>
          <w:rFonts w:eastAsia="Calibri"/>
          <w:b/>
          <w:lang w:eastAsia="en-US"/>
        </w:rPr>
        <w:t>Założenia dla nowych jednostek kogeneracji (stymulowanie inwestycji)</w:t>
      </w:r>
    </w:p>
    <w:p w:rsidR="00FA6B40" w:rsidRPr="00E261BF" w:rsidRDefault="00FA6B40" w:rsidP="003835D3">
      <w:pPr>
        <w:numPr>
          <w:ilvl w:val="0"/>
          <w:numId w:val="2"/>
        </w:numPr>
        <w:tabs>
          <w:tab w:val="left" w:pos="284"/>
        </w:tabs>
        <w:spacing w:before="120" w:line="360" w:lineRule="auto"/>
        <w:ind w:left="0" w:firstLine="0"/>
        <w:jc w:val="both"/>
        <w:rPr>
          <w:rFonts w:eastAsia="Calibri"/>
          <w:b/>
          <w:lang w:eastAsia="en-US"/>
        </w:rPr>
      </w:pPr>
      <w:r w:rsidRPr="00E261BF">
        <w:rPr>
          <w:rFonts w:eastAsia="Calibri"/>
          <w:b/>
          <w:lang w:eastAsia="en-US"/>
        </w:rPr>
        <w:t>Pojęcie nowej instalacji/jednostki kogeneracyjnej</w:t>
      </w:r>
    </w:p>
    <w:p w:rsidR="00FA6B40" w:rsidRPr="00E261BF" w:rsidRDefault="00FA6B40" w:rsidP="003835D3">
      <w:pPr>
        <w:pStyle w:val="PKTpunkt"/>
        <w:tabs>
          <w:tab w:val="left" w:pos="284"/>
        </w:tabs>
        <w:spacing w:before="120"/>
        <w:ind w:left="0" w:firstLine="0"/>
        <w:rPr>
          <w:rFonts w:ascii="Times New Roman" w:hAnsi="Times New Roman" w:cs="Times New Roman"/>
          <w:szCs w:val="24"/>
        </w:rPr>
      </w:pPr>
      <w:r w:rsidRPr="00E261BF">
        <w:rPr>
          <w:rFonts w:ascii="Times New Roman" w:hAnsi="Times New Roman" w:cs="Times New Roman"/>
          <w:szCs w:val="24"/>
        </w:rPr>
        <w:t>Nową jednostkę kogenera</w:t>
      </w:r>
      <w:r w:rsidR="001F1A7E" w:rsidRPr="00E261BF">
        <w:rPr>
          <w:rFonts w:ascii="Times New Roman" w:hAnsi="Times New Roman" w:cs="Times New Roman"/>
          <w:szCs w:val="24"/>
        </w:rPr>
        <w:t>cji zdefiniowano jako jednostkę, w trakcie budowy której zainstalowano wyłącznie</w:t>
      </w:r>
      <w:r w:rsidR="00680107">
        <w:rPr>
          <w:rFonts w:ascii="Times New Roman" w:hAnsi="Times New Roman" w:cs="Times New Roman"/>
          <w:szCs w:val="24"/>
        </w:rPr>
        <w:t xml:space="preserve"> </w:t>
      </w:r>
      <w:r w:rsidR="001F1A7E" w:rsidRPr="00E261BF">
        <w:rPr>
          <w:rFonts w:ascii="Times New Roman" w:hAnsi="Times New Roman" w:cs="Times New Roman"/>
          <w:szCs w:val="24"/>
        </w:rPr>
        <w:t>urządzenia wyprodukowane</w:t>
      </w:r>
      <w:r w:rsidRPr="00E261BF">
        <w:rPr>
          <w:rFonts w:ascii="Times New Roman" w:hAnsi="Times New Roman" w:cs="Times New Roman"/>
          <w:szCs w:val="24"/>
        </w:rPr>
        <w:t xml:space="preserve"> w okresie 60 miesięcy przed dniem wytworzenia po raz pierwszy energii elektrycznej w tej jednostce, </w:t>
      </w:r>
      <w:r w:rsidR="00422E5B" w:rsidRPr="00E261BF">
        <w:rPr>
          <w:rFonts w:ascii="Times New Roman" w:hAnsi="Times New Roman" w:cs="Times New Roman"/>
          <w:szCs w:val="24"/>
        </w:rPr>
        <w:t xml:space="preserve">a </w:t>
      </w:r>
      <w:r w:rsidRPr="00E261BF">
        <w:rPr>
          <w:rFonts w:ascii="Times New Roman" w:hAnsi="Times New Roman" w:cs="Times New Roman"/>
          <w:szCs w:val="24"/>
        </w:rPr>
        <w:t>wytworzenie pierwszej energii elektrycznej</w:t>
      </w:r>
      <w:r w:rsidR="00422E5B" w:rsidRPr="00E261BF">
        <w:rPr>
          <w:rFonts w:ascii="Times New Roman" w:hAnsi="Times New Roman" w:cs="Times New Roman"/>
          <w:szCs w:val="24"/>
        </w:rPr>
        <w:t>, w przypadku jednostki</w:t>
      </w:r>
      <w:r w:rsidRPr="00E261BF">
        <w:rPr>
          <w:rFonts w:ascii="Times New Roman" w:hAnsi="Times New Roman" w:cs="Times New Roman"/>
          <w:szCs w:val="24"/>
        </w:rPr>
        <w:t xml:space="preserve"> o mocy zainstalowanej nie mniejszej niż 50 MW</w:t>
      </w:r>
      <w:r w:rsidR="00680107">
        <w:rPr>
          <w:rFonts w:ascii="Times New Roman" w:hAnsi="Times New Roman" w:cs="Times New Roman"/>
          <w:szCs w:val="24"/>
        </w:rPr>
        <w:t xml:space="preserve"> </w:t>
      </w:r>
      <w:r w:rsidRPr="00E261BF">
        <w:rPr>
          <w:rFonts w:ascii="Times New Roman" w:hAnsi="Times New Roman" w:cs="Times New Roman"/>
          <w:szCs w:val="24"/>
        </w:rPr>
        <w:t xml:space="preserve">nastąpiło nie wcześniej </w:t>
      </w:r>
      <w:r w:rsidR="00422E5B" w:rsidRPr="00E261BF">
        <w:rPr>
          <w:rFonts w:ascii="Times New Roman" w:hAnsi="Times New Roman" w:cs="Times New Roman"/>
          <w:szCs w:val="24"/>
        </w:rPr>
        <w:t>niż w dniu 1 stycznia 2019 roku</w:t>
      </w:r>
      <w:r w:rsidRPr="00E261BF">
        <w:rPr>
          <w:rFonts w:ascii="Times New Roman" w:hAnsi="Times New Roman" w:cs="Times New Roman"/>
          <w:szCs w:val="24"/>
        </w:rPr>
        <w:t xml:space="preserve"> lub</w:t>
      </w:r>
      <w:r w:rsidR="003835D3">
        <w:rPr>
          <w:rFonts w:ascii="Times New Roman" w:hAnsi="Times New Roman" w:cs="Times New Roman"/>
          <w:szCs w:val="24"/>
        </w:rPr>
        <w:t>, w </w:t>
      </w:r>
      <w:r w:rsidR="00422E5B" w:rsidRPr="00E261BF">
        <w:rPr>
          <w:rFonts w:ascii="Times New Roman" w:hAnsi="Times New Roman" w:cs="Times New Roman"/>
          <w:szCs w:val="24"/>
        </w:rPr>
        <w:t>przypadku jednostki o mocy zainstalowanej nie mniejszej niż 1</w:t>
      </w:r>
      <w:r w:rsidR="00680107">
        <w:rPr>
          <w:rFonts w:ascii="Times New Roman" w:hAnsi="Times New Roman" w:cs="Times New Roman"/>
          <w:szCs w:val="24"/>
        </w:rPr>
        <w:t xml:space="preserve"> </w:t>
      </w:r>
      <w:r w:rsidR="00422E5B" w:rsidRPr="00E261BF">
        <w:rPr>
          <w:rFonts w:ascii="Times New Roman" w:hAnsi="Times New Roman" w:cs="Times New Roman"/>
          <w:szCs w:val="24"/>
        </w:rPr>
        <w:t>MW i mniejszej niż 50 MW,</w:t>
      </w:r>
      <w:r w:rsidRPr="00E261BF">
        <w:rPr>
          <w:rFonts w:ascii="Times New Roman" w:hAnsi="Times New Roman" w:cs="Times New Roman"/>
          <w:szCs w:val="24"/>
        </w:rPr>
        <w:t xml:space="preserve"> wytworzenie pierwszej energii elektrycznej w jednostce nastąpiło nie wcześniej niż po dniu rozstrzygnięcia aukcji.</w:t>
      </w:r>
    </w:p>
    <w:p w:rsidR="00FA6B40" w:rsidRPr="00E261BF" w:rsidRDefault="00FA6B40" w:rsidP="003835D3">
      <w:pPr>
        <w:numPr>
          <w:ilvl w:val="0"/>
          <w:numId w:val="2"/>
        </w:numPr>
        <w:tabs>
          <w:tab w:val="left" w:pos="284"/>
        </w:tabs>
        <w:spacing w:before="120" w:line="360" w:lineRule="auto"/>
        <w:ind w:left="0" w:firstLine="0"/>
        <w:jc w:val="both"/>
        <w:rPr>
          <w:rFonts w:eastAsia="Calibri"/>
          <w:b/>
          <w:lang w:eastAsia="en-US"/>
        </w:rPr>
      </w:pPr>
      <w:r w:rsidRPr="00E261BF">
        <w:rPr>
          <w:rFonts w:eastAsia="Calibri"/>
          <w:b/>
          <w:lang w:eastAsia="en-US"/>
        </w:rPr>
        <w:t>Nowy system wsparcia dla jednostek nowyc</w:t>
      </w:r>
      <w:r w:rsidR="003835D3">
        <w:rPr>
          <w:rFonts w:eastAsia="Calibri"/>
          <w:b/>
          <w:lang w:eastAsia="en-US"/>
        </w:rPr>
        <w:t>h i znacznie zmodernizowanych o </w:t>
      </w:r>
      <w:r w:rsidRPr="00E261BF">
        <w:rPr>
          <w:rFonts w:eastAsia="Calibri"/>
          <w:b/>
          <w:lang w:eastAsia="en-US"/>
        </w:rPr>
        <w:t xml:space="preserve">mocy zainstalowanej elektrycznej </w:t>
      </w:r>
      <w:r w:rsidR="00680107">
        <w:rPr>
          <w:rFonts w:eastAsia="Calibri"/>
          <w:b/>
          <w:lang w:eastAsia="en-US"/>
        </w:rPr>
        <w:t>1</w:t>
      </w:r>
      <w:r w:rsidRPr="00E261BF">
        <w:rPr>
          <w:rFonts w:eastAsia="Calibri"/>
          <w:b/>
          <w:lang w:eastAsia="en-US"/>
        </w:rPr>
        <w:t>–50 M</w:t>
      </w:r>
      <w:r w:rsidR="003835D3">
        <w:rPr>
          <w:rFonts w:eastAsia="Calibri"/>
          <w:b/>
          <w:lang w:eastAsia="en-US"/>
        </w:rPr>
        <w:t>W opierać się będzie o aukcje w </w:t>
      </w:r>
      <w:r w:rsidRPr="00E261BF">
        <w:rPr>
          <w:rFonts w:eastAsia="Calibri"/>
          <w:b/>
          <w:lang w:eastAsia="en-US"/>
        </w:rPr>
        <w:t>formule „pay as bid”</w:t>
      </w:r>
    </w:p>
    <w:p w:rsidR="00FA6B40" w:rsidRPr="00E261BF" w:rsidRDefault="00FA6B40" w:rsidP="003835D3">
      <w:pPr>
        <w:tabs>
          <w:tab w:val="left" w:pos="284"/>
        </w:tabs>
        <w:spacing w:before="120" w:line="360" w:lineRule="auto"/>
        <w:jc w:val="both"/>
        <w:rPr>
          <w:rFonts w:eastAsia="Calibri"/>
          <w:lang w:eastAsia="en-US"/>
        </w:rPr>
      </w:pPr>
      <w:r w:rsidRPr="00E261BF">
        <w:rPr>
          <w:rFonts w:eastAsia="Calibri"/>
          <w:lang w:eastAsia="en-US"/>
        </w:rPr>
        <w:t xml:space="preserve">System aukcyjny jest zgodny z wewnętrznym rynkiem energii oraz zgodnie z zasadami udzielania pomocy publicznej obowiązującymi od 1 lipca 2014 roku w Unii Europejskiej, według których od 1 stycznia 2017 roku pomoc przyznaje się w drodze </w:t>
      </w:r>
      <w:r w:rsidRPr="00E261BF">
        <w:rPr>
          <w:rFonts w:eastAsia="Calibri"/>
          <w:lang w:eastAsia="en-US"/>
        </w:rPr>
        <w:lastRenderedPageBreak/>
        <w:t>procedury przetargowej zgodnej z zasadami konkurencji na podstawie jasnych, przejrzystych i niedyskryminacyjnych kryteriów.</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Powyższe oznacza, iż w odniesieniu do nowych i znacznie zmodernizowanych jednostek kogeneracji system aukcyjny jest najbardziej odpowiednim mechanizmem wsparcia.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System aukcyjny spełnia oczekiwania zmierzające do minimalizacji kosztów wsparcia rozwoju kogeneracji przenoszonych na odbiorców końcowych, dzięki wprowadzeniu mechanizmów wymuszających konkurencję. Ponadto, formuła przetargowa premiuje technologie i lokalizacje, gdzie wytwarzanie energii elektrycznej w kogeneracji jest najbardziej efektywne ekonomicznie.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przypadku nowych inwestycji istotne jest wprowadzenie efektu zachęty dla</w:t>
      </w:r>
      <w:r w:rsidR="00680107">
        <w:rPr>
          <w:rFonts w:eastAsia="Calibri"/>
          <w:lang w:eastAsia="en-US"/>
        </w:rPr>
        <w:t xml:space="preserve"> </w:t>
      </w:r>
      <w:r w:rsidRPr="00E261BF">
        <w:rPr>
          <w:rFonts w:eastAsia="Calibri"/>
          <w:lang w:eastAsia="en-US"/>
        </w:rPr>
        <w:t>inwestorów przy zachowaniu konkurencyjności mechanizmu alokacji środków systemu wsparcia. W proponowanym mechanizmie aukcyjnym każdy z inwestorów przedstawiać będzie jedną ofertę w ramach aukcji. Wygrywają oferty o najniższych cenach ofertowych (jednostkowy poziom premii za wyt</w:t>
      </w:r>
      <w:r w:rsidR="003835D3">
        <w:rPr>
          <w:rFonts w:eastAsia="Calibri"/>
          <w:lang w:eastAsia="en-US"/>
        </w:rPr>
        <w:t>worzenie energii elektrycznej z </w:t>
      </w:r>
      <w:r w:rsidRPr="00E261BF">
        <w:rPr>
          <w:rFonts w:eastAsia="Calibri"/>
          <w:lang w:eastAsia="en-US"/>
        </w:rPr>
        <w:t>wysokosprawnej kogeneracji). Wprowadzenie aukcji rozliczanych według ceny ofertowej („pay as bid”) promuje wyłącznie najbardziej efektywne technologie oraz lokalizacje, przy jednoczesnej minimalizacji kosztów funkcjonowania systemu.</w:t>
      </w:r>
    </w:p>
    <w:p w:rsidR="00FA6B40" w:rsidRPr="00E261BF" w:rsidRDefault="00FA6B40" w:rsidP="003835D3">
      <w:pPr>
        <w:spacing w:before="120" w:line="360" w:lineRule="auto"/>
        <w:jc w:val="both"/>
        <w:rPr>
          <w:rFonts w:eastAsia="Calibri"/>
          <w:lang w:eastAsia="en-US"/>
        </w:rPr>
      </w:pPr>
      <w:r w:rsidRPr="00E261BF">
        <w:rPr>
          <w:rFonts w:eastAsia="Calibri"/>
          <w:lang w:eastAsia="en-US"/>
        </w:rPr>
        <w:t>Z proceduralnego punktu widzenia aukcje b</w:t>
      </w:r>
      <w:r w:rsidR="003835D3">
        <w:rPr>
          <w:rFonts w:eastAsia="Calibri"/>
          <w:lang w:eastAsia="en-US"/>
        </w:rPr>
        <w:t>ędą ogłaszane, przeprowadzane i </w:t>
      </w:r>
      <w:r w:rsidRPr="00E261BF">
        <w:rPr>
          <w:rFonts w:eastAsia="Calibri"/>
          <w:lang w:eastAsia="en-US"/>
        </w:rPr>
        <w:t>rozstrzygane analogicznie, jak w przypadku systemu wsparcia dla odnawialnych źródeł energii, tj. przez Prezesa URE. Niemniej jednak z uwagi na specyfikę rozwiązań w odniesieniu do jednostek kogeneracji proponuje się następujące modyfikacje:</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t>aukcje prowadzone będą w formie elektronicznej (przy udziale Internetowej Platformy Aukcyjnej) lub w postaci tradycyjnej (papierowej) z uwagi na dużo mniejszą podaż projektów spodziewanych w ramach systemu wsparcia dla jednostek kogeneracji w</w:t>
      </w:r>
      <w:r w:rsidR="00680107">
        <w:rPr>
          <w:rFonts w:eastAsia="Calibri"/>
          <w:lang w:eastAsia="en-US"/>
        </w:rPr>
        <w:t xml:space="preserve"> </w:t>
      </w:r>
      <w:r w:rsidRPr="00E261BF">
        <w:rPr>
          <w:rFonts w:eastAsia="Calibri"/>
          <w:lang w:eastAsia="en-US"/>
        </w:rPr>
        <w:t>porównaniu do systemu wsparcia odnawialnych źródeł energii (ograniczenie kosztów tworzenia aplikacji elektronicznej),</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t>wskazany zostanie minimalny i maksymalny czas prz</w:t>
      </w:r>
      <w:r w:rsidR="003835D3">
        <w:rPr>
          <w:rFonts w:eastAsia="Calibri"/>
          <w:lang w:eastAsia="en-US"/>
        </w:rPr>
        <w:t>eprowadzenia sesji aukcji (od 3 </w:t>
      </w:r>
      <w:r w:rsidRPr="00E261BF">
        <w:rPr>
          <w:rFonts w:eastAsia="Calibri"/>
          <w:lang w:eastAsia="en-US"/>
        </w:rPr>
        <w:t>do 10 dni roboczych), co pozwoli na właściwe przygotowanie dokumentacji na</w:t>
      </w:r>
      <w:r w:rsidR="00680107">
        <w:rPr>
          <w:rFonts w:eastAsia="Calibri"/>
          <w:lang w:eastAsia="en-US"/>
        </w:rPr>
        <w:t xml:space="preserve"> </w:t>
      </w:r>
      <w:r w:rsidRPr="00E261BF">
        <w:rPr>
          <w:rFonts w:eastAsia="Calibri"/>
          <w:lang w:eastAsia="en-US"/>
        </w:rPr>
        <w:t>potrzeby zgłoszenia oferty w ramach aukcji,</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t>wartość zabezpieczenia zostanie ustalona na poziomie 30 zł/kW mocy zainstalowanej elektrycznej dla wszystkich typów jednostek kogeneracji,</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lastRenderedPageBreak/>
        <w:t>ostatecznym terminem na modyfikację oferty będzie dzień poprzedzający dzień zakończenia sesji aukcji, natomiast wycofanie oferty może nastąpić maksymalnie do</w:t>
      </w:r>
      <w:r w:rsidR="00680107">
        <w:rPr>
          <w:rFonts w:eastAsia="Calibri"/>
          <w:lang w:eastAsia="en-US"/>
        </w:rPr>
        <w:t xml:space="preserve"> </w:t>
      </w:r>
      <w:r w:rsidRPr="00E261BF">
        <w:rPr>
          <w:rFonts w:eastAsia="Calibri"/>
          <w:lang w:eastAsia="en-US"/>
        </w:rPr>
        <w:t>godziny przed zamknięciem terminu sesji aukcji,</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t>inwestorzy będą mieć maksymalnie 48 miesięcy na wybudowanie jednostki kogeneracji opalanej paliwem gazowym, a 60 miesięcy dla</w:t>
      </w:r>
      <w:r w:rsidR="00680107">
        <w:rPr>
          <w:rFonts w:eastAsia="Calibri"/>
          <w:lang w:eastAsia="en-US"/>
        </w:rPr>
        <w:t xml:space="preserve"> </w:t>
      </w:r>
      <w:r w:rsidRPr="00E261BF">
        <w:rPr>
          <w:rFonts w:eastAsia="Calibri"/>
          <w:lang w:eastAsia="en-US"/>
        </w:rPr>
        <w:t>pozostałych jednostek kogeneracji,</w:t>
      </w:r>
    </w:p>
    <w:p w:rsidR="00FA6B40" w:rsidRPr="00E261BF" w:rsidRDefault="00FA6B40" w:rsidP="003835D3">
      <w:pPr>
        <w:numPr>
          <w:ilvl w:val="0"/>
          <w:numId w:val="5"/>
        </w:numPr>
        <w:spacing w:line="360" w:lineRule="auto"/>
        <w:ind w:left="284" w:hanging="284"/>
        <w:jc w:val="both"/>
        <w:rPr>
          <w:rFonts w:eastAsia="Calibri"/>
          <w:lang w:eastAsia="en-US"/>
        </w:rPr>
      </w:pPr>
      <w:r w:rsidRPr="00E261BF">
        <w:rPr>
          <w:rFonts w:eastAsia="Calibri"/>
          <w:lang w:eastAsia="en-US"/>
        </w:rPr>
        <w:t>Prezes URE poinformuje Ministra Energii o wyniku aukcji w terminie 14 dni od dnia zakończenia aukcji (wydłużenie terminu z uwagi na rezygnację z elektronicznego charakteru aukcji).</w:t>
      </w:r>
    </w:p>
    <w:p w:rsidR="00AE3F41" w:rsidRPr="00E261BF" w:rsidRDefault="00AE3F41" w:rsidP="003835D3">
      <w:pPr>
        <w:spacing w:before="120" w:line="360" w:lineRule="auto"/>
        <w:jc w:val="both"/>
        <w:rPr>
          <w:rFonts w:eastAsia="Calibri"/>
          <w:lang w:eastAsia="en-US"/>
        </w:rPr>
      </w:pPr>
      <w:r w:rsidRPr="00E261BF">
        <w:rPr>
          <w:rFonts w:eastAsia="Calibri"/>
          <w:lang w:eastAsia="en-US"/>
        </w:rPr>
        <w:t xml:space="preserve">Do udziału w aukcji zostaną dopuszczone również jednostki kogeneracji, </w:t>
      </w:r>
      <w:r w:rsidRPr="00E261BF">
        <w:t>w których energia elektryczna została wytworzona po raz pierwsz</w:t>
      </w:r>
      <w:r w:rsidR="003835D3">
        <w:t>y po dniu 31 grudnia 2018 r., a </w:t>
      </w:r>
      <w:r w:rsidRPr="00E261BF">
        <w:t>przed dniem rozstrzygnięcia aukcji. Ww. je</w:t>
      </w:r>
      <w:r w:rsidR="003835D3">
        <w:t>dnostka będzie mogła otrzymać z </w:t>
      </w:r>
      <w:r w:rsidRPr="00E261BF">
        <w:t>terminem ważności do 31 grudnia 2020 roku dopu</w:t>
      </w:r>
      <w:r w:rsidR="003835D3">
        <w:t>szczenie do udziału w aukcji, a </w:t>
      </w:r>
      <w:r w:rsidRPr="00E261BF">
        <w:t>także będzie mogła do dnia 31 grudnia 2020 roku, po uzyskaniu lub zmianie koncesji na wytwarzanie energii elektrycznej albo uzyskaniu lub zmianie wpisu do rejestru wytwórców biogazu rolniczego, wytworzyć i sprzedawać energię elektryczną wytworzoną w tej jednostce kogeneracji.</w:t>
      </w:r>
    </w:p>
    <w:p w:rsidR="00FA6B40" w:rsidRPr="00E261BF" w:rsidRDefault="00FA6B40" w:rsidP="003835D3">
      <w:pPr>
        <w:numPr>
          <w:ilvl w:val="0"/>
          <w:numId w:val="2"/>
        </w:numPr>
        <w:spacing w:before="120" w:line="360" w:lineRule="auto"/>
        <w:ind w:left="284" w:hanging="284"/>
        <w:jc w:val="both"/>
        <w:rPr>
          <w:rFonts w:eastAsia="Calibri"/>
          <w:b/>
          <w:lang w:eastAsia="en-US"/>
        </w:rPr>
      </w:pPr>
      <w:r w:rsidRPr="00E261BF">
        <w:rPr>
          <w:rFonts w:eastAsia="Calibri"/>
          <w:b/>
          <w:lang w:eastAsia="en-US"/>
        </w:rPr>
        <w:t>Zachowanie konkurencyjności aukcji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Dla zapewnienia, że procedura aukcyjna zachowa charakter konkurencyjny, wszystkie jednostki kogeneracji będą rywalizowały ze sobą w ramach jednego koszyka. Ponadto, wprowadzone zostaną mechanizmy, których celem będzie odrzucenie 20% ofert aukcyjnych w</w:t>
      </w:r>
      <w:r w:rsidR="00680107">
        <w:rPr>
          <w:rFonts w:eastAsia="Calibri"/>
          <w:lang w:eastAsia="en-US"/>
        </w:rPr>
        <w:t xml:space="preserve"> </w:t>
      </w:r>
      <w:r w:rsidRPr="00E261BF">
        <w:rPr>
          <w:rFonts w:eastAsia="Calibri"/>
          <w:lang w:eastAsia="en-US"/>
        </w:rPr>
        <w:t>sytuacji, gdy podaż projektów nie będzie większa niż dostępna w ramach aukcji pula energii elektrycznej (wolumen zgłoszony w ramach aukcji będzie mniejszy niż planowany do zakupu).</w:t>
      </w:r>
    </w:p>
    <w:p w:rsidR="00FA6B40" w:rsidRPr="00E261BF" w:rsidRDefault="00FA6B40" w:rsidP="003835D3">
      <w:pPr>
        <w:spacing w:before="120" w:line="360" w:lineRule="auto"/>
        <w:jc w:val="both"/>
        <w:rPr>
          <w:rFonts w:eastAsia="Calibri"/>
          <w:lang w:eastAsia="en-US"/>
        </w:rPr>
      </w:pPr>
      <w:r w:rsidRPr="00E261BF">
        <w:rPr>
          <w:rFonts w:eastAsia="Calibri"/>
          <w:lang w:eastAsia="en-US"/>
        </w:rPr>
        <w:t>Dzięki przedmiotowemu działaniu ograniczona zostanie możliwość osiągania nadmiernych korzyści finansowych w sytuacji braku odpowiedniej liczby projektów biorących udział w danej aukcji.</w:t>
      </w:r>
    </w:p>
    <w:p w:rsidR="00FA6B40" w:rsidRPr="00E261BF" w:rsidRDefault="00FA6B40" w:rsidP="003835D3">
      <w:pPr>
        <w:numPr>
          <w:ilvl w:val="0"/>
          <w:numId w:val="2"/>
        </w:numPr>
        <w:spacing w:before="120" w:line="360" w:lineRule="auto"/>
        <w:ind w:left="284" w:hanging="284"/>
        <w:jc w:val="both"/>
        <w:rPr>
          <w:rFonts w:eastAsia="Calibri"/>
          <w:b/>
          <w:lang w:eastAsia="en-US"/>
        </w:rPr>
      </w:pPr>
      <w:r w:rsidRPr="00E261BF">
        <w:rPr>
          <w:rFonts w:eastAsia="Calibri"/>
          <w:b/>
          <w:lang w:eastAsia="en-US"/>
        </w:rPr>
        <w:t>Wsparcie udzielane na 15 lat</w:t>
      </w:r>
    </w:p>
    <w:p w:rsidR="00FA6B40" w:rsidRPr="00E261BF" w:rsidRDefault="00FA6B40" w:rsidP="00B7475B">
      <w:pPr>
        <w:widowControl w:val="0"/>
        <w:spacing w:before="120" w:line="360" w:lineRule="auto"/>
        <w:jc w:val="both"/>
        <w:rPr>
          <w:rFonts w:eastAsia="Calibri"/>
          <w:lang w:eastAsia="en-US"/>
        </w:rPr>
      </w:pPr>
      <w:r w:rsidRPr="00E261BF">
        <w:rPr>
          <w:rFonts w:eastAsia="Calibri"/>
          <w:lang w:eastAsia="en-US"/>
        </w:rPr>
        <w:t xml:space="preserve">Dla zapewnienia stabilności wsparcia oraz długofalowego planowania działań inwestycyjnych w obszarze wysokosprawnej kogeneracji niezbędne jest podjęcie środków zapewniających gwarancję niezmienności wsparcia w okresie niezbędnym do </w:t>
      </w:r>
      <w:r w:rsidRPr="00E261BF">
        <w:rPr>
          <w:rFonts w:eastAsia="Calibri"/>
          <w:lang w:eastAsia="en-US"/>
        </w:rPr>
        <w:lastRenderedPageBreak/>
        <w:t>zwrotu poniesionych przez inwestorów nakładów inwestycyjnych. Proponowany okres na jaki zostanie udzielone wsparcie – 15 lat, wydaje się być optymaln</w:t>
      </w:r>
      <w:r w:rsidR="003835D3">
        <w:rPr>
          <w:rFonts w:eastAsia="Calibri"/>
          <w:lang w:eastAsia="en-US"/>
        </w:rPr>
        <w:t>ym i </w:t>
      </w:r>
      <w:r w:rsidRPr="00E261BF">
        <w:rPr>
          <w:rFonts w:eastAsia="Calibri"/>
          <w:lang w:eastAsia="en-US"/>
        </w:rPr>
        <w:t>wystarczającym z punktu widzenia inwestorów. Wskazany okres wsparcia jest również spójny z analogicznymi rozwiązaniami przyjętymi w obszarze mechanizmów wsparcia dla odnawialnych źródeł energii.</w:t>
      </w:r>
    </w:p>
    <w:p w:rsidR="00FA6B40" w:rsidRPr="00E261BF" w:rsidRDefault="00FA6B40" w:rsidP="003835D3">
      <w:pPr>
        <w:numPr>
          <w:ilvl w:val="0"/>
          <w:numId w:val="2"/>
        </w:numPr>
        <w:spacing w:before="120" w:line="360" w:lineRule="auto"/>
        <w:ind w:left="284" w:hanging="284"/>
        <w:jc w:val="both"/>
        <w:rPr>
          <w:rFonts w:eastAsia="Calibri"/>
          <w:b/>
          <w:lang w:eastAsia="en-US"/>
        </w:rPr>
      </w:pPr>
      <w:r w:rsidRPr="00E261BF">
        <w:rPr>
          <w:rFonts w:eastAsia="Calibri"/>
          <w:b/>
          <w:lang w:eastAsia="en-US"/>
        </w:rPr>
        <w:t>Przedmiotem aukcji będzie premia do wytworzonej energii elektrycznej</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Proponowany mechanizm gwarantować będzie inwestorom, którzy wygrali w aukcji, stały strumień przychodów ustalony w postaci premii do ceny energii elektrycznej. </w:t>
      </w:r>
    </w:p>
    <w:p w:rsidR="00FA6B40" w:rsidRPr="00E261BF" w:rsidRDefault="00FA6B40" w:rsidP="003835D3">
      <w:pPr>
        <w:numPr>
          <w:ilvl w:val="0"/>
          <w:numId w:val="2"/>
        </w:numPr>
        <w:spacing w:before="120" w:line="360" w:lineRule="auto"/>
        <w:ind w:left="426" w:hanging="426"/>
        <w:jc w:val="both"/>
        <w:rPr>
          <w:rFonts w:eastAsia="Calibri"/>
          <w:b/>
          <w:lang w:eastAsia="en-US"/>
        </w:rPr>
      </w:pPr>
      <w:r w:rsidRPr="00E261BF">
        <w:rPr>
          <w:rFonts w:eastAsia="Calibri"/>
          <w:b/>
          <w:lang w:eastAsia="en-US"/>
        </w:rPr>
        <w:t>Aukcje poprzedzać będzie proces prekwalifikacji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Proces prekwalifikacji (dopuszczenia do aukcji) jest kluczowym elementem całego systemu wsparcia, umożliwiającym weryfikację zamierzeń inwestycyjnych z punktu widzenia właściwej oceny ich gotowości oraz możliwości realizacji.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ramach procesu prekwalifikacji prowadzona będzie bieżąca weryfikacja projektów nowych jednostek kogeneracyjnych. Każdy projekt inwestycyjny jest zobligowany do przejścia procesu prekwalifikacji przed przystąpieniem do aukcji. Proces prekwalifikacji uczestników ma na celu dopuszczenie do udziału w aukcjach wyłącznie te projekty, które będą miały techniczną możliwość p</w:t>
      </w:r>
      <w:r w:rsidR="003835D3">
        <w:rPr>
          <w:rFonts w:eastAsia="Calibri"/>
          <w:lang w:eastAsia="en-US"/>
        </w:rPr>
        <w:t>rodukcji energii elektrycznej z </w:t>
      </w:r>
      <w:r w:rsidRPr="00E261BF">
        <w:rPr>
          <w:rFonts w:eastAsia="Calibri"/>
          <w:lang w:eastAsia="en-US"/>
        </w:rPr>
        <w:t>wysokosprawnej kogeneracji. Pozytywne przejście procesu prekwalifikacji umożliwi inwestorowi przystąpienie do aukcji.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Proces prekwalifikacji pełni również istotną rolę informacyjną, na podstawie której może być szacowany potencjał inwestycyjny, a tym samym prawidłowo określany budżet aukcyjny.</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Prekwalifikacja prowadzona będzie przez Prezesa URE na wniosek inwestora/podmiotu działającego w imieniu inwestora planowanej jednostki kogeneracji i dotyczyć będzie możliwości wzięcia udziału w systemie aukcyjnym oraz zakwalifikowania danej jednostki kogeneracji do odpowiedniego rodzaju, warunkującego możliwą do zastosowania w</w:t>
      </w:r>
      <w:r w:rsidR="00680107">
        <w:rPr>
          <w:rFonts w:eastAsia="Calibri"/>
          <w:lang w:eastAsia="en-US"/>
        </w:rPr>
        <w:t xml:space="preserve"> </w:t>
      </w:r>
      <w:r w:rsidRPr="00E261BF">
        <w:rPr>
          <w:rFonts w:eastAsia="Calibri"/>
          <w:lang w:eastAsia="en-US"/>
        </w:rPr>
        <w:t xml:space="preserve">odniesieniu do niej wartość referencyjną określającą maksymalną wysokość premii możliwej do zaoferowania.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Należy podkreślić, że do aukcji będzie mógł zostać dopuszczony jedynie </w:t>
      </w:r>
      <w:r w:rsidRPr="00E261BF">
        <w:t>wytwórca, którego jednostka kogeneracji spełni jednostkowy wskaźnik emisji dwutlenku węgla na</w:t>
      </w:r>
      <w:r w:rsidR="00680107">
        <w:t xml:space="preserve"> </w:t>
      </w:r>
      <w:r w:rsidRPr="00E261BF">
        <w:t xml:space="preserve">poziomie </w:t>
      </w:r>
      <w:r w:rsidR="005D4A51">
        <w:t xml:space="preserve">nie wyższym niż </w:t>
      </w:r>
      <w:r w:rsidRPr="00E261BF">
        <w:t>450 kg na 1 MWh wytwarzanej energii.</w:t>
      </w:r>
    </w:p>
    <w:p w:rsidR="00FA6B40" w:rsidRPr="00E261BF" w:rsidRDefault="00FA6B40" w:rsidP="003835D3">
      <w:pPr>
        <w:spacing w:before="120" w:line="360" w:lineRule="auto"/>
        <w:jc w:val="both"/>
        <w:rPr>
          <w:rFonts w:eastAsia="Calibri"/>
          <w:lang w:eastAsia="en-US"/>
        </w:rPr>
      </w:pPr>
      <w:r w:rsidRPr="00E261BF">
        <w:rPr>
          <w:rFonts w:eastAsia="Calibri"/>
          <w:lang w:eastAsia="en-US"/>
        </w:rPr>
        <w:lastRenderedPageBreak/>
        <w:t>Inwestor/podmiot działający w imieniu inwestora składać będzie wniosek o</w:t>
      </w:r>
      <w:r w:rsidR="003835D3">
        <w:rPr>
          <w:rFonts w:eastAsia="Calibri"/>
          <w:lang w:eastAsia="en-US"/>
        </w:rPr>
        <w:t> </w:t>
      </w:r>
      <w:r w:rsidRPr="00E261BF">
        <w:rPr>
          <w:rFonts w:eastAsia="Calibri"/>
          <w:lang w:eastAsia="en-US"/>
        </w:rPr>
        <w:t>dopuszczenie do udziału w systemie aukcyjnym wraz z:</w:t>
      </w:r>
    </w:p>
    <w:p w:rsidR="00FA6B40" w:rsidRPr="00E261BF" w:rsidRDefault="00FA6B40" w:rsidP="003835D3">
      <w:pPr>
        <w:numPr>
          <w:ilvl w:val="0"/>
          <w:numId w:val="3"/>
        </w:numPr>
        <w:spacing w:line="360" w:lineRule="auto"/>
        <w:ind w:left="284" w:hanging="284"/>
        <w:jc w:val="both"/>
        <w:rPr>
          <w:rFonts w:eastAsia="Calibri"/>
          <w:lang w:eastAsia="en-US"/>
        </w:rPr>
      </w:pPr>
      <w:r w:rsidRPr="00E261BF">
        <w:rPr>
          <w:rFonts w:eastAsia="Calibri"/>
          <w:lang w:eastAsia="en-US"/>
        </w:rPr>
        <w:t>dokumentem potwierdzającym możliwość przyłączenia danej jednostki do sieci elektroenergetycznej:</w:t>
      </w:r>
    </w:p>
    <w:p w:rsidR="00FA6B40" w:rsidRPr="00E261BF" w:rsidRDefault="00FA6B40" w:rsidP="003835D3">
      <w:pPr>
        <w:numPr>
          <w:ilvl w:val="0"/>
          <w:numId w:val="4"/>
        </w:numPr>
        <w:spacing w:line="360" w:lineRule="auto"/>
        <w:ind w:left="567" w:hanging="283"/>
        <w:jc w:val="both"/>
        <w:rPr>
          <w:rFonts w:eastAsia="Calibri"/>
          <w:lang w:eastAsia="en-US"/>
        </w:rPr>
      </w:pPr>
      <w:r w:rsidRPr="00E261BF">
        <w:rPr>
          <w:rFonts w:eastAsia="Calibri"/>
          <w:lang w:eastAsia="en-US"/>
        </w:rPr>
        <w:t xml:space="preserve">warunki przyłączenia jednostki kogeneracji do sieci przesyłowej lub sieci dystrybucyjnej albo </w:t>
      </w:r>
    </w:p>
    <w:p w:rsidR="00FA6B40" w:rsidRPr="00E261BF" w:rsidRDefault="00FA6B40" w:rsidP="003835D3">
      <w:pPr>
        <w:numPr>
          <w:ilvl w:val="0"/>
          <w:numId w:val="4"/>
        </w:numPr>
        <w:spacing w:line="360" w:lineRule="auto"/>
        <w:ind w:left="567" w:hanging="283"/>
        <w:jc w:val="both"/>
        <w:rPr>
          <w:rFonts w:eastAsia="Calibri"/>
          <w:lang w:eastAsia="en-US"/>
        </w:rPr>
      </w:pPr>
      <w:r w:rsidRPr="00E261BF">
        <w:rPr>
          <w:rFonts w:eastAsia="Calibri"/>
          <w:lang w:eastAsia="en-US"/>
        </w:rPr>
        <w:t>umowę o przyłączenie jednostki kogeneracji do sieci przesyłowej lub sieci dystrybucyjnej;</w:t>
      </w:r>
    </w:p>
    <w:p w:rsidR="00FA6B40" w:rsidRPr="00E261BF" w:rsidRDefault="00FA6B40" w:rsidP="003835D3">
      <w:pPr>
        <w:numPr>
          <w:ilvl w:val="0"/>
          <w:numId w:val="3"/>
        </w:numPr>
        <w:spacing w:line="360" w:lineRule="auto"/>
        <w:ind w:left="284" w:hanging="284"/>
        <w:jc w:val="both"/>
        <w:rPr>
          <w:rFonts w:eastAsia="Calibri"/>
          <w:lang w:eastAsia="en-US"/>
        </w:rPr>
      </w:pPr>
      <w:r w:rsidRPr="00E261BF">
        <w:rPr>
          <w:rFonts w:eastAsia="Calibri"/>
          <w:lang w:eastAsia="en-US"/>
        </w:rPr>
        <w:t>dokumentem potwierdzającym możliwość przyłączenia danej jednostki do publicznej sieci ciepłowniczej:</w:t>
      </w:r>
    </w:p>
    <w:p w:rsidR="00FA6B40" w:rsidRPr="00E261BF" w:rsidRDefault="00FA6B40" w:rsidP="003835D3">
      <w:pPr>
        <w:numPr>
          <w:ilvl w:val="0"/>
          <w:numId w:val="4"/>
        </w:numPr>
        <w:spacing w:line="360" w:lineRule="auto"/>
        <w:ind w:left="567" w:hanging="283"/>
        <w:jc w:val="both"/>
        <w:rPr>
          <w:rFonts w:eastAsia="Calibri"/>
          <w:lang w:eastAsia="en-US"/>
        </w:rPr>
      </w:pPr>
      <w:r w:rsidRPr="00E261BF">
        <w:rPr>
          <w:rFonts w:eastAsia="Calibri"/>
          <w:lang w:eastAsia="en-US"/>
        </w:rPr>
        <w:t xml:space="preserve">warunki przyłączenia jednostki kogeneracji do sieci ciepłowniczej albo </w:t>
      </w:r>
    </w:p>
    <w:p w:rsidR="00FA6B40" w:rsidRPr="00E261BF" w:rsidRDefault="00FA6B40" w:rsidP="003835D3">
      <w:pPr>
        <w:pStyle w:val="Akapitzlist"/>
        <w:numPr>
          <w:ilvl w:val="0"/>
          <w:numId w:val="8"/>
        </w:numPr>
        <w:spacing w:line="360" w:lineRule="auto"/>
        <w:ind w:left="567" w:hanging="283"/>
        <w:contextualSpacing w:val="0"/>
        <w:jc w:val="both"/>
        <w:rPr>
          <w:rFonts w:eastAsia="Calibri"/>
          <w:lang w:eastAsia="en-US"/>
        </w:rPr>
      </w:pPr>
      <w:r w:rsidRPr="00E261BF">
        <w:rPr>
          <w:rFonts w:eastAsia="Calibri"/>
          <w:lang w:eastAsia="en-US"/>
        </w:rPr>
        <w:t>umowę o przyłączenie jednostki kogeneracji do sieci ciepłowniczej;</w:t>
      </w:r>
    </w:p>
    <w:p w:rsidR="00FA6B40" w:rsidRPr="00E261BF" w:rsidRDefault="00FA6B40" w:rsidP="003835D3">
      <w:pPr>
        <w:pStyle w:val="LITlitera"/>
        <w:numPr>
          <w:ilvl w:val="0"/>
          <w:numId w:val="23"/>
        </w:numPr>
        <w:ind w:left="284" w:hanging="284"/>
        <w:rPr>
          <w:rFonts w:ascii="Times New Roman" w:hAnsi="Times New Roman" w:cs="Times New Roman"/>
          <w:szCs w:val="24"/>
        </w:rPr>
      </w:pPr>
      <w:r w:rsidRPr="00E261BF">
        <w:rPr>
          <w:rFonts w:ascii="Times New Roman" w:hAnsi="Times New Roman" w:cs="Times New Roman"/>
          <w:szCs w:val="24"/>
        </w:rPr>
        <w:t>schematem jednostki kogeneracji wraz z określeniem granicy bilansowej;</w:t>
      </w:r>
    </w:p>
    <w:p w:rsidR="00FA6B40" w:rsidRPr="00E261BF" w:rsidRDefault="00FA6B40" w:rsidP="003835D3">
      <w:pPr>
        <w:pStyle w:val="Akapitzlist"/>
        <w:numPr>
          <w:ilvl w:val="0"/>
          <w:numId w:val="23"/>
        </w:numPr>
        <w:spacing w:line="360" w:lineRule="auto"/>
        <w:ind w:left="284" w:hanging="284"/>
        <w:contextualSpacing w:val="0"/>
        <w:jc w:val="both"/>
        <w:rPr>
          <w:rFonts w:eastAsia="Calibri"/>
          <w:lang w:eastAsia="en-US"/>
        </w:rPr>
      </w:pPr>
      <w:r w:rsidRPr="00E261BF">
        <w:t>ostatecznym pozwoleniem na budowę wydanym dla projektowanej jednostki kogeneracji lub planowanej znacznej modernizacji jednostki kogeneracji, jeżeli jest ono wymagane na podstawie przepis</w:t>
      </w:r>
      <w:r w:rsidRPr="00E261BF">
        <w:rPr>
          <w:lang w:val="es-ES_tradnl"/>
        </w:rPr>
        <w:t>ó</w:t>
      </w:r>
      <w:r w:rsidRPr="00E261BF">
        <w:t xml:space="preserve">w ustawy </w:t>
      </w:r>
      <w:r w:rsidR="00680107">
        <w:t>–</w:t>
      </w:r>
      <w:r w:rsidRPr="00E261BF">
        <w:t xml:space="preserve"> Prawo budowlane;</w:t>
      </w:r>
    </w:p>
    <w:p w:rsidR="00FA6B40" w:rsidRPr="00E261BF" w:rsidRDefault="00FA6B40" w:rsidP="003835D3">
      <w:pPr>
        <w:numPr>
          <w:ilvl w:val="0"/>
          <w:numId w:val="3"/>
        </w:numPr>
        <w:spacing w:line="360" w:lineRule="auto"/>
        <w:ind w:left="284" w:hanging="284"/>
        <w:jc w:val="both"/>
        <w:rPr>
          <w:rFonts w:eastAsia="Calibri"/>
          <w:lang w:eastAsia="en-US"/>
        </w:rPr>
      </w:pPr>
      <w:r w:rsidRPr="00E261BF">
        <w:rPr>
          <w:rFonts w:eastAsia="Calibri"/>
          <w:lang w:eastAsia="en-US"/>
        </w:rPr>
        <w:t>harmonogramem rzeczowo-finansowym realizacji budowy lub znacznej modernizacji jednostki kogeneracji;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Dodatkowo, w przypadku projektowanej jednostki kogeneracji, która miałaby być opalana paliwem stałym, niezbędne będzie przedłożenie w ramach procesu prekwalifikacji </w:t>
      </w:r>
      <w:r w:rsidR="005D4A51">
        <w:rPr>
          <w:rFonts w:eastAsia="Calibri"/>
          <w:lang w:eastAsia="en-US"/>
        </w:rPr>
        <w:t>opinii sporządzonej</w:t>
      </w:r>
      <w:r w:rsidRPr="00E261BF">
        <w:rPr>
          <w:rFonts w:eastAsia="Calibri"/>
          <w:lang w:eastAsia="en-US"/>
        </w:rPr>
        <w:t xml:space="preserve"> przez akredytowaną jednostkę, która potwierdzi:</w:t>
      </w:r>
    </w:p>
    <w:p w:rsidR="00FA6B40" w:rsidRPr="00E261BF" w:rsidRDefault="00FA6B40" w:rsidP="003835D3">
      <w:pPr>
        <w:pStyle w:val="Akapitzlist"/>
        <w:numPr>
          <w:ilvl w:val="0"/>
          <w:numId w:val="3"/>
        </w:numPr>
        <w:spacing w:before="120" w:line="360" w:lineRule="auto"/>
        <w:ind w:left="284" w:hanging="284"/>
        <w:contextualSpacing w:val="0"/>
        <w:jc w:val="both"/>
        <w:rPr>
          <w:rFonts w:eastAsia="Calibri"/>
          <w:lang w:eastAsia="en-US"/>
        </w:rPr>
      </w:pPr>
      <w:r w:rsidRPr="00E261BF">
        <w:t>brak możliwości zasilania tej jednostki paliwami gazowymi ze względu na techniczne lub ekonomiczne warunki przyłączenia do sieci gazowej, na podstawie przedstawionej odmowy przez operatora sieci dystrybucyjnej gazowej wydania warunków przyłączenia do sieci oraz</w:t>
      </w:r>
    </w:p>
    <w:p w:rsidR="00FA6B40" w:rsidRPr="00E261BF" w:rsidRDefault="00FA6B40" w:rsidP="003835D3">
      <w:pPr>
        <w:pStyle w:val="Akapitzlist"/>
        <w:numPr>
          <w:ilvl w:val="0"/>
          <w:numId w:val="3"/>
        </w:numPr>
        <w:spacing w:before="120" w:line="360" w:lineRule="auto"/>
        <w:ind w:left="284" w:hanging="284"/>
        <w:contextualSpacing w:val="0"/>
        <w:jc w:val="both"/>
      </w:pPr>
      <w:r w:rsidRPr="00E261BF">
        <w:t>brak technicznego lub ekonomicznego uzasadnienia do zasilania tej jednostki wyłącznie biomasą, o której mowa w art. 2 pkt 3 ustawy o odnawialnych źródłach energii, na podstawie analizy o której mowa w art. 10a ust. 1</w:t>
      </w:r>
      <w:r w:rsidR="00680107">
        <w:t xml:space="preserve"> </w:t>
      </w:r>
      <w:r w:rsidRPr="00E261BF">
        <w:t>lub 10b ust. 1 ustawy – Prawo energetyczne oraz</w:t>
      </w:r>
    </w:p>
    <w:p w:rsidR="00422E5B" w:rsidRPr="00A31DF7" w:rsidRDefault="00422E5B" w:rsidP="003835D3">
      <w:pPr>
        <w:pStyle w:val="LITlitera"/>
        <w:numPr>
          <w:ilvl w:val="0"/>
          <w:numId w:val="3"/>
        </w:numPr>
        <w:spacing w:before="120"/>
        <w:ind w:left="284" w:hanging="284"/>
        <w:rPr>
          <w:rFonts w:ascii="Times New Roman" w:hAnsi="Times New Roman" w:cs="Times New Roman"/>
          <w:szCs w:val="24"/>
        </w:rPr>
      </w:pPr>
      <w:r w:rsidRPr="007F6E15">
        <w:rPr>
          <w:rFonts w:ascii="Times New Roman" w:hAnsi="Times New Roman" w:cs="Times New Roman"/>
          <w:szCs w:val="24"/>
        </w:rPr>
        <w:t xml:space="preserve">prognozowany poziom cen ciepła w publicznej sieci ciepłowniczej zasilanej bądź planowanej do zasilenia przez tę jednostkę kogeneracji w danym roku kalendarzowym nie będzie wyższy od średniej ceny ciepła z innych źródeł </w:t>
      </w:r>
      <w:r w:rsidRPr="007F6E15">
        <w:rPr>
          <w:rFonts w:ascii="Times New Roman" w:hAnsi="Times New Roman" w:cs="Times New Roman"/>
          <w:szCs w:val="24"/>
        </w:rPr>
        <w:lastRenderedPageBreak/>
        <w:t>zasilających tę sieć ciepłowniczą, albo w przypadku nowych systemów ciepłowniczych, możliwość oferowania w planowanej lokalizacji przez tę jednostkę kogeneracji</w:t>
      </w:r>
      <w:r w:rsidR="00680107">
        <w:rPr>
          <w:rFonts w:ascii="Times New Roman" w:hAnsi="Times New Roman" w:cs="Times New Roman"/>
          <w:szCs w:val="24"/>
        </w:rPr>
        <w:t xml:space="preserve"> </w:t>
      </w:r>
      <w:r w:rsidRPr="007F6E15">
        <w:rPr>
          <w:rFonts w:ascii="Times New Roman" w:hAnsi="Times New Roman" w:cs="Times New Roman"/>
          <w:szCs w:val="24"/>
        </w:rPr>
        <w:t>w</w:t>
      </w:r>
      <w:r w:rsidR="00680107">
        <w:rPr>
          <w:rFonts w:ascii="Times New Roman" w:hAnsi="Times New Roman" w:cs="Times New Roman"/>
          <w:szCs w:val="24"/>
        </w:rPr>
        <w:t xml:space="preserve"> </w:t>
      </w:r>
      <w:r w:rsidRPr="007F6E15">
        <w:rPr>
          <w:rFonts w:ascii="Times New Roman" w:hAnsi="Times New Roman" w:cs="Times New Roman"/>
          <w:szCs w:val="24"/>
        </w:rPr>
        <w:t>danym roku kalendarzowym ciepła po cenie nie wyższej od iloczynu średniej ceny sprzedaży ciepła, o której mowa w art. 23 pkt 18 lit. c tiret</w:t>
      </w:r>
      <w:r w:rsidR="00680107">
        <w:rPr>
          <w:rFonts w:ascii="Times New Roman" w:hAnsi="Times New Roman" w:cs="Times New Roman"/>
          <w:szCs w:val="24"/>
        </w:rPr>
        <w:t xml:space="preserve"> </w:t>
      </w:r>
      <w:r w:rsidRPr="007F6E15">
        <w:rPr>
          <w:rFonts w:ascii="Times New Roman" w:hAnsi="Times New Roman" w:cs="Times New Roman"/>
          <w:szCs w:val="24"/>
        </w:rPr>
        <w:t>1 ustawy – Prawo energetyczne oraz wskaźnika referencyjnego, o którym mowa w art. 47 ust. 2f tej ustawy.</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Na podstawie ww. wniosku Prezes URE wydawać będzie zaświadczenie o możliwości udziału w aukcji.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przypadku wydania przez Prezesa URE decyzji odmownej, będzie istnieć</w:t>
      </w:r>
      <w:r w:rsidR="00680107">
        <w:rPr>
          <w:rFonts w:eastAsia="Calibri"/>
          <w:lang w:eastAsia="en-US"/>
        </w:rPr>
        <w:t xml:space="preserve"> </w:t>
      </w:r>
      <w:r w:rsidRPr="00E261BF">
        <w:rPr>
          <w:rFonts w:eastAsia="Calibri"/>
          <w:lang w:eastAsia="en-US"/>
        </w:rPr>
        <w:t xml:space="preserve">możliwość odwołania </w:t>
      </w:r>
      <w:r w:rsidRPr="00E261BF">
        <w:t>lub zażalenia do Sądu Okręgowego w Warszawie – sądu ochrony konkurencji i</w:t>
      </w:r>
      <w:r w:rsidR="00680107">
        <w:t xml:space="preserve"> </w:t>
      </w:r>
      <w:r w:rsidRPr="00E261BF">
        <w:t>konsumentów.</w:t>
      </w:r>
    </w:p>
    <w:p w:rsidR="00FA6B40" w:rsidRPr="00E261BF" w:rsidRDefault="00445CC4" w:rsidP="003835D3">
      <w:pPr>
        <w:numPr>
          <w:ilvl w:val="0"/>
          <w:numId w:val="2"/>
        </w:numPr>
        <w:spacing w:before="120" w:line="360" w:lineRule="auto"/>
        <w:ind w:left="426" w:hanging="426"/>
        <w:jc w:val="both"/>
        <w:rPr>
          <w:rFonts w:eastAsia="Calibri"/>
          <w:b/>
          <w:lang w:eastAsia="en-US"/>
        </w:rPr>
      </w:pPr>
      <w:r w:rsidRPr="00E261BF">
        <w:rPr>
          <w:rFonts w:eastAsia="Calibri"/>
          <w:b/>
          <w:lang w:eastAsia="en-US"/>
        </w:rPr>
        <w:t>Aukcje przeprowadzane będą</w:t>
      </w:r>
      <w:r w:rsidR="00FA6B40" w:rsidRPr="00E261BF">
        <w:rPr>
          <w:rFonts w:eastAsia="Calibri"/>
          <w:b/>
          <w:lang w:eastAsia="en-US"/>
        </w:rPr>
        <w:t xml:space="preserve"> w obrębie jednego koszyka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Proponuje się, aby wszystkie jednostki, które zostaną dopuszczone przez Prezesa URE do aukcji, rywalizowały ze sobą w ramach jednego koszyka, natomiast dla poszczególnych rodzajów jednostek kogeneracji, tzn. opalanych różnymi paliwami, tj.</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paliwem gazowym,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paliwem stałym,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biomasą,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pozostałymi, </w:t>
      </w:r>
    </w:p>
    <w:p w:rsidR="00FA6B40" w:rsidRPr="00E261BF" w:rsidRDefault="00FA6B40" w:rsidP="003835D3">
      <w:pPr>
        <w:pStyle w:val="PKTpunkt"/>
        <w:spacing w:before="120"/>
        <w:ind w:left="0" w:firstLine="0"/>
        <w:rPr>
          <w:rFonts w:ascii="Times New Roman" w:hAnsi="Times New Roman" w:cs="Times New Roman"/>
          <w:szCs w:val="24"/>
          <w:u w:val="single"/>
        </w:rPr>
      </w:pPr>
      <w:r w:rsidRPr="00E261BF">
        <w:rPr>
          <w:rFonts w:ascii="Times New Roman" w:eastAsia="Calibri" w:hAnsi="Times New Roman" w:cs="Times New Roman"/>
          <w:szCs w:val="24"/>
          <w:lang w:eastAsia="en-US"/>
        </w:rPr>
        <w:t>ustalone zostaną wartości referencyjne, tj. maksymalne wysokości premii kogeneracyjnej, które uczestnicy aukcji będą mogli zaoferować w odniesieniu do energii elektrycznej z</w:t>
      </w:r>
      <w:r w:rsidR="00680107">
        <w:rPr>
          <w:rFonts w:ascii="Times New Roman" w:eastAsia="Calibri" w:hAnsi="Times New Roman" w:cs="Times New Roman"/>
          <w:szCs w:val="24"/>
          <w:lang w:eastAsia="en-US"/>
        </w:rPr>
        <w:t xml:space="preserve"> </w:t>
      </w:r>
      <w:r w:rsidRPr="00E261BF">
        <w:rPr>
          <w:rFonts w:ascii="Times New Roman" w:eastAsia="Calibri" w:hAnsi="Times New Roman" w:cs="Times New Roman"/>
          <w:szCs w:val="24"/>
          <w:lang w:eastAsia="en-US"/>
        </w:rPr>
        <w:t xml:space="preserve">wysokosprawnej kogeneracji wytworzonej w danej jednostki kogeneracji, aby ich oferta nie została odrzucona. Celem ustalania wartości referencyjnych dla poszczególnych jednostek kogeneracji jest chęć uniknięcia nadmiernego wsparcia w sytuacji ograniczonej puli projektów startujących w ramach aukcji. Dodatkowo, w odniesieniu do znacznie zmodernizowanych jednostek kogeneracji, aby umożliwić dostosowanie wysokości oferty do poniesionych nakładów inwestycyjnych na znaczną modernizację, ustalane będą odrębne wartości referencyjne dla tego typu jednostek, biorąc pod uwagę </w:t>
      </w:r>
      <w:r w:rsidRPr="00E261BF">
        <w:rPr>
          <w:rFonts w:ascii="Times New Roman" w:hAnsi="Times New Roman" w:cs="Times New Roman"/>
          <w:szCs w:val="24"/>
        </w:rPr>
        <w:t>wartość udziału procentowego poniesionych kosztów inwestycyjnych znacznej modernizacji do wartości kosztów poniesionych dla nowej porównywalnej jednostki kogeneracji</w:t>
      </w:r>
      <w:r w:rsidRPr="00E261BF">
        <w:rPr>
          <w:rFonts w:ascii="Times New Roman" w:eastAsia="Calibri" w:hAnsi="Times New Roman" w:cs="Times New Roman"/>
          <w:szCs w:val="24"/>
          <w:lang w:eastAsia="en-US"/>
        </w:rPr>
        <w:t xml:space="preserve"> oraz rodzaj paliwa, którym opalana jest dana jednostka. Poziom wartości referencyjnych ustalać będzie corocznie minister </w:t>
      </w:r>
      <w:r w:rsidRPr="00E261BF">
        <w:rPr>
          <w:rFonts w:ascii="Times New Roman" w:eastAsia="Calibri" w:hAnsi="Times New Roman" w:cs="Times New Roman"/>
          <w:szCs w:val="24"/>
          <w:lang w:eastAsia="en-US"/>
        </w:rPr>
        <w:lastRenderedPageBreak/>
        <w:t xml:space="preserve">właściwy do spraw energii w stosownym rozporządzeniu, biorąc pod uwagę </w:t>
      </w:r>
      <w:r w:rsidRPr="00E261BF">
        <w:rPr>
          <w:rFonts w:ascii="Times New Roman" w:hAnsi="Times New Roman" w:cs="Times New Roman"/>
          <w:szCs w:val="24"/>
        </w:rPr>
        <w:t xml:space="preserve">istotne parametry techniczne i ekonomiczne funkcjonowania jednostek kogeneracji. </w:t>
      </w:r>
      <w:r w:rsidR="005D4A51">
        <w:rPr>
          <w:rFonts w:ascii="Times New Roman" w:hAnsi="Times New Roman" w:cs="Times New Roman"/>
          <w:szCs w:val="24"/>
        </w:rPr>
        <w:t>K</w:t>
      </w:r>
      <w:r w:rsidRPr="00E261BF">
        <w:rPr>
          <w:rFonts w:ascii="Times New Roman" w:hAnsi="Times New Roman" w:cs="Times New Roman"/>
          <w:szCs w:val="24"/>
        </w:rPr>
        <w:t>oszty operacyjne oraz dodatkowe koszty inwestycyjne pono</w:t>
      </w:r>
      <w:r w:rsidR="003835D3">
        <w:rPr>
          <w:rFonts w:ascii="Times New Roman" w:hAnsi="Times New Roman" w:cs="Times New Roman"/>
          <w:szCs w:val="24"/>
        </w:rPr>
        <w:t>szone w okresie eksploatacji, w </w:t>
      </w:r>
      <w:r w:rsidRPr="00E261BF">
        <w:rPr>
          <w:rFonts w:ascii="Times New Roman" w:hAnsi="Times New Roman" w:cs="Times New Roman"/>
          <w:szCs w:val="24"/>
        </w:rPr>
        <w:t>którym jednostka kogeneracji podlega mechanizmom i instrumentom wsparcia.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W odniesieniu do jednostek kogeneracyjnych, w których występuje współspalanie różnych rodzajów paliw, </w:t>
      </w:r>
      <w:r w:rsidRPr="00E261BF">
        <w:t>wartość referencyjna wynikać będzie z określenia największego udziału rodzaju paliwa.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Z udziału w aukcji wyłączone zostaną jednostki o mocy mniejszej niż 1 MW (dla</w:t>
      </w:r>
      <w:r w:rsidR="00680107">
        <w:rPr>
          <w:rFonts w:eastAsia="Calibri"/>
          <w:lang w:eastAsia="en-US"/>
        </w:rPr>
        <w:t xml:space="preserve"> </w:t>
      </w:r>
      <w:r w:rsidRPr="00E261BF">
        <w:rPr>
          <w:rFonts w:eastAsia="Calibri"/>
          <w:lang w:eastAsia="en-US"/>
        </w:rPr>
        <w:t>których przewidziano</w:t>
      </w:r>
      <w:r w:rsidR="00680107">
        <w:rPr>
          <w:rFonts w:eastAsia="Calibri"/>
          <w:lang w:eastAsia="en-US"/>
        </w:rPr>
        <w:t xml:space="preserve"> </w:t>
      </w:r>
      <w:r w:rsidRPr="00E261BF">
        <w:rPr>
          <w:rFonts w:eastAsia="Calibri"/>
          <w:lang w:eastAsia="en-US"/>
        </w:rPr>
        <w:t>mechanizm, o którym mowa w pkt II) oraz jednostki o mocy nie mniejszej niż 50 MW.</w:t>
      </w:r>
    </w:p>
    <w:p w:rsidR="00FA6B40" w:rsidRPr="00E261BF" w:rsidRDefault="00FA6B40" w:rsidP="003835D3">
      <w:pPr>
        <w:spacing w:before="120" w:line="360" w:lineRule="auto"/>
        <w:jc w:val="both"/>
        <w:rPr>
          <w:rFonts w:eastAsia="Calibri"/>
          <w:lang w:eastAsia="en-US"/>
        </w:rPr>
      </w:pPr>
      <w:r w:rsidRPr="00E261BF">
        <w:rPr>
          <w:rFonts w:eastAsia="Calibri"/>
          <w:lang w:eastAsia="en-US"/>
        </w:rPr>
        <w:t>Udział w aukcjach jednostek o mocy nie mniejszej niż 50 MW, ze względu na korzyści skali odnoszone przez te jednostki, mógłby istotnie zaburzać wyniki aukcji, prowadząc do</w:t>
      </w:r>
      <w:r w:rsidR="00680107">
        <w:rPr>
          <w:rFonts w:eastAsia="Calibri"/>
          <w:lang w:eastAsia="en-US"/>
        </w:rPr>
        <w:t xml:space="preserve"> </w:t>
      </w:r>
      <w:r w:rsidRPr="00E261BF">
        <w:rPr>
          <w:rFonts w:eastAsia="Calibri"/>
          <w:lang w:eastAsia="en-US"/>
        </w:rPr>
        <w:t>nadwsparcia dla tych jednostek. Nie jest również możliwe wyodrębnienie osobnego koszyka (przedziału mocowego) dla dużych jednostek, ponieważ ze względu na ograniczoną liczbę inwestycji w instalacje o mocy nie mniejszej niż 50 MW nie udałoby się zapewnić konkurencji w takim koszyku</w:t>
      </w:r>
      <w:r w:rsidR="00E36AF7">
        <w:rPr>
          <w:rFonts w:eastAsia="Calibri"/>
          <w:lang w:eastAsia="en-US"/>
        </w:rPr>
        <w:t>.</w:t>
      </w:r>
    </w:p>
    <w:p w:rsidR="00FA6B40" w:rsidRPr="00E261BF" w:rsidRDefault="00FA6B40" w:rsidP="003835D3">
      <w:pPr>
        <w:numPr>
          <w:ilvl w:val="0"/>
          <w:numId w:val="2"/>
        </w:numPr>
        <w:spacing w:before="120" w:line="360" w:lineRule="auto"/>
        <w:ind w:left="284" w:hanging="284"/>
        <w:jc w:val="both"/>
        <w:rPr>
          <w:rFonts w:eastAsia="Calibri"/>
          <w:b/>
          <w:lang w:eastAsia="en-US"/>
        </w:rPr>
      </w:pPr>
      <w:r w:rsidRPr="00E261BF">
        <w:rPr>
          <w:rFonts w:eastAsia="Calibri"/>
          <w:b/>
          <w:lang w:eastAsia="en-US"/>
        </w:rPr>
        <w:t>Budżet aukcyjny ustalany będzie przez Ministra Energii w roku poprzedzającym rok przeprowadzenia aukcji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celu zwiększenia elastyczności w zarządzaniu rozwojem instalacji wysokosprawnej kogeneracji proponuje się, aby podmiotem odpowiedzialnym za kształtowanie budżetu aukcyjnego był minister właściwy do spraw energii. Coroczne określanie budżetu aukcyjnego na kolejny rok w drodze rozporządzenia umożliwi właściwą kontrolę nad niezbędnymi inwestycjami w sektorze wysokosprawnej kogeneracji z punktu widzenia bezpieczeństwa energetycznego oraz potrzeb społecznych. Jednocześnie proces konsultacji społecznych corocznych rozporządzeń będzie właściwym momentem do dyskusji z partnerami społecznymi, co do potrzeb inwestycyjnych oraz gotowości realizacji inwestycji w</w:t>
      </w:r>
      <w:r w:rsidR="00680107">
        <w:rPr>
          <w:rFonts w:eastAsia="Calibri"/>
          <w:lang w:eastAsia="en-US"/>
        </w:rPr>
        <w:t xml:space="preserve"> </w:t>
      </w:r>
      <w:r w:rsidRPr="00E261BF">
        <w:rPr>
          <w:rFonts w:eastAsia="Calibri"/>
          <w:lang w:eastAsia="en-US"/>
        </w:rPr>
        <w:t>zdefiniowanym punkcie czasu.</w:t>
      </w:r>
    </w:p>
    <w:p w:rsidR="00FA6B40" w:rsidRPr="00E261BF" w:rsidRDefault="00FA6B40" w:rsidP="003835D3">
      <w:pPr>
        <w:numPr>
          <w:ilvl w:val="0"/>
          <w:numId w:val="2"/>
        </w:numPr>
        <w:spacing w:before="120" w:line="360" w:lineRule="auto"/>
        <w:ind w:left="284" w:hanging="284"/>
        <w:jc w:val="both"/>
        <w:rPr>
          <w:rFonts w:eastAsia="Calibri"/>
          <w:b/>
          <w:lang w:eastAsia="en-US"/>
        </w:rPr>
      </w:pPr>
      <w:r w:rsidRPr="00E261BF">
        <w:rPr>
          <w:rFonts w:eastAsia="Calibri"/>
          <w:b/>
          <w:lang w:eastAsia="en-US"/>
        </w:rPr>
        <w:t>Minister Energii określać będzie (niewiążąco) 2-letnią perspektywę budżetu aukcyjnego</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Coroczne określanie budżetu aukcyjnego jest elastycznym narzędziem z punktu widzenia właściwego reagowania na zmieniające się uwarunkowania zewnętrzne. </w:t>
      </w:r>
      <w:r w:rsidRPr="00E261BF">
        <w:rPr>
          <w:rFonts w:eastAsia="Calibri"/>
          <w:lang w:eastAsia="en-US"/>
        </w:rPr>
        <w:lastRenderedPageBreak/>
        <w:t>Niemniej jednak z punktu widzenia inwestoró</w:t>
      </w:r>
      <w:r w:rsidR="003835D3">
        <w:rPr>
          <w:rFonts w:eastAsia="Calibri"/>
          <w:lang w:eastAsia="en-US"/>
        </w:rPr>
        <w:t>w dłuższa perspektywa czasowa w </w:t>
      </w:r>
      <w:r w:rsidRPr="00E261BF">
        <w:rPr>
          <w:rFonts w:eastAsia="Calibri"/>
          <w:lang w:eastAsia="en-US"/>
        </w:rPr>
        <w:t>definiowaniu zapotrzebowania na nowe inwestycje jest niezbędna dla przygotowania odpowiednich projektów inwestycyjnych oraz zapewnienia im finansowania. Mając powyższe na uwadze, proponuje się, aby minister właściwy do spraw energii corocznie w terminie do 31 grudnia określał (w sposób niewiążący) na stronie internetowej urzędu perspektywę budżetu aukcyjnego na okres dwóch następujących po sobie lat kalendarzowych, licząc od drugiego roku następującego po roku publikacji prognozy. Powyższe działanie pokaże inwestorom perspektywę działań w kolejnych latach, która jest niezbędna dla określenia, czy planowana za 2</w:t>
      </w:r>
      <w:r w:rsidR="00680107">
        <w:rPr>
          <w:rFonts w:eastAsia="Calibri"/>
          <w:lang w:eastAsia="en-US"/>
        </w:rPr>
        <w:t>–</w:t>
      </w:r>
      <w:r w:rsidRPr="00E261BF">
        <w:rPr>
          <w:rFonts w:eastAsia="Calibri"/>
          <w:lang w:eastAsia="en-US"/>
        </w:rPr>
        <w:t>3 lata inwestycja będzie miała szansę na partycypację w aukcyjnym systemie wsparcia dla jednostek kogeneracji.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Tworzenie długofalowej perspektywy w planowaniu wysokości środków finansowych dostępnych w ramach systemu wsparcia dostrzegalne jest również na poziomie tworzenia przepisów unijnych. W ramach tzw. „Pakietu zimowego”, w odniesieniu do odnawialnych źródeł energii, pojawiły się propozycje legislacyjne, aby na etapie tworzenia systemów wsparcia gwarantować długoterminową pewność, co do wysokości przyszłego zaangażowania finansowego.</w:t>
      </w:r>
    </w:p>
    <w:p w:rsidR="00FA6B40" w:rsidRPr="00E261BF" w:rsidRDefault="00920C51" w:rsidP="003835D3">
      <w:pPr>
        <w:spacing w:before="120" w:line="360" w:lineRule="auto"/>
        <w:ind w:left="426" w:hanging="426"/>
        <w:jc w:val="both"/>
        <w:rPr>
          <w:rFonts w:eastAsia="Calibri"/>
          <w:b/>
          <w:lang w:eastAsia="en-US"/>
        </w:rPr>
      </w:pPr>
      <w:r>
        <w:rPr>
          <w:rFonts w:eastAsia="Calibri"/>
          <w:b/>
          <w:lang w:eastAsia="en-US"/>
        </w:rPr>
        <w:t>10.</w:t>
      </w:r>
      <w:r>
        <w:rPr>
          <w:rFonts w:eastAsia="Calibri"/>
          <w:b/>
          <w:lang w:eastAsia="en-US"/>
        </w:rPr>
        <w:tab/>
      </w:r>
      <w:r w:rsidR="00FA6B40" w:rsidRPr="00E261BF">
        <w:rPr>
          <w:rFonts w:eastAsia="Calibri"/>
          <w:b/>
          <w:lang w:eastAsia="en-US"/>
        </w:rPr>
        <w:t>Do systemu wsparcia dopuszczone zostaną instalacje z innych państw członkowskich UE</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Dla zapewnienia otwartości systemu wsparcia dla jednostek kogeneracji z innych państw członkowskich UE proponuje się </w:t>
      </w:r>
      <w:r w:rsidR="00422E5B" w:rsidRPr="00E261BF">
        <w:rPr>
          <w:rFonts w:eastAsia="Calibri"/>
          <w:lang w:eastAsia="en-US"/>
        </w:rPr>
        <w:t>dopuścić jednostki z innych państw do udziału w systemie wsparcia, co będzie uzależnione od spełnienia wskazanych w ustawie warunków tj. np. brak otrzymywania dla tej samej j</w:t>
      </w:r>
      <w:r w:rsidR="003835D3">
        <w:rPr>
          <w:rFonts w:eastAsia="Calibri"/>
          <w:lang w:eastAsia="en-US"/>
        </w:rPr>
        <w:t>ednostki energii elektrycznej w </w:t>
      </w:r>
      <w:r w:rsidR="00422E5B" w:rsidRPr="00E261BF">
        <w:rPr>
          <w:rFonts w:eastAsia="Calibri"/>
          <w:lang w:eastAsia="en-US"/>
        </w:rPr>
        <w:t>ramach mechanizmu wsparcia funkcjonującego poza terytorium RP.</w:t>
      </w:r>
    </w:p>
    <w:p w:rsidR="00FA6B40" w:rsidRPr="00E261BF" w:rsidRDefault="00FA6B40" w:rsidP="00B7475B">
      <w:pPr>
        <w:keepNext/>
        <w:spacing w:before="120" w:line="360" w:lineRule="auto"/>
        <w:ind w:left="426" w:hanging="426"/>
        <w:jc w:val="both"/>
        <w:rPr>
          <w:rFonts w:eastAsia="Calibri"/>
          <w:lang w:eastAsia="en-US"/>
        </w:rPr>
      </w:pPr>
      <w:r w:rsidRPr="00E261BF">
        <w:rPr>
          <w:rFonts w:eastAsia="Calibri"/>
          <w:b/>
          <w:lang w:eastAsia="en-US"/>
        </w:rPr>
        <w:t>11.</w:t>
      </w:r>
      <w:r w:rsidR="00920C51">
        <w:rPr>
          <w:rFonts w:eastAsia="Calibri"/>
          <w:b/>
          <w:lang w:eastAsia="en-US"/>
        </w:rPr>
        <w:tab/>
      </w:r>
      <w:r w:rsidRPr="00E261BF">
        <w:rPr>
          <w:rFonts w:eastAsia="Calibri"/>
          <w:b/>
          <w:lang w:eastAsia="en-US"/>
        </w:rPr>
        <w:t>Mechanizm wsparcia będzie zapewniał, żeby na żadnym etapie funkcjonowania systemu nie doszło do zjawiska nadwsparcia</w:t>
      </w:r>
    </w:p>
    <w:p w:rsidR="00FA6B40" w:rsidRPr="00E261BF" w:rsidRDefault="00FA6B40" w:rsidP="00B7475B">
      <w:pPr>
        <w:keepNext/>
        <w:spacing w:before="120" w:line="360" w:lineRule="auto"/>
        <w:jc w:val="both"/>
        <w:rPr>
          <w:rFonts w:eastAsia="Calibri"/>
          <w:lang w:eastAsia="en-US"/>
        </w:rPr>
      </w:pPr>
      <w:r w:rsidRPr="00E261BF">
        <w:rPr>
          <w:rFonts w:eastAsia="Calibri"/>
          <w:lang w:eastAsia="en-US"/>
        </w:rPr>
        <w:t>Działanie systemu wsparcia powinno eliminować nadwsparcie, tak aby zapewnić efektywność ekonomiczną mechanizmu oraz ograniczyć zbędne w nim koszty. Przejrzyste reguły zapobiegające występowania nadwsparcia są również elementem zapewniającym społeczną akceptowalność sytemu.</w:t>
      </w:r>
    </w:p>
    <w:p w:rsidR="00FA6B40" w:rsidRPr="00E261BF" w:rsidRDefault="00FA6B40" w:rsidP="003835D3">
      <w:pPr>
        <w:spacing w:before="120" w:line="360" w:lineRule="auto"/>
        <w:jc w:val="both"/>
        <w:rPr>
          <w:rFonts w:eastAsia="Calibri"/>
          <w:lang w:eastAsia="en-US"/>
        </w:rPr>
      </w:pPr>
      <w:r w:rsidRPr="00E261BF">
        <w:rPr>
          <w:rFonts w:eastAsia="Calibri"/>
          <w:lang w:eastAsia="en-US"/>
        </w:rPr>
        <w:t>Nowy system aukcyjny będzie zawierał m.in. mechanizmy, które zobowiążą do</w:t>
      </w:r>
      <w:r w:rsidR="00680107">
        <w:rPr>
          <w:rFonts w:eastAsia="Calibri"/>
          <w:lang w:eastAsia="en-US"/>
        </w:rPr>
        <w:t xml:space="preserve"> </w:t>
      </w:r>
      <w:r w:rsidRPr="00E261BF">
        <w:rPr>
          <w:rFonts w:eastAsia="Calibri"/>
          <w:lang w:eastAsia="en-US"/>
        </w:rPr>
        <w:t xml:space="preserve">odliczania od pomocy operacyjnej wszelkiej wcześniej uzyskanej pomocy inwestycyjnej, w związku z realizacją inwestycji w dawną jednostkę kogeneracji. </w:t>
      </w:r>
      <w:r w:rsidRPr="00E261BF">
        <w:rPr>
          <w:rFonts w:eastAsia="Calibri"/>
          <w:lang w:eastAsia="en-US"/>
        </w:rPr>
        <w:lastRenderedPageBreak/>
        <w:t>Przyjęcie tego mechanizmu pozwala również na zapewnienie konkurencyjności procesu poprzez eliminacje przewagi konkurencyjnej instalacji otrzymujących pomoc inwestycyjną, co przekłada się na niższe koszty kapitałowe. Obniżenie poziomu wypłaty premii do energii elektrycznej z wysokosprawnej kogeneracji z tytułu uzyskanej pomocy inwestycyjnej, powoduje, że operator danej instalacji musi ofertować na takich samych zasadach jak operatorzy instalacji, które takiej pomocy nie otrzymały.</w:t>
      </w:r>
    </w:p>
    <w:p w:rsidR="00FA6B40" w:rsidRPr="00E261BF" w:rsidRDefault="00FA6B40" w:rsidP="003835D3">
      <w:pPr>
        <w:spacing w:before="120" w:line="360" w:lineRule="auto"/>
        <w:jc w:val="both"/>
        <w:rPr>
          <w:rFonts w:eastAsia="Calibri"/>
          <w:lang w:eastAsia="en-US"/>
        </w:rPr>
      </w:pPr>
      <w:r w:rsidRPr="00E261BF">
        <w:rPr>
          <w:rFonts w:eastAsia="Calibri"/>
          <w:lang w:eastAsia="en-US"/>
        </w:rPr>
        <w:t>Zasady w tym zakresie opierać się będą n</w:t>
      </w:r>
      <w:r w:rsidR="003835D3">
        <w:rPr>
          <w:rFonts w:eastAsia="Calibri"/>
          <w:lang w:eastAsia="en-US"/>
        </w:rPr>
        <w:t>a rozwiązaniach zastosowanych w </w:t>
      </w:r>
      <w:r w:rsidRPr="00E261BF">
        <w:rPr>
          <w:rFonts w:eastAsia="Calibri"/>
          <w:lang w:eastAsia="en-US"/>
        </w:rPr>
        <w:t>mechanizmie wsparcia dla odnawialnych źródeł energii.</w:t>
      </w:r>
    </w:p>
    <w:p w:rsidR="00FA6B40" w:rsidRPr="00E261BF" w:rsidRDefault="00FA6B40" w:rsidP="003835D3">
      <w:pPr>
        <w:pStyle w:val="Akapitzlist"/>
        <w:numPr>
          <w:ilvl w:val="0"/>
          <w:numId w:val="28"/>
        </w:numPr>
        <w:spacing w:before="120" w:line="360" w:lineRule="auto"/>
        <w:contextualSpacing w:val="0"/>
        <w:jc w:val="both"/>
        <w:rPr>
          <w:rFonts w:eastAsia="Calibri"/>
          <w:b/>
          <w:lang w:eastAsia="en-US"/>
        </w:rPr>
      </w:pPr>
      <w:r w:rsidRPr="00E261BF">
        <w:rPr>
          <w:rFonts w:eastAsia="Calibri"/>
          <w:b/>
          <w:lang w:eastAsia="en-US"/>
        </w:rPr>
        <w:t>System wsparcia uwzględniać będzie monitorowanie procesu inwestycyjnego po wygraniu w aukcji, tak aby na bieżąco posiadać informację o ewentualnym zagrożeniu niezrealizowania inwestycji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celu ograniczenia zagrożenia niezrealizowania inwestycji przez podmiot, który wygrał aukcję, proponuje się wprowadzenie monitoringu, który zapewni bieżący nadzór nad realizowanymi zadaniami inwestycyjnymi. Monitoring będzie również zapewniał informacje w zakresie stopnia realizacji prac inwestycyjnych, co będzie miało wpływ na możliwość oszacowania tempa oddawania instalacji do użytkowania, co jest niezmiernie istotne z punktu widzenia zapewnienia bezpieczeństwa energetycznego państwa.</w:t>
      </w:r>
    </w:p>
    <w:p w:rsidR="00FA6B40" w:rsidRPr="00E261BF" w:rsidRDefault="00FA6B40" w:rsidP="003835D3">
      <w:pPr>
        <w:numPr>
          <w:ilvl w:val="0"/>
          <w:numId w:val="28"/>
        </w:numPr>
        <w:spacing w:before="120" w:line="360" w:lineRule="auto"/>
        <w:ind w:left="426" w:hanging="426"/>
        <w:jc w:val="both"/>
        <w:rPr>
          <w:rFonts w:eastAsia="Calibri"/>
          <w:b/>
          <w:lang w:eastAsia="en-US"/>
        </w:rPr>
      </w:pPr>
      <w:r w:rsidRPr="00E261BF">
        <w:rPr>
          <w:rFonts w:eastAsia="Calibri"/>
          <w:b/>
          <w:lang w:eastAsia="en-US"/>
        </w:rPr>
        <w:t>System wsparcia uwzględniać będzie monitorowanie i rozliczanie wytwarzania energii po zrealizowaniu inwestycji w celu zapewnienia właściwej walidacji rozwoju wysokosprawnej kogeneracji w Polsce</w:t>
      </w:r>
    </w:p>
    <w:p w:rsidR="00FA6B40" w:rsidRPr="00E261BF" w:rsidRDefault="00FA6B40" w:rsidP="00B7475B">
      <w:pPr>
        <w:widowControl w:val="0"/>
        <w:spacing w:before="120" w:line="360" w:lineRule="auto"/>
        <w:jc w:val="both"/>
        <w:rPr>
          <w:rFonts w:eastAsia="Calibri"/>
          <w:lang w:eastAsia="en-US"/>
        </w:rPr>
      </w:pPr>
      <w:r w:rsidRPr="00E261BF">
        <w:rPr>
          <w:rFonts w:eastAsia="Calibri"/>
          <w:lang w:eastAsia="en-US"/>
        </w:rPr>
        <w:t>System wsparcia zakładać będzie weryfikację zgłoszonej w aukcji produkcji energii elektrycznej w jednostce kogeneracji po zrealizowaniu inwestycji, aż do</w:t>
      </w:r>
      <w:r w:rsidR="00680107">
        <w:rPr>
          <w:rFonts w:eastAsia="Calibri"/>
          <w:lang w:eastAsia="en-US"/>
        </w:rPr>
        <w:t xml:space="preserve"> </w:t>
      </w:r>
      <w:r w:rsidRPr="00E261BF">
        <w:rPr>
          <w:rFonts w:eastAsia="Calibri"/>
          <w:lang w:eastAsia="en-US"/>
        </w:rPr>
        <w:t>zakończenia 15-letniego okresu wsparcia. Celem przedmiotowej weryfikacji jest z jednej strony umożliwienie walidacji przyjętych rozwiązań w kontekście rzeczywistego rozwoju ww.</w:t>
      </w:r>
      <w:r w:rsidR="003835D3">
        <w:rPr>
          <w:rFonts w:eastAsia="Calibri"/>
          <w:lang w:eastAsia="en-US"/>
        </w:rPr>
        <w:t> </w:t>
      </w:r>
      <w:r w:rsidRPr="00E261BF">
        <w:rPr>
          <w:rFonts w:eastAsia="Calibri"/>
          <w:lang w:eastAsia="en-US"/>
        </w:rPr>
        <w:t>jednostek w Polsce, z drugiej zaś konieczność rozliczenia złożonych w ramach zwycięskich aukcji ofert.</w:t>
      </w:r>
    </w:p>
    <w:p w:rsidR="00FA6B40" w:rsidRPr="00E261BF" w:rsidRDefault="00FA6B40" w:rsidP="003835D3">
      <w:pPr>
        <w:numPr>
          <w:ilvl w:val="0"/>
          <w:numId w:val="1"/>
        </w:numPr>
        <w:spacing w:before="240" w:line="360" w:lineRule="auto"/>
        <w:ind w:left="425" w:hanging="425"/>
        <w:jc w:val="both"/>
        <w:rPr>
          <w:rFonts w:eastAsia="Calibri"/>
          <w:b/>
          <w:lang w:eastAsia="en-US"/>
        </w:rPr>
      </w:pPr>
      <w:r w:rsidRPr="00E261BF">
        <w:rPr>
          <w:rFonts w:eastAsia="Calibri"/>
          <w:b/>
          <w:lang w:eastAsia="en-US"/>
        </w:rPr>
        <w:t xml:space="preserve">Założenia dla jednostek kogeneracji o mocy zainstalowanej elektrycznej mniejszej niż 1 MW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Dla najmniejszych jednostek kogeneracji (o mocy zainstalowanej elektrycznej mniejszej niż 1 MW) proponuje się wprowadzenie odrębnego mechanizmu </w:t>
      </w:r>
      <w:r w:rsidRPr="00E261BF">
        <w:rPr>
          <w:rFonts w:eastAsia="Calibri"/>
          <w:lang w:eastAsia="en-US"/>
        </w:rPr>
        <w:lastRenderedPageBreak/>
        <w:t>polegającego na</w:t>
      </w:r>
      <w:r w:rsidR="00680107">
        <w:rPr>
          <w:rFonts w:eastAsia="Calibri"/>
          <w:lang w:eastAsia="en-US"/>
        </w:rPr>
        <w:t xml:space="preserve"> </w:t>
      </w:r>
      <w:r w:rsidRPr="00E261BF">
        <w:rPr>
          <w:rFonts w:eastAsia="Calibri"/>
          <w:lang w:eastAsia="en-US"/>
        </w:rPr>
        <w:t>zagwarantowaniu stałej premii do ceny energii elektrycznej (feed in premium), o z góry określonej wartości (z rozróżnieniem na rodzaj p</w:t>
      </w:r>
      <w:r w:rsidR="004F6B6E">
        <w:rPr>
          <w:rFonts w:eastAsia="Calibri"/>
          <w:lang w:eastAsia="en-US"/>
        </w:rPr>
        <w:t>aliwa – wg </w:t>
      </w:r>
      <w:r w:rsidRPr="00E261BF">
        <w:rPr>
          <w:rFonts w:eastAsia="Calibri"/>
          <w:lang w:eastAsia="en-US"/>
        </w:rPr>
        <w:t>podziału, o których mowa w pkt I ppkt 7 oraz rodzaj jednostki – nowa/znacznie zmodernizowana jednostka kogeneracji oraz istniejąca/zmodernizowana jednostka kogeneracji). Powyższe działanie umożliwi rozwój najmniejszych instalacji poprzez zapewnienie wystarczających środków finansowych na ich funkcjonowanie, przy jednoczesnej eliminacji barier administracyjnych związanych z partycypacją w systemie wsparcia.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Tego typu rozwiązanie pozwoli na rozwój instalacji wysokosprawnej kogeneracji szczególnie w sektorze małych i średnich przedsiębiorstw, a także w sektorze komunalnym (pozwoli na wykorzystanie instalacji wysokosprawnej kogeneracji na obszarach niewielkich aglomeracji lub osiedli, a także na potrzeby budynków użyteczności publicznej, gdzie nie ma sieci ciepłowniczej lub jej doprowadzenie jest ekonomicznie nieuzasadnione). Małe jednostki kogeneracji mogą też stanowić istotny wkład w rozwój koncepcji klastrów energii na obszarach wiejskich.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Promowanie tego typu jednostek wpisuje się w rozwój koncepcji klastrów energii, co powinno przyczynić się do bardziej efektywnego wykorzystywania lokalnie dostępnego potencjału surowcowego, a także powinno przyczyniać się do poprawy zarządzania podażą i popytem na energię elektryczną i ciepło na poziomie lokalnym.</w:t>
      </w:r>
    </w:p>
    <w:p w:rsidR="00FA6B40" w:rsidRPr="00E261BF" w:rsidRDefault="00FA6B40" w:rsidP="003835D3">
      <w:pPr>
        <w:spacing w:before="120" w:line="360" w:lineRule="auto"/>
        <w:jc w:val="both"/>
        <w:rPr>
          <w:rFonts w:eastAsia="Calibri"/>
          <w:lang w:eastAsia="en-US"/>
        </w:rPr>
      </w:pPr>
      <w:r w:rsidRPr="00E261BF">
        <w:rPr>
          <w:rFonts w:eastAsia="Calibri"/>
          <w:lang w:eastAsia="en-US"/>
        </w:rPr>
        <w:t>Minister właściwy do spraw energii będzie corocznie określać wolumen energii z</w:t>
      </w:r>
      <w:r w:rsidR="004F6B6E">
        <w:rPr>
          <w:rFonts w:eastAsia="Calibri"/>
          <w:lang w:eastAsia="en-US"/>
        </w:rPr>
        <w:t> </w:t>
      </w:r>
      <w:r w:rsidRPr="00E261BF">
        <w:rPr>
          <w:rFonts w:eastAsia="Calibri"/>
          <w:lang w:eastAsia="en-US"/>
        </w:rPr>
        <w:t>nowych oraz znacznie zmodernizowanych jednostek kogeneracji o mocy zainstalowanej elektrycznej mniejszej niż 1 MW, które w danym roku mogą zostać objęte systemem wsparcia. W</w:t>
      </w:r>
      <w:r w:rsidR="00680107">
        <w:rPr>
          <w:rFonts w:eastAsia="Calibri"/>
          <w:lang w:eastAsia="en-US"/>
        </w:rPr>
        <w:t xml:space="preserve"> </w:t>
      </w:r>
      <w:r w:rsidRPr="00E261BF">
        <w:rPr>
          <w:rFonts w:eastAsia="Calibri"/>
          <w:lang w:eastAsia="en-US"/>
        </w:rPr>
        <w:t xml:space="preserve">przypadku istniejących jednostek uprawnienia do premii nastąpi jednorazowo po zakończeniu obecnie obowiązującego systemu wsparcia opartego na świadectwach pochodzenia z kogeneracji.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Ustalona premia będzie należna przez:</w:t>
      </w:r>
    </w:p>
    <w:p w:rsidR="00FA6B40" w:rsidRPr="00E261BF" w:rsidRDefault="00FA6B40" w:rsidP="003835D3">
      <w:pPr>
        <w:pStyle w:val="Akapitzlist"/>
        <w:numPr>
          <w:ilvl w:val="0"/>
          <w:numId w:val="26"/>
        </w:numPr>
        <w:spacing w:line="360" w:lineRule="auto"/>
        <w:ind w:left="284" w:hanging="284"/>
        <w:contextualSpacing w:val="0"/>
        <w:jc w:val="both"/>
        <w:rPr>
          <w:rFonts w:eastAsia="Calibri"/>
          <w:lang w:eastAsia="en-US"/>
        </w:rPr>
      </w:pPr>
      <w:r w:rsidRPr="00E261BF">
        <w:rPr>
          <w:rFonts w:eastAsia="Calibri"/>
          <w:lang w:eastAsia="en-US"/>
        </w:rPr>
        <w:t xml:space="preserve">okres pozostały do upływu 15-letniego okresu wsparcia, uwzględniając czas korzystania przez jednostkę z systemu świadectw pochodzenia (dla istniejących małych jednostek kogeneracji), </w:t>
      </w:r>
    </w:p>
    <w:p w:rsidR="00FA6B40" w:rsidRPr="00E261BF" w:rsidRDefault="00FA6B40" w:rsidP="003835D3">
      <w:pPr>
        <w:pStyle w:val="Akapitzlist"/>
        <w:numPr>
          <w:ilvl w:val="0"/>
          <w:numId w:val="26"/>
        </w:numPr>
        <w:spacing w:line="360" w:lineRule="auto"/>
        <w:ind w:left="284" w:hanging="284"/>
        <w:contextualSpacing w:val="0"/>
        <w:jc w:val="both"/>
        <w:rPr>
          <w:rFonts w:eastAsia="Calibri"/>
          <w:lang w:eastAsia="en-US"/>
        </w:rPr>
      </w:pPr>
      <w:r w:rsidRPr="00E261BF">
        <w:rPr>
          <w:rFonts w:eastAsia="Calibri"/>
          <w:lang w:eastAsia="en-US"/>
        </w:rPr>
        <w:t>okres 5, 6 lub 7 lat (dla zmodernizowanych małych jednostek kogeneracji),</w:t>
      </w:r>
    </w:p>
    <w:p w:rsidR="00FA6B40" w:rsidRPr="00E261BF" w:rsidRDefault="00FA6B40" w:rsidP="003835D3">
      <w:pPr>
        <w:pStyle w:val="Akapitzlist"/>
        <w:numPr>
          <w:ilvl w:val="0"/>
          <w:numId w:val="26"/>
        </w:numPr>
        <w:spacing w:line="360" w:lineRule="auto"/>
        <w:ind w:left="284" w:hanging="284"/>
        <w:contextualSpacing w:val="0"/>
        <w:jc w:val="both"/>
        <w:rPr>
          <w:rFonts w:eastAsia="Calibri"/>
          <w:lang w:eastAsia="en-US"/>
        </w:rPr>
      </w:pPr>
      <w:r w:rsidRPr="00E261BF">
        <w:rPr>
          <w:rFonts w:eastAsia="Calibri"/>
          <w:lang w:eastAsia="en-US"/>
        </w:rPr>
        <w:t>okres 15 lat (dla nowych małych jednostek kogeneracji oraz znacznie zmodernizowanych małych jednostek kogeneracji).</w:t>
      </w:r>
    </w:p>
    <w:p w:rsidR="00FA6B40" w:rsidRPr="00E261BF" w:rsidRDefault="00FA6B40" w:rsidP="003835D3">
      <w:pPr>
        <w:pStyle w:val="PKTpunkt"/>
        <w:spacing w:before="120"/>
        <w:ind w:left="0" w:firstLine="0"/>
        <w:rPr>
          <w:rFonts w:ascii="Times New Roman" w:hAnsi="Times New Roman" w:cs="Times New Roman"/>
          <w:szCs w:val="24"/>
        </w:rPr>
      </w:pPr>
      <w:r w:rsidRPr="00E261BF">
        <w:rPr>
          <w:rFonts w:ascii="Times New Roman" w:hAnsi="Times New Roman" w:cs="Times New Roman"/>
          <w:szCs w:val="24"/>
        </w:rPr>
        <w:lastRenderedPageBreak/>
        <w:t>Maksymalną moc zainstalowaną elektryczną nowych małych jednostek kogeneracji lub</w:t>
      </w:r>
      <w:r w:rsidR="00680107">
        <w:rPr>
          <w:rFonts w:ascii="Times New Roman" w:hAnsi="Times New Roman" w:cs="Times New Roman"/>
          <w:szCs w:val="24"/>
        </w:rPr>
        <w:t xml:space="preserve"> </w:t>
      </w:r>
      <w:r w:rsidRPr="00E261BF">
        <w:rPr>
          <w:rFonts w:ascii="Times New Roman" w:hAnsi="Times New Roman" w:cs="Times New Roman"/>
          <w:szCs w:val="24"/>
        </w:rPr>
        <w:t>znacznie zmodernizowanych małych jednostek kogeneracji, dla których istnieje możliwość uzyskania w danym roku premii gwarantowanej, a także jednostkowa wysokość premii gwarantowanej dla małych jednostek kogeneracji, z podziałem na paliwa, o którym mowa w</w:t>
      </w:r>
      <w:r w:rsidR="00680107">
        <w:rPr>
          <w:rFonts w:ascii="Times New Roman" w:hAnsi="Times New Roman" w:cs="Times New Roman"/>
          <w:szCs w:val="24"/>
        </w:rPr>
        <w:t xml:space="preserve"> </w:t>
      </w:r>
      <w:r w:rsidRPr="00E261BF">
        <w:rPr>
          <w:rFonts w:ascii="Times New Roman" w:hAnsi="Times New Roman" w:cs="Times New Roman"/>
          <w:szCs w:val="24"/>
        </w:rPr>
        <w:t>pkt I ppkt 7, odrębnie dla nowych i znacznie zmodernizowanych jednostek kogeneracji oraz istniejących i zmodernizowanych jednostek kogeneracji), jest corocznie ustalana przez M</w:t>
      </w:r>
      <w:r w:rsidR="004F6B6E">
        <w:rPr>
          <w:rFonts w:ascii="Times New Roman" w:hAnsi="Times New Roman" w:cs="Times New Roman"/>
          <w:szCs w:val="24"/>
        </w:rPr>
        <w:t>inistra Energii i publikowana w </w:t>
      </w:r>
      <w:r w:rsidRPr="00E261BF">
        <w:rPr>
          <w:rFonts w:ascii="Times New Roman" w:hAnsi="Times New Roman" w:cs="Times New Roman"/>
          <w:szCs w:val="24"/>
        </w:rPr>
        <w:t>stosownym rozporządzeniu.</w:t>
      </w:r>
    </w:p>
    <w:p w:rsidR="00FA6B40" w:rsidRPr="00E261BF" w:rsidRDefault="00FA6B40" w:rsidP="003835D3">
      <w:pPr>
        <w:numPr>
          <w:ilvl w:val="0"/>
          <w:numId w:val="1"/>
        </w:numPr>
        <w:spacing w:before="120" w:line="360" w:lineRule="auto"/>
        <w:ind w:left="426" w:hanging="426"/>
        <w:jc w:val="both"/>
        <w:rPr>
          <w:rFonts w:eastAsia="Calibri"/>
          <w:b/>
          <w:lang w:eastAsia="en-US"/>
        </w:rPr>
      </w:pPr>
      <w:r w:rsidRPr="00E261BF">
        <w:rPr>
          <w:rFonts w:eastAsia="Calibri"/>
          <w:b/>
          <w:lang w:eastAsia="en-US"/>
        </w:rPr>
        <w:t>Założenia dla istniejących i zmodernizowanych jednostek kogeneracji o moc</w:t>
      </w:r>
      <w:r w:rsidR="00680107">
        <w:rPr>
          <w:rFonts w:eastAsia="Calibri"/>
          <w:b/>
          <w:lang w:eastAsia="en-US"/>
        </w:rPr>
        <w:t>y zainstalowanej elektrycznej 1</w:t>
      </w:r>
      <w:r w:rsidRPr="00E261BF">
        <w:rPr>
          <w:rFonts w:eastAsia="Calibri"/>
          <w:b/>
          <w:lang w:eastAsia="en-US"/>
        </w:rPr>
        <w:t>–50 MW (utrzymanie istniejących zasobów)</w:t>
      </w:r>
    </w:p>
    <w:p w:rsidR="00FA6B40" w:rsidRPr="00E261BF" w:rsidRDefault="00FA6B40" w:rsidP="003835D3">
      <w:pPr>
        <w:spacing w:before="120" w:line="360" w:lineRule="auto"/>
        <w:ind w:left="426" w:hanging="426"/>
        <w:jc w:val="both"/>
        <w:rPr>
          <w:rFonts w:eastAsia="Calibri"/>
          <w:b/>
          <w:lang w:eastAsia="en-US"/>
        </w:rPr>
      </w:pPr>
      <w:r w:rsidRPr="00E261BF">
        <w:rPr>
          <w:rFonts w:eastAsia="Calibri"/>
          <w:b/>
          <w:lang w:eastAsia="en-US"/>
        </w:rPr>
        <w:t>1.</w:t>
      </w:r>
      <w:r w:rsidRPr="00E261BF">
        <w:rPr>
          <w:rFonts w:eastAsia="Calibri"/>
          <w:b/>
          <w:lang w:eastAsia="en-US"/>
        </w:rPr>
        <w:tab/>
        <w:t>System wsparcia oparty będzie o formułę premii dopłacanej do ceny energii elektrycznej</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Wszystkie istniejące instalacje będą dopuszczone do wsparcia, które odpowiadało będzie luce finansowej pomiędzy kosztami wytwarzani</w:t>
      </w:r>
      <w:r w:rsidR="004F6B6E">
        <w:rPr>
          <w:rFonts w:eastAsia="Calibri"/>
          <w:lang w:eastAsia="en-US"/>
        </w:rPr>
        <w:t>a energii elektrycznej w </w:t>
      </w:r>
      <w:r w:rsidRPr="00E261BF">
        <w:rPr>
          <w:rFonts w:eastAsia="Calibri"/>
          <w:lang w:eastAsia="en-US"/>
        </w:rPr>
        <w:t>jednostkach wysokosprawnej kogeneracji, a rynkową ceną energii. Powyższe rozwiązanie w odróżnieniu od zaproponowanego modelu aukcyjnego dla nowych instalacji lepiej odpowiada potrzebom istniejących instalacji, które dla utrzymania produkcji energii elektrycznej na dotychczasowym poziomie wymagają stosownego wsparcia – wyeliminowane zostaje ryzyko, że istniejąc</w:t>
      </w:r>
      <w:r w:rsidR="004F6B6E">
        <w:rPr>
          <w:rFonts w:eastAsia="Calibri"/>
          <w:lang w:eastAsia="en-US"/>
        </w:rPr>
        <w:t>a jednostka nie wygra aukcji, a </w:t>
      </w:r>
      <w:r w:rsidRPr="00E261BF">
        <w:rPr>
          <w:rFonts w:eastAsia="Calibri"/>
          <w:lang w:eastAsia="en-US"/>
        </w:rPr>
        <w:t>tym samym nie będzie mogła utrzymać dotychczasowej produkcji.</w:t>
      </w:r>
    </w:p>
    <w:p w:rsidR="00AE3F41" w:rsidRPr="00E261BF" w:rsidRDefault="00FA6B40" w:rsidP="003835D3">
      <w:pPr>
        <w:spacing w:before="120" w:line="360" w:lineRule="auto"/>
        <w:jc w:val="both"/>
      </w:pPr>
      <w:r w:rsidRPr="00E261BF">
        <w:rPr>
          <w:rFonts w:eastAsia="Calibri"/>
          <w:lang w:eastAsia="en-US"/>
        </w:rPr>
        <w:t>Jako istniejąca jednostka wysokosprawnej kogenerac</w:t>
      </w:r>
      <w:r w:rsidR="00AE3F41" w:rsidRPr="00E261BF">
        <w:rPr>
          <w:rFonts w:eastAsia="Calibri"/>
          <w:lang w:eastAsia="en-US"/>
        </w:rPr>
        <w:t>ji rozumiana będzie instalacja</w:t>
      </w:r>
      <w:r w:rsidR="004F6B6E">
        <w:t>, w </w:t>
      </w:r>
      <w:r w:rsidR="00AE3F41" w:rsidRPr="00E261BF">
        <w:t xml:space="preserve">której wytworzenie pierwszej energii elektrycznej nastąpiło przed dniem 1 stycznia 2019 roku i zostało </w:t>
      </w:r>
      <w:r w:rsidR="00AE3F41" w:rsidRPr="00E261BF">
        <w:rPr>
          <w:rFonts w:eastAsia="Calibri"/>
          <w:lang w:eastAsia="ar-SA"/>
        </w:rPr>
        <w:t>potwierdzone wydanym świadectwem pochodzenia z kogeneracji</w:t>
      </w:r>
      <w:r w:rsidR="00AE3F41" w:rsidRPr="00E261BF">
        <w:t>.</w:t>
      </w:r>
    </w:p>
    <w:p w:rsidR="00FA6B40" w:rsidRPr="00E261BF" w:rsidRDefault="00FA6B40" w:rsidP="003835D3">
      <w:pPr>
        <w:spacing w:before="120" w:line="360" w:lineRule="auto"/>
        <w:ind w:left="284" w:hanging="284"/>
        <w:jc w:val="both"/>
        <w:rPr>
          <w:rFonts w:eastAsia="Calibri"/>
          <w:b/>
          <w:lang w:eastAsia="en-US"/>
        </w:rPr>
      </w:pPr>
      <w:r w:rsidRPr="00E261BF">
        <w:rPr>
          <w:rFonts w:eastAsia="Calibri"/>
          <w:b/>
          <w:lang w:eastAsia="en-US"/>
        </w:rPr>
        <w:t>2.</w:t>
      </w:r>
      <w:r w:rsidRPr="00E261BF">
        <w:rPr>
          <w:rFonts w:eastAsia="Calibri"/>
          <w:b/>
          <w:lang w:eastAsia="en-US"/>
        </w:rPr>
        <w:tab/>
        <w:t>Przedmiotem wsparcia będzie premia do wytworzonej energii elektrycznej</w:t>
      </w:r>
    </w:p>
    <w:p w:rsidR="00FA6B40" w:rsidRPr="00E261BF" w:rsidRDefault="00FA6B40" w:rsidP="003835D3">
      <w:pPr>
        <w:spacing w:before="120" w:line="360" w:lineRule="auto"/>
        <w:jc w:val="both"/>
        <w:rPr>
          <w:rFonts w:eastAsia="Calibri"/>
          <w:b/>
          <w:lang w:eastAsia="en-US"/>
        </w:rPr>
      </w:pPr>
      <w:r w:rsidRPr="00E261BF">
        <w:rPr>
          <w:rFonts w:eastAsia="Calibri"/>
          <w:lang w:eastAsia="en-US"/>
        </w:rPr>
        <w:t>Proponowany mechanizm gwarantuje operatorom istniejących instalacji stały strumień przychodów ustalony w postaci premii do ceny energii elektrycznej. Premia przyznawana dla</w:t>
      </w:r>
      <w:r w:rsidR="00680107">
        <w:rPr>
          <w:rFonts w:eastAsia="Calibri"/>
          <w:lang w:eastAsia="en-US"/>
        </w:rPr>
        <w:t xml:space="preserve"> </w:t>
      </w:r>
      <w:r w:rsidRPr="00E261BF">
        <w:rPr>
          <w:rFonts w:eastAsia="Calibri"/>
          <w:lang w:eastAsia="en-US"/>
        </w:rPr>
        <w:t>każdej MWh wytworzonej energii elektrycznej w jednostkach wysokosprawnej kogeneracji wydaje się być optymalnym rozwiązaniem dla istniejących instalacji.</w:t>
      </w:r>
    </w:p>
    <w:p w:rsidR="00FA6B40" w:rsidRPr="00E261BF" w:rsidRDefault="00FA6B40" w:rsidP="006C36C9">
      <w:pPr>
        <w:keepNext/>
        <w:spacing w:before="120" w:line="360" w:lineRule="auto"/>
        <w:ind w:left="284" w:hanging="284"/>
        <w:jc w:val="both"/>
        <w:rPr>
          <w:rFonts w:eastAsia="Calibri"/>
          <w:b/>
          <w:lang w:eastAsia="en-US"/>
        </w:rPr>
      </w:pPr>
      <w:r w:rsidRPr="00E261BF">
        <w:rPr>
          <w:rFonts w:eastAsia="Calibri"/>
          <w:b/>
          <w:lang w:eastAsia="en-US"/>
        </w:rPr>
        <w:lastRenderedPageBreak/>
        <w:t>3.</w:t>
      </w:r>
      <w:r w:rsidRPr="00E261BF">
        <w:rPr>
          <w:rFonts w:eastAsia="Calibri"/>
          <w:b/>
          <w:lang w:eastAsia="en-US"/>
        </w:rPr>
        <w:tab/>
        <w:t>Wysokość premii referencyjnej ustalana będzie corocznie przez Ministra Energii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Jednostkowa wysokość premii gwarantowanej, kierowanej do istniejących jednostek kogeneracji, określana będzie corocznie przez Ministra Energii w formie rozporządzenia. Aby zapewnić, że wysokość premii jest optymalnie dostosowana do pokrycia luki finansowej pomiędzy kosztami wyt</w:t>
      </w:r>
      <w:r w:rsidR="004F6B6E">
        <w:rPr>
          <w:rFonts w:eastAsia="Calibri"/>
          <w:lang w:eastAsia="en-US"/>
        </w:rPr>
        <w:t>warzania energii elektrycznej w </w:t>
      </w:r>
      <w:r w:rsidRPr="00E261BF">
        <w:rPr>
          <w:rFonts w:eastAsia="Calibri"/>
          <w:lang w:eastAsia="en-US"/>
        </w:rPr>
        <w:t>jednostkach kogeneracji a ceną rynkową energii, wy</w:t>
      </w:r>
      <w:r w:rsidR="004F6B6E">
        <w:rPr>
          <w:rFonts w:eastAsia="Calibri"/>
          <w:lang w:eastAsia="en-US"/>
        </w:rPr>
        <w:t>sokość premii będzie ustalana w </w:t>
      </w:r>
      <w:r w:rsidRPr="00E261BF">
        <w:rPr>
          <w:rFonts w:eastAsia="Calibri"/>
          <w:lang w:eastAsia="en-US"/>
        </w:rPr>
        <w:t>oparciu o rzeczywiste dane rynkowe (zakres danych branych pod uwagę przez Ministra Energii zostanie wskazany w</w:t>
      </w:r>
      <w:r w:rsidR="00680107">
        <w:rPr>
          <w:rFonts w:eastAsia="Calibri"/>
          <w:lang w:eastAsia="en-US"/>
        </w:rPr>
        <w:t xml:space="preserve"> </w:t>
      </w:r>
      <w:r w:rsidRPr="00E261BF">
        <w:rPr>
          <w:rFonts w:eastAsia="Calibri"/>
          <w:lang w:eastAsia="en-US"/>
        </w:rPr>
        <w:t>upoważnieniu ustawowym). Premia nie będzie jednak obejmowała poniesionych nakładów inwestycyjnych, a jedynie lukę w kosztach operacyjnych.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Przyznanie uprawnienia do premii jednostkom istniejącym nastąpi jednorazowo po</w:t>
      </w:r>
      <w:r w:rsidR="00680107">
        <w:rPr>
          <w:rFonts w:eastAsia="Calibri"/>
          <w:lang w:eastAsia="en-US"/>
        </w:rPr>
        <w:t xml:space="preserve"> </w:t>
      </w:r>
      <w:r w:rsidRPr="00E261BF">
        <w:rPr>
          <w:rFonts w:eastAsia="Calibri"/>
          <w:lang w:eastAsia="en-US"/>
        </w:rPr>
        <w:t>zakończeniu obecnie obowiązującego systemu wsparcia opartego na świadectwach pochodzenia z kogeneracji. Ustalona premia będzie należna przez okres pozostały do upływu 15-letniego okresu wsparcia, uwzględniając cza</w:t>
      </w:r>
      <w:r w:rsidR="004F6B6E">
        <w:rPr>
          <w:rFonts w:eastAsia="Calibri"/>
          <w:lang w:eastAsia="en-US"/>
        </w:rPr>
        <w:t>s korzystania przez jednostkę z </w:t>
      </w:r>
      <w:r w:rsidRPr="00E261BF">
        <w:rPr>
          <w:rFonts w:eastAsia="Calibri"/>
          <w:lang w:eastAsia="en-US"/>
        </w:rPr>
        <w:t>systemu świadectw pochodzenia.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Dopuszczona zostanie również możliwość uzyskania wsparcia w przypadku modernizacji jednostki kogeneracji, niemniej jednak na czas krótszy niż 15</w:t>
      </w:r>
      <w:r w:rsidR="00680107">
        <w:rPr>
          <w:rFonts w:eastAsia="Calibri"/>
          <w:lang w:eastAsia="en-US"/>
        </w:rPr>
        <w:t xml:space="preserve"> </w:t>
      </w:r>
      <w:r w:rsidRPr="00E261BF">
        <w:rPr>
          <w:rFonts w:eastAsia="Calibri"/>
          <w:lang w:eastAsia="en-US"/>
        </w:rPr>
        <w:t>lat. Dla</w:t>
      </w:r>
      <w:r w:rsidR="00570D9A">
        <w:rPr>
          <w:rFonts w:eastAsia="Calibri"/>
          <w:lang w:eastAsia="en-US"/>
        </w:rPr>
        <w:t> </w:t>
      </w:r>
      <w:r w:rsidRPr="00E261BF">
        <w:rPr>
          <w:rFonts w:eastAsia="Calibri"/>
          <w:lang w:eastAsia="en-US"/>
        </w:rPr>
        <w:t>jednostek modernizowanych, czyli takich, kt</w:t>
      </w:r>
      <w:r w:rsidR="00570D9A">
        <w:rPr>
          <w:rFonts w:eastAsia="Calibri"/>
          <w:lang w:eastAsia="en-US"/>
        </w:rPr>
        <w:t>órych koszt modernizacji wynosi </w:t>
      </w:r>
      <w:r w:rsidRPr="00E261BF">
        <w:rPr>
          <w:rFonts w:eastAsia="Calibri"/>
          <w:lang w:eastAsia="en-US"/>
        </w:rPr>
        <w:t>więcej niż 25 i nie więcej niż 50% nakładów jak</w:t>
      </w:r>
      <w:r w:rsidR="00570D9A">
        <w:rPr>
          <w:rFonts w:eastAsia="Calibri"/>
          <w:lang w:eastAsia="en-US"/>
        </w:rPr>
        <w:t xml:space="preserve"> na nową jednostkę kogeneracji, </w:t>
      </w:r>
      <w:r w:rsidRPr="00E261BF">
        <w:rPr>
          <w:rFonts w:eastAsia="Calibri"/>
          <w:lang w:eastAsia="en-US"/>
        </w:rPr>
        <w:t xml:space="preserve">długość okresu wsparcia wynosi 5, 6 lub 7 lat </w:t>
      </w:r>
      <w:r w:rsidR="00680107">
        <w:rPr>
          <w:rFonts w:eastAsia="Calibri"/>
          <w:lang w:eastAsia="en-US"/>
        </w:rPr>
        <w:t>–</w:t>
      </w:r>
      <w:r w:rsidR="00570D9A">
        <w:rPr>
          <w:rFonts w:eastAsia="Calibri"/>
          <w:lang w:eastAsia="en-US"/>
        </w:rPr>
        <w:t xml:space="preserve"> w zależności od wielkości </w:t>
      </w:r>
      <w:r w:rsidRPr="00E261BF">
        <w:rPr>
          <w:rFonts w:eastAsia="Calibri"/>
          <w:lang w:eastAsia="en-US"/>
        </w:rPr>
        <w:t>poniesionych nakładów jak na nową jednostkę ko</w:t>
      </w:r>
      <w:r w:rsidR="00680107">
        <w:rPr>
          <w:rFonts w:eastAsia="Calibri"/>
          <w:lang w:eastAsia="en-US"/>
        </w:rPr>
        <w:t>generacji (odpowiednio &lt;25</w:t>
      </w:r>
      <w:r w:rsidR="00570D9A">
        <w:rPr>
          <w:rFonts w:eastAsia="Calibri"/>
          <w:lang w:eastAsia="en-US"/>
        </w:rPr>
        <w:t> </w:t>
      </w:r>
      <w:r w:rsidRPr="00E261BF">
        <w:rPr>
          <w:rFonts w:eastAsia="Calibri"/>
          <w:lang w:eastAsia="en-US"/>
        </w:rPr>
        <w:t>–</w:t>
      </w:r>
      <w:r w:rsidR="00570D9A">
        <w:rPr>
          <w:rFonts w:eastAsia="Calibri"/>
          <w:lang w:eastAsia="en-US"/>
        </w:rPr>
        <w:t xml:space="preserve"> </w:t>
      </w:r>
      <w:r w:rsidRPr="00E261BF">
        <w:rPr>
          <w:rFonts w:eastAsia="Calibri"/>
          <w:lang w:eastAsia="en-US"/>
        </w:rPr>
        <w:t>33%),&lt;33</w:t>
      </w:r>
      <w:r w:rsidR="00570D9A">
        <w:rPr>
          <w:rFonts w:eastAsia="Calibri"/>
          <w:lang w:eastAsia="en-US"/>
        </w:rPr>
        <w:t>-</w:t>
      </w:r>
      <w:r w:rsidRPr="00E261BF">
        <w:rPr>
          <w:rFonts w:eastAsia="Calibri"/>
          <w:lang w:eastAsia="en-US"/>
        </w:rPr>
        <w:t>40%)&lt;40</w:t>
      </w:r>
      <w:r w:rsidR="00570D9A">
        <w:rPr>
          <w:rFonts w:eastAsia="Calibri"/>
          <w:lang w:eastAsia="en-US"/>
        </w:rPr>
        <w:t>-</w:t>
      </w:r>
      <w:r w:rsidRPr="00E261BF">
        <w:rPr>
          <w:rFonts w:eastAsia="Calibri"/>
          <w:lang w:eastAsia="en-US"/>
        </w:rPr>
        <w:t>50%)).</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Ww. wartość nakładów na nową jednostkę kogeneracji określana będzie przez Ministra Energii w drodze rozporządzenia.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Ustalanie wysokości premii na poziomie rozporządzenia Ministra Energii zapewniać będzie transparentność oraz uczestnictwo w procesie legislacyjnym zainteresowanych partnerów społecznych.</w:t>
      </w:r>
    </w:p>
    <w:p w:rsidR="00FA6B40" w:rsidRPr="00E261BF" w:rsidRDefault="00FA6B40" w:rsidP="003835D3">
      <w:pPr>
        <w:tabs>
          <w:tab w:val="left" w:pos="284"/>
        </w:tabs>
        <w:spacing w:before="120" w:line="360" w:lineRule="auto"/>
        <w:ind w:left="426" w:hanging="426"/>
        <w:jc w:val="both"/>
        <w:rPr>
          <w:rFonts w:eastAsia="Calibri"/>
          <w:b/>
          <w:lang w:eastAsia="en-US"/>
        </w:rPr>
      </w:pPr>
      <w:r w:rsidRPr="00E261BF">
        <w:rPr>
          <w:rFonts w:eastAsia="Calibri"/>
          <w:b/>
          <w:lang w:eastAsia="en-US"/>
        </w:rPr>
        <w:t>4.</w:t>
      </w:r>
      <w:r w:rsidRPr="00E261BF">
        <w:rPr>
          <w:rFonts w:eastAsia="Calibri"/>
          <w:b/>
          <w:lang w:eastAsia="en-US"/>
        </w:rPr>
        <w:tab/>
        <w:t xml:space="preserve">Uzyskanie premii poprzedzać będzie proces prekwalifikacji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Przed uzyskaniem wsparcia w postaci premii do każdej MWh wytworzonej energii elektrycznej w jednostkach kogeneracji, sprzedanej i wprowadzonej do sieci energii </w:t>
      </w:r>
      <w:r w:rsidRPr="00E261BF">
        <w:rPr>
          <w:rFonts w:eastAsia="Calibri"/>
          <w:lang w:eastAsia="en-US"/>
        </w:rPr>
        <w:lastRenderedPageBreak/>
        <w:t xml:space="preserve">elektrycznej (bądź tylko wytworzonej </w:t>
      </w:r>
      <w:r w:rsidR="00680107">
        <w:rPr>
          <w:rFonts w:eastAsia="Calibri"/>
          <w:lang w:eastAsia="en-US"/>
        </w:rPr>
        <w:t>–</w:t>
      </w:r>
      <w:r w:rsidRPr="00E261BF">
        <w:rPr>
          <w:rFonts w:eastAsia="Calibri"/>
          <w:lang w:eastAsia="en-US"/>
        </w:rPr>
        <w:t xml:space="preserve"> w przypadku istniejących i zmodernizowanych jednostek kogeneracji opalanych </w:t>
      </w:r>
      <w:r w:rsidRPr="00E261BF">
        <w:t>metanem uwalnianym i ujmowanym przy dołowych robotach górniczych w czynnych, likwidowanych lub zlikwidowanych kopalniach węgla kamiennego)</w:t>
      </w:r>
      <w:r w:rsidRPr="00E261BF">
        <w:rPr>
          <w:rFonts w:eastAsia="Calibri"/>
          <w:lang w:eastAsia="en-US"/>
        </w:rPr>
        <w:t>, wszystkie instalacje będą musiały przejść proces prekwalifikacji realizowany przez Prezesa URE. Prekwalifikacja w odniesieniu do istniejących instalacji polegać będzie na prawidłowej kwalifikacji</w:t>
      </w:r>
      <w:r w:rsidR="004F6B6E">
        <w:rPr>
          <w:rFonts w:eastAsia="Calibri"/>
          <w:lang w:eastAsia="en-US"/>
        </w:rPr>
        <w:t xml:space="preserve"> do odpowiedniej technologii, o </w:t>
      </w:r>
      <w:r w:rsidRPr="00E261BF">
        <w:rPr>
          <w:rFonts w:eastAsia="Calibri"/>
          <w:lang w:eastAsia="en-US"/>
        </w:rPr>
        <w:t>której mowa w pkt 1 ppkt 7).</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Prekwalifikacja prowadzona będzie przez Prezesa URE na wniosek właściciela danej jednostki kogeneracji i dotyczyć będzie dostępu d</w:t>
      </w:r>
      <w:r w:rsidR="004F6B6E">
        <w:rPr>
          <w:rFonts w:eastAsia="Calibri"/>
          <w:lang w:eastAsia="en-US"/>
        </w:rPr>
        <w:t>o udziału w systemie wsparcia w </w:t>
      </w:r>
      <w:r w:rsidRPr="00E261BF">
        <w:rPr>
          <w:rFonts w:eastAsia="Calibri"/>
          <w:lang w:eastAsia="en-US"/>
        </w:rPr>
        <w:t xml:space="preserve">postaci premii gwarantowanej. Właściciel jednostki/podmiot działający w imieniu właściciela składać będzie wniosek o dopuszczenie do udziału w systemie wsparcia wraz z oświadczeniem spełnienia przesłanek pozwalających na przypisanie instalacji do odpowiedniej technologii oraz oświadczeniem o wysokości dotychczas uzyskanej pomocy inwestycyjnej (składanie tego oświadczenia nie będzie dotyczyło istniejących jednostek kogeneracji oraz istniejących małych jednostek kogeneracji).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Na podstawie ww. wniosku Prezes URE wydawać będzie zaświadczenie o możliwości udziału w systemie wsparcia oraz przypisania do odpowiedniej technologii. Prezes URE może również żądać wszelkich niezbędnych dokumentów potwierdzających wartość otrzymanej pomocy inwestycyjnej lub innych warunkujących udział w systemie wsparcia.</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przypadku wydania przez Prezesa URE decyzji odmownej, przewiduje się możliwość odwołania bądź zażalenia do Sądu Okręgowego w Warszawie.</w:t>
      </w:r>
    </w:p>
    <w:p w:rsidR="00FA6B40" w:rsidRPr="00E261BF" w:rsidRDefault="00FA6B40" w:rsidP="003835D3">
      <w:pPr>
        <w:spacing w:before="120" w:line="360" w:lineRule="auto"/>
        <w:ind w:left="284" w:hanging="284"/>
        <w:jc w:val="both"/>
        <w:rPr>
          <w:rFonts w:eastAsia="Calibri"/>
          <w:b/>
          <w:lang w:eastAsia="en-US"/>
        </w:rPr>
      </w:pPr>
      <w:r w:rsidRPr="00E261BF">
        <w:rPr>
          <w:rFonts w:eastAsia="Calibri"/>
          <w:b/>
          <w:lang w:eastAsia="en-US"/>
        </w:rPr>
        <w:t>5.</w:t>
      </w:r>
      <w:r w:rsidRPr="00E261BF">
        <w:rPr>
          <w:rFonts w:eastAsia="Calibri"/>
          <w:b/>
          <w:lang w:eastAsia="en-US"/>
        </w:rPr>
        <w:tab/>
        <w:t>Istniejące jednostki kogeneracji zostaną przypisane do</w:t>
      </w:r>
      <w:r w:rsidR="00680107">
        <w:rPr>
          <w:rFonts w:eastAsia="Calibri"/>
          <w:b/>
          <w:lang w:eastAsia="en-US"/>
        </w:rPr>
        <w:t xml:space="preserve"> </w:t>
      </w:r>
      <w:r w:rsidRPr="00E261BF">
        <w:rPr>
          <w:rFonts w:eastAsia="Calibri"/>
          <w:b/>
          <w:lang w:eastAsia="en-US"/>
        </w:rPr>
        <w:t>poszczególnych technologii, które grupować będą instalacje o porównywalnych parametrach ekonomicznych (koszty wytwarzania energii elektrycznej)</w:t>
      </w:r>
    </w:p>
    <w:p w:rsidR="00FA6B40" w:rsidRPr="00E261BF" w:rsidRDefault="00FA6B40" w:rsidP="003835D3">
      <w:pPr>
        <w:spacing w:before="120" w:line="360" w:lineRule="auto"/>
        <w:jc w:val="both"/>
        <w:rPr>
          <w:rFonts w:eastAsia="Calibri"/>
          <w:lang w:eastAsia="en-US"/>
        </w:rPr>
      </w:pPr>
      <w:r w:rsidRPr="00E261BF">
        <w:rPr>
          <w:rFonts w:eastAsia="Calibri"/>
          <w:lang w:eastAsia="en-US"/>
        </w:rPr>
        <w:t>Dla właściwego dostosowania wysokości premii do rodzaju instalacji (uwzględnienie różnych kosztów wytworzenia energii w instalacjach: wykorzystujących różne rodzaje paliw, a także o różnej mocy zainstalowanej) istniejące i modernizowane jednostki kogeneracji podzielone zostaną na technologie według takiego samego podziału, j</w:t>
      </w:r>
      <w:r w:rsidR="004F6B6E">
        <w:rPr>
          <w:rFonts w:eastAsia="Calibri"/>
          <w:lang w:eastAsia="en-US"/>
        </w:rPr>
        <w:t>ak w </w:t>
      </w:r>
      <w:r w:rsidRPr="00E261BF">
        <w:rPr>
          <w:rFonts w:eastAsia="Calibri"/>
          <w:lang w:eastAsia="en-US"/>
        </w:rPr>
        <w:t>systemie aukcyjnym dla nowych i znacznie zmoderni</w:t>
      </w:r>
      <w:r w:rsidR="004F6B6E">
        <w:rPr>
          <w:rFonts w:eastAsia="Calibri"/>
          <w:lang w:eastAsia="en-US"/>
        </w:rPr>
        <w:t>zowanych instalacji (pkt I ppkt </w:t>
      </w:r>
      <w:r w:rsidRPr="00E261BF">
        <w:rPr>
          <w:rFonts w:eastAsia="Calibri"/>
          <w:lang w:eastAsia="en-US"/>
        </w:rPr>
        <w:t>7).</w:t>
      </w:r>
    </w:p>
    <w:p w:rsidR="00FA6B40" w:rsidRPr="00E261BF" w:rsidRDefault="00FA6B40" w:rsidP="003835D3">
      <w:pPr>
        <w:spacing w:before="120" w:line="360" w:lineRule="auto"/>
        <w:jc w:val="both"/>
        <w:rPr>
          <w:rFonts w:eastAsia="Calibri"/>
          <w:lang w:eastAsia="en-US"/>
        </w:rPr>
      </w:pPr>
      <w:r w:rsidRPr="00E261BF">
        <w:rPr>
          <w:rFonts w:eastAsia="Calibri"/>
          <w:lang w:eastAsia="en-US"/>
        </w:rPr>
        <w:lastRenderedPageBreak/>
        <w:t>Dla jednostek kogeneracyjnych, w których występuje współspalanie różnych rodzajów paliw, które występują w ramach dwóch różnych koszyków, wolumen energii wytworzonej w wysokosprawnej kogeneracji będzie wspierany proporcjonalnie do udziału energii chemicznej zawartej w tych paliwach.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Przygotowywana przez Ministra Energii kalkulacja wysokości premii w odniesieniu </w:t>
      </w:r>
      <w:r w:rsidRPr="00E261BF">
        <w:rPr>
          <w:rFonts w:eastAsia="Calibri"/>
        </w:rPr>
        <w:t>do jednostek</w:t>
      </w:r>
      <w:r w:rsidRPr="00E261BF">
        <w:rPr>
          <w:rFonts w:eastAsia="Calibri"/>
          <w:lang w:eastAsia="en-US"/>
        </w:rPr>
        <w:t xml:space="preserve"> referencyjnych będzie opierać się na danych rynkowych, a wyliczenie będzie skalkulowane, jak dla nowej instalacji.</w:t>
      </w:r>
    </w:p>
    <w:p w:rsidR="00FA6B40" w:rsidRPr="00E261BF" w:rsidRDefault="00FA6B40" w:rsidP="003835D3">
      <w:pPr>
        <w:spacing w:before="120" w:line="360" w:lineRule="auto"/>
        <w:ind w:left="284" w:hanging="284"/>
        <w:jc w:val="both"/>
        <w:rPr>
          <w:rFonts w:eastAsia="Calibri"/>
          <w:b/>
          <w:lang w:eastAsia="en-US"/>
        </w:rPr>
      </w:pPr>
      <w:r w:rsidRPr="00E261BF">
        <w:rPr>
          <w:rFonts w:eastAsia="Calibri"/>
          <w:b/>
          <w:lang w:eastAsia="en-US"/>
        </w:rPr>
        <w:t>6.</w:t>
      </w:r>
      <w:r w:rsidRPr="00E261BF">
        <w:rPr>
          <w:rFonts w:eastAsia="Calibri"/>
          <w:b/>
          <w:lang w:eastAsia="en-US"/>
        </w:rPr>
        <w:tab/>
        <w:t>Nie będzie potrzeby ustalania odrębnego budżetu – wysokość niezbędnych środków do przeniesienia w opłacie kogeneracyjnej będzie ustalana przez URE na podstawie wysokości premii dla poszczególnych technologii oraz zdolności wytwórczych instalacji w poszczególnych technologiach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związku z faktem, iż dopuszczone do wsparcia będą wszystkie istniejące jednostki kogeneracji, dla których występuje luka finansowa w kosztach operacyjnych, nie przewiduje się, analogicznie jak w przypadku nowych instalacji, odrębnego określania wysokości budżetu dla istniejących instalacji. Środki niezbędne do sfinansowania wsparcia dla istniejących jednostek kogeneracji będą zbierane poprzez opłatę kogeneracyjną, której wysokość będzie corocznie ustalana przez Prezesa URE na podstawie projekcji przyszłego zapotrzebowania na środki niezbędne do sfinansowania systemu (więcej informacji na temat finasowania systemu wsparcia znajduje się poniżej w</w:t>
      </w:r>
      <w:r w:rsidR="00680107">
        <w:rPr>
          <w:rFonts w:eastAsia="Calibri"/>
          <w:lang w:eastAsia="en-US"/>
        </w:rPr>
        <w:t xml:space="preserve"> </w:t>
      </w:r>
      <w:r w:rsidRPr="00E261BF">
        <w:rPr>
          <w:rFonts w:eastAsia="Calibri"/>
          <w:lang w:eastAsia="en-US"/>
        </w:rPr>
        <w:t>części dotyczącej założeń wspólnych dla nowych i istniejących instalacji).</w:t>
      </w:r>
      <w:r w:rsidR="004F6B6E">
        <w:rPr>
          <w:rFonts w:eastAsia="Calibri"/>
          <w:lang w:eastAsia="en-US"/>
        </w:rPr>
        <w:t xml:space="preserve"> W </w:t>
      </w:r>
      <w:r w:rsidR="00B3545C" w:rsidRPr="00E261BF">
        <w:rPr>
          <w:rFonts w:eastAsia="Calibri"/>
          <w:lang w:eastAsia="en-US"/>
        </w:rPr>
        <w:t>przepisach ustawy dotyczących kwestii ustalania opłaty kogeneracyjnej wskazany został maksymalny wolumen energii elektrycznej z wysokosprawnej kogeneracji, który może podlegać wsparciu w danym roku.</w:t>
      </w:r>
    </w:p>
    <w:p w:rsidR="00FA6B40" w:rsidRPr="00E261BF" w:rsidRDefault="00FA6B40" w:rsidP="003835D3">
      <w:pPr>
        <w:numPr>
          <w:ilvl w:val="0"/>
          <w:numId w:val="1"/>
        </w:numPr>
        <w:spacing w:before="120" w:line="360" w:lineRule="auto"/>
        <w:ind w:left="426" w:hanging="426"/>
        <w:jc w:val="both"/>
        <w:rPr>
          <w:rFonts w:eastAsia="Calibri"/>
          <w:b/>
          <w:lang w:eastAsia="en-US"/>
        </w:rPr>
      </w:pPr>
      <w:r w:rsidRPr="00E261BF">
        <w:rPr>
          <w:rFonts w:eastAsia="Calibri"/>
          <w:b/>
          <w:lang w:eastAsia="en-US"/>
        </w:rPr>
        <w:t>Wsparcie dla jednostek kogeneracji o mocy zainstalowanej elektrycznej co najmniej 50 MW</w:t>
      </w:r>
    </w:p>
    <w:p w:rsidR="00FA6B40" w:rsidRPr="00E261BF" w:rsidRDefault="00FA6B40" w:rsidP="003835D3">
      <w:pPr>
        <w:spacing w:before="120" w:line="360" w:lineRule="auto"/>
        <w:jc w:val="both"/>
        <w:rPr>
          <w:rFonts w:eastAsia="Calibri"/>
          <w:lang w:eastAsia="en-US"/>
        </w:rPr>
      </w:pPr>
      <w:r w:rsidRPr="00E261BF">
        <w:rPr>
          <w:rFonts w:eastAsia="Calibri"/>
          <w:lang w:eastAsia="en-US"/>
        </w:rPr>
        <w:t>Ze względu na fakt, że udział jednostek o mocy zainstalowanej elektrycznej co najmniej 50 MW mógłby zaburzyć wyniki aukcji (z uwagi na osiągane korzyści skali, jednostki te</w:t>
      </w:r>
      <w:r w:rsidR="00680107">
        <w:rPr>
          <w:rFonts w:eastAsia="Calibri"/>
          <w:lang w:eastAsia="en-US"/>
        </w:rPr>
        <w:t xml:space="preserve"> </w:t>
      </w:r>
      <w:r w:rsidRPr="00E261BF">
        <w:rPr>
          <w:rFonts w:eastAsia="Calibri"/>
          <w:lang w:eastAsia="en-US"/>
        </w:rPr>
        <w:t xml:space="preserve">mogłyby w aukcji składać oferty znacznie poniżej ofert jednostek o mniejszej mocy) oraz, że skonstruowanie dla tego rodzaju jednostek odrębnego konkurencyjnego koszyka nie jest możliwe (zbyt mała liczba spodziewanych do realizacji projektów tej skali), proponuje się wyłączyć duże jednostki z aukcji oraz objąć je systemem wsparcia w formie premii wyznaczanej indywidualnie dla każdej instalacji. Wysokość premii </w:t>
      </w:r>
      <w:r w:rsidRPr="00E261BF">
        <w:rPr>
          <w:rFonts w:eastAsia="Calibri"/>
          <w:lang w:eastAsia="en-US"/>
        </w:rPr>
        <w:lastRenderedPageBreak/>
        <w:t>będzie ustalana na</w:t>
      </w:r>
      <w:r w:rsidR="00680107">
        <w:rPr>
          <w:rFonts w:eastAsia="Calibri"/>
          <w:lang w:eastAsia="en-US"/>
        </w:rPr>
        <w:t xml:space="preserve"> </w:t>
      </w:r>
      <w:r w:rsidRPr="00E261BF">
        <w:rPr>
          <w:rFonts w:eastAsia="Calibri"/>
          <w:lang w:eastAsia="en-US"/>
        </w:rPr>
        <w:t xml:space="preserve">podstawie faktycznych paramentów i sytuacji rynkowej każdej jednostki i przez to nie większa niż faktyczne potrzeby poszczególnych jednostek.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Planuje się, że minister właściwy do spraw energii będzie</w:t>
      </w:r>
      <w:r w:rsidR="005D4A51">
        <w:rPr>
          <w:rFonts w:eastAsia="Calibri"/>
          <w:lang w:eastAsia="en-US"/>
        </w:rPr>
        <w:t xml:space="preserve"> określał,</w:t>
      </w:r>
      <w:r w:rsidRPr="00E261BF">
        <w:rPr>
          <w:rFonts w:eastAsia="Calibri"/>
          <w:lang w:eastAsia="en-US"/>
        </w:rPr>
        <w:t xml:space="preserve"> w drodze rozporządzenia</w:t>
      </w:r>
      <w:r w:rsidR="005D4A51">
        <w:rPr>
          <w:rFonts w:eastAsia="Calibri"/>
          <w:lang w:eastAsia="en-US"/>
        </w:rPr>
        <w:t>,</w:t>
      </w:r>
      <w:r w:rsidRPr="00E261BF">
        <w:rPr>
          <w:rFonts w:eastAsia="Calibri"/>
          <w:lang w:eastAsia="en-US"/>
        </w:rPr>
        <w:t xml:space="preserve"> dla danego roku maksymalną wysokość premii kogeneracyjnej indywidualnej dla poszczególnych kategorii jednostek (w zależności od wykorzystywanej technologii i</w:t>
      </w:r>
      <w:r w:rsidR="00680107">
        <w:rPr>
          <w:rFonts w:eastAsia="Calibri"/>
          <w:lang w:eastAsia="en-US"/>
        </w:rPr>
        <w:t xml:space="preserve"> </w:t>
      </w:r>
      <w:r w:rsidRPr="00E261BF">
        <w:rPr>
          <w:rFonts w:eastAsia="Calibri"/>
          <w:lang w:eastAsia="en-US"/>
        </w:rPr>
        <w:t>paliwa), a także – w przypadku nowych i znacznie zmodernizowanych jednostek – wolumen energii z wysokosprawnej kogeneracji wytworzonej w nowych dużych instalacjach, który będzie mógł zostać objęty wsparciem, maksymalny budżet, jaki może zostać przeznaczony na</w:t>
      </w:r>
      <w:r w:rsidR="00680107">
        <w:rPr>
          <w:rFonts w:eastAsia="Calibri"/>
          <w:lang w:eastAsia="en-US"/>
        </w:rPr>
        <w:t xml:space="preserve"> </w:t>
      </w:r>
      <w:r w:rsidRPr="00E261BF">
        <w:rPr>
          <w:rFonts w:eastAsia="Calibri"/>
          <w:lang w:eastAsia="en-US"/>
        </w:rPr>
        <w:t xml:space="preserve">wypłatę premii.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Na tej podstawie Prezes URE rozpatrywał będzie wnioski właścicieli jednostek kogeneracji zawierające, w szczególności, niezbędne dane techniczne i</w:t>
      </w:r>
      <w:r w:rsidR="00680107">
        <w:rPr>
          <w:rFonts w:eastAsia="Calibri"/>
          <w:lang w:eastAsia="en-US"/>
        </w:rPr>
        <w:t xml:space="preserve"> </w:t>
      </w:r>
      <w:r w:rsidRPr="00E261BF">
        <w:rPr>
          <w:rFonts w:eastAsia="Calibri"/>
          <w:lang w:eastAsia="en-US"/>
        </w:rPr>
        <w:t xml:space="preserve">ekonomiczne jednostki. Prezes URE, po weryfikacji indywidualnego wniosku, ustali kwalifikowalność jednostki </w:t>
      </w:r>
      <w:r w:rsidRPr="00E261BF">
        <w:rPr>
          <w:rFonts w:eastAsia="Calibri"/>
        </w:rPr>
        <w:t>do</w:t>
      </w:r>
      <w:r w:rsidR="00680107">
        <w:rPr>
          <w:rFonts w:eastAsia="Calibri"/>
        </w:rPr>
        <w:t xml:space="preserve"> </w:t>
      </w:r>
      <w:r w:rsidRPr="00E261BF">
        <w:rPr>
          <w:rFonts w:eastAsia="Calibri"/>
        </w:rPr>
        <w:t>systemu</w:t>
      </w:r>
      <w:r w:rsidRPr="00E261BF">
        <w:rPr>
          <w:rFonts w:eastAsia="Calibri"/>
          <w:lang w:eastAsia="en-US"/>
        </w:rPr>
        <w:t xml:space="preserve"> wsparcia i wysokość premii przysługującą danej jednostce kogeneracji przez cały 15-letni okres wsparcia (dla jednostek istniejących okres ten uwzględnia okres uczestniczenia w s</w:t>
      </w:r>
      <w:r w:rsidR="004F6B6E">
        <w:rPr>
          <w:rFonts w:eastAsia="Calibri"/>
          <w:lang w:eastAsia="en-US"/>
        </w:rPr>
        <w:t>ystemie świadectw pochodzenia z </w:t>
      </w:r>
      <w:r w:rsidRPr="00E261BF">
        <w:rPr>
          <w:rFonts w:eastAsia="Calibri"/>
          <w:lang w:eastAsia="en-US"/>
        </w:rPr>
        <w:t>kogeneracji).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Zakłada się, że wyznaczenie wysokości premii dla dużych jednostek istniejących następować będzie corocznie.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Wsparcie dla jednostek, których zdolność wytwórcza energii elektrycznej w</w:t>
      </w:r>
      <w:r w:rsidR="00680107">
        <w:rPr>
          <w:rFonts w:eastAsia="Calibri"/>
          <w:lang w:eastAsia="en-US"/>
        </w:rPr>
        <w:t xml:space="preserve"> </w:t>
      </w:r>
      <w:r w:rsidRPr="00E261BF">
        <w:rPr>
          <w:rFonts w:eastAsia="Calibri"/>
          <w:lang w:eastAsia="en-US"/>
        </w:rPr>
        <w:t>kogeneracji przekracza 300 MW podlega indywidualnej notyfikacji Komisji Europejskiej i</w:t>
      </w:r>
      <w:r w:rsidR="00680107">
        <w:rPr>
          <w:rFonts w:eastAsia="Calibri"/>
          <w:lang w:eastAsia="en-US"/>
        </w:rPr>
        <w:t xml:space="preserve"> </w:t>
      </w:r>
      <w:r w:rsidRPr="00E261BF">
        <w:rPr>
          <w:rFonts w:eastAsia="Calibri"/>
          <w:lang w:eastAsia="en-US"/>
        </w:rPr>
        <w:t>będzie mogło być udzielone dopiero po wydaniu przez Komisję decyzji uznającej to wsparcie jako dopuszczalne na gruncie unijnych przepisów o pomocy publicznej.</w:t>
      </w:r>
    </w:p>
    <w:p w:rsidR="00FA6B40" w:rsidRPr="00E261BF" w:rsidRDefault="00FA6B40" w:rsidP="003835D3">
      <w:pPr>
        <w:numPr>
          <w:ilvl w:val="0"/>
          <w:numId w:val="1"/>
        </w:numPr>
        <w:spacing w:before="240" w:line="360" w:lineRule="auto"/>
        <w:ind w:left="284" w:hanging="284"/>
        <w:jc w:val="both"/>
        <w:rPr>
          <w:rFonts w:eastAsia="Calibri"/>
          <w:b/>
          <w:lang w:eastAsia="en-US"/>
        </w:rPr>
      </w:pPr>
      <w:r w:rsidRPr="00E261BF">
        <w:rPr>
          <w:rFonts w:eastAsia="Calibri"/>
          <w:b/>
          <w:lang w:eastAsia="en-US"/>
        </w:rPr>
        <w:t>Elementy wspólne dla nowych i istniejących jednostek kogeneracji</w:t>
      </w:r>
    </w:p>
    <w:p w:rsidR="00FA6B40" w:rsidRPr="00E261BF" w:rsidRDefault="00FA6B40" w:rsidP="003835D3">
      <w:pPr>
        <w:numPr>
          <w:ilvl w:val="0"/>
          <w:numId w:val="6"/>
        </w:numPr>
        <w:spacing w:before="120" w:line="360" w:lineRule="auto"/>
        <w:ind w:left="284" w:hanging="284"/>
        <w:jc w:val="both"/>
        <w:rPr>
          <w:b/>
          <w:kern w:val="12"/>
          <w:lang w:eastAsia="en-US"/>
        </w:rPr>
      </w:pPr>
      <w:r w:rsidRPr="00E261BF">
        <w:rPr>
          <w:rFonts w:eastAsia="Calibri"/>
          <w:b/>
          <w:lang w:eastAsia="en-US"/>
        </w:rPr>
        <w:t>Współpraca z siecią ciepłowniczą</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System zakłada wspieranie wytwarzania energii elektrycznej w wysokosprawnej kogeneracji, przede wszystkim w tych instalacjach, które wprowadzą ciepło użytkowe wytworzone w tym samym procesie do publicznej sieci ciepłowniczej. Wprowadzenie wskazanego kryterium zrealizuje kluczowy cel mechanizmu, którym jest zmniejszenie zjawiska niskiej emisji, a w konsekwencji, poprawa jakości powietrza. Publiczna sieć ciepłownicza na potrzeby systemu wsparcia rozumiana będzie jako </w:t>
      </w:r>
      <w:r w:rsidR="003F3963" w:rsidRPr="00E261BF">
        <w:rPr>
          <w:color w:val="222A35" w:themeColor="text2" w:themeShade="80"/>
        </w:rPr>
        <w:t xml:space="preserve">sieć ciepłownicza służąca do przesyłania i dystrybucji ciepła, które w ciągu roku kalendarzowego w co </w:t>
      </w:r>
      <w:r w:rsidR="003F3963" w:rsidRPr="00E261BF">
        <w:rPr>
          <w:color w:val="222A35" w:themeColor="text2" w:themeShade="80"/>
        </w:rPr>
        <w:lastRenderedPageBreak/>
        <w:t xml:space="preserve">najmniej 50% wykorzystywane jest </w:t>
      </w:r>
      <w:r w:rsidR="003F3963" w:rsidRPr="00E261BF">
        <w:rPr>
          <w:rFonts w:eastAsiaTheme="minorHAnsi"/>
          <w:color w:val="222A35" w:themeColor="text2" w:themeShade="80"/>
          <w:lang w:eastAsia="en-US"/>
        </w:rPr>
        <w:t>do ogrze</w:t>
      </w:r>
      <w:r w:rsidR="004F6B6E">
        <w:rPr>
          <w:rFonts w:eastAsiaTheme="minorHAnsi"/>
          <w:color w:val="222A35" w:themeColor="text2" w:themeShade="80"/>
          <w:lang w:eastAsia="en-US"/>
        </w:rPr>
        <w:t>wania lub chłodzenia budynków i </w:t>
      </w:r>
      <w:r w:rsidR="003F3963" w:rsidRPr="00E261BF">
        <w:rPr>
          <w:rFonts w:eastAsiaTheme="minorHAnsi"/>
          <w:color w:val="222A35" w:themeColor="text2" w:themeShade="80"/>
          <w:lang w:eastAsia="en-US"/>
        </w:rPr>
        <w:t>przygotowania ciepłej wody użytkowej</w:t>
      </w:r>
      <w:r w:rsidR="003F3963" w:rsidRPr="00E261BF">
        <w:rPr>
          <w:color w:val="222A35" w:themeColor="text2" w:themeShade="80"/>
        </w:rPr>
        <w:t>, do której przyłączona może zostać nieokreślona liczba odbiorców końcowych i do której jest już przyłączony co najmniej jeden odbiorca końcowy niebędący właścicielem, współwłaścicielem lub eksploatującym jednostkę</w:t>
      </w:r>
      <w:r w:rsidR="003F3963" w:rsidRPr="00E261BF">
        <w:rPr>
          <w:b/>
          <w:color w:val="222A35" w:themeColor="text2" w:themeShade="80"/>
        </w:rPr>
        <w:t xml:space="preserve"> </w:t>
      </w:r>
      <w:r w:rsidR="003F3963" w:rsidRPr="00E261BF">
        <w:rPr>
          <w:color w:val="222A35" w:themeColor="text2" w:themeShade="80"/>
        </w:rPr>
        <w:t>kogeneracji przyłączonej i wprowadzającej ciepło do tej sieci ciepłowniczej</w:t>
      </w:r>
      <w:r w:rsidRPr="00E261BF">
        <w:rPr>
          <w:rFonts w:eastAsia="Calibri"/>
          <w:lang w:eastAsia="en-US"/>
        </w:rPr>
        <w:t>. Warunkiem uczestnictwa w</w:t>
      </w:r>
      <w:r w:rsidR="00680107">
        <w:rPr>
          <w:rFonts w:eastAsia="Calibri"/>
          <w:lang w:eastAsia="en-US"/>
        </w:rPr>
        <w:t xml:space="preserve"> </w:t>
      </w:r>
      <w:r w:rsidRPr="00E261BF">
        <w:rPr>
          <w:rFonts w:eastAsia="Calibri"/>
          <w:lang w:eastAsia="en-US"/>
        </w:rPr>
        <w:t>systemie wsparcia jest wprowadzanie do publicznej sieci ciepłowniczej co najmniej 70% c</w:t>
      </w:r>
      <w:r w:rsidR="004F6B6E">
        <w:rPr>
          <w:rFonts w:eastAsia="Calibri"/>
          <w:lang w:eastAsia="en-US"/>
        </w:rPr>
        <w:t>iepła użytkowego wytworzonego w </w:t>
      </w:r>
      <w:r w:rsidRPr="00E261BF">
        <w:rPr>
          <w:rFonts w:eastAsia="Calibri"/>
          <w:lang w:eastAsia="en-US"/>
        </w:rPr>
        <w:t>wysokosprawnej kogeneracji, w danej jednostce kogeneracyjnej.</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Powyższy warunek współpracy z publiczną siecią ciepł</w:t>
      </w:r>
      <w:r w:rsidR="004F6B6E">
        <w:rPr>
          <w:rFonts w:eastAsia="Calibri"/>
          <w:lang w:eastAsia="en-US"/>
        </w:rPr>
        <w:t>owniczą nie obejmie jednostek o </w:t>
      </w:r>
      <w:r w:rsidRPr="00E261BF">
        <w:rPr>
          <w:rFonts w:eastAsia="Calibri"/>
          <w:lang w:eastAsia="en-US"/>
        </w:rPr>
        <w:t>mocy zainstalowanej elektrycznej mniejsz</w:t>
      </w:r>
      <w:r w:rsidR="004F6B6E">
        <w:rPr>
          <w:rFonts w:eastAsia="Calibri"/>
          <w:lang w:eastAsia="en-US"/>
        </w:rPr>
        <w:t>ej niż 1 MW oraz istniejących i </w:t>
      </w:r>
      <w:r w:rsidRPr="00E261BF">
        <w:rPr>
          <w:rFonts w:eastAsia="Calibri"/>
          <w:lang w:eastAsia="en-US"/>
        </w:rPr>
        <w:t xml:space="preserve">zmodernizowanych jednostek </w:t>
      </w:r>
      <w:r w:rsidRPr="00E261BF">
        <w:t>opalanych metanem uwalnianym i ujmowanym przy dołowych robotach górniczych w czynnych, likwidowanych lub zlikwidowanych kopalniach węgla kamiennego</w:t>
      </w:r>
      <w:r w:rsidRPr="00E261BF">
        <w:rPr>
          <w:rFonts w:eastAsia="Calibri"/>
          <w:lang w:eastAsia="en-US"/>
        </w:rPr>
        <w:t xml:space="preserve"> (o mocy zainstalowanej elektrycznej do 50 MW).</w:t>
      </w:r>
    </w:p>
    <w:p w:rsidR="00FA6B40" w:rsidRPr="00E261BF" w:rsidRDefault="00FA6B40" w:rsidP="003835D3">
      <w:pPr>
        <w:spacing w:before="120" w:line="360" w:lineRule="auto"/>
        <w:jc w:val="both"/>
        <w:rPr>
          <w:b/>
          <w:kern w:val="12"/>
          <w:lang w:eastAsia="en-US"/>
        </w:rPr>
      </w:pPr>
      <w:r w:rsidRPr="00E261BF">
        <w:rPr>
          <w:rFonts w:eastAsia="Calibri"/>
          <w:lang w:eastAsia="en-US"/>
        </w:rPr>
        <w:t>W przypadku jednostek kogeneracji niespełniających ww. kryterium wprowadzania do</w:t>
      </w:r>
      <w:r w:rsidR="00680107">
        <w:rPr>
          <w:rFonts w:eastAsia="Calibri"/>
          <w:lang w:eastAsia="en-US"/>
        </w:rPr>
        <w:t xml:space="preserve"> </w:t>
      </w:r>
      <w:r w:rsidRPr="00E261BF">
        <w:rPr>
          <w:rFonts w:eastAsia="Calibri"/>
          <w:lang w:eastAsia="en-US"/>
        </w:rPr>
        <w:t>publicznej sieci ciepłowniczej co najmniej 70% ciepła użytkowego wytworzonego w</w:t>
      </w:r>
      <w:r w:rsidR="004F6B6E">
        <w:rPr>
          <w:rFonts w:eastAsia="Calibri"/>
          <w:lang w:eastAsia="en-US"/>
        </w:rPr>
        <w:t> </w:t>
      </w:r>
      <w:r w:rsidRPr="00E261BF">
        <w:rPr>
          <w:rFonts w:eastAsia="Calibri"/>
          <w:lang w:eastAsia="en-US"/>
        </w:rPr>
        <w:t>wysokosprawnej kogeneracji dopuszczona zostanie możliwość wsparcia jedynie tej części energii elektrycznej wytworzonej w wysokosprawnej kogeneracji, która proporcjonalnie odpowiadać będzie ilości ciepła użytkowego wprowadzonego do publicznej sieci ciepłowniczej.</w:t>
      </w:r>
    </w:p>
    <w:p w:rsidR="00FA6B40" w:rsidRPr="00E261BF" w:rsidRDefault="00FA6B40" w:rsidP="003835D3">
      <w:pPr>
        <w:numPr>
          <w:ilvl w:val="0"/>
          <w:numId w:val="6"/>
        </w:numPr>
        <w:spacing w:before="120" w:line="360" w:lineRule="auto"/>
        <w:ind w:left="294" w:hanging="294"/>
        <w:jc w:val="both"/>
        <w:rPr>
          <w:b/>
          <w:kern w:val="12"/>
          <w:lang w:eastAsia="en-US"/>
        </w:rPr>
      </w:pPr>
      <w:r w:rsidRPr="00E261BF">
        <w:rPr>
          <w:b/>
          <w:kern w:val="12"/>
          <w:lang w:eastAsia="en-US"/>
        </w:rPr>
        <w:t>Zakres przedmiotowy systemu</w:t>
      </w:r>
    </w:p>
    <w:p w:rsidR="00FA6B40" w:rsidRPr="00E261BF" w:rsidRDefault="00FA6B40" w:rsidP="003835D3">
      <w:pPr>
        <w:spacing w:before="120" w:line="360" w:lineRule="auto"/>
        <w:jc w:val="both"/>
        <w:rPr>
          <w:kern w:val="12"/>
          <w:lang w:eastAsia="en-US"/>
        </w:rPr>
      </w:pPr>
      <w:r w:rsidRPr="00E261BF">
        <w:rPr>
          <w:kern w:val="12"/>
          <w:lang w:eastAsia="en-US"/>
        </w:rPr>
        <w:t>System wsparcia dla jednostek kogeneracji przeznaczony będzie dla</w:t>
      </w:r>
      <w:r w:rsidR="00680107">
        <w:rPr>
          <w:kern w:val="12"/>
          <w:lang w:eastAsia="en-US"/>
        </w:rPr>
        <w:t xml:space="preserve"> </w:t>
      </w:r>
      <w:r w:rsidRPr="00E261BF">
        <w:rPr>
          <w:kern w:val="12"/>
          <w:lang w:eastAsia="en-US"/>
        </w:rPr>
        <w:t>instalacji wytwarzających energię elektryczną i ciepło w oparci</w:t>
      </w:r>
      <w:r w:rsidR="004F6B6E">
        <w:rPr>
          <w:kern w:val="12"/>
          <w:lang w:eastAsia="en-US"/>
        </w:rPr>
        <w:t>u o spalanie paliw kopalnych, w </w:t>
      </w:r>
      <w:r w:rsidRPr="00E261BF">
        <w:rPr>
          <w:kern w:val="12"/>
          <w:lang w:eastAsia="en-US"/>
        </w:rPr>
        <w:t>tym ich współspalanie w instalacjach odnawialnych źródeł energii oraz</w:t>
      </w:r>
      <w:r w:rsidR="00680107">
        <w:rPr>
          <w:kern w:val="12"/>
          <w:lang w:eastAsia="en-US"/>
        </w:rPr>
        <w:t xml:space="preserve"> </w:t>
      </w:r>
      <w:r w:rsidRPr="00E261BF">
        <w:rPr>
          <w:kern w:val="12"/>
          <w:lang w:eastAsia="en-US"/>
        </w:rPr>
        <w:t>z</w:t>
      </w:r>
      <w:r w:rsidR="004F6B6E">
        <w:rPr>
          <w:kern w:val="12"/>
          <w:lang w:eastAsia="en-US"/>
        </w:rPr>
        <w:t> </w:t>
      </w:r>
      <w:r w:rsidRPr="00E261BF">
        <w:rPr>
          <w:kern w:val="12"/>
          <w:lang w:eastAsia="en-US"/>
        </w:rPr>
        <w:t>odnawialnych źródeł energii. W przypadku instalacji odnawialnych źródeł energii spełniających jednocześnie wymogi wysokosprawnej kogeneracji, w tym instalacji korzystających bądź ubiegających się o uzyskanie wsparcia w ramach systemu świadectw pochodzenia z OZE bądź systemu a</w:t>
      </w:r>
      <w:r w:rsidR="004F6B6E">
        <w:rPr>
          <w:kern w:val="12"/>
          <w:lang w:eastAsia="en-US"/>
        </w:rPr>
        <w:t>ukcyjnego OZE, o których mowa w </w:t>
      </w:r>
      <w:r w:rsidRPr="00E261BF">
        <w:rPr>
          <w:kern w:val="12"/>
          <w:lang w:eastAsia="en-US"/>
        </w:rPr>
        <w:t>ustawie o</w:t>
      </w:r>
      <w:r w:rsidR="00680107">
        <w:rPr>
          <w:kern w:val="12"/>
          <w:lang w:eastAsia="en-US"/>
        </w:rPr>
        <w:t xml:space="preserve"> </w:t>
      </w:r>
      <w:r w:rsidRPr="00E261BF">
        <w:rPr>
          <w:kern w:val="12"/>
          <w:lang w:eastAsia="en-US"/>
        </w:rPr>
        <w:t>odnawialnych źródłach energii, możl</w:t>
      </w:r>
      <w:r w:rsidR="004F6B6E">
        <w:rPr>
          <w:kern w:val="12"/>
          <w:lang w:eastAsia="en-US"/>
        </w:rPr>
        <w:t>iwe będzie uzyskanie wsparcia w </w:t>
      </w:r>
      <w:r w:rsidRPr="00E261BF">
        <w:rPr>
          <w:kern w:val="12"/>
          <w:lang w:eastAsia="en-US"/>
        </w:rPr>
        <w:t>ramach systemu wsparcia dla jednostek kogeneracji na część energii elektrycznej wytworzonej w oparciu o frakcję paliw kopalnych (w przypadku jednoczesnego wykorzystywania paliw kopalnych i odnawialnych) lub w oparciu frakcję OZE (w</w:t>
      </w:r>
      <w:r w:rsidR="004F6B6E">
        <w:rPr>
          <w:kern w:val="12"/>
          <w:lang w:eastAsia="en-US"/>
        </w:rPr>
        <w:t> </w:t>
      </w:r>
      <w:r w:rsidRPr="00E261BF">
        <w:rPr>
          <w:kern w:val="12"/>
          <w:lang w:eastAsia="en-US"/>
        </w:rPr>
        <w:t xml:space="preserve">odniesieniu do części energii wytworzonej w instalacji odnawialnego źródła energii, </w:t>
      </w:r>
      <w:r w:rsidRPr="00E261BF">
        <w:rPr>
          <w:kern w:val="12"/>
          <w:lang w:eastAsia="en-US"/>
        </w:rPr>
        <w:lastRenderedPageBreak/>
        <w:t>która nie otrzymuje wynagrodzenia z tytułu udziału w systemie wsparcia dla OZE). Dodatkowo, w przypadku jednostek kogeneracji uczestniczących w rynku mocy, uzyskanie wsparcia możliwe będzie tylko dla jednostki energii elektrycznej nieobjętej obowiązkiem mocowym w</w:t>
      </w:r>
      <w:r w:rsidR="00680107">
        <w:rPr>
          <w:kern w:val="12"/>
          <w:lang w:eastAsia="en-US"/>
        </w:rPr>
        <w:t xml:space="preserve"> </w:t>
      </w:r>
      <w:r w:rsidRPr="00E261BF">
        <w:rPr>
          <w:kern w:val="12"/>
          <w:lang w:eastAsia="en-US"/>
        </w:rPr>
        <w:t xml:space="preserve">wyniku aukcji mocy. </w:t>
      </w:r>
    </w:p>
    <w:p w:rsidR="00FA6B40" w:rsidRPr="00E261BF" w:rsidRDefault="00FA6B40" w:rsidP="003835D3">
      <w:pPr>
        <w:numPr>
          <w:ilvl w:val="0"/>
          <w:numId w:val="6"/>
        </w:numPr>
        <w:spacing w:before="120" w:line="360" w:lineRule="auto"/>
        <w:ind w:left="266" w:hanging="266"/>
        <w:jc w:val="both"/>
        <w:rPr>
          <w:b/>
          <w:kern w:val="12"/>
          <w:lang w:eastAsia="en-US"/>
        </w:rPr>
      </w:pPr>
      <w:r w:rsidRPr="00E261BF">
        <w:rPr>
          <w:b/>
          <w:kern w:val="12"/>
          <w:lang w:eastAsia="en-US"/>
        </w:rPr>
        <w:t xml:space="preserve">Finansowanie i rozliczenie systemu wsparcia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Jednym z podstawowych założeń systemu wsparcia jest efektywne pozyskanie oraz redystrybucja środków na potrzeby wsparcia p</w:t>
      </w:r>
      <w:r w:rsidR="004F6B6E">
        <w:rPr>
          <w:rFonts w:eastAsia="Calibri"/>
          <w:lang w:eastAsia="en-US"/>
        </w:rPr>
        <w:t>rodukcji energii elektrycznej z </w:t>
      </w:r>
      <w:r w:rsidRPr="00E261BF">
        <w:rPr>
          <w:rFonts w:eastAsia="Calibri"/>
          <w:lang w:eastAsia="en-US"/>
        </w:rPr>
        <w:t>wysokosprawnej kogeneracji. Wdrożenie system</w:t>
      </w:r>
      <w:r w:rsidR="004F6B6E">
        <w:rPr>
          <w:rFonts w:eastAsia="Calibri"/>
          <w:lang w:eastAsia="en-US"/>
        </w:rPr>
        <w:t>u wsparcia będzie wiązało się z </w:t>
      </w:r>
      <w:r w:rsidRPr="00E261BF">
        <w:rPr>
          <w:rFonts w:eastAsia="Calibri"/>
          <w:lang w:eastAsia="en-US"/>
        </w:rPr>
        <w:t>przeniesieniem kosztów funkcjonowania wsparcia na wszystkich użytkowników systemu elektroenergetycznego poprzez odrębną stawkę systemową („opłatę kogeneracyjną”) w ramach taryf operatorów systemów elektroenergetycznych (proporcjonalnie do wolumenu zużywanej energii elektrycznej).</w:t>
      </w:r>
    </w:p>
    <w:p w:rsidR="00FA6B40" w:rsidRPr="00E261BF" w:rsidRDefault="00FA6B40" w:rsidP="003835D3">
      <w:pPr>
        <w:spacing w:before="120" w:line="360" w:lineRule="auto"/>
        <w:jc w:val="both"/>
        <w:rPr>
          <w:rFonts w:eastAsia="Calibri"/>
          <w:lang w:eastAsia="en-US"/>
        </w:rPr>
      </w:pPr>
      <w:r w:rsidRPr="00E261BF">
        <w:rPr>
          <w:rFonts w:eastAsia="Calibri"/>
          <w:lang w:eastAsia="en-US"/>
        </w:rPr>
        <w:t>Koszty systemu wsparcia będą alokowane na wszystkich odbiorców końcowych systemu elektroenergetycznego. Alokacja kosztów funkcjonowania systemu wpłynie na</w:t>
      </w:r>
      <w:r w:rsidR="00680107">
        <w:rPr>
          <w:rFonts w:eastAsia="Calibri"/>
          <w:lang w:eastAsia="en-US"/>
        </w:rPr>
        <w:t xml:space="preserve"> </w:t>
      </w:r>
      <w:r w:rsidRPr="00E261BF">
        <w:rPr>
          <w:rFonts w:eastAsia="Calibri"/>
          <w:lang w:eastAsia="en-US"/>
        </w:rPr>
        <w:t>poziom zmiennych opłat przesyłowych oraz dystrybucyjnych i w konsekwencji na zmianę obciążeń odbiorców końcowych z tego tytułu.</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Przychody z tytułu dodatkowych stawek będą przekazywane przez OSP oraz OSD na</w:t>
      </w:r>
      <w:r w:rsidR="00680107">
        <w:rPr>
          <w:rFonts w:eastAsia="Calibri"/>
          <w:lang w:eastAsia="en-US"/>
        </w:rPr>
        <w:t xml:space="preserve"> </w:t>
      </w:r>
      <w:r w:rsidRPr="00E261BF">
        <w:rPr>
          <w:rFonts w:eastAsia="Calibri"/>
          <w:lang w:eastAsia="en-US"/>
        </w:rPr>
        <w:t xml:space="preserve">potrzeby zasilenia systemu wsparcia. Stawki systemowe będą ustalane i akceptowane przez Prezesa URE w oparciu o poziom kosztów funkcjonowania systemu.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Przepisy dotyczące finansowania i rozliczania systemu wsparcia zostały przygotowane w oparciu o analogiczne rozwiązania funkcjonujące w obszarze wsparcia odnawialnych źródeł energii.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Planowane jest ustalenie do końca 2019 roku opłaty kogeneracyjnej na poziomie 1,58 zł za 1 MWh.</w:t>
      </w:r>
    </w:p>
    <w:p w:rsidR="00FA6B40" w:rsidRPr="00E261BF" w:rsidRDefault="00FA6B40" w:rsidP="003835D3">
      <w:pPr>
        <w:numPr>
          <w:ilvl w:val="0"/>
          <w:numId w:val="6"/>
        </w:numPr>
        <w:spacing w:before="120" w:line="360" w:lineRule="auto"/>
        <w:ind w:left="284" w:hanging="284"/>
        <w:jc w:val="both"/>
        <w:rPr>
          <w:b/>
          <w:kern w:val="12"/>
          <w:lang w:eastAsia="en-US"/>
        </w:rPr>
      </w:pPr>
      <w:r w:rsidRPr="00E261BF">
        <w:rPr>
          <w:b/>
          <w:kern w:val="12"/>
          <w:lang w:eastAsia="en-US"/>
        </w:rPr>
        <w:t>Brak obowiązku zakupu energii elektrycznej wytworzonej w ramach aukcji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Mając na uwadze charakter instalacji przewidzianych do objęcia wsparciem w ramach nowego mechanizmu oraz samą jego konstrukcję, a także w związku z koniecznością wystawiania jednostek kogeneracji na działanie mechanizmów rynkowych, proponuje się, aby nie nakładać obowiązku zakupu energii elektrycznej wytworzonej w ramach nowego mechanizmu wsparcia. Powyższe oznacza, iż podmioty eksploatujące jednostki </w:t>
      </w:r>
      <w:r w:rsidRPr="00E261BF">
        <w:rPr>
          <w:rFonts w:eastAsia="Calibri"/>
          <w:lang w:eastAsia="en-US"/>
        </w:rPr>
        <w:lastRenderedPageBreak/>
        <w:t>kogeneracji będą zobowiązane do sprzedaży wytwarzanej energii elektrycznej na zasadach rynkowych.</w:t>
      </w:r>
    </w:p>
    <w:p w:rsidR="00FA6B40" w:rsidRPr="00E261BF" w:rsidRDefault="00FA6B40" w:rsidP="003835D3">
      <w:pPr>
        <w:numPr>
          <w:ilvl w:val="0"/>
          <w:numId w:val="6"/>
        </w:numPr>
        <w:spacing w:before="120" w:line="360" w:lineRule="auto"/>
        <w:ind w:left="284" w:hanging="284"/>
        <w:jc w:val="both"/>
        <w:rPr>
          <w:b/>
          <w:kern w:val="12"/>
          <w:lang w:eastAsia="en-US"/>
        </w:rPr>
      </w:pPr>
      <w:r w:rsidRPr="00E261BF">
        <w:rPr>
          <w:b/>
          <w:kern w:val="12"/>
          <w:lang w:eastAsia="en-US"/>
        </w:rPr>
        <w:t xml:space="preserve">Wprowadzony zostanie mechanizm ulg dla podmiotów energochłonnych </w:t>
      </w:r>
    </w:p>
    <w:p w:rsidR="00FA6B40" w:rsidRPr="00E261BF" w:rsidRDefault="00FA6B40" w:rsidP="003835D3">
      <w:pPr>
        <w:spacing w:before="120" w:line="360" w:lineRule="auto"/>
        <w:jc w:val="both"/>
        <w:rPr>
          <w:rFonts w:eastAsia="Calibri"/>
          <w:lang w:eastAsia="en-US"/>
        </w:rPr>
      </w:pPr>
      <w:r w:rsidRPr="00E261BF">
        <w:rPr>
          <w:rFonts w:eastAsia="Calibri"/>
          <w:lang w:eastAsia="en-US"/>
        </w:rPr>
        <w:t>W celu ograniczenia kosztów systemu wsparcia dla jednostek kogeneracji w</w:t>
      </w:r>
      <w:r w:rsidR="004F6B6E">
        <w:rPr>
          <w:rFonts w:eastAsia="Calibri"/>
          <w:lang w:eastAsia="en-US"/>
        </w:rPr>
        <w:t> </w:t>
      </w:r>
      <w:r w:rsidRPr="00E261BF">
        <w:rPr>
          <w:rFonts w:eastAsia="Calibri"/>
          <w:lang w:eastAsia="en-US"/>
        </w:rPr>
        <w:t>odniesieniu do podmiotów energochłonnych, proponuje się wprowadzenie systemu ulg dla</w:t>
      </w:r>
      <w:r w:rsidR="00680107">
        <w:rPr>
          <w:rFonts w:eastAsia="Calibri"/>
          <w:lang w:eastAsia="en-US"/>
        </w:rPr>
        <w:t xml:space="preserve"> </w:t>
      </w:r>
      <w:r w:rsidRPr="00E261BF">
        <w:rPr>
          <w:rFonts w:eastAsia="Calibri"/>
          <w:lang w:eastAsia="en-US"/>
        </w:rPr>
        <w:t>ww. podmiotów w obszarze opłaty kogeneracyjnej. Powyższe działanie, będące analogicznym rozwiązaniem, jak w przypadku systemu wsparcia dla odnawialnych źródeł energii ma na celu ograniczenie negatywnego wpływu wzrostu kosztów energii elektrycznej na</w:t>
      </w:r>
      <w:r w:rsidR="00680107">
        <w:rPr>
          <w:rFonts w:eastAsia="Calibri"/>
          <w:lang w:eastAsia="en-US"/>
        </w:rPr>
        <w:t xml:space="preserve"> </w:t>
      </w:r>
      <w:r w:rsidRPr="00E261BF">
        <w:rPr>
          <w:rFonts w:eastAsia="Calibri"/>
          <w:lang w:eastAsia="en-US"/>
        </w:rPr>
        <w:t xml:space="preserve">podmioty, dla których koszty te stanowią istotny element wszystkich kosztów prowadzenia działalności gospodarczej. </w:t>
      </w:r>
    </w:p>
    <w:p w:rsidR="00FA6B40" w:rsidRPr="00E261BF" w:rsidRDefault="00FA6B40" w:rsidP="003835D3">
      <w:pPr>
        <w:numPr>
          <w:ilvl w:val="0"/>
          <w:numId w:val="6"/>
        </w:numPr>
        <w:spacing w:before="120" w:line="360" w:lineRule="auto"/>
        <w:ind w:left="284" w:hanging="284"/>
        <w:jc w:val="both"/>
        <w:rPr>
          <w:b/>
          <w:kern w:val="12"/>
          <w:lang w:eastAsia="en-US"/>
        </w:rPr>
      </w:pPr>
      <w:r w:rsidRPr="00E261BF">
        <w:rPr>
          <w:b/>
          <w:kern w:val="12"/>
          <w:lang w:eastAsia="en-US"/>
        </w:rPr>
        <w:t>System nie będzie generował zachęty do wyt</w:t>
      </w:r>
      <w:r w:rsidR="004F6B6E">
        <w:rPr>
          <w:b/>
          <w:kern w:val="12"/>
          <w:lang w:eastAsia="en-US"/>
        </w:rPr>
        <w:t>warzania energii elektrycznej w </w:t>
      </w:r>
      <w:r w:rsidRPr="00E261BF">
        <w:rPr>
          <w:b/>
          <w:kern w:val="12"/>
          <w:lang w:eastAsia="en-US"/>
        </w:rPr>
        <w:t>sytuacji występowania cen ujemnych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Nowy mechanizm wsparcia dla jednostek kogeneracji zawiera</w:t>
      </w:r>
      <w:r w:rsidR="00680107">
        <w:rPr>
          <w:rFonts w:eastAsia="Calibri"/>
          <w:lang w:eastAsia="en-US"/>
        </w:rPr>
        <w:t xml:space="preserve"> </w:t>
      </w:r>
      <w:r w:rsidRPr="00E261BF">
        <w:rPr>
          <w:rFonts w:eastAsia="Calibri"/>
          <w:lang w:eastAsia="en-US"/>
        </w:rPr>
        <w:t>mechanizm mający na</w:t>
      </w:r>
      <w:r w:rsidR="00680107">
        <w:rPr>
          <w:rFonts w:eastAsia="Calibri"/>
          <w:lang w:eastAsia="en-US"/>
        </w:rPr>
        <w:t xml:space="preserve"> </w:t>
      </w:r>
      <w:r w:rsidRPr="00E261BF">
        <w:rPr>
          <w:rFonts w:eastAsia="Calibri"/>
          <w:lang w:eastAsia="en-US"/>
        </w:rPr>
        <w:t>celu zniechęcanie do generowania energii elektrycznej w sytuacji występowania ujemnych cen energii na rynku. Powyższe rozwiązanie będzie analogiczne wobec rozwiązania funkcjonującego w ramach mechanizmu wsparcia dla odnawialnych źródeł energii i będzie polegało na braku możliwości ot</w:t>
      </w:r>
      <w:r w:rsidR="004F6B6E">
        <w:rPr>
          <w:rFonts w:eastAsia="Calibri"/>
          <w:lang w:eastAsia="en-US"/>
        </w:rPr>
        <w:t>rzymania wsparcia finansowego w </w:t>
      </w:r>
      <w:r w:rsidRPr="00E261BF">
        <w:rPr>
          <w:rFonts w:eastAsia="Calibri"/>
          <w:lang w:eastAsia="en-US"/>
        </w:rPr>
        <w:t>ramach nowego systemu na cały wolumen en</w:t>
      </w:r>
      <w:r w:rsidR="004F6B6E">
        <w:rPr>
          <w:rFonts w:eastAsia="Calibri"/>
          <w:lang w:eastAsia="en-US"/>
        </w:rPr>
        <w:t>ergii elektrycznej wytworzony w </w:t>
      </w:r>
      <w:r w:rsidRPr="00E261BF">
        <w:rPr>
          <w:rFonts w:eastAsia="Calibri"/>
          <w:lang w:eastAsia="en-US"/>
        </w:rPr>
        <w:t>okresie występowania ujemnych cen energii elektrycznej na rynku.</w:t>
      </w:r>
    </w:p>
    <w:p w:rsidR="00FA6B40" w:rsidRPr="00E261BF" w:rsidRDefault="00FA6B40" w:rsidP="003835D3">
      <w:pPr>
        <w:spacing w:before="120" w:line="360" w:lineRule="auto"/>
        <w:jc w:val="both"/>
        <w:rPr>
          <w:rFonts w:eastAsia="Calibri"/>
          <w:lang w:eastAsia="en-US"/>
        </w:rPr>
      </w:pPr>
      <w:r w:rsidRPr="00E261BF">
        <w:rPr>
          <w:rFonts w:eastAsia="Calibri"/>
          <w:lang w:eastAsia="en-US"/>
        </w:rPr>
        <w:t>Proponuje się, aby analogicznie jak w przypadku rozwiązań dla odnawialnych źródeł energii punktem wyjścia dla uruchomienia mechanizmu ograniczenia wsparcia było utrzymywanie się ujemnych cen na rynku przez nieprzerwany okres kolejnych sześciu godzin.</w:t>
      </w:r>
    </w:p>
    <w:p w:rsidR="00FA6B40" w:rsidRPr="00E261BF" w:rsidRDefault="00FA6B40" w:rsidP="003835D3">
      <w:pPr>
        <w:numPr>
          <w:ilvl w:val="0"/>
          <w:numId w:val="6"/>
        </w:numPr>
        <w:spacing w:before="120" w:line="360" w:lineRule="auto"/>
        <w:ind w:left="284" w:hanging="284"/>
        <w:jc w:val="both"/>
        <w:rPr>
          <w:b/>
          <w:kern w:val="12"/>
          <w:lang w:eastAsia="en-US"/>
        </w:rPr>
      </w:pPr>
      <w:r w:rsidRPr="00E261BF">
        <w:rPr>
          <w:b/>
          <w:kern w:val="12"/>
          <w:lang w:eastAsia="en-US"/>
        </w:rPr>
        <w:t>System umożliwiać będzie równoległe korzystanie z innych form wsparcia inwestycyjnego, natomiast eliminować po</w:t>
      </w:r>
      <w:r w:rsidR="004F6B6E">
        <w:rPr>
          <w:b/>
          <w:kern w:val="12"/>
          <w:lang w:eastAsia="en-US"/>
        </w:rPr>
        <w:t>winien możliwości korzystania z </w:t>
      </w:r>
      <w:r w:rsidRPr="00E261BF">
        <w:rPr>
          <w:b/>
          <w:kern w:val="12"/>
          <w:lang w:eastAsia="en-US"/>
        </w:rPr>
        <w:t>innych form wsparcia systemowego</w:t>
      </w:r>
    </w:p>
    <w:p w:rsidR="00FA6B40" w:rsidRPr="00E261BF" w:rsidRDefault="00FA6B40" w:rsidP="003835D3">
      <w:pPr>
        <w:spacing w:before="120" w:line="360" w:lineRule="auto"/>
        <w:jc w:val="both"/>
        <w:rPr>
          <w:rFonts w:eastAsia="Calibri"/>
          <w:lang w:eastAsia="en-US"/>
        </w:rPr>
      </w:pPr>
      <w:r w:rsidRPr="00E261BF">
        <w:rPr>
          <w:rFonts w:eastAsia="Calibri"/>
          <w:lang w:eastAsia="en-US"/>
        </w:rPr>
        <w:t>Konstrukcja mechanizmu wsparcia dla jednostek kogeneracji umożliwiać będzie uczestnikom korzystanie z innych form wsparcia inwestycyjnego (dostępneg</w:t>
      </w:r>
      <w:r w:rsidR="005D4A51">
        <w:rPr>
          <w:rFonts w:eastAsia="Calibri"/>
          <w:lang w:eastAsia="en-US"/>
        </w:rPr>
        <w:t xml:space="preserve">o w </w:t>
      </w:r>
      <w:r w:rsidRPr="00E261BF">
        <w:rPr>
          <w:rFonts w:eastAsia="Calibri"/>
          <w:lang w:eastAsia="en-US"/>
        </w:rPr>
        <w:t xml:space="preserve">ramach środków krajowych bądź europejskich) oraz operacyjnego. Niemniej jednak wprowadzone zostaną regulacje, które zapewnią, że wyeliminowane zostanie występowanie zjawiska nadwsparcia. Powyższe działanie umożliwi operatorom </w:t>
      </w:r>
      <w:r w:rsidRPr="00E261BF">
        <w:rPr>
          <w:rFonts w:eastAsia="Calibri"/>
          <w:lang w:eastAsia="en-US"/>
        </w:rPr>
        <w:lastRenderedPageBreak/>
        <w:t>jednostek kogeneracji elastyczne korzystanie z dostępnych możliwości wsparcia, przy jednoczesnym zapewnieniu efektywności ekonomicznej wykorzystania środków publicznych.</w:t>
      </w:r>
    </w:p>
    <w:p w:rsidR="00FA6B40" w:rsidRPr="00E261BF" w:rsidRDefault="00FA6B40" w:rsidP="003835D3">
      <w:pPr>
        <w:spacing w:before="120" w:line="360" w:lineRule="auto"/>
        <w:jc w:val="both"/>
        <w:rPr>
          <w:rFonts w:eastAsia="Calibri"/>
          <w:lang w:eastAsia="en-US"/>
        </w:rPr>
      </w:pPr>
      <w:r w:rsidRPr="00E261BF">
        <w:rPr>
          <w:rFonts w:eastAsia="Calibri"/>
          <w:lang w:eastAsia="en-US"/>
        </w:rPr>
        <w:t xml:space="preserve">Jednocześnie proponuje się ograniczenie możliwości równoległego korzystania </w:t>
      </w:r>
      <w:r w:rsidRPr="00E261BF">
        <w:rPr>
          <w:rFonts w:eastAsia="Calibri"/>
        </w:rPr>
        <w:t>ze</w:t>
      </w:r>
      <w:r w:rsidR="00680107">
        <w:rPr>
          <w:rFonts w:eastAsia="Calibri"/>
        </w:rPr>
        <w:t xml:space="preserve"> </w:t>
      </w:r>
      <w:r w:rsidRPr="00E261BF">
        <w:rPr>
          <w:rFonts w:eastAsia="Calibri"/>
        </w:rPr>
        <w:t>wsparcia</w:t>
      </w:r>
      <w:r w:rsidRPr="00E261BF">
        <w:rPr>
          <w:rFonts w:eastAsia="Calibri"/>
          <w:lang w:eastAsia="en-US"/>
        </w:rPr>
        <w:t xml:space="preserve"> systemowego (operacyjnego) na tę samą jednostkę wytworzonej energii. Powyższe ułatwi przejrzystość systemu oraz przypisanie jego kosztów we właściwy sposób (realizacja założonego celu rozwoju jednostek kogeneracji). Co istotne, przewiduje się, że wysokość wsparcia udzielana w ramach planowanego mechanizmu powinna być dostosowana do</w:t>
      </w:r>
      <w:r w:rsidR="00680107">
        <w:rPr>
          <w:rFonts w:eastAsia="Calibri"/>
          <w:lang w:eastAsia="en-US"/>
        </w:rPr>
        <w:t xml:space="preserve"> </w:t>
      </w:r>
      <w:r w:rsidRPr="00E261BF">
        <w:rPr>
          <w:rFonts w:eastAsia="Calibri"/>
          <w:lang w:eastAsia="en-US"/>
        </w:rPr>
        <w:t>pokrycia luki finansowej wynikającej z niższych cen energii elektrycznej na</w:t>
      </w:r>
      <w:r w:rsidR="00680107">
        <w:rPr>
          <w:rFonts w:eastAsia="Calibri"/>
          <w:lang w:eastAsia="en-US"/>
        </w:rPr>
        <w:t xml:space="preserve"> </w:t>
      </w:r>
      <w:r w:rsidRPr="00E261BF">
        <w:rPr>
          <w:rFonts w:eastAsia="Calibri"/>
          <w:lang w:eastAsia="en-US"/>
        </w:rPr>
        <w:t>rynku wobec kosztów wytworzenia tej energii w jednostkach wysokosprawnej kogeneracji.</w:t>
      </w:r>
    </w:p>
    <w:p w:rsidR="00FA6B40" w:rsidRPr="00E261BF" w:rsidRDefault="00FA6B40" w:rsidP="003835D3">
      <w:pPr>
        <w:spacing w:before="120" w:line="360" w:lineRule="auto"/>
        <w:jc w:val="both"/>
        <w:rPr>
          <w:rFonts w:eastAsia="Calibri"/>
          <w:lang w:eastAsia="en-US"/>
        </w:rPr>
      </w:pPr>
      <w:r w:rsidRPr="00E261BF">
        <w:rPr>
          <w:rFonts w:eastAsia="Calibri"/>
          <w:lang w:eastAsia="en-US"/>
        </w:rPr>
        <w:t>Odliczanie uzyskanej pomocy inwestycyjnej nie będzie dotyczyło istniejących jednostek kogeneracji oraz istniejących małych jednostek kogeneracji, dla których premia kalkulowana będzie w oparciu o lukę finansową w kosztach operacyjnych.</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Charakterystyka głównych założeń obecnie obowiązującego mechanizmu wsparcia – obecny stan prawny</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2007 r. wprowadzony został system wsparcia dla wytwórców energii elektrycznej z</w:t>
      </w:r>
      <w:r w:rsidR="004F6B6E">
        <w:rPr>
          <w:rFonts w:eastAsiaTheme="minorEastAsia"/>
        </w:rPr>
        <w:t> </w:t>
      </w:r>
      <w:r w:rsidRPr="00E261BF">
        <w:rPr>
          <w:rFonts w:eastAsiaTheme="minorEastAsia"/>
        </w:rPr>
        <w:t>kogeneracji oparty na tzw. kolorowych certyfikatach, tj. na zbywalnych świadectwach pochodzenia, na które popyt generowany jest poprzez nałożenie obowiązku ich umorzenia (alternatywą jest uiszczenie opłaty zastępczej).</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Zgodnie z art. 9l ust. 1 ustawy – Prawo energetyczne potwierdzeniem wytworzenia energii elektrycznej w wysokosprawnej kogeneracji jest świadectwo pochodzenia tej energii, zwane dalej „świadectwem pochodzenia z kogeneracji”. Świadectwo pochodzenia z kogeneracji wydaje się oddzielnie dla energii elektrycznej wytworzonej w wysokosprawnej kogeneracji w jednostce kogeneracji:</w:t>
      </w:r>
    </w:p>
    <w:p w:rsidR="00FA6B40" w:rsidRPr="00E261BF" w:rsidRDefault="00FA6B40" w:rsidP="003835D3">
      <w:pPr>
        <w:widowControl w:val="0"/>
        <w:autoSpaceDE w:val="0"/>
        <w:autoSpaceDN w:val="0"/>
        <w:adjustRightInd w:val="0"/>
        <w:spacing w:line="360" w:lineRule="auto"/>
        <w:ind w:left="425" w:hanging="425"/>
        <w:jc w:val="both"/>
        <w:rPr>
          <w:rFonts w:eastAsiaTheme="minorEastAsia"/>
        </w:rPr>
      </w:pPr>
      <w:r w:rsidRPr="00E261BF">
        <w:rPr>
          <w:rFonts w:eastAsiaTheme="minorEastAsia"/>
        </w:rPr>
        <w:t>1)</w:t>
      </w:r>
      <w:r w:rsidRPr="00E261BF">
        <w:rPr>
          <w:rFonts w:eastAsiaTheme="minorEastAsia"/>
        </w:rPr>
        <w:tab/>
        <w:t>opalanej paliwami gazowymi lub o łącznej mocy zainstalowanej elektrycznej źródła poniżej 1 MW;</w:t>
      </w:r>
    </w:p>
    <w:p w:rsidR="00FA6B40" w:rsidRPr="00E261BF" w:rsidRDefault="005D4A51" w:rsidP="003835D3">
      <w:pPr>
        <w:widowControl w:val="0"/>
        <w:autoSpaceDE w:val="0"/>
        <w:autoSpaceDN w:val="0"/>
        <w:adjustRightInd w:val="0"/>
        <w:spacing w:line="360" w:lineRule="auto"/>
        <w:ind w:left="425" w:hanging="425"/>
        <w:jc w:val="both"/>
        <w:rPr>
          <w:rFonts w:eastAsiaTheme="minorEastAsia"/>
        </w:rPr>
      </w:pPr>
      <w:r>
        <w:rPr>
          <w:rFonts w:eastAsiaTheme="minorEastAsia"/>
        </w:rPr>
        <w:t>2</w:t>
      </w:r>
      <w:r w:rsidR="00FA6B40" w:rsidRPr="00E261BF">
        <w:rPr>
          <w:rFonts w:eastAsiaTheme="minorEastAsia"/>
        </w:rPr>
        <w:t>)</w:t>
      </w:r>
      <w:r w:rsidR="00FA6B40" w:rsidRPr="00E261BF">
        <w:rPr>
          <w:rFonts w:eastAsiaTheme="minorEastAsia"/>
        </w:rPr>
        <w:tab/>
        <w:t>opalanej metanem uwalnianym i ujmowanym przy dołowych robotach górniczych w czynnych, likwidowanych lub zlikwidowanych kopalniach węgla kamiennego lub</w:t>
      </w:r>
      <w:r w:rsidR="00680107">
        <w:rPr>
          <w:rFonts w:eastAsiaTheme="minorEastAsia"/>
        </w:rPr>
        <w:t xml:space="preserve"> </w:t>
      </w:r>
      <w:r w:rsidR="00FA6B40" w:rsidRPr="00E261BF">
        <w:rPr>
          <w:rFonts w:eastAsiaTheme="minorEastAsia"/>
        </w:rPr>
        <w:t>gazem uzyskiwanym z przetwarzania biomasy w rozumieniu art. 2 ust. 1 pkt 2 ustawy z dnia 25 sierpnia 2006 r. o biokomponent</w:t>
      </w:r>
      <w:r w:rsidR="004F6B6E">
        <w:rPr>
          <w:rFonts w:eastAsiaTheme="minorEastAsia"/>
        </w:rPr>
        <w:t>ach i biopaliwach ciekłych (Dz. </w:t>
      </w:r>
      <w:r w:rsidR="00FA6B40" w:rsidRPr="00E261BF">
        <w:rPr>
          <w:rFonts w:eastAsiaTheme="minorEastAsia"/>
        </w:rPr>
        <w:t>U. z 201</w:t>
      </w:r>
      <w:r>
        <w:rPr>
          <w:rFonts w:eastAsiaTheme="minorEastAsia"/>
        </w:rPr>
        <w:t>8</w:t>
      </w:r>
      <w:r w:rsidR="00FA6B40" w:rsidRPr="00E261BF">
        <w:rPr>
          <w:rFonts w:eastAsiaTheme="minorEastAsia"/>
        </w:rPr>
        <w:t xml:space="preserve"> r. poz. </w:t>
      </w:r>
      <w:r>
        <w:rPr>
          <w:rFonts w:eastAsiaTheme="minorEastAsia"/>
        </w:rPr>
        <w:t>1344, z późn. zm.</w:t>
      </w:r>
      <w:r w:rsidR="00FA6B40" w:rsidRPr="00E261BF">
        <w:rPr>
          <w:rFonts w:eastAsiaTheme="minorEastAsia"/>
        </w:rPr>
        <w:t>);</w:t>
      </w:r>
    </w:p>
    <w:p w:rsidR="00FA6B40" w:rsidRPr="00E261BF" w:rsidRDefault="005D4A51" w:rsidP="003835D3">
      <w:pPr>
        <w:widowControl w:val="0"/>
        <w:autoSpaceDE w:val="0"/>
        <w:autoSpaceDN w:val="0"/>
        <w:adjustRightInd w:val="0"/>
        <w:spacing w:line="360" w:lineRule="auto"/>
        <w:ind w:left="425" w:hanging="425"/>
        <w:jc w:val="both"/>
        <w:rPr>
          <w:rFonts w:eastAsiaTheme="minorEastAsia"/>
        </w:rPr>
      </w:pPr>
      <w:r>
        <w:rPr>
          <w:rFonts w:eastAsiaTheme="minorEastAsia"/>
        </w:rPr>
        <w:lastRenderedPageBreak/>
        <w:t>3</w:t>
      </w:r>
      <w:r w:rsidR="00FA6B40" w:rsidRPr="00E261BF">
        <w:rPr>
          <w:rFonts w:eastAsiaTheme="minorEastAsia"/>
        </w:rPr>
        <w:t>)</w:t>
      </w:r>
      <w:r w:rsidR="00FA6B40" w:rsidRPr="00E261BF">
        <w:rPr>
          <w:rFonts w:eastAsiaTheme="minorEastAsia"/>
        </w:rPr>
        <w:tab/>
        <w:t>innej niż wymienionej w pkt 1 i 1a.</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Zapotrzebowanie na świadectwa pochodzenia z kogeneracji wynika z przepisów art. 9a ust. 1 ustawy – Prawo energetyczne, zgodnie z którymi odbiorca przemysłowy, przedsiębiorstwo energetyczne, odbiorca końcowy oraz towarowy dom maklerski lub dom maklerski, o których mowa w ust. 2, w zakresie określonym w ust. 11, są obowiązani:</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1)</w:t>
      </w:r>
      <w:r w:rsidRPr="00E261BF">
        <w:rPr>
          <w:rFonts w:eastAsiaTheme="minorEastAsia"/>
        </w:rPr>
        <w:tab/>
        <w:t>uzyskać i przedstawić do umorzenia Prezesowi Urzędu Regulacji Energetyki świadectwo pochodzenia z kogeneracji, o którym mowa w art. 9l ust. 1, wydane dla</w:t>
      </w:r>
      <w:r w:rsidR="00680107">
        <w:rPr>
          <w:rFonts w:eastAsiaTheme="minorEastAsia"/>
        </w:rPr>
        <w:t xml:space="preserve"> </w:t>
      </w:r>
      <w:r w:rsidRPr="00E261BF">
        <w:rPr>
          <w:rFonts w:eastAsiaTheme="minorEastAsia"/>
        </w:rPr>
        <w:t>energii elektrycznej wytworzonej w jednostkach kogeneracji znajdujących się na</w:t>
      </w:r>
      <w:r w:rsidR="00680107">
        <w:rPr>
          <w:rFonts w:eastAsiaTheme="minorEastAsia"/>
        </w:rPr>
        <w:t xml:space="preserve"> </w:t>
      </w:r>
      <w:r w:rsidRPr="00E261BF">
        <w:rPr>
          <w:rFonts w:eastAsiaTheme="minorEastAsia"/>
        </w:rPr>
        <w:t>terytorium Rzeczypospolitej Polskiej lub</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2)</w:t>
      </w:r>
      <w:r w:rsidRPr="00E261BF">
        <w:rPr>
          <w:rFonts w:eastAsiaTheme="minorEastAsia"/>
        </w:rPr>
        <w:tab/>
        <w:t>uiścić opłatę zastępczą, w terminie określonym w ust. 15, obliczoną w sposób określony w ust. 10.</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Dodatkowo należy zauważyć, iż, zgodnie z art. 9a ust. 2 ustawy – Prawo energetyczne</w:t>
      </w:r>
      <w:r w:rsidRPr="00E261BF">
        <w:t xml:space="preserve"> o</w:t>
      </w:r>
      <w:r w:rsidRPr="00E261BF">
        <w:rPr>
          <w:rFonts w:eastAsiaTheme="minorEastAsia"/>
        </w:rPr>
        <w:t>bowiązek, o którym mowa w ust. 1, wykonują:</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1)</w:t>
      </w:r>
      <w:r w:rsidRPr="00E261BF">
        <w:rPr>
          <w:rFonts w:eastAsiaTheme="minorEastAsia"/>
        </w:rPr>
        <w:tab/>
        <w:t>odbiorca przemysłowy, który w roku kalendarzowym poprzedzającym rok realizacji tego obowiązku zużył nie mniej niż 100 GWh energii elektrycznej oraz złożył oświadczenie, o którym mowa w ust. 3;</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2)</w:t>
      </w:r>
      <w:r w:rsidRPr="00E261BF">
        <w:rPr>
          <w:rFonts w:eastAsiaTheme="minorEastAsia"/>
        </w:rPr>
        <w:tab/>
        <w:t>przedsiębiorstwo energetyczne wykonujące działalność gospodarczą w zakresie wytwarzania energii elektrycznej lub obrotu tą energią i sprzedające tę energię odbiorcom końcowym niebędących odbiorcami przemysłowymi, o których mowa w</w:t>
      </w:r>
      <w:r w:rsidR="004F6B6E">
        <w:rPr>
          <w:rFonts w:eastAsiaTheme="minorEastAsia"/>
        </w:rPr>
        <w:t> </w:t>
      </w:r>
      <w:r w:rsidRPr="00E261BF">
        <w:rPr>
          <w:rFonts w:eastAsiaTheme="minorEastAsia"/>
        </w:rPr>
        <w:t>pkt</w:t>
      </w:r>
      <w:r w:rsidR="00680107">
        <w:rPr>
          <w:rFonts w:eastAsiaTheme="minorEastAsia"/>
        </w:rPr>
        <w:t xml:space="preserve"> </w:t>
      </w:r>
      <w:r w:rsidRPr="00E261BF">
        <w:rPr>
          <w:rFonts w:eastAsiaTheme="minorEastAsia"/>
        </w:rPr>
        <w:t>1;</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3)</w:t>
      </w:r>
      <w:r w:rsidRPr="00E261BF">
        <w:rPr>
          <w:rFonts w:eastAsiaTheme="minorEastAsia"/>
        </w:rPr>
        <w:tab/>
        <w:t>odbiorca końcowy, inny niż odbiorca przemysłowy, o którym mowa w pkt 1, będący członkiem giełdy w rozumieniu art. 2 pkt 5 ustawy z</w:t>
      </w:r>
      <w:r w:rsidR="004F6B6E">
        <w:rPr>
          <w:rFonts w:eastAsiaTheme="minorEastAsia"/>
        </w:rPr>
        <w:t xml:space="preserve"> dnia 26 października 2000 r. o </w:t>
      </w:r>
      <w:r w:rsidRPr="00E261BF">
        <w:rPr>
          <w:rFonts w:eastAsiaTheme="minorEastAsia"/>
        </w:rPr>
        <w:t>giełdach towarowych lub członkiem rynku organizowanego przez podmiot prowadzący na terytorium Rzeczypospolitej Polskiej rynek regulowany, w</w:t>
      </w:r>
      <w:r w:rsidR="004F6B6E">
        <w:rPr>
          <w:rFonts w:eastAsiaTheme="minorEastAsia"/>
        </w:rPr>
        <w:t> </w:t>
      </w:r>
      <w:r w:rsidRPr="00E261BF">
        <w:rPr>
          <w:rFonts w:eastAsiaTheme="minorEastAsia"/>
        </w:rPr>
        <w:t>odniesieniu do transakcji zawieranych we własnym imieniu na giełdzie towarowej lub na rynku organizowanym przez ten podmiot;</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4)</w:t>
      </w:r>
      <w:r w:rsidRPr="00E261BF">
        <w:rPr>
          <w:rFonts w:eastAsiaTheme="minorEastAsia"/>
        </w:rPr>
        <w:tab/>
        <w:t>odbiorca końcowy, inny niż odbiorca przemysłowy, o którym mowa w pkt 1, będący członkiem giełdowej izby rozrachunkowe</w:t>
      </w:r>
      <w:r w:rsidR="004F6B6E">
        <w:rPr>
          <w:rFonts w:eastAsiaTheme="minorEastAsia"/>
        </w:rPr>
        <w:t>j w rozumieniu ustawy z dnia 26 </w:t>
      </w:r>
      <w:r w:rsidRPr="00E261BF">
        <w:rPr>
          <w:rFonts w:eastAsiaTheme="minorEastAsia"/>
        </w:rPr>
        <w:t>października 2000 r. o giełdach towarowych, w odniesieniu do transakcji zawieranych przez niego poza giełdą towarową lu</w:t>
      </w:r>
      <w:r w:rsidR="004F6B6E">
        <w:rPr>
          <w:rFonts w:eastAsiaTheme="minorEastAsia"/>
        </w:rPr>
        <w:t>b rynkiem, o których mowa w pkt </w:t>
      </w:r>
      <w:r w:rsidRPr="00E261BF">
        <w:rPr>
          <w:rFonts w:eastAsiaTheme="minorEastAsia"/>
        </w:rPr>
        <w:t xml:space="preserve">3, będących przedmiotem rozliczeń prowadzonych w ramach tej izby przez spółkę prowadzącą giełdową izbę rozrachunkową, przez Krajowy Depozyt Papierów </w:t>
      </w:r>
      <w:r w:rsidRPr="00E261BF">
        <w:rPr>
          <w:rFonts w:eastAsiaTheme="minorEastAsia"/>
        </w:rPr>
        <w:lastRenderedPageBreak/>
        <w:t>Wartościowych S.A. lub przez spółkę, której Krajowy Depozyt Papierów Wartościowych S.A. przekazał wykonywanie czynności z zakresu zadań, o których mowa w art. 48 ust. 2 ustawy z dnia 29 lipca 2005 r. o obrocie instrumentami finansowymi;</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5)</w:t>
      </w:r>
      <w:r w:rsidRPr="00E261BF">
        <w:rPr>
          <w:rFonts w:eastAsiaTheme="minorEastAsia"/>
        </w:rPr>
        <w:tab/>
        <w:t>towarowy dom maklerski lub dom maklerski, o których mowa w art. 2 pkt 8 i 9 ustawy z dnia 26 października 2000 r. o giełdach towarowych, w odniesieniu do transakcji zawieranych na zlecenie odbiorców końcowych, innych niż odbiorcy przemysłowi, o których mowa w pkt 1, na giełdzie towarowej lub na rynku organizowanym przez podmiot prowadzący na terytorium Rzeczypospolitej Polskiej rynek regulowany.</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Jednocześnie zakres obowiązku uzyskania i przedstawienia do umorzenia świadectwa pochodzenia z kogeneracji lub uiszczenia opłaty zastępczej określono w art. 9a ust. 11 ustawy – Prawo energetyczne na następującym poziomie:</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1)</w:t>
      </w:r>
      <w:r w:rsidRPr="00E261BF">
        <w:rPr>
          <w:rFonts w:eastAsiaTheme="minorEastAsia"/>
        </w:rPr>
        <w:tab/>
        <w:t>dla jednostki kogeneracji, o której mowa w art. 9l ust. 1 pkt 1, na poziomie:</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a)</w:t>
      </w:r>
      <w:r w:rsidRPr="00E261BF">
        <w:rPr>
          <w:rFonts w:eastAsiaTheme="minorEastAsia"/>
        </w:rPr>
        <w:tab/>
        <w:t>3,9% w 2014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b)</w:t>
      </w:r>
      <w:r w:rsidRPr="00E261BF">
        <w:rPr>
          <w:rFonts w:eastAsiaTheme="minorEastAsia"/>
        </w:rPr>
        <w:tab/>
        <w:t>4,9% w 2015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c)</w:t>
      </w:r>
      <w:r w:rsidRPr="00E261BF">
        <w:rPr>
          <w:rFonts w:eastAsiaTheme="minorEastAsia"/>
        </w:rPr>
        <w:tab/>
        <w:t>6,0% w 2016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d)</w:t>
      </w:r>
      <w:r w:rsidRPr="00E261BF">
        <w:rPr>
          <w:rFonts w:eastAsiaTheme="minorEastAsia"/>
        </w:rPr>
        <w:tab/>
        <w:t>7,0% w 2017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e)</w:t>
      </w:r>
      <w:r w:rsidRPr="00E261BF">
        <w:rPr>
          <w:rFonts w:eastAsiaTheme="minorEastAsia"/>
        </w:rPr>
        <w:tab/>
        <w:t>8,0% w 2018 r.;</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2)</w:t>
      </w:r>
      <w:r w:rsidRPr="00E261BF">
        <w:rPr>
          <w:rFonts w:eastAsiaTheme="minorEastAsia"/>
        </w:rPr>
        <w:tab/>
        <w:t>dla jednostki kogeneracji, o której mowa w art. 9l ust. 1 pkt 1a, na poziomie:</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a)</w:t>
      </w:r>
      <w:r w:rsidRPr="00E261BF">
        <w:rPr>
          <w:rFonts w:eastAsiaTheme="minorEastAsia"/>
        </w:rPr>
        <w:tab/>
        <w:t>1,1% w 2014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b)</w:t>
      </w:r>
      <w:r w:rsidRPr="00E261BF">
        <w:rPr>
          <w:rFonts w:eastAsiaTheme="minorEastAsia"/>
        </w:rPr>
        <w:tab/>
        <w:t>1,3% w 2015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c)</w:t>
      </w:r>
      <w:r w:rsidRPr="00E261BF">
        <w:rPr>
          <w:rFonts w:eastAsiaTheme="minorEastAsia"/>
        </w:rPr>
        <w:tab/>
        <w:t>1,5% w 2016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d)</w:t>
      </w:r>
      <w:r w:rsidRPr="00E261BF">
        <w:rPr>
          <w:rFonts w:eastAsiaTheme="minorEastAsia"/>
        </w:rPr>
        <w:tab/>
        <w:t>1,8% w 2017 r.,</w:t>
      </w:r>
    </w:p>
    <w:p w:rsidR="00FA6B40" w:rsidRPr="00E261BF" w:rsidRDefault="00FA6B40" w:rsidP="003835D3">
      <w:pPr>
        <w:widowControl w:val="0"/>
        <w:autoSpaceDE w:val="0"/>
        <w:autoSpaceDN w:val="0"/>
        <w:adjustRightInd w:val="0"/>
        <w:spacing w:line="360" w:lineRule="auto"/>
        <w:ind w:left="567" w:hanging="283"/>
        <w:jc w:val="both"/>
        <w:rPr>
          <w:rFonts w:eastAsiaTheme="minorEastAsia"/>
        </w:rPr>
      </w:pPr>
      <w:r w:rsidRPr="00E261BF">
        <w:rPr>
          <w:rFonts w:eastAsiaTheme="minorEastAsia"/>
        </w:rPr>
        <w:t>e)</w:t>
      </w:r>
      <w:r w:rsidRPr="00E261BF">
        <w:rPr>
          <w:rFonts w:eastAsiaTheme="minorEastAsia"/>
        </w:rPr>
        <w:tab/>
        <w:t>2,3% w 2018 r.;</w:t>
      </w:r>
    </w:p>
    <w:p w:rsidR="00FA6B40" w:rsidRPr="00E261BF" w:rsidRDefault="00FA6B40" w:rsidP="003835D3">
      <w:pPr>
        <w:widowControl w:val="0"/>
        <w:autoSpaceDE w:val="0"/>
        <w:autoSpaceDN w:val="0"/>
        <w:adjustRightInd w:val="0"/>
        <w:spacing w:line="360" w:lineRule="auto"/>
        <w:ind w:left="284" w:hanging="284"/>
        <w:jc w:val="both"/>
        <w:rPr>
          <w:rFonts w:eastAsiaTheme="minorEastAsia"/>
        </w:rPr>
      </w:pPr>
      <w:r w:rsidRPr="00E261BF">
        <w:rPr>
          <w:rFonts w:eastAsiaTheme="minorEastAsia"/>
        </w:rPr>
        <w:t>3)</w:t>
      </w:r>
      <w:r w:rsidRPr="00E261BF">
        <w:rPr>
          <w:rFonts w:eastAsiaTheme="minorEastAsia"/>
        </w:rPr>
        <w:tab/>
        <w:t>dla jednostki kogeneracji, o której mowa w art. 9l us</w:t>
      </w:r>
      <w:r w:rsidR="004F6B6E">
        <w:rPr>
          <w:rFonts w:eastAsiaTheme="minorEastAsia"/>
        </w:rPr>
        <w:t>t. 1 pkt 2, na poziomie 23,2% w </w:t>
      </w:r>
      <w:r w:rsidRPr="00E261BF">
        <w:rPr>
          <w:rFonts w:eastAsiaTheme="minorEastAsia"/>
        </w:rPr>
        <w:t>każdym roku, począwszy od 2014 r. do 2018 r.</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Świadectwo pochodzenia z kogeneracji wydaje Prezes Urzędu Regulacji Energetyki na</w:t>
      </w:r>
      <w:r w:rsidR="00680107">
        <w:rPr>
          <w:rFonts w:eastAsiaTheme="minorEastAsia"/>
        </w:rPr>
        <w:t xml:space="preserve"> </w:t>
      </w:r>
      <w:r w:rsidRPr="00E261BF">
        <w:rPr>
          <w:rFonts w:eastAsiaTheme="minorEastAsia"/>
        </w:rPr>
        <w:t>wniosek przedsiębiorstwa energetycznego zajmującego się wytwarzaniem energii elektrycznej w wysokosprawnej kogeneracji, złożony za pośrednictwem operatora systemu elektroenergetycznego, na którego obszarze działania znajduje się jednostka kogeneracji określona we wniosku, w terminie 14 dni o</w:t>
      </w:r>
      <w:r w:rsidR="004F6B6E">
        <w:rPr>
          <w:rFonts w:eastAsiaTheme="minorEastAsia"/>
        </w:rPr>
        <w:t>d dnia otrzymania wniosku (art. </w:t>
      </w:r>
      <w:r w:rsidRPr="00E261BF">
        <w:rPr>
          <w:rFonts w:eastAsiaTheme="minorEastAsia"/>
        </w:rPr>
        <w:t>9l ust. 3 ustawy – Prawo energetyczne).</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lastRenderedPageBreak/>
        <w:t>Na podstawie art. 9m ust. 1 ustawy – Prawo energetyczne prawa majątkowe wynikające ze świadectwa pochodzenia z kogeneracji są zbywal</w:t>
      </w:r>
      <w:r w:rsidR="004F6B6E">
        <w:rPr>
          <w:rFonts w:eastAsiaTheme="minorEastAsia"/>
        </w:rPr>
        <w:t>ne i stanowią towar giełdowy, o </w:t>
      </w:r>
      <w:r w:rsidRPr="00E261BF">
        <w:rPr>
          <w:rFonts w:eastAsiaTheme="minorEastAsia"/>
        </w:rPr>
        <w:t>którym mowa w art. 2 pkt 2 lit. d ustawy z dnia 26 października 2000 r. o giełdach towarowych.</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Prawa majątkowe wynikające ze świadectwa pocho</w:t>
      </w:r>
      <w:r w:rsidR="004F6B6E">
        <w:rPr>
          <w:rFonts w:eastAsiaTheme="minorEastAsia"/>
        </w:rPr>
        <w:t>dzenia z kogeneracji powstają z </w:t>
      </w:r>
      <w:r w:rsidRPr="00E261BF">
        <w:rPr>
          <w:rFonts w:eastAsiaTheme="minorEastAsia"/>
        </w:rPr>
        <w:t>chwilą zapisania świadectwa po raz pierwszy na koncie ewidencyjnym w rejestrze świadectw pochodzenia z kogeneracji (art. 9m ust. 3 ustawy – Prawo energetyczne), natomiast wygasają z chwilą jego umorzenia (art. 9m ust. 10 ustawy – Prawo energetyczne).</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Co istotne, świadectwo pochodzenia z kogeneracji umorzone przez Prezesa Urzędu Regulacji Energetyki do dnia 30 czerwca danego roku kalendarzowego, wydane dla energii elektrycznej wytworzonej w jednostce kogeneracji w poprzednim roku kalendarzowym, jest uwzględniane przy rozliczeniu wykonania obowiązku określonego w art. 9a ust. 1, w poprzednim roku kalendarzowym (art. 9m ust. 14 ustawy – Prawo energetyczne).</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Uzasadnienie szczegółowe</w:t>
      </w:r>
    </w:p>
    <w:p w:rsidR="00FA6B40" w:rsidRPr="00E261BF" w:rsidRDefault="00FA6B40" w:rsidP="003835D3">
      <w:pPr>
        <w:widowControl w:val="0"/>
        <w:autoSpaceDE w:val="0"/>
        <w:autoSpaceDN w:val="0"/>
        <w:adjustRightInd w:val="0"/>
        <w:spacing w:before="120" w:line="360" w:lineRule="auto"/>
        <w:jc w:val="both"/>
        <w:rPr>
          <w:rFonts w:eastAsiaTheme="minorEastAsia"/>
          <w:b/>
        </w:rPr>
      </w:pPr>
      <w:r w:rsidRPr="00E261BF">
        <w:rPr>
          <w:rFonts w:eastAsiaTheme="minorEastAsia"/>
          <w:b/>
        </w:rPr>
        <w:t xml:space="preserve">Rozdział 1 – Przepisy ogólne – art. 1–2 </w:t>
      </w:r>
    </w:p>
    <w:p w:rsidR="00FA6B40" w:rsidRPr="00E261BF" w:rsidRDefault="00FA6B40" w:rsidP="003835D3">
      <w:pPr>
        <w:pStyle w:val="Akapitzlist"/>
        <w:widowControl w:val="0"/>
        <w:numPr>
          <w:ilvl w:val="0"/>
          <w:numId w:val="9"/>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Przedmiot ustawy – art. 1</w:t>
      </w:r>
    </w:p>
    <w:p w:rsidR="00FA6B40" w:rsidRPr="00E261BF" w:rsidRDefault="00FA6B40" w:rsidP="003835D3">
      <w:pPr>
        <w:pStyle w:val="Akapitzlist"/>
        <w:widowControl w:val="0"/>
        <w:autoSpaceDE w:val="0"/>
        <w:autoSpaceDN w:val="0"/>
        <w:adjustRightInd w:val="0"/>
        <w:spacing w:before="120" w:line="360" w:lineRule="auto"/>
        <w:ind w:left="0"/>
        <w:contextualSpacing w:val="0"/>
        <w:jc w:val="both"/>
        <w:rPr>
          <w:rFonts w:eastAsiaTheme="minorEastAsia"/>
          <w:b/>
        </w:rPr>
      </w:pPr>
      <w:r w:rsidRPr="00E261BF">
        <w:rPr>
          <w:rFonts w:eastAsiaTheme="minorEastAsia"/>
        </w:rPr>
        <w:t xml:space="preserve">Ustawa reguluje </w:t>
      </w:r>
      <w:r w:rsidR="005D4A51">
        <w:rPr>
          <w:rFonts w:eastAsiaTheme="minorEastAsia"/>
        </w:rPr>
        <w:t>zasady udzielania</w:t>
      </w:r>
      <w:r w:rsidRPr="00E261BF">
        <w:rPr>
          <w:rFonts w:eastAsiaTheme="minorEastAsia"/>
        </w:rPr>
        <w:t xml:space="preserve"> </w:t>
      </w:r>
      <w:r w:rsidR="005D4A51">
        <w:rPr>
          <w:rFonts w:eastAsiaTheme="minorEastAsia"/>
        </w:rPr>
        <w:t xml:space="preserve">wsparcia energii elektrycznej wytwarzanej </w:t>
      </w:r>
      <w:r w:rsidR="006C36C9">
        <w:rPr>
          <w:rFonts w:eastAsiaTheme="minorEastAsia"/>
        </w:rPr>
        <w:t>w </w:t>
      </w:r>
      <w:r w:rsidRPr="00E261BF">
        <w:rPr>
          <w:rFonts w:eastAsiaTheme="minorEastAsia"/>
        </w:rPr>
        <w:t xml:space="preserve">wysokosprawnej kogeneracji </w:t>
      </w:r>
      <w:r w:rsidR="005D4A51">
        <w:rPr>
          <w:rFonts w:eastAsiaTheme="minorEastAsia"/>
        </w:rPr>
        <w:t>w jednostkach kogeneracji oraz wydawania gwarancji pochodzenia energii elektrycznej z wysokosprawnej kogeneracji</w:t>
      </w:r>
      <w:r w:rsidRPr="00E261BF">
        <w:rPr>
          <w:rFonts w:eastAsiaTheme="minorEastAsia"/>
        </w:rPr>
        <w:t>.</w:t>
      </w:r>
    </w:p>
    <w:p w:rsidR="00FA6B40" w:rsidRPr="00E261BF" w:rsidRDefault="00FA6B40" w:rsidP="003835D3">
      <w:pPr>
        <w:pStyle w:val="Akapitzlist"/>
        <w:widowControl w:val="0"/>
        <w:autoSpaceDE w:val="0"/>
        <w:autoSpaceDN w:val="0"/>
        <w:adjustRightInd w:val="0"/>
        <w:spacing w:before="120" w:line="360" w:lineRule="auto"/>
        <w:ind w:left="0"/>
        <w:contextualSpacing w:val="0"/>
        <w:jc w:val="both"/>
        <w:rPr>
          <w:rFonts w:eastAsiaTheme="minorEastAsia"/>
          <w:b/>
        </w:rPr>
      </w:pPr>
      <w:r w:rsidRPr="00E261BF">
        <w:rPr>
          <w:rFonts w:eastAsia="Calibri"/>
          <w:lang w:eastAsia="en-US"/>
        </w:rPr>
        <w:t>Obecnie mechanizmem wspierającym wyt</w:t>
      </w:r>
      <w:r w:rsidR="004F6B6E">
        <w:rPr>
          <w:rFonts w:eastAsia="Calibri"/>
          <w:lang w:eastAsia="en-US"/>
        </w:rPr>
        <w:t>warzanie energii elektrycznej w </w:t>
      </w:r>
      <w:r w:rsidRPr="00E261BF">
        <w:rPr>
          <w:rFonts w:eastAsia="Calibri"/>
          <w:lang w:eastAsia="en-US"/>
        </w:rPr>
        <w:t>wysokosprawnej kogeneracji jest system wsparcia operacyjnego oparty o świadectwa pochodzenia (został on uregulowany w art. 9a, 9l oraz 9m ustawy – Prawo energetyczne). Niemniej jednak, w związku z czasowym ograniczeniem jego działania (31 grudnia 2018 r.), dla dalszego rozwoju wysokosprawnej kogeneracji niezbędne jest stworzenie nowego mechanizmu, który gwarantował będzie inwestorom możliwość realizacji budowy nowych jednostek kogeneracji lub działań zwią</w:t>
      </w:r>
      <w:r w:rsidR="004F6B6E">
        <w:rPr>
          <w:rFonts w:eastAsia="Calibri"/>
          <w:lang w:eastAsia="en-US"/>
        </w:rPr>
        <w:t>zanych z </w:t>
      </w:r>
      <w:r w:rsidRPr="00E261BF">
        <w:rPr>
          <w:rFonts w:eastAsia="Calibri"/>
          <w:lang w:eastAsia="en-US"/>
        </w:rPr>
        <w:t>modernizacją już istniejących.</w:t>
      </w:r>
    </w:p>
    <w:p w:rsidR="00FA6B40" w:rsidRPr="00E261BF" w:rsidRDefault="00FA6B40" w:rsidP="003835D3">
      <w:pPr>
        <w:pStyle w:val="Akapitzlist"/>
        <w:widowControl w:val="0"/>
        <w:autoSpaceDE w:val="0"/>
        <w:autoSpaceDN w:val="0"/>
        <w:adjustRightInd w:val="0"/>
        <w:spacing w:before="120" w:line="360" w:lineRule="auto"/>
        <w:ind w:left="0"/>
        <w:contextualSpacing w:val="0"/>
        <w:jc w:val="both"/>
        <w:rPr>
          <w:rFonts w:eastAsiaTheme="minorEastAsia"/>
          <w:b/>
        </w:rPr>
      </w:pPr>
      <w:r w:rsidRPr="00E261BF">
        <w:rPr>
          <w:rFonts w:eastAsiaTheme="minorEastAsia"/>
        </w:rPr>
        <w:t xml:space="preserve">Ponadto, ustawa określa zasady wydawania gwarancji pochodzenia energii elektrycznej z wysokosprawnej kogeneracji oraz prowadzenia rejestru tych gwarancji pochodzenia. </w:t>
      </w:r>
      <w:r w:rsidRPr="00E261BF">
        <w:rPr>
          <w:rFonts w:eastAsiaTheme="minorEastAsia"/>
        </w:rPr>
        <w:lastRenderedPageBreak/>
        <w:t>Dotychczas obszar gwarancji pochodzenia uregulowany był w przepisach ustaw</w:t>
      </w:r>
      <w:r w:rsidR="00680107">
        <w:rPr>
          <w:rFonts w:eastAsiaTheme="minorEastAsia"/>
        </w:rPr>
        <w:t>y – Prawo energetyczne (art. 9y</w:t>
      </w:r>
      <w:r w:rsidRPr="00E261BF">
        <w:rPr>
          <w:rFonts w:eastAsiaTheme="minorEastAsia"/>
        </w:rPr>
        <w:t xml:space="preserve">–9zb), niemniej jednak biorąc pod uwagę rolę gwarancji pochodzenia, którą jest informowanie odbiorcy końcowego, </w:t>
      </w:r>
      <w:r w:rsidRPr="00E261BF">
        <w:rPr>
          <w:rFonts w:eastAsia="Arial Unicode MS"/>
          <w:u w:color="000000"/>
          <w:bdr w:val="nil"/>
        </w:rPr>
        <w:t>że określona w tym dokumencie ilość energii elektrycznej wprowadzonej do sieci dystrybucyjnej lub sieci przesyłowej została wytworzona w wysokosprawnej kogeneracji, projektodawca uznał, że jest to jeden z elementów (niefinansowych) wspierających rozwój wysokosprawnej kogeneracji.</w:t>
      </w:r>
    </w:p>
    <w:p w:rsidR="00FA6B40" w:rsidRPr="00E261BF" w:rsidRDefault="00FA6B40" w:rsidP="003835D3">
      <w:pPr>
        <w:pStyle w:val="Akapitzlist"/>
        <w:widowControl w:val="0"/>
        <w:numPr>
          <w:ilvl w:val="0"/>
          <w:numId w:val="9"/>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Definicje – art. 2</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Pojęcia zaczerpn</w:t>
      </w:r>
      <w:r w:rsidR="00680107">
        <w:rPr>
          <w:rFonts w:eastAsiaTheme="minorEastAsia"/>
          <w:b/>
        </w:rPr>
        <w:t>ięte z innych ustaw (pkt 1</w:t>
      </w:r>
      <w:r w:rsidR="003F3963" w:rsidRPr="00E261BF">
        <w:rPr>
          <w:rFonts w:eastAsiaTheme="minorEastAsia"/>
          <w:b/>
        </w:rPr>
        <w:t>–5, 7, 10, 16</w:t>
      </w:r>
      <w:r w:rsidR="00680107">
        <w:rPr>
          <w:rFonts w:eastAsiaTheme="minorEastAsia"/>
          <w:b/>
        </w:rPr>
        <w:t>–</w:t>
      </w:r>
      <w:r w:rsidR="003F3963" w:rsidRPr="00E261BF">
        <w:rPr>
          <w:rFonts w:eastAsiaTheme="minorEastAsia"/>
          <w:b/>
        </w:rPr>
        <w:t>22, 30</w:t>
      </w:r>
      <w:r w:rsidR="005D4A51">
        <w:rPr>
          <w:rFonts w:eastAsiaTheme="minorEastAsia"/>
          <w:b/>
        </w:rPr>
        <w:t xml:space="preserve">, </w:t>
      </w:r>
      <w:r w:rsidR="003F3963" w:rsidRPr="00E261BF">
        <w:rPr>
          <w:rFonts w:eastAsiaTheme="minorEastAsia"/>
          <w:b/>
        </w:rPr>
        <w:t xml:space="preserve">31, </w:t>
      </w:r>
      <w:r w:rsidRPr="00E261BF">
        <w:rPr>
          <w:rFonts w:eastAsiaTheme="minorEastAsia"/>
          <w:b/>
        </w:rPr>
        <w:t>33</w:t>
      </w:r>
      <w:r w:rsidR="005D4A51">
        <w:rPr>
          <w:rFonts w:eastAsiaTheme="minorEastAsia"/>
          <w:b/>
        </w:rPr>
        <w:t xml:space="preserve">, </w:t>
      </w:r>
      <w:r w:rsidR="00AA307A" w:rsidRPr="00E261BF">
        <w:rPr>
          <w:rFonts w:eastAsiaTheme="minorEastAsia"/>
          <w:b/>
        </w:rPr>
        <w:t>34, 36–40</w:t>
      </w:r>
      <w:r w:rsidRPr="00E261BF">
        <w:rPr>
          <w:rFonts w:eastAsiaTheme="minorEastAsia"/>
          <w:b/>
        </w:rPr>
        <w:t>)</w:t>
      </w:r>
    </w:p>
    <w:p w:rsidR="00FA6B40" w:rsidRPr="00E261BF" w:rsidRDefault="00FA6B40" w:rsidP="003835D3">
      <w:pPr>
        <w:pStyle w:val="Akapitzlist"/>
        <w:widowControl w:val="0"/>
        <w:autoSpaceDE w:val="0"/>
        <w:autoSpaceDN w:val="0"/>
        <w:adjustRightInd w:val="0"/>
        <w:spacing w:before="120" w:line="360" w:lineRule="auto"/>
        <w:ind w:left="0"/>
        <w:contextualSpacing w:val="0"/>
        <w:jc w:val="both"/>
        <w:rPr>
          <w:rFonts w:eastAsiaTheme="minorEastAsia"/>
        </w:rPr>
      </w:pPr>
      <w:r w:rsidRPr="00E261BF">
        <w:rPr>
          <w:rFonts w:eastAsiaTheme="minorEastAsia"/>
        </w:rPr>
        <w:t>Ustawa w niezbędnym zakresie posługuje się pojęciami zaczerpniętymi z ustawy – Prawo energetycz</w:t>
      </w:r>
      <w:r w:rsidR="00E31BA8" w:rsidRPr="00E261BF">
        <w:rPr>
          <w:rFonts w:eastAsiaTheme="minorEastAsia"/>
        </w:rPr>
        <w:t>ne (w odniesieniu do pkt 2–</w:t>
      </w:r>
      <w:r w:rsidRPr="00E261BF">
        <w:rPr>
          <w:rFonts w:eastAsiaTheme="minorEastAsia"/>
        </w:rPr>
        <w:t>5</w:t>
      </w:r>
      <w:r w:rsidR="00E31BA8" w:rsidRPr="00E261BF">
        <w:rPr>
          <w:rFonts w:eastAsiaTheme="minorEastAsia"/>
        </w:rPr>
        <w:t>, 10, 16</w:t>
      </w:r>
      <w:r w:rsidR="005D4A51">
        <w:rPr>
          <w:rFonts w:eastAsiaTheme="minorEastAsia"/>
        </w:rPr>
        <w:t xml:space="preserve">, </w:t>
      </w:r>
      <w:r w:rsidR="00E31BA8" w:rsidRPr="00E261BF">
        <w:rPr>
          <w:rFonts w:eastAsiaTheme="minorEastAsia"/>
        </w:rPr>
        <w:t>17, 20–</w:t>
      </w:r>
      <w:r w:rsidRPr="00E261BF">
        <w:rPr>
          <w:rFonts w:eastAsiaTheme="minorEastAsia"/>
        </w:rPr>
        <w:t>22</w:t>
      </w:r>
      <w:r w:rsidR="00E31BA8" w:rsidRPr="00E261BF">
        <w:rPr>
          <w:rFonts w:eastAsiaTheme="minorEastAsia"/>
        </w:rPr>
        <w:t>, 30</w:t>
      </w:r>
      <w:r w:rsidR="005D4A51">
        <w:rPr>
          <w:rFonts w:eastAsiaTheme="minorEastAsia"/>
        </w:rPr>
        <w:t xml:space="preserve">, </w:t>
      </w:r>
      <w:r w:rsidR="00E31BA8" w:rsidRPr="00E261BF">
        <w:rPr>
          <w:rFonts w:eastAsiaTheme="minorEastAsia"/>
        </w:rPr>
        <w:t>31, 33</w:t>
      </w:r>
      <w:r w:rsidR="005D4A51">
        <w:rPr>
          <w:rFonts w:eastAsiaTheme="minorEastAsia"/>
        </w:rPr>
        <w:t xml:space="preserve">, </w:t>
      </w:r>
      <w:r w:rsidR="00E31BA8" w:rsidRPr="00E261BF">
        <w:rPr>
          <w:rFonts w:eastAsiaTheme="minorEastAsia"/>
        </w:rPr>
        <w:t>34, 36</w:t>
      </w:r>
      <w:r w:rsidR="005D4A51">
        <w:rPr>
          <w:rFonts w:eastAsiaTheme="minorEastAsia"/>
        </w:rPr>
        <w:t xml:space="preserve"> i </w:t>
      </w:r>
      <w:r w:rsidR="00AA307A" w:rsidRPr="00E261BF">
        <w:rPr>
          <w:rFonts w:eastAsiaTheme="minorEastAsia"/>
        </w:rPr>
        <w:t>37</w:t>
      </w:r>
      <w:r w:rsidRPr="00E261BF">
        <w:rPr>
          <w:rFonts w:eastAsiaTheme="minorEastAsia"/>
        </w:rPr>
        <w:t>), ustawy o odnawia</w:t>
      </w:r>
      <w:r w:rsidR="00E31BA8" w:rsidRPr="00E261BF">
        <w:rPr>
          <w:rFonts w:eastAsiaTheme="minorEastAsia"/>
        </w:rPr>
        <w:t>lnych źródł</w:t>
      </w:r>
      <w:r w:rsidR="00680107">
        <w:rPr>
          <w:rFonts w:eastAsiaTheme="minorEastAsia"/>
        </w:rPr>
        <w:t>ach energii (pkt 1, 7, 18, 39–</w:t>
      </w:r>
      <w:r w:rsidR="00E31BA8" w:rsidRPr="00E261BF">
        <w:rPr>
          <w:rFonts w:eastAsiaTheme="minorEastAsia"/>
        </w:rPr>
        <w:t>40</w:t>
      </w:r>
      <w:r w:rsidR="004F6B6E">
        <w:rPr>
          <w:rFonts w:eastAsiaTheme="minorEastAsia"/>
        </w:rPr>
        <w:t>), ustawy o </w:t>
      </w:r>
      <w:r w:rsidRPr="00E261BF">
        <w:rPr>
          <w:rFonts w:eastAsiaTheme="minorEastAsia"/>
        </w:rPr>
        <w:t xml:space="preserve">efektywności energetycznej (pkt </w:t>
      </w:r>
      <w:r w:rsidR="00E31BA8" w:rsidRPr="00E261BF">
        <w:rPr>
          <w:rFonts w:eastAsiaTheme="minorEastAsia"/>
        </w:rPr>
        <w:t>38</w:t>
      </w:r>
      <w:r w:rsidRPr="00E261BF">
        <w:rPr>
          <w:rFonts w:eastAsiaTheme="minorEastAsia"/>
        </w:rPr>
        <w:t>) oraz ustawy o zasadach pokrywania kosztów powstałych u wytwórców w związku z przedterminowym rozwiązaniem umów długoterminowych sprzedaży m</w:t>
      </w:r>
      <w:r w:rsidR="00E31BA8" w:rsidRPr="00E261BF">
        <w:rPr>
          <w:rFonts w:eastAsiaTheme="minorEastAsia"/>
        </w:rPr>
        <w:t>ocy energii elektrycznej (pkt 19</w:t>
      </w:r>
      <w:r w:rsidRPr="00E261BF">
        <w:rPr>
          <w:rFonts w:eastAsiaTheme="minorEastAsia"/>
        </w:rPr>
        <w:t>).</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Pojęcie je</w:t>
      </w:r>
      <w:r w:rsidR="00E31BA8" w:rsidRPr="00E261BF">
        <w:rPr>
          <w:rFonts w:eastAsiaTheme="minorEastAsia"/>
          <w:b/>
        </w:rPr>
        <w:t>dnostki kogen</w:t>
      </w:r>
      <w:r w:rsidR="00680107">
        <w:rPr>
          <w:rFonts w:eastAsiaTheme="minorEastAsia"/>
          <w:b/>
        </w:rPr>
        <w:t>eracji (pkt 10</w:t>
      </w:r>
      <w:r w:rsidR="005D4A51">
        <w:rPr>
          <w:rFonts w:eastAsiaTheme="minorEastAsia"/>
          <w:b/>
        </w:rPr>
        <w:t xml:space="preserve">, </w:t>
      </w:r>
      <w:r w:rsidR="00AA307A" w:rsidRPr="00E261BF">
        <w:rPr>
          <w:rFonts w:eastAsiaTheme="minorEastAsia"/>
          <w:b/>
        </w:rPr>
        <w:t>11, 14</w:t>
      </w:r>
      <w:r w:rsidR="005D4A51">
        <w:rPr>
          <w:rFonts w:eastAsiaTheme="minorEastAsia"/>
          <w:b/>
        </w:rPr>
        <w:t xml:space="preserve">, </w:t>
      </w:r>
      <w:r w:rsidR="00AA307A" w:rsidRPr="00E261BF">
        <w:rPr>
          <w:rFonts w:eastAsiaTheme="minorEastAsia"/>
          <w:b/>
        </w:rPr>
        <w:t>15, 43</w:t>
      </w:r>
      <w:r w:rsidR="005D4A51">
        <w:rPr>
          <w:rFonts w:eastAsiaTheme="minorEastAsia"/>
          <w:b/>
        </w:rPr>
        <w:t xml:space="preserve">, </w:t>
      </w:r>
      <w:r w:rsidR="00AA307A" w:rsidRPr="00E261BF">
        <w:rPr>
          <w:rFonts w:eastAsiaTheme="minorEastAsia"/>
          <w:b/>
        </w:rPr>
        <w:t>44, 46</w:t>
      </w:r>
      <w:r w:rsidR="005D4A51">
        <w:rPr>
          <w:rFonts w:eastAsiaTheme="minorEastAsia"/>
          <w:b/>
        </w:rPr>
        <w:t xml:space="preserve"> i </w:t>
      </w:r>
      <w:r w:rsidR="00AA307A" w:rsidRPr="00E261BF">
        <w:rPr>
          <w:rFonts w:eastAsiaTheme="minorEastAsia"/>
          <w:b/>
        </w:rPr>
        <w:t>47</w:t>
      </w:r>
      <w:r w:rsidRPr="00E261BF">
        <w:rPr>
          <w:rFonts w:eastAsiaTheme="minorEastAsia"/>
          <w:b/>
        </w:rPr>
        <w:t>)</w:t>
      </w:r>
    </w:p>
    <w:p w:rsidR="00FA6B40" w:rsidRPr="00E261BF" w:rsidRDefault="00FA6B40" w:rsidP="003835D3">
      <w:pPr>
        <w:pStyle w:val="Akapitzlist"/>
        <w:widowControl w:val="0"/>
        <w:autoSpaceDE w:val="0"/>
        <w:autoSpaceDN w:val="0"/>
        <w:adjustRightInd w:val="0"/>
        <w:spacing w:before="120" w:line="360" w:lineRule="auto"/>
        <w:ind w:left="0"/>
        <w:contextualSpacing w:val="0"/>
        <w:jc w:val="both"/>
        <w:rPr>
          <w:rFonts w:eastAsiaTheme="minorEastAsia"/>
        </w:rPr>
      </w:pPr>
      <w:r w:rsidRPr="00E261BF">
        <w:rPr>
          <w:rFonts w:eastAsiaTheme="minorEastAsia"/>
        </w:rPr>
        <w:t>Chociaż samo pojęcie jednostki kogeneracji zostało zaczerpnięte z ustawy – Prawo energetyczne, niemniej jednak projektodawca zdecydował się na wprowadzeniu dodatkowych definicji uszczegółowiających, które zostały wykorzystane przy określaniu mechanizmów wsparcia w odniesieniu do poszczególnych typów jednostek kogeneracji. Wyróżniono następujące typy jednostek:</w:t>
      </w:r>
    </w:p>
    <w:p w:rsidR="00FA6B40" w:rsidRPr="00E261BF" w:rsidRDefault="00FA6B40" w:rsidP="003835D3">
      <w:pPr>
        <w:pStyle w:val="Akapitzlist"/>
        <w:widowControl w:val="0"/>
        <w:numPr>
          <w:ilvl w:val="0"/>
          <w:numId w:val="11"/>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mała jednostka kogeneracji – dla wydzielenia najmniejszych jednostek kogeneracji (o mocy zainstalowanej elektrycznej mniejszej niż 1 MW), dla których wprowadzono odrębne zasady wsparcia,</w:t>
      </w:r>
    </w:p>
    <w:p w:rsidR="00FA6B40" w:rsidRPr="00E261BF" w:rsidRDefault="00FA6B40" w:rsidP="003835D3">
      <w:pPr>
        <w:pStyle w:val="Akapitzlist"/>
        <w:widowControl w:val="0"/>
        <w:numPr>
          <w:ilvl w:val="0"/>
          <w:numId w:val="11"/>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 xml:space="preserve">istniejąca jednostka kogeneracji i nowa jednostka kogeneracji – dla rozróżnienia jednostek, które mogą korzystać z różnych mechanizmów wsparcia. W tym obszarze punktem granicznym jest </w:t>
      </w:r>
      <w:r w:rsidRPr="00E261BF">
        <w:rPr>
          <w:rFonts w:eastAsia="Arial Unicode MS"/>
          <w:u w:color="000000"/>
          <w:bdr w:val="nil"/>
        </w:rPr>
        <w:t>data wytworzenia pi</w:t>
      </w:r>
      <w:r w:rsidR="004F6B6E">
        <w:rPr>
          <w:rFonts w:eastAsia="Arial Unicode MS"/>
          <w:u w:color="000000"/>
          <w:bdr w:val="nil"/>
        </w:rPr>
        <w:t>erwszej energii elektrycznej (w </w:t>
      </w:r>
      <w:r w:rsidRPr="00E261BF">
        <w:rPr>
          <w:rFonts w:eastAsia="Arial Unicode MS"/>
          <w:u w:color="000000"/>
          <w:bdr w:val="nil"/>
        </w:rPr>
        <w:t>zależności od wielkości jednostki i dedykowanej dla niej formy wsparcia – przed lub po ogłoszeniu wyników aukcji, lub przed lub po 1 stycznia 2019 r.).</w:t>
      </w:r>
      <w:r w:rsidR="00680107">
        <w:rPr>
          <w:rFonts w:eastAsia="Arial Unicode MS"/>
          <w:u w:color="000000"/>
          <w:bdr w:val="nil"/>
        </w:rPr>
        <w:t xml:space="preserve"> </w:t>
      </w:r>
      <w:r w:rsidRPr="00E261BF">
        <w:rPr>
          <w:rFonts w:eastAsia="Arial Unicode MS"/>
          <w:u w:color="000000"/>
          <w:bdr w:val="nil"/>
        </w:rPr>
        <w:t xml:space="preserve">Dodatkowo, w przypadku nowej jednostki kogeneracji wymogiem jest, </w:t>
      </w:r>
      <w:r w:rsidR="00E31BA8" w:rsidRPr="00E261BF">
        <w:rPr>
          <w:rFonts w:eastAsia="Arial Unicode MS"/>
          <w:u w:color="000000"/>
          <w:bdr w:val="nil"/>
        </w:rPr>
        <w:t xml:space="preserve">aby </w:t>
      </w:r>
      <w:r w:rsidR="005D4A51">
        <w:rPr>
          <w:rFonts w:eastAsia="Arial Unicode MS"/>
          <w:u w:color="000000"/>
          <w:bdr w:val="nil"/>
        </w:rPr>
        <w:t xml:space="preserve">w </w:t>
      </w:r>
      <w:r w:rsidR="00E31BA8" w:rsidRPr="00E261BF">
        <w:rPr>
          <w:rFonts w:eastAsia="Arial Unicode MS"/>
          <w:u w:color="000000"/>
          <w:bdr w:val="nil"/>
        </w:rPr>
        <w:t xml:space="preserve">trakcie budowy zostały zainstalowane wyłącznie urządzenia wyprodukowane </w:t>
      </w:r>
      <w:r w:rsidR="004F6B6E">
        <w:rPr>
          <w:rFonts w:eastAsia="Arial Unicode MS"/>
          <w:u w:color="000000"/>
          <w:bdr w:val="nil"/>
        </w:rPr>
        <w:t>nie później niż w </w:t>
      </w:r>
      <w:r w:rsidRPr="00E261BF">
        <w:rPr>
          <w:rFonts w:eastAsia="Arial Unicode MS"/>
          <w:u w:color="000000"/>
          <w:bdr w:val="nil"/>
        </w:rPr>
        <w:t xml:space="preserve">terminie 60 miesięcy, przed dniem wytworzenia po raz pierwszy energii </w:t>
      </w:r>
      <w:r w:rsidRPr="00E261BF">
        <w:rPr>
          <w:rFonts w:eastAsia="Arial Unicode MS"/>
          <w:u w:color="000000"/>
          <w:bdr w:val="nil"/>
        </w:rPr>
        <w:lastRenderedPageBreak/>
        <w:t>elektrycznej w tej jednostce,</w:t>
      </w:r>
    </w:p>
    <w:p w:rsidR="00FA6B40" w:rsidRPr="00E261BF" w:rsidRDefault="00FA6B40" w:rsidP="003835D3">
      <w:pPr>
        <w:pStyle w:val="Akapitzlist"/>
        <w:widowControl w:val="0"/>
        <w:numPr>
          <w:ilvl w:val="0"/>
          <w:numId w:val="11"/>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istniejąca mała jednostka kogeneracji i nowa mała jednostka kogeneracji – dla</w:t>
      </w:r>
      <w:r w:rsidR="00680107">
        <w:rPr>
          <w:rFonts w:eastAsiaTheme="minorEastAsia"/>
        </w:rPr>
        <w:t xml:space="preserve"> </w:t>
      </w:r>
      <w:r w:rsidRPr="00E261BF">
        <w:rPr>
          <w:rFonts w:eastAsiaTheme="minorEastAsia"/>
        </w:rPr>
        <w:t>rozróżnienia analogicznego, jak w przypadku jednostek, o których mowa w lit. b, niemniej jednak w odniesieniu do małych jednostek kogeneracji,</w:t>
      </w:r>
    </w:p>
    <w:p w:rsidR="00FA6B40" w:rsidRPr="00E261BF" w:rsidRDefault="00FA6B40" w:rsidP="003835D3">
      <w:pPr>
        <w:pStyle w:val="Akapitzlist"/>
        <w:widowControl w:val="0"/>
        <w:numPr>
          <w:ilvl w:val="0"/>
          <w:numId w:val="11"/>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zmodernizowana jednostka kogeneracji i znacznie zmodernizowana jednostka kogeneracji – rozróżnienia jednostek, które mogą korzystać z różnych mechanizmów wsparcia oraz w różnym wymiarze czasowym. W tym obszarze rozróżnieniem jest stopień poniesionych nakładów inwestycyjnych,</w:t>
      </w:r>
    </w:p>
    <w:p w:rsidR="00FA6B40" w:rsidRPr="00E261BF" w:rsidRDefault="00FA6B40" w:rsidP="003835D3">
      <w:pPr>
        <w:pStyle w:val="Akapitzlist"/>
        <w:widowControl w:val="0"/>
        <w:numPr>
          <w:ilvl w:val="0"/>
          <w:numId w:val="11"/>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zmodernizowana mała jednostka kogeneracji i znacznie zmodernizowana mała jednostka kogeneracji – dla rozróżnienia analogicznego, jak w przypadku jednostek, o których mowa w lit. d, niemniej jednak w odniesieniu do małych jednostek kogeneracji.</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Pojęcie modernizacji i z</w:t>
      </w:r>
      <w:r w:rsidR="00AA307A" w:rsidRPr="00E261BF">
        <w:rPr>
          <w:rFonts w:eastAsiaTheme="minorEastAsia"/>
          <w:b/>
        </w:rPr>
        <w:t>nacznej modernizacji (pkt 1</w:t>
      </w:r>
      <w:r w:rsidR="005D4A51">
        <w:rPr>
          <w:rFonts w:eastAsiaTheme="minorEastAsia"/>
          <w:b/>
        </w:rPr>
        <w:t>3</w:t>
      </w:r>
      <w:r w:rsidR="00AA307A" w:rsidRPr="00E261BF">
        <w:rPr>
          <w:rFonts w:eastAsiaTheme="minorEastAsia"/>
          <w:b/>
        </w:rPr>
        <w:t>, 45</w:t>
      </w:r>
      <w:r w:rsidRPr="00E261BF">
        <w:rPr>
          <w:rFonts w:eastAsiaTheme="minorEastAsia"/>
          <w:b/>
        </w:rPr>
        <w:t>)</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Wprowadzone pojęcia modernizacji i znacznej modernizacji mają wskazać zakres przedsięwzięć skutkujący przypisaniem jednostki kogeneracji jako zmodernizowanej lub</w:t>
      </w:r>
      <w:r w:rsidR="00680107">
        <w:rPr>
          <w:rFonts w:eastAsiaTheme="minorEastAsia"/>
        </w:rPr>
        <w:t xml:space="preserve"> </w:t>
      </w:r>
      <w:r w:rsidRPr="00E261BF">
        <w:rPr>
          <w:rFonts w:eastAsiaTheme="minorEastAsia"/>
        </w:rPr>
        <w:t>znacznie zmodernizowanej, co będzie miało wpł</w:t>
      </w:r>
      <w:r w:rsidR="004F6B6E">
        <w:rPr>
          <w:rFonts w:eastAsiaTheme="minorEastAsia"/>
        </w:rPr>
        <w:t>yw na możliwość ubiegania się o </w:t>
      </w:r>
      <w:r w:rsidRPr="00E261BF">
        <w:rPr>
          <w:rFonts w:eastAsiaTheme="minorEastAsia"/>
        </w:rPr>
        <w:t>wsparcie w ramach właściwego instrumentu. Elementami niezbędnymi do zakwalifikowania podejmowanych czynności, jako modernizacji lub znacznej modernizacji są:</w:t>
      </w:r>
    </w:p>
    <w:p w:rsidR="00E31BA8" w:rsidRPr="00061B44" w:rsidRDefault="00E31BA8" w:rsidP="003835D3">
      <w:pPr>
        <w:pStyle w:val="Akapitzlist"/>
        <w:widowControl w:val="0"/>
        <w:numPr>
          <w:ilvl w:val="0"/>
          <w:numId w:val="12"/>
        </w:numPr>
        <w:autoSpaceDE w:val="0"/>
        <w:autoSpaceDN w:val="0"/>
        <w:adjustRightInd w:val="0"/>
        <w:spacing w:line="360" w:lineRule="auto"/>
        <w:ind w:left="284" w:hanging="284"/>
        <w:contextualSpacing w:val="0"/>
        <w:jc w:val="both"/>
        <w:rPr>
          <w:rFonts w:eastAsiaTheme="minorEastAsia"/>
        </w:rPr>
      </w:pPr>
      <w:r w:rsidRPr="007F6E15">
        <w:t>odtworzenie stanu pierwotnego lub zmiana parametrów użytkowych lub technicznych jednostki kogeneracji,</w:t>
      </w:r>
      <w:r w:rsidRPr="00061B44">
        <w:rPr>
          <w:rFonts w:eastAsia="Arial Unicode MS"/>
          <w:u w:color="000000"/>
          <w:bdr w:val="nil"/>
        </w:rPr>
        <w:t xml:space="preserve"> </w:t>
      </w:r>
    </w:p>
    <w:p w:rsidR="00FA6B40" w:rsidRPr="00E261BF" w:rsidRDefault="00FA6B40" w:rsidP="003835D3">
      <w:pPr>
        <w:pStyle w:val="Akapitzlist"/>
        <w:widowControl w:val="0"/>
        <w:numPr>
          <w:ilvl w:val="0"/>
          <w:numId w:val="12"/>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wykorzystanie urządzeń wyprodukowanych nie później niż w terminie 60 miesięcy, przed dniem wytworzenia po raz pierwszy energii elektrycznej w zmodernizowanej jednostce kogeneracji,</w:t>
      </w:r>
    </w:p>
    <w:p w:rsidR="00FA6B40" w:rsidRPr="00E261BF" w:rsidRDefault="00FA6B40" w:rsidP="003835D3">
      <w:pPr>
        <w:pStyle w:val="Akapitzlist"/>
        <w:widowControl w:val="0"/>
        <w:numPr>
          <w:ilvl w:val="0"/>
          <w:numId w:val="12"/>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poniesienie kosztów inwestycyjnych nie mniejszych niż 25%, ale nie większych niż 50% (w przypadku modernizacji) lub powyżej 50% (w przypadku znacznej modernizacji), jak na nową porównywalną jednostkę kogeneracji,</w:t>
      </w:r>
    </w:p>
    <w:p w:rsidR="00FA6B40" w:rsidRPr="00E261BF" w:rsidRDefault="00FA6B40" w:rsidP="003835D3">
      <w:pPr>
        <w:pStyle w:val="Akapitzlist"/>
        <w:widowControl w:val="0"/>
        <w:numPr>
          <w:ilvl w:val="0"/>
          <w:numId w:val="12"/>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podjęcie decyzji inwestycyjnej nie wcześniej niż 1 stycznia 2019 r.</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 xml:space="preserve">Pojęcie paliw </w:t>
      </w:r>
      <w:r w:rsidR="00E31BA8" w:rsidRPr="00E261BF">
        <w:rPr>
          <w:rFonts w:eastAsiaTheme="minorEastAsia"/>
          <w:b/>
        </w:rPr>
        <w:t>gazowych i stałych (pkt 23 i 24)</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Wprowadzenie przedmiotowych pojęć ma na celu rozróżnienie typów jednostek kogeneracji, które w przypadku wykorzystywania różnych paliw maja różne koszty operacyjne, a tym samym wymagają innego poziomu wsparcia.</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Theme="minorEastAsia"/>
        </w:rPr>
        <w:lastRenderedPageBreak/>
        <w:t xml:space="preserve">Dodatkowo, w odniesieniu do definicji paliw gazowych należy zauważyć, iż zostało ono zawężone wobec definicji paliw gazowych określonych w ustawie – Prawo energetyczne poprzez wyłączenie </w:t>
      </w:r>
      <w:r w:rsidRPr="00E261BF">
        <w:rPr>
          <w:rFonts w:eastAsia="Arial Unicode MS"/>
          <w:u w:color="000000"/>
          <w:bdr w:val="nil"/>
        </w:rPr>
        <w:t>gazów z procesów zgazowania paliw stałych, gazów systemowych, gazów z odmetanowania kopalń, gazów koksowniczych, innych gazów odpadowych z procesów technologicznych, z uwagi na różne koszty tych paliw.</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Pojęcia premii gwarantowanej, premii gwarantowanej indywidualnej, premii kogeneracyjnej i premii kogenerac</w:t>
      </w:r>
      <w:r w:rsidR="00E31BA8" w:rsidRPr="00E261BF">
        <w:rPr>
          <w:rFonts w:eastAsiaTheme="minorEastAsia"/>
          <w:b/>
        </w:rPr>
        <w:t>yjnej indywidualnej (pkt 26</w:t>
      </w:r>
      <w:r w:rsidR="00680107">
        <w:rPr>
          <w:rFonts w:eastAsiaTheme="minorEastAsia"/>
          <w:b/>
        </w:rPr>
        <w:t>–</w:t>
      </w:r>
      <w:r w:rsidR="00E31BA8" w:rsidRPr="00E261BF">
        <w:rPr>
          <w:rFonts w:eastAsiaTheme="minorEastAsia"/>
          <w:b/>
        </w:rPr>
        <w:t>29</w:t>
      </w:r>
      <w:r w:rsidRPr="00E261BF">
        <w:rPr>
          <w:rFonts w:eastAsiaTheme="minorEastAsia"/>
          <w:b/>
        </w:rPr>
        <w:t>)</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Wprowadzenie definicji ww. premii ma na celu zwiększenie przejrzystości nowego systemu wsparcia. Odmienne zdefiniowanie rodzaju wsparcia w zależności od wielkości jednostki kogeneracji, rodzaju paliwa przez nią wykorzystywanego czy też struktury wiekowej, pozwala na lepsze usystematyzowanie przepisów niniejszej ustawy, a tym samym poprawia jej czytelność.</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Sieć ciepłownicza i publiczna sieć ciepłownicza (pkt 3</w:t>
      </w:r>
      <w:r w:rsidR="00E31BA8" w:rsidRPr="00E261BF">
        <w:rPr>
          <w:rFonts w:eastAsiaTheme="minorEastAsia"/>
          <w:b/>
        </w:rPr>
        <w:t>2 i 35</w:t>
      </w:r>
      <w:r w:rsidRPr="00E261BF">
        <w:rPr>
          <w:rFonts w:eastAsiaTheme="minorEastAsia"/>
          <w:b/>
        </w:rPr>
        <w:t>)</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Konieczność wprowadzenia ww. definicji wynika z faktu, iż kluczowym elementem mechanizmu wsparcia określonego niniejszą ustawą jest wprowadzenie do publicznej sieci ciepłowniczej określonego udziału ciepła użytkowego w kogeneracji.</w:t>
      </w:r>
    </w:p>
    <w:p w:rsidR="00FA6B40" w:rsidRPr="00E261BF" w:rsidRDefault="00BC23D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Pojęcie wytwórcy (pkt 4</w:t>
      </w:r>
      <w:r w:rsidR="005D4A51">
        <w:rPr>
          <w:rFonts w:eastAsiaTheme="minorEastAsia"/>
          <w:b/>
        </w:rPr>
        <w:t>2</w:t>
      </w:r>
      <w:r w:rsidR="00FA6B40" w:rsidRPr="00E261BF">
        <w:rPr>
          <w:rFonts w:eastAsiaTheme="minorEastAsia"/>
          <w:b/>
        </w:rPr>
        <w:t>)</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związku z faktem, iż to wytwórca energii elektrycznej z wysokosprawnej kogeneracji jest podmiotem otrzymującym wsparcie, właściwe jego zdefiniowanie jest kluczowe z punktu widzenia przepisów niniejszej ustawy.</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Pojęcie mocy zai</w:t>
      </w:r>
      <w:r w:rsidR="00BC23D0" w:rsidRPr="00E261BF">
        <w:rPr>
          <w:rFonts w:eastAsiaTheme="minorEastAsia"/>
          <w:b/>
        </w:rPr>
        <w:t>nstalowanej elektrycznej (pkt 12</w:t>
      </w:r>
      <w:r w:rsidRPr="00E261BF">
        <w:rPr>
          <w:rFonts w:eastAsiaTheme="minorEastAsia"/>
          <w:b/>
        </w:rPr>
        <w:t>)</w:t>
      </w:r>
    </w:p>
    <w:p w:rsidR="00FA6B40" w:rsidRPr="00E261BF" w:rsidRDefault="00FA6B40" w:rsidP="003835D3">
      <w:pPr>
        <w:widowControl w:val="0"/>
        <w:autoSpaceDE w:val="0"/>
        <w:autoSpaceDN w:val="0"/>
        <w:adjustRightInd w:val="0"/>
        <w:spacing w:before="120" w:line="360" w:lineRule="auto"/>
        <w:jc w:val="both"/>
        <w:rPr>
          <w:rFonts w:eastAsiaTheme="minorEastAsia"/>
          <w:b/>
        </w:rPr>
      </w:pPr>
      <w:r w:rsidRPr="00E261BF">
        <w:rPr>
          <w:rFonts w:eastAsiaTheme="minorEastAsia"/>
        </w:rPr>
        <w:t>Biorąc pod uwagę fakt, iż możliwość ubiegania się w odniesieniu do danej jednostki kogeneracji o dopuszczenie do udziału w danym modelu systemu wsparcia jest uzależniona m.in. od wielkości mocy zainstalowanej elektrycznej tej jednostki, niezbędne jest jej zdefiniowanie z punktu widzenia przepisów niniejszej ustawy.</w:t>
      </w:r>
    </w:p>
    <w:p w:rsidR="00FA6B40" w:rsidRPr="00E261BF" w:rsidRDefault="00FA6B40" w:rsidP="003835D3">
      <w:pPr>
        <w:pStyle w:val="Akapitzlist"/>
        <w:widowControl w:val="0"/>
        <w:numPr>
          <w:ilvl w:val="0"/>
          <w:numId w:val="10"/>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Pojęcie płatni</w:t>
      </w:r>
      <w:r w:rsidR="00BC23D0" w:rsidRPr="00E261BF">
        <w:rPr>
          <w:rFonts w:eastAsiaTheme="minorEastAsia"/>
          <w:b/>
        </w:rPr>
        <w:t>ka opłaty kogeneracyjnej (pkt 25</w:t>
      </w:r>
      <w:r w:rsidRPr="00E261BF">
        <w:rPr>
          <w:rFonts w:eastAsiaTheme="minorEastAsia"/>
          <w:b/>
        </w:rPr>
        <w:t>)</w:t>
      </w:r>
    </w:p>
    <w:p w:rsidR="00FA6B40"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Niezbędne jest wprowadzenie do projektu ustawy definicji płatnika opłaty kogeneracyjnej, zajmującego się obliczaniem i pobieraniem opłaty kogeneracyjnej od</w:t>
      </w:r>
      <w:r w:rsidR="00680107">
        <w:rPr>
          <w:rFonts w:eastAsiaTheme="minorEastAsia"/>
        </w:rPr>
        <w:t xml:space="preserve"> </w:t>
      </w:r>
      <w:r w:rsidRPr="00E261BF">
        <w:rPr>
          <w:rFonts w:eastAsiaTheme="minorEastAsia"/>
        </w:rPr>
        <w:t>podmiotów nieprzyłączonych bezpośrednio do sieci przesyłowej.</w:t>
      </w:r>
    </w:p>
    <w:p w:rsidR="005D4A51" w:rsidRPr="00E261BF" w:rsidRDefault="005D4A51" w:rsidP="005D4A51">
      <w:pPr>
        <w:widowControl w:val="0"/>
        <w:autoSpaceDE w:val="0"/>
        <w:autoSpaceDN w:val="0"/>
        <w:adjustRightInd w:val="0"/>
        <w:spacing w:before="120" w:line="360" w:lineRule="auto"/>
        <w:jc w:val="both"/>
        <w:rPr>
          <w:rFonts w:eastAsiaTheme="minorEastAsia"/>
        </w:rPr>
      </w:pPr>
      <w:r w:rsidRPr="00E261BF">
        <w:rPr>
          <w:rFonts w:eastAsiaTheme="minorEastAsia"/>
        </w:rPr>
        <w:t>W art. 3 określono tryb postępowania przed Prezesem URE.</w:t>
      </w:r>
    </w:p>
    <w:p w:rsidR="00FA6B40" w:rsidRPr="00E261BF" w:rsidRDefault="00FA6B40" w:rsidP="003835D3">
      <w:pPr>
        <w:widowControl w:val="0"/>
        <w:autoSpaceDE w:val="0"/>
        <w:autoSpaceDN w:val="0"/>
        <w:adjustRightInd w:val="0"/>
        <w:spacing w:before="120" w:line="360" w:lineRule="auto"/>
        <w:jc w:val="both"/>
        <w:rPr>
          <w:rFonts w:eastAsiaTheme="minorEastAsia"/>
          <w:b/>
        </w:rPr>
      </w:pPr>
      <w:r w:rsidRPr="00E261BF">
        <w:rPr>
          <w:rFonts w:eastAsiaTheme="minorEastAsia"/>
          <w:b/>
        </w:rPr>
        <w:lastRenderedPageBreak/>
        <w:t>Rozdział 2 –</w:t>
      </w:r>
      <w:r w:rsidR="005D4A51" w:rsidRPr="00E261BF">
        <w:rPr>
          <w:rFonts w:eastAsiaTheme="minorEastAsia"/>
          <w:b/>
        </w:rPr>
        <w:t xml:space="preserve">Zasady </w:t>
      </w:r>
      <w:r w:rsidRPr="00E261BF">
        <w:rPr>
          <w:rFonts w:eastAsiaTheme="minorEastAsia"/>
          <w:b/>
        </w:rPr>
        <w:t xml:space="preserve">uczestnictwa w systemie wsparcia dla wytwórców energii elektrycznej w wysokosprawnej kogeneracji – art. </w:t>
      </w:r>
      <w:r w:rsidR="005D4A51">
        <w:rPr>
          <w:rFonts w:eastAsiaTheme="minorEastAsia"/>
          <w:b/>
        </w:rPr>
        <w:t>4</w:t>
      </w:r>
      <w:r w:rsidRPr="00E261BF">
        <w:rPr>
          <w:rFonts w:eastAsiaTheme="minorEastAsia"/>
          <w:b/>
        </w:rPr>
        <w:t>–1</w:t>
      </w:r>
      <w:r w:rsidR="005D4A51">
        <w:rPr>
          <w:rFonts w:eastAsiaTheme="minorEastAsia"/>
          <w:b/>
        </w:rPr>
        <w:t>4</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rozdziale drugim zdefiniowane zostały podstawowe zasady wsparcia oraz podmioty, które mogą się o to wsparcie ubiegać</w:t>
      </w:r>
      <w:r w:rsidR="00BC23D0" w:rsidRPr="00E261BF">
        <w:rPr>
          <w:rFonts w:eastAsiaTheme="minorEastAsia"/>
        </w:rPr>
        <w:t>.</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Theme="minorEastAsia"/>
        </w:rPr>
        <w:t xml:space="preserve">W art. </w:t>
      </w:r>
      <w:r w:rsidR="00BC23D0" w:rsidRPr="00E261BF">
        <w:rPr>
          <w:rFonts w:eastAsiaTheme="minorEastAsia"/>
        </w:rPr>
        <w:t>4</w:t>
      </w:r>
      <w:r w:rsidRPr="00E261BF">
        <w:rPr>
          <w:rFonts w:eastAsiaTheme="minorEastAsia"/>
        </w:rPr>
        <w:t xml:space="preserve"> wskazano, że z</w:t>
      </w:r>
      <w:r w:rsidRPr="00E261BF">
        <w:rPr>
          <w:rFonts w:eastAsia="Arial Unicode MS"/>
          <w:u w:color="000000"/>
          <w:bdr w:val="nil"/>
        </w:rPr>
        <w:t>a energię elektryczną z wysokosprawnej kogeneracji wytworzoną w nowej jednostce kogeneracji lub znacznie zmodernizowanej jednostce kogeneracji o mocy zainstalowanej elektrycznej nie mniejszej niż 1 MW i mniejszej niż 50</w:t>
      </w:r>
      <w:r w:rsidR="00680107">
        <w:rPr>
          <w:rFonts w:eastAsia="Arial Unicode MS"/>
          <w:u w:color="000000"/>
          <w:bdr w:val="nil"/>
        </w:rPr>
        <w:t xml:space="preserve"> </w:t>
      </w:r>
      <w:r w:rsidRPr="00E261BF">
        <w:rPr>
          <w:rFonts w:eastAsia="Arial Unicode MS"/>
          <w:u w:color="000000"/>
          <w:bdr w:val="nil"/>
        </w:rPr>
        <w:t>MW wytwórca tej energii może uzyskać wsp</w:t>
      </w:r>
      <w:r w:rsidR="004F6B6E">
        <w:rPr>
          <w:rFonts w:eastAsia="Arial Unicode MS"/>
          <w:u w:color="000000"/>
          <w:bdr w:val="nil"/>
        </w:rPr>
        <w:t>arcie na zasadach określonych w </w:t>
      </w:r>
      <w:r w:rsidR="00190547">
        <w:rPr>
          <w:rFonts w:eastAsia="Arial Unicode MS"/>
          <w:u w:color="000000"/>
          <w:bdr w:val="nil"/>
        </w:rPr>
        <w:t>r</w:t>
      </w:r>
      <w:r w:rsidRPr="00E261BF">
        <w:rPr>
          <w:rFonts w:eastAsia="Arial Unicode MS"/>
          <w:u w:color="000000"/>
          <w:bdr w:val="nil"/>
        </w:rPr>
        <w:t>ozdziale 3 ustawy, tj. w postaci premii kogeneracyjnej. Jednocześnie wskazano, że okres wsparcia w przypadku tych instalacji wynosi 15 lat. Dodatkowo zdefiniowano pojęcie zakończenia znacznej modernizacji wskazując, iż jest to dzień uzyskania pozwolenia na użytkowanie znacznie zmodernizowanej jednostki kogeneracji lub pozwolenia na eksploatację urządzenia technicznego, jeżeli takie pozwolenie jest wymagane.</w:t>
      </w:r>
    </w:p>
    <w:p w:rsidR="00FA6B40" w:rsidRPr="00E261BF" w:rsidRDefault="00BC23D0" w:rsidP="003835D3">
      <w:pPr>
        <w:pBdr>
          <w:top w:val="nil"/>
          <w:left w:val="nil"/>
          <w:bottom w:val="nil"/>
          <w:right w:val="nil"/>
          <w:between w:val="nil"/>
          <w:bar w:val="nil"/>
        </w:pBdr>
        <w:spacing w:before="120" w:line="360" w:lineRule="auto"/>
        <w:jc w:val="both"/>
        <w:rPr>
          <w:rFonts w:eastAsia="Arial Unicode MS"/>
          <w:u w:color="000000"/>
          <w:bdr w:val="nil"/>
        </w:rPr>
      </w:pPr>
      <w:r w:rsidRPr="00E261BF">
        <w:rPr>
          <w:rFonts w:eastAsia="Arial Unicode MS"/>
          <w:u w:color="000000"/>
          <w:bdr w:val="nil"/>
        </w:rPr>
        <w:t>W art. 5</w:t>
      </w:r>
      <w:r w:rsidR="00FA6B40" w:rsidRPr="00E261BF">
        <w:rPr>
          <w:rFonts w:eastAsia="Arial Unicode MS"/>
          <w:u w:color="000000"/>
          <w:bdr w:val="nil"/>
        </w:rPr>
        <w:t xml:space="preserve"> wskazano, że za energię elektryczną wytworzoną w wysokosprawnej kogeneracji w:</w:t>
      </w:r>
    </w:p>
    <w:p w:rsidR="00FA6B40" w:rsidRPr="00E261BF" w:rsidRDefault="00FA6B40" w:rsidP="003835D3">
      <w:pPr>
        <w:numPr>
          <w:ilvl w:val="0"/>
          <w:numId w:val="13"/>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zmodernizowanej jednostce kogeneracji o mocy zainstalowanej elektrycznej nie mniejszej niż 1 MW i mniejszej niż 50 MW,</w:t>
      </w:r>
    </w:p>
    <w:p w:rsidR="00FA6B40" w:rsidRPr="00E261BF" w:rsidRDefault="00FA6B40" w:rsidP="003835D3">
      <w:pPr>
        <w:numPr>
          <w:ilvl w:val="0"/>
          <w:numId w:val="13"/>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istniejącej jednostce kogeneracji o mocy zainstalowanej elektrycznej nie mniejszej niż 1 MW i mniejszej niż 50 MW,</w:t>
      </w:r>
    </w:p>
    <w:p w:rsidR="00FA6B40" w:rsidRPr="00E261BF" w:rsidRDefault="00FA6B40" w:rsidP="003835D3">
      <w:pPr>
        <w:numPr>
          <w:ilvl w:val="0"/>
          <w:numId w:val="13"/>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 xml:space="preserve">nowej małej jednostce kogeneracji, znacznie zmodernizowanej </w:t>
      </w:r>
      <w:r w:rsidR="004227B1" w:rsidRPr="00E261BF">
        <w:rPr>
          <w:rFonts w:eastAsia="Arial Unicode MS"/>
          <w:u w:color="000000"/>
          <w:bdr w:val="nil"/>
        </w:rPr>
        <w:t xml:space="preserve">małej jednostce kogeneracji, </w:t>
      </w:r>
      <w:r w:rsidRPr="00E261BF">
        <w:rPr>
          <w:rFonts w:eastAsia="Arial Unicode MS"/>
          <w:u w:color="000000"/>
          <w:bdr w:val="nil"/>
        </w:rPr>
        <w:t>istnieją</w:t>
      </w:r>
      <w:r w:rsidR="004227B1" w:rsidRPr="00E261BF">
        <w:rPr>
          <w:rFonts w:eastAsia="Arial Unicode MS"/>
          <w:u w:color="000000"/>
          <w:bdr w:val="nil"/>
        </w:rPr>
        <w:t xml:space="preserve">cej małej jednostce kogeneracji lub </w:t>
      </w:r>
      <w:r w:rsidRPr="00E261BF">
        <w:rPr>
          <w:rFonts w:eastAsia="Arial Unicode MS"/>
          <w:u w:color="000000"/>
          <w:bdr w:val="nil"/>
        </w:rPr>
        <w:t>zmodernizowanej małej jednostce kogeneracji</w:t>
      </w:r>
      <w:r w:rsidR="004227B1" w:rsidRPr="00E261BF">
        <w:rPr>
          <w:rFonts w:eastAsia="Arial Unicode MS"/>
          <w:u w:color="000000"/>
          <w:bdr w:val="nil"/>
        </w:rPr>
        <w:t>, wchodzących w skład źródła o łącznej mocy zainstalowanej elektrycznej mniejszej niż 1 MW, z wyłączeniem jednostek opalanych wyłącznie paliwem, o którym mowa w art. 3 pkt 3b lit. j i k ustawy z dnia 10 kwietnia 1997 r. – Prawo energetyczne</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wytwórca tej energii może uzyskać wsparcie na zasadach określonych w </w:t>
      </w:r>
      <w:r w:rsidR="00190547">
        <w:rPr>
          <w:rFonts w:eastAsia="Arial Unicode MS"/>
          <w:u w:color="000000"/>
          <w:bdr w:val="nil"/>
        </w:rPr>
        <w:t>r</w:t>
      </w:r>
      <w:r w:rsidRPr="00E261BF">
        <w:rPr>
          <w:rFonts w:eastAsia="Arial Unicode MS"/>
          <w:u w:color="000000"/>
          <w:bdr w:val="nil"/>
        </w:rPr>
        <w:t>ozdziale 4 ustawy, tj. w postaci premii gwarantowanej.</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Jednocześnie wskazano, że okres wsparcia w tych instalacji wynosi odpowiednio 5, 6 lub 7 lat w przypadku modernizacji (w zależności od poziomu poniesionych nakładów inwestycyjnych jak na nową jednostkę) lub 15 lat w zależności od rodzaju jednostki.</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Dodatkowo zdefiniowano pojęcie zakończenia modernizacji wskazując, analogicznie </w:t>
      </w:r>
      <w:r w:rsidRPr="00E261BF">
        <w:rPr>
          <w:rFonts w:eastAsia="Arial Unicode MS"/>
          <w:u w:color="000000"/>
          <w:bdr w:val="nil"/>
        </w:rPr>
        <w:lastRenderedPageBreak/>
        <w:t>jak w przypadku zakończenia znacznej modernizacji.</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 art. </w:t>
      </w:r>
      <w:r w:rsidR="00A51233" w:rsidRPr="00E261BF">
        <w:rPr>
          <w:rFonts w:eastAsia="Arial Unicode MS"/>
          <w:u w:color="000000"/>
          <w:bdr w:val="nil"/>
        </w:rPr>
        <w:t>6</w:t>
      </w:r>
      <w:r w:rsidRPr="00E261BF">
        <w:rPr>
          <w:rFonts w:eastAsia="Arial Unicode MS"/>
          <w:u w:color="000000"/>
          <w:bdr w:val="nil"/>
        </w:rPr>
        <w:t xml:space="preserve"> wskazano, że za energię elektryczną wytworzoną z wysokosprawnej kogeneracji w:</w:t>
      </w:r>
    </w:p>
    <w:p w:rsidR="00FA6B40" w:rsidRPr="00E261BF" w:rsidRDefault="00FA6B40" w:rsidP="003835D3">
      <w:pPr>
        <w:pStyle w:val="Akapitzlist"/>
        <w:widowControl w:val="0"/>
        <w:numPr>
          <w:ilvl w:val="0"/>
          <w:numId w:val="14"/>
        </w:numPr>
        <w:autoSpaceDE w:val="0"/>
        <w:autoSpaceDN w:val="0"/>
        <w:adjustRightInd w:val="0"/>
        <w:spacing w:line="360" w:lineRule="auto"/>
        <w:ind w:left="284" w:hanging="284"/>
        <w:contextualSpacing w:val="0"/>
        <w:jc w:val="both"/>
        <w:rPr>
          <w:rFonts w:eastAsia="Arial Unicode MS"/>
          <w:u w:color="000000"/>
          <w:bdr w:val="nil"/>
        </w:rPr>
      </w:pPr>
      <w:r w:rsidRPr="00E261BF">
        <w:rPr>
          <w:rFonts w:eastAsia="Arial Unicode MS"/>
          <w:u w:color="000000"/>
          <w:bdr w:val="nil"/>
        </w:rPr>
        <w:t>nowej jednostce kogeneracji o mocy zainstalowanej elektrycznej nie mniejszej niż 50</w:t>
      </w:r>
      <w:r w:rsidR="004F6B6E">
        <w:rPr>
          <w:rFonts w:eastAsia="Arial Unicode MS"/>
          <w:u w:color="000000"/>
          <w:bdr w:val="nil"/>
        </w:rPr>
        <w:t> </w:t>
      </w:r>
      <w:r w:rsidRPr="00E261BF">
        <w:rPr>
          <w:rFonts w:eastAsia="Arial Unicode MS"/>
          <w:u w:color="000000"/>
          <w:bdr w:val="nil"/>
        </w:rPr>
        <w:t>MW, znacznie zmodernizowanej jednostce kogeneracji o mocy zainstalowanej elektrycznej nie mniejszej niż 50 MW lub istniejącej jednostce kogeneracji o mocy zainstalowanej elektrycznej nie mniejszej niż 50 MW,</w:t>
      </w:r>
    </w:p>
    <w:p w:rsidR="00FA6B40" w:rsidRPr="00E261BF" w:rsidRDefault="00FA6B40" w:rsidP="003835D3">
      <w:pPr>
        <w:pStyle w:val="Akapitzlist"/>
        <w:widowControl w:val="0"/>
        <w:numPr>
          <w:ilvl w:val="0"/>
          <w:numId w:val="14"/>
        </w:numPr>
        <w:autoSpaceDE w:val="0"/>
        <w:autoSpaceDN w:val="0"/>
        <w:adjustRightInd w:val="0"/>
        <w:spacing w:line="360" w:lineRule="auto"/>
        <w:ind w:left="284" w:hanging="284"/>
        <w:contextualSpacing w:val="0"/>
        <w:jc w:val="both"/>
        <w:rPr>
          <w:rFonts w:eastAsia="Arial Unicode MS"/>
          <w:u w:color="000000"/>
          <w:bdr w:val="nil"/>
        </w:rPr>
      </w:pPr>
      <w:r w:rsidRPr="00E261BF">
        <w:rPr>
          <w:rFonts w:eastAsia="Arial Unicode MS"/>
          <w:u w:color="000000"/>
          <w:bdr w:val="nil"/>
        </w:rPr>
        <w:t>zmodernizowanej jednostce kogeneracji o mocy zainstalowanej elektrycznej nie mniejszej niż 50 MW</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wytwórca tej energii może uzyskać wsparcie na zasadach określonych w </w:t>
      </w:r>
      <w:r w:rsidR="00190547">
        <w:rPr>
          <w:rFonts w:eastAsia="Arial Unicode MS"/>
          <w:u w:color="000000"/>
          <w:bdr w:val="nil"/>
        </w:rPr>
        <w:t>r</w:t>
      </w:r>
      <w:r w:rsidRPr="00E261BF">
        <w:rPr>
          <w:rFonts w:eastAsia="Arial Unicode MS"/>
          <w:u w:color="000000"/>
          <w:bdr w:val="nil"/>
        </w:rPr>
        <w:t>ozdziale 5 ustawy, tj. w postaci premii gwarantowanej indywidualnej lub premii kogeneracyjnej indywidualnej.</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Jednocześnie wskazano, że okres wsparcia w tych instalacji wynosi odpowiednio 5, 6 lub 7 lat w przypadku modernizacji (w zależności od poziomu poniesionych nakładów inwestycyjnych jak na nową jednostkę) lub 15 lat w zależności od rodzaju jednostki.</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 art. </w:t>
      </w:r>
      <w:r w:rsidR="00A51233" w:rsidRPr="00E261BF">
        <w:rPr>
          <w:rFonts w:eastAsia="Arial Unicode MS"/>
          <w:u w:color="000000"/>
          <w:bdr w:val="nil"/>
        </w:rPr>
        <w:t>7</w:t>
      </w:r>
      <w:r w:rsidRPr="00E261BF">
        <w:rPr>
          <w:rFonts w:eastAsia="Arial Unicode MS"/>
          <w:u w:color="000000"/>
          <w:bdr w:val="nil"/>
        </w:rPr>
        <w:t xml:space="preserve"> wskazano iż w odniesieniu do jednostek kogeneracji o mocy zainstalowanej elektrycznej nie mniejszej niż 300 MW uzyskanie wsparcia jest możliwe po spełnieniu dodatkowego wymogu, tj. musi zostać wydana przez Komisję Europejską na podstawie art.</w:t>
      </w:r>
      <w:r w:rsidR="00680107">
        <w:rPr>
          <w:rFonts w:eastAsia="Arial Unicode MS"/>
          <w:u w:color="000000"/>
          <w:bdr w:val="nil"/>
        </w:rPr>
        <w:t xml:space="preserve"> </w:t>
      </w:r>
      <w:r w:rsidRPr="00E261BF">
        <w:rPr>
          <w:rFonts w:eastAsia="Arial Unicode MS"/>
          <w:u w:color="000000"/>
          <w:bdr w:val="nil"/>
        </w:rPr>
        <w:t>108 ust. 3 Traktatu o funkcjonowaniu Unii Europejskiej decyzja o zgodności tego wsparcia z rynkiem wewnętrznym.</w:t>
      </w:r>
    </w:p>
    <w:p w:rsidR="00A51233" w:rsidRPr="00E261BF" w:rsidRDefault="00A51233"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8 określono, w jaki sposób oblicza się wysokość wsparcia w przypadku systemów wsparcia, o których mowa w rozdziałach 4 i 5</w:t>
      </w:r>
      <w:r w:rsidR="00190547">
        <w:rPr>
          <w:rFonts w:eastAsia="Arial Unicode MS"/>
          <w:u w:color="000000"/>
          <w:bdr w:val="nil"/>
        </w:rPr>
        <w:t>,</w:t>
      </w:r>
      <w:r w:rsidRPr="00E261BF">
        <w:rPr>
          <w:rFonts w:eastAsia="Arial Unicode MS"/>
          <w:u w:color="000000"/>
          <w:bdr w:val="nil"/>
        </w:rPr>
        <w:t xml:space="preserve"> w przypadku, gdy jednostka kogeneracji zużywa więcej niż jeden rodzaj paliwa</w:t>
      </w:r>
      <w:r w:rsidR="00104F2E" w:rsidRPr="00E261BF">
        <w:rPr>
          <w:rFonts w:eastAsia="Arial Unicode MS"/>
          <w:u w:color="000000"/>
          <w:bdr w:val="nil"/>
        </w:rPr>
        <w:t>.</w:t>
      </w:r>
    </w:p>
    <w:p w:rsidR="00104F2E" w:rsidRPr="00E261BF" w:rsidRDefault="00A51233"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9 uregulowano warunki udziału w systemie wsparcia w odniesieniu do jednostek, w których pierwsza energia elektryczna została wytworzona po dniu 31 grudnia 2018 r., a przed dniem rozstrzygnięcia aukcji albo naboru.</w:t>
      </w:r>
    </w:p>
    <w:p w:rsidR="00FA6B40" w:rsidRPr="00E261BF" w:rsidRDefault="00A51233"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10</w:t>
      </w:r>
      <w:r w:rsidR="00FA6B40" w:rsidRPr="00E261BF">
        <w:rPr>
          <w:rFonts w:eastAsia="Arial Unicode MS"/>
          <w:u w:color="000000"/>
          <w:bdr w:val="nil"/>
        </w:rPr>
        <w:t xml:space="preserve"> </w:t>
      </w:r>
      <w:r w:rsidRPr="00E261BF">
        <w:rPr>
          <w:rFonts w:eastAsia="Arial Unicode MS"/>
          <w:u w:color="000000"/>
          <w:bdr w:val="nil"/>
        </w:rPr>
        <w:t xml:space="preserve">i </w:t>
      </w:r>
      <w:r w:rsidR="00190547">
        <w:rPr>
          <w:rFonts w:eastAsia="Arial Unicode MS"/>
          <w:u w:color="000000"/>
          <w:bdr w:val="nil"/>
        </w:rPr>
        <w:t xml:space="preserve">art. </w:t>
      </w:r>
      <w:r w:rsidRPr="00E261BF">
        <w:rPr>
          <w:rFonts w:eastAsia="Arial Unicode MS"/>
          <w:u w:color="000000"/>
          <w:bdr w:val="nil"/>
        </w:rPr>
        <w:t xml:space="preserve">11 </w:t>
      </w:r>
      <w:r w:rsidR="00FA6B40" w:rsidRPr="00E261BF">
        <w:rPr>
          <w:rFonts w:eastAsia="Arial Unicode MS"/>
          <w:u w:color="000000"/>
          <w:bdr w:val="nil"/>
        </w:rPr>
        <w:t>wprowadzono rozwiązanie a</w:t>
      </w:r>
      <w:r w:rsidR="00190547">
        <w:rPr>
          <w:rFonts w:eastAsia="Arial Unicode MS"/>
          <w:u w:color="000000"/>
          <w:bdr w:val="nil"/>
        </w:rPr>
        <w:t>nalogiczne, jak funkcjonujące w </w:t>
      </w:r>
      <w:r w:rsidR="00FA6B40" w:rsidRPr="00E261BF">
        <w:rPr>
          <w:rFonts w:eastAsia="Arial Unicode MS"/>
          <w:u w:color="000000"/>
          <w:bdr w:val="nil"/>
        </w:rPr>
        <w:t>obszarze wsparcia odnawialnych źródeł energii, tj. ograniczenie możliwości uzyskania wsparcia za</w:t>
      </w:r>
      <w:r w:rsidR="00680107">
        <w:rPr>
          <w:rFonts w:eastAsia="Arial Unicode MS"/>
          <w:u w:color="000000"/>
          <w:bdr w:val="nil"/>
        </w:rPr>
        <w:t xml:space="preserve"> </w:t>
      </w:r>
      <w:r w:rsidR="00FA6B40" w:rsidRPr="00E261BF">
        <w:rPr>
          <w:rFonts w:eastAsia="Arial Unicode MS"/>
          <w:u w:color="000000"/>
          <w:bdr w:val="nil"/>
        </w:rPr>
        <w:t>energię elektryczną z wysokosprawnej kogeneracji w godzinach dostawy, dla których średnie ważone wolumenem transakcji sesyjny</w:t>
      </w:r>
      <w:r w:rsidR="00190547">
        <w:rPr>
          <w:rFonts w:eastAsia="Arial Unicode MS"/>
          <w:u w:color="000000"/>
          <w:bdr w:val="nil"/>
        </w:rPr>
        <w:t xml:space="preserve">ch giełdowych były niższe niż 0 </w:t>
      </w:r>
      <w:r w:rsidR="00FA6B40" w:rsidRPr="00E261BF">
        <w:rPr>
          <w:rFonts w:eastAsia="Arial Unicode MS"/>
          <w:u w:color="000000"/>
          <w:bdr w:val="nil"/>
        </w:rPr>
        <w:t>złotych za</w:t>
      </w:r>
      <w:r w:rsidR="00680107">
        <w:rPr>
          <w:rFonts w:eastAsia="Arial Unicode MS"/>
          <w:u w:color="000000"/>
          <w:bdr w:val="nil"/>
        </w:rPr>
        <w:t xml:space="preserve"> </w:t>
      </w:r>
      <w:r w:rsidR="00FA6B40" w:rsidRPr="00E261BF">
        <w:rPr>
          <w:rFonts w:eastAsia="Arial Unicode MS"/>
          <w:u w:color="000000"/>
          <w:bdr w:val="nil"/>
        </w:rPr>
        <w:t>1</w:t>
      </w:r>
      <w:r w:rsidR="00680107">
        <w:rPr>
          <w:rFonts w:eastAsia="Arial Unicode MS"/>
          <w:u w:color="000000"/>
          <w:bdr w:val="nil"/>
        </w:rPr>
        <w:t xml:space="preserve"> </w:t>
      </w:r>
      <w:r w:rsidR="00FA6B40" w:rsidRPr="00E261BF">
        <w:rPr>
          <w:rFonts w:eastAsia="Arial Unicode MS"/>
          <w:u w:color="000000"/>
          <w:bdr w:val="nil"/>
        </w:rPr>
        <w:t xml:space="preserve">MWh przez co najmniej sześć kolejnych godzin dostawy </w:t>
      </w:r>
      <w:r w:rsidR="00FA6B40" w:rsidRPr="00E261BF">
        <w:rPr>
          <w:rFonts w:eastAsia="Arial Unicode MS"/>
          <w:u w:color="000000"/>
          <w:bdr w:val="nil"/>
        </w:rPr>
        <w:lastRenderedPageBreak/>
        <w:t xml:space="preserve">energii elektrycznej w trakcie których zawierane są transakcje sesyjne giełdowe </w:t>
      </w:r>
      <w:r w:rsidR="00190547">
        <w:rPr>
          <w:rFonts w:eastAsia="Arial Unicode MS"/>
          <w:u w:color="000000"/>
          <w:bdr w:val="nil"/>
        </w:rPr>
        <w:t>z </w:t>
      </w:r>
      <w:r w:rsidR="00FA6B40" w:rsidRPr="00E261BF">
        <w:rPr>
          <w:rFonts w:eastAsia="Arial Unicode MS"/>
          <w:u w:color="000000"/>
          <w:bdr w:val="nil"/>
        </w:rPr>
        <w:t>dostawą energii elektrycznej w dniu następnym i dwa dni po dniu zawarcia transakcji sesyjnej. Powyższe ograniczenie ma zniechęcać do</w:t>
      </w:r>
      <w:r w:rsidR="00680107">
        <w:rPr>
          <w:rFonts w:eastAsia="Arial Unicode MS"/>
          <w:u w:color="000000"/>
          <w:bdr w:val="nil"/>
        </w:rPr>
        <w:t xml:space="preserve"> </w:t>
      </w:r>
      <w:r w:rsidR="00FA6B40" w:rsidRPr="00E261BF">
        <w:rPr>
          <w:rFonts w:eastAsia="Arial Unicode MS"/>
          <w:u w:color="000000"/>
          <w:bdr w:val="nil"/>
        </w:rPr>
        <w:t>wyt</w:t>
      </w:r>
      <w:r w:rsidR="004F6B6E">
        <w:rPr>
          <w:rFonts w:eastAsia="Arial Unicode MS"/>
          <w:u w:color="000000"/>
          <w:bdr w:val="nil"/>
        </w:rPr>
        <w:t>warzania energii elektrycznej w </w:t>
      </w:r>
      <w:r w:rsidR="00FA6B40" w:rsidRPr="00E261BF">
        <w:rPr>
          <w:rFonts w:eastAsia="Arial Unicode MS"/>
          <w:u w:color="000000"/>
          <w:bdr w:val="nil"/>
        </w:rPr>
        <w:t>momenc</w:t>
      </w:r>
      <w:r w:rsidRPr="00E261BF">
        <w:rPr>
          <w:rFonts w:eastAsia="Arial Unicode MS"/>
          <w:u w:color="000000"/>
          <w:bdr w:val="nil"/>
        </w:rPr>
        <w:t xml:space="preserve">ie występowania jej nadmiaru. </w:t>
      </w:r>
      <w:r w:rsidR="00C80B4C" w:rsidRPr="00E261BF">
        <w:rPr>
          <w:rFonts w:eastAsia="Arial Unicode MS"/>
          <w:u w:color="000000"/>
          <w:bdr w:val="nil"/>
        </w:rPr>
        <w:t xml:space="preserve">Dodatkowo, w art. 10 uregulowana została kwestia udzielania wsparcia nowym jednostkom kogeneracji, które zasilać będą systemy ciepłownicze, do których ciepło dostarczane jest już z innych źródeł. </w:t>
      </w:r>
      <w:r w:rsidRPr="00E261BF">
        <w:rPr>
          <w:rFonts w:eastAsia="Arial Unicode MS"/>
          <w:u w:color="000000"/>
          <w:bdr w:val="nil"/>
        </w:rPr>
        <w:t>W art. 1</w:t>
      </w:r>
      <w:r w:rsidR="00C80B4C" w:rsidRPr="00E261BF">
        <w:rPr>
          <w:rFonts w:eastAsia="Arial Unicode MS"/>
          <w:u w:color="000000"/>
          <w:bdr w:val="nil"/>
        </w:rPr>
        <w:t>1</w:t>
      </w:r>
      <w:r w:rsidRPr="00E261BF">
        <w:rPr>
          <w:rFonts w:eastAsia="Arial Unicode MS"/>
          <w:u w:color="000000"/>
          <w:bdr w:val="nil"/>
        </w:rPr>
        <w:t xml:space="preserve"> </w:t>
      </w:r>
      <w:r w:rsidR="00FA6B40" w:rsidRPr="00E261BF">
        <w:rPr>
          <w:rFonts w:eastAsia="Arial Unicode MS"/>
          <w:u w:color="000000"/>
          <w:bdr w:val="nil"/>
        </w:rPr>
        <w:t>ograniczona została możliwość korzystania ze wsparcia przewidzianego niniejszą ustawą dla jednostki energii elektrycznej, w odniesieniu do której wytwórca skorzystał z prawa do uzyskania wsparcia w ramach innych mechanizmów (określonych w ustawie o odnawialnych źródłach energii oraz w ustawie o rynku mocy).</w:t>
      </w:r>
      <w:r w:rsidR="00104F2E" w:rsidRPr="00E261BF">
        <w:rPr>
          <w:rFonts w:eastAsia="Arial Unicode MS"/>
          <w:u w:color="000000"/>
          <w:bdr w:val="nil"/>
        </w:rPr>
        <w:t xml:space="preserve"> </w:t>
      </w:r>
    </w:p>
    <w:p w:rsidR="00FA6B40" w:rsidRPr="00E261BF" w:rsidRDefault="00104F2E"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12</w:t>
      </w:r>
      <w:r w:rsidR="00FA6B40" w:rsidRPr="00E261BF">
        <w:rPr>
          <w:rFonts w:eastAsia="Arial Unicode MS"/>
          <w:u w:color="000000"/>
          <w:bdr w:val="nil"/>
        </w:rPr>
        <w:t xml:space="preserve"> uregulowana została kwestia przeniesienia nabytych praw i obowiązków wynikających z otrzymania wsparcia, o którym mowa w </w:t>
      </w:r>
      <w:r w:rsidR="00190547">
        <w:rPr>
          <w:rFonts w:eastAsia="Arial Unicode MS"/>
          <w:u w:color="000000"/>
          <w:bdr w:val="nil"/>
        </w:rPr>
        <w:t>r</w:t>
      </w:r>
      <w:r w:rsidR="00FA6B40" w:rsidRPr="00E261BF">
        <w:rPr>
          <w:rFonts w:eastAsia="Arial Unicode MS"/>
          <w:u w:color="000000"/>
          <w:bdr w:val="nil"/>
        </w:rPr>
        <w:t>ozdziałach 3</w:t>
      </w:r>
      <w:r w:rsidR="00680107">
        <w:rPr>
          <w:rFonts w:eastAsia="Arial Unicode MS"/>
          <w:u w:color="000000"/>
          <w:bdr w:val="nil"/>
        </w:rPr>
        <w:t>–</w:t>
      </w:r>
      <w:r w:rsidR="00FA6B40" w:rsidRPr="00E261BF">
        <w:rPr>
          <w:rFonts w:eastAsia="Arial Unicode MS"/>
          <w:u w:color="000000"/>
          <w:bdr w:val="nil"/>
        </w:rPr>
        <w:t>5, w przypadku przeniesienia własności jednostki kogeneracji, w odniesieniu do której uzyskane zostało prawo do tego wsparcia.</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Art. 1</w:t>
      </w:r>
      <w:r w:rsidR="00C80B4C" w:rsidRPr="00E261BF">
        <w:rPr>
          <w:rFonts w:eastAsia="Arial Unicode MS"/>
          <w:u w:color="000000"/>
          <w:bdr w:val="nil"/>
        </w:rPr>
        <w:t>3</w:t>
      </w:r>
      <w:r w:rsidRPr="00E261BF">
        <w:rPr>
          <w:rFonts w:eastAsia="Arial Unicode MS"/>
          <w:u w:color="000000"/>
          <w:bdr w:val="nil"/>
        </w:rPr>
        <w:t xml:space="preserve"> wskazuje sposób postępowania w przypadku wytwórców energii elektrycznej z</w:t>
      </w:r>
      <w:r w:rsidR="004F6B6E">
        <w:rPr>
          <w:rFonts w:eastAsia="Arial Unicode MS"/>
          <w:u w:color="000000"/>
          <w:bdr w:val="nil"/>
        </w:rPr>
        <w:t> </w:t>
      </w:r>
      <w:r w:rsidRPr="00E261BF">
        <w:rPr>
          <w:rFonts w:eastAsia="Arial Unicode MS"/>
          <w:u w:color="000000"/>
          <w:bdr w:val="nil"/>
        </w:rPr>
        <w:t>wysokosprawnej kogeneracji, w odniesieniu do których wydano prawomocne orzeczenie sądu w zakresie uchylenia decyzji w spr</w:t>
      </w:r>
      <w:r w:rsidR="004F6B6E">
        <w:rPr>
          <w:rFonts w:eastAsia="Arial Unicode MS"/>
          <w:u w:color="000000"/>
          <w:bdr w:val="nil"/>
        </w:rPr>
        <w:t>awie odmowy jego uczestnictwa w </w:t>
      </w:r>
      <w:r w:rsidRPr="00E261BF">
        <w:rPr>
          <w:rFonts w:eastAsia="Arial Unicode MS"/>
          <w:u w:color="000000"/>
          <w:bdr w:val="nil"/>
        </w:rPr>
        <w:t>systemie wsparcia, o</w:t>
      </w:r>
      <w:r w:rsidR="00680107">
        <w:rPr>
          <w:rFonts w:eastAsia="Arial Unicode MS"/>
          <w:u w:color="000000"/>
          <w:bdr w:val="nil"/>
        </w:rPr>
        <w:t xml:space="preserve"> </w:t>
      </w:r>
      <w:r w:rsidRPr="00E261BF">
        <w:rPr>
          <w:rFonts w:eastAsia="Arial Unicode MS"/>
          <w:u w:color="000000"/>
          <w:bdr w:val="nil"/>
        </w:rPr>
        <w:t xml:space="preserve">którym mowa w </w:t>
      </w:r>
      <w:r w:rsidR="00190547">
        <w:rPr>
          <w:rFonts w:eastAsia="Arial Unicode MS"/>
          <w:u w:color="000000"/>
          <w:bdr w:val="nil"/>
        </w:rPr>
        <w:t>r</w:t>
      </w:r>
      <w:r w:rsidRPr="00E261BF">
        <w:rPr>
          <w:rFonts w:eastAsia="Arial Unicode MS"/>
          <w:u w:color="000000"/>
          <w:bdr w:val="nil"/>
        </w:rPr>
        <w:t>ozdziałach 3–5.</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Regulacje zawarte w art. 1</w:t>
      </w:r>
      <w:r w:rsidR="00C80B4C" w:rsidRPr="00E261BF">
        <w:rPr>
          <w:rFonts w:eastAsiaTheme="minorEastAsia"/>
        </w:rPr>
        <w:t>4</w:t>
      </w:r>
      <w:r w:rsidRPr="00E261BF">
        <w:rPr>
          <w:rFonts w:eastAsiaTheme="minorEastAsia"/>
        </w:rPr>
        <w:t xml:space="preserve"> ustawy wzorowane s</w:t>
      </w:r>
      <w:r w:rsidR="004F6B6E">
        <w:rPr>
          <w:rFonts w:eastAsiaTheme="minorEastAsia"/>
        </w:rPr>
        <w:t>ą na rozwiązaniach przyjętych w </w:t>
      </w:r>
      <w:r w:rsidRPr="00E261BF">
        <w:rPr>
          <w:rFonts w:eastAsiaTheme="minorEastAsia"/>
        </w:rPr>
        <w:t>ustawie o odnawialnych źródłach energii i mają na celu ograniczenie występowania zjawiska tzw. nadwsparcia, tj. przydzielenia pomocy publicznej na poziomie wyższym niż jest to niezbędne do funkcjonowania danej jednostki kogeneracji.</w:t>
      </w:r>
    </w:p>
    <w:p w:rsidR="00C80B4C"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Przedmiotowe działanie przyczyni się do racjonalnego przydzielania pomocy publicznej w sposób umożliwiający realizację celów dotyczących rozwoju wysokosprawnej kogeneracji przy jednoczesnym zagwarantowaniu, że pomoc ta nie będzie prowadzić do</w:t>
      </w:r>
      <w:r w:rsidR="00680107">
        <w:rPr>
          <w:rFonts w:eastAsiaTheme="minorEastAsia"/>
        </w:rPr>
        <w:t xml:space="preserve"> </w:t>
      </w:r>
      <w:r w:rsidRPr="00E261BF">
        <w:rPr>
          <w:rFonts w:eastAsiaTheme="minorEastAsia"/>
        </w:rPr>
        <w:t>zaburzenia mechanizmów rynkowych. Uwzględnienie otrzymanej pomocy inwestycyjnej nie będzie dotyczyło istniejących jednostek kogeneracji oraz istniejących małych jednostek kogeneracji, ze względu na to, że premia gwarantowana wyliczana dla tych jednostek nie będzie uwzględniała kosztów kapitałowych (jedynie koszty op</w:t>
      </w:r>
      <w:r w:rsidR="00C80B4C" w:rsidRPr="00E261BF">
        <w:rPr>
          <w:rFonts w:eastAsiaTheme="minorEastAsia"/>
        </w:rPr>
        <w:t>eracyjne).</w:t>
      </w:r>
    </w:p>
    <w:p w:rsidR="00FA6B40" w:rsidRPr="00E261BF" w:rsidRDefault="00FA6B40" w:rsidP="006C36C9">
      <w:pPr>
        <w:keepNext/>
        <w:widowControl w:val="0"/>
        <w:autoSpaceDE w:val="0"/>
        <w:autoSpaceDN w:val="0"/>
        <w:adjustRightInd w:val="0"/>
        <w:spacing w:before="120" w:line="360" w:lineRule="auto"/>
        <w:jc w:val="both"/>
        <w:rPr>
          <w:rFonts w:eastAsiaTheme="minorEastAsia"/>
          <w:b/>
          <w:bCs/>
        </w:rPr>
      </w:pPr>
      <w:r w:rsidRPr="00E261BF">
        <w:rPr>
          <w:rFonts w:eastAsiaTheme="minorEastAsia"/>
          <w:b/>
        </w:rPr>
        <w:lastRenderedPageBreak/>
        <w:t xml:space="preserve">Rozdział 3 – </w:t>
      </w:r>
      <w:r w:rsidRPr="00E261BF">
        <w:rPr>
          <w:b/>
          <w:bCs/>
        </w:rPr>
        <w:t>Zasady uczestnictwa w aukcyjnym systemie wsparcia wytwarzania energii elektrycznej z wysok</w:t>
      </w:r>
      <w:r w:rsidR="00C80B4C" w:rsidRPr="00E261BF">
        <w:rPr>
          <w:b/>
          <w:bCs/>
        </w:rPr>
        <w:t>osprawnej kogeneracji – art.</w:t>
      </w:r>
      <w:r w:rsidR="00680107">
        <w:rPr>
          <w:b/>
          <w:bCs/>
        </w:rPr>
        <w:t xml:space="preserve"> </w:t>
      </w:r>
      <w:r w:rsidR="00C80B4C" w:rsidRPr="00E261BF">
        <w:rPr>
          <w:b/>
          <w:bCs/>
        </w:rPr>
        <w:t>15–28</w:t>
      </w:r>
    </w:p>
    <w:p w:rsidR="00FA6B40" w:rsidRPr="00E261BF" w:rsidRDefault="00C80B4C" w:rsidP="003835D3">
      <w:pPr>
        <w:pStyle w:val="Akapitzlist"/>
        <w:widowControl w:val="0"/>
        <w:numPr>
          <w:ilvl w:val="0"/>
          <w:numId w:val="15"/>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Zasady ogólne – art. 15</w:t>
      </w:r>
      <w:r w:rsidR="00680107">
        <w:rPr>
          <w:rFonts w:eastAsiaTheme="minorEastAsia"/>
          <w:b/>
        </w:rPr>
        <w:t>–</w:t>
      </w:r>
      <w:r w:rsidRPr="00E261BF">
        <w:rPr>
          <w:rFonts w:eastAsiaTheme="minorEastAsia"/>
          <w:b/>
        </w:rPr>
        <w:t>17</w:t>
      </w:r>
    </w:p>
    <w:p w:rsidR="00FA6B40" w:rsidRPr="00E261BF" w:rsidRDefault="00FA6B40" w:rsidP="003835D3">
      <w:pPr>
        <w:spacing w:before="120" w:line="360" w:lineRule="auto"/>
        <w:jc w:val="both"/>
        <w:rPr>
          <w:rFonts w:eastAsia="Calibri"/>
          <w:lang w:eastAsia="en-US"/>
        </w:rPr>
      </w:pPr>
      <w:r w:rsidRPr="00E261BF">
        <w:rPr>
          <w:rFonts w:eastAsiaTheme="minorEastAsia"/>
        </w:rPr>
        <w:t xml:space="preserve">Rozdział 3 zawiera przepisy związane z aukcyjnym instrumentem wsparcia na premię kogeneracyjną, o którą mogą ubiegać się podmioty wskazane w art. 3 ust. 1 ustawy. Premia kogeneracyjna stanowi </w:t>
      </w:r>
      <w:r w:rsidRPr="00E261BF">
        <w:rPr>
          <w:rFonts w:eastAsia="Arial Unicode MS"/>
          <w:u w:color="000000"/>
          <w:bdr w:val="nil"/>
        </w:rPr>
        <w:t>dopłatę do wytwo</w:t>
      </w:r>
      <w:r w:rsidR="004F6B6E">
        <w:rPr>
          <w:rFonts w:eastAsia="Arial Unicode MS"/>
          <w:u w:color="000000"/>
          <w:bdr w:val="nil"/>
        </w:rPr>
        <w:t>rzonej, wprowadzonej do sieci i </w:t>
      </w:r>
      <w:r w:rsidRPr="00E261BF">
        <w:rPr>
          <w:rFonts w:eastAsia="Arial Unicode MS"/>
          <w:u w:color="000000"/>
          <w:bdr w:val="nil"/>
        </w:rPr>
        <w:t>sprzedanej energii elektrycznej w wysokosprawnej kogeneracji przez wytwórcę, który wygrał aukcję</w:t>
      </w:r>
      <w:r w:rsidR="00680107">
        <w:rPr>
          <w:rFonts w:eastAsia="Arial Unicode MS"/>
          <w:u w:color="000000"/>
          <w:bdr w:val="nil"/>
        </w:rPr>
        <w:t xml:space="preserve"> </w:t>
      </w:r>
      <w:r w:rsidRPr="00E261BF">
        <w:rPr>
          <w:rFonts w:eastAsia="Arial Unicode MS"/>
          <w:u w:color="000000"/>
          <w:bdr w:val="nil"/>
        </w:rPr>
        <w:t>i jest ona wypłacana pr</w:t>
      </w:r>
      <w:r w:rsidR="00C80B4C" w:rsidRPr="00E261BF">
        <w:rPr>
          <w:rFonts w:eastAsia="Arial Unicode MS"/>
          <w:u w:color="000000"/>
          <w:bdr w:val="nil"/>
        </w:rPr>
        <w:t>zez operatora rozliczeń (art. 15). Zgodnie z art. 15</w:t>
      </w:r>
      <w:r w:rsidRPr="00E261BF">
        <w:rPr>
          <w:rFonts w:eastAsia="Arial Unicode MS"/>
          <w:u w:color="000000"/>
          <w:bdr w:val="nil"/>
        </w:rPr>
        <w:t xml:space="preserve">, nowe i znacznie zmodernizowane </w:t>
      </w:r>
      <w:r w:rsidRPr="00E261BF">
        <w:rPr>
          <w:rFonts w:eastAsia="Calibri"/>
          <w:lang w:eastAsia="en-US"/>
        </w:rPr>
        <w:t>jednostki kogeneracji konkurują ze sobą w ramach jednego koszyka, natomiast dla poszczególnych rodza</w:t>
      </w:r>
      <w:r w:rsidR="004F6B6E">
        <w:rPr>
          <w:rFonts w:eastAsia="Calibri"/>
          <w:lang w:eastAsia="en-US"/>
        </w:rPr>
        <w:t>jów jednostek kogeneracji, tzn. </w:t>
      </w:r>
      <w:r w:rsidRPr="00E261BF">
        <w:rPr>
          <w:rFonts w:eastAsia="Calibri"/>
          <w:lang w:eastAsia="en-US"/>
        </w:rPr>
        <w:t>opalanych różnymi paliwami, tj.</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paliwem gazowym,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paliwem stałym,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biomasą, </w:t>
      </w:r>
    </w:p>
    <w:p w:rsidR="00FA6B40" w:rsidRPr="00E261BF" w:rsidRDefault="00FA6B40" w:rsidP="003835D3">
      <w:pPr>
        <w:pStyle w:val="Akapitzlist"/>
        <w:numPr>
          <w:ilvl w:val="0"/>
          <w:numId w:val="24"/>
        </w:numPr>
        <w:spacing w:line="360" w:lineRule="auto"/>
        <w:ind w:left="284" w:hanging="284"/>
        <w:contextualSpacing w:val="0"/>
        <w:jc w:val="both"/>
        <w:rPr>
          <w:rFonts w:eastAsia="Calibri"/>
          <w:lang w:eastAsia="en-US"/>
        </w:rPr>
      </w:pPr>
      <w:r w:rsidRPr="00E261BF">
        <w:rPr>
          <w:rFonts w:eastAsia="Calibri"/>
          <w:lang w:eastAsia="en-US"/>
        </w:rPr>
        <w:t xml:space="preserve">pozostałymi, </w:t>
      </w:r>
    </w:p>
    <w:p w:rsidR="00FA6B40" w:rsidRPr="00E261BF" w:rsidRDefault="00FA6B40" w:rsidP="003835D3">
      <w:pPr>
        <w:pStyle w:val="PKTpunkt"/>
        <w:spacing w:before="120"/>
        <w:ind w:left="0" w:firstLine="0"/>
        <w:rPr>
          <w:rFonts w:ascii="Times New Roman" w:hAnsi="Times New Roman" w:cs="Times New Roman"/>
          <w:szCs w:val="24"/>
          <w:u w:val="single"/>
        </w:rPr>
      </w:pPr>
      <w:r w:rsidRPr="00E261BF">
        <w:rPr>
          <w:rFonts w:ascii="Times New Roman" w:eastAsia="Calibri" w:hAnsi="Times New Roman" w:cs="Times New Roman"/>
          <w:szCs w:val="24"/>
          <w:lang w:eastAsia="en-US"/>
        </w:rPr>
        <w:t>ustalone zostaną wartości referencyjne, tj. maksymalne wysokości premii gwarantowanej, które uczestnicy aukcji będą mogli zaoferować w odniesieniu do energii elektrycznej z</w:t>
      </w:r>
      <w:r w:rsidR="00680107">
        <w:rPr>
          <w:rFonts w:ascii="Times New Roman" w:eastAsia="Calibri" w:hAnsi="Times New Roman" w:cs="Times New Roman"/>
          <w:szCs w:val="24"/>
          <w:lang w:eastAsia="en-US"/>
        </w:rPr>
        <w:t xml:space="preserve"> </w:t>
      </w:r>
      <w:r w:rsidRPr="00E261BF">
        <w:rPr>
          <w:rFonts w:ascii="Times New Roman" w:eastAsia="Calibri" w:hAnsi="Times New Roman" w:cs="Times New Roman"/>
          <w:szCs w:val="24"/>
          <w:lang w:eastAsia="en-US"/>
        </w:rPr>
        <w:t xml:space="preserve">wysokosprawnej kogeneracji wytworzonej w danej jednostki kogeneracji, aby ich oferta nie została odrzucona. Dodatkowo, w odniesieniu do znacznie zmodernizowanych jednostek kogeneracji, aby umożliwić dostosowanie wysokości oferty do poniesionych nakładów inwestycyjnych na znaczną modernizację, ustalane będą odrębne wartości referencyjne dla tego typu jednostek, biorąc pod uwagę </w:t>
      </w:r>
      <w:r w:rsidRPr="00E261BF">
        <w:rPr>
          <w:rFonts w:ascii="Times New Roman" w:hAnsi="Times New Roman" w:cs="Times New Roman"/>
          <w:szCs w:val="24"/>
        </w:rPr>
        <w:t>wartość udziału procentowego poniesionych kosztów inwestycyjnych znacznej modernizacji do wartości kosztów poniesionych dla nowej porównywalnej jednostki kogeneracji</w:t>
      </w:r>
      <w:r w:rsidRPr="00E261BF">
        <w:rPr>
          <w:rFonts w:ascii="Times New Roman" w:eastAsia="Calibri" w:hAnsi="Times New Roman" w:cs="Times New Roman"/>
          <w:szCs w:val="24"/>
          <w:lang w:eastAsia="en-US"/>
        </w:rPr>
        <w:t xml:space="preserve"> oraz rodzaj paliwa, którym opalana jest dana jednostka.</w:t>
      </w:r>
      <w:r w:rsidR="00680107">
        <w:rPr>
          <w:rFonts w:ascii="Times New Roman" w:eastAsia="Calibri" w:hAnsi="Times New Roman" w:cs="Times New Roman"/>
          <w:szCs w:val="24"/>
          <w:lang w:eastAsia="en-US"/>
        </w:rPr>
        <w:t xml:space="preserve"> </w:t>
      </w:r>
      <w:r w:rsidRPr="00E261BF">
        <w:rPr>
          <w:rFonts w:ascii="Times New Roman" w:eastAsia="Calibri" w:hAnsi="Times New Roman" w:cs="Times New Roman"/>
          <w:szCs w:val="24"/>
          <w:lang w:eastAsia="en-US"/>
        </w:rPr>
        <w:t>Poziom wartości referencyjnych ustalać będzie corocznie minister właściwy do spraw energii w</w:t>
      </w:r>
      <w:r w:rsidR="004F6B6E">
        <w:rPr>
          <w:rFonts w:ascii="Times New Roman" w:eastAsia="Calibri" w:hAnsi="Times New Roman" w:cs="Times New Roman"/>
          <w:szCs w:val="24"/>
          <w:lang w:eastAsia="en-US"/>
        </w:rPr>
        <w:t> </w:t>
      </w:r>
      <w:r w:rsidRPr="00E261BF">
        <w:rPr>
          <w:rFonts w:ascii="Times New Roman" w:eastAsia="Calibri" w:hAnsi="Times New Roman" w:cs="Times New Roman"/>
          <w:szCs w:val="24"/>
          <w:lang w:eastAsia="en-US"/>
        </w:rPr>
        <w:t xml:space="preserve">stosownym rozporządzeniu, biorąc pod uwagę </w:t>
      </w:r>
      <w:r w:rsidRPr="00E261BF">
        <w:rPr>
          <w:rFonts w:ascii="Times New Roman" w:hAnsi="Times New Roman" w:cs="Times New Roman"/>
          <w:szCs w:val="24"/>
        </w:rPr>
        <w:t>istotne parametry techniczne i</w:t>
      </w:r>
      <w:r w:rsidR="004F6B6E">
        <w:rPr>
          <w:rFonts w:ascii="Times New Roman" w:hAnsi="Times New Roman" w:cs="Times New Roman"/>
          <w:szCs w:val="24"/>
        </w:rPr>
        <w:t> </w:t>
      </w:r>
      <w:r w:rsidRPr="00E261BF">
        <w:rPr>
          <w:rFonts w:ascii="Times New Roman" w:hAnsi="Times New Roman" w:cs="Times New Roman"/>
          <w:szCs w:val="24"/>
        </w:rPr>
        <w:t xml:space="preserve">ekonomiczne funkcjonowania jednostek kogeneracji. koszty operacyjne oraz dodatkowe koszty inwestycyjne ponoszone w okresie eksploatacji, w którym jednostka kogeneracji podlega mechanizmom i instrumentom wsparcia. W przypadku jednostek opalanych więcej niż jednym rodzajem paliwa, w odniesieniu do ustalenia odpowiedniej </w:t>
      </w:r>
      <w:r w:rsidRPr="00E261BF">
        <w:rPr>
          <w:rFonts w:ascii="Times New Roman" w:hAnsi="Times New Roman" w:cs="Times New Roman"/>
          <w:szCs w:val="24"/>
        </w:rPr>
        <w:lastRenderedPageBreak/>
        <w:t>wartości referencyjnej, bierze się pod uwagę paliwo o największym udziale w miksie paliwowym stosowanym w danej jednostce.</w:t>
      </w:r>
    </w:p>
    <w:p w:rsidR="00FA6B40" w:rsidRPr="00E261BF" w:rsidRDefault="00FA6B40" w:rsidP="003835D3">
      <w:pPr>
        <w:spacing w:before="120" w:line="360" w:lineRule="auto"/>
        <w:jc w:val="both"/>
        <w:rPr>
          <w:rFonts w:eastAsia="Calibri"/>
          <w:lang w:eastAsia="en-US"/>
        </w:rPr>
      </w:pPr>
      <w:r w:rsidRPr="00E261BF">
        <w:rPr>
          <w:rFonts w:eastAsia="Arial Unicode MS"/>
          <w:u w:color="000000"/>
          <w:bdr w:val="nil"/>
        </w:rPr>
        <w:t>Zgodnie z art. 1</w:t>
      </w:r>
      <w:r w:rsidR="00C80B4C" w:rsidRPr="00E261BF">
        <w:rPr>
          <w:rFonts w:eastAsia="Arial Unicode MS"/>
          <w:u w:color="000000"/>
          <w:bdr w:val="nil"/>
        </w:rPr>
        <w:t>6</w:t>
      </w:r>
      <w:r w:rsidRPr="00E261BF">
        <w:rPr>
          <w:rFonts w:eastAsia="Arial Unicode MS"/>
          <w:u w:color="000000"/>
          <w:bdr w:val="nil"/>
        </w:rPr>
        <w:t xml:space="preserve"> Prezes URE ogłasza, organizuje i przeprowadza aukcje nie rzadziej niż raz w roku, natomiast </w:t>
      </w:r>
      <w:r w:rsidRPr="00E261BF">
        <w:rPr>
          <w:rFonts w:eastAsia="Calibri"/>
          <w:lang w:eastAsia="en-US"/>
        </w:rPr>
        <w:t xml:space="preserve">do aukcji będzie mógł zostać dopuszczony jedynie </w:t>
      </w:r>
      <w:r w:rsidRPr="00E261BF">
        <w:t xml:space="preserve">wytwórca, którego jednostka kogeneracji spełni jednostkowy wskaźnik emisji dwutlenku węgla na poziomie </w:t>
      </w:r>
      <w:r w:rsidR="00190547">
        <w:t>nie wyższym niż</w:t>
      </w:r>
      <w:r w:rsidRPr="00E261BF">
        <w:t xml:space="preserve"> 450 kg na 1 MWh wytwarzanej energii.</w:t>
      </w:r>
      <w:r w:rsidRPr="00E261BF">
        <w:rPr>
          <w:rFonts w:eastAsia="Arial Unicode MS"/>
          <w:u w:color="000000"/>
          <w:bdr w:val="nil"/>
        </w:rPr>
        <w:t xml:space="preserve"> </w:t>
      </w:r>
    </w:p>
    <w:p w:rsidR="00FA6B40" w:rsidRPr="00E261BF" w:rsidRDefault="00FA6B40" w:rsidP="00190547">
      <w:pPr>
        <w:autoSpaceDE w:val="0"/>
        <w:autoSpaceDN w:val="0"/>
        <w:adjustRightInd w:val="0"/>
        <w:spacing w:before="120" w:line="360" w:lineRule="auto"/>
        <w:jc w:val="both"/>
        <w:rPr>
          <w:rFonts w:eastAsiaTheme="minorEastAsia"/>
        </w:rPr>
      </w:pPr>
      <w:r w:rsidRPr="00E261BF">
        <w:rPr>
          <w:rFonts w:eastAsiaTheme="minorEastAsia"/>
        </w:rPr>
        <w:t>Istotnym elementem systemu wsparcia w postaci premii kogeneracyjnej jest konieczności wprowadzania do publicznej sieci ci</w:t>
      </w:r>
      <w:r w:rsidR="004F6B6E">
        <w:rPr>
          <w:rFonts w:eastAsiaTheme="minorEastAsia"/>
        </w:rPr>
        <w:t>epłowniczej ciepła użytkowego w </w:t>
      </w:r>
      <w:r w:rsidRPr="00E261BF">
        <w:rPr>
          <w:rFonts w:eastAsiaTheme="minorEastAsia"/>
        </w:rPr>
        <w:t>kogeneracji. W tym obszarze wprowadzono</w:t>
      </w:r>
      <w:r w:rsidR="004F6B6E">
        <w:rPr>
          <w:rFonts w:eastAsiaTheme="minorEastAsia"/>
        </w:rPr>
        <w:t xml:space="preserve"> regulacje, zgodnie z którymi w </w:t>
      </w:r>
      <w:r w:rsidRPr="00E261BF">
        <w:rPr>
          <w:rFonts w:eastAsiaTheme="minorEastAsia"/>
        </w:rPr>
        <w:t>przypadku, gdy nie mniej niż 70% przedmiotowego ciepła wprowadzane jest do publicznej sieci ciepłowniczej, całość energii elektrycznej może zostać objęta premią kogeneracyjną, natomiast, gdy mniej niż 70% tego ciepła wprowadzane jest do publicznej sieci ciepłowniczej, tylko część energii elektrycznej odpowiadająca procentowemu udziałowi tego ciepła wprowadzonego do</w:t>
      </w:r>
      <w:r w:rsidR="00680107">
        <w:rPr>
          <w:rFonts w:eastAsiaTheme="minorEastAsia"/>
        </w:rPr>
        <w:t xml:space="preserve"> </w:t>
      </w:r>
      <w:r w:rsidRPr="00E261BF">
        <w:rPr>
          <w:rFonts w:eastAsiaTheme="minorEastAsia"/>
        </w:rPr>
        <w:t>publicznej sieci ciepłowniczej może zostać objęta premią kogeneracyjną.</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art. 1</w:t>
      </w:r>
      <w:r w:rsidR="00C80B4C" w:rsidRPr="00E261BF">
        <w:rPr>
          <w:rFonts w:eastAsiaTheme="minorEastAsia"/>
        </w:rPr>
        <w:t>6</w:t>
      </w:r>
      <w:r w:rsidRPr="00E261BF">
        <w:rPr>
          <w:rFonts w:eastAsiaTheme="minorEastAsia"/>
        </w:rPr>
        <w:t xml:space="preserve"> umożliwiono również, a w art. 1</w:t>
      </w:r>
      <w:r w:rsidR="00C80B4C" w:rsidRPr="00E261BF">
        <w:rPr>
          <w:rFonts w:eastAsiaTheme="minorEastAsia"/>
        </w:rPr>
        <w:t>7</w:t>
      </w:r>
      <w:r w:rsidRPr="00E261BF">
        <w:rPr>
          <w:rFonts w:eastAsiaTheme="minorEastAsia"/>
        </w:rPr>
        <w:t xml:space="preserve"> uregulowano kwestię udziału w aukcji wytwórcy, którego jednostka kogeneracji zlokalizowana jest poza terytorium Rzeczypospolitej Polskiej. W tym zakresie posłużono się analogicznymi rozwiązaniami występującymi w mechanizmie wsparcia odnawialnych źródeł energii.</w:t>
      </w:r>
    </w:p>
    <w:p w:rsidR="00FA6B40" w:rsidRPr="00E261BF" w:rsidRDefault="00FA6B40" w:rsidP="003835D3">
      <w:pPr>
        <w:pStyle w:val="Akapitzlist"/>
        <w:widowControl w:val="0"/>
        <w:numPr>
          <w:ilvl w:val="0"/>
          <w:numId w:val="15"/>
        </w:numPr>
        <w:autoSpaceDE w:val="0"/>
        <w:autoSpaceDN w:val="0"/>
        <w:adjustRightInd w:val="0"/>
        <w:spacing w:before="120" w:line="360" w:lineRule="auto"/>
        <w:ind w:left="426" w:hanging="426"/>
        <w:contextualSpacing w:val="0"/>
        <w:jc w:val="both"/>
        <w:rPr>
          <w:rFonts w:eastAsiaTheme="minorEastAsia"/>
          <w:b/>
        </w:rPr>
      </w:pPr>
      <w:r w:rsidRPr="00E261BF">
        <w:rPr>
          <w:rFonts w:eastAsiaTheme="minorEastAsia"/>
          <w:b/>
        </w:rPr>
        <w:t>Pro</w:t>
      </w:r>
      <w:r w:rsidR="00C80B4C" w:rsidRPr="00E261BF">
        <w:rPr>
          <w:rFonts w:eastAsiaTheme="minorEastAsia"/>
          <w:b/>
        </w:rPr>
        <w:t>cedura oceny formalnej – art. 18</w:t>
      </w:r>
      <w:r w:rsidR="00190547">
        <w:rPr>
          <w:rFonts w:eastAsiaTheme="minorEastAsia"/>
          <w:b/>
        </w:rPr>
        <w:t xml:space="preserve"> i art. </w:t>
      </w:r>
      <w:r w:rsidR="00C80B4C" w:rsidRPr="00E261BF">
        <w:rPr>
          <w:rFonts w:eastAsiaTheme="minorEastAsia"/>
          <w:b/>
        </w:rPr>
        <w:t>19</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Theme="minorEastAsia"/>
        </w:rPr>
        <w:t>Przed przystąpieniem</w:t>
      </w:r>
      <w:r w:rsidRPr="00E261BF">
        <w:rPr>
          <w:rFonts w:eastAsia="Arial Unicode MS"/>
          <w:u w:color="000000"/>
          <w:bdr w:val="nil"/>
        </w:rPr>
        <w:t xml:space="preserve"> do aukcji, wytwórca podlega procedurze oceny formalnej przygotowania do wytwarzania energii elektrycznej w danej jednostce kogeneracji, którą </w:t>
      </w:r>
      <w:r w:rsidR="00C80B4C" w:rsidRPr="00E261BF">
        <w:rPr>
          <w:rFonts w:eastAsia="Arial Unicode MS"/>
          <w:u w:color="000000"/>
          <w:bdr w:val="nil"/>
        </w:rPr>
        <w:t>przeprowadza Prezes URE. Art. 18</w:t>
      </w:r>
      <w:r w:rsidRPr="00E261BF">
        <w:rPr>
          <w:rFonts w:eastAsia="Arial Unicode MS"/>
          <w:u w:color="000000"/>
          <w:bdr w:val="nil"/>
        </w:rPr>
        <w:t xml:space="preserve"> definiuje zakres niezbędnej dokumentacji, którą należy przedstawić Prezesowi URE do oceny stopnia przygotowania danej jednostki kogeneracji przez wytwórcę do udziału w aukcji. Zakres przedstawianych informacji (o analogicznym charakterze, jak w przypadku systemu wsparcia dla odnawialnych źródeł energii) ma na celu eliminowanie z aukcji projektów, których stopień przygotowania nie gwarantuje skutecznej ich realizacji.</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Arial Unicode MS"/>
          <w:u w:color="000000"/>
          <w:bdr w:val="nil"/>
        </w:rPr>
        <w:t xml:space="preserve">Zakończeniem procesu jest wydanie bądź odmowa wydania </w:t>
      </w:r>
      <w:r w:rsidR="00190547">
        <w:rPr>
          <w:rFonts w:eastAsia="Arial Unicode MS"/>
          <w:u w:color="000000"/>
          <w:bdr w:val="nil"/>
        </w:rPr>
        <w:t xml:space="preserve">decyzji </w:t>
      </w:r>
      <w:r w:rsidRPr="00E261BF">
        <w:rPr>
          <w:rFonts w:eastAsia="Arial Unicode MS"/>
          <w:u w:color="000000"/>
          <w:bdr w:val="nil"/>
        </w:rPr>
        <w:t>dopuszczając</w:t>
      </w:r>
      <w:r w:rsidR="00C80B4C" w:rsidRPr="00E261BF">
        <w:rPr>
          <w:rFonts w:eastAsia="Arial Unicode MS"/>
          <w:u w:color="000000"/>
          <w:bdr w:val="nil"/>
        </w:rPr>
        <w:t>e</w:t>
      </w:r>
      <w:r w:rsidR="00190547">
        <w:rPr>
          <w:rFonts w:eastAsia="Arial Unicode MS"/>
          <w:u w:color="000000"/>
          <w:bdr w:val="nil"/>
        </w:rPr>
        <w:t>j</w:t>
      </w:r>
      <w:r w:rsidR="00C80B4C" w:rsidRPr="00E261BF">
        <w:rPr>
          <w:rFonts w:eastAsia="Arial Unicode MS"/>
          <w:u w:color="000000"/>
          <w:bdr w:val="nil"/>
        </w:rPr>
        <w:t xml:space="preserve"> do udziału w aukcji (art. 19</w:t>
      </w:r>
      <w:r w:rsidRPr="00E261BF">
        <w:rPr>
          <w:rFonts w:eastAsia="Arial Unicode MS"/>
          <w:u w:color="000000"/>
          <w:bdr w:val="nil"/>
        </w:rPr>
        <w:t>).</w:t>
      </w:r>
    </w:p>
    <w:p w:rsidR="00FA6B40" w:rsidRPr="00E261BF" w:rsidRDefault="00FA6B40" w:rsidP="006C36C9">
      <w:pPr>
        <w:pStyle w:val="Akapitzlist"/>
        <w:keepNext/>
        <w:numPr>
          <w:ilvl w:val="0"/>
          <w:numId w:val="15"/>
        </w:numPr>
        <w:autoSpaceDE w:val="0"/>
        <w:autoSpaceDN w:val="0"/>
        <w:adjustRightInd w:val="0"/>
        <w:spacing w:before="120" w:line="360" w:lineRule="auto"/>
        <w:ind w:left="425" w:hanging="425"/>
        <w:contextualSpacing w:val="0"/>
        <w:jc w:val="both"/>
        <w:rPr>
          <w:rFonts w:eastAsiaTheme="minorEastAsia"/>
          <w:b/>
        </w:rPr>
      </w:pPr>
      <w:r w:rsidRPr="00E261BF">
        <w:rPr>
          <w:rFonts w:eastAsiaTheme="minorEastAsia"/>
          <w:b/>
        </w:rPr>
        <w:lastRenderedPageBreak/>
        <w:t>Ogłoszenie, przeprowadzenie i rozstrzygnięcie aukcji oraz procedura związana z</w:t>
      </w:r>
      <w:r w:rsidR="00680107">
        <w:rPr>
          <w:rFonts w:eastAsiaTheme="minorEastAsia"/>
          <w:b/>
        </w:rPr>
        <w:t xml:space="preserve"> </w:t>
      </w:r>
      <w:r w:rsidRPr="00E261BF">
        <w:rPr>
          <w:rFonts w:eastAsiaTheme="minorEastAsia"/>
          <w:b/>
        </w:rPr>
        <w:t xml:space="preserve">wypłatą premii – art. </w:t>
      </w:r>
      <w:r w:rsidR="00680107">
        <w:rPr>
          <w:rFonts w:eastAsiaTheme="minorEastAsia"/>
          <w:b/>
        </w:rPr>
        <w:t>20–</w:t>
      </w:r>
      <w:r w:rsidR="00C80B4C" w:rsidRPr="00E261BF">
        <w:rPr>
          <w:rFonts w:eastAsiaTheme="minorEastAsia"/>
          <w:b/>
        </w:rPr>
        <w:t>28</w:t>
      </w:r>
    </w:p>
    <w:p w:rsidR="00FA6B40" w:rsidRPr="00E261BF" w:rsidRDefault="00C80B4C" w:rsidP="006C36C9">
      <w:pPr>
        <w:keepNext/>
        <w:autoSpaceDE w:val="0"/>
        <w:autoSpaceDN w:val="0"/>
        <w:adjustRightInd w:val="0"/>
        <w:spacing w:before="120" w:line="360" w:lineRule="auto"/>
        <w:jc w:val="both"/>
        <w:rPr>
          <w:rFonts w:eastAsiaTheme="minorEastAsia"/>
        </w:rPr>
      </w:pPr>
      <w:r w:rsidRPr="00E261BF">
        <w:rPr>
          <w:rFonts w:eastAsiaTheme="minorEastAsia"/>
        </w:rPr>
        <w:t>Zgodnie z art. 20</w:t>
      </w:r>
      <w:r w:rsidR="00FA6B40" w:rsidRPr="00E261BF">
        <w:rPr>
          <w:rFonts w:eastAsiaTheme="minorEastAsia"/>
        </w:rPr>
        <w:t>, aukcja ogłaszana jest przez Prezesa URE nie później niż 30 dni przed dniem jej rozpoczęcia, co odpowiada regulacjom w obszarze odnawialnych źródeł energii w</w:t>
      </w:r>
      <w:r w:rsidR="00680107">
        <w:rPr>
          <w:rFonts w:eastAsiaTheme="minorEastAsia"/>
        </w:rPr>
        <w:t xml:space="preserve"> </w:t>
      </w:r>
      <w:r w:rsidR="00FA6B40" w:rsidRPr="00E261BF">
        <w:rPr>
          <w:rFonts w:eastAsiaTheme="minorEastAsia"/>
        </w:rPr>
        <w:t>tym względzie. Co istotne, w odróżnien</w:t>
      </w:r>
      <w:r w:rsidR="004F6B6E">
        <w:rPr>
          <w:rFonts w:eastAsiaTheme="minorEastAsia"/>
        </w:rPr>
        <w:t>iu od analogicznych rozwiązań w </w:t>
      </w:r>
      <w:r w:rsidR="00FA6B40" w:rsidRPr="00E261BF">
        <w:rPr>
          <w:rFonts w:eastAsiaTheme="minorEastAsia"/>
        </w:rPr>
        <w:t>systemie wsparcia dla odnawialnych źródeł energii, wprowadzono możliwość przeprowadzenia aukcji zarówno w formie elektronicznej, jak również w postaci pisemnej. Powyższe działania ma na celu umożliwien</w:t>
      </w:r>
      <w:r w:rsidR="004F6B6E">
        <w:rPr>
          <w:rFonts w:eastAsiaTheme="minorEastAsia"/>
        </w:rPr>
        <w:t>ie Prezesowi URE decydowanie o </w:t>
      </w:r>
      <w:r w:rsidR="00FA6B40" w:rsidRPr="00E261BF">
        <w:rPr>
          <w:rFonts w:eastAsiaTheme="minorEastAsia"/>
        </w:rPr>
        <w:t>sposobie przeprowadzenia aukcji mając na celu opt</w:t>
      </w:r>
      <w:r w:rsidR="004F6B6E">
        <w:rPr>
          <w:rFonts w:eastAsiaTheme="minorEastAsia"/>
        </w:rPr>
        <w:t>ymalne wykorzystanie zasobów (w </w:t>
      </w:r>
      <w:r w:rsidR="00FA6B40" w:rsidRPr="00E261BF">
        <w:rPr>
          <w:rFonts w:eastAsiaTheme="minorEastAsia"/>
        </w:rPr>
        <w:t>przypadku jednostek kogeneracji przewiduje się mniejszą ilość podmiotów biorących udział w aukcji niż jest to w przypadku odnawialnych źródeł energii).</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celu zapewnienia inwestorom większej elastyczności wydłużono termin przeprowadzenia sesji aukcji (w odniesieniu do rozwiązań w obszarze odnawialnych źródeł energii), który nie może być krótszy niż 3 dni i nie dłuższy niż 10 dni.</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Prezes URE ustala również regulamin aukcji, który zatwierdza minister właściwy do</w:t>
      </w:r>
      <w:r w:rsidR="00680107">
        <w:rPr>
          <w:rFonts w:eastAsiaTheme="minorEastAsia"/>
        </w:rPr>
        <w:t xml:space="preserve"> </w:t>
      </w:r>
      <w:r w:rsidRPr="00E261BF">
        <w:rPr>
          <w:rFonts w:eastAsiaTheme="minorEastAsia"/>
        </w:rPr>
        <w:t>spraw energii.</w:t>
      </w:r>
    </w:p>
    <w:p w:rsidR="00FA6B40" w:rsidRPr="00E261BF" w:rsidRDefault="00C80B4C" w:rsidP="003835D3">
      <w:pPr>
        <w:widowControl w:val="0"/>
        <w:autoSpaceDE w:val="0"/>
        <w:autoSpaceDN w:val="0"/>
        <w:adjustRightInd w:val="0"/>
        <w:spacing w:before="120" w:line="360" w:lineRule="auto"/>
        <w:jc w:val="both"/>
        <w:rPr>
          <w:rFonts w:eastAsiaTheme="minorEastAsia"/>
        </w:rPr>
      </w:pPr>
      <w:r w:rsidRPr="00E261BF">
        <w:rPr>
          <w:rFonts w:eastAsiaTheme="minorEastAsia"/>
        </w:rPr>
        <w:t>W art. 21</w:t>
      </w:r>
      <w:r w:rsidR="00FA6B40" w:rsidRPr="00E261BF">
        <w:rPr>
          <w:rFonts w:eastAsiaTheme="minorEastAsia"/>
        </w:rPr>
        <w:t xml:space="preserve"> wskazano zasady uczestnictwa wytwórców w aukcji określając sposób złożenia oferty oraz elementy, z których powinna się ona składać. Do najistotniejszych elementów oferty należy:</w:t>
      </w:r>
    </w:p>
    <w:p w:rsidR="00FA6B40" w:rsidRPr="00E261BF" w:rsidRDefault="00FA6B40" w:rsidP="003835D3">
      <w:pPr>
        <w:pStyle w:val="Akapitzlist"/>
        <w:widowControl w:val="0"/>
        <w:numPr>
          <w:ilvl w:val="0"/>
          <w:numId w:val="16"/>
        </w:numPr>
        <w:autoSpaceDE w:val="0"/>
        <w:autoSpaceDN w:val="0"/>
        <w:adjustRightInd w:val="0"/>
        <w:spacing w:line="360" w:lineRule="auto"/>
        <w:ind w:left="284" w:hanging="284"/>
        <w:contextualSpacing w:val="0"/>
        <w:jc w:val="both"/>
        <w:rPr>
          <w:rFonts w:eastAsiaTheme="minorEastAsia"/>
        </w:rPr>
      </w:pPr>
      <w:r w:rsidRPr="00E261BF">
        <w:rPr>
          <w:rFonts w:eastAsiaTheme="minorEastAsia"/>
        </w:rPr>
        <w:t>określenie ilości energii elektrycznej z wysokosprawnej kogeneracji, którą wytwórca zobowiązuje się wytworzyć wraz z jednostkową wysokością premii kogeneracyjnej za</w:t>
      </w:r>
      <w:r w:rsidR="00680107">
        <w:rPr>
          <w:rFonts w:eastAsiaTheme="minorEastAsia"/>
        </w:rPr>
        <w:t xml:space="preserve"> </w:t>
      </w:r>
      <w:r w:rsidRPr="00E261BF">
        <w:rPr>
          <w:rFonts w:eastAsiaTheme="minorEastAsia"/>
        </w:rPr>
        <w:t>jaką wytworzy i sprzeda tę energię,</w:t>
      </w:r>
    </w:p>
    <w:p w:rsidR="00FA6B40" w:rsidRPr="00E261BF" w:rsidRDefault="00FA6B40" w:rsidP="003835D3">
      <w:pPr>
        <w:pStyle w:val="Akapitzlist"/>
        <w:widowControl w:val="0"/>
        <w:numPr>
          <w:ilvl w:val="0"/>
          <w:numId w:val="16"/>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zobowiązanie, że do budowy nowej jednostki kogeneracji albo znacznej modernizacji jednostki kogeneracji zostaną wykorzystane wyłącznie urządzenia wyprodukowane nie później niż w terminie 60 miesięcy, przed dniem wytworzenia po raz pierwszy energii elektrycznej w tej jednostce,</w:t>
      </w:r>
    </w:p>
    <w:p w:rsidR="00FA6B40" w:rsidRPr="00E261BF" w:rsidRDefault="00FA6B40" w:rsidP="003835D3">
      <w:pPr>
        <w:pStyle w:val="Akapitzlist"/>
        <w:widowControl w:val="0"/>
        <w:numPr>
          <w:ilvl w:val="0"/>
          <w:numId w:val="16"/>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wskazanie procentowego udziału ciepła użytkowego w kogeneracji, które zostanie wprowadzone do publicznej sieci ciepłowniczej,</w:t>
      </w:r>
    </w:p>
    <w:p w:rsidR="00FA6B40" w:rsidRPr="00E261BF" w:rsidRDefault="00FA6B40" w:rsidP="003835D3">
      <w:pPr>
        <w:pStyle w:val="Akapitzlist"/>
        <w:widowControl w:val="0"/>
        <w:numPr>
          <w:ilvl w:val="0"/>
          <w:numId w:val="16"/>
        </w:numPr>
        <w:autoSpaceDE w:val="0"/>
        <w:autoSpaceDN w:val="0"/>
        <w:adjustRightInd w:val="0"/>
        <w:spacing w:line="360" w:lineRule="auto"/>
        <w:ind w:left="284" w:hanging="284"/>
        <w:contextualSpacing w:val="0"/>
        <w:jc w:val="both"/>
        <w:rPr>
          <w:rFonts w:eastAsiaTheme="minorEastAsia"/>
        </w:rPr>
      </w:pPr>
      <w:r w:rsidRPr="00E261BF">
        <w:rPr>
          <w:rFonts w:eastAsia="Arial Unicode MS"/>
          <w:u w:color="000000"/>
          <w:bdr w:val="nil"/>
        </w:rPr>
        <w:t>zobowiązanie do wytworzenia po raz pierwszy energii elektrycznej z</w:t>
      </w:r>
      <w:r w:rsidR="004F6B6E">
        <w:rPr>
          <w:rFonts w:eastAsia="Arial Unicode MS"/>
          <w:u w:color="000000"/>
          <w:bdr w:val="nil"/>
        </w:rPr>
        <w:t> </w:t>
      </w:r>
      <w:r w:rsidRPr="00E261BF">
        <w:rPr>
          <w:rFonts w:eastAsia="Arial Unicode MS"/>
          <w:u w:color="000000"/>
          <w:bdr w:val="nil"/>
        </w:rPr>
        <w:t>wysokosprawnej kogeneracji w nowej jednostce ko</w:t>
      </w:r>
      <w:r w:rsidR="004F6B6E">
        <w:rPr>
          <w:rFonts w:eastAsia="Arial Unicode MS"/>
          <w:u w:color="000000"/>
          <w:bdr w:val="nil"/>
        </w:rPr>
        <w:t>generacji, w terminie 48 lub 60 </w:t>
      </w:r>
      <w:r w:rsidRPr="00E261BF">
        <w:rPr>
          <w:rFonts w:eastAsia="Arial Unicode MS"/>
          <w:u w:color="000000"/>
          <w:bdr w:val="nil"/>
        </w:rPr>
        <w:t>miesięcy od dnia zamknięcia aukcji, w zależności od rodzaju jednostki kogeneracji.</w:t>
      </w:r>
    </w:p>
    <w:p w:rsidR="00FA6B40" w:rsidRPr="00E261BF" w:rsidRDefault="00C80B4C"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lastRenderedPageBreak/>
        <w:t>Zgodnie z art. 22</w:t>
      </w:r>
      <w:r w:rsidR="00FA6B40" w:rsidRPr="00E261BF">
        <w:rPr>
          <w:rFonts w:eastAsia="Arial Unicode MS"/>
          <w:u w:color="000000"/>
          <w:bdr w:val="nil"/>
        </w:rPr>
        <w:t xml:space="preserve"> aukcję wygrywają uczestnicy aukcji, którzy zaoferowali najniższą wartość premii kogeneracyjnej, aż do wyczerpania maksymalnej ilości lub wartości energii elektrycznej określonej w ogłoszeniu o aukcji. W przedmiotowej jednostce redakcyjnej uregulowane zostały również kwestie związane z sytuacją braku wyczerpania maksymalnej ilości lub wartości en</w:t>
      </w:r>
      <w:r w:rsidR="004F6B6E">
        <w:rPr>
          <w:rFonts w:eastAsia="Arial Unicode MS"/>
          <w:u w:color="000000"/>
          <w:bdr w:val="nil"/>
        </w:rPr>
        <w:t>ergii elektrycznej określonej w </w:t>
      </w:r>
      <w:r w:rsidR="00FA6B40" w:rsidRPr="00E261BF">
        <w:rPr>
          <w:rFonts w:eastAsia="Arial Unicode MS"/>
          <w:u w:color="000000"/>
          <w:bdr w:val="nil"/>
        </w:rPr>
        <w:t>ogłoszeniu o aukcji, złożenia ofert o tej samej wys</w:t>
      </w:r>
      <w:r w:rsidR="004F6B6E">
        <w:rPr>
          <w:rFonts w:eastAsia="Arial Unicode MS"/>
          <w:u w:color="000000"/>
          <w:bdr w:val="nil"/>
        </w:rPr>
        <w:t>okości premii kogeneracyjnej, a </w:t>
      </w:r>
      <w:r w:rsidR="00FA6B40" w:rsidRPr="00E261BF">
        <w:rPr>
          <w:rFonts w:eastAsia="Arial Unicode MS"/>
          <w:u w:color="000000"/>
          <w:bdr w:val="nil"/>
        </w:rPr>
        <w:t>także przekroczenia maksymalnej ilości lub</w:t>
      </w:r>
      <w:r w:rsidR="00680107">
        <w:rPr>
          <w:rFonts w:eastAsia="Arial Unicode MS"/>
          <w:u w:color="000000"/>
          <w:bdr w:val="nil"/>
        </w:rPr>
        <w:t xml:space="preserve"> </w:t>
      </w:r>
      <w:r w:rsidR="00FA6B40" w:rsidRPr="00E261BF">
        <w:rPr>
          <w:rFonts w:eastAsia="Arial Unicode MS"/>
          <w:u w:color="000000"/>
          <w:bdr w:val="nil"/>
        </w:rPr>
        <w:t>wartości en</w:t>
      </w:r>
      <w:r w:rsidR="004F6B6E">
        <w:rPr>
          <w:rFonts w:eastAsia="Arial Unicode MS"/>
          <w:u w:color="000000"/>
          <w:bdr w:val="nil"/>
        </w:rPr>
        <w:t>ergii elektrycznej określonej w </w:t>
      </w:r>
      <w:r w:rsidR="00FA6B40" w:rsidRPr="00E261BF">
        <w:rPr>
          <w:rFonts w:eastAsia="Arial Unicode MS"/>
          <w:u w:color="000000"/>
          <w:bdr w:val="nil"/>
        </w:rPr>
        <w:t>ogłoszeniu o aukcji.</w:t>
      </w:r>
    </w:p>
    <w:p w:rsidR="00FA6B40" w:rsidRPr="00E261BF" w:rsidRDefault="00C80B4C"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23</w:t>
      </w:r>
      <w:r w:rsidR="00FA6B40" w:rsidRPr="00E261BF">
        <w:rPr>
          <w:rFonts w:eastAsia="Arial Unicode MS"/>
          <w:u w:color="000000"/>
          <w:bdr w:val="nil"/>
        </w:rPr>
        <w:t xml:space="preserve"> wskazano kiedy Prezes URE zamyka sesję aukcji oraz wskazano zobowiązania Prezesa URE do poinformowania o rozstrzygnięciu lub o braku rozstrzygnięcia aukcji albo o jej unieważnieniu.</w:t>
      </w:r>
    </w:p>
    <w:p w:rsidR="00FA6B40" w:rsidRPr="00E261BF" w:rsidRDefault="00C80B4C"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24</w:t>
      </w:r>
      <w:r w:rsidR="00FA6B40" w:rsidRPr="00E261BF">
        <w:rPr>
          <w:rFonts w:eastAsia="Arial Unicode MS"/>
          <w:u w:color="000000"/>
          <w:bdr w:val="nil"/>
        </w:rPr>
        <w:t xml:space="preserve"> uregulowano kwestię wypłaty przez operatora rozliczeń premii kogeneracyjnej wytwórcy, który wygrał aukcję. </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 celu wypłaty premii kogeneracyjnej, uprawniony wytwórca </w:t>
      </w:r>
      <w:r w:rsidRPr="00E261BF">
        <w:rPr>
          <w:rFonts w:eastAsia="Arial Unicode MS"/>
          <w:bCs/>
          <w:u w:color="000000"/>
          <w:bdr w:val="nil"/>
        </w:rPr>
        <w:t xml:space="preserve">jednorazowo informuje operatora rozliczeń o dacie wytworzenia po raz pierwszy energii elektrycznej </w:t>
      </w:r>
      <w:r w:rsidR="004F6B6E">
        <w:rPr>
          <w:rFonts w:eastAsia="Arial Unicode MS"/>
          <w:u w:color="000000"/>
          <w:bdr w:val="nil"/>
        </w:rPr>
        <w:t>z </w:t>
      </w:r>
      <w:r w:rsidRPr="00E261BF">
        <w:rPr>
          <w:rFonts w:eastAsia="Arial Unicode MS"/>
          <w:u w:color="000000"/>
          <w:bdr w:val="nil"/>
        </w:rPr>
        <w:t>wysokosprawnej kogeneracji,</w:t>
      </w:r>
      <w:r w:rsidRPr="00E261BF">
        <w:rPr>
          <w:rFonts w:eastAsia="Arial Unicode MS"/>
          <w:bCs/>
          <w:u w:color="000000"/>
          <w:bdr w:val="nil"/>
        </w:rPr>
        <w:t xml:space="preserve"> </w:t>
      </w:r>
      <w:r w:rsidRPr="00E261BF">
        <w:rPr>
          <w:rFonts w:eastAsia="Arial Unicode MS"/>
          <w:u w:color="000000"/>
          <w:bdr w:val="nil"/>
        </w:rPr>
        <w:t>potwierdzonej przez operatora sieci przesyłowej elektroenergetycznej lub operatora sieci dystrybucyjnej elektroenergetycznej,</w:t>
      </w:r>
      <w:r w:rsidR="004F6B6E">
        <w:rPr>
          <w:rFonts w:eastAsia="Arial Unicode MS"/>
          <w:bCs/>
          <w:u w:color="000000"/>
          <w:bdr w:val="nil"/>
        </w:rPr>
        <w:t xml:space="preserve"> w </w:t>
      </w:r>
      <w:r w:rsidRPr="00E261BF">
        <w:rPr>
          <w:rFonts w:eastAsia="Arial Unicode MS"/>
          <w:bCs/>
          <w:u w:color="000000"/>
          <w:bdr w:val="nil"/>
        </w:rPr>
        <w:t>terminie 30</w:t>
      </w:r>
      <w:r w:rsidR="00680107">
        <w:rPr>
          <w:rFonts w:eastAsia="Arial Unicode MS"/>
          <w:bCs/>
          <w:u w:color="000000"/>
          <w:bdr w:val="nil"/>
        </w:rPr>
        <w:t xml:space="preserve"> </w:t>
      </w:r>
      <w:r w:rsidRPr="00E261BF">
        <w:rPr>
          <w:rFonts w:eastAsia="Arial Unicode MS"/>
          <w:bCs/>
          <w:u w:color="000000"/>
          <w:bdr w:val="nil"/>
        </w:rPr>
        <w:t>dni od tej daty</w:t>
      </w:r>
      <w:r w:rsidRPr="00E261BF">
        <w:rPr>
          <w:rFonts w:eastAsia="Arial Unicode MS"/>
          <w:u w:color="000000"/>
          <w:bdr w:val="nil"/>
        </w:rPr>
        <w:t xml:space="preserve"> oraz każdorazowo składa wniosek do operatora rozliczeń o wypłatę premii kogeneracyjnej, który zawiera m.in. </w:t>
      </w:r>
      <w:r w:rsidRPr="00E261BF">
        <w:rPr>
          <w:rFonts w:eastAsia="Arial Unicode MS"/>
          <w:bCs/>
          <w:u w:color="000000"/>
          <w:bdr w:val="nil"/>
        </w:rPr>
        <w:t>informację na temat ilości energii elektrycznej z wysokosprawnej kogeneracji, wytworzonej w jednostce kogeneracji, wprowadzonej do sieci i sprzedanej dla okresu rozliczeniowego objętego wnioskiem oraz o wysokości premii kogeneracyjnej wynikającej z tej ilości energii. Co istotne wytwórca przekazuje wniosek w terminie 45 dni po zakończeniu każdego kolejnego miesiąca kalendarzowego, pod rygorem utraty prawa do wypłaty premii kogeneracyjnej za dany okres rozliczeniowy w przypadku niedotrzymania tego terminu.</w:t>
      </w:r>
      <w:r w:rsidRPr="00E261BF">
        <w:rPr>
          <w:rFonts w:eastAsia="Arial Unicode MS"/>
          <w:u w:color="000000"/>
          <w:bdr w:val="nil"/>
        </w:rPr>
        <w:t xml:space="preserve"> Dopuszczona będzie również możliwość rozliczania premii kogeneracyjnej za okres więcej niż jednego następującego po sobie miesiąca kalendarzowe</w:t>
      </w:r>
      <w:r w:rsidR="004F6B6E">
        <w:rPr>
          <w:rFonts w:eastAsia="Arial Unicode MS"/>
          <w:u w:color="000000"/>
          <w:bdr w:val="nil"/>
        </w:rPr>
        <w:t>go, nie więcej jednak niż za 12 </w:t>
      </w:r>
      <w:r w:rsidRPr="00E261BF">
        <w:rPr>
          <w:rFonts w:eastAsia="Arial Unicode MS"/>
          <w:u w:color="000000"/>
          <w:bdr w:val="nil"/>
        </w:rPr>
        <w:t>miesięcy kalendarzowych – w terminie 45 dni po zakończeniu ostatniego z tych miesięcy.</w:t>
      </w:r>
    </w:p>
    <w:p w:rsidR="00FA6B40" w:rsidRPr="00E261BF" w:rsidRDefault="00C80B4C" w:rsidP="003835D3">
      <w:pPr>
        <w:widowControl w:val="0"/>
        <w:autoSpaceDE w:val="0"/>
        <w:autoSpaceDN w:val="0"/>
        <w:adjustRightInd w:val="0"/>
        <w:spacing w:before="120" w:line="360" w:lineRule="auto"/>
        <w:jc w:val="both"/>
        <w:rPr>
          <w:rFonts w:eastAsia="Arial Unicode MS"/>
          <w:u w:color="000000"/>
          <w:bdr w:val="nil"/>
        </w:rPr>
      </w:pPr>
      <w:r w:rsidRPr="00E261BF">
        <w:rPr>
          <w:rFonts w:eastAsiaTheme="minorEastAsia"/>
        </w:rPr>
        <w:t>W art. 2</w:t>
      </w:r>
      <w:r w:rsidR="00190547">
        <w:rPr>
          <w:rFonts w:eastAsiaTheme="minorEastAsia"/>
        </w:rPr>
        <w:t>7</w:t>
      </w:r>
      <w:r w:rsidR="00FA6B40" w:rsidRPr="00E261BF">
        <w:rPr>
          <w:rFonts w:eastAsiaTheme="minorEastAsia"/>
        </w:rPr>
        <w:t xml:space="preserve"> określono wymóg przedstawienia dokumentacji umożliwiającej ocenę, czy </w:t>
      </w:r>
      <w:r w:rsidR="004F6B6E">
        <w:rPr>
          <w:rFonts w:eastAsia="Arial Unicode MS"/>
          <w:u w:color="000000"/>
          <w:bdr w:val="nil"/>
        </w:rPr>
        <w:t>w </w:t>
      </w:r>
      <w:r w:rsidR="00FA6B40" w:rsidRPr="00E261BF">
        <w:rPr>
          <w:rFonts w:eastAsia="Arial Unicode MS"/>
          <w:u w:color="000000"/>
          <w:bdr w:val="nil"/>
        </w:rPr>
        <w:t xml:space="preserve">czasie budowy nowej jednostki kogeneracji albo znacznej modernizacji jednostki kogeneracji zostały wyprodukowane nie później niż w terminie 60 miesięcy, przed </w:t>
      </w:r>
      <w:r w:rsidR="00FA6B40" w:rsidRPr="00E261BF">
        <w:rPr>
          <w:rFonts w:eastAsia="Arial Unicode MS"/>
          <w:u w:color="000000"/>
          <w:bdr w:val="nil"/>
        </w:rPr>
        <w:lastRenderedPageBreak/>
        <w:t>dniem wytworzenia po raz pierwszy energii elektrycznej w nowej albo znacznie zmodernizowanej jednostce kogeneracji. W przypadku niespełnienia wymogu, wytwórca traci możliwość korzystania ze wsparcia.</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Ponadto wytwórca, który wygrał aukcję zobowiązany jest do ustalania na podstawie rzeczywistych wskazań urządzeń pomiarowo – rozliczeniowych, ilość energii elektrycznej wytworzonej z wysokosprawnej kogeneracji w jednostce kogeneracji, wprowadzonej do sieci i sprzedanej, za którą wytwórcy przysługuje wypłata premii kogeneracyjnej oraz prowadzenia dokumentacji w ujęciu dobowym dotyczącej ilości, wyrażonej w kWh, wytworzonej z wysokosprawnej kogeneracji, wprowadzonej do sieci i sprzedanej w danym miesiącu oraz</w:t>
      </w:r>
      <w:r w:rsidR="00680107">
        <w:rPr>
          <w:rFonts w:eastAsia="Arial Unicode MS"/>
          <w:u w:color="000000"/>
          <w:bdr w:val="nil"/>
        </w:rPr>
        <w:t xml:space="preserve"> </w:t>
      </w:r>
      <w:r w:rsidRPr="00E261BF">
        <w:rPr>
          <w:rFonts w:eastAsia="Arial Unicode MS"/>
          <w:u w:color="000000"/>
          <w:bdr w:val="nil"/>
        </w:rPr>
        <w:t>potwierdza</w:t>
      </w:r>
      <w:r w:rsidR="004F6B6E">
        <w:rPr>
          <w:rFonts w:eastAsia="Arial Unicode MS"/>
          <w:u w:color="000000"/>
          <w:bdr w:val="nil"/>
        </w:rPr>
        <w:t>jącej ilość ciepła użytkowego w </w:t>
      </w:r>
      <w:r w:rsidRPr="00E261BF">
        <w:rPr>
          <w:rFonts w:eastAsia="Arial Unicode MS"/>
          <w:u w:color="000000"/>
          <w:bdr w:val="nil"/>
        </w:rPr>
        <w:t>kogeneracji wprowadzonego do publicznej sieci ciepłowniczej,</w:t>
      </w:r>
      <w:r w:rsidR="004F6B6E">
        <w:rPr>
          <w:rFonts w:eastAsia="Arial Unicode MS"/>
          <w:u w:color="000000"/>
          <w:bdr w:val="nil"/>
        </w:rPr>
        <w:t xml:space="preserve"> wyrażonej w </w:t>
      </w:r>
      <w:r w:rsidR="00C80B4C" w:rsidRPr="00E261BF">
        <w:rPr>
          <w:rFonts w:eastAsia="Arial Unicode MS"/>
          <w:u w:color="000000"/>
          <w:bdr w:val="nil"/>
        </w:rPr>
        <w:t xml:space="preserve">procentach (art. 24 i </w:t>
      </w:r>
      <w:r w:rsidR="00190547">
        <w:rPr>
          <w:rFonts w:eastAsia="Arial Unicode MS"/>
          <w:u w:color="000000"/>
          <w:bdr w:val="nil"/>
        </w:rPr>
        <w:t xml:space="preserve">art. </w:t>
      </w:r>
      <w:r w:rsidR="00C80B4C" w:rsidRPr="00E261BF">
        <w:rPr>
          <w:rFonts w:eastAsia="Arial Unicode MS"/>
          <w:u w:color="000000"/>
          <w:bdr w:val="nil"/>
        </w:rPr>
        <w:t>28</w:t>
      </w:r>
      <w:r w:rsidRPr="00E261BF">
        <w:rPr>
          <w:rFonts w:eastAsia="Arial Unicode MS"/>
          <w:u w:color="000000"/>
          <w:bdr w:val="nil"/>
        </w:rPr>
        <w:t>). Dopuszczona będzie jednak możliwość określenia ilości energii elektrycznej wytworzonej, wprowadzonej do sieci i</w:t>
      </w:r>
      <w:r w:rsidR="00680107">
        <w:rPr>
          <w:rFonts w:eastAsia="Arial Unicode MS"/>
          <w:u w:color="000000"/>
          <w:bdr w:val="nil"/>
        </w:rPr>
        <w:t xml:space="preserve"> </w:t>
      </w:r>
      <w:r w:rsidR="004F6B6E">
        <w:rPr>
          <w:rFonts w:eastAsia="Arial Unicode MS"/>
          <w:u w:color="000000"/>
          <w:bdr w:val="nil"/>
        </w:rPr>
        <w:t>sprzedanej w oparciu o </w:t>
      </w:r>
      <w:r w:rsidRPr="00E261BF">
        <w:rPr>
          <w:rFonts w:eastAsia="Arial Unicode MS"/>
          <w:u w:color="000000"/>
          <w:bdr w:val="nil"/>
        </w:rPr>
        <w:t xml:space="preserve">metodę proporcjonalną, której zasady zostaną określone </w:t>
      </w:r>
      <w:r w:rsidRPr="00E261BF">
        <w:rPr>
          <w:rFonts w:eastAsia="Arial Unicode MS"/>
        </w:rPr>
        <w:t>w</w:t>
      </w:r>
      <w:r w:rsidR="00680107">
        <w:rPr>
          <w:rFonts w:eastAsia="Arial Unicode MS"/>
        </w:rPr>
        <w:t xml:space="preserve"> </w:t>
      </w:r>
      <w:r w:rsidRPr="00E261BF">
        <w:rPr>
          <w:rFonts w:eastAsia="Arial Unicode MS"/>
        </w:rPr>
        <w:t>rozporządzeniu</w:t>
      </w:r>
      <w:r w:rsidRPr="00E261BF">
        <w:rPr>
          <w:rFonts w:eastAsia="Arial Unicode MS"/>
          <w:u w:color="000000"/>
          <w:bdr w:val="nil"/>
        </w:rPr>
        <w:t xml:space="preserve"> wydanym przez ministra właściwego do spraw energii (art. </w:t>
      </w:r>
      <w:r w:rsidR="00190547">
        <w:rPr>
          <w:rFonts w:eastAsia="Arial Unicode MS"/>
          <w:u w:color="000000"/>
          <w:bdr w:val="nil"/>
        </w:rPr>
        <w:t>58</w:t>
      </w:r>
      <w:r w:rsidRPr="00E261BF">
        <w:rPr>
          <w:rFonts w:eastAsia="Arial Unicode MS"/>
          <w:u w:color="000000"/>
          <w:bdr w:val="nil"/>
        </w:rPr>
        <w:t>).</w:t>
      </w:r>
      <w:r w:rsidR="00680107">
        <w:rPr>
          <w:rFonts w:eastAsia="Arial Unicode MS"/>
          <w:u w:color="000000"/>
          <w:bdr w:val="nil"/>
        </w:rPr>
        <w:t xml:space="preserve"> </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bCs/>
          <w:u w:color="000000"/>
          <w:bdr w:val="nil"/>
        </w:rPr>
        <w:t xml:space="preserve">Istotnym elementem mechanizmu wsparcia w postaci premii kogeneracyjnej jest fakt, iż jednostkowa wysokość premii kogeneracyjnej wskazanej w zwycięskiej aukcji podlega </w:t>
      </w:r>
      <w:r w:rsidRPr="00E261BF">
        <w:rPr>
          <w:rFonts w:eastAsia="Arial Unicode MS"/>
          <w:u w:color="000000"/>
          <w:bdr w:val="nil"/>
        </w:rPr>
        <w:t>corocznej waloryzacji średniorocznym wskaźnikiem cen towarów i usług konsumpcyjnych ogółem z poprzedni</w:t>
      </w:r>
      <w:r w:rsidR="00C80B4C" w:rsidRPr="00E261BF">
        <w:rPr>
          <w:rFonts w:eastAsia="Arial Unicode MS"/>
          <w:u w:color="000000"/>
          <w:bdr w:val="nil"/>
        </w:rPr>
        <w:t>ego roku kalendarzowego (art. 26</w:t>
      </w:r>
      <w:r w:rsidRPr="00E261BF">
        <w:rPr>
          <w:rFonts w:eastAsia="Arial Unicode MS"/>
          <w:u w:color="000000"/>
          <w:bdr w:val="nil"/>
        </w:rPr>
        <w:t>).</w:t>
      </w:r>
    </w:p>
    <w:p w:rsidR="00FA6B40" w:rsidRPr="00E261BF" w:rsidRDefault="00C80B4C"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Zgodnie z art. 28</w:t>
      </w:r>
      <w:r w:rsidR="00FA6B40" w:rsidRPr="00E261BF">
        <w:rPr>
          <w:rFonts w:eastAsia="Arial Unicode MS"/>
          <w:u w:color="000000"/>
          <w:bdr w:val="nil"/>
        </w:rPr>
        <w:t>, wypłata należnych środków z tytułu premii kogeneracyjnej następuje w terminie 30 dni od dnia złożenia wniosku o wypłatę.</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4 – </w:t>
      </w:r>
      <w:r w:rsidRPr="00E261BF">
        <w:rPr>
          <w:b/>
          <w:bCs/>
        </w:rPr>
        <w:t>Zasady uczestnictwa w systemie wsparcia w formie premii gwarantowanej dla wytwórców energii elektrycznej z wyso</w:t>
      </w:r>
      <w:r w:rsidR="00C80B4C" w:rsidRPr="00E261BF">
        <w:rPr>
          <w:b/>
          <w:bCs/>
        </w:rPr>
        <w:t>kosprawnej kogeneracji – art. 29</w:t>
      </w:r>
      <w:r w:rsidR="00680107">
        <w:rPr>
          <w:b/>
          <w:bCs/>
        </w:rPr>
        <w:t>–</w:t>
      </w:r>
      <w:r w:rsidR="00C80B4C" w:rsidRPr="00E261BF">
        <w:rPr>
          <w:b/>
          <w:bCs/>
        </w:rPr>
        <w:t>35</w:t>
      </w:r>
    </w:p>
    <w:p w:rsidR="00FA6B40" w:rsidRPr="00E261BF" w:rsidRDefault="004227B1" w:rsidP="003835D3">
      <w:pPr>
        <w:pStyle w:val="Akapitzlist"/>
        <w:widowControl w:val="0"/>
        <w:numPr>
          <w:ilvl w:val="0"/>
          <w:numId w:val="17"/>
        </w:numPr>
        <w:autoSpaceDE w:val="0"/>
        <w:autoSpaceDN w:val="0"/>
        <w:adjustRightInd w:val="0"/>
        <w:spacing w:before="120" w:line="360" w:lineRule="auto"/>
        <w:ind w:left="284" w:hanging="284"/>
        <w:contextualSpacing w:val="0"/>
        <w:jc w:val="both"/>
        <w:rPr>
          <w:rFonts w:eastAsiaTheme="minorEastAsia"/>
          <w:b/>
          <w:bCs/>
        </w:rPr>
      </w:pPr>
      <w:r w:rsidRPr="00E261BF">
        <w:rPr>
          <w:rFonts w:eastAsiaTheme="minorEastAsia"/>
          <w:b/>
          <w:bCs/>
        </w:rPr>
        <w:t>Zasady ogólne – art. 29</w:t>
      </w:r>
    </w:p>
    <w:p w:rsidR="00FA6B40" w:rsidRPr="00E261BF" w:rsidRDefault="00FA6B40" w:rsidP="003835D3">
      <w:pPr>
        <w:widowControl w:val="0"/>
        <w:autoSpaceDE w:val="0"/>
        <w:autoSpaceDN w:val="0"/>
        <w:adjustRightInd w:val="0"/>
        <w:spacing w:before="120" w:line="360" w:lineRule="auto"/>
        <w:jc w:val="both"/>
        <w:rPr>
          <w:rFonts w:eastAsiaTheme="minorEastAsia"/>
          <w:bCs/>
        </w:rPr>
      </w:pPr>
      <w:r w:rsidRPr="00E261BF">
        <w:rPr>
          <w:rFonts w:eastAsiaTheme="minorEastAsia"/>
          <w:bCs/>
        </w:rPr>
        <w:t>W przypadku jednostek kogeneracji, których wytwórcy mogą uzyskać wsparcie w</w:t>
      </w:r>
      <w:r w:rsidR="004F6B6E">
        <w:rPr>
          <w:rFonts w:eastAsiaTheme="minorEastAsia"/>
          <w:bCs/>
        </w:rPr>
        <w:t> </w:t>
      </w:r>
      <w:r w:rsidRPr="00E261BF">
        <w:rPr>
          <w:rFonts w:eastAsiaTheme="minorEastAsia"/>
          <w:bCs/>
        </w:rPr>
        <w:t xml:space="preserve">postaci premii gwarantowanej, cały proces związany z dostępem do mechanizmu został uproszczony z uwagi na fakt, iż dotyczy on istniejących jednostek kogeneracji (ewentualnie jednostek zmodernizowanych), a zatem wsparcie powinno zostać udzielone wszystkim wytwórcom, w wysokości niezbędnej do utrzymania produkcji energii w tych jednostkach kogeneracji. Wyjątkiem w tym obszarze jest fakt, iż uproszczone procedury związane z udzieleniem premii gwarantowanej dotyczą też </w:t>
      </w:r>
      <w:r w:rsidRPr="00E261BF">
        <w:rPr>
          <w:rFonts w:eastAsiaTheme="minorEastAsia"/>
          <w:bCs/>
        </w:rPr>
        <w:lastRenderedPageBreak/>
        <w:t>wszystkich małych jednostek kogeneracji (w tym nowych), co ma na celu promowanie wykorzystania tego typu rozproszonych źródeł wszędzie tam, gdzie nie zawsze istnieje możliwość rozwoju sieci ciepłowniczej.</w:t>
      </w:r>
    </w:p>
    <w:p w:rsidR="00FA6B40" w:rsidRPr="00E261BF" w:rsidRDefault="00FA6B40" w:rsidP="003835D3">
      <w:pPr>
        <w:widowControl w:val="0"/>
        <w:autoSpaceDE w:val="0"/>
        <w:autoSpaceDN w:val="0"/>
        <w:adjustRightInd w:val="0"/>
        <w:spacing w:before="120" w:line="360" w:lineRule="auto"/>
        <w:jc w:val="both"/>
        <w:rPr>
          <w:rFonts w:eastAsiaTheme="minorEastAsia"/>
          <w:bCs/>
        </w:rPr>
      </w:pPr>
      <w:r w:rsidRPr="00E261BF">
        <w:rPr>
          <w:rFonts w:eastAsia="Calibri"/>
          <w:lang w:eastAsia="en-US"/>
        </w:rPr>
        <w:t xml:space="preserve">Należy podkreślić, że do możliwości wnioskowania o wypłatę premii gwarantowanej będzie mógł zostać dopuszczony jedynie </w:t>
      </w:r>
      <w:r w:rsidRPr="00E261BF">
        <w:t xml:space="preserve">wytwórca, którego jednostka kogeneracji spełni jednostkowy wskaźnik emisji dwutlenku węgla na poziomie </w:t>
      </w:r>
      <w:r w:rsidR="00190547">
        <w:t>nie wyższym niż</w:t>
      </w:r>
      <w:r w:rsidRPr="00E261BF">
        <w:t xml:space="preserve"> 450 kg na</w:t>
      </w:r>
      <w:r w:rsidR="00680107">
        <w:t xml:space="preserve"> </w:t>
      </w:r>
      <w:r w:rsidRPr="00E261BF">
        <w:t>1 MWh wytwarzanej energii.</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Istotnym elementem systemu wsparcia w postaci premii gwarantowanej jest konieczność wprowadzania do publicznej sieci ci</w:t>
      </w:r>
      <w:r w:rsidR="004F6B6E">
        <w:rPr>
          <w:rFonts w:eastAsiaTheme="minorEastAsia"/>
        </w:rPr>
        <w:t>epłowniczej ciepła użytkowego w </w:t>
      </w:r>
      <w:r w:rsidRPr="00E261BF">
        <w:rPr>
          <w:rFonts w:eastAsiaTheme="minorEastAsia"/>
        </w:rPr>
        <w:t>kogeneracji. W tym obszarze wprowadzono</w:t>
      </w:r>
      <w:r w:rsidR="004F6B6E">
        <w:rPr>
          <w:rFonts w:eastAsiaTheme="minorEastAsia"/>
        </w:rPr>
        <w:t xml:space="preserve"> regulacje, zgodnie z którymi</w:t>
      </w:r>
      <w:r w:rsidR="00E36AF7">
        <w:rPr>
          <w:rFonts w:eastAsiaTheme="minorEastAsia"/>
        </w:rPr>
        <w:t>,</w:t>
      </w:r>
      <w:r w:rsidR="004F6B6E">
        <w:rPr>
          <w:rFonts w:eastAsiaTheme="minorEastAsia"/>
        </w:rPr>
        <w:t xml:space="preserve"> w </w:t>
      </w:r>
      <w:r w:rsidRPr="00E261BF">
        <w:rPr>
          <w:rFonts w:eastAsiaTheme="minorEastAsia"/>
        </w:rPr>
        <w:t>przypadku gdy nie mniej niż 70% przedmiotowego ciepła wprowadzane jest do publicznej sieci ciepłowniczej, całość energii elektrycznej może zostać objęta premią kogeneracyjną, natomiast, gdy mniej niż 70% tego ciepła wprowadzane jest do publicznej sieci ciepłowniczej, tylko część energii elektrycznej odpowiadająca procentowemu udziałowi tego ciepła wprowadzonego do</w:t>
      </w:r>
      <w:r w:rsidR="00680107">
        <w:rPr>
          <w:rFonts w:eastAsiaTheme="minorEastAsia"/>
        </w:rPr>
        <w:t xml:space="preserve"> </w:t>
      </w:r>
      <w:r w:rsidRPr="00E261BF">
        <w:rPr>
          <w:rFonts w:eastAsiaTheme="minorEastAsia"/>
        </w:rPr>
        <w:t>publicznej sieci ciepłowniczej może zostać objęta premią kogeneracyjną. Wyjątkiem od tej zasady są małe jednostki kogeneracji, a także istniejące i zmodernizowane jednostki kogeneracji</w:t>
      </w:r>
      <w:r w:rsidR="00680107">
        <w:rPr>
          <w:rFonts w:eastAsiaTheme="minorEastAsia"/>
        </w:rPr>
        <w:t xml:space="preserve"> </w:t>
      </w:r>
      <w:r w:rsidRPr="00E261BF">
        <w:rPr>
          <w:rFonts w:eastAsiaTheme="minorEastAsia"/>
        </w:rPr>
        <w:t xml:space="preserve">o mocy zainstalowanej elektrycznej do 50 MW, opalane metanem </w:t>
      </w:r>
      <w:r w:rsidRPr="00E261BF">
        <w:t>uwalnianym i</w:t>
      </w:r>
      <w:r w:rsidR="00680107">
        <w:t xml:space="preserve"> </w:t>
      </w:r>
      <w:r w:rsidRPr="00E261BF">
        <w:t>ujmowanym przy dołowych robotach górniczych w czynnych, likwidowanych lub</w:t>
      </w:r>
      <w:r w:rsidR="00680107">
        <w:t xml:space="preserve"> </w:t>
      </w:r>
      <w:r w:rsidRPr="00E261BF">
        <w:t>zlikwidowanych kopalniach węgla kamiennego,</w:t>
      </w:r>
      <w:r w:rsidRPr="00E261BF">
        <w:rPr>
          <w:rFonts w:eastAsiaTheme="minorEastAsia"/>
        </w:rPr>
        <w:t xml:space="preserve"> z uwagi na fakt, iż ich budowa bądź aktualne umiejscowienie dotyczyć będzie lub dotyczy w większości lokalizacji, w których przyłączenie do publicznej sieci ciepłowniczej będzie lub jest niemożliwe. Powyższe wyłączenie dla istniejących i zmodernizowanych jednostek opalanych metanem kopalnianym wynika z faktu, że ze względów bezpieczeństwa pracy w zakładach górniczych w przypadku partii pokładów, w których występuje bądź może występować zagrożenie metanowe, niezbędne jest prowadzenie odmetanowania, a jeżeli nie zostanie on zagospodarowany na</w:t>
      </w:r>
      <w:r w:rsidR="00680107">
        <w:rPr>
          <w:rFonts w:eastAsiaTheme="minorEastAsia"/>
        </w:rPr>
        <w:t xml:space="preserve"> </w:t>
      </w:r>
      <w:r w:rsidRPr="00E261BF">
        <w:rPr>
          <w:rFonts w:eastAsiaTheme="minorEastAsia"/>
        </w:rPr>
        <w:t>potrzeby wytwarzania energii elektrycznej i ciepła (lub chłodu) w skojarzeniu, gaz kopalniany w znacznej części</w:t>
      </w:r>
      <w:r w:rsidR="004F6B6E">
        <w:rPr>
          <w:rFonts w:eastAsiaTheme="minorEastAsia"/>
        </w:rPr>
        <w:t xml:space="preserve"> zostanie spalony w pochodni, a </w:t>
      </w:r>
      <w:r w:rsidRPr="00E261BF">
        <w:rPr>
          <w:rFonts w:eastAsiaTheme="minorEastAsia"/>
        </w:rPr>
        <w:t>zanieczyszczenia zostaną wyemitowane do atmosfery.</w:t>
      </w:r>
      <w:r w:rsidR="00680107">
        <w:rPr>
          <w:rFonts w:eastAsiaTheme="minorEastAsia"/>
        </w:rPr>
        <w:t xml:space="preserve"> </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Dodatkową preferencją dla wyżej wymienionych jedno</w:t>
      </w:r>
      <w:r w:rsidR="004F6B6E">
        <w:rPr>
          <w:rFonts w:eastAsiaTheme="minorEastAsia"/>
        </w:rPr>
        <w:t>stek jest przyznanie wsparcia w </w:t>
      </w:r>
      <w:r w:rsidRPr="00E261BF">
        <w:rPr>
          <w:rFonts w:eastAsiaTheme="minorEastAsia"/>
        </w:rPr>
        <w:t xml:space="preserve">postaci premii gwarantowanej na całą wytworzoną energię elektryczna, a nie tak jak jest to w przypadku pozostałych jednostek kogeneracji </w:t>
      </w:r>
      <w:r w:rsidR="00680107">
        <w:rPr>
          <w:rFonts w:eastAsiaTheme="minorEastAsia"/>
        </w:rPr>
        <w:t>–</w:t>
      </w:r>
      <w:r w:rsidRPr="00E261BF">
        <w:rPr>
          <w:rFonts w:eastAsiaTheme="minorEastAsia"/>
        </w:rPr>
        <w:t xml:space="preserve"> na wytworzoną, wprowadzoną </w:t>
      </w:r>
      <w:r w:rsidRPr="00E261BF">
        <w:rPr>
          <w:rFonts w:eastAsiaTheme="minorEastAsia"/>
        </w:rPr>
        <w:lastRenderedPageBreak/>
        <w:t>do sieci i sprzedaną energię elektryczn</w:t>
      </w:r>
      <w:r w:rsidR="00190547">
        <w:rPr>
          <w:rFonts w:eastAsiaTheme="minorEastAsia"/>
        </w:rPr>
        <w:t>ą</w:t>
      </w:r>
      <w:r w:rsidRPr="00E261BF">
        <w:rPr>
          <w:rFonts w:eastAsiaTheme="minorEastAsia"/>
        </w:rPr>
        <w:t xml:space="preserve">. </w:t>
      </w:r>
    </w:p>
    <w:p w:rsidR="00FA6B40" w:rsidRPr="00E261BF" w:rsidRDefault="00FA6B40" w:rsidP="003835D3">
      <w:pPr>
        <w:pStyle w:val="Akapitzlist"/>
        <w:widowControl w:val="0"/>
        <w:numPr>
          <w:ilvl w:val="0"/>
          <w:numId w:val="17"/>
        </w:numPr>
        <w:autoSpaceDE w:val="0"/>
        <w:autoSpaceDN w:val="0"/>
        <w:adjustRightInd w:val="0"/>
        <w:spacing w:before="120" w:line="360" w:lineRule="auto"/>
        <w:ind w:left="284" w:hanging="284"/>
        <w:contextualSpacing w:val="0"/>
        <w:jc w:val="both"/>
        <w:rPr>
          <w:rFonts w:eastAsiaTheme="minorEastAsia"/>
          <w:b/>
          <w:bCs/>
        </w:rPr>
      </w:pPr>
      <w:r w:rsidRPr="00E261BF">
        <w:rPr>
          <w:rFonts w:eastAsiaTheme="minorEastAsia"/>
          <w:b/>
          <w:bCs/>
        </w:rPr>
        <w:t>Dopuszczenie do system</w:t>
      </w:r>
      <w:r w:rsidR="004227B1" w:rsidRPr="00E261BF">
        <w:rPr>
          <w:rFonts w:eastAsiaTheme="minorEastAsia"/>
          <w:b/>
          <w:bCs/>
        </w:rPr>
        <w:t>u premii gwarantowanej – art. 30</w:t>
      </w:r>
    </w:p>
    <w:p w:rsidR="00FA6B40" w:rsidRPr="00E261BF" w:rsidRDefault="00FA6B40" w:rsidP="003835D3">
      <w:pPr>
        <w:spacing w:before="120" w:line="360" w:lineRule="auto"/>
        <w:jc w:val="both"/>
        <w:rPr>
          <w:rFonts w:eastAsia="Calibri"/>
          <w:lang w:eastAsia="en-US"/>
        </w:rPr>
      </w:pPr>
      <w:r w:rsidRPr="00E261BF">
        <w:rPr>
          <w:rFonts w:eastAsiaTheme="minorEastAsia"/>
          <w:bCs/>
        </w:rPr>
        <w:t>Wytwórca ubiegający się o udział w systemie premi</w:t>
      </w:r>
      <w:r w:rsidR="004F6B6E">
        <w:rPr>
          <w:rFonts w:eastAsiaTheme="minorEastAsia"/>
          <w:bCs/>
        </w:rPr>
        <w:t>i gwarantowanej musi wystąpić z </w:t>
      </w:r>
      <w:r w:rsidRPr="00E261BF">
        <w:rPr>
          <w:rFonts w:eastAsiaTheme="minorEastAsia"/>
          <w:bCs/>
        </w:rPr>
        <w:t xml:space="preserve">wnioskiem do Prezesa URE o dopuszczenie go do tego systemu. Konstrukcja wniosku jest zbliżona do kształtu wniosku o wydanie zaświadczenia o dopuszczeniu do aukcji oraz oferty aukcyjnej. </w:t>
      </w:r>
    </w:p>
    <w:p w:rsidR="00FA6B40" w:rsidRPr="00E261BF" w:rsidRDefault="00FA6B40" w:rsidP="00190547">
      <w:pPr>
        <w:autoSpaceDE w:val="0"/>
        <w:autoSpaceDN w:val="0"/>
        <w:adjustRightInd w:val="0"/>
        <w:spacing w:before="120" w:line="360" w:lineRule="auto"/>
        <w:jc w:val="both"/>
        <w:rPr>
          <w:rFonts w:eastAsiaTheme="minorEastAsia"/>
        </w:rPr>
      </w:pPr>
      <w:r w:rsidRPr="00E261BF">
        <w:rPr>
          <w:rFonts w:eastAsiaTheme="minorEastAsia"/>
          <w:bCs/>
        </w:rPr>
        <w:t xml:space="preserve">Po ocenie wniosku </w:t>
      </w:r>
      <w:r w:rsidRPr="00E261BF">
        <w:rPr>
          <w:rFonts w:eastAsia="Arial Unicode MS"/>
          <w:u w:color="000000"/>
          <w:bdr w:val="nil"/>
        </w:rPr>
        <w:t>Prezes URE wydaje zaświadczen</w:t>
      </w:r>
      <w:r w:rsidR="004F6B6E">
        <w:rPr>
          <w:rFonts w:eastAsia="Arial Unicode MS"/>
          <w:u w:color="000000"/>
          <w:bdr w:val="nil"/>
        </w:rPr>
        <w:t>ie o możliwości ubiegania się o </w:t>
      </w:r>
      <w:r w:rsidRPr="00E261BF">
        <w:rPr>
          <w:rFonts w:eastAsia="Arial Unicode MS"/>
          <w:u w:color="000000"/>
          <w:bdr w:val="nil"/>
        </w:rPr>
        <w:t>wypłatę premii gwarantowan</w:t>
      </w:r>
      <w:r w:rsidR="004F6B6E">
        <w:rPr>
          <w:rFonts w:eastAsia="Arial Unicode MS"/>
          <w:u w:color="000000"/>
          <w:bdr w:val="nil"/>
        </w:rPr>
        <w:t>ej. Zaświadczenie to zawiera m.</w:t>
      </w:r>
      <w:r w:rsidRPr="00E261BF">
        <w:rPr>
          <w:rFonts w:eastAsia="Arial Unicode MS"/>
          <w:u w:color="000000"/>
          <w:bdr w:val="nil"/>
        </w:rPr>
        <w:t>in. wskazanie daty zakończenia okresu wsparcia, a także wskazanie możliwości wystąpienia o wypłatę premii gwarantowanej na całą wytworzoną, wprowadzoną do sieci</w:t>
      </w:r>
      <w:r w:rsidR="00680107">
        <w:rPr>
          <w:rFonts w:eastAsia="Arial Unicode MS"/>
          <w:u w:color="000000"/>
          <w:bdr w:val="nil"/>
        </w:rPr>
        <w:t xml:space="preserve"> </w:t>
      </w:r>
      <w:r w:rsidRPr="00E261BF">
        <w:rPr>
          <w:rFonts w:eastAsia="Arial Unicode MS"/>
          <w:u w:color="000000"/>
          <w:bdr w:val="nil"/>
        </w:rPr>
        <w:t xml:space="preserve">i sprzedaną energię elektryczną albo na część tej energii w zależności od spełnienia wymogu dotyczącego </w:t>
      </w:r>
      <w:r w:rsidRPr="00E261BF">
        <w:rPr>
          <w:rFonts w:eastAsiaTheme="minorEastAsia"/>
        </w:rPr>
        <w:t>wprowadzania do publicznej sieci ciepłowniczej cie</w:t>
      </w:r>
      <w:r w:rsidR="004F6B6E">
        <w:rPr>
          <w:rFonts w:eastAsiaTheme="minorEastAsia"/>
        </w:rPr>
        <w:t>pła użytkowego w kogeneracji (z </w:t>
      </w:r>
      <w:r w:rsidRPr="00E261BF">
        <w:rPr>
          <w:rFonts w:eastAsiaTheme="minorEastAsia"/>
        </w:rPr>
        <w:t>zastrzeżeniem wyłączeń, o których mowa w rozdziale 4 pkt 1 uzasadnienia).</w:t>
      </w:r>
    </w:p>
    <w:p w:rsidR="00FA6B40" w:rsidRPr="00E261BF" w:rsidRDefault="00FA6B40" w:rsidP="003835D3">
      <w:pPr>
        <w:pStyle w:val="Akapitzlist"/>
        <w:widowControl w:val="0"/>
        <w:numPr>
          <w:ilvl w:val="0"/>
          <w:numId w:val="17"/>
        </w:numPr>
        <w:autoSpaceDE w:val="0"/>
        <w:autoSpaceDN w:val="0"/>
        <w:adjustRightInd w:val="0"/>
        <w:spacing w:before="120" w:line="360" w:lineRule="auto"/>
        <w:ind w:left="284" w:hanging="284"/>
        <w:contextualSpacing w:val="0"/>
        <w:jc w:val="both"/>
        <w:rPr>
          <w:rFonts w:eastAsiaTheme="minorEastAsia"/>
          <w:b/>
          <w:bCs/>
        </w:rPr>
      </w:pPr>
      <w:r w:rsidRPr="00E261BF">
        <w:rPr>
          <w:rFonts w:eastAsiaTheme="minorEastAsia"/>
          <w:b/>
          <w:bCs/>
        </w:rPr>
        <w:t xml:space="preserve">Procedura wypłaty premii gwarantowanej – art. </w:t>
      </w:r>
      <w:r w:rsidR="004227B1" w:rsidRPr="00E261BF">
        <w:rPr>
          <w:rFonts w:eastAsiaTheme="minorEastAsia"/>
          <w:b/>
          <w:bCs/>
        </w:rPr>
        <w:t>31</w:t>
      </w:r>
      <w:r w:rsidR="00680107">
        <w:rPr>
          <w:rFonts w:eastAsiaTheme="minorEastAsia"/>
          <w:b/>
          <w:bCs/>
        </w:rPr>
        <w:t>–</w:t>
      </w:r>
      <w:r w:rsidR="004227B1" w:rsidRPr="00E261BF">
        <w:rPr>
          <w:rFonts w:eastAsiaTheme="minorEastAsia"/>
          <w:b/>
          <w:bCs/>
        </w:rPr>
        <w:t>35</w:t>
      </w:r>
    </w:p>
    <w:p w:rsidR="00FA6B40" w:rsidRPr="00E261BF" w:rsidRDefault="00FA6B40" w:rsidP="003835D3">
      <w:pPr>
        <w:widowControl w:val="0"/>
        <w:autoSpaceDE w:val="0"/>
        <w:autoSpaceDN w:val="0"/>
        <w:adjustRightInd w:val="0"/>
        <w:spacing w:before="120" w:line="360" w:lineRule="auto"/>
        <w:jc w:val="both"/>
        <w:rPr>
          <w:rFonts w:eastAsia="Arial Unicode MS"/>
          <w:bCs/>
          <w:u w:color="000000"/>
          <w:bdr w:val="nil"/>
        </w:rPr>
      </w:pPr>
      <w:r w:rsidRPr="00E261BF">
        <w:rPr>
          <w:rFonts w:eastAsiaTheme="minorEastAsia"/>
          <w:bCs/>
        </w:rPr>
        <w:t>Po uzyskaniu zaświadczenia o dopuszczeniu do systemu premii gwarantowanej</w:t>
      </w:r>
      <w:r w:rsidRPr="00E261BF">
        <w:rPr>
          <w:rFonts w:eastAsia="Arial Unicode MS"/>
          <w:u w:color="000000"/>
          <w:bdr w:val="nil"/>
        </w:rPr>
        <w:t xml:space="preserve">, uprawniony wytwórca </w:t>
      </w:r>
      <w:r w:rsidRPr="00E261BF">
        <w:rPr>
          <w:rFonts w:eastAsia="Arial Unicode MS"/>
          <w:bCs/>
          <w:u w:color="000000"/>
          <w:bdr w:val="nil"/>
        </w:rPr>
        <w:t xml:space="preserve">jednorazowo informuje operatora rozliczeń o dacie wytworzenia po raz pierwszy energii elektrycznej </w:t>
      </w:r>
      <w:r w:rsidRPr="00E261BF">
        <w:rPr>
          <w:rFonts w:eastAsia="Arial Unicode MS"/>
          <w:u w:color="000000"/>
          <w:bdr w:val="nil"/>
        </w:rPr>
        <w:t>z wysokosprawnej kogeneracji w ramach systemu wsparcia,</w:t>
      </w:r>
      <w:r w:rsidRPr="00E261BF">
        <w:rPr>
          <w:rFonts w:eastAsia="Arial Unicode MS"/>
          <w:bCs/>
          <w:u w:color="000000"/>
          <w:bdr w:val="nil"/>
        </w:rPr>
        <w:t xml:space="preserve"> </w:t>
      </w:r>
      <w:r w:rsidRPr="00E261BF">
        <w:rPr>
          <w:rFonts w:eastAsia="Arial Unicode MS"/>
          <w:u w:color="000000"/>
          <w:bdr w:val="nil"/>
        </w:rPr>
        <w:t>potwierdzonej wydanym świadectwem pochodzenia albo potwierdzonej przez operatora sieci przesyłowej elektroenergetycznej lub operatora sieci dystrybucyjnej elektroenergetycznej,</w:t>
      </w:r>
      <w:r w:rsidRPr="00E261BF">
        <w:rPr>
          <w:rFonts w:eastAsia="Arial Unicode MS"/>
          <w:bCs/>
          <w:u w:color="000000"/>
          <w:bdr w:val="nil"/>
        </w:rPr>
        <w:t xml:space="preserve"> w</w:t>
      </w:r>
      <w:r w:rsidR="00680107">
        <w:rPr>
          <w:rFonts w:eastAsia="Arial Unicode MS"/>
          <w:bCs/>
          <w:u w:color="000000"/>
          <w:bdr w:val="nil"/>
        </w:rPr>
        <w:t xml:space="preserve"> </w:t>
      </w:r>
      <w:r w:rsidRPr="00E261BF">
        <w:rPr>
          <w:rFonts w:eastAsia="Arial Unicode MS"/>
          <w:bCs/>
          <w:u w:color="000000"/>
          <w:bdr w:val="nil"/>
        </w:rPr>
        <w:t xml:space="preserve">terminie 30 dni, a następnie, </w:t>
      </w:r>
      <w:r w:rsidRPr="00E261BF">
        <w:rPr>
          <w:rFonts w:eastAsia="Arial Unicode MS"/>
          <w:u w:color="000000"/>
          <w:bdr w:val="nil"/>
        </w:rPr>
        <w:t>każdorazowo składa wniosek do operatora rozliczeń o wypłatę premii gwarantowanej analogicznie, jak w przypadku wypłaty premii kogeneracyjnej</w:t>
      </w:r>
      <w:r w:rsidRPr="00E261BF">
        <w:rPr>
          <w:rFonts w:eastAsia="Arial Unicode MS"/>
          <w:bCs/>
          <w:u w:color="000000"/>
          <w:bdr w:val="nil"/>
        </w:rPr>
        <w:t xml:space="preserve">. </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bCs/>
          <w:u w:color="000000"/>
          <w:bdr w:val="nil"/>
        </w:rPr>
        <w:t xml:space="preserve">Co istotne, wytwórca przekazuje wniosek w terminie 45 dni po zakończeniu każdego kolejnego miesiąca kalendarzowego, pod rygorem utraty prawa do wypłaty premii gwarantowanej za dany okres rozliczeniowy w przypadku niedotrzymania tego terminu. </w:t>
      </w:r>
      <w:r w:rsidRPr="00E261BF">
        <w:rPr>
          <w:rFonts w:eastAsia="Arial Unicode MS"/>
          <w:u w:color="000000"/>
          <w:bdr w:val="nil"/>
        </w:rPr>
        <w:t xml:space="preserve">Dopuszczona będzie również możliwość rozliczania premii gwarantowanej za okres więcej niż jednego następującego po sobie miesiąca kalendarzowego, nie więcej jednak niż za 12 miesięcy kalendarzowych – w terminie 45 </w:t>
      </w:r>
      <w:r w:rsidR="004F6B6E">
        <w:rPr>
          <w:rFonts w:eastAsia="Arial Unicode MS"/>
          <w:u w:color="000000"/>
          <w:bdr w:val="nil"/>
        </w:rPr>
        <w:t>dni po zakończeniu ostatniego z </w:t>
      </w:r>
      <w:r w:rsidRPr="00E261BF">
        <w:rPr>
          <w:rFonts w:eastAsia="Arial Unicode MS"/>
          <w:u w:color="000000"/>
          <w:bdr w:val="nil"/>
        </w:rPr>
        <w:t xml:space="preserve">tych miesięcy (art. </w:t>
      </w:r>
      <w:r w:rsidR="00190547">
        <w:rPr>
          <w:rFonts w:eastAsia="Arial Unicode MS"/>
          <w:u w:color="000000"/>
          <w:bdr w:val="nil"/>
        </w:rPr>
        <w:t>30</w:t>
      </w:r>
      <w:r w:rsidRPr="00E261BF">
        <w:rPr>
          <w:rFonts w:eastAsia="Arial Unicode MS"/>
          <w:u w:color="000000"/>
          <w:bdr w:val="nil"/>
        </w:rPr>
        <w:t xml:space="preserve">). </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Podmiotem odpowiedzialnym za wypłatę premii jest operator rozliczeń, który wypłaca ją w terminie 30 dni od dnia złożenia wniosku o wypłatę (art. 3</w:t>
      </w:r>
      <w:r w:rsidR="00190547">
        <w:rPr>
          <w:rFonts w:eastAsia="Arial Unicode MS"/>
          <w:u w:color="000000"/>
          <w:bdr w:val="nil"/>
        </w:rPr>
        <w:t>5</w:t>
      </w:r>
      <w:r w:rsidRPr="00E261BF">
        <w:rPr>
          <w:rFonts w:eastAsia="Arial Unicode MS"/>
          <w:u w:color="000000"/>
          <w:bdr w:val="nil"/>
        </w:rPr>
        <w:t>).</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lastRenderedPageBreak/>
        <w:t>Ponadto wytwórca, który uzyskał prawo do wypłaty premii gwarantowanej zobowiązany jest do ustalenia ilości energii elektrycznej objętej wsparciem na podstawie rzeczywistych wskazań urządzeń pomiarowo – rozliczeniowych oraz do prowadzenia dokumentacji w ujęciu dobowym dotyczącej ilości, wyrażonej w kWh, wytworzonej z wysokosprawnej kogeneracji, wprow</w:t>
      </w:r>
      <w:r w:rsidR="004F6B6E">
        <w:rPr>
          <w:rFonts w:eastAsia="Arial Unicode MS"/>
          <w:u w:color="000000"/>
          <w:bdr w:val="nil"/>
        </w:rPr>
        <w:t>adzonej do sieci i sprzedanej w </w:t>
      </w:r>
      <w:r w:rsidRPr="00E261BF">
        <w:rPr>
          <w:rFonts w:eastAsia="Arial Unicode MS"/>
          <w:u w:color="000000"/>
          <w:bdr w:val="nil"/>
        </w:rPr>
        <w:t xml:space="preserve">danym miesiącu, a także potwierdzającej ilość ciepła użytkowego w kogeneracji wprowadzonego do publicznej sieci ciepłowniczej, </w:t>
      </w:r>
      <w:r w:rsidR="004227B1" w:rsidRPr="00E261BF">
        <w:rPr>
          <w:rFonts w:eastAsia="Arial Unicode MS"/>
          <w:u w:color="000000"/>
          <w:bdr w:val="nil"/>
        </w:rPr>
        <w:t xml:space="preserve">wyrażonej w procentach </w:t>
      </w:r>
      <w:r w:rsidR="004F6B6E">
        <w:rPr>
          <w:rFonts w:eastAsia="Arial Unicode MS"/>
          <w:u w:color="000000"/>
          <w:bdr w:val="nil"/>
        </w:rPr>
        <w:br/>
      </w:r>
      <w:r w:rsidR="004227B1" w:rsidRPr="00E261BF">
        <w:rPr>
          <w:rFonts w:eastAsia="Arial Unicode MS"/>
          <w:u w:color="000000"/>
          <w:bdr w:val="nil"/>
        </w:rPr>
        <w:t>(art. 33</w:t>
      </w:r>
      <w:r w:rsidR="00E36AF7">
        <w:rPr>
          <w:rFonts w:eastAsia="Arial Unicode MS"/>
          <w:u w:color="000000"/>
          <w:bdr w:val="nil"/>
        </w:rPr>
        <w:t xml:space="preserve"> i art. </w:t>
      </w:r>
      <w:r w:rsidR="004227B1" w:rsidRPr="00E261BF">
        <w:rPr>
          <w:rFonts w:eastAsia="Arial Unicode MS"/>
          <w:u w:color="000000"/>
          <w:bdr w:val="nil"/>
        </w:rPr>
        <w:t>34</w:t>
      </w:r>
      <w:r w:rsidRPr="00E261BF">
        <w:rPr>
          <w:rFonts w:eastAsia="Arial Unicode MS"/>
          <w:u w:color="000000"/>
          <w:bdr w:val="nil"/>
        </w:rPr>
        <w:t>). Dopuszczona będzie jednak możliwość określenia ilości energii elektrycznej wytworzonej, wprowadzonej do sieci i sprzedanej w</w:t>
      </w:r>
      <w:r w:rsidR="00680107">
        <w:rPr>
          <w:rFonts w:eastAsia="Arial Unicode MS"/>
          <w:u w:color="000000"/>
          <w:bdr w:val="nil"/>
        </w:rPr>
        <w:t xml:space="preserve"> </w:t>
      </w:r>
      <w:r w:rsidRPr="00E261BF">
        <w:rPr>
          <w:rFonts w:eastAsia="Arial Unicode MS"/>
          <w:u w:color="000000"/>
          <w:bdr w:val="nil"/>
        </w:rPr>
        <w:t>oparciu o metodę proporcjonalną, której zasady zostaną określone w rozporządzeniu wydanym przez ministra właś</w:t>
      </w:r>
      <w:r w:rsidR="004227B1" w:rsidRPr="00E261BF">
        <w:rPr>
          <w:rFonts w:eastAsia="Arial Unicode MS"/>
          <w:u w:color="000000"/>
          <w:bdr w:val="nil"/>
        </w:rPr>
        <w:t xml:space="preserve">ciwego do spraw energii (art. </w:t>
      </w:r>
      <w:r w:rsidR="00190547">
        <w:rPr>
          <w:rFonts w:eastAsia="Arial Unicode MS"/>
          <w:u w:color="000000"/>
          <w:bdr w:val="nil"/>
        </w:rPr>
        <w:t>58</w:t>
      </w:r>
      <w:r w:rsidRPr="00E261BF">
        <w:rPr>
          <w:rFonts w:eastAsia="Arial Unicode MS"/>
          <w:u w:color="000000"/>
          <w:bdr w:val="nil"/>
        </w:rPr>
        <w:t>).</w:t>
      </w:r>
      <w:r w:rsidR="00680107">
        <w:rPr>
          <w:rFonts w:eastAsia="Arial Unicode MS"/>
          <w:u w:color="000000"/>
          <w:bdr w:val="nil"/>
        </w:rPr>
        <w:t xml:space="preserve"> </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5 – </w:t>
      </w:r>
      <w:r w:rsidRPr="00E261BF">
        <w:rPr>
          <w:b/>
          <w:bCs/>
        </w:rPr>
        <w:t>Zasady uczestnictwa w systemie wsparcia dla jednostek kogenera</w:t>
      </w:r>
      <w:r w:rsidR="004F6B6E">
        <w:rPr>
          <w:b/>
          <w:bCs/>
        </w:rPr>
        <w:t>cji o </w:t>
      </w:r>
      <w:r w:rsidRPr="00E261BF">
        <w:rPr>
          <w:b/>
          <w:bCs/>
        </w:rPr>
        <w:t>mocy zainstalowanej elektrycznej nie mniejszej niż 50 MW – art. 3</w:t>
      </w:r>
      <w:r w:rsidR="004227B1" w:rsidRPr="00E261BF">
        <w:rPr>
          <w:b/>
          <w:bCs/>
        </w:rPr>
        <w:t>6</w:t>
      </w:r>
      <w:r w:rsidR="00680107">
        <w:rPr>
          <w:b/>
          <w:bCs/>
        </w:rPr>
        <w:t>–</w:t>
      </w:r>
      <w:r w:rsidRPr="00E261BF">
        <w:rPr>
          <w:b/>
          <w:bCs/>
        </w:rPr>
        <w:t>5</w:t>
      </w:r>
      <w:r w:rsidR="004227B1" w:rsidRPr="00E261BF">
        <w:rPr>
          <w:b/>
          <w:bCs/>
        </w:rPr>
        <w:t>5</w:t>
      </w:r>
    </w:p>
    <w:p w:rsidR="00FA6B40" w:rsidRPr="00E261BF" w:rsidRDefault="00AA307A" w:rsidP="003835D3">
      <w:pPr>
        <w:pStyle w:val="Akapitzlist"/>
        <w:widowControl w:val="0"/>
        <w:numPr>
          <w:ilvl w:val="0"/>
          <w:numId w:val="21"/>
        </w:numPr>
        <w:autoSpaceDE w:val="0"/>
        <w:autoSpaceDN w:val="0"/>
        <w:adjustRightInd w:val="0"/>
        <w:spacing w:before="120" w:line="360" w:lineRule="auto"/>
        <w:ind w:left="284" w:hanging="284"/>
        <w:contextualSpacing w:val="0"/>
        <w:jc w:val="both"/>
        <w:rPr>
          <w:b/>
          <w:bCs/>
        </w:rPr>
      </w:pPr>
      <w:r w:rsidRPr="00E261BF">
        <w:rPr>
          <w:b/>
          <w:bCs/>
        </w:rPr>
        <w:t xml:space="preserve">Zasady ogólne – art. 36, </w:t>
      </w:r>
      <w:r w:rsidR="00190547">
        <w:rPr>
          <w:b/>
          <w:bCs/>
        </w:rPr>
        <w:t xml:space="preserve">art. </w:t>
      </w:r>
      <w:r w:rsidRPr="00E261BF">
        <w:rPr>
          <w:b/>
          <w:bCs/>
        </w:rPr>
        <w:t xml:space="preserve">43 i </w:t>
      </w:r>
      <w:r w:rsidR="00190547">
        <w:rPr>
          <w:b/>
          <w:bCs/>
        </w:rPr>
        <w:t xml:space="preserve">art. </w:t>
      </w:r>
      <w:r w:rsidRPr="00E261BF">
        <w:rPr>
          <w:b/>
          <w:bCs/>
        </w:rPr>
        <w:t>51</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 przypadku jednostek kogeneracji o mocy zainstalowanej elektrycznej nie mniejszej niż 50 MW przyjęto rozwiązania bardziej zindywidualizowane w odniesieniu do przydzielania wsparcia niż w przypadku pozostałych jednostek z uwagi na brak możliwości wprowadzenia typoszeregów tego typu jednostek kogeneracji (np. poprzez włączenie do procedury aukcyjnej – w przypadku nowych lub znacznie zmodernizowanych jednostek lub poprzez wskazanie odrębnej premii gwarantowanej – w przypadku istniejących lub zmodernizowanych jednostek).</w:t>
      </w:r>
    </w:p>
    <w:p w:rsidR="00FA6B40" w:rsidRPr="00E261BF" w:rsidRDefault="00FA6B40" w:rsidP="003835D3">
      <w:pPr>
        <w:widowControl w:val="0"/>
        <w:autoSpaceDE w:val="0"/>
        <w:autoSpaceDN w:val="0"/>
        <w:adjustRightInd w:val="0"/>
        <w:spacing w:before="120" w:line="360" w:lineRule="auto"/>
        <w:jc w:val="both"/>
        <w:rPr>
          <w:bCs/>
        </w:rPr>
      </w:pPr>
      <w:r w:rsidRPr="00E261BF">
        <w:rPr>
          <w:bCs/>
        </w:rPr>
        <w:t>Duże jednostki kogeneracji o mocy zainstalowanej elektrycznej sięgającej kilkuset MW charakteryzują się zindywidualizowanymi rozwiązaniami technologicznymi dostosowanymi do warunków występujących w danej lokalizacji, dlatego też indywidualne określenie wysokości wsparcia w opinii projektodawcy zapewni osiągnięcie najlepszych rezultatów w odniesieniu do tego typu instalacji.</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bCs/>
        </w:rPr>
        <w:t xml:space="preserve">Duże jednostki kogeneracji mogą uzyskać wsparcie w postaci premii gwarantowanej indywidualnej lub premii kogeneracyjnej indywidualnej, w przypadku odpowiednio </w:t>
      </w:r>
      <w:r w:rsidRPr="00E261BF">
        <w:rPr>
          <w:rFonts w:eastAsia="Arial Unicode MS"/>
          <w:u w:color="000000"/>
          <w:bdr w:val="nil"/>
        </w:rPr>
        <w:t>istniejących jednostek kogeneracji i zmodernizowanych jednostek kogeneracji lub</w:t>
      </w:r>
      <w:r w:rsidR="00680107">
        <w:rPr>
          <w:rFonts w:eastAsia="Arial Unicode MS"/>
          <w:u w:color="000000"/>
          <w:bdr w:val="nil"/>
        </w:rPr>
        <w:t xml:space="preserve"> </w:t>
      </w:r>
      <w:r w:rsidRPr="00E261BF">
        <w:rPr>
          <w:rFonts w:eastAsia="Arial Unicode MS"/>
          <w:u w:color="000000"/>
          <w:bdr w:val="nil"/>
        </w:rPr>
        <w:t>w</w:t>
      </w:r>
      <w:r w:rsidR="004F6B6E">
        <w:rPr>
          <w:rFonts w:eastAsia="Arial Unicode MS"/>
          <w:u w:color="000000"/>
          <w:bdr w:val="nil"/>
        </w:rPr>
        <w:t> </w:t>
      </w:r>
      <w:r w:rsidRPr="00E261BF">
        <w:rPr>
          <w:rFonts w:eastAsia="Arial Unicode MS"/>
          <w:u w:color="000000"/>
          <w:bdr w:val="nil"/>
        </w:rPr>
        <w:t xml:space="preserve">przypadku </w:t>
      </w:r>
      <w:r w:rsidRPr="00E261BF">
        <w:t xml:space="preserve">nowych jednostek kogeneracji i znacznie zmodernizowanych jednostek kogeneracji. Wsparcie to, analogicznie jak w przypadku rozwiązań dedykowanych innym jednostkom kogeneracji, uzależnione jest od wprowadzenia </w:t>
      </w:r>
      <w:r w:rsidR="004F6B6E">
        <w:rPr>
          <w:rFonts w:eastAsia="Arial Unicode MS"/>
          <w:u w:color="000000"/>
          <w:bdr w:val="nil"/>
        </w:rPr>
        <w:t xml:space="preserve">ciepła użytkowego </w:t>
      </w:r>
      <w:r w:rsidR="004F6B6E">
        <w:rPr>
          <w:rFonts w:eastAsia="Arial Unicode MS"/>
          <w:u w:color="000000"/>
          <w:bdr w:val="nil"/>
        </w:rPr>
        <w:lastRenderedPageBreak/>
        <w:t>w </w:t>
      </w:r>
      <w:r w:rsidRPr="00E261BF">
        <w:rPr>
          <w:rFonts w:eastAsia="Arial Unicode MS"/>
          <w:u w:color="000000"/>
          <w:bdr w:val="nil"/>
        </w:rPr>
        <w:t>kogeneracji do publicznej sieci ciepłowniczej.</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Calibri"/>
          <w:lang w:eastAsia="en-US"/>
        </w:rPr>
        <w:t xml:space="preserve">Należy podkreślić, że do możliwości wnioskowania o wypłatę premii gwarantowanej indywidualnej lub naboru na premię kogeneracyjną indywidualną będzie mógł zostać dopuszczony jedynie </w:t>
      </w:r>
      <w:r w:rsidRPr="00E261BF">
        <w:t xml:space="preserve">wytwórca, którego jednostka kogeneracji spełni jednostkowy wskaźnik emisji dwutlenku węgla na poziomie </w:t>
      </w:r>
      <w:r w:rsidR="00190547">
        <w:t>nie wyższym niż</w:t>
      </w:r>
      <w:r w:rsidR="004F6B6E">
        <w:t xml:space="preserve"> 450 kg na 1 </w:t>
      </w:r>
      <w:r w:rsidRPr="00E261BF">
        <w:t>MWh wytwarzanej energii.</w:t>
      </w:r>
    </w:p>
    <w:p w:rsidR="00FA6B40" w:rsidRPr="00E261BF" w:rsidRDefault="00FA6B40" w:rsidP="003835D3">
      <w:pPr>
        <w:pStyle w:val="Akapitzlist"/>
        <w:widowControl w:val="0"/>
        <w:numPr>
          <w:ilvl w:val="0"/>
          <w:numId w:val="21"/>
        </w:numPr>
        <w:autoSpaceDE w:val="0"/>
        <w:autoSpaceDN w:val="0"/>
        <w:adjustRightInd w:val="0"/>
        <w:spacing w:before="120" w:line="360" w:lineRule="auto"/>
        <w:ind w:left="284" w:hanging="284"/>
        <w:contextualSpacing w:val="0"/>
        <w:jc w:val="both"/>
        <w:rPr>
          <w:rFonts w:eastAsia="Arial Unicode MS"/>
          <w:b/>
          <w:u w:color="000000"/>
          <w:bdr w:val="nil"/>
        </w:rPr>
      </w:pPr>
      <w:r w:rsidRPr="00E261BF">
        <w:rPr>
          <w:rFonts w:eastAsia="Arial Unicode MS"/>
          <w:b/>
          <w:u w:color="000000"/>
          <w:bdr w:val="nil"/>
        </w:rPr>
        <w:t>Dopuszczenie do systemu premii gwarantowanej indywidualnej –</w:t>
      </w:r>
      <w:r w:rsidR="00680107">
        <w:rPr>
          <w:rFonts w:eastAsia="Arial Unicode MS"/>
          <w:b/>
          <w:u w:color="000000"/>
          <w:bdr w:val="nil"/>
        </w:rPr>
        <w:t xml:space="preserve"> art. 37</w:t>
      </w:r>
      <w:r w:rsidR="00190547">
        <w:rPr>
          <w:rFonts w:eastAsia="Arial Unicode MS"/>
          <w:b/>
          <w:u w:color="000000"/>
          <w:bdr w:val="nil"/>
        </w:rPr>
        <w:t xml:space="preserve"> i art. </w:t>
      </w:r>
      <w:r w:rsidR="004227B1" w:rsidRPr="00E261BF">
        <w:rPr>
          <w:rFonts w:eastAsia="Arial Unicode MS"/>
          <w:b/>
          <w:u w:color="000000"/>
          <w:bdr w:val="nil"/>
        </w:rPr>
        <w:t>38</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 xml:space="preserve">Wytwórca ubiegający się o udział w systemie premii gwarantowanej indywidualnej musi corocznie wystąpić z wnioskiem do Prezesa URE o dopuszczenie go do tego systemu. Konstrukcja wniosku jest </w:t>
      </w:r>
      <w:r w:rsidRPr="00E261BF">
        <w:rPr>
          <w:rFonts w:eastAsiaTheme="minorEastAsia"/>
          <w:bCs/>
        </w:rPr>
        <w:t xml:space="preserve">zbliżona do kształtu wniosku </w:t>
      </w:r>
      <w:r w:rsidRPr="00E261BF">
        <w:rPr>
          <w:rFonts w:eastAsia="Arial Unicode MS"/>
          <w:u w:color="000000"/>
          <w:bdr w:val="nil"/>
        </w:rPr>
        <w:t>o wydanie zaświadczenia o</w:t>
      </w:r>
      <w:r w:rsidR="00680107">
        <w:rPr>
          <w:rFonts w:eastAsia="Arial Unicode MS"/>
          <w:u w:color="000000"/>
          <w:bdr w:val="nil"/>
        </w:rPr>
        <w:t xml:space="preserve"> </w:t>
      </w:r>
      <w:r w:rsidRPr="00E261BF">
        <w:rPr>
          <w:rFonts w:eastAsia="Arial Unicode MS"/>
          <w:u w:color="000000"/>
          <w:bdr w:val="nil"/>
        </w:rPr>
        <w:t>dopuszczeniu do aukcji oraz oferty aukcyjnej, przy czym dodatkowo wytwórca musi przedstawić dokumenty umożliwiające wyznaczenie przez Prezesa URE wysokości premii gwarantowanej indywidualnej.</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Po ocenie wniosku Prezes URE wydaje zaświadczenie o możliwości ubiegania si</w:t>
      </w:r>
      <w:r w:rsidR="004F6B6E">
        <w:rPr>
          <w:rFonts w:eastAsia="Arial Unicode MS"/>
          <w:u w:color="000000"/>
          <w:bdr w:val="nil"/>
        </w:rPr>
        <w:t>ę w </w:t>
      </w:r>
      <w:r w:rsidRPr="00E261BF">
        <w:rPr>
          <w:rFonts w:eastAsia="Arial Unicode MS"/>
          <w:u w:color="000000"/>
          <w:bdr w:val="nil"/>
        </w:rPr>
        <w:t>danym roku o wypłatę premii gwarantowanej indywidualnej. Zaświadczenie to zawiera m.</w:t>
      </w:r>
      <w:r w:rsidR="00680107">
        <w:rPr>
          <w:rFonts w:eastAsia="Arial Unicode MS"/>
          <w:u w:color="000000"/>
          <w:bdr w:val="nil"/>
        </w:rPr>
        <w:t xml:space="preserve"> </w:t>
      </w:r>
      <w:r w:rsidRPr="00E261BF">
        <w:rPr>
          <w:rFonts w:eastAsia="Arial Unicode MS"/>
          <w:u w:color="000000"/>
          <w:bdr w:val="nil"/>
        </w:rPr>
        <w:t>in. wskazanie daty zakończenia okresu wsparcia, a także wskazanie możliwości wystąpienia o wypłatę premii gwarantowanej indywidualnej na całą wytworzoną energię elektryczną albo</w:t>
      </w:r>
      <w:r w:rsidR="00680107">
        <w:rPr>
          <w:rFonts w:eastAsia="Arial Unicode MS"/>
          <w:u w:color="000000"/>
          <w:bdr w:val="nil"/>
        </w:rPr>
        <w:t xml:space="preserve"> </w:t>
      </w:r>
      <w:r w:rsidRPr="00E261BF">
        <w:rPr>
          <w:rFonts w:eastAsia="Arial Unicode MS"/>
          <w:u w:color="000000"/>
          <w:bdr w:val="nil"/>
        </w:rPr>
        <w:t xml:space="preserve">na część tej energii w zależności od spełnienia wymogu dotyczącego wprowadzania </w:t>
      </w:r>
      <w:r w:rsidRPr="00E261BF">
        <w:rPr>
          <w:rFonts w:eastAsia="Arial Unicode MS"/>
        </w:rPr>
        <w:t>do</w:t>
      </w:r>
      <w:r w:rsidR="00680107">
        <w:rPr>
          <w:rFonts w:eastAsia="Arial Unicode MS"/>
        </w:rPr>
        <w:t xml:space="preserve"> </w:t>
      </w:r>
      <w:r w:rsidRPr="00E261BF">
        <w:rPr>
          <w:rFonts w:eastAsia="Arial Unicode MS"/>
        </w:rPr>
        <w:t>publicznej</w:t>
      </w:r>
      <w:r w:rsidRPr="00E261BF">
        <w:rPr>
          <w:rFonts w:eastAsia="Arial Unicode MS"/>
          <w:u w:color="000000"/>
          <w:bdr w:val="nil"/>
        </w:rPr>
        <w:t xml:space="preserve"> sieci ciepłowniczej ciepła użytkowego w kogeneracji, a także wysokość premii gwarantowanej indywidualnej należną temu wytwórcy za każdą MWh wytworzoną, wprowadzoną do sieci i sprzedaną energii elektrycznej z wysokosprawnej kogeneracji.</w:t>
      </w:r>
    </w:p>
    <w:p w:rsidR="00FA6B40" w:rsidRPr="00E261BF" w:rsidRDefault="00FA6B40" w:rsidP="00B7475B">
      <w:pPr>
        <w:pStyle w:val="Akapitzlist"/>
        <w:keepNext/>
        <w:widowControl w:val="0"/>
        <w:numPr>
          <w:ilvl w:val="0"/>
          <w:numId w:val="21"/>
        </w:numPr>
        <w:autoSpaceDE w:val="0"/>
        <w:autoSpaceDN w:val="0"/>
        <w:adjustRightInd w:val="0"/>
        <w:spacing w:before="120" w:line="360" w:lineRule="auto"/>
        <w:ind w:left="284" w:hanging="284"/>
        <w:contextualSpacing w:val="0"/>
        <w:jc w:val="both"/>
        <w:rPr>
          <w:b/>
          <w:bCs/>
        </w:rPr>
      </w:pPr>
      <w:r w:rsidRPr="00E261BF">
        <w:rPr>
          <w:b/>
          <w:bCs/>
        </w:rPr>
        <w:lastRenderedPageBreak/>
        <w:t>Wypłata premii gwara</w:t>
      </w:r>
      <w:r w:rsidR="004227B1" w:rsidRPr="00E261BF">
        <w:rPr>
          <w:b/>
          <w:bCs/>
        </w:rPr>
        <w:t>ntowanej indywidualnej – art. 39</w:t>
      </w:r>
      <w:r w:rsidR="00680107">
        <w:rPr>
          <w:b/>
          <w:bCs/>
        </w:rPr>
        <w:t>–</w:t>
      </w:r>
      <w:r w:rsidR="004227B1" w:rsidRPr="00E261BF">
        <w:rPr>
          <w:b/>
          <w:bCs/>
        </w:rPr>
        <w:t>42</w:t>
      </w:r>
    </w:p>
    <w:p w:rsidR="00FA6B40" w:rsidRPr="00E261BF" w:rsidRDefault="00FA6B40" w:rsidP="00B7475B">
      <w:pPr>
        <w:keepNext/>
        <w:widowControl w:val="0"/>
        <w:autoSpaceDE w:val="0"/>
        <w:autoSpaceDN w:val="0"/>
        <w:adjustRightInd w:val="0"/>
        <w:spacing w:before="120" w:line="360" w:lineRule="auto"/>
        <w:jc w:val="both"/>
        <w:rPr>
          <w:bCs/>
        </w:rPr>
      </w:pPr>
      <w:r w:rsidRPr="00E261BF">
        <w:rPr>
          <w:bCs/>
        </w:rPr>
        <w:t xml:space="preserve">Po uzyskaniu zaświadczenia o dopuszczeniu do systemu premii gwarantowanej indywidualnej, uprawniony wytwórca jednorazowo </w:t>
      </w:r>
      <w:r w:rsidR="004F6B6E">
        <w:rPr>
          <w:bCs/>
        </w:rPr>
        <w:t>informuje operatora rozliczeń o </w:t>
      </w:r>
      <w:r w:rsidRPr="00E261BF">
        <w:rPr>
          <w:bCs/>
        </w:rPr>
        <w:t>dacie wytworzenia po raz pierwszy energii elektrycznej z wysokosprawnej kogeneracji, potwierdzonej wydanym świadectwem pochodzenia albo potwierdzonej przez operatora sieci przesyłowej elektroenergetycznej lub operatora sieci dystrybucyjnej elektroenergetycznej, w terminie 30 dni, a następnie, każdorazowo składa wniosek do operatora rozliczeń o wypłatę premii gwarantowanej indywidualnej analogicznie, jak w przypadku wypłaty premii gwarantowanej.</w:t>
      </w:r>
    </w:p>
    <w:p w:rsidR="00FA6B40" w:rsidRPr="00E261BF" w:rsidRDefault="00FA6B40" w:rsidP="00190547">
      <w:pPr>
        <w:autoSpaceDE w:val="0"/>
        <w:autoSpaceDN w:val="0"/>
        <w:adjustRightInd w:val="0"/>
        <w:spacing w:before="120" w:line="360" w:lineRule="auto"/>
        <w:jc w:val="both"/>
        <w:rPr>
          <w:rFonts w:eastAsia="Arial Unicode MS"/>
          <w:u w:color="000000"/>
          <w:bdr w:val="nil"/>
        </w:rPr>
      </w:pPr>
      <w:r w:rsidRPr="00E261BF">
        <w:rPr>
          <w:bCs/>
        </w:rPr>
        <w:t xml:space="preserve">Co istotne wytwórca przekazuje wniosek w terminie 45 dni po zakończeniu każdego kolejnego miesiąca kalendarzowego, pod rygorem utraty prawa do wypłaty premii gwarantowanej indywidualnej za dany okres rozliczeniowy w przypadku niedotrzymania tego terminu. </w:t>
      </w:r>
      <w:r w:rsidRPr="00E261BF">
        <w:rPr>
          <w:rFonts w:eastAsia="Arial Unicode MS"/>
          <w:u w:color="000000"/>
          <w:bdr w:val="nil"/>
        </w:rPr>
        <w:t>Dopuszczona będzie również możliwość rozliczania premii kogeneracyjnej za okres więcej niż jednego następującego po sobie miesiąca kalendarzowego, nie więcej jednak niż za</w:t>
      </w:r>
      <w:r w:rsidR="00680107">
        <w:rPr>
          <w:rFonts w:eastAsia="Arial Unicode MS"/>
          <w:u w:color="000000"/>
          <w:bdr w:val="nil"/>
        </w:rPr>
        <w:t xml:space="preserve"> </w:t>
      </w:r>
      <w:r w:rsidRPr="00E261BF">
        <w:rPr>
          <w:rFonts w:eastAsia="Arial Unicode MS"/>
          <w:u w:color="000000"/>
          <w:bdr w:val="nil"/>
        </w:rPr>
        <w:t>12 miesięcy</w:t>
      </w:r>
      <w:r w:rsidR="004F6B6E">
        <w:rPr>
          <w:rFonts w:eastAsia="Arial Unicode MS"/>
          <w:u w:color="000000"/>
          <w:bdr w:val="nil"/>
        </w:rPr>
        <w:t xml:space="preserve"> kalendarzowych – w terminie 45 </w:t>
      </w:r>
      <w:r w:rsidRPr="00E261BF">
        <w:rPr>
          <w:rFonts w:eastAsia="Arial Unicode MS"/>
          <w:u w:color="000000"/>
          <w:bdr w:val="nil"/>
        </w:rPr>
        <w:t xml:space="preserve">dni po zakończeniu ostatniego z tych miesięcy (art. </w:t>
      </w:r>
      <w:r w:rsidR="00190547">
        <w:rPr>
          <w:rFonts w:eastAsia="Arial Unicode MS"/>
          <w:u w:color="000000"/>
          <w:bdr w:val="nil"/>
        </w:rPr>
        <w:t>39</w:t>
      </w:r>
      <w:r w:rsidRPr="00E261BF">
        <w:rPr>
          <w:rFonts w:eastAsia="Arial Unicode MS"/>
          <w:u w:color="000000"/>
          <w:bdr w:val="nil"/>
        </w:rPr>
        <w:t>).</w:t>
      </w:r>
    </w:p>
    <w:p w:rsidR="00FA6B40" w:rsidRPr="00E261BF" w:rsidRDefault="00FA6B40" w:rsidP="003835D3">
      <w:pPr>
        <w:widowControl w:val="0"/>
        <w:autoSpaceDE w:val="0"/>
        <w:autoSpaceDN w:val="0"/>
        <w:adjustRightInd w:val="0"/>
        <w:spacing w:before="120" w:line="360" w:lineRule="auto"/>
        <w:jc w:val="both"/>
        <w:rPr>
          <w:bCs/>
        </w:rPr>
      </w:pPr>
      <w:r w:rsidRPr="00E261BF">
        <w:rPr>
          <w:bCs/>
        </w:rPr>
        <w:t>Podmiotem odpowiedzialnym za wypłatę premii jest operator rozliczeń, który wypłaca ją w terminie 30 dni od dnia złożenia wniosku o wypłatę.</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bCs/>
        </w:rPr>
        <w:t>Ponadto wytwórca, który uzyskał prawo do wypłaty premii gwarantowanej indywidualnej zobowiązany jest do ustalenia ilości energii elektrycznej objętej wsparciem na</w:t>
      </w:r>
      <w:r w:rsidR="00680107">
        <w:rPr>
          <w:bCs/>
        </w:rPr>
        <w:t xml:space="preserve"> </w:t>
      </w:r>
      <w:r w:rsidRPr="00E261BF">
        <w:rPr>
          <w:bCs/>
        </w:rPr>
        <w:t>podstawie rzeczywistych wskazań urządzeń pomiarowo</w:t>
      </w:r>
      <w:r w:rsidR="007F6E15">
        <w:rPr>
          <w:bCs/>
        </w:rPr>
        <w:t>-</w:t>
      </w:r>
      <w:r w:rsidRPr="00E261BF">
        <w:rPr>
          <w:bCs/>
        </w:rPr>
        <w:t>rozliczeniowych oraz</w:t>
      </w:r>
      <w:r w:rsidR="00680107">
        <w:rPr>
          <w:bCs/>
        </w:rPr>
        <w:t xml:space="preserve"> </w:t>
      </w:r>
      <w:r w:rsidRPr="00E261BF">
        <w:rPr>
          <w:bCs/>
        </w:rPr>
        <w:t>do</w:t>
      </w:r>
      <w:r w:rsidR="00680107">
        <w:rPr>
          <w:bCs/>
        </w:rPr>
        <w:t xml:space="preserve"> </w:t>
      </w:r>
      <w:r w:rsidRPr="00E261BF">
        <w:rPr>
          <w:bCs/>
        </w:rPr>
        <w:t>prowadzenia dokumentacji w ujęciu dobowym</w:t>
      </w:r>
      <w:r w:rsidR="006C36C9">
        <w:rPr>
          <w:bCs/>
        </w:rPr>
        <w:t xml:space="preserve"> dotyczącej ilości, wyrażonej w </w:t>
      </w:r>
      <w:r w:rsidRPr="00E261BF">
        <w:rPr>
          <w:bCs/>
        </w:rPr>
        <w:t>kWh, wytworzonej z wysokosprawnej kogen</w:t>
      </w:r>
      <w:r w:rsidR="006C36C9">
        <w:rPr>
          <w:bCs/>
        </w:rPr>
        <w:t>eracji, wprowadzonej do sieci i </w:t>
      </w:r>
      <w:r w:rsidRPr="00E261BF">
        <w:rPr>
          <w:bCs/>
        </w:rPr>
        <w:t>sprzedanej w danym miesiącu, a także</w:t>
      </w:r>
      <w:r w:rsidRPr="00E261BF">
        <w:rPr>
          <w:rFonts w:eastAsia="Arial Unicode MS"/>
          <w:u w:color="000000"/>
          <w:bdr w:val="nil"/>
        </w:rPr>
        <w:t xml:space="preserve"> potwierdzają</w:t>
      </w:r>
      <w:r w:rsidR="006C36C9">
        <w:rPr>
          <w:rFonts w:eastAsia="Arial Unicode MS"/>
          <w:u w:color="000000"/>
          <w:bdr w:val="nil"/>
        </w:rPr>
        <w:t>cej ilość ciepła użytkowego w </w:t>
      </w:r>
      <w:r w:rsidRPr="00E261BF">
        <w:rPr>
          <w:rFonts w:eastAsia="Arial Unicode MS"/>
          <w:u w:color="000000"/>
          <w:bdr w:val="nil"/>
        </w:rPr>
        <w:t>kogeneracji wprowadzonego do</w:t>
      </w:r>
      <w:r w:rsidR="00680107">
        <w:rPr>
          <w:rFonts w:eastAsia="Arial Unicode MS"/>
          <w:u w:color="000000"/>
          <w:bdr w:val="nil"/>
        </w:rPr>
        <w:t xml:space="preserve"> </w:t>
      </w:r>
      <w:r w:rsidRPr="00E261BF">
        <w:rPr>
          <w:rFonts w:eastAsia="Arial Unicode MS"/>
          <w:u w:color="000000"/>
          <w:bdr w:val="nil"/>
        </w:rPr>
        <w:t>publicznej s</w:t>
      </w:r>
      <w:r w:rsidR="006C36C9">
        <w:rPr>
          <w:rFonts w:eastAsia="Arial Unicode MS"/>
          <w:u w:color="000000"/>
          <w:bdr w:val="nil"/>
        </w:rPr>
        <w:t>ieci ciepłowniczej, wyrażonej w </w:t>
      </w:r>
      <w:r w:rsidRPr="00E261BF">
        <w:rPr>
          <w:rFonts w:eastAsia="Arial Unicode MS"/>
          <w:u w:color="000000"/>
          <w:bdr w:val="nil"/>
        </w:rPr>
        <w:t xml:space="preserve">procentach (art. </w:t>
      </w:r>
      <w:r w:rsidR="004227B1" w:rsidRPr="00E261BF">
        <w:rPr>
          <w:rFonts w:eastAsia="Arial Unicode MS"/>
          <w:u w:color="000000"/>
          <w:bdr w:val="nil"/>
        </w:rPr>
        <w:t>41 i</w:t>
      </w:r>
      <w:r w:rsidR="006C36C9">
        <w:rPr>
          <w:rFonts w:eastAsia="Arial Unicode MS"/>
          <w:u w:color="000000"/>
          <w:bdr w:val="nil"/>
        </w:rPr>
        <w:t xml:space="preserve"> </w:t>
      </w:r>
      <w:r w:rsidR="00190547">
        <w:rPr>
          <w:rFonts w:eastAsia="Arial Unicode MS"/>
          <w:u w:color="000000"/>
          <w:bdr w:val="nil"/>
        </w:rPr>
        <w:t xml:space="preserve">art. </w:t>
      </w:r>
      <w:r w:rsidR="004227B1" w:rsidRPr="00E261BF">
        <w:rPr>
          <w:rFonts w:eastAsia="Arial Unicode MS"/>
          <w:u w:color="000000"/>
          <w:bdr w:val="nil"/>
        </w:rPr>
        <w:t>42</w:t>
      </w:r>
      <w:r w:rsidRPr="00E261BF">
        <w:rPr>
          <w:rFonts w:eastAsia="Arial Unicode MS"/>
          <w:u w:color="000000"/>
          <w:bdr w:val="nil"/>
        </w:rPr>
        <w:t>)</w:t>
      </w:r>
      <w:r w:rsidRPr="00E261BF">
        <w:rPr>
          <w:bCs/>
        </w:rPr>
        <w:t>.</w:t>
      </w:r>
      <w:r w:rsidRPr="00E261BF">
        <w:rPr>
          <w:rFonts w:eastAsia="Arial Unicode MS"/>
          <w:u w:color="000000"/>
          <w:bdr w:val="nil"/>
        </w:rPr>
        <w:t xml:space="preserve"> Dopuszczona będzie jednak możliwość określenia ilości energii elektrycznej wytworzonej, wprowadzonej do sieci i</w:t>
      </w:r>
      <w:r w:rsidR="00680107">
        <w:rPr>
          <w:rFonts w:eastAsia="Arial Unicode MS"/>
          <w:u w:color="000000"/>
          <w:bdr w:val="nil"/>
        </w:rPr>
        <w:t xml:space="preserve"> </w:t>
      </w:r>
      <w:r w:rsidRPr="00E261BF">
        <w:rPr>
          <w:rFonts w:eastAsia="Arial Unicode MS"/>
          <w:u w:color="000000"/>
          <w:bdr w:val="nil"/>
        </w:rPr>
        <w:t>sprzedane</w:t>
      </w:r>
      <w:r w:rsidR="006C36C9">
        <w:rPr>
          <w:rFonts w:eastAsia="Arial Unicode MS"/>
          <w:u w:color="000000"/>
          <w:bdr w:val="nil"/>
        </w:rPr>
        <w:t>j w oparciu o </w:t>
      </w:r>
      <w:r w:rsidRPr="00E261BF">
        <w:rPr>
          <w:rFonts w:eastAsia="Arial Unicode MS"/>
          <w:u w:color="000000"/>
          <w:bdr w:val="nil"/>
        </w:rPr>
        <w:t>metodę proporcjonalną, której zasady zostaną określone w</w:t>
      </w:r>
      <w:r w:rsidR="00680107">
        <w:rPr>
          <w:rFonts w:eastAsia="Arial Unicode MS"/>
          <w:u w:color="000000"/>
          <w:bdr w:val="nil"/>
        </w:rPr>
        <w:t xml:space="preserve"> </w:t>
      </w:r>
      <w:r w:rsidRPr="00E261BF">
        <w:rPr>
          <w:rFonts w:eastAsia="Arial Unicode MS"/>
          <w:u w:color="000000"/>
          <w:bdr w:val="nil"/>
        </w:rPr>
        <w:t>rozporządzeniu wydanym przez ministra właś</w:t>
      </w:r>
      <w:r w:rsidR="004227B1" w:rsidRPr="00E261BF">
        <w:rPr>
          <w:rFonts w:eastAsia="Arial Unicode MS"/>
          <w:u w:color="000000"/>
          <w:bdr w:val="nil"/>
        </w:rPr>
        <w:t>ciwego do spraw energii (art. 41</w:t>
      </w:r>
      <w:r w:rsidRPr="00E261BF">
        <w:rPr>
          <w:rFonts w:eastAsia="Arial Unicode MS"/>
          <w:u w:color="000000"/>
          <w:bdr w:val="nil"/>
        </w:rPr>
        <w:t>).</w:t>
      </w:r>
      <w:r w:rsidR="00680107">
        <w:rPr>
          <w:rFonts w:eastAsia="Arial Unicode MS"/>
          <w:u w:color="000000"/>
          <w:bdr w:val="nil"/>
        </w:rPr>
        <w:t xml:space="preserve"> </w:t>
      </w:r>
    </w:p>
    <w:p w:rsidR="00FA6B40" w:rsidRPr="00E261BF" w:rsidRDefault="00FA6B40" w:rsidP="00B7475B">
      <w:pPr>
        <w:pStyle w:val="Akapitzlist"/>
        <w:keepNext/>
        <w:widowControl w:val="0"/>
        <w:numPr>
          <w:ilvl w:val="0"/>
          <w:numId w:val="21"/>
        </w:numPr>
        <w:autoSpaceDE w:val="0"/>
        <w:autoSpaceDN w:val="0"/>
        <w:adjustRightInd w:val="0"/>
        <w:spacing w:before="120" w:line="360" w:lineRule="auto"/>
        <w:ind w:left="284" w:hanging="284"/>
        <w:contextualSpacing w:val="0"/>
        <w:jc w:val="both"/>
        <w:rPr>
          <w:b/>
          <w:bCs/>
        </w:rPr>
      </w:pPr>
      <w:r w:rsidRPr="00E261BF">
        <w:rPr>
          <w:b/>
          <w:bCs/>
        </w:rPr>
        <w:lastRenderedPageBreak/>
        <w:t>Dopuszczenie do systemu premii kogene</w:t>
      </w:r>
      <w:r w:rsidR="004227B1" w:rsidRPr="00E261BF">
        <w:rPr>
          <w:b/>
          <w:bCs/>
        </w:rPr>
        <w:t>racyjnej indywidualnej – art. 43</w:t>
      </w:r>
      <w:r w:rsidR="00680107">
        <w:rPr>
          <w:b/>
          <w:bCs/>
        </w:rPr>
        <w:t>–</w:t>
      </w:r>
      <w:r w:rsidR="004227B1" w:rsidRPr="00E261BF">
        <w:rPr>
          <w:b/>
          <w:bCs/>
        </w:rPr>
        <w:t>4</w:t>
      </w:r>
      <w:r w:rsidR="00AA307A" w:rsidRPr="00E261BF">
        <w:rPr>
          <w:b/>
          <w:bCs/>
        </w:rPr>
        <w:t>5</w:t>
      </w:r>
    </w:p>
    <w:p w:rsidR="00FA6B40" w:rsidRPr="00E261BF" w:rsidRDefault="00FA6B40" w:rsidP="00B7475B">
      <w:pPr>
        <w:keepNext/>
        <w:widowControl w:val="0"/>
        <w:autoSpaceDE w:val="0"/>
        <w:autoSpaceDN w:val="0"/>
        <w:adjustRightInd w:val="0"/>
        <w:spacing w:before="120" w:line="360" w:lineRule="auto"/>
        <w:jc w:val="both"/>
        <w:rPr>
          <w:bCs/>
        </w:rPr>
      </w:pPr>
      <w:r w:rsidRPr="00E261BF">
        <w:rPr>
          <w:rFonts w:eastAsia="Arial Unicode MS"/>
          <w:u w:color="000000"/>
          <w:bdr w:val="nil"/>
        </w:rPr>
        <w:t>Nabór na premię kogeneracyjną indywidualną jest ogłaszany, organizowany i</w:t>
      </w:r>
      <w:r w:rsidR="004F6B6E">
        <w:rPr>
          <w:rFonts w:eastAsia="Arial Unicode MS"/>
          <w:u w:color="000000"/>
          <w:bdr w:val="nil"/>
        </w:rPr>
        <w:t> </w:t>
      </w:r>
      <w:r w:rsidRPr="00E261BF">
        <w:rPr>
          <w:rFonts w:eastAsia="Arial Unicode MS"/>
          <w:u w:color="000000"/>
          <w:bdr w:val="nil"/>
        </w:rPr>
        <w:t>przeprowadzany przez Prezesa URE nie rzadziej niż raz w roku.</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Przed przystąpieniem do naboru, wytwórca podlega procedurze oceny formalnej przygotowania do wytwarzania energii elektrycznej w danej jednostce kogeneracji, którą </w:t>
      </w:r>
      <w:r w:rsidR="004227B1" w:rsidRPr="00E261BF">
        <w:rPr>
          <w:bCs/>
        </w:rPr>
        <w:t>przeprowadza Prezes URE. Art. 4</w:t>
      </w:r>
      <w:r w:rsidR="00AA307A" w:rsidRPr="00E261BF">
        <w:rPr>
          <w:bCs/>
        </w:rPr>
        <w:t>4</w:t>
      </w:r>
      <w:r w:rsidRPr="00E261BF">
        <w:rPr>
          <w:bCs/>
        </w:rPr>
        <w:t xml:space="preserve"> definiuje zakres niezbędnej dokumentacji, którą należy przedstawić Prezesowi URE do oceny stopnia przygotowania danej jednostki kogeneracji przez wytwórcę do udziału w aukcji. Zakres przedstawianych informacji (o analogicznym charakterze, jak w przypadku wytwórców zamierzających przystąpić do aukcji) ma na celu eliminowanie z aukcji projektów, których stopień przygotowania nie gwarantuje skutecznej ich realizacji.</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Zakończeniem procesu jest wydanie bądź odmowa wydania </w:t>
      </w:r>
      <w:r w:rsidR="00190547">
        <w:rPr>
          <w:bCs/>
        </w:rPr>
        <w:t xml:space="preserve">decyzji </w:t>
      </w:r>
      <w:r w:rsidRPr="00E261BF">
        <w:rPr>
          <w:bCs/>
        </w:rPr>
        <w:t>dopuszczające</w:t>
      </w:r>
      <w:r w:rsidR="00190547">
        <w:rPr>
          <w:bCs/>
        </w:rPr>
        <w:t>j</w:t>
      </w:r>
      <w:r w:rsidRPr="00E261BF">
        <w:rPr>
          <w:bCs/>
        </w:rPr>
        <w:t xml:space="preserve"> do udziału w naborze (a</w:t>
      </w:r>
      <w:r w:rsidR="00E55986" w:rsidRPr="00E261BF">
        <w:rPr>
          <w:bCs/>
        </w:rPr>
        <w:t>rt. 4</w:t>
      </w:r>
      <w:r w:rsidR="00AA307A" w:rsidRPr="00E261BF">
        <w:rPr>
          <w:bCs/>
        </w:rPr>
        <w:t>5</w:t>
      </w:r>
      <w:r w:rsidRPr="00E261BF">
        <w:rPr>
          <w:bCs/>
        </w:rPr>
        <w:t>).</w:t>
      </w:r>
    </w:p>
    <w:p w:rsidR="00FA6B40" w:rsidRPr="00E261BF" w:rsidRDefault="00FA6B40" w:rsidP="003835D3">
      <w:pPr>
        <w:pStyle w:val="Akapitzlist"/>
        <w:widowControl w:val="0"/>
        <w:numPr>
          <w:ilvl w:val="0"/>
          <w:numId w:val="21"/>
        </w:numPr>
        <w:autoSpaceDE w:val="0"/>
        <w:autoSpaceDN w:val="0"/>
        <w:adjustRightInd w:val="0"/>
        <w:spacing w:before="120" w:line="360" w:lineRule="auto"/>
        <w:ind w:left="284" w:hanging="284"/>
        <w:contextualSpacing w:val="0"/>
        <w:jc w:val="both"/>
        <w:rPr>
          <w:b/>
          <w:bCs/>
        </w:rPr>
      </w:pPr>
      <w:r w:rsidRPr="00E261BF">
        <w:rPr>
          <w:b/>
          <w:bCs/>
        </w:rPr>
        <w:t>Ogłoszenie, przeprowadzenie i ro</w:t>
      </w:r>
      <w:r w:rsidR="00E55986" w:rsidRPr="00E261BF">
        <w:rPr>
          <w:b/>
          <w:bCs/>
        </w:rPr>
        <w:t>zstrzygnięcie naboru – art. 4</w:t>
      </w:r>
      <w:r w:rsidR="00680107">
        <w:rPr>
          <w:b/>
          <w:bCs/>
        </w:rPr>
        <w:t>6–</w:t>
      </w:r>
      <w:r w:rsidR="00AA307A" w:rsidRPr="00E261BF">
        <w:rPr>
          <w:b/>
          <w:bCs/>
        </w:rPr>
        <w:t>50</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Nabór ogłaszany jest przez Prezesa URE nie później niż 90 dni przed dniem jego rozpoczęcia. Wskazany termin jest dłuższy niż </w:t>
      </w:r>
      <w:r w:rsidR="004F6B6E">
        <w:rPr>
          <w:bCs/>
        </w:rPr>
        <w:t>w przypadku aukcji, co wynika z </w:t>
      </w:r>
      <w:r w:rsidRPr="00E261BF">
        <w:rPr>
          <w:bCs/>
        </w:rPr>
        <w:t xml:space="preserve">charakteru jednostek mogących brać udział w naborze. </w:t>
      </w:r>
    </w:p>
    <w:p w:rsidR="00FA6B40" w:rsidRPr="00E261BF" w:rsidRDefault="00FA6B40" w:rsidP="003835D3">
      <w:pPr>
        <w:widowControl w:val="0"/>
        <w:autoSpaceDE w:val="0"/>
        <w:autoSpaceDN w:val="0"/>
        <w:adjustRightInd w:val="0"/>
        <w:spacing w:before="120" w:line="360" w:lineRule="auto"/>
        <w:jc w:val="both"/>
        <w:rPr>
          <w:bCs/>
        </w:rPr>
      </w:pPr>
      <w:r w:rsidRPr="00E261BF">
        <w:rPr>
          <w:bCs/>
        </w:rPr>
        <w:t>Termin przeprowadzenia naboru, ustalono na tożsamym poziomie, jak w przypadku aukcji, tj. nie może być on krótszy niż 3 dni i nie dłuższy niż 10 dni. Prezes URE ustala również regulamin naboru, który zatwierdza minister właściwy do spraw energii.</w:t>
      </w:r>
    </w:p>
    <w:p w:rsidR="00FA6B40" w:rsidRPr="00E261BF" w:rsidRDefault="00E55986" w:rsidP="003835D3">
      <w:pPr>
        <w:widowControl w:val="0"/>
        <w:autoSpaceDE w:val="0"/>
        <w:autoSpaceDN w:val="0"/>
        <w:adjustRightInd w:val="0"/>
        <w:spacing w:before="120" w:line="360" w:lineRule="auto"/>
        <w:jc w:val="both"/>
        <w:rPr>
          <w:bCs/>
        </w:rPr>
      </w:pPr>
      <w:r w:rsidRPr="00E261BF">
        <w:rPr>
          <w:bCs/>
        </w:rPr>
        <w:t>W art. 4</w:t>
      </w:r>
      <w:r w:rsidR="00AA307A" w:rsidRPr="00E261BF">
        <w:rPr>
          <w:bCs/>
        </w:rPr>
        <w:t>7</w:t>
      </w:r>
      <w:r w:rsidR="00FA6B40" w:rsidRPr="00E261BF">
        <w:rPr>
          <w:bCs/>
        </w:rPr>
        <w:t xml:space="preserve"> wskazano zasady uczestnictwa wytwórców w naborze określając sposób złożenia oferty oraz elementy, z których powinna się ona składać. Do najistotniejszych elementów oferty należy:</w:t>
      </w:r>
    </w:p>
    <w:p w:rsidR="00FA6B40" w:rsidRPr="00E261BF" w:rsidRDefault="00FA6B40" w:rsidP="003835D3">
      <w:pPr>
        <w:pStyle w:val="Akapitzlist"/>
        <w:widowControl w:val="0"/>
        <w:numPr>
          <w:ilvl w:val="0"/>
          <w:numId w:val="22"/>
        </w:numPr>
        <w:autoSpaceDE w:val="0"/>
        <w:autoSpaceDN w:val="0"/>
        <w:adjustRightInd w:val="0"/>
        <w:spacing w:line="360" w:lineRule="auto"/>
        <w:ind w:left="284" w:hanging="284"/>
        <w:contextualSpacing w:val="0"/>
        <w:jc w:val="both"/>
        <w:rPr>
          <w:bCs/>
        </w:rPr>
      </w:pPr>
      <w:r w:rsidRPr="00E261BF">
        <w:rPr>
          <w:bCs/>
        </w:rPr>
        <w:t>określenie ilości energii elektrycznej z wysokosprawnej kogeneracji, którą wytwórca zobowiązuje się wytworzyć i sprzedać,</w:t>
      </w:r>
    </w:p>
    <w:p w:rsidR="00FA6B40" w:rsidRPr="00E261BF" w:rsidRDefault="00FA6B40" w:rsidP="003835D3">
      <w:pPr>
        <w:pStyle w:val="Akapitzlist"/>
        <w:widowControl w:val="0"/>
        <w:numPr>
          <w:ilvl w:val="0"/>
          <w:numId w:val="22"/>
        </w:numPr>
        <w:autoSpaceDE w:val="0"/>
        <w:autoSpaceDN w:val="0"/>
        <w:adjustRightInd w:val="0"/>
        <w:spacing w:line="360" w:lineRule="auto"/>
        <w:ind w:left="284" w:hanging="284"/>
        <w:contextualSpacing w:val="0"/>
        <w:jc w:val="both"/>
        <w:rPr>
          <w:bCs/>
        </w:rPr>
      </w:pPr>
      <w:r w:rsidRPr="00E261BF">
        <w:rPr>
          <w:bCs/>
        </w:rPr>
        <w:t>zobowiązanie, że do budowy nowej jednostki kogeneracji albo znacznej modernizacji jednostki kogeneracji zostaną wykorzystane wyłącznie urządzenia wyprodukowane nie później niż w terminie 60 miesięcy, przed dniem wytworzenia po raz pierwszy energii elektrycznej w tej jednostce,</w:t>
      </w:r>
    </w:p>
    <w:p w:rsidR="00FA6B40" w:rsidRPr="00E261BF" w:rsidRDefault="00FA6B40" w:rsidP="003835D3">
      <w:pPr>
        <w:pStyle w:val="Akapitzlist"/>
        <w:widowControl w:val="0"/>
        <w:numPr>
          <w:ilvl w:val="0"/>
          <w:numId w:val="22"/>
        </w:numPr>
        <w:autoSpaceDE w:val="0"/>
        <w:autoSpaceDN w:val="0"/>
        <w:adjustRightInd w:val="0"/>
        <w:spacing w:line="360" w:lineRule="auto"/>
        <w:ind w:left="284" w:hanging="284"/>
        <w:contextualSpacing w:val="0"/>
        <w:jc w:val="both"/>
        <w:rPr>
          <w:bCs/>
        </w:rPr>
      </w:pPr>
      <w:r w:rsidRPr="00E261BF">
        <w:rPr>
          <w:bCs/>
        </w:rPr>
        <w:t>wskazanie procentowego udziału ciepła użytkowego w kogeneracji, które zostanie wprowadzone do publicznej sieci ciepłowniczej,</w:t>
      </w:r>
    </w:p>
    <w:p w:rsidR="00FA6B40" w:rsidRPr="00E261BF" w:rsidRDefault="00FA6B40" w:rsidP="003835D3">
      <w:pPr>
        <w:pStyle w:val="Akapitzlist"/>
        <w:widowControl w:val="0"/>
        <w:numPr>
          <w:ilvl w:val="0"/>
          <w:numId w:val="22"/>
        </w:numPr>
        <w:autoSpaceDE w:val="0"/>
        <w:autoSpaceDN w:val="0"/>
        <w:adjustRightInd w:val="0"/>
        <w:spacing w:line="360" w:lineRule="auto"/>
        <w:ind w:left="284" w:hanging="284"/>
        <w:contextualSpacing w:val="0"/>
        <w:jc w:val="both"/>
        <w:rPr>
          <w:bCs/>
        </w:rPr>
      </w:pPr>
      <w:r w:rsidRPr="00E261BF">
        <w:rPr>
          <w:bCs/>
        </w:rPr>
        <w:lastRenderedPageBreak/>
        <w:t>zobowiązanie do wytworzenia po raz pier</w:t>
      </w:r>
      <w:r w:rsidR="004F6B6E">
        <w:rPr>
          <w:bCs/>
        </w:rPr>
        <w:t>wszy energii elektrycznej z </w:t>
      </w:r>
      <w:r w:rsidRPr="00E261BF">
        <w:rPr>
          <w:bCs/>
        </w:rPr>
        <w:t>wysokosprawnej kogeneracji w nowej jedno</w:t>
      </w:r>
      <w:r w:rsidR="004F6B6E">
        <w:rPr>
          <w:bCs/>
        </w:rPr>
        <w:t>stce kogeneracji, w terminie 60 </w:t>
      </w:r>
      <w:r w:rsidRPr="00E261BF">
        <w:rPr>
          <w:bCs/>
        </w:rPr>
        <w:t>miesięcy od dnia zamknięcia aukcji, w zależności od rodzaju jednostki kogeneracji.</w:t>
      </w:r>
    </w:p>
    <w:p w:rsidR="00FA6B40" w:rsidRPr="00E261BF" w:rsidRDefault="00E55986" w:rsidP="003835D3">
      <w:pPr>
        <w:widowControl w:val="0"/>
        <w:autoSpaceDE w:val="0"/>
        <w:autoSpaceDN w:val="0"/>
        <w:adjustRightInd w:val="0"/>
        <w:spacing w:before="120" w:line="360" w:lineRule="auto"/>
        <w:jc w:val="both"/>
        <w:rPr>
          <w:bCs/>
        </w:rPr>
      </w:pPr>
      <w:r w:rsidRPr="00E261BF">
        <w:rPr>
          <w:bCs/>
        </w:rPr>
        <w:t>W art. 4</w:t>
      </w:r>
      <w:r w:rsidR="00AA307A" w:rsidRPr="00E261BF">
        <w:rPr>
          <w:bCs/>
        </w:rPr>
        <w:t>8</w:t>
      </w:r>
      <w:r w:rsidR="00FA6B40" w:rsidRPr="00E261BF">
        <w:rPr>
          <w:bCs/>
        </w:rPr>
        <w:t xml:space="preserve"> zobligowano Prezesa URE</w:t>
      </w:r>
      <w:r w:rsidR="00FA6B40" w:rsidRPr="00E261BF">
        <w:rPr>
          <w:rFonts w:eastAsia="Arial Unicode MS"/>
          <w:bCs/>
          <w:u w:color="000000"/>
          <w:bdr w:val="nil"/>
        </w:rPr>
        <w:t xml:space="preserve"> do wyliczania dla każdego wytwórcy, który złożył ofertę w naborze, wysokości premii kogeneracyjnej indywidualnej, nieprzekraczającej maksymalnej wysokości premii kogeneracyjnej indywidualnej, ustalanej w stosownym rozporządzeniu przez ministra właściwego do spraw energii, dzięki czemu wsparcie dla tego typu jednostek będzie udzielane w wysokości niezbędnej dla ich właściwego funkcjonowania.</w:t>
      </w:r>
    </w:p>
    <w:p w:rsidR="00FA6B40" w:rsidRPr="00E261BF" w:rsidRDefault="00E55986" w:rsidP="003835D3">
      <w:pPr>
        <w:pStyle w:val="USTustnpkodeksu"/>
        <w:spacing w:before="120"/>
        <w:ind w:firstLine="0"/>
        <w:rPr>
          <w:rFonts w:ascii="Times New Roman" w:hAnsi="Times New Roman" w:cs="Times New Roman"/>
          <w:szCs w:val="24"/>
        </w:rPr>
      </w:pPr>
      <w:r w:rsidRPr="00E261BF">
        <w:rPr>
          <w:rFonts w:ascii="Times New Roman" w:hAnsi="Times New Roman" w:cs="Times New Roman"/>
          <w:bCs w:val="0"/>
          <w:szCs w:val="24"/>
        </w:rPr>
        <w:t xml:space="preserve">Zgodnie z art. </w:t>
      </w:r>
      <w:r w:rsidR="00190547">
        <w:rPr>
          <w:rFonts w:ascii="Times New Roman" w:hAnsi="Times New Roman" w:cs="Times New Roman"/>
          <w:bCs w:val="0"/>
          <w:szCs w:val="24"/>
        </w:rPr>
        <w:t>49</w:t>
      </w:r>
      <w:r w:rsidR="00FA6B40" w:rsidRPr="00E261BF">
        <w:rPr>
          <w:rFonts w:ascii="Times New Roman" w:hAnsi="Times New Roman" w:cs="Times New Roman"/>
          <w:bCs w:val="0"/>
          <w:szCs w:val="24"/>
        </w:rPr>
        <w:t xml:space="preserve"> nabór wygrywają uczestnicy naboru, którzy </w:t>
      </w:r>
      <w:r w:rsidR="00FA6B40" w:rsidRPr="00E261BF">
        <w:rPr>
          <w:rFonts w:ascii="Times New Roman" w:eastAsia="Arial Unicode MS" w:hAnsi="Times New Roman" w:cs="Times New Roman"/>
          <w:szCs w:val="24"/>
          <w:u w:color="000000"/>
          <w:bdr w:val="nil"/>
        </w:rPr>
        <w:t xml:space="preserve">otrzymali </w:t>
      </w:r>
      <w:r w:rsidRPr="00E261BF">
        <w:rPr>
          <w:rFonts w:ascii="Times New Roman" w:eastAsia="Arial Unicode MS" w:hAnsi="Times New Roman" w:cs="Times New Roman"/>
          <w:szCs w:val="24"/>
          <w:u w:color="000000"/>
          <w:bdr w:val="nil"/>
        </w:rPr>
        <w:t>najniższą wartość punktową</w:t>
      </w:r>
      <w:r w:rsidR="00FA6B40" w:rsidRPr="00E261BF">
        <w:rPr>
          <w:rFonts w:ascii="Times New Roman" w:eastAsia="Arial Unicode MS" w:hAnsi="Times New Roman" w:cs="Times New Roman"/>
          <w:szCs w:val="24"/>
          <w:u w:color="000000"/>
          <w:bdr w:val="nil"/>
        </w:rPr>
        <w:t xml:space="preserve"> w naborze przy uwzględnieniu parametrów (</w:t>
      </w:r>
      <w:r w:rsidRPr="00E261BF">
        <w:rPr>
          <w:rFonts w:ascii="Times New Roman" w:eastAsia="Arial Unicode MS" w:hAnsi="Times New Roman" w:cs="Times New Roman"/>
          <w:szCs w:val="24"/>
          <w:u w:color="000000"/>
          <w:bdr w:val="nil"/>
        </w:rPr>
        <w:t xml:space="preserve">iloczynu </w:t>
      </w:r>
      <w:r w:rsidR="00FA6B40" w:rsidRPr="00E261BF">
        <w:rPr>
          <w:rFonts w:ascii="Times New Roman" w:eastAsia="Arial Unicode MS" w:hAnsi="Times New Roman" w:cs="Times New Roman"/>
          <w:bCs w:val="0"/>
          <w:szCs w:val="24"/>
          <w:u w:color="000000"/>
          <w:bdr w:val="nil"/>
        </w:rPr>
        <w:t>jednostkowej wysokości prem</w:t>
      </w:r>
      <w:r w:rsidRPr="00E261BF">
        <w:rPr>
          <w:rFonts w:ascii="Times New Roman" w:eastAsia="Arial Unicode MS" w:hAnsi="Times New Roman" w:cs="Times New Roman"/>
          <w:bCs w:val="0"/>
          <w:szCs w:val="24"/>
          <w:u w:color="000000"/>
          <w:bdr w:val="nil"/>
        </w:rPr>
        <w:t>ii kogeneracyjnej indywidualnej oraz współczynników</w:t>
      </w:r>
      <w:r w:rsidR="00FA6B40" w:rsidRPr="00E261BF">
        <w:rPr>
          <w:rFonts w:ascii="Times New Roman" w:eastAsia="Arial Unicode MS" w:hAnsi="Times New Roman" w:cs="Times New Roman"/>
          <w:bCs w:val="0"/>
          <w:szCs w:val="24"/>
          <w:u w:color="000000"/>
          <w:bdr w:val="nil"/>
        </w:rPr>
        <w:t xml:space="preserve"> </w:t>
      </w:r>
      <w:r w:rsidRPr="00E261BF">
        <w:rPr>
          <w:rFonts w:ascii="Times New Roman" w:eastAsia="Arial Unicode MS" w:hAnsi="Times New Roman" w:cs="Times New Roman"/>
          <w:bCs w:val="0"/>
          <w:szCs w:val="24"/>
          <w:u w:color="000000"/>
          <w:bdr w:val="nil"/>
        </w:rPr>
        <w:t xml:space="preserve">przypisanych parametrom </w:t>
      </w:r>
      <w:r w:rsidR="00FA6B40" w:rsidRPr="00E261BF">
        <w:rPr>
          <w:rFonts w:ascii="Times New Roman" w:eastAsia="Arial Unicode MS" w:hAnsi="Times New Roman" w:cs="Times New Roman"/>
          <w:bCs w:val="0"/>
          <w:szCs w:val="24"/>
          <w:u w:color="000000"/>
          <w:bdr w:val="nil"/>
        </w:rPr>
        <w:t>lokalizacji jednostki kogeneracji oraz rodzaju paliwa wykorzystywanego do produkcji energii elektrycznej z wysokosprawnej kogeneracji)</w:t>
      </w:r>
      <w:r w:rsidR="00FA6B40" w:rsidRPr="00E261BF">
        <w:rPr>
          <w:rFonts w:ascii="Times New Roman" w:hAnsi="Times New Roman" w:cs="Times New Roman"/>
          <w:bCs w:val="0"/>
          <w:szCs w:val="24"/>
        </w:rPr>
        <w:t>, aż do</w:t>
      </w:r>
      <w:r w:rsidR="00680107">
        <w:rPr>
          <w:rFonts w:ascii="Times New Roman" w:hAnsi="Times New Roman" w:cs="Times New Roman"/>
          <w:bCs w:val="0"/>
          <w:szCs w:val="24"/>
        </w:rPr>
        <w:t xml:space="preserve"> </w:t>
      </w:r>
      <w:r w:rsidR="00FA6B40" w:rsidRPr="00E261BF">
        <w:rPr>
          <w:rFonts w:ascii="Times New Roman" w:hAnsi="Times New Roman" w:cs="Times New Roman"/>
          <w:bCs w:val="0"/>
          <w:szCs w:val="24"/>
        </w:rPr>
        <w:t xml:space="preserve">wyczerpania maksymalnej ilości lub wartości energii elektrycznej </w:t>
      </w:r>
      <w:r w:rsidRPr="00E261BF">
        <w:rPr>
          <w:rFonts w:ascii="Times New Roman" w:hAnsi="Times New Roman" w:cs="Times New Roman"/>
          <w:bCs w:val="0"/>
          <w:szCs w:val="24"/>
        </w:rPr>
        <w:t xml:space="preserve">określonej w ogłoszeniu </w:t>
      </w:r>
      <w:r w:rsidR="004F6B6E">
        <w:rPr>
          <w:rFonts w:ascii="Times New Roman" w:hAnsi="Times New Roman" w:cs="Times New Roman"/>
          <w:bCs w:val="0"/>
          <w:szCs w:val="24"/>
        </w:rPr>
        <w:t>o </w:t>
      </w:r>
      <w:r w:rsidRPr="00E261BF">
        <w:rPr>
          <w:rFonts w:ascii="Times New Roman" w:hAnsi="Times New Roman" w:cs="Times New Roman"/>
          <w:bCs w:val="0"/>
          <w:szCs w:val="24"/>
        </w:rPr>
        <w:t>naborze</w:t>
      </w:r>
      <w:r w:rsidR="00FA6B40" w:rsidRPr="00E261BF">
        <w:rPr>
          <w:rFonts w:ascii="Times New Roman" w:hAnsi="Times New Roman" w:cs="Times New Roman"/>
          <w:bCs w:val="0"/>
          <w:szCs w:val="24"/>
        </w:rPr>
        <w:t>.</w:t>
      </w:r>
      <w:r w:rsidRPr="00E261BF">
        <w:rPr>
          <w:rFonts w:ascii="Times New Roman" w:hAnsi="Times New Roman" w:cs="Times New Roman"/>
          <w:bCs w:val="0"/>
          <w:szCs w:val="24"/>
        </w:rPr>
        <w:t xml:space="preserve"> Wskazano, że </w:t>
      </w:r>
      <w:r w:rsidRPr="00E261BF">
        <w:rPr>
          <w:rFonts w:ascii="Times New Roman" w:hAnsi="Times New Roman" w:cs="Times New Roman"/>
          <w:szCs w:val="24"/>
        </w:rPr>
        <w:t>wartość ww. współczynników określa minister właściwy do spraw energii w stosownym rozporządzeniu.</w:t>
      </w:r>
    </w:p>
    <w:p w:rsidR="00FA6B40" w:rsidRPr="00E261BF" w:rsidRDefault="00FA6B40" w:rsidP="003835D3">
      <w:pPr>
        <w:widowControl w:val="0"/>
        <w:autoSpaceDE w:val="0"/>
        <w:autoSpaceDN w:val="0"/>
        <w:adjustRightInd w:val="0"/>
        <w:spacing w:before="120" w:line="360" w:lineRule="auto"/>
        <w:jc w:val="both"/>
        <w:rPr>
          <w:bCs/>
        </w:rPr>
      </w:pPr>
      <w:r w:rsidRPr="00E261BF">
        <w:rPr>
          <w:bCs/>
        </w:rPr>
        <w:t>Odmienny sposób uregulowania kwestii wygranej naboru i aukcji wynika z</w:t>
      </w:r>
      <w:r w:rsidR="004F6B6E">
        <w:rPr>
          <w:bCs/>
        </w:rPr>
        <w:t> </w:t>
      </w:r>
      <w:r w:rsidRPr="00E261BF">
        <w:rPr>
          <w:bCs/>
        </w:rPr>
        <w:t>konieczności pozostawienia ministrowi właściwemu do spraw energii większej elastyczności w zakresie kształtowania polityki energetycznej oraz bezpieczeństwa energetycznego państwa. Ma to istotne znaczenie w przypadku dużych jednostek kogeneracji, których oddziaływanie będzie miało charakter ponad lokalny. Pozostawienie możliwości kształtowania punktacji</w:t>
      </w:r>
      <w:r w:rsidR="00680107">
        <w:rPr>
          <w:bCs/>
        </w:rPr>
        <w:t xml:space="preserve"> </w:t>
      </w:r>
      <w:r w:rsidR="00E55986" w:rsidRPr="00E261BF">
        <w:rPr>
          <w:bCs/>
        </w:rPr>
        <w:t>(tj. wartości współczynników) w</w:t>
      </w:r>
      <w:r w:rsidR="004F6B6E">
        <w:rPr>
          <w:bCs/>
        </w:rPr>
        <w:t> </w:t>
      </w:r>
      <w:r w:rsidRPr="00E261BF">
        <w:rPr>
          <w:bCs/>
        </w:rPr>
        <w:t xml:space="preserve">odniesieniu do ww. parametrów naboru pozwoli na prawidłową koordynację tworzenia nowych jednostek </w:t>
      </w:r>
      <w:r w:rsidR="00E55986" w:rsidRPr="00E261BF">
        <w:rPr>
          <w:bCs/>
        </w:rPr>
        <w:t xml:space="preserve">bądź zastępowania istniejących przeznaczonych do odstawienia </w:t>
      </w:r>
      <w:r w:rsidRPr="00E261BF">
        <w:rPr>
          <w:bCs/>
        </w:rPr>
        <w:t>lub wykorzystujących określone paliwa (co przyczyni się do</w:t>
      </w:r>
      <w:r w:rsidR="00680107">
        <w:rPr>
          <w:bCs/>
        </w:rPr>
        <w:t xml:space="preserve"> </w:t>
      </w:r>
      <w:r w:rsidRPr="00E261BF">
        <w:rPr>
          <w:bCs/>
        </w:rPr>
        <w:t>kształtowania określonego miksu paliwowego).</w:t>
      </w:r>
    </w:p>
    <w:p w:rsidR="00FA6B40" w:rsidRPr="00E261BF" w:rsidRDefault="00E55986" w:rsidP="003835D3">
      <w:pPr>
        <w:widowControl w:val="0"/>
        <w:autoSpaceDE w:val="0"/>
        <w:autoSpaceDN w:val="0"/>
        <w:adjustRightInd w:val="0"/>
        <w:spacing w:before="120" w:line="360" w:lineRule="auto"/>
        <w:jc w:val="both"/>
        <w:rPr>
          <w:bCs/>
        </w:rPr>
      </w:pPr>
      <w:r w:rsidRPr="00E261BF">
        <w:rPr>
          <w:bCs/>
        </w:rPr>
        <w:t xml:space="preserve">W art. </w:t>
      </w:r>
      <w:r w:rsidR="00AA307A" w:rsidRPr="00E261BF">
        <w:rPr>
          <w:bCs/>
        </w:rPr>
        <w:t>49</w:t>
      </w:r>
      <w:r w:rsidRPr="00E261BF">
        <w:rPr>
          <w:bCs/>
        </w:rPr>
        <w:t xml:space="preserve"> </w:t>
      </w:r>
      <w:r w:rsidR="00FA6B40" w:rsidRPr="00E261BF">
        <w:rPr>
          <w:bCs/>
        </w:rPr>
        <w:t>uregulowane zostały również kwestie związane z sytuacją przekroczenia maksymalnej ilości lub wartości energii elektrycznej określonej w ogłoszeniu o aukcji.</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W art. </w:t>
      </w:r>
      <w:r w:rsidR="00AA307A" w:rsidRPr="00E261BF">
        <w:rPr>
          <w:bCs/>
        </w:rPr>
        <w:t>50</w:t>
      </w:r>
      <w:r w:rsidRPr="00E261BF">
        <w:rPr>
          <w:bCs/>
        </w:rPr>
        <w:t xml:space="preserve"> wskazano</w:t>
      </w:r>
      <w:r w:rsidR="00E55986" w:rsidRPr="00E261BF">
        <w:rPr>
          <w:bCs/>
        </w:rPr>
        <w:t>,</w:t>
      </w:r>
      <w:r w:rsidRPr="00E261BF">
        <w:rPr>
          <w:bCs/>
        </w:rPr>
        <w:t xml:space="preserve"> kiedy Prezes URE zamyka nabór oraz wskazano zobowiązania Prezesa URE do poinformowania o rozstrzygnięciu lub o unieważnieniu naboru. W tym </w:t>
      </w:r>
      <w:r w:rsidRPr="00E261BF">
        <w:rPr>
          <w:bCs/>
        </w:rPr>
        <w:lastRenderedPageBreak/>
        <w:t xml:space="preserve">obszarze istotnie wydłużono terminy rozstrzygnięcia naboru z uwagi na fakt, iż to Prezes URE wskazywał będzie </w:t>
      </w:r>
      <w:r w:rsidRPr="00E261BF">
        <w:rPr>
          <w:rFonts w:eastAsia="Arial Unicode MS"/>
          <w:bCs/>
          <w:u w:color="000000"/>
          <w:bdr w:val="nil"/>
        </w:rPr>
        <w:t>wysokość premii kogeneracyjnej indywidualnej. Ponadto, wprowadzona została możliwość braku akceptacji określonej przez Prezesa URE wysokości premii kogeneracyjnej indywidualnej przez uczestnika naboru, czego skutkiem jest odrzucenie oferty.</w:t>
      </w:r>
    </w:p>
    <w:p w:rsidR="00FA6B40" w:rsidRPr="00E261BF" w:rsidRDefault="00FA6B40" w:rsidP="003835D3">
      <w:pPr>
        <w:pStyle w:val="Akapitzlist"/>
        <w:widowControl w:val="0"/>
        <w:numPr>
          <w:ilvl w:val="0"/>
          <w:numId w:val="21"/>
        </w:numPr>
        <w:autoSpaceDE w:val="0"/>
        <w:autoSpaceDN w:val="0"/>
        <w:adjustRightInd w:val="0"/>
        <w:spacing w:before="120" w:line="360" w:lineRule="auto"/>
        <w:ind w:left="284" w:hanging="284"/>
        <w:contextualSpacing w:val="0"/>
        <w:jc w:val="both"/>
        <w:rPr>
          <w:b/>
          <w:bCs/>
        </w:rPr>
      </w:pPr>
      <w:r w:rsidRPr="00E261BF">
        <w:rPr>
          <w:b/>
          <w:bCs/>
        </w:rPr>
        <w:t>Wypłata premii kogeneracyjnej indywidualnej – art. 5</w:t>
      </w:r>
      <w:r w:rsidR="00AA307A" w:rsidRPr="00E261BF">
        <w:rPr>
          <w:b/>
          <w:bCs/>
        </w:rPr>
        <w:t>1</w:t>
      </w:r>
      <w:r w:rsidR="00680107">
        <w:rPr>
          <w:b/>
          <w:bCs/>
        </w:rPr>
        <w:t>–</w:t>
      </w:r>
      <w:r w:rsidR="00E55986" w:rsidRPr="00E261BF">
        <w:rPr>
          <w:b/>
          <w:bCs/>
        </w:rPr>
        <w:t>55</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 art. 5</w:t>
      </w:r>
      <w:r w:rsidR="00E55986" w:rsidRPr="00E261BF">
        <w:rPr>
          <w:bCs/>
        </w:rPr>
        <w:t>2</w:t>
      </w:r>
      <w:r w:rsidRPr="00E261BF">
        <w:rPr>
          <w:bCs/>
        </w:rPr>
        <w:t xml:space="preserve"> uregulowano kwestię wypłaty premii kogeneracyjnej indywidualnej wytwórcy, który wygrał nabór. </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 celu wypłaty premii kogeneracyjnej indywidualnej, uprawniony wytwórca jednorazowo informuje operatora rozliczeń o dacie wytworzenia po raz pierwszy energii elektrycznej z wysokosprawnej kogeneracji, potwierdzonej przez operatora sieci przesyłowej elektroenergetycznej lub operatora sieci dystrybucyjnej elektroenergetycznej, w terminie 30</w:t>
      </w:r>
      <w:r w:rsidR="00680107">
        <w:rPr>
          <w:bCs/>
        </w:rPr>
        <w:t xml:space="preserve"> </w:t>
      </w:r>
      <w:r w:rsidRPr="00E261BF">
        <w:rPr>
          <w:bCs/>
        </w:rPr>
        <w:t>dni od tej daty oraz każdorazowo składa wniosek do operatora rozliczeń o wypłatę premii kogeneracyjnej indywidualnej, który zawiera m.in. informację na temat ilości energii elektrycznej z wysokosprawnej kogeneracji, wytworzonej w jednostce kogeneracji, wprowadzonej do sieci i sprzedanej dla okresu rozliczeniowego objętego wnioskiem oraz o wysokości premii kogeneracyjnej wynikającej z tej ilości energii. Co istotne wytwórca p</w:t>
      </w:r>
      <w:r w:rsidR="004F6B6E">
        <w:rPr>
          <w:bCs/>
        </w:rPr>
        <w:t>rzekazuje wniosek w terminie 45 </w:t>
      </w:r>
      <w:r w:rsidRPr="00E261BF">
        <w:rPr>
          <w:bCs/>
        </w:rPr>
        <w:t xml:space="preserve">dni po zakończeniu każdego kolejnego miesiąca kalendarzowego, pod rygorem utratę prawa do wypłaty premii kogeneracyjnej indywidualnej za dany okres rozliczeniowy w przypadku niedotrzymania tego terminu. </w:t>
      </w:r>
      <w:r w:rsidRPr="00E261BF">
        <w:rPr>
          <w:rFonts w:eastAsia="Arial Unicode MS"/>
          <w:u w:color="000000"/>
          <w:bdr w:val="nil"/>
        </w:rPr>
        <w:t>Dopuszczona będzie również możliwość rozliczania premii kogeneracyjnej za okres więcej niż jednego następującego po sobie miesiąca kalendarzowego, nie więcej jednak niż za 12 miesięcy kalendarzowych – w terminie 45 dni po zakończeniu o</w:t>
      </w:r>
      <w:r w:rsidR="004F6B6E">
        <w:rPr>
          <w:rFonts w:eastAsia="Arial Unicode MS"/>
          <w:u w:color="000000"/>
          <w:bdr w:val="nil"/>
        </w:rPr>
        <w:t>statniego z tych miesięcy (art. </w:t>
      </w:r>
      <w:r w:rsidRPr="00E261BF">
        <w:rPr>
          <w:rFonts w:eastAsia="Arial Unicode MS"/>
          <w:u w:color="000000"/>
          <w:bdr w:val="nil"/>
        </w:rPr>
        <w:t>5</w:t>
      </w:r>
      <w:r w:rsidR="00E55986" w:rsidRPr="00E261BF">
        <w:rPr>
          <w:rFonts w:eastAsia="Arial Unicode MS"/>
          <w:u w:color="000000"/>
          <w:bdr w:val="nil"/>
        </w:rPr>
        <w:t>2</w:t>
      </w:r>
      <w:r w:rsidRPr="00E261BF">
        <w:rPr>
          <w:rFonts w:eastAsia="Arial Unicode MS"/>
          <w:u w:color="000000"/>
          <w:bdr w:val="nil"/>
        </w:rPr>
        <w:t>).</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Wypłata należnych środków z tytułu premii kogeneracyjnej indywidualnej następuje w</w:t>
      </w:r>
      <w:r w:rsidR="004F6B6E">
        <w:rPr>
          <w:bCs/>
        </w:rPr>
        <w:t> </w:t>
      </w:r>
      <w:r w:rsidRPr="00E261BF">
        <w:rPr>
          <w:bCs/>
        </w:rPr>
        <w:t>terminie 30 dni od dnia złożenia wniosku o wypłatę.</w:t>
      </w:r>
    </w:p>
    <w:p w:rsidR="00FA6B40" w:rsidRPr="00E261BF" w:rsidRDefault="00FA6B40" w:rsidP="003835D3">
      <w:pPr>
        <w:widowControl w:val="0"/>
        <w:autoSpaceDE w:val="0"/>
        <w:autoSpaceDN w:val="0"/>
        <w:adjustRightInd w:val="0"/>
        <w:spacing w:before="120" w:line="360" w:lineRule="auto"/>
        <w:jc w:val="both"/>
        <w:rPr>
          <w:bCs/>
        </w:rPr>
      </w:pPr>
      <w:r w:rsidRPr="00E261BF">
        <w:rPr>
          <w:bCs/>
        </w:rPr>
        <w:t>Istotnym elementem mechanizmu wsparcia w postaci premii kogeneracyjnej indywidualnej jest fakt, iż wysokość premii kogeneracyjnej indywidualnej podlega corocznej waloryzacji średniorocznym wskaźnikiem cen towarów i usług konsumpcyjnych ogółem z</w:t>
      </w:r>
      <w:r w:rsidR="00680107">
        <w:rPr>
          <w:bCs/>
        </w:rPr>
        <w:t xml:space="preserve"> </w:t>
      </w:r>
      <w:r w:rsidRPr="00E261BF">
        <w:rPr>
          <w:bCs/>
        </w:rPr>
        <w:t>poprzedni</w:t>
      </w:r>
      <w:r w:rsidR="00E55986" w:rsidRPr="00E261BF">
        <w:rPr>
          <w:bCs/>
        </w:rPr>
        <w:t>ego roku kalendarzowego (art. 54</w:t>
      </w:r>
      <w:r w:rsidRPr="00E261BF">
        <w:rPr>
          <w:bCs/>
        </w:rPr>
        <w:t>).</w:t>
      </w:r>
    </w:p>
    <w:p w:rsidR="00FA6B40" w:rsidRPr="00E261BF" w:rsidRDefault="00FA6B40" w:rsidP="006C36C9">
      <w:pPr>
        <w:autoSpaceDE w:val="0"/>
        <w:autoSpaceDN w:val="0"/>
        <w:adjustRightInd w:val="0"/>
        <w:spacing w:before="120" w:line="360" w:lineRule="auto"/>
        <w:jc w:val="both"/>
        <w:rPr>
          <w:rFonts w:eastAsia="Arial Unicode MS"/>
          <w:u w:color="000000"/>
          <w:bdr w:val="nil"/>
        </w:rPr>
      </w:pPr>
      <w:r w:rsidRPr="00E261BF">
        <w:rPr>
          <w:bCs/>
        </w:rPr>
        <w:lastRenderedPageBreak/>
        <w:t>Ponadto wytwórca, który wygrał nabór zobowiązany jest do ustalania na podstawie rzeczywistych wskazań urządzeń pomiarowo – rozliczeniowych, ilość energii elektrycznej wytworzonej z wysokosprawnej kogeneracji w jednostce kogeneracji, wprowadzonej do sieci i sprzedanej, za którą wytwórcy przysługuje wypłata premii kogeneracyjnej oraz prowadzenia dokumentacji w ujęciu dobowym dotyczącej ilości, wyrażonej w kWh, wytworzonej z</w:t>
      </w:r>
      <w:r w:rsidR="00680107">
        <w:rPr>
          <w:bCs/>
        </w:rPr>
        <w:t xml:space="preserve"> </w:t>
      </w:r>
      <w:r w:rsidRPr="00E261BF">
        <w:rPr>
          <w:bCs/>
        </w:rPr>
        <w:t>wysokosprawnej kogeneracji, wprowadzonej do sieci i sprzedanej w danym miesiącu oraz</w:t>
      </w:r>
      <w:r w:rsidR="00680107">
        <w:rPr>
          <w:bCs/>
        </w:rPr>
        <w:t xml:space="preserve"> </w:t>
      </w:r>
      <w:r w:rsidRPr="00E261BF">
        <w:rPr>
          <w:bCs/>
        </w:rPr>
        <w:t>potwierdza</w:t>
      </w:r>
      <w:r w:rsidR="004F6B6E">
        <w:rPr>
          <w:bCs/>
        </w:rPr>
        <w:t>jącej ilość ciepła użytkowego w </w:t>
      </w:r>
      <w:r w:rsidRPr="00E261BF">
        <w:rPr>
          <w:bCs/>
        </w:rPr>
        <w:t>kogeneracji wprowadzonego do publicznej s</w:t>
      </w:r>
      <w:r w:rsidR="004F6B6E">
        <w:rPr>
          <w:bCs/>
        </w:rPr>
        <w:t>ieci ciepłowniczej, wyrażonej w </w:t>
      </w:r>
      <w:r w:rsidRPr="00E261BF">
        <w:rPr>
          <w:bCs/>
        </w:rPr>
        <w:t xml:space="preserve">procentach </w:t>
      </w:r>
      <w:r w:rsidR="00E55986" w:rsidRPr="00E261BF">
        <w:rPr>
          <w:rFonts w:eastAsia="Arial Unicode MS"/>
          <w:u w:color="000000"/>
          <w:bdr w:val="nil"/>
        </w:rPr>
        <w:t xml:space="preserve">(art. 54 i </w:t>
      </w:r>
      <w:r w:rsidR="00190547">
        <w:rPr>
          <w:rFonts w:eastAsia="Arial Unicode MS"/>
          <w:u w:color="000000"/>
          <w:bdr w:val="nil"/>
        </w:rPr>
        <w:t xml:space="preserve">art. </w:t>
      </w:r>
      <w:r w:rsidR="00E55986" w:rsidRPr="00E261BF">
        <w:rPr>
          <w:rFonts w:eastAsia="Arial Unicode MS"/>
          <w:u w:color="000000"/>
          <w:bdr w:val="nil"/>
        </w:rPr>
        <w:t>55</w:t>
      </w:r>
      <w:r w:rsidRPr="00E261BF">
        <w:rPr>
          <w:rFonts w:eastAsia="Arial Unicode MS"/>
          <w:u w:color="000000"/>
          <w:bdr w:val="nil"/>
        </w:rPr>
        <w:t>)</w:t>
      </w:r>
      <w:r w:rsidRPr="00E261BF">
        <w:rPr>
          <w:bCs/>
        </w:rPr>
        <w:t>.</w:t>
      </w:r>
      <w:r w:rsidRPr="00E261BF">
        <w:rPr>
          <w:rFonts w:eastAsia="Arial Unicode MS"/>
          <w:u w:color="000000"/>
          <w:bdr w:val="nil"/>
        </w:rPr>
        <w:t xml:space="preserve"> Dopuszczona będzie jednak możliwość określenia ilości energii elektrycznej wytworzonej, wprowadzonej do sieci i</w:t>
      </w:r>
      <w:r w:rsidR="00680107">
        <w:rPr>
          <w:rFonts w:eastAsia="Arial Unicode MS"/>
          <w:u w:color="000000"/>
          <w:bdr w:val="nil"/>
        </w:rPr>
        <w:t xml:space="preserve"> </w:t>
      </w:r>
      <w:r w:rsidR="004F6B6E">
        <w:rPr>
          <w:rFonts w:eastAsia="Arial Unicode MS"/>
          <w:u w:color="000000"/>
          <w:bdr w:val="nil"/>
        </w:rPr>
        <w:t>sprzedanej w oparciu o </w:t>
      </w:r>
      <w:r w:rsidRPr="00E261BF">
        <w:rPr>
          <w:rFonts w:eastAsia="Arial Unicode MS"/>
          <w:u w:color="000000"/>
          <w:bdr w:val="nil"/>
        </w:rPr>
        <w:t>metodę proporcjonalną, której zasady zostaną określone w</w:t>
      </w:r>
      <w:r w:rsidR="00680107">
        <w:rPr>
          <w:rFonts w:eastAsia="Arial Unicode MS"/>
          <w:u w:color="000000"/>
          <w:bdr w:val="nil"/>
        </w:rPr>
        <w:t xml:space="preserve"> </w:t>
      </w:r>
      <w:r w:rsidRPr="00E261BF">
        <w:rPr>
          <w:rFonts w:eastAsia="Arial Unicode MS"/>
          <w:u w:color="000000"/>
          <w:bdr w:val="nil"/>
        </w:rPr>
        <w:t>rozporządzeniu wydanym przez ministra właś</w:t>
      </w:r>
      <w:r w:rsidR="00E55986" w:rsidRPr="00E261BF">
        <w:rPr>
          <w:rFonts w:eastAsia="Arial Unicode MS"/>
          <w:u w:color="000000"/>
          <w:bdr w:val="nil"/>
        </w:rPr>
        <w:t>ciwego do spraw energii (art. 5</w:t>
      </w:r>
      <w:r w:rsidR="00190547">
        <w:rPr>
          <w:rFonts w:eastAsia="Arial Unicode MS"/>
          <w:u w:color="000000"/>
          <w:bdr w:val="nil"/>
        </w:rPr>
        <w:t>8</w:t>
      </w:r>
      <w:r w:rsidRPr="00E261BF">
        <w:rPr>
          <w:rFonts w:eastAsia="Arial Unicode MS"/>
          <w:u w:color="000000"/>
          <w:bdr w:val="nil"/>
        </w:rPr>
        <w:t>).</w:t>
      </w:r>
      <w:r w:rsidR="00680107">
        <w:rPr>
          <w:rFonts w:eastAsia="Arial Unicode MS"/>
          <w:u w:color="000000"/>
          <w:bdr w:val="nil"/>
        </w:rPr>
        <w:t xml:space="preserve"> </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6 – </w:t>
      </w:r>
      <w:r w:rsidRPr="00E261BF">
        <w:rPr>
          <w:b/>
          <w:bCs/>
        </w:rPr>
        <w:t>Zasady kształtowania zapotrzeb</w:t>
      </w:r>
      <w:r w:rsidR="004F6B6E">
        <w:rPr>
          <w:b/>
          <w:bCs/>
        </w:rPr>
        <w:t>owania na energię elektryczną z </w:t>
      </w:r>
      <w:r w:rsidRPr="00E261BF">
        <w:rPr>
          <w:b/>
          <w:bCs/>
        </w:rPr>
        <w:t>wysokosprawnej kogeneracji oraz sposób obliczani</w:t>
      </w:r>
      <w:r w:rsidR="004F6B6E">
        <w:rPr>
          <w:b/>
          <w:bCs/>
        </w:rPr>
        <w:t>a ilości energii elektrycznej z </w:t>
      </w:r>
      <w:r w:rsidRPr="00E261BF">
        <w:rPr>
          <w:b/>
          <w:bCs/>
        </w:rPr>
        <w:t>wyso</w:t>
      </w:r>
      <w:r w:rsidR="00E55986" w:rsidRPr="00E261BF">
        <w:rPr>
          <w:b/>
          <w:bCs/>
        </w:rPr>
        <w:t>kosprawnej kogeneracji – art. 56</w:t>
      </w:r>
      <w:r w:rsidR="00680107">
        <w:rPr>
          <w:b/>
          <w:bCs/>
        </w:rPr>
        <w:t>–</w:t>
      </w:r>
      <w:r w:rsidR="00CC43DE" w:rsidRPr="00E261BF">
        <w:rPr>
          <w:b/>
          <w:bCs/>
        </w:rPr>
        <w:t>59</w:t>
      </w:r>
    </w:p>
    <w:p w:rsidR="00FA6B40" w:rsidRPr="00E261BF" w:rsidRDefault="00FA6B40" w:rsidP="003835D3">
      <w:pPr>
        <w:widowControl w:val="0"/>
        <w:autoSpaceDE w:val="0"/>
        <w:autoSpaceDN w:val="0"/>
        <w:adjustRightInd w:val="0"/>
        <w:spacing w:before="120" w:line="360" w:lineRule="auto"/>
        <w:jc w:val="both"/>
        <w:rPr>
          <w:bCs/>
        </w:rPr>
      </w:pPr>
      <w:r w:rsidRPr="00E261BF">
        <w:rPr>
          <w:bCs/>
        </w:rPr>
        <w:t>Przepisy ustawy kształtują ramy mechanizmu wsparcia oraz instrumentów mu służących, określając m.in. zakres podmiotów mogących się ubiegać o określony rodzaj wsparcia. W rozdziale 6 zdefiniowano mechanizmy pozwalające na elastyczne kształtowanie polityki państwa w zakresie dalszego rozwoju wysokosprawnej kogeneracji poprzez pozostawienie ministrowi właściwemu do spraw energii kompetencji do określania w drodze rozporządzenia istotnych parametrów finansowych mających wpływ na funkcjonowanie mechanizmu wsparcia.</w:t>
      </w:r>
    </w:p>
    <w:p w:rsidR="00FA6B40" w:rsidRPr="00E261BF" w:rsidRDefault="00CC43DE" w:rsidP="003835D3">
      <w:pPr>
        <w:widowControl w:val="0"/>
        <w:autoSpaceDE w:val="0"/>
        <w:autoSpaceDN w:val="0"/>
        <w:adjustRightInd w:val="0"/>
        <w:spacing w:before="120" w:line="360" w:lineRule="auto"/>
        <w:jc w:val="both"/>
        <w:rPr>
          <w:bCs/>
        </w:rPr>
      </w:pPr>
      <w:r w:rsidRPr="00E261BF">
        <w:rPr>
          <w:bCs/>
        </w:rPr>
        <w:t>Zgodnie z art. 56</w:t>
      </w:r>
      <w:r w:rsidR="00FA6B40" w:rsidRPr="00E261BF">
        <w:rPr>
          <w:bCs/>
        </w:rPr>
        <w:t xml:space="preserve"> minister właściwy do spraw energii określa zarówno maksymalną ilość środków finansowych jakie skierowane zostaną do systemu wsparcia, w tym również w odniesieniu do </w:t>
      </w:r>
      <w:r w:rsidR="00FA6B40" w:rsidRPr="00E261BF">
        <w:rPr>
          <w:rFonts w:eastAsia="Arial Unicode MS"/>
          <w:u w:color="000000"/>
          <w:bdr w:val="nil"/>
        </w:rPr>
        <w:t>jednostek kogeneracji zlokalizowanych poza terytorium Rzeczypospolitej Polskiej,</w:t>
      </w:r>
      <w:r w:rsidR="00FA6B40" w:rsidRPr="00E261BF">
        <w:rPr>
          <w:bCs/>
        </w:rPr>
        <w:t xml:space="preserve"> jak również jednostkowe wysokości premii gwarantowanej (w tym również dla</w:t>
      </w:r>
      <w:r w:rsidR="00680107">
        <w:rPr>
          <w:bCs/>
        </w:rPr>
        <w:t xml:space="preserve"> </w:t>
      </w:r>
      <w:r w:rsidR="00FA6B40" w:rsidRPr="00E261BF">
        <w:rPr>
          <w:bCs/>
        </w:rPr>
        <w:t>małych jednostek kogeneracji) i maksymalnej wysokości premii kogeneracyjnej indywidualnej.</w:t>
      </w:r>
    </w:p>
    <w:p w:rsidR="00FA6B40" w:rsidRPr="00E261BF" w:rsidRDefault="00FA6B40" w:rsidP="003835D3">
      <w:pPr>
        <w:widowControl w:val="0"/>
        <w:autoSpaceDE w:val="0"/>
        <w:autoSpaceDN w:val="0"/>
        <w:adjustRightInd w:val="0"/>
        <w:spacing w:before="120" w:line="360" w:lineRule="auto"/>
        <w:jc w:val="both"/>
        <w:rPr>
          <w:u w:color="000000"/>
        </w:rPr>
      </w:pPr>
      <w:r w:rsidRPr="00E261BF">
        <w:rPr>
          <w:bCs/>
        </w:rPr>
        <w:t>Co istotne, ustawa stanowi, iż m</w:t>
      </w:r>
      <w:r w:rsidRPr="00E261BF">
        <w:rPr>
          <w:u w:color="000000"/>
        </w:rPr>
        <w:t>inister właściwy do spraw energii publikować będzie na stronie internetowej urzędu obsługującego ministra, informację o prognozie w zakresie danych, o których</w:t>
      </w:r>
      <w:r w:rsidR="00CC43DE" w:rsidRPr="00E261BF">
        <w:rPr>
          <w:u w:color="000000"/>
        </w:rPr>
        <w:t xml:space="preserve"> mowa w art. 5</w:t>
      </w:r>
      <w:r w:rsidR="00190547">
        <w:rPr>
          <w:u w:color="000000"/>
        </w:rPr>
        <w:t>6</w:t>
      </w:r>
      <w:r w:rsidR="00CC43DE" w:rsidRPr="00E261BF">
        <w:rPr>
          <w:u w:color="000000"/>
        </w:rPr>
        <w:t xml:space="preserve"> ust. 1 pkt 1–4</w:t>
      </w:r>
      <w:r w:rsidR="00190547">
        <w:rPr>
          <w:u w:color="000000"/>
        </w:rPr>
        <w:t>,</w:t>
      </w:r>
      <w:r w:rsidRPr="00E261BF">
        <w:rPr>
          <w:u w:color="000000"/>
        </w:rPr>
        <w:t xml:space="preserve"> na okres 2 następujących po sobie lat kalendarzowych licząc od drugiego roku następująceg</w:t>
      </w:r>
      <w:r w:rsidR="004F6B6E">
        <w:rPr>
          <w:u w:color="000000"/>
        </w:rPr>
        <w:t xml:space="preserve">o po roku w którym informacja </w:t>
      </w:r>
      <w:r w:rsidR="004F6B6E">
        <w:rPr>
          <w:u w:color="000000"/>
        </w:rPr>
        <w:lastRenderedPageBreak/>
        <w:t>o </w:t>
      </w:r>
      <w:r w:rsidRPr="00E261BF">
        <w:rPr>
          <w:u w:color="000000"/>
        </w:rPr>
        <w:t>tej prognozie miała zostać opublikowana. Powyższe jest odpowiedzią na oczekiwania inwestorów, dla których nawet niewiążąca prognoza pozwala na lepsze planowanie przyszłych inwestycji.</w:t>
      </w:r>
    </w:p>
    <w:p w:rsidR="00FA6B40" w:rsidRPr="00E261BF" w:rsidRDefault="00CC43DE" w:rsidP="003835D3">
      <w:pPr>
        <w:widowControl w:val="0"/>
        <w:autoSpaceDE w:val="0"/>
        <w:autoSpaceDN w:val="0"/>
        <w:adjustRightInd w:val="0"/>
        <w:spacing w:before="120" w:line="360" w:lineRule="auto"/>
        <w:jc w:val="both"/>
        <w:rPr>
          <w:u w:color="000000"/>
        </w:rPr>
      </w:pPr>
      <w:r w:rsidRPr="00E261BF">
        <w:rPr>
          <w:u w:color="000000"/>
        </w:rPr>
        <w:t>W art. 58</w:t>
      </w:r>
      <w:r w:rsidR="00FA6B40" w:rsidRPr="00E261BF">
        <w:rPr>
          <w:u w:color="000000"/>
        </w:rPr>
        <w:t xml:space="preserve"> znalazła się dyspozycja dla ministra właściwego do spraw energii do wydania rozporządzenia, które określać będzie m. in. sposoby obliczania ilości energii elektrycznej z wysokosprawnej kogeneracji oraz ciepła użytkowego w kogeneracji na potrzeby mechanizmu wsparcia. Przepisy wydane na podstawie przedmiotowej delegacji są niezbędne dla</w:t>
      </w:r>
      <w:r w:rsidR="00680107">
        <w:rPr>
          <w:u w:color="000000"/>
        </w:rPr>
        <w:t xml:space="preserve"> </w:t>
      </w:r>
      <w:r w:rsidR="00FA6B40" w:rsidRPr="00E261BF">
        <w:rPr>
          <w:u w:color="000000"/>
        </w:rPr>
        <w:t>prawidłowego rozliczania mechanizmu wsparcia określonego niniejszą ustawą.</w:t>
      </w:r>
    </w:p>
    <w:p w:rsidR="00FA6B40" w:rsidRPr="00680107" w:rsidRDefault="00CC43DE"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W art. 59 wprowadzono delegację do wydania przez Ministra Energii rozporządzenia, zawierającego szczegółowy katalog kwalifikowanych kosztów inwestycyjnych oraz kosztów operacyjnych wybudowania nowej porównywalnej jednostki kogeneracji i ich maksymalnych wartości związanych z wybudowaniem nowej porównywalnej jednostki kogeneracji oraz zamieszczono katalog ww. kosztów.</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7 – </w:t>
      </w:r>
      <w:r w:rsidR="00CC43DE" w:rsidRPr="00E261BF">
        <w:rPr>
          <w:b/>
          <w:bCs/>
        </w:rPr>
        <w:t>Opłata kogeneracyjna – art. 60</w:t>
      </w:r>
      <w:r w:rsidR="00680107">
        <w:rPr>
          <w:b/>
          <w:bCs/>
        </w:rPr>
        <w:t>–</w:t>
      </w:r>
      <w:r w:rsidRPr="00E261BF">
        <w:rPr>
          <w:b/>
          <w:bCs/>
        </w:rPr>
        <w:t>7</w:t>
      </w:r>
      <w:r w:rsidR="00CC43DE" w:rsidRPr="00E261BF">
        <w:rPr>
          <w:b/>
          <w:bCs/>
        </w:rPr>
        <w:t>5</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bCs/>
        </w:rPr>
        <w:t>W celu sfinansowania mechanizmu wsparcia określonego niniejszą ustawą proponuje się rozwiązania analogiczne jak w przypadku systemu wsparcia odnawialnych źródeł energii, tj. wprowadzenie specjalnej opłaty – opłaty kogeneracyjnej, która pobierana będzie przez o</w:t>
      </w:r>
      <w:r w:rsidRPr="00E261BF">
        <w:rPr>
          <w:rFonts w:eastAsia="Arial Unicode MS"/>
          <w:u w:color="000000"/>
          <w:bdr w:val="nil"/>
        </w:rPr>
        <w:t>peratora systemu przesyłowego, która związana będzie z zapewnieniem dostępności energii elektrycznej z wysokosprawnej kogeneracji w krajowym system</w:t>
      </w:r>
      <w:r w:rsidR="00CC43DE" w:rsidRPr="00E261BF">
        <w:rPr>
          <w:rFonts w:eastAsia="Arial Unicode MS"/>
          <w:u w:color="000000"/>
          <w:bdr w:val="nil"/>
        </w:rPr>
        <w:t>ie elektroenergetycznym (art.</w:t>
      </w:r>
      <w:r w:rsidR="00680107">
        <w:rPr>
          <w:rFonts w:eastAsia="Arial Unicode MS"/>
          <w:u w:color="000000"/>
          <w:bdr w:val="nil"/>
        </w:rPr>
        <w:t xml:space="preserve"> </w:t>
      </w:r>
      <w:r w:rsidR="00190547">
        <w:rPr>
          <w:rFonts w:eastAsia="Arial Unicode MS"/>
          <w:u w:color="000000"/>
          <w:bdr w:val="nil"/>
        </w:rPr>
        <w:t>60</w:t>
      </w:r>
      <w:r w:rsidRPr="00E261BF">
        <w:rPr>
          <w:rFonts w:eastAsia="Arial Unicode MS"/>
          <w:u w:color="000000"/>
          <w:bdr w:val="nil"/>
        </w:rPr>
        <w:t>).</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rFonts w:eastAsia="Arial Unicode MS"/>
          <w:u w:color="000000"/>
          <w:bdr w:val="nil"/>
        </w:rPr>
        <w:t>Opłatę kogeneracyjną oblicza operator systemu dystrybucyjnego i pobiera ją od:</w:t>
      </w:r>
    </w:p>
    <w:p w:rsidR="00FA6B40" w:rsidRPr="00E261BF" w:rsidRDefault="00FA6B40" w:rsidP="003835D3">
      <w:pPr>
        <w:numPr>
          <w:ilvl w:val="0"/>
          <w:numId w:val="19"/>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odbiorcy końcowego przyłączonego bezpośrednio do sieci dystrybucyjnej płatnika opłaty kogeneracyjnej;</w:t>
      </w:r>
    </w:p>
    <w:p w:rsidR="00FA6B40" w:rsidRPr="00E261BF" w:rsidRDefault="00FA6B40" w:rsidP="003835D3">
      <w:pPr>
        <w:numPr>
          <w:ilvl w:val="0"/>
          <w:numId w:val="19"/>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przedsiębiorstwa energetycznego wykonującego działalność gospodarczą w zakresie przesyłania lub dystrybucji energii elektrycznej, niebędącego płatnikiem opłaty kogeneracyjnej, przyłączonego bezpośrednio do sieci dystrybucyjnej płatnika opłaty kogeneracyjnej;</w:t>
      </w:r>
    </w:p>
    <w:p w:rsidR="00FA6B40" w:rsidRPr="00E261BF" w:rsidRDefault="00FA6B40" w:rsidP="003835D3">
      <w:pPr>
        <w:numPr>
          <w:ilvl w:val="0"/>
          <w:numId w:val="19"/>
        </w:numPr>
        <w:pBdr>
          <w:top w:val="nil"/>
          <w:left w:val="nil"/>
          <w:bottom w:val="nil"/>
          <w:right w:val="nil"/>
          <w:between w:val="nil"/>
          <w:bar w:val="nil"/>
        </w:pBdr>
        <w:spacing w:line="360" w:lineRule="auto"/>
        <w:ind w:left="284" w:hanging="284"/>
        <w:jc w:val="both"/>
        <w:rPr>
          <w:rFonts w:eastAsia="Arial Unicode MS"/>
          <w:u w:color="000000"/>
          <w:bdr w:val="nil"/>
        </w:rPr>
      </w:pPr>
      <w:r w:rsidRPr="00E261BF">
        <w:rPr>
          <w:rFonts w:eastAsia="Arial Unicode MS"/>
          <w:u w:color="000000"/>
          <w:bdr w:val="nil"/>
        </w:rPr>
        <w:t xml:space="preserve">przedsiębiorstwa energetycznego wytwarzającego energię elektryczną przyłączonego do sieci dystrybucyjnej płatnika opłaty kogeneracyjnej, sprzedającego energię elektryczną co najmniej jednemu odbiorcy końcowemu lub przedsiębiorstwu energetycznemu świadczącemu usługi przesyłania lub dystrybucji energii </w:t>
      </w:r>
      <w:r w:rsidRPr="00E261BF">
        <w:rPr>
          <w:rFonts w:eastAsia="Arial Unicode MS"/>
          <w:u w:color="000000"/>
          <w:bdr w:val="nil"/>
        </w:rPr>
        <w:lastRenderedPageBreak/>
        <w:t>elektrycznej, niebędącego płatnikiem opłaty kogeneracyjnej, którzy są przyłączeni do urządzeń, instalacji lub sieci tego przedsiębiorstwa energetycznego wytwarzającego energię elektryczną.</w:t>
      </w:r>
    </w:p>
    <w:p w:rsidR="00FA6B40" w:rsidRPr="00E261BF" w:rsidRDefault="00FA6B40" w:rsidP="003835D3">
      <w:pPr>
        <w:widowControl w:val="0"/>
        <w:autoSpaceDE w:val="0"/>
        <w:autoSpaceDN w:val="0"/>
        <w:adjustRightInd w:val="0"/>
        <w:spacing w:before="120" w:line="360" w:lineRule="auto"/>
        <w:jc w:val="both"/>
        <w:rPr>
          <w:bCs/>
        </w:rPr>
      </w:pPr>
      <w:r w:rsidRPr="00E261BF">
        <w:rPr>
          <w:bCs/>
        </w:rPr>
        <w:t>Jednocześnie o</w:t>
      </w:r>
      <w:r w:rsidRPr="00E261BF">
        <w:rPr>
          <w:rFonts w:eastAsia="Arial Unicode MS"/>
          <w:u w:color="000000"/>
          <w:bdr w:val="nil"/>
        </w:rPr>
        <w:t>perator systemu przesyłowego pobiera opłatę kogeneracyjną od podmiotów przyłączonych bezpośrednio do sieci przesyłowej, niebędących płatnikam</w:t>
      </w:r>
      <w:r w:rsidR="00CC43DE" w:rsidRPr="00E261BF">
        <w:rPr>
          <w:rFonts w:eastAsia="Arial Unicode MS"/>
          <w:u w:color="000000"/>
          <w:bdr w:val="nil"/>
        </w:rPr>
        <w:t>i opłaty kogeneracyjnej (art. 61</w:t>
      </w:r>
      <w:r w:rsidRPr="00E261BF">
        <w:rPr>
          <w:rFonts w:eastAsia="Arial Unicode MS"/>
          <w:u w:color="000000"/>
          <w:bdr w:val="nil"/>
        </w:rPr>
        <w:t>).</w:t>
      </w:r>
    </w:p>
    <w:p w:rsidR="00FA6B40" w:rsidRPr="00E261BF" w:rsidRDefault="00FA6B40" w:rsidP="003835D3">
      <w:pPr>
        <w:widowControl w:val="0"/>
        <w:autoSpaceDE w:val="0"/>
        <w:autoSpaceDN w:val="0"/>
        <w:adjustRightInd w:val="0"/>
        <w:spacing w:before="120" w:line="360" w:lineRule="auto"/>
        <w:jc w:val="both"/>
        <w:rPr>
          <w:bCs/>
        </w:rPr>
      </w:pPr>
      <w:r w:rsidRPr="00E261BF">
        <w:rPr>
          <w:bCs/>
        </w:rPr>
        <w:t>Ponadto w przypadku odbiorcy przemysłowego (energochłonnego) wprowadzono preferencje w zakresie pobierania opłaty kogeneracyjnej, analogicznie jak w przypadku rozwiązań dedykowanych odnawialnym źródłom energii, co ma na celu uwzględnienie specyfiki prowadzenia tego typu działalności gospodarczej, gdzie duża część kosztów związana jest z kosztami zaku</w:t>
      </w:r>
      <w:r w:rsidR="00CC43DE" w:rsidRPr="00E261BF">
        <w:rPr>
          <w:bCs/>
        </w:rPr>
        <w:t>pu energii elektrycznej (art. 62</w:t>
      </w:r>
      <w:r w:rsidRPr="00E261BF">
        <w:rPr>
          <w:bCs/>
        </w:rPr>
        <w:t>).</w:t>
      </w:r>
    </w:p>
    <w:p w:rsidR="00FA6B40" w:rsidRPr="00E261BF" w:rsidRDefault="00680107" w:rsidP="003835D3">
      <w:pPr>
        <w:widowControl w:val="0"/>
        <w:autoSpaceDE w:val="0"/>
        <w:autoSpaceDN w:val="0"/>
        <w:adjustRightInd w:val="0"/>
        <w:spacing w:before="120" w:line="360" w:lineRule="auto"/>
        <w:jc w:val="both"/>
        <w:rPr>
          <w:bCs/>
        </w:rPr>
      </w:pPr>
      <w:r>
        <w:rPr>
          <w:bCs/>
        </w:rPr>
        <w:t>W art. 63–</w:t>
      </w:r>
      <w:r w:rsidR="00CC43DE" w:rsidRPr="00E261BF">
        <w:rPr>
          <w:bCs/>
        </w:rPr>
        <w:t>65</w:t>
      </w:r>
      <w:r w:rsidR="00FA6B40" w:rsidRPr="00E261BF">
        <w:rPr>
          <w:bCs/>
        </w:rPr>
        <w:t xml:space="preserve"> wskazano sposób obliczania wysokości opłaty kogeneracyjnej oraz</w:t>
      </w:r>
      <w:r>
        <w:rPr>
          <w:bCs/>
        </w:rPr>
        <w:t xml:space="preserve"> </w:t>
      </w:r>
      <w:r w:rsidR="00FA6B40" w:rsidRPr="00E261BF">
        <w:rPr>
          <w:bCs/>
        </w:rPr>
        <w:t>stawki opłaty kogeneracyjnej, będącej jednostkową wartością w odniesieniu do 1 MWh.</w:t>
      </w:r>
      <w:r>
        <w:rPr>
          <w:bCs/>
        </w:rPr>
        <w:t xml:space="preserve"> </w:t>
      </w:r>
    </w:p>
    <w:p w:rsidR="00FA6B40" w:rsidRPr="00E261BF" w:rsidRDefault="00680107" w:rsidP="003835D3">
      <w:pPr>
        <w:widowControl w:val="0"/>
        <w:autoSpaceDE w:val="0"/>
        <w:autoSpaceDN w:val="0"/>
        <w:adjustRightInd w:val="0"/>
        <w:spacing w:before="120" w:line="360" w:lineRule="auto"/>
        <w:jc w:val="both"/>
        <w:rPr>
          <w:bCs/>
        </w:rPr>
      </w:pPr>
      <w:r>
        <w:rPr>
          <w:bCs/>
        </w:rPr>
        <w:t>W art. 66–</w:t>
      </w:r>
      <w:r w:rsidR="00CC43DE" w:rsidRPr="00E261BF">
        <w:rPr>
          <w:bCs/>
        </w:rPr>
        <w:t>68</w:t>
      </w:r>
      <w:r w:rsidR="00FA6B40" w:rsidRPr="00E261BF">
        <w:rPr>
          <w:bCs/>
        </w:rPr>
        <w:t xml:space="preserve"> uregulowano kwestie związane ze sposobem przekazania środków z tytułu opłaty kogeneracyjnej między płatnikiem tej opłaty, a operatorem systemu przesyłowego.</w:t>
      </w:r>
    </w:p>
    <w:p w:rsidR="00FA6B40" w:rsidRPr="00E261BF" w:rsidRDefault="00FA6B40" w:rsidP="00190547">
      <w:pPr>
        <w:keepNext/>
        <w:widowControl w:val="0"/>
        <w:autoSpaceDE w:val="0"/>
        <w:autoSpaceDN w:val="0"/>
        <w:adjustRightInd w:val="0"/>
        <w:spacing w:before="120" w:line="360" w:lineRule="auto"/>
        <w:jc w:val="both"/>
        <w:rPr>
          <w:bCs/>
        </w:rPr>
      </w:pPr>
      <w:r w:rsidRPr="00E261BF">
        <w:rPr>
          <w:bCs/>
        </w:rPr>
        <w:t>Ponadto, ustawa wprowadza również regulacje dotyczące m. in.:</w:t>
      </w:r>
    </w:p>
    <w:p w:rsidR="00FA6B40" w:rsidRPr="00E261BF" w:rsidRDefault="00FA6B40" w:rsidP="003835D3">
      <w:pPr>
        <w:pStyle w:val="Akapitzlist"/>
        <w:widowControl w:val="0"/>
        <w:numPr>
          <w:ilvl w:val="0"/>
          <w:numId w:val="20"/>
        </w:numPr>
        <w:autoSpaceDE w:val="0"/>
        <w:autoSpaceDN w:val="0"/>
        <w:adjustRightInd w:val="0"/>
        <w:spacing w:line="360" w:lineRule="auto"/>
        <w:ind w:left="284" w:hanging="284"/>
        <w:contextualSpacing w:val="0"/>
        <w:jc w:val="both"/>
        <w:rPr>
          <w:bCs/>
        </w:rPr>
      </w:pPr>
      <w:r w:rsidRPr="00E261BF">
        <w:rPr>
          <w:bCs/>
        </w:rPr>
        <w:t>sposobu przekazywania środków przez operatora systemu przesyłoweg</w:t>
      </w:r>
      <w:r w:rsidR="00CC43DE" w:rsidRPr="00E261BF">
        <w:rPr>
          <w:bCs/>
        </w:rPr>
        <w:t>o operatorowi rozliczeń (art. 68</w:t>
      </w:r>
      <w:r w:rsidRPr="00E261BF">
        <w:rPr>
          <w:bCs/>
        </w:rPr>
        <w:t>),</w:t>
      </w:r>
    </w:p>
    <w:p w:rsidR="00FA6B40" w:rsidRPr="00E261BF" w:rsidRDefault="00FA6B40" w:rsidP="003835D3">
      <w:pPr>
        <w:pStyle w:val="Akapitzlist"/>
        <w:widowControl w:val="0"/>
        <w:numPr>
          <w:ilvl w:val="0"/>
          <w:numId w:val="20"/>
        </w:numPr>
        <w:autoSpaceDE w:val="0"/>
        <w:autoSpaceDN w:val="0"/>
        <w:adjustRightInd w:val="0"/>
        <w:spacing w:line="360" w:lineRule="auto"/>
        <w:ind w:left="284" w:hanging="284"/>
        <w:contextualSpacing w:val="0"/>
        <w:jc w:val="both"/>
        <w:rPr>
          <w:bCs/>
        </w:rPr>
      </w:pPr>
      <w:r w:rsidRPr="00E261BF">
        <w:rPr>
          <w:bCs/>
        </w:rPr>
        <w:t>działań możliwych do podjęcia przez operatora rozliczeń w sytuacji, gdy przekazane środki są niewystarczające na</w:t>
      </w:r>
      <w:r w:rsidRPr="00E261BF">
        <w:rPr>
          <w:rFonts w:eastAsia="Arial Unicode MS"/>
          <w:u w:color="000000"/>
          <w:bdr w:val="nil"/>
        </w:rPr>
        <w:t xml:space="preserve"> wypłatę premii kogeneracyjnej, premii gwarantowanej, premii gwarantowanej indywidualnej oraz premii kogen</w:t>
      </w:r>
      <w:r w:rsidR="00E328C0" w:rsidRPr="00E261BF">
        <w:rPr>
          <w:rFonts w:eastAsia="Arial Unicode MS"/>
          <w:u w:color="000000"/>
          <w:bdr w:val="nil"/>
        </w:rPr>
        <w:t>eracyjnej indywidualnej (art.</w:t>
      </w:r>
      <w:r w:rsidR="004F6B6E">
        <w:rPr>
          <w:rFonts w:eastAsia="Arial Unicode MS"/>
          <w:u w:color="000000"/>
          <w:bdr w:val="nil"/>
        </w:rPr>
        <w:t> </w:t>
      </w:r>
      <w:r w:rsidR="00E328C0" w:rsidRPr="00E261BF">
        <w:rPr>
          <w:rFonts w:eastAsia="Arial Unicode MS"/>
          <w:u w:color="000000"/>
          <w:bdr w:val="nil"/>
        </w:rPr>
        <w:t>69</w:t>
      </w:r>
      <w:r w:rsidRPr="00E261BF">
        <w:rPr>
          <w:rFonts w:eastAsia="Arial Unicode MS"/>
          <w:u w:color="000000"/>
          <w:bdr w:val="nil"/>
        </w:rPr>
        <w:t>),</w:t>
      </w:r>
    </w:p>
    <w:p w:rsidR="00FA6B40" w:rsidRPr="00E261BF" w:rsidRDefault="00FA6B40" w:rsidP="003835D3">
      <w:pPr>
        <w:pStyle w:val="Akapitzlist"/>
        <w:widowControl w:val="0"/>
        <w:numPr>
          <w:ilvl w:val="0"/>
          <w:numId w:val="20"/>
        </w:numPr>
        <w:autoSpaceDE w:val="0"/>
        <w:autoSpaceDN w:val="0"/>
        <w:adjustRightInd w:val="0"/>
        <w:spacing w:line="360" w:lineRule="auto"/>
        <w:ind w:left="284" w:hanging="284"/>
        <w:contextualSpacing w:val="0"/>
        <w:jc w:val="both"/>
        <w:rPr>
          <w:bCs/>
        </w:rPr>
      </w:pPr>
      <w:r w:rsidRPr="00E261BF">
        <w:rPr>
          <w:bCs/>
        </w:rPr>
        <w:t xml:space="preserve">możliwości lokowania </w:t>
      </w:r>
      <w:r w:rsidRPr="00E261BF">
        <w:rPr>
          <w:rFonts w:eastAsia="Arial Unicode MS"/>
          <w:u w:color="000000"/>
          <w:bdr w:val="nil"/>
        </w:rPr>
        <w:t>środków zgromadzonych przez operatora rozliczeń, na rachunku opłaty kogeneracyjnej, tj. na wyodrębnionym rachunku bankowym operatora rozliczeń.</w:t>
      </w:r>
    </w:p>
    <w:p w:rsidR="00FA6B40" w:rsidRPr="00E261BF" w:rsidRDefault="00FA6B40" w:rsidP="003835D3">
      <w:pPr>
        <w:widowControl w:val="0"/>
        <w:autoSpaceDE w:val="0"/>
        <w:autoSpaceDN w:val="0"/>
        <w:adjustRightInd w:val="0"/>
        <w:spacing w:before="120" w:line="360" w:lineRule="auto"/>
        <w:jc w:val="both"/>
        <w:rPr>
          <w:rFonts w:eastAsia="Arial Unicode MS"/>
          <w:u w:color="000000"/>
          <w:bdr w:val="nil"/>
        </w:rPr>
      </w:pPr>
      <w:r w:rsidRPr="00E261BF">
        <w:rPr>
          <w:bCs/>
        </w:rPr>
        <w:t>W</w:t>
      </w:r>
      <w:r w:rsidR="00E328C0" w:rsidRPr="00E261BF">
        <w:rPr>
          <w:bCs/>
        </w:rPr>
        <w:t xml:space="preserve"> art. 73</w:t>
      </w:r>
      <w:r w:rsidRPr="00E261BF">
        <w:rPr>
          <w:bCs/>
        </w:rPr>
        <w:t xml:space="preserve"> określony został przedmiot działalności operatora rozliczeń, do którego należy: prowadzenie działalności w zakresie </w:t>
      </w:r>
      <w:r w:rsidRPr="00E261BF">
        <w:rPr>
          <w:rFonts w:eastAsia="Arial Unicode MS"/>
          <w:u w:color="000000"/>
          <w:bdr w:val="nil"/>
        </w:rPr>
        <w:t>gromadzenia środków pieniężnych na potrzeby wypłaty</w:t>
      </w:r>
      <w:r w:rsidRPr="00E261BF">
        <w:rPr>
          <w:bCs/>
        </w:rPr>
        <w:t xml:space="preserve"> </w:t>
      </w:r>
      <w:r w:rsidRPr="00E261BF">
        <w:rPr>
          <w:rFonts w:eastAsia="Arial Unicode MS"/>
          <w:u w:color="000000"/>
          <w:bdr w:val="nil"/>
        </w:rPr>
        <w:t>premii (kogeneracyjnej, gwarantowanej, gwarantowanej indywidualnej oraz kogeneracyjnej indywidualnej), a także dokonywanie rozliczeń tych premii, oraz zarządzania środkami pieniężnymi zgromadzonymi na rachunku opłaty kogeneracyjnej na zasadach określonych w ustawie.</w:t>
      </w:r>
    </w:p>
    <w:p w:rsidR="00FA6B40" w:rsidRPr="00E261BF" w:rsidRDefault="00FA6B40" w:rsidP="003835D3">
      <w:pPr>
        <w:widowControl w:val="0"/>
        <w:autoSpaceDE w:val="0"/>
        <w:autoSpaceDN w:val="0"/>
        <w:adjustRightInd w:val="0"/>
        <w:spacing w:before="120" w:line="360" w:lineRule="auto"/>
        <w:jc w:val="both"/>
        <w:rPr>
          <w:bCs/>
        </w:rPr>
      </w:pPr>
      <w:r w:rsidRPr="00E261BF">
        <w:rPr>
          <w:rFonts w:eastAsia="Arial Unicode MS"/>
          <w:u w:color="000000"/>
          <w:bdr w:val="nil"/>
        </w:rPr>
        <w:lastRenderedPageBreak/>
        <w:t>Zgodnie z art. 7</w:t>
      </w:r>
      <w:r w:rsidR="00E328C0" w:rsidRPr="00E261BF">
        <w:rPr>
          <w:rFonts w:eastAsia="Arial Unicode MS"/>
          <w:u w:color="000000"/>
          <w:bdr w:val="nil"/>
        </w:rPr>
        <w:t>4</w:t>
      </w:r>
      <w:r w:rsidRPr="00E261BF">
        <w:rPr>
          <w:rFonts w:eastAsia="Arial Unicode MS"/>
          <w:u w:color="000000"/>
          <w:bdr w:val="nil"/>
        </w:rPr>
        <w:t>, operator rozliczeń jest podmiotem udzielającym pomocy publicznej w rozumieniu ustawy o postępowaniu w sprawach</w:t>
      </w:r>
      <w:r w:rsidR="00E328C0" w:rsidRPr="00E261BF">
        <w:rPr>
          <w:rFonts w:eastAsia="Arial Unicode MS"/>
          <w:u w:color="000000"/>
          <w:bdr w:val="nil"/>
        </w:rPr>
        <w:t xml:space="preserve"> dotyczących pomocy publicznej </w:t>
      </w:r>
      <w:r w:rsidR="004F6B6E">
        <w:rPr>
          <w:rFonts w:eastAsia="Arial Unicode MS"/>
          <w:u w:color="000000"/>
          <w:bdr w:val="nil"/>
        </w:rPr>
        <w:t>w </w:t>
      </w:r>
      <w:r w:rsidRPr="00E261BF">
        <w:rPr>
          <w:rFonts w:eastAsia="Arial Unicode MS"/>
          <w:u w:color="000000"/>
          <w:bdr w:val="nil"/>
        </w:rPr>
        <w:t>ramach wsparcia okre</w:t>
      </w:r>
      <w:r w:rsidR="00680107">
        <w:rPr>
          <w:rFonts w:eastAsia="Arial Unicode MS"/>
          <w:u w:color="000000"/>
          <w:bdr w:val="nil"/>
        </w:rPr>
        <w:t>ślonego w rozdziałach 3–</w:t>
      </w:r>
      <w:r w:rsidR="00E328C0" w:rsidRPr="00E261BF">
        <w:rPr>
          <w:rFonts w:eastAsia="Arial Unicode MS"/>
          <w:u w:color="000000"/>
          <w:bdr w:val="nil"/>
        </w:rPr>
        <w:t>5 projektowanej ustawy, natomiast Prezes URE – jest podmiotem udzielającym pomocy publicznej w sprawach dotyczących pomocy publicznej w postaci ulg dla odbiorców energochłonnych.</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8 – </w:t>
      </w:r>
      <w:r w:rsidRPr="00E261BF">
        <w:rPr>
          <w:b/>
          <w:bCs/>
        </w:rPr>
        <w:t>Obowiązki informacyjne w</w:t>
      </w:r>
      <w:r w:rsidR="004F6B6E">
        <w:rPr>
          <w:b/>
          <w:bCs/>
        </w:rPr>
        <w:t>ytwórców energii elektrycznej z </w:t>
      </w:r>
      <w:r w:rsidRPr="00E261BF">
        <w:rPr>
          <w:b/>
          <w:bCs/>
        </w:rPr>
        <w:t>kogeneracji korzystających ze wsparcia określonego ustawą</w:t>
      </w:r>
      <w:r w:rsidR="00190547">
        <w:rPr>
          <w:b/>
          <w:bCs/>
        </w:rPr>
        <w:t xml:space="preserve"> </w:t>
      </w:r>
      <w:r w:rsidR="00680107">
        <w:rPr>
          <w:b/>
          <w:bCs/>
        </w:rPr>
        <w:t>– art. 76–</w:t>
      </w:r>
      <w:r w:rsidR="00E328C0" w:rsidRPr="00E261BF">
        <w:rPr>
          <w:b/>
          <w:bCs/>
        </w:rPr>
        <w:t>81</w:t>
      </w:r>
    </w:p>
    <w:p w:rsidR="00FA6B40" w:rsidRPr="00E261BF" w:rsidRDefault="00FA6B40" w:rsidP="003835D3">
      <w:pPr>
        <w:pStyle w:val="Akapitzlist"/>
        <w:widowControl w:val="0"/>
        <w:numPr>
          <w:ilvl w:val="0"/>
          <w:numId w:val="18"/>
        </w:numPr>
        <w:autoSpaceDE w:val="0"/>
        <w:autoSpaceDN w:val="0"/>
        <w:adjustRightInd w:val="0"/>
        <w:spacing w:before="120" w:line="360" w:lineRule="auto"/>
        <w:ind w:left="284" w:hanging="284"/>
        <w:contextualSpacing w:val="0"/>
        <w:jc w:val="both"/>
        <w:rPr>
          <w:b/>
          <w:bCs/>
        </w:rPr>
      </w:pPr>
      <w:r w:rsidRPr="00E261BF">
        <w:rPr>
          <w:b/>
          <w:bCs/>
        </w:rPr>
        <w:t>Obowiązki informacyjne – art. 7</w:t>
      </w:r>
      <w:r w:rsidR="00E328C0" w:rsidRPr="00E261BF">
        <w:rPr>
          <w:b/>
          <w:bCs/>
        </w:rPr>
        <w:t>6</w:t>
      </w:r>
      <w:r w:rsidR="00680107">
        <w:rPr>
          <w:b/>
          <w:bCs/>
        </w:rPr>
        <w:t>–</w:t>
      </w:r>
      <w:r w:rsidR="00E328C0" w:rsidRPr="00E261BF">
        <w:rPr>
          <w:b/>
          <w:bCs/>
        </w:rPr>
        <w:t>78</w:t>
      </w:r>
    </w:p>
    <w:p w:rsidR="00FA6B40" w:rsidRPr="00E261BF" w:rsidRDefault="00FA6B40" w:rsidP="003835D3">
      <w:pPr>
        <w:widowControl w:val="0"/>
        <w:autoSpaceDE w:val="0"/>
        <w:autoSpaceDN w:val="0"/>
        <w:adjustRightInd w:val="0"/>
        <w:spacing w:before="120" w:line="360" w:lineRule="auto"/>
        <w:jc w:val="both"/>
        <w:rPr>
          <w:bCs/>
        </w:rPr>
      </w:pPr>
      <w:r w:rsidRPr="00E261BF">
        <w:rPr>
          <w:bCs/>
        </w:rPr>
        <w:t>Na wytwórców uprawnionych do korzystania z me</w:t>
      </w:r>
      <w:r w:rsidR="004F6B6E">
        <w:rPr>
          <w:bCs/>
        </w:rPr>
        <w:t>chanizmu wsparcia określonego w </w:t>
      </w:r>
      <w:r w:rsidRPr="00E261BF">
        <w:rPr>
          <w:bCs/>
        </w:rPr>
        <w:t>niniejszej ustawie nałożono obowiązki informacyjne, których celem jest, z jednej strony możliwość bieżącej weryfikacji skuteczności podjętych działań w obszarze wsparcia wysokosprawnej kogeneracji, z drugiej zaś możliwość weryfikacji zgodności indywidualnych działań podejmowanych przez wytwórców z nałożonymi na nich obowiązkami.</w:t>
      </w:r>
    </w:p>
    <w:p w:rsidR="00FA6B40" w:rsidRPr="00E261BF" w:rsidRDefault="00E328C0" w:rsidP="00190547">
      <w:pPr>
        <w:pStyle w:val="Akapitzlist"/>
        <w:keepNext/>
        <w:widowControl w:val="0"/>
        <w:numPr>
          <w:ilvl w:val="0"/>
          <w:numId w:val="18"/>
        </w:numPr>
        <w:autoSpaceDE w:val="0"/>
        <w:autoSpaceDN w:val="0"/>
        <w:adjustRightInd w:val="0"/>
        <w:spacing w:before="120" w:line="360" w:lineRule="auto"/>
        <w:ind w:left="284" w:hanging="284"/>
        <w:contextualSpacing w:val="0"/>
        <w:jc w:val="both"/>
        <w:rPr>
          <w:b/>
          <w:bCs/>
        </w:rPr>
      </w:pPr>
      <w:r w:rsidRPr="00E261BF">
        <w:rPr>
          <w:b/>
          <w:bCs/>
        </w:rPr>
        <w:t xml:space="preserve">Uprawnienia </w:t>
      </w:r>
      <w:r w:rsidR="00680107">
        <w:rPr>
          <w:b/>
          <w:bCs/>
        </w:rPr>
        <w:t>Prezesa URE – art. 78–</w:t>
      </w:r>
      <w:r w:rsidRPr="00E261BF">
        <w:rPr>
          <w:b/>
          <w:bCs/>
        </w:rPr>
        <w:t>81</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Ustawa nadaje Prezesowi URE prawo do żądania przedstawienia dokumentów lub informacji mających znaczenie dla oceny zgodności ze</w:t>
      </w:r>
      <w:r w:rsidR="00190547">
        <w:rPr>
          <w:rFonts w:eastAsiaTheme="minorEastAsia"/>
        </w:rPr>
        <w:t xml:space="preserve"> stanem faktycznym informacji i </w:t>
      </w:r>
      <w:r w:rsidRPr="00E261BF">
        <w:rPr>
          <w:rFonts w:eastAsiaTheme="minorEastAsia"/>
        </w:rPr>
        <w:t>oświadczeń składanych na podstawie przepis</w:t>
      </w:r>
      <w:r w:rsidR="00E328C0" w:rsidRPr="00E261BF">
        <w:rPr>
          <w:rFonts w:eastAsiaTheme="minorEastAsia"/>
        </w:rPr>
        <w:t>ów projektowanej ustawy (art. 79</w:t>
      </w:r>
      <w:r w:rsidRPr="00E261BF">
        <w:rPr>
          <w:rFonts w:eastAsiaTheme="minorEastAsia"/>
        </w:rPr>
        <w:t xml:space="preserve">). Po dokonaniu oceny, w przypadku braku zgodności ww. dokumentów ze stanem faktycznym, Prezes URE wydaje </w:t>
      </w:r>
      <w:r w:rsidR="00190547">
        <w:rPr>
          <w:rFonts w:eastAsiaTheme="minorEastAsia"/>
        </w:rPr>
        <w:t xml:space="preserve">decyzję </w:t>
      </w:r>
      <w:r w:rsidRPr="00E261BF">
        <w:rPr>
          <w:rFonts w:eastAsiaTheme="minorEastAsia"/>
        </w:rPr>
        <w:t>o braku możliwości zakwalifikowanie kwestionowanej energii elektry</w:t>
      </w:r>
      <w:r w:rsidR="00190547">
        <w:rPr>
          <w:rFonts w:eastAsiaTheme="minorEastAsia"/>
        </w:rPr>
        <w:t xml:space="preserve">cznej do wsparcia lub decyzję o </w:t>
      </w:r>
      <w:r w:rsidRPr="00E261BF">
        <w:rPr>
          <w:rFonts w:eastAsiaTheme="minorEastAsia"/>
        </w:rPr>
        <w:t xml:space="preserve">obowiązku pomniejszenia wysokości wsparcia w kolejnych okresach rozliczeniowych (art. </w:t>
      </w:r>
      <w:r w:rsidR="00190547">
        <w:rPr>
          <w:rFonts w:eastAsiaTheme="minorEastAsia"/>
        </w:rPr>
        <w:t>80</w:t>
      </w:r>
      <w:r w:rsidRPr="00E261BF">
        <w:rPr>
          <w:rFonts w:eastAsiaTheme="minorEastAsia"/>
        </w:rPr>
        <w:t xml:space="preserve">). </w:t>
      </w:r>
    </w:p>
    <w:p w:rsidR="00FA6B40" w:rsidRPr="00E261BF" w:rsidRDefault="00FA6B40" w:rsidP="00B7475B">
      <w:pPr>
        <w:keepNext/>
        <w:autoSpaceDE w:val="0"/>
        <w:autoSpaceDN w:val="0"/>
        <w:adjustRightInd w:val="0"/>
        <w:spacing w:before="120" w:line="360" w:lineRule="auto"/>
        <w:jc w:val="both"/>
        <w:rPr>
          <w:b/>
          <w:bCs/>
        </w:rPr>
      </w:pPr>
      <w:r w:rsidRPr="00E261BF">
        <w:rPr>
          <w:rFonts w:eastAsiaTheme="minorEastAsia"/>
          <w:b/>
        </w:rPr>
        <w:t xml:space="preserve">Rozdział 9 – </w:t>
      </w:r>
      <w:r w:rsidRPr="00E261BF">
        <w:rPr>
          <w:b/>
          <w:bCs/>
        </w:rPr>
        <w:t>Gwarancje pochodzenia energii elektrycznej z wyso</w:t>
      </w:r>
      <w:r w:rsidR="00E328C0" w:rsidRPr="00E261BF">
        <w:rPr>
          <w:b/>
          <w:bCs/>
        </w:rPr>
        <w:t>ko</w:t>
      </w:r>
      <w:r w:rsidR="00680107">
        <w:rPr>
          <w:b/>
          <w:bCs/>
        </w:rPr>
        <w:t>sprawnej kogeneracji – art. 8</w:t>
      </w:r>
      <w:r w:rsidR="00190547">
        <w:rPr>
          <w:b/>
          <w:bCs/>
        </w:rPr>
        <w:t>1</w:t>
      </w:r>
      <w:r w:rsidR="00680107">
        <w:rPr>
          <w:b/>
          <w:bCs/>
        </w:rPr>
        <w:t>–</w:t>
      </w:r>
      <w:r w:rsidR="00E328C0" w:rsidRPr="00E261BF">
        <w:rPr>
          <w:b/>
          <w:bCs/>
        </w:rPr>
        <w:t>86</w:t>
      </w:r>
    </w:p>
    <w:p w:rsidR="00FA6B40" w:rsidRPr="00E261BF" w:rsidRDefault="00FA6B40" w:rsidP="00B7475B">
      <w:pPr>
        <w:pStyle w:val="Akapitzlist"/>
        <w:keepNext/>
        <w:autoSpaceDE w:val="0"/>
        <w:autoSpaceDN w:val="0"/>
        <w:adjustRightInd w:val="0"/>
        <w:spacing w:before="120" w:line="360" w:lineRule="auto"/>
        <w:ind w:left="0"/>
        <w:contextualSpacing w:val="0"/>
        <w:jc w:val="both"/>
        <w:rPr>
          <w:rFonts w:eastAsiaTheme="minorEastAsia"/>
          <w:b/>
        </w:rPr>
      </w:pPr>
      <w:r w:rsidRPr="00E261BF">
        <w:rPr>
          <w:rFonts w:eastAsiaTheme="minorEastAsia"/>
        </w:rPr>
        <w:t>Ustawa określa zasady wydawania gwarancji poc</w:t>
      </w:r>
      <w:r w:rsidR="004F6B6E">
        <w:rPr>
          <w:rFonts w:eastAsiaTheme="minorEastAsia"/>
        </w:rPr>
        <w:t>hodzenia energii elektrycznej z </w:t>
      </w:r>
      <w:r w:rsidRPr="00E261BF">
        <w:rPr>
          <w:rFonts w:eastAsiaTheme="minorEastAsia"/>
        </w:rPr>
        <w:t xml:space="preserve">wysokosprawnej kogeneracji oraz prowadzenia rejestru tych gwarancji pochodzenia. Dotychczas obszar gwarancji pochodzenia uregulowany był w przepisach ustawy – Prawo energetyczne (art. 9y–9zb), niemniej jednak biorąc pod uwagę rolę gwarancji pochodzenia, którą jest informowanie odbiorcy końcowego, </w:t>
      </w:r>
      <w:r w:rsidRPr="00E261BF">
        <w:rPr>
          <w:rFonts w:eastAsia="Arial Unicode MS"/>
          <w:u w:color="000000"/>
          <w:bdr w:val="nil"/>
        </w:rPr>
        <w:t xml:space="preserve">że określona w tym dokumencie ilość energii elektrycznej wprowadzonej do sieci dystrybucyjnej lub sieci przesyłowej została wytworzona w wysokosprawnej kogeneracji, projektodawca uznał, </w:t>
      </w:r>
      <w:r w:rsidRPr="00E261BF">
        <w:rPr>
          <w:rFonts w:eastAsia="Arial Unicode MS"/>
          <w:u w:color="000000"/>
          <w:bdr w:val="nil"/>
        </w:rPr>
        <w:lastRenderedPageBreak/>
        <w:t>że jest to jeden z elementów (niefinansowych) wspierających rozwój wysokosprawnej kogeneracji, a zatem powinien zostać przeniesiony do niniejszej ustawy.</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zakresie merytorycznym dokonano zmian mających na celu ujednolicenie wydawania, obracania gwarancjami poc</w:t>
      </w:r>
      <w:r w:rsidR="004F6B6E">
        <w:rPr>
          <w:rFonts w:eastAsiaTheme="minorEastAsia"/>
        </w:rPr>
        <w:t>hodzenia energii elektrycznej z </w:t>
      </w:r>
      <w:r w:rsidRPr="00E261BF">
        <w:rPr>
          <w:rFonts w:eastAsiaTheme="minorEastAsia"/>
        </w:rPr>
        <w:t>wysokosprawnej kogeneracji oraz gwarancji poc</w:t>
      </w:r>
      <w:r w:rsidR="004F6B6E">
        <w:rPr>
          <w:rFonts w:eastAsiaTheme="minorEastAsia"/>
        </w:rPr>
        <w:t>hodzenia energii elektrycznej z </w:t>
      </w:r>
      <w:r w:rsidRPr="00E261BF">
        <w:rPr>
          <w:rFonts w:eastAsiaTheme="minorEastAsia"/>
        </w:rPr>
        <w:t>odnawialnych źródeł energii. Przedmiotowe działanie przyczyni się do wykorzystania gwarancji pochodzenia energii elektrycznej z wysok</w:t>
      </w:r>
      <w:r w:rsidR="004F6B6E">
        <w:rPr>
          <w:rFonts w:eastAsiaTheme="minorEastAsia"/>
        </w:rPr>
        <w:t>osprawnej kogeneracji zgodnie z </w:t>
      </w:r>
      <w:r w:rsidRPr="00E261BF">
        <w:rPr>
          <w:rFonts w:eastAsiaTheme="minorEastAsia"/>
        </w:rPr>
        <w:t>ich pierwotnym zamierzeniem, tj. do</w:t>
      </w:r>
      <w:r w:rsidR="00680107">
        <w:rPr>
          <w:rFonts w:eastAsiaTheme="minorEastAsia"/>
        </w:rPr>
        <w:t xml:space="preserve"> </w:t>
      </w:r>
      <w:r w:rsidRPr="00E261BF">
        <w:rPr>
          <w:rFonts w:eastAsiaTheme="minorEastAsia"/>
        </w:rPr>
        <w:t>informowania odbiorców końcowych o sposobie wytworzenia energii elektrycznej, którą zużywają.</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Dodatkowo zasadnym wydaje się, aby sposób wydawania oraz obracania gwarancjami pochodzenia był tożsamy bez względu na rodzaj informacji, której są nośnikiem (wysokosprawna kogeneracja, odnawialne źródła energii, itp.). Powyższe przyczyni się do</w:t>
      </w:r>
      <w:r w:rsidR="00680107">
        <w:rPr>
          <w:rFonts w:eastAsiaTheme="minorEastAsia"/>
        </w:rPr>
        <w:t xml:space="preserve"> </w:t>
      </w:r>
      <w:r w:rsidRPr="00E261BF">
        <w:rPr>
          <w:rFonts w:eastAsiaTheme="minorEastAsia"/>
        </w:rPr>
        <w:t>większej przejrzystości oraz porównywalności obu instrumentów. Terminu ważności gwarancji pochodzenia tej energii jest ustalony na 12 miesięcy od dnia zakończenia wytwarzania energii elektrycznej objętej gwarancją pochodzenia.</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 xml:space="preserve">Rozdział 10 – </w:t>
      </w:r>
      <w:r w:rsidR="00E328C0" w:rsidRPr="00E261BF">
        <w:rPr>
          <w:b/>
          <w:bCs/>
        </w:rPr>
        <w:t>Kary pieniężne – art. 87</w:t>
      </w:r>
      <w:r w:rsidR="00680107">
        <w:rPr>
          <w:b/>
          <w:bCs/>
        </w:rPr>
        <w:t>–</w:t>
      </w:r>
      <w:r w:rsidR="00117C31" w:rsidRPr="00E261BF">
        <w:rPr>
          <w:b/>
          <w:bCs/>
        </w:rPr>
        <w:t>93</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Udział w mechanizmie wsparcia energii elektrycznej z wysokosprawnej </w:t>
      </w:r>
      <w:r w:rsidR="00117C31" w:rsidRPr="00E261BF">
        <w:rPr>
          <w:bCs/>
        </w:rPr>
        <w:t xml:space="preserve">kogeneracji </w:t>
      </w:r>
      <w:r w:rsidRPr="00E261BF">
        <w:rPr>
          <w:bCs/>
        </w:rPr>
        <w:t>jest dobrowolny, a zatem nie przewiduje się istotnych sankcji w tym obszarze. W przypadku niedopełnienia istotnych, z punktu widzenia mechanizmu wsparcia, sankcją jest utrata całości lub części wsparcia.</w:t>
      </w:r>
    </w:p>
    <w:p w:rsidR="00FA6B40" w:rsidRPr="00E261BF" w:rsidRDefault="00FA6B40" w:rsidP="003835D3">
      <w:pPr>
        <w:widowControl w:val="0"/>
        <w:autoSpaceDE w:val="0"/>
        <w:autoSpaceDN w:val="0"/>
        <w:adjustRightInd w:val="0"/>
        <w:spacing w:before="120" w:line="360" w:lineRule="auto"/>
        <w:jc w:val="both"/>
        <w:rPr>
          <w:bCs/>
        </w:rPr>
      </w:pPr>
      <w:r w:rsidRPr="00E261BF">
        <w:rPr>
          <w:bCs/>
        </w:rPr>
        <w:t>Niemniej jednak biorąc pod uwagę istotną rolę obowiązków nałożonych na operatora sieci przesyłowej elektroenergetycznej lub operatora sieci dystrybucyjnej elektroenergetycznej w zakresie potwierdzania wytworzenia po raz pierwszy energii elektrycznej z wysokosprawnej kogeneracji, konieczne jest również określenie katalogu sankcji za niewykonanie tych obowiązków.</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Dodatkowo, przewiduje się wprowadzenie sankcji za brak realizacji obowiązków sprawozdawczych przez wytwórców, którzy korzystają z mechanizmu i instrumentów wsparcia określonych niniejszą ustawą, za brak wytworzenia pierwszej energii elektrycznej </w:t>
      </w:r>
      <w:r w:rsidR="00117C31" w:rsidRPr="00E261BF">
        <w:rPr>
          <w:bCs/>
        </w:rPr>
        <w:t xml:space="preserve">lub wybudowania nowej jednostki kogeneracji lub zakończenia znacznej modernizacji jednostki kogeneracji </w:t>
      </w:r>
      <w:r w:rsidRPr="00E261BF">
        <w:rPr>
          <w:bCs/>
        </w:rPr>
        <w:t>w</w:t>
      </w:r>
      <w:r w:rsidR="00680107">
        <w:rPr>
          <w:bCs/>
        </w:rPr>
        <w:t xml:space="preserve"> </w:t>
      </w:r>
      <w:r w:rsidRPr="00E261BF">
        <w:rPr>
          <w:bCs/>
        </w:rPr>
        <w:t>wymaganym terminie, a także za odmowę wglądu lub przedstawienia Prezesowi URE dokumentów lub info</w:t>
      </w:r>
      <w:r w:rsidR="004F6B6E">
        <w:rPr>
          <w:bCs/>
        </w:rPr>
        <w:t>rmacji, o których mowa w art. </w:t>
      </w:r>
      <w:r w:rsidR="00117C31" w:rsidRPr="00E261BF">
        <w:rPr>
          <w:bCs/>
        </w:rPr>
        <w:t>79</w:t>
      </w:r>
      <w:r w:rsidRPr="00E261BF">
        <w:rPr>
          <w:bCs/>
        </w:rPr>
        <w:t>, bądź wprowadzanie go w błąd w</w:t>
      </w:r>
      <w:r w:rsidR="00680107">
        <w:rPr>
          <w:bCs/>
        </w:rPr>
        <w:t xml:space="preserve"> </w:t>
      </w:r>
      <w:r w:rsidRPr="00E261BF">
        <w:rPr>
          <w:bCs/>
        </w:rPr>
        <w:t>zakresie tych do</w:t>
      </w:r>
      <w:r w:rsidR="00117C31" w:rsidRPr="00E261BF">
        <w:rPr>
          <w:bCs/>
        </w:rPr>
        <w:t xml:space="preserve">kumentów lub informacji </w:t>
      </w:r>
      <w:r w:rsidR="00117C31" w:rsidRPr="00E261BF">
        <w:rPr>
          <w:bCs/>
        </w:rPr>
        <w:lastRenderedPageBreak/>
        <w:t>(art. 87</w:t>
      </w:r>
      <w:r w:rsidRPr="00E261BF">
        <w:rPr>
          <w:bCs/>
        </w:rPr>
        <w:t>).</w:t>
      </w:r>
      <w:r w:rsidR="00117C31" w:rsidRPr="00E261BF">
        <w:rPr>
          <w:bCs/>
        </w:rPr>
        <w:t xml:space="preserve"> </w:t>
      </w:r>
    </w:p>
    <w:p w:rsidR="00FA6B40" w:rsidRPr="00E261BF" w:rsidRDefault="00117C31" w:rsidP="003835D3">
      <w:pPr>
        <w:widowControl w:val="0"/>
        <w:autoSpaceDE w:val="0"/>
        <w:autoSpaceDN w:val="0"/>
        <w:adjustRightInd w:val="0"/>
        <w:spacing w:before="120" w:line="360" w:lineRule="auto"/>
        <w:jc w:val="both"/>
        <w:rPr>
          <w:bCs/>
        </w:rPr>
      </w:pPr>
      <w:r w:rsidRPr="00E261BF">
        <w:rPr>
          <w:bCs/>
        </w:rPr>
        <w:t>Zgodnie z art. 87 i</w:t>
      </w:r>
      <w:r w:rsidR="00190547">
        <w:rPr>
          <w:bCs/>
        </w:rPr>
        <w:t xml:space="preserve"> art.</w:t>
      </w:r>
      <w:r w:rsidRPr="00E261BF">
        <w:rPr>
          <w:bCs/>
        </w:rPr>
        <w:t xml:space="preserve"> 88</w:t>
      </w:r>
      <w:r w:rsidR="00FA6B40" w:rsidRPr="00E261BF">
        <w:rPr>
          <w:bCs/>
        </w:rPr>
        <w:t>, kary pieniężne wymierzane są w drodze decyzji przez Prezesa URE. Ich wysokość zależy od przyczyny jej wymierzenia – częściowo poziom kar jest ustalony w</w:t>
      </w:r>
      <w:r w:rsidR="00680107">
        <w:rPr>
          <w:bCs/>
        </w:rPr>
        <w:t xml:space="preserve"> </w:t>
      </w:r>
      <w:r w:rsidR="00FA6B40" w:rsidRPr="00E261BF">
        <w:rPr>
          <w:bCs/>
        </w:rPr>
        <w:t>projektowanej ustawie, pozostałe natomiast ustalane są przez Prezesa URE w zależności od</w:t>
      </w:r>
      <w:r w:rsidR="00680107">
        <w:rPr>
          <w:bCs/>
        </w:rPr>
        <w:t xml:space="preserve"> </w:t>
      </w:r>
      <w:r w:rsidR="00FA6B40" w:rsidRPr="00E261BF">
        <w:rPr>
          <w:bCs/>
        </w:rPr>
        <w:t>stopnia oraz okoliczności naruszenia przepisów ustawy, nie mogą one jednak przekroczyć 15% przychodu uk</w:t>
      </w:r>
      <w:r w:rsidR="006C36C9">
        <w:rPr>
          <w:bCs/>
        </w:rPr>
        <w:t>aranego podmiotu osiągniętego w </w:t>
      </w:r>
      <w:r w:rsidR="00FA6B40" w:rsidRPr="00E261BF">
        <w:rPr>
          <w:bCs/>
        </w:rPr>
        <w:t>poprzednim roku kalendarzowym.</w:t>
      </w:r>
    </w:p>
    <w:p w:rsidR="00117C31" w:rsidRPr="00E261BF" w:rsidRDefault="00117C31" w:rsidP="003835D3">
      <w:pPr>
        <w:widowControl w:val="0"/>
        <w:autoSpaceDE w:val="0"/>
        <w:autoSpaceDN w:val="0"/>
        <w:adjustRightInd w:val="0"/>
        <w:spacing w:before="120" w:line="360" w:lineRule="auto"/>
        <w:jc w:val="both"/>
        <w:rPr>
          <w:bCs/>
        </w:rPr>
      </w:pPr>
      <w:r w:rsidRPr="00E261BF">
        <w:rPr>
          <w:bCs/>
        </w:rPr>
        <w:t xml:space="preserve">Zgodnie z art. </w:t>
      </w:r>
      <w:r w:rsidR="00190547">
        <w:rPr>
          <w:bCs/>
        </w:rPr>
        <w:t>87 ust. 2</w:t>
      </w:r>
      <w:r w:rsidRPr="00E261BF">
        <w:rPr>
          <w:bCs/>
        </w:rPr>
        <w:t xml:space="preserve"> Prezes URE może nałożyć karę pieniężną na kierownika przedsiębiorstwa energetycznego, przy czym kara ta może być wymierzona w kwocie nie większej niż 300% jego miesięcznego wynagrodzenia.</w:t>
      </w:r>
    </w:p>
    <w:p w:rsidR="00117C31" w:rsidRPr="00E261BF" w:rsidRDefault="00117C31" w:rsidP="003835D3">
      <w:pPr>
        <w:widowControl w:val="0"/>
        <w:autoSpaceDE w:val="0"/>
        <w:autoSpaceDN w:val="0"/>
        <w:adjustRightInd w:val="0"/>
        <w:spacing w:before="120" w:line="360" w:lineRule="auto"/>
        <w:jc w:val="both"/>
        <w:rPr>
          <w:b/>
          <w:bCs/>
        </w:rPr>
      </w:pPr>
      <w:r w:rsidRPr="00E261BF">
        <w:rPr>
          <w:rFonts w:eastAsiaTheme="minorEastAsia"/>
          <w:b/>
        </w:rPr>
        <w:t xml:space="preserve">Rozdział 11 – </w:t>
      </w:r>
      <w:r w:rsidR="00133367">
        <w:rPr>
          <w:b/>
          <w:bCs/>
        </w:rPr>
        <w:t>Przepisy karne – art. 94</w:t>
      </w:r>
    </w:p>
    <w:p w:rsidR="00FA6B40" w:rsidRPr="00E261BF" w:rsidRDefault="00117C31" w:rsidP="000E7980">
      <w:pPr>
        <w:autoSpaceDE w:val="0"/>
        <w:autoSpaceDN w:val="0"/>
        <w:adjustRightInd w:val="0"/>
        <w:spacing w:before="120" w:line="360" w:lineRule="auto"/>
        <w:jc w:val="both"/>
        <w:rPr>
          <w:bCs/>
        </w:rPr>
      </w:pPr>
      <w:r w:rsidRPr="00E261BF">
        <w:rPr>
          <w:bCs/>
        </w:rPr>
        <w:t>W projektowanej ustawie przewidziano odpowiedzialność karną za działanie niezgodne z art. 12 ust. 1 projektu ustawy oraz za korzystanie ze wsparcia na tą samą jednostkę energii elektrycznej w ramach różnych mechanizmach wsparcia operacyjnego, o czym mowa w art. 11 projektu ustawy.</w:t>
      </w:r>
    </w:p>
    <w:p w:rsidR="00FA6B40" w:rsidRPr="00E261BF" w:rsidRDefault="00FA6B40" w:rsidP="003835D3">
      <w:pPr>
        <w:widowControl w:val="0"/>
        <w:autoSpaceDE w:val="0"/>
        <w:autoSpaceDN w:val="0"/>
        <w:adjustRightInd w:val="0"/>
        <w:spacing w:before="120" w:line="360" w:lineRule="auto"/>
        <w:jc w:val="both"/>
        <w:rPr>
          <w:b/>
          <w:bCs/>
        </w:rPr>
      </w:pPr>
      <w:r w:rsidRPr="00E261BF">
        <w:rPr>
          <w:rFonts w:eastAsiaTheme="minorEastAsia"/>
          <w:b/>
        </w:rPr>
        <w:t>Rozdział 1</w:t>
      </w:r>
      <w:r w:rsidR="00117C31" w:rsidRPr="00E261BF">
        <w:rPr>
          <w:rFonts w:eastAsiaTheme="minorEastAsia"/>
          <w:b/>
        </w:rPr>
        <w:t>2</w:t>
      </w:r>
      <w:r w:rsidRPr="00E261BF">
        <w:rPr>
          <w:rFonts w:eastAsiaTheme="minorEastAsia"/>
          <w:b/>
        </w:rPr>
        <w:t xml:space="preserve"> – </w:t>
      </w:r>
      <w:r w:rsidRPr="00E261BF">
        <w:rPr>
          <w:b/>
          <w:bCs/>
        </w:rPr>
        <w:t>Zmiany w przepisach obowiązujących, przepisy epizodyczne,</w:t>
      </w:r>
      <w:r w:rsidR="00117C31" w:rsidRPr="00E261BF">
        <w:rPr>
          <w:b/>
          <w:bCs/>
        </w:rPr>
        <w:t xml:space="preserve"> pr</w:t>
      </w:r>
      <w:r w:rsidR="00680107">
        <w:rPr>
          <w:b/>
          <w:bCs/>
        </w:rPr>
        <w:t>zejściowe i końcowe – art. 9</w:t>
      </w:r>
      <w:r w:rsidR="000E7980">
        <w:rPr>
          <w:b/>
          <w:bCs/>
        </w:rPr>
        <w:t>5</w:t>
      </w:r>
      <w:r w:rsidR="00680107">
        <w:rPr>
          <w:b/>
          <w:bCs/>
        </w:rPr>
        <w:t>–</w:t>
      </w:r>
      <w:r w:rsidR="00117C31" w:rsidRPr="00E261BF">
        <w:rPr>
          <w:b/>
          <w:bCs/>
        </w:rPr>
        <w:t>111</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 związku z wygaszaniem dotychczas obowiązującego mechanizmu wsparcia wysokosprawnej kogeneracji oraz wprowadzaniem nowych uregulowań w tym obszarze w</w:t>
      </w:r>
      <w:r w:rsidR="00680107">
        <w:rPr>
          <w:bCs/>
        </w:rPr>
        <w:t xml:space="preserve"> </w:t>
      </w:r>
      <w:r w:rsidRPr="00E261BF">
        <w:rPr>
          <w:bCs/>
        </w:rPr>
        <w:t>art.</w:t>
      </w:r>
      <w:r w:rsidR="00680107">
        <w:rPr>
          <w:bCs/>
        </w:rPr>
        <w:t xml:space="preserve"> </w:t>
      </w:r>
      <w:r w:rsidRPr="00E261BF">
        <w:rPr>
          <w:bCs/>
        </w:rPr>
        <w:t>91 uchyla się przepisy art. 9a 9l i 9m ustawy – Prawo energetyczne. Dodatkowo, w</w:t>
      </w:r>
      <w:r w:rsidR="00680107">
        <w:rPr>
          <w:bCs/>
        </w:rPr>
        <w:t xml:space="preserve"> </w:t>
      </w:r>
      <w:r w:rsidRPr="00E261BF">
        <w:rPr>
          <w:bCs/>
        </w:rPr>
        <w:t>związku z przeniesieniem regulacji dotyczących gwarancji pochodzenia do niniejszej ustawy uchyla się również art. 9y–9zb ustawy – Prawo energetyczne, podobnie jak obowiązek wyznaczania przez Prezesa URE opłaty z</w:t>
      </w:r>
      <w:r w:rsidR="004F6B6E">
        <w:rPr>
          <w:bCs/>
        </w:rPr>
        <w:t>astępczej, o którym mowa w art. </w:t>
      </w:r>
      <w:r w:rsidRPr="00E261BF">
        <w:rPr>
          <w:bCs/>
        </w:rPr>
        <w:t>23 ust. 2 pkt 3 lit. e ustawy – Prawo energetyc</w:t>
      </w:r>
      <w:r w:rsidR="004F6B6E">
        <w:rPr>
          <w:bCs/>
        </w:rPr>
        <w:t>zne oraz obowiązku obliczania i </w:t>
      </w:r>
      <w:r w:rsidRPr="00E261BF">
        <w:rPr>
          <w:bCs/>
        </w:rPr>
        <w:t>publikowania średnich cen energii elektrycznej z wytworzonej w wysokosprawnej kogeneracji, o którym mowa w art. 23 ust. 2 pkt 18 lit</w:t>
      </w:r>
      <w:r w:rsidR="00570D9A">
        <w:rPr>
          <w:bCs/>
        </w:rPr>
        <w:t>.</w:t>
      </w:r>
      <w:r w:rsidRPr="00E261BF">
        <w:rPr>
          <w:bCs/>
        </w:rPr>
        <w:t xml:space="preserve"> a ustawy – Prawo energetyczne. </w:t>
      </w:r>
      <w:r w:rsidR="00117C31" w:rsidRPr="00E261BF">
        <w:rPr>
          <w:bCs/>
        </w:rPr>
        <w:t xml:space="preserve">Zmienione zostają przepisy art. 43 ust. 7–10 ustawy – Prawo energetyczne w zakresie procedury wydawania promesy koncesji. </w:t>
      </w:r>
      <w:r w:rsidRPr="00E261BF">
        <w:rPr>
          <w:bCs/>
        </w:rPr>
        <w:t xml:space="preserve">Uchylone zostają również art. 56 ust. 1 pkt 1a i 1f ustawy – Prawo energetyczne, dotyczące kar pieniężnych za niewypełnienie obowiązku wynikającego z systemu świadectw pochodzenia z kogeneracji, zmienione zostają także przepisy art. 45 ustawy – Prawo energetyczne w zakresie ustalania taryf dla energii elektrycznej. </w:t>
      </w:r>
    </w:p>
    <w:p w:rsidR="00FA6B40" w:rsidRPr="00E261BF" w:rsidRDefault="00FA6B40" w:rsidP="003835D3">
      <w:pPr>
        <w:widowControl w:val="0"/>
        <w:autoSpaceDE w:val="0"/>
        <w:autoSpaceDN w:val="0"/>
        <w:adjustRightInd w:val="0"/>
        <w:spacing w:before="120" w:line="360" w:lineRule="auto"/>
        <w:jc w:val="both"/>
        <w:rPr>
          <w:bCs/>
        </w:rPr>
      </w:pPr>
      <w:r w:rsidRPr="00E261BF">
        <w:rPr>
          <w:bCs/>
        </w:rPr>
        <w:lastRenderedPageBreak/>
        <w:t>Zmienione zostaną także niektóre przepisy ustawy o od</w:t>
      </w:r>
      <w:r w:rsidR="002A174D" w:rsidRPr="00E261BF">
        <w:rPr>
          <w:bCs/>
        </w:rPr>
        <w:t>nawialnych źródłach energii,</w:t>
      </w:r>
      <w:r w:rsidR="00680107">
        <w:rPr>
          <w:bCs/>
        </w:rPr>
        <w:t xml:space="preserve"> </w:t>
      </w:r>
      <w:r w:rsidR="002A174D" w:rsidRPr="00E261BF">
        <w:rPr>
          <w:bCs/>
        </w:rPr>
        <w:t>ustawy Prawo ochrony środowiska oraz ustawy o rynku mocy.</w:t>
      </w:r>
    </w:p>
    <w:p w:rsidR="00FA6B40" w:rsidRPr="00E261BF" w:rsidRDefault="000E7980" w:rsidP="003835D3">
      <w:pPr>
        <w:widowControl w:val="0"/>
        <w:autoSpaceDE w:val="0"/>
        <w:autoSpaceDN w:val="0"/>
        <w:adjustRightInd w:val="0"/>
        <w:spacing w:before="120" w:line="360" w:lineRule="auto"/>
        <w:jc w:val="both"/>
      </w:pPr>
      <w:r w:rsidRPr="00E261BF">
        <w:rPr>
          <w:rFonts w:eastAsiaTheme="minorEastAsia"/>
        </w:rPr>
        <w:t xml:space="preserve">Wprowadzono </w:t>
      </w:r>
      <w:r w:rsidR="00FA6B40" w:rsidRPr="00E261BF">
        <w:rPr>
          <w:rFonts w:eastAsiaTheme="minorEastAsia"/>
        </w:rPr>
        <w:t xml:space="preserve">przepis zawieszający </w:t>
      </w:r>
      <w:r>
        <w:rPr>
          <w:rFonts w:eastAsiaTheme="minorEastAsia"/>
        </w:rPr>
        <w:t xml:space="preserve">możliwość uzyskania wsparcia w </w:t>
      </w:r>
      <w:r w:rsidR="00FA6B40" w:rsidRPr="00E261BF">
        <w:rPr>
          <w:rFonts w:eastAsiaTheme="minorEastAsia"/>
        </w:rPr>
        <w:t xml:space="preserve">ramach mechanizmu ustanowionego niniejszą ustawa do czasu </w:t>
      </w:r>
      <w:r w:rsidR="002A174D" w:rsidRPr="00E261BF">
        <w:t>wydania</w:t>
      </w:r>
      <w:r w:rsidR="00FA6B40" w:rsidRPr="00E261BF">
        <w:t xml:space="preserve"> pozytywnej decyzji Komisji Europejskiej o zgodności po</w:t>
      </w:r>
      <w:r>
        <w:t xml:space="preserve">mocy publicznej przewidzianej w </w:t>
      </w:r>
      <w:r w:rsidR="00FA6B40" w:rsidRPr="00E261BF">
        <w:t>niniejszej ustawie ze wspólnym rynkiem albo decyzji stwierdzającej, że mechanizm przewidziany w niniejszej ustawie nie stanowi pomocy publiczn</w:t>
      </w:r>
      <w:r>
        <w:t>ej. Jednocześnie wskazano, iż w </w:t>
      </w:r>
      <w:r w:rsidR="00FA6B40" w:rsidRPr="00E261BF">
        <w:t>przypadku wytwórców, którzy uzyskali decyzję, o którym mowa w art. 28 ust. 3 oraz wytwórcy, którzy uzyskali decyzję, o</w:t>
      </w:r>
      <w:r w:rsidR="00680107">
        <w:t xml:space="preserve"> </w:t>
      </w:r>
      <w:r w:rsidR="00FA6B40" w:rsidRPr="00E261BF">
        <w:t>którym mowa w ar</w:t>
      </w:r>
      <w:r>
        <w:t>t. 35 ust. 3 mogą ubiegać się o </w:t>
      </w:r>
      <w:r w:rsidR="00FA6B40" w:rsidRPr="00E261BF">
        <w:t>wsparcie za energię elektryczną wytworzoną</w:t>
      </w:r>
      <w:r>
        <w:t xml:space="preserve"> w wysokosprawnej kogeneracji w </w:t>
      </w:r>
      <w:r w:rsidR="00FA6B40" w:rsidRPr="00E261BF">
        <w:t>jednostkach kogeneracji określonych w ww. decyzjach, od</w:t>
      </w:r>
      <w:r w:rsidR="00680107">
        <w:t xml:space="preserve"> </w:t>
      </w:r>
      <w:r w:rsidR="004F6B6E">
        <w:t>dnia 1 </w:t>
      </w:r>
      <w:r w:rsidR="00FA6B40" w:rsidRPr="00E261BF">
        <w:t>stycznia 2019 r.</w:t>
      </w:r>
    </w:p>
    <w:p w:rsidR="00FA6B40" w:rsidRPr="00E261BF" w:rsidRDefault="00FA6B40" w:rsidP="003835D3">
      <w:pPr>
        <w:widowControl w:val="0"/>
        <w:autoSpaceDE w:val="0"/>
        <w:autoSpaceDN w:val="0"/>
        <w:adjustRightInd w:val="0"/>
        <w:spacing w:before="120" w:line="360" w:lineRule="auto"/>
        <w:jc w:val="both"/>
        <w:rPr>
          <w:b/>
          <w:bCs/>
        </w:rPr>
      </w:pPr>
      <w:r w:rsidRPr="00E261BF">
        <w:t>Powyższe działanie ma na celu utrzymanie p</w:t>
      </w:r>
      <w:r w:rsidR="004F6B6E">
        <w:t>rodukcji energii eklektycznej w </w:t>
      </w:r>
      <w:r w:rsidRPr="00E261BF">
        <w:t>wysokosprawnej kogeneracji w istniejących źródłach w sytuacji, gdy decyzja Komisji Europejskiej podjęta będzie po dniu 1 stycznia 2019 r., tj. w czasie gdy dotychczasowy system wsparcia w postaci świadectw pochodzenia przestanie funkcjonować.</w:t>
      </w:r>
    </w:p>
    <w:p w:rsidR="00FA6B40" w:rsidRPr="00E261BF" w:rsidRDefault="00FA6B40" w:rsidP="003835D3">
      <w:pPr>
        <w:widowControl w:val="0"/>
        <w:autoSpaceDE w:val="0"/>
        <w:autoSpaceDN w:val="0"/>
        <w:adjustRightInd w:val="0"/>
        <w:spacing w:before="120" w:line="360" w:lineRule="auto"/>
        <w:jc w:val="both"/>
        <w:rPr>
          <w:bCs/>
        </w:rPr>
      </w:pPr>
      <w:r w:rsidRPr="00E261BF">
        <w:rPr>
          <w:bCs/>
        </w:rPr>
        <w:t>W ramach przepisów przejściowych uregulo</w:t>
      </w:r>
      <w:r w:rsidR="004F6B6E">
        <w:rPr>
          <w:bCs/>
        </w:rPr>
        <w:t>wane zostały kwestie związane z </w:t>
      </w:r>
      <w:r w:rsidRPr="00E261BF">
        <w:rPr>
          <w:bCs/>
        </w:rPr>
        <w:t>koniecznością zakończenia działań wynikających z dotychczas obowiązującego mechanizmu wsparcia określonego w uchylanych przepisach art. 9a, 9l i 9m ustawy – Prawo energetyczne. Celem ustawodawcy w tym obszarze jest zakończenie funkcjonowania dotychczasowego mechanizmu wsparcia (w tym rozliczenie obowiązku, o którym mowa w</w:t>
      </w:r>
      <w:r w:rsidR="00680107">
        <w:rPr>
          <w:bCs/>
        </w:rPr>
        <w:t xml:space="preserve"> </w:t>
      </w:r>
      <w:r w:rsidRPr="00E261BF">
        <w:rPr>
          <w:bCs/>
        </w:rPr>
        <w:t>art.</w:t>
      </w:r>
      <w:r w:rsidR="00680107">
        <w:rPr>
          <w:bCs/>
        </w:rPr>
        <w:t xml:space="preserve"> </w:t>
      </w:r>
      <w:r w:rsidRPr="00E261BF">
        <w:rPr>
          <w:bCs/>
        </w:rPr>
        <w:t>9a ustawy – Prawo energetyczne oraz wydanie świadectw pochodzenia z kogeneracji za energię wytworzoną przed dniem 1 stycznia 2019 r.) na zasadach dotychczas obowiązujących.</w:t>
      </w:r>
    </w:p>
    <w:p w:rsidR="00FA6B40" w:rsidRPr="00E261BF" w:rsidRDefault="00FA6B40" w:rsidP="003835D3">
      <w:pPr>
        <w:widowControl w:val="0"/>
        <w:autoSpaceDE w:val="0"/>
        <w:autoSpaceDN w:val="0"/>
        <w:adjustRightInd w:val="0"/>
        <w:spacing w:before="120" w:line="360" w:lineRule="auto"/>
        <w:jc w:val="both"/>
        <w:rPr>
          <w:bCs/>
        </w:rPr>
      </w:pPr>
      <w:r w:rsidRPr="00E261BF">
        <w:rPr>
          <w:bCs/>
        </w:rPr>
        <w:t xml:space="preserve">W art. </w:t>
      </w:r>
      <w:r w:rsidR="002A174D" w:rsidRPr="00E261BF">
        <w:rPr>
          <w:bCs/>
        </w:rPr>
        <w:t>102</w:t>
      </w:r>
      <w:r w:rsidR="00680107">
        <w:rPr>
          <w:bCs/>
        </w:rPr>
        <w:t>–</w:t>
      </w:r>
      <w:r w:rsidR="002A174D" w:rsidRPr="00E261BF">
        <w:rPr>
          <w:bCs/>
        </w:rPr>
        <w:t>106</w:t>
      </w:r>
      <w:r w:rsidRPr="00E261BF">
        <w:rPr>
          <w:bCs/>
        </w:rPr>
        <w:t xml:space="preserve"> określone zostały terminy publikacji przez ministra właściwego do spraw energii po raz pierwszy</w:t>
      </w:r>
      <w:r w:rsidR="002A174D" w:rsidRPr="00E261BF">
        <w:rPr>
          <w:bCs/>
        </w:rPr>
        <w:t xml:space="preserve"> poszczególnych aktów wykonawczych.</w:t>
      </w:r>
      <w:r w:rsidRPr="00E261BF">
        <w:rPr>
          <w:bCs/>
        </w:rPr>
        <w:t xml:space="preserve"> </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Określono również przepisy przejściowe dla wydanych na podstawie przepisów ustawy – Prawo energetyczne</w:t>
      </w:r>
      <w:r w:rsidR="002A174D" w:rsidRPr="00E261BF">
        <w:rPr>
          <w:rFonts w:eastAsiaTheme="minorEastAsia"/>
        </w:rPr>
        <w:t xml:space="preserve"> gwarancji pochodzenia (art. 107</w:t>
      </w:r>
      <w:r w:rsidRPr="00E261BF">
        <w:rPr>
          <w:rFonts w:eastAsiaTheme="minorEastAsia"/>
        </w:rPr>
        <w:t>), w tym w zakresie terminu utraty ważności.</w:t>
      </w:r>
    </w:p>
    <w:p w:rsidR="00FA6B40" w:rsidRPr="00E261BF" w:rsidRDefault="002A174D" w:rsidP="003835D3">
      <w:pPr>
        <w:widowControl w:val="0"/>
        <w:autoSpaceDE w:val="0"/>
        <w:autoSpaceDN w:val="0"/>
        <w:adjustRightInd w:val="0"/>
        <w:spacing w:before="120" w:line="360" w:lineRule="auto"/>
        <w:jc w:val="both"/>
        <w:rPr>
          <w:rFonts w:eastAsiaTheme="minorEastAsia"/>
        </w:rPr>
      </w:pPr>
      <w:r w:rsidRPr="00E261BF">
        <w:rPr>
          <w:rFonts w:eastAsiaTheme="minorEastAsia"/>
        </w:rPr>
        <w:t>W art. 108</w:t>
      </w:r>
      <w:r w:rsidR="00FA6B40" w:rsidRPr="00E261BF">
        <w:rPr>
          <w:rFonts w:eastAsiaTheme="minorEastAsia"/>
        </w:rPr>
        <w:t xml:space="preserve"> wskazano, że opłata kogeneracyjna od dnia wejścia w życie ustawy do końca roku 2019 będzie wynosiła 1,58 zł za 1 MWh.</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W obszarze przepisów końcowych (art. 10</w:t>
      </w:r>
      <w:r w:rsidR="00680107">
        <w:rPr>
          <w:rFonts w:eastAsiaTheme="minorEastAsia"/>
        </w:rPr>
        <w:t>9–</w:t>
      </w:r>
      <w:r w:rsidR="002A174D" w:rsidRPr="00E261BF">
        <w:rPr>
          <w:rFonts w:eastAsiaTheme="minorEastAsia"/>
        </w:rPr>
        <w:t>111</w:t>
      </w:r>
      <w:r w:rsidRPr="00E261BF">
        <w:rPr>
          <w:rFonts w:eastAsiaTheme="minorEastAsia"/>
        </w:rPr>
        <w:t xml:space="preserve">) określony został maksymalny limit </w:t>
      </w:r>
      <w:r w:rsidRPr="00E261BF">
        <w:rPr>
          <w:rFonts w:eastAsiaTheme="minorEastAsia"/>
        </w:rPr>
        <w:lastRenderedPageBreak/>
        <w:t>wydatków z budżetu państwa przeznaczonych na wykonywanie zadań Prezesa URE oraz</w:t>
      </w:r>
      <w:r w:rsidR="00680107">
        <w:rPr>
          <w:rFonts w:eastAsiaTheme="minorEastAsia"/>
        </w:rPr>
        <w:t xml:space="preserve"> </w:t>
      </w:r>
      <w:r w:rsidRPr="00E261BF">
        <w:rPr>
          <w:rFonts w:eastAsiaTheme="minorEastAsia"/>
        </w:rPr>
        <w:t>ministra właściwego do spraw energii, wynikających z niniejszej ustawy.</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Ponadto wskazano, iż ustawa wchodzi w życie z dniem 1 stycznia 2019 r., co pozwoli na płynne zastąpienie dotychczas obowiązującego mechanizmu wsparcia, nowym określonym w niniejszej ustawie.</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Wejście projektowanego aktu w życie</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Przewiduje się, że ustawa wejdzie w życie z dniem 1 stycznia 2019 r.</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Obowiązek notyfikacji</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Projektowana ustawa nie zawiera przepisów technicznych w rozumieniu rozporządzenia Rady Ministrów z dnia 23 grudnia 2002 r. w sprawie sposobu funkcjonowania krajowego systemu notyfikacji norm i aktów prawnych (Dz. U. poz. 2039, z późn. zm.).</w:t>
      </w:r>
    </w:p>
    <w:p w:rsidR="00FA6B40" w:rsidRPr="00E261BF" w:rsidRDefault="00FA6B40" w:rsidP="003835D3">
      <w:pPr>
        <w:widowControl w:val="0"/>
        <w:autoSpaceDE w:val="0"/>
        <w:autoSpaceDN w:val="0"/>
        <w:adjustRightInd w:val="0"/>
        <w:spacing w:before="120" w:line="360" w:lineRule="auto"/>
        <w:jc w:val="both"/>
        <w:rPr>
          <w:rFonts w:eastAsiaTheme="minorEastAsia"/>
        </w:rPr>
      </w:pPr>
      <w:r w:rsidRPr="00E261BF">
        <w:rPr>
          <w:rFonts w:eastAsiaTheme="minorEastAsia"/>
        </w:rPr>
        <w:t>Projekt ustawy jest zgodny z przepisami Unii Europejskiej.</w:t>
      </w:r>
    </w:p>
    <w:p w:rsidR="00FA6B40" w:rsidRPr="00E261BF" w:rsidRDefault="00FA6B40" w:rsidP="003835D3">
      <w:pPr>
        <w:pStyle w:val="Akapitzlist"/>
        <w:widowControl w:val="0"/>
        <w:numPr>
          <w:ilvl w:val="0"/>
          <w:numId w:val="7"/>
        </w:numPr>
        <w:autoSpaceDE w:val="0"/>
        <w:autoSpaceDN w:val="0"/>
        <w:adjustRightInd w:val="0"/>
        <w:spacing w:before="120" w:line="360" w:lineRule="auto"/>
        <w:ind w:left="284" w:hanging="284"/>
        <w:contextualSpacing w:val="0"/>
        <w:jc w:val="both"/>
        <w:rPr>
          <w:rFonts w:eastAsiaTheme="minorEastAsia"/>
          <w:b/>
        </w:rPr>
      </w:pPr>
      <w:r w:rsidRPr="00E261BF">
        <w:rPr>
          <w:rFonts w:eastAsiaTheme="minorEastAsia"/>
          <w:b/>
        </w:rPr>
        <w:t>Publikacja projektu</w:t>
      </w:r>
    </w:p>
    <w:p w:rsidR="004F6B6E" w:rsidRPr="004F6B6E" w:rsidRDefault="00FA6B40" w:rsidP="007F6E15">
      <w:pPr>
        <w:widowControl w:val="0"/>
        <w:autoSpaceDE w:val="0"/>
        <w:autoSpaceDN w:val="0"/>
        <w:adjustRightInd w:val="0"/>
        <w:spacing w:before="120" w:line="360" w:lineRule="auto"/>
        <w:jc w:val="both"/>
        <w:rPr>
          <w:sz w:val="16"/>
          <w:szCs w:val="16"/>
        </w:rPr>
      </w:pPr>
      <w:r w:rsidRPr="00E261BF">
        <w:rPr>
          <w:rFonts w:eastAsiaTheme="minorEastAsia"/>
        </w:rPr>
        <w:t>Projekt przedmiotowej regulacji z chwilą przekazania do uzgodnień międzyresortowych zostanie udostępniony w Biuletynie Informacji Publicznej na stronie podmiotowej Rządowego Centrum Legislacji, w serwisie Rządowy</w:t>
      </w:r>
      <w:r w:rsidR="004F6B6E">
        <w:rPr>
          <w:rFonts w:eastAsiaTheme="minorEastAsia"/>
        </w:rPr>
        <w:t xml:space="preserve"> Proces Legislacyjny, zgodnie z </w:t>
      </w:r>
      <w:r w:rsidRPr="00E261BF">
        <w:rPr>
          <w:rFonts w:eastAsiaTheme="minorEastAsia"/>
        </w:rPr>
        <w:t xml:space="preserve">ustawą z dnia 7 lipca 2005 o działalności lobbingowej w procesie stosowania prawa oraz § 52 uchwały </w:t>
      </w:r>
      <w:r w:rsidR="004F6B6E">
        <w:rPr>
          <w:rFonts w:eastAsiaTheme="minorEastAsia"/>
        </w:rPr>
        <w:t>nr 190 Rady Ministrów z dnia 29 </w:t>
      </w:r>
      <w:r w:rsidRPr="00E261BF">
        <w:rPr>
          <w:rFonts w:eastAsiaTheme="minorEastAsia"/>
        </w:rPr>
        <w:t>października 2013 r. – Regulamin pracy Rady Ministrów.</w:t>
      </w:r>
    </w:p>
    <w:sectPr w:rsidR="004F6B6E" w:rsidRPr="004F6B6E" w:rsidSect="00E546FA">
      <w:headerReference w:type="default" r:id="rId8"/>
      <w:footerReference w:type="default" r:id="rId9"/>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547" w:rsidRDefault="00190547">
      <w:r>
        <w:separator/>
      </w:r>
    </w:p>
  </w:endnote>
  <w:endnote w:type="continuationSeparator" w:id="0">
    <w:p w:rsidR="00190547" w:rsidRDefault="00190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028163"/>
      <w:docPartObj>
        <w:docPartGallery w:val="Page Numbers (Bottom of Page)"/>
        <w:docPartUnique/>
      </w:docPartObj>
    </w:sdtPr>
    <w:sdtEndPr>
      <w:rPr>
        <w:rFonts w:ascii="Times New Roman" w:hAnsi="Times New Roman"/>
      </w:rPr>
    </w:sdtEndPr>
    <w:sdtContent>
      <w:p w:rsidR="00190547" w:rsidRPr="004F6B6E" w:rsidRDefault="00190547" w:rsidP="004F6B6E">
        <w:pPr>
          <w:pStyle w:val="Stopka"/>
          <w:jc w:val="center"/>
          <w:rPr>
            <w:rFonts w:ascii="Times New Roman" w:hAnsi="Times New Roman"/>
          </w:rPr>
        </w:pPr>
        <w:r w:rsidRPr="004F6B6E">
          <w:rPr>
            <w:rFonts w:ascii="Times New Roman" w:hAnsi="Times New Roman"/>
          </w:rPr>
          <w:fldChar w:fldCharType="begin"/>
        </w:r>
        <w:r w:rsidRPr="004F6B6E">
          <w:rPr>
            <w:rFonts w:ascii="Times New Roman" w:hAnsi="Times New Roman"/>
          </w:rPr>
          <w:instrText>PAGE   \* MERGEFORMAT</w:instrText>
        </w:r>
        <w:r w:rsidRPr="004F6B6E">
          <w:rPr>
            <w:rFonts w:ascii="Times New Roman" w:hAnsi="Times New Roman"/>
          </w:rPr>
          <w:fldChar w:fldCharType="separate"/>
        </w:r>
        <w:r w:rsidR="00C44A29">
          <w:rPr>
            <w:rFonts w:ascii="Times New Roman" w:hAnsi="Times New Roman"/>
            <w:noProof/>
          </w:rPr>
          <w:t>2</w:t>
        </w:r>
        <w:r w:rsidRPr="004F6B6E">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547" w:rsidRDefault="00190547">
      <w:r>
        <w:separator/>
      </w:r>
    </w:p>
  </w:footnote>
  <w:footnote w:type="continuationSeparator" w:id="0">
    <w:p w:rsidR="00190547" w:rsidRDefault="00190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47" w:rsidRPr="00B371CC" w:rsidRDefault="00190547" w:rsidP="00E31BA8">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0948"/>
    <w:multiLevelType w:val="hybridMultilevel"/>
    <w:tmpl w:val="6D76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3E3B51"/>
    <w:multiLevelType w:val="hybridMultilevel"/>
    <w:tmpl w:val="C7A002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607376"/>
    <w:multiLevelType w:val="hybridMultilevel"/>
    <w:tmpl w:val="EBA81710"/>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441E41"/>
    <w:multiLevelType w:val="hybridMultilevel"/>
    <w:tmpl w:val="336E56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9C64E6"/>
    <w:multiLevelType w:val="hybridMultilevel"/>
    <w:tmpl w:val="055C10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2E60C9"/>
    <w:multiLevelType w:val="hybridMultilevel"/>
    <w:tmpl w:val="8D66E46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186E5BBE"/>
    <w:multiLevelType w:val="hybridMultilevel"/>
    <w:tmpl w:val="A3627C5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1B454D5E"/>
    <w:multiLevelType w:val="hybridMultilevel"/>
    <w:tmpl w:val="B9E41150"/>
    <w:lvl w:ilvl="0" w:tplc="7318030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DD66343"/>
    <w:multiLevelType w:val="hybridMultilevel"/>
    <w:tmpl w:val="7E785E1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24FC12E1"/>
    <w:multiLevelType w:val="hybridMultilevel"/>
    <w:tmpl w:val="60644C1E"/>
    <w:lvl w:ilvl="0" w:tplc="0415000F">
      <w:start w:val="1"/>
      <w:numFmt w:val="decimal"/>
      <w:lvlText w:val="%1."/>
      <w:lvlJc w:val="left"/>
      <w:pPr>
        <w:ind w:left="206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544883"/>
    <w:multiLevelType w:val="hybridMultilevel"/>
    <w:tmpl w:val="2D4AD232"/>
    <w:lvl w:ilvl="0" w:tplc="8D2A1490">
      <w:start w:val="1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5F02B17"/>
    <w:multiLevelType w:val="hybridMultilevel"/>
    <w:tmpl w:val="8B0A81B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2A717B92"/>
    <w:multiLevelType w:val="hybridMultilevel"/>
    <w:tmpl w:val="D89A0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CDE0C36"/>
    <w:multiLevelType w:val="hybridMultilevel"/>
    <w:tmpl w:val="DCE851CE"/>
    <w:lvl w:ilvl="0" w:tplc="7318030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34D86D75"/>
    <w:multiLevelType w:val="hybridMultilevel"/>
    <w:tmpl w:val="F6C454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BB3AA8"/>
    <w:multiLevelType w:val="hybridMultilevel"/>
    <w:tmpl w:val="DACA2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A82EE8"/>
    <w:multiLevelType w:val="hybridMultilevel"/>
    <w:tmpl w:val="0908BD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17F6EB7"/>
    <w:multiLevelType w:val="hybridMultilevel"/>
    <w:tmpl w:val="259066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032755"/>
    <w:multiLevelType w:val="hybridMultilevel"/>
    <w:tmpl w:val="50B8F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BD7758"/>
    <w:multiLevelType w:val="hybridMultilevel"/>
    <w:tmpl w:val="8916B8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50476933"/>
    <w:multiLevelType w:val="hybridMultilevel"/>
    <w:tmpl w:val="A7EC990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58BC740A"/>
    <w:multiLevelType w:val="hybridMultilevel"/>
    <w:tmpl w:val="EF0C3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9A06DF"/>
    <w:multiLevelType w:val="hybridMultilevel"/>
    <w:tmpl w:val="726CF61E"/>
    <w:lvl w:ilvl="0" w:tplc="04150011">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65AE1904"/>
    <w:multiLevelType w:val="hybridMultilevel"/>
    <w:tmpl w:val="EF1A59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85847FD"/>
    <w:multiLevelType w:val="hybridMultilevel"/>
    <w:tmpl w:val="0DD879AA"/>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5" w15:restartNumberingAfterBreak="0">
    <w:nsid w:val="6A1A2CFF"/>
    <w:multiLevelType w:val="hybridMultilevel"/>
    <w:tmpl w:val="DB341D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775D7CF8"/>
    <w:multiLevelType w:val="hybridMultilevel"/>
    <w:tmpl w:val="0C7E9C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2A6215"/>
    <w:multiLevelType w:val="hybridMultilevel"/>
    <w:tmpl w:val="2BA8158C"/>
    <w:lvl w:ilvl="0" w:tplc="DBE20D78">
      <w:start w:val="1"/>
      <w:numFmt w:val="upperRoman"/>
      <w:lvlText w:val="%1."/>
      <w:lvlJc w:val="left"/>
      <w:pPr>
        <w:ind w:left="720" w:hanging="360"/>
      </w:pPr>
      <w:rPr>
        <w:rFonts w:hint="default"/>
      </w:rPr>
    </w:lvl>
    <w:lvl w:ilvl="1" w:tplc="45E6E28C">
      <w:start w:val="1"/>
      <w:numFmt w:val="lowerLetter"/>
      <w:lvlText w:val="%2)"/>
      <w:lvlJc w:val="left"/>
      <w:pPr>
        <w:ind w:left="1440" w:hanging="360"/>
      </w:pPr>
      <w:rPr>
        <w:rFonts w:eastAsia="Times New Roman" w:hint="default"/>
        <w:color w:val="0070C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9"/>
  </w:num>
  <w:num w:numId="3">
    <w:abstractNumId w:val="23"/>
  </w:num>
  <w:num w:numId="4">
    <w:abstractNumId w:val="7"/>
  </w:num>
  <w:num w:numId="5">
    <w:abstractNumId w:val="0"/>
  </w:num>
  <w:num w:numId="6">
    <w:abstractNumId w:val="12"/>
  </w:num>
  <w:num w:numId="7">
    <w:abstractNumId w:val="2"/>
  </w:num>
  <w:num w:numId="8">
    <w:abstractNumId w:val="13"/>
  </w:num>
  <w:num w:numId="9">
    <w:abstractNumId w:val="14"/>
  </w:num>
  <w:num w:numId="10">
    <w:abstractNumId w:val="21"/>
  </w:num>
  <w:num w:numId="11">
    <w:abstractNumId w:val="8"/>
  </w:num>
  <w:num w:numId="12">
    <w:abstractNumId w:val="24"/>
  </w:num>
  <w:num w:numId="13">
    <w:abstractNumId w:val="22"/>
  </w:num>
  <w:num w:numId="14">
    <w:abstractNumId w:val="26"/>
  </w:num>
  <w:num w:numId="15">
    <w:abstractNumId w:val="17"/>
  </w:num>
  <w:num w:numId="16">
    <w:abstractNumId w:val="25"/>
  </w:num>
  <w:num w:numId="17">
    <w:abstractNumId w:val="3"/>
  </w:num>
  <w:num w:numId="18">
    <w:abstractNumId w:val="15"/>
  </w:num>
  <w:num w:numId="19">
    <w:abstractNumId w:val="5"/>
  </w:num>
  <w:num w:numId="20">
    <w:abstractNumId w:val="18"/>
  </w:num>
  <w:num w:numId="21">
    <w:abstractNumId w:val="4"/>
  </w:num>
  <w:num w:numId="22">
    <w:abstractNumId w:val="1"/>
  </w:num>
  <w:num w:numId="23">
    <w:abstractNumId w:val="16"/>
  </w:num>
  <w:num w:numId="24">
    <w:abstractNumId w:val="11"/>
  </w:num>
  <w:num w:numId="25">
    <w:abstractNumId w:val="20"/>
  </w:num>
  <w:num w:numId="26">
    <w:abstractNumId w:val="19"/>
  </w:num>
  <w:num w:numId="27">
    <w:abstractNumId w:val="6"/>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B40"/>
    <w:rsid w:val="00061B44"/>
    <w:rsid w:val="000E7980"/>
    <w:rsid w:val="000F26EE"/>
    <w:rsid w:val="00104F2E"/>
    <w:rsid w:val="00117C31"/>
    <w:rsid w:val="00133367"/>
    <w:rsid w:val="00190547"/>
    <w:rsid w:val="001F1A7E"/>
    <w:rsid w:val="002A174D"/>
    <w:rsid w:val="0030065E"/>
    <w:rsid w:val="00342B36"/>
    <w:rsid w:val="003835D3"/>
    <w:rsid w:val="003E4A89"/>
    <w:rsid w:val="003F3963"/>
    <w:rsid w:val="004227B1"/>
    <w:rsid w:val="00422E5B"/>
    <w:rsid w:val="00445CC4"/>
    <w:rsid w:val="004F6B6E"/>
    <w:rsid w:val="00570D9A"/>
    <w:rsid w:val="005944AE"/>
    <w:rsid w:val="005C3979"/>
    <w:rsid w:val="005D4A51"/>
    <w:rsid w:val="00676BB3"/>
    <w:rsid w:val="00680107"/>
    <w:rsid w:val="006A7DE6"/>
    <w:rsid w:val="006C36C9"/>
    <w:rsid w:val="00713238"/>
    <w:rsid w:val="007F6E15"/>
    <w:rsid w:val="00817A6E"/>
    <w:rsid w:val="008D001A"/>
    <w:rsid w:val="00920C51"/>
    <w:rsid w:val="00A308A5"/>
    <w:rsid w:val="00A31DF7"/>
    <w:rsid w:val="00A51233"/>
    <w:rsid w:val="00AA307A"/>
    <w:rsid w:val="00AE3F41"/>
    <w:rsid w:val="00B3545C"/>
    <w:rsid w:val="00B7475B"/>
    <w:rsid w:val="00BC23D0"/>
    <w:rsid w:val="00C44A29"/>
    <w:rsid w:val="00C80B4C"/>
    <w:rsid w:val="00CC43DE"/>
    <w:rsid w:val="00CF16DA"/>
    <w:rsid w:val="00E261BF"/>
    <w:rsid w:val="00E31BA8"/>
    <w:rsid w:val="00E328C0"/>
    <w:rsid w:val="00E36AF7"/>
    <w:rsid w:val="00E546FA"/>
    <w:rsid w:val="00E55986"/>
    <w:rsid w:val="00F3717E"/>
    <w:rsid w:val="00FA6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AC34E6-1671-4EE0-B6DC-B42E316C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6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9"/>
    <w:rsid w:val="00FA6B40"/>
    <w:pPr>
      <w:keepNext/>
      <w:keepLines/>
      <w:widowControl w:val="0"/>
      <w:suppressAutoHyphens/>
      <w:spacing w:before="480" w:line="360" w:lineRule="auto"/>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A6B40"/>
    <w:rPr>
      <w:rFonts w:asciiTheme="majorHAnsi" w:eastAsiaTheme="majorEastAsia" w:hAnsiTheme="majorHAnsi" w:cstheme="majorBidi"/>
      <w:b/>
      <w:bCs/>
      <w:color w:val="2E74B5"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FA6B40"/>
    <w:pPr>
      <w:ind w:left="1497"/>
    </w:pPr>
  </w:style>
  <w:style w:type="paragraph" w:customStyle="1" w:styleId="ZTIRwPKTzmtirwpktartykuempunktem">
    <w:name w:val="Z/TIR_w_PKT – zm. tir. w pkt artykułem (punktem)"/>
    <w:basedOn w:val="TIRtiret"/>
    <w:uiPriority w:val="33"/>
    <w:qFormat/>
    <w:rsid w:val="00FA6B4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A6B40"/>
    <w:pPr>
      <w:ind w:left="1021"/>
    </w:pPr>
  </w:style>
  <w:style w:type="paragraph" w:customStyle="1" w:styleId="2TIRpodwjnytiret">
    <w:name w:val="2TIR – podwójny tiret"/>
    <w:basedOn w:val="TIRtiret"/>
    <w:uiPriority w:val="73"/>
    <w:qFormat/>
    <w:rsid w:val="00FA6B40"/>
    <w:pPr>
      <w:ind w:left="1780"/>
    </w:pPr>
  </w:style>
  <w:style w:type="character" w:styleId="Odwoanieprzypisudolnego">
    <w:name w:val="footnote reference"/>
    <w:semiHidden/>
    <w:rsid w:val="00FA6B40"/>
    <w:rPr>
      <w:rFonts w:cs="Times New Roman"/>
      <w:vertAlign w:val="superscript"/>
    </w:rPr>
  </w:style>
  <w:style w:type="paragraph" w:styleId="Nagwek">
    <w:name w:val="header"/>
    <w:basedOn w:val="Normalny"/>
    <w:link w:val="NagwekZnak"/>
    <w:uiPriority w:val="99"/>
    <w:semiHidden/>
    <w:rsid w:val="00FA6B40"/>
    <w:pPr>
      <w:widowControl w:val="0"/>
      <w:tabs>
        <w:tab w:val="center" w:pos="4536"/>
        <w:tab w:val="right" w:pos="9072"/>
      </w:tabs>
      <w:suppressAutoHyphens/>
      <w:spacing w:line="360" w:lineRule="auto"/>
    </w:pPr>
    <w:rPr>
      <w:rFonts w:ascii="Times" w:hAnsi="Times"/>
      <w:kern w:val="1"/>
      <w:lang w:eastAsia="ar-SA"/>
    </w:rPr>
  </w:style>
  <w:style w:type="character" w:customStyle="1" w:styleId="NagwekZnak">
    <w:name w:val="Nagłówek Znak"/>
    <w:basedOn w:val="Domylnaczcionkaakapitu"/>
    <w:link w:val="Nagwek"/>
    <w:uiPriority w:val="99"/>
    <w:semiHidden/>
    <w:rsid w:val="00FA6B40"/>
    <w:rPr>
      <w:rFonts w:ascii="Times" w:eastAsia="Times New Roman" w:hAnsi="Times" w:cs="Times New Roman"/>
      <w:kern w:val="1"/>
      <w:sz w:val="24"/>
      <w:szCs w:val="24"/>
      <w:lang w:eastAsia="ar-SA"/>
    </w:rPr>
  </w:style>
  <w:style w:type="paragraph" w:styleId="Stopka">
    <w:name w:val="footer"/>
    <w:basedOn w:val="Normalny"/>
    <w:link w:val="StopkaZnak"/>
    <w:uiPriority w:val="99"/>
    <w:rsid w:val="00FA6B40"/>
    <w:pPr>
      <w:widowControl w:val="0"/>
      <w:tabs>
        <w:tab w:val="center" w:pos="4536"/>
        <w:tab w:val="right" w:pos="9072"/>
      </w:tabs>
      <w:suppressAutoHyphens/>
      <w:spacing w:line="360" w:lineRule="auto"/>
    </w:pPr>
    <w:rPr>
      <w:rFonts w:ascii="Times" w:hAnsi="Times"/>
      <w:kern w:val="1"/>
      <w:lang w:eastAsia="ar-SA"/>
    </w:rPr>
  </w:style>
  <w:style w:type="character" w:customStyle="1" w:styleId="StopkaZnak">
    <w:name w:val="Stopka Znak"/>
    <w:basedOn w:val="Domylnaczcionkaakapitu"/>
    <w:link w:val="Stopka"/>
    <w:uiPriority w:val="99"/>
    <w:rsid w:val="00FA6B40"/>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FA6B40"/>
    <w:pPr>
      <w:suppressAutoHyphens/>
    </w:pPr>
    <w:rPr>
      <w:rFonts w:ascii="Tahoma" w:hAnsi="Tahoma" w:cs="Tahoma"/>
      <w:kern w:val="1"/>
      <w:szCs w:val="16"/>
      <w:lang w:eastAsia="ar-SA"/>
    </w:rPr>
  </w:style>
  <w:style w:type="character" w:customStyle="1" w:styleId="TekstdymkaZnak">
    <w:name w:val="Tekst dymka Znak"/>
    <w:basedOn w:val="Domylnaczcionkaakapitu"/>
    <w:link w:val="Tekstdymka"/>
    <w:uiPriority w:val="99"/>
    <w:semiHidden/>
    <w:rsid w:val="00FA6B40"/>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FA6B4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A6B40"/>
    <w:pPr>
      <w:ind w:left="1497"/>
    </w:pPr>
  </w:style>
  <w:style w:type="paragraph" w:customStyle="1" w:styleId="ZTIRwLITzmtirwlitartykuempunktem">
    <w:name w:val="Z/TIR_w_LIT – zm. tir. w lit. artykułem (punktem)"/>
    <w:basedOn w:val="TIRtiret"/>
    <w:uiPriority w:val="33"/>
    <w:qFormat/>
    <w:rsid w:val="00FA6B4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A6B40"/>
  </w:style>
  <w:style w:type="paragraph" w:styleId="Bezodstpw">
    <w:name w:val="No Spacing"/>
    <w:uiPriority w:val="99"/>
    <w:rsid w:val="00FA6B40"/>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A6B40"/>
    <w:pPr>
      <w:ind w:left="1020"/>
    </w:pPr>
  </w:style>
  <w:style w:type="paragraph" w:customStyle="1" w:styleId="ZARTzmartartykuempunktem">
    <w:name w:val="Z/ART(§) – zm. art. (§) artykułem (punktem)"/>
    <w:basedOn w:val="ARTartustawynprozporzdzenia"/>
    <w:uiPriority w:val="30"/>
    <w:qFormat/>
    <w:rsid w:val="00FA6B4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A6B40"/>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A6B40"/>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A6B40"/>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A6B40"/>
    <w:rPr>
      <w:bCs/>
    </w:rPr>
  </w:style>
  <w:style w:type="paragraph" w:customStyle="1" w:styleId="OZNRODZAKTUtznustawalubrozporzdzenieiorganwydajcy">
    <w:name w:val="OZN_RODZ_AKTU – tzn. ustawa lub rozporządzenie i organ wydający"/>
    <w:next w:val="DATAAKTUdatauchwalenialubwydaniaaktu"/>
    <w:uiPriority w:val="5"/>
    <w:qFormat/>
    <w:rsid w:val="00FA6B4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FA6B40"/>
    <w:pPr>
      <w:spacing w:before="0"/>
    </w:pPr>
    <w:rPr>
      <w:bCs/>
    </w:rPr>
  </w:style>
  <w:style w:type="paragraph" w:customStyle="1" w:styleId="PKTpunkt">
    <w:name w:val="PKT – punkt"/>
    <w:uiPriority w:val="13"/>
    <w:qFormat/>
    <w:rsid w:val="00FA6B40"/>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A6B40"/>
    <w:pPr>
      <w:ind w:left="0" w:firstLine="0"/>
    </w:pPr>
  </w:style>
  <w:style w:type="paragraph" w:customStyle="1" w:styleId="LITlitera">
    <w:name w:val="LIT – litera"/>
    <w:basedOn w:val="PKTpunkt"/>
    <w:uiPriority w:val="14"/>
    <w:qFormat/>
    <w:rsid w:val="00FA6B40"/>
    <w:pPr>
      <w:ind w:left="986" w:hanging="476"/>
    </w:pPr>
  </w:style>
  <w:style w:type="paragraph" w:customStyle="1" w:styleId="CZWSPLITczwsplnaliter">
    <w:name w:val="CZ_WSP_LIT – część wspólna liter"/>
    <w:basedOn w:val="LITlitera"/>
    <w:next w:val="USTustnpkodeksu"/>
    <w:uiPriority w:val="17"/>
    <w:qFormat/>
    <w:rsid w:val="00FA6B40"/>
    <w:pPr>
      <w:ind w:left="510" w:firstLine="0"/>
    </w:pPr>
    <w:rPr>
      <w:szCs w:val="24"/>
    </w:rPr>
  </w:style>
  <w:style w:type="paragraph" w:customStyle="1" w:styleId="TIRtiret">
    <w:name w:val="TIR – tiret"/>
    <w:basedOn w:val="LITlitera"/>
    <w:uiPriority w:val="15"/>
    <w:qFormat/>
    <w:rsid w:val="00FA6B40"/>
    <w:pPr>
      <w:ind w:left="1384" w:hanging="397"/>
    </w:pPr>
  </w:style>
  <w:style w:type="paragraph" w:customStyle="1" w:styleId="CZWSPTIRczwsplnatiret">
    <w:name w:val="CZ_WSP_TIR – część wspólna tiret"/>
    <w:basedOn w:val="TIRtiret"/>
    <w:next w:val="USTustnpkodeksu"/>
    <w:uiPriority w:val="17"/>
    <w:qFormat/>
    <w:rsid w:val="00FA6B40"/>
    <w:pPr>
      <w:ind w:left="987" w:firstLine="0"/>
    </w:pPr>
  </w:style>
  <w:style w:type="paragraph" w:customStyle="1" w:styleId="CYTcytatnpprzysigi">
    <w:name w:val="CYT – cytat np. przysięgi"/>
    <w:basedOn w:val="USTustnpkodeksu"/>
    <w:next w:val="USTustnpkodeksu"/>
    <w:uiPriority w:val="18"/>
    <w:qFormat/>
    <w:rsid w:val="00FA6B4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A6B40"/>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FA6B40"/>
  </w:style>
  <w:style w:type="paragraph" w:customStyle="1" w:styleId="ZLITCZWSPTIRwLITzmczciwsptirwlitliter">
    <w:name w:val="Z_LIT/CZ_WSP_TIR_w_LIT – zm. części wsp. tir. w lit. literą"/>
    <w:basedOn w:val="CZWSPTIRczwsplnatiret"/>
    <w:next w:val="LITlitera"/>
    <w:uiPriority w:val="51"/>
    <w:qFormat/>
    <w:rsid w:val="00FA6B40"/>
    <w:pPr>
      <w:ind w:left="1463"/>
    </w:pPr>
  </w:style>
  <w:style w:type="paragraph" w:customStyle="1" w:styleId="ZLITTIRwLITzmtirwlitliter">
    <w:name w:val="Z_LIT/TIR_w_LIT – zm. tir. w lit. literą"/>
    <w:basedOn w:val="TIRtiret"/>
    <w:uiPriority w:val="49"/>
    <w:qFormat/>
    <w:rsid w:val="00FA6B40"/>
    <w:pPr>
      <w:ind w:left="1860"/>
    </w:pPr>
  </w:style>
  <w:style w:type="paragraph" w:customStyle="1" w:styleId="TYTDZOZNoznaczenietytuulubdziau">
    <w:name w:val="TYT(DZ)_OZN – oznaczenie tytułu lub działu"/>
    <w:next w:val="Normalny"/>
    <w:uiPriority w:val="9"/>
    <w:qFormat/>
    <w:rsid w:val="00FA6B40"/>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A6B4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A6B4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A6B40"/>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A6B4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A6B40"/>
    <w:pPr>
      <w:ind w:left="510"/>
    </w:pPr>
  </w:style>
  <w:style w:type="paragraph" w:customStyle="1" w:styleId="ZZLITzmianazmlit">
    <w:name w:val="ZZ/LIT – zmiana zm. lit."/>
    <w:basedOn w:val="ZZPKTzmianazmpkt"/>
    <w:uiPriority w:val="67"/>
    <w:qFormat/>
    <w:rsid w:val="00FA6B40"/>
    <w:pPr>
      <w:ind w:left="2370" w:hanging="476"/>
    </w:pPr>
  </w:style>
  <w:style w:type="paragraph" w:customStyle="1" w:styleId="ZZTIRzmianazmtir">
    <w:name w:val="ZZ/TIR – zmiana zm. tir."/>
    <w:basedOn w:val="ZZLITzmianazmlit"/>
    <w:uiPriority w:val="67"/>
    <w:qFormat/>
    <w:rsid w:val="00FA6B4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A6B40"/>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FA6B40"/>
    <w:pPr>
      <w:ind w:left="987"/>
    </w:pPr>
  </w:style>
  <w:style w:type="paragraph" w:customStyle="1" w:styleId="ZLITPKTzmpktliter">
    <w:name w:val="Z_LIT/PKT – zm. pkt literą"/>
    <w:basedOn w:val="PKTpunkt"/>
    <w:uiPriority w:val="47"/>
    <w:qFormat/>
    <w:rsid w:val="00FA6B40"/>
    <w:pPr>
      <w:ind w:left="1497"/>
    </w:pPr>
  </w:style>
  <w:style w:type="paragraph" w:customStyle="1" w:styleId="ZZCZWSPPKTzmianazmczciwsppkt">
    <w:name w:val="ZZ/CZ_WSP_PKT – zmiana. zm. części wsp. pkt"/>
    <w:basedOn w:val="ZZARTzmianazmart"/>
    <w:next w:val="ZPKTzmpktartykuempunktem"/>
    <w:uiPriority w:val="68"/>
    <w:qFormat/>
    <w:rsid w:val="00FA6B40"/>
    <w:pPr>
      <w:ind w:firstLine="0"/>
    </w:pPr>
  </w:style>
  <w:style w:type="paragraph" w:customStyle="1" w:styleId="ZLITLITzmlitliter">
    <w:name w:val="Z_LIT/LIT – zm. lit. literą"/>
    <w:basedOn w:val="LITlitera"/>
    <w:uiPriority w:val="48"/>
    <w:qFormat/>
    <w:rsid w:val="00FA6B40"/>
    <w:pPr>
      <w:ind w:left="1463"/>
    </w:pPr>
  </w:style>
  <w:style w:type="paragraph" w:customStyle="1" w:styleId="ZLITCZWSPPKTzmczciwsppktliter">
    <w:name w:val="Z_LIT/CZ_WSP_PKT – zm. części wsp. pkt literą"/>
    <w:basedOn w:val="CZWSPLITczwsplnaliter"/>
    <w:next w:val="LITlitera"/>
    <w:uiPriority w:val="50"/>
    <w:qFormat/>
    <w:rsid w:val="00FA6B40"/>
    <w:pPr>
      <w:ind w:left="987"/>
    </w:pPr>
  </w:style>
  <w:style w:type="paragraph" w:customStyle="1" w:styleId="ZLITTIRzmtirliter">
    <w:name w:val="Z_LIT/TIR – zm. tir. literą"/>
    <w:basedOn w:val="TIRtiret"/>
    <w:uiPriority w:val="49"/>
    <w:qFormat/>
    <w:rsid w:val="00FA6B40"/>
  </w:style>
  <w:style w:type="paragraph" w:customStyle="1" w:styleId="ZZCZWSPLITwPKTzmianazmczciwsplitwpkt">
    <w:name w:val="ZZ/CZ_WSP_LIT_w_PKT – zmiana zm. części wsp. lit. w pkt"/>
    <w:basedOn w:val="ZZLITwPKTzmianazmlitwpkt"/>
    <w:uiPriority w:val="69"/>
    <w:qFormat/>
    <w:rsid w:val="00FA6B40"/>
    <w:pPr>
      <w:ind w:left="2404" w:firstLine="0"/>
    </w:pPr>
  </w:style>
  <w:style w:type="paragraph" w:customStyle="1" w:styleId="ZLITLITwPKTzmlitwpktliter">
    <w:name w:val="Z_LIT/LIT_w_PKT – zm. lit. w pkt literą"/>
    <w:basedOn w:val="LITlitera"/>
    <w:uiPriority w:val="48"/>
    <w:qFormat/>
    <w:rsid w:val="00FA6B40"/>
    <w:pPr>
      <w:ind w:left="1973"/>
    </w:pPr>
  </w:style>
  <w:style w:type="paragraph" w:customStyle="1" w:styleId="ZLITCZWSPLITwPKTzmczciwsplitwpktliter">
    <w:name w:val="Z_LIT/CZ_WSP_LIT_w_PKT – zm. części wsp. lit. w pkt literą"/>
    <w:basedOn w:val="CZWSPLITczwsplnaliter"/>
    <w:next w:val="LITlitera"/>
    <w:uiPriority w:val="51"/>
    <w:qFormat/>
    <w:rsid w:val="00FA6B40"/>
    <w:pPr>
      <w:ind w:left="1497"/>
    </w:pPr>
  </w:style>
  <w:style w:type="paragraph" w:customStyle="1" w:styleId="ZLITTIRwPKTzmtirwpktliter">
    <w:name w:val="Z_LIT/TIR_w_PKT – zm. tir. w pkt literą"/>
    <w:basedOn w:val="TIRtiret"/>
    <w:uiPriority w:val="49"/>
    <w:qFormat/>
    <w:rsid w:val="00FA6B40"/>
    <w:pPr>
      <w:ind w:left="2370"/>
    </w:pPr>
  </w:style>
  <w:style w:type="paragraph" w:customStyle="1" w:styleId="ZLITCZWSPTIRwPKTzmczciwsptirwpktliter">
    <w:name w:val="Z_LIT/CZ_WSP_TIR_w_PKT – zm. części wsp. tir. w pkt literą"/>
    <w:basedOn w:val="CZWSPTIRczwsplnatiret"/>
    <w:next w:val="LITlitera"/>
    <w:uiPriority w:val="51"/>
    <w:qFormat/>
    <w:rsid w:val="00FA6B40"/>
    <w:pPr>
      <w:ind w:left="1973"/>
    </w:pPr>
  </w:style>
  <w:style w:type="paragraph" w:styleId="Tekstprzypisudolnego">
    <w:name w:val="footnote text"/>
    <w:basedOn w:val="Normalny"/>
    <w:link w:val="TekstprzypisudolnegoZnak"/>
    <w:uiPriority w:val="99"/>
    <w:semiHidden/>
    <w:qFormat/>
    <w:rsid w:val="00FA6B40"/>
    <w:pPr>
      <w:widowControl w:val="0"/>
      <w:autoSpaceDE w:val="0"/>
      <w:autoSpaceDN w:val="0"/>
      <w:adjustRightInd w:val="0"/>
      <w:spacing w:line="360" w:lineRule="auto"/>
    </w:pPr>
    <w:rPr>
      <w:rFonts w:ascii="Times" w:hAnsi="Times"/>
    </w:rPr>
  </w:style>
  <w:style w:type="character" w:customStyle="1" w:styleId="TekstprzypisudolnegoZnak">
    <w:name w:val="Tekst przypisu dolnego Znak"/>
    <w:basedOn w:val="Domylnaczcionkaakapitu"/>
    <w:link w:val="Tekstprzypisudolnego"/>
    <w:uiPriority w:val="99"/>
    <w:semiHidden/>
    <w:rsid w:val="00FA6B40"/>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FA6B40"/>
    <w:pPr>
      <w:ind w:left="1859"/>
    </w:pPr>
  </w:style>
  <w:style w:type="paragraph" w:customStyle="1" w:styleId="ZTIRCZWSPPKTzmczciwsppkttiret">
    <w:name w:val="Z_TIR/CZ_WSP_PKT – zm. części wsp. pkt tiret"/>
    <w:basedOn w:val="CZWSPLITczwsplnaliter"/>
    <w:next w:val="TIRtiret"/>
    <w:uiPriority w:val="58"/>
    <w:qFormat/>
    <w:rsid w:val="00FA6B40"/>
    <w:pPr>
      <w:ind w:left="1383"/>
    </w:pPr>
  </w:style>
  <w:style w:type="paragraph" w:customStyle="1" w:styleId="ZTIRTIRzmtirtiret">
    <w:name w:val="Z_TIR/TIR – zm. tir. tiret"/>
    <w:basedOn w:val="TIRtiret"/>
    <w:uiPriority w:val="57"/>
    <w:qFormat/>
    <w:rsid w:val="00FA6B40"/>
    <w:pPr>
      <w:ind w:left="1780"/>
    </w:pPr>
  </w:style>
  <w:style w:type="paragraph" w:customStyle="1" w:styleId="ZZCZWSPTIRwPKTzmianazmczciwsptirwpkt">
    <w:name w:val="ZZ/CZ_WSP_TIR_w_PKT – zmiana zm. części wsp. tir. w pkt"/>
    <w:basedOn w:val="ZZTIRwPKTzmianazmtirwpkt"/>
    <w:uiPriority w:val="70"/>
    <w:qFormat/>
    <w:rsid w:val="00FA6B40"/>
    <w:pPr>
      <w:ind w:left="2880" w:firstLine="0"/>
    </w:pPr>
  </w:style>
  <w:style w:type="paragraph" w:customStyle="1" w:styleId="ZZTIRwLITzmianazmtirwlit">
    <w:name w:val="ZZ/TIR_w_LIT – zmiana zm. tir. w lit."/>
    <w:basedOn w:val="ZZTIRzmianazmtir"/>
    <w:uiPriority w:val="67"/>
    <w:qFormat/>
    <w:rsid w:val="00FA6B40"/>
    <w:pPr>
      <w:ind w:left="2767"/>
    </w:pPr>
  </w:style>
  <w:style w:type="paragraph" w:customStyle="1" w:styleId="ZTIRTIRwLITzmtirwlittiret">
    <w:name w:val="Z_TIR/TIR_w_LIT – zm. tir. w lit. tiret"/>
    <w:basedOn w:val="TIRtiret"/>
    <w:uiPriority w:val="57"/>
    <w:qFormat/>
    <w:rsid w:val="00FA6B40"/>
    <w:pPr>
      <w:ind w:left="2257"/>
    </w:pPr>
  </w:style>
  <w:style w:type="paragraph" w:customStyle="1" w:styleId="ZTIRCZWSPTIRwLITzmczciwsptirwlittiret">
    <w:name w:val="Z_TIR/CZ_WSP_TIR_w_LIT – zm. części wsp. tir. w lit. tiret"/>
    <w:basedOn w:val="CZWSPTIRczwsplnatiret"/>
    <w:next w:val="TIRtiret"/>
    <w:uiPriority w:val="60"/>
    <w:qFormat/>
    <w:rsid w:val="00FA6B40"/>
    <w:pPr>
      <w:ind w:left="1860"/>
    </w:pPr>
  </w:style>
  <w:style w:type="paragraph" w:customStyle="1" w:styleId="CZWSP2TIRczwsplnapodwjnychtiret">
    <w:name w:val="CZ_WSP_2TIR – część wspólna podwójnych tiret"/>
    <w:basedOn w:val="CZWSPTIRczwsplnatiret"/>
    <w:next w:val="TIRtiret"/>
    <w:uiPriority w:val="73"/>
    <w:qFormat/>
    <w:rsid w:val="00FA6B40"/>
    <w:pPr>
      <w:ind w:left="1780"/>
    </w:pPr>
  </w:style>
  <w:style w:type="paragraph" w:customStyle="1" w:styleId="Z2TIRzmpodwtirartykuempunktem">
    <w:name w:val="Z/2TIR – zm. podw. tir. artykułem (punktem)"/>
    <w:basedOn w:val="TIRtiret"/>
    <w:uiPriority w:val="73"/>
    <w:qFormat/>
    <w:rsid w:val="00FA6B40"/>
    <w:pPr>
      <w:ind w:left="907"/>
    </w:pPr>
  </w:style>
  <w:style w:type="paragraph" w:customStyle="1" w:styleId="ZZCZWSPTIRwLITzmianazmczciwsptirwlit">
    <w:name w:val="ZZ/CZ_WSP_TIR_w_LIT – zmiana zm. części wsp. tir. w lit."/>
    <w:basedOn w:val="ZZTIRwLITzmianazmtirwlit"/>
    <w:uiPriority w:val="70"/>
    <w:qFormat/>
    <w:rsid w:val="00FA6B40"/>
    <w:pPr>
      <w:ind w:left="2370" w:firstLine="0"/>
    </w:pPr>
  </w:style>
  <w:style w:type="paragraph" w:customStyle="1" w:styleId="ZLIT2TIRzmpodwtirliter">
    <w:name w:val="Z_LIT/2TIR – zm. podw. tir. literą"/>
    <w:basedOn w:val="TIRtiret"/>
    <w:uiPriority w:val="75"/>
    <w:qFormat/>
    <w:rsid w:val="00FA6B40"/>
  </w:style>
  <w:style w:type="paragraph" w:customStyle="1" w:styleId="ZTIR2TIRzmpodwtirtiret">
    <w:name w:val="Z_TIR/2TIR – zm. podw. tir. tiret"/>
    <w:basedOn w:val="TIRtiret"/>
    <w:uiPriority w:val="78"/>
    <w:qFormat/>
    <w:rsid w:val="00FA6B4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A6B40"/>
    <w:pPr>
      <w:ind w:left="1780"/>
    </w:pPr>
  </w:style>
  <w:style w:type="paragraph" w:customStyle="1" w:styleId="Z2TIRwPKTzmpodwtirwpktartykuempunktem">
    <w:name w:val="Z/2TIR_w_PKT – zm. podw. tir. w pkt artykułem (punktem)"/>
    <w:basedOn w:val="TIRtiret"/>
    <w:next w:val="ZPKTzmpktartykuempunktem"/>
    <w:uiPriority w:val="74"/>
    <w:qFormat/>
    <w:rsid w:val="00FA6B40"/>
    <w:pPr>
      <w:ind w:left="2291"/>
    </w:pPr>
  </w:style>
  <w:style w:type="paragraph" w:customStyle="1" w:styleId="ZTIRPKTzmpkttiret">
    <w:name w:val="Z_TIR/PKT – zm. pkt tiret"/>
    <w:basedOn w:val="PKTpunkt"/>
    <w:uiPriority w:val="56"/>
    <w:qFormat/>
    <w:rsid w:val="00FA6B40"/>
    <w:pPr>
      <w:ind w:left="1893"/>
    </w:pPr>
  </w:style>
  <w:style w:type="paragraph" w:customStyle="1" w:styleId="ZTIRLITwPKTzmlitwpkttiret">
    <w:name w:val="Z_TIR/LIT_w_PKT – zm. lit. w pkt tiret"/>
    <w:basedOn w:val="LITlitera"/>
    <w:uiPriority w:val="57"/>
    <w:qFormat/>
    <w:rsid w:val="00FA6B40"/>
    <w:pPr>
      <w:ind w:left="2336"/>
    </w:pPr>
  </w:style>
  <w:style w:type="paragraph" w:customStyle="1" w:styleId="ZTIRCZWSPLITwPKTzmczciwsplitwpkttiret">
    <w:name w:val="Z_TIR/CZ_WSP_LIT_w_PKT – zm. części wsp. lit. w pkt tiret"/>
    <w:basedOn w:val="CZWSPLITczwsplnaliter"/>
    <w:uiPriority w:val="59"/>
    <w:qFormat/>
    <w:rsid w:val="00FA6B40"/>
    <w:pPr>
      <w:ind w:left="1860"/>
    </w:pPr>
  </w:style>
  <w:style w:type="paragraph" w:customStyle="1" w:styleId="ZTIR2TIRwLITzmpodwtirwlittiret">
    <w:name w:val="Z_TIR/2TIR_w_LIT – zm. podw. tir. w lit. tiret"/>
    <w:basedOn w:val="TIRtiret"/>
    <w:uiPriority w:val="79"/>
    <w:qFormat/>
    <w:rsid w:val="00FA6B4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A6B40"/>
    <w:pPr>
      <w:ind w:left="2257"/>
    </w:pPr>
  </w:style>
  <w:style w:type="paragraph" w:customStyle="1" w:styleId="ZTIR2TIRwTIRzmpodwtirwtirtiret">
    <w:name w:val="Z_TIR/2TIR_w_TIR – zm. podw. tir. w tir. tiret"/>
    <w:basedOn w:val="TIRtiret"/>
    <w:uiPriority w:val="78"/>
    <w:qFormat/>
    <w:rsid w:val="00FA6B40"/>
    <w:pPr>
      <w:ind w:left="2177"/>
    </w:pPr>
  </w:style>
  <w:style w:type="paragraph" w:customStyle="1" w:styleId="ZTIRCZWSP2TIRwTIRzmczciwsppodwtirwtirtiret">
    <w:name w:val="Z_TIR/CZ_WSP_2TIR_w_TIR – zm. części wsp. podw. tir. w tir. tiret"/>
    <w:basedOn w:val="CZWSPTIRczwsplnatiret"/>
    <w:uiPriority w:val="79"/>
    <w:qFormat/>
    <w:rsid w:val="00FA6B40"/>
    <w:pPr>
      <w:ind w:left="1780"/>
    </w:pPr>
  </w:style>
  <w:style w:type="paragraph" w:customStyle="1" w:styleId="Z2TIRLITzmlitpodwjnymtiret">
    <w:name w:val="Z_2TIR/LIT – zm. lit. podwójnym tiret"/>
    <w:basedOn w:val="LITlitera"/>
    <w:uiPriority w:val="84"/>
    <w:qFormat/>
    <w:rsid w:val="00FA6B40"/>
    <w:pPr>
      <w:ind w:left="2256"/>
    </w:pPr>
  </w:style>
  <w:style w:type="paragraph" w:customStyle="1" w:styleId="ZZ2TIRwTIRzmianazmpodwtirwtir">
    <w:name w:val="ZZ/2TIR_w_TIR – zmiana zm. podw. tir. w tir."/>
    <w:basedOn w:val="ZZCZWSP2TIRzmianazmczciwsppodwtir"/>
    <w:uiPriority w:val="93"/>
    <w:qFormat/>
    <w:rsid w:val="00FA6B40"/>
    <w:pPr>
      <w:ind w:left="2688" w:hanging="397"/>
    </w:pPr>
  </w:style>
  <w:style w:type="paragraph" w:customStyle="1" w:styleId="ZZ2TIRwLITzmianazmpodwtirwlit">
    <w:name w:val="ZZ/2TIR_w_LIT – zmiana zm. podw. tir. w lit."/>
    <w:basedOn w:val="ZZ2TIRwTIRzmianazmpodwtirwtir"/>
    <w:uiPriority w:val="94"/>
    <w:qFormat/>
    <w:rsid w:val="00FA6B40"/>
    <w:pPr>
      <w:ind w:left="3164"/>
    </w:pPr>
  </w:style>
  <w:style w:type="paragraph" w:customStyle="1" w:styleId="Z2TIRTIRwLITzmtirwlitpodwjnymtiret">
    <w:name w:val="Z_2TIR/TIR_w_LIT – zm. tir. w lit. podwójnym tiret"/>
    <w:basedOn w:val="TIRtiret"/>
    <w:uiPriority w:val="84"/>
    <w:qFormat/>
    <w:rsid w:val="00FA6B4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A6B40"/>
    <w:pPr>
      <w:ind w:left="2257"/>
    </w:pPr>
  </w:style>
  <w:style w:type="paragraph" w:customStyle="1" w:styleId="ZZ2TIRwPKTzmianazmpodwtirwpkt">
    <w:name w:val="ZZ/2TIR_w_PKT – zmiana zm. podw. tir. w pkt"/>
    <w:basedOn w:val="ZZ2TIRwLITzmianazmpodwtirwlit"/>
    <w:uiPriority w:val="94"/>
    <w:qFormat/>
    <w:rsid w:val="00FA6B40"/>
    <w:pPr>
      <w:ind w:left="3674"/>
    </w:pPr>
  </w:style>
  <w:style w:type="paragraph" w:customStyle="1" w:styleId="ZZCZWSP2TIRwTIRzmianazmczciwsppodwtirwtir">
    <w:name w:val="ZZ/CZ_WSP_2TIR_w_TIR – zmiana zm. części wsp. podw. tir. w tir."/>
    <w:basedOn w:val="ZZ2TIRwLITzmianazmpodwtirwlit"/>
    <w:uiPriority w:val="94"/>
    <w:qFormat/>
    <w:rsid w:val="00FA6B40"/>
    <w:pPr>
      <w:ind w:left="2291" w:firstLine="0"/>
    </w:pPr>
  </w:style>
  <w:style w:type="paragraph" w:customStyle="1" w:styleId="Z2TIR2TIRwTIRzmpodwtirwtirpodwjnymtiret">
    <w:name w:val="Z_2TIR/2TIR_w_TIR – zm. podw. tir. w tir. podwójnym tiret"/>
    <w:basedOn w:val="TIRtiret"/>
    <w:uiPriority w:val="85"/>
    <w:qFormat/>
    <w:rsid w:val="00FA6B4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A6B40"/>
    <w:pPr>
      <w:ind w:left="2177"/>
    </w:pPr>
  </w:style>
  <w:style w:type="paragraph" w:customStyle="1" w:styleId="Z2TIR2TIRwLITzmpodwtirwlitpodwjnymtiret">
    <w:name w:val="Z_2TIR/2TIR_w_LIT – zm. podw. tir. w lit. podwójnym tiret"/>
    <w:basedOn w:val="TIRtiret"/>
    <w:uiPriority w:val="86"/>
    <w:qFormat/>
    <w:rsid w:val="00FA6B4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A6B4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A6B4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A6B40"/>
    <w:pPr>
      <w:spacing w:after="120"/>
      <w:ind w:left="510"/>
    </w:pPr>
    <w:rPr>
      <w:b w:val="0"/>
    </w:rPr>
  </w:style>
  <w:style w:type="character" w:styleId="Odwoaniedokomentarza">
    <w:name w:val="annotation reference"/>
    <w:basedOn w:val="Domylnaczcionkaakapitu"/>
    <w:uiPriority w:val="99"/>
    <w:semiHidden/>
    <w:rsid w:val="00FA6B40"/>
    <w:rPr>
      <w:sz w:val="16"/>
      <w:szCs w:val="16"/>
    </w:rPr>
  </w:style>
  <w:style w:type="paragraph" w:styleId="Tekstkomentarza">
    <w:name w:val="annotation text"/>
    <w:basedOn w:val="Normalny"/>
    <w:link w:val="TekstkomentarzaZnak"/>
    <w:uiPriority w:val="99"/>
    <w:semiHidden/>
    <w:rsid w:val="00FA6B40"/>
    <w:pPr>
      <w:widowControl w:val="0"/>
      <w:autoSpaceDE w:val="0"/>
      <w:autoSpaceDN w:val="0"/>
      <w:adjustRightInd w:val="0"/>
      <w:spacing w:line="360" w:lineRule="auto"/>
    </w:pPr>
    <w:rPr>
      <w:rFonts w:ascii="Times" w:hAnsi="Times"/>
    </w:rPr>
  </w:style>
  <w:style w:type="character" w:customStyle="1" w:styleId="TekstkomentarzaZnak">
    <w:name w:val="Tekst komentarza Znak"/>
    <w:basedOn w:val="Domylnaczcionkaakapitu"/>
    <w:link w:val="Tekstkomentarza"/>
    <w:uiPriority w:val="99"/>
    <w:semiHidden/>
    <w:rsid w:val="00FA6B40"/>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FA6B40"/>
    <w:rPr>
      <w:b/>
      <w:bCs/>
    </w:rPr>
  </w:style>
  <w:style w:type="character" w:customStyle="1" w:styleId="TematkomentarzaZnak">
    <w:name w:val="Temat komentarza Znak"/>
    <w:basedOn w:val="TekstkomentarzaZnak"/>
    <w:link w:val="Tematkomentarza"/>
    <w:uiPriority w:val="99"/>
    <w:semiHidden/>
    <w:rsid w:val="00FA6B40"/>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FA6B40"/>
    <w:pPr>
      <w:ind w:left="1894"/>
    </w:pPr>
  </w:style>
  <w:style w:type="paragraph" w:customStyle="1" w:styleId="ZZPKTzmianazmpkt">
    <w:name w:val="ZZ/PKT – zmiana zm. pkt"/>
    <w:basedOn w:val="ZPKTzmpktartykuempunktem"/>
    <w:uiPriority w:val="66"/>
    <w:qFormat/>
    <w:rsid w:val="00FA6B40"/>
    <w:pPr>
      <w:ind w:left="2404"/>
    </w:pPr>
  </w:style>
  <w:style w:type="paragraph" w:customStyle="1" w:styleId="ZZLITwPKTzmianazmlitwpkt">
    <w:name w:val="ZZ/LIT_w_PKT – zmiana zm. lit. w pkt"/>
    <w:basedOn w:val="ZLITwPKTzmlitwpktartykuempunktem"/>
    <w:uiPriority w:val="67"/>
    <w:qFormat/>
    <w:rsid w:val="00FA6B40"/>
    <w:pPr>
      <w:ind w:left="2880"/>
    </w:pPr>
  </w:style>
  <w:style w:type="paragraph" w:customStyle="1" w:styleId="ZZTIRwPKTzmianazmtirwpkt">
    <w:name w:val="ZZ/TIR_w_PKT – zmiana zm. tir. w pkt"/>
    <w:basedOn w:val="ZTIRwPKTzmtirwpktartykuempunktem"/>
    <w:uiPriority w:val="67"/>
    <w:qFormat/>
    <w:rsid w:val="00FA6B40"/>
    <w:pPr>
      <w:ind w:left="3277"/>
    </w:pPr>
  </w:style>
  <w:style w:type="paragraph" w:customStyle="1" w:styleId="ZZWMATFIZCHEMzmwzorumatfizlubchem">
    <w:name w:val="ZZ/W_MAT(FIZ|CHEM) – zm. wzoru mat. (fiz. lub chem.)"/>
    <w:basedOn w:val="ZWMATFIZCHEMzmwzorumatfizlubchemartykuempunktem"/>
    <w:uiPriority w:val="71"/>
    <w:qFormat/>
    <w:rsid w:val="00FA6B40"/>
    <w:pPr>
      <w:ind w:left="2404"/>
    </w:pPr>
  </w:style>
  <w:style w:type="paragraph" w:customStyle="1" w:styleId="ODNONIKtreodnonika">
    <w:name w:val="ODNOŚNIK – treść odnośnika"/>
    <w:uiPriority w:val="19"/>
    <w:qFormat/>
    <w:rsid w:val="00FA6B40"/>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A6B4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A6B4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A6B40"/>
    <w:rPr>
      <w:rFonts w:ascii="Times New Roman" w:hAnsi="Times New Roman"/>
    </w:rPr>
  </w:style>
  <w:style w:type="paragraph" w:customStyle="1" w:styleId="ZTIRTIRwPKTzmtirwpkttiret">
    <w:name w:val="Z_TIR/TIR_w_PKT – zm. tir. w pkt tiret"/>
    <w:basedOn w:val="ZTIRTIRwLITzmtirwlittiret"/>
    <w:uiPriority w:val="57"/>
    <w:qFormat/>
    <w:rsid w:val="00FA6B40"/>
    <w:pPr>
      <w:ind w:left="2733"/>
    </w:pPr>
  </w:style>
  <w:style w:type="paragraph" w:customStyle="1" w:styleId="ZTIRCZWSPTIRwPKTzmczciwsptirtiret">
    <w:name w:val="Z_TIR/CZ_WSP_TIR_w_PKT – zm. części wsp. tir. tiret"/>
    <w:basedOn w:val="ZTIRTIRwPKTzmtirwpkttiret"/>
    <w:next w:val="TIRtiret"/>
    <w:uiPriority w:val="60"/>
    <w:qFormat/>
    <w:rsid w:val="00FA6B4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A6B40"/>
    <w:pPr>
      <w:ind w:left="510" w:firstLine="0"/>
    </w:pPr>
  </w:style>
  <w:style w:type="paragraph" w:customStyle="1" w:styleId="ROZDZODDZOZNoznaczenierozdziauluboddziau">
    <w:name w:val="ROZDZ(ODDZ)_OZN – oznaczenie rozdziału lub oddziału"/>
    <w:next w:val="ARTartustawynprozporzdzenia"/>
    <w:uiPriority w:val="10"/>
    <w:qFormat/>
    <w:rsid w:val="00FA6B40"/>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A6B40"/>
    <w:pPr>
      <w:ind w:left="2177"/>
    </w:pPr>
  </w:style>
  <w:style w:type="paragraph" w:customStyle="1" w:styleId="Z2TIRTIRzmtirpodwjnymtiret">
    <w:name w:val="Z_2TIR/TIR – zm. tir. podwójnym tiret"/>
    <w:basedOn w:val="TIRtiret"/>
    <w:uiPriority w:val="84"/>
    <w:qFormat/>
    <w:rsid w:val="00FA6B4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A6B40"/>
    <w:pPr>
      <w:ind w:left="1021"/>
    </w:pPr>
  </w:style>
  <w:style w:type="paragraph" w:customStyle="1" w:styleId="ZLITSKARNzmsankcjikarnejliter">
    <w:name w:val="Z_LIT/S_KARN – zm. sankcji karnej literą"/>
    <w:basedOn w:val="ZSKARNzmsankcjikarnejwszczeglnociwKodeksiekarnym"/>
    <w:uiPriority w:val="53"/>
    <w:qFormat/>
    <w:rsid w:val="00FA6B4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A6B4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A6B40"/>
    <w:pPr>
      <w:ind w:left="1894" w:firstLine="0"/>
    </w:pPr>
  </w:style>
  <w:style w:type="paragraph" w:customStyle="1" w:styleId="Z2TIRwLITzmpodwtirwlitartykuempunktem">
    <w:name w:val="Z/2TIR_w_LIT – zm. podw. tir. w lit. artykułem (punktem)"/>
    <w:basedOn w:val="Z2TIRwPKTzmpodwtirwpktartykuempunktem"/>
    <w:uiPriority w:val="74"/>
    <w:qFormat/>
    <w:rsid w:val="00FA6B40"/>
    <w:pPr>
      <w:ind w:left="1780"/>
    </w:pPr>
  </w:style>
  <w:style w:type="paragraph" w:customStyle="1" w:styleId="Z2TIRwTIRzmpodwtirwtirartykuempunktem">
    <w:name w:val="Z/2TIR_w_TIR – zm. podw. tir. w tir. artykułem (punktem)"/>
    <w:basedOn w:val="Z2TIRwLITzmpodwtirwlitartykuempunktem"/>
    <w:uiPriority w:val="73"/>
    <w:qFormat/>
    <w:rsid w:val="00FA6B4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A6B4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A6B40"/>
    <w:pPr>
      <w:ind w:left="1383" w:firstLine="0"/>
    </w:pPr>
  </w:style>
  <w:style w:type="paragraph" w:customStyle="1" w:styleId="ZZCZWSP2TIRzmianazmczciwsppodwtir">
    <w:name w:val="ZZ/CZ_WSP_2TIR – zmiana zm. części wsp. podw. tir."/>
    <w:basedOn w:val="ZZTIRzmianazmtir"/>
    <w:next w:val="ZZUSTzmianazmust"/>
    <w:uiPriority w:val="94"/>
    <w:qFormat/>
    <w:rsid w:val="00FA6B40"/>
    <w:pPr>
      <w:ind w:left="1894" w:firstLine="0"/>
    </w:pPr>
  </w:style>
  <w:style w:type="paragraph" w:customStyle="1" w:styleId="PKTODNONIKApunktodnonika">
    <w:name w:val="PKT_ODNOŚNIKA – punkt odnośnika"/>
    <w:basedOn w:val="ODNONIKtreodnonika"/>
    <w:uiPriority w:val="19"/>
    <w:qFormat/>
    <w:rsid w:val="00FA6B40"/>
    <w:pPr>
      <w:ind w:left="568"/>
    </w:pPr>
  </w:style>
  <w:style w:type="paragraph" w:customStyle="1" w:styleId="ZODNONIKAzmtekstuodnonikaartykuempunktem">
    <w:name w:val="Z/ODNOŚNIKA – zm. tekstu odnośnika artykułem (punktem)"/>
    <w:basedOn w:val="ODNONIKtreodnonika"/>
    <w:uiPriority w:val="39"/>
    <w:qFormat/>
    <w:rsid w:val="00FA6B4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A6B40"/>
    <w:pPr>
      <w:ind w:left="1304"/>
    </w:pPr>
  </w:style>
  <w:style w:type="paragraph" w:customStyle="1" w:styleId="ZPKTODNONIKAzmpktodnonikaartykuempunktem">
    <w:name w:val="Z/PKT_ODNOŚNIKA – zm. pkt odnośnika artykułem (punktem)"/>
    <w:basedOn w:val="ZODNONIKAzmtekstuodnonikaartykuempunktem"/>
    <w:uiPriority w:val="39"/>
    <w:qFormat/>
    <w:rsid w:val="00FA6B40"/>
  </w:style>
  <w:style w:type="paragraph" w:customStyle="1" w:styleId="ZLIT2TIRwTIRzmpodwtirwtirliter">
    <w:name w:val="Z_LIT/2TIR_w_TIR – zm. podw. tir. w tir. literą"/>
    <w:basedOn w:val="ZLIT2TIRzmpodwtirliter"/>
    <w:uiPriority w:val="75"/>
    <w:qFormat/>
    <w:rsid w:val="00FA6B40"/>
    <w:pPr>
      <w:ind w:left="1780"/>
    </w:pPr>
  </w:style>
  <w:style w:type="paragraph" w:customStyle="1" w:styleId="ZLIT2TIRwLITzmpodwtirwlitliter">
    <w:name w:val="Z_LIT/2TIR_w_LIT – zm. podw. tir. w lit. literą"/>
    <w:basedOn w:val="ZLIT2TIRwTIRzmpodwtirwtirliter"/>
    <w:uiPriority w:val="76"/>
    <w:qFormat/>
    <w:rsid w:val="00FA6B40"/>
    <w:pPr>
      <w:ind w:left="2257"/>
    </w:pPr>
  </w:style>
  <w:style w:type="paragraph" w:customStyle="1" w:styleId="ZLIT2TIRwPKTzmpodwtirwpktliter">
    <w:name w:val="Z_LIT/2TIR_w_PKT – zm. podw. tir. w pkt literą"/>
    <w:basedOn w:val="ZLIT2TIRwLITzmpodwtirwlitliter"/>
    <w:uiPriority w:val="76"/>
    <w:qFormat/>
    <w:rsid w:val="00FA6B4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A6B4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A6B4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A6B40"/>
    <w:pPr>
      <w:ind w:left="2370" w:firstLine="0"/>
    </w:pPr>
  </w:style>
  <w:style w:type="paragraph" w:customStyle="1" w:styleId="ZTIR2TIRwPKTzmpodwtirwpkttiret">
    <w:name w:val="Z_TIR/2TIR_w_PKT – zm. podw. tir. w pkt tiret"/>
    <w:basedOn w:val="ZTIR2TIRwLITzmpodwtirwlittiret"/>
    <w:uiPriority w:val="79"/>
    <w:qFormat/>
    <w:rsid w:val="00FA6B4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A6B4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A6B40"/>
    <w:pPr>
      <w:ind w:left="2767"/>
    </w:pPr>
  </w:style>
  <w:style w:type="paragraph" w:customStyle="1" w:styleId="ZZCZWSP2TIRwPKTzmianazmczciwsppodwtirwpkt">
    <w:name w:val="ZZ/CZ_WSP_2TIR_w_PKT – zmiana zm. części wsp. podw. tir. w pkt"/>
    <w:basedOn w:val="ZZ2TIRwLITzmianazmpodwtirwlit"/>
    <w:uiPriority w:val="95"/>
    <w:qFormat/>
    <w:rsid w:val="00FA6B4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A6B40"/>
  </w:style>
  <w:style w:type="paragraph" w:customStyle="1" w:styleId="ZLITCZWSP2TIRzmczciwsppodwtirliter">
    <w:name w:val="Z_LIT/CZ_WSP_2TIR – zm. części wsp. podw. tir. literą"/>
    <w:basedOn w:val="ZLITCZWSPPKTzmczciwsppktliter"/>
    <w:next w:val="LITlitera"/>
    <w:uiPriority w:val="76"/>
    <w:qFormat/>
    <w:rsid w:val="00FA6B40"/>
  </w:style>
  <w:style w:type="paragraph" w:customStyle="1" w:styleId="ZTIRCZWSP2TIRzmczciwsppodwtirtiret">
    <w:name w:val="Z_TIR/CZ_WSP_2TIR – zm. części wsp. podw. tir. tiret"/>
    <w:basedOn w:val="ZLITCZWSP2TIRzmczciwsppodwtirliter"/>
    <w:next w:val="TIRtiret"/>
    <w:uiPriority w:val="79"/>
    <w:qFormat/>
    <w:rsid w:val="00FA6B40"/>
  </w:style>
  <w:style w:type="paragraph" w:customStyle="1" w:styleId="ZZ2TIRzmianazmpodwtir">
    <w:name w:val="ZZ/2TIR – zmiana zm. podw. tir."/>
    <w:basedOn w:val="ZZCZWSP2TIRzmianazmczciwsppodwtir"/>
    <w:uiPriority w:val="93"/>
    <w:qFormat/>
    <w:rsid w:val="00FA6B4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A6B40"/>
  </w:style>
  <w:style w:type="paragraph" w:customStyle="1" w:styleId="ZCZWSPTIRzmczciwsptirartykuempunktem">
    <w:name w:val="Z/CZ_WSP_TIR – zm. części wsp. tir. artykułem (punktem)"/>
    <w:basedOn w:val="ZCZWSPPKTzmczciwsppktartykuempunktem"/>
    <w:next w:val="PKTpunkt"/>
    <w:uiPriority w:val="35"/>
    <w:qFormat/>
    <w:rsid w:val="00FA6B40"/>
  </w:style>
  <w:style w:type="paragraph" w:customStyle="1" w:styleId="ZLITCZWSPLITzmczciwsplitliter">
    <w:name w:val="Z_LIT/CZ_WSP_LIT – zm. części wsp. lit. literą"/>
    <w:basedOn w:val="ZLITCZWSPPKTzmczciwsppktliter"/>
    <w:next w:val="LITlitera"/>
    <w:uiPriority w:val="51"/>
    <w:qFormat/>
    <w:rsid w:val="00FA6B40"/>
  </w:style>
  <w:style w:type="paragraph" w:customStyle="1" w:styleId="ZLITCZWSPTIRzmczciwsptirliter">
    <w:name w:val="Z_LIT/CZ_WSP_TIR – zm. części wsp. tir. literą"/>
    <w:basedOn w:val="ZLITCZWSPPKTzmczciwsppktliter"/>
    <w:next w:val="LITlitera"/>
    <w:uiPriority w:val="51"/>
    <w:qFormat/>
    <w:rsid w:val="00FA6B40"/>
  </w:style>
  <w:style w:type="paragraph" w:customStyle="1" w:styleId="ZTIRCZWSPLITzmczciwsplittiret">
    <w:name w:val="Z_TIR/CZ_WSP_LIT – zm. części wsp. lit. tiret"/>
    <w:basedOn w:val="ZTIRCZWSPPKTzmczciwsppkttiret"/>
    <w:next w:val="TIRtiret"/>
    <w:uiPriority w:val="59"/>
    <w:qFormat/>
    <w:rsid w:val="00FA6B40"/>
  </w:style>
  <w:style w:type="paragraph" w:customStyle="1" w:styleId="ZTIRCZWSPTIRzmczciwsptirtiret">
    <w:name w:val="Z_TIR/CZ_WSP_TIR – zm. części wsp. tir. tiret"/>
    <w:basedOn w:val="ZTIRCZWSPPKTzmczciwsppkttiret"/>
    <w:next w:val="TIRtiret"/>
    <w:uiPriority w:val="60"/>
    <w:qFormat/>
    <w:rsid w:val="00FA6B40"/>
  </w:style>
  <w:style w:type="paragraph" w:customStyle="1" w:styleId="ZZCZWSPLITzmianazmczciwsplit">
    <w:name w:val="ZZ/CZ_WSP_LIT – zmiana. zm. części wsp. lit."/>
    <w:basedOn w:val="ZZCZWSPPKTzmianazmczciwsppkt"/>
    <w:uiPriority w:val="69"/>
    <w:qFormat/>
    <w:rsid w:val="00FA6B40"/>
  </w:style>
  <w:style w:type="paragraph" w:customStyle="1" w:styleId="ZZCZWSPTIRzmianazmczciwsptir">
    <w:name w:val="ZZ/CZ_WSP_TIR – zmiana. zm. części wsp. tir."/>
    <w:basedOn w:val="ZZCZWSPPKTzmianazmczciwsppkt"/>
    <w:uiPriority w:val="69"/>
    <w:qFormat/>
    <w:rsid w:val="00FA6B40"/>
  </w:style>
  <w:style w:type="paragraph" w:customStyle="1" w:styleId="Z2TIRCZWSPTIRzmczciwsptirpodwjnymtiret">
    <w:name w:val="Z_2TIR/CZ_WSP_TIR – zm. części wsp. tir. podwójnym tiret"/>
    <w:basedOn w:val="Z2TIRCZWSPLITzmczciwsplitpodwjnymtiret"/>
    <w:next w:val="2TIRpodwjnytiret"/>
    <w:uiPriority w:val="87"/>
    <w:qFormat/>
    <w:rsid w:val="00FA6B4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A6B40"/>
  </w:style>
  <w:style w:type="paragraph" w:customStyle="1" w:styleId="ZUSTzmustartykuempunktem">
    <w:name w:val="Z/UST(§) – zm. ust. (§) artykułem (punktem)"/>
    <w:basedOn w:val="ZARTzmartartykuempunktem"/>
    <w:uiPriority w:val="30"/>
    <w:qFormat/>
    <w:rsid w:val="00FA6B40"/>
  </w:style>
  <w:style w:type="paragraph" w:customStyle="1" w:styleId="ZZUSTzmianazmust">
    <w:name w:val="ZZ/UST(§) – zmiana zm. ust. (§)"/>
    <w:basedOn w:val="ZZARTzmianazmart"/>
    <w:uiPriority w:val="65"/>
    <w:qFormat/>
    <w:rsid w:val="00FA6B40"/>
  </w:style>
  <w:style w:type="paragraph" w:customStyle="1" w:styleId="TYTDZPRZEDMprzedmiotregulacjitytuulubdziau">
    <w:name w:val="TYT(DZ)_PRZEDM – przedmiot regulacji tytułu lub działu"/>
    <w:next w:val="ARTartustawynprozporzdzenia"/>
    <w:uiPriority w:val="9"/>
    <w:qFormat/>
    <w:rsid w:val="00FA6B40"/>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A6B4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A6B4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A6B4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A6B4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A6B4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A6B40"/>
    <w:pPr>
      <w:ind w:left="1894"/>
    </w:pPr>
  </w:style>
  <w:style w:type="paragraph" w:customStyle="1" w:styleId="P1wTABELIpoziom1numeracjiwtabeli">
    <w:name w:val="P1_w_TABELI – poziom 1 numeracji w tabeli"/>
    <w:basedOn w:val="PKTpunkt"/>
    <w:uiPriority w:val="24"/>
    <w:qFormat/>
    <w:rsid w:val="00FA6B4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A6B40"/>
    <w:pPr>
      <w:ind w:left="0" w:firstLine="0"/>
    </w:pPr>
  </w:style>
  <w:style w:type="paragraph" w:customStyle="1" w:styleId="P2wTABELIpoziom2numeracjiwtabeli">
    <w:name w:val="P2_w_TABELI – poziom 2 numeracji w tabeli"/>
    <w:basedOn w:val="P1wTABELIpoziom1numeracjiwtabeli"/>
    <w:uiPriority w:val="24"/>
    <w:qFormat/>
    <w:rsid w:val="00FA6B40"/>
    <w:pPr>
      <w:ind w:left="794"/>
    </w:pPr>
  </w:style>
  <w:style w:type="paragraph" w:customStyle="1" w:styleId="P3wTABELIpoziom3numeracjiwtabeli">
    <w:name w:val="P3_w_TABELI – poziom 3 numeracji w tabeli"/>
    <w:basedOn w:val="P2wTABELIpoziom2numeracjiwtabeli"/>
    <w:uiPriority w:val="24"/>
    <w:qFormat/>
    <w:rsid w:val="00FA6B4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A6B4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A6B4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A6B40"/>
    <w:pPr>
      <w:ind w:left="1191"/>
    </w:pPr>
  </w:style>
  <w:style w:type="paragraph" w:customStyle="1" w:styleId="P4wTABELIpoziom4numeracjiwtabeli">
    <w:name w:val="P4_w_TABELI – poziom 4 numeracji w tabeli"/>
    <w:basedOn w:val="P3wTABELIpoziom3numeracjiwtabeli"/>
    <w:uiPriority w:val="24"/>
    <w:qFormat/>
    <w:rsid w:val="00FA6B40"/>
    <w:pPr>
      <w:ind w:left="1588"/>
    </w:pPr>
  </w:style>
  <w:style w:type="paragraph" w:customStyle="1" w:styleId="TYTTABELItytutabeli">
    <w:name w:val="TYT_TABELI – tytuł tabeli"/>
    <w:basedOn w:val="TYTDZOZNoznaczenietytuulubdziau"/>
    <w:uiPriority w:val="22"/>
    <w:qFormat/>
    <w:rsid w:val="00FA6B40"/>
    <w:rPr>
      <w:b/>
    </w:rPr>
  </w:style>
  <w:style w:type="paragraph" w:customStyle="1" w:styleId="OZNPROJEKTUwskazaniedatylubwersjiprojektu">
    <w:name w:val="OZN_PROJEKTU – wskazanie daty lub wersji projektu"/>
    <w:next w:val="OZNRODZAKTUtznustawalubrozporzdzenieiorganwydajcy"/>
    <w:uiPriority w:val="5"/>
    <w:qFormat/>
    <w:rsid w:val="00FA6B40"/>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A6B4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A6B40"/>
    <w:pPr>
      <w:ind w:left="0" w:right="4820"/>
      <w:jc w:val="left"/>
    </w:pPr>
  </w:style>
  <w:style w:type="paragraph" w:customStyle="1" w:styleId="TEKSTwporozumieniu">
    <w:name w:val="TEKST&quot;w porozumieniu:&quot;"/>
    <w:next w:val="NAZORGWPOROZUMIENIUnazwaorganuwporozumieniuzktrymaktjestwydawany"/>
    <w:uiPriority w:val="27"/>
    <w:qFormat/>
    <w:rsid w:val="00FA6B40"/>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A6B4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A6B40"/>
    <w:pPr>
      <w:ind w:left="510" w:firstLine="0"/>
    </w:pPr>
  </w:style>
  <w:style w:type="paragraph" w:customStyle="1" w:styleId="NOTATKILEGISLATORA">
    <w:name w:val="NOTATKI_LEGISLATORA"/>
    <w:basedOn w:val="Normalny"/>
    <w:uiPriority w:val="5"/>
    <w:qFormat/>
    <w:rsid w:val="00FA6B40"/>
    <w:pPr>
      <w:widowControl w:val="0"/>
      <w:autoSpaceDE w:val="0"/>
      <w:autoSpaceDN w:val="0"/>
      <w:adjustRightInd w:val="0"/>
      <w:spacing w:line="360" w:lineRule="auto"/>
    </w:pPr>
    <w:rPr>
      <w:rFonts w:eastAsiaTheme="minorEastAsia" w:cs="Arial"/>
      <w:b/>
      <w:i/>
      <w:szCs w:val="20"/>
    </w:rPr>
  </w:style>
  <w:style w:type="paragraph" w:customStyle="1" w:styleId="OZNZACZNIKAwskazanienrzacznika">
    <w:name w:val="OZN_ZAŁĄCZNIKA – wskazanie nr załącznika"/>
    <w:basedOn w:val="OZNPROJEKTUwskazaniedatylubwersjiprojektu"/>
    <w:uiPriority w:val="28"/>
    <w:qFormat/>
    <w:rsid w:val="00FA6B40"/>
    <w:pPr>
      <w:keepNext/>
    </w:pPr>
    <w:rPr>
      <w:b/>
      <w:u w:val="none"/>
    </w:rPr>
  </w:style>
  <w:style w:type="paragraph" w:customStyle="1" w:styleId="OZNPARAFYADNOTACJE">
    <w:name w:val="OZN_PARAFY(ADNOTACJE)"/>
    <w:basedOn w:val="ODNONIKtreodnonika"/>
    <w:uiPriority w:val="26"/>
    <w:qFormat/>
    <w:rsid w:val="00FA6B40"/>
  </w:style>
  <w:style w:type="paragraph" w:customStyle="1" w:styleId="TEKSTZacznikido">
    <w:name w:val="TEKST&quot;Załącznik(i) do ...&quot;"/>
    <w:uiPriority w:val="28"/>
    <w:qFormat/>
    <w:rsid w:val="00FA6B40"/>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A6B40"/>
    <w:pPr>
      <w:ind w:left="851"/>
    </w:pPr>
  </w:style>
  <w:style w:type="paragraph" w:customStyle="1" w:styleId="CZWSPLITODNONIKAczwspliterodnonika">
    <w:name w:val="CZ_WSP_LIT_ODNOŚNIKA – część wsp. liter odnośnika"/>
    <w:basedOn w:val="LITODNONIKAliteraodnonika"/>
    <w:uiPriority w:val="22"/>
    <w:qFormat/>
    <w:rsid w:val="00FA6B4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A6B4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A6B4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A6B4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A6B4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A6B4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A6B4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A6B40"/>
  </w:style>
  <w:style w:type="paragraph" w:customStyle="1" w:styleId="ZLITwPKTODNONIKAzmlitwpktodnonikaartykuempunktem">
    <w:name w:val="Z/LIT_w_PKT_ODNOŚNIKA – zm. lit. w pkt odnośnika artykułem (punktem)"/>
    <w:basedOn w:val="ZLITODNONIKAzmlitodnonikaartykuempunktem"/>
    <w:uiPriority w:val="40"/>
    <w:qFormat/>
    <w:rsid w:val="00FA6B4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A6B4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A6B4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A6B4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A6B4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A6B4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A6B40"/>
  </w:style>
  <w:style w:type="paragraph" w:customStyle="1" w:styleId="ZZFRAGzmianazmfragmentunpzdania">
    <w:name w:val="ZZ/FRAG – zmiana zm. fragmentu (np. zdania)"/>
    <w:basedOn w:val="ZZCZWSPPKTzmianazmczciwsppkt"/>
    <w:uiPriority w:val="70"/>
    <w:qFormat/>
    <w:rsid w:val="00FA6B40"/>
  </w:style>
  <w:style w:type="paragraph" w:customStyle="1" w:styleId="Z2TIRPKTzmpktpodwjnymtiret">
    <w:name w:val="Z_2TIR/PKT – zm. pkt podwójnym tiret"/>
    <w:basedOn w:val="Z2TIRLITzmlitpodwjnymtiret"/>
    <w:uiPriority w:val="83"/>
    <w:qFormat/>
    <w:rsid w:val="00FA6B4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A6B4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A6B4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A6B4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A6B40"/>
    <w:pPr>
      <w:ind w:left="1780" w:firstLine="510"/>
    </w:pPr>
  </w:style>
  <w:style w:type="paragraph" w:customStyle="1" w:styleId="Z2TIRUSTzmustpodwjnymtiret">
    <w:name w:val="Z_2TIR/UST(§) – zm. ust. (§) podwójnym tiret"/>
    <w:basedOn w:val="Z2TIRPKTzmpktpodwjnymtiret"/>
    <w:uiPriority w:val="82"/>
    <w:qFormat/>
    <w:rsid w:val="00FA6B4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A6B40"/>
    <w:pPr>
      <w:ind w:left="3164" w:firstLine="0"/>
    </w:pPr>
  </w:style>
  <w:style w:type="paragraph" w:customStyle="1" w:styleId="Z2TIRCZWSPPKTzmczciwsppktpodwjnymtiret">
    <w:name w:val="Z_2TIR/CZ_WSP_PKT – zm. części wsp. pkt podwójnym tiret"/>
    <w:basedOn w:val="Z2TIRPKTzmpktpodwjnymtiret"/>
    <w:uiPriority w:val="86"/>
    <w:qFormat/>
    <w:rsid w:val="00FA6B4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A6B4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A6B40"/>
    <w:pPr>
      <w:ind w:left="2767" w:firstLine="0"/>
    </w:pPr>
  </w:style>
  <w:style w:type="paragraph" w:customStyle="1" w:styleId="ZLITARTzmartliter">
    <w:name w:val="Z_LIT/ART(§) – zm. art. (§) literą"/>
    <w:basedOn w:val="ZLITUSTzmustliter"/>
    <w:uiPriority w:val="46"/>
    <w:qFormat/>
    <w:rsid w:val="00FA6B40"/>
    <w:rPr>
      <w:rFonts w:ascii="Times New Roman" w:hAnsi="Times New Roman"/>
    </w:rPr>
  </w:style>
  <w:style w:type="paragraph" w:customStyle="1" w:styleId="ZTIRARTzmarttiret">
    <w:name w:val="Z_TIR/ART(§) – zm. art. (§) tiret"/>
    <w:basedOn w:val="ZTIRPKTzmpkttiret"/>
    <w:uiPriority w:val="55"/>
    <w:qFormat/>
    <w:rsid w:val="00FA6B40"/>
    <w:pPr>
      <w:ind w:left="1383" w:firstLine="510"/>
    </w:pPr>
    <w:rPr>
      <w:rFonts w:ascii="Times New Roman" w:hAnsi="Times New Roman"/>
    </w:rPr>
  </w:style>
  <w:style w:type="paragraph" w:customStyle="1" w:styleId="ZTIRUSTzmusttiret">
    <w:name w:val="Z_TIR/UST(§) – zm. ust. (§) tiret"/>
    <w:basedOn w:val="ZTIRARTzmarttiret"/>
    <w:uiPriority w:val="55"/>
    <w:qFormat/>
    <w:rsid w:val="00FA6B40"/>
  </w:style>
  <w:style w:type="paragraph" w:customStyle="1" w:styleId="ZLITKSIGIzmozniprzedmksigiliter">
    <w:name w:val="Z_LIT/KSIĘGI – zm. ozn. i przedm. księgi literą"/>
    <w:basedOn w:val="ZCZCIKSIGIzmozniprzedmczciksigiartykuempunktem"/>
    <w:uiPriority w:val="44"/>
    <w:qFormat/>
    <w:rsid w:val="00FA6B4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A6B4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A6B4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A6B4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A6B40"/>
    <w:pPr>
      <w:ind w:left="987"/>
    </w:pPr>
  </w:style>
  <w:style w:type="paragraph" w:customStyle="1" w:styleId="ZTIRDZOZNzmozndziautiret">
    <w:name w:val="Z_TIR/DZ_OZN – zm. ozn. działu tiret"/>
    <w:basedOn w:val="ZLITTYTDZOZNzmozntytuudziauliter"/>
    <w:next w:val="ZTIRDZPRZEDMzmprzedmdziautiret"/>
    <w:uiPriority w:val="54"/>
    <w:qFormat/>
    <w:rsid w:val="00FA6B40"/>
    <w:pPr>
      <w:ind w:left="1383"/>
    </w:pPr>
  </w:style>
  <w:style w:type="paragraph" w:customStyle="1" w:styleId="ZTIRDZPRZEDMzmprzedmdziautiret">
    <w:name w:val="Z_TIR/DZ_PRZEDM – zm. przedm. działu tiret"/>
    <w:basedOn w:val="ZLITTYTDZPRZEDMzmprzedmtytuudziauliter"/>
    <w:uiPriority w:val="54"/>
    <w:qFormat/>
    <w:rsid w:val="00FA6B4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A6B40"/>
    <w:pPr>
      <w:ind w:left="1383"/>
    </w:pPr>
  </w:style>
  <w:style w:type="paragraph" w:customStyle="1" w:styleId="ZTIRROZDZODDZPRZEDMzmprzedmrozdzoddztiret">
    <w:name w:val="Z_TIR/ROZDZ(ODDZ)_PRZEDM – zm. przedm. rozdz. (oddz.) tiret"/>
    <w:basedOn w:val="ZLITROZDZODDZPRZEDMzmprzedmrozdzoddzliter"/>
    <w:uiPriority w:val="54"/>
    <w:qFormat/>
    <w:rsid w:val="00FA6B4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A6B4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A6B40"/>
    <w:pPr>
      <w:ind w:left="1780"/>
    </w:pPr>
  </w:style>
  <w:style w:type="character" w:customStyle="1" w:styleId="IGindeksgrny">
    <w:name w:val="_IG_ – indeks górny"/>
    <w:basedOn w:val="Domylnaczcionkaakapitu"/>
    <w:uiPriority w:val="2"/>
    <w:qFormat/>
    <w:rsid w:val="00FA6B40"/>
    <w:rPr>
      <w:b w:val="0"/>
      <w:i w:val="0"/>
      <w:vanish w:val="0"/>
      <w:spacing w:val="0"/>
      <w:vertAlign w:val="superscript"/>
    </w:rPr>
  </w:style>
  <w:style w:type="character" w:customStyle="1" w:styleId="IDindeksdolny">
    <w:name w:val="_ID_ – indeks dolny"/>
    <w:basedOn w:val="Domylnaczcionkaakapitu"/>
    <w:uiPriority w:val="3"/>
    <w:qFormat/>
    <w:rsid w:val="00FA6B4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A6B40"/>
    <w:rPr>
      <w:b/>
      <w:vanish w:val="0"/>
      <w:spacing w:val="0"/>
      <w:vertAlign w:val="subscript"/>
    </w:rPr>
  </w:style>
  <w:style w:type="character" w:customStyle="1" w:styleId="IDKindeksdolnyikursywa">
    <w:name w:val="_ID_K_ – indeks dolny i kursywa"/>
    <w:basedOn w:val="Domylnaczcionkaakapitu"/>
    <w:uiPriority w:val="3"/>
    <w:qFormat/>
    <w:rsid w:val="00FA6B40"/>
    <w:rPr>
      <w:i/>
      <w:vanish w:val="0"/>
      <w:spacing w:val="0"/>
      <w:vertAlign w:val="subscript"/>
    </w:rPr>
  </w:style>
  <w:style w:type="character" w:customStyle="1" w:styleId="IGPindeksgrnyipogrubienie">
    <w:name w:val="_IG_P_ – indeks górny i pogrubienie"/>
    <w:basedOn w:val="Domylnaczcionkaakapitu"/>
    <w:uiPriority w:val="2"/>
    <w:qFormat/>
    <w:rsid w:val="00FA6B40"/>
    <w:rPr>
      <w:b/>
      <w:vanish w:val="0"/>
      <w:spacing w:val="0"/>
      <w:vertAlign w:val="superscript"/>
    </w:rPr>
  </w:style>
  <w:style w:type="character" w:customStyle="1" w:styleId="IGKindeksgrnyikursywa">
    <w:name w:val="_IG_K_ – indeks górny i kursywa"/>
    <w:basedOn w:val="Domylnaczcionkaakapitu"/>
    <w:uiPriority w:val="2"/>
    <w:qFormat/>
    <w:rsid w:val="00FA6B4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A6B4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A6B40"/>
    <w:rPr>
      <w:b/>
      <w:i/>
      <w:vanish w:val="0"/>
      <w:spacing w:val="0"/>
      <w:vertAlign w:val="subscript"/>
    </w:rPr>
  </w:style>
  <w:style w:type="character" w:customStyle="1" w:styleId="Ppogrubienie">
    <w:name w:val="_P_ – pogrubienie"/>
    <w:basedOn w:val="Domylnaczcionkaakapitu"/>
    <w:uiPriority w:val="1"/>
    <w:qFormat/>
    <w:rsid w:val="00FA6B40"/>
    <w:rPr>
      <w:b/>
    </w:rPr>
  </w:style>
  <w:style w:type="character" w:customStyle="1" w:styleId="Kkursywa">
    <w:name w:val="_K_ – kursywa"/>
    <w:basedOn w:val="Domylnaczcionkaakapitu"/>
    <w:uiPriority w:val="1"/>
    <w:qFormat/>
    <w:rsid w:val="00FA6B40"/>
    <w:rPr>
      <w:i/>
    </w:rPr>
  </w:style>
  <w:style w:type="character" w:customStyle="1" w:styleId="PKpogrubieniekursywa">
    <w:name w:val="_P_K_ – pogrubienie kursywa"/>
    <w:basedOn w:val="Domylnaczcionkaakapitu"/>
    <w:uiPriority w:val="1"/>
    <w:qFormat/>
    <w:rsid w:val="00FA6B40"/>
    <w:rPr>
      <w:b/>
      <w:i/>
    </w:rPr>
  </w:style>
  <w:style w:type="character" w:customStyle="1" w:styleId="TEKSTOZNACZONYWDOKUMENCIERDOWYMJAKOUKRYTY">
    <w:name w:val="_TEKST_OZNACZONY_W_DOKUMENCIE_ŹRÓDŁOWYM_JAKO_UKRYTY_"/>
    <w:basedOn w:val="Domylnaczcionkaakapitu"/>
    <w:uiPriority w:val="4"/>
    <w:unhideWhenUsed/>
    <w:qFormat/>
    <w:rsid w:val="00FA6B40"/>
    <w:rPr>
      <w:vanish w:val="0"/>
      <w:color w:val="FF0000"/>
      <w:u w:val="single" w:color="FF0000"/>
    </w:rPr>
  </w:style>
  <w:style w:type="character" w:customStyle="1" w:styleId="BEZWERSALIKW">
    <w:name w:val="_BEZ_WERSALIKÓW_"/>
    <w:basedOn w:val="Domylnaczcionkaakapitu"/>
    <w:uiPriority w:val="4"/>
    <w:qFormat/>
    <w:rsid w:val="00FA6B40"/>
    <w:rPr>
      <w:caps/>
    </w:rPr>
  </w:style>
  <w:style w:type="character" w:customStyle="1" w:styleId="IIGPindeksgrnyindeksugrnegoipogrubienie">
    <w:name w:val="_IIG_P_ – indeks górny indeksu górnego i pogrubienie"/>
    <w:basedOn w:val="Domylnaczcionkaakapitu"/>
    <w:uiPriority w:val="3"/>
    <w:qFormat/>
    <w:rsid w:val="00FA6B4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A6B4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A6B40"/>
    <w:pPr>
      <w:ind w:left="283" w:hanging="170"/>
    </w:pPr>
    <w:rPr>
      <w:rFonts w:eastAsiaTheme="minorEastAsia" w:cs="Arial"/>
      <w:sz w:val="20"/>
      <w:szCs w:val="20"/>
    </w:rPr>
  </w:style>
  <w:style w:type="paragraph" w:customStyle="1" w:styleId="TEKSTwTABELItekstzwcitympierwwierszem">
    <w:name w:val="TEKST_w_TABELI – tekst z wciętym pierw. wierszem"/>
    <w:basedOn w:val="Normalny"/>
    <w:uiPriority w:val="23"/>
    <w:qFormat/>
    <w:rsid w:val="00FA6B40"/>
    <w:pPr>
      <w:suppressAutoHyphens/>
      <w:autoSpaceDE w:val="0"/>
      <w:autoSpaceDN w:val="0"/>
      <w:adjustRightInd w:val="0"/>
      <w:spacing w:line="360" w:lineRule="auto"/>
      <w:ind w:firstLine="510"/>
    </w:pPr>
    <w:rPr>
      <w:rFonts w:ascii="Times" w:eastAsiaTheme="minorEastAsia" w:hAnsi="Times" w:cs="Arial"/>
      <w:bCs/>
      <w:kern w:val="24"/>
      <w:szCs w:val="20"/>
    </w:rPr>
  </w:style>
  <w:style w:type="paragraph" w:customStyle="1" w:styleId="TEKSTwTABELIWYRODKOWANYtekstwyrodkowanywpoziomie">
    <w:name w:val="TEKST_w_TABELI_WYŚRODKOWANY – tekst wyśrodkowany w poziomie"/>
    <w:basedOn w:val="Normalny"/>
    <w:uiPriority w:val="23"/>
    <w:qFormat/>
    <w:rsid w:val="00FA6B40"/>
    <w:pPr>
      <w:suppressAutoHyphens/>
      <w:autoSpaceDE w:val="0"/>
      <w:autoSpaceDN w:val="0"/>
      <w:adjustRightInd w:val="0"/>
      <w:spacing w:line="360" w:lineRule="auto"/>
      <w:jc w:val="center"/>
    </w:pPr>
    <w:rPr>
      <w:rFonts w:ascii="Times" w:eastAsiaTheme="minorEastAsia" w:hAnsi="Times" w:cs="Arial"/>
      <w:bCs/>
      <w:kern w:val="24"/>
      <w:szCs w:val="20"/>
    </w:rPr>
  </w:style>
  <w:style w:type="paragraph" w:customStyle="1" w:styleId="ZTIRSKARNzmsankcjikarnejtiret">
    <w:name w:val="Z_TIR/S_KARN – zm. sankcji karnej tiret"/>
    <w:basedOn w:val="ZLITSKARNzmsankcjikarnejliter"/>
    <w:next w:val="ZTIRARTzmarttiret"/>
    <w:uiPriority w:val="61"/>
    <w:qFormat/>
    <w:rsid w:val="00FA6B40"/>
    <w:pPr>
      <w:ind w:left="1894"/>
    </w:pPr>
  </w:style>
  <w:style w:type="paragraph" w:customStyle="1" w:styleId="ZZSKARNzmianazmsankcjikarnej">
    <w:name w:val="ZZ/S_KARN – zmiana zm. sankcji karnej"/>
    <w:basedOn w:val="ZZFRAGzmianazmfragmentunpzdania"/>
    <w:uiPriority w:val="71"/>
    <w:qFormat/>
    <w:rsid w:val="00FA6B4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A6B40"/>
    <w:pPr>
      <w:ind w:left="2291" w:firstLine="0"/>
    </w:pPr>
  </w:style>
  <w:style w:type="paragraph" w:customStyle="1" w:styleId="WMATFIZCHEMwzrmatfizlubchem">
    <w:name w:val="W_MAT(FIZ|CHEM) – wzór mat. (fiz. lub chem.)"/>
    <w:uiPriority w:val="18"/>
    <w:qFormat/>
    <w:rsid w:val="00FA6B40"/>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A6B4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A6B4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A6B4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A6B4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A6B4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A6B4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A6B4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A6B4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A6B40"/>
    <w:pPr>
      <w:ind w:left="3085"/>
    </w:pPr>
  </w:style>
  <w:style w:type="paragraph" w:customStyle="1" w:styleId="ZLITCYTzmcytatunpprzysigiliter">
    <w:name w:val="Z_LIT/CYT – zm. cytatu np. przysięgi literą"/>
    <w:basedOn w:val="ZCYTzmcytatunpprzysigiartykuempunktem"/>
    <w:uiPriority w:val="53"/>
    <w:qFormat/>
    <w:rsid w:val="00FA6B40"/>
    <w:pPr>
      <w:ind w:left="1497"/>
    </w:pPr>
  </w:style>
  <w:style w:type="paragraph" w:customStyle="1" w:styleId="ZTIRCYTzmcytatunpprzysigitiret">
    <w:name w:val="Z_TIR/CYT – zm. cytatu np. przysięgi tiret"/>
    <w:basedOn w:val="ZLITCYTzmcytatunpprzysigiliter"/>
    <w:next w:val="ZTIRUSTzmusttiret"/>
    <w:uiPriority w:val="61"/>
    <w:qFormat/>
    <w:rsid w:val="00FA6B4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A6B40"/>
    <w:pPr>
      <w:ind w:left="2291"/>
    </w:pPr>
  </w:style>
  <w:style w:type="paragraph" w:customStyle="1" w:styleId="ZZCYTzmianazmcytatunpprzysigi">
    <w:name w:val="ZZ/CYT – zmiana zm. cytatu np. przysięgi"/>
    <w:basedOn w:val="ZZFRAGzmianazmfragmentunpzdania"/>
    <w:next w:val="ZZUSTzmianazmust"/>
    <w:uiPriority w:val="71"/>
    <w:qFormat/>
    <w:rsid w:val="00FA6B4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A6B40"/>
    <w:pPr>
      <w:ind w:left="1780"/>
    </w:pPr>
  </w:style>
  <w:style w:type="table" w:styleId="Tabela-Siatka">
    <w:name w:val="Table Grid"/>
    <w:basedOn w:val="Standardowy"/>
    <w:rsid w:val="00FA6B40"/>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A6B40"/>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A6B4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A6B4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A6B4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A6B40"/>
    <w:rPr>
      <w:color w:val="808080"/>
    </w:rPr>
  </w:style>
  <w:style w:type="paragraph" w:styleId="Akapitzlist">
    <w:name w:val="List Paragraph"/>
    <w:basedOn w:val="Normalny"/>
    <w:uiPriority w:val="99"/>
    <w:rsid w:val="00FA6B40"/>
    <w:pPr>
      <w:ind w:left="720"/>
      <w:contextualSpacing/>
    </w:pPr>
  </w:style>
  <w:style w:type="paragraph" w:styleId="Poprawka">
    <w:name w:val="Revision"/>
    <w:hidden/>
    <w:uiPriority w:val="99"/>
    <w:semiHidden/>
    <w:rsid w:val="00FA6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FA6B40"/>
    <w:rPr>
      <w:sz w:val="20"/>
      <w:szCs w:val="20"/>
    </w:rPr>
  </w:style>
  <w:style w:type="character" w:customStyle="1" w:styleId="TekstprzypisukocowegoZnak">
    <w:name w:val="Tekst przypisu końcowego Znak"/>
    <w:basedOn w:val="Domylnaczcionkaakapitu"/>
    <w:link w:val="Tekstprzypisukocowego"/>
    <w:uiPriority w:val="99"/>
    <w:semiHidden/>
    <w:rsid w:val="00FA6B40"/>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FA6B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E1524-883D-4527-BBE8-253431FC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16159</Words>
  <Characters>96956</Characters>
  <Application>Microsoft Office Word</Application>
  <DocSecurity>0</DocSecurity>
  <Lines>807</Lines>
  <Paragraphs>225</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112890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Pilitowski Janusz</dc:creator>
  <cp:lastModifiedBy>Grażyna D. Grabowska</cp:lastModifiedBy>
  <cp:revision>2</cp:revision>
  <dcterms:created xsi:type="dcterms:W3CDTF">2018-11-28T14:29:00Z</dcterms:created>
  <dcterms:modified xsi:type="dcterms:W3CDTF">2018-11-28T14:29:00Z</dcterms:modified>
</cp:coreProperties>
</file>