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4D6" w:rsidRPr="00CE1B98" w:rsidRDefault="00043833" w:rsidP="00574E99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CE1B98">
        <w:rPr>
          <w:rFonts w:ascii="Times New Roman" w:hAnsi="Times New Roman" w:cs="Times New Roman"/>
          <w:i/>
          <w:sz w:val="24"/>
          <w:szCs w:val="24"/>
        </w:rPr>
        <w:t>Projekt</w:t>
      </w:r>
    </w:p>
    <w:p w:rsidR="00444BBB" w:rsidRPr="00444BBB" w:rsidRDefault="00444BBB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444BBB" w:rsidRPr="00444BBB" w:rsidRDefault="00444BBB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>z dnia …………</w:t>
      </w:r>
    </w:p>
    <w:p w:rsidR="00444BBB" w:rsidRPr="00444BBB" w:rsidRDefault="00444BBB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>o zmianie ustawy – Kodeks pracy</w:t>
      </w:r>
    </w:p>
    <w:p w:rsidR="00444BBB" w:rsidRDefault="00444BBB" w:rsidP="00574E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43833" w:rsidRDefault="00444BBB" w:rsidP="00670D4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1. </w:t>
      </w:r>
      <w:r>
        <w:rPr>
          <w:rFonts w:ascii="Times New Roman" w:hAnsi="Times New Roman" w:cs="Times New Roman"/>
          <w:sz w:val="24"/>
          <w:szCs w:val="24"/>
        </w:rPr>
        <w:t>W ustawie z dnia 26 czerwca 1974 r.</w:t>
      </w:r>
      <w:r w:rsidR="001B1B7B">
        <w:rPr>
          <w:rFonts w:ascii="Times New Roman" w:hAnsi="Times New Roman" w:cs="Times New Roman"/>
          <w:sz w:val="24"/>
          <w:szCs w:val="24"/>
        </w:rPr>
        <w:t xml:space="preserve"> </w:t>
      </w:r>
      <w:r w:rsidR="001B1B7B" w:rsidRPr="00444BBB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19E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Kodeks pracy (Dz. U. z 2014 r., poz. 1502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</w:t>
      </w:r>
      <w:r w:rsidR="00462DBB">
        <w:rPr>
          <w:rFonts w:ascii="Times New Roman" w:hAnsi="Times New Roman" w:cs="Times New Roman"/>
          <w:sz w:val="24"/>
          <w:szCs w:val="24"/>
        </w:rPr>
        <w:t xml:space="preserve"> </w:t>
      </w:r>
      <w:r w:rsidR="004932A8" w:rsidRPr="004932A8">
        <w:rPr>
          <w:rFonts w:ascii="Times New Roman" w:hAnsi="Times New Roman" w:cs="Times New Roman"/>
          <w:sz w:val="24"/>
          <w:szCs w:val="24"/>
        </w:rPr>
        <w:t xml:space="preserve">w </w:t>
      </w:r>
      <w:r w:rsidRPr="004932A8">
        <w:rPr>
          <w:rFonts w:ascii="Times New Roman" w:hAnsi="Times New Roman" w:cs="Times New Roman"/>
          <w:sz w:val="24"/>
          <w:szCs w:val="24"/>
        </w:rPr>
        <w:t>art. 264 § 1 otrzymuje brzmienie:</w:t>
      </w:r>
    </w:p>
    <w:p w:rsidR="00043833" w:rsidRDefault="00444BBB" w:rsidP="00CE1B98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„§ 1. Odwołanie od wypowiedzenia umowy o pracę wnosi się do sądu pracy w ciągu 14 dni od dnia doręczenia pisma wypowiadającego umowę o pracę.”.</w:t>
      </w:r>
    </w:p>
    <w:p w:rsidR="00574E99" w:rsidRDefault="00574E99" w:rsidP="00574E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833" w:rsidRDefault="00444BBB" w:rsidP="00CE1B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 xml:space="preserve">Art. 2. </w:t>
      </w:r>
      <w:r w:rsidR="00564BB9">
        <w:rPr>
          <w:rFonts w:ascii="Times New Roman" w:hAnsi="Times New Roman" w:cs="Times New Roman"/>
          <w:sz w:val="24"/>
          <w:szCs w:val="24"/>
        </w:rPr>
        <w:t xml:space="preserve">Do odwołania od wypowiedzenia umowy o pracę </w:t>
      </w:r>
      <w:r w:rsidR="00E6225E">
        <w:rPr>
          <w:rFonts w:ascii="Times New Roman" w:hAnsi="Times New Roman" w:cs="Times New Roman"/>
          <w:sz w:val="24"/>
          <w:szCs w:val="24"/>
        </w:rPr>
        <w:t xml:space="preserve">wypowiedzianej przed dniem wejścia w życie niniejszej ustawy </w:t>
      </w:r>
      <w:r w:rsidR="00564BB9">
        <w:rPr>
          <w:rFonts w:ascii="Times New Roman" w:hAnsi="Times New Roman" w:cs="Times New Roman"/>
          <w:sz w:val="24"/>
          <w:szCs w:val="24"/>
        </w:rPr>
        <w:t>stosuje się prze</w:t>
      </w:r>
      <w:r w:rsidR="00022C60">
        <w:rPr>
          <w:rFonts w:ascii="Times New Roman" w:hAnsi="Times New Roman" w:cs="Times New Roman"/>
          <w:sz w:val="24"/>
          <w:szCs w:val="24"/>
        </w:rPr>
        <w:t>pisy dotychczasowe</w:t>
      </w:r>
      <w:r w:rsidR="00564BB9">
        <w:rPr>
          <w:rFonts w:ascii="Times New Roman" w:hAnsi="Times New Roman" w:cs="Times New Roman"/>
          <w:sz w:val="24"/>
          <w:szCs w:val="24"/>
        </w:rPr>
        <w:t>.</w:t>
      </w:r>
    </w:p>
    <w:p w:rsidR="00574E99" w:rsidRDefault="00574E99" w:rsidP="00574E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833" w:rsidRDefault="00BD686A" w:rsidP="00CE1B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D686A">
        <w:rPr>
          <w:rFonts w:ascii="Times New Roman" w:hAnsi="Times New Roman" w:cs="Times New Roman"/>
          <w:b/>
          <w:sz w:val="24"/>
          <w:szCs w:val="24"/>
        </w:rPr>
        <w:t>Art. 3.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po upływie </w:t>
      </w:r>
      <w:r w:rsidR="00A846B5">
        <w:rPr>
          <w:rFonts w:ascii="Times New Roman" w:hAnsi="Times New Roman" w:cs="Times New Roman"/>
          <w:sz w:val="24"/>
          <w:szCs w:val="24"/>
        </w:rPr>
        <w:t>miesiąca</w:t>
      </w:r>
      <w:r>
        <w:rPr>
          <w:rFonts w:ascii="Times New Roman" w:hAnsi="Times New Roman" w:cs="Times New Roman"/>
          <w:sz w:val="24"/>
          <w:szCs w:val="24"/>
        </w:rPr>
        <w:t xml:space="preserve"> od dnia ogłoszenia.</w:t>
      </w: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E99" w:rsidRDefault="00574E99" w:rsidP="00574E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74E99" w:rsidRDefault="00574E99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E99" w:rsidRDefault="00574E99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E99" w:rsidRDefault="00574E99" w:rsidP="00574E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E1B98" w:rsidRDefault="00CE1B98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B98" w:rsidRDefault="00CE1B98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E9A" w:rsidRDefault="000F3E9A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E9A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:rsidR="001E20F6" w:rsidRPr="000F3E9A" w:rsidRDefault="001E20F6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48D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Projektowana ustawa ma na celu wydłużenie terminu, umożliwiającego pracownikowi odwołanie się do sądu pracy od wypowiedzenia umowy o pracę. Dotychczas obowiązująca regulacja przewiduje, że pracownik ma możliwość odwołania się do sądu pracy w terminie jedynie 7 dni od dnia doręczenia mu pisma wypowiadającego umowę o pracę. Podkreślenia wymaga fakt, że </w:t>
      </w:r>
      <w:r w:rsidR="002A248D">
        <w:rPr>
          <w:rFonts w:ascii="Times New Roman" w:hAnsi="Times New Roman" w:cs="Times New Roman"/>
          <w:sz w:val="24"/>
          <w:szCs w:val="24"/>
        </w:rPr>
        <w:t xml:space="preserve">termin 7 dni na odwołanie od wypowiedzenia umowy o pracę został </w:t>
      </w:r>
      <w:r w:rsidR="001E20F6">
        <w:rPr>
          <w:rFonts w:ascii="Times New Roman" w:hAnsi="Times New Roman" w:cs="Times New Roman"/>
          <w:sz w:val="24"/>
          <w:szCs w:val="24"/>
        </w:rPr>
        <w:t xml:space="preserve">wprowadzony do </w:t>
      </w:r>
      <w:r w:rsidR="001E20F6">
        <w:rPr>
          <w:rFonts w:ascii="Times New Roman" w:hAnsi="Times New Roman" w:cs="Times New Roman"/>
          <w:i/>
          <w:sz w:val="24"/>
          <w:szCs w:val="24"/>
        </w:rPr>
        <w:t>Kodeksu pracy</w:t>
      </w:r>
      <w:r w:rsidR="002A248D">
        <w:rPr>
          <w:rFonts w:ascii="Times New Roman" w:hAnsi="Times New Roman" w:cs="Times New Roman"/>
          <w:sz w:val="24"/>
          <w:szCs w:val="24"/>
        </w:rPr>
        <w:t xml:space="preserve"> w dniu 1 lipca 1985 r.</w:t>
      </w:r>
      <w:r w:rsidR="001E20F6">
        <w:rPr>
          <w:rFonts w:ascii="Times New Roman" w:hAnsi="Times New Roman" w:cs="Times New Roman"/>
          <w:sz w:val="24"/>
          <w:szCs w:val="24"/>
        </w:rPr>
        <w:t xml:space="preserve"> (art. 4 ustawy z dnia 18 kwietnia </w:t>
      </w:r>
      <w:r w:rsidR="001E20F6">
        <w:rPr>
          <w:rFonts w:ascii="Times New Roman" w:hAnsi="Times New Roman" w:cs="Times New Roman"/>
          <w:sz w:val="24"/>
          <w:szCs w:val="24"/>
        </w:rPr>
        <w:br/>
        <w:t xml:space="preserve">1985 r. </w:t>
      </w:r>
      <w:r w:rsidR="001E20F6" w:rsidRPr="001E20F6">
        <w:rPr>
          <w:rFonts w:ascii="Times New Roman" w:hAnsi="Times New Roman" w:cs="Times New Roman"/>
          <w:i/>
          <w:sz w:val="24"/>
          <w:szCs w:val="24"/>
        </w:rPr>
        <w:t>o rozpoznawaniu przez sądy spraw z zakresu prawa pracy i ubezpieczeń społecznych</w:t>
      </w:r>
      <w:r w:rsidR="001E20F6">
        <w:rPr>
          <w:rFonts w:ascii="Times New Roman" w:hAnsi="Times New Roman" w:cs="Times New Roman"/>
          <w:sz w:val="24"/>
          <w:szCs w:val="24"/>
        </w:rPr>
        <w:t xml:space="preserve"> </w:t>
      </w:r>
      <w:r w:rsidR="001E20F6">
        <w:rPr>
          <w:rFonts w:ascii="Times New Roman" w:hAnsi="Times New Roman" w:cs="Times New Roman"/>
          <w:sz w:val="24"/>
          <w:szCs w:val="24"/>
        </w:rPr>
        <w:br/>
        <w:t xml:space="preserve">(Dz. U. z 1985 r. Nr 20, poz. 85 z </w:t>
      </w:r>
      <w:proofErr w:type="spellStart"/>
      <w:r w:rsidR="001E20F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E20F6">
        <w:rPr>
          <w:rFonts w:ascii="Times New Roman" w:hAnsi="Times New Roman" w:cs="Times New Roman"/>
          <w:sz w:val="24"/>
          <w:szCs w:val="24"/>
        </w:rPr>
        <w:t>. zm.))</w:t>
      </w:r>
      <w:r w:rsidR="002A248D">
        <w:rPr>
          <w:rFonts w:ascii="Times New Roman" w:hAnsi="Times New Roman" w:cs="Times New Roman"/>
          <w:sz w:val="24"/>
          <w:szCs w:val="24"/>
        </w:rPr>
        <w:t>, a zatem w zupełnie innych uwarunkowaniach społeczno – gospodarczych i prawnych. Istotne jest</w:t>
      </w:r>
      <w:r w:rsidR="001E20F6">
        <w:rPr>
          <w:rFonts w:ascii="Times New Roman" w:hAnsi="Times New Roman" w:cs="Times New Roman"/>
          <w:sz w:val="24"/>
          <w:szCs w:val="24"/>
        </w:rPr>
        <w:t xml:space="preserve"> przy tym</w:t>
      </w:r>
      <w:r w:rsidR="002A248D">
        <w:rPr>
          <w:rFonts w:ascii="Times New Roman" w:hAnsi="Times New Roman" w:cs="Times New Roman"/>
          <w:sz w:val="24"/>
          <w:szCs w:val="24"/>
        </w:rPr>
        <w:t>, że w owym czasie</w:t>
      </w:r>
      <w:r w:rsidR="001E20F6">
        <w:rPr>
          <w:rFonts w:ascii="Times New Roman" w:hAnsi="Times New Roman" w:cs="Times New Roman"/>
          <w:sz w:val="24"/>
          <w:szCs w:val="24"/>
        </w:rPr>
        <w:t xml:space="preserve"> spory związane z wypowiadaniem</w:t>
      </w:r>
      <w:r w:rsidR="002A248D">
        <w:rPr>
          <w:rFonts w:ascii="Times New Roman" w:hAnsi="Times New Roman" w:cs="Times New Roman"/>
          <w:sz w:val="24"/>
          <w:szCs w:val="24"/>
        </w:rPr>
        <w:t xml:space="preserve"> umów o pracę rozstrzygane były przez sądy pracy bardzo sprawnie i kończyły się często przed upływem okresu wypowiedzenia umowy o pracę. Zatem krótki termin na złożenie odwołania miał swoje uzasadnienie w tym aby sądy pracy mogły rozstrzygnąć spór jeszcze przed rozwiązaniem umowy o pracę.</w:t>
      </w:r>
    </w:p>
    <w:p w:rsidR="00CE1B98" w:rsidRDefault="002A248D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dzisiejszych realiach, kiedy t</w:t>
      </w:r>
      <w:r w:rsidR="00574E99">
        <w:rPr>
          <w:rFonts w:ascii="Times New Roman" w:hAnsi="Times New Roman" w:cs="Times New Roman"/>
          <w:sz w:val="24"/>
          <w:szCs w:val="24"/>
        </w:rPr>
        <w:t>o sprawy dotyczące wypowiadania</w:t>
      </w:r>
      <w:r>
        <w:rPr>
          <w:rFonts w:ascii="Times New Roman" w:hAnsi="Times New Roman" w:cs="Times New Roman"/>
          <w:sz w:val="24"/>
          <w:szCs w:val="24"/>
        </w:rPr>
        <w:t xml:space="preserve"> umów o pracę trwają czasami kilka lat</w:t>
      </w:r>
      <w:r w:rsidR="009638A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, zaś pierwsze terminy rozpraw wyznaczane są nierzadko po upływie 6 miesięcy od dnia wypowiedzenia umowy o pracę, brak jest jakiegokolwiek uzasadnienia dla utrzymywania </w:t>
      </w:r>
      <w:r w:rsidR="00C37AAB">
        <w:rPr>
          <w:rFonts w:ascii="Times New Roman" w:hAnsi="Times New Roman" w:cs="Times New Roman"/>
          <w:sz w:val="24"/>
          <w:szCs w:val="24"/>
        </w:rPr>
        <w:t>bardzo krótkiego, siedmiodniowego terminu na odwołanie od wypowiedzenia umowy o pracę. Wskazać należy, że tak krótki termin w sposób całkowicie nieuzasadniony krzywdzi pracownika. Pracownik w tym terminie musi zgromadzić wszystkie dowody, przemyśleć argumentację i sporządzić odwołanie od wypowiedzenia umowy o pracę. Jednocześnie w wielu sytuacjach pracownicy są całkowicie zaskakiwani składanymi wypowiedzeniami, co stanowi dla nich niekiedy ogromny wstrząs</w:t>
      </w:r>
      <w:r w:rsidR="00F22B4E">
        <w:rPr>
          <w:rFonts w:ascii="Times New Roman" w:hAnsi="Times New Roman" w:cs="Times New Roman"/>
          <w:sz w:val="24"/>
          <w:szCs w:val="24"/>
        </w:rPr>
        <w:t>, uniemożliwiający sprawne przygotowanie się do procesu sądowego</w:t>
      </w:r>
      <w:r w:rsidR="00C37AAB">
        <w:rPr>
          <w:rFonts w:ascii="Times New Roman" w:hAnsi="Times New Roman" w:cs="Times New Roman"/>
          <w:sz w:val="24"/>
          <w:szCs w:val="24"/>
        </w:rPr>
        <w:t xml:space="preserve">. W takim stanie niezwykle utrudnione jest podjęcie szeregu działań zmierzających do złożenia odwołania od wypowiedzenia umowy o pracę. </w:t>
      </w:r>
      <w:r w:rsidR="00F22B4E">
        <w:rPr>
          <w:rFonts w:ascii="Times New Roman" w:hAnsi="Times New Roman" w:cs="Times New Roman"/>
          <w:sz w:val="24"/>
          <w:szCs w:val="24"/>
        </w:rPr>
        <w:br/>
      </w:r>
      <w:r w:rsidR="00C37AAB">
        <w:rPr>
          <w:rFonts w:ascii="Times New Roman" w:hAnsi="Times New Roman" w:cs="Times New Roman"/>
          <w:sz w:val="24"/>
          <w:szCs w:val="24"/>
        </w:rPr>
        <w:t xml:space="preserve">W tym kontekście istotne jest także to, że zdarzają się sytuacje w których pracodawcy doręczają </w:t>
      </w:r>
      <w:r w:rsidR="00F22B4E">
        <w:rPr>
          <w:rFonts w:ascii="Times New Roman" w:hAnsi="Times New Roman" w:cs="Times New Roman"/>
          <w:sz w:val="24"/>
          <w:szCs w:val="24"/>
        </w:rPr>
        <w:t>pisma wypowiadające umo</w:t>
      </w:r>
      <w:r w:rsidR="00C37AAB">
        <w:rPr>
          <w:rFonts w:ascii="Times New Roman" w:hAnsi="Times New Roman" w:cs="Times New Roman"/>
          <w:sz w:val="24"/>
          <w:szCs w:val="24"/>
        </w:rPr>
        <w:t>w</w:t>
      </w:r>
      <w:r w:rsidR="00F22B4E">
        <w:rPr>
          <w:rFonts w:ascii="Times New Roman" w:hAnsi="Times New Roman" w:cs="Times New Roman"/>
          <w:sz w:val="24"/>
          <w:szCs w:val="24"/>
        </w:rPr>
        <w:t>y</w:t>
      </w:r>
      <w:r w:rsidR="00C37AAB">
        <w:rPr>
          <w:rFonts w:ascii="Times New Roman" w:hAnsi="Times New Roman" w:cs="Times New Roman"/>
          <w:sz w:val="24"/>
          <w:szCs w:val="24"/>
        </w:rPr>
        <w:t xml:space="preserve"> o pracę w okresach przedświątecznych lub przed tzw. „długimi weekendami”. Takie postępowanie</w:t>
      </w:r>
      <w:r w:rsidR="00F22B4E">
        <w:rPr>
          <w:rFonts w:ascii="Times New Roman" w:hAnsi="Times New Roman" w:cs="Times New Roman"/>
          <w:sz w:val="24"/>
          <w:szCs w:val="24"/>
        </w:rPr>
        <w:t xml:space="preserve"> dodatkowo pogarsza</w:t>
      </w:r>
      <w:r w:rsidR="00C37AAB">
        <w:rPr>
          <w:rFonts w:ascii="Times New Roman" w:hAnsi="Times New Roman" w:cs="Times New Roman"/>
          <w:sz w:val="24"/>
          <w:szCs w:val="24"/>
        </w:rPr>
        <w:t xml:space="preserve"> sytuację pracowników, którzy w zasadzie mają zaledwie kilka dni na wniesienie odwołania do sądu pracy. </w:t>
      </w:r>
      <w:r w:rsidR="00F22B4E">
        <w:rPr>
          <w:rFonts w:ascii="Times New Roman" w:hAnsi="Times New Roman" w:cs="Times New Roman"/>
          <w:sz w:val="24"/>
          <w:szCs w:val="24"/>
        </w:rPr>
        <w:br/>
        <w:t>W opisywanych przypadkach</w:t>
      </w:r>
      <w:r w:rsidR="00C37AAB">
        <w:rPr>
          <w:rFonts w:ascii="Times New Roman" w:hAnsi="Times New Roman" w:cs="Times New Roman"/>
          <w:sz w:val="24"/>
          <w:szCs w:val="24"/>
        </w:rPr>
        <w:t xml:space="preserve"> pracownicy mają również bardzo utrudnioną możliwość skorzystania z pomocy profesjonalistów (adwokatów lub radców prawnych), co dodatkowo osłabia pozycję pracowników w stosunku do pracodawców</w:t>
      </w:r>
      <w:r w:rsidR="00AF1C7E">
        <w:rPr>
          <w:rFonts w:ascii="Times New Roman" w:hAnsi="Times New Roman" w:cs="Times New Roman"/>
          <w:sz w:val="24"/>
          <w:szCs w:val="24"/>
        </w:rPr>
        <w:t>, w kontekście przygotowań do sporu sądowego</w:t>
      </w:r>
      <w:r w:rsidR="00C37AAB">
        <w:rPr>
          <w:rFonts w:ascii="Times New Roman" w:hAnsi="Times New Roman" w:cs="Times New Roman"/>
          <w:sz w:val="24"/>
          <w:szCs w:val="24"/>
        </w:rPr>
        <w:t>.</w:t>
      </w:r>
    </w:p>
    <w:p w:rsidR="00F22B4E" w:rsidRDefault="00CE1B98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Nadmienić również należy, że w przypadku rozwiązania umowy o pracę bez wypowiedzenia</w:t>
      </w:r>
      <w:r w:rsidR="00F960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bądź wygaśnięcia umowy o pracę</w:t>
      </w:r>
      <w:r w:rsidR="00F960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przepisy Kodeksu pracy przewidują, że żądanie przywrócenia do pracy lub odszkodowania wnosi się do sądu pracy w ciągu 14 dni od </w:t>
      </w:r>
      <w:r w:rsidRPr="00CE1B98">
        <w:rPr>
          <w:rFonts w:ascii="Times New Roman" w:hAnsi="Times New Roman" w:cs="Times New Roman"/>
          <w:sz w:val="24"/>
          <w:szCs w:val="24"/>
        </w:rPr>
        <w:t>dnia doręczenia zawiadomienia o rozwiązaniu umowy o pracę bez wypowiedzenia lub od dnia wygaśnięcia umowy o pracę</w:t>
      </w:r>
      <w:r>
        <w:rPr>
          <w:rFonts w:ascii="Times New Roman" w:hAnsi="Times New Roman" w:cs="Times New Roman"/>
          <w:sz w:val="24"/>
          <w:szCs w:val="24"/>
        </w:rPr>
        <w:t xml:space="preserve"> (art. 264 § 2 Kodeksu pracy). Brak jest w dzisiejszych realiach społeczno – gospodarczych jakiegokolwiek uzasadnienia dla różnicowania sytuacji prawnej pracowników, którym wypowiedziano umowę o pracę za wypowiedzeniem</w:t>
      </w:r>
      <w:r w:rsidR="00F960D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od sytuacji pracowników</w:t>
      </w:r>
      <w:r w:rsidR="00F960DD">
        <w:rPr>
          <w:rFonts w:ascii="Times New Roman" w:hAnsi="Times New Roman" w:cs="Times New Roman"/>
          <w:sz w:val="24"/>
          <w:szCs w:val="24"/>
        </w:rPr>
        <w:t>, z którymi rozwiązano umowy o pracę bez wypowiedzenia (np. zostali dyscyplinarnie zwolnieni z pracy, art. 52 § 1 Kodeksu pracy), czy też sytuacji pracowników, których umowa o pracę wygasła (np. nieobecność pracownika w pracy z powodu tymczasowego aresztowania, art. 66 § 1 Kodeksu pracy).</w:t>
      </w:r>
      <w:r w:rsidR="00C37AAB">
        <w:rPr>
          <w:rFonts w:ascii="Times New Roman" w:hAnsi="Times New Roman" w:cs="Times New Roman"/>
          <w:sz w:val="24"/>
          <w:szCs w:val="24"/>
        </w:rPr>
        <w:t xml:space="preserve"> </w:t>
      </w:r>
      <w:r w:rsidR="00F960DD">
        <w:rPr>
          <w:rFonts w:ascii="Times New Roman" w:hAnsi="Times New Roman" w:cs="Times New Roman"/>
          <w:sz w:val="24"/>
          <w:szCs w:val="24"/>
        </w:rPr>
        <w:t>Utrzymywanie zróżnicowania powyższych terminów jest niczym nieuzasadnionym pokrzywdzeniem sytuacji prawnej pracowników z którymi rozwiązywane są umowy o pracę za wypowiedzeniem, taka sytuacja powinna zatem ulec zmianie poprzez wydłużenie terminu określonego w art. 264 § 1 Kodeksu pracy z 7 do 14 dni.</w:t>
      </w:r>
    </w:p>
    <w:p w:rsidR="009A154E" w:rsidRDefault="00F22B4E" w:rsidP="00F22B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z</w:t>
      </w:r>
      <w:r w:rsidR="00C37AAB">
        <w:rPr>
          <w:rFonts w:ascii="Times New Roman" w:hAnsi="Times New Roman" w:cs="Times New Roman"/>
          <w:sz w:val="24"/>
          <w:szCs w:val="24"/>
        </w:rPr>
        <w:t xml:space="preserve">aznaczyć należy, że </w:t>
      </w:r>
      <w:r w:rsidR="00574E99">
        <w:rPr>
          <w:rFonts w:ascii="Times New Roman" w:hAnsi="Times New Roman" w:cs="Times New Roman"/>
          <w:sz w:val="24"/>
          <w:szCs w:val="24"/>
        </w:rPr>
        <w:t xml:space="preserve">w dniu 3 maja 2012 r. weszła w życie zmiana przepisów </w:t>
      </w:r>
      <w:r w:rsidR="00574E99" w:rsidRPr="00574E99">
        <w:rPr>
          <w:rFonts w:ascii="Times New Roman" w:hAnsi="Times New Roman" w:cs="Times New Roman"/>
          <w:i/>
          <w:sz w:val="24"/>
          <w:szCs w:val="24"/>
        </w:rPr>
        <w:t>Kodeksu postępowania cywilnego</w:t>
      </w:r>
      <w:r w:rsidR="00574E99">
        <w:rPr>
          <w:rFonts w:ascii="Times New Roman" w:hAnsi="Times New Roman" w:cs="Times New Roman"/>
          <w:sz w:val="24"/>
          <w:szCs w:val="24"/>
        </w:rPr>
        <w:t>, zgodnie z którą strona procesu cywilnego powinna co do zasady zgłaszać już w pozwie wszelkie twierdzenia i dowody, zaś ich późniejsze zgłoszenie może skutkować pominięciem ich przez sąd rozpoznający sprawę. W tym kontekście uznać należy, że termin 7 dni na wniesienie odwołania od wypowiedzenia umowy o pracę jest rażąco niesprawiedliwy dla pracownika. Pracodawca przygotowujący się do wypowiedzenia pracownikowi umowy o pracę może z dużo większym wyprzedzeniem gromadzić materiał dowodowy, który następnie może wykorzystać w sądzie (na marginesie należ</w:t>
      </w:r>
      <w:r w:rsidR="009A154E">
        <w:rPr>
          <w:rFonts w:ascii="Times New Roman" w:hAnsi="Times New Roman" w:cs="Times New Roman"/>
          <w:sz w:val="24"/>
          <w:szCs w:val="24"/>
        </w:rPr>
        <w:t>y zaznaczyć, że pracodawca ma minimum dwa tygodnie</w:t>
      </w:r>
      <w:r w:rsidR="00574E99">
        <w:rPr>
          <w:rFonts w:ascii="Times New Roman" w:hAnsi="Times New Roman" w:cs="Times New Roman"/>
          <w:sz w:val="24"/>
          <w:szCs w:val="24"/>
        </w:rPr>
        <w:t xml:space="preserve"> na odniesienie się do twierdzeń pracownika przedstawionych w odwołaniu, co wynika z przepisów </w:t>
      </w:r>
      <w:r w:rsidR="00574E99" w:rsidRPr="009A154E">
        <w:rPr>
          <w:rFonts w:ascii="Times New Roman" w:hAnsi="Times New Roman" w:cs="Times New Roman"/>
          <w:i/>
          <w:sz w:val="24"/>
          <w:szCs w:val="24"/>
        </w:rPr>
        <w:t>Kodeksu</w:t>
      </w:r>
      <w:r w:rsidR="009A154E" w:rsidRPr="009A154E">
        <w:rPr>
          <w:rFonts w:ascii="Times New Roman" w:hAnsi="Times New Roman" w:cs="Times New Roman"/>
          <w:i/>
          <w:sz w:val="24"/>
          <w:szCs w:val="24"/>
        </w:rPr>
        <w:t xml:space="preserve"> postępowania</w:t>
      </w:r>
      <w:r w:rsidR="00574E99" w:rsidRPr="009A154E">
        <w:rPr>
          <w:rFonts w:ascii="Times New Roman" w:hAnsi="Times New Roman" w:cs="Times New Roman"/>
          <w:i/>
          <w:sz w:val="24"/>
          <w:szCs w:val="24"/>
        </w:rPr>
        <w:t xml:space="preserve"> cywilnego</w:t>
      </w:r>
      <w:r w:rsidR="009A154E">
        <w:rPr>
          <w:rFonts w:ascii="Times New Roman" w:hAnsi="Times New Roman" w:cs="Times New Roman"/>
          <w:sz w:val="24"/>
          <w:szCs w:val="24"/>
        </w:rPr>
        <w:t>). Pracownik zaś, po otrzymaniu wypowiedzenia ma jedynie 7 dni na zgromadzenie całości materiału procesowego. Jeżeli pracownik nie dochowa terminu na złożenie odwołania może ewentualnie liczyć na przywrócenie</w:t>
      </w:r>
      <w:r w:rsidR="00AF1C7E">
        <w:rPr>
          <w:rFonts w:ascii="Times New Roman" w:hAnsi="Times New Roman" w:cs="Times New Roman"/>
          <w:sz w:val="24"/>
          <w:szCs w:val="24"/>
        </w:rPr>
        <w:t xml:space="preserve"> przez sąd</w:t>
      </w:r>
      <w:r w:rsidR="009A154E">
        <w:rPr>
          <w:rFonts w:ascii="Times New Roman" w:hAnsi="Times New Roman" w:cs="Times New Roman"/>
          <w:sz w:val="24"/>
          <w:szCs w:val="24"/>
        </w:rPr>
        <w:t xml:space="preserve"> terminu</w:t>
      </w:r>
      <w:r w:rsidR="00AF1C7E">
        <w:rPr>
          <w:rFonts w:ascii="Times New Roman" w:hAnsi="Times New Roman" w:cs="Times New Roman"/>
          <w:sz w:val="24"/>
          <w:szCs w:val="24"/>
        </w:rPr>
        <w:t xml:space="preserve"> do złożenia odwołania</w:t>
      </w:r>
      <w:r w:rsidR="009A154E">
        <w:rPr>
          <w:rFonts w:ascii="Times New Roman" w:hAnsi="Times New Roman" w:cs="Times New Roman"/>
          <w:sz w:val="24"/>
          <w:szCs w:val="24"/>
        </w:rPr>
        <w:t xml:space="preserve">, jednakże sąd nie ma w tej materii dowolności i może to uczynić jedynie na zasadach określonych w art. 265 </w:t>
      </w:r>
      <w:r w:rsidR="009A154E">
        <w:rPr>
          <w:rFonts w:ascii="Times New Roman" w:hAnsi="Times New Roman" w:cs="Times New Roman"/>
          <w:i/>
          <w:sz w:val="24"/>
          <w:szCs w:val="24"/>
        </w:rPr>
        <w:t>Kodeksu pracy</w:t>
      </w:r>
      <w:r w:rsidR="009A154E">
        <w:rPr>
          <w:rFonts w:ascii="Times New Roman" w:hAnsi="Times New Roman" w:cs="Times New Roman"/>
          <w:sz w:val="24"/>
          <w:szCs w:val="24"/>
        </w:rPr>
        <w:t>.</w:t>
      </w:r>
    </w:p>
    <w:p w:rsidR="00CC49C6" w:rsidRDefault="009A154E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Stosownie do powyższego uznać należy, że obecnie obowiązujący siedmiodniowy termin na złożenie odwołania od wypowiedzenia umowy o pracę jest zbyt krótki i w sposób nieuzasadniony osłabia pozycję pracownika w stosunku do pracodawcy. </w:t>
      </w:r>
      <w:r w:rsidR="00CC49C6">
        <w:rPr>
          <w:rFonts w:ascii="Times New Roman" w:hAnsi="Times New Roman" w:cs="Times New Roman"/>
          <w:sz w:val="24"/>
          <w:szCs w:val="24"/>
        </w:rPr>
        <w:t>Taki stan rzeczy uzasadnia działanie ustawodawcy zmierzające do poprawy sytuacji prawnej pracowników i z</w:t>
      </w:r>
      <w:r w:rsidR="00AF1C7E">
        <w:rPr>
          <w:rFonts w:ascii="Times New Roman" w:hAnsi="Times New Roman" w:cs="Times New Roman"/>
          <w:sz w:val="24"/>
          <w:szCs w:val="24"/>
        </w:rPr>
        <w:t>apewnienia im silniejszej</w:t>
      </w:r>
      <w:r w:rsidR="00CC49C6">
        <w:rPr>
          <w:rFonts w:ascii="Times New Roman" w:hAnsi="Times New Roman" w:cs="Times New Roman"/>
          <w:sz w:val="24"/>
          <w:szCs w:val="24"/>
        </w:rPr>
        <w:t xml:space="preserve"> gwaranc</w:t>
      </w:r>
      <w:r w:rsidR="00AF1C7E">
        <w:rPr>
          <w:rFonts w:ascii="Times New Roman" w:hAnsi="Times New Roman" w:cs="Times New Roman"/>
          <w:sz w:val="24"/>
          <w:szCs w:val="24"/>
        </w:rPr>
        <w:t>ji prawa do sądu, które to prawo wynika z</w:t>
      </w:r>
      <w:r w:rsidR="00CC49C6">
        <w:rPr>
          <w:rFonts w:ascii="Times New Roman" w:hAnsi="Times New Roman" w:cs="Times New Roman"/>
          <w:sz w:val="24"/>
          <w:szCs w:val="24"/>
        </w:rPr>
        <w:t xml:space="preserve"> art. 45 Konstytucji RP.</w:t>
      </w:r>
    </w:p>
    <w:p w:rsidR="00CC49C6" w:rsidRDefault="00CC49C6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Wprowadzony przepis przejściowy ma na celu usunięcie wątpliwości co do wpływu nowych przepisów na stosunki powstałe pod działaniem przepisów dotychczasowych</w:t>
      </w:r>
      <w:r w:rsidR="002C3E9A">
        <w:rPr>
          <w:rFonts w:ascii="Times New Roman" w:hAnsi="Times New Roman" w:cs="Times New Roman"/>
          <w:sz w:val="24"/>
          <w:szCs w:val="24"/>
        </w:rPr>
        <w:t>, wskazując, że</w:t>
      </w:r>
      <w:r w:rsidR="00564BB9">
        <w:rPr>
          <w:rFonts w:ascii="Times New Roman" w:hAnsi="Times New Roman" w:cs="Times New Roman"/>
          <w:sz w:val="24"/>
          <w:szCs w:val="24"/>
        </w:rPr>
        <w:t xml:space="preserve"> ustawa</w:t>
      </w:r>
      <w:r w:rsidR="002C3E9A">
        <w:rPr>
          <w:rFonts w:ascii="Times New Roman" w:hAnsi="Times New Roman" w:cs="Times New Roman"/>
          <w:sz w:val="24"/>
          <w:szCs w:val="24"/>
        </w:rPr>
        <w:t xml:space="preserve"> ma zastosowanie tylko do </w:t>
      </w:r>
      <w:r w:rsidR="00564BB9">
        <w:rPr>
          <w:rFonts w:ascii="Times New Roman" w:hAnsi="Times New Roman" w:cs="Times New Roman"/>
          <w:sz w:val="24"/>
          <w:szCs w:val="24"/>
        </w:rPr>
        <w:t>umów, które zostały wypowiedziane po wejściu ustawy w życie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49C6" w:rsidRDefault="00CC49C6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 ustawy wywołuje pozytywne skutki społeczno – gospodarcze i nie rodzi żadnych dodatkowych skutków finansowych dla budżetu państwa ani jednostek samorządu terytorialnego.</w:t>
      </w:r>
    </w:p>
    <w:p w:rsidR="000F3E9A" w:rsidRDefault="00CC49C6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 nie jest objęty prawem Unii Europejskiej.</w:t>
      </w:r>
      <w:r w:rsidR="002A248D">
        <w:rPr>
          <w:rFonts w:ascii="Times New Roman" w:hAnsi="Times New Roman" w:cs="Times New Roman"/>
          <w:sz w:val="24"/>
          <w:szCs w:val="24"/>
        </w:rPr>
        <w:t xml:space="preserve"> </w:t>
      </w:r>
      <w:r w:rsidR="000F3E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E9A" w:rsidRPr="000F3E9A" w:rsidRDefault="000F3E9A" w:rsidP="00574E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F3E9A" w:rsidRPr="000F3E9A" w:rsidSect="00FE67BC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6AE" w:rsidRDefault="003536AE" w:rsidP="00444BBB">
      <w:pPr>
        <w:spacing w:after="0" w:line="240" w:lineRule="auto"/>
      </w:pPr>
      <w:r>
        <w:separator/>
      </w:r>
    </w:p>
  </w:endnote>
  <w:endnote w:type="continuationSeparator" w:id="0">
    <w:p w:rsidR="003536AE" w:rsidRDefault="003536AE" w:rsidP="00444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9241"/>
      <w:docPartObj>
        <w:docPartGallery w:val="Page Numbers (Bottom of Page)"/>
        <w:docPartUnique/>
      </w:docPartObj>
    </w:sdtPr>
    <w:sdtEndPr/>
    <w:sdtContent>
      <w:p w:rsidR="00FE67BC" w:rsidRDefault="000050DA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E67BC" w:rsidRDefault="00FE67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6AE" w:rsidRDefault="003536AE" w:rsidP="00444BBB">
      <w:pPr>
        <w:spacing w:after="0" w:line="240" w:lineRule="auto"/>
      </w:pPr>
      <w:r>
        <w:separator/>
      </w:r>
    </w:p>
  </w:footnote>
  <w:footnote w:type="continuationSeparator" w:id="0">
    <w:p w:rsidR="003536AE" w:rsidRDefault="003536AE" w:rsidP="00444BBB">
      <w:pPr>
        <w:spacing w:after="0" w:line="240" w:lineRule="auto"/>
      </w:pPr>
      <w:r>
        <w:continuationSeparator/>
      </w:r>
    </w:p>
  </w:footnote>
  <w:footnote w:id="1">
    <w:p w:rsidR="00444BBB" w:rsidRPr="005966CC" w:rsidRDefault="00444BBB" w:rsidP="004932A8">
      <w:pPr>
        <w:pStyle w:val="Tekstprzypisudolnego"/>
        <w:jc w:val="both"/>
        <w:rPr>
          <w:rFonts w:ascii="Times New Roman" w:hAnsi="Times New Roman" w:cs="Times New Roman"/>
        </w:rPr>
      </w:pPr>
      <w:r w:rsidRPr="005966CC">
        <w:rPr>
          <w:rStyle w:val="Odwoanieprzypisudolnego"/>
          <w:rFonts w:ascii="Times New Roman" w:hAnsi="Times New Roman" w:cs="Times New Roman"/>
        </w:rPr>
        <w:footnoteRef/>
      </w:r>
      <w:r w:rsidRPr="005966CC">
        <w:rPr>
          <w:rFonts w:ascii="Times New Roman" w:hAnsi="Times New Roman" w:cs="Times New Roman"/>
          <w:vertAlign w:val="superscript"/>
        </w:rPr>
        <w:t xml:space="preserve">) </w:t>
      </w:r>
      <w:r w:rsidR="005966CC" w:rsidRPr="005966CC">
        <w:rPr>
          <w:rFonts w:ascii="Times New Roman" w:hAnsi="Times New Roman" w:cs="Times New Roman"/>
        </w:rPr>
        <w:t xml:space="preserve">Zmiany </w:t>
      </w:r>
      <w:r w:rsidR="005966CC">
        <w:rPr>
          <w:rFonts w:ascii="Times New Roman" w:hAnsi="Times New Roman" w:cs="Times New Roman"/>
        </w:rPr>
        <w:t xml:space="preserve">tekstu jednolitego wymienionej ustawy zostały ogłoszone </w:t>
      </w:r>
      <w:r w:rsidR="00574E99">
        <w:rPr>
          <w:rFonts w:ascii="Times New Roman" w:hAnsi="Times New Roman" w:cs="Times New Roman"/>
        </w:rPr>
        <w:t>w Dz. U. z</w:t>
      </w:r>
      <w:r w:rsidR="004219E0">
        <w:rPr>
          <w:rFonts w:ascii="Times New Roman" w:hAnsi="Times New Roman" w:cs="Times New Roman"/>
        </w:rPr>
        <w:t xml:space="preserve"> 2014 r. poz. 1662 oraz z</w:t>
      </w:r>
      <w:r w:rsidR="00574E99">
        <w:rPr>
          <w:rFonts w:ascii="Times New Roman" w:hAnsi="Times New Roman" w:cs="Times New Roman"/>
        </w:rPr>
        <w:t xml:space="preserve"> 2015 r. poz. 1066, 1224, 1240, 1268 i</w:t>
      </w:r>
      <w:r w:rsidR="004219E0">
        <w:rPr>
          <w:rFonts w:ascii="Times New Roman" w:hAnsi="Times New Roman" w:cs="Times New Roman"/>
        </w:rPr>
        <w:t xml:space="preserve"> 1735</w:t>
      </w:r>
      <w:r w:rsidR="005966CC">
        <w:rPr>
          <w:rFonts w:ascii="Times New Roman" w:hAnsi="Times New Roman" w:cs="Times New Roman"/>
        </w:rPr>
        <w:t xml:space="preserve">. </w:t>
      </w:r>
    </w:p>
  </w:footnote>
  <w:footnote w:id="2">
    <w:p w:rsidR="009638A0" w:rsidRDefault="009638A0" w:rsidP="009638A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638A0">
        <w:rPr>
          <w:rFonts w:ascii="Times New Roman" w:hAnsi="Times New Roman" w:cs="Times New Roman"/>
        </w:rPr>
        <w:t>Zgodnie z</w:t>
      </w:r>
      <w:r>
        <w:t xml:space="preserve"> Rocznikiem Statystycznym RP za 2014 r. w 2013 r. w sądach pracy w całej Polsce do załatwienia pozostawało 20,6 tys. spraw związanych z wypowiedzeniem umowy o pracę, zaś załatwionych zostało 13,4 tys. takich spraw, zob. Rocznik Statystyczny RP za 2014 r. Rozdział IV Wymiar sprawiedliwości Tabl. 17 (88) Działalność sądów powszechnych w 2014 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010"/>
    <w:multiLevelType w:val="hybridMultilevel"/>
    <w:tmpl w:val="ECEA95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8D29F8"/>
    <w:multiLevelType w:val="hybridMultilevel"/>
    <w:tmpl w:val="A03C9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BB"/>
    <w:rsid w:val="000050DA"/>
    <w:rsid w:val="00022C60"/>
    <w:rsid w:val="00043833"/>
    <w:rsid w:val="0005662E"/>
    <w:rsid w:val="000F3E9A"/>
    <w:rsid w:val="001255BF"/>
    <w:rsid w:val="001B1B7B"/>
    <w:rsid w:val="001E20F6"/>
    <w:rsid w:val="002A248D"/>
    <w:rsid w:val="002C3E9A"/>
    <w:rsid w:val="003536AE"/>
    <w:rsid w:val="003774A9"/>
    <w:rsid w:val="004219E0"/>
    <w:rsid w:val="00444BBB"/>
    <w:rsid w:val="00462DBB"/>
    <w:rsid w:val="00464766"/>
    <w:rsid w:val="004932A8"/>
    <w:rsid w:val="00564BB9"/>
    <w:rsid w:val="00574E99"/>
    <w:rsid w:val="005966CC"/>
    <w:rsid w:val="00670D4B"/>
    <w:rsid w:val="00725857"/>
    <w:rsid w:val="00951543"/>
    <w:rsid w:val="009638A0"/>
    <w:rsid w:val="009A154E"/>
    <w:rsid w:val="00A846B5"/>
    <w:rsid w:val="00AD3F5F"/>
    <w:rsid w:val="00AF1C7E"/>
    <w:rsid w:val="00BD686A"/>
    <w:rsid w:val="00C02E54"/>
    <w:rsid w:val="00C26091"/>
    <w:rsid w:val="00C37AAB"/>
    <w:rsid w:val="00CA4D6C"/>
    <w:rsid w:val="00CC49C6"/>
    <w:rsid w:val="00CE1B98"/>
    <w:rsid w:val="00D07177"/>
    <w:rsid w:val="00DB64D6"/>
    <w:rsid w:val="00E6225E"/>
    <w:rsid w:val="00EF0196"/>
    <w:rsid w:val="00F22B4E"/>
    <w:rsid w:val="00F40CDF"/>
    <w:rsid w:val="00F879E3"/>
    <w:rsid w:val="00F960DD"/>
    <w:rsid w:val="00FE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4B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4B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4BB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44B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67BC"/>
  </w:style>
  <w:style w:type="paragraph" w:styleId="Stopka">
    <w:name w:val="footer"/>
    <w:basedOn w:val="Normalny"/>
    <w:link w:val="StopkaZnak"/>
    <w:uiPriority w:val="99"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7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4B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4B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4BB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44B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67BC"/>
  </w:style>
  <w:style w:type="paragraph" w:styleId="Stopka">
    <w:name w:val="footer"/>
    <w:basedOn w:val="Normalny"/>
    <w:link w:val="StopkaZnak"/>
    <w:uiPriority w:val="99"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D81B2-3F2C-4F0E-AB3B-E4EAAC99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Ewa A. Genert</cp:lastModifiedBy>
  <cp:revision>2</cp:revision>
  <dcterms:created xsi:type="dcterms:W3CDTF">2016-03-09T08:29:00Z</dcterms:created>
  <dcterms:modified xsi:type="dcterms:W3CDTF">2016-03-09T08:29:00Z</dcterms:modified>
</cp:coreProperties>
</file>