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3C8" w:rsidRDefault="00511471" w:rsidP="006B4329">
      <w:pPr>
        <w:pStyle w:val="Teksttreci20"/>
        <w:shd w:val="clear" w:color="auto" w:fill="auto"/>
        <w:spacing w:after="385" w:line="240" w:lineRule="exact"/>
        <w:ind w:firstLine="0"/>
        <w:rPr>
          <w:rStyle w:val="Ppogrubienie"/>
          <w:b w:val="0"/>
        </w:rPr>
      </w:pPr>
      <w:bookmarkStart w:id="0" w:name="_GoBack"/>
      <w:bookmarkEnd w:id="0"/>
      <w:r>
        <w:t>Projekt</w:t>
      </w:r>
    </w:p>
    <w:p w:rsidR="005F33C8" w:rsidRPr="005F33C8" w:rsidRDefault="005F33C8" w:rsidP="005F33C8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b/>
          <w:color w:val="auto"/>
          <w:lang w:bidi="ar-SA"/>
        </w:rPr>
        <w:t>UZASADNIENIE</w:t>
      </w:r>
    </w:p>
    <w:p w:rsidR="005F33C8" w:rsidRPr="005F33C8" w:rsidRDefault="005F33C8" w:rsidP="005F33C8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>W obecnym stanie prawnym ustawa o samorządzie województwa nie odnosi się w żaden sposób do kwestii ogłaszania przez przewodniczących sejmików przerw w sesjach, w związku z czym kompetencje te są określane przez statuty poszczególnych województw, które umożliwiają przewodniczącym podejmowanie decyzji odnośnie ogłaszania przerw i ustalania czasu ich trwania. Tak szerokie uprawnienia przewodniczących mogą prowadzić do paraliżu pracy sejmiku, np. w sytuacjach, gdy przewodniczący nie chcąc poddać pod głosowanie wniosku o swoje odwołanie, powołanie wiceprzewodniczącego czy wybór zarządu województwa wielokrotnie ogłasza przerwy i tym samym uniemożliwia kontynuowanie obrad sesji oraz wybór władz samorządu województwa.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Takie działanie przewodniczących uniemożliwia efektywną pracę sejmików województw i wypacza istotę funkcjonowania organów stanowiących jednostek samorządu terytorialnego, a w skrajnej sytuacji mając na uwadze treść art. 33 ust. 1 ustawy z dnia 5 czerwca 1998 r. o samorządzie województwa może nawet doprowadzić do rozwiązania sejmiku i przeprowadzenia przedterminowych wyborów. 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W związku z powyższym kompetencje przewodniczących sejmików należy dookreślić w ten sposób, aby uniemożliwić działania, takie jak brak realizacji porządku obrad, uporczywe ogłaszanie przerw w celu niedopuszczenia do rozpatrzenia konkretnych punktów porządku obrad lub zamykanie sesji pomimo braku rozpatrzenia wszystkich punktów porządku obrad. </w:t>
      </w:r>
      <w:r w:rsidR="00F66DD5">
        <w:rPr>
          <w:rFonts w:ascii="Times New Roman" w:eastAsia="Times New Roman" w:hAnsi="Times New Roman" w:cs="Times New Roman"/>
          <w:color w:val="auto"/>
          <w:lang w:bidi="ar-SA"/>
        </w:rPr>
        <w:t>Za zgodne z interesem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społecznym </w:t>
      </w:r>
      <w:r w:rsidR="00F66DD5">
        <w:rPr>
          <w:rFonts w:ascii="Times New Roman" w:eastAsia="Times New Roman" w:hAnsi="Times New Roman" w:cs="Times New Roman"/>
          <w:color w:val="auto"/>
          <w:lang w:bidi="ar-SA"/>
        </w:rPr>
        <w:t>na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>leży</w:t>
      </w:r>
      <w:r w:rsidR="00F66DD5">
        <w:rPr>
          <w:rFonts w:ascii="Times New Roman" w:eastAsia="Times New Roman" w:hAnsi="Times New Roman" w:cs="Times New Roman"/>
          <w:color w:val="auto"/>
          <w:lang w:bidi="ar-SA"/>
        </w:rPr>
        <w:t xml:space="preserve"> uznać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uniemożliwienie tego typu destrukcyjnych praktyk poprzez wprowadzenie wymogu uzyskania zgody sejmiku na ogłoszenie przerwy. Dzięki temu przerwanie obrad uzależnione będzie od zgody większości, a nie od jednoosobowej decyzji przewodniczącego. Dlatego proponuje się dodanie art. 21 ust. 11 w brzmieniu: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>W uzasadnionych przypadkach sejmik województwa może postanowić o przerwaniu sesji. Rozstrzygając o przerwaniu sesji sejmik województ</w:t>
      </w:r>
      <w:r>
        <w:rPr>
          <w:rFonts w:ascii="Times New Roman" w:eastAsia="Times New Roman" w:hAnsi="Times New Roman" w:cs="Times New Roman"/>
          <w:i/>
          <w:color w:val="auto"/>
          <w:lang w:bidi="ar-SA"/>
        </w:rPr>
        <w:t>wa określa czas trwania przerwy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oraz art. 21 ust. 12 w brzmieniu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>Zamknięcie sesji następuje po zrealizowaniu wszystkich punktów porządku obrad.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Ponadto art. 20 ust. 3 ustawy o samorządzie województwa stanowi, że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zadaniem przewodniczącego sejmiku województwa jest wyłącznie organizowanie pracy sejmiku oraz prowadzenie obrad sejmiku. Przewodniczący może wyznaczyć do wykonywania swoich zadań wiceprzewodniczącego. W przypadku nieobecności przewodniczącego i niewyznaczenia wiceprzewodniczącego, zadania przewodniczącego wykonuje wiceprzewodniczący najstarszy wiekiem.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Takie brzmienie tego przepisu uniemożliwia kontynuowanie obrad pod nieobecność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przewodniczącego, gdy sejmik województwa nie wybrał żadnego wiceprzewodniczącego lub żaden z wiceprzewodniczących nie jest obecny. Wydaje się, że w sytuacji, w której sejmik dysponuje stosownym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quorum,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zasadne jest umożliwienie radnym wykonywania swoich obowiązków. Dlatego proponuje się </w:t>
      </w:r>
      <w:r>
        <w:rPr>
          <w:rFonts w:ascii="Times New Roman" w:eastAsia="Times New Roman" w:hAnsi="Times New Roman" w:cs="Times New Roman"/>
          <w:color w:val="auto"/>
          <w:lang w:bidi="ar-SA"/>
        </w:rPr>
        <w:t>zmianę brzmienia art. 20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ust. 3 zdanie 3: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W przypadku nieobecności przewodniczącego i niewyznaczenia wiceprzewodniczącego, zadania przewodniczącego wykonuje wiceprzewodniczący najstarszy wiekiem, a w przypadku nieobecności </w:t>
      </w:r>
      <w:r w:rsidR="00FE1391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lub niewybrania 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wiceprzewodniczącego zadania przewodniczącego wykonuje radny wskazany przez </w:t>
      </w:r>
      <w:r w:rsidR="00FE1391" w:rsidRPr="00FE1391">
        <w:rPr>
          <w:rFonts w:ascii="Times New Roman" w:eastAsia="Times New Roman" w:hAnsi="Times New Roman" w:cs="Times New Roman"/>
          <w:i/>
          <w:color w:val="auto"/>
        </w:rPr>
        <w:t>Prezesa Rady Ministrów</w:t>
      </w:r>
      <w:r w:rsidRPr="005F33C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.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Zgodnie z art. 78 ust. 1 </w:t>
      </w:r>
      <w:r w:rsidR="00FE1391" w:rsidRPr="00FE1391">
        <w:rPr>
          <w:rFonts w:ascii="Times New Roman" w:eastAsia="Times New Roman" w:hAnsi="Times New Roman" w:cs="Times New Roman"/>
          <w:color w:val="auto"/>
        </w:rPr>
        <w:t> Prezes Rady Ministrów 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należy do organów sprawujących nadzór nad działalnością samorządu województwa. Dlatego właściwe jest, aby to </w:t>
      </w:r>
      <w:r w:rsidR="00DB5CDB" w:rsidRPr="00DB5CDB">
        <w:rPr>
          <w:rFonts w:ascii="Times New Roman" w:eastAsia="Times New Roman" w:hAnsi="Times New Roman" w:cs="Times New Roman"/>
          <w:color w:val="auto"/>
        </w:rPr>
        <w:t> Prezes Rady Ministrów 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wskazywał radnego, który w tej szczególnej sytuacji będzie mógł wypełniać obowiązki przewodniczącego.</w:t>
      </w:r>
      <w:r w:rsidR="00FE1391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>W okresie przejściowym statuty województw mogą nie być dostosowane do wprowadzonych zmian, dlatego w art. 2 ust. 1 ust</w:t>
      </w:r>
      <w:r w:rsidR="00DB5CDB">
        <w:rPr>
          <w:rFonts w:ascii="Times New Roman" w:eastAsia="Times New Roman" w:hAnsi="Times New Roman" w:cs="Times New Roman"/>
          <w:color w:val="auto"/>
          <w:lang w:bidi="ar-SA"/>
        </w:rPr>
        <w:t>awy przewiduje się wyznaczenie 1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0-dniowego terminu na dostosowanie statutów do nowelizacji ustawy o samorządzie województwa. Jeżeli po upływie terminu określonego w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art. 2 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>ust. 1 statut województwa nie zostanie dostosowany do przepisów ustawy zmienianej, wojewoda wydaje zarządzenie zastępcze, w którym wprowadza w statucie województwa zmiany niezbędne do zapewnienia jego zgodności z ustawą. Jedn</w:t>
      </w:r>
      <w:r w:rsidR="00F66DD5">
        <w:rPr>
          <w:rFonts w:ascii="Times New Roman" w:eastAsia="Times New Roman" w:hAnsi="Times New Roman" w:cs="Times New Roman"/>
          <w:color w:val="auto"/>
          <w:lang w:bidi="ar-SA"/>
        </w:rPr>
        <w:t>ocześnie art. 3 ustawy wprowadza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 zasadę, zgodnie z którą w okresie od wejścia w życie ustawy do czasu dostosowania do niej statutu województwa, statut województwa zachowuje swoją ważność za wyjątkiem przepisów sprzecznych z </w:t>
      </w:r>
      <w:r w:rsidR="00F66DD5">
        <w:rPr>
          <w:rFonts w:ascii="Times New Roman" w:eastAsia="Times New Roman" w:hAnsi="Times New Roman" w:cs="Times New Roman"/>
          <w:color w:val="auto"/>
          <w:lang w:bidi="ar-SA"/>
        </w:rPr>
        <w:t>przepisami ustawy</w:t>
      </w:r>
      <w:r w:rsidRPr="005F33C8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 xml:space="preserve">Projekt nowelizacji ustawy ma na celu uniemożliwienie w przyszłości paraliżowania pracy sejmiku przez przewodniczących poprzez wykorzystywanie luki w obowiązujących obecnie przepisach prawa oraz wprowadzenie dodatkowych obostrzeń, które wzmocnią realizację przez przewodniczących ich podstawowych obowiązków, jakimi zgodnie z art. 20 ust. 3 ustawy o samorządzie województwa są organizowanie pracy sejmiku oraz prowadzenie obrad sejmiku, w tym m.in. realizacja porządku obrad. 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>Projekt ustawy nie pociąga za sobą obciążenia budżetu państwa lub budżetów jednostek samorządu terytorialnego.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>Projekt wywołuje pozytywne skutki społeczne, gospodarcze, finansowe i prawne.</w:t>
      </w: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F33C8" w:rsidRPr="005F33C8" w:rsidRDefault="005F33C8" w:rsidP="005F33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F33C8">
        <w:rPr>
          <w:rFonts w:ascii="Times New Roman" w:eastAsia="Times New Roman" w:hAnsi="Times New Roman" w:cs="Times New Roman"/>
          <w:color w:val="auto"/>
          <w:lang w:bidi="ar-SA"/>
        </w:rPr>
        <w:t>Przedmiot projektowanej regulacji nie jest objęty prawem Unii Europejskiej.</w:t>
      </w:r>
    </w:p>
    <w:p w:rsidR="005F33C8" w:rsidRPr="00A557BF" w:rsidRDefault="005F33C8" w:rsidP="00A557BF">
      <w:pPr>
        <w:pStyle w:val="ARTartustawynprozporzdzenia"/>
        <w:rPr>
          <w:rStyle w:val="Ppogrubienie"/>
          <w:b w:val="0"/>
        </w:rPr>
      </w:pPr>
    </w:p>
    <w:p w:rsidR="00126C45" w:rsidRDefault="00126C45">
      <w:pPr>
        <w:pStyle w:val="Nagwek10"/>
        <w:keepNext/>
        <w:keepLines/>
        <w:shd w:val="clear" w:color="auto" w:fill="auto"/>
        <w:spacing w:before="0" w:line="533" w:lineRule="exact"/>
        <w:jc w:val="center"/>
      </w:pPr>
    </w:p>
    <w:sectPr w:rsidR="00126C45" w:rsidSect="005D10F5">
      <w:pgSz w:w="11900" w:h="16840"/>
      <w:pgMar w:top="851" w:right="1276" w:bottom="426" w:left="14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40F" w:rsidRDefault="000E240F">
      <w:r>
        <w:separator/>
      </w:r>
    </w:p>
  </w:endnote>
  <w:endnote w:type="continuationSeparator" w:id="0">
    <w:p w:rsidR="000E240F" w:rsidRDefault="000E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40F" w:rsidRDefault="000E240F"/>
  </w:footnote>
  <w:footnote w:type="continuationSeparator" w:id="0">
    <w:p w:rsidR="000E240F" w:rsidRDefault="000E240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2D"/>
    <w:rsid w:val="00044433"/>
    <w:rsid w:val="000E240F"/>
    <w:rsid w:val="00126C45"/>
    <w:rsid w:val="001D55AC"/>
    <w:rsid w:val="002E0158"/>
    <w:rsid w:val="002F0E2E"/>
    <w:rsid w:val="004557EE"/>
    <w:rsid w:val="00511471"/>
    <w:rsid w:val="005C7DDD"/>
    <w:rsid w:val="005D10F5"/>
    <w:rsid w:val="005F33C8"/>
    <w:rsid w:val="00662E30"/>
    <w:rsid w:val="006B4329"/>
    <w:rsid w:val="00791C05"/>
    <w:rsid w:val="00A557BF"/>
    <w:rsid w:val="00B4255E"/>
    <w:rsid w:val="00BC192D"/>
    <w:rsid w:val="00DB5CDB"/>
    <w:rsid w:val="00F66DD5"/>
    <w:rsid w:val="00F97920"/>
    <w:rsid w:val="00FE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BD077-2B79-49AA-881F-7AE7FC2E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600" w:line="0" w:lineRule="atLeast"/>
      <w:ind w:hanging="340"/>
      <w:jc w:val="right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600" w:line="41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36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533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C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C45"/>
    <w:rPr>
      <w:rFonts w:ascii="Segoe UI" w:hAnsi="Segoe UI" w:cs="Segoe UI"/>
      <w:color w:val="000000"/>
      <w:sz w:val="18"/>
      <w:szCs w:val="18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F97920"/>
    <w:pPr>
      <w:keepNext/>
      <w:widowControl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lang w:bidi="ar-SA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97920"/>
    <w:pPr>
      <w:keepNext/>
      <w:widowControl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bidi="ar-SA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F97920"/>
    <w:pPr>
      <w:keepNext/>
      <w:widowControl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lang w:bidi="ar-SA"/>
    </w:rPr>
  </w:style>
  <w:style w:type="paragraph" w:customStyle="1" w:styleId="ARTartustawynprozporzdzenia">
    <w:name w:val="ART(§) – art. ustawy (§ np. rozporządzenia)"/>
    <w:uiPriority w:val="11"/>
    <w:qFormat/>
    <w:rsid w:val="00F97920"/>
    <w:pPr>
      <w:widowControl/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Cs w:val="20"/>
      <w:lang w:bidi="ar-SA"/>
    </w:rPr>
  </w:style>
  <w:style w:type="character" w:customStyle="1" w:styleId="Ppogrubienie">
    <w:name w:val="_P_ – pogrubienie"/>
    <w:basedOn w:val="Domylnaczcionkaakapitu"/>
    <w:uiPriority w:val="1"/>
    <w:qFormat/>
    <w:rsid w:val="00F97920"/>
    <w:rPr>
      <w:b/>
    </w:rPr>
  </w:style>
  <w:style w:type="paragraph" w:customStyle="1" w:styleId="PKTpunkt">
    <w:name w:val="PKT – punkt"/>
    <w:uiPriority w:val="13"/>
    <w:qFormat/>
    <w:rsid w:val="00F97920"/>
    <w:pPr>
      <w:widowControl/>
      <w:spacing w:line="360" w:lineRule="auto"/>
      <w:ind w:left="510" w:hanging="510"/>
      <w:jc w:val="both"/>
    </w:pPr>
    <w:rPr>
      <w:rFonts w:ascii="Times" w:eastAsiaTheme="minorEastAsia" w:hAnsi="Times" w:cs="Arial"/>
      <w:bCs/>
      <w:szCs w:val="20"/>
      <w:lang w:bidi="ar-SA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97920"/>
    <w:pPr>
      <w:spacing w:before="0"/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97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 PiS</dc:creator>
  <cp:lastModifiedBy>Grzegorz Molesztak</cp:lastModifiedBy>
  <cp:revision>5</cp:revision>
  <cp:lastPrinted>2018-12-06T10:42:00Z</cp:lastPrinted>
  <dcterms:created xsi:type="dcterms:W3CDTF">2018-12-06T19:04:00Z</dcterms:created>
  <dcterms:modified xsi:type="dcterms:W3CDTF">2018-12-07T08:00:00Z</dcterms:modified>
</cp:coreProperties>
</file>