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6E7" w:rsidRPr="00641D43" w:rsidRDefault="00C316E7" w:rsidP="004C2232">
      <w:pPr>
        <w:pStyle w:val="Tytu"/>
        <w:rPr>
          <w:b w:val="0"/>
        </w:rPr>
      </w:pPr>
      <w:bookmarkStart w:id="0" w:name="_GoBack"/>
      <w:bookmarkEnd w:id="0"/>
      <w:r w:rsidRPr="00641D43">
        <w:rPr>
          <w:b w:val="0"/>
        </w:rPr>
        <w:t xml:space="preserve">UZASADNIENIE </w:t>
      </w:r>
    </w:p>
    <w:p w:rsidR="00B4762E" w:rsidRPr="00641D43" w:rsidRDefault="00B4762E" w:rsidP="00EA742D">
      <w:pPr>
        <w:spacing w:before="240" w:line="360" w:lineRule="auto"/>
        <w:jc w:val="both"/>
        <w:rPr>
          <w:rFonts w:eastAsia="Calibri"/>
        </w:rPr>
      </w:pPr>
      <w:r w:rsidRPr="00641D43">
        <w:t>Waloryzacja świadczeń emerytalno-rentowych stanowi ważny element konstrukcji systemu ubezpieczeń społecznych. Ekonomiczna funkcja waloryzacji świadczeń polega na przeciwdziałaniu deprecjacji świadczeń i tym samym na zapobieganiu obniżani</w:t>
      </w:r>
      <w:r w:rsidR="00FF1FA2" w:rsidRPr="00641D43">
        <w:t>u</w:t>
      </w:r>
      <w:r w:rsidRPr="00641D43">
        <w:t xml:space="preserve"> poziomu materialnego życia emerytów i rencistów w warunkach inflacji.</w:t>
      </w:r>
    </w:p>
    <w:p w:rsidR="00B4762E" w:rsidRPr="00641D43" w:rsidRDefault="00B4762E" w:rsidP="00641D43">
      <w:pPr>
        <w:spacing w:before="120" w:line="360" w:lineRule="auto"/>
        <w:jc w:val="both"/>
      </w:pPr>
      <w:r w:rsidRPr="00641D43">
        <w:t>Według obecnego stanu prawnego uregulowanego w</w:t>
      </w:r>
      <w:r w:rsidR="002C0981" w:rsidRPr="00641D43">
        <w:t xml:space="preserve"> ustawie z dnia 17 grudnia 1998</w:t>
      </w:r>
      <w:r w:rsidR="00641D43">
        <w:t xml:space="preserve"> </w:t>
      </w:r>
      <w:r w:rsidRPr="00641D43">
        <w:t xml:space="preserve">r. </w:t>
      </w:r>
      <w:r w:rsidR="002C0981" w:rsidRPr="00641D43">
        <w:t>o</w:t>
      </w:r>
      <w:r w:rsidR="00641D43">
        <w:t xml:space="preserve"> </w:t>
      </w:r>
      <w:r w:rsidRPr="00641D43">
        <w:t>emeryturach i rentach z Funduszu Ubezpieczeń Społecznych (Dz. U. z 201</w:t>
      </w:r>
      <w:r w:rsidR="00D53390" w:rsidRPr="00641D43">
        <w:t>8</w:t>
      </w:r>
      <w:r w:rsidR="00FF1FA2" w:rsidRPr="00641D43">
        <w:t xml:space="preserve"> r.</w:t>
      </w:r>
      <w:r w:rsidR="00641D43">
        <w:t xml:space="preserve"> poz. </w:t>
      </w:r>
      <w:r w:rsidR="00D53390" w:rsidRPr="00641D43">
        <w:t>1270</w:t>
      </w:r>
      <w:r w:rsidR="00736E79" w:rsidRPr="00641D43">
        <w:t xml:space="preserve">, z </w:t>
      </w:r>
      <w:proofErr w:type="spellStart"/>
      <w:r w:rsidR="00736E79" w:rsidRPr="00641D43">
        <w:t>późn</w:t>
      </w:r>
      <w:proofErr w:type="spellEnd"/>
      <w:r w:rsidR="00736E79" w:rsidRPr="00641D43">
        <w:t>. zm.</w:t>
      </w:r>
      <w:r w:rsidRPr="00641D43">
        <w:t>)</w:t>
      </w:r>
      <w:r w:rsidR="00FF1FA2" w:rsidRPr="00641D43">
        <w:t>,</w:t>
      </w:r>
      <w:r w:rsidRPr="00641D43">
        <w:t xml:space="preserve"> zwan</w:t>
      </w:r>
      <w:r w:rsidR="00F10D51" w:rsidRPr="00641D43">
        <w:t>ej</w:t>
      </w:r>
      <w:r w:rsidRPr="00641D43">
        <w:t xml:space="preserve"> dalej „ustawą o emeryturach i rentach z FUS”, coroczna waloryzacja przeprowadzana jest od dnia 1 marca przy zastosowaniu procentowego wskaźnika waloryzacji, który odpowiada średniorocznemu wskaźnikowi cen towarów i usług konsumpcyjnych w poprzednim roku kalendarzowym zwiększonemu o co najmniej 20% realnego wzros</w:t>
      </w:r>
      <w:r w:rsidR="00315A00">
        <w:t>tu przeciętnego wynagrodzenia w </w:t>
      </w:r>
      <w:r w:rsidRPr="00641D43">
        <w:t>poprzednim roku kalendarzowym. Zwiększenie o co najmniej 20% realnego wzr</w:t>
      </w:r>
      <w:r w:rsidR="00630F5E" w:rsidRPr="00641D43">
        <w:t>ostu przeciętnego wynagrodzenia</w:t>
      </w:r>
      <w:r w:rsidRPr="00641D43">
        <w:t xml:space="preserve"> jest przedmiotem corocznych negocjacji w ramach Rady Dialogu Społecznego (RDS), przeprowadzanych w czerwcu, w roku poprzedzającym waloryzację.</w:t>
      </w:r>
    </w:p>
    <w:p w:rsidR="00B4762E" w:rsidRPr="00641D43" w:rsidRDefault="00B4762E" w:rsidP="00641D43">
      <w:pPr>
        <w:spacing w:before="120" w:line="360" w:lineRule="auto"/>
        <w:jc w:val="both"/>
      </w:pPr>
      <w:r w:rsidRPr="00641D43">
        <w:t>Z powyższego wynika, że wszystkie wypłacane świadczenia są podwyższane o ten sam procent, w związku z tym im niższe świadczenie, tym niższa kwota podwyżki. Również minimalne emerytury i renty wzrastają w tym samym tempie.</w:t>
      </w:r>
    </w:p>
    <w:p w:rsidR="00B4762E" w:rsidRPr="00641D43" w:rsidRDefault="00B4762E" w:rsidP="00641D43">
      <w:pPr>
        <w:spacing w:before="120" w:line="360" w:lineRule="auto"/>
        <w:jc w:val="both"/>
      </w:pPr>
      <w:r w:rsidRPr="00641D43">
        <w:t xml:space="preserve">W ostatnich latach, </w:t>
      </w:r>
      <w:r w:rsidR="009F03B2">
        <w:t>a</w:t>
      </w:r>
      <w:r w:rsidRPr="00641D43">
        <w:t>by chronić poziom najniższych świadczeń emerytalno-rentowych</w:t>
      </w:r>
      <w:r w:rsidR="00FF1FA2" w:rsidRPr="00641D43">
        <w:t>,</w:t>
      </w:r>
      <w:r w:rsidRPr="00641D43">
        <w:t xml:space="preserve"> zasady waloryzacji były modyfikowane. </w:t>
      </w:r>
    </w:p>
    <w:p w:rsidR="00C316E7" w:rsidRPr="00641D43" w:rsidRDefault="00C316E7" w:rsidP="00641D43">
      <w:pPr>
        <w:spacing w:before="120" w:line="360" w:lineRule="auto"/>
        <w:jc w:val="both"/>
        <w:rPr>
          <w:color w:val="000000"/>
        </w:rPr>
      </w:pPr>
      <w:r w:rsidRPr="00641D43">
        <w:rPr>
          <w:color w:val="000000"/>
        </w:rPr>
        <w:t>W 2012 r. incydentalnie została wprowadzona</w:t>
      </w:r>
      <w:r w:rsidR="00630F5E" w:rsidRPr="00641D43">
        <w:rPr>
          <w:color w:val="000000"/>
        </w:rPr>
        <w:t>,</w:t>
      </w:r>
      <w:r w:rsidRPr="00641D43">
        <w:rPr>
          <w:color w:val="000000"/>
        </w:rPr>
        <w:t xml:space="preserve"> w miejsce waloryzacji procentowej</w:t>
      </w:r>
      <w:r w:rsidR="00630F5E" w:rsidRPr="00641D43">
        <w:rPr>
          <w:color w:val="000000"/>
        </w:rPr>
        <w:t>,</w:t>
      </w:r>
      <w:r w:rsidRPr="00641D43">
        <w:rPr>
          <w:color w:val="000000"/>
        </w:rPr>
        <w:t xml:space="preserve"> waloryzacj</w:t>
      </w:r>
      <w:r w:rsidR="00630F5E" w:rsidRPr="00641D43">
        <w:rPr>
          <w:color w:val="000000"/>
        </w:rPr>
        <w:t>a kwotowa.</w:t>
      </w:r>
      <w:r w:rsidRPr="00641D43">
        <w:rPr>
          <w:color w:val="000000"/>
        </w:rPr>
        <w:t xml:space="preserve"> </w:t>
      </w:r>
      <w:r w:rsidR="00630F5E" w:rsidRPr="00641D43">
        <w:t>Ś</w:t>
      </w:r>
      <w:r w:rsidRPr="00641D43">
        <w:t>wiadczenia emerytalno-rentowe</w:t>
      </w:r>
      <w:r w:rsidR="00630F5E" w:rsidRPr="00641D43">
        <w:t xml:space="preserve"> zostały podwyższone</w:t>
      </w:r>
      <w:r w:rsidR="00011717" w:rsidRPr="00641D43">
        <w:t xml:space="preserve"> co do zasady</w:t>
      </w:r>
      <w:r w:rsidR="00630F5E" w:rsidRPr="00641D43">
        <w:t xml:space="preserve"> o kwotę 71</w:t>
      </w:r>
      <w:r w:rsidR="00641D43">
        <w:t xml:space="preserve"> </w:t>
      </w:r>
      <w:r w:rsidRPr="00641D43">
        <w:t>zł</w:t>
      </w:r>
      <w:r w:rsidRPr="00641D43">
        <w:rPr>
          <w:rStyle w:val="Odwoanieprzypisudolnego"/>
        </w:rPr>
        <w:footnoteReference w:id="1"/>
      </w:r>
      <w:r w:rsidR="00F34473" w:rsidRPr="00641D43">
        <w:rPr>
          <w:vertAlign w:val="superscript"/>
        </w:rPr>
        <w:t>)</w:t>
      </w:r>
      <w:r w:rsidRPr="00641D43">
        <w:t>.</w:t>
      </w:r>
      <w:r w:rsidRPr="00641D43">
        <w:rPr>
          <w:color w:val="000000"/>
        </w:rPr>
        <w:t xml:space="preserve"> </w:t>
      </w:r>
      <w:r w:rsidRPr="00641D43">
        <w:t>W 2013 r. wskaźnik waloryzacji wyn</w:t>
      </w:r>
      <w:r w:rsidR="00742705" w:rsidRPr="00641D43">
        <w:t>iósł</w:t>
      </w:r>
      <w:r w:rsidRPr="00641D43">
        <w:t xml:space="preserve"> 104,0% (przeciętna</w:t>
      </w:r>
      <w:r w:rsidR="00630F5E" w:rsidRPr="00641D43">
        <w:t xml:space="preserve"> podwyżka 70,61 zł), natomiast </w:t>
      </w:r>
      <w:r w:rsidRPr="00641D43">
        <w:t xml:space="preserve">w 2014 r. świadczenia emerytalno-rentowe zostały podwyższone wskaźnikiem waloryzacji </w:t>
      </w:r>
      <w:r w:rsidR="00742705" w:rsidRPr="00641D43">
        <w:t>na poziomie</w:t>
      </w:r>
      <w:r w:rsidR="00692F9F" w:rsidRPr="00641D43">
        <w:t xml:space="preserve"> 101,6</w:t>
      </w:r>
      <w:r w:rsidR="005C2C42" w:rsidRPr="00641D43">
        <w:t>% (</w:t>
      </w:r>
      <w:r w:rsidRPr="00641D43">
        <w:t>przeciętna podwyżka 29,87 zł</w:t>
      </w:r>
      <w:r w:rsidR="005C2C42" w:rsidRPr="00641D43">
        <w:t>)</w:t>
      </w:r>
      <w:r w:rsidRPr="00641D43">
        <w:t xml:space="preserve">. </w:t>
      </w:r>
    </w:p>
    <w:p w:rsidR="00C316E7" w:rsidRPr="00641D43" w:rsidRDefault="00C316E7" w:rsidP="00641D43">
      <w:pPr>
        <w:spacing w:before="120" w:line="360" w:lineRule="auto"/>
        <w:jc w:val="both"/>
        <w:rPr>
          <w:color w:val="000000"/>
        </w:rPr>
      </w:pPr>
      <w:r w:rsidRPr="00641D43">
        <w:rPr>
          <w:color w:val="000000"/>
        </w:rPr>
        <w:t xml:space="preserve">W 2015 r. świadczenia emerytalno-rentowe zostały podwyższone wskaźnikiem waloryzacji wynoszącym 100,68%, jednak </w:t>
      </w:r>
      <w:r w:rsidR="00011717" w:rsidRPr="00641D43">
        <w:rPr>
          <w:color w:val="000000"/>
        </w:rPr>
        <w:t xml:space="preserve">co do zasady </w:t>
      </w:r>
      <w:r w:rsidRPr="00641D43">
        <w:rPr>
          <w:color w:val="000000"/>
        </w:rPr>
        <w:t xml:space="preserve">nie mniej niż o kwotę </w:t>
      </w:r>
      <w:r w:rsidRPr="00641D43">
        <w:rPr>
          <w:color w:val="000000"/>
        </w:rPr>
        <w:lastRenderedPageBreak/>
        <w:t>wynoszącą 36 zł</w:t>
      </w:r>
      <w:r w:rsidRPr="00641D43">
        <w:rPr>
          <w:rStyle w:val="Odwoanieprzypisudolnego"/>
          <w:color w:val="000000"/>
        </w:rPr>
        <w:footnoteReference w:id="2"/>
      </w:r>
      <w:r w:rsidR="00F34473" w:rsidRPr="00641D43">
        <w:rPr>
          <w:color w:val="000000"/>
          <w:vertAlign w:val="superscript"/>
        </w:rPr>
        <w:t>)</w:t>
      </w:r>
      <w:r w:rsidRPr="00641D43">
        <w:rPr>
          <w:color w:val="000000"/>
        </w:rPr>
        <w:t>. W wyniku modyfikacji zasad waloryzacji w 2015 r. najniższa emerytura, renta rodzinna i renta z tytułu całkowitej niezdol</w:t>
      </w:r>
      <w:r w:rsidR="00630F5E" w:rsidRPr="00641D43">
        <w:rPr>
          <w:color w:val="000000"/>
        </w:rPr>
        <w:t>ności do pracy</w:t>
      </w:r>
      <w:r w:rsidR="00FF1FA2" w:rsidRPr="00641D43">
        <w:rPr>
          <w:color w:val="000000"/>
        </w:rPr>
        <w:t>,</w:t>
      </w:r>
      <w:r w:rsidRPr="00641D43">
        <w:rPr>
          <w:color w:val="000000"/>
        </w:rPr>
        <w:t xml:space="preserve"> wypłacana w gwarantowanej przez państwo wysokości, wzrosła nie o </w:t>
      </w:r>
      <w:r w:rsidR="00C51D2D" w:rsidRPr="00641D43">
        <w:rPr>
          <w:color w:val="000000"/>
        </w:rPr>
        <w:t>5,74</w:t>
      </w:r>
      <w:r w:rsidR="00315A00">
        <w:rPr>
          <w:color w:val="000000"/>
        </w:rPr>
        <w:t xml:space="preserve"> zł, tj. o 0,68%, lecz o 36 </w:t>
      </w:r>
      <w:r w:rsidRPr="00641D43">
        <w:rPr>
          <w:color w:val="000000"/>
        </w:rPr>
        <w:t>zł, tj. o 4,26%, z kwoty 844,45 zł do kwoty 880,45 zł.</w:t>
      </w:r>
    </w:p>
    <w:p w:rsidR="00B4762E" w:rsidRPr="00641D43" w:rsidRDefault="00B4762E" w:rsidP="00641D43">
      <w:pPr>
        <w:spacing w:before="120" w:line="360" w:lineRule="auto"/>
        <w:jc w:val="both"/>
        <w:rPr>
          <w:color w:val="000000"/>
        </w:rPr>
      </w:pPr>
      <w:r w:rsidRPr="00641D43">
        <w:rPr>
          <w:color w:val="000000"/>
        </w:rPr>
        <w:t xml:space="preserve">W 2016 r. wsparciem dla szerokiej grupy emerytów i rencistów, z jednoczesnym zachowaniem wartości realnej wszystkich emerytur i rent, była wypłata jednorazowego dodatku, wynikająca z ustawy z dnia 15 stycznia 2016 r. o jednorazowym dodatku pieniężnym dla niektórych emerytów, rencistów i osób pobierających świadczenia przedemerytalne, zasiłki przedemerytalne, emerytury pomostowe albo nauczycielskie świadczenia kompensacyjne w 2016 r. (Dz. U. poz. </w:t>
      </w:r>
      <w:r w:rsidR="00FF1FA2" w:rsidRPr="00641D43">
        <w:rPr>
          <w:color w:val="000000"/>
        </w:rPr>
        <w:t>2011</w:t>
      </w:r>
      <w:r w:rsidRPr="00641D43">
        <w:rPr>
          <w:color w:val="000000"/>
        </w:rPr>
        <w:t>). Wypłata dodatku była rozwiązaniem komplementarnym wobec mechanizmu waloryzacji i jej niskiego poziomu w 2016 r., a kwota dodatku uzależniona została od wysokości świadczenia lub świadczeń pobieranych w zbiegu (od 50 zł do 400 zł netto). Dodatek stanowił wsparcie dla licznej grupy (ok. 6,5 mln) świadczeniobiorców.</w:t>
      </w:r>
    </w:p>
    <w:p w:rsidR="0050326F" w:rsidRPr="00641D43" w:rsidRDefault="00B4762E" w:rsidP="00641D43">
      <w:pPr>
        <w:spacing w:before="120" w:line="360" w:lineRule="auto"/>
        <w:jc w:val="both"/>
        <w:rPr>
          <w:color w:val="000000"/>
        </w:rPr>
      </w:pPr>
      <w:r w:rsidRPr="00641D43">
        <w:rPr>
          <w:color w:val="000000"/>
        </w:rPr>
        <w:t>W 2017 r., przy wskaźniku waloryzacji 100,44%, zagwarantowana została minimalna podwyżka świadczeń na poziomie 10 zł</w:t>
      </w:r>
      <w:r w:rsidR="00630F5E" w:rsidRPr="00641D43">
        <w:rPr>
          <w:color w:val="000000"/>
        </w:rPr>
        <w:t xml:space="preserve">. </w:t>
      </w:r>
    </w:p>
    <w:p w:rsidR="00B4762E" w:rsidRPr="00641D43" w:rsidRDefault="00630F5E" w:rsidP="00641D43">
      <w:pPr>
        <w:spacing w:before="120" w:line="360" w:lineRule="auto"/>
        <w:jc w:val="both"/>
        <w:rPr>
          <w:color w:val="000000"/>
        </w:rPr>
      </w:pPr>
      <w:r w:rsidRPr="00641D43">
        <w:rPr>
          <w:color w:val="000000"/>
        </w:rPr>
        <w:t>Jednocześnie w tym samym roku</w:t>
      </w:r>
      <w:r w:rsidR="00B4762E" w:rsidRPr="00641D43">
        <w:rPr>
          <w:color w:val="000000"/>
        </w:rPr>
        <w:t xml:space="preserve"> podwyższone zostały najniższe świadczenia emerytalno-rentowe. Dla osób spełniających warunki stażowe najniższa emerytura, renta z tytułu całkowitej niezdolności do pracy i renta </w:t>
      </w:r>
      <w:r w:rsidR="00315A00">
        <w:rPr>
          <w:color w:val="000000"/>
        </w:rPr>
        <w:t>rodzinna wzrosły z kwoty 882,56 </w:t>
      </w:r>
      <w:r w:rsidR="00B4762E" w:rsidRPr="00641D43">
        <w:rPr>
          <w:color w:val="000000"/>
        </w:rPr>
        <w:t>zł do kwoty 1000 zł, co oznaczało wzrost o 117,44 zł, tj. o 13,3%. Renta z tytułu częściowej niezdolności do pracy została podniesiona z k</w:t>
      </w:r>
      <w:r w:rsidR="00315A00">
        <w:rPr>
          <w:color w:val="000000"/>
        </w:rPr>
        <w:t>woty 676,75 zł do kwoty 750 </w:t>
      </w:r>
      <w:r w:rsidR="00B4762E" w:rsidRPr="00641D43">
        <w:rPr>
          <w:color w:val="000000"/>
        </w:rPr>
        <w:t xml:space="preserve">zł, co oznaczało jej wzrost o 73,25 zł, tj. o 10,8%, </w:t>
      </w:r>
      <w:r w:rsidR="00315A00">
        <w:rPr>
          <w:color w:val="000000"/>
        </w:rPr>
        <w:t>a renta socjalna z kwoty 741,35 </w:t>
      </w:r>
      <w:r w:rsidR="00B4762E" w:rsidRPr="00641D43">
        <w:rPr>
          <w:color w:val="000000"/>
        </w:rPr>
        <w:t>zł do kwoty 840 zł, co oznaczało wzrost teg</w:t>
      </w:r>
      <w:r w:rsidR="00F03921">
        <w:rPr>
          <w:color w:val="000000"/>
        </w:rPr>
        <w:t>o świadczenia o 98,65 zł, tj. </w:t>
      </w:r>
      <w:r w:rsidR="00315A00">
        <w:rPr>
          <w:color w:val="000000"/>
        </w:rPr>
        <w:t>o </w:t>
      </w:r>
      <w:r w:rsidR="00B4762E" w:rsidRPr="00641D43">
        <w:rPr>
          <w:color w:val="000000"/>
        </w:rPr>
        <w:t>13,3%.</w:t>
      </w:r>
    </w:p>
    <w:p w:rsidR="00C052A0" w:rsidRPr="00641D43" w:rsidRDefault="00C052A0" w:rsidP="00641D43">
      <w:pPr>
        <w:spacing w:before="120" w:line="360" w:lineRule="auto"/>
        <w:jc w:val="both"/>
        <w:rPr>
          <w:color w:val="000000"/>
        </w:rPr>
      </w:pPr>
      <w:r w:rsidRPr="00641D43">
        <w:rPr>
          <w:color w:val="000000"/>
        </w:rPr>
        <w:t xml:space="preserve">W roku 2018 wskaźnik waloryzacji ukształtował się na poziomie 102,98%, co oznaczało </w:t>
      </w:r>
      <w:r w:rsidR="0084328F" w:rsidRPr="00641D43">
        <w:rPr>
          <w:color w:val="000000"/>
        </w:rPr>
        <w:t xml:space="preserve">najwyższy wzrost świadczeń w okresie ostatnich pięciu lat oraz </w:t>
      </w:r>
      <w:r w:rsidRPr="00641D43">
        <w:rPr>
          <w:color w:val="000000"/>
        </w:rPr>
        <w:t xml:space="preserve">wzrost najniższej emerytury, renty z tytułu całkowitej niezdolności do pracy i renty rodzinnej do kwoty 1029,80 zł. </w:t>
      </w:r>
    </w:p>
    <w:p w:rsidR="00EC0DC9" w:rsidRPr="00641D43" w:rsidRDefault="006E7F49" w:rsidP="00641D43">
      <w:pPr>
        <w:spacing w:before="120" w:line="360" w:lineRule="auto"/>
        <w:jc w:val="both"/>
      </w:pPr>
      <w:r w:rsidRPr="00641D43">
        <w:t xml:space="preserve">Prognozuje się, że wskaźnik waloryzacji emerytur i rent w 2019 r. wyniesie nie mniej niż 103,26%. </w:t>
      </w:r>
      <w:r w:rsidR="00B9419C" w:rsidRPr="00641D43">
        <w:t>A</w:t>
      </w:r>
      <w:r w:rsidR="00EC0DC9" w:rsidRPr="00641D43">
        <w:t>ktualna prognoza średnior</w:t>
      </w:r>
      <w:r w:rsidR="00582CD0" w:rsidRPr="00641D43">
        <w:t xml:space="preserve">ocznego wskaźnika cen towarów i </w:t>
      </w:r>
      <w:r w:rsidR="00EC0DC9" w:rsidRPr="00641D43">
        <w:t xml:space="preserve">usług </w:t>
      </w:r>
      <w:r w:rsidR="00EC0DC9" w:rsidRPr="00641D43">
        <w:lastRenderedPageBreak/>
        <w:t xml:space="preserve">konsumpcyjnych ogółem w 2018 r. kształtuje się na poziomie 102,3%, natomiast prognoza średniorocznego wskaźnika cen towarów i usług konsumpcyjnych dla gospodarstw domowych emerytów i rencistów w 2018 r. </w:t>
      </w:r>
      <w:r w:rsidR="00FF1FA2" w:rsidRPr="00641D43">
        <w:t>‒</w:t>
      </w:r>
      <w:r w:rsidR="00EC0DC9" w:rsidRPr="00641D43">
        <w:t xml:space="preserve"> na poziomie 102,6%. Z kolei prognozowany realny wzrost przeciętnego wynagro</w:t>
      </w:r>
      <w:r w:rsidR="00315A00">
        <w:t>dzenia w gospodarce narodowej w </w:t>
      </w:r>
      <w:r w:rsidR="00EC0DC9" w:rsidRPr="00641D43">
        <w:t xml:space="preserve">2018 r. wynosi 3,3%, co oznacza, że prognozowane obligatoryjne 20% realnego wzrostu wynagrodzeń za rok 2018 wynosi 0,66%. </w:t>
      </w:r>
      <w:r w:rsidR="00A13604" w:rsidRPr="00641D43">
        <w:t xml:space="preserve">Koszt waloryzacji przy wskaźniku na poziomie 103,26% to </w:t>
      </w:r>
      <w:r w:rsidR="00391AD8" w:rsidRPr="00641D43">
        <w:t>6,8</w:t>
      </w:r>
      <w:r w:rsidR="00976360" w:rsidRPr="00641D43">
        <w:t>86</w:t>
      </w:r>
      <w:r w:rsidR="00A13604" w:rsidRPr="00641D43">
        <w:t xml:space="preserve"> mld zł.</w:t>
      </w:r>
    </w:p>
    <w:p w:rsidR="00B4762E" w:rsidRPr="00641D43" w:rsidRDefault="00B4762E" w:rsidP="00641D43">
      <w:pPr>
        <w:spacing w:before="120" w:line="360" w:lineRule="auto"/>
        <w:jc w:val="both"/>
        <w:rPr>
          <w:color w:val="000000"/>
        </w:rPr>
      </w:pPr>
      <w:r w:rsidRPr="00641D43">
        <w:rPr>
          <w:color w:val="000000"/>
        </w:rPr>
        <w:t xml:space="preserve">Waloryzacja świadczeń emerytalno-rentowych jest tym elementem systemu ubezpieczeń społecznych, który można stosować elastycznie, </w:t>
      </w:r>
      <w:r w:rsidR="00DE4901" w:rsidRPr="00641D43">
        <w:rPr>
          <w:color w:val="000000"/>
        </w:rPr>
        <w:t>odpowiednio</w:t>
      </w:r>
      <w:r w:rsidRPr="00641D43">
        <w:rPr>
          <w:color w:val="000000"/>
        </w:rPr>
        <w:t xml:space="preserve"> do możliwości finansowych tego systemu, mając na uwadze z jednej strony sytuację gospodarczą kraju, a z drugiej konieczność ochrony niektórych grup społecznych przed ubóstwem.</w:t>
      </w:r>
    </w:p>
    <w:p w:rsidR="00AC2111" w:rsidRPr="00641D43" w:rsidRDefault="00B4762E" w:rsidP="00641D43">
      <w:pPr>
        <w:spacing w:before="120" w:line="360" w:lineRule="auto"/>
        <w:jc w:val="both"/>
        <w:rPr>
          <w:color w:val="000000"/>
        </w:rPr>
      </w:pPr>
      <w:r w:rsidRPr="00641D43">
        <w:rPr>
          <w:color w:val="000000"/>
        </w:rPr>
        <w:t xml:space="preserve">Sposób waloryzacji świadczeń emerytalno-rentowych jest jedną z najbardziej drażliwych i szeroko komentowanych kwestii. Wynika to między innymi z niemożności zaspokojenia wszystkich oczekiwań świadczeniobiorców zgłaszających w tej kwestii wiele, często wzajemnie wykluczających się wniosków. </w:t>
      </w:r>
    </w:p>
    <w:p w:rsidR="00B4762E" w:rsidRPr="00641D43" w:rsidRDefault="00B4762E" w:rsidP="00641D43">
      <w:pPr>
        <w:spacing w:before="120" w:line="360" w:lineRule="auto"/>
        <w:jc w:val="both"/>
        <w:rPr>
          <w:color w:val="000000"/>
        </w:rPr>
      </w:pPr>
      <w:r w:rsidRPr="00641D43">
        <w:rPr>
          <w:color w:val="000000"/>
        </w:rPr>
        <w:t>W okresie ostatnich lat zasady waloryzacji świadczeń i mechanizm jej przeprowadzania były przedmiotem licznych zmian. Ewolucja prawnej regulacji waloryzacji świadczeń w Polsce wskazuje, że wciąż poszukiwane są optymalne w danym czasie mechanizmy waloryzacji, uwzględniające z jednej strony potrzeby s</w:t>
      </w:r>
      <w:r w:rsidR="00315A00">
        <w:rPr>
          <w:color w:val="000000"/>
        </w:rPr>
        <w:t>ocjalne świadczeniobiorców, a z </w:t>
      </w:r>
      <w:r w:rsidRPr="00641D43">
        <w:rPr>
          <w:color w:val="000000"/>
        </w:rPr>
        <w:t xml:space="preserve">drugiej bieżącą sytuację gospodarczą, stan budżetu państwa i finansów ubezpieczeń społecznych. </w:t>
      </w:r>
    </w:p>
    <w:p w:rsidR="00B4762E" w:rsidRPr="00641D43" w:rsidRDefault="00DF318E" w:rsidP="00641D43">
      <w:pPr>
        <w:spacing w:before="120" w:line="360" w:lineRule="auto"/>
        <w:jc w:val="both"/>
        <w:rPr>
          <w:color w:val="000000"/>
        </w:rPr>
      </w:pPr>
      <w:r>
        <w:rPr>
          <w:color w:val="000000"/>
        </w:rPr>
        <w:t>M</w:t>
      </w:r>
      <w:r w:rsidR="00B4762E" w:rsidRPr="00641D43">
        <w:rPr>
          <w:color w:val="000000"/>
        </w:rPr>
        <w:t>imo wielu zmian dokonanych w ostatnich latach</w:t>
      </w:r>
      <w:r w:rsidR="004F4D98" w:rsidRPr="00641D43">
        <w:rPr>
          <w:color w:val="000000"/>
        </w:rPr>
        <w:t>,</w:t>
      </w:r>
      <w:r w:rsidR="00B4762E" w:rsidRPr="00641D43">
        <w:rPr>
          <w:color w:val="000000"/>
        </w:rPr>
        <w:t xml:space="preserve"> idących w kierunku poprawy sytuacji osób pobierających najniższe świadczenia emerytalno-rentowe, wysokość tych świadczeń wciąż uznawana jest za niewystarczającą w odniesieniu do kosztów utrzymania.</w:t>
      </w:r>
    </w:p>
    <w:p w:rsidR="00B4762E" w:rsidRPr="00641D43" w:rsidRDefault="00B4762E" w:rsidP="00641D43">
      <w:pPr>
        <w:spacing w:before="120" w:line="360" w:lineRule="auto"/>
        <w:jc w:val="both"/>
        <w:rPr>
          <w:color w:val="000000"/>
        </w:rPr>
      </w:pPr>
      <w:r w:rsidRPr="00641D43">
        <w:rPr>
          <w:color w:val="000000"/>
        </w:rPr>
        <w:t>Ob</w:t>
      </w:r>
      <w:r w:rsidR="004F4D98" w:rsidRPr="00641D43">
        <w:rPr>
          <w:color w:val="000000"/>
        </w:rPr>
        <w:t>owiązkiem R</w:t>
      </w:r>
      <w:r w:rsidR="005B6AA0" w:rsidRPr="00641D43">
        <w:rPr>
          <w:color w:val="000000"/>
        </w:rPr>
        <w:t>ządu jest zapewnienie</w:t>
      </w:r>
      <w:r w:rsidRPr="00641D43">
        <w:rPr>
          <w:color w:val="000000"/>
        </w:rPr>
        <w:t xml:space="preserve"> finansowego, elementarnego bezpieczeństwa obywateli, w tym emerytów i rencistów. Szczególną ochroną państwa powinni być objęci najubożsi świadczeniobiorcy.</w:t>
      </w:r>
    </w:p>
    <w:p w:rsidR="0050326F" w:rsidRPr="00641D43" w:rsidRDefault="00C316E7" w:rsidP="00641D43">
      <w:pPr>
        <w:pStyle w:val="USTustnpkodeksu"/>
        <w:spacing w:before="120"/>
        <w:ind w:firstLine="0"/>
        <w:rPr>
          <w:rFonts w:ascii="Times New Roman" w:hAnsi="Times New Roman" w:cs="Times New Roman"/>
          <w:szCs w:val="24"/>
        </w:rPr>
      </w:pPr>
      <w:r w:rsidRPr="00641D43">
        <w:rPr>
          <w:rFonts w:ascii="Times New Roman" w:hAnsi="Times New Roman" w:cs="Times New Roman"/>
          <w:szCs w:val="24"/>
        </w:rPr>
        <w:t>Stąd też w 201</w:t>
      </w:r>
      <w:r w:rsidR="00B4762E" w:rsidRPr="00641D43">
        <w:rPr>
          <w:rFonts w:ascii="Times New Roman" w:hAnsi="Times New Roman" w:cs="Times New Roman"/>
          <w:szCs w:val="24"/>
        </w:rPr>
        <w:t>9</w:t>
      </w:r>
      <w:r w:rsidR="004F4D98" w:rsidRPr="00641D43">
        <w:rPr>
          <w:rFonts w:ascii="Times New Roman" w:hAnsi="Times New Roman" w:cs="Times New Roman"/>
          <w:szCs w:val="24"/>
        </w:rPr>
        <w:t xml:space="preserve"> r.</w:t>
      </w:r>
      <w:r w:rsidRPr="00641D43">
        <w:rPr>
          <w:rFonts w:ascii="Times New Roman" w:hAnsi="Times New Roman" w:cs="Times New Roman"/>
          <w:szCs w:val="24"/>
        </w:rPr>
        <w:t xml:space="preserve"> </w:t>
      </w:r>
      <w:r w:rsidR="0050326F" w:rsidRPr="00641D43">
        <w:rPr>
          <w:rFonts w:ascii="Times New Roman" w:hAnsi="Times New Roman" w:cs="Times New Roman"/>
          <w:szCs w:val="24"/>
        </w:rPr>
        <w:t>proponuje się</w:t>
      </w:r>
      <w:r w:rsidR="00DA186F" w:rsidRPr="00641D43">
        <w:rPr>
          <w:rFonts w:ascii="Times New Roman" w:hAnsi="Times New Roman" w:cs="Times New Roman"/>
          <w:szCs w:val="24"/>
        </w:rPr>
        <w:t xml:space="preserve"> modyfikację obecnie </w:t>
      </w:r>
      <w:r w:rsidR="008D427A" w:rsidRPr="00641D43">
        <w:rPr>
          <w:rFonts w:ascii="Times New Roman" w:hAnsi="Times New Roman" w:cs="Times New Roman"/>
          <w:szCs w:val="24"/>
        </w:rPr>
        <w:t>obowiązujących</w:t>
      </w:r>
      <w:r w:rsidR="00DA186F" w:rsidRPr="00641D43">
        <w:rPr>
          <w:rFonts w:ascii="Times New Roman" w:hAnsi="Times New Roman" w:cs="Times New Roman"/>
          <w:szCs w:val="24"/>
        </w:rPr>
        <w:t xml:space="preserve"> zasad waloryzacji</w:t>
      </w:r>
      <w:r w:rsidR="002C0981" w:rsidRPr="00641D43">
        <w:rPr>
          <w:rFonts w:ascii="Times New Roman" w:hAnsi="Times New Roman" w:cs="Times New Roman"/>
          <w:szCs w:val="24"/>
        </w:rPr>
        <w:t>,</w:t>
      </w:r>
      <w:r w:rsidR="00DA186F" w:rsidRPr="00641D43">
        <w:rPr>
          <w:rFonts w:ascii="Times New Roman" w:hAnsi="Times New Roman" w:cs="Times New Roman"/>
          <w:szCs w:val="24"/>
        </w:rPr>
        <w:t xml:space="preserve"> polegając</w:t>
      </w:r>
      <w:r w:rsidR="008D427A" w:rsidRPr="00641D43">
        <w:rPr>
          <w:rFonts w:ascii="Times New Roman" w:hAnsi="Times New Roman" w:cs="Times New Roman"/>
          <w:szCs w:val="24"/>
        </w:rPr>
        <w:t>ą</w:t>
      </w:r>
      <w:r w:rsidR="00DA186F" w:rsidRPr="00641D43">
        <w:rPr>
          <w:rFonts w:ascii="Times New Roman" w:hAnsi="Times New Roman" w:cs="Times New Roman"/>
          <w:szCs w:val="24"/>
        </w:rPr>
        <w:t xml:space="preserve"> na:</w:t>
      </w:r>
    </w:p>
    <w:p w:rsidR="00A365FB" w:rsidRPr="00641D43" w:rsidRDefault="00A365FB" w:rsidP="00315A00">
      <w:pPr>
        <w:pStyle w:val="USTustnpkodeksu"/>
        <w:numPr>
          <w:ilvl w:val="0"/>
          <w:numId w:val="16"/>
        </w:numPr>
        <w:ind w:left="284" w:hanging="284"/>
        <w:rPr>
          <w:rFonts w:ascii="Times New Roman" w:hAnsi="Times New Roman" w:cs="Times New Roman"/>
          <w:szCs w:val="24"/>
        </w:rPr>
      </w:pPr>
      <w:r w:rsidRPr="00641D43">
        <w:rPr>
          <w:rFonts w:ascii="Times New Roman" w:hAnsi="Times New Roman" w:cs="Times New Roman"/>
          <w:szCs w:val="24"/>
        </w:rPr>
        <w:t>podwyższeniu najniższych świadczeń odpowiednio do:</w:t>
      </w:r>
    </w:p>
    <w:p w:rsidR="00A365FB" w:rsidRPr="00641D43" w:rsidRDefault="00A365FB" w:rsidP="00315A00">
      <w:pPr>
        <w:pStyle w:val="USTustnpkodeksu"/>
        <w:numPr>
          <w:ilvl w:val="1"/>
          <w:numId w:val="16"/>
        </w:numPr>
        <w:ind w:left="567" w:hanging="283"/>
        <w:rPr>
          <w:rFonts w:ascii="Times New Roman" w:hAnsi="Times New Roman" w:cs="Times New Roman"/>
          <w:szCs w:val="24"/>
        </w:rPr>
      </w:pPr>
      <w:r w:rsidRPr="00641D43">
        <w:rPr>
          <w:rFonts w:ascii="Times New Roman" w:hAnsi="Times New Roman" w:cs="Times New Roman"/>
          <w:szCs w:val="24"/>
        </w:rPr>
        <w:lastRenderedPageBreak/>
        <w:t>1100 zł w przypadku najniższej emerytury, renty z tytułu całkowitej niezdolności do pracy, renty rodzinnej i renty socjalnej,</w:t>
      </w:r>
    </w:p>
    <w:p w:rsidR="00A365FB" w:rsidRPr="00641D43" w:rsidRDefault="00A365FB" w:rsidP="00315A00">
      <w:pPr>
        <w:pStyle w:val="USTustnpkodeksu"/>
        <w:numPr>
          <w:ilvl w:val="1"/>
          <w:numId w:val="16"/>
        </w:numPr>
        <w:ind w:left="567" w:hanging="283"/>
        <w:rPr>
          <w:rFonts w:ascii="Times New Roman" w:hAnsi="Times New Roman" w:cs="Times New Roman"/>
          <w:szCs w:val="24"/>
        </w:rPr>
      </w:pPr>
      <w:r w:rsidRPr="00641D43">
        <w:rPr>
          <w:rFonts w:ascii="Times New Roman" w:hAnsi="Times New Roman" w:cs="Times New Roman"/>
          <w:szCs w:val="24"/>
        </w:rPr>
        <w:t>825 zł w przypadku najniższej renty z tytułu częściowej niezdolności do pracy</w:t>
      </w:r>
      <w:r w:rsidR="00C2071B">
        <w:rPr>
          <w:rFonts w:ascii="Times New Roman" w:hAnsi="Times New Roman" w:cs="Times New Roman"/>
          <w:szCs w:val="24"/>
        </w:rPr>
        <w:t>;</w:t>
      </w:r>
    </w:p>
    <w:p w:rsidR="0050326F" w:rsidRPr="00641D43" w:rsidRDefault="0041232B" w:rsidP="00315A00">
      <w:pPr>
        <w:pStyle w:val="USTustnpkodeksu"/>
        <w:numPr>
          <w:ilvl w:val="0"/>
          <w:numId w:val="16"/>
        </w:numPr>
        <w:ind w:left="284" w:hanging="284"/>
        <w:rPr>
          <w:rFonts w:ascii="Times New Roman" w:hAnsi="Times New Roman" w:cs="Times New Roman"/>
          <w:szCs w:val="24"/>
        </w:rPr>
      </w:pPr>
      <w:r w:rsidRPr="00641D43">
        <w:rPr>
          <w:rFonts w:ascii="Times New Roman" w:hAnsi="Times New Roman" w:cs="Times New Roman"/>
          <w:szCs w:val="24"/>
        </w:rPr>
        <w:t xml:space="preserve">zastosowaniu </w:t>
      </w:r>
      <w:r w:rsidR="00443B54" w:rsidRPr="00641D43">
        <w:rPr>
          <w:rFonts w:ascii="Times New Roman" w:hAnsi="Times New Roman" w:cs="Times New Roman"/>
          <w:szCs w:val="24"/>
        </w:rPr>
        <w:t xml:space="preserve">ustawowego </w:t>
      </w:r>
      <w:r w:rsidR="0050326F" w:rsidRPr="00641D43">
        <w:rPr>
          <w:rFonts w:ascii="Times New Roman" w:hAnsi="Times New Roman" w:cs="Times New Roman"/>
          <w:szCs w:val="24"/>
        </w:rPr>
        <w:t>wskaźnika waloryzacji,</w:t>
      </w:r>
      <w:r w:rsidR="00A365FB" w:rsidRPr="00641D43">
        <w:rPr>
          <w:rFonts w:ascii="Times New Roman" w:hAnsi="Times New Roman" w:cs="Times New Roman"/>
          <w:szCs w:val="24"/>
        </w:rPr>
        <w:t xml:space="preserve"> przy zapewnieniu minimalnej gwarantowanej podwyżki świadczenia na poziomie 70 zł.</w:t>
      </w:r>
    </w:p>
    <w:p w:rsidR="005B6AA0" w:rsidRPr="00641D43" w:rsidRDefault="00DA186F" w:rsidP="00641D43">
      <w:pPr>
        <w:pStyle w:val="USTustnpkodeksu"/>
        <w:spacing w:before="120"/>
        <w:ind w:firstLine="0"/>
        <w:rPr>
          <w:rFonts w:ascii="Times New Roman" w:hAnsi="Times New Roman" w:cs="Times New Roman"/>
          <w:szCs w:val="24"/>
        </w:rPr>
      </w:pPr>
      <w:r w:rsidRPr="00641D43">
        <w:rPr>
          <w:rFonts w:ascii="Times New Roman" w:hAnsi="Times New Roman" w:cs="Times New Roman"/>
          <w:szCs w:val="24"/>
        </w:rPr>
        <w:t>Z</w:t>
      </w:r>
      <w:r w:rsidR="004D05FC" w:rsidRPr="00641D43">
        <w:rPr>
          <w:rFonts w:ascii="Times New Roman" w:hAnsi="Times New Roman" w:cs="Times New Roman"/>
          <w:szCs w:val="24"/>
        </w:rPr>
        <w:t>godnie z projektowaną regulacją</w:t>
      </w:r>
      <w:r w:rsidRPr="00641D43">
        <w:rPr>
          <w:rFonts w:ascii="Times New Roman" w:hAnsi="Times New Roman" w:cs="Times New Roman"/>
          <w:szCs w:val="24"/>
        </w:rPr>
        <w:t xml:space="preserve"> </w:t>
      </w:r>
      <w:r w:rsidR="004D05FC" w:rsidRPr="00641D43">
        <w:rPr>
          <w:rFonts w:ascii="Times New Roman" w:hAnsi="Times New Roman" w:cs="Times New Roman"/>
          <w:szCs w:val="24"/>
        </w:rPr>
        <w:t xml:space="preserve">wszystkie emerytury i renty </w:t>
      </w:r>
      <w:r w:rsidR="00683B07" w:rsidRPr="00641D43">
        <w:rPr>
          <w:rFonts w:ascii="Times New Roman" w:hAnsi="Times New Roman" w:cs="Times New Roman"/>
          <w:szCs w:val="24"/>
        </w:rPr>
        <w:t xml:space="preserve">zostaną </w:t>
      </w:r>
      <w:r w:rsidR="004D05FC" w:rsidRPr="00641D43">
        <w:rPr>
          <w:rFonts w:ascii="Times New Roman" w:hAnsi="Times New Roman" w:cs="Times New Roman"/>
          <w:szCs w:val="24"/>
        </w:rPr>
        <w:t>podwyższone wskaźnikiem waloryzacji</w:t>
      </w:r>
      <w:r w:rsidR="0050326F" w:rsidRPr="00641D43">
        <w:rPr>
          <w:rFonts w:ascii="Times New Roman" w:hAnsi="Times New Roman" w:cs="Times New Roman"/>
          <w:szCs w:val="24"/>
        </w:rPr>
        <w:t>.</w:t>
      </w:r>
      <w:r w:rsidRPr="00641D43">
        <w:rPr>
          <w:rFonts w:ascii="Times New Roman" w:hAnsi="Times New Roman" w:cs="Times New Roman"/>
          <w:szCs w:val="24"/>
        </w:rPr>
        <w:t xml:space="preserve"> </w:t>
      </w:r>
      <w:r w:rsidR="00443B54" w:rsidRPr="00641D43">
        <w:rPr>
          <w:rFonts w:ascii="Times New Roman" w:hAnsi="Times New Roman" w:cs="Times New Roman"/>
          <w:szCs w:val="24"/>
        </w:rPr>
        <w:t>Obecnie</w:t>
      </w:r>
      <w:r w:rsidR="006E7F49" w:rsidRPr="00641D43">
        <w:rPr>
          <w:rFonts w:ascii="Times New Roman" w:hAnsi="Times New Roman" w:cs="Times New Roman"/>
          <w:szCs w:val="24"/>
        </w:rPr>
        <w:t xml:space="preserve"> </w:t>
      </w:r>
      <w:r w:rsidR="00443B54" w:rsidRPr="00641D43">
        <w:rPr>
          <w:rFonts w:ascii="Times New Roman" w:hAnsi="Times New Roman" w:cs="Times New Roman"/>
          <w:szCs w:val="24"/>
        </w:rPr>
        <w:t>prognozowany</w:t>
      </w:r>
      <w:r w:rsidR="006E7F49" w:rsidRPr="00641D43">
        <w:rPr>
          <w:rFonts w:ascii="Times New Roman" w:hAnsi="Times New Roman" w:cs="Times New Roman"/>
          <w:szCs w:val="24"/>
        </w:rPr>
        <w:t xml:space="preserve"> </w:t>
      </w:r>
      <w:r w:rsidR="00443B54" w:rsidRPr="00641D43">
        <w:rPr>
          <w:rFonts w:ascii="Times New Roman" w:hAnsi="Times New Roman" w:cs="Times New Roman"/>
          <w:szCs w:val="24"/>
        </w:rPr>
        <w:t>wskaźnik</w:t>
      </w:r>
      <w:r w:rsidR="006E7F49" w:rsidRPr="00641D43">
        <w:rPr>
          <w:rFonts w:ascii="Times New Roman" w:hAnsi="Times New Roman" w:cs="Times New Roman"/>
          <w:szCs w:val="24"/>
        </w:rPr>
        <w:t xml:space="preserve"> </w:t>
      </w:r>
      <w:r w:rsidR="00443B54" w:rsidRPr="00641D43">
        <w:rPr>
          <w:rFonts w:ascii="Times New Roman" w:hAnsi="Times New Roman" w:cs="Times New Roman"/>
          <w:szCs w:val="24"/>
        </w:rPr>
        <w:t>waloryzacji wynosi 103</w:t>
      </w:r>
      <w:r w:rsidR="006E7F49" w:rsidRPr="00641D43">
        <w:rPr>
          <w:rFonts w:ascii="Times New Roman" w:hAnsi="Times New Roman" w:cs="Times New Roman"/>
          <w:szCs w:val="24"/>
        </w:rPr>
        <w:t>,</w:t>
      </w:r>
      <w:r w:rsidR="00443B54" w:rsidRPr="00641D43">
        <w:rPr>
          <w:rFonts w:ascii="Times New Roman" w:hAnsi="Times New Roman" w:cs="Times New Roman"/>
          <w:szCs w:val="24"/>
        </w:rPr>
        <w:t>2</w:t>
      </w:r>
      <w:r w:rsidR="006E7F49" w:rsidRPr="00641D43">
        <w:rPr>
          <w:rFonts w:ascii="Times New Roman" w:hAnsi="Times New Roman" w:cs="Times New Roman"/>
          <w:szCs w:val="24"/>
        </w:rPr>
        <w:t>6%.</w:t>
      </w:r>
      <w:r w:rsidR="00FA1F85" w:rsidRPr="00641D43">
        <w:rPr>
          <w:rFonts w:ascii="Times New Roman" w:hAnsi="Times New Roman" w:cs="Times New Roman"/>
          <w:szCs w:val="24"/>
        </w:rPr>
        <w:t xml:space="preserve"> </w:t>
      </w:r>
      <w:r w:rsidR="000572D7" w:rsidRPr="00641D43">
        <w:rPr>
          <w:rFonts w:ascii="Times New Roman" w:hAnsi="Times New Roman" w:cs="Times New Roman"/>
          <w:szCs w:val="24"/>
        </w:rPr>
        <w:t xml:space="preserve">Jednocześnie proponuje się, aby </w:t>
      </w:r>
      <w:r w:rsidR="00A365FB" w:rsidRPr="00641D43">
        <w:rPr>
          <w:rFonts w:ascii="Times New Roman" w:hAnsi="Times New Roman" w:cs="Times New Roman"/>
          <w:szCs w:val="24"/>
        </w:rPr>
        <w:t>gwarantowana kwota podwyżki wynosi</w:t>
      </w:r>
      <w:r w:rsidR="000572D7" w:rsidRPr="00641D43">
        <w:rPr>
          <w:rFonts w:ascii="Times New Roman" w:hAnsi="Times New Roman" w:cs="Times New Roman"/>
          <w:szCs w:val="24"/>
        </w:rPr>
        <w:t>ła</w:t>
      </w:r>
      <w:r w:rsidR="00A365FB" w:rsidRPr="00641D43">
        <w:rPr>
          <w:rFonts w:ascii="Times New Roman" w:hAnsi="Times New Roman" w:cs="Times New Roman"/>
          <w:szCs w:val="24"/>
        </w:rPr>
        <w:t xml:space="preserve"> 70</w:t>
      </w:r>
      <w:r w:rsidR="00315A00">
        <w:rPr>
          <w:rFonts w:ascii="Times New Roman" w:hAnsi="Times New Roman" w:cs="Times New Roman"/>
          <w:szCs w:val="24"/>
        </w:rPr>
        <w:t> </w:t>
      </w:r>
      <w:r w:rsidR="000572D7" w:rsidRPr="00641D43">
        <w:rPr>
          <w:rFonts w:ascii="Times New Roman" w:hAnsi="Times New Roman" w:cs="Times New Roman"/>
          <w:szCs w:val="24"/>
        </w:rPr>
        <w:t xml:space="preserve">zł. </w:t>
      </w:r>
    </w:p>
    <w:p w:rsidR="000572D7" w:rsidRPr="00641D43" w:rsidRDefault="000572D7" w:rsidP="00641D43">
      <w:pPr>
        <w:pStyle w:val="USTustnpkodeksu"/>
        <w:spacing w:before="120"/>
        <w:ind w:firstLine="0"/>
        <w:rPr>
          <w:rFonts w:ascii="Times New Roman" w:hAnsi="Times New Roman" w:cs="Times New Roman"/>
          <w:szCs w:val="24"/>
        </w:rPr>
      </w:pPr>
      <w:r w:rsidRPr="00641D43">
        <w:rPr>
          <w:rFonts w:ascii="Times New Roman" w:hAnsi="Times New Roman" w:cs="Times New Roman"/>
          <w:szCs w:val="24"/>
        </w:rPr>
        <w:t>Tym samym</w:t>
      </w:r>
      <w:r w:rsidR="00A365FB" w:rsidRPr="00641D43">
        <w:rPr>
          <w:rFonts w:ascii="Times New Roman" w:hAnsi="Times New Roman" w:cs="Times New Roman"/>
          <w:szCs w:val="24"/>
        </w:rPr>
        <w:t xml:space="preserve"> świadczenia emerytalno-rentowe zostałyby podwyższone w wynik</w:t>
      </w:r>
      <w:r w:rsidR="004D366A" w:rsidRPr="00641D43">
        <w:rPr>
          <w:rFonts w:ascii="Times New Roman" w:hAnsi="Times New Roman" w:cs="Times New Roman"/>
          <w:szCs w:val="24"/>
        </w:rPr>
        <w:t xml:space="preserve">u waloryzacji przeprowadzonej w </w:t>
      </w:r>
      <w:r w:rsidR="00A365FB" w:rsidRPr="00641D43">
        <w:rPr>
          <w:rFonts w:ascii="Times New Roman" w:hAnsi="Times New Roman" w:cs="Times New Roman"/>
          <w:szCs w:val="24"/>
        </w:rPr>
        <w:t xml:space="preserve">marcu 2019 r. o </w:t>
      </w:r>
      <w:r w:rsidR="00443B54" w:rsidRPr="00641D43">
        <w:rPr>
          <w:rFonts w:ascii="Times New Roman" w:hAnsi="Times New Roman" w:cs="Times New Roman"/>
          <w:szCs w:val="24"/>
        </w:rPr>
        <w:t>3,2</w:t>
      </w:r>
      <w:r w:rsidR="00A365FB" w:rsidRPr="00641D43">
        <w:rPr>
          <w:rFonts w:ascii="Times New Roman" w:hAnsi="Times New Roman" w:cs="Times New Roman"/>
          <w:szCs w:val="24"/>
        </w:rPr>
        <w:t>6%, nie mniej jednak niż o 70</w:t>
      </w:r>
      <w:r w:rsidR="00FA1F85" w:rsidRPr="00641D43">
        <w:rPr>
          <w:rFonts w:ascii="Times New Roman" w:hAnsi="Times New Roman" w:cs="Times New Roman"/>
          <w:szCs w:val="24"/>
        </w:rPr>
        <w:t xml:space="preserve"> zł (art. </w:t>
      </w:r>
      <w:r w:rsidR="003F09BE" w:rsidRPr="00641D43">
        <w:rPr>
          <w:rFonts w:ascii="Times New Roman" w:hAnsi="Times New Roman" w:cs="Times New Roman"/>
          <w:szCs w:val="24"/>
        </w:rPr>
        <w:t xml:space="preserve">5 </w:t>
      </w:r>
      <w:r w:rsidR="00FA1F85" w:rsidRPr="00641D43">
        <w:rPr>
          <w:rFonts w:ascii="Times New Roman" w:hAnsi="Times New Roman" w:cs="Times New Roman"/>
          <w:szCs w:val="24"/>
        </w:rPr>
        <w:t>ust. 1 projektowanej ustawy)</w:t>
      </w:r>
      <w:r w:rsidR="00011717" w:rsidRPr="00641D43">
        <w:rPr>
          <w:rFonts w:ascii="Times New Roman" w:hAnsi="Times New Roman" w:cs="Times New Roman"/>
          <w:szCs w:val="24"/>
        </w:rPr>
        <w:t>.</w:t>
      </w:r>
    </w:p>
    <w:p w:rsidR="00A365FB" w:rsidRPr="00641D43" w:rsidRDefault="000572D7" w:rsidP="00641D43">
      <w:pPr>
        <w:spacing w:before="120" w:line="360" w:lineRule="auto"/>
        <w:jc w:val="both"/>
      </w:pPr>
      <w:r w:rsidRPr="00641D43">
        <w:t>W</w:t>
      </w:r>
      <w:r w:rsidR="00A365FB" w:rsidRPr="00641D43">
        <w:t xml:space="preserve">aloryzacji </w:t>
      </w:r>
      <w:r w:rsidRPr="00641D43">
        <w:t xml:space="preserve">podlegać </w:t>
      </w:r>
      <w:r w:rsidR="00A365FB" w:rsidRPr="00641D43">
        <w:t xml:space="preserve">będzie również podstawa wymiaru świadczenia z </w:t>
      </w:r>
      <w:r w:rsidRPr="00641D43">
        <w:t>Funduszu Ubezpieczeń Społecznych</w:t>
      </w:r>
      <w:r w:rsidR="00A365FB" w:rsidRPr="00641D43">
        <w:t xml:space="preserve">. Waloryzacja podstawy </w:t>
      </w:r>
      <w:r w:rsidRPr="00641D43">
        <w:t xml:space="preserve">wymiaru </w:t>
      </w:r>
      <w:r w:rsidR="00DA2E7D" w:rsidRPr="00641D43">
        <w:t xml:space="preserve">świadczenia </w:t>
      </w:r>
      <w:r w:rsidR="00A365FB" w:rsidRPr="00641D43">
        <w:t xml:space="preserve">polegać będzie na </w:t>
      </w:r>
      <w:r w:rsidR="00DA2E7D" w:rsidRPr="00641D43">
        <w:t xml:space="preserve">jej </w:t>
      </w:r>
      <w:r w:rsidR="00A365FB" w:rsidRPr="00641D43">
        <w:t>pomnożeniu</w:t>
      </w:r>
      <w:r w:rsidRPr="00641D43">
        <w:t xml:space="preserve"> </w:t>
      </w:r>
      <w:r w:rsidR="00A365FB" w:rsidRPr="00641D43">
        <w:t>przez wskaźnik</w:t>
      </w:r>
      <w:r w:rsidRPr="00641D43">
        <w:rPr>
          <w:color w:val="FF0000"/>
        </w:rPr>
        <w:t xml:space="preserve"> </w:t>
      </w:r>
      <w:r w:rsidRPr="00641D43">
        <w:t xml:space="preserve">odpowiadający wyrażonej w </w:t>
      </w:r>
      <w:r w:rsidR="00A365FB" w:rsidRPr="00641D43">
        <w:t xml:space="preserve">procentach kwotowej podwyżce emerytury lub renty (art. </w:t>
      </w:r>
      <w:r w:rsidR="009E693C" w:rsidRPr="00641D43">
        <w:t xml:space="preserve">5 </w:t>
      </w:r>
      <w:r w:rsidR="00A365FB" w:rsidRPr="00641D43">
        <w:t>ust. 2 projektowanej ustawy)</w:t>
      </w:r>
      <w:r w:rsidR="00A365FB" w:rsidRPr="00641D43">
        <w:rPr>
          <w:i/>
        </w:rPr>
        <w:t>.</w:t>
      </w:r>
      <w:r w:rsidR="00A365FB" w:rsidRPr="00641D43">
        <w:t xml:space="preserve"> Podstawa wymiaru jest jednym z czynników decydujących o wysokości świadczeń o</w:t>
      </w:r>
      <w:r w:rsidR="00DA2E7D" w:rsidRPr="00641D43">
        <w:t xml:space="preserve">bliczanych w </w:t>
      </w:r>
      <w:r w:rsidR="00A365FB" w:rsidRPr="00641D43">
        <w:t xml:space="preserve">myśl dotychczasowych zasad. Stąd też konieczne jest zachowanie właściwych relacji między podstawą wymiaru a wysokością świadczenia. Oznacza to więc konieczność jej podwyższenia w ramach waloryzacji o taki sam procent, o jaki wzrosło świadczenie. Zachowanie realnej wysokości podstawy jest konieczne z uwagi na to, że decyduje ona o wysokości świadczenia przeliczanego po waloryzacji, np. wskutek zgłoszenia wniosku o doliczenie okresów składkowych lub nieskładkowych, czy też przy ustalaniu innego świadczenia, którego podstawę wymiaru stanowi zwaloryzowana podstawa wymiaru świadczenia wcześniejszego. </w:t>
      </w:r>
    </w:p>
    <w:p w:rsidR="0066425F" w:rsidRPr="00641D43" w:rsidRDefault="00A365FB" w:rsidP="00641D43">
      <w:pPr>
        <w:pStyle w:val="NormalnyWeb"/>
        <w:spacing w:before="120" w:beforeAutospacing="0" w:after="0" w:afterAutospacing="0" w:line="360" w:lineRule="auto"/>
        <w:jc w:val="both"/>
        <w:rPr>
          <w:i/>
        </w:rPr>
      </w:pPr>
      <w:r w:rsidRPr="00641D43">
        <w:t xml:space="preserve">W przypadku świadczeń niepodlegających ustawowemu podwyższeniu do kwoty świadczeń najniższych i świadczeń niższych od </w:t>
      </w:r>
      <w:r w:rsidR="00EE2589" w:rsidRPr="00641D43">
        <w:t xml:space="preserve">najniższej </w:t>
      </w:r>
      <w:r w:rsidRPr="00641D43">
        <w:t xml:space="preserve">emerytury waloryzacja będzie polegała na podwyższeniu kwoty świadczenia </w:t>
      </w:r>
      <w:r w:rsidR="005B6AA0" w:rsidRPr="00641D43">
        <w:t>wskaźnikiem waloryzacji</w:t>
      </w:r>
      <w:r w:rsidRPr="00641D43">
        <w:t xml:space="preserve"> (art. </w:t>
      </w:r>
      <w:r w:rsidR="009E693C" w:rsidRPr="00641D43">
        <w:rPr>
          <w:color w:val="auto"/>
        </w:rPr>
        <w:t xml:space="preserve">5 </w:t>
      </w:r>
      <w:r w:rsidRPr="00641D43">
        <w:rPr>
          <w:color w:val="auto"/>
        </w:rPr>
        <w:t xml:space="preserve">ust. 4 </w:t>
      </w:r>
      <w:r w:rsidRPr="00641D43">
        <w:t>projektowanej ustawy). Minimalna podwyżka z tytułu waloryzacji w przypadku rent</w:t>
      </w:r>
      <w:r w:rsidR="00D32749" w:rsidRPr="00641D43">
        <w:t>y</w:t>
      </w:r>
      <w:r w:rsidRPr="00641D43">
        <w:t xml:space="preserve"> z tytułu częściowej niezdolności do pracy</w:t>
      </w:r>
      <w:r w:rsidR="00AA1C3D" w:rsidRPr="00641D43">
        <w:t xml:space="preserve"> i renty inwalidzkiej III grupy</w:t>
      </w:r>
      <w:r w:rsidRPr="00641D43">
        <w:t xml:space="preserve"> wyniesie 75% gwarantowanej minimalnej kwoty, tj. </w:t>
      </w:r>
      <w:r w:rsidR="005332DF" w:rsidRPr="00641D43">
        <w:t>52,50</w:t>
      </w:r>
      <w:r w:rsidRPr="00641D43">
        <w:t xml:space="preserve"> zł</w:t>
      </w:r>
      <w:r w:rsidR="00182D46" w:rsidRPr="00641D43">
        <w:t xml:space="preserve"> (art. </w:t>
      </w:r>
      <w:r w:rsidR="009E693C" w:rsidRPr="00641D43">
        <w:t xml:space="preserve">5 </w:t>
      </w:r>
      <w:r w:rsidR="00182D46" w:rsidRPr="00641D43">
        <w:t>ust. 5 projektowanej ustawy)</w:t>
      </w:r>
      <w:r w:rsidRPr="00641D43">
        <w:t xml:space="preserve">. W przypadku osób pobierających emeryturę częściową kwota z tytułu waloryzacji nie </w:t>
      </w:r>
      <w:r w:rsidRPr="00641D43">
        <w:lastRenderedPageBreak/>
        <w:t>będzie mo</w:t>
      </w:r>
      <w:r w:rsidR="00724C57" w:rsidRPr="00641D43">
        <w:t>gła być niższa niż połowa kwoty walo</w:t>
      </w:r>
      <w:r w:rsidR="00182D46" w:rsidRPr="00641D43">
        <w:t xml:space="preserve">ryzacji, tj. 35 zł (art. </w:t>
      </w:r>
      <w:r w:rsidR="009E693C" w:rsidRPr="00641D43">
        <w:t xml:space="preserve">5 </w:t>
      </w:r>
      <w:r w:rsidR="00182D46" w:rsidRPr="00641D43">
        <w:t>ust. 6 projektowanej ustawy)</w:t>
      </w:r>
      <w:r w:rsidRPr="00641D43">
        <w:t>. Natomiast w przypadku kobiet pobierających okresowe emerytury kapitałowe regulacje projektowanej ustawy przewidują proporcjonalny podział minimalnej gwarantowanej podwyżki świadczenia w stosunku</w:t>
      </w:r>
      <w:r w:rsidR="00182D46" w:rsidRPr="00641D43">
        <w:t xml:space="preserve"> do wysokości emerytury z FUS i </w:t>
      </w:r>
      <w:r w:rsidRPr="00641D43">
        <w:t xml:space="preserve">wysokości okresowej emerytury kapitałowej w łącznej kwocie tych emerytur (art. </w:t>
      </w:r>
      <w:r w:rsidR="009E693C" w:rsidRPr="00641D43">
        <w:rPr>
          <w:color w:val="auto"/>
        </w:rPr>
        <w:t xml:space="preserve">5 </w:t>
      </w:r>
      <w:r w:rsidRPr="00641D43">
        <w:rPr>
          <w:color w:val="auto"/>
        </w:rPr>
        <w:t xml:space="preserve">ust. </w:t>
      </w:r>
      <w:r w:rsidR="00182D46" w:rsidRPr="00641D43">
        <w:rPr>
          <w:color w:val="auto"/>
        </w:rPr>
        <w:t>7</w:t>
      </w:r>
      <w:r w:rsidR="005332DF" w:rsidRPr="00641D43">
        <w:rPr>
          <w:color w:val="auto"/>
        </w:rPr>
        <w:t xml:space="preserve"> </w:t>
      </w:r>
      <w:r w:rsidR="005332DF" w:rsidRPr="00641D43">
        <w:t>projektowanej ustawy</w:t>
      </w:r>
      <w:r w:rsidRPr="00641D43">
        <w:t>)</w:t>
      </w:r>
      <w:r w:rsidRPr="00641D43">
        <w:rPr>
          <w:i/>
        </w:rPr>
        <w:t xml:space="preserve">. </w:t>
      </w:r>
    </w:p>
    <w:p w:rsidR="005332DF" w:rsidRPr="00641D43" w:rsidRDefault="005332DF" w:rsidP="00641D43">
      <w:pPr>
        <w:spacing w:before="120" w:line="360" w:lineRule="auto"/>
        <w:jc w:val="both"/>
      </w:pPr>
      <w:r w:rsidRPr="00641D43">
        <w:t>Proponowana modyfikacja zasad waloryzacji będzie zastosowana analogicznie również do emerytur i rent rolników indywidualnych, służb munduro</w:t>
      </w:r>
      <w:r w:rsidR="00CA64D5" w:rsidRPr="00641D43">
        <w:t xml:space="preserve">wych oraz emerytur pomostowych i </w:t>
      </w:r>
      <w:r w:rsidRPr="00641D43">
        <w:t>nauczycielsk</w:t>
      </w:r>
      <w:r w:rsidR="00CA64D5" w:rsidRPr="00641D43">
        <w:t xml:space="preserve">ich świadczeń kompensacyjnych </w:t>
      </w:r>
      <w:r w:rsidRPr="00641D43">
        <w:t xml:space="preserve">(art. </w:t>
      </w:r>
      <w:r w:rsidR="009E693C" w:rsidRPr="00641D43">
        <w:t xml:space="preserve">6 </w:t>
      </w:r>
      <w:r w:rsidRPr="00641D43">
        <w:t>ust. 1 projektowanej ustawy).</w:t>
      </w:r>
    </w:p>
    <w:p w:rsidR="00F13163" w:rsidRPr="00641D43" w:rsidRDefault="007E49DC" w:rsidP="00641D43">
      <w:pPr>
        <w:spacing w:before="120" w:line="360" w:lineRule="auto"/>
        <w:jc w:val="both"/>
      </w:pPr>
      <w:r w:rsidRPr="00641D43">
        <w:t>Zgodnie z art.</w:t>
      </w:r>
      <w:r w:rsidR="009673C1" w:rsidRPr="00641D43">
        <w:t xml:space="preserve"> </w:t>
      </w:r>
      <w:r w:rsidR="009E693C" w:rsidRPr="00641D43">
        <w:t xml:space="preserve">7 </w:t>
      </w:r>
      <w:r w:rsidRPr="00641D43">
        <w:t>projektowanej ustawy</w:t>
      </w:r>
      <w:r w:rsidR="009673C1" w:rsidRPr="00641D43">
        <w:t xml:space="preserve"> emerytura podstawowa</w:t>
      </w:r>
      <w:r w:rsidR="005B6AA0" w:rsidRPr="00641D43">
        <w:t>, stanowiąca podstawę obliczania emerytur i rent z ubezpieczenia społecznego rolników,</w:t>
      </w:r>
      <w:r w:rsidR="009673C1" w:rsidRPr="00641D43">
        <w:t xml:space="preserve"> będzie podlegała podwyższeniu przy zastosowaniu </w:t>
      </w:r>
      <w:r w:rsidR="00FA1F85" w:rsidRPr="00641D43">
        <w:t xml:space="preserve">ustawowego wskaźnika waloryzacji. </w:t>
      </w:r>
      <w:r w:rsidR="00F13163" w:rsidRPr="00641D43">
        <w:t>Jednocześnie k</w:t>
      </w:r>
      <w:r w:rsidR="009673C1" w:rsidRPr="00641D43">
        <w:t>wota podwyżki świadczenia</w:t>
      </w:r>
      <w:r w:rsidR="009F68AA" w:rsidRPr="00641D43">
        <w:t xml:space="preserve"> z systemu ubezpieczeniowego rolników</w:t>
      </w:r>
      <w:r w:rsidR="009673C1" w:rsidRPr="00641D43">
        <w:t xml:space="preserve"> nie będzie mogła być niższa niż gwarantowana kwota</w:t>
      </w:r>
      <w:r w:rsidR="009F68AA" w:rsidRPr="00641D43">
        <w:t xml:space="preserve"> podwyżki, określona w art. </w:t>
      </w:r>
      <w:r w:rsidR="00035FCE" w:rsidRPr="00641D43">
        <w:t xml:space="preserve">5 </w:t>
      </w:r>
      <w:r w:rsidR="009F68AA" w:rsidRPr="00641D43">
        <w:t>projektu, wynosząca 70 zł</w:t>
      </w:r>
      <w:r w:rsidR="00F13163" w:rsidRPr="00641D43">
        <w:t xml:space="preserve">. </w:t>
      </w:r>
    </w:p>
    <w:p w:rsidR="003D271C" w:rsidRPr="00641D43" w:rsidRDefault="00F13163" w:rsidP="00641D43">
      <w:pPr>
        <w:spacing w:before="120" w:line="360" w:lineRule="auto"/>
        <w:jc w:val="both"/>
      </w:pPr>
      <w:r w:rsidRPr="00641D43">
        <w:t>N</w:t>
      </w:r>
      <w:r w:rsidR="009F68AA" w:rsidRPr="00641D43">
        <w:t xml:space="preserve">ależy dodać, że emerytury rolnicze są chronione gwarancją najniższego świadczenia określonego </w:t>
      </w:r>
      <w:r w:rsidRPr="00641D43">
        <w:t>w systemie powszechnym. Oznacza to, że j</w:t>
      </w:r>
      <w:r w:rsidR="003D271C" w:rsidRPr="00641D43">
        <w:t xml:space="preserve">eżeli wysokość świadczenia </w:t>
      </w:r>
      <w:r w:rsidRPr="00641D43">
        <w:t>rolniczego</w:t>
      </w:r>
      <w:r w:rsidR="003D271C" w:rsidRPr="00641D43">
        <w:t xml:space="preserve"> jest niższa od kwoty najniższej emerytury określonej w przepisach emerytalnych, wysokość takiego świadczenia podwyższa się z urzędu do tej kwoty.</w:t>
      </w:r>
    </w:p>
    <w:p w:rsidR="003F0199" w:rsidRPr="00641D43" w:rsidRDefault="003F0199" w:rsidP="00641D43">
      <w:pPr>
        <w:spacing w:before="120" w:line="360" w:lineRule="auto"/>
        <w:jc w:val="both"/>
      </w:pPr>
      <w:r w:rsidRPr="00641D43">
        <w:t xml:space="preserve">Unormowania art. 2 </w:t>
      </w:r>
      <w:r w:rsidR="00035FCE" w:rsidRPr="00641D43">
        <w:t xml:space="preserve">projektu </w:t>
      </w:r>
      <w:r w:rsidRPr="00641D43">
        <w:t>określają nową wysokość podstawy wymiaru renty inwalidzkiej określonej w ustawie z dnia 29 maja 1974 r. o zaopatrzeniu inwalidów wojennych i wojskowych oraz ich rodzin</w:t>
      </w:r>
      <w:r w:rsidR="004B4D2B">
        <w:t xml:space="preserve"> (Dz. U. z 207 r. poz. 2193)</w:t>
      </w:r>
      <w:r w:rsidRPr="00641D43">
        <w:t xml:space="preserve">, podwyższoną </w:t>
      </w:r>
      <w:r w:rsidR="004B4D2B">
        <w:br/>
      </w:r>
      <w:r w:rsidRPr="00641D43">
        <w:t xml:space="preserve">w wyniku waloryzacji przeprowadzonej od dnia 1 marca 2019 r. </w:t>
      </w:r>
    </w:p>
    <w:p w:rsidR="003F0199" w:rsidRPr="00641D43" w:rsidRDefault="0035720C" w:rsidP="00641D43">
      <w:pPr>
        <w:spacing w:before="120" w:line="360" w:lineRule="auto"/>
        <w:jc w:val="both"/>
      </w:pPr>
      <w:r w:rsidRPr="00641D43">
        <w:t>Regulacje</w:t>
      </w:r>
      <w:r w:rsidR="009524C5" w:rsidRPr="00641D43">
        <w:t xml:space="preserve"> art. 3 projektowanej ustawy obejmują waloryzację</w:t>
      </w:r>
      <w:r w:rsidR="005332DF" w:rsidRPr="00641D43">
        <w:t xml:space="preserve"> świadcze</w:t>
      </w:r>
      <w:r w:rsidR="009524C5" w:rsidRPr="00641D43">
        <w:t>ń przedemerytalnych</w:t>
      </w:r>
      <w:r w:rsidR="005332DF" w:rsidRPr="00641D43">
        <w:t xml:space="preserve">. </w:t>
      </w:r>
      <w:r w:rsidR="009524C5" w:rsidRPr="00641D43">
        <w:t xml:space="preserve">Podwyższenie tych świadczeń polegać będzie na dodaniu do kwoty świadczenia przedemerytalnego kwoty 70 zł (art. 3 pkt 1 projektowanej ustawy). Kwota świadczenia przedemerytalnego gwarantowana do wypłaty, w przypadku gdy osoba uprawniona osiąga przychód w wysokości skutkującej zmniejszeniem wysokości świadczenia, została podwyższona do kwoty 570,50 zł (art. 3 pkt 2 projektowanej ustawy). </w:t>
      </w:r>
    </w:p>
    <w:p w:rsidR="00460859" w:rsidRPr="00641D43" w:rsidRDefault="00460859" w:rsidP="00641D43">
      <w:pPr>
        <w:spacing w:before="120" w:line="360" w:lineRule="auto"/>
        <w:jc w:val="both"/>
      </w:pPr>
      <w:r w:rsidRPr="00641D43">
        <w:lastRenderedPageBreak/>
        <w:t xml:space="preserve">Art. </w:t>
      </w:r>
      <w:r w:rsidR="00035FCE" w:rsidRPr="00641D43">
        <w:t xml:space="preserve">4 projektu </w:t>
      </w:r>
      <w:r w:rsidRPr="00641D43">
        <w:t>wprowadza zmianę w ustawie z dnia 3 lipca 2018 r. – Przepisy wprowadzające ustawę – Prawo o szkolnictwie wyższym i nauce</w:t>
      </w:r>
      <w:r w:rsidR="00F907B9" w:rsidRPr="00641D43">
        <w:t xml:space="preserve"> (Dz. U. poz. 1669)</w:t>
      </w:r>
      <w:r w:rsidRPr="00641D43">
        <w:t xml:space="preserve">. Uzasadnieniem zmiany w obrębie art. 329 tej ustawy jest potrzeba ujednoznacznienia przepisów odnoszących się do statusu ubezpieczeniowego tych doktorantów, którzy rozpoczęli studia doktoranckie pod rządami przepisów ustawy z dnia 27 lipca 2005 r. </w:t>
      </w:r>
      <w:r w:rsidR="00641D43">
        <w:t>–</w:t>
      </w:r>
      <w:r w:rsidRPr="00641D43">
        <w:t xml:space="preserve"> Prawo o szkolnictwie wyższym (Dz. U. z 2017 r. poz.</w:t>
      </w:r>
      <w:r w:rsidR="00315A00">
        <w:t xml:space="preserve"> 2183, z </w:t>
      </w:r>
      <w:proofErr w:type="spellStart"/>
      <w:r w:rsidR="00315A00">
        <w:t>późn</w:t>
      </w:r>
      <w:proofErr w:type="spellEnd"/>
      <w:r w:rsidR="00315A00">
        <w:t>. zm.). W </w:t>
      </w:r>
      <w:r w:rsidRPr="00641D43">
        <w:t xml:space="preserve">odniesieniu do tych osób należy wskazać w sposób pozytywny w przepisach regulujących sprawy intertemporalne, dotyczące reformy systemu szkolnictwa wyższego i nauki, iż nie podlegają one obowiązkowo ubezpieczeniom, o których mowa w ustawie </w:t>
      </w:r>
      <w:r w:rsidR="00C05EAE" w:rsidRPr="00641D43">
        <w:t xml:space="preserve">z dnia 13 października 1998 r. </w:t>
      </w:r>
      <w:r w:rsidRPr="00641D43">
        <w:t>o systemie ubezpieczeń społecznych</w:t>
      </w:r>
      <w:r w:rsidR="00315A00">
        <w:t xml:space="preserve"> (Dz. U. z </w:t>
      </w:r>
      <w:r w:rsidR="00C05EAE" w:rsidRPr="00641D43">
        <w:t xml:space="preserve">2017 r. poz. 1778, z </w:t>
      </w:r>
      <w:proofErr w:type="spellStart"/>
      <w:r w:rsidR="00C05EAE" w:rsidRPr="00641D43">
        <w:t>późn</w:t>
      </w:r>
      <w:proofErr w:type="spellEnd"/>
      <w:r w:rsidR="00C05EAE" w:rsidRPr="00641D43">
        <w:t>. zm</w:t>
      </w:r>
      <w:r w:rsidR="00315A00">
        <w:t>.</w:t>
      </w:r>
      <w:r w:rsidR="00C05EAE" w:rsidRPr="00641D43">
        <w:t>)</w:t>
      </w:r>
      <w:r w:rsidRPr="00641D43">
        <w:t xml:space="preserve">. </w:t>
      </w:r>
    </w:p>
    <w:p w:rsidR="009524C5" w:rsidRPr="00641D43" w:rsidRDefault="003F0199" w:rsidP="00641D43">
      <w:pPr>
        <w:spacing w:before="120" w:line="360" w:lineRule="auto"/>
        <w:jc w:val="both"/>
      </w:pPr>
      <w:r w:rsidRPr="00641D43">
        <w:t>Dodatki do emerytur i rent, o których mowa w ustawie o</w:t>
      </w:r>
      <w:r w:rsidR="001E791E" w:rsidRPr="00641D43">
        <w:t xml:space="preserve"> </w:t>
      </w:r>
      <w:r w:rsidRPr="00641D43">
        <w:t xml:space="preserve">emeryturach i rentach z FUS oraz w innych ustawach, będą podwyższane </w:t>
      </w:r>
      <w:r w:rsidR="00FA1F85" w:rsidRPr="00641D43">
        <w:rPr>
          <w:color w:val="000000"/>
        </w:rPr>
        <w:t xml:space="preserve">przy zastosowaniu ustawowego </w:t>
      </w:r>
      <w:r w:rsidRPr="00641D43">
        <w:rPr>
          <w:color w:val="000000"/>
        </w:rPr>
        <w:t>wskaźnik</w:t>
      </w:r>
      <w:r w:rsidR="00FA1F85" w:rsidRPr="00641D43">
        <w:rPr>
          <w:color w:val="000000"/>
        </w:rPr>
        <w:t>a waloryzacji</w:t>
      </w:r>
      <w:r w:rsidRPr="00641D43">
        <w:rPr>
          <w:color w:val="000000"/>
        </w:rPr>
        <w:t xml:space="preserve"> (</w:t>
      </w:r>
      <w:r w:rsidRPr="00641D43">
        <w:t xml:space="preserve">art. </w:t>
      </w:r>
      <w:r w:rsidR="005B27EE" w:rsidRPr="00641D43">
        <w:t xml:space="preserve">6 </w:t>
      </w:r>
      <w:r w:rsidRPr="00641D43">
        <w:t xml:space="preserve">ust. 2 projektowanej ustawy). </w:t>
      </w:r>
      <w:r w:rsidRPr="00641D43">
        <w:rPr>
          <w:color w:val="000000"/>
        </w:rPr>
        <w:t xml:space="preserve">Wskaźnik ten będzie miał również zastosowanie do obliczenia kwot </w:t>
      </w:r>
      <w:r w:rsidR="00613975" w:rsidRPr="00641D43">
        <w:rPr>
          <w:color w:val="000000"/>
        </w:rPr>
        <w:t xml:space="preserve">maksymalnych </w:t>
      </w:r>
      <w:r w:rsidRPr="00641D43">
        <w:rPr>
          <w:color w:val="000000"/>
        </w:rPr>
        <w:t xml:space="preserve">zmniejszeń świadczeń w przypadku osiągania przez emeryta lub rencistę dochodu z pracy </w:t>
      </w:r>
      <w:r w:rsidR="00B570B3" w:rsidRPr="00641D43">
        <w:rPr>
          <w:color w:val="000000"/>
        </w:rPr>
        <w:t xml:space="preserve">oraz kwot emerytur i rent wolnych od egzekucji i potrąceń </w:t>
      </w:r>
      <w:r w:rsidRPr="00641D43">
        <w:rPr>
          <w:color w:val="000000"/>
        </w:rPr>
        <w:t>(</w:t>
      </w:r>
      <w:r w:rsidRPr="00641D43">
        <w:t xml:space="preserve">art. </w:t>
      </w:r>
      <w:r w:rsidR="005B27EE" w:rsidRPr="00641D43">
        <w:t xml:space="preserve">5 </w:t>
      </w:r>
      <w:r w:rsidRPr="00641D43">
        <w:t>ust. 8 projektowanej ustawy).</w:t>
      </w:r>
    </w:p>
    <w:p w:rsidR="00976360" w:rsidRPr="00641D43" w:rsidRDefault="000A0BE9" w:rsidP="00641D43">
      <w:pPr>
        <w:pStyle w:val="Akapitzlist"/>
        <w:spacing w:before="120" w:line="360" w:lineRule="auto"/>
        <w:ind w:left="0"/>
        <w:contextualSpacing w:val="0"/>
        <w:jc w:val="both"/>
        <w:rPr>
          <w:sz w:val="24"/>
          <w:szCs w:val="24"/>
        </w:rPr>
      </w:pPr>
      <w:r w:rsidRPr="00641D43">
        <w:rPr>
          <w:sz w:val="24"/>
          <w:szCs w:val="24"/>
        </w:rPr>
        <w:t xml:space="preserve">W związku ze zmianą formuły </w:t>
      </w:r>
      <w:r w:rsidR="00912A81" w:rsidRPr="00641D43">
        <w:rPr>
          <w:sz w:val="24"/>
          <w:szCs w:val="24"/>
        </w:rPr>
        <w:t>podwyższania</w:t>
      </w:r>
      <w:r w:rsidR="003C090C" w:rsidRPr="00641D43">
        <w:rPr>
          <w:sz w:val="24"/>
          <w:szCs w:val="24"/>
        </w:rPr>
        <w:t xml:space="preserve"> emerytur i rent</w:t>
      </w:r>
      <w:r w:rsidRPr="00641D43">
        <w:rPr>
          <w:sz w:val="24"/>
          <w:szCs w:val="24"/>
        </w:rPr>
        <w:t xml:space="preserve"> w</w:t>
      </w:r>
      <w:r w:rsidR="00443B54" w:rsidRPr="00641D43">
        <w:rPr>
          <w:sz w:val="24"/>
          <w:szCs w:val="24"/>
        </w:rPr>
        <w:t xml:space="preserve"> 2019 r. nie stosuje się art. 88</w:t>
      </w:r>
      <w:r w:rsidRPr="00641D43">
        <w:rPr>
          <w:sz w:val="24"/>
          <w:szCs w:val="24"/>
        </w:rPr>
        <w:t xml:space="preserve"> </w:t>
      </w:r>
      <w:r w:rsidR="00011717" w:rsidRPr="00641D43">
        <w:rPr>
          <w:sz w:val="24"/>
          <w:szCs w:val="24"/>
        </w:rPr>
        <w:t xml:space="preserve">ustawy o emeryturach i rentach z </w:t>
      </w:r>
      <w:r w:rsidR="00581FCC" w:rsidRPr="00641D43">
        <w:rPr>
          <w:sz w:val="24"/>
          <w:szCs w:val="24"/>
        </w:rPr>
        <w:t>FUS</w:t>
      </w:r>
      <w:r w:rsidRPr="00641D43">
        <w:rPr>
          <w:sz w:val="24"/>
          <w:szCs w:val="24"/>
        </w:rPr>
        <w:t>, art. 48</w:t>
      </w:r>
      <w:r w:rsidR="00A8054C" w:rsidRPr="00641D43">
        <w:rPr>
          <w:sz w:val="24"/>
          <w:szCs w:val="24"/>
        </w:rPr>
        <w:t>a</w:t>
      </w:r>
      <w:r w:rsidRPr="00641D43">
        <w:rPr>
          <w:sz w:val="24"/>
          <w:szCs w:val="24"/>
        </w:rPr>
        <w:t xml:space="preserve"> ustawy z dnia 20 grudnia 1990 r. </w:t>
      </w:r>
      <w:r w:rsidR="003C090C" w:rsidRPr="00641D43">
        <w:rPr>
          <w:sz w:val="24"/>
          <w:szCs w:val="24"/>
        </w:rPr>
        <w:t xml:space="preserve">o </w:t>
      </w:r>
      <w:r w:rsidRPr="00641D43">
        <w:rPr>
          <w:sz w:val="24"/>
          <w:szCs w:val="24"/>
        </w:rPr>
        <w:t>ubezpieczeniu społecznym rolników, art. 6 ustawy z</w:t>
      </w:r>
      <w:r w:rsidR="003C090C" w:rsidRPr="00641D43">
        <w:rPr>
          <w:sz w:val="24"/>
          <w:szCs w:val="24"/>
        </w:rPr>
        <w:t xml:space="preserve"> </w:t>
      </w:r>
      <w:r w:rsidR="00315A00">
        <w:rPr>
          <w:sz w:val="24"/>
          <w:szCs w:val="24"/>
        </w:rPr>
        <w:t>dnia 10 grudnia 1993 r. o </w:t>
      </w:r>
      <w:r w:rsidRPr="00641D43">
        <w:rPr>
          <w:sz w:val="24"/>
          <w:szCs w:val="24"/>
        </w:rPr>
        <w:t>zaopatrzeniu emerytalnym żołnierzy zawodowych oraz i</w:t>
      </w:r>
      <w:r w:rsidR="003C090C" w:rsidRPr="00641D43">
        <w:rPr>
          <w:sz w:val="24"/>
          <w:szCs w:val="24"/>
        </w:rPr>
        <w:t>ch rodzin oraz art. 6</w:t>
      </w:r>
      <w:r w:rsidR="00AC2A61" w:rsidRPr="00641D43">
        <w:rPr>
          <w:sz w:val="24"/>
          <w:szCs w:val="24"/>
        </w:rPr>
        <w:t xml:space="preserve">, art. 15c ust. 9, art. 22a ust. 8 i art. 24a ust. 8 </w:t>
      </w:r>
      <w:r w:rsidR="003C090C" w:rsidRPr="00641D43">
        <w:rPr>
          <w:sz w:val="24"/>
          <w:szCs w:val="24"/>
        </w:rPr>
        <w:t xml:space="preserve">ustawy z </w:t>
      </w:r>
      <w:r w:rsidRPr="00641D43">
        <w:rPr>
          <w:sz w:val="24"/>
          <w:szCs w:val="24"/>
        </w:rPr>
        <w:t xml:space="preserve">dnia 18 lutego 1994 r. o zaopatrzeniu emerytalnym funkcjonariuszy Policji, Agencji Bezpieczeństwa Wewnętrznego, Agencji Wywiadu, Służby Kontrwywiadu Wojskowego, Służby Wywiadu Wojskowego, Centralnego Biura Antykorupcyjnego, Straży Granicznej, </w:t>
      </w:r>
      <w:r w:rsidR="00011717" w:rsidRPr="00641D43">
        <w:rPr>
          <w:sz w:val="24"/>
          <w:szCs w:val="24"/>
        </w:rPr>
        <w:t xml:space="preserve">Służby </w:t>
      </w:r>
      <w:r w:rsidRPr="00641D43">
        <w:rPr>
          <w:sz w:val="24"/>
          <w:szCs w:val="24"/>
        </w:rPr>
        <w:t xml:space="preserve">Ochrony </w:t>
      </w:r>
      <w:r w:rsidR="00011717" w:rsidRPr="00641D43">
        <w:rPr>
          <w:sz w:val="24"/>
          <w:szCs w:val="24"/>
        </w:rPr>
        <w:t>Państwa</w:t>
      </w:r>
      <w:r w:rsidRPr="00641D43">
        <w:rPr>
          <w:sz w:val="24"/>
          <w:szCs w:val="24"/>
        </w:rPr>
        <w:t>, Państwowej Straży Pożarnej</w:t>
      </w:r>
      <w:r w:rsidR="00011717" w:rsidRPr="00641D43">
        <w:rPr>
          <w:sz w:val="24"/>
          <w:szCs w:val="24"/>
        </w:rPr>
        <w:t>, Służby Celno-Skarbowej</w:t>
      </w:r>
      <w:r w:rsidRPr="00641D43">
        <w:rPr>
          <w:sz w:val="24"/>
          <w:szCs w:val="24"/>
        </w:rPr>
        <w:t xml:space="preserve"> i Sł</w:t>
      </w:r>
      <w:r w:rsidR="00580FB2" w:rsidRPr="00641D43">
        <w:rPr>
          <w:sz w:val="24"/>
          <w:szCs w:val="24"/>
        </w:rPr>
        <w:t xml:space="preserve">użby Więziennej oraz ich rodzin (art. </w:t>
      </w:r>
      <w:r w:rsidR="00581FCC" w:rsidRPr="00641D43">
        <w:rPr>
          <w:sz w:val="24"/>
          <w:szCs w:val="24"/>
        </w:rPr>
        <w:t>8</w:t>
      </w:r>
      <w:r w:rsidR="00581FCC" w:rsidRPr="00641D43">
        <w:rPr>
          <w:color w:val="FF0000"/>
          <w:sz w:val="24"/>
          <w:szCs w:val="24"/>
        </w:rPr>
        <w:t xml:space="preserve"> </w:t>
      </w:r>
      <w:r w:rsidR="00580FB2" w:rsidRPr="00641D43">
        <w:rPr>
          <w:sz w:val="24"/>
          <w:szCs w:val="24"/>
        </w:rPr>
        <w:t>projektowanej ustawy)</w:t>
      </w:r>
      <w:r w:rsidR="00117DB9" w:rsidRPr="00641D43">
        <w:rPr>
          <w:sz w:val="24"/>
          <w:szCs w:val="24"/>
        </w:rPr>
        <w:t>.</w:t>
      </w:r>
    </w:p>
    <w:p w:rsidR="00596CFA" w:rsidRPr="00641D43" w:rsidRDefault="00596CFA" w:rsidP="00641D43">
      <w:pPr>
        <w:pStyle w:val="Akapitzlist"/>
        <w:spacing w:before="120" w:line="360" w:lineRule="auto"/>
        <w:ind w:left="0"/>
        <w:contextualSpacing w:val="0"/>
        <w:jc w:val="both"/>
        <w:rPr>
          <w:bCs/>
          <w:sz w:val="24"/>
          <w:szCs w:val="24"/>
        </w:rPr>
      </w:pPr>
      <w:r w:rsidRPr="00641D43">
        <w:rPr>
          <w:sz w:val="24"/>
          <w:szCs w:val="24"/>
        </w:rPr>
        <w:t xml:space="preserve">Regulacje projektowanej ustawy zawierają </w:t>
      </w:r>
      <w:r w:rsidRPr="00641D43">
        <w:rPr>
          <w:bCs/>
          <w:sz w:val="24"/>
          <w:szCs w:val="24"/>
        </w:rPr>
        <w:t>unormowanie, że do państwowych funduszy celowych: Funduszu Ubezpieczeń Społecznych</w:t>
      </w:r>
      <w:r w:rsidR="00581FCC" w:rsidRPr="00641D43">
        <w:rPr>
          <w:bCs/>
          <w:sz w:val="24"/>
          <w:szCs w:val="24"/>
        </w:rPr>
        <w:t>, Funduszu Emerytur Pomostowych</w:t>
      </w:r>
      <w:r w:rsidR="00315A00">
        <w:rPr>
          <w:bCs/>
          <w:sz w:val="24"/>
          <w:szCs w:val="24"/>
        </w:rPr>
        <w:t xml:space="preserve"> i </w:t>
      </w:r>
      <w:r w:rsidRPr="00641D43">
        <w:rPr>
          <w:bCs/>
          <w:sz w:val="24"/>
          <w:szCs w:val="24"/>
        </w:rPr>
        <w:t xml:space="preserve">Funduszu Emerytalno-Rentowego Kasy Rolniczego Ubezpieczenia Społecznego stosuje się zasadę, że zmiany planu finansowego państwowego funduszu celowego mogą powodować zwiększenia dotacji z budżetu państwa </w:t>
      </w:r>
      <w:r w:rsidR="005A6696" w:rsidRPr="00641D43">
        <w:rPr>
          <w:bCs/>
          <w:sz w:val="24"/>
          <w:szCs w:val="24"/>
        </w:rPr>
        <w:t xml:space="preserve">lub zwiększenia planowanego stanu zobowiązań </w:t>
      </w:r>
      <w:r w:rsidRPr="00641D43">
        <w:rPr>
          <w:bCs/>
          <w:sz w:val="24"/>
          <w:szCs w:val="24"/>
        </w:rPr>
        <w:t xml:space="preserve">(art. </w:t>
      </w:r>
      <w:r w:rsidR="00581FCC" w:rsidRPr="00641D43">
        <w:rPr>
          <w:bCs/>
          <w:sz w:val="24"/>
          <w:szCs w:val="24"/>
        </w:rPr>
        <w:t>10</w:t>
      </w:r>
      <w:r w:rsidR="00581FCC" w:rsidRPr="00641D43">
        <w:rPr>
          <w:sz w:val="24"/>
          <w:szCs w:val="24"/>
        </w:rPr>
        <w:t xml:space="preserve"> </w:t>
      </w:r>
      <w:r w:rsidR="00976360" w:rsidRPr="00641D43">
        <w:rPr>
          <w:bCs/>
          <w:sz w:val="24"/>
          <w:szCs w:val="24"/>
        </w:rPr>
        <w:t>projektowanej ustawy</w:t>
      </w:r>
      <w:r w:rsidRPr="00641D43">
        <w:rPr>
          <w:bCs/>
          <w:sz w:val="24"/>
          <w:szCs w:val="24"/>
        </w:rPr>
        <w:t xml:space="preserve">). Przepisy te stanowią zabezpieczenie </w:t>
      </w:r>
      <w:r w:rsidRPr="00641D43">
        <w:rPr>
          <w:bCs/>
          <w:sz w:val="24"/>
          <w:szCs w:val="24"/>
        </w:rPr>
        <w:lastRenderedPageBreak/>
        <w:t>wypłat świadczeń, gdyż zaproponowany mechanizm waloryzacji będzie wymagać dodatkowych nakładów finansowych na wypłaty emerytur i rent.</w:t>
      </w:r>
    </w:p>
    <w:p w:rsidR="00596CFA" w:rsidRPr="00641D43" w:rsidRDefault="00596CFA" w:rsidP="00641D43">
      <w:pPr>
        <w:shd w:val="clear" w:color="auto" w:fill="FFFFFF"/>
        <w:spacing w:before="120" w:line="360" w:lineRule="auto"/>
        <w:ind w:right="34"/>
        <w:jc w:val="both"/>
      </w:pPr>
      <w:r w:rsidRPr="00641D43">
        <w:t xml:space="preserve">Z kolei art. </w:t>
      </w:r>
      <w:r w:rsidR="00581FCC" w:rsidRPr="00641D43">
        <w:t xml:space="preserve">11 </w:t>
      </w:r>
      <w:r w:rsidRPr="00641D43">
        <w:t xml:space="preserve">projektowanej ustawy zawiera upoważnienie dla Prezesa Zakładu Ubezpieczeń Społecznych do dokonania przeniesień planowanych wydatków między działami, rozdziałami i paragrafami w ramach części 73 </w:t>
      </w:r>
      <w:r w:rsidR="00641D43">
        <w:t>–</w:t>
      </w:r>
      <w:r w:rsidRPr="00641D43">
        <w:t xml:space="preserve"> Zakład Ubezpieczeń Społecznych z przeznaczeniem na waloryzację renty socjalnej.</w:t>
      </w:r>
    </w:p>
    <w:p w:rsidR="00394F94" w:rsidRPr="00641D43" w:rsidRDefault="00C316E7" w:rsidP="00641D43">
      <w:pPr>
        <w:shd w:val="clear" w:color="auto" w:fill="FFFFFF"/>
        <w:spacing w:before="120" w:line="360" w:lineRule="auto"/>
        <w:ind w:right="34"/>
        <w:jc w:val="both"/>
      </w:pPr>
      <w:r w:rsidRPr="00641D43">
        <w:t>Proponuje się, aby ustawa weszła w życie z dniem 1 marca 201</w:t>
      </w:r>
      <w:r w:rsidR="00B4762E" w:rsidRPr="00641D43">
        <w:t>9</w:t>
      </w:r>
      <w:r w:rsidRPr="00641D43">
        <w:t xml:space="preserve"> r. (art. </w:t>
      </w:r>
      <w:r w:rsidR="00581FCC" w:rsidRPr="00641D43">
        <w:t xml:space="preserve">12 </w:t>
      </w:r>
      <w:r w:rsidR="007C359E" w:rsidRPr="00641D43">
        <w:t>projektowanej ustawy</w:t>
      </w:r>
      <w:r w:rsidRPr="00641D43">
        <w:t>)</w:t>
      </w:r>
      <w:r w:rsidR="00011717" w:rsidRPr="00641D43">
        <w:t>,</w:t>
      </w:r>
      <w:r w:rsidR="00326A09" w:rsidRPr="00641D43">
        <w:t xml:space="preserve"> z wyjątkiem </w:t>
      </w:r>
      <w:r w:rsidR="00C86FD1" w:rsidRPr="00641D43">
        <w:t xml:space="preserve">art. </w:t>
      </w:r>
      <w:r w:rsidR="00581FCC" w:rsidRPr="00641D43">
        <w:t>4</w:t>
      </w:r>
      <w:r w:rsidR="00C86FD1" w:rsidRPr="00641D43">
        <w:t xml:space="preserve">, </w:t>
      </w:r>
      <w:r w:rsidR="00B161ED" w:rsidRPr="00641D43">
        <w:t xml:space="preserve">art. </w:t>
      </w:r>
      <w:r w:rsidR="00581FCC" w:rsidRPr="00641D43">
        <w:t xml:space="preserve">7 </w:t>
      </w:r>
      <w:r w:rsidR="00B161ED" w:rsidRPr="00641D43">
        <w:t xml:space="preserve">ust. 2 i </w:t>
      </w:r>
      <w:r w:rsidR="00A8054C" w:rsidRPr="00641D43">
        <w:t xml:space="preserve">art. </w:t>
      </w:r>
      <w:r w:rsidR="00581FCC" w:rsidRPr="00641D43">
        <w:t>9</w:t>
      </w:r>
      <w:r w:rsidR="007C359E" w:rsidRPr="00641D43">
        <w:t>, któr</w:t>
      </w:r>
      <w:r w:rsidR="00B161ED" w:rsidRPr="00641D43">
        <w:t>e</w:t>
      </w:r>
      <w:r w:rsidR="00D5358D">
        <w:t xml:space="preserve"> mają wejść</w:t>
      </w:r>
      <w:r w:rsidR="007C359E" w:rsidRPr="00641D43">
        <w:t xml:space="preserve"> w życie z dniem</w:t>
      </w:r>
      <w:r w:rsidR="00250E3F" w:rsidRPr="00641D43">
        <w:t xml:space="preserve"> </w:t>
      </w:r>
      <w:r w:rsidR="00011717" w:rsidRPr="00641D43">
        <w:t xml:space="preserve">następującym po dniu </w:t>
      </w:r>
      <w:r w:rsidR="00250E3F" w:rsidRPr="00641D43">
        <w:t>ogłoszenia</w:t>
      </w:r>
      <w:r w:rsidR="000A1239" w:rsidRPr="00641D43">
        <w:t xml:space="preserve">. </w:t>
      </w:r>
      <w:r w:rsidR="00315A00">
        <w:t>Wcześniejsze wejście w </w:t>
      </w:r>
      <w:r w:rsidR="00596CFA" w:rsidRPr="00641D43">
        <w:t xml:space="preserve">życie projektowanych art. </w:t>
      </w:r>
      <w:r w:rsidR="00581FCC" w:rsidRPr="00641D43">
        <w:t xml:space="preserve">7 </w:t>
      </w:r>
      <w:r w:rsidR="00596CFA" w:rsidRPr="00641D43">
        <w:t xml:space="preserve">ust. 2 i art. </w:t>
      </w:r>
      <w:r w:rsidR="00581FCC" w:rsidRPr="00641D43">
        <w:t xml:space="preserve">9 </w:t>
      </w:r>
      <w:r w:rsidR="00596CFA" w:rsidRPr="00641D43">
        <w:t xml:space="preserve">wynika z konieczności ogłoszenia </w:t>
      </w:r>
      <w:r w:rsidR="00A57B8E" w:rsidRPr="00641D43">
        <w:t>co najmniej na 7</w:t>
      </w:r>
      <w:r w:rsidR="00FD0A74">
        <w:t> </w:t>
      </w:r>
      <w:r w:rsidR="00A57B8E" w:rsidRPr="00641D43">
        <w:t xml:space="preserve">dni roboczych przed najbliższym </w:t>
      </w:r>
      <w:r w:rsidR="00596CFA" w:rsidRPr="00641D43">
        <w:t>terminem waloryzacji stosownych komunikatów.</w:t>
      </w:r>
      <w:r w:rsidR="00C86FD1" w:rsidRPr="00641D43">
        <w:t xml:space="preserve"> Wejście w życie projektowanego art. </w:t>
      </w:r>
      <w:r w:rsidR="00581FCC" w:rsidRPr="00641D43">
        <w:t xml:space="preserve">4 </w:t>
      </w:r>
      <w:r w:rsidR="00C86FD1" w:rsidRPr="00641D43">
        <w:t>we wska</w:t>
      </w:r>
      <w:r w:rsidR="001324CD" w:rsidRPr="00641D43">
        <w:t>z</w:t>
      </w:r>
      <w:r w:rsidR="00C86FD1" w:rsidRPr="00641D43">
        <w:t>an</w:t>
      </w:r>
      <w:r w:rsidR="001324CD" w:rsidRPr="00641D43">
        <w:t>y</w:t>
      </w:r>
      <w:r w:rsidR="00C86FD1" w:rsidRPr="00641D43">
        <w:t>m terminie jest uzasadnione koniecznością jak najpilniejszego wdrożenia regulacj</w:t>
      </w:r>
      <w:r w:rsidR="00315A00">
        <w:t>i, która w </w:t>
      </w:r>
      <w:r w:rsidR="00C86FD1" w:rsidRPr="00641D43">
        <w:t xml:space="preserve">jednoznaczny sposób określi sytuację prawną </w:t>
      </w:r>
      <w:r w:rsidR="00581FCC" w:rsidRPr="00641D43">
        <w:t>w zakresie podlegania ubezpieczeniom emerytalnemu i</w:t>
      </w:r>
      <w:r w:rsidR="00FD0A74">
        <w:t> </w:t>
      </w:r>
      <w:r w:rsidR="00581FCC" w:rsidRPr="00641D43">
        <w:t xml:space="preserve">rentowym </w:t>
      </w:r>
      <w:r w:rsidR="00C86FD1" w:rsidRPr="00641D43">
        <w:t>doktorantów odbywających studia doktoranckie.</w:t>
      </w:r>
    </w:p>
    <w:p w:rsidR="00394F94" w:rsidRPr="00641D43" w:rsidRDefault="00580FB2" w:rsidP="00641D43">
      <w:pPr>
        <w:shd w:val="clear" w:color="auto" w:fill="FFFFFF"/>
        <w:spacing w:before="120" w:line="360" w:lineRule="auto"/>
        <w:ind w:right="34"/>
        <w:jc w:val="both"/>
      </w:pPr>
      <w:r w:rsidRPr="00641D43">
        <w:t>Zastosowanie w 2019 r. zasad waloryzacji procentowej, z gwarantowaną minimalną podwyżką, zapewni nie tylko ochronę realnej wartości wszystkich wypłacanych świadczeń emerytalno-rentowych, lecz wyjdzie naprzeciw oczekiwaniom wyższych podwyżek przez większość emerytów i rencistów.</w:t>
      </w:r>
    </w:p>
    <w:p w:rsidR="00B26095" w:rsidRPr="00641D43" w:rsidRDefault="00C316E7" w:rsidP="00641D43">
      <w:pPr>
        <w:shd w:val="clear" w:color="auto" w:fill="FFFFFF"/>
        <w:spacing w:before="120" w:line="360" w:lineRule="auto"/>
        <w:ind w:right="34"/>
        <w:jc w:val="both"/>
      </w:pPr>
      <w:r w:rsidRPr="00641D43">
        <w:rPr>
          <w:color w:val="000000"/>
        </w:rPr>
        <w:t>Wejście w życie projektowanej ustawy</w:t>
      </w:r>
      <w:r w:rsidR="00632AEA" w:rsidRPr="00641D43">
        <w:rPr>
          <w:color w:val="000000"/>
        </w:rPr>
        <w:t xml:space="preserve"> – zdaniem projektodawcy </w:t>
      </w:r>
      <w:r w:rsidR="00EA00BC" w:rsidRPr="00641D43">
        <w:rPr>
          <w:color w:val="000000"/>
        </w:rPr>
        <w:t>–</w:t>
      </w:r>
      <w:r w:rsidRPr="00641D43">
        <w:rPr>
          <w:color w:val="000000"/>
        </w:rPr>
        <w:t xml:space="preserve"> nie naruszy wartości wyrażonych w Konstytu</w:t>
      </w:r>
      <w:r w:rsidR="00F34473" w:rsidRPr="00641D43">
        <w:rPr>
          <w:color w:val="000000"/>
        </w:rPr>
        <w:t xml:space="preserve">cji Rzeczypospolitej Polskiej. </w:t>
      </w:r>
    </w:p>
    <w:p w:rsidR="00EF14EB" w:rsidRPr="00641D43" w:rsidRDefault="00C316E7" w:rsidP="00641D43">
      <w:pPr>
        <w:spacing w:before="120" w:line="360" w:lineRule="auto"/>
        <w:jc w:val="both"/>
        <w:rPr>
          <w:color w:val="000000"/>
        </w:rPr>
      </w:pPr>
      <w:r w:rsidRPr="00641D43">
        <w:rPr>
          <w:color w:val="000000"/>
        </w:rPr>
        <w:t>Z orzecznictwa Trybunału Kons</w:t>
      </w:r>
      <w:r w:rsidR="00B3067D" w:rsidRPr="00641D43">
        <w:rPr>
          <w:color w:val="000000"/>
        </w:rPr>
        <w:t>tytucyjnego wynika, że waloryzacja</w:t>
      </w:r>
      <w:r w:rsidRPr="00641D43">
        <w:rPr>
          <w:color w:val="000000"/>
        </w:rPr>
        <w:t xml:space="preserve"> świadczeń emerytalno-rentowych stanowi jeden z elementów konstytucyjnego prawa do zabezpieczenia społecznego, wyrażonego w art. 67 ust. 1 Konstytucji RP, co oznacza konieczność istnienia mechanizmu utrzymywania świadczeń emerytalno-rentowych na odpowiednim poziomie ich wartości realnej. Określenie zakresu i f</w:t>
      </w:r>
      <w:r w:rsidR="00C50239" w:rsidRPr="00641D43">
        <w:rPr>
          <w:color w:val="000000"/>
        </w:rPr>
        <w:t>ormy zabezpieczenia społecznego</w:t>
      </w:r>
      <w:r w:rsidRPr="00641D43">
        <w:rPr>
          <w:color w:val="000000"/>
        </w:rPr>
        <w:t xml:space="preserve"> Konstytucja RP powierza ustawodawcy (art. 67 ust. 1 zdanie 2 Konstytucji RP) i dlatego też ma on swobodę w kształtowaniu mechanizm</w:t>
      </w:r>
      <w:r w:rsidR="009C364D" w:rsidRPr="00641D43">
        <w:rPr>
          <w:color w:val="000000"/>
        </w:rPr>
        <w:t xml:space="preserve">u waloryzacji. Do </w:t>
      </w:r>
      <w:r w:rsidRPr="00641D43">
        <w:rPr>
          <w:color w:val="000000"/>
        </w:rPr>
        <w:t>ustawodawcy należy zatem wybór rozwiązań, które uważa za optymalne z punktu widzenia potrzeb obywateli oraz wymogów ekonomicznego rozwoju k</w:t>
      </w:r>
      <w:r w:rsidR="00315A00">
        <w:rPr>
          <w:color w:val="000000"/>
        </w:rPr>
        <w:t>raju. W </w:t>
      </w:r>
      <w:r w:rsidRPr="00641D43">
        <w:rPr>
          <w:color w:val="000000"/>
        </w:rPr>
        <w:t>dziedzini</w:t>
      </w:r>
      <w:r w:rsidR="0078508B" w:rsidRPr="00641D43">
        <w:rPr>
          <w:color w:val="000000"/>
        </w:rPr>
        <w:t>e kształtowania praw socjalnych</w:t>
      </w:r>
      <w:r w:rsidRPr="00641D43">
        <w:rPr>
          <w:color w:val="000000"/>
        </w:rPr>
        <w:t xml:space="preserve"> Konstytucja RP pozostawia ustawodawcy szeroki mar</w:t>
      </w:r>
      <w:r w:rsidR="00F452D8" w:rsidRPr="00641D43">
        <w:rPr>
          <w:color w:val="000000"/>
        </w:rPr>
        <w:t xml:space="preserve">gines działania, </w:t>
      </w:r>
      <w:r w:rsidRPr="00641D43">
        <w:rPr>
          <w:color w:val="000000"/>
        </w:rPr>
        <w:t xml:space="preserve">a sposób wykorzystania tego marginesu nie może </w:t>
      </w:r>
      <w:r w:rsidRPr="00641D43">
        <w:rPr>
          <w:color w:val="000000"/>
        </w:rPr>
        <w:lastRenderedPageBreak/>
        <w:t>pozostawać bez związku z aktualnymi możliwościami finansowymi państwa. Swoboda ustawodawcy nie jest jednak nieograniczona. Określając zakres prawa do zabezpieczenia społecznego</w:t>
      </w:r>
      <w:r w:rsidR="00EC57FB">
        <w:rPr>
          <w:color w:val="000000"/>
        </w:rPr>
        <w:t>,</w:t>
      </w:r>
      <w:r w:rsidRPr="00641D43">
        <w:rPr>
          <w:color w:val="000000"/>
        </w:rPr>
        <w:t xml:space="preserve"> ustawa nie może naruszyć istoty danego prawa, która określa jego tożsamość. </w:t>
      </w:r>
    </w:p>
    <w:p w:rsidR="00EF14EB" w:rsidRPr="00641D43" w:rsidRDefault="00EF14EB" w:rsidP="00641D43">
      <w:pPr>
        <w:spacing w:before="120" w:line="360" w:lineRule="auto"/>
        <w:jc w:val="both"/>
        <w:rPr>
          <w:color w:val="000000"/>
        </w:rPr>
      </w:pPr>
      <w:r w:rsidRPr="00641D43">
        <w:rPr>
          <w:color w:val="000000"/>
        </w:rPr>
        <w:t>Do naruszenia istoty prawa do zabezpieczenia społecznego w związku z waloryzacją może dojść w szczególności w dwóch sytuacjach: gdy świadc</w:t>
      </w:r>
      <w:r w:rsidR="009C364D" w:rsidRPr="00641D43">
        <w:rPr>
          <w:color w:val="000000"/>
        </w:rPr>
        <w:t>zenia nie będą waloryzowane w</w:t>
      </w:r>
      <w:r w:rsidR="00641D43">
        <w:rPr>
          <w:color w:val="000000"/>
        </w:rPr>
        <w:t xml:space="preserve"> </w:t>
      </w:r>
      <w:r w:rsidRPr="00641D43">
        <w:rPr>
          <w:color w:val="000000"/>
        </w:rPr>
        <w:t>danym okresie bądź gdy waloryzacja świadczeń sprowadzi przynajmniej część świadczeniobiorców poniżej poziomu minimum życiowego.</w:t>
      </w:r>
    </w:p>
    <w:p w:rsidR="00C316E7" w:rsidRPr="00641D43" w:rsidRDefault="00C316E7" w:rsidP="00641D43">
      <w:pPr>
        <w:autoSpaceDE w:val="0"/>
        <w:autoSpaceDN w:val="0"/>
        <w:adjustRightInd w:val="0"/>
        <w:spacing w:before="120" w:line="360" w:lineRule="auto"/>
        <w:jc w:val="both"/>
        <w:rPr>
          <w:color w:val="000000"/>
        </w:rPr>
      </w:pPr>
      <w:r w:rsidRPr="00641D43">
        <w:rPr>
          <w:color w:val="000000"/>
        </w:rPr>
        <w:t xml:space="preserve">W orzecznictwie Trybunał Konstytucyjny podkreślał, że: „Świadczenia emerytalne przysługują w zamian za składkę ubezpieczeniową wnoszoną do systemu, jednak suma wpłaconych składek nie decyduje ostatecznie o wysokości emerytury. Formuła obliczania świadczeń wyraża bowiem podstawowe </w:t>
      </w:r>
      <w:r w:rsidR="00315A00">
        <w:rPr>
          <w:color w:val="000000"/>
        </w:rPr>
        <w:t>zasady systemu ubezpieczeń, a w </w:t>
      </w:r>
      <w:r w:rsidRPr="00641D43">
        <w:rPr>
          <w:color w:val="000000"/>
        </w:rPr>
        <w:t xml:space="preserve">szczególności zasadę solidaryzmu społecznego. Oznacza to, że wypłacane świadczenia muszą pozostawać w pewnej proporcji do wysokości zarobku, jakim ubezpieczony dysponował przed przejściem na emeryturę, ale muszą też zaspokajać podstawowe potrzeby ubezpieczonego”. </w:t>
      </w:r>
    </w:p>
    <w:p w:rsidR="00D86B0D" w:rsidRPr="00641D43" w:rsidRDefault="00D86B0D" w:rsidP="00641D43">
      <w:pPr>
        <w:pStyle w:val="NormalnyWeb"/>
        <w:spacing w:before="120" w:beforeAutospacing="0" w:after="0" w:afterAutospacing="0" w:line="360" w:lineRule="auto"/>
        <w:jc w:val="both"/>
      </w:pPr>
      <w:r w:rsidRPr="00641D43">
        <w:t xml:space="preserve">Po przeanalizowaniu dotychczasowego orzecznictwa Trybunału Konstytucyjnego nie ma wątpliwości co do tego, że ustawodawca </w:t>
      </w:r>
      <w:r w:rsidR="001A6610">
        <w:t>po</w:t>
      </w:r>
      <w:r w:rsidRPr="00641D43">
        <w:t xml:space="preserve">winien określać wysokość świadczenia emerytalnego w taki sposób, </w:t>
      </w:r>
      <w:r w:rsidR="00014FE6">
        <w:t>a</w:t>
      </w:r>
      <w:r w:rsidRPr="00641D43">
        <w:t xml:space="preserve">by nie naruszyć istoty prawa do zabezpieczenia społecznego. Wydaje się jednak, że konstytucyjny standard ochrony odnoszonej do świadczeń emerytalnych wykracza poza sam zakaz naruszania istoty prawa. Biorąc pod uwagę rozłożenie w czasie procesu uzyskiwania prawa do emerytury oraz możliwe długotrwałe korzystanie z </w:t>
      </w:r>
      <w:r w:rsidR="00014FE6">
        <w:t>t</w:t>
      </w:r>
      <w:r w:rsidRPr="00641D43">
        <w:t>ego prawa, podstawowe znaczenie ma problem zachowania wartości emerytury, której wysokość jest określana w decyzji organu emerytalnego. Z</w:t>
      </w:r>
      <w:r w:rsidR="00014FE6">
        <w:t> </w:t>
      </w:r>
      <w:r w:rsidRPr="00641D43">
        <w:t xml:space="preserve">punktu widzenia zasady ochrony </w:t>
      </w:r>
      <w:r w:rsidR="00315A00">
        <w:t>zaufania obywatela do państwa i </w:t>
      </w:r>
      <w:r w:rsidRPr="00641D43">
        <w:t>stanowionego przez nie prawa zasadne wydaje się bowiem formułowanie oczekiwania, że państwo po ustaleniu wysokości świadczenia emerytalnego zapewni jego realną wartość. Takim właśnie mechanizmem, służącym zagwarantowaniu obywatelowi realnej wartości uzyskiwanej przez niego emerytury, jest mechanizm waloryzacji. Tym samym, patrząc z perspektywy ukształtowanej w Konstytucji RP zasady ochrony praw nabytych, instytucja waloryzacji emerytur stanowi istotny element prawa do emerytury (wyrok Trybunału Konstytucyjnego z 20 grudnia 1</w:t>
      </w:r>
      <w:r w:rsidR="00315A00">
        <w:t>999 r., sygn. K 4/99, OTK ZU nr </w:t>
      </w:r>
      <w:r w:rsidRPr="00641D43">
        <w:t>7/1999, poz. 165). Dodatkowo Trybunał Konstytucyjny w</w:t>
      </w:r>
      <w:r w:rsidR="00641D43">
        <w:t xml:space="preserve"> </w:t>
      </w:r>
      <w:r w:rsidR="00315A00">
        <w:t>postanowieniu z 27 </w:t>
      </w:r>
      <w:r w:rsidRPr="00641D43">
        <w:t xml:space="preserve">czerwca 2001 r. </w:t>
      </w:r>
      <w:r w:rsidRPr="00641D43">
        <w:lastRenderedPageBreak/>
        <w:t xml:space="preserve">(sygn. </w:t>
      </w:r>
      <w:proofErr w:type="spellStart"/>
      <w:r w:rsidRPr="00641D43">
        <w:t>Ts</w:t>
      </w:r>
      <w:proofErr w:type="spellEnd"/>
      <w:r w:rsidRPr="00641D43">
        <w:t xml:space="preserve"> 24/01, OTK ZU nr 5/2001, poz. 154) stwierdził, że dopóki stosowany przez ustawodawcę mechanizm waloryzacji jest ukierunkowany na zagwarantowanie realnej wartości przyznanych emerytur, dopóty ustawodawca ma swobodę w zakresie sposobu jej dokonywania, w szczególności</w:t>
      </w:r>
      <w:r w:rsidR="00743993">
        <w:t>,</w:t>
      </w:r>
      <w:r w:rsidRPr="00641D43">
        <w:t xml:space="preserve"> je</w:t>
      </w:r>
      <w:r w:rsidR="00743993">
        <w:t>że</w:t>
      </w:r>
      <w:r w:rsidRPr="00641D43">
        <w:t>li ch</w:t>
      </w:r>
      <w:r w:rsidR="00315A00">
        <w:t>odzi o wybór i </w:t>
      </w:r>
      <w:r w:rsidRPr="00641D43">
        <w:t>zmiany jej metody (wyrok Trybunału Konstytucyjnego z 8 maja 2000 r., sygn. SK</w:t>
      </w:r>
      <w:r w:rsidR="00315A00">
        <w:t> </w:t>
      </w:r>
      <w:r w:rsidRPr="00641D43">
        <w:t>22/99, OTK ZU nr 4/2000, poz. 107).</w:t>
      </w:r>
    </w:p>
    <w:p w:rsidR="00D86B0D" w:rsidRPr="00641D43" w:rsidRDefault="00D86B0D" w:rsidP="00641D43">
      <w:pPr>
        <w:spacing w:before="120" w:line="360" w:lineRule="auto"/>
        <w:jc w:val="both"/>
      </w:pPr>
      <w:r w:rsidRPr="00641D43">
        <w:t xml:space="preserve">Należy podkreślić, że waloryzacja świadczeń emerytalno-rentowych stanowi ważny element konstrukcji systemu ubezpieczeń społecznych zapobiegający deprecjacji świadczeń. Proponowana w </w:t>
      </w:r>
      <w:r w:rsidR="00A80F5A" w:rsidRPr="00641D43">
        <w:t>marcu</w:t>
      </w:r>
      <w:r w:rsidRPr="00641D43">
        <w:t xml:space="preserve"> 2019 r. </w:t>
      </w:r>
      <w:r w:rsidR="002771B8" w:rsidRPr="00641D43">
        <w:t>modyfikacja mechanizmu waloryzacji</w:t>
      </w:r>
      <w:r w:rsidRPr="00641D43">
        <w:t xml:space="preserve"> stanowić będzie realne wsparcie dla najuboższy</w:t>
      </w:r>
      <w:r w:rsidR="002771B8" w:rsidRPr="00641D43">
        <w:t xml:space="preserve">ch grup emerytów i rencistów, przy zachowaniu siły nabywczej i realnej wartości </w:t>
      </w:r>
      <w:r w:rsidR="00ED0628" w:rsidRPr="00641D43">
        <w:t>wszystkich świadczeń.</w:t>
      </w:r>
    </w:p>
    <w:p w:rsidR="00946B2D" w:rsidRPr="00641D43" w:rsidRDefault="00946B2D" w:rsidP="00641D43">
      <w:pPr>
        <w:widowControl w:val="0"/>
        <w:autoSpaceDE w:val="0"/>
        <w:autoSpaceDN w:val="0"/>
        <w:adjustRightInd w:val="0"/>
        <w:spacing w:before="120" w:line="360" w:lineRule="auto"/>
        <w:jc w:val="both"/>
        <w:rPr>
          <w:lang w:eastAsia="en-US"/>
        </w:rPr>
      </w:pPr>
      <w:r w:rsidRPr="00641D43">
        <w:rPr>
          <w:lang w:eastAsia="en-US"/>
        </w:rPr>
        <w:t xml:space="preserve">Przyjęcie w 2019 r. zasady waloryzacji procentowej z gwarantowaną minimalną podwyżką na poziomie 70 zł </w:t>
      </w:r>
      <w:r w:rsidR="009C364D" w:rsidRPr="00641D43">
        <w:rPr>
          <w:lang w:eastAsia="en-US"/>
        </w:rPr>
        <w:t>s</w:t>
      </w:r>
      <w:r w:rsidRPr="00641D43">
        <w:rPr>
          <w:lang w:eastAsia="en-US"/>
        </w:rPr>
        <w:t xml:space="preserve">powoduje, że świadczenia wypłacane w kwocie poniżej </w:t>
      </w:r>
      <w:r w:rsidR="00FF0738" w:rsidRPr="00641D43">
        <w:rPr>
          <w:lang w:eastAsia="en-US"/>
        </w:rPr>
        <w:t>2147,30</w:t>
      </w:r>
      <w:r w:rsidRPr="00641D43">
        <w:rPr>
          <w:lang w:eastAsia="en-US"/>
        </w:rPr>
        <w:t xml:space="preserve"> zł miesięcznie będą podwyższone w stopniu większym niż gdyby przeprowadzono waloryzację według obecnie funkcjonujących zasad. </w:t>
      </w:r>
    </w:p>
    <w:p w:rsidR="00FF0738" w:rsidRPr="00641D43" w:rsidRDefault="006F6E6A" w:rsidP="00641D43">
      <w:pPr>
        <w:widowControl w:val="0"/>
        <w:autoSpaceDE w:val="0"/>
        <w:autoSpaceDN w:val="0"/>
        <w:adjustRightInd w:val="0"/>
        <w:spacing w:before="120" w:line="360" w:lineRule="auto"/>
        <w:jc w:val="both"/>
      </w:pPr>
      <w:r w:rsidRPr="00641D43">
        <w:rPr>
          <w:lang w:eastAsia="en-US"/>
        </w:rPr>
        <w:t>Wprowadzenie w 2019 r. innego mechanizmu waloryzacji niż obecnie funkcjonujący oznacza, że z tytułu minimalnej gwarantowanej podwyżki na poziomie 70 zł</w:t>
      </w:r>
      <w:r w:rsidR="009C364D" w:rsidRPr="00641D43">
        <w:rPr>
          <w:lang w:eastAsia="en-US"/>
        </w:rPr>
        <w:t>,</w:t>
      </w:r>
      <w:r w:rsidRPr="00641D43">
        <w:rPr>
          <w:lang w:eastAsia="en-US"/>
        </w:rPr>
        <w:t xml:space="preserve"> </w:t>
      </w:r>
      <w:r w:rsidR="00946B2D" w:rsidRPr="00641D43">
        <w:rPr>
          <w:lang w:eastAsia="en-US"/>
        </w:rPr>
        <w:t>wyższą podwyżkę</w:t>
      </w:r>
      <w:r w:rsidRPr="00641D43">
        <w:rPr>
          <w:lang w:eastAsia="en-US"/>
        </w:rPr>
        <w:t xml:space="preserve"> niż wynikającą z prognozowanego wskaźnika 10</w:t>
      </w:r>
      <w:r w:rsidR="00443B54" w:rsidRPr="00641D43">
        <w:rPr>
          <w:lang w:eastAsia="en-US"/>
        </w:rPr>
        <w:t>3,26</w:t>
      </w:r>
      <w:r w:rsidRPr="00641D43">
        <w:rPr>
          <w:lang w:eastAsia="en-US"/>
        </w:rPr>
        <w:t>%</w:t>
      </w:r>
      <w:r w:rsidR="00BC0C4E" w:rsidRPr="00641D43">
        <w:rPr>
          <w:lang w:eastAsia="en-US"/>
        </w:rPr>
        <w:t xml:space="preserve"> otrzyma </w:t>
      </w:r>
      <w:r w:rsidR="00FF0738" w:rsidRPr="00641D43">
        <w:t xml:space="preserve">ok. </w:t>
      </w:r>
      <w:r w:rsidR="00427B4B" w:rsidRPr="00641D43">
        <w:t>6,27</w:t>
      </w:r>
      <w:r w:rsidR="00FF0738" w:rsidRPr="00641D43">
        <w:t xml:space="preserve"> mln świadczeniobiorców, w tym ok. </w:t>
      </w:r>
      <w:r w:rsidR="00427B4B" w:rsidRPr="00641D43">
        <w:t>61</w:t>
      </w:r>
      <w:r w:rsidRPr="00641D43">
        <w:t>%</w:t>
      </w:r>
      <w:r w:rsidR="00FF0738" w:rsidRPr="00641D43">
        <w:t xml:space="preserve"> emerytów i rencistów pobierających świadczenia z ZUS, </w:t>
      </w:r>
      <w:r w:rsidRPr="00641D43">
        <w:t>100</w:t>
      </w:r>
      <w:r w:rsidR="009C364D" w:rsidRPr="00641D43">
        <w:t xml:space="preserve">% emerytów i </w:t>
      </w:r>
      <w:r w:rsidR="00FF0738" w:rsidRPr="00641D43">
        <w:t xml:space="preserve">rencistów pobierających świadczenia z Kasy Rolniczego Ubezpieczenia Społecznego, ok. </w:t>
      </w:r>
      <w:r w:rsidR="00785048" w:rsidRPr="00641D43">
        <w:t>20</w:t>
      </w:r>
      <w:r w:rsidR="00FF0738" w:rsidRPr="00641D43">
        <w:t>% świadczeniobiorców ze służb mundurowych oraz 100% osób pobierających renty socjalne oraz zasiłki i świadczenia przedemerytalne.</w:t>
      </w:r>
    </w:p>
    <w:p w:rsidR="00F85770" w:rsidRPr="00641D43" w:rsidRDefault="00946B2D" w:rsidP="00641D43">
      <w:pPr>
        <w:widowControl w:val="0"/>
        <w:autoSpaceDE w:val="0"/>
        <w:autoSpaceDN w:val="0"/>
        <w:adjustRightInd w:val="0"/>
        <w:spacing w:before="120" w:line="360" w:lineRule="auto"/>
        <w:jc w:val="both"/>
        <w:rPr>
          <w:lang w:eastAsia="en-US"/>
        </w:rPr>
      </w:pPr>
      <w:r w:rsidRPr="00641D43">
        <w:rPr>
          <w:lang w:eastAsia="en-US"/>
        </w:rPr>
        <w:t xml:space="preserve">Przy proponowanej </w:t>
      </w:r>
      <w:r w:rsidR="009C364D" w:rsidRPr="00641D43">
        <w:rPr>
          <w:lang w:eastAsia="en-US"/>
        </w:rPr>
        <w:t xml:space="preserve">w projekcie ustawy </w:t>
      </w:r>
      <w:r w:rsidRPr="00641D43">
        <w:rPr>
          <w:lang w:eastAsia="en-US"/>
        </w:rPr>
        <w:t xml:space="preserve">zmianie sposobu waloryzacji świadczeń emerytalno-rentowych osoby pobierające </w:t>
      </w:r>
      <w:r w:rsidR="00BC0C4E" w:rsidRPr="00641D43">
        <w:rPr>
          <w:lang w:eastAsia="en-US"/>
        </w:rPr>
        <w:t>najniższe</w:t>
      </w:r>
      <w:r w:rsidRPr="00641D43">
        <w:rPr>
          <w:lang w:eastAsia="en-US"/>
        </w:rPr>
        <w:t xml:space="preserve"> emerytury i renty dostałyby </w:t>
      </w:r>
      <w:r w:rsidR="009C364D" w:rsidRPr="00641D43">
        <w:rPr>
          <w:lang w:eastAsia="en-US"/>
        </w:rPr>
        <w:t xml:space="preserve">kwotę waloryzacji na poziomie </w:t>
      </w:r>
      <w:r w:rsidR="003F3C56" w:rsidRPr="00641D43">
        <w:rPr>
          <w:lang w:eastAsia="en-US"/>
        </w:rPr>
        <w:t xml:space="preserve">70,20 </w:t>
      </w:r>
      <w:r w:rsidRPr="00641D43">
        <w:rPr>
          <w:lang w:eastAsia="en-US"/>
        </w:rPr>
        <w:t>zł</w:t>
      </w:r>
      <w:r w:rsidR="003F3C56" w:rsidRPr="00641D43">
        <w:rPr>
          <w:lang w:eastAsia="en-US"/>
        </w:rPr>
        <w:t xml:space="preserve"> (w przypadku rent z tytułu częściowej niezdolności do pracy</w:t>
      </w:r>
      <w:r w:rsidR="009C364D" w:rsidRPr="00641D43">
        <w:rPr>
          <w:lang w:eastAsia="en-US"/>
        </w:rPr>
        <w:t xml:space="preserve"> </w:t>
      </w:r>
      <w:r w:rsidR="0078508B" w:rsidRPr="00641D43">
        <w:rPr>
          <w:lang w:eastAsia="en-US"/>
        </w:rPr>
        <w:t>–</w:t>
      </w:r>
      <w:r w:rsidR="009C364D" w:rsidRPr="00641D43">
        <w:rPr>
          <w:lang w:eastAsia="en-US"/>
        </w:rPr>
        <w:t xml:space="preserve"> </w:t>
      </w:r>
      <w:r w:rsidR="003F3C56" w:rsidRPr="00641D43">
        <w:rPr>
          <w:lang w:eastAsia="en-US"/>
        </w:rPr>
        <w:t>52,65 zł)</w:t>
      </w:r>
      <w:r w:rsidRPr="00641D43">
        <w:rPr>
          <w:lang w:eastAsia="en-US"/>
        </w:rPr>
        <w:t>. Gdyby zastosowano dotychczasowe zasady</w:t>
      </w:r>
      <w:r w:rsidR="00F85770" w:rsidRPr="00641D43">
        <w:rPr>
          <w:lang w:eastAsia="en-US"/>
        </w:rPr>
        <w:t xml:space="preserve"> waloryzacji świadczeń</w:t>
      </w:r>
      <w:r w:rsidRPr="00641D43">
        <w:rPr>
          <w:lang w:eastAsia="en-US"/>
        </w:rPr>
        <w:t xml:space="preserve">, otrzymałyby </w:t>
      </w:r>
      <w:r w:rsidR="00F85770" w:rsidRPr="00641D43">
        <w:rPr>
          <w:lang w:eastAsia="en-US"/>
        </w:rPr>
        <w:t xml:space="preserve">kwotę </w:t>
      </w:r>
      <w:r w:rsidR="003F3C56" w:rsidRPr="00641D43">
        <w:rPr>
          <w:lang w:eastAsia="en-US"/>
        </w:rPr>
        <w:t xml:space="preserve">33,57 zł (w przypadku rent z tytułu częściowej niezdolności do pracy </w:t>
      </w:r>
      <w:r w:rsidR="0078508B" w:rsidRPr="00641D43">
        <w:rPr>
          <w:lang w:eastAsia="en-US"/>
        </w:rPr>
        <w:t>–</w:t>
      </w:r>
      <w:r w:rsidR="0066349B" w:rsidRPr="00641D43">
        <w:rPr>
          <w:lang w:eastAsia="en-US"/>
        </w:rPr>
        <w:t xml:space="preserve"> </w:t>
      </w:r>
      <w:r w:rsidR="003F3C56" w:rsidRPr="00641D43">
        <w:rPr>
          <w:lang w:eastAsia="en-US"/>
        </w:rPr>
        <w:t xml:space="preserve">25,18 zł). </w:t>
      </w:r>
      <w:r w:rsidRPr="00641D43">
        <w:rPr>
          <w:lang w:eastAsia="en-US"/>
        </w:rPr>
        <w:t xml:space="preserve">Tak więc </w:t>
      </w:r>
      <w:r w:rsidR="00F85770" w:rsidRPr="00641D43">
        <w:rPr>
          <w:lang w:eastAsia="en-US"/>
        </w:rPr>
        <w:t>w</w:t>
      </w:r>
      <w:r w:rsidR="00641D43">
        <w:rPr>
          <w:lang w:eastAsia="en-US"/>
        </w:rPr>
        <w:t xml:space="preserve"> </w:t>
      </w:r>
      <w:r w:rsidR="009C364D" w:rsidRPr="00641D43">
        <w:rPr>
          <w:lang w:eastAsia="en-US"/>
        </w:rPr>
        <w:t xml:space="preserve">przypadku najniższych emerytur i rent z tytułu całkowitej niezdolności do pracy </w:t>
      </w:r>
      <w:r w:rsidR="00F85770" w:rsidRPr="00641D43">
        <w:rPr>
          <w:lang w:eastAsia="en-US"/>
        </w:rPr>
        <w:t>–</w:t>
      </w:r>
      <w:r w:rsidR="009C364D" w:rsidRPr="00641D43">
        <w:rPr>
          <w:lang w:eastAsia="en-US"/>
        </w:rPr>
        <w:t xml:space="preserve"> </w:t>
      </w:r>
      <w:r w:rsidR="00F85770" w:rsidRPr="00641D43">
        <w:rPr>
          <w:lang w:eastAsia="en-US"/>
        </w:rPr>
        <w:t>w</w:t>
      </w:r>
      <w:r w:rsidR="00641D43">
        <w:rPr>
          <w:lang w:eastAsia="en-US"/>
        </w:rPr>
        <w:t xml:space="preserve"> </w:t>
      </w:r>
      <w:r w:rsidR="00F85770" w:rsidRPr="00641D43">
        <w:rPr>
          <w:lang w:eastAsia="en-US"/>
        </w:rPr>
        <w:t xml:space="preserve">stosunku do obecnie obowiązujących zasad waloryzacji </w:t>
      </w:r>
      <w:r w:rsidR="0078508B" w:rsidRPr="00641D43">
        <w:rPr>
          <w:lang w:eastAsia="en-US"/>
        </w:rPr>
        <w:t>–</w:t>
      </w:r>
      <w:r w:rsidR="00F85770" w:rsidRPr="00641D43">
        <w:rPr>
          <w:lang w:eastAsia="en-US"/>
        </w:rPr>
        <w:t xml:space="preserve"> </w:t>
      </w:r>
      <w:r w:rsidRPr="00641D43">
        <w:rPr>
          <w:lang w:eastAsia="en-US"/>
        </w:rPr>
        <w:t>podwyżka świadczenia b</w:t>
      </w:r>
      <w:r w:rsidR="009C364D" w:rsidRPr="00641D43">
        <w:rPr>
          <w:lang w:eastAsia="en-US"/>
        </w:rPr>
        <w:t>yłaby</w:t>
      </w:r>
      <w:r w:rsidRPr="00641D43">
        <w:rPr>
          <w:lang w:eastAsia="en-US"/>
        </w:rPr>
        <w:t xml:space="preserve"> wyższa o </w:t>
      </w:r>
      <w:r w:rsidR="003F3C56" w:rsidRPr="00641D43">
        <w:rPr>
          <w:lang w:eastAsia="en-US"/>
        </w:rPr>
        <w:t>36,63</w:t>
      </w:r>
      <w:r w:rsidRPr="00641D43">
        <w:rPr>
          <w:lang w:eastAsia="en-US"/>
        </w:rPr>
        <w:t xml:space="preserve"> zł</w:t>
      </w:r>
      <w:r w:rsidR="009C364D" w:rsidRPr="00641D43">
        <w:rPr>
          <w:lang w:eastAsia="en-US"/>
        </w:rPr>
        <w:t xml:space="preserve">. </w:t>
      </w:r>
    </w:p>
    <w:p w:rsidR="00F056C6" w:rsidRPr="00641D43" w:rsidRDefault="00F056C6" w:rsidP="00641D43">
      <w:pPr>
        <w:spacing w:before="120" w:line="360" w:lineRule="auto"/>
        <w:jc w:val="both"/>
        <w:rPr>
          <w:lang w:eastAsia="en-US"/>
        </w:rPr>
      </w:pPr>
      <w:r w:rsidRPr="00641D43">
        <w:rPr>
          <w:lang w:eastAsia="en-US"/>
        </w:rPr>
        <w:t>Oznacza to tym samym, że świadczenia te zostałyby</w:t>
      </w:r>
      <w:r w:rsidR="004C2232">
        <w:rPr>
          <w:lang w:eastAsia="en-US"/>
        </w:rPr>
        <w:t xml:space="preserve"> podwyższone o 6,82%, zamiast o </w:t>
      </w:r>
      <w:r w:rsidRPr="00641D43">
        <w:rPr>
          <w:lang w:eastAsia="en-US"/>
        </w:rPr>
        <w:t>3,26% (przy zachowaniu w 2019 r. dotychczasowych zasad waloryzacji świadczeń).</w:t>
      </w:r>
    </w:p>
    <w:p w:rsidR="00F056C6" w:rsidRPr="00641D43" w:rsidRDefault="00F056C6" w:rsidP="00641D43">
      <w:pPr>
        <w:spacing w:before="120" w:line="360" w:lineRule="auto"/>
        <w:jc w:val="both"/>
        <w:rPr>
          <w:rFonts w:eastAsia="Calibri"/>
          <w:lang w:eastAsia="en-US"/>
        </w:rPr>
      </w:pPr>
      <w:r w:rsidRPr="00641D43">
        <w:rPr>
          <w:rFonts w:eastAsia="Calibri"/>
          <w:lang w:eastAsia="en-US"/>
        </w:rPr>
        <w:lastRenderedPageBreak/>
        <w:t>Podniesienie wysokości najniższej emerytury i renty oraz zagwarantowanie minimalnej wysokości waloryzacji świadczenia na poziomie 70 zł stanowi realną pomoc dla świadczeniobiorców o</w:t>
      </w:r>
      <w:r w:rsidR="009B52DA" w:rsidRPr="00641D43">
        <w:rPr>
          <w:rFonts w:eastAsia="Calibri"/>
          <w:lang w:eastAsia="en-US"/>
        </w:rPr>
        <w:t xml:space="preserve"> </w:t>
      </w:r>
      <w:r w:rsidRPr="00641D43">
        <w:rPr>
          <w:rFonts w:eastAsia="Calibri"/>
          <w:lang w:eastAsia="en-US"/>
        </w:rPr>
        <w:t xml:space="preserve">najniższych </w:t>
      </w:r>
      <w:r w:rsidR="00B67724" w:rsidRPr="00641D43">
        <w:rPr>
          <w:rFonts w:eastAsia="Calibri"/>
          <w:lang w:eastAsia="en-US"/>
        </w:rPr>
        <w:t>dochodach</w:t>
      </w:r>
      <w:r w:rsidRPr="00641D43">
        <w:rPr>
          <w:rFonts w:eastAsia="Calibri"/>
          <w:lang w:eastAsia="en-US"/>
        </w:rPr>
        <w:t xml:space="preserve">. W wyniku tego działania świadczenia osób otrzymujących najniższą emeryturę lub rentę wzrosną o ponad 44 zł netto. Takich świadczeniobiorców w </w:t>
      </w:r>
      <w:r w:rsidR="009B52DA" w:rsidRPr="00641D43">
        <w:rPr>
          <w:rFonts w:eastAsia="Calibri"/>
          <w:lang w:eastAsia="en-US"/>
        </w:rPr>
        <w:t>Zakładzie Ubezpieczeń Społecznych</w:t>
      </w:r>
      <w:r w:rsidRPr="00641D43">
        <w:rPr>
          <w:rFonts w:eastAsia="Calibri"/>
          <w:lang w:eastAsia="en-US"/>
        </w:rPr>
        <w:t xml:space="preserve"> jest ponad 550 tys.</w:t>
      </w:r>
    </w:p>
    <w:p w:rsidR="00F056C6" w:rsidRPr="00641D43" w:rsidRDefault="00F056C6" w:rsidP="00641D43">
      <w:pPr>
        <w:spacing w:before="120" w:line="360" w:lineRule="auto"/>
        <w:jc w:val="both"/>
        <w:rPr>
          <w:rFonts w:eastAsia="Calibri"/>
          <w:lang w:eastAsia="en-US"/>
        </w:rPr>
      </w:pPr>
      <w:r w:rsidRPr="00641D43">
        <w:rPr>
          <w:rFonts w:eastAsia="Calibri"/>
          <w:lang w:eastAsia="en-US"/>
        </w:rPr>
        <w:t>Warto podkreślić, że gospodarstwa domowe emerytów i rencistów charakteryzują się najwyższymi wskaźnikami wydatków</w:t>
      </w:r>
      <w:r w:rsidR="009B52DA" w:rsidRPr="00641D43">
        <w:rPr>
          <w:rFonts w:eastAsia="Calibri"/>
          <w:lang w:eastAsia="en-US"/>
        </w:rPr>
        <w:t xml:space="preserve"> w stosunku do dochodów. W 2017 </w:t>
      </w:r>
      <w:r w:rsidRPr="00641D43">
        <w:rPr>
          <w:rFonts w:eastAsia="Calibri"/>
          <w:lang w:eastAsia="en-US"/>
        </w:rPr>
        <w:t xml:space="preserve">r. relacja wydatków do dochodów w gospodarstwach emerytów wyniosła 79,5%. Wyższy udział charakteryzował gospodarstwa domowe rencistów </w:t>
      </w:r>
      <w:r w:rsidR="00641D43">
        <w:rPr>
          <w:rFonts w:eastAsia="Calibri"/>
          <w:lang w:eastAsia="en-US"/>
        </w:rPr>
        <w:t>–</w:t>
      </w:r>
      <w:r w:rsidRPr="00641D43">
        <w:rPr>
          <w:rFonts w:eastAsia="Calibri"/>
          <w:lang w:eastAsia="en-US"/>
        </w:rPr>
        <w:t xml:space="preserve"> 87,4%, natomiast średni udział wydatków gospodarstw domowych ogółem w ich dochodzie wyniósł 73,6%.</w:t>
      </w:r>
    </w:p>
    <w:p w:rsidR="00F056C6" w:rsidRPr="00641D43" w:rsidRDefault="00F056C6" w:rsidP="00641D43">
      <w:pPr>
        <w:spacing w:before="120" w:line="360" w:lineRule="auto"/>
        <w:jc w:val="both"/>
        <w:rPr>
          <w:rFonts w:eastAsia="Calibri"/>
          <w:lang w:eastAsia="en-US"/>
        </w:rPr>
      </w:pPr>
      <w:r w:rsidRPr="00641D43">
        <w:rPr>
          <w:rFonts w:eastAsia="Calibri"/>
          <w:lang w:eastAsia="en-US"/>
        </w:rPr>
        <w:t>Z tych powodów podnoszenie najniższych świadczeń emerytalno-rentowych wpisuje się w</w:t>
      </w:r>
      <w:r w:rsidR="00641D43">
        <w:rPr>
          <w:rFonts w:eastAsia="Calibri"/>
          <w:lang w:eastAsia="en-US"/>
        </w:rPr>
        <w:t xml:space="preserve"> </w:t>
      </w:r>
      <w:r w:rsidRPr="00641D43">
        <w:rPr>
          <w:rFonts w:eastAsia="Calibri"/>
          <w:lang w:eastAsia="en-US"/>
        </w:rPr>
        <w:t xml:space="preserve">politykę </w:t>
      </w:r>
      <w:r w:rsidR="00E91F02">
        <w:rPr>
          <w:rFonts w:eastAsia="Calibri"/>
          <w:lang w:eastAsia="en-US"/>
        </w:rPr>
        <w:t>R</w:t>
      </w:r>
      <w:r w:rsidRPr="00641D43">
        <w:rPr>
          <w:rFonts w:eastAsia="Calibri"/>
          <w:lang w:eastAsia="en-US"/>
        </w:rPr>
        <w:t>ządu zmierzając</w:t>
      </w:r>
      <w:r w:rsidR="009B52DA" w:rsidRPr="00641D43">
        <w:rPr>
          <w:rFonts w:eastAsia="Calibri"/>
          <w:lang w:eastAsia="en-US"/>
        </w:rPr>
        <w:t>ą</w:t>
      </w:r>
      <w:r w:rsidRPr="00641D43">
        <w:rPr>
          <w:rFonts w:eastAsia="Calibri"/>
          <w:lang w:eastAsia="en-US"/>
        </w:rPr>
        <w:t xml:space="preserve"> do poprawy sytuacji grup najuboższych – w miarę posiadanych możliwości finansowych.</w:t>
      </w:r>
    </w:p>
    <w:tbl>
      <w:tblPr>
        <w:tblW w:w="9204" w:type="dxa"/>
        <w:tblCellMar>
          <w:left w:w="70" w:type="dxa"/>
          <w:right w:w="70" w:type="dxa"/>
        </w:tblCellMar>
        <w:tblLook w:val="04A0" w:firstRow="1" w:lastRow="0" w:firstColumn="1" w:lastColumn="0" w:noHBand="0" w:noVBand="1"/>
      </w:tblPr>
      <w:tblGrid>
        <w:gridCol w:w="1314"/>
        <w:gridCol w:w="1313"/>
        <w:gridCol w:w="1318"/>
        <w:gridCol w:w="1157"/>
        <w:gridCol w:w="1344"/>
        <w:gridCol w:w="1071"/>
        <w:gridCol w:w="1687"/>
      </w:tblGrid>
      <w:tr w:rsidR="00443B54" w:rsidRPr="004C2232" w:rsidTr="004C2232">
        <w:trPr>
          <w:trHeight w:val="1200"/>
        </w:trPr>
        <w:tc>
          <w:tcPr>
            <w:tcW w:w="1314" w:type="dxa"/>
            <w:tcBorders>
              <w:top w:val="single" w:sz="8" w:space="0" w:color="auto"/>
              <w:left w:val="single" w:sz="8" w:space="0" w:color="auto"/>
              <w:bottom w:val="nil"/>
              <w:right w:val="single" w:sz="8" w:space="0" w:color="auto"/>
            </w:tcBorders>
            <w:shd w:val="clear" w:color="auto" w:fill="auto"/>
            <w:vAlign w:val="center"/>
            <w:hideMark/>
          </w:tcPr>
          <w:p w:rsidR="00443B54" w:rsidRPr="004C2232" w:rsidRDefault="00443B54" w:rsidP="004C2232">
            <w:pPr>
              <w:jc w:val="center"/>
              <w:rPr>
                <w:color w:val="000000"/>
                <w:sz w:val="18"/>
                <w:szCs w:val="18"/>
              </w:rPr>
            </w:pPr>
            <w:r w:rsidRPr="004C2232">
              <w:rPr>
                <w:color w:val="000000"/>
                <w:sz w:val="18"/>
                <w:szCs w:val="18"/>
              </w:rPr>
              <w:t>Wysokość świadczenia przed waloryzacją</w:t>
            </w:r>
          </w:p>
        </w:tc>
        <w:tc>
          <w:tcPr>
            <w:tcW w:w="2631" w:type="dxa"/>
            <w:gridSpan w:val="2"/>
            <w:vMerge w:val="restart"/>
            <w:tcBorders>
              <w:top w:val="single" w:sz="8" w:space="0" w:color="auto"/>
              <w:left w:val="single" w:sz="8" w:space="0" w:color="auto"/>
              <w:bottom w:val="nil"/>
              <w:right w:val="single" w:sz="8" w:space="0" w:color="000000"/>
            </w:tcBorders>
            <w:shd w:val="clear" w:color="auto" w:fill="auto"/>
            <w:vAlign w:val="center"/>
            <w:hideMark/>
          </w:tcPr>
          <w:p w:rsidR="00443B54" w:rsidRPr="004C2232" w:rsidRDefault="00443B54" w:rsidP="004C2232">
            <w:pPr>
              <w:jc w:val="center"/>
              <w:rPr>
                <w:color w:val="000000"/>
                <w:sz w:val="18"/>
                <w:szCs w:val="18"/>
              </w:rPr>
            </w:pPr>
            <w:r w:rsidRPr="004C2232">
              <w:rPr>
                <w:color w:val="000000"/>
                <w:sz w:val="18"/>
                <w:szCs w:val="18"/>
              </w:rPr>
              <w:t>Obecne przepisy (waloryzacja wskaźnikiem 103,26%)</w:t>
            </w:r>
          </w:p>
        </w:tc>
        <w:tc>
          <w:tcPr>
            <w:tcW w:w="2501" w:type="dxa"/>
            <w:gridSpan w:val="2"/>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rsidR="00443B54" w:rsidRPr="004C2232" w:rsidRDefault="00443B54" w:rsidP="004C2232">
            <w:pPr>
              <w:jc w:val="center"/>
              <w:rPr>
                <w:color w:val="000000"/>
                <w:sz w:val="18"/>
                <w:szCs w:val="18"/>
              </w:rPr>
            </w:pPr>
            <w:r w:rsidRPr="004C2232">
              <w:rPr>
                <w:color w:val="000000"/>
                <w:sz w:val="18"/>
                <w:szCs w:val="18"/>
              </w:rPr>
              <w:t>Proponowana zmiana waloryzacji</w:t>
            </w:r>
          </w:p>
        </w:tc>
        <w:tc>
          <w:tcPr>
            <w:tcW w:w="2758" w:type="dxa"/>
            <w:gridSpan w:val="2"/>
            <w:vMerge w:val="restart"/>
            <w:tcBorders>
              <w:top w:val="single" w:sz="8" w:space="0" w:color="auto"/>
              <w:left w:val="single" w:sz="8" w:space="0" w:color="000000"/>
              <w:bottom w:val="nil"/>
              <w:right w:val="single" w:sz="8" w:space="0" w:color="000000"/>
            </w:tcBorders>
            <w:shd w:val="clear" w:color="auto" w:fill="auto"/>
            <w:vAlign w:val="center"/>
            <w:hideMark/>
          </w:tcPr>
          <w:p w:rsidR="00443B54" w:rsidRPr="004C2232" w:rsidRDefault="00443B54" w:rsidP="004C2232">
            <w:pPr>
              <w:jc w:val="center"/>
              <w:rPr>
                <w:color w:val="000000"/>
                <w:sz w:val="18"/>
                <w:szCs w:val="18"/>
              </w:rPr>
            </w:pPr>
            <w:r w:rsidRPr="004C2232">
              <w:rPr>
                <w:color w:val="000000"/>
                <w:sz w:val="18"/>
                <w:szCs w:val="18"/>
              </w:rPr>
              <w:t>Wskaźnik wzrostu świadczenia</w:t>
            </w:r>
          </w:p>
        </w:tc>
      </w:tr>
      <w:tr w:rsidR="00443B54" w:rsidRPr="004C2232" w:rsidTr="004C2232">
        <w:trPr>
          <w:trHeight w:val="60"/>
        </w:trPr>
        <w:tc>
          <w:tcPr>
            <w:tcW w:w="1314" w:type="dxa"/>
            <w:tcBorders>
              <w:top w:val="nil"/>
              <w:left w:val="single" w:sz="8" w:space="0" w:color="auto"/>
              <w:bottom w:val="nil"/>
              <w:right w:val="single" w:sz="8" w:space="0" w:color="auto"/>
            </w:tcBorders>
            <w:shd w:val="clear" w:color="auto" w:fill="auto"/>
            <w:vAlign w:val="center"/>
            <w:hideMark/>
          </w:tcPr>
          <w:p w:rsidR="00443B54" w:rsidRPr="004C2232" w:rsidRDefault="00443B54" w:rsidP="004C2232">
            <w:pPr>
              <w:jc w:val="center"/>
              <w:rPr>
                <w:color w:val="000000"/>
                <w:sz w:val="18"/>
                <w:szCs w:val="18"/>
              </w:rPr>
            </w:pPr>
            <w:r w:rsidRPr="004C2232">
              <w:rPr>
                <w:color w:val="000000"/>
                <w:sz w:val="18"/>
                <w:szCs w:val="18"/>
              </w:rPr>
              <w:t>(w zł)</w:t>
            </w:r>
          </w:p>
        </w:tc>
        <w:tc>
          <w:tcPr>
            <w:tcW w:w="2631" w:type="dxa"/>
            <w:gridSpan w:val="2"/>
            <w:vMerge/>
            <w:tcBorders>
              <w:top w:val="nil"/>
              <w:left w:val="single" w:sz="8" w:space="0" w:color="auto"/>
              <w:bottom w:val="nil"/>
              <w:right w:val="single" w:sz="8" w:space="0" w:color="auto"/>
            </w:tcBorders>
            <w:vAlign w:val="center"/>
            <w:hideMark/>
          </w:tcPr>
          <w:p w:rsidR="00443B54" w:rsidRPr="004C2232" w:rsidRDefault="00443B54" w:rsidP="004C2232">
            <w:pPr>
              <w:rPr>
                <w:color w:val="000000"/>
                <w:sz w:val="18"/>
                <w:szCs w:val="18"/>
              </w:rPr>
            </w:pPr>
          </w:p>
        </w:tc>
        <w:tc>
          <w:tcPr>
            <w:tcW w:w="2501" w:type="dxa"/>
            <w:gridSpan w:val="2"/>
            <w:vMerge/>
            <w:tcBorders>
              <w:top w:val="nil"/>
              <w:left w:val="single" w:sz="8" w:space="0" w:color="auto"/>
              <w:bottom w:val="single" w:sz="4" w:space="0" w:color="auto"/>
              <w:right w:val="single" w:sz="8" w:space="0" w:color="auto"/>
            </w:tcBorders>
            <w:vAlign w:val="center"/>
            <w:hideMark/>
          </w:tcPr>
          <w:p w:rsidR="00443B54" w:rsidRPr="004C2232" w:rsidRDefault="00443B54" w:rsidP="004C2232">
            <w:pPr>
              <w:rPr>
                <w:color w:val="000000"/>
                <w:sz w:val="18"/>
                <w:szCs w:val="18"/>
              </w:rPr>
            </w:pPr>
          </w:p>
        </w:tc>
        <w:tc>
          <w:tcPr>
            <w:tcW w:w="2758" w:type="dxa"/>
            <w:gridSpan w:val="2"/>
            <w:vMerge/>
            <w:tcBorders>
              <w:top w:val="nil"/>
              <w:left w:val="single" w:sz="8" w:space="0" w:color="auto"/>
              <w:bottom w:val="single" w:sz="4" w:space="0" w:color="auto"/>
              <w:right w:val="single" w:sz="8" w:space="0" w:color="auto"/>
            </w:tcBorders>
            <w:vAlign w:val="center"/>
            <w:hideMark/>
          </w:tcPr>
          <w:p w:rsidR="00443B54" w:rsidRPr="004C2232" w:rsidRDefault="00443B54" w:rsidP="004C2232">
            <w:pPr>
              <w:rPr>
                <w:color w:val="000000"/>
                <w:sz w:val="18"/>
                <w:szCs w:val="18"/>
              </w:rPr>
            </w:pPr>
          </w:p>
        </w:tc>
      </w:tr>
      <w:tr w:rsidR="00443B54" w:rsidRPr="004C2232" w:rsidTr="004C2232">
        <w:trPr>
          <w:trHeight w:val="960"/>
        </w:trPr>
        <w:tc>
          <w:tcPr>
            <w:tcW w:w="1314" w:type="dxa"/>
            <w:tcBorders>
              <w:top w:val="nil"/>
              <w:left w:val="single" w:sz="8" w:space="0" w:color="auto"/>
              <w:bottom w:val="nil"/>
              <w:right w:val="single" w:sz="4" w:space="0" w:color="auto"/>
            </w:tcBorders>
            <w:shd w:val="clear" w:color="auto" w:fill="auto"/>
            <w:vAlign w:val="center"/>
            <w:hideMark/>
          </w:tcPr>
          <w:p w:rsidR="00443B54" w:rsidRPr="004C2232" w:rsidRDefault="00443B54" w:rsidP="004C2232">
            <w:pPr>
              <w:rPr>
                <w:color w:val="000000"/>
                <w:sz w:val="18"/>
                <w:szCs w:val="18"/>
              </w:rPr>
            </w:pPr>
            <w:r w:rsidRPr="004C2232">
              <w:rPr>
                <w:color w:val="000000"/>
                <w:sz w:val="18"/>
                <w:szCs w:val="18"/>
              </w:rPr>
              <w:t xml:space="preserve"> </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3B54" w:rsidRPr="004C2232" w:rsidRDefault="00443B54" w:rsidP="004C2232">
            <w:pPr>
              <w:jc w:val="center"/>
              <w:rPr>
                <w:color w:val="000000"/>
                <w:sz w:val="18"/>
                <w:szCs w:val="18"/>
              </w:rPr>
            </w:pPr>
            <w:r w:rsidRPr="004C2232">
              <w:rPr>
                <w:color w:val="000000"/>
                <w:sz w:val="18"/>
                <w:szCs w:val="18"/>
              </w:rPr>
              <w:t>Podwyżka świadczenia</w:t>
            </w:r>
          </w:p>
        </w:tc>
        <w:tc>
          <w:tcPr>
            <w:tcW w:w="1318" w:type="dxa"/>
            <w:tcBorders>
              <w:top w:val="single" w:sz="8" w:space="0" w:color="auto"/>
              <w:left w:val="single" w:sz="4" w:space="0" w:color="auto"/>
              <w:bottom w:val="nil"/>
              <w:right w:val="single" w:sz="4" w:space="0" w:color="auto"/>
            </w:tcBorders>
            <w:shd w:val="clear" w:color="auto" w:fill="auto"/>
            <w:vAlign w:val="center"/>
            <w:hideMark/>
          </w:tcPr>
          <w:p w:rsidR="00443B54" w:rsidRPr="004C2232" w:rsidRDefault="00443B54" w:rsidP="004C2232">
            <w:pPr>
              <w:jc w:val="center"/>
              <w:rPr>
                <w:color w:val="000000"/>
                <w:sz w:val="18"/>
                <w:szCs w:val="18"/>
              </w:rPr>
            </w:pPr>
            <w:r w:rsidRPr="004C2232">
              <w:rPr>
                <w:color w:val="000000"/>
                <w:sz w:val="18"/>
                <w:szCs w:val="18"/>
              </w:rPr>
              <w:t>Wysokość świadczenia po waloryzacji</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43B54" w:rsidRPr="004C2232" w:rsidRDefault="00443B54" w:rsidP="004C2232">
            <w:pPr>
              <w:jc w:val="center"/>
              <w:rPr>
                <w:color w:val="000000"/>
                <w:sz w:val="18"/>
                <w:szCs w:val="18"/>
              </w:rPr>
            </w:pPr>
            <w:r w:rsidRPr="004C2232">
              <w:rPr>
                <w:color w:val="000000"/>
                <w:sz w:val="18"/>
                <w:szCs w:val="18"/>
              </w:rPr>
              <w:t>Podwyżka na osobę (w zł)</w:t>
            </w:r>
          </w:p>
        </w:tc>
        <w:tc>
          <w:tcPr>
            <w:tcW w:w="13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3B54" w:rsidRPr="004C2232" w:rsidRDefault="00443B54" w:rsidP="004C2232">
            <w:pPr>
              <w:jc w:val="center"/>
              <w:rPr>
                <w:color w:val="000000"/>
                <w:sz w:val="18"/>
                <w:szCs w:val="18"/>
              </w:rPr>
            </w:pPr>
            <w:r w:rsidRPr="004C2232">
              <w:rPr>
                <w:color w:val="000000"/>
                <w:sz w:val="18"/>
                <w:szCs w:val="18"/>
              </w:rPr>
              <w:t>Wysokość świadczenia po waloryzacji</w:t>
            </w:r>
          </w:p>
        </w:tc>
        <w:tc>
          <w:tcPr>
            <w:tcW w:w="1071" w:type="dxa"/>
            <w:vMerge w:val="restart"/>
            <w:tcBorders>
              <w:top w:val="single" w:sz="4" w:space="0" w:color="auto"/>
              <w:left w:val="single" w:sz="4" w:space="0" w:color="auto"/>
              <w:bottom w:val="single" w:sz="4" w:space="0" w:color="auto"/>
              <w:right w:val="single" w:sz="8" w:space="0" w:color="auto"/>
            </w:tcBorders>
            <w:shd w:val="clear" w:color="auto" w:fill="auto"/>
            <w:vAlign w:val="center"/>
            <w:hideMark/>
          </w:tcPr>
          <w:p w:rsidR="00443B54" w:rsidRPr="004C2232" w:rsidRDefault="00443B54" w:rsidP="004C2232">
            <w:pPr>
              <w:jc w:val="center"/>
              <w:rPr>
                <w:color w:val="000000"/>
                <w:sz w:val="18"/>
                <w:szCs w:val="18"/>
              </w:rPr>
            </w:pPr>
            <w:r w:rsidRPr="004C2232">
              <w:rPr>
                <w:color w:val="000000"/>
                <w:sz w:val="18"/>
                <w:szCs w:val="18"/>
              </w:rPr>
              <w:t>Obecne przepisy</w:t>
            </w:r>
          </w:p>
        </w:tc>
        <w:tc>
          <w:tcPr>
            <w:tcW w:w="1687" w:type="dxa"/>
            <w:vMerge w:val="restart"/>
            <w:tcBorders>
              <w:top w:val="single" w:sz="4" w:space="0" w:color="auto"/>
              <w:left w:val="single" w:sz="8" w:space="0" w:color="auto"/>
              <w:bottom w:val="single" w:sz="4" w:space="0" w:color="auto"/>
              <w:right w:val="single" w:sz="4" w:space="0" w:color="auto"/>
            </w:tcBorders>
            <w:shd w:val="clear" w:color="auto" w:fill="auto"/>
            <w:vAlign w:val="center"/>
            <w:hideMark/>
          </w:tcPr>
          <w:p w:rsidR="00443B54" w:rsidRPr="004C2232" w:rsidRDefault="00443B54" w:rsidP="004C2232">
            <w:pPr>
              <w:jc w:val="center"/>
              <w:rPr>
                <w:color w:val="000000"/>
                <w:sz w:val="18"/>
                <w:szCs w:val="18"/>
              </w:rPr>
            </w:pPr>
            <w:r w:rsidRPr="004C2232">
              <w:rPr>
                <w:color w:val="000000"/>
                <w:sz w:val="18"/>
                <w:szCs w:val="18"/>
              </w:rPr>
              <w:t>Waloryzacja zmodyfikowana</w:t>
            </w:r>
          </w:p>
        </w:tc>
      </w:tr>
      <w:tr w:rsidR="00443B54" w:rsidRPr="004C2232" w:rsidTr="004C2232">
        <w:trPr>
          <w:trHeight w:val="315"/>
        </w:trPr>
        <w:tc>
          <w:tcPr>
            <w:tcW w:w="1314" w:type="dxa"/>
            <w:tcBorders>
              <w:top w:val="nil"/>
              <w:left w:val="single" w:sz="8" w:space="0" w:color="auto"/>
              <w:bottom w:val="single" w:sz="8" w:space="0" w:color="auto"/>
              <w:right w:val="single" w:sz="8" w:space="0" w:color="auto"/>
            </w:tcBorders>
            <w:shd w:val="clear" w:color="auto" w:fill="auto"/>
            <w:vAlign w:val="center"/>
            <w:hideMark/>
          </w:tcPr>
          <w:p w:rsidR="00443B54" w:rsidRPr="004C2232" w:rsidRDefault="00443B54" w:rsidP="004C2232">
            <w:pPr>
              <w:rPr>
                <w:color w:val="000000"/>
                <w:sz w:val="18"/>
                <w:szCs w:val="18"/>
              </w:rPr>
            </w:pPr>
            <w:r w:rsidRPr="004C2232">
              <w:rPr>
                <w:color w:val="000000"/>
                <w:sz w:val="18"/>
                <w:szCs w:val="18"/>
              </w:rPr>
              <w:t xml:space="preserve"> </w:t>
            </w:r>
          </w:p>
        </w:tc>
        <w:tc>
          <w:tcPr>
            <w:tcW w:w="1313" w:type="dxa"/>
            <w:tcBorders>
              <w:top w:val="single" w:sz="4" w:space="0" w:color="auto"/>
              <w:left w:val="nil"/>
              <w:bottom w:val="single" w:sz="8" w:space="0" w:color="auto"/>
              <w:right w:val="single" w:sz="8" w:space="0" w:color="auto"/>
            </w:tcBorders>
            <w:shd w:val="clear" w:color="auto" w:fill="auto"/>
            <w:vAlign w:val="center"/>
            <w:hideMark/>
          </w:tcPr>
          <w:p w:rsidR="00443B54" w:rsidRPr="004C2232" w:rsidRDefault="00443B54" w:rsidP="004C2232">
            <w:pPr>
              <w:jc w:val="center"/>
              <w:rPr>
                <w:color w:val="000000"/>
                <w:sz w:val="18"/>
                <w:szCs w:val="18"/>
              </w:rPr>
            </w:pPr>
            <w:r w:rsidRPr="004C2232">
              <w:rPr>
                <w:color w:val="000000"/>
                <w:sz w:val="18"/>
                <w:szCs w:val="18"/>
              </w:rPr>
              <w:t>(w zł)</w:t>
            </w:r>
          </w:p>
        </w:tc>
        <w:tc>
          <w:tcPr>
            <w:tcW w:w="1318" w:type="dxa"/>
            <w:tcBorders>
              <w:top w:val="single" w:sz="4" w:space="0" w:color="auto"/>
              <w:left w:val="nil"/>
              <w:bottom w:val="single" w:sz="8" w:space="0" w:color="auto"/>
              <w:right w:val="single" w:sz="8" w:space="0" w:color="auto"/>
            </w:tcBorders>
            <w:shd w:val="clear" w:color="auto" w:fill="auto"/>
            <w:vAlign w:val="center"/>
            <w:hideMark/>
          </w:tcPr>
          <w:p w:rsidR="00443B54" w:rsidRPr="004C2232" w:rsidRDefault="00443B54" w:rsidP="004C2232">
            <w:pPr>
              <w:jc w:val="center"/>
              <w:rPr>
                <w:color w:val="000000"/>
                <w:sz w:val="18"/>
                <w:szCs w:val="18"/>
              </w:rPr>
            </w:pPr>
            <w:r w:rsidRPr="004C2232">
              <w:rPr>
                <w:color w:val="000000"/>
                <w:sz w:val="18"/>
                <w:szCs w:val="18"/>
              </w:rPr>
              <w:t>(w zł)</w:t>
            </w:r>
          </w:p>
        </w:tc>
        <w:tc>
          <w:tcPr>
            <w:tcW w:w="1157" w:type="dxa"/>
            <w:vMerge/>
            <w:tcBorders>
              <w:top w:val="single" w:sz="4" w:space="0" w:color="auto"/>
              <w:left w:val="single" w:sz="8" w:space="0" w:color="auto"/>
              <w:bottom w:val="single" w:sz="8" w:space="0" w:color="000000"/>
              <w:right w:val="single" w:sz="8" w:space="0" w:color="auto"/>
            </w:tcBorders>
            <w:vAlign w:val="center"/>
            <w:hideMark/>
          </w:tcPr>
          <w:p w:rsidR="00443B54" w:rsidRPr="004C2232" w:rsidRDefault="00443B54" w:rsidP="004C2232">
            <w:pPr>
              <w:rPr>
                <w:color w:val="000000"/>
                <w:sz w:val="18"/>
                <w:szCs w:val="18"/>
              </w:rPr>
            </w:pPr>
          </w:p>
        </w:tc>
        <w:tc>
          <w:tcPr>
            <w:tcW w:w="1344" w:type="dxa"/>
            <w:tcBorders>
              <w:top w:val="single" w:sz="4" w:space="0" w:color="auto"/>
              <w:left w:val="nil"/>
              <w:bottom w:val="single" w:sz="8" w:space="0" w:color="auto"/>
              <w:right w:val="single" w:sz="4" w:space="0" w:color="auto"/>
            </w:tcBorders>
            <w:shd w:val="clear" w:color="auto" w:fill="auto"/>
            <w:vAlign w:val="center"/>
            <w:hideMark/>
          </w:tcPr>
          <w:p w:rsidR="00443B54" w:rsidRPr="004C2232" w:rsidRDefault="00443B54" w:rsidP="004C2232">
            <w:pPr>
              <w:jc w:val="center"/>
              <w:rPr>
                <w:color w:val="000000"/>
                <w:sz w:val="18"/>
                <w:szCs w:val="18"/>
              </w:rPr>
            </w:pPr>
            <w:r w:rsidRPr="004C2232">
              <w:rPr>
                <w:color w:val="000000"/>
                <w:sz w:val="18"/>
                <w:szCs w:val="18"/>
              </w:rPr>
              <w:t>(w zł)</w:t>
            </w:r>
          </w:p>
        </w:tc>
        <w:tc>
          <w:tcPr>
            <w:tcW w:w="1071" w:type="dxa"/>
            <w:vMerge/>
            <w:tcBorders>
              <w:top w:val="single" w:sz="8" w:space="0" w:color="auto"/>
              <w:left w:val="single" w:sz="4" w:space="0" w:color="auto"/>
              <w:bottom w:val="single" w:sz="4" w:space="0" w:color="auto"/>
              <w:right w:val="single" w:sz="8" w:space="0" w:color="auto"/>
            </w:tcBorders>
            <w:vAlign w:val="center"/>
            <w:hideMark/>
          </w:tcPr>
          <w:p w:rsidR="00443B54" w:rsidRPr="004C2232" w:rsidRDefault="00443B54" w:rsidP="004C2232">
            <w:pPr>
              <w:rPr>
                <w:color w:val="000000"/>
                <w:sz w:val="18"/>
                <w:szCs w:val="18"/>
              </w:rPr>
            </w:pPr>
          </w:p>
        </w:tc>
        <w:tc>
          <w:tcPr>
            <w:tcW w:w="1687" w:type="dxa"/>
            <w:vMerge/>
            <w:tcBorders>
              <w:top w:val="single" w:sz="8" w:space="0" w:color="auto"/>
              <w:left w:val="single" w:sz="8" w:space="0" w:color="auto"/>
              <w:bottom w:val="single" w:sz="4" w:space="0" w:color="auto"/>
              <w:right w:val="single" w:sz="4" w:space="0" w:color="auto"/>
            </w:tcBorders>
            <w:vAlign w:val="center"/>
            <w:hideMark/>
          </w:tcPr>
          <w:p w:rsidR="00443B54" w:rsidRPr="004C2232" w:rsidRDefault="00443B54" w:rsidP="004C2232">
            <w:pPr>
              <w:rPr>
                <w:color w:val="000000"/>
                <w:sz w:val="18"/>
                <w:szCs w:val="18"/>
              </w:rPr>
            </w:pPr>
          </w:p>
        </w:tc>
      </w:tr>
      <w:tr w:rsidR="00443B54" w:rsidRPr="004C2232" w:rsidTr="004C2232">
        <w:trPr>
          <w:trHeight w:val="315"/>
        </w:trPr>
        <w:tc>
          <w:tcPr>
            <w:tcW w:w="1314" w:type="dxa"/>
            <w:tcBorders>
              <w:top w:val="nil"/>
              <w:left w:val="single" w:sz="8" w:space="0" w:color="auto"/>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772,35</w:t>
            </w:r>
          </w:p>
        </w:tc>
        <w:tc>
          <w:tcPr>
            <w:tcW w:w="1313"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25,18</w:t>
            </w:r>
          </w:p>
        </w:tc>
        <w:tc>
          <w:tcPr>
            <w:tcW w:w="1318"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797,53</w:t>
            </w:r>
          </w:p>
        </w:tc>
        <w:tc>
          <w:tcPr>
            <w:tcW w:w="115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52,65</w:t>
            </w:r>
          </w:p>
        </w:tc>
        <w:tc>
          <w:tcPr>
            <w:tcW w:w="1344"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825,00</w:t>
            </w:r>
          </w:p>
        </w:tc>
        <w:tc>
          <w:tcPr>
            <w:tcW w:w="1071" w:type="dxa"/>
            <w:tcBorders>
              <w:top w:val="single" w:sz="4" w:space="0" w:color="auto"/>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c>
          <w:tcPr>
            <w:tcW w:w="1687" w:type="dxa"/>
            <w:tcBorders>
              <w:top w:val="single" w:sz="4" w:space="0" w:color="auto"/>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106,82%</w:t>
            </w:r>
          </w:p>
        </w:tc>
      </w:tr>
      <w:tr w:rsidR="00443B54" w:rsidRPr="004C2232" w:rsidTr="004C2232">
        <w:trPr>
          <w:trHeight w:val="315"/>
        </w:trPr>
        <w:tc>
          <w:tcPr>
            <w:tcW w:w="1314" w:type="dxa"/>
            <w:tcBorders>
              <w:top w:val="nil"/>
              <w:left w:val="single" w:sz="8" w:space="0" w:color="auto"/>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1029,8</w:t>
            </w:r>
          </w:p>
        </w:tc>
        <w:tc>
          <w:tcPr>
            <w:tcW w:w="1313"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33,57</w:t>
            </w:r>
          </w:p>
        </w:tc>
        <w:tc>
          <w:tcPr>
            <w:tcW w:w="1318"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1063,37</w:t>
            </w:r>
          </w:p>
        </w:tc>
        <w:tc>
          <w:tcPr>
            <w:tcW w:w="115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70,20</w:t>
            </w:r>
          </w:p>
        </w:tc>
        <w:tc>
          <w:tcPr>
            <w:tcW w:w="1344"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1100,00</w:t>
            </w:r>
          </w:p>
        </w:tc>
        <w:tc>
          <w:tcPr>
            <w:tcW w:w="1071"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c>
          <w:tcPr>
            <w:tcW w:w="168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106,82%</w:t>
            </w:r>
          </w:p>
        </w:tc>
      </w:tr>
      <w:tr w:rsidR="00443B54" w:rsidRPr="004C2232" w:rsidTr="004C2232">
        <w:trPr>
          <w:trHeight w:val="315"/>
        </w:trPr>
        <w:tc>
          <w:tcPr>
            <w:tcW w:w="1314" w:type="dxa"/>
            <w:tcBorders>
              <w:top w:val="nil"/>
              <w:left w:val="single" w:sz="8" w:space="0" w:color="auto"/>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1200</w:t>
            </w:r>
          </w:p>
        </w:tc>
        <w:tc>
          <w:tcPr>
            <w:tcW w:w="1313"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39,12</w:t>
            </w:r>
          </w:p>
        </w:tc>
        <w:tc>
          <w:tcPr>
            <w:tcW w:w="1318"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1239,12</w:t>
            </w:r>
          </w:p>
        </w:tc>
        <w:tc>
          <w:tcPr>
            <w:tcW w:w="115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70,00</w:t>
            </w:r>
          </w:p>
        </w:tc>
        <w:tc>
          <w:tcPr>
            <w:tcW w:w="1344"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1270,00</w:t>
            </w:r>
          </w:p>
        </w:tc>
        <w:tc>
          <w:tcPr>
            <w:tcW w:w="1071"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c>
          <w:tcPr>
            <w:tcW w:w="168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105,83%</w:t>
            </w:r>
          </w:p>
        </w:tc>
      </w:tr>
      <w:tr w:rsidR="00443B54" w:rsidRPr="004C2232" w:rsidTr="004C2232">
        <w:trPr>
          <w:trHeight w:val="315"/>
        </w:trPr>
        <w:tc>
          <w:tcPr>
            <w:tcW w:w="1314" w:type="dxa"/>
            <w:tcBorders>
              <w:top w:val="nil"/>
              <w:left w:val="single" w:sz="8" w:space="0" w:color="auto"/>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1400</w:t>
            </w:r>
          </w:p>
        </w:tc>
        <w:tc>
          <w:tcPr>
            <w:tcW w:w="1313"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45,64</w:t>
            </w:r>
          </w:p>
        </w:tc>
        <w:tc>
          <w:tcPr>
            <w:tcW w:w="1318"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1445,64</w:t>
            </w:r>
          </w:p>
        </w:tc>
        <w:tc>
          <w:tcPr>
            <w:tcW w:w="115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70,00</w:t>
            </w:r>
          </w:p>
        </w:tc>
        <w:tc>
          <w:tcPr>
            <w:tcW w:w="1344"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1470,00</w:t>
            </w:r>
          </w:p>
        </w:tc>
        <w:tc>
          <w:tcPr>
            <w:tcW w:w="1071"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c>
          <w:tcPr>
            <w:tcW w:w="168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105,00%</w:t>
            </w:r>
          </w:p>
        </w:tc>
      </w:tr>
      <w:tr w:rsidR="00443B54" w:rsidRPr="004C2232" w:rsidTr="004C2232">
        <w:trPr>
          <w:trHeight w:val="315"/>
        </w:trPr>
        <w:tc>
          <w:tcPr>
            <w:tcW w:w="1314" w:type="dxa"/>
            <w:tcBorders>
              <w:top w:val="nil"/>
              <w:left w:val="single" w:sz="8" w:space="0" w:color="auto"/>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1600</w:t>
            </w:r>
          </w:p>
        </w:tc>
        <w:tc>
          <w:tcPr>
            <w:tcW w:w="1313"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52,16</w:t>
            </w:r>
          </w:p>
        </w:tc>
        <w:tc>
          <w:tcPr>
            <w:tcW w:w="1318"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1652,16</w:t>
            </w:r>
          </w:p>
        </w:tc>
        <w:tc>
          <w:tcPr>
            <w:tcW w:w="115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70,00</w:t>
            </w:r>
          </w:p>
        </w:tc>
        <w:tc>
          <w:tcPr>
            <w:tcW w:w="1344"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1670,00</w:t>
            </w:r>
          </w:p>
        </w:tc>
        <w:tc>
          <w:tcPr>
            <w:tcW w:w="1071"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c>
          <w:tcPr>
            <w:tcW w:w="168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104,38%</w:t>
            </w:r>
          </w:p>
        </w:tc>
      </w:tr>
      <w:tr w:rsidR="00443B54" w:rsidRPr="004C2232" w:rsidTr="004C2232">
        <w:trPr>
          <w:trHeight w:val="315"/>
        </w:trPr>
        <w:tc>
          <w:tcPr>
            <w:tcW w:w="1314" w:type="dxa"/>
            <w:tcBorders>
              <w:top w:val="nil"/>
              <w:left w:val="single" w:sz="8" w:space="0" w:color="auto"/>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1800</w:t>
            </w:r>
          </w:p>
        </w:tc>
        <w:tc>
          <w:tcPr>
            <w:tcW w:w="1313"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58,68</w:t>
            </w:r>
          </w:p>
        </w:tc>
        <w:tc>
          <w:tcPr>
            <w:tcW w:w="1318"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1858,68</w:t>
            </w:r>
          </w:p>
        </w:tc>
        <w:tc>
          <w:tcPr>
            <w:tcW w:w="115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70,00</w:t>
            </w:r>
          </w:p>
        </w:tc>
        <w:tc>
          <w:tcPr>
            <w:tcW w:w="1344"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1870,00</w:t>
            </w:r>
          </w:p>
        </w:tc>
        <w:tc>
          <w:tcPr>
            <w:tcW w:w="1071"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c>
          <w:tcPr>
            <w:tcW w:w="168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103,89%</w:t>
            </w:r>
          </w:p>
        </w:tc>
      </w:tr>
      <w:tr w:rsidR="00443B54" w:rsidRPr="004C2232" w:rsidTr="004C2232">
        <w:trPr>
          <w:trHeight w:val="315"/>
        </w:trPr>
        <w:tc>
          <w:tcPr>
            <w:tcW w:w="1314" w:type="dxa"/>
            <w:tcBorders>
              <w:top w:val="nil"/>
              <w:left w:val="single" w:sz="8" w:space="0" w:color="auto"/>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2000</w:t>
            </w:r>
          </w:p>
        </w:tc>
        <w:tc>
          <w:tcPr>
            <w:tcW w:w="1313"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65,20</w:t>
            </w:r>
          </w:p>
        </w:tc>
        <w:tc>
          <w:tcPr>
            <w:tcW w:w="1318"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2065,20</w:t>
            </w:r>
          </w:p>
        </w:tc>
        <w:tc>
          <w:tcPr>
            <w:tcW w:w="115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70,00</w:t>
            </w:r>
          </w:p>
        </w:tc>
        <w:tc>
          <w:tcPr>
            <w:tcW w:w="1344"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2070,00</w:t>
            </w:r>
          </w:p>
        </w:tc>
        <w:tc>
          <w:tcPr>
            <w:tcW w:w="1071"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c>
          <w:tcPr>
            <w:tcW w:w="168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103,50%</w:t>
            </w:r>
          </w:p>
        </w:tc>
      </w:tr>
      <w:tr w:rsidR="00443B54" w:rsidRPr="004C2232" w:rsidTr="004C2232">
        <w:trPr>
          <w:trHeight w:val="315"/>
        </w:trPr>
        <w:tc>
          <w:tcPr>
            <w:tcW w:w="1314" w:type="dxa"/>
            <w:tcBorders>
              <w:top w:val="nil"/>
              <w:left w:val="single" w:sz="8" w:space="0" w:color="auto"/>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2100</w:t>
            </w:r>
          </w:p>
        </w:tc>
        <w:tc>
          <w:tcPr>
            <w:tcW w:w="1313"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68,46</w:t>
            </w:r>
          </w:p>
        </w:tc>
        <w:tc>
          <w:tcPr>
            <w:tcW w:w="1318"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2168,46</w:t>
            </w:r>
          </w:p>
        </w:tc>
        <w:tc>
          <w:tcPr>
            <w:tcW w:w="115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70,00</w:t>
            </w:r>
          </w:p>
        </w:tc>
        <w:tc>
          <w:tcPr>
            <w:tcW w:w="1344"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2170,00</w:t>
            </w:r>
          </w:p>
        </w:tc>
        <w:tc>
          <w:tcPr>
            <w:tcW w:w="1071"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c>
          <w:tcPr>
            <w:tcW w:w="168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103,33%</w:t>
            </w:r>
          </w:p>
        </w:tc>
      </w:tr>
      <w:tr w:rsidR="00443B54" w:rsidRPr="004C2232" w:rsidTr="004C2232">
        <w:trPr>
          <w:trHeight w:val="315"/>
        </w:trPr>
        <w:tc>
          <w:tcPr>
            <w:tcW w:w="1314" w:type="dxa"/>
            <w:tcBorders>
              <w:top w:val="nil"/>
              <w:left w:val="single" w:sz="8" w:space="0" w:color="auto"/>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2200</w:t>
            </w:r>
          </w:p>
        </w:tc>
        <w:tc>
          <w:tcPr>
            <w:tcW w:w="1313"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71,72</w:t>
            </w:r>
          </w:p>
        </w:tc>
        <w:tc>
          <w:tcPr>
            <w:tcW w:w="1318"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2271,72</w:t>
            </w:r>
          </w:p>
        </w:tc>
        <w:tc>
          <w:tcPr>
            <w:tcW w:w="115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71,72</w:t>
            </w:r>
          </w:p>
        </w:tc>
        <w:tc>
          <w:tcPr>
            <w:tcW w:w="1344"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2271,72</w:t>
            </w:r>
          </w:p>
        </w:tc>
        <w:tc>
          <w:tcPr>
            <w:tcW w:w="1071"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c>
          <w:tcPr>
            <w:tcW w:w="168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r>
      <w:tr w:rsidR="00443B54" w:rsidRPr="004C2232" w:rsidTr="004C2232">
        <w:trPr>
          <w:trHeight w:val="315"/>
        </w:trPr>
        <w:tc>
          <w:tcPr>
            <w:tcW w:w="1314" w:type="dxa"/>
            <w:tcBorders>
              <w:top w:val="nil"/>
              <w:left w:val="single" w:sz="8" w:space="0" w:color="auto"/>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2400</w:t>
            </w:r>
          </w:p>
        </w:tc>
        <w:tc>
          <w:tcPr>
            <w:tcW w:w="1313"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78,24</w:t>
            </w:r>
          </w:p>
        </w:tc>
        <w:tc>
          <w:tcPr>
            <w:tcW w:w="1318"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2478,24</w:t>
            </w:r>
          </w:p>
        </w:tc>
        <w:tc>
          <w:tcPr>
            <w:tcW w:w="115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78,24</w:t>
            </w:r>
          </w:p>
        </w:tc>
        <w:tc>
          <w:tcPr>
            <w:tcW w:w="1344"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2478,24</w:t>
            </w:r>
          </w:p>
        </w:tc>
        <w:tc>
          <w:tcPr>
            <w:tcW w:w="1071"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c>
          <w:tcPr>
            <w:tcW w:w="168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r>
      <w:tr w:rsidR="00443B54" w:rsidRPr="004C2232" w:rsidTr="004C2232">
        <w:trPr>
          <w:trHeight w:val="315"/>
        </w:trPr>
        <w:tc>
          <w:tcPr>
            <w:tcW w:w="1314" w:type="dxa"/>
            <w:tcBorders>
              <w:top w:val="nil"/>
              <w:left w:val="single" w:sz="8" w:space="0" w:color="auto"/>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2600</w:t>
            </w:r>
          </w:p>
        </w:tc>
        <w:tc>
          <w:tcPr>
            <w:tcW w:w="1313"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84,76</w:t>
            </w:r>
          </w:p>
        </w:tc>
        <w:tc>
          <w:tcPr>
            <w:tcW w:w="1318"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2684,76</w:t>
            </w:r>
          </w:p>
        </w:tc>
        <w:tc>
          <w:tcPr>
            <w:tcW w:w="115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84,76</w:t>
            </w:r>
          </w:p>
        </w:tc>
        <w:tc>
          <w:tcPr>
            <w:tcW w:w="1344"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2684,76</w:t>
            </w:r>
          </w:p>
        </w:tc>
        <w:tc>
          <w:tcPr>
            <w:tcW w:w="1071"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c>
          <w:tcPr>
            <w:tcW w:w="168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r>
      <w:tr w:rsidR="00443B54" w:rsidRPr="004C2232" w:rsidTr="004C2232">
        <w:trPr>
          <w:trHeight w:val="315"/>
        </w:trPr>
        <w:tc>
          <w:tcPr>
            <w:tcW w:w="1314" w:type="dxa"/>
            <w:tcBorders>
              <w:top w:val="nil"/>
              <w:left w:val="single" w:sz="8" w:space="0" w:color="auto"/>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3000</w:t>
            </w:r>
          </w:p>
        </w:tc>
        <w:tc>
          <w:tcPr>
            <w:tcW w:w="1313"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97,80</w:t>
            </w:r>
          </w:p>
        </w:tc>
        <w:tc>
          <w:tcPr>
            <w:tcW w:w="1318"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3097,80</w:t>
            </w:r>
          </w:p>
        </w:tc>
        <w:tc>
          <w:tcPr>
            <w:tcW w:w="115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97,80</w:t>
            </w:r>
          </w:p>
        </w:tc>
        <w:tc>
          <w:tcPr>
            <w:tcW w:w="1344"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3097,80</w:t>
            </w:r>
          </w:p>
        </w:tc>
        <w:tc>
          <w:tcPr>
            <w:tcW w:w="1071"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c>
          <w:tcPr>
            <w:tcW w:w="168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r>
      <w:tr w:rsidR="00443B54" w:rsidRPr="004C2232" w:rsidTr="004C2232">
        <w:trPr>
          <w:trHeight w:val="315"/>
        </w:trPr>
        <w:tc>
          <w:tcPr>
            <w:tcW w:w="1314" w:type="dxa"/>
            <w:tcBorders>
              <w:top w:val="nil"/>
              <w:left w:val="single" w:sz="8" w:space="0" w:color="auto"/>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4000</w:t>
            </w:r>
          </w:p>
        </w:tc>
        <w:tc>
          <w:tcPr>
            <w:tcW w:w="1313"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130,40</w:t>
            </w:r>
          </w:p>
        </w:tc>
        <w:tc>
          <w:tcPr>
            <w:tcW w:w="1318"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4130,40</w:t>
            </w:r>
          </w:p>
        </w:tc>
        <w:tc>
          <w:tcPr>
            <w:tcW w:w="115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130,40</w:t>
            </w:r>
          </w:p>
        </w:tc>
        <w:tc>
          <w:tcPr>
            <w:tcW w:w="1344"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4130,40</w:t>
            </w:r>
          </w:p>
        </w:tc>
        <w:tc>
          <w:tcPr>
            <w:tcW w:w="1071"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c>
          <w:tcPr>
            <w:tcW w:w="168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r>
      <w:tr w:rsidR="00443B54" w:rsidRPr="004C2232" w:rsidTr="004C2232">
        <w:trPr>
          <w:trHeight w:val="315"/>
        </w:trPr>
        <w:tc>
          <w:tcPr>
            <w:tcW w:w="1314" w:type="dxa"/>
            <w:tcBorders>
              <w:top w:val="nil"/>
              <w:left w:val="single" w:sz="8" w:space="0" w:color="auto"/>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5000</w:t>
            </w:r>
          </w:p>
        </w:tc>
        <w:tc>
          <w:tcPr>
            <w:tcW w:w="1313"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163,00</w:t>
            </w:r>
          </w:p>
        </w:tc>
        <w:tc>
          <w:tcPr>
            <w:tcW w:w="1318"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5163,00</w:t>
            </w:r>
          </w:p>
        </w:tc>
        <w:tc>
          <w:tcPr>
            <w:tcW w:w="115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163,00</w:t>
            </w:r>
          </w:p>
        </w:tc>
        <w:tc>
          <w:tcPr>
            <w:tcW w:w="1344"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5163,00</w:t>
            </w:r>
          </w:p>
        </w:tc>
        <w:tc>
          <w:tcPr>
            <w:tcW w:w="1071"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c>
          <w:tcPr>
            <w:tcW w:w="1687" w:type="dxa"/>
            <w:tcBorders>
              <w:top w:val="nil"/>
              <w:left w:val="nil"/>
              <w:bottom w:val="single" w:sz="8" w:space="0" w:color="auto"/>
              <w:right w:val="single" w:sz="8" w:space="0" w:color="auto"/>
            </w:tcBorders>
            <w:shd w:val="clear" w:color="auto" w:fill="auto"/>
            <w:vAlign w:val="center"/>
            <w:hideMark/>
          </w:tcPr>
          <w:p w:rsidR="00443B54" w:rsidRPr="004C2232" w:rsidRDefault="00443B54" w:rsidP="004C2232">
            <w:pPr>
              <w:jc w:val="right"/>
              <w:rPr>
                <w:color w:val="000000"/>
                <w:sz w:val="18"/>
                <w:szCs w:val="18"/>
              </w:rPr>
            </w:pPr>
            <w:r w:rsidRPr="004C2232">
              <w:rPr>
                <w:color w:val="000000"/>
                <w:sz w:val="18"/>
                <w:szCs w:val="18"/>
              </w:rPr>
              <w:t>103,26%</w:t>
            </w:r>
          </w:p>
        </w:tc>
      </w:tr>
    </w:tbl>
    <w:p w:rsidR="00FC79AB" w:rsidRPr="00641D43" w:rsidRDefault="004937E9" w:rsidP="00641D43">
      <w:pPr>
        <w:spacing w:before="120" w:line="360" w:lineRule="auto"/>
        <w:jc w:val="both"/>
      </w:pPr>
      <w:r w:rsidRPr="00641D43">
        <w:lastRenderedPageBreak/>
        <w:t xml:space="preserve">Szacuje się, że </w:t>
      </w:r>
      <w:r w:rsidR="003E1F11" w:rsidRPr="00641D43">
        <w:t xml:space="preserve">łączne </w:t>
      </w:r>
      <w:r w:rsidRPr="00641D43">
        <w:t xml:space="preserve">skutki finansowe wynikające z wprowadzenia w 2019 r. </w:t>
      </w:r>
      <w:r w:rsidR="003F3C56" w:rsidRPr="00641D43">
        <w:t xml:space="preserve">proponowanego mechanizmu waloryzacji wyniosą </w:t>
      </w:r>
      <w:r w:rsidRPr="00641D43">
        <w:t xml:space="preserve">ok. </w:t>
      </w:r>
      <w:r w:rsidR="00CB0738" w:rsidRPr="00641D43">
        <w:t xml:space="preserve">8381 </w:t>
      </w:r>
      <w:r w:rsidR="003F3C56" w:rsidRPr="00641D43">
        <w:t xml:space="preserve">mln zł </w:t>
      </w:r>
      <w:r w:rsidR="00785048" w:rsidRPr="00641D43">
        <w:t xml:space="preserve">zamiast planowanych </w:t>
      </w:r>
      <w:r w:rsidR="00CB0738" w:rsidRPr="00641D43">
        <w:t xml:space="preserve">6886 </w:t>
      </w:r>
      <w:r w:rsidR="00785048" w:rsidRPr="00641D43">
        <w:t xml:space="preserve">mln zł, tj. o </w:t>
      </w:r>
      <w:r w:rsidR="00CB0738" w:rsidRPr="00641D43">
        <w:t xml:space="preserve">1495 </w:t>
      </w:r>
      <w:r w:rsidR="00785048" w:rsidRPr="00641D43">
        <w:t xml:space="preserve">mln zł więcej. </w:t>
      </w:r>
    </w:p>
    <w:p w:rsidR="00785048" w:rsidRPr="00641D43" w:rsidRDefault="00785048" w:rsidP="00641D43">
      <w:pPr>
        <w:spacing w:before="120" w:line="360" w:lineRule="auto"/>
        <w:jc w:val="both"/>
      </w:pPr>
      <w:r w:rsidRPr="00641D43">
        <w:t xml:space="preserve">Kwota ewentualnego dofinansowania znana będzie po ogłoszeniu przez Prezesa Głównego Urzędu Statystycznego </w:t>
      </w:r>
      <w:r w:rsidR="00FC79AB" w:rsidRPr="00641D43">
        <w:t>wskaźników cen t</w:t>
      </w:r>
      <w:r w:rsidR="004C2232">
        <w:t>owarów i usług konsumpcyjnych w </w:t>
      </w:r>
      <w:r w:rsidR="00FC79AB" w:rsidRPr="00641D43">
        <w:t xml:space="preserve">poprzednim roku kalendarzowym i </w:t>
      </w:r>
      <w:r w:rsidRPr="00641D43">
        <w:t>realnego wzrostu przeciętnego wynagrodzenia w</w:t>
      </w:r>
      <w:r w:rsidR="004C2232">
        <w:t> </w:t>
      </w:r>
      <w:r w:rsidR="00FC79AB" w:rsidRPr="00641D43">
        <w:t>poprzednim roku kalendarzowym.</w:t>
      </w:r>
    </w:p>
    <w:p w:rsidR="00C316E7" w:rsidRPr="00641D43" w:rsidRDefault="00C065D0" w:rsidP="00641D43">
      <w:pPr>
        <w:spacing w:before="120" w:line="360" w:lineRule="auto"/>
        <w:jc w:val="both"/>
      </w:pPr>
      <w:r w:rsidRPr="00641D43">
        <w:t>P</w:t>
      </w:r>
      <w:r w:rsidR="00C316E7" w:rsidRPr="00641D43">
        <w:t xml:space="preserve">rzedmiot projektowanej regulacji nie jest objęty </w:t>
      </w:r>
      <w:r w:rsidR="003A1123" w:rsidRPr="00641D43">
        <w:t xml:space="preserve">prawem </w:t>
      </w:r>
      <w:r w:rsidR="00C316E7" w:rsidRPr="00641D43">
        <w:t xml:space="preserve">Unii Europejskiej. </w:t>
      </w:r>
    </w:p>
    <w:p w:rsidR="004E7974" w:rsidRPr="00641D43" w:rsidRDefault="004E7974" w:rsidP="00641D43">
      <w:pPr>
        <w:autoSpaceDE w:val="0"/>
        <w:autoSpaceDN w:val="0"/>
        <w:adjustRightInd w:val="0"/>
        <w:spacing w:before="120" w:line="360" w:lineRule="auto"/>
        <w:jc w:val="both"/>
      </w:pPr>
      <w:r w:rsidRPr="00641D43">
        <w:t>Projekt ustawy nie podlega obowiązkowi prz</w:t>
      </w:r>
      <w:r w:rsidR="004C2232">
        <w:t>edstawienia właściwym organom i </w:t>
      </w:r>
      <w:r w:rsidRPr="00641D43">
        <w:t>instytucjom Unii Europejskiej, w tym Europejskiemu Bankowi Centralnemu, w celu uzyskania opinii, dokonania powiadomienia, konsultacji albo uzgodnienia.</w:t>
      </w:r>
    </w:p>
    <w:p w:rsidR="004E7974" w:rsidRPr="00641D43" w:rsidRDefault="004E7974" w:rsidP="00641D43">
      <w:pPr>
        <w:autoSpaceDE w:val="0"/>
        <w:autoSpaceDN w:val="0"/>
        <w:adjustRightInd w:val="0"/>
        <w:spacing w:before="120" w:line="360" w:lineRule="auto"/>
        <w:jc w:val="both"/>
      </w:pPr>
      <w:r w:rsidRPr="00641D43">
        <w:t xml:space="preserve">Projekt ustawy nie będzie miał wpływu na działalność </w:t>
      </w:r>
      <w:proofErr w:type="spellStart"/>
      <w:r w:rsidRPr="00641D43">
        <w:t>mikroprzedsiębiorców</w:t>
      </w:r>
      <w:proofErr w:type="spellEnd"/>
      <w:r w:rsidRPr="00641D43">
        <w:t xml:space="preserve">, małych </w:t>
      </w:r>
      <w:r w:rsidR="004C2232">
        <w:t>i </w:t>
      </w:r>
      <w:r w:rsidRPr="00641D43">
        <w:t>średnich przedsiębiorców.</w:t>
      </w:r>
    </w:p>
    <w:p w:rsidR="006E7F49" w:rsidRPr="00641D43" w:rsidRDefault="004E7974" w:rsidP="00641D43">
      <w:pPr>
        <w:autoSpaceDE w:val="0"/>
        <w:autoSpaceDN w:val="0"/>
        <w:adjustRightInd w:val="0"/>
        <w:spacing w:before="120" w:line="360" w:lineRule="auto"/>
        <w:jc w:val="both"/>
      </w:pPr>
      <w:r w:rsidRPr="00641D43">
        <w:t>Projektowana ustawa nie zawiera przepisów technicznych w rozumieniu przepisów rozporządzenia Rady Ministrów z dnia 23 grudnia 2002 r. w sprawie sposobu funkcjonowania krajowego systemu notyfikacji nor</w:t>
      </w:r>
      <w:r w:rsidR="004C2232">
        <w:t>m i aktów prawnych (Dz. U. poz. </w:t>
      </w:r>
      <w:r w:rsidRPr="00641D43">
        <w:t>2039 oraz z 2004 r. poz. 597) i w związku z tym nie podlega notyfikacji.</w:t>
      </w:r>
    </w:p>
    <w:p w:rsidR="00CC17E0" w:rsidRPr="00641D43" w:rsidRDefault="00CC17E0" w:rsidP="00641D43">
      <w:pPr>
        <w:autoSpaceDE w:val="0"/>
        <w:autoSpaceDN w:val="0"/>
        <w:adjustRightInd w:val="0"/>
        <w:spacing w:before="120" w:line="360" w:lineRule="auto"/>
        <w:jc w:val="both"/>
      </w:pPr>
      <w:r w:rsidRPr="00641D43">
        <w:t>Zgodnie z art. 5 ustawy z dnia 7 lipca 2005 r. o działalności lobbingowej w procesie stanowienia prawa (Dz. U. z 2017 r. poz. 248) oraz § 52</w:t>
      </w:r>
      <w:r w:rsidR="002C0981" w:rsidRPr="00641D43">
        <w:t xml:space="preserve"> uchwały nr 190 Rady Ministrów z</w:t>
      </w:r>
      <w:r w:rsidR="00641D43">
        <w:t xml:space="preserve"> </w:t>
      </w:r>
      <w:r w:rsidRPr="00641D43">
        <w:t>dnia 29 października 2013 r. – Regulamin pracy Rady Ministrów</w:t>
      </w:r>
      <w:r w:rsidR="004C2232">
        <w:t xml:space="preserve"> (M.P. z </w:t>
      </w:r>
      <w:r w:rsidR="002C0981" w:rsidRPr="00641D43">
        <w:t>2016 r. poz. 1006, z</w:t>
      </w:r>
      <w:r w:rsidR="00641D43">
        <w:t xml:space="preserve"> </w:t>
      </w:r>
      <w:proofErr w:type="spellStart"/>
      <w:r w:rsidR="002C0981" w:rsidRPr="00641D43">
        <w:t>późn</w:t>
      </w:r>
      <w:proofErr w:type="spellEnd"/>
      <w:r w:rsidR="002C0981" w:rsidRPr="00641D43">
        <w:t>. zm.)</w:t>
      </w:r>
      <w:r w:rsidRPr="00641D43">
        <w:t xml:space="preserve"> projekt </w:t>
      </w:r>
      <w:r w:rsidR="002735BA" w:rsidRPr="00641D43">
        <w:t>zosta</w:t>
      </w:r>
      <w:r w:rsidR="002501CF" w:rsidRPr="00641D43">
        <w:t>ł</w:t>
      </w:r>
      <w:r w:rsidRPr="00641D43">
        <w:t xml:space="preserve"> zamieszczony w Biuletynie Informacji Publicznej Ministerstwa Rodziny, Pracy i Polityki Społecznej oraz na stronie podmiotowej Rządowego Centrum Legislacji, w serwisie Rządowy Proces Legislacyjny</w:t>
      </w:r>
      <w:r w:rsidR="004F3AB1">
        <w:t>,</w:t>
      </w:r>
      <w:r w:rsidRPr="00641D43">
        <w:t xml:space="preserve"> z d</w:t>
      </w:r>
      <w:r w:rsidR="002C0981" w:rsidRPr="00641D43">
        <w:t>niem skierowania do uzgodnień i</w:t>
      </w:r>
      <w:r w:rsidR="00641D43">
        <w:t xml:space="preserve"> </w:t>
      </w:r>
      <w:r w:rsidRPr="00641D43">
        <w:t>konsultacji publicznych.</w:t>
      </w:r>
    </w:p>
    <w:p w:rsidR="003109F4" w:rsidRDefault="003109F4" w:rsidP="00641D43">
      <w:pPr>
        <w:autoSpaceDE w:val="0"/>
        <w:autoSpaceDN w:val="0"/>
        <w:adjustRightInd w:val="0"/>
        <w:spacing w:before="120" w:line="360" w:lineRule="auto"/>
        <w:jc w:val="both"/>
      </w:pPr>
    </w:p>
    <w:p w:rsidR="004C2232" w:rsidRPr="004C2232" w:rsidRDefault="004C2232" w:rsidP="00641D43">
      <w:pPr>
        <w:autoSpaceDE w:val="0"/>
        <w:autoSpaceDN w:val="0"/>
        <w:adjustRightInd w:val="0"/>
        <w:spacing w:before="120" w:line="360" w:lineRule="auto"/>
        <w:jc w:val="both"/>
        <w:rPr>
          <w:sz w:val="16"/>
          <w:szCs w:val="16"/>
        </w:rPr>
      </w:pPr>
    </w:p>
    <w:sectPr w:rsidR="004C2232" w:rsidRPr="004C2232" w:rsidSect="00EA742D">
      <w:footerReference w:type="even" r:id="rId9"/>
      <w:footerReference w:type="default" r:id="rId10"/>
      <w:pgSz w:w="11906" w:h="16838"/>
      <w:pgMar w:top="1588" w:right="1418" w:bottom="1361"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908" w:rsidRDefault="00A60908">
      <w:r>
        <w:separator/>
      </w:r>
    </w:p>
  </w:endnote>
  <w:endnote w:type="continuationSeparator" w:id="0">
    <w:p w:rsidR="00A60908" w:rsidRDefault="00A60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B2D" w:rsidRDefault="00946B2D" w:rsidP="00C56178">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946B2D" w:rsidRDefault="00946B2D">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5430448"/>
      <w:docPartObj>
        <w:docPartGallery w:val="Page Numbers (Bottom of Page)"/>
        <w:docPartUnique/>
      </w:docPartObj>
    </w:sdtPr>
    <w:sdtEndPr/>
    <w:sdtContent>
      <w:p w:rsidR="00946B2D" w:rsidRDefault="00641D43" w:rsidP="00641D43">
        <w:pPr>
          <w:pStyle w:val="Stopka"/>
          <w:jc w:val="center"/>
        </w:pPr>
        <w:r>
          <w:fldChar w:fldCharType="begin"/>
        </w:r>
        <w:r>
          <w:instrText>PAGE   \* MERGEFORMAT</w:instrText>
        </w:r>
        <w:r>
          <w:fldChar w:fldCharType="separate"/>
        </w:r>
        <w:r w:rsidR="00325195">
          <w:rPr>
            <w:noProof/>
          </w:rPr>
          <w:t>11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908" w:rsidRDefault="00A60908">
      <w:r>
        <w:separator/>
      </w:r>
    </w:p>
  </w:footnote>
  <w:footnote w:type="continuationSeparator" w:id="0">
    <w:p w:rsidR="00A60908" w:rsidRDefault="00A60908">
      <w:r>
        <w:continuationSeparator/>
      </w:r>
    </w:p>
  </w:footnote>
  <w:footnote w:id="1">
    <w:p w:rsidR="00946B2D" w:rsidRDefault="00946B2D" w:rsidP="00641D43">
      <w:pPr>
        <w:pStyle w:val="Tekstprzypisudolnego"/>
        <w:ind w:left="182" w:hanging="182"/>
        <w:jc w:val="both"/>
      </w:pPr>
      <w:r>
        <w:rPr>
          <w:rStyle w:val="Odwoanieprzypisudolnego"/>
        </w:rPr>
        <w:footnoteRef/>
      </w:r>
      <w:r>
        <w:rPr>
          <w:vertAlign w:val="superscript"/>
        </w:rPr>
        <w:t>)</w:t>
      </w:r>
      <w:r w:rsidR="00641D43">
        <w:tab/>
      </w:r>
      <w:r>
        <w:t>Na mocy ustawy z dnia 13 stycznia 2012 r. o zmianie ustawy o emeryturach i rentach z Funduszu Ubezpieczeń Społecznych oraz niektórych innych ustaw (Dz. U. poz. 118).</w:t>
      </w:r>
    </w:p>
  </w:footnote>
  <w:footnote w:id="2">
    <w:p w:rsidR="00946B2D" w:rsidRDefault="00946B2D" w:rsidP="00641D43">
      <w:pPr>
        <w:pStyle w:val="Tekstprzypisudolnego"/>
        <w:ind w:left="142" w:hanging="142"/>
        <w:jc w:val="both"/>
      </w:pPr>
      <w:r>
        <w:rPr>
          <w:rStyle w:val="Odwoanieprzypisudolnego"/>
        </w:rPr>
        <w:footnoteRef/>
      </w:r>
      <w:r>
        <w:rPr>
          <w:vertAlign w:val="superscript"/>
        </w:rPr>
        <w:t>)</w:t>
      </w:r>
      <w:r w:rsidR="00641D43">
        <w:tab/>
      </w:r>
      <w:r>
        <w:t>Na mocy ustawy z dnia 23 października 2014 r. o zmianie ustawy o emeryturach i rentach z Funduszu Ubezpieczeń Społecznych oraz niektórych innych ustaw (Dz. U. poz. 1682).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31F4E"/>
    <w:multiLevelType w:val="hybridMultilevel"/>
    <w:tmpl w:val="A9EC363C"/>
    <w:lvl w:ilvl="0" w:tplc="0415000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8112B42"/>
    <w:multiLevelType w:val="hybridMultilevel"/>
    <w:tmpl w:val="9FA404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8460D2C"/>
    <w:multiLevelType w:val="hybridMultilevel"/>
    <w:tmpl w:val="D0B44480"/>
    <w:lvl w:ilvl="0" w:tplc="73DC2550">
      <w:start w:val="1"/>
      <w:numFmt w:val="bullet"/>
      <w:lvlText w:val="-"/>
      <w:lvlJc w:val="left"/>
      <w:pPr>
        <w:tabs>
          <w:tab w:val="num" w:pos="720"/>
        </w:tabs>
        <w:ind w:left="720" w:hanging="360"/>
      </w:pPr>
      <w:rPr>
        <w:rFonts w:ascii="Times New Roman" w:eastAsia="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nsid w:val="0AF472AD"/>
    <w:multiLevelType w:val="hybridMultilevel"/>
    <w:tmpl w:val="2D380F42"/>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nsid w:val="10984E35"/>
    <w:multiLevelType w:val="hybridMultilevel"/>
    <w:tmpl w:val="63704720"/>
    <w:lvl w:ilvl="0" w:tplc="0415000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152C6211"/>
    <w:multiLevelType w:val="hybridMultilevel"/>
    <w:tmpl w:val="7076E3D0"/>
    <w:lvl w:ilvl="0" w:tplc="734209B2">
      <w:numFmt w:val="bullet"/>
      <w:lvlText w:val=""/>
      <w:lvlJc w:val="left"/>
      <w:pPr>
        <w:ind w:left="1080" w:hanging="360"/>
      </w:pPr>
      <w:rPr>
        <w:rFonts w:ascii="Symbol" w:eastAsia="Times New Roman"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nsid w:val="259C0B62"/>
    <w:multiLevelType w:val="hybridMultilevel"/>
    <w:tmpl w:val="D0B44480"/>
    <w:lvl w:ilvl="0" w:tplc="0415000F">
      <w:start w:val="1"/>
      <w:numFmt w:val="decimal"/>
      <w:lvlText w:val="%1."/>
      <w:lvlJc w:val="left"/>
      <w:pPr>
        <w:tabs>
          <w:tab w:val="num" w:pos="720"/>
        </w:tabs>
        <w:ind w:left="720" w:hanging="360"/>
      </w:pPr>
      <w:rPr>
        <w:rFonts w:cs="Times New Roman"/>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nsid w:val="2B3C5407"/>
    <w:multiLevelType w:val="hybridMultilevel"/>
    <w:tmpl w:val="017A0F3A"/>
    <w:lvl w:ilvl="0" w:tplc="7D06D7EC">
      <w:numFmt w:val="bullet"/>
      <w:lvlText w:val="-"/>
      <w:lvlJc w:val="left"/>
      <w:pPr>
        <w:tabs>
          <w:tab w:val="num" w:pos="900"/>
        </w:tabs>
        <w:ind w:left="900" w:hanging="360"/>
      </w:pPr>
      <w:rPr>
        <w:rFonts w:ascii="Times New Roman" w:eastAsia="Times New Roman" w:hAnsi="Times New Roman" w:hint="default"/>
      </w:rPr>
    </w:lvl>
    <w:lvl w:ilvl="1" w:tplc="04150003" w:tentative="1">
      <w:start w:val="1"/>
      <w:numFmt w:val="bullet"/>
      <w:lvlText w:val="o"/>
      <w:lvlJc w:val="left"/>
      <w:pPr>
        <w:tabs>
          <w:tab w:val="num" w:pos="1620"/>
        </w:tabs>
        <w:ind w:left="1620" w:hanging="360"/>
      </w:pPr>
      <w:rPr>
        <w:rFonts w:ascii="Courier New" w:hAnsi="Courier New" w:hint="default"/>
      </w:rPr>
    </w:lvl>
    <w:lvl w:ilvl="2" w:tplc="04150005" w:tentative="1">
      <w:start w:val="1"/>
      <w:numFmt w:val="bullet"/>
      <w:lvlText w:val=""/>
      <w:lvlJc w:val="left"/>
      <w:pPr>
        <w:tabs>
          <w:tab w:val="num" w:pos="2340"/>
        </w:tabs>
        <w:ind w:left="2340" w:hanging="360"/>
      </w:pPr>
      <w:rPr>
        <w:rFonts w:ascii="Wingdings" w:hAnsi="Wingdings" w:hint="default"/>
      </w:rPr>
    </w:lvl>
    <w:lvl w:ilvl="3" w:tplc="04150001" w:tentative="1">
      <w:start w:val="1"/>
      <w:numFmt w:val="bullet"/>
      <w:lvlText w:val=""/>
      <w:lvlJc w:val="left"/>
      <w:pPr>
        <w:tabs>
          <w:tab w:val="num" w:pos="3060"/>
        </w:tabs>
        <w:ind w:left="3060" w:hanging="360"/>
      </w:pPr>
      <w:rPr>
        <w:rFonts w:ascii="Symbol" w:hAnsi="Symbol" w:hint="default"/>
      </w:rPr>
    </w:lvl>
    <w:lvl w:ilvl="4" w:tplc="04150003" w:tentative="1">
      <w:start w:val="1"/>
      <w:numFmt w:val="bullet"/>
      <w:lvlText w:val="o"/>
      <w:lvlJc w:val="left"/>
      <w:pPr>
        <w:tabs>
          <w:tab w:val="num" w:pos="3780"/>
        </w:tabs>
        <w:ind w:left="3780" w:hanging="360"/>
      </w:pPr>
      <w:rPr>
        <w:rFonts w:ascii="Courier New" w:hAnsi="Courier New" w:hint="default"/>
      </w:rPr>
    </w:lvl>
    <w:lvl w:ilvl="5" w:tplc="04150005" w:tentative="1">
      <w:start w:val="1"/>
      <w:numFmt w:val="bullet"/>
      <w:lvlText w:val=""/>
      <w:lvlJc w:val="left"/>
      <w:pPr>
        <w:tabs>
          <w:tab w:val="num" w:pos="4500"/>
        </w:tabs>
        <w:ind w:left="4500" w:hanging="360"/>
      </w:pPr>
      <w:rPr>
        <w:rFonts w:ascii="Wingdings" w:hAnsi="Wingdings" w:hint="default"/>
      </w:rPr>
    </w:lvl>
    <w:lvl w:ilvl="6" w:tplc="04150001" w:tentative="1">
      <w:start w:val="1"/>
      <w:numFmt w:val="bullet"/>
      <w:lvlText w:val=""/>
      <w:lvlJc w:val="left"/>
      <w:pPr>
        <w:tabs>
          <w:tab w:val="num" w:pos="5220"/>
        </w:tabs>
        <w:ind w:left="5220" w:hanging="360"/>
      </w:pPr>
      <w:rPr>
        <w:rFonts w:ascii="Symbol" w:hAnsi="Symbol" w:hint="default"/>
      </w:rPr>
    </w:lvl>
    <w:lvl w:ilvl="7" w:tplc="04150003" w:tentative="1">
      <w:start w:val="1"/>
      <w:numFmt w:val="bullet"/>
      <w:lvlText w:val="o"/>
      <w:lvlJc w:val="left"/>
      <w:pPr>
        <w:tabs>
          <w:tab w:val="num" w:pos="5940"/>
        </w:tabs>
        <w:ind w:left="5940" w:hanging="360"/>
      </w:pPr>
      <w:rPr>
        <w:rFonts w:ascii="Courier New" w:hAnsi="Courier New" w:hint="default"/>
      </w:rPr>
    </w:lvl>
    <w:lvl w:ilvl="8" w:tplc="04150005" w:tentative="1">
      <w:start w:val="1"/>
      <w:numFmt w:val="bullet"/>
      <w:lvlText w:val=""/>
      <w:lvlJc w:val="left"/>
      <w:pPr>
        <w:tabs>
          <w:tab w:val="num" w:pos="6660"/>
        </w:tabs>
        <w:ind w:left="6660" w:hanging="360"/>
      </w:pPr>
      <w:rPr>
        <w:rFonts w:ascii="Wingdings" w:hAnsi="Wingdings" w:hint="default"/>
      </w:rPr>
    </w:lvl>
  </w:abstractNum>
  <w:abstractNum w:abstractNumId="8">
    <w:nsid w:val="311E78E4"/>
    <w:multiLevelType w:val="hybridMultilevel"/>
    <w:tmpl w:val="4A285CA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nsid w:val="34684466"/>
    <w:multiLevelType w:val="hybridMultilevel"/>
    <w:tmpl w:val="729E779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nsid w:val="425E5723"/>
    <w:multiLevelType w:val="hybridMultilevel"/>
    <w:tmpl w:val="52D8BE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9550B23"/>
    <w:multiLevelType w:val="hybridMultilevel"/>
    <w:tmpl w:val="398AD0DC"/>
    <w:lvl w:ilvl="0" w:tplc="0262C52A">
      <w:start w:val="1"/>
      <w:numFmt w:val="decimal"/>
      <w:lvlText w:val="%1)"/>
      <w:lvlJc w:val="left"/>
      <w:pPr>
        <w:ind w:left="780" w:hanging="360"/>
      </w:pPr>
      <w:rPr>
        <w:rFonts w:ascii="Times" w:eastAsia="Times New Roman" w:hAnsi="Times" w:cs="Arial"/>
      </w:rPr>
    </w:lvl>
    <w:lvl w:ilvl="1" w:tplc="04150003" w:tentative="1">
      <w:start w:val="1"/>
      <w:numFmt w:val="bullet"/>
      <w:lvlText w:val="o"/>
      <w:lvlJc w:val="left"/>
      <w:pPr>
        <w:ind w:left="1500" w:hanging="360"/>
      </w:pPr>
      <w:rPr>
        <w:rFonts w:ascii="Courier New" w:hAnsi="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2">
    <w:nsid w:val="5D9A3311"/>
    <w:multiLevelType w:val="hybridMultilevel"/>
    <w:tmpl w:val="91169C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5F852D85"/>
    <w:multiLevelType w:val="hybridMultilevel"/>
    <w:tmpl w:val="46ACB98A"/>
    <w:lvl w:ilvl="0" w:tplc="C8087956">
      <w:start w:val="1"/>
      <w:numFmt w:val="decimal"/>
      <w:lvlText w:val="%1."/>
      <w:lvlJc w:val="left"/>
      <w:pPr>
        <w:tabs>
          <w:tab w:val="num" w:pos="900"/>
        </w:tabs>
        <w:ind w:left="900" w:hanging="360"/>
      </w:pPr>
      <w:rPr>
        <w:rFonts w:cs="Times New Roman" w:hint="default"/>
      </w:rPr>
    </w:lvl>
    <w:lvl w:ilvl="1" w:tplc="04150019" w:tentative="1">
      <w:start w:val="1"/>
      <w:numFmt w:val="lowerLetter"/>
      <w:lvlText w:val="%2."/>
      <w:lvlJc w:val="left"/>
      <w:pPr>
        <w:tabs>
          <w:tab w:val="num" w:pos="1620"/>
        </w:tabs>
        <w:ind w:left="1620" w:hanging="360"/>
      </w:pPr>
      <w:rPr>
        <w:rFonts w:cs="Times New Roman"/>
      </w:rPr>
    </w:lvl>
    <w:lvl w:ilvl="2" w:tplc="0415001B" w:tentative="1">
      <w:start w:val="1"/>
      <w:numFmt w:val="lowerRoman"/>
      <w:lvlText w:val="%3."/>
      <w:lvlJc w:val="right"/>
      <w:pPr>
        <w:tabs>
          <w:tab w:val="num" w:pos="2340"/>
        </w:tabs>
        <w:ind w:left="2340" w:hanging="180"/>
      </w:pPr>
      <w:rPr>
        <w:rFonts w:cs="Times New Roman"/>
      </w:rPr>
    </w:lvl>
    <w:lvl w:ilvl="3" w:tplc="0415000F" w:tentative="1">
      <w:start w:val="1"/>
      <w:numFmt w:val="decimal"/>
      <w:lvlText w:val="%4."/>
      <w:lvlJc w:val="left"/>
      <w:pPr>
        <w:tabs>
          <w:tab w:val="num" w:pos="3060"/>
        </w:tabs>
        <w:ind w:left="3060" w:hanging="360"/>
      </w:pPr>
      <w:rPr>
        <w:rFonts w:cs="Times New Roman"/>
      </w:rPr>
    </w:lvl>
    <w:lvl w:ilvl="4" w:tplc="04150019" w:tentative="1">
      <w:start w:val="1"/>
      <w:numFmt w:val="lowerLetter"/>
      <w:lvlText w:val="%5."/>
      <w:lvlJc w:val="left"/>
      <w:pPr>
        <w:tabs>
          <w:tab w:val="num" w:pos="3780"/>
        </w:tabs>
        <w:ind w:left="3780" w:hanging="360"/>
      </w:pPr>
      <w:rPr>
        <w:rFonts w:cs="Times New Roman"/>
      </w:rPr>
    </w:lvl>
    <w:lvl w:ilvl="5" w:tplc="0415001B" w:tentative="1">
      <w:start w:val="1"/>
      <w:numFmt w:val="lowerRoman"/>
      <w:lvlText w:val="%6."/>
      <w:lvlJc w:val="right"/>
      <w:pPr>
        <w:tabs>
          <w:tab w:val="num" w:pos="4500"/>
        </w:tabs>
        <w:ind w:left="4500" w:hanging="180"/>
      </w:pPr>
      <w:rPr>
        <w:rFonts w:cs="Times New Roman"/>
      </w:rPr>
    </w:lvl>
    <w:lvl w:ilvl="6" w:tplc="0415000F" w:tentative="1">
      <w:start w:val="1"/>
      <w:numFmt w:val="decimal"/>
      <w:lvlText w:val="%7."/>
      <w:lvlJc w:val="left"/>
      <w:pPr>
        <w:tabs>
          <w:tab w:val="num" w:pos="5220"/>
        </w:tabs>
        <w:ind w:left="5220" w:hanging="360"/>
      </w:pPr>
      <w:rPr>
        <w:rFonts w:cs="Times New Roman"/>
      </w:rPr>
    </w:lvl>
    <w:lvl w:ilvl="7" w:tplc="04150019" w:tentative="1">
      <w:start w:val="1"/>
      <w:numFmt w:val="lowerLetter"/>
      <w:lvlText w:val="%8."/>
      <w:lvlJc w:val="left"/>
      <w:pPr>
        <w:tabs>
          <w:tab w:val="num" w:pos="5940"/>
        </w:tabs>
        <w:ind w:left="5940" w:hanging="360"/>
      </w:pPr>
      <w:rPr>
        <w:rFonts w:cs="Times New Roman"/>
      </w:rPr>
    </w:lvl>
    <w:lvl w:ilvl="8" w:tplc="0415001B" w:tentative="1">
      <w:start w:val="1"/>
      <w:numFmt w:val="lowerRoman"/>
      <w:lvlText w:val="%9."/>
      <w:lvlJc w:val="right"/>
      <w:pPr>
        <w:tabs>
          <w:tab w:val="num" w:pos="6660"/>
        </w:tabs>
        <w:ind w:left="6660" w:hanging="180"/>
      </w:pPr>
      <w:rPr>
        <w:rFonts w:cs="Times New Roman"/>
      </w:rPr>
    </w:lvl>
  </w:abstractNum>
  <w:abstractNum w:abstractNumId="14">
    <w:nsid w:val="62B460B7"/>
    <w:multiLevelType w:val="hybridMultilevel"/>
    <w:tmpl w:val="A6523F10"/>
    <w:lvl w:ilvl="0" w:tplc="25D4A9C4">
      <w:start w:val="1"/>
      <w:numFmt w:val="upperRoman"/>
      <w:lvlText w:val="%1."/>
      <w:lvlJc w:val="left"/>
      <w:pPr>
        <w:tabs>
          <w:tab w:val="num" w:pos="1080"/>
        </w:tabs>
        <w:ind w:left="1080" w:hanging="720"/>
      </w:pPr>
      <w:rPr>
        <w:rFonts w:cs="Times New Roman" w:hint="default"/>
      </w:rPr>
    </w:lvl>
    <w:lvl w:ilvl="1" w:tplc="FEA6B6EE">
      <w:start w:val="1"/>
      <w:numFmt w:val="bullet"/>
      <w:lvlText w:val="-"/>
      <w:lvlJc w:val="left"/>
      <w:pPr>
        <w:tabs>
          <w:tab w:val="num" w:pos="1440"/>
        </w:tabs>
        <w:ind w:left="1440" w:hanging="360"/>
      </w:pPr>
      <w:rPr>
        <w:rFonts w:ascii="Courier New" w:hAnsi="Courier New"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
    <w:nsid w:val="66AE663F"/>
    <w:multiLevelType w:val="hybridMultilevel"/>
    <w:tmpl w:val="8878C6BC"/>
    <w:lvl w:ilvl="0" w:tplc="04150011">
      <w:start w:val="1"/>
      <w:numFmt w:val="decimal"/>
      <w:lvlText w:val="%1)"/>
      <w:lvlJc w:val="left"/>
      <w:pPr>
        <w:tabs>
          <w:tab w:val="num" w:pos="1080"/>
        </w:tabs>
        <w:ind w:left="1080" w:hanging="360"/>
      </w:pPr>
      <w:rPr>
        <w:rFonts w:cs="Times New Roman"/>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6">
    <w:nsid w:val="6D9E1D13"/>
    <w:multiLevelType w:val="hybridMultilevel"/>
    <w:tmpl w:val="A3D6BD82"/>
    <w:lvl w:ilvl="0" w:tplc="04150011">
      <w:start w:val="1"/>
      <w:numFmt w:val="decimal"/>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7"/>
  </w:num>
  <w:num w:numId="4">
    <w:abstractNumId w:val="13"/>
  </w:num>
  <w:num w:numId="5">
    <w:abstractNumId w:val="8"/>
  </w:num>
  <w:num w:numId="6">
    <w:abstractNumId w:val="4"/>
  </w:num>
  <w:num w:numId="7">
    <w:abstractNumId w:val="0"/>
  </w:num>
  <w:num w:numId="8">
    <w:abstractNumId w:val="5"/>
  </w:num>
  <w:num w:numId="9">
    <w:abstractNumId w:val="6"/>
  </w:num>
  <w:num w:numId="10">
    <w:abstractNumId w:val="15"/>
  </w:num>
  <w:num w:numId="11">
    <w:abstractNumId w:val="3"/>
  </w:num>
  <w:num w:numId="12">
    <w:abstractNumId w:val="12"/>
  </w:num>
  <w:num w:numId="13">
    <w:abstractNumId w:val="1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6"/>
  </w:num>
  <w:num w:numId="17">
    <w:abstractNumId w:val="10"/>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673"/>
    <w:rsid w:val="00005643"/>
    <w:rsid w:val="00006443"/>
    <w:rsid w:val="0000675C"/>
    <w:rsid w:val="00011717"/>
    <w:rsid w:val="00014FE6"/>
    <w:rsid w:val="00026B4C"/>
    <w:rsid w:val="00031CB1"/>
    <w:rsid w:val="00034C11"/>
    <w:rsid w:val="00035FCE"/>
    <w:rsid w:val="00037B18"/>
    <w:rsid w:val="00044A9E"/>
    <w:rsid w:val="000533D9"/>
    <w:rsid w:val="000572D7"/>
    <w:rsid w:val="0006376E"/>
    <w:rsid w:val="0006499D"/>
    <w:rsid w:val="000663A3"/>
    <w:rsid w:val="00071AF2"/>
    <w:rsid w:val="00087A74"/>
    <w:rsid w:val="00091AC7"/>
    <w:rsid w:val="000928F2"/>
    <w:rsid w:val="000968F6"/>
    <w:rsid w:val="0009755F"/>
    <w:rsid w:val="000A0BE9"/>
    <w:rsid w:val="000A1239"/>
    <w:rsid w:val="000A1422"/>
    <w:rsid w:val="000A3331"/>
    <w:rsid w:val="000A7121"/>
    <w:rsid w:val="000B381D"/>
    <w:rsid w:val="000C462F"/>
    <w:rsid w:val="000C4D2E"/>
    <w:rsid w:val="000D0D64"/>
    <w:rsid w:val="000E1042"/>
    <w:rsid w:val="000E1374"/>
    <w:rsid w:val="000E7B89"/>
    <w:rsid w:val="000E7EB9"/>
    <w:rsid w:val="000F1369"/>
    <w:rsid w:val="000F2ECB"/>
    <w:rsid w:val="000F73BD"/>
    <w:rsid w:val="000F7E4B"/>
    <w:rsid w:val="00104493"/>
    <w:rsid w:val="00105951"/>
    <w:rsid w:val="00107ADA"/>
    <w:rsid w:val="00112221"/>
    <w:rsid w:val="00117DB9"/>
    <w:rsid w:val="0012497F"/>
    <w:rsid w:val="00127B64"/>
    <w:rsid w:val="001324CD"/>
    <w:rsid w:val="001325C7"/>
    <w:rsid w:val="0014105A"/>
    <w:rsid w:val="00141898"/>
    <w:rsid w:val="001435CB"/>
    <w:rsid w:val="001522ED"/>
    <w:rsid w:val="00155ACA"/>
    <w:rsid w:val="00182D46"/>
    <w:rsid w:val="001A4DB2"/>
    <w:rsid w:val="001A6610"/>
    <w:rsid w:val="001B5B44"/>
    <w:rsid w:val="001B7D12"/>
    <w:rsid w:val="001C5083"/>
    <w:rsid w:val="001D3DBA"/>
    <w:rsid w:val="001D406D"/>
    <w:rsid w:val="001D53FB"/>
    <w:rsid w:val="001D64F1"/>
    <w:rsid w:val="001E096A"/>
    <w:rsid w:val="001E634A"/>
    <w:rsid w:val="001E791E"/>
    <w:rsid w:val="001F09C8"/>
    <w:rsid w:val="001F235F"/>
    <w:rsid w:val="0020324F"/>
    <w:rsid w:val="0020345D"/>
    <w:rsid w:val="0020450F"/>
    <w:rsid w:val="00204FC2"/>
    <w:rsid w:val="002223AB"/>
    <w:rsid w:val="00222700"/>
    <w:rsid w:val="00223BC8"/>
    <w:rsid w:val="00236B7F"/>
    <w:rsid w:val="00236C9C"/>
    <w:rsid w:val="002501CF"/>
    <w:rsid w:val="00250E3F"/>
    <w:rsid w:val="00260073"/>
    <w:rsid w:val="00263B03"/>
    <w:rsid w:val="00267018"/>
    <w:rsid w:val="002709DF"/>
    <w:rsid w:val="002735BA"/>
    <w:rsid w:val="0027648E"/>
    <w:rsid w:val="002771B8"/>
    <w:rsid w:val="00280E70"/>
    <w:rsid w:val="00282FE9"/>
    <w:rsid w:val="002957F4"/>
    <w:rsid w:val="002A681A"/>
    <w:rsid w:val="002B039E"/>
    <w:rsid w:val="002B4674"/>
    <w:rsid w:val="002C0981"/>
    <w:rsid w:val="002C2C40"/>
    <w:rsid w:val="002C4F42"/>
    <w:rsid w:val="002D0501"/>
    <w:rsid w:val="002D3091"/>
    <w:rsid w:val="002E51AF"/>
    <w:rsid w:val="002E7661"/>
    <w:rsid w:val="0030778C"/>
    <w:rsid w:val="003109F4"/>
    <w:rsid w:val="0031456F"/>
    <w:rsid w:val="0031585E"/>
    <w:rsid w:val="00315A00"/>
    <w:rsid w:val="00315D65"/>
    <w:rsid w:val="00317DAF"/>
    <w:rsid w:val="00325195"/>
    <w:rsid w:val="00326006"/>
    <w:rsid w:val="00326A09"/>
    <w:rsid w:val="0033503A"/>
    <w:rsid w:val="00335E89"/>
    <w:rsid w:val="003379C7"/>
    <w:rsid w:val="003425F8"/>
    <w:rsid w:val="00347034"/>
    <w:rsid w:val="00347818"/>
    <w:rsid w:val="00353DEA"/>
    <w:rsid w:val="0035720C"/>
    <w:rsid w:val="00361449"/>
    <w:rsid w:val="00361970"/>
    <w:rsid w:val="003631E6"/>
    <w:rsid w:val="00364EA1"/>
    <w:rsid w:val="00370B51"/>
    <w:rsid w:val="0037210C"/>
    <w:rsid w:val="00372652"/>
    <w:rsid w:val="003804E3"/>
    <w:rsid w:val="00391AD8"/>
    <w:rsid w:val="00394F94"/>
    <w:rsid w:val="003A1123"/>
    <w:rsid w:val="003A6C2F"/>
    <w:rsid w:val="003B4566"/>
    <w:rsid w:val="003B5741"/>
    <w:rsid w:val="003B625E"/>
    <w:rsid w:val="003C090C"/>
    <w:rsid w:val="003C5F3D"/>
    <w:rsid w:val="003D271C"/>
    <w:rsid w:val="003D7889"/>
    <w:rsid w:val="003D7C34"/>
    <w:rsid w:val="003E1F11"/>
    <w:rsid w:val="003E7215"/>
    <w:rsid w:val="003F0199"/>
    <w:rsid w:val="003F09BE"/>
    <w:rsid w:val="003F16BF"/>
    <w:rsid w:val="003F2D21"/>
    <w:rsid w:val="003F3C56"/>
    <w:rsid w:val="00404EEC"/>
    <w:rsid w:val="00410326"/>
    <w:rsid w:val="0041088F"/>
    <w:rsid w:val="004108F2"/>
    <w:rsid w:val="0041188D"/>
    <w:rsid w:val="0041232B"/>
    <w:rsid w:val="00412CB5"/>
    <w:rsid w:val="00417DDA"/>
    <w:rsid w:val="00427B4B"/>
    <w:rsid w:val="00432311"/>
    <w:rsid w:val="004414F7"/>
    <w:rsid w:val="00443B54"/>
    <w:rsid w:val="00450841"/>
    <w:rsid w:val="00453E5A"/>
    <w:rsid w:val="00460859"/>
    <w:rsid w:val="004646E0"/>
    <w:rsid w:val="00465E83"/>
    <w:rsid w:val="00466DF3"/>
    <w:rsid w:val="00470DA3"/>
    <w:rsid w:val="004720A5"/>
    <w:rsid w:val="0049362F"/>
    <w:rsid w:val="004937E9"/>
    <w:rsid w:val="00493BEF"/>
    <w:rsid w:val="00495BF0"/>
    <w:rsid w:val="004A1044"/>
    <w:rsid w:val="004A49A3"/>
    <w:rsid w:val="004A5255"/>
    <w:rsid w:val="004A6039"/>
    <w:rsid w:val="004B4D2B"/>
    <w:rsid w:val="004C0F0D"/>
    <w:rsid w:val="004C2232"/>
    <w:rsid w:val="004C4692"/>
    <w:rsid w:val="004C7CDF"/>
    <w:rsid w:val="004D05FC"/>
    <w:rsid w:val="004D075E"/>
    <w:rsid w:val="004D1655"/>
    <w:rsid w:val="004D3536"/>
    <w:rsid w:val="004D366A"/>
    <w:rsid w:val="004D7C74"/>
    <w:rsid w:val="004E3800"/>
    <w:rsid w:val="004E78F9"/>
    <w:rsid w:val="004E7974"/>
    <w:rsid w:val="004F3AB1"/>
    <w:rsid w:val="004F4D98"/>
    <w:rsid w:val="004F6839"/>
    <w:rsid w:val="00501A54"/>
    <w:rsid w:val="00501AB4"/>
    <w:rsid w:val="0050326F"/>
    <w:rsid w:val="005112D1"/>
    <w:rsid w:val="005268BF"/>
    <w:rsid w:val="00526954"/>
    <w:rsid w:val="005332DF"/>
    <w:rsid w:val="00540CA6"/>
    <w:rsid w:val="00541DB5"/>
    <w:rsid w:val="00550867"/>
    <w:rsid w:val="00552860"/>
    <w:rsid w:val="00572F0D"/>
    <w:rsid w:val="005737AE"/>
    <w:rsid w:val="00580FB2"/>
    <w:rsid w:val="00581FCC"/>
    <w:rsid w:val="00582CD0"/>
    <w:rsid w:val="005837AD"/>
    <w:rsid w:val="00596CFA"/>
    <w:rsid w:val="00597C1C"/>
    <w:rsid w:val="005A6696"/>
    <w:rsid w:val="005B27EE"/>
    <w:rsid w:val="005B30ED"/>
    <w:rsid w:val="005B6AA0"/>
    <w:rsid w:val="005B6FC4"/>
    <w:rsid w:val="005C2C42"/>
    <w:rsid w:val="005C2E62"/>
    <w:rsid w:val="005C3A1B"/>
    <w:rsid w:val="005C4C1A"/>
    <w:rsid w:val="005D414B"/>
    <w:rsid w:val="005D5B83"/>
    <w:rsid w:val="005D756C"/>
    <w:rsid w:val="005E485A"/>
    <w:rsid w:val="005F265F"/>
    <w:rsid w:val="005F39FF"/>
    <w:rsid w:val="005F6C6E"/>
    <w:rsid w:val="005F6D0D"/>
    <w:rsid w:val="005F6EFF"/>
    <w:rsid w:val="00600365"/>
    <w:rsid w:val="00604950"/>
    <w:rsid w:val="006137EE"/>
    <w:rsid w:val="00613975"/>
    <w:rsid w:val="0061600B"/>
    <w:rsid w:val="00616FDA"/>
    <w:rsid w:val="00617ABB"/>
    <w:rsid w:val="00622649"/>
    <w:rsid w:val="00626231"/>
    <w:rsid w:val="00630F5E"/>
    <w:rsid w:val="00632AEA"/>
    <w:rsid w:val="00634408"/>
    <w:rsid w:val="00634CC5"/>
    <w:rsid w:val="0063655B"/>
    <w:rsid w:val="0064118F"/>
    <w:rsid w:val="00641D43"/>
    <w:rsid w:val="0064211E"/>
    <w:rsid w:val="00644E3D"/>
    <w:rsid w:val="00652FC8"/>
    <w:rsid w:val="00655ABB"/>
    <w:rsid w:val="0066349B"/>
    <w:rsid w:val="00663E3C"/>
    <w:rsid w:val="0066425F"/>
    <w:rsid w:val="00670BB1"/>
    <w:rsid w:val="00671E28"/>
    <w:rsid w:val="0067719F"/>
    <w:rsid w:val="00683B07"/>
    <w:rsid w:val="00683E15"/>
    <w:rsid w:val="00692F9F"/>
    <w:rsid w:val="0069591B"/>
    <w:rsid w:val="006972D5"/>
    <w:rsid w:val="006A61E5"/>
    <w:rsid w:val="006A6C93"/>
    <w:rsid w:val="006B5B6F"/>
    <w:rsid w:val="006B67D2"/>
    <w:rsid w:val="006B6DA4"/>
    <w:rsid w:val="006C2583"/>
    <w:rsid w:val="006C50E4"/>
    <w:rsid w:val="006D56A2"/>
    <w:rsid w:val="006E300D"/>
    <w:rsid w:val="006E433F"/>
    <w:rsid w:val="006E7F31"/>
    <w:rsid w:val="006E7F49"/>
    <w:rsid w:val="006F6E6A"/>
    <w:rsid w:val="006F7747"/>
    <w:rsid w:val="00704DA6"/>
    <w:rsid w:val="00706D9F"/>
    <w:rsid w:val="00716EAC"/>
    <w:rsid w:val="00724C57"/>
    <w:rsid w:val="00734753"/>
    <w:rsid w:val="00736E79"/>
    <w:rsid w:val="00741E43"/>
    <w:rsid w:val="00742705"/>
    <w:rsid w:val="00742E0D"/>
    <w:rsid w:val="00743993"/>
    <w:rsid w:val="00750E32"/>
    <w:rsid w:val="0075372C"/>
    <w:rsid w:val="0075673A"/>
    <w:rsid w:val="0077665E"/>
    <w:rsid w:val="00777FBC"/>
    <w:rsid w:val="00785048"/>
    <w:rsid w:val="0078508B"/>
    <w:rsid w:val="007866D4"/>
    <w:rsid w:val="0079250B"/>
    <w:rsid w:val="00793082"/>
    <w:rsid w:val="00795AE4"/>
    <w:rsid w:val="00796EC6"/>
    <w:rsid w:val="007A502E"/>
    <w:rsid w:val="007B00D8"/>
    <w:rsid w:val="007C0663"/>
    <w:rsid w:val="007C359E"/>
    <w:rsid w:val="007C4377"/>
    <w:rsid w:val="007C4DFD"/>
    <w:rsid w:val="007E49DC"/>
    <w:rsid w:val="007F10FB"/>
    <w:rsid w:val="007F701C"/>
    <w:rsid w:val="007F7253"/>
    <w:rsid w:val="0080314B"/>
    <w:rsid w:val="00812C0C"/>
    <w:rsid w:val="00820872"/>
    <w:rsid w:val="00823865"/>
    <w:rsid w:val="00833A33"/>
    <w:rsid w:val="0084263A"/>
    <w:rsid w:val="0084328F"/>
    <w:rsid w:val="0084406D"/>
    <w:rsid w:val="00861440"/>
    <w:rsid w:val="00864E3B"/>
    <w:rsid w:val="00875605"/>
    <w:rsid w:val="00890EB7"/>
    <w:rsid w:val="00893340"/>
    <w:rsid w:val="008A0E5E"/>
    <w:rsid w:val="008B1749"/>
    <w:rsid w:val="008B49C9"/>
    <w:rsid w:val="008C75A1"/>
    <w:rsid w:val="008D04A5"/>
    <w:rsid w:val="008D3094"/>
    <w:rsid w:val="008D427A"/>
    <w:rsid w:val="008E7D4A"/>
    <w:rsid w:val="008F0FF2"/>
    <w:rsid w:val="008F558C"/>
    <w:rsid w:val="009012A9"/>
    <w:rsid w:val="0090345C"/>
    <w:rsid w:val="009062CD"/>
    <w:rsid w:val="00912A81"/>
    <w:rsid w:val="009130BD"/>
    <w:rsid w:val="0091721C"/>
    <w:rsid w:val="00917D50"/>
    <w:rsid w:val="00925F77"/>
    <w:rsid w:val="00927520"/>
    <w:rsid w:val="009303F2"/>
    <w:rsid w:val="00930A85"/>
    <w:rsid w:val="0093414C"/>
    <w:rsid w:val="00937C39"/>
    <w:rsid w:val="00942AE8"/>
    <w:rsid w:val="0094426E"/>
    <w:rsid w:val="00946B2D"/>
    <w:rsid w:val="009524C5"/>
    <w:rsid w:val="00952839"/>
    <w:rsid w:val="00956051"/>
    <w:rsid w:val="00957818"/>
    <w:rsid w:val="009629F0"/>
    <w:rsid w:val="009673C1"/>
    <w:rsid w:val="00971810"/>
    <w:rsid w:val="009723E6"/>
    <w:rsid w:val="00976360"/>
    <w:rsid w:val="00976402"/>
    <w:rsid w:val="00976FC3"/>
    <w:rsid w:val="009804CB"/>
    <w:rsid w:val="00981958"/>
    <w:rsid w:val="00985706"/>
    <w:rsid w:val="00994CE3"/>
    <w:rsid w:val="009A089E"/>
    <w:rsid w:val="009A09B9"/>
    <w:rsid w:val="009A1486"/>
    <w:rsid w:val="009B33ED"/>
    <w:rsid w:val="009B46B1"/>
    <w:rsid w:val="009B52DA"/>
    <w:rsid w:val="009C2D69"/>
    <w:rsid w:val="009C364D"/>
    <w:rsid w:val="009C3EB5"/>
    <w:rsid w:val="009C4C3C"/>
    <w:rsid w:val="009D0F0F"/>
    <w:rsid w:val="009D1563"/>
    <w:rsid w:val="009E62E4"/>
    <w:rsid w:val="009E693C"/>
    <w:rsid w:val="009F03B2"/>
    <w:rsid w:val="009F1CF8"/>
    <w:rsid w:val="009F2ABA"/>
    <w:rsid w:val="009F68AA"/>
    <w:rsid w:val="00A01F20"/>
    <w:rsid w:val="00A129BF"/>
    <w:rsid w:val="00A12E18"/>
    <w:rsid w:val="00A13604"/>
    <w:rsid w:val="00A137AF"/>
    <w:rsid w:val="00A15888"/>
    <w:rsid w:val="00A15BB1"/>
    <w:rsid w:val="00A21673"/>
    <w:rsid w:val="00A256DB"/>
    <w:rsid w:val="00A25786"/>
    <w:rsid w:val="00A32F5B"/>
    <w:rsid w:val="00A365FB"/>
    <w:rsid w:val="00A36CCA"/>
    <w:rsid w:val="00A55EFC"/>
    <w:rsid w:val="00A57B8E"/>
    <w:rsid w:val="00A60908"/>
    <w:rsid w:val="00A62EEF"/>
    <w:rsid w:val="00A64AEB"/>
    <w:rsid w:val="00A6512F"/>
    <w:rsid w:val="00A678B0"/>
    <w:rsid w:val="00A67CB5"/>
    <w:rsid w:val="00A8054C"/>
    <w:rsid w:val="00A80F5A"/>
    <w:rsid w:val="00A81622"/>
    <w:rsid w:val="00A84B96"/>
    <w:rsid w:val="00A92F36"/>
    <w:rsid w:val="00AA1C3D"/>
    <w:rsid w:val="00AA268B"/>
    <w:rsid w:val="00AA4BC5"/>
    <w:rsid w:val="00AB236C"/>
    <w:rsid w:val="00AB3C18"/>
    <w:rsid w:val="00AB4A4C"/>
    <w:rsid w:val="00AC2111"/>
    <w:rsid w:val="00AC2A61"/>
    <w:rsid w:val="00AD1946"/>
    <w:rsid w:val="00AD197E"/>
    <w:rsid w:val="00AD2B02"/>
    <w:rsid w:val="00AD2E97"/>
    <w:rsid w:val="00AE1173"/>
    <w:rsid w:val="00AF5CEF"/>
    <w:rsid w:val="00AF678C"/>
    <w:rsid w:val="00AF6E65"/>
    <w:rsid w:val="00AF71B4"/>
    <w:rsid w:val="00B0047D"/>
    <w:rsid w:val="00B13F0A"/>
    <w:rsid w:val="00B161ED"/>
    <w:rsid w:val="00B2374B"/>
    <w:rsid w:val="00B25231"/>
    <w:rsid w:val="00B26095"/>
    <w:rsid w:val="00B3067D"/>
    <w:rsid w:val="00B336B5"/>
    <w:rsid w:val="00B3445D"/>
    <w:rsid w:val="00B3660A"/>
    <w:rsid w:val="00B4762E"/>
    <w:rsid w:val="00B53A58"/>
    <w:rsid w:val="00B56A50"/>
    <w:rsid w:val="00B570B3"/>
    <w:rsid w:val="00B57511"/>
    <w:rsid w:val="00B578DA"/>
    <w:rsid w:val="00B57A1A"/>
    <w:rsid w:val="00B62AAA"/>
    <w:rsid w:val="00B65799"/>
    <w:rsid w:val="00B67724"/>
    <w:rsid w:val="00B73028"/>
    <w:rsid w:val="00B74979"/>
    <w:rsid w:val="00B7687F"/>
    <w:rsid w:val="00B82135"/>
    <w:rsid w:val="00B87DAE"/>
    <w:rsid w:val="00B9419C"/>
    <w:rsid w:val="00B95281"/>
    <w:rsid w:val="00BA283A"/>
    <w:rsid w:val="00BB3D86"/>
    <w:rsid w:val="00BB7377"/>
    <w:rsid w:val="00BC0C4E"/>
    <w:rsid w:val="00BC0E48"/>
    <w:rsid w:val="00BC2927"/>
    <w:rsid w:val="00BC6380"/>
    <w:rsid w:val="00BC6C08"/>
    <w:rsid w:val="00BF4296"/>
    <w:rsid w:val="00BF4C5A"/>
    <w:rsid w:val="00C010FC"/>
    <w:rsid w:val="00C0139E"/>
    <w:rsid w:val="00C015FF"/>
    <w:rsid w:val="00C052A0"/>
    <w:rsid w:val="00C05EAE"/>
    <w:rsid w:val="00C065D0"/>
    <w:rsid w:val="00C07405"/>
    <w:rsid w:val="00C162CF"/>
    <w:rsid w:val="00C16499"/>
    <w:rsid w:val="00C16AB0"/>
    <w:rsid w:val="00C171CA"/>
    <w:rsid w:val="00C2071B"/>
    <w:rsid w:val="00C27F87"/>
    <w:rsid w:val="00C316E7"/>
    <w:rsid w:val="00C374A3"/>
    <w:rsid w:val="00C44E24"/>
    <w:rsid w:val="00C50239"/>
    <w:rsid w:val="00C51D2D"/>
    <w:rsid w:val="00C549CF"/>
    <w:rsid w:val="00C56178"/>
    <w:rsid w:val="00C605FA"/>
    <w:rsid w:val="00C62DBB"/>
    <w:rsid w:val="00C63E94"/>
    <w:rsid w:val="00C74BC2"/>
    <w:rsid w:val="00C81CB9"/>
    <w:rsid w:val="00C86FD1"/>
    <w:rsid w:val="00C94569"/>
    <w:rsid w:val="00C9751F"/>
    <w:rsid w:val="00CA58C5"/>
    <w:rsid w:val="00CA64D5"/>
    <w:rsid w:val="00CB0738"/>
    <w:rsid w:val="00CB16D3"/>
    <w:rsid w:val="00CB27EA"/>
    <w:rsid w:val="00CB74FA"/>
    <w:rsid w:val="00CC139F"/>
    <w:rsid w:val="00CC17E0"/>
    <w:rsid w:val="00CC720D"/>
    <w:rsid w:val="00CC78DE"/>
    <w:rsid w:val="00CD164E"/>
    <w:rsid w:val="00CD47A2"/>
    <w:rsid w:val="00CD60B9"/>
    <w:rsid w:val="00CD7636"/>
    <w:rsid w:val="00D12622"/>
    <w:rsid w:val="00D154D2"/>
    <w:rsid w:val="00D15B2A"/>
    <w:rsid w:val="00D202EC"/>
    <w:rsid w:val="00D24E56"/>
    <w:rsid w:val="00D32749"/>
    <w:rsid w:val="00D32943"/>
    <w:rsid w:val="00D32DC6"/>
    <w:rsid w:val="00D3650A"/>
    <w:rsid w:val="00D41237"/>
    <w:rsid w:val="00D444C7"/>
    <w:rsid w:val="00D53390"/>
    <w:rsid w:val="00D5358D"/>
    <w:rsid w:val="00D54EEB"/>
    <w:rsid w:val="00D56A17"/>
    <w:rsid w:val="00D6045E"/>
    <w:rsid w:val="00D60EC2"/>
    <w:rsid w:val="00D65B4A"/>
    <w:rsid w:val="00D66616"/>
    <w:rsid w:val="00D72D74"/>
    <w:rsid w:val="00D74049"/>
    <w:rsid w:val="00D77D70"/>
    <w:rsid w:val="00D85717"/>
    <w:rsid w:val="00D86B0D"/>
    <w:rsid w:val="00D87B9C"/>
    <w:rsid w:val="00D919B0"/>
    <w:rsid w:val="00D92E89"/>
    <w:rsid w:val="00D95B35"/>
    <w:rsid w:val="00DA0F6F"/>
    <w:rsid w:val="00DA186F"/>
    <w:rsid w:val="00DA22AA"/>
    <w:rsid w:val="00DA2E7D"/>
    <w:rsid w:val="00DA4607"/>
    <w:rsid w:val="00DA6507"/>
    <w:rsid w:val="00DB0F3F"/>
    <w:rsid w:val="00DB10EB"/>
    <w:rsid w:val="00DB2391"/>
    <w:rsid w:val="00DB41D2"/>
    <w:rsid w:val="00DB61A2"/>
    <w:rsid w:val="00DC561F"/>
    <w:rsid w:val="00DC5E04"/>
    <w:rsid w:val="00DD29E3"/>
    <w:rsid w:val="00DD2D46"/>
    <w:rsid w:val="00DD5C8A"/>
    <w:rsid w:val="00DE4901"/>
    <w:rsid w:val="00DE55A6"/>
    <w:rsid w:val="00DE7C65"/>
    <w:rsid w:val="00DF30CC"/>
    <w:rsid w:val="00DF318E"/>
    <w:rsid w:val="00DF38BB"/>
    <w:rsid w:val="00E06C0D"/>
    <w:rsid w:val="00E16DE9"/>
    <w:rsid w:val="00E210C6"/>
    <w:rsid w:val="00E24D36"/>
    <w:rsid w:val="00E25F5B"/>
    <w:rsid w:val="00E322DA"/>
    <w:rsid w:val="00E4106B"/>
    <w:rsid w:val="00E43774"/>
    <w:rsid w:val="00E43BC1"/>
    <w:rsid w:val="00E46BD9"/>
    <w:rsid w:val="00E60E89"/>
    <w:rsid w:val="00E61216"/>
    <w:rsid w:val="00E64ED1"/>
    <w:rsid w:val="00E65017"/>
    <w:rsid w:val="00E65E3E"/>
    <w:rsid w:val="00E65F39"/>
    <w:rsid w:val="00E66348"/>
    <w:rsid w:val="00E67CF2"/>
    <w:rsid w:val="00E715E9"/>
    <w:rsid w:val="00E7687B"/>
    <w:rsid w:val="00E768F1"/>
    <w:rsid w:val="00E80FE7"/>
    <w:rsid w:val="00E84F2B"/>
    <w:rsid w:val="00E86CB3"/>
    <w:rsid w:val="00E87878"/>
    <w:rsid w:val="00E91F02"/>
    <w:rsid w:val="00EA00BC"/>
    <w:rsid w:val="00EA1BA7"/>
    <w:rsid w:val="00EA1DC6"/>
    <w:rsid w:val="00EA1E2F"/>
    <w:rsid w:val="00EA2BBA"/>
    <w:rsid w:val="00EA742D"/>
    <w:rsid w:val="00EB2EB4"/>
    <w:rsid w:val="00EB5997"/>
    <w:rsid w:val="00EB6C89"/>
    <w:rsid w:val="00EC0DC9"/>
    <w:rsid w:val="00EC4CA1"/>
    <w:rsid w:val="00EC57FB"/>
    <w:rsid w:val="00ED0628"/>
    <w:rsid w:val="00EE2589"/>
    <w:rsid w:val="00EE2602"/>
    <w:rsid w:val="00EE7E81"/>
    <w:rsid w:val="00EF14EB"/>
    <w:rsid w:val="00EF24A4"/>
    <w:rsid w:val="00EF5018"/>
    <w:rsid w:val="00F02886"/>
    <w:rsid w:val="00F0363B"/>
    <w:rsid w:val="00F03921"/>
    <w:rsid w:val="00F056C6"/>
    <w:rsid w:val="00F065AB"/>
    <w:rsid w:val="00F07E92"/>
    <w:rsid w:val="00F10D51"/>
    <w:rsid w:val="00F13163"/>
    <w:rsid w:val="00F139C7"/>
    <w:rsid w:val="00F23F98"/>
    <w:rsid w:val="00F27078"/>
    <w:rsid w:val="00F34473"/>
    <w:rsid w:val="00F447A0"/>
    <w:rsid w:val="00F452D8"/>
    <w:rsid w:val="00F50D1F"/>
    <w:rsid w:val="00F66D66"/>
    <w:rsid w:val="00F744D4"/>
    <w:rsid w:val="00F852B3"/>
    <w:rsid w:val="00F85770"/>
    <w:rsid w:val="00F8592C"/>
    <w:rsid w:val="00F907B9"/>
    <w:rsid w:val="00F936DA"/>
    <w:rsid w:val="00FA1F85"/>
    <w:rsid w:val="00FA4A39"/>
    <w:rsid w:val="00FA4E28"/>
    <w:rsid w:val="00FA62EC"/>
    <w:rsid w:val="00FA776C"/>
    <w:rsid w:val="00FB3FD3"/>
    <w:rsid w:val="00FB5B5D"/>
    <w:rsid w:val="00FB69B7"/>
    <w:rsid w:val="00FC2557"/>
    <w:rsid w:val="00FC4408"/>
    <w:rsid w:val="00FC6705"/>
    <w:rsid w:val="00FC79AB"/>
    <w:rsid w:val="00FD09DB"/>
    <w:rsid w:val="00FD0A74"/>
    <w:rsid w:val="00FD6CA9"/>
    <w:rsid w:val="00FF0738"/>
    <w:rsid w:val="00FF1FA2"/>
    <w:rsid w:val="00FF33D4"/>
    <w:rsid w:val="00FF378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56A1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OWY0">
    <w:name w:val="@STANDARDOWY"/>
    <w:basedOn w:val="Normalny"/>
    <w:uiPriority w:val="99"/>
    <w:rsid w:val="00D56A17"/>
    <w:pPr>
      <w:tabs>
        <w:tab w:val="left" w:pos="567"/>
      </w:tabs>
      <w:spacing w:line="360" w:lineRule="auto"/>
      <w:ind w:firstLine="397"/>
      <w:jc w:val="both"/>
    </w:pPr>
    <w:rPr>
      <w:sz w:val="28"/>
    </w:rPr>
  </w:style>
  <w:style w:type="paragraph" w:styleId="Tytu">
    <w:name w:val="Title"/>
    <w:basedOn w:val="Normalny"/>
    <w:link w:val="TytuZnak"/>
    <w:uiPriority w:val="99"/>
    <w:qFormat/>
    <w:rsid w:val="00D56A17"/>
    <w:pPr>
      <w:spacing w:line="360" w:lineRule="auto"/>
      <w:jc w:val="center"/>
    </w:pPr>
    <w:rPr>
      <w:b/>
      <w:bCs/>
    </w:rPr>
  </w:style>
  <w:style w:type="character" w:customStyle="1" w:styleId="TytuZnak">
    <w:name w:val="Tytuł Znak"/>
    <w:basedOn w:val="Domylnaczcionkaakapitu"/>
    <w:link w:val="Tytu"/>
    <w:uiPriority w:val="99"/>
    <w:locked/>
    <w:rsid w:val="005B30ED"/>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D56A17"/>
    <w:pPr>
      <w:spacing w:after="120" w:line="276" w:lineRule="auto"/>
      <w:ind w:left="283"/>
    </w:pPr>
    <w:rPr>
      <w:rFonts w:ascii="Calibri" w:hAnsi="Calibri"/>
      <w:sz w:val="22"/>
      <w:szCs w:val="22"/>
      <w:lang w:eastAsia="en-US"/>
    </w:rPr>
  </w:style>
  <w:style w:type="character" w:customStyle="1" w:styleId="TekstpodstawowywcityZnak">
    <w:name w:val="Tekst podstawowy wcięty Znak"/>
    <w:basedOn w:val="Domylnaczcionkaakapitu"/>
    <w:link w:val="Tekstpodstawowywcity"/>
    <w:uiPriority w:val="99"/>
    <w:semiHidden/>
    <w:locked/>
    <w:rsid w:val="005B30ED"/>
    <w:rPr>
      <w:rFonts w:cs="Times New Roman"/>
      <w:sz w:val="24"/>
      <w:szCs w:val="24"/>
    </w:rPr>
  </w:style>
  <w:style w:type="paragraph" w:styleId="Tekstpodstawowy">
    <w:name w:val="Body Text"/>
    <w:aliases w:val="pomniejszony,Tekst wcięty 2 st,Tekst wci,b,ęty 2 st,bt,szaro,b1,Tekst podstawowy Znak Znak Znak Znak Znak Znak Znak Znak"/>
    <w:basedOn w:val="Normalny"/>
    <w:link w:val="TekstpodstawowyZnak"/>
    <w:uiPriority w:val="99"/>
    <w:rsid w:val="00D56A17"/>
    <w:pPr>
      <w:autoSpaceDE w:val="0"/>
      <w:autoSpaceDN w:val="0"/>
      <w:jc w:val="center"/>
    </w:pPr>
  </w:style>
  <w:style w:type="character" w:customStyle="1" w:styleId="TekstpodstawowyZnak">
    <w:name w:val="Tekst podstawowy Znak"/>
    <w:aliases w:val="pomniejszony Znak,Tekst wcięty 2 st Znak,Tekst wci Znak,b Znak,ęty 2 st Znak,bt Znak,szaro Znak,b1 Znak,Tekst podstawowy Znak Znak Znak Znak Znak Znak Znak Znak Znak"/>
    <w:basedOn w:val="Domylnaczcionkaakapitu"/>
    <w:link w:val="Tekstpodstawowy"/>
    <w:uiPriority w:val="99"/>
    <w:semiHidden/>
    <w:locked/>
    <w:rsid w:val="005B30ED"/>
    <w:rPr>
      <w:rFonts w:cs="Times New Roman"/>
      <w:sz w:val="24"/>
      <w:szCs w:val="24"/>
    </w:rPr>
  </w:style>
  <w:style w:type="paragraph" w:styleId="Tekstpodstawowywcity3">
    <w:name w:val="Body Text Indent 3"/>
    <w:basedOn w:val="Normalny"/>
    <w:link w:val="Tekstpodstawowywcity3Znak1"/>
    <w:uiPriority w:val="99"/>
    <w:rsid w:val="00D56A17"/>
    <w:pPr>
      <w:spacing w:after="120" w:line="276" w:lineRule="auto"/>
      <w:ind w:left="283"/>
    </w:pPr>
    <w:rPr>
      <w:rFonts w:ascii="Calibri" w:hAnsi="Calibri"/>
      <w:sz w:val="16"/>
      <w:szCs w:val="16"/>
      <w:lang w:eastAsia="en-US"/>
    </w:rPr>
  </w:style>
  <w:style w:type="character" w:customStyle="1" w:styleId="Tekstpodstawowywcity3Znak1">
    <w:name w:val="Tekst podstawowy wcięty 3 Znak1"/>
    <w:basedOn w:val="Domylnaczcionkaakapitu"/>
    <w:link w:val="Tekstpodstawowywcity3"/>
    <w:uiPriority w:val="99"/>
    <w:semiHidden/>
    <w:locked/>
    <w:rsid w:val="005B30ED"/>
    <w:rPr>
      <w:rFonts w:cs="Times New Roman"/>
      <w:sz w:val="16"/>
      <w:szCs w:val="16"/>
    </w:rPr>
  </w:style>
  <w:style w:type="character" w:customStyle="1" w:styleId="Tekstpodstawowywcity3Znak">
    <w:name w:val="Tekst podstawowy wcięty 3 Znak"/>
    <w:basedOn w:val="Domylnaczcionkaakapitu"/>
    <w:uiPriority w:val="99"/>
    <w:rsid w:val="00D56A17"/>
    <w:rPr>
      <w:rFonts w:ascii="Calibri" w:hAnsi="Calibri" w:cs="Times New Roman"/>
      <w:sz w:val="16"/>
      <w:szCs w:val="16"/>
      <w:lang w:eastAsia="en-US"/>
    </w:rPr>
  </w:style>
  <w:style w:type="paragraph" w:styleId="Nagwek">
    <w:name w:val="header"/>
    <w:basedOn w:val="Normalny"/>
    <w:link w:val="NagwekZnak1"/>
    <w:uiPriority w:val="99"/>
    <w:rsid w:val="00D56A17"/>
    <w:pPr>
      <w:tabs>
        <w:tab w:val="center" w:pos="4536"/>
        <w:tab w:val="right" w:pos="9072"/>
      </w:tabs>
    </w:pPr>
  </w:style>
  <w:style w:type="character" w:customStyle="1" w:styleId="NagwekZnak1">
    <w:name w:val="Nagłówek Znak1"/>
    <w:basedOn w:val="Domylnaczcionkaakapitu"/>
    <w:link w:val="Nagwek"/>
    <w:uiPriority w:val="99"/>
    <w:semiHidden/>
    <w:locked/>
    <w:rsid w:val="005B30ED"/>
    <w:rPr>
      <w:rFonts w:cs="Times New Roman"/>
      <w:sz w:val="24"/>
      <w:szCs w:val="24"/>
    </w:rPr>
  </w:style>
  <w:style w:type="character" w:customStyle="1" w:styleId="NagwekZnak">
    <w:name w:val="Nagłówek Znak"/>
    <w:basedOn w:val="Domylnaczcionkaakapitu"/>
    <w:uiPriority w:val="99"/>
    <w:semiHidden/>
    <w:rsid w:val="00D56A17"/>
    <w:rPr>
      <w:rFonts w:cs="Times New Roman"/>
      <w:sz w:val="24"/>
      <w:szCs w:val="24"/>
    </w:rPr>
  </w:style>
  <w:style w:type="paragraph" w:styleId="Stopka">
    <w:name w:val="footer"/>
    <w:basedOn w:val="Normalny"/>
    <w:link w:val="StopkaZnak1"/>
    <w:uiPriority w:val="99"/>
    <w:rsid w:val="00D56A17"/>
    <w:pPr>
      <w:tabs>
        <w:tab w:val="center" w:pos="4536"/>
        <w:tab w:val="right" w:pos="9072"/>
      </w:tabs>
    </w:pPr>
  </w:style>
  <w:style w:type="character" w:customStyle="1" w:styleId="StopkaZnak1">
    <w:name w:val="Stopka Znak1"/>
    <w:basedOn w:val="Domylnaczcionkaakapitu"/>
    <w:link w:val="Stopka"/>
    <w:uiPriority w:val="99"/>
    <w:semiHidden/>
    <w:locked/>
    <w:rsid w:val="005B30ED"/>
    <w:rPr>
      <w:rFonts w:cs="Times New Roman"/>
      <w:sz w:val="24"/>
      <w:szCs w:val="24"/>
    </w:rPr>
  </w:style>
  <w:style w:type="character" w:customStyle="1" w:styleId="StopkaZnak">
    <w:name w:val="Stopka Znak"/>
    <w:basedOn w:val="Domylnaczcionkaakapitu"/>
    <w:uiPriority w:val="99"/>
    <w:rsid w:val="00D56A17"/>
    <w:rPr>
      <w:rFonts w:cs="Times New Roman"/>
      <w:sz w:val="24"/>
      <w:szCs w:val="24"/>
    </w:rPr>
  </w:style>
  <w:style w:type="paragraph" w:styleId="NormalnyWeb">
    <w:name w:val="Normal (Web)"/>
    <w:basedOn w:val="Normalny"/>
    <w:uiPriority w:val="99"/>
    <w:rsid w:val="00D56A17"/>
    <w:pPr>
      <w:spacing w:before="100" w:beforeAutospacing="1" w:after="100" w:afterAutospacing="1"/>
    </w:pPr>
    <w:rPr>
      <w:color w:val="000000"/>
    </w:rPr>
  </w:style>
  <w:style w:type="character" w:styleId="Odwoaniedokomentarza">
    <w:name w:val="annotation reference"/>
    <w:basedOn w:val="Domylnaczcionkaakapitu"/>
    <w:uiPriority w:val="99"/>
    <w:semiHidden/>
    <w:rsid w:val="00D56A17"/>
    <w:rPr>
      <w:rFonts w:cs="Times New Roman"/>
      <w:sz w:val="16"/>
      <w:szCs w:val="16"/>
    </w:rPr>
  </w:style>
  <w:style w:type="paragraph" w:styleId="Tekstkomentarza">
    <w:name w:val="annotation text"/>
    <w:basedOn w:val="Normalny"/>
    <w:link w:val="TekstkomentarzaZnak1"/>
    <w:uiPriority w:val="99"/>
    <w:semiHidden/>
    <w:rsid w:val="00D56A17"/>
    <w:rPr>
      <w:sz w:val="20"/>
      <w:szCs w:val="20"/>
    </w:rPr>
  </w:style>
  <w:style w:type="character" w:customStyle="1" w:styleId="TekstkomentarzaZnak1">
    <w:name w:val="Tekst komentarza Znak1"/>
    <w:basedOn w:val="Domylnaczcionkaakapitu"/>
    <w:link w:val="Tekstkomentarza"/>
    <w:uiPriority w:val="99"/>
    <w:semiHidden/>
    <w:locked/>
    <w:rsid w:val="005B30ED"/>
    <w:rPr>
      <w:rFonts w:cs="Times New Roman"/>
    </w:rPr>
  </w:style>
  <w:style w:type="character" w:customStyle="1" w:styleId="TekstkomentarzaZnak">
    <w:name w:val="Tekst komentarza Znak"/>
    <w:basedOn w:val="Domylnaczcionkaakapitu"/>
    <w:uiPriority w:val="99"/>
    <w:semiHidden/>
    <w:rsid w:val="00D56A17"/>
    <w:rPr>
      <w:rFonts w:cs="Times New Roman"/>
    </w:rPr>
  </w:style>
  <w:style w:type="paragraph" w:styleId="Tematkomentarza">
    <w:name w:val="annotation subject"/>
    <w:basedOn w:val="Tekstkomentarza"/>
    <w:next w:val="Tekstkomentarza"/>
    <w:link w:val="TematkomentarzaZnak1"/>
    <w:uiPriority w:val="99"/>
    <w:semiHidden/>
    <w:rsid w:val="00D56A17"/>
    <w:rPr>
      <w:b/>
      <w:bCs/>
    </w:rPr>
  </w:style>
  <w:style w:type="character" w:customStyle="1" w:styleId="TematkomentarzaZnak1">
    <w:name w:val="Temat komentarza Znak1"/>
    <w:basedOn w:val="TekstkomentarzaZnak1"/>
    <w:link w:val="Tematkomentarza"/>
    <w:uiPriority w:val="99"/>
    <w:semiHidden/>
    <w:locked/>
    <w:rsid w:val="005B30ED"/>
    <w:rPr>
      <w:rFonts w:cs="Times New Roman"/>
      <w:b/>
      <w:bCs/>
    </w:rPr>
  </w:style>
  <w:style w:type="character" w:customStyle="1" w:styleId="TematkomentarzaZnak">
    <w:name w:val="Temat komentarza Znak"/>
    <w:basedOn w:val="TekstkomentarzaZnak"/>
    <w:uiPriority w:val="99"/>
    <w:semiHidden/>
    <w:rsid w:val="00D56A17"/>
    <w:rPr>
      <w:rFonts w:cs="Times New Roman"/>
      <w:b/>
      <w:bCs/>
    </w:rPr>
  </w:style>
  <w:style w:type="paragraph" w:styleId="Tekstdymka">
    <w:name w:val="Balloon Text"/>
    <w:basedOn w:val="Normalny"/>
    <w:link w:val="TekstdymkaZnak1"/>
    <w:uiPriority w:val="99"/>
    <w:semiHidden/>
    <w:rsid w:val="00D56A17"/>
    <w:rPr>
      <w:rFonts w:ascii="Tahoma" w:hAnsi="Tahoma" w:cs="Tahoma"/>
      <w:sz w:val="16"/>
      <w:szCs w:val="16"/>
    </w:rPr>
  </w:style>
  <w:style w:type="character" w:customStyle="1" w:styleId="TekstdymkaZnak1">
    <w:name w:val="Tekst dymka Znak1"/>
    <w:basedOn w:val="Domylnaczcionkaakapitu"/>
    <w:link w:val="Tekstdymka"/>
    <w:uiPriority w:val="99"/>
    <w:semiHidden/>
    <w:locked/>
    <w:rsid w:val="005B30ED"/>
    <w:rPr>
      <w:rFonts w:cs="Times New Roman"/>
      <w:sz w:val="2"/>
    </w:rPr>
  </w:style>
  <w:style w:type="character" w:customStyle="1" w:styleId="TekstdymkaZnak">
    <w:name w:val="Tekst dymka Znak"/>
    <w:basedOn w:val="Domylnaczcionkaakapitu"/>
    <w:uiPriority w:val="99"/>
    <w:semiHidden/>
    <w:rsid w:val="00D56A17"/>
    <w:rPr>
      <w:rFonts w:ascii="Tahoma" w:hAnsi="Tahoma" w:cs="Tahoma"/>
      <w:sz w:val="16"/>
      <w:szCs w:val="16"/>
    </w:rPr>
  </w:style>
  <w:style w:type="paragraph" w:styleId="Akapitzlist">
    <w:name w:val="List Paragraph"/>
    <w:basedOn w:val="Normalny"/>
    <w:qFormat/>
    <w:rsid w:val="00D56A17"/>
    <w:pPr>
      <w:ind w:left="720"/>
      <w:contextualSpacing/>
    </w:pPr>
    <w:rPr>
      <w:sz w:val="20"/>
      <w:szCs w:val="20"/>
    </w:rPr>
  </w:style>
  <w:style w:type="character" w:styleId="Numerstrony">
    <w:name w:val="page number"/>
    <w:basedOn w:val="Domylnaczcionkaakapitu"/>
    <w:uiPriority w:val="99"/>
    <w:rsid w:val="004D3536"/>
    <w:rPr>
      <w:rFonts w:cs="Times New Roman"/>
    </w:rPr>
  </w:style>
  <w:style w:type="paragraph" w:customStyle="1" w:styleId="Default">
    <w:name w:val="Default"/>
    <w:uiPriority w:val="99"/>
    <w:rsid w:val="00F936DA"/>
    <w:pPr>
      <w:autoSpaceDE w:val="0"/>
      <w:autoSpaceDN w:val="0"/>
      <w:adjustRightInd w:val="0"/>
    </w:pPr>
    <w:rPr>
      <w:color w:val="000000"/>
      <w:sz w:val="24"/>
      <w:szCs w:val="24"/>
    </w:rPr>
  </w:style>
  <w:style w:type="paragraph" w:customStyle="1" w:styleId="USTustnpkodeksu">
    <w:name w:val="UST(§) – ust. (§ np. kodeksu)"/>
    <w:basedOn w:val="Normalny"/>
    <w:uiPriority w:val="99"/>
    <w:rsid w:val="00C015FF"/>
    <w:pPr>
      <w:suppressAutoHyphens/>
      <w:autoSpaceDE w:val="0"/>
      <w:autoSpaceDN w:val="0"/>
      <w:adjustRightInd w:val="0"/>
      <w:spacing w:line="360" w:lineRule="auto"/>
      <w:ind w:firstLine="510"/>
      <w:jc w:val="both"/>
    </w:pPr>
    <w:rPr>
      <w:rFonts w:ascii="Times" w:hAnsi="Times" w:cs="Arial"/>
      <w:bCs/>
      <w:szCs w:val="20"/>
    </w:rPr>
  </w:style>
  <w:style w:type="paragraph" w:styleId="Tekstprzypisudolnego">
    <w:name w:val="footnote text"/>
    <w:basedOn w:val="Normalny"/>
    <w:link w:val="TekstprzypisudolnegoZnak"/>
    <w:uiPriority w:val="99"/>
    <w:semiHidden/>
    <w:rsid w:val="00FD6CA9"/>
    <w:rPr>
      <w:sz w:val="20"/>
      <w:szCs w:val="20"/>
    </w:rPr>
  </w:style>
  <w:style w:type="character" w:customStyle="1" w:styleId="TekstprzypisudolnegoZnak">
    <w:name w:val="Tekst przypisu dolnego Znak"/>
    <w:basedOn w:val="Domylnaczcionkaakapitu"/>
    <w:link w:val="Tekstprzypisudolnego"/>
    <w:uiPriority w:val="99"/>
    <w:semiHidden/>
    <w:locked/>
    <w:rsid w:val="00FD6CA9"/>
    <w:rPr>
      <w:rFonts w:cs="Times New Roman"/>
    </w:rPr>
  </w:style>
  <w:style w:type="character" w:styleId="Odwoanieprzypisudolnego">
    <w:name w:val="footnote reference"/>
    <w:basedOn w:val="Domylnaczcionkaakapitu"/>
    <w:uiPriority w:val="99"/>
    <w:semiHidden/>
    <w:rsid w:val="00FD6CA9"/>
    <w:rPr>
      <w:rFonts w:cs="Times New Roman"/>
      <w:vertAlign w:val="superscript"/>
    </w:rPr>
  </w:style>
  <w:style w:type="character" w:styleId="Pogrubienie">
    <w:name w:val="Strong"/>
    <w:basedOn w:val="Domylnaczcionkaakapitu"/>
    <w:uiPriority w:val="99"/>
    <w:qFormat/>
    <w:rsid w:val="001D64F1"/>
    <w:rPr>
      <w:rFonts w:cs="Times New Roman"/>
      <w:b/>
      <w:bCs/>
    </w:rPr>
  </w:style>
  <w:style w:type="table" w:styleId="Tabela-Siatka">
    <w:name w:val="Table Grid"/>
    <w:basedOn w:val="Standardowy"/>
    <w:uiPriority w:val="59"/>
    <w:rsid w:val="001D64F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8C75A1"/>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56A1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OWY0">
    <w:name w:val="@STANDARDOWY"/>
    <w:basedOn w:val="Normalny"/>
    <w:uiPriority w:val="99"/>
    <w:rsid w:val="00D56A17"/>
    <w:pPr>
      <w:tabs>
        <w:tab w:val="left" w:pos="567"/>
      </w:tabs>
      <w:spacing w:line="360" w:lineRule="auto"/>
      <w:ind w:firstLine="397"/>
      <w:jc w:val="both"/>
    </w:pPr>
    <w:rPr>
      <w:sz w:val="28"/>
    </w:rPr>
  </w:style>
  <w:style w:type="paragraph" w:styleId="Tytu">
    <w:name w:val="Title"/>
    <w:basedOn w:val="Normalny"/>
    <w:link w:val="TytuZnak"/>
    <w:uiPriority w:val="99"/>
    <w:qFormat/>
    <w:rsid w:val="00D56A17"/>
    <w:pPr>
      <w:spacing w:line="360" w:lineRule="auto"/>
      <w:jc w:val="center"/>
    </w:pPr>
    <w:rPr>
      <w:b/>
      <w:bCs/>
    </w:rPr>
  </w:style>
  <w:style w:type="character" w:customStyle="1" w:styleId="TytuZnak">
    <w:name w:val="Tytuł Znak"/>
    <w:basedOn w:val="Domylnaczcionkaakapitu"/>
    <w:link w:val="Tytu"/>
    <w:uiPriority w:val="99"/>
    <w:locked/>
    <w:rsid w:val="005B30ED"/>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D56A17"/>
    <w:pPr>
      <w:spacing w:after="120" w:line="276" w:lineRule="auto"/>
      <w:ind w:left="283"/>
    </w:pPr>
    <w:rPr>
      <w:rFonts w:ascii="Calibri" w:hAnsi="Calibri"/>
      <w:sz w:val="22"/>
      <w:szCs w:val="22"/>
      <w:lang w:eastAsia="en-US"/>
    </w:rPr>
  </w:style>
  <w:style w:type="character" w:customStyle="1" w:styleId="TekstpodstawowywcityZnak">
    <w:name w:val="Tekst podstawowy wcięty Znak"/>
    <w:basedOn w:val="Domylnaczcionkaakapitu"/>
    <w:link w:val="Tekstpodstawowywcity"/>
    <w:uiPriority w:val="99"/>
    <w:semiHidden/>
    <w:locked/>
    <w:rsid w:val="005B30ED"/>
    <w:rPr>
      <w:rFonts w:cs="Times New Roman"/>
      <w:sz w:val="24"/>
      <w:szCs w:val="24"/>
    </w:rPr>
  </w:style>
  <w:style w:type="paragraph" w:styleId="Tekstpodstawowy">
    <w:name w:val="Body Text"/>
    <w:aliases w:val="pomniejszony,Tekst wcięty 2 st,Tekst wci,b,ęty 2 st,bt,szaro,b1,Tekst podstawowy Znak Znak Znak Znak Znak Znak Znak Znak"/>
    <w:basedOn w:val="Normalny"/>
    <w:link w:val="TekstpodstawowyZnak"/>
    <w:uiPriority w:val="99"/>
    <w:rsid w:val="00D56A17"/>
    <w:pPr>
      <w:autoSpaceDE w:val="0"/>
      <w:autoSpaceDN w:val="0"/>
      <w:jc w:val="center"/>
    </w:pPr>
  </w:style>
  <w:style w:type="character" w:customStyle="1" w:styleId="TekstpodstawowyZnak">
    <w:name w:val="Tekst podstawowy Znak"/>
    <w:aliases w:val="pomniejszony Znak,Tekst wcięty 2 st Znak,Tekst wci Znak,b Znak,ęty 2 st Znak,bt Znak,szaro Znak,b1 Znak,Tekst podstawowy Znak Znak Znak Znak Znak Znak Znak Znak Znak"/>
    <w:basedOn w:val="Domylnaczcionkaakapitu"/>
    <w:link w:val="Tekstpodstawowy"/>
    <w:uiPriority w:val="99"/>
    <w:semiHidden/>
    <w:locked/>
    <w:rsid w:val="005B30ED"/>
    <w:rPr>
      <w:rFonts w:cs="Times New Roman"/>
      <w:sz w:val="24"/>
      <w:szCs w:val="24"/>
    </w:rPr>
  </w:style>
  <w:style w:type="paragraph" w:styleId="Tekstpodstawowywcity3">
    <w:name w:val="Body Text Indent 3"/>
    <w:basedOn w:val="Normalny"/>
    <w:link w:val="Tekstpodstawowywcity3Znak1"/>
    <w:uiPriority w:val="99"/>
    <w:rsid w:val="00D56A17"/>
    <w:pPr>
      <w:spacing w:after="120" w:line="276" w:lineRule="auto"/>
      <w:ind w:left="283"/>
    </w:pPr>
    <w:rPr>
      <w:rFonts w:ascii="Calibri" w:hAnsi="Calibri"/>
      <w:sz w:val="16"/>
      <w:szCs w:val="16"/>
      <w:lang w:eastAsia="en-US"/>
    </w:rPr>
  </w:style>
  <w:style w:type="character" w:customStyle="1" w:styleId="Tekstpodstawowywcity3Znak1">
    <w:name w:val="Tekst podstawowy wcięty 3 Znak1"/>
    <w:basedOn w:val="Domylnaczcionkaakapitu"/>
    <w:link w:val="Tekstpodstawowywcity3"/>
    <w:uiPriority w:val="99"/>
    <w:semiHidden/>
    <w:locked/>
    <w:rsid w:val="005B30ED"/>
    <w:rPr>
      <w:rFonts w:cs="Times New Roman"/>
      <w:sz w:val="16"/>
      <w:szCs w:val="16"/>
    </w:rPr>
  </w:style>
  <w:style w:type="character" w:customStyle="1" w:styleId="Tekstpodstawowywcity3Znak">
    <w:name w:val="Tekst podstawowy wcięty 3 Znak"/>
    <w:basedOn w:val="Domylnaczcionkaakapitu"/>
    <w:uiPriority w:val="99"/>
    <w:rsid w:val="00D56A17"/>
    <w:rPr>
      <w:rFonts w:ascii="Calibri" w:hAnsi="Calibri" w:cs="Times New Roman"/>
      <w:sz w:val="16"/>
      <w:szCs w:val="16"/>
      <w:lang w:eastAsia="en-US"/>
    </w:rPr>
  </w:style>
  <w:style w:type="paragraph" w:styleId="Nagwek">
    <w:name w:val="header"/>
    <w:basedOn w:val="Normalny"/>
    <w:link w:val="NagwekZnak1"/>
    <w:uiPriority w:val="99"/>
    <w:rsid w:val="00D56A17"/>
    <w:pPr>
      <w:tabs>
        <w:tab w:val="center" w:pos="4536"/>
        <w:tab w:val="right" w:pos="9072"/>
      </w:tabs>
    </w:pPr>
  </w:style>
  <w:style w:type="character" w:customStyle="1" w:styleId="NagwekZnak1">
    <w:name w:val="Nagłówek Znak1"/>
    <w:basedOn w:val="Domylnaczcionkaakapitu"/>
    <w:link w:val="Nagwek"/>
    <w:uiPriority w:val="99"/>
    <w:semiHidden/>
    <w:locked/>
    <w:rsid w:val="005B30ED"/>
    <w:rPr>
      <w:rFonts w:cs="Times New Roman"/>
      <w:sz w:val="24"/>
      <w:szCs w:val="24"/>
    </w:rPr>
  </w:style>
  <w:style w:type="character" w:customStyle="1" w:styleId="NagwekZnak">
    <w:name w:val="Nagłówek Znak"/>
    <w:basedOn w:val="Domylnaczcionkaakapitu"/>
    <w:uiPriority w:val="99"/>
    <w:semiHidden/>
    <w:rsid w:val="00D56A17"/>
    <w:rPr>
      <w:rFonts w:cs="Times New Roman"/>
      <w:sz w:val="24"/>
      <w:szCs w:val="24"/>
    </w:rPr>
  </w:style>
  <w:style w:type="paragraph" w:styleId="Stopka">
    <w:name w:val="footer"/>
    <w:basedOn w:val="Normalny"/>
    <w:link w:val="StopkaZnak1"/>
    <w:uiPriority w:val="99"/>
    <w:rsid w:val="00D56A17"/>
    <w:pPr>
      <w:tabs>
        <w:tab w:val="center" w:pos="4536"/>
        <w:tab w:val="right" w:pos="9072"/>
      </w:tabs>
    </w:pPr>
  </w:style>
  <w:style w:type="character" w:customStyle="1" w:styleId="StopkaZnak1">
    <w:name w:val="Stopka Znak1"/>
    <w:basedOn w:val="Domylnaczcionkaakapitu"/>
    <w:link w:val="Stopka"/>
    <w:uiPriority w:val="99"/>
    <w:semiHidden/>
    <w:locked/>
    <w:rsid w:val="005B30ED"/>
    <w:rPr>
      <w:rFonts w:cs="Times New Roman"/>
      <w:sz w:val="24"/>
      <w:szCs w:val="24"/>
    </w:rPr>
  </w:style>
  <w:style w:type="character" w:customStyle="1" w:styleId="StopkaZnak">
    <w:name w:val="Stopka Znak"/>
    <w:basedOn w:val="Domylnaczcionkaakapitu"/>
    <w:uiPriority w:val="99"/>
    <w:rsid w:val="00D56A17"/>
    <w:rPr>
      <w:rFonts w:cs="Times New Roman"/>
      <w:sz w:val="24"/>
      <w:szCs w:val="24"/>
    </w:rPr>
  </w:style>
  <w:style w:type="paragraph" w:styleId="NormalnyWeb">
    <w:name w:val="Normal (Web)"/>
    <w:basedOn w:val="Normalny"/>
    <w:uiPriority w:val="99"/>
    <w:rsid w:val="00D56A17"/>
    <w:pPr>
      <w:spacing w:before="100" w:beforeAutospacing="1" w:after="100" w:afterAutospacing="1"/>
    </w:pPr>
    <w:rPr>
      <w:color w:val="000000"/>
    </w:rPr>
  </w:style>
  <w:style w:type="character" w:styleId="Odwoaniedokomentarza">
    <w:name w:val="annotation reference"/>
    <w:basedOn w:val="Domylnaczcionkaakapitu"/>
    <w:uiPriority w:val="99"/>
    <w:semiHidden/>
    <w:rsid w:val="00D56A17"/>
    <w:rPr>
      <w:rFonts w:cs="Times New Roman"/>
      <w:sz w:val="16"/>
      <w:szCs w:val="16"/>
    </w:rPr>
  </w:style>
  <w:style w:type="paragraph" w:styleId="Tekstkomentarza">
    <w:name w:val="annotation text"/>
    <w:basedOn w:val="Normalny"/>
    <w:link w:val="TekstkomentarzaZnak1"/>
    <w:uiPriority w:val="99"/>
    <w:semiHidden/>
    <w:rsid w:val="00D56A17"/>
    <w:rPr>
      <w:sz w:val="20"/>
      <w:szCs w:val="20"/>
    </w:rPr>
  </w:style>
  <w:style w:type="character" w:customStyle="1" w:styleId="TekstkomentarzaZnak1">
    <w:name w:val="Tekst komentarza Znak1"/>
    <w:basedOn w:val="Domylnaczcionkaakapitu"/>
    <w:link w:val="Tekstkomentarza"/>
    <w:uiPriority w:val="99"/>
    <w:semiHidden/>
    <w:locked/>
    <w:rsid w:val="005B30ED"/>
    <w:rPr>
      <w:rFonts w:cs="Times New Roman"/>
    </w:rPr>
  </w:style>
  <w:style w:type="character" w:customStyle="1" w:styleId="TekstkomentarzaZnak">
    <w:name w:val="Tekst komentarza Znak"/>
    <w:basedOn w:val="Domylnaczcionkaakapitu"/>
    <w:uiPriority w:val="99"/>
    <w:semiHidden/>
    <w:rsid w:val="00D56A17"/>
    <w:rPr>
      <w:rFonts w:cs="Times New Roman"/>
    </w:rPr>
  </w:style>
  <w:style w:type="paragraph" w:styleId="Tematkomentarza">
    <w:name w:val="annotation subject"/>
    <w:basedOn w:val="Tekstkomentarza"/>
    <w:next w:val="Tekstkomentarza"/>
    <w:link w:val="TematkomentarzaZnak1"/>
    <w:uiPriority w:val="99"/>
    <w:semiHidden/>
    <w:rsid w:val="00D56A17"/>
    <w:rPr>
      <w:b/>
      <w:bCs/>
    </w:rPr>
  </w:style>
  <w:style w:type="character" w:customStyle="1" w:styleId="TematkomentarzaZnak1">
    <w:name w:val="Temat komentarza Znak1"/>
    <w:basedOn w:val="TekstkomentarzaZnak1"/>
    <w:link w:val="Tematkomentarza"/>
    <w:uiPriority w:val="99"/>
    <w:semiHidden/>
    <w:locked/>
    <w:rsid w:val="005B30ED"/>
    <w:rPr>
      <w:rFonts w:cs="Times New Roman"/>
      <w:b/>
      <w:bCs/>
    </w:rPr>
  </w:style>
  <w:style w:type="character" w:customStyle="1" w:styleId="TematkomentarzaZnak">
    <w:name w:val="Temat komentarza Znak"/>
    <w:basedOn w:val="TekstkomentarzaZnak"/>
    <w:uiPriority w:val="99"/>
    <w:semiHidden/>
    <w:rsid w:val="00D56A17"/>
    <w:rPr>
      <w:rFonts w:cs="Times New Roman"/>
      <w:b/>
      <w:bCs/>
    </w:rPr>
  </w:style>
  <w:style w:type="paragraph" w:styleId="Tekstdymka">
    <w:name w:val="Balloon Text"/>
    <w:basedOn w:val="Normalny"/>
    <w:link w:val="TekstdymkaZnak1"/>
    <w:uiPriority w:val="99"/>
    <w:semiHidden/>
    <w:rsid w:val="00D56A17"/>
    <w:rPr>
      <w:rFonts w:ascii="Tahoma" w:hAnsi="Tahoma" w:cs="Tahoma"/>
      <w:sz w:val="16"/>
      <w:szCs w:val="16"/>
    </w:rPr>
  </w:style>
  <w:style w:type="character" w:customStyle="1" w:styleId="TekstdymkaZnak1">
    <w:name w:val="Tekst dymka Znak1"/>
    <w:basedOn w:val="Domylnaczcionkaakapitu"/>
    <w:link w:val="Tekstdymka"/>
    <w:uiPriority w:val="99"/>
    <w:semiHidden/>
    <w:locked/>
    <w:rsid w:val="005B30ED"/>
    <w:rPr>
      <w:rFonts w:cs="Times New Roman"/>
      <w:sz w:val="2"/>
    </w:rPr>
  </w:style>
  <w:style w:type="character" w:customStyle="1" w:styleId="TekstdymkaZnak">
    <w:name w:val="Tekst dymka Znak"/>
    <w:basedOn w:val="Domylnaczcionkaakapitu"/>
    <w:uiPriority w:val="99"/>
    <w:semiHidden/>
    <w:rsid w:val="00D56A17"/>
    <w:rPr>
      <w:rFonts w:ascii="Tahoma" w:hAnsi="Tahoma" w:cs="Tahoma"/>
      <w:sz w:val="16"/>
      <w:szCs w:val="16"/>
    </w:rPr>
  </w:style>
  <w:style w:type="paragraph" w:styleId="Akapitzlist">
    <w:name w:val="List Paragraph"/>
    <w:basedOn w:val="Normalny"/>
    <w:qFormat/>
    <w:rsid w:val="00D56A17"/>
    <w:pPr>
      <w:ind w:left="720"/>
      <w:contextualSpacing/>
    </w:pPr>
    <w:rPr>
      <w:sz w:val="20"/>
      <w:szCs w:val="20"/>
    </w:rPr>
  </w:style>
  <w:style w:type="character" w:styleId="Numerstrony">
    <w:name w:val="page number"/>
    <w:basedOn w:val="Domylnaczcionkaakapitu"/>
    <w:uiPriority w:val="99"/>
    <w:rsid w:val="004D3536"/>
    <w:rPr>
      <w:rFonts w:cs="Times New Roman"/>
    </w:rPr>
  </w:style>
  <w:style w:type="paragraph" w:customStyle="1" w:styleId="Default">
    <w:name w:val="Default"/>
    <w:uiPriority w:val="99"/>
    <w:rsid w:val="00F936DA"/>
    <w:pPr>
      <w:autoSpaceDE w:val="0"/>
      <w:autoSpaceDN w:val="0"/>
      <w:adjustRightInd w:val="0"/>
    </w:pPr>
    <w:rPr>
      <w:color w:val="000000"/>
      <w:sz w:val="24"/>
      <w:szCs w:val="24"/>
    </w:rPr>
  </w:style>
  <w:style w:type="paragraph" w:customStyle="1" w:styleId="USTustnpkodeksu">
    <w:name w:val="UST(§) – ust. (§ np. kodeksu)"/>
    <w:basedOn w:val="Normalny"/>
    <w:uiPriority w:val="99"/>
    <w:rsid w:val="00C015FF"/>
    <w:pPr>
      <w:suppressAutoHyphens/>
      <w:autoSpaceDE w:val="0"/>
      <w:autoSpaceDN w:val="0"/>
      <w:adjustRightInd w:val="0"/>
      <w:spacing w:line="360" w:lineRule="auto"/>
      <w:ind w:firstLine="510"/>
      <w:jc w:val="both"/>
    </w:pPr>
    <w:rPr>
      <w:rFonts w:ascii="Times" w:hAnsi="Times" w:cs="Arial"/>
      <w:bCs/>
      <w:szCs w:val="20"/>
    </w:rPr>
  </w:style>
  <w:style w:type="paragraph" w:styleId="Tekstprzypisudolnego">
    <w:name w:val="footnote text"/>
    <w:basedOn w:val="Normalny"/>
    <w:link w:val="TekstprzypisudolnegoZnak"/>
    <w:uiPriority w:val="99"/>
    <w:semiHidden/>
    <w:rsid w:val="00FD6CA9"/>
    <w:rPr>
      <w:sz w:val="20"/>
      <w:szCs w:val="20"/>
    </w:rPr>
  </w:style>
  <w:style w:type="character" w:customStyle="1" w:styleId="TekstprzypisudolnegoZnak">
    <w:name w:val="Tekst przypisu dolnego Znak"/>
    <w:basedOn w:val="Domylnaczcionkaakapitu"/>
    <w:link w:val="Tekstprzypisudolnego"/>
    <w:uiPriority w:val="99"/>
    <w:semiHidden/>
    <w:locked/>
    <w:rsid w:val="00FD6CA9"/>
    <w:rPr>
      <w:rFonts w:cs="Times New Roman"/>
    </w:rPr>
  </w:style>
  <w:style w:type="character" w:styleId="Odwoanieprzypisudolnego">
    <w:name w:val="footnote reference"/>
    <w:basedOn w:val="Domylnaczcionkaakapitu"/>
    <w:uiPriority w:val="99"/>
    <w:semiHidden/>
    <w:rsid w:val="00FD6CA9"/>
    <w:rPr>
      <w:rFonts w:cs="Times New Roman"/>
      <w:vertAlign w:val="superscript"/>
    </w:rPr>
  </w:style>
  <w:style w:type="character" w:styleId="Pogrubienie">
    <w:name w:val="Strong"/>
    <w:basedOn w:val="Domylnaczcionkaakapitu"/>
    <w:uiPriority w:val="99"/>
    <w:qFormat/>
    <w:rsid w:val="001D64F1"/>
    <w:rPr>
      <w:rFonts w:cs="Times New Roman"/>
      <w:b/>
      <w:bCs/>
    </w:rPr>
  </w:style>
  <w:style w:type="table" w:styleId="Tabela-Siatka">
    <w:name w:val="Table Grid"/>
    <w:basedOn w:val="Standardowy"/>
    <w:uiPriority w:val="59"/>
    <w:rsid w:val="001D64F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8C75A1"/>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51768">
      <w:bodyDiv w:val="1"/>
      <w:marLeft w:val="0"/>
      <w:marRight w:val="0"/>
      <w:marTop w:val="0"/>
      <w:marBottom w:val="0"/>
      <w:divBdr>
        <w:top w:val="none" w:sz="0" w:space="0" w:color="auto"/>
        <w:left w:val="none" w:sz="0" w:space="0" w:color="auto"/>
        <w:bottom w:val="none" w:sz="0" w:space="0" w:color="auto"/>
        <w:right w:val="none" w:sz="0" w:space="0" w:color="auto"/>
      </w:divBdr>
    </w:div>
    <w:div w:id="12466730">
      <w:bodyDiv w:val="1"/>
      <w:marLeft w:val="0"/>
      <w:marRight w:val="0"/>
      <w:marTop w:val="0"/>
      <w:marBottom w:val="0"/>
      <w:divBdr>
        <w:top w:val="none" w:sz="0" w:space="0" w:color="auto"/>
        <w:left w:val="none" w:sz="0" w:space="0" w:color="auto"/>
        <w:bottom w:val="none" w:sz="0" w:space="0" w:color="auto"/>
        <w:right w:val="none" w:sz="0" w:space="0" w:color="auto"/>
      </w:divBdr>
    </w:div>
    <w:div w:id="74792437">
      <w:bodyDiv w:val="1"/>
      <w:marLeft w:val="0"/>
      <w:marRight w:val="0"/>
      <w:marTop w:val="0"/>
      <w:marBottom w:val="0"/>
      <w:divBdr>
        <w:top w:val="none" w:sz="0" w:space="0" w:color="auto"/>
        <w:left w:val="none" w:sz="0" w:space="0" w:color="auto"/>
        <w:bottom w:val="none" w:sz="0" w:space="0" w:color="auto"/>
        <w:right w:val="none" w:sz="0" w:space="0" w:color="auto"/>
      </w:divBdr>
    </w:div>
    <w:div w:id="489633793">
      <w:bodyDiv w:val="1"/>
      <w:marLeft w:val="0"/>
      <w:marRight w:val="0"/>
      <w:marTop w:val="0"/>
      <w:marBottom w:val="0"/>
      <w:divBdr>
        <w:top w:val="none" w:sz="0" w:space="0" w:color="auto"/>
        <w:left w:val="none" w:sz="0" w:space="0" w:color="auto"/>
        <w:bottom w:val="none" w:sz="0" w:space="0" w:color="auto"/>
        <w:right w:val="none" w:sz="0" w:space="0" w:color="auto"/>
      </w:divBdr>
    </w:div>
    <w:div w:id="505485685">
      <w:marLeft w:val="0"/>
      <w:marRight w:val="0"/>
      <w:marTop w:val="0"/>
      <w:marBottom w:val="0"/>
      <w:divBdr>
        <w:top w:val="none" w:sz="0" w:space="0" w:color="auto"/>
        <w:left w:val="none" w:sz="0" w:space="0" w:color="auto"/>
        <w:bottom w:val="none" w:sz="0" w:space="0" w:color="auto"/>
        <w:right w:val="none" w:sz="0" w:space="0" w:color="auto"/>
      </w:divBdr>
      <w:divsChild>
        <w:div w:id="505485684">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88">
      <w:marLeft w:val="0"/>
      <w:marRight w:val="0"/>
      <w:marTop w:val="0"/>
      <w:marBottom w:val="0"/>
      <w:divBdr>
        <w:top w:val="none" w:sz="0" w:space="0" w:color="auto"/>
        <w:left w:val="none" w:sz="0" w:space="0" w:color="auto"/>
        <w:bottom w:val="none" w:sz="0" w:space="0" w:color="auto"/>
        <w:right w:val="none" w:sz="0" w:space="0" w:color="auto"/>
      </w:divBdr>
      <w:divsChild>
        <w:div w:id="505485692">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93">
      <w:marLeft w:val="0"/>
      <w:marRight w:val="0"/>
      <w:marTop w:val="0"/>
      <w:marBottom w:val="0"/>
      <w:divBdr>
        <w:top w:val="none" w:sz="0" w:space="0" w:color="auto"/>
        <w:left w:val="none" w:sz="0" w:space="0" w:color="auto"/>
        <w:bottom w:val="none" w:sz="0" w:space="0" w:color="auto"/>
        <w:right w:val="none" w:sz="0" w:space="0" w:color="auto"/>
      </w:divBdr>
    </w:div>
    <w:div w:id="505485695">
      <w:marLeft w:val="0"/>
      <w:marRight w:val="0"/>
      <w:marTop w:val="0"/>
      <w:marBottom w:val="0"/>
      <w:divBdr>
        <w:top w:val="none" w:sz="0" w:space="0" w:color="auto"/>
        <w:left w:val="none" w:sz="0" w:space="0" w:color="auto"/>
        <w:bottom w:val="none" w:sz="0" w:space="0" w:color="auto"/>
        <w:right w:val="none" w:sz="0" w:space="0" w:color="auto"/>
      </w:divBdr>
      <w:divsChild>
        <w:div w:id="505485690">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96">
      <w:marLeft w:val="0"/>
      <w:marRight w:val="0"/>
      <w:marTop w:val="0"/>
      <w:marBottom w:val="0"/>
      <w:divBdr>
        <w:top w:val="none" w:sz="0" w:space="0" w:color="auto"/>
        <w:left w:val="none" w:sz="0" w:space="0" w:color="auto"/>
        <w:bottom w:val="none" w:sz="0" w:space="0" w:color="auto"/>
        <w:right w:val="none" w:sz="0" w:space="0" w:color="auto"/>
      </w:divBdr>
      <w:divsChild>
        <w:div w:id="505485686">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99">
      <w:marLeft w:val="0"/>
      <w:marRight w:val="0"/>
      <w:marTop w:val="0"/>
      <w:marBottom w:val="0"/>
      <w:divBdr>
        <w:top w:val="none" w:sz="0" w:space="0" w:color="auto"/>
        <w:left w:val="none" w:sz="0" w:space="0" w:color="auto"/>
        <w:bottom w:val="none" w:sz="0" w:space="0" w:color="auto"/>
        <w:right w:val="none" w:sz="0" w:space="0" w:color="auto"/>
      </w:divBdr>
      <w:divsChild>
        <w:div w:id="505485694">
          <w:marLeft w:val="0"/>
          <w:marRight w:val="0"/>
          <w:marTop w:val="0"/>
          <w:marBottom w:val="0"/>
          <w:divBdr>
            <w:top w:val="none" w:sz="0" w:space="0" w:color="auto"/>
            <w:left w:val="none" w:sz="0" w:space="0" w:color="auto"/>
            <w:bottom w:val="none" w:sz="0" w:space="0" w:color="auto"/>
            <w:right w:val="none" w:sz="0" w:space="0" w:color="auto"/>
          </w:divBdr>
          <w:divsChild>
            <w:div w:id="505485680">
              <w:marLeft w:val="0"/>
              <w:marRight w:val="0"/>
              <w:marTop w:val="0"/>
              <w:marBottom w:val="0"/>
              <w:divBdr>
                <w:top w:val="none" w:sz="0" w:space="0" w:color="auto"/>
                <w:left w:val="none" w:sz="0" w:space="0" w:color="auto"/>
                <w:bottom w:val="none" w:sz="0" w:space="0" w:color="auto"/>
                <w:right w:val="none" w:sz="0" w:space="0" w:color="auto"/>
              </w:divBdr>
              <w:divsChild>
                <w:div w:id="505485679">
                  <w:marLeft w:val="0"/>
                  <w:marRight w:val="0"/>
                  <w:marTop w:val="0"/>
                  <w:marBottom w:val="0"/>
                  <w:divBdr>
                    <w:top w:val="none" w:sz="0" w:space="0" w:color="auto"/>
                    <w:left w:val="none" w:sz="0" w:space="0" w:color="auto"/>
                    <w:bottom w:val="none" w:sz="0" w:space="0" w:color="auto"/>
                    <w:right w:val="none" w:sz="0" w:space="0" w:color="auto"/>
                  </w:divBdr>
                  <w:divsChild>
                    <w:div w:id="505485677">
                      <w:marLeft w:val="0"/>
                      <w:marRight w:val="0"/>
                      <w:marTop w:val="0"/>
                      <w:marBottom w:val="0"/>
                      <w:divBdr>
                        <w:top w:val="none" w:sz="0" w:space="0" w:color="auto"/>
                        <w:left w:val="none" w:sz="0" w:space="0" w:color="auto"/>
                        <w:bottom w:val="none" w:sz="0" w:space="0" w:color="auto"/>
                        <w:right w:val="none" w:sz="0" w:space="0" w:color="auto"/>
                      </w:divBdr>
                      <w:divsChild>
                        <w:div w:id="505485691">
                          <w:marLeft w:val="0"/>
                          <w:marRight w:val="0"/>
                          <w:marTop w:val="0"/>
                          <w:marBottom w:val="0"/>
                          <w:divBdr>
                            <w:top w:val="none" w:sz="0" w:space="0" w:color="auto"/>
                            <w:left w:val="none" w:sz="0" w:space="0" w:color="auto"/>
                            <w:bottom w:val="none" w:sz="0" w:space="0" w:color="auto"/>
                            <w:right w:val="none" w:sz="0" w:space="0" w:color="auto"/>
                          </w:divBdr>
                          <w:divsChild>
                            <w:div w:id="505485698">
                              <w:marLeft w:val="0"/>
                              <w:marRight w:val="0"/>
                              <w:marTop w:val="0"/>
                              <w:marBottom w:val="0"/>
                              <w:divBdr>
                                <w:top w:val="none" w:sz="0" w:space="0" w:color="auto"/>
                                <w:left w:val="none" w:sz="0" w:space="0" w:color="auto"/>
                                <w:bottom w:val="none" w:sz="0" w:space="0" w:color="auto"/>
                                <w:right w:val="none" w:sz="0" w:space="0" w:color="auto"/>
                              </w:divBdr>
                              <w:divsChild>
                                <w:div w:id="505485687">
                                  <w:marLeft w:val="0"/>
                                  <w:marRight w:val="0"/>
                                  <w:marTop w:val="0"/>
                                  <w:marBottom w:val="0"/>
                                  <w:divBdr>
                                    <w:top w:val="none" w:sz="0" w:space="0" w:color="auto"/>
                                    <w:left w:val="none" w:sz="0" w:space="0" w:color="auto"/>
                                    <w:bottom w:val="none" w:sz="0" w:space="0" w:color="auto"/>
                                    <w:right w:val="none" w:sz="0" w:space="0" w:color="auto"/>
                                  </w:divBdr>
                                  <w:divsChild>
                                    <w:div w:id="505485689">
                                      <w:marLeft w:val="0"/>
                                      <w:marRight w:val="0"/>
                                      <w:marTop w:val="0"/>
                                      <w:marBottom w:val="0"/>
                                      <w:divBdr>
                                        <w:top w:val="none" w:sz="0" w:space="0" w:color="auto"/>
                                        <w:left w:val="none" w:sz="0" w:space="0" w:color="auto"/>
                                        <w:bottom w:val="none" w:sz="0" w:space="0" w:color="auto"/>
                                        <w:right w:val="none" w:sz="0" w:space="0" w:color="auto"/>
                                      </w:divBdr>
                                      <w:divsChild>
                                        <w:div w:id="50548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5407560">
      <w:bodyDiv w:val="1"/>
      <w:marLeft w:val="0"/>
      <w:marRight w:val="0"/>
      <w:marTop w:val="0"/>
      <w:marBottom w:val="0"/>
      <w:divBdr>
        <w:top w:val="none" w:sz="0" w:space="0" w:color="auto"/>
        <w:left w:val="none" w:sz="0" w:space="0" w:color="auto"/>
        <w:bottom w:val="none" w:sz="0" w:space="0" w:color="auto"/>
        <w:right w:val="none" w:sz="0" w:space="0" w:color="auto"/>
      </w:divBdr>
    </w:div>
    <w:div w:id="840126190">
      <w:bodyDiv w:val="1"/>
      <w:marLeft w:val="0"/>
      <w:marRight w:val="0"/>
      <w:marTop w:val="0"/>
      <w:marBottom w:val="0"/>
      <w:divBdr>
        <w:top w:val="none" w:sz="0" w:space="0" w:color="auto"/>
        <w:left w:val="none" w:sz="0" w:space="0" w:color="auto"/>
        <w:bottom w:val="none" w:sz="0" w:space="0" w:color="auto"/>
        <w:right w:val="none" w:sz="0" w:space="0" w:color="auto"/>
      </w:divBdr>
    </w:div>
    <w:div w:id="1007437773">
      <w:bodyDiv w:val="1"/>
      <w:marLeft w:val="0"/>
      <w:marRight w:val="0"/>
      <w:marTop w:val="0"/>
      <w:marBottom w:val="0"/>
      <w:divBdr>
        <w:top w:val="none" w:sz="0" w:space="0" w:color="auto"/>
        <w:left w:val="none" w:sz="0" w:space="0" w:color="auto"/>
        <w:bottom w:val="none" w:sz="0" w:space="0" w:color="auto"/>
        <w:right w:val="none" w:sz="0" w:space="0" w:color="auto"/>
      </w:divBdr>
    </w:div>
    <w:div w:id="1105268830">
      <w:bodyDiv w:val="1"/>
      <w:marLeft w:val="0"/>
      <w:marRight w:val="0"/>
      <w:marTop w:val="0"/>
      <w:marBottom w:val="0"/>
      <w:divBdr>
        <w:top w:val="none" w:sz="0" w:space="0" w:color="auto"/>
        <w:left w:val="none" w:sz="0" w:space="0" w:color="auto"/>
        <w:bottom w:val="none" w:sz="0" w:space="0" w:color="auto"/>
        <w:right w:val="none" w:sz="0" w:space="0" w:color="auto"/>
      </w:divBdr>
    </w:div>
    <w:div w:id="1225801697">
      <w:bodyDiv w:val="1"/>
      <w:marLeft w:val="0"/>
      <w:marRight w:val="0"/>
      <w:marTop w:val="0"/>
      <w:marBottom w:val="0"/>
      <w:divBdr>
        <w:top w:val="none" w:sz="0" w:space="0" w:color="auto"/>
        <w:left w:val="none" w:sz="0" w:space="0" w:color="auto"/>
        <w:bottom w:val="none" w:sz="0" w:space="0" w:color="auto"/>
        <w:right w:val="none" w:sz="0" w:space="0" w:color="auto"/>
      </w:divBdr>
    </w:div>
    <w:div w:id="1326204105">
      <w:bodyDiv w:val="1"/>
      <w:marLeft w:val="0"/>
      <w:marRight w:val="0"/>
      <w:marTop w:val="0"/>
      <w:marBottom w:val="0"/>
      <w:divBdr>
        <w:top w:val="none" w:sz="0" w:space="0" w:color="auto"/>
        <w:left w:val="none" w:sz="0" w:space="0" w:color="auto"/>
        <w:bottom w:val="none" w:sz="0" w:space="0" w:color="auto"/>
        <w:right w:val="none" w:sz="0" w:space="0" w:color="auto"/>
      </w:divBdr>
    </w:div>
    <w:div w:id="1384986271">
      <w:bodyDiv w:val="1"/>
      <w:marLeft w:val="0"/>
      <w:marRight w:val="0"/>
      <w:marTop w:val="0"/>
      <w:marBottom w:val="0"/>
      <w:divBdr>
        <w:top w:val="none" w:sz="0" w:space="0" w:color="auto"/>
        <w:left w:val="none" w:sz="0" w:space="0" w:color="auto"/>
        <w:bottom w:val="none" w:sz="0" w:space="0" w:color="auto"/>
        <w:right w:val="none" w:sz="0" w:space="0" w:color="auto"/>
      </w:divBdr>
    </w:div>
    <w:div w:id="1592742863">
      <w:bodyDiv w:val="1"/>
      <w:marLeft w:val="0"/>
      <w:marRight w:val="0"/>
      <w:marTop w:val="0"/>
      <w:marBottom w:val="0"/>
      <w:divBdr>
        <w:top w:val="none" w:sz="0" w:space="0" w:color="auto"/>
        <w:left w:val="none" w:sz="0" w:space="0" w:color="auto"/>
        <w:bottom w:val="none" w:sz="0" w:space="0" w:color="auto"/>
        <w:right w:val="none" w:sz="0" w:space="0" w:color="auto"/>
      </w:divBdr>
    </w:div>
    <w:div w:id="165164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3BFD7-4DA1-4780-AF4F-48071FA10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11</Pages>
  <Words>3259</Words>
  <Characters>21219</Characters>
  <Application>Microsoft Office Word</Application>
  <DocSecurity>0</DocSecurity>
  <Lines>176</Lines>
  <Paragraphs>48</Paragraphs>
  <ScaleCrop>false</ScaleCrop>
  <HeadingPairs>
    <vt:vector size="2" baseType="variant">
      <vt:variant>
        <vt:lpstr>Tytuł</vt:lpstr>
      </vt:variant>
      <vt:variant>
        <vt:i4>1</vt:i4>
      </vt:variant>
    </vt:vector>
  </HeadingPairs>
  <TitlesOfParts>
    <vt:vector size="1" baseType="lpstr">
      <vt:lpstr>Uzasadnienie 28.12</vt:lpstr>
    </vt:vector>
  </TitlesOfParts>
  <Company>Microsoft</Company>
  <LinksUpToDate>false</LinksUpToDate>
  <CharactersWithSpaces>24430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 28.12</dc:title>
  <dc:creator>Eliza_Wiśniewska</dc:creator>
  <cp:lastModifiedBy>Czarnecka Grażyna</cp:lastModifiedBy>
  <cp:revision>24</cp:revision>
  <cp:lastPrinted>2018-09-11T12:39:00Z</cp:lastPrinted>
  <dcterms:created xsi:type="dcterms:W3CDTF">2018-12-10T11:22:00Z</dcterms:created>
  <dcterms:modified xsi:type="dcterms:W3CDTF">2018-12-11T12:59:00Z</dcterms:modified>
</cp:coreProperties>
</file>