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B72CF" w14:textId="7C4C3E21" w:rsidR="00F07569" w:rsidRPr="00C05C09" w:rsidRDefault="00F07569" w:rsidP="00F07569">
      <w:pPr>
        <w:jc w:val="center"/>
        <w:rPr>
          <w:rFonts w:ascii="Times New Roman" w:hAnsi="Times New Roman" w:cs="Times New Roman"/>
          <w:sz w:val="24"/>
          <w:szCs w:val="24"/>
        </w:rPr>
      </w:pPr>
      <w:r w:rsidRPr="00C05C09">
        <w:rPr>
          <w:rFonts w:ascii="Times New Roman" w:hAnsi="Times New Roman" w:cs="Times New Roman"/>
          <w:sz w:val="24"/>
          <w:szCs w:val="24"/>
        </w:rPr>
        <w:t>UZASADNIENIE</w:t>
      </w:r>
    </w:p>
    <w:p w14:paraId="3EDCECCA" w14:textId="612FB93C" w:rsidR="00903C98" w:rsidRDefault="00903C98" w:rsidP="00903C98">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Jednym z podstawowych obowiązków państwa wobec obywateli oraz przemysłu jest zapewnienie ciągłości dostaw energii elektrycznej po akceptowalnych dla nich cenach. Zmiany cen energii elektrycznej są naturalnym następstwem przyjętego modelu rynku energii elektrycznej, niemniej jednak dotychczas zmiany te oscylowały w granicach kilku procent. Ze względu na fakt, że obserwowany wzrost cen energii elektrycznej na giełdach w Europie wynosi kilkadziesiąt procent, zdecydowano się na wprowadzenie </w:t>
      </w:r>
      <w:r w:rsidR="001163F9">
        <w:rPr>
          <w:rFonts w:ascii="Times New Roman" w:hAnsi="Times New Roman" w:cs="Times New Roman"/>
          <w:sz w:val="24"/>
          <w:szCs w:val="24"/>
        </w:rPr>
        <w:t>rozwiązania nadzwyczajnego mającego na celu ochronę w 2019 roku odbiorców energii elektrycznej przed skokowym wzrostem kosztów zaopatrzenia w energię</w:t>
      </w:r>
      <w:r>
        <w:rPr>
          <w:rFonts w:ascii="Times New Roman" w:hAnsi="Times New Roman" w:cs="Times New Roman"/>
          <w:sz w:val="24"/>
          <w:szCs w:val="24"/>
        </w:rPr>
        <w:t>.</w:t>
      </w:r>
    </w:p>
    <w:p w14:paraId="4709E733" w14:textId="6D3A65C1" w:rsidR="00F8490D" w:rsidRDefault="00F07569" w:rsidP="00F849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Potrzeba wprowadzenia ustawy jest związana z</w:t>
      </w:r>
      <w:r w:rsidR="00715C7C">
        <w:rPr>
          <w:rFonts w:ascii="Times New Roman" w:hAnsi="Times New Roman" w:cs="Times New Roman"/>
          <w:sz w:val="24"/>
          <w:szCs w:val="24"/>
        </w:rPr>
        <w:t xml:space="preserve"> </w:t>
      </w:r>
      <w:r w:rsidR="004D3EE5">
        <w:rPr>
          <w:rFonts w:ascii="Times New Roman" w:hAnsi="Times New Roman" w:cs="Times New Roman"/>
          <w:sz w:val="24"/>
          <w:szCs w:val="24"/>
        </w:rPr>
        <w:t xml:space="preserve">występującymi </w:t>
      </w:r>
      <w:r w:rsidR="00715C7C">
        <w:rPr>
          <w:rFonts w:ascii="Times New Roman" w:hAnsi="Times New Roman" w:cs="Times New Roman"/>
          <w:sz w:val="24"/>
          <w:szCs w:val="24"/>
        </w:rPr>
        <w:t xml:space="preserve">w 2018 roku </w:t>
      </w:r>
      <w:r w:rsidR="004D3EE5">
        <w:rPr>
          <w:rFonts w:ascii="Times New Roman" w:hAnsi="Times New Roman" w:cs="Times New Roman"/>
          <w:sz w:val="24"/>
          <w:szCs w:val="24"/>
        </w:rPr>
        <w:t xml:space="preserve">dynamicznymi </w:t>
      </w:r>
      <w:r w:rsidR="00715C7C">
        <w:rPr>
          <w:rFonts w:ascii="Times New Roman" w:hAnsi="Times New Roman" w:cs="Times New Roman"/>
          <w:sz w:val="24"/>
          <w:szCs w:val="24"/>
        </w:rPr>
        <w:t xml:space="preserve">wzrostami cen energii elektrycznej na rynku hurtowym. </w:t>
      </w:r>
      <w:r w:rsidR="005D3FFC">
        <w:rPr>
          <w:rFonts w:ascii="Times New Roman" w:hAnsi="Times New Roman" w:cs="Times New Roman"/>
          <w:sz w:val="24"/>
          <w:szCs w:val="24"/>
        </w:rPr>
        <w:t>Wzrosty</w:t>
      </w:r>
      <w:r w:rsidR="004D3EE5">
        <w:rPr>
          <w:rFonts w:ascii="Times New Roman" w:hAnsi="Times New Roman" w:cs="Times New Roman"/>
          <w:sz w:val="24"/>
          <w:szCs w:val="24"/>
        </w:rPr>
        <w:t xml:space="preserve"> </w:t>
      </w:r>
      <w:r w:rsidR="00715C7C">
        <w:rPr>
          <w:rFonts w:ascii="Times New Roman" w:hAnsi="Times New Roman" w:cs="Times New Roman"/>
          <w:sz w:val="24"/>
          <w:szCs w:val="24"/>
        </w:rPr>
        <w:t>te są silnie związane z prowadzoną w U</w:t>
      </w:r>
      <w:r w:rsidR="005D3FFC">
        <w:rPr>
          <w:rFonts w:ascii="Times New Roman" w:hAnsi="Times New Roman" w:cs="Times New Roman"/>
          <w:sz w:val="24"/>
          <w:szCs w:val="24"/>
        </w:rPr>
        <w:t xml:space="preserve">nii </w:t>
      </w:r>
      <w:r w:rsidR="00715C7C">
        <w:rPr>
          <w:rFonts w:ascii="Times New Roman" w:hAnsi="Times New Roman" w:cs="Times New Roman"/>
          <w:sz w:val="24"/>
          <w:szCs w:val="24"/>
        </w:rPr>
        <w:t>E</w:t>
      </w:r>
      <w:r w:rsidR="005D3FFC">
        <w:rPr>
          <w:rFonts w:ascii="Times New Roman" w:hAnsi="Times New Roman" w:cs="Times New Roman"/>
          <w:sz w:val="24"/>
          <w:szCs w:val="24"/>
        </w:rPr>
        <w:t>uropejskiej</w:t>
      </w:r>
      <w:r w:rsidR="00715C7C">
        <w:rPr>
          <w:rFonts w:ascii="Times New Roman" w:hAnsi="Times New Roman" w:cs="Times New Roman"/>
          <w:sz w:val="24"/>
          <w:szCs w:val="24"/>
        </w:rPr>
        <w:t xml:space="preserve"> polityką klimatyczną. </w:t>
      </w:r>
      <w:r w:rsidR="00260331">
        <w:rPr>
          <w:rFonts w:ascii="Times New Roman" w:hAnsi="Times New Roman" w:cs="Times New Roman"/>
          <w:sz w:val="24"/>
          <w:szCs w:val="24"/>
        </w:rPr>
        <w:t xml:space="preserve">Głównym jej elementem jest </w:t>
      </w:r>
      <w:r w:rsidR="00260331" w:rsidRPr="00F07569">
        <w:rPr>
          <w:rFonts w:ascii="Times New Roman" w:hAnsi="Times New Roman" w:cs="Times New Roman"/>
          <w:sz w:val="24"/>
          <w:szCs w:val="24"/>
        </w:rPr>
        <w:t xml:space="preserve">system handlu przydziałami emisji </w:t>
      </w:r>
      <w:r w:rsidR="001163F9">
        <w:rPr>
          <w:rFonts w:ascii="Times New Roman" w:hAnsi="Times New Roman" w:cs="Times New Roman"/>
          <w:sz w:val="24"/>
          <w:szCs w:val="24"/>
        </w:rPr>
        <w:t>dwutlenku węgla</w:t>
      </w:r>
      <w:r w:rsidR="00715C7C">
        <w:rPr>
          <w:rFonts w:ascii="Times New Roman" w:hAnsi="Times New Roman" w:cs="Times New Roman"/>
          <w:sz w:val="24"/>
          <w:szCs w:val="24"/>
        </w:rPr>
        <w:t xml:space="preserve"> </w:t>
      </w:r>
      <w:r w:rsidR="001163F9">
        <w:rPr>
          <w:rFonts w:ascii="Times New Roman" w:hAnsi="Times New Roman" w:cs="Times New Roman"/>
          <w:sz w:val="24"/>
          <w:szCs w:val="24"/>
        </w:rPr>
        <w:t>wprowadzony</w:t>
      </w:r>
      <w:r w:rsidR="00260331">
        <w:rPr>
          <w:rFonts w:ascii="Times New Roman" w:hAnsi="Times New Roman" w:cs="Times New Roman"/>
          <w:sz w:val="24"/>
          <w:szCs w:val="24"/>
        </w:rPr>
        <w:t xml:space="preserve"> </w:t>
      </w:r>
      <w:r w:rsidR="00AE159B">
        <w:rPr>
          <w:rFonts w:ascii="Times New Roman" w:hAnsi="Times New Roman" w:cs="Times New Roman"/>
          <w:sz w:val="24"/>
          <w:szCs w:val="24"/>
        </w:rPr>
        <w:t xml:space="preserve">na obszarze UE </w:t>
      </w:r>
      <w:r w:rsidR="00260331">
        <w:rPr>
          <w:rFonts w:ascii="Times New Roman" w:hAnsi="Times New Roman" w:cs="Times New Roman"/>
          <w:sz w:val="24"/>
          <w:szCs w:val="24"/>
        </w:rPr>
        <w:t>dyrektywą</w:t>
      </w:r>
      <w:r w:rsidR="004D3EE5">
        <w:rPr>
          <w:rFonts w:ascii="Times New Roman" w:hAnsi="Times New Roman" w:cs="Times New Roman"/>
          <w:sz w:val="24"/>
          <w:szCs w:val="24"/>
        </w:rPr>
        <w:t xml:space="preserve"> </w:t>
      </w:r>
      <w:r w:rsidR="004D3EE5" w:rsidRPr="001163F9">
        <w:rPr>
          <w:rFonts w:ascii="Times New Roman" w:hAnsi="Times New Roman" w:cs="Times New Roman"/>
          <w:sz w:val="24"/>
          <w:szCs w:val="24"/>
        </w:rPr>
        <w:t>2003/87/WE</w:t>
      </w:r>
      <w:r w:rsidR="00F8490D">
        <w:rPr>
          <w:rFonts w:ascii="Times New Roman" w:hAnsi="Times New Roman" w:cs="Times New Roman"/>
          <w:sz w:val="24"/>
          <w:szCs w:val="24"/>
        </w:rPr>
        <w:t xml:space="preserve"> </w:t>
      </w:r>
      <w:r w:rsidR="00F8490D" w:rsidRPr="00F07569">
        <w:rPr>
          <w:rFonts w:ascii="Times New Roman" w:hAnsi="Times New Roman" w:cs="Times New Roman"/>
          <w:sz w:val="24"/>
          <w:szCs w:val="24"/>
        </w:rPr>
        <w:t>Parlamentu Europejskiego i Rad</w:t>
      </w:r>
      <w:r w:rsidR="00F8490D">
        <w:rPr>
          <w:rFonts w:ascii="Times New Roman" w:hAnsi="Times New Roman" w:cs="Times New Roman"/>
          <w:sz w:val="24"/>
          <w:szCs w:val="24"/>
        </w:rPr>
        <w:t>y z dnia 13 października 2003 r.</w:t>
      </w:r>
      <w:r w:rsidR="001163F9" w:rsidRPr="001163F9">
        <w:t xml:space="preserve"> </w:t>
      </w:r>
      <w:r w:rsidR="001163F9">
        <w:rPr>
          <w:rFonts w:ascii="Times New Roman" w:hAnsi="Times New Roman" w:cs="Times New Roman"/>
          <w:sz w:val="24"/>
          <w:szCs w:val="24"/>
        </w:rPr>
        <w:t>ustanawiającą</w:t>
      </w:r>
      <w:r w:rsidR="001163F9" w:rsidRPr="001163F9">
        <w:rPr>
          <w:rFonts w:ascii="Times New Roman" w:hAnsi="Times New Roman" w:cs="Times New Roman"/>
          <w:sz w:val="24"/>
          <w:szCs w:val="24"/>
        </w:rPr>
        <w:t xml:space="preserve"> system handlu przydziałami emisji gazów cieplarnianyc</w:t>
      </w:r>
      <w:r w:rsidR="001163F9">
        <w:rPr>
          <w:rFonts w:ascii="Times New Roman" w:hAnsi="Times New Roman" w:cs="Times New Roman"/>
          <w:sz w:val="24"/>
          <w:szCs w:val="24"/>
        </w:rPr>
        <w:t>h we Wspólnocie oraz zmieniającą</w:t>
      </w:r>
      <w:r w:rsidR="001163F9" w:rsidRPr="001163F9">
        <w:rPr>
          <w:rFonts w:ascii="Times New Roman" w:hAnsi="Times New Roman" w:cs="Times New Roman"/>
          <w:sz w:val="24"/>
          <w:szCs w:val="24"/>
        </w:rPr>
        <w:t xml:space="preserve"> dyrektywę Rady 96/61/WE</w:t>
      </w:r>
      <w:r w:rsidR="001163F9">
        <w:rPr>
          <w:rFonts w:ascii="Times New Roman" w:hAnsi="Times New Roman" w:cs="Times New Roman"/>
          <w:sz w:val="24"/>
          <w:szCs w:val="24"/>
        </w:rPr>
        <w:t>.</w:t>
      </w:r>
      <w:r w:rsidR="00260331">
        <w:rPr>
          <w:rFonts w:ascii="Times New Roman" w:hAnsi="Times New Roman" w:cs="Times New Roman"/>
          <w:sz w:val="24"/>
          <w:szCs w:val="24"/>
        </w:rPr>
        <w:t xml:space="preserve"> Nakłada on</w:t>
      </w:r>
      <w:r w:rsidR="00715C7C">
        <w:rPr>
          <w:rFonts w:ascii="Times New Roman" w:hAnsi="Times New Roman" w:cs="Times New Roman"/>
          <w:sz w:val="24"/>
          <w:szCs w:val="24"/>
        </w:rPr>
        <w:t>a</w:t>
      </w:r>
      <w:r w:rsidR="00260331">
        <w:rPr>
          <w:rFonts w:ascii="Times New Roman" w:hAnsi="Times New Roman" w:cs="Times New Roman"/>
          <w:sz w:val="24"/>
          <w:szCs w:val="24"/>
        </w:rPr>
        <w:t xml:space="preserve"> o</w:t>
      </w:r>
      <w:r w:rsidRPr="00F07569">
        <w:rPr>
          <w:rFonts w:ascii="Times New Roman" w:hAnsi="Times New Roman" w:cs="Times New Roman"/>
          <w:sz w:val="24"/>
          <w:szCs w:val="24"/>
        </w:rPr>
        <w:t xml:space="preserve">bowiązek zakupu uprawnień do emisji </w:t>
      </w:r>
      <w:r w:rsidR="00260331">
        <w:rPr>
          <w:rFonts w:ascii="Times New Roman" w:hAnsi="Times New Roman" w:cs="Times New Roman"/>
          <w:sz w:val="24"/>
          <w:szCs w:val="24"/>
        </w:rPr>
        <w:t>CO</w:t>
      </w:r>
      <w:r w:rsidR="00260331" w:rsidRPr="00F8490D">
        <w:rPr>
          <w:rFonts w:ascii="Times New Roman" w:hAnsi="Times New Roman" w:cs="Times New Roman"/>
          <w:sz w:val="24"/>
          <w:szCs w:val="24"/>
          <w:vertAlign w:val="subscript"/>
        </w:rPr>
        <w:t>2</w:t>
      </w:r>
      <w:r w:rsidR="00605612">
        <w:rPr>
          <w:rFonts w:ascii="Times New Roman" w:hAnsi="Times New Roman" w:cs="Times New Roman"/>
          <w:sz w:val="24"/>
          <w:szCs w:val="24"/>
          <w:vertAlign w:val="subscript"/>
        </w:rPr>
        <w:t xml:space="preserve"> </w:t>
      </w:r>
      <w:r w:rsidR="00260331">
        <w:rPr>
          <w:rFonts w:ascii="Times New Roman" w:hAnsi="Times New Roman" w:cs="Times New Roman"/>
          <w:sz w:val="24"/>
          <w:szCs w:val="24"/>
        </w:rPr>
        <w:t>przez źródła spalania paliw.</w:t>
      </w:r>
    </w:p>
    <w:p w14:paraId="61F7798D" w14:textId="77777777" w:rsidR="00F8490D" w:rsidRDefault="00F8490D" w:rsidP="00D620B0">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Cena uprawnień do emisji CO</w:t>
      </w:r>
      <w:r>
        <w:rPr>
          <w:rFonts w:ascii="Times New Roman" w:hAnsi="Times New Roman" w:cs="Times New Roman"/>
          <w:sz w:val="24"/>
          <w:szCs w:val="24"/>
          <w:vertAlign w:val="subscript"/>
        </w:rPr>
        <w:t>2</w:t>
      </w:r>
      <w:r>
        <w:rPr>
          <w:rFonts w:ascii="Times New Roman" w:hAnsi="Times New Roman" w:cs="Times New Roman"/>
          <w:sz w:val="24"/>
          <w:szCs w:val="24"/>
        </w:rPr>
        <w:t xml:space="preserve"> w 2017 r. oscylowała na poziomie 5-6 </w:t>
      </w:r>
      <w:r w:rsidRPr="00715C7C">
        <w:rPr>
          <w:rFonts w:ascii="Times New Roman" w:hAnsi="Times New Roman" w:cs="Times New Roman"/>
          <w:sz w:val="24"/>
          <w:szCs w:val="24"/>
        </w:rPr>
        <w:t>€/t</w:t>
      </w:r>
      <w:r>
        <w:rPr>
          <w:rFonts w:ascii="Times New Roman" w:hAnsi="Times New Roman" w:cs="Times New Roman"/>
          <w:sz w:val="24"/>
          <w:szCs w:val="24"/>
        </w:rPr>
        <w:t>. W 2018 r. doszło to skokowego wzrostu cen uprawnień i we wrześniu 2018 r.</w:t>
      </w:r>
      <w:r w:rsidR="00A3193A">
        <w:rPr>
          <w:rFonts w:ascii="Times New Roman" w:hAnsi="Times New Roman" w:cs="Times New Roman"/>
          <w:sz w:val="24"/>
          <w:szCs w:val="24"/>
        </w:rPr>
        <w:t xml:space="preserve"> ceny</w:t>
      </w:r>
      <w:r>
        <w:rPr>
          <w:rFonts w:ascii="Times New Roman" w:hAnsi="Times New Roman" w:cs="Times New Roman"/>
          <w:sz w:val="24"/>
          <w:szCs w:val="24"/>
        </w:rPr>
        <w:t xml:space="preserve"> </w:t>
      </w:r>
      <w:r w:rsidR="00D47F42">
        <w:rPr>
          <w:rFonts w:ascii="Times New Roman" w:hAnsi="Times New Roman" w:cs="Times New Roman"/>
          <w:sz w:val="24"/>
          <w:szCs w:val="24"/>
        </w:rPr>
        <w:t>przekroczyły wartość 25 </w:t>
      </w:r>
      <w:r w:rsidR="00D47F42" w:rsidRPr="00715C7C">
        <w:rPr>
          <w:rFonts w:ascii="Times New Roman" w:hAnsi="Times New Roman" w:cs="Times New Roman"/>
          <w:sz w:val="24"/>
          <w:szCs w:val="24"/>
        </w:rPr>
        <w:t>€/t</w:t>
      </w:r>
      <w:r w:rsidR="00D47F42">
        <w:rPr>
          <w:rFonts w:ascii="Times New Roman" w:hAnsi="Times New Roman" w:cs="Times New Roman"/>
          <w:sz w:val="24"/>
          <w:szCs w:val="24"/>
        </w:rPr>
        <w:t>, czyli wzrosły o 400%. Na poniższym wykresie zaprezentowano zmianę cen do emisji CO</w:t>
      </w:r>
      <w:r w:rsidR="00D47F42">
        <w:rPr>
          <w:rFonts w:ascii="Times New Roman" w:hAnsi="Times New Roman" w:cs="Times New Roman"/>
          <w:sz w:val="24"/>
          <w:szCs w:val="24"/>
          <w:vertAlign w:val="subscript"/>
        </w:rPr>
        <w:t>2</w:t>
      </w:r>
      <w:r w:rsidR="00D47F42">
        <w:rPr>
          <w:rFonts w:ascii="Times New Roman" w:hAnsi="Times New Roman" w:cs="Times New Roman"/>
          <w:sz w:val="24"/>
          <w:szCs w:val="24"/>
        </w:rPr>
        <w:t xml:space="preserve"> w latach 2013-2018.</w:t>
      </w:r>
    </w:p>
    <w:p w14:paraId="6DFEF0E2" w14:textId="77777777" w:rsidR="00D47F42" w:rsidRDefault="00D47F42" w:rsidP="00D620B0">
      <w:pPr>
        <w:spacing w:after="0" w:line="360" w:lineRule="auto"/>
        <w:ind w:firstLine="851"/>
        <w:jc w:val="center"/>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14:anchorId="432872F6" wp14:editId="01CF3212">
            <wp:extent cx="3943350" cy="244174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4935" cy="2448916"/>
                    </a:xfrm>
                    <a:prstGeom prst="rect">
                      <a:avLst/>
                    </a:prstGeom>
                    <a:noFill/>
                    <a:ln>
                      <a:noFill/>
                    </a:ln>
                  </pic:spPr>
                </pic:pic>
              </a:graphicData>
            </a:graphic>
          </wp:inline>
        </w:drawing>
      </w:r>
    </w:p>
    <w:p w14:paraId="686C060F" w14:textId="77777777" w:rsidR="00F8490D" w:rsidRPr="00D620B0" w:rsidRDefault="00D47F42" w:rsidP="00D620B0">
      <w:pPr>
        <w:spacing w:after="0" w:line="360" w:lineRule="auto"/>
        <w:ind w:left="1981" w:firstLine="143"/>
        <w:jc w:val="both"/>
        <w:rPr>
          <w:rFonts w:ascii="Times New Roman" w:hAnsi="Times New Roman" w:cs="Times New Roman"/>
          <w:sz w:val="18"/>
          <w:szCs w:val="18"/>
        </w:rPr>
      </w:pPr>
      <w:r w:rsidRPr="00D620B0">
        <w:rPr>
          <w:rFonts w:ascii="Times New Roman" w:hAnsi="Times New Roman" w:cs="Times New Roman"/>
          <w:sz w:val="18"/>
          <w:szCs w:val="18"/>
        </w:rPr>
        <w:t>Źródło: EEX, Primary Market Auction</w:t>
      </w:r>
    </w:p>
    <w:p w14:paraId="13316650" w14:textId="77777777" w:rsidR="005D3FFC" w:rsidRDefault="005D3FFC" w:rsidP="00D620B0">
      <w:pPr>
        <w:spacing w:after="0" w:line="360" w:lineRule="auto"/>
        <w:jc w:val="both"/>
        <w:rPr>
          <w:rFonts w:ascii="Times New Roman" w:hAnsi="Times New Roman" w:cs="Times New Roman"/>
          <w:sz w:val="24"/>
          <w:szCs w:val="24"/>
        </w:rPr>
      </w:pPr>
    </w:p>
    <w:p w14:paraId="692EBE03" w14:textId="10811CD3" w:rsidR="00C4237E" w:rsidRDefault="00B64F28" w:rsidP="001163F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Skokowy wzrost cen uprawnień do emisji CO</w:t>
      </w:r>
      <w:r>
        <w:rPr>
          <w:rFonts w:ascii="Times New Roman" w:hAnsi="Times New Roman" w:cs="Times New Roman"/>
          <w:sz w:val="24"/>
          <w:szCs w:val="24"/>
          <w:vertAlign w:val="subscript"/>
        </w:rPr>
        <w:t>2</w:t>
      </w:r>
      <w:r>
        <w:rPr>
          <w:rFonts w:ascii="Times New Roman" w:hAnsi="Times New Roman" w:cs="Times New Roman"/>
          <w:sz w:val="24"/>
          <w:szCs w:val="24"/>
        </w:rPr>
        <w:t xml:space="preserve"> oraz wzrost cen paliw w Europie wygenerował wzrosty cen energii elektrycznej na giełdach w całej E</w:t>
      </w:r>
      <w:r w:rsidR="00273DA7">
        <w:rPr>
          <w:rFonts w:ascii="Times New Roman" w:hAnsi="Times New Roman" w:cs="Times New Roman"/>
          <w:sz w:val="24"/>
          <w:szCs w:val="24"/>
        </w:rPr>
        <w:t xml:space="preserve">uropie, w tym w Polsce. </w:t>
      </w:r>
      <w:r w:rsidR="00DF405D">
        <w:rPr>
          <w:rFonts w:ascii="Times New Roman" w:hAnsi="Times New Roman" w:cs="Times New Roman"/>
          <w:sz w:val="24"/>
          <w:szCs w:val="24"/>
        </w:rPr>
        <w:t>Średnia c</w:t>
      </w:r>
      <w:r w:rsidR="00273DA7">
        <w:rPr>
          <w:rFonts w:ascii="Times New Roman" w:hAnsi="Times New Roman" w:cs="Times New Roman"/>
          <w:sz w:val="24"/>
          <w:szCs w:val="24"/>
        </w:rPr>
        <w:t xml:space="preserve">ena energii elektrycznej </w:t>
      </w:r>
      <w:r w:rsidR="00DF405D">
        <w:rPr>
          <w:rFonts w:ascii="Times New Roman" w:hAnsi="Times New Roman" w:cs="Times New Roman"/>
          <w:sz w:val="24"/>
          <w:szCs w:val="24"/>
        </w:rPr>
        <w:t xml:space="preserve">w kontrakcie rocznym </w:t>
      </w:r>
      <w:r w:rsidR="00273DA7">
        <w:rPr>
          <w:rFonts w:ascii="Times New Roman" w:hAnsi="Times New Roman" w:cs="Times New Roman"/>
          <w:sz w:val="24"/>
          <w:szCs w:val="24"/>
        </w:rPr>
        <w:t>na Towarowej Giełdzie Energii S.A. oscylowała przed wzrostami cen</w:t>
      </w:r>
      <w:r w:rsidR="00DF405D">
        <w:rPr>
          <w:rFonts w:ascii="Times New Roman" w:hAnsi="Times New Roman" w:cs="Times New Roman"/>
          <w:sz w:val="24"/>
          <w:szCs w:val="24"/>
        </w:rPr>
        <w:t xml:space="preserve"> do emisji CO</w:t>
      </w:r>
      <w:r w:rsidR="00DF405D">
        <w:rPr>
          <w:rFonts w:ascii="Times New Roman" w:hAnsi="Times New Roman" w:cs="Times New Roman"/>
          <w:sz w:val="24"/>
          <w:szCs w:val="24"/>
          <w:vertAlign w:val="subscript"/>
        </w:rPr>
        <w:t>2</w:t>
      </w:r>
      <w:r w:rsidR="00DF405D">
        <w:rPr>
          <w:rFonts w:ascii="Times New Roman" w:hAnsi="Times New Roman" w:cs="Times New Roman"/>
          <w:sz w:val="24"/>
          <w:szCs w:val="24"/>
        </w:rPr>
        <w:t xml:space="preserve"> (listopad 2017)</w:t>
      </w:r>
      <w:r w:rsidR="00273DA7">
        <w:rPr>
          <w:rFonts w:ascii="Times New Roman" w:hAnsi="Times New Roman" w:cs="Times New Roman"/>
          <w:sz w:val="24"/>
          <w:szCs w:val="24"/>
        </w:rPr>
        <w:t xml:space="preserve"> na poziomie 1</w:t>
      </w:r>
      <w:r w:rsidR="00DF405D">
        <w:rPr>
          <w:rFonts w:ascii="Times New Roman" w:hAnsi="Times New Roman" w:cs="Times New Roman"/>
          <w:sz w:val="24"/>
          <w:szCs w:val="24"/>
        </w:rPr>
        <w:t>74</w:t>
      </w:r>
      <w:r w:rsidR="00273DA7">
        <w:rPr>
          <w:rFonts w:ascii="Times New Roman" w:hAnsi="Times New Roman" w:cs="Times New Roman"/>
          <w:sz w:val="24"/>
          <w:szCs w:val="24"/>
        </w:rPr>
        <w:t xml:space="preserve"> zł/MWh, a w</w:t>
      </w:r>
      <w:r w:rsidR="00DF405D">
        <w:rPr>
          <w:rFonts w:ascii="Times New Roman" w:hAnsi="Times New Roman" w:cs="Times New Roman"/>
          <w:sz w:val="24"/>
          <w:szCs w:val="24"/>
        </w:rPr>
        <w:t xml:space="preserve"> listopadzie 2018 r. w</w:t>
      </w:r>
      <w:r w:rsidR="00A3193A">
        <w:rPr>
          <w:rFonts w:ascii="Times New Roman" w:hAnsi="Times New Roman" w:cs="Times New Roman"/>
          <w:sz w:val="24"/>
          <w:szCs w:val="24"/>
        </w:rPr>
        <w:t xml:space="preserve"> kontrakcie na rok 2019 średnia </w:t>
      </w:r>
      <w:r w:rsidR="00273DA7">
        <w:rPr>
          <w:rFonts w:ascii="Times New Roman" w:hAnsi="Times New Roman" w:cs="Times New Roman"/>
          <w:sz w:val="24"/>
          <w:szCs w:val="24"/>
        </w:rPr>
        <w:t xml:space="preserve">cena </w:t>
      </w:r>
      <w:r w:rsidR="00A3193A">
        <w:rPr>
          <w:rFonts w:ascii="Times New Roman" w:hAnsi="Times New Roman" w:cs="Times New Roman"/>
          <w:sz w:val="24"/>
          <w:szCs w:val="24"/>
        </w:rPr>
        <w:t>wynosiła już</w:t>
      </w:r>
      <w:r w:rsidR="00273DA7">
        <w:rPr>
          <w:rFonts w:ascii="Times New Roman" w:hAnsi="Times New Roman" w:cs="Times New Roman"/>
          <w:sz w:val="24"/>
          <w:szCs w:val="24"/>
        </w:rPr>
        <w:t xml:space="preserve"> </w:t>
      </w:r>
      <w:r w:rsidR="003C4323" w:rsidRPr="003C4323">
        <w:rPr>
          <w:rFonts w:ascii="Times New Roman" w:hAnsi="Times New Roman" w:cs="Times New Roman"/>
          <w:sz w:val="24"/>
          <w:szCs w:val="24"/>
        </w:rPr>
        <w:t>286,61</w:t>
      </w:r>
      <w:r w:rsidR="003C4323">
        <w:rPr>
          <w:rFonts w:ascii="Times New Roman" w:hAnsi="Times New Roman" w:cs="Times New Roman"/>
          <w:sz w:val="24"/>
          <w:szCs w:val="24"/>
        </w:rPr>
        <w:t xml:space="preserve"> zł/MWh</w:t>
      </w:r>
      <w:r w:rsidR="00DF405D">
        <w:rPr>
          <w:rFonts w:ascii="Times New Roman" w:hAnsi="Times New Roman" w:cs="Times New Roman"/>
          <w:sz w:val="24"/>
          <w:szCs w:val="24"/>
        </w:rPr>
        <w:t>, czyli o ponad 100 zł więcej za jedną megawatogodzinę</w:t>
      </w:r>
      <w:r w:rsidR="00A3193A">
        <w:rPr>
          <w:rFonts w:ascii="Times New Roman" w:hAnsi="Times New Roman" w:cs="Times New Roman"/>
          <w:sz w:val="24"/>
          <w:szCs w:val="24"/>
        </w:rPr>
        <w:t xml:space="preserve"> niż w roku 2017</w:t>
      </w:r>
      <w:r w:rsidR="008800C6">
        <w:rPr>
          <w:rFonts w:ascii="Times New Roman" w:hAnsi="Times New Roman" w:cs="Times New Roman"/>
          <w:sz w:val="24"/>
          <w:szCs w:val="24"/>
        </w:rPr>
        <w:t xml:space="preserve"> (o 65% więcej, niż w analogicznym okresie w roku 2017)</w:t>
      </w:r>
      <w:r w:rsidR="00DF405D">
        <w:rPr>
          <w:rFonts w:ascii="Times New Roman" w:hAnsi="Times New Roman" w:cs="Times New Roman"/>
          <w:sz w:val="24"/>
          <w:szCs w:val="24"/>
        </w:rPr>
        <w:t>.</w:t>
      </w:r>
    </w:p>
    <w:p w14:paraId="443B955B" w14:textId="7B84E8F6" w:rsidR="001163F9" w:rsidRDefault="001163F9" w:rsidP="001163F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Następstwem opisanych trendów było opracowanie cenników oraz taryf przez przedsiębiorstwa energetyczne sprzedające energię elektryczną odbiorcom końcowym </w:t>
      </w:r>
      <w:r w:rsidR="0057409D">
        <w:rPr>
          <w:rFonts w:ascii="Times New Roman" w:hAnsi="Times New Roman" w:cs="Times New Roman"/>
          <w:sz w:val="24"/>
          <w:szCs w:val="24"/>
        </w:rPr>
        <w:t xml:space="preserve">na poziomach nieakceptowalnych ze społecznego punktu widzenia. </w:t>
      </w:r>
      <w:r w:rsidR="00536F91">
        <w:rPr>
          <w:rFonts w:ascii="Times New Roman" w:hAnsi="Times New Roman" w:cs="Times New Roman"/>
          <w:sz w:val="24"/>
          <w:szCs w:val="24"/>
        </w:rPr>
        <w:t xml:space="preserve"> Również w prowadzonych postępowaniach przetargowych dużych grup zakupowych wystąpiły znaczne wzrosty cen energii elektrycznej. </w:t>
      </w:r>
      <w:r w:rsidR="0057409D">
        <w:rPr>
          <w:rFonts w:ascii="Times New Roman" w:hAnsi="Times New Roman" w:cs="Times New Roman"/>
          <w:sz w:val="24"/>
          <w:szCs w:val="24"/>
        </w:rPr>
        <w:t>Zastosowanie planowanych wzrosty cen dla odbiorców przełożyłoby się również skrajnie niekorzystnie na kondycję krajowej gospodarki i mogło stać czynnikiem wzrostowym inflacji. Wprowadzenie regulacji ujętych w projekcie ustawy zniweluje te negatywne skutki dla odbiorców końcowych energii.</w:t>
      </w:r>
    </w:p>
    <w:p w14:paraId="5E6D30DE" w14:textId="587C88AA" w:rsidR="003A3A09" w:rsidRDefault="003A3A09" w:rsidP="00F07569">
      <w:pPr>
        <w:pStyle w:val="ARTartustawynprozporzdzenia"/>
        <w:ind w:firstLine="708"/>
        <w:rPr>
          <w:rStyle w:val="Ppogrubienie"/>
          <w:b w:val="0"/>
        </w:rPr>
      </w:pPr>
      <w:r>
        <w:rPr>
          <w:rStyle w:val="Ppogrubienie"/>
          <w:b w:val="0"/>
        </w:rPr>
        <w:t xml:space="preserve">Ustawa w znacznym stopniu redukuje administracyjne obciążenia rachunków za energię elektryczną poprzez zmniejszenie poziomu podatku akcyzowego z 20 zł/MWh do 5 zł/MWh, co jest praktycznie wartością minimalną dopuszczalną przez prawo europejskie. </w:t>
      </w:r>
      <w:r w:rsidR="00E43D73">
        <w:rPr>
          <w:rStyle w:val="Ppogrubienie"/>
          <w:b w:val="0"/>
        </w:rPr>
        <w:t>Około dziesięciokrotnemu obniżeniu ulegnie również wielkość opłaty przejściowej płaconej przez odbiorców w gospodarstwie domowym.</w:t>
      </w:r>
    </w:p>
    <w:p w14:paraId="0996712D" w14:textId="46F7CF8D" w:rsidR="003A3A09" w:rsidRDefault="00E43D73" w:rsidP="00F07569">
      <w:pPr>
        <w:pStyle w:val="ARTartustawynprozporzdzenia"/>
        <w:ind w:firstLine="708"/>
        <w:rPr>
          <w:rStyle w:val="Ppogrubienie"/>
          <w:b w:val="0"/>
        </w:rPr>
      </w:pPr>
      <w:r>
        <w:rPr>
          <w:rStyle w:val="Ppogrubienie"/>
          <w:b w:val="0"/>
        </w:rPr>
        <w:t>Takie obniżenie staw</w:t>
      </w:r>
      <w:r w:rsidR="00E84CCD">
        <w:rPr>
          <w:rStyle w:val="Ppogrubienie"/>
          <w:b w:val="0"/>
        </w:rPr>
        <w:t>k</w:t>
      </w:r>
      <w:r>
        <w:rPr>
          <w:rStyle w:val="Ppogrubienie"/>
          <w:b w:val="0"/>
        </w:rPr>
        <w:t>i podatku oraz opłaty przejściowej</w:t>
      </w:r>
      <w:r w:rsidR="00E84CCD">
        <w:rPr>
          <w:rStyle w:val="Ppogrubienie"/>
          <w:b w:val="0"/>
        </w:rPr>
        <w:t xml:space="preserve"> zapewni, nawet przy spodziewanej podwyżce opłat wprowadzonych przez przedsiębiorstwa energetyczne utrzymanie łącznych kosztów odbiorców</w:t>
      </w:r>
      <w:r>
        <w:rPr>
          <w:rStyle w:val="Ppogrubienie"/>
          <w:b w:val="0"/>
        </w:rPr>
        <w:t>, w szczególności odbiorców w gospodarstwie domowym,</w:t>
      </w:r>
      <w:r w:rsidR="00E84CCD">
        <w:rPr>
          <w:rStyle w:val="Ppogrubienie"/>
          <w:b w:val="0"/>
        </w:rPr>
        <w:t xml:space="preserve"> na poziomie z</w:t>
      </w:r>
      <w:r>
        <w:rPr>
          <w:rStyle w:val="Ppogrubienie"/>
          <w:b w:val="0"/>
        </w:rPr>
        <w:t>bliżonym do</w:t>
      </w:r>
      <w:r w:rsidR="00E84CCD">
        <w:rPr>
          <w:rStyle w:val="Ppogrubienie"/>
          <w:b w:val="0"/>
        </w:rPr>
        <w:t xml:space="preserve"> roku 2018.</w:t>
      </w:r>
    </w:p>
    <w:p w14:paraId="193AA4DF" w14:textId="0B600E62" w:rsidR="0094423A" w:rsidRDefault="00E84CCD" w:rsidP="00420AE2">
      <w:pPr>
        <w:pStyle w:val="ARTartustawynprozporzdzenia"/>
        <w:spacing w:before="240"/>
      </w:pPr>
      <w:r>
        <w:t>Jednocześnie negatywne skutki dla budżetu państwa zostaną zniwelowane poprzez środki</w:t>
      </w:r>
      <w:r w:rsidR="00AD13BD">
        <w:t xml:space="preserve"> </w:t>
      </w:r>
      <w:r w:rsidR="00D167D5">
        <w:t>z</w:t>
      </w:r>
      <w:r w:rsidR="00242F71">
        <w:t>e sprzedaży uprawnień do emisji</w:t>
      </w:r>
      <w:r w:rsidR="00B535AA">
        <w:t xml:space="preserve">, </w:t>
      </w:r>
      <w:r w:rsidR="00AD13BD" w:rsidRPr="00780B66">
        <w:t>o których mowa w art. 27 ust. 3 ustawy z dnia 12 czerwca 2015 r. o systemie handlu uprawnieniami do emisji gazów cieplarnianych (Dz.</w:t>
      </w:r>
      <w:r w:rsidR="00AD13BD">
        <w:t xml:space="preserve"> </w:t>
      </w:r>
      <w:r w:rsidR="00AD13BD" w:rsidRPr="00780B66">
        <w:t>U. z 2018 r. poz. 1201)</w:t>
      </w:r>
      <w:r w:rsidR="0094423A">
        <w:t>.</w:t>
      </w:r>
      <w:r w:rsidR="0094423A" w:rsidRPr="0094423A">
        <w:t xml:space="preserve"> </w:t>
      </w:r>
    </w:p>
    <w:p w14:paraId="5BDCE0EE" w14:textId="77777777" w:rsidR="00D754A5" w:rsidRDefault="00D754A5" w:rsidP="00F07569">
      <w:pPr>
        <w:pStyle w:val="ARTartustawynprozporzdzenia"/>
      </w:pPr>
      <w:r>
        <w:t>Europejski System Handlu Emisjami EU ETS wprowadzony został zgodnie z przepisami Dyrektywy</w:t>
      </w:r>
      <w:r w:rsidRPr="00D754A5">
        <w:t xml:space="preserve"> 2003/</w:t>
      </w:r>
      <w:r>
        <w:t>87/WE Parlamentu Europejskiego i</w:t>
      </w:r>
      <w:r w:rsidRPr="00D754A5">
        <w:t xml:space="preserve"> Rady z dnia 13 pa</w:t>
      </w:r>
      <w:r>
        <w:t>ździernika 2003 r. ustanawiającej</w:t>
      </w:r>
      <w:r w:rsidRPr="00D754A5">
        <w:t xml:space="preserve"> system handlu przydziałami emisji gazów cieplarnianyc</w:t>
      </w:r>
      <w:r>
        <w:t>h we Wspólnocie oraz zmieniającej</w:t>
      </w:r>
      <w:r w:rsidRPr="00D754A5">
        <w:t xml:space="preserve"> dyrektywę Rady 96/61/WE</w:t>
      </w:r>
      <w:r>
        <w:t xml:space="preserve">. Zgodnie z tymi przepisami </w:t>
      </w:r>
      <w:r w:rsidRPr="00D754A5">
        <w:t xml:space="preserve">każdy operator instalacji </w:t>
      </w:r>
      <w:r w:rsidRPr="00D754A5">
        <w:lastRenderedPageBreak/>
        <w:t>objętej zakresem zastosowania EU ETS jest zobowiązany do corocznego umorzenia takiej liczby uprawnień, która odpowiada zweryfikowanym emisjom za ubiegły rok kalendarzowy. Jedno uprawnienie do emisji (EUA) odpowiada jednej tonie emisji ekwiwalentu dwutlenku węgla</w:t>
      </w:r>
      <w:r>
        <w:t xml:space="preserve">. </w:t>
      </w:r>
      <w:r w:rsidRPr="00D754A5">
        <w:t xml:space="preserve">Zgodnie z algorytmem podziału liczby uprawnień do emisji, każde z państw członkowskich ma swoją krajową pulę uprawnień. </w:t>
      </w:r>
    </w:p>
    <w:p w14:paraId="29066770" w14:textId="340806C4" w:rsidR="00D754A5" w:rsidRPr="00D754A5" w:rsidRDefault="00D754A5" w:rsidP="00D754A5">
      <w:pPr>
        <w:spacing w:after="0" w:line="360" w:lineRule="auto"/>
        <w:ind w:firstLine="510"/>
        <w:jc w:val="both"/>
        <w:rPr>
          <w:rFonts w:ascii="Times" w:eastAsiaTheme="minorEastAsia" w:hAnsi="Times" w:cs="Arial"/>
          <w:sz w:val="24"/>
          <w:szCs w:val="20"/>
          <w:lang w:eastAsia="pl-PL"/>
        </w:rPr>
      </w:pPr>
      <w:r w:rsidRPr="00D754A5">
        <w:rPr>
          <w:rFonts w:ascii="Times" w:eastAsiaTheme="minorEastAsia" w:hAnsi="Times" w:cs="Arial"/>
          <w:sz w:val="24"/>
          <w:szCs w:val="20"/>
          <w:lang w:eastAsia="pl-PL"/>
        </w:rPr>
        <w:t>Podaż uprawnień do emisji jest odgórnie zdeterminowana dla całej Unii Europejskiej. Całkowity przydział uprawnień na lata 2013-2020 wyniesie łącznie ok. 15,69 mld EUAs. Każdego roku pula uprawnień do emisji jest zmniejszana o wartość współczynnika liniowego („LRF”) określonego na 1,74% rocznie do końca 2020 r.</w:t>
      </w:r>
      <w:r>
        <w:rPr>
          <w:rFonts w:ascii="Times" w:eastAsiaTheme="minorEastAsia" w:hAnsi="Times" w:cs="Arial"/>
          <w:sz w:val="24"/>
          <w:szCs w:val="20"/>
          <w:lang w:eastAsia="pl-PL"/>
        </w:rPr>
        <w:t xml:space="preserve"> </w:t>
      </w:r>
      <w:r w:rsidRPr="00D754A5">
        <w:rPr>
          <w:rFonts w:ascii="Times" w:eastAsiaTheme="minorEastAsia" w:hAnsi="Times" w:cs="Arial"/>
          <w:sz w:val="24"/>
          <w:szCs w:val="20"/>
          <w:lang w:eastAsia="pl-PL"/>
        </w:rPr>
        <w:t>Uprawnienia do emisji powinny zostać kupione przez operatora na rynku pierwotnym - za pomocą platformy aukcyjnej. Alternatywnym sposobem pozyskania uprawnień jest rynek wtórny – np. zakup uprawnień do emisji od podmiotów dysponujących ich nadwyżką. Obecnie funkcjonują dwie giełdy uprawnień do emisji, jedna z siedzibą w Londynie (ICE), druga z siedzibą w Lipsku (EEX).</w:t>
      </w:r>
    </w:p>
    <w:p w14:paraId="15271E04" w14:textId="4C13DB1D" w:rsidR="00D754A5" w:rsidRPr="00D754A5" w:rsidRDefault="00D754A5" w:rsidP="00F23040">
      <w:pPr>
        <w:pStyle w:val="ARTartustawynprozporzdzenia"/>
      </w:pPr>
      <w:r w:rsidRPr="00D754A5">
        <w:t>Zgodnie z postanowieniami dyrektywy EU ETS wybrane pańs</w:t>
      </w:r>
      <w:r w:rsidR="00605612">
        <w:t>twa członkowskie (w tym Polska)</w:t>
      </w:r>
      <w:r w:rsidRPr="00D754A5">
        <w:t xml:space="preserve"> są uprawnione do bezpłatnego przydziału uprawnień do emisji dla instalacji wytwarzających energię elektryczną</w:t>
      </w:r>
      <w:r w:rsidR="00F23040">
        <w:t xml:space="preserve">. </w:t>
      </w:r>
      <w:r w:rsidRPr="00D754A5">
        <w:t xml:space="preserve">Liczba uprawnień, które mogą zostać przyznane bezpłatnie dla wytwórców energii elektrycznej została zdeterminowana odgórnie na etapie złożenia i akceptacji przez Komisję Europejską polskiego wniosku derogacyjnego, co miało miejsce jeszcze w 2012 r. </w:t>
      </w:r>
    </w:p>
    <w:p w14:paraId="18B72B84" w14:textId="77777777" w:rsidR="00D754A5" w:rsidRPr="00D754A5" w:rsidRDefault="00D754A5" w:rsidP="00D754A5">
      <w:pPr>
        <w:pStyle w:val="ARTartustawynprozporzdzenia"/>
      </w:pPr>
      <w:r w:rsidRPr="00D754A5">
        <w:t>W ramach wniosku derogacyjnego określona liczba uprawnień do emisji została przypisana:</w:t>
      </w:r>
    </w:p>
    <w:p w14:paraId="460D12F0" w14:textId="58D3B9A7" w:rsidR="00D754A5" w:rsidRPr="00D754A5" w:rsidRDefault="00D754A5" w:rsidP="00F23040">
      <w:pPr>
        <w:pStyle w:val="ARTartustawynprozporzdzenia"/>
        <w:numPr>
          <w:ilvl w:val="0"/>
          <w:numId w:val="6"/>
        </w:numPr>
        <w:ind w:left="426" w:hanging="426"/>
      </w:pPr>
      <w:r w:rsidRPr="00D754A5">
        <w:t>Instalacjom „faktycznie rozpoczętym”, w przypadku, których proces inwestycyjny został faktycznie rozpoczęty najpóźniej w dniu 31 grudnia 2008 r. –</w:t>
      </w:r>
      <w:r w:rsidR="00F23040" w:rsidRPr="00F23040">
        <w:t xml:space="preserve"> </w:t>
      </w:r>
      <w:r w:rsidR="00F23040" w:rsidRPr="00D754A5">
        <w:t>na podstawie Krajowego Planu Inwestycyjnego („KPI”)</w:t>
      </w:r>
      <w:r w:rsidRPr="00D754A5">
        <w:t>;</w:t>
      </w:r>
    </w:p>
    <w:p w14:paraId="7E9C4C90" w14:textId="12D7F539" w:rsidR="00D754A5" w:rsidRPr="00D754A5" w:rsidRDefault="00D754A5" w:rsidP="00F23040">
      <w:pPr>
        <w:pStyle w:val="ARTartustawynprozporzdzenia"/>
        <w:numPr>
          <w:ilvl w:val="0"/>
          <w:numId w:val="6"/>
        </w:numPr>
        <w:ind w:left="426" w:hanging="426"/>
      </w:pPr>
      <w:r w:rsidRPr="00D754A5">
        <w:t>Instalacjom istniejącym, które były eksploatowane najpóźniej w dniu 31 grudnia 2008 r.</w:t>
      </w:r>
      <w:r w:rsidR="00F23040">
        <w:t xml:space="preserve"> </w:t>
      </w:r>
      <w:r w:rsidR="00F23040">
        <w:br/>
      </w:r>
      <w:r w:rsidRPr="00D754A5">
        <w:t>-</w:t>
      </w:r>
      <w:r w:rsidR="00F23040">
        <w:t xml:space="preserve"> </w:t>
      </w:r>
      <w:r w:rsidR="00F23040" w:rsidRPr="00D754A5">
        <w:t>na podstawie wykazu</w:t>
      </w:r>
      <w:r w:rsidR="00F23040">
        <w:t>.</w:t>
      </w:r>
    </w:p>
    <w:p w14:paraId="4D32262D" w14:textId="77777777" w:rsidR="00D754A5" w:rsidRPr="00D754A5" w:rsidRDefault="00D754A5" w:rsidP="00D754A5">
      <w:pPr>
        <w:pStyle w:val="ARTartustawynprozporzdzenia"/>
      </w:pPr>
      <w:r w:rsidRPr="00D754A5">
        <w:t xml:space="preserve">Bezpłatne uprawnienia do emisji są kierowane na rachunek operatorów instalacji </w:t>
      </w:r>
      <w:r w:rsidRPr="00D754A5">
        <w:br/>
        <w:t xml:space="preserve">na podstawie rzeczywistych nakładów inwestycyjnych poniesionych na realizację zadań inwestycyjnych określonych w KPI i wykazie. </w:t>
      </w:r>
    </w:p>
    <w:p w14:paraId="17EF5B8D" w14:textId="481A8564" w:rsidR="00D754A5" w:rsidRPr="00D754A5" w:rsidRDefault="00D754A5" w:rsidP="00D754A5">
      <w:pPr>
        <w:pStyle w:val="ARTartustawynprozporzdzenia"/>
      </w:pPr>
      <w:r w:rsidRPr="00D754A5">
        <w:t>Odmienna sytuacja występuje w przypadku, gdy operator nie zrealizuje budowy inwestycji</w:t>
      </w:r>
      <w:r w:rsidR="00605612">
        <w:t xml:space="preserve"> </w:t>
      </w:r>
      <w:r w:rsidRPr="00D754A5">
        <w:t xml:space="preserve">wytwórczych określonych w wykazie instalacji faktycznie rozpoczętych na koniec </w:t>
      </w:r>
      <w:r w:rsidRPr="00D754A5">
        <w:lastRenderedPageBreak/>
        <w:t>2008 r. Jeśli zadania te nie zostaną zrealizowane, zarezerwowane na ten cel uprawnienia do emisji zostają sprzedane na aukcji, a dochód z ich sprzedaży trafia do budżetu państwa.</w:t>
      </w:r>
    </w:p>
    <w:p w14:paraId="32F85B81" w14:textId="3413EB77" w:rsidR="00D754A5" w:rsidRDefault="00D754A5" w:rsidP="00D754A5">
      <w:pPr>
        <w:pStyle w:val="ARTartustawynprozporzdzenia"/>
        <w:rPr>
          <w:rFonts w:eastAsia="Times New Roman" w:cstheme="minorHAnsi"/>
          <w:color w:val="191919"/>
        </w:rPr>
      </w:pPr>
      <w:r>
        <w:rPr>
          <w:rFonts w:eastAsia="Times New Roman" w:cstheme="minorHAnsi"/>
          <w:color w:val="191919"/>
        </w:rPr>
        <w:t>W związku z powyższym, skala niewykorzystanych uprawnień zarezerwowanych dla „faktycznie rozpoczętych” jednostek wytwórczych, których realiz</w:t>
      </w:r>
      <w:r w:rsidR="00F23040">
        <w:rPr>
          <w:rFonts w:eastAsia="Times New Roman" w:cstheme="minorHAnsi"/>
          <w:color w:val="191919"/>
        </w:rPr>
        <w:t>acja została zaniechana od 2012 </w:t>
      </w:r>
      <w:r>
        <w:rPr>
          <w:rFonts w:eastAsia="Times New Roman" w:cstheme="minorHAnsi"/>
          <w:color w:val="191919"/>
        </w:rPr>
        <w:t>r., lub których budowa jest opóźniona w stosunku do planów z 2012 r. jest już zdeterminowana. Pozwala to na określenie wolumenu uprawnień, które mogą zostać zlicytowane na giełdzie EEX przez Polskę już w roku 2019. Wol</w:t>
      </w:r>
      <w:r w:rsidR="00F23040">
        <w:rPr>
          <w:rFonts w:eastAsia="Times New Roman" w:cstheme="minorHAnsi"/>
          <w:color w:val="191919"/>
        </w:rPr>
        <w:t>umen ten został oszacowany na 55,8</w:t>
      </w:r>
      <w:r>
        <w:rPr>
          <w:rFonts w:eastAsia="Times New Roman" w:cstheme="minorHAnsi"/>
          <w:color w:val="191919"/>
        </w:rPr>
        <w:t xml:space="preserve"> mln EUA</w:t>
      </w:r>
      <w:r w:rsidR="00F23040">
        <w:rPr>
          <w:rFonts w:eastAsia="Times New Roman" w:cstheme="minorHAnsi"/>
          <w:color w:val="191919"/>
        </w:rPr>
        <w:t xml:space="preserve">. </w:t>
      </w:r>
    </w:p>
    <w:p w14:paraId="458C57DF" w14:textId="655C2013" w:rsidR="00F23040" w:rsidRDefault="00420AE2" w:rsidP="00D754A5">
      <w:pPr>
        <w:pStyle w:val="ARTartustawynprozporzdzenia"/>
        <w:rPr>
          <w:rFonts w:eastAsia="Times New Roman" w:cstheme="minorHAnsi"/>
          <w:color w:val="191919"/>
        </w:rPr>
      </w:pPr>
      <w:r>
        <w:rPr>
          <w:rFonts w:eastAsia="Times New Roman" w:cstheme="minorHAnsi"/>
          <w:color w:val="191919"/>
        </w:rPr>
        <w:t xml:space="preserve">W dniu </w:t>
      </w:r>
      <w:r w:rsidR="00F23040">
        <w:rPr>
          <w:rFonts w:eastAsia="Times New Roman" w:cstheme="minorHAnsi"/>
          <w:color w:val="191919"/>
        </w:rPr>
        <w:t>5</w:t>
      </w:r>
      <w:r>
        <w:rPr>
          <w:rFonts w:eastAsia="Times New Roman" w:cstheme="minorHAnsi"/>
          <w:color w:val="191919"/>
        </w:rPr>
        <w:t xml:space="preserve"> grudnia </w:t>
      </w:r>
      <w:r w:rsidR="00F23040">
        <w:rPr>
          <w:rFonts w:eastAsia="Times New Roman" w:cstheme="minorHAnsi"/>
          <w:color w:val="191919"/>
        </w:rPr>
        <w:t>2018 r. Komisja Europejska opublikowała komunikat o wyrażeniu zgody na skierowanie ww. puli uprawnień, jako dodatkowej transzy do sprzedaży na europejskiej giełdzie EEX w 2019 r. w imieniu Polski.</w:t>
      </w:r>
    </w:p>
    <w:p w14:paraId="7D203B6A" w14:textId="0BCE6F1F" w:rsidR="00F23040" w:rsidRDefault="00F23040" w:rsidP="00D754A5">
      <w:pPr>
        <w:pStyle w:val="ARTartustawynprozporzdzenia"/>
        <w:rPr>
          <w:rFonts w:eastAsia="Times New Roman" w:cstheme="minorHAnsi"/>
          <w:color w:val="191919"/>
        </w:rPr>
      </w:pPr>
      <w:r>
        <w:rPr>
          <w:rFonts w:eastAsia="Times New Roman" w:cstheme="minorHAnsi"/>
          <w:color w:val="191919"/>
        </w:rPr>
        <w:t xml:space="preserve">Środki przewidywane do pozyskania z ww. źródła nie są objęte ustawą budżetową na 2019 r. </w:t>
      </w:r>
    </w:p>
    <w:p w14:paraId="4F0A42F9" w14:textId="7D2BE13E" w:rsidR="008C281F" w:rsidRPr="008C281F" w:rsidRDefault="008C281F" w:rsidP="008C281F">
      <w:pPr>
        <w:pStyle w:val="ARTartustawynprozporzdzenia"/>
        <w:rPr>
          <w:rFonts w:eastAsia="Times New Roman" w:cstheme="minorHAnsi"/>
          <w:color w:val="191919"/>
        </w:rPr>
      </w:pPr>
      <w:r w:rsidRPr="008C281F">
        <w:rPr>
          <w:rFonts w:eastAsia="Times New Roman" w:cstheme="minorHAnsi"/>
          <w:color w:val="191919"/>
        </w:rPr>
        <w:t xml:space="preserve">Proponuje się, aby ustawa weszła w życie z dniem </w:t>
      </w:r>
      <w:r w:rsidR="0036555C">
        <w:rPr>
          <w:rFonts w:eastAsia="Times New Roman" w:cstheme="minorHAnsi"/>
          <w:color w:val="191919"/>
        </w:rPr>
        <w:t xml:space="preserve">ogłoszenia, z mocą od dnia </w:t>
      </w:r>
      <w:bookmarkStart w:id="0" w:name="_GoBack"/>
      <w:bookmarkEnd w:id="0"/>
      <w:r w:rsidRPr="008C281F">
        <w:rPr>
          <w:rFonts w:eastAsia="Times New Roman" w:cstheme="minorHAnsi"/>
          <w:color w:val="191919"/>
        </w:rPr>
        <w:t>1 stycznia 2019 r.</w:t>
      </w:r>
    </w:p>
    <w:p w14:paraId="57B82CFD" w14:textId="77777777" w:rsidR="008C281F" w:rsidRPr="008C281F" w:rsidRDefault="008C281F" w:rsidP="008C281F">
      <w:pPr>
        <w:pStyle w:val="ARTartustawynprozporzdzenia"/>
        <w:rPr>
          <w:rFonts w:eastAsia="Times New Roman" w:cstheme="minorHAnsi"/>
          <w:color w:val="191919"/>
        </w:rPr>
      </w:pPr>
      <w:r w:rsidRPr="008C281F">
        <w:rPr>
          <w:rFonts w:eastAsia="Times New Roman" w:cstheme="minorHAnsi"/>
          <w:color w:val="191919"/>
        </w:rPr>
        <w:t>Projekt ustawy jest zgodny z prawem Unii Europejskiej.</w:t>
      </w:r>
    </w:p>
    <w:p w14:paraId="4FA2BA47" w14:textId="77777777" w:rsidR="008C281F" w:rsidRPr="008C281F" w:rsidRDefault="008C281F" w:rsidP="008C281F">
      <w:pPr>
        <w:pStyle w:val="ARTartustawynprozporzdzenia"/>
        <w:rPr>
          <w:rFonts w:eastAsia="Times New Roman" w:cstheme="minorHAnsi"/>
          <w:color w:val="191919"/>
        </w:rPr>
      </w:pPr>
      <w:r w:rsidRPr="008C281F">
        <w:rPr>
          <w:rFonts w:eastAsia="Times New Roman" w:cstheme="minorHAnsi"/>
          <w:color w:val="191919"/>
        </w:rPr>
        <w:t>Projekt ustawy nie zawiera przepisów technicznych, w związku z powyższym nie podlega procedurze notyfikacji w rozumieniu przepisów rozporządzenia Rady Ministrów z dnia 23 grudnia 2002 r. w sprawie sposobu funkcjonowania krajowego systemu notyfikacji norm i aktów prawnych (Dz. U. poz. 2039 oraz z 2004 r. poz. 597).</w:t>
      </w:r>
    </w:p>
    <w:p w14:paraId="30D123DD" w14:textId="3C4C3596" w:rsidR="008C281F" w:rsidRDefault="008C281F" w:rsidP="008C281F">
      <w:pPr>
        <w:pStyle w:val="ARTartustawynprozporzdzenia"/>
        <w:rPr>
          <w:rFonts w:eastAsia="Times New Roman" w:cstheme="minorHAnsi"/>
          <w:color w:val="191919"/>
        </w:rPr>
      </w:pPr>
      <w:r w:rsidRPr="008C281F">
        <w:rPr>
          <w:rFonts w:eastAsia="Times New Roman" w:cstheme="minorHAnsi"/>
          <w:color w:val="191919"/>
        </w:rPr>
        <w:t xml:space="preserve">Projekt ustawy </w:t>
      </w:r>
      <w:r>
        <w:rPr>
          <w:rFonts w:eastAsia="Times New Roman" w:cstheme="minorHAnsi"/>
          <w:color w:val="191919"/>
        </w:rPr>
        <w:t>wpływa</w:t>
      </w:r>
      <w:r w:rsidRPr="008C281F">
        <w:rPr>
          <w:rFonts w:eastAsia="Times New Roman" w:cstheme="minorHAnsi"/>
          <w:color w:val="191919"/>
        </w:rPr>
        <w:t xml:space="preserve"> na działalność mikroprzedsiębiorców, małych i średnich przedsiębiorców </w:t>
      </w:r>
      <w:r>
        <w:rPr>
          <w:rFonts w:eastAsia="Times New Roman" w:cstheme="minorHAnsi"/>
          <w:color w:val="191919"/>
        </w:rPr>
        <w:t>poprzez wyeliminowanie ryzyka narażenia ich na gwałtowny wzrost cen energii elektrycznej w 2019 roku. Projekt</w:t>
      </w:r>
      <w:r w:rsidRPr="008C281F">
        <w:rPr>
          <w:rFonts w:eastAsia="Times New Roman" w:cstheme="minorHAnsi"/>
          <w:color w:val="191919"/>
        </w:rPr>
        <w:t xml:space="preserve"> nie określa zasad podejmowania, wykonywania lub zakończenia działalności gospodarczej w rozumieniu ustawy z dnia 6 marca 2018 r. – Prawo przedsiębiorców (Dz. U. poz. 646, 1479, 1629</w:t>
      </w:r>
      <w:r w:rsidR="00C05C09">
        <w:rPr>
          <w:rFonts w:eastAsia="Times New Roman" w:cstheme="minorHAnsi"/>
          <w:color w:val="191919"/>
        </w:rPr>
        <w:t>,</w:t>
      </w:r>
      <w:r w:rsidRPr="008C281F">
        <w:rPr>
          <w:rFonts w:eastAsia="Times New Roman" w:cstheme="minorHAnsi"/>
          <w:color w:val="191919"/>
        </w:rPr>
        <w:t xml:space="preserve"> 1633</w:t>
      </w:r>
      <w:r w:rsidR="00C05C09">
        <w:rPr>
          <w:rFonts w:eastAsia="Times New Roman" w:cstheme="minorHAnsi"/>
          <w:color w:val="191919"/>
        </w:rPr>
        <w:t xml:space="preserve"> i 2212</w:t>
      </w:r>
      <w:r w:rsidRPr="008C281F">
        <w:rPr>
          <w:rFonts w:eastAsia="Times New Roman" w:cstheme="minorHAnsi"/>
          <w:color w:val="191919"/>
        </w:rPr>
        <w:t>).</w:t>
      </w:r>
    </w:p>
    <w:sectPr w:rsidR="008C281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FCC58" w14:textId="77777777" w:rsidR="00663706" w:rsidRDefault="00663706" w:rsidP="0006154D">
      <w:pPr>
        <w:spacing w:after="0" w:line="240" w:lineRule="auto"/>
      </w:pPr>
      <w:r>
        <w:separator/>
      </w:r>
    </w:p>
  </w:endnote>
  <w:endnote w:type="continuationSeparator" w:id="0">
    <w:p w14:paraId="1A413C70" w14:textId="77777777" w:rsidR="00663706" w:rsidRDefault="00663706" w:rsidP="00061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C7DCD" w14:textId="77777777" w:rsidR="0097123F" w:rsidRDefault="0097123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308694"/>
      <w:docPartObj>
        <w:docPartGallery w:val="Page Numbers (Bottom of Page)"/>
        <w:docPartUnique/>
      </w:docPartObj>
    </w:sdtPr>
    <w:sdtEndPr/>
    <w:sdtContent>
      <w:p w14:paraId="205443B7" w14:textId="31742CFF" w:rsidR="004D3EE5" w:rsidRDefault="004D3EE5">
        <w:pPr>
          <w:pStyle w:val="Stopka"/>
          <w:jc w:val="right"/>
        </w:pPr>
        <w:r>
          <w:fldChar w:fldCharType="begin"/>
        </w:r>
        <w:r>
          <w:instrText>PAGE   \* MERGEFORMAT</w:instrText>
        </w:r>
        <w:r>
          <w:fldChar w:fldCharType="separate"/>
        </w:r>
        <w:r w:rsidR="0036555C">
          <w:rPr>
            <w:noProof/>
          </w:rPr>
          <w:t>4</w:t>
        </w:r>
        <w:r>
          <w:fldChar w:fldCharType="end"/>
        </w:r>
      </w:p>
    </w:sdtContent>
  </w:sdt>
  <w:p w14:paraId="5BB67CE0" w14:textId="77777777" w:rsidR="004D3EE5" w:rsidRDefault="004D3EE5">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477781" w14:textId="77777777" w:rsidR="0097123F" w:rsidRDefault="0097123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06CB5" w14:textId="77777777" w:rsidR="00663706" w:rsidRDefault="00663706" w:rsidP="0006154D">
      <w:pPr>
        <w:spacing w:after="0" w:line="240" w:lineRule="auto"/>
      </w:pPr>
      <w:r>
        <w:separator/>
      </w:r>
    </w:p>
  </w:footnote>
  <w:footnote w:type="continuationSeparator" w:id="0">
    <w:p w14:paraId="113569E0" w14:textId="77777777" w:rsidR="00663706" w:rsidRDefault="00663706" w:rsidP="000615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BE59F6" w14:textId="4893AD6A" w:rsidR="0097123F" w:rsidRDefault="0097123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2899A" w14:textId="64708E87" w:rsidR="0097123F" w:rsidRDefault="0097123F">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E58D7" w14:textId="0CD4537D" w:rsidR="0097123F" w:rsidRDefault="0097123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95208"/>
    <w:multiLevelType w:val="hybridMultilevel"/>
    <w:tmpl w:val="99ACE730"/>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D162BAD"/>
    <w:multiLevelType w:val="hybridMultilevel"/>
    <w:tmpl w:val="A3A813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3A8A7191"/>
    <w:multiLevelType w:val="hybridMultilevel"/>
    <w:tmpl w:val="268060C0"/>
    <w:lvl w:ilvl="0" w:tplc="0415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414AF1"/>
    <w:multiLevelType w:val="hybridMultilevel"/>
    <w:tmpl w:val="A7E46E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70B2DE8"/>
    <w:multiLevelType w:val="hybridMultilevel"/>
    <w:tmpl w:val="CDAAACAC"/>
    <w:lvl w:ilvl="0" w:tplc="04150005">
      <w:start w:val="1"/>
      <w:numFmt w:val="bullet"/>
      <w:lvlText w:val=""/>
      <w:lvlJc w:val="left"/>
      <w:pPr>
        <w:ind w:left="1230" w:hanging="360"/>
      </w:pPr>
      <w:rPr>
        <w:rFonts w:ascii="Wingdings" w:hAnsi="Wingding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5">
    <w:nsid w:val="4B1B7DEB"/>
    <w:multiLevelType w:val="hybridMultilevel"/>
    <w:tmpl w:val="8D7C4664"/>
    <w:lvl w:ilvl="0" w:tplc="DFECE75E">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
    <w:nsid w:val="542548FC"/>
    <w:multiLevelType w:val="hybridMultilevel"/>
    <w:tmpl w:val="71B00B32"/>
    <w:lvl w:ilvl="0" w:tplc="0415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4A3194"/>
    <w:multiLevelType w:val="hybridMultilevel"/>
    <w:tmpl w:val="5EB26C94"/>
    <w:lvl w:ilvl="0" w:tplc="0415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FD7AEA"/>
    <w:multiLevelType w:val="hybridMultilevel"/>
    <w:tmpl w:val="5B58A1D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716A4BB2"/>
    <w:multiLevelType w:val="hybridMultilevel"/>
    <w:tmpl w:val="6632E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75493B22"/>
    <w:multiLevelType w:val="hybridMultilevel"/>
    <w:tmpl w:val="7C9E1EF6"/>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5"/>
  </w:num>
  <w:num w:numId="2">
    <w:abstractNumId w:val="2"/>
  </w:num>
  <w:num w:numId="3">
    <w:abstractNumId w:val="7"/>
  </w:num>
  <w:num w:numId="4">
    <w:abstractNumId w:val="6"/>
  </w:num>
  <w:num w:numId="5">
    <w:abstractNumId w:val="8"/>
  </w:num>
  <w:num w:numId="6">
    <w:abstractNumId w:val="4"/>
  </w:num>
  <w:num w:numId="7">
    <w:abstractNumId w:val="3"/>
  </w:num>
  <w:num w:numId="8">
    <w:abstractNumId w:val="10"/>
  </w:num>
  <w:num w:numId="9">
    <w:abstractNumId w:val="9"/>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69"/>
    <w:rsid w:val="0006154D"/>
    <w:rsid w:val="000879C8"/>
    <w:rsid w:val="000D1E97"/>
    <w:rsid w:val="00114BF2"/>
    <w:rsid w:val="00115225"/>
    <w:rsid w:val="001163F9"/>
    <w:rsid w:val="001A2DBB"/>
    <w:rsid w:val="001B2F68"/>
    <w:rsid w:val="001D63C1"/>
    <w:rsid w:val="001F0962"/>
    <w:rsid w:val="002079A9"/>
    <w:rsid w:val="00237DAB"/>
    <w:rsid w:val="00242F71"/>
    <w:rsid w:val="00245F09"/>
    <w:rsid w:val="00256277"/>
    <w:rsid w:val="00260331"/>
    <w:rsid w:val="00264539"/>
    <w:rsid w:val="002706E3"/>
    <w:rsid w:val="00273DA7"/>
    <w:rsid w:val="00310804"/>
    <w:rsid w:val="00342B14"/>
    <w:rsid w:val="0036555C"/>
    <w:rsid w:val="00370C3C"/>
    <w:rsid w:val="003A3516"/>
    <w:rsid w:val="003A3A09"/>
    <w:rsid w:val="003C4323"/>
    <w:rsid w:val="003F273F"/>
    <w:rsid w:val="00420AE2"/>
    <w:rsid w:val="004B29DC"/>
    <w:rsid w:val="004D3EE5"/>
    <w:rsid w:val="00536F91"/>
    <w:rsid w:val="00544485"/>
    <w:rsid w:val="0057409D"/>
    <w:rsid w:val="005D3FFC"/>
    <w:rsid w:val="00603713"/>
    <w:rsid w:val="00605612"/>
    <w:rsid w:val="00623A87"/>
    <w:rsid w:val="00640339"/>
    <w:rsid w:val="00663706"/>
    <w:rsid w:val="00715C7C"/>
    <w:rsid w:val="00717BE1"/>
    <w:rsid w:val="007331D7"/>
    <w:rsid w:val="00742D27"/>
    <w:rsid w:val="0084553E"/>
    <w:rsid w:val="008708D5"/>
    <w:rsid w:val="008733C8"/>
    <w:rsid w:val="008800C6"/>
    <w:rsid w:val="008C281F"/>
    <w:rsid w:val="008E1863"/>
    <w:rsid w:val="009037BB"/>
    <w:rsid w:val="00903C98"/>
    <w:rsid w:val="009049D3"/>
    <w:rsid w:val="009312C1"/>
    <w:rsid w:val="0094423A"/>
    <w:rsid w:val="00952497"/>
    <w:rsid w:val="0097123F"/>
    <w:rsid w:val="009E0855"/>
    <w:rsid w:val="009E13F9"/>
    <w:rsid w:val="009F5D30"/>
    <w:rsid w:val="00A3193A"/>
    <w:rsid w:val="00A90082"/>
    <w:rsid w:val="00AD0DBF"/>
    <w:rsid w:val="00AD13BD"/>
    <w:rsid w:val="00AE159B"/>
    <w:rsid w:val="00B535AA"/>
    <w:rsid w:val="00B64F28"/>
    <w:rsid w:val="00B94320"/>
    <w:rsid w:val="00B96C5B"/>
    <w:rsid w:val="00BB3311"/>
    <w:rsid w:val="00BB5959"/>
    <w:rsid w:val="00BC47FE"/>
    <w:rsid w:val="00BD0CB7"/>
    <w:rsid w:val="00C05C09"/>
    <w:rsid w:val="00C16FB1"/>
    <w:rsid w:val="00C4237E"/>
    <w:rsid w:val="00D02B3D"/>
    <w:rsid w:val="00D167D5"/>
    <w:rsid w:val="00D47F42"/>
    <w:rsid w:val="00D620B0"/>
    <w:rsid w:val="00D70C43"/>
    <w:rsid w:val="00D735DC"/>
    <w:rsid w:val="00D754A5"/>
    <w:rsid w:val="00DB21D4"/>
    <w:rsid w:val="00DD1DDD"/>
    <w:rsid w:val="00DE17A7"/>
    <w:rsid w:val="00DF405D"/>
    <w:rsid w:val="00E07CA4"/>
    <w:rsid w:val="00E404BE"/>
    <w:rsid w:val="00E43D73"/>
    <w:rsid w:val="00E84CCD"/>
    <w:rsid w:val="00E936DC"/>
    <w:rsid w:val="00E946A8"/>
    <w:rsid w:val="00EB5ABF"/>
    <w:rsid w:val="00EC0A7A"/>
    <w:rsid w:val="00F07569"/>
    <w:rsid w:val="00F23040"/>
    <w:rsid w:val="00F8490D"/>
    <w:rsid w:val="00FA0C97"/>
    <w:rsid w:val="00FF63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EA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756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F075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F07569"/>
    <w:rPr>
      <w:b/>
    </w:rPr>
  </w:style>
  <w:style w:type="paragraph" w:styleId="Legenda">
    <w:name w:val="caption"/>
    <w:basedOn w:val="Normalny"/>
    <w:next w:val="Normalny"/>
    <w:uiPriority w:val="35"/>
    <w:unhideWhenUsed/>
    <w:qFormat/>
    <w:rsid w:val="00E404BE"/>
    <w:pPr>
      <w:spacing w:after="200" w:line="240" w:lineRule="auto"/>
    </w:pPr>
    <w:rPr>
      <w:i/>
      <w:iCs/>
      <w:color w:val="44546A" w:themeColor="text2"/>
      <w:sz w:val="18"/>
      <w:szCs w:val="18"/>
    </w:rPr>
  </w:style>
  <w:style w:type="paragraph" w:styleId="Nagwek">
    <w:name w:val="header"/>
    <w:basedOn w:val="Normalny"/>
    <w:link w:val="NagwekZnak"/>
    <w:uiPriority w:val="99"/>
    <w:unhideWhenUsed/>
    <w:rsid w:val="000615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154D"/>
  </w:style>
  <w:style w:type="paragraph" w:styleId="Stopka">
    <w:name w:val="footer"/>
    <w:basedOn w:val="Normalny"/>
    <w:link w:val="StopkaZnak"/>
    <w:uiPriority w:val="99"/>
    <w:unhideWhenUsed/>
    <w:rsid w:val="000615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154D"/>
  </w:style>
  <w:style w:type="table" w:styleId="Tabela-Siatka">
    <w:name w:val="Table Grid"/>
    <w:basedOn w:val="Standardowy"/>
    <w:uiPriority w:val="39"/>
    <w:rsid w:val="00242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D3E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D3EE5"/>
    <w:rPr>
      <w:rFonts w:ascii="Segoe UI" w:hAnsi="Segoe UI" w:cs="Segoe UI"/>
      <w:sz w:val="18"/>
      <w:szCs w:val="18"/>
    </w:rPr>
  </w:style>
  <w:style w:type="character" w:styleId="Odwoaniedokomentarza">
    <w:name w:val="annotation reference"/>
    <w:basedOn w:val="Domylnaczcionkaakapitu"/>
    <w:uiPriority w:val="99"/>
    <w:semiHidden/>
    <w:unhideWhenUsed/>
    <w:rsid w:val="005D3FFC"/>
    <w:rPr>
      <w:sz w:val="16"/>
      <w:szCs w:val="16"/>
    </w:rPr>
  </w:style>
  <w:style w:type="paragraph" w:styleId="Tekstkomentarza">
    <w:name w:val="annotation text"/>
    <w:basedOn w:val="Normalny"/>
    <w:link w:val="TekstkomentarzaZnak"/>
    <w:uiPriority w:val="99"/>
    <w:semiHidden/>
    <w:unhideWhenUsed/>
    <w:rsid w:val="005D3FF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D3FFC"/>
    <w:rPr>
      <w:sz w:val="20"/>
      <w:szCs w:val="20"/>
    </w:rPr>
  </w:style>
  <w:style w:type="paragraph" w:styleId="Tematkomentarza">
    <w:name w:val="annotation subject"/>
    <w:basedOn w:val="Tekstkomentarza"/>
    <w:next w:val="Tekstkomentarza"/>
    <w:link w:val="TematkomentarzaZnak"/>
    <w:uiPriority w:val="99"/>
    <w:semiHidden/>
    <w:unhideWhenUsed/>
    <w:rsid w:val="005D3FFC"/>
    <w:rPr>
      <w:b/>
      <w:bCs/>
    </w:rPr>
  </w:style>
  <w:style w:type="character" w:customStyle="1" w:styleId="TematkomentarzaZnak">
    <w:name w:val="Temat komentarza Znak"/>
    <w:basedOn w:val="TekstkomentarzaZnak"/>
    <w:link w:val="Tematkomentarza"/>
    <w:uiPriority w:val="99"/>
    <w:semiHidden/>
    <w:rsid w:val="005D3FFC"/>
    <w:rPr>
      <w:b/>
      <w:bCs/>
      <w:sz w:val="20"/>
      <w:szCs w:val="20"/>
    </w:rPr>
  </w:style>
  <w:style w:type="paragraph" w:styleId="Akapitzlist">
    <w:name w:val="List Paragraph"/>
    <w:basedOn w:val="Normalny"/>
    <w:uiPriority w:val="34"/>
    <w:qFormat/>
    <w:rsid w:val="00D754A5"/>
    <w:pPr>
      <w:spacing w:after="200" w:line="276" w:lineRule="auto"/>
      <w:ind w:left="720"/>
      <w:contextualSpacing/>
    </w:pPr>
  </w:style>
  <w:style w:type="paragraph" w:styleId="Tekstprzypisudolnego">
    <w:name w:val="footnote text"/>
    <w:basedOn w:val="Normalny"/>
    <w:link w:val="TekstprzypisudolnegoZnak"/>
    <w:uiPriority w:val="99"/>
    <w:unhideWhenUsed/>
    <w:rsid w:val="00D754A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754A5"/>
    <w:rPr>
      <w:sz w:val="20"/>
      <w:szCs w:val="20"/>
    </w:rPr>
  </w:style>
  <w:style w:type="character" w:styleId="Odwoanieprzypisudolnego">
    <w:name w:val="footnote reference"/>
    <w:basedOn w:val="Domylnaczcionkaakapitu"/>
    <w:uiPriority w:val="99"/>
    <w:semiHidden/>
    <w:unhideWhenUsed/>
    <w:rsid w:val="00BB33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0756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F075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F07569"/>
    <w:rPr>
      <w:b/>
    </w:rPr>
  </w:style>
  <w:style w:type="paragraph" w:styleId="Legenda">
    <w:name w:val="caption"/>
    <w:basedOn w:val="Normalny"/>
    <w:next w:val="Normalny"/>
    <w:uiPriority w:val="35"/>
    <w:unhideWhenUsed/>
    <w:qFormat/>
    <w:rsid w:val="00E404BE"/>
    <w:pPr>
      <w:spacing w:after="200" w:line="240" w:lineRule="auto"/>
    </w:pPr>
    <w:rPr>
      <w:i/>
      <w:iCs/>
      <w:color w:val="44546A" w:themeColor="text2"/>
      <w:sz w:val="18"/>
      <w:szCs w:val="18"/>
    </w:rPr>
  </w:style>
  <w:style w:type="paragraph" w:styleId="Nagwek">
    <w:name w:val="header"/>
    <w:basedOn w:val="Normalny"/>
    <w:link w:val="NagwekZnak"/>
    <w:uiPriority w:val="99"/>
    <w:unhideWhenUsed/>
    <w:rsid w:val="000615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154D"/>
  </w:style>
  <w:style w:type="paragraph" w:styleId="Stopka">
    <w:name w:val="footer"/>
    <w:basedOn w:val="Normalny"/>
    <w:link w:val="StopkaZnak"/>
    <w:uiPriority w:val="99"/>
    <w:unhideWhenUsed/>
    <w:rsid w:val="000615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154D"/>
  </w:style>
  <w:style w:type="table" w:styleId="Tabela-Siatka">
    <w:name w:val="Table Grid"/>
    <w:basedOn w:val="Standardowy"/>
    <w:uiPriority w:val="39"/>
    <w:rsid w:val="00242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D3E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D3EE5"/>
    <w:rPr>
      <w:rFonts w:ascii="Segoe UI" w:hAnsi="Segoe UI" w:cs="Segoe UI"/>
      <w:sz w:val="18"/>
      <w:szCs w:val="18"/>
    </w:rPr>
  </w:style>
  <w:style w:type="character" w:styleId="Odwoaniedokomentarza">
    <w:name w:val="annotation reference"/>
    <w:basedOn w:val="Domylnaczcionkaakapitu"/>
    <w:uiPriority w:val="99"/>
    <w:semiHidden/>
    <w:unhideWhenUsed/>
    <w:rsid w:val="005D3FFC"/>
    <w:rPr>
      <w:sz w:val="16"/>
      <w:szCs w:val="16"/>
    </w:rPr>
  </w:style>
  <w:style w:type="paragraph" w:styleId="Tekstkomentarza">
    <w:name w:val="annotation text"/>
    <w:basedOn w:val="Normalny"/>
    <w:link w:val="TekstkomentarzaZnak"/>
    <w:uiPriority w:val="99"/>
    <w:semiHidden/>
    <w:unhideWhenUsed/>
    <w:rsid w:val="005D3FF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D3FFC"/>
    <w:rPr>
      <w:sz w:val="20"/>
      <w:szCs w:val="20"/>
    </w:rPr>
  </w:style>
  <w:style w:type="paragraph" w:styleId="Tematkomentarza">
    <w:name w:val="annotation subject"/>
    <w:basedOn w:val="Tekstkomentarza"/>
    <w:next w:val="Tekstkomentarza"/>
    <w:link w:val="TematkomentarzaZnak"/>
    <w:uiPriority w:val="99"/>
    <w:semiHidden/>
    <w:unhideWhenUsed/>
    <w:rsid w:val="005D3FFC"/>
    <w:rPr>
      <w:b/>
      <w:bCs/>
    </w:rPr>
  </w:style>
  <w:style w:type="character" w:customStyle="1" w:styleId="TematkomentarzaZnak">
    <w:name w:val="Temat komentarza Znak"/>
    <w:basedOn w:val="TekstkomentarzaZnak"/>
    <w:link w:val="Tematkomentarza"/>
    <w:uiPriority w:val="99"/>
    <w:semiHidden/>
    <w:rsid w:val="005D3FFC"/>
    <w:rPr>
      <w:b/>
      <w:bCs/>
      <w:sz w:val="20"/>
      <w:szCs w:val="20"/>
    </w:rPr>
  </w:style>
  <w:style w:type="paragraph" w:styleId="Akapitzlist">
    <w:name w:val="List Paragraph"/>
    <w:basedOn w:val="Normalny"/>
    <w:uiPriority w:val="34"/>
    <w:qFormat/>
    <w:rsid w:val="00D754A5"/>
    <w:pPr>
      <w:spacing w:after="200" w:line="276" w:lineRule="auto"/>
      <w:ind w:left="720"/>
      <w:contextualSpacing/>
    </w:pPr>
  </w:style>
  <w:style w:type="paragraph" w:styleId="Tekstprzypisudolnego">
    <w:name w:val="footnote text"/>
    <w:basedOn w:val="Normalny"/>
    <w:link w:val="TekstprzypisudolnegoZnak"/>
    <w:uiPriority w:val="99"/>
    <w:unhideWhenUsed/>
    <w:rsid w:val="00D754A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754A5"/>
    <w:rPr>
      <w:sz w:val="20"/>
      <w:szCs w:val="20"/>
    </w:rPr>
  </w:style>
  <w:style w:type="character" w:styleId="Odwoanieprzypisudolnego">
    <w:name w:val="footnote reference"/>
    <w:basedOn w:val="Domylnaczcionkaakapitu"/>
    <w:uiPriority w:val="99"/>
    <w:semiHidden/>
    <w:unhideWhenUsed/>
    <w:rsid w:val="00BB33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8219">
      <w:bodyDiv w:val="1"/>
      <w:marLeft w:val="0"/>
      <w:marRight w:val="0"/>
      <w:marTop w:val="0"/>
      <w:marBottom w:val="0"/>
      <w:divBdr>
        <w:top w:val="none" w:sz="0" w:space="0" w:color="auto"/>
        <w:left w:val="none" w:sz="0" w:space="0" w:color="auto"/>
        <w:bottom w:val="none" w:sz="0" w:space="0" w:color="auto"/>
        <w:right w:val="none" w:sz="0" w:space="0" w:color="auto"/>
      </w:divBdr>
      <w:divsChild>
        <w:div w:id="278529649">
          <w:marLeft w:val="0"/>
          <w:marRight w:val="0"/>
          <w:marTop w:val="0"/>
          <w:marBottom w:val="0"/>
          <w:divBdr>
            <w:top w:val="none" w:sz="0" w:space="0" w:color="auto"/>
            <w:left w:val="none" w:sz="0" w:space="0" w:color="auto"/>
            <w:bottom w:val="none" w:sz="0" w:space="0" w:color="auto"/>
            <w:right w:val="none" w:sz="0" w:space="0" w:color="auto"/>
          </w:divBdr>
        </w:div>
        <w:div w:id="662853828">
          <w:marLeft w:val="0"/>
          <w:marRight w:val="0"/>
          <w:marTop w:val="0"/>
          <w:marBottom w:val="0"/>
          <w:divBdr>
            <w:top w:val="none" w:sz="0" w:space="0" w:color="auto"/>
            <w:left w:val="none" w:sz="0" w:space="0" w:color="auto"/>
            <w:bottom w:val="none" w:sz="0" w:space="0" w:color="auto"/>
            <w:right w:val="none" w:sz="0" w:space="0" w:color="auto"/>
          </w:divBdr>
        </w:div>
        <w:div w:id="2051417998">
          <w:marLeft w:val="0"/>
          <w:marRight w:val="0"/>
          <w:marTop w:val="0"/>
          <w:marBottom w:val="0"/>
          <w:divBdr>
            <w:top w:val="none" w:sz="0" w:space="0" w:color="auto"/>
            <w:left w:val="none" w:sz="0" w:space="0" w:color="auto"/>
            <w:bottom w:val="none" w:sz="0" w:space="0" w:color="auto"/>
            <w:right w:val="none" w:sz="0" w:space="0" w:color="auto"/>
          </w:divBdr>
        </w:div>
        <w:div w:id="81878187">
          <w:marLeft w:val="0"/>
          <w:marRight w:val="0"/>
          <w:marTop w:val="0"/>
          <w:marBottom w:val="0"/>
          <w:divBdr>
            <w:top w:val="none" w:sz="0" w:space="0" w:color="auto"/>
            <w:left w:val="none" w:sz="0" w:space="0" w:color="auto"/>
            <w:bottom w:val="none" w:sz="0" w:space="0" w:color="auto"/>
            <w:right w:val="none" w:sz="0" w:space="0" w:color="auto"/>
          </w:divBdr>
        </w:div>
        <w:div w:id="856692564">
          <w:marLeft w:val="0"/>
          <w:marRight w:val="0"/>
          <w:marTop w:val="0"/>
          <w:marBottom w:val="0"/>
          <w:divBdr>
            <w:top w:val="none" w:sz="0" w:space="0" w:color="auto"/>
            <w:left w:val="none" w:sz="0" w:space="0" w:color="auto"/>
            <w:bottom w:val="none" w:sz="0" w:space="0" w:color="auto"/>
            <w:right w:val="none" w:sz="0" w:space="0" w:color="auto"/>
          </w:divBdr>
        </w:div>
      </w:divsChild>
    </w:div>
    <w:div w:id="1236011406">
      <w:bodyDiv w:val="1"/>
      <w:marLeft w:val="0"/>
      <w:marRight w:val="0"/>
      <w:marTop w:val="0"/>
      <w:marBottom w:val="0"/>
      <w:divBdr>
        <w:top w:val="none" w:sz="0" w:space="0" w:color="auto"/>
        <w:left w:val="none" w:sz="0" w:space="0" w:color="auto"/>
        <w:bottom w:val="none" w:sz="0" w:space="0" w:color="auto"/>
        <w:right w:val="none" w:sz="0" w:space="0" w:color="auto"/>
      </w:divBdr>
      <w:divsChild>
        <w:div w:id="177814760">
          <w:marLeft w:val="0"/>
          <w:marRight w:val="0"/>
          <w:marTop w:val="0"/>
          <w:marBottom w:val="0"/>
          <w:divBdr>
            <w:top w:val="none" w:sz="0" w:space="0" w:color="auto"/>
            <w:left w:val="none" w:sz="0" w:space="0" w:color="auto"/>
            <w:bottom w:val="none" w:sz="0" w:space="0" w:color="auto"/>
            <w:right w:val="none" w:sz="0" w:space="0" w:color="auto"/>
          </w:divBdr>
        </w:div>
        <w:div w:id="947935426">
          <w:marLeft w:val="0"/>
          <w:marRight w:val="0"/>
          <w:marTop w:val="0"/>
          <w:marBottom w:val="0"/>
          <w:divBdr>
            <w:top w:val="none" w:sz="0" w:space="0" w:color="auto"/>
            <w:left w:val="none" w:sz="0" w:space="0" w:color="auto"/>
            <w:bottom w:val="none" w:sz="0" w:space="0" w:color="auto"/>
            <w:right w:val="none" w:sz="0" w:space="0" w:color="auto"/>
          </w:divBdr>
        </w:div>
        <w:div w:id="982806495">
          <w:marLeft w:val="0"/>
          <w:marRight w:val="0"/>
          <w:marTop w:val="0"/>
          <w:marBottom w:val="0"/>
          <w:divBdr>
            <w:top w:val="none" w:sz="0" w:space="0" w:color="auto"/>
            <w:left w:val="none" w:sz="0" w:space="0" w:color="auto"/>
            <w:bottom w:val="none" w:sz="0" w:space="0" w:color="auto"/>
            <w:right w:val="none" w:sz="0" w:space="0" w:color="auto"/>
          </w:divBdr>
        </w:div>
        <w:div w:id="1994095567">
          <w:marLeft w:val="0"/>
          <w:marRight w:val="0"/>
          <w:marTop w:val="0"/>
          <w:marBottom w:val="0"/>
          <w:divBdr>
            <w:top w:val="none" w:sz="0" w:space="0" w:color="auto"/>
            <w:left w:val="none" w:sz="0" w:space="0" w:color="auto"/>
            <w:bottom w:val="none" w:sz="0" w:space="0" w:color="auto"/>
            <w:right w:val="none" w:sz="0" w:space="0" w:color="auto"/>
          </w:divBdr>
        </w:div>
        <w:div w:id="1640576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F91D7-8D6D-46F7-A0F4-D0CDEE187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1162</Words>
  <Characters>6974</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Kozlowski Pawel</dc:creator>
  <cp:lastModifiedBy>Wójcik Aleksandra</cp:lastModifiedBy>
  <cp:revision>4</cp:revision>
  <dcterms:created xsi:type="dcterms:W3CDTF">2018-12-21T15:52:00Z</dcterms:created>
  <dcterms:modified xsi:type="dcterms:W3CDTF">2018-12-21T15:59:00Z</dcterms:modified>
</cp:coreProperties>
</file>