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DA0" w:rsidRDefault="00B02DA0" w:rsidP="00EF699A">
      <w:pPr>
        <w:spacing w:after="0" w:line="360" w:lineRule="auto"/>
        <w:jc w:val="both"/>
        <w:rPr>
          <w:rFonts w:ascii="Garamond" w:eastAsia="Times New Roman" w:hAnsi="Garamond" w:cs="Times New Roman"/>
          <w:sz w:val="28"/>
          <w:szCs w:val="28"/>
          <w:lang w:eastAsia="pl-PL"/>
        </w:rPr>
      </w:pPr>
      <w:bookmarkStart w:id="0" w:name="_GoBack"/>
      <w:bookmarkEnd w:id="0"/>
    </w:p>
    <w:p w:rsidR="00B02DA0" w:rsidRDefault="00EA1AE8" w:rsidP="00B02DA0">
      <w:pPr>
        <w:spacing w:after="0" w:line="360" w:lineRule="auto"/>
        <w:ind w:firstLine="708"/>
        <w:jc w:val="center"/>
        <w:rPr>
          <w:rFonts w:ascii="Garamond" w:eastAsia="Times New Roman" w:hAnsi="Garamond" w:cs="Times New Roman"/>
          <w:b/>
          <w:sz w:val="28"/>
          <w:szCs w:val="28"/>
          <w:lang w:eastAsia="pl-PL"/>
        </w:rPr>
      </w:pPr>
      <w:r>
        <w:rPr>
          <w:rFonts w:ascii="Garamond" w:eastAsia="Times New Roman" w:hAnsi="Garamond" w:cs="Times New Roman"/>
          <w:b/>
          <w:sz w:val="28"/>
          <w:szCs w:val="28"/>
          <w:lang w:eastAsia="pl-PL"/>
        </w:rPr>
        <w:t>Stanowisko</w:t>
      </w:r>
      <w:r w:rsidR="00B02DA0" w:rsidRPr="00B02DA0">
        <w:rPr>
          <w:rFonts w:ascii="Garamond" w:eastAsia="Times New Roman" w:hAnsi="Garamond" w:cs="Times New Roman"/>
          <w:b/>
          <w:sz w:val="28"/>
          <w:szCs w:val="28"/>
          <w:lang w:eastAsia="pl-PL"/>
        </w:rPr>
        <w:t xml:space="preserve"> Rządu </w:t>
      </w:r>
    </w:p>
    <w:p w:rsidR="00B02DA0" w:rsidRPr="00B02DA0" w:rsidRDefault="00B02DA0" w:rsidP="00B02DA0">
      <w:pPr>
        <w:spacing w:after="0" w:line="360" w:lineRule="auto"/>
        <w:ind w:firstLine="708"/>
        <w:jc w:val="center"/>
        <w:rPr>
          <w:rFonts w:ascii="Garamond" w:eastAsia="Times New Roman" w:hAnsi="Garamond" w:cs="Times New Roman"/>
          <w:b/>
          <w:sz w:val="28"/>
          <w:szCs w:val="28"/>
          <w:lang w:eastAsia="pl-PL"/>
        </w:rPr>
      </w:pPr>
      <w:r w:rsidRPr="00B02DA0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>w sprawie senackiego pr</w:t>
      </w:r>
      <w:r w:rsidR="00D80473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>ojektu ustawy o zmianie ustawy –</w:t>
      </w:r>
      <w:r w:rsidRPr="00B02DA0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 xml:space="preserve"> Kodeks pos</w:t>
      </w:r>
      <w:r w:rsidR="00FF5494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>tępowania karnego (druk nr</w:t>
      </w:r>
      <w:r w:rsidR="001515EC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 xml:space="preserve"> 3193</w:t>
      </w:r>
      <w:r w:rsidRPr="00B02DA0">
        <w:rPr>
          <w:rFonts w:ascii="Garamond" w:eastAsia="Times New Roman" w:hAnsi="Garamond" w:cs="Times New Roman"/>
          <w:b/>
          <w:bCs/>
          <w:sz w:val="28"/>
          <w:szCs w:val="28"/>
          <w:lang w:eastAsia="pl-PL"/>
        </w:rPr>
        <w:t>)</w:t>
      </w:r>
    </w:p>
    <w:p w:rsidR="00B02DA0" w:rsidRDefault="00B02DA0" w:rsidP="00B02DA0">
      <w:pPr>
        <w:spacing w:after="0" w:line="360" w:lineRule="auto"/>
        <w:ind w:firstLine="708"/>
        <w:jc w:val="both"/>
        <w:rPr>
          <w:rFonts w:ascii="Garamond" w:eastAsia="Times New Roman" w:hAnsi="Garamond" w:cs="Times New Roman"/>
          <w:sz w:val="28"/>
          <w:szCs w:val="28"/>
          <w:lang w:eastAsia="pl-PL"/>
        </w:rPr>
      </w:pPr>
    </w:p>
    <w:p w:rsidR="00B02DA0" w:rsidRDefault="00B02DA0" w:rsidP="00B02DA0">
      <w:pPr>
        <w:spacing w:after="0" w:line="360" w:lineRule="auto"/>
        <w:ind w:firstLine="708"/>
        <w:jc w:val="both"/>
        <w:rPr>
          <w:rFonts w:ascii="Garamond" w:eastAsia="Times New Roman" w:hAnsi="Garamond" w:cs="Times New Roman"/>
          <w:sz w:val="28"/>
          <w:szCs w:val="28"/>
          <w:lang w:eastAsia="pl-PL"/>
        </w:rPr>
      </w:pPr>
    </w:p>
    <w:p w:rsidR="00B02DA0" w:rsidRDefault="00B02DA0" w:rsidP="00B02DA0">
      <w:pPr>
        <w:spacing w:after="0" w:line="360" w:lineRule="auto"/>
        <w:ind w:firstLine="708"/>
        <w:jc w:val="both"/>
        <w:rPr>
          <w:rFonts w:ascii="Garamond" w:eastAsia="Calibri" w:hAnsi="Garamond" w:cs="Times New Roman"/>
          <w:sz w:val="28"/>
          <w:szCs w:val="28"/>
        </w:rPr>
      </w:pPr>
      <w:r w:rsidRPr="00256F56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Przygotowany przez senacką Komisję Ustawodawczą </w:t>
      </w:r>
      <w:r w:rsidRPr="00256F56">
        <w:rPr>
          <w:rFonts w:ascii="Garamond" w:eastAsia="Times New Roman" w:hAnsi="Garamond" w:cs="Times New Roman"/>
          <w:i/>
          <w:sz w:val="28"/>
          <w:szCs w:val="28"/>
          <w:lang w:eastAsia="pl-PL"/>
        </w:rPr>
        <w:t xml:space="preserve">projekt ustawy o zmianie ustawy – Kodeks postępowania karnego </w:t>
      </w:r>
      <w:r w:rsidRPr="00256F56">
        <w:rPr>
          <w:rFonts w:ascii="Garamond" w:eastAsia="Calibri" w:hAnsi="Garamond" w:cs="Times New Roman"/>
          <w:sz w:val="28"/>
          <w:szCs w:val="28"/>
        </w:rPr>
        <w:t>zmienia obowiązujący</w:t>
      </w:r>
      <w:r>
        <w:rPr>
          <w:rFonts w:ascii="Garamond" w:eastAsia="Calibri" w:hAnsi="Garamond" w:cs="Times New Roman"/>
          <w:sz w:val="28"/>
          <w:szCs w:val="28"/>
        </w:rPr>
        <w:t xml:space="preserve"> stan prawny, w którym wyłączono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 możliwość wniesienia </w:t>
      </w:r>
      <w:r w:rsidR="00D80473">
        <w:rPr>
          <w:rFonts w:ascii="Garamond" w:eastAsia="Calibri" w:hAnsi="Garamond" w:cs="Times New Roman"/>
          <w:sz w:val="28"/>
          <w:szCs w:val="28"/>
        </w:rPr>
        <w:t>zażalenia na postanowienie sądu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 wydane na podstawie art. 56 § 2 k.p.k.</w:t>
      </w:r>
      <w:r w:rsidR="00E64213">
        <w:rPr>
          <w:rFonts w:ascii="Garamond" w:eastAsia="Calibri" w:hAnsi="Garamond" w:cs="Times New Roman"/>
          <w:sz w:val="28"/>
          <w:szCs w:val="28"/>
        </w:rPr>
        <w:t xml:space="preserve"> </w:t>
      </w:r>
      <w:r w:rsidRPr="00256F56">
        <w:rPr>
          <w:rFonts w:ascii="Garamond" w:eastAsia="Calibri" w:hAnsi="Garamond" w:cs="Times New Roman"/>
          <w:sz w:val="28"/>
          <w:szCs w:val="28"/>
        </w:rPr>
        <w:t>(</w:t>
      </w:r>
      <w:r w:rsidR="00E64213">
        <w:rPr>
          <w:rFonts w:ascii="Garamond" w:eastAsia="Calibri" w:hAnsi="Garamond" w:cs="Times New Roman"/>
          <w:sz w:val="28"/>
          <w:szCs w:val="28"/>
        </w:rPr>
        <w:t>sytuacja, gdy podmiot nie jest uprawniony do 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występowania w roli oskarżyciela posiłkowego lub akt oskarżenia albo </w:t>
      </w:r>
      <w:r>
        <w:rPr>
          <w:rFonts w:ascii="Garamond" w:eastAsia="Calibri" w:hAnsi="Garamond" w:cs="Times New Roman"/>
          <w:sz w:val="28"/>
          <w:szCs w:val="28"/>
        </w:rPr>
        <w:t>oświadczenie o przystąpieniu do </w:t>
      </w:r>
      <w:r w:rsidRPr="00256F56">
        <w:rPr>
          <w:rFonts w:ascii="Garamond" w:eastAsia="Calibri" w:hAnsi="Garamond" w:cs="Times New Roman"/>
          <w:sz w:val="28"/>
          <w:szCs w:val="28"/>
        </w:rPr>
        <w:t>postępowania w charakterze oskarżyciela</w:t>
      </w:r>
      <w:r>
        <w:rPr>
          <w:rFonts w:ascii="Garamond" w:eastAsia="Calibri" w:hAnsi="Garamond" w:cs="Times New Roman"/>
          <w:sz w:val="28"/>
          <w:szCs w:val="28"/>
        </w:rPr>
        <w:t xml:space="preserve"> posiłkowego zostały złożone po 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terminie), </w:t>
      </w:r>
      <w:r w:rsidR="00E64213">
        <w:rPr>
          <w:rFonts w:ascii="Garamond" w:eastAsia="Calibri" w:hAnsi="Garamond" w:cs="Times New Roman"/>
          <w:sz w:val="28"/>
          <w:szCs w:val="28"/>
        </w:rPr>
        <w:t xml:space="preserve">jeżeli rozstrzygnięcie sądu </w:t>
      </w:r>
      <w:r w:rsidRPr="00256F56">
        <w:rPr>
          <w:rFonts w:ascii="Garamond" w:eastAsia="Calibri" w:hAnsi="Garamond" w:cs="Times New Roman"/>
          <w:sz w:val="28"/>
          <w:szCs w:val="28"/>
        </w:rPr>
        <w:t>dotyczy oskarżyciela posiłkowego ubocznego określonego w art. 54 § 1 k.p.k. (który wyraża wolę wzięcia udziału w postępowaniu obok oskarżyciela publicznego)</w:t>
      </w:r>
      <w:r>
        <w:rPr>
          <w:rFonts w:ascii="Garamond" w:eastAsia="Calibri" w:hAnsi="Garamond" w:cs="Times New Roman"/>
          <w:sz w:val="28"/>
          <w:szCs w:val="28"/>
        </w:rPr>
        <w:t>,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 albo </w:t>
      </w:r>
      <w:r w:rsidR="00587CD4">
        <w:rPr>
          <w:rFonts w:ascii="Garamond" w:eastAsia="Calibri" w:hAnsi="Garamond" w:cs="Times New Roman"/>
          <w:sz w:val="28"/>
          <w:szCs w:val="28"/>
        </w:rPr>
        <w:t>oskarżyciela</w:t>
      </w:r>
      <w:r w:rsidR="00E64213">
        <w:rPr>
          <w:rFonts w:ascii="Garamond" w:eastAsia="Calibri" w:hAnsi="Garamond" w:cs="Times New Roman"/>
          <w:sz w:val="28"/>
          <w:szCs w:val="28"/>
        </w:rPr>
        <w:t xml:space="preserve"> określonego w </w:t>
      </w:r>
      <w:r w:rsidRPr="00256F56">
        <w:rPr>
          <w:rFonts w:ascii="Garamond" w:eastAsia="Calibri" w:hAnsi="Garamond" w:cs="Times New Roman"/>
          <w:sz w:val="28"/>
          <w:szCs w:val="28"/>
        </w:rPr>
        <w:t>art. 55 § 3 k.p.k. (któr</w:t>
      </w:r>
      <w:r>
        <w:rPr>
          <w:rFonts w:ascii="Garamond" w:eastAsia="Calibri" w:hAnsi="Garamond" w:cs="Times New Roman"/>
          <w:sz w:val="28"/>
          <w:szCs w:val="28"/>
        </w:rPr>
        <w:t>y wyraża wolę wzięcia udziału w </w:t>
      </w:r>
      <w:r w:rsidRPr="00256F56">
        <w:rPr>
          <w:rFonts w:ascii="Garamond" w:eastAsia="Calibri" w:hAnsi="Garamond" w:cs="Times New Roman"/>
          <w:sz w:val="28"/>
          <w:szCs w:val="28"/>
        </w:rPr>
        <w:t>postępowaniu obok oskarżyciela posiłkowego subsydiarnego, który złożył subsydiarny akt oskarżenia).</w:t>
      </w:r>
    </w:p>
    <w:p w:rsidR="00B02DA0" w:rsidRPr="00256F56" w:rsidRDefault="00B02DA0" w:rsidP="00B02DA0">
      <w:pPr>
        <w:spacing w:after="0" w:line="360" w:lineRule="auto"/>
        <w:ind w:firstLine="708"/>
        <w:jc w:val="both"/>
        <w:rPr>
          <w:rFonts w:ascii="Garamond" w:eastAsia="Calibri" w:hAnsi="Garamond" w:cs="Times New Roman"/>
          <w:sz w:val="28"/>
          <w:szCs w:val="28"/>
        </w:rPr>
      </w:pPr>
      <w:r>
        <w:rPr>
          <w:rFonts w:ascii="Garamond" w:eastAsia="Calibri" w:hAnsi="Garamond" w:cs="Times New Roman"/>
          <w:sz w:val="28"/>
          <w:szCs w:val="28"/>
        </w:rPr>
        <w:t xml:space="preserve">Projekt </w:t>
      </w:r>
      <w:r w:rsidRPr="00256F56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stanowi wykonanie wyroku Trybunału Konstytucyjnego z dnia </w:t>
      </w:r>
      <w:r w:rsidRPr="00256F56">
        <w:rPr>
          <w:rFonts w:ascii="Garamond" w:eastAsia="Calibri" w:hAnsi="Garamond" w:cs="Times New Roman"/>
          <w:bCs/>
          <w:sz w:val="28"/>
          <w:szCs w:val="28"/>
        </w:rPr>
        <w:t>16</w:t>
      </w:r>
      <w:r w:rsidR="005C49E7">
        <w:rPr>
          <w:rFonts w:ascii="Garamond" w:eastAsia="Calibri" w:hAnsi="Garamond" w:cs="Times New Roman"/>
          <w:bCs/>
          <w:sz w:val="28"/>
          <w:szCs w:val="28"/>
        </w:rPr>
        <w:t> </w:t>
      </w:r>
      <w:r w:rsidRPr="00256F56">
        <w:rPr>
          <w:rFonts w:ascii="Garamond" w:eastAsia="Calibri" w:hAnsi="Garamond" w:cs="Times New Roman"/>
          <w:bCs/>
          <w:sz w:val="28"/>
          <w:szCs w:val="28"/>
        </w:rPr>
        <w:t xml:space="preserve">maja </w:t>
      </w:r>
      <w:r w:rsidRPr="00256F56">
        <w:rPr>
          <w:rFonts w:ascii="Garamond" w:eastAsia="Calibri" w:hAnsi="Garamond" w:cs="Times New Roman"/>
          <w:sz w:val="28"/>
          <w:szCs w:val="28"/>
        </w:rPr>
        <w:t>2018 r. (sygn. akt K 12/15</w:t>
      </w:r>
      <w:r>
        <w:rPr>
          <w:rFonts w:ascii="Garamond" w:eastAsia="Calibri" w:hAnsi="Garamond" w:cs="Times New Roman"/>
          <w:sz w:val="28"/>
          <w:szCs w:val="28"/>
        </w:rPr>
        <w:t>)</w:t>
      </w:r>
      <w:r w:rsidRPr="00256F56">
        <w:rPr>
          <w:rFonts w:ascii="Garamond" w:eastAsia="Calibri" w:hAnsi="Garamond" w:cs="Times New Roman"/>
          <w:sz w:val="28"/>
          <w:szCs w:val="28"/>
        </w:rPr>
        <w:t>. Wyrokiem tym Trybunał Konstytucyjny orzekł, że</w:t>
      </w:r>
      <w:r w:rsidRPr="00256F56">
        <w:rPr>
          <w:rFonts w:ascii="Garamond" w:eastAsia="Calibri" w:hAnsi="Garamond" w:cs="Times New Roman"/>
          <w:sz w:val="28"/>
          <w:szCs w:val="28"/>
          <w:vertAlign w:val="superscript"/>
        </w:rPr>
        <w:t xml:space="preserve"> </w:t>
      </w:r>
      <w:r w:rsidRPr="00256F56">
        <w:rPr>
          <w:rFonts w:ascii="Garamond" w:eastAsiaTheme="minorEastAsia" w:hAnsi="Garamond" w:cs="Times New Roman"/>
          <w:sz w:val="28"/>
          <w:szCs w:val="28"/>
          <w:lang w:eastAsia="pl-PL"/>
        </w:rPr>
        <w:t xml:space="preserve"> 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art. 56 § 3 </w:t>
      </w:r>
      <w:r w:rsidR="00E64213">
        <w:rPr>
          <w:rFonts w:ascii="Garamond" w:eastAsia="Calibri" w:hAnsi="Garamond" w:cs="Times New Roman"/>
          <w:sz w:val="28"/>
          <w:szCs w:val="28"/>
        </w:rPr>
        <w:t xml:space="preserve">k.p.k., </w:t>
      </w:r>
      <w:r>
        <w:rPr>
          <w:rFonts w:ascii="Garamond" w:eastAsia="Calibri" w:hAnsi="Garamond" w:cs="Times New Roman"/>
          <w:sz w:val="28"/>
          <w:szCs w:val="28"/>
        </w:rPr>
        <w:t>w zakresie, w </w:t>
      </w:r>
      <w:r w:rsidRPr="00256F56">
        <w:rPr>
          <w:rFonts w:ascii="Garamond" w:eastAsia="Calibri" w:hAnsi="Garamond" w:cs="Times New Roman"/>
          <w:sz w:val="28"/>
          <w:szCs w:val="28"/>
        </w:rPr>
        <w:t>jakim wyłącza dopuszczalność zaskarżenia zażaleniem postanowienia wy</w:t>
      </w:r>
      <w:r w:rsidR="00E64213">
        <w:rPr>
          <w:rFonts w:ascii="Garamond" w:eastAsia="Calibri" w:hAnsi="Garamond" w:cs="Times New Roman"/>
          <w:sz w:val="28"/>
          <w:szCs w:val="28"/>
        </w:rPr>
        <w:t xml:space="preserve">danego na podstawie art. 56 § 2 k.p.k., </w:t>
      </w:r>
      <w:r>
        <w:rPr>
          <w:rFonts w:ascii="Garamond" w:eastAsia="Calibri" w:hAnsi="Garamond" w:cs="Times New Roman"/>
          <w:sz w:val="28"/>
          <w:szCs w:val="28"/>
        </w:rPr>
        <w:t>odnoszącego się 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do oskarżyciela posiłkowego, </w:t>
      </w:r>
      <w:r w:rsidRPr="00256F56">
        <w:rPr>
          <w:rFonts w:ascii="Garamond" w:eastAsia="Calibri" w:hAnsi="Garamond" w:cs="Times New Roman"/>
          <w:bCs/>
          <w:sz w:val="28"/>
          <w:szCs w:val="28"/>
        </w:rPr>
        <w:t>jest niezgodny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 z art. 78 w związku z</w:t>
      </w:r>
      <w:r w:rsidR="005C49E7">
        <w:rPr>
          <w:rFonts w:ascii="Garamond" w:eastAsia="Calibri" w:hAnsi="Garamond" w:cs="Times New Roman"/>
          <w:sz w:val="28"/>
          <w:szCs w:val="28"/>
        </w:rPr>
        <w:t> </w:t>
      </w:r>
      <w:r w:rsidRPr="00256F56">
        <w:rPr>
          <w:rFonts w:ascii="Garamond" w:eastAsia="Calibri" w:hAnsi="Garamond" w:cs="Times New Roman"/>
          <w:sz w:val="28"/>
          <w:szCs w:val="28"/>
        </w:rPr>
        <w:t>art. 31 ust. 3</w:t>
      </w:r>
      <w:r w:rsidR="005C49E7">
        <w:rPr>
          <w:rFonts w:ascii="Garamond" w:eastAsia="Calibri" w:hAnsi="Garamond" w:cs="Times New Roman"/>
          <w:sz w:val="28"/>
          <w:szCs w:val="28"/>
        </w:rPr>
        <w:t xml:space="preserve"> </w:t>
      </w:r>
      <w:r w:rsidRPr="00256F56">
        <w:rPr>
          <w:rFonts w:ascii="Garamond" w:eastAsia="Calibri" w:hAnsi="Garamond" w:cs="Times New Roman"/>
          <w:sz w:val="28"/>
          <w:szCs w:val="28"/>
        </w:rPr>
        <w:t xml:space="preserve">Konstytucji Rzeczypospolitej Polskiej. </w:t>
      </w:r>
    </w:p>
    <w:p w:rsidR="00B02DA0" w:rsidRPr="00EF14CC" w:rsidRDefault="00B02DA0" w:rsidP="00B02DA0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Garamond" w:eastAsia="Calibri" w:hAnsi="Garamond" w:cs="Times New Roman"/>
          <w:sz w:val="28"/>
          <w:szCs w:val="28"/>
        </w:rPr>
        <w:t xml:space="preserve">Senacki projekt prawidłowo i w sposób optymalny realizuje wskazania Trybunału Konstytucyjnego, który </w:t>
      </w:r>
      <w:r w:rsidRPr="00EF14CC">
        <w:rPr>
          <w:rFonts w:ascii="Garamond" w:eastAsia="Calibri" w:hAnsi="Garamond" w:cs="Times New Roman"/>
          <w:sz w:val="28"/>
          <w:szCs w:val="28"/>
        </w:rPr>
        <w:t xml:space="preserve">stwierdził, że </w:t>
      </w:r>
      <w:r w:rsidRPr="00EF14CC">
        <w:rPr>
          <w:rFonts w:ascii="Garamond" w:hAnsi="Garamond" w:cs="Times New Roman"/>
          <w:i/>
          <w:sz w:val="28"/>
          <w:szCs w:val="28"/>
        </w:rPr>
        <w:t>dokonywana przez sąd na podstawie art. 56 § 2 k.p.k. ingerencja w prawo oskarżyciela posił</w:t>
      </w:r>
      <w:r>
        <w:rPr>
          <w:rFonts w:ascii="Garamond" w:hAnsi="Garamond" w:cs="Times New Roman"/>
          <w:i/>
          <w:sz w:val="28"/>
          <w:szCs w:val="28"/>
        </w:rPr>
        <w:t>kowego (ubocznego) do udziału w </w:t>
      </w:r>
      <w:r w:rsidRPr="00EF14CC">
        <w:rPr>
          <w:rFonts w:ascii="Garamond" w:hAnsi="Garamond" w:cs="Times New Roman"/>
          <w:i/>
          <w:sz w:val="28"/>
          <w:szCs w:val="28"/>
        </w:rPr>
        <w:t>postępowaniu sądowym ma charakter pełny i definitywny. Pełnia charakteru tej ingerencji wynika stąd, że oskarżyciel posiłkowy wskutek rozstrzygnię</w:t>
      </w:r>
      <w:r>
        <w:rPr>
          <w:rFonts w:ascii="Garamond" w:hAnsi="Garamond" w:cs="Times New Roman"/>
          <w:i/>
          <w:sz w:val="28"/>
          <w:szCs w:val="28"/>
        </w:rPr>
        <w:t xml:space="preserve">cia, że nie może brać udziału </w:t>
      </w:r>
      <w:r>
        <w:rPr>
          <w:rFonts w:ascii="Garamond" w:hAnsi="Garamond" w:cs="Times New Roman"/>
          <w:i/>
          <w:sz w:val="28"/>
          <w:szCs w:val="28"/>
        </w:rPr>
        <w:lastRenderedPageBreak/>
        <w:t>w </w:t>
      </w:r>
      <w:r w:rsidRPr="00EF14CC">
        <w:rPr>
          <w:rFonts w:ascii="Garamond" w:hAnsi="Garamond" w:cs="Times New Roman"/>
          <w:i/>
          <w:sz w:val="28"/>
          <w:szCs w:val="28"/>
        </w:rPr>
        <w:t>postępowaniu karnym przed sądem, traci status oskarżyciela posiłkowego i wszystkie wiążące się z nim uprawnienia. Pozbawienie pokrzywdzonego prawa do zaskarżenia orzeczenia sądu odbierającego mu status oskarżyciela posiłkowego, o któr</w:t>
      </w:r>
      <w:r>
        <w:rPr>
          <w:rFonts w:ascii="Garamond" w:hAnsi="Garamond" w:cs="Times New Roman"/>
          <w:i/>
          <w:sz w:val="28"/>
          <w:szCs w:val="28"/>
        </w:rPr>
        <w:t>ym mowa w art. 56 § 3 k.p.k., w </w:t>
      </w:r>
      <w:r w:rsidRPr="00EF14CC">
        <w:rPr>
          <w:rFonts w:ascii="Garamond" w:hAnsi="Garamond" w:cs="Times New Roman"/>
          <w:i/>
          <w:sz w:val="28"/>
          <w:szCs w:val="28"/>
        </w:rPr>
        <w:t>zakwestionowanym zakresie, nie przechodzi zatem testu proporcjonalności – nie jest środkiem najmniej dolegliwym ani niezbędnym w rozumieniu art. 31 ust. 3 Konstytucji. Zaskarżony przepis narusza konstytucyjne prawo do zaskarżania orzeczeń sądowych wydanych w pierwszej instancji – art. 78 Konstytucji.</w:t>
      </w:r>
    </w:p>
    <w:p w:rsidR="00B02DA0" w:rsidRDefault="00B02DA0" w:rsidP="00B02DA0">
      <w:pPr>
        <w:spacing w:after="0" w:line="360" w:lineRule="auto"/>
        <w:ind w:firstLine="709"/>
        <w:jc w:val="both"/>
        <w:rPr>
          <w:rStyle w:val="FontStyle36"/>
          <w:rFonts w:ascii="Garamond" w:hAnsi="Garamond"/>
          <w:sz w:val="28"/>
          <w:szCs w:val="28"/>
        </w:rPr>
      </w:pPr>
      <w:r w:rsidRPr="00EF14CC">
        <w:rPr>
          <w:rFonts w:ascii="Garamond" w:eastAsia="Calibri" w:hAnsi="Garamond" w:cs="Times New Roman"/>
          <w:sz w:val="28"/>
          <w:szCs w:val="28"/>
        </w:rPr>
        <w:t>Przedmiotem rozpoznania przez Trybunał, z uwagi na zakres wniosku Rzecznika Praw Obywatelskich, było jedynie zbadanie zgodności przepisu art. 56 § 3 k.p.k. w zakresie</w:t>
      </w:r>
      <w:r w:rsidR="00C748A7">
        <w:rPr>
          <w:rFonts w:ascii="Garamond" w:eastAsia="Calibri" w:hAnsi="Garamond" w:cs="Times New Roman"/>
          <w:sz w:val="28"/>
          <w:szCs w:val="28"/>
        </w:rPr>
        <w:t>,</w:t>
      </w:r>
      <w:r w:rsidRPr="00EF14CC">
        <w:rPr>
          <w:rFonts w:ascii="Garamond" w:eastAsia="Calibri" w:hAnsi="Garamond" w:cs="Times New Roman"/>
          <w:sz w:val="28"/>
          <w:szCs w:val="28"/>
        </w:rPr>
        <w:t xml:space="preserve"> w którym postanowienie sądu zostało wydane na podstawie art. 56 § 2 k.p.k. (podmiot nie jest uprawniony do występowania w roli oskarżyciela posiłkowego lub akt oskarżenia albo </w:t>
      </w:r>
      <w:r>
        <w:rPr>
          <w:rFonts w:ascii="Garamond" w:eastAsia="Calibri" w:hAnsi="Garamond" w:cs="Times New Roman"/>
          <w:sz w:val="28"/>
          <w:szCs w:val="28"/>
        </w:rPr>
        <w:t>oświadczenie o przystąpieniu do </w:t>
      </w:r>
      <w:r w:rsidRPr="00EF14CC">
        <w:rPr>
          <w:rFonts w:ascii="Garamond" w:eastAsia="Calibri" w:hAnsi="Garamond" w:cs="Times New Roman"/>
          <w:sz w:val="28"/>
          <w:szCs w:val="28"/>
        </w:rPr>
        <w:t>postępowania w charakterze oskarżyciela posiłkowego zostały złożone po termi</w:t>
      </w:r>
      <w:r w:rsidR="006C6B3E">
        <w:rPr>
          <w:rFonts w:ascii="Garamond" w:eastAsia="Calibri" w:hAnsi="Garamond" w:cs="Times New Roman"/>
          <w:sz w:val="28"/>
          <w:szCs w:val="28"/>
        </w:rPr>
        <w:t>nie), nie zaś sytuacja</w:t>
      </w:r>
      <w:r w:rsidR="00D80473">
        <w:rPr>
          <w:rFonts w:ascii="Garamond" w:eastAsia="Calibri" w:hAnsi="Garamond" w:cs="Times New Roman"/>
          <w:sz w:val="28"/>
          <w:szCs w:val="28"/>
        </w:rPr>
        <w:t>,</w:t>
      </w:r>
      <w:r w:rsidR="006C6B3E">
        <w:rPr>
          <w:rFonts w:ascii="Garamond" w:eastAsia="Calibri" w:hAnsi="Garamond" w:cs="Times New Roman"/>
          <w:sz w:val="28"/>
          <w:szCs w:val="28"/>
        </w:rPr>
        <w:t xml:space="preserve"> w której</w:t>
      </w:r>
      <w:r w:rsidRPr="00EF14CC">
        <w:rPr>
          <w:rFonts w:ascii="Garamond" w:eastAsia="Calibri" w:hAnsi="Garamond" w:cs="Times New Roman"/>
          <w:sz w:val="28"/>
          <w:szCs w:val="28"/>
        </w:rPr>
        <w:t xml:space="preserve"> posta</w:t>
      </w:r>
      <w:r>
        <w:rPr>
          <w:rFonts w:ascii="Garamond" w:eastAsia="Calibri" w:hAnsi="Garamond" w:cs="Times New Roman"/>
          <w:sz w:val="28"/>
          <w:szCs w:val="28"/>
        </w:rPr>
        <w:t>nowienie sądu zostało wydane na </w:t>
      </w:r>
      <w:r w:rsidRPr="00EF14CC">
        <w:rPr>
          <w:rFonts w:ascii="Garamond" w:eastAsia="Calibri" w:hAnsi="Garamond" w:cs="Times New Roman"/>
          <w:sz w:val="28"/>
          <w:szCs w:val="28"/>
        </w:rPr>
        <w:t xml:space="preserve">podstawie art. 56 § 1 k.p.k. (ograniczenie liczby oskarżycieli posiłkowych przez </w:t>
      </w:r>
      <w:r w:rsidRPr="00AD5316">
        <w:rPr>
          <w:rFonts w:ascii="Garamond" w:eastAsia="Calibri" w:hAnsi="Garamond" w:cs="Times New Roman"/>
          <w:sz w:val="28"/>
          <w:szCs w:val="28"/>
        </w:rPr>
        <w:t xml:space="preserve">sąd). </w:t>
      </w:r>
      <w:r>
        <w:rPr>
          <w:rFonts w:ascii="Garamond" w:eastAsia="Calibri" w:hAnsi="Garamond" w:cs="Times New Roman"/>
          <w:sz w:val="28"/>
          <w:szCs w:val="28"/>
        </w:rPr>
        <w:t>Jednakże</w:t>
      </w:r>
      <w:r w:rsidRPr="00AD5316">
        <w:rPr>
          <w:rFonts w:ascii="Garamond" w:eastAsia="Calibri" w:hAnsi="Garamond" w:cs="Times New Roman"/>
          <w:sz w:val="28"/>
          <w:szCs w:val="28"/>
        </w:rPr>
        <w:t xml:space="preserve"> </w:t>
      </w:r>
      <w:r>
        <w:rPr>
          <w:rFonts w:ascii="Garamond" w:eastAsia="Calibri" w:hAnsi="Garamond" w:cs="Times New Roman"/>
          <w:sz w:val="28"/>
          <w:szCs w:val="28"/>
        </w:rPr>
        <w:t>s</w:t>
      </w:r>
      <w:r w:rsidRPr="00AD5316">
        <w:rPr>
          <w:rFonts w:ascii="Garamond" w:eastAsia="Calibri" w:hAnsi="Garamond" w:cs="Times New Roman"/>
          <w:sz w:val="28"/>
          <w:szCs w:val="28"/>
        </w:rPr>
        <w:t>enacka Komisja Ustawodawcza w uzasadnieniu swojego projektu odniosła się również do tego ostatniego przypadku, uznając za celowe utrzymanie dotychczasowego stanu prawnego w zakresie braku możliwości wniesienia zażalenia na postanowienie</w:t>
      </w:r>
      <w:r w:rsidR="00D80473">
        <w:rPr>
          <w:rFonts w:ascii="Garamond" w:eastAsia="Calibri" w:hAnsi="Garamond" w:cs="Times New Roman"/>
          <w:sz w:val="28"/>
          <w:szCs w:val="28"/>
        </w:rPr>
        <w:t xml:space="preserve"> sądu, wydane na podstawie </w:t>
      </w:r>
      <w:r w:rsidRPr="00AD5316">
        <w:rPr>
          <w:rFonts w:ascii="Garamond" w:eastAsia="Calibri" w:hAnsi="Garamond" w:cs="Times New Roman"/>
          <w:sz w:val="28"/>
          <w:szCs w:val="28"/>
        </w:rPr>
        <w:t xml:space="preserve">art. 56 § 1 k.p.k. co do ograniczenia liczby oskarżycieli posiłkowych przez sąd. Komisja wskazała na </w:t>
      </w:r>
      <w:r w:rsidRPr="00AD5316">
        <w:rPr>
          <w:rStyle w:val="FontStyle35"/>
          <w:rFonts w:ascii="Garamond" w:hAnsi="Garamond"/>
          <w:sz w:val="28"/>
          <w:szCs w:val="28"/>
        </w:rPr>
        <w:t xml:space="preserve">ratio, </w:t>
      </w:r>
      <w:r w:rsidRPr="00AD5316">
        <w:rPr>
          <w:rStyle w:val="FontStyle36"/>
          <w:rFonts w:ascii="Garamond" w:hAnsi="Garamond"/>
          <w:sz w:val="28"/>
          <w:szCs w:val="28"/>
        </w:rPr>
        <w:t xml:space="preserve">które stoi za instytucją ograniczenia liczby oskarżycieli posiłkowych – </w:t>
      </w:r>
      <w:r>
        <w:rPr>
          <w:rStyle w:val="FontStyle36"/>
          <w:rFonts w:ascii="Garamond" w:hAnsi="Garamond"/>
          <w:sz w:val="28"/>
          <w:szCs w:val="28"/>
        </w:rPr>
        <w:t>uznając, że </w:t>
      </w:r>
      <w:r w:rsidRPr="00AD5316">
        <w:rPr>
          <w:rStyle w:val="FontStyle36"/>
          <w:rFonts w:ascii="Garamond" w:hAnsi="Garamond"/>
          <w:sz w:val="28"/>
          <w:szCs w:val="28"/>
        </w:rPr>
        <w:t>tego typu decyzja może być niezbędna dla zabezpieczenia prawidłowego toku postępowania i zarazem dla urzeczywistnienia cel</w:t>
      </w:r>
      <w:r w:rsidR="00494070">
        <w:rPr>
          <w:rStyle w:val="FontStyle36"/>
          <w:rFonts w:ascii="Garamond" w:hAnsi="Garamond"/>
          <w:sz w:val="28"/>
          <w:szCs w:val="28"/>
        </w:rPr>
        <w:t xml:space="preserve">ów oraz zasad procesu karnego </w:t>
      </w:r>
      <w:r w:rsidR="006C6B3E">
        <w:rPr>
          <w:rStyle w:val="FontStyle36"/>
          <w:rFonts w:ascii="Garamond" w:hAnsi="Garamond"/>
          <w:sz w:val="28"/>
          <w:szCs w:val="28"/>
        </w:rPr>
        <w:t>–</w:t>
      </w:r>
      <w:r w:rsidRPr="00AD5316">
        <w:rPr>
          <w:rStyle w:val="FontStyle36"/>
          <w:rFonts w:ascii="Garamond" w:hAnsi="Garamond"/>
          <w:sz w:val="28"/>
          <w:szCs w:val="28"/>
        </w:rPr>
        <w:t xml:space="preserve"> chodzi w szczególności o sytuację, gdy</w:t>
      </w:r>
      <w:r w:rsidR="005A01B5">
        <w:rPr>
          <w:rStyle w:val="FontStyle36"/>
          <w:rFonts w:ascii="Garamond" w:hAnsi="Garamond"/>
          <w:sz w:val="28"/>
          <w:szCs w:val="28"/>
        </w:rPr>
        <w:t xml:space="preserve"> oświadczenie o woli działania</w:t>
      </w:r>
      <w:r w:rsidRPr="00AD5316">
        <w:rPr>
          <w:rFonts w:ascii="Garamond" w:hAnsi="Garamond"/>
          <w:sz w:val="28"/>
          <w:szCs w:val="28"/>
        </w:rPr>
        <w:t xml:space="preserve"> </w:t>
      </w:r>
      <w:r w:rsidRPr="00AD5316">
        <w:rPr>
          <w:rStyle w:val="FontStyle36"/>
          <w:rFonts w:ascii="Garamond" w:hAnsi="Garamond"/>
          <w:sz w:val="28"/>
          <w:szCs w:val="28"/>
        </w:rPr>
        <w:t>w charakterze oskarżyciela posiłkowego mogłaby złożyć tak duża liczba pokrzywdzonych, że prowadzenie postępowani</w:t>
      </w:r>
      <w:r>
        <w:rPr>
          <w:rStyle w:val="FontStyle36"/>
          <w:rFonts w:ascii="Garamond" w:hAnsi="Garamond"/>
          <w:sz w:val="28"/>
          <w:szCs w:val="28"/>
        </w:rPr>
        <w:t>a, a </w:t>
      </w:r>
      <w:r w:rsidRPr="00AD5316">
        <w:rPr>
          <w:rStyle w:val="FontStyle36"/>
          <w:rFonts w:ascii="Garamond" w:hAnsi="Garamond"/>
          <w:sz w:val="28"/>
          <w:szCs w:val="28"/>
        </w:rPr>
        <w:t>zwłaszcza rozprawy głównej, stałoby się niemoż</w:t>
      </w:r>
      <w:r>
        <w:rPr>
          <w:rStyle w:val="FontStyle36"/>
          <w:rFonts w:ascii="Garamond" w:hAnsi="Garamond"/>
          <w:sz w:val="28"/>
          <w:szCs w:val="28"/>
        </w:rPr>
        <w:t>liwe lub znacznie utrudnione ze </w:t>
      </w:r>
      <w:r w:rsidRPr="00AD5316">
        <w:rPr>
          <w:rStyle w:val="FontStyle36"/>
          <w:rFonts w:ascii="Garamond" w:hAnsi="Garamond"/>
          <w:sz w:val="28"/>
          <w:szCs w:val="28"/>
        </w:rPr>
        <w:t>względu na brak miejsca na sali rozpraw lub gdy</w:t>
      </w:r>
      <w:r>
        <w:rPr>
          <w:rStyle w:val="FontStyle36"/>
          <w:rFonts w:ascii="Garamond" w:hAnsi="Garamond"/>
          <w:sz w:val="28"/>
          <w:szCs w:val="28"/>
        </w:rPr>
        <w:t xml:space="preserve"> zabranie głosu przez każdego z </w:t>
      </w:r>
      <w:r w:rsidRPr="00AD5316">
        <w:rPr>
          <w:rStyle w:val="FontStyle36"/>
          <w:rFonts w:ascii="Garamond" w:hAnsi="Garamond"/>
          <w:sz w:val="28"/>
          <w:szCs w:val="28"/>
        </w:rPr>
        <w:t xml:space="preserve">nich przedłużyłoby na tyle bieg postępowania, że </w:t>
      </w:r>
      <w:r w:rsidRPr="00AD5316">
        <w:rPr>
          <w:rStyle w:val="FontStyle36"/>
          <w:rFonts w:ascii="Garamond" w:hAnsi="Garamond"/>
          <w:sz w:val="28"/>
          <w:szCs w:val="28"/>
        </w:rPr>
        <w:lastRenderedPageBreak/>
        <w:t xml:space="preserve">nie byłoby szans na jego zakończenie w rozsądnym terminie, jak tego wymaga art. 45 ust. 1 Konstytucji. </w:t>
      </w:r>
    </w:p>
    <w:p w:rsidR="004A209F" w:rsidRPr="00EA1AE8" w:rsidRDefault="006C6B3E" w:rsidP="00032C33">
      <w:pPr>
        <w:spacing w:after="0" w:line="360" w:lineRule="auto"/>
        <w:ind w:firstLine="709"/>
        <w:jc w:val="both"/>
        <w:rPr>
          <w:rStyle w:val="FontStyle36"/>
          <w:rFonts w:ascii="Garamond" w:hAnsi="Garamond"/>
          <w:sz w:val="28"/>
          <w:szCs w:val="28"/>
        </w:rPr>
      </w:pPr>
      <w:r>
        <w:rPr>
          <w:rStyle w:val="FontStyle36"/>
          <w:rFonts w:ascii="Garamond" w:hAnsi="Garamond"/>
          <w:sz w:val="28"/>
          <w:szCs w:val="28"/>
        </w:rPr>
        <w:t>Trzeba jednakże wspomnieć, że</w:t>
      </w:r>
      <w:r w:rsidR="004A209F" w:rsidRPr="00EA1AE8">
        <w:rPr>
          <w:rStyle w:val="FontStyle36"/>
          <w:rFonts w:ascii="Garamond" w:hAnsi="Garamond"/>
          <w:sz w:val="28"/>
          <w:szCs w:val="28"/>
        </w:rPr>
        <w:t xml:space="preserve"> </w:t>
      </w:r>
      <w:r w:rsidR="007576CC" w:rsidRPr="00EA1AE8">
        <w:rPr>
          <w:rStyle w:val="FontStyle36"/>
          <w:rFonts w:ascii="Garamond" w:hAnsi="Garamond"/>
          <w:sz w:val="28"/>
          <w:szCs w:val="28"/>
        </w:rPr>
        <w:t xml:space="preserve">w dniu 19 lutego 2019 r. Rada Ministrów przyjęła </w:t>
      </w:r>
      <w:r w:rsidR="007576CC" w:rsidRPr="00EA1AE8">
        <w:rPr>
          <w:rStyle w:val="FontStyle36"/>
          <w:rFonts w:ascii="Garamond" w:hAnsi="Garamond"/>
          <w:i/>
          <w:sz w:val="28"/>
          <w:szCs w:val="28"/>
        </w:rPr>
        <w:t>projekt ustawy o zmianie ustawy – Kodeks postępowania karnego oraz niektórych innych ustaw</w:t>
      </w:r>
      <w:r w:rsidR="001531D6" w:rsidRPr="00EA1AE8">
        <w:rPr>
          <w:rStyle w:val="FontStyle36"/>
          <w:rFonts w:ascii="Garamond" w:hAnsi="Garamond"/>
          <w:sz w:val="28"/>
          <w:szCs w:val="28"/>
        </w:rPr>
        <w:t xml:space="preserve">. </w:t>
      </w:r>
      <w:r w:rsidR="001531D6" w:rsidRPr="00E43619">
        <w:rPr>
          <w:rStyle w:val="FontStyle36"/>
          <w:rFonts w:ascii="Garamond" w:hAnsi="Garamond"/>
          <w:sz w:val="28"/>
          <w:szCs w:val="28"/>
        </w:rPr>
        <w:t>Projekt</w:t>
      </w:r>
      <w:r w:rsidR="00A317D9" w:rsidRPr="00A317D9">
        <w:rPr>
          <w:rStyle w:val="FontStyle36"/>
          <w:rFonts w:ascii="Garamond" w:hAnsi="Garamond"/>
          <w:sz w:val="28"/>
          <w:szCs w:val="28"/>
        </w:rPr>
        <w:t xml:space="preserve"> </w:t>
      </w:r>
      <w:r w:rsidR="00D86FAF">
        <w:rPr>
          <w:rStyle w:val="FontStyle36"/>
          <w:rFonts w:ascii="Garamond" w:hAnsi="Garamond"/>
          <w:sz w:val="28"/>
          <w:szCs w:val="28"/>
        </w:rPr>
        <w:t>jest aktu</w:t>
      </w:r>
      <w:r w:rsidR="005D7213">
        <w:rPr>
          <w:rStyle w:val="FontStyle36"/>
          <w:rFonts w:ascii="Garamond" w:hAnsi="Garamond"/>
          <w:sz w:val="28"/>
          <w:szCs w:val="28"/>
        </w:rPr>
        <w:t>alni</w:t>
      </w:r>
      <w:r w:rsidR="00C748A7">
        <w:rPr>
          <w:rStyle w:val="FontStyle36"/>
          <w:rFonts w:ascii="Garamond" w:hAnsi="Garamond"/>
          <w:sz w:val="28"/>
          <w:szCs w:val="28"/>
        </w:rPr>
        <w:t>e procedowany w parlamencie (</w:t>
      </w:r>
      <w:r w:rsidR="0044489B">
        <w:rPr>
          <w:rStyle w:val="FontStyle36"/>
          <w:rFonts w:ascii="Garamond" w:hAnsi="Garamond"/>
          <w:sz w:val="28"/>
          <w:szCs w:val="28"/>
        </w:rPr>
        <w:t>druk</w:t>
      </w:r>
      <w:r w:rsidR="00C748A7">
        <w:rPr>
          <w:rStyle w:val="FontStyle36"/>
          <w:rFonts w:ascii="Garamond" w:hAnsi="Garamond"/>
          <w:sz w:val="28"/>
          <w:szCs w:val="28"/>
        </w:rPr>
        <w:t xml:space="preserve"> nr</w:t>
      </w:r>
      <w:r w:rsidR="005D7213">
        <w:rPr>
          <w:rStyle w:val="FontStyle36"/>
          <w:rFonts w:ascii="Garamond" w:hAnsi="Garamond"/>
          <w:sz w:val="28"/>
          <w:szCs w:val="28"/>
        </w:rPr>
        <w:t xml:space="preserve"> 3251).</w:t>
      </w:r>
      <w:r w:rsidR="00D86FAF">
        <w:rPr>
          <w:rStyle w:val="FontStyle36"/>
          <w:rFonts w:ascii="Garamond" w:hAnsi="Garamond"/>
          <w:sz w:val="28"/>
          <w:szCs w:val="28"/>
        </w:rPr>
        <w:t xml:space="preserve"> </w:t>
      </w:r>
      <w:r w:rsidR="005D7213">
        <w:rPr>
          <w:rStyle w:val="FontStyle36"/>
          <w:rFonts w:ascii="Garamond" w:hAnsi="Garamond"/>
          <w:sz w:val="28"/>
          <w:szCs w:val="28"/>
        </w:rPr>
        <w:t>W </w:t>
      </w:r>
      <w:r w:rsidR="00562BA4">
        <w:rPr>
          <w:rStyle w:val="FontStyle36"/>
          <w:rFonts w:ascii="Garamond" w:hAnsi="Garamond"/>
          <w:sz w:val="28"/>
          <w:szCs w:val="28"/>
        </w:rPr>
        <w:t>ramach proponowanych w ww.</w:t>
      </w:r>
      <w:r w:rsidR="001531D6" w:rsidRPr="00EA1AE8">
        <w:rPr>
          <w:rStyle w:val="FontStyle36"/>
          <w:rFonts w:ascii="Garamond" w:hAnsi="Garamond"/>
          <w:sz w:val="28"/>
          <w:szCs w:val="28"/>
        </w:rPr>
        <w:t xml:space="preserve"> projekcie rozwiązań znalazło się również wykonanie wyroku </w:t>
      </w:r>
      <w:r w:rsidR="001531D6" w:rsidRPr="00EA1AE8">
        <w:rPr>
          <w:rFonts w:ascii="Garamond" w:eastAsia="Times New Roman" w:hAnsi="Garamond" w:cs="Times New Roman"/>
          <w:sz w:val="28"/>
          <w:szCs w:val="28"/>
          <w:lang w:eastAsia="pl-PL"/>
        </w:rPr>
        <w:t xml:space="preserve">Trybunału Konstytucyjnego z dnia </w:t>
      </w:r>
      <w:r w:rsidR="001531D6" w:rsidRPr="00EA1AE8">
        <w:rPr>
          <w:rFonts w:ascii="Garamond" w:eastAsia="Calibri" w:hAnsi="Garamond" w:cs="Times New Roman"/>
          <w:bCs/>
          <w:sz w:val="28"/>
          <w:szCs w:val="28"/>
        </w:rPr>
        <w:t xml:space="preserve">16 maja </w:t>
      </w:r>
      <w:r w:rsidR="001531D6" w:rsidRPr="00EA1AE8">
        <w:rPr>
          <w:rFonts w:ascii="Garamond" w:eastAsia="Calibri" w:hAnsi="Garamond" w:cs="Times New Roman"/>
          <w:sz w:val="28"/>
          <w:szCs w:val="28"/>
        </w:rPr>
        <w:t xml:space="preserve">2018 r. (sygn. akt K 12/15). Oprócz rozwiązań analogicznych do przedłożenia senackiego, </w:t>
      </w:r>
      <w:r w:rsidR="001531D6" w:rsidRPr="00EA1AE8">
        <w:rPr>
          <w:rFonts w:ascii="Garamond" w:eastAsia="Calibri" w:hAnsi="Garamond" w:cs="Times New Roman"/>
          <w:i/>
          <w:sz w:val="28"/>
          <w:szCs w:val="28"/>
        </w:rPr>
        <w:t>stricte</w:t>
      </w:r>
      <w:r w:rsidR="001531D6" w:rsidRPr="00EA1AE8">
        <w:rPr>
          <w:rFonts w:ascii="Garamond" w:eastAsia="Calibri" w:hAnsi="Garamond" w:cs="Times New Roman"/>
          <w:sz w:val="28"/>
          <w:szCs w:val="28"/>
        </w:rPr>
        <w:t xml:space="preserve"> realizujących wyrok Trybunału, wprowadzono nadto rozwiązania, które przewidują </w:t>
      </w:r>
      <w:r w:rsidR="001531D6" w:rsidRPr="00EA1AE8">
        <w:rPr>
          <w:rStyle w:val="FontStyle20"/>
          <w:rFonts w:ascii="Garamond" w:hAnsi="Garamond"/>
          <w:sz w:val="28"/>
          <w:szCs w:val="28"/>
        </w:rPr>
        <w:t>zmodyfikowanie właściwości sądu uprawnionego do rozpoznania</w:t>
      </w:r>
      <w:r w:rsidR="00EA1AE8">
        <w:rPr>
          <w:rStyle w:val="FontStyle20"/>
          <w:rFonts w:ascii="Garamond" w:hAnsi="Garamond"/>
          <w:sz w:val="28"/>
          <w:szCs w:val="28"/>
        </w:rPr>
        <w:t xml:space="preserve"> zażalenia</w:t>
      </w:r>
      <w:r w:rsidR="00E43619">
        <w:rPr>
          <w:rStyle w:val="FontStyle20"/>
          <w:rFonts w:ascii="Garamond" w:hAnsi="Garamond"/>
          <w:sz w:val="28"/>
          <w:szCs w:val="28"/>
        </w:rPr>
        <w:t xml:space="preserve"> oskarżyciela ubocznego</w:t>
      </w:r>
      <w:r w:rsidR="001531D6" w:rsidRPr="00EA1AE8">
        <w:rPr>
          <w:rStyle w:val="FontStyle20"/>
          <w:rFonts w:ascii="Garamond" w:hAnsi="Garamond"/>
          <w:sz w:val="28"/>
          <w:szCs w:val="28"/>
        </w:rPr>
        <w:t xml:space="preserve">. W świetle obecnych zasad ogólnych, </w:t>
      </w:r>
      <w:r w:rsidR="00EA1AE8" w:rsidRPr="00EA1AE8">
        <w:rPr>
          <w:rStyle w:val="FontStyle20"/>
          <w:rFonts w:ascii="Garamond" w:hAnsi="Garamond"/>
          <w:sz w:val="28"/>
          <w:szCs w:val="28"/>
        </w:rPr>
        <w:t xml:space="preserve">jak również rozwiązań proponowanych przez Senat RP, </w:t>
      </w:r>
      <w:r w:rsidR="001531D6" w:rsidRPr="00EA1AE8">
        <w:rPr>
          <w:rStyle w:val="FontStyle20"/>
          <w:rFonts w:ascii="Garamond" w:hAnsi="Garamond"/>
          <w:sz w:val="28"/>
          <w:szCs w:val="28"/>
        </w:rPr>
        <w:t xml:space="preserve">sądem takim będzie sąd okręgowy. Ze względu na ekonomikę postępowania nie wydaje się to jednak być najtrafniejszym rozwiązaniem. Kontrola w zakresie tego, czy dana osoba powinna mieć status pokrzywdzonego, a przede wszystkim, czy oświadczenie o przystąpieniu do sprawy w charakterze oskarżyciela posiłkowego zostało złożone w terminie nie nastręcza tak istotnych trudności, aby wymagała zachowania zasady dewolutywności. </w:t>
      </w:r>
      <w:r w:rsidR="00EA1AE8">
        <w:rPr>
          <w:rStyle w:val="FontStyle20"/>
          <w:rFonts w:ascii="Garamond" w:hAnsi="Garamond"/>
          <w:sz w:val="28"/>
          <w:szCs w:val="28"/>
        </w:rPr>
        <w:t>Dlate</w:t>
      </w:r>
      <w:r>
        <w:rPr>
          <w:rStyle w:val="FontStyle20"/>
          <w:rFonts w:ascii="Garamond" w:hAnsi="Garamond"/>
          <w:sz w:val="28"/>
          <w:szCs w:val="28"/>
        </w:rPr>
        <w:t>go też w przedłożeniu rządowym</w:t>
      </w:r>
      <w:r w:rsidR="00EA1AE8">
        <w:rPr>
          <w:rStyle w:val="FontStyle20"/>
          <w:rFonts w:ascii="Garamond" w:hAnsi="Garamond"/>
          <w:sz w:val="28"/>
          <w:szCs w:val="28"/>
        </w:rPr>
        <w:t xml:space="preserve"> </w:t>
      </w:r>
      <w:r w:rsidR="00EA1AE8" w:rsidRPr="00EA1AE8">
        <w:rPr>
          <w:rStyle w:val="FontStyle20"/>
          <w:rFonts w:ascii="Garamond" w:hAnsi="Garamond"/>
          <w:sz w:val="28"/>
          <w:szCs w:val="28"/>
        </w:rPr>
        <w:t>zaproponowano</w:t>
      </w:r>
      <w:r w:rsidR="00CA7516">
        <w:rPr>
          <w:rStyle w:val="FontStyle20"/>
          <w:rFonts w:ascii="Garamond" w:hAnsi="Garamond"/>
          <w:sz w:val="28"/>
          <w:szCs w:val="28"/>
        </w:rPr>
        <w:t>,</w:t>
      </w:r>
      <w:r w:rsidR="00EA1AE8" w:rsidRPr="00EA1AE8">
        <w:rPr>
          <w:rStyle w:val="FontStyle20"/>
          <w:rFonts w:ascii="Garamond" w:hAnsi="Garamond"/>
          <w:sz w:val="28"/>
          <w:szCs w:val="28"/>
        </w:rPr>
        <w:t xml:space="preserve"> by </w:t>
      </w:r>
      <w:r w:rsidR="001531D6" w:rsidRPr="00EA1AE8">
        <w:rPr>
          <w:rStyle w:val="FontStyle20"/>
          <w:rFonts w:ascii="Garamond" w:hAnsi="Garamond"/>
          <w:sz w:val="28"/>
          <w:szCs w:val="28"/>
        </w:rPr>
        <w:t xml:space="preserve">kontroli </w:t>
      </w:r>
      <w:r w:rsidR="00EA1AE8" w:rsidRPr="00EA1AE8">
        <w:rPr>
          <w:rStyle w:val="FontStyle20"/>
          <w:rFonts w:ascii="Garamond" w:hAnsi="Garamond"/>
          <w:sz w:val="28"/>
          <w:szCs w:val="28"/>
        </w:rPr>
        <w:t>dokonywano</w:t>
      </w:r>
      <w:r w:rsidR="001531D6" w:rsidRPr="00EA1AE8">
        <w:rPr>
          <w:rStyle w:val="FontStyle20"/>
          <w:rFonts w:ascii="Garamond" w:hAnsi="Garamond"/>
          <w:sz w:val="28"/>
          <w:szCs w:val="28"/>
        </w:rPr>
        <w:t xml:space="preserve"> w trybie suspensywnym,</w:t>
      </w:r>
      <w:r w:rsidR="00EA1AE8">
        <w:rPr>
          <w:rStyle w:val="FontStyle20"/>
          <w:rFonts w:ascii="Garamond" w:hAnsi="Garamond"/>
          <w:sz w:val="28"/>
          <w:szCs w:val="28"/>
        </w:rPr>
        <w:t xml:space="preserve"> a więc przez równorzędny skład sądu</w:t>
      </w:r>
      <w:r w:rsidR="00EA1AE8" w:rsidRPr="00EA1AE8">
        <w:rPr>
          <w:rStyle w:val="FontStyle20"/>
          <w:rFonts w:ascii="Garamond" w:hAnsi="Garamond"/>
          <w:sz w:val="28"/>
          <w:szCs w:val="28"/>
        </w:rPr>
        <w:t xml:space="preserve">. </w:t>
      </w:r>
    </w:p>
    <w:p w:rsidR="00B02DA0" w:rsidRPr="00645225" w:rsidRDefault="00EA1AE8" w:rsidP="00B02DA0">
      <w:pPr>
        <w:spacing w:after="0" w:line="360" w:lineRule="auto"/>
        <w:ind w:firstLine="709"/>
        <w:jc w:val="both"/>
        <w:rPr>
          <w:rFonts w:ascii="Garamond" w:eastAsiaTheme="minorEastAsia" w:hAnsi="Garamond" w:cs="Times New Roman"/>
          <w:sz w:val="28"/>
          <w:szCs w:val="28"/>
          <w:lang w:eastAsia="pl-PL"/>
        </w:rPr>
      </w:pPr>
      <w:r>
        <w:rPr>
          <w:rStyle w:val="FontStyle36"/>
          <w:rFonts w:ascii="Garamond" w:hAnsi="Garamond"/>
          <w:sz w:val="28"/>
          <w:szCs w:val="28"/>
        </w:rPr>
        <w:t xml:space="preserve">Końcowo zatem należy stwierdzić, że co do zasady </w:t>
      </w:r>
      <w:r w:rsidR="00B02DA0">
        <w:rPr>
          <w:rFonts w:ascii="Garamond" w:eastAsiaTheme="minorEastAsia" w:hAnsi="Garamond" w:cs="Times New Roman"/>
          <w:sz w:val="28"/>
          <w:szCs w:val="28"/>
          <w:lang w:eastAsia="pl-PL"/>
        </w:rPr>
        <w:t>Rada Ministrów wyraża aprobatę dla sena</w:t>
      </w:r>
      <w:r>
        <w:rPr>
          <w:rFonts w:ascii="Garamond" w:eastAsiaTheme="minorEastAsia" w:hAnsi="Garamond" w:cs="Times New Roman"/>
          <w:sz w:val="28"/>
          <w:szCs w:val="28"/>
          <w:lang w:eastAsia="pl-PL"/>
        </w:rPr>
        <w:t xml:space="preserve">ckiej inicjatywy legislacyjnej, zastrzegając jednak potrzebę uzupełnienia zaproponowanych rozwiązań również o zmianę w zakresie właściwości sądu uprawnionego do rozpoznania zażalenia. </w:t>
      </w:r>
    </w:p>
    <w:p w:rsidR="00B02DA0" w:rsidRPr="00645225" w:rsidRDefault="00B02DA0" w:rsidP="00B02DA0">
      <w:pPr>
        <w:spacing w:line="360" w:lineRule="auto"/>
        <w:jc w:val="both"/>
        <w:rPr>
          <w:rFonts w:ascii="Garamond" w:hAnsi="Garamond"/>
          <w:sz w:val="28"/>
          <w:szCs w:val="28"/>
        </w:rPr>
      </w:pPr>
    </w:p>
    <w:p w:rsidR="00B02DA0" w:rsidRPr="00645225" w:rsidRDefault="00B02DA0" w:rsidP="00B02DA0"/>
    <w:p w:rsidR="005A3F38" w:rsidRDefault="005A3F38" w:rsidP="00B02DA0"/>
    <w:sectPr w:rsidR="005A3F38" w:rsidSect="001515EC">
      <w:foot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2B5" w:rsidRDefault="004F02B5" w:rsidP="001515EC">
      <w:pPr>
        <w:spacing w:after="0" w:line="240" w:lineRule="auto"/>
      </w:pPr>
      <w:r>
        <w:separator/>
      </w:r>
    </w:p>
  </w:endnote>
  <w:endnote w:type="continuationSeparator" w:id="0">
    <w:p w:rsidR="004F02B5" w:rsidRDefault="004F02B5" w:rsidP="00151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8000207"/>
      <w:docPartObj>
        <w:docPartGallery w:val="Page Numbers (Bottom of Page)"/>
        <w:docPartUnique/>
      </w:docPartObj>
    </w:sdtPr>
    <w:sdtEndPr/>
    <w:sdtContent>
      <w:p w:rsidR="001515EC" w:rsidRDefault="001515E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048B">
          <w:rPr>
            <w:noProof/>
          </w:rPr>
          <w:t>3</w:t>
        </w:r>
        <w:r>
          <w:fldChar w:fldCharType="end"/>
        </w:r>
      </w:p>
    </w:sdtContent>
  </w:sdt>
  <w:p w:rsidR="001515EC" w:rsidRDefault="001515E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2B5" w:rsidRDefault="004F02B5" w:rsidP="001515EC">
      <w:pPr>
        <w:spacing w:after="0" w:line="240" w:lineRule="auto"/>
      </w:pPr>
      <w:r>
        <w:separator/>
      </w:r>
    </w:p>
  </w:footnote>
  <w:footnote w:type="continuationSeparator" w:id="0">
    <w:p w:rsidR="004F02B5" w:rsidRDefault="004F02B5" w:rsidP="00151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DA0"/>
    <w:rsid w:val="00032C33"/>
    <w:rsid w:val="000F1763"/>
    <w:rsid w:val="001023B2"/>
    <w:rsid w:val="001515EC"/>
    <w:rsid w:val="001531D6"/>
    <w:rsid w:val="0044489B"/>
    <w:rsid w:val="00494070"/>
    <w:rsid w:val="004A209F"/>
    <w:rsid w:val="004F02B5"/>
    <w:rsid w:val="00562BA4"/>
    <w:rsid w:val="00587CD4"/>
    <w:rsid w:val="005922B6"/>
    <w:rsid w:val="005A01B5"/>
    <w:rsid w:val="005A3F38"/>
    <w:rsid w:val="005B652E"/>
    <w:rsid w:val="005C49E7"/>
    <w:rsid w:val="005D7213"/>
    <w:rsid w:val="00613CE9"/>
    <w:rsid w:val="00626D17"/>
    <w:rsid w:val="006C6B3E"/>
    <w:rsid w:val="006E6E9C"/>
    <w:rsid w:val="0070251C"/>
    <w:rsid w:val="007576CC"/>
    <w:rsid w:val="0085048B"/>
    <w:rsid w:val="009B3367"/>
    <w:rsid w:val="00A317D9"/>
    <w:rsid w:val="00B02DA0"/>
    <w:rsid w:val="00B24C74"/>
    <w:rsid w:val="00BC4B77"/>
    <w:rsid w:val="00C45E51"/>
    <w:rsid w:val="00C748A7"/>
    <w:rsid w:val="00CA7516"/>
    <w:rsid w:val="00D80473"/>
    <w:rsid w:val="00D86FAF"/>
    <w:rsid w:val="00E43619"/>
    <w:rsid w:val="00E64213"/>
    <w:rsid w:val="00EA1AE8"/>
    <w:rsid w:val="00EF699A"/>
    <w:rsid w:val="00F04849"/>
    <w:rsid w:val="00FD1BDA"/>
    <w:rsid w:val="00FF5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F2922E-5E90-432C-837A-E4E549459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2D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35">
    <w:name w:val="Font Style35"/>
    <w:basedOn w:val="Domylnaczcionkaakapitu"/>
    <w:uiPriority w:val="99"/>
    <w:rsid w:val="00B02DA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36">
    <w:name w:val="Font Style36"/>
    <w:basedOn w:val="Domylnaczcionkaakapitu"/>
    <w:uiPriority w:val="99"/>
    <w:rsid w:val="00B02DA0"/>
    <w:rPr>
      <w:rFonts w:ascii="Times New Roman" w:hAnsi="Times New Roman" w:cs="Times New Roman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151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5EC"/>
  </w:style>
  <w:style w:type="paragraph" w:styleId="Stopka">
    <w:name w:val="footer"/>
    <w:basedOn w:val="Normalny"/>
    <w:link w:val="StopkaZnak"/>
    <w:uiPriority w:val="99"/>
    <w:unhideWhenUsed/>
    <w:rsid w:val="001515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5EC"/>
  </w:style>
  <w:style w:type="character" w:customStyle="1" w:styleId="FontStyle20">
    <w:name w:val="Font Style20"/>
    <w:basedOn w:val="Domylnaczcionkaakapitu"/>
    <w:uiPriority w:val="99"/>
    <w:rsid w:val="001531D6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basedOn w:val="Domylnaczcionkaakapitu"/>
    <w:uiPriority w:val="99"/>
    <w:rsid w:val="001531D6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809</Words>
  <Characters>4859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Wiraszka-Bereza</dc:creator>
  <cp:lastModifiedBy>Żakowicz Karol</cp:lastModifiedBy>
  <cp:revision>2</cp:revision>
  <dcterms:created xsi:type="dcterms:W3CDTF">2019-06-06T14:00:00Z</dcterms:created>
  <dcterms:modified xsi:type="dcterms:W3CDTF">2019-06-06T14:00:00Z</dcterms:modified>
</cp:coreProperties>
</file>