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B7" w:rsidRPr="007642E0" w:rsidRDefault="003A0EB7" w:rsidP="006D0E27">
      <w:pPr>
        <w:pStyle w:val="OZNRODZAKTUtznustawalubrozporzdzenieiorganwydajcy"/>
        <w:spacing w:after="360"/>
      </w:pPr>
      <w:r w:rsidRPr="007642E0">
        <w:t>UZASADNIENIE</w:t>
      </w:r>
    </w:p>
    <w:p w:rsidR="003A0EB7" w:rsidRPr="007642E0" w:rsidRDefault="003A0EB7" w:rsidP="001D5D48">
      <w:pPr>
        <w:pStyle w:val="Tekstpodstawowy"/>
        <w:keepNext/>
        <w:spacing w:before="360"/>
        <w:rPr>
          <w:b/>
          <w:szCs w:val="24"/>
        </w:rPr>
      </w:pPr>
      <w:r w:rsidRPr="007642E0">
        <w:rPr>
          <w:b/>
          <w:szCs w:val="24"/>
        </w:rPr>
        <w:t>1. Cel projektowanej ustawy</w:t>
      </w:r>
    </w:p>
    <w:p w:rsidR="003A0EB7" w:rsidRPr="007642E0" w:rsidRDefault="003A0EB7" w:rsidP="002D22FF">
      <w:pPr>
        <w:pStyle w:val="NIEARTTEKSTtekstnieartykuowanynppreambua"/>
      </w:pPr>
      <w:r w:rsidRPr="007642E0">
        <w:t>Celem projektu jest podniesienie do rangi ustawy regulacji ograniczających uprawnienia budowalne poprzez przeniesienie przepisów rozdziału 4 rozporządzenia Ministra Infrastruktury i Rozwoju z dnia 11 września 2014 r. w sprawie samodzielnych funkcji technicznych w budownictwie regulujących zakres uprawnień budowlanych (</w:t>
      </w:r>
      <w:r w:rsidRPr="007642E0">
        <w:rPr>
          <w:rFonts w:cs="Times"/>
        </w:rPr>
        <w:t>§</w:t>
      </w:r>
      <w:r w:rsidRPr="007642E0">
        <w:t xml:space="preserve"> 10-15) do ustawy z dnia 7 lipca 1994 r. - Prawo budowlane.</w:t>
      </w:r>
    </w:p>
    <w:p w:rsidR="003A0EB7" w:rsidRPr="007642E0" w:rsidRDefault="003A0EB7" w:rsidP="00484C52">
      <w:pPr>
        <w:pStyle w:val="NIEARTTEKSTtekstnieartykuowanynppreambua"/>
      </w:pPr>
      <w:r w:rsidRPr="007642E0">
        <w:t xml:space="preserve">Projekt dostosowuje system prawa do </w:t>
      </w:r>
      <w:r>
        <w:t>wyroku</w:t>
      </w:r>
      <w:r w:rsidRPr="007642E0">
        <w:t xml:space="preserve"> Trybunału Konstytucyjnego z dnia z</w:t>
      </w:r>
      <w:r>
        <w:t> </w:t>
      </w:r>
      <w:r w:rsidRPr="007642E0">
        <w:t>7</w:t>
      </w:r>
      <w:r>
        <w:t> </w:t>
      </w:r>
      <w:r w:rsidRPr="007642E0">
        <w:t>lutego 2018 r. (sygn. akt K 39/15). Jego pełna treść wraz z uzasadnieniem została ogłoszona w OTK ZU A, poz. 9.</w:t>
      </w:r>
    </w:p>
    <w:p w:rsidR="003A0EB7" w:rsidRPr="007642E0" w:rsidRDefault="003A0EB7" w:rsidP="001D5D48">
      <w:pPr>
        <w:pStyle w:val="Tekstpodstawowy"/>
        <w:keepNext/>
        <w:spacing w:before="360"/>
        <w:rPr>
          <w:b/>
          <w:szCs w:val="24"/>
        </w:rPr>
      </w:pPr>
      <w:r w:rsidRPr="007642E0">
        <w:rPr>
          <w:b/>
          <w:szCs w:val="24"/>
        </w:rPr>
        <w:t>2. Przedmiot i istota rozstrzygnięcia Trybunału Konstytucyjnego</w:t>
      </w:r>
    </w:p>
    <w:p w:rsidR="003A0EB7" w:rsidRPr="007642E0" w:rsidRDefault="003A0EB7" w:rsidP="00CB1123">
      <w:pPr>
        <w:pStyle w:val="ARTartustawynprozporzdzenia"/>
        <w:rPr>
          <w:bCs/>
        </w:rPr>
      </w:pPr>
      <w:r w:rsidRPr="007642E0">
        <w:rPr>
          <w:bCs/>
        </w:rPr>
        <w:t>2.1. TK orzekł, że art. 16 pkt 3 ustawy z dnia 7 lipca 1994 r. - Prawo budowlane w zakresie, w jakim upoważnia właściwego ministra do określenia „ograniczenia zakresu uprawnień budowlanych”, oraz nie zawiera w tym zakresie wytycznych do treści rozporządzenia, jest niezgodny z art. 65 ust. 1 w związku z art. 31 ust. 3 Konstytucji.</w:t>
      </w:r>
    </w:p>
    <w:p w:rsidR="003A0EB7" w:rsidRPr="007642E0" w:rsidRDefault="003A0EB7" w:rsidP="002D22FF">
      <w:pPr>
        <w:pStyle w:val="ARTartustawynprozporzdzenia"/>
      </w:pPr>
      <w:r w:rsidRPr="007642E0">
        <w:rPr>
          <w:bCs/>
        </w:rPr>
        <w:t xml:space="preserve">2.2. </w:t>
      </w:r>
      <w:r w:rsidRPr="007642E0">
        <w:t xml:space="preserve">Ustawa - Prawo budowlane normuje działalność obejmującą sprawy projektowania, budowy, utrzymania i rozbiórki obiektów budowlanych oraz określa zasady działania organów administracji publicznej w tych dziedzinach. W rozdziale 2 ustawy określono funkcje w budownictwie (m.in. projektowanie, kierowanie budową), które mogą wykonywać wyłącznie osoby posiadające odpowiednie wykształcenie techniczne i praktykę zawodową, stwierdzone decyzją, zwaną dalej „uprawnieniami budowlanymi”, wydaną przez organ samorządu zawodowego. Ustawa reguluje w jakich specjalnościach udzielane są uprawnienia budowlane, a także jakie wykształcenie i praktyka są wymagane dla danego rodzaju specjalności do projektowania lub kierowania robotami budowlanymi bez ograniczeń albo w ograniczonym zakresie. Przepis art. 16 ustawy przewiduje, że minister właściwy do spraw budownictwa, planowania i zagospodarowania przestrzennego oraz mieszkalnictwa w porozumieniu z ministrem właściwym do spraw szkolnictwa wyższego określi, w drodze rozporządzenia: 1) rodzaje i zakres przygotowania zawodowego do wykonywania samodzielnych funkcji technicznych w budownictwie, 2) sposób stwierdzania posiadania przygotowania zawodowego i jego weryfikacji, 3) </w:t>
      </w:r>
      <w:r w:rsidRPr="007642E0">
        <w:rPr>
          <w:rStyle w:val="Ppogrubienie"/>
        </w:rPr>
        <w:t>ograniczenia zakresu uprawnień budowlanych</w:t>
      </w:r>
      <w:r w:rsidRPr="007642E0">
        <w:t xml:space="preserve"> - mając na względzie zapewnienie przejrzystego i sprawnego przeprowadzania czynności związanych z nadawaniem uprawnień budowlanych, a także uznawaniem praktyk zawodowych. Wydane rozporządzenie określa, jakie kierunki studiów lub zawodów pozwalają na uzyskanie uprawnień budowlanych w poszczególnych specjalnościach i wykonywanie jakich prac lub czynności może być uznane za praktykę zawodową. </w:t>
      </w:r>
      <w:r w:rsidRPr="007642E0">
        <w:lastRenderedPageBreak/>
        <w:t xml:space="preserve">Przedmiotem rozstrzygnięcia był pkt 3 przepisu pozwalający ministrowi ograniczać zakres uprawnień budowlanych. </w:t>
      </w:r>
      <w:r w:rsidRPr="007642E0">
        <w:rPr>
          <w:rStyle w:val="Ppogrubienie"/>
        </w:rPr>
        <w:t>Regulacja ograniczająca polega na tym, że w samej ustawie przewidziane są „przyczyny” ograniczenia, a w rozporządzeniu definiuje się, na czym ograniczenie uprawnień polega</w:t>
      </w:r>
      <w:r w:rsidRPr="007642E0">
        <w:t xml:space="preserve">. Np. w art. 14 w ust. 3 ustawy pkt 1 i 2 przewidują, że uzyskanie uprawnień budowlanych wymaga: 1) do projektowania </w:t>
      </w:r>
      <w:r w:rsidRPr="007642E0">
        <w:rPr>
          <w:rStyle w:val="Ppogrubienie"/>
        </w:rPr>
        <w:t>bez ograniczeń</w:t>
      </w:r>
      <w:r w:rsidRPr="007642E0">
        <w:t xml:space="preserve"> - ukończenia </w:t>
      </w:r>
      <w:r w:rsidRPr="007642E0">
        <w:rPr>
          <w:rStyle w:val="Ppogrubienie"/>
        </w:rPr>
        <w:t>studiów drugiego stopnia na kierunku odpowiednim</w:t>
      </w:r>
      <w:r w:rsidRPr="007642E0">
        <w:t xml:space="preserve"> dla danej specjalności, a 2) do projektowania </w:t>
      </w:r>
      <w:r w:rsidRPr="007642E0">
        <w:rPr>
          <w:rStyle w:val="Ppogrubienie"/>
        </w:rPr>
        <w:t>w ograniczonym zakresie</w:t>
      </w:r>
      <w:r w:rsidRPr="007642E0">
        <w:t xml:space="preserve"> - ukończenia </w:t>
      </w:r>
      <w:r w:rsidRPr="007642E0">
        <w:rPr>
          <w:rStyle w:val="Ppogrubienie"/>
        </w:rPr>
        <w:t>studiów pierwszego stopnia na kierunku odpowiednim</w:t>
      </w:r>
      <w:r w:rsidRPr="007642E0">
        <w:t xml:space="preserve"> dla danej specjalności lub </w:t>
      </w:r>
      <w:r w:rsidRPr="007642E0">
        <w:rPr>
          <w:rStyle w:val="Ppogrubienie"/>
        </w:rPr>
        <w:t>studiów drugiego stopnia na kierunku pokrewnym</w:t>
      </w:r>
      <w:r w:rsidRPr="007642E0">
        <w:t xml:space="preserve"> dla danej specjalności. W rozporządzeniu (§ 11 ust. 1 i 2) przewidziano zaś np., że uprawnienia budowlane w specjalności architektonicznej: 1) </w:t>
      </w:r>
      <w:r w:rsidRPr="007642E0">
        <w:rPr>
          <w:rStyle w:val="Ppogrubienie"/>
        </w:rPr>
        <w:t>bez ograniczeń</w:t>
      </w:r>
      <w:r w:rsidRPr="007642E0">
        <w:t xml:space="preserve"> uprawniają do projektowania lub kierowania robotami budowlanymi, w odniesieniu do architektury obiektu, a 2) </w:t>
      </w:r>
      <w:r w:rsidRPr="007642E0">
        <w:rPr>
          <w:rStyle w:val="Ppogrubienie"/>
        </w:rPr>
        <w:t>w ograniczonym zakresie</w:t>
      </w:r>
      <w:r w:rsidRPr="007642E0">
        <w:t xml:space="preserve"> - w odniesieniu do architektury obiektu </w:t>
      </w:r>
      <w:r w:rsidRPr="007642E0">
        <w:rPr>
          <w:rStyle w:val="Ppogrubienie"/>
        </w:rPr>
        <w:t>o kubaturze do 1000 m</w:t>
      </w:r>
      <w:r w:rsidRPr="007642E0">
        <w:rPr>
          <w:rStyle w:val="Ppogrubienie"/>
          <w:vertAlign w:val="superscript"/>
        </w:rPr>
        <w:t>3</w:t>
      </w:r>
      <w:r w:rsidRPr="007642E0">
        <w:rPr>
          <w:rStyle w:val="Ppogrubienie"/>
        </w:rPr>
        <w:t xml:space="preserve"> w zabudowie zagrodowej lub na terenie zabudowy zagrodowej</w:t>
      </w:r>
      <w:r w:rsidRPr="007642E0">
        <w:t xml:space="preserve">. Ponadto, w rozporządzeniu określono, które kierunki studiów wyższych są </w:t>
      </w:r>
      <w:r w:rsidRPr="007642E0">
        <w:rPr>
          <w:rStyle w:val="Ppogrubienie"/>
        </w:rPr>
        <w:t>odpowiednie</w:t>
      </w:r>
      <w:r w:rsidRPr="007642E0">
        <w:t xml:space="preserve">, a które </w:t>
      </w:r>
      <w:r w:rsidRPr="007642E0">
        <w:rPr>
          <w:rStyle w:val="Ppogrubienie"/>
        </w:rPr>
        <w:t>pokrewne</w:t>
      </w:r>
      <w:r w:rsidRPr="007642E0">
        <w:t xml:space="preserve"> dla danej specjalności oraz które </w:t>
      </w:r>
      <w:r w:rsidRPr="007642E0">
        <w:rPr>
          <w:rStyle w:val="Ppogrubienie"/>
        </w:rPr>
        <w:t>zawody</w:t>
      </w:r>
      <w:r w:rsidRPr="007642E0">
        <w:t xml:space="preserve"> (np. technik architekt, technik budownictwa) są związane z daną specjalnością.</w:t>
      </w:r>
    </w:p>
    <w:p w:rsidR="003A0EB7" w:rsidRPr="007642E0" w:rsidRDefault="003A0EB7" w:rsidP="002D22FF">
      <w:pPr>
        <w:pStyle w:val="ARTartustawynprozporzdzenia"/>
      </w:pPr>
      <w:r w:rsidRPr="007642E0">
        <w:t>2.3. Przepis art. 65 ust. 1 Konstytucji stanowi, że każdemu zapewnia się wolność wyboru i wykonywania zawodu oraz wyboru miejsca pracy; wyjątki określa ustawa; art. 31 ust. 3 - iż ograniczenia w zakresie korzystania z konstytucyjnych wolności i praw mogą być ustanawiane tylko w ustawie i tylko wtedy, gdy są konieczne w demokratycznym państwie dla jego bezpieczeństwa lub porządku publicznego, bądź dla ochrony środowiska, zdrowia i moralności publicznej, albo wolności i praw innych osób; ograniczenia te nie mogą naruszać istoty wolności i praw. Zdaniem TK „wyrażona w art. 65 ust. 1 Konstytucji wolność pracy może być ograniczona tylko w akcie rangi ustawy. Musi istnieć funkcjonalny związek ograniczenia z realizacją wskazanych wartości (…). Nadto w państwie demokratycznym powinna istnieć konieczność wprowadzenia takiego ograniczenia (tzw. zasada proporcjonalności) z uwzględnieniem jednak zakazu naruszania istoty danego prawa lub wolności.</w:t>
      </w:r>
    </w:p>
    <w:p w:rsidR="003A0EB7" w:rsidRPr="007642E0" w:rsidRDefault="003A0EB7" w:rsidP="002D22FF">
      <w:pPr>
        <w:pStyle w:val="ARTartustawynprozporzdzenia"/>
      </w:pPr>
      <w:r w:rsidRPr="007642E0">
        <w:t xml:space="preserve"> „Nie oznacza to jednocześnie generalnego zakazu uregulowania kwestii ograniczeń w zakresie wolności wykonywania zawodu w rozporządzeniu. Trybunał (…) wskazał, że wymaganie zupełności ustawowej powinno być egzekwowane z pełnym rygoryzmem w odniesieniu do ograniczenia praw i wolności o charakterze politycznym i osobistym. Natomiast unormowanie praw i wolności ekonomicznych i socjalnych może pozostawiać pewne miejsce dla regulacji wykonawczych. Niemniej jednak zasadnicze elementy regulacji prawnej dotyczącej ograniczeń praw i wolności ekonomicznych i socjalnych musi określać ustawa”.</w:t>
      </w:r>
    </w:p>
    <w:p w:rsidR="003A0EB7" w:rsidRPr="007642E0" w:rsidRDefault="003A0EB7" w:rsidP="002D22FF">
      <w:pPr>
        <w:pStyle w:val="ARTartustawynprozporzdzenia"/>
        <w:rPr>
          <w:b/>
        </w:rPr>
      </w:pPr>
      <w:r w:rsidRPr="007642E0">
        <w:rPr>
          <w:b/>
        </w:rPr>
        <w:lastRenderedPageBreak/>
        <w:t xml:space="preserve">„W ustawie nie wskazano jednak zakresu uprawnień w ramach wymienionych wyżej kategorii zarówno tych nadawanych bez ograniczeń, jak i tych w ograniczonym zakresie. Zostały one określone w rozdziale 4 rozporządzenia </w:t>
      </w:r>
      <w:r w:rsidRPr="007642E0">
        <w:rPr>
          <w:rFonts w:cs="Times"/>
          <w:b/>
        </w:rPr>
        <w:t>«</w:t>
      </w:r>
      <w:r w:rsidRPr="007642E0">
        <w:rPr>
          <w:b/>
        </w:rPr>
        <w:t>zakres uprawnień budowlanych</w:t>
      </w:r>
      <w:r w:rsidRPr="007642E0">
        <w:rPr>
          <w:rFonts w:cs="Times"/>
          <w:b/>
        </w:rPr>
        <w:t>»</w:t>
      </w:r>
      <w:r w:rsidRPr="007642E0">
        <w:rPr>
          <w:b/>
        </w:rPr>
        <w:t>, w § 10-15”. „Brak jakichkolwiek regulacji w tym przedmiocie w ustawie oznacza niedopuszczalność delegowania kompetencji organom wykonawczym do ich unormowania w rozporządzeniu. Władza wykonawcza nie może zastępować władzy ustawodawczej.</w:t>
      </w:r>
    </w:p>
    <w:p w:rsidR="003A0EB7" w:rsidRPr="007642E0" w:rsidRDefault="003A0EB7" w:rsidP="002D22FF">
      <w:pPr>
        <w:pStyle w:val="ARTartustawynprozporzdzenia"/>
      </w:pPr>
      <w:r w:rsidRPr="007642E0">
        <w:t>Zakres uprawnień budowlanych i ewentualne ich ograniczenia to materia zastrzeżona wyłącznie dla ustawy. Dlatego też przepis upoważniający do wydania rozporządzenia nie może przekazywać uregulowania istoty danej kwestii w akcie podustawowym. W porządku prawnym, w którym podstawowym źródłem prawa powszechnie obowiązującego, oprócz Konstytucji, jest ustawa, ustawodawca nie może w dowolnym zakresie i w dowolny sposób cedować funkcji prawodawczych na organy władzy wykonawczej”.</w:t>
      </w:r>
    </w:p>
    <w:p w:rsidR="003A0EB7" w:rsidRDefault="003A0EB7" w:rsidP="002D22FF">
      <w:pPr>
        <w:pStyle w:val="ARTartustawynprozporzdzenia"/>
      </w:pPr>
      <w:r w:rsidRPr="007642E0">
        <w:t xml:space="preserve">Zdaniem TK „wprawdzie zasada wyłączności ustawy w odniesieniu do wolności wykonywania zawodu nie powinna być odczytywana nadmiernie rygorystycznie i nie jest </w:t>
      </w:r>
      <w:r w:rsidRPr="007642E0">
        <w:rPr>
          <w:rStyle w:val="Kkursywa"/>
        </w:rPr>
        <w:t>a limine</w:t>
      </w:r>
      <w:r w:rsidRPr="007642E0">
        <w:t xml:space="preserve"> wykluczone regulowanie ograniczeń uprawnień budowlanych na poziomie podustawowym, to </w:t>
      </w:r>
      <w:r w:rsidRPr="007642E0">
        <w:rPr>
          <w:b/>
        </w:rPr>
        <w:t>rozwiązanie takie należałoby uznać za dopuszczalne, gdyby w ustawie znalazły się wszystkie istotne (kierunkowe) rozstrzygnięcia w tej materii, a do unormowania w rozporządzeniu pozostawiono jedynie zagadnienia ściśle techniczne, o znacznym stopniu szczegółowości lub podlegające częstym zmianom</w:t>
      </w:r>
      <w:r w:rsidRPr="007642E0">
        <w:t>. W takim wypadku ograniczenia uprawnień budowlanych wynikałyby z ustawy, a regulacja podustawowa miałaby jedynie charakter uzupełniający, niestwarzający zagrożenia konstytucyjnej wolności wykonywania zawodu.</w:t>
      </w:r>
    </w:p>
    <w:p w:rsidR="003A0EB7" w:rsidRPr="007642E0" w:rsidRDefault="003A0EB7" w:rsidP="002D22FF">
      <w:pPr>
        <w:pStyle w:val="ARTartustawynprozporzdzenia"/>
      </w:pPr>
    </w:p>
    <w:p w:rsidR="003A0EB7" w:rsidRDefault="003A0EB7" w:rsidP="002D22FF">
      <w:pPr>
        <w:pStyle w:val="ARTartustawynprozporzdzenia"/>
      </w:pPr>
      <w:r w:rsidRPr="007642E0">
        <w:t xml:space="preserve">(…) Obowiązkiem ustawodawcy było </w:t>
      </w:r>
      <w:r w:rsidRPr="007642E0">
        <w:rPr>
          <w:b/>
        </w:rPr>
        <w:t>określenie czynności, które mogą wykonywać osoby posiadające uprawnienia budowlane bez ograniczeń albo uprawnienia w ograniczonym zakresie, a także wskazanie ograniczeń w ramach powyższych kategorii</w:t>
      </w:r>
      <w:r w:rsidRPr="007642E0">
        <w:t>”.</w:t>
      </w:r>
    </w:p>
    <w:p w:rsidR="003A0EB7" w:rsidRPr="007642E0" w:rsidRDefault="003A0EB7" w:rsidP="0018591E">
      <w:pPr>
        <w:pStyle w:val="Tekstpodstawowy"/>
        <w:keepNext/>
        <w:spacing w:before="360"/>
        <w:rPr>
          <w:b/>
          <w:szCs w:val="24"/>
        </w:rPr>
      </w:pPr>
      <w:r w:rsidRPr="007642E0">
        <w:rPr>
          <w:b/>
          <w:szCs w:val="24"/>
        </w:rPr>
        <w:t>3. Różnice między dotychczasowym a projektowanym stanem prawnym</w:t>
      </w:r>
    </w:p>
    <w:p w:rsidR="003A0EB7" w:rsidRPr="007642E0" w:rsidRDefault="003A0EB7" w:rsidP="002D22FF">
      <w:pPr>
        <w:pStyle w:val="ARTartustawynprozporzdzenia"/>
      </w:pPr>
      <w:r w:rsidRPr="007642E0">
        <w:t>Istotą projektu jest przeniesienie przepisów rozdziału 4 rozporządzenia Ministra Infrastruktury i Rozwoju z dnia 11 września 2014 r. w sprawie samodzielnych funkcji technicznych w budownictwie regulujących zakres uprawnień budowlanych (§ 10-15) do ustawy z dnia 7 lipca 1994 r. - Prawo budowlane.</w:t>
      </w:r>
    </w:p>
    <w:p w:rsidR="003A0EB7" w:rsidRPr="007642E0" w:rsidRDefault="003A0EB7" w:rsidP="00DC4739">
      <w:pPr>
        <w:pStyle w:val="ARTartustawynprozporzdzenia"/>
      </w:pPr>
      <w:r w:rsidRPr="007642E0">
        <w:t xml:space="preserve">TK odroczył utratę mocy obowiązującej </w:t>
      </w:r>
      <w:r>
        <w:t xml:space="preserve">zakwestionowanych </w:t>
      </w:r>
      <w:r w:rsidRPr="007642E0">
        <w:t>przepisów</w:t>
      </w:r>
      <w:r>
        <w:t xml:space="preserve"> o 12 miesięcy</w:t>
      </w:r>
      <w:r w:rsidRPr="007642E0">
        <w:t xml:space="preserve">. </w:t>
      </w:r>
      <w:r>
        <w:t>Konieczna n</w:t>
      </w:r>
      <w:r w:rsidRPr="007642E0">
        <w:t xml:space="preserve">owelizacja mogłaby polegać (1) na skonstruowaniu w ustawie ogólnych </w:t>
      </w:r>
      <w:r w:rsidRPr="007642E0">
        <w:lastRenderedPageBreak/>
        <w:t>przepisów, w</w:t>
      </w:r>
      <w:r>
        <w:t> </w:t>
      </w:r>
      <w:r w:rsidRPr="007642E0">
        <w:t xml:space="preserve">tym wytycznych do rozporządzenia, regulujących zakres uprawnień budowalnych osób posiadających poszczególne poziomy i profile wykształcenia albo (2) na prostym przeniesieniu przepisów § 10-15 rozporządzenia do ustawy. Każde z tych rozwiązać ma swoje wady i zalety. </w:t>
      </w:r>
      <w:r>
        <w:t>Ze względu na potrzebę szybkiej</w:t>
      </w:r>
      <w:r w:rsidRPr="007642E0">
        <w:t xml:space="preserve"> interwencji ustawodawczej</w:t>
      </w:r>
      <w:r>
        <w:t>, przyję</w:t>
      </w:r>
      <w:r w:rsidRPr="007642E0">
        <w:t xml:space="preserve">to </w:t>
      </w:r>
      <w:r>
        <w:t xml:space="preserve">ostatnie </w:t>
      </w:r>
      <w:r w:rsidRPr="007642E0">
        <w:t xml:space="preserve">rozwiązanie. Jego wadą jest większa sztywność przepisów. </w:t>
      </w:r>
      <w:r>
        <w:t>Ponadto, p</w:t>
      </w:r>
      <w:r w:rsidRPr="007642E0">
        <w:t>odniesione do rangi ustawy przepisy regulujące zakres uprawnień budowlanych nadal niejednokrotnie odsyłają do innych przepisów (także rozporządzeniowych)</w:t>
      </w:r>
      <w:r>
        <w:t>, ale</w:t>
      </w:r>
      <w:r w:rsidRPr="007642E0">
        <w:t xml:space="preserve"> regulujących kwestie techniczne. Całość regulacji dotyczącej uprawnień budowlanych polega bowiem na pionowym i poziomym podziale zakresu uprawnień i ich podstaw. Pionowy podział uprawnień to </w:t>
      </w:r>
      <w:r w:rsidRPr="007642E0">
        <w:rPr>
          <w:b/>
        </w:rPr>
        <w:t>podział na specjalności</w:t>
      </w:r>
      <w:r w:rsidRPr="007642E0">
        <w:t xml:space="preserve"> (zależne głównie do kierunku wykształcenia). Choć specjalności są wymienione z nazwy w</w:t>
      </w:r>
      <w:r>
        <w:t xml:space="preserve"> </w:t>
      </w:r>
      <w:r w:rsidRPr="007642E0">
        <w:t>ustawie (np. architektoniczna, konstrukcyjno-budowalna, inżynieryjna mostowa), to zakres uprawnień (uprawnienia budowlane bez ograniczeń i w ograniczonym zakresie) był regulowany dotychczas w rozporządzeniu (co w</w:t>
      </w:r>
      <w:r>
        <w:t> </w:t>
      </w:r>
      <w:r w:rsidRPr="007642E0">
        <w:t xml:space="preserve">zaproponowanej nowelizacji ulega zmianie). Poziomy podział uprawnień natomiast to </w:t>
      </w:r>
      <w:r w:rsidRPr="007642E0">
        <w:rPr>
          <w:b/>
        </w:rPr>
        <w:t>podział w ramach poszczególnych specjalności na dwa zakresy: bez ograniczeń i</w:t>
      </w:r>
      <w:r>
        <w:rPr>
          <w:b/>
        </w:rPr>
        <w:t> </w:t>
      </w:r>
      <w:r w:rsidRPr="007642E0">
        <w:rPr>
          <w:b/>
        </w:rPr>
        <w:t>w</w:t>
      </w:r>
      <w:r>
        <w:rPr>
          <w:b/>
        </w:rPr>
        <w:t> </w:t>
      </w:r>
      <w:r w:rsidRPr="007642E0">
        <w:rPr>
          <w:b/>
        </w:rPr>
        <w:t>ograniczonym zakresie</w:t>
      </w:r>
      <w:r w:rsidRPr="007642E0">
        <w:t xml:space="preserve"> (</w:t>
      </w:r>
      <w:r>
        <w:t>ten również, zgodnie z wyrokiem TK, będzie regulowany w ustawie</w:t>
      </w:r>
      <w:r w:rsidRPr="007642E0">
        <w:t>). W zależności od rodzaju specjalności poziomy podział polega najogólniej mówiąc na ustaleniu „rozmiaru” budowli. Np. w</w:t>
      </w:r>
      <w:r>
        <w:t> </w:t>
      </w:r>
      <w:r w:rsidRPr="007642E0">
        <w:t>specjalności architektonicznej i</w:t>
      </w:r>
      <w:r>
        <w:t> </w:t>
      </w:r>
      <w:r w:rsidRPr="007642E0">
        <w:t>konstrukcyjno-budowlanej uprawnienia budowlane w</w:t>
      </w:r>
      <w:r>
        <w:t> </w:t>
      </w:r>
      <w:r w:rsidRPr="007642E0">
        <w:t>ograniczonym zakresie uprawniają do działalności w odniesieniu do obiektu o kubaturze do 1000 m</w:t>
      </w:r>
      <w:r w:rsidRPr="007642E0">
        <w:rPr>
          <w:vertAlign w:val="superscript"/>
        </w:rPr>
        <w:t>3</w:t>
      </w:r>
      <w:r w:rsidRPr="007642E0">
        <w:t>. Uprawnienia budowlane w</w:t>
      </w:r>
      <w:r>
        <w:t> </w:t>
      </w:r>
      <w:r w:rsidRPr="007642E0">
        <w:t>specjalności inżynieryjnej drogowej w ograniczonym zakresie uprawniają do działalności w zakresie dróg klasy lokalnej i dojazdowej oraz wewnętrznej (w rozumieniu przepisów o</w:t>
      </w:r>
      <w:r>
        <w:t> </w:t>
      </w:r>
      <w:r w:rsidRPr="007642E0">
        <w:t>drogach publicznych), a w pełnym zakresie - obejmują także autostrady oraz drogi ekspresowe, główne ruchu przyspieszonego, główne i</w:t>
      </w:r>
      <w:r>
        <w:t> </w:t>
      </w:r>
      <w:r w:rsidRPr="007642E0">
        <w:t>zbiorcze. Należy jednak zwrócić uwagę, że klasy (nazwy) dróg i ich parametry znów są ustalone w innym rozporządzeniu, a</w:t>
      </w:r>
      <w:r>
        <w:t> </w:t>
      </w:r>
      <w:r w:rsidRPr="007642E0">
        <w:t>nie ustawie (rozporządzenie Ministra Transportu i</w:t>
      </w:r>
      <w:r>
        <w:t> </w:t>
      </w:r>
      <w:r w:rsidRPr="007642E0">
        <w:t>Gospodarki Morskiej z dnia 2 marca 1999 r. w sprawie warunków technicznych, jakim powinny odpowiadać drogi publiczne i ich usytuowanie). W przypadku niektórych innych specjalności, zakres uprawnień również należy „czytać” łącznie z przepisami innych rozporządzeń. Rozporządzenia te, co prawda nie regulują zakresu uprawnień budowalnych (nie temu służą), ale w praktyce ich treść i ich kolejne nowelizacje, mogą wpływać na zakres nadawanych uprawnień budowlanych.</w:t>
      </w:r>
    </w:p>
    <w:p w:rsidR="003A0EB7" w:rsidRDefault="003A0EB7" w:rsidP="00DC4739">
      <w:pPr>
        <w:pStyle w:val="ARTartustawynprozporzdzenia"/>
      </w:pPr>
      <w:r w:rsidRPr="007642E0">
        <w:t xml:space="preserve">Należy też zwrócić uwagę, że TK w wyroku zakwestionował też § 22 pkt 1 rozporządzenia Ministra Infrastruktury i Rozwoju z dnia 11 września 2014 r. w sprawie samodzielnych funkcji technicznych w budownictwie oraz Lp. 7 i 8 załącznika nr 2, a także Lp. 5 i 6 załącznika nr 3 do tego rozporządzenia, ze względu na ich niezgodność z art. 14 ust. 1 pkt 3 lit. c i art. 16 ustawy - Prawo budowlane. Zakwestionowane przepisy w miejsce przewidzianej przez ustawę specjalności - inżynieria kolejowa - wprowadziły dwie nieznane ustawie i bez jej upoważnienia - inżynieryjna kolejowa w zakresie kolejowych obiektów </w:t>
      </w:r>
      <w:r w:rsidRPr="007642E0">
        <w:lastRenderedPageBreak/>
        <w:t>budowlanych, inżynieryjna kolejowa w zakresie sterowania ruchem kolejowym. W zaproponowanej ustawie w miejsce tej jednej ustawowej specjalności wprowadza się dwie przewidziane dotychczas przez rozporządzenie.</w:t>
      </w:r>
    </w:p>
    <w:p w:rsidR="003A0EB7" w:rsidRDefault="003A0EB7" w:rsidP="00EB495B">
      <w:pPr>
        <w:pStyle w:val="Tekstpodstawowy"/>
        <w:keepNext/>
        <w:spacing w:before="360"/>
        <w:rPr>
          <w:b/>
          <w:szCs w:val="24"/>
        </w:rPr>
      </w:pPr>
      <w:r>
        <w:rPr>
          <w:b/>
          <w:szCs w:val="24"/>
        </w:rPr>
        <w:t>4. Konsultacje</w:t>
      </w:r>
    </w:p>
    <w:p w:rsidR="003A0EB7" w:rsidRDefault="003A0EB7" w:rsidP="00EB495B">
      <w:pPr>
        <w:pStyle w:val="ARTartustawynprozporzdzenia"/>
      </w:pPr>
      <w:r>
        <w:t>Nadesłane w ramach konsultacji opinie i uwagi są zamieszczone na senackiej stronie internetowej. Wyniki konsultacji przedstawiono w Ocenie Skutków Regulacji.</w:t>
      </w:r>
    </w:p>
    <w:p w:rsidR="003A0EB7" w:rsidRPr="007642E0" w:rsidRDefault="003A0EB7" w:rsidP="00C62C0C">
      <w:pPr>
        <w:pStyle w:val="akapit"/>
        <w:keepNext/>
        <w:spacing w:before="240"/>
        <w:ind w:firstLine="0"/>
        <w:rPr>
          <w:b/>
          <w:szCs w:val="24"/>
        </w:rPr>
      </w:pPr>
      <w:r>
        <w:rPr>
          <w:b/>
          <w:szCs w:val="24"/>
        </w:rPr>
        <w:t>5</w:t>
      </w:r>
      <w:r w:rsidRPr="007642E0">
        <w:rPr>
          <w:b/>
          <w:szCs w:val="24"/>
        </w:rPr>
        <w:t>. Oświadczenie o zgodności z prawem Unii Europejskiej</w:t>
      </w:r>
    </w:p>
    <w:p w:rsidR="003A0EB7" w:rsidRPr="001330AF" w:rsidRDefault="003A0EB7" w:rsidP="00A254B4">
      <w:pPr>
        <w:pStyle w:val="NIEARTTEKSTtekstnieartykuowanynppreambua"/>
      </w:pPr>
      <w:r w:rsidRPr="007642E0">
        <w:t>Projektowana ustawa jest zgodna z prawem Unii Europejskiej.</w:t>
      </w:r>
    </w:p>
    <w:p w:rsidR="002E3AB4" w:rsidRPr="002E3AB4" w:rsidRDefault="002E3AB4" w:rsidP="002E3AB4">
      <w:pPr>
        <w:widowControl/>
        <w:autoSpaceDE/>
        <w:autoSpaceDN/>
        <w:adjustRightInd/>
        <w:spacing w:line="240" w:lineRule="auto"/>
        <w:jc w:val="left"/>
        <w:rPr>
          <w:rFonts w:eastAsia="Times New Roman"/>
          <w:b/>
          <w:bCs/>
          <w:kern w:val="32"/>
          <w:sz w:val="20"/>
        </w:rPr>
      </w:pPr>
      <w:bookmarkStart w:id="0" w:name="_GoBack"/>
      <w:bookmarkEnd w:id="0"/>
    </w:p>
    <w:sectPr w:rsidR="002E3AB4" w:rsidRPr="002E3AB4" w:rsidSect="002E3AB4">
      <w:headerReference w:type="default" r:id="rId8"/>
      <w:headerReference w:type="first" r:id="rId9"/>
      <w:pgSz w:w="11906" w:h="16838"/>
      <w:pgMar w:top="284" w:right="1435" w:bottom="284" w:left="1418" w:header="709" w:footer="28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D42" w:rsidRDefault="00E74D42">
      <w:r>
        <w:separator/>
      </w:r>
    </w:p>
  </w:endnote>
  <w:endnote w:type="continuationSeparator" w:id="0">
    <w:p w:rsidR="00E74D42" w:rsidRDefault="00E7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D42" w:rsidRDefault="00E74D42">
      <w:r>
        <w:separator/>
      </w:r>
    </w:p>
  </w:footnote>
  <w:footnote w:type="continuationSeparator" w:id="0">
    <w:p w:rsidR="00E74D42" w:rsidRDefault="00E7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7" w:rsidRPr="002E3AB4" w:rsidRDefault="003A0EB7" w:rsidP="003A0EB7">
    <w:pPr>
      <w:pStyle w:val="Nagwek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7" w:rsidRPr="002E3AB4" w:rsidRDefault="003A0EB7" w:rsidP="002E3AB4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401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3A5A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C4B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A05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12A6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21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CF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9E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E2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ACB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E1671D"/>
    <w:multiLevelType w:val="hybridMultilevel"/>
    <w:tmpl w:val="4436434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6F0FD2"/>
    <w:multiLevelType w:val="hybridMultilevel"/>
    <w:tmpl w:val="ECB0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F812B9"/>
    <w:multiLevelType w:val="hybridMultilevel"/>
    <w:tmpl w:val="0D82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4A9702E"/>
    <w:multiLevelType w:val="hybridMultilevel"/>
    <w:tmpl w:val="D34C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5"/>
  </w:num>
  <w:num w:numId="12">
    <w:abstractNumId w:val="10"/>
  </w:num>
  <w:num w:numId="13">
    <w:abstractNumId w:val="16"/>
  </w:num>
  <w:num w:numId="14">
    <w:abstractNumId w:val="29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8"/>
  </w:num>
  <w:num w:numId="29">
    <w:abstractNumId w:val="41"/>
  </w:num>
  <w:num w:numId="30">
    <w:abstractNumId w:val="37"/>
  </w:num>
  <w:num w:numId="31">
    <w:abstractNumId w:val="20"/>
  </w:num>
  <w:num w:numId="32">
    <w:abstractNumId w:val="12"/>
  </w:num>
  <w:num w:numId="33">
    <w:abstractNumId w:val="34"/>
  </w:num>
  <w:num w:numId="34">
    <w:abstractNumId w:val="22"/>
  </w:num>
  <w:num w:numId="35">
    <w:abstractNumId w:val="18"/>
  </w:num>
  <w:num w:numId="36">
    <w:abstractNumId w:val="24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2"/>
  </w:num>
  <w:num w:numId="42">
    <w:abstractNumId w:val="23"/>
  </w:num>
  <w:num w:numId="43">
    <w:abstractNumId w:val="39"/>
  </w:num>
  <w:num w:numId="44">
    <w:abstractNumId w:val="13"/>
  </w:num>
  <w:num w:numId="45">
    <w:abstractNumId w:val="26"/>
  </w:num>
  <w:num w:numId="46">
    <w:abstractNumId w:val="31"/>
  </w:num>
  <w:num w:numId="47">
    <w:abstractNumId w:val="36"/>
  </w:num>
  <w:num w:numId="48">
    <w:abstractNumId w:val="1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F1"/>
    <w:rsid w:val="000012DA"/>
    <w:rsid w:val="00012A35"/>
    <w:rsid w:val="00016099"/>
    <w:rsid w:val="00023471"/>
    <w:rsid w:val="00023F13"/>
    <w:rsid w:val="00030634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533B"/>
    <w:rsid w:val="000760BF"/>
    <w:rsid w:val="0007613E"/>
    <w:rsid w:val="000814A7"/>
    <w:rsid w:val="00081F49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F3D0D"/>
    <w:rsid w:val="000F6ED4"/>
    <w:rsid w:val="000F7A6E"/>
    <w:rsid w:val="001042BA"/>
    <w:rsid w:val="00106D03"/>
    <w:rsid w:val="00110465"/>
    <w:rsid w:val="00110628"/>
    <w:rsid w:val="0011245A"/>
    <w:rsid w:val="0011257D"/>
    <w:rsid w:val="0011493E"/>
    <w:rsid w:val="00115B72"/>
    <w:rsid w:val="00120A9E"/>
    <w:rsid w:val="00134CA0"/>
    <w:rsid w:val="0014026F"/>
    <w:rsid w:val="0015742A"/>
    <w:rsid w:val="00164C57"/>
    <w:rsid w:val="00164C9D"/>
    <w:rsid w:val="00173150"/>
    <w:rsid w:val="00173BB3"/>
    <w:rsid w:val="001740D0"/>
    <w:rsid w:val="00174F2C"/>
    <w:rsid w:val="00186EC1"/>
    <w:rsid w:val="00191E1F"/>
    <w:rsid w:val="00197649"/>
    <w:rsid w:val="001A10E9"/>
    <w:rsid w:val="001A183D"/>
    <w:rsid w:val="001A3CD3"/>
    <w:rsid w:val="001A5BEF"/>
    <w:rsid w:val="001A7F15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66AD"/>
    <w:rsid w:val="00221ED8"/>
    <w:rsid w:val="00223FDF"/>
    <w:rsid w:val="002279C0"/>
    <w:rsid w:val="002501A3"/>
    <w:rsid w:val="0025166C"/>
    <w:rsid w:val="00260E8C"/>
    <w:rsid w:val="002636AB"/>
    <w:rsid w:val="00264EC6"/>
    <w:rsid w:val="00271013"/>
    <w:rsid w:val="002765B4"/>
    <w:rsid w:val="00276A94"/>
    <w:rsid w:val="0029405D"/>
    <w:rsid w:val="00295A6F"/>
    <w:rsid w:val="002A20C4"/>
    <w:rsid w:val="002A7358"/>
    <w:rsid w:val="002A7902"/>
    <w:rsid w:val="002B0F6B"/>
    <w:rsid w:val="002B23B8"/>
    <w:rsid w:val="002B68A6"/>
    <w:rsid w:val="002E1DE3"/>
    <w:rsid w:val="002E2AB6"/>
    <w:rsid w:val="002E3AB4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4E3A"/>
    <w:rsid w:val="003361DD"/>
    <w:rsid w:val="00360929"/>
    <w:rsid w:val="003674B0"/>
    <w:rsid w:val="0037727C"/>
    <w:rsid w:val="00380904"/>
    <w:rsid w:val="003823EE"/>
    <w:rsid w:val="00382960"/>
    <w:rsid w:val="003846F7"/>
    <w:rsid w:val="00386785"/>
    <w:rsid w:val="00391B1A"/>
    <w:rsid w:val="00396E3E"/>
    <w:rsid w:val="003A0EB7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21085"/>
    <w:rsid w:val="00424DF7"/>
    <w:rsid w:val="00432B76"/>
    <w:rsid w:val="00435D26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2529"/>
    <w:rsid w:val="004834F1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C05BD"/>
    <w:rsid w:val="004C3F97"/>
    <w:rsid w:val="004D2E1F"/>
    <w:rsid w:val="004D7CF7"/>
    <w:rsid w:val="004D7FD9"/>
    <w:rsid w:val="004E37E5"/>
    <w:rsid w:val="004F296D"/>
    <w:rsid w:val="004F508B"/>
    <w:rsid w:val="004F695F"/>
    <w:rsid w:val="00500752"/>
    <w:rsid w:val="0050696D"/>
    <w:rsid w:val="00511D99"/>
    <w:rsid w:val="005128D3"/>
    <w:rsid w:val="005158F2"/>
    <w:rsid w:val="00526DFC"/>
    <w:rsid w:val="00527651"/>
    <w:rsid w:val="005363AB"/>
    <w:rsid w:val="00545E53"/>
    <w:rsid w:val="005479D9"/>
    <w:rsid w:val="005572BD"/>
    <w:rsid w:val="00557A12"/>
    <w:rsid w:val="00560AC7"/>
    <w:rsid w:val="00561AFB"/>
    <w:rsid w:val="005635ED"/>
    <w:rsid w:val="00570570"/>
    <w:rsid w:val="00572512"/>
    <w:rsid w:val="00573EE6"/>
    <w:rsid w:val="0057547F"/>
    <w:rsid w:val="00576497"/>
    <w:rsid w:val="005835E7"/>
    <w:rsid w:val="0058397F"/>
    <w:rsid w:val="00585F33"/>
    <w:rsid w:val="00591DBB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80058"/>
    <w:rsid w:val="00681B8C"/>
    <w:rsid w:val="006840EA"/>
    <w:rsid w:val="00685267"/>
    <w:rsid w:val="006872AE"/>
    <w:rsid w:val="006946BB"/>
    <w:rsid w:val="006969FA"/>
    <w:rsid w:val="006C4A31"/>
    <w:rsid w:val="006D0E27"/>
    <w:rsid w:val="006D45B2"/>
    <w:rsid w:val="006E0FCC"/>
    <w:rsid w:val="006E5E21"/>
    <w:rsid w:val="006F2648"/>
    <w:rsid w:val="006F2740"/>
    <w:rsid w:val="006F2F10"/>
    <w:rsid w:val="006F482B"/>
    <w:rsid w:val="006F6311"/>
    <w:rsid w:val="00711221"/>
    <w:rsid w:val="00712675"/>
    <w:rsid w:val="00713808"/>
    <w:rsid w:val="007151B6"/>
    <w:rsid w:val="0071520D"/>
    <w:rsid w:val="00715EDB"/>
    <w:rsid w:val="007160D5"/>
    <w:rsid w:val="00717C2E"/>
    <w:rsid w:val="0072457F"/>
    <w:rsid w:val="0072621B"/>
    <w:rsid w:val="00730555"/>
    <w:rsid w:val="007312CC"/>
    <w:rsid w:val="007410B6"/>
    <w:rsid w:val="00744C6F"/>
    <w:rsid w:val="00746E38"/>
    <w:rsid w:val="00753B51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6DCE"/>
    <w:rsid w:val="007E2CFE"/>
    <w:rsid w:val="007F0072"/>
    <w:rsid w:val="007F2EB6"/>
    <w:rsid w:val="007F54C3"/>
    <w:rsid w:val="00812BE5"/>
    <w:rsid w:val="00817429"/>
    <w:rsid w:val="00827820"/>
    <w:rsid w:val="00831B8B"/>
    <w:rsid w:val="008352D4"/>
    <w:rsid w:val="008415B0"/>
    <w:rsid w:val="00842842"/>
    <w:rsid w:val="008460B6"/>
    <w:rsid w:val="00852B59"/>
    <w:rsid w:val="00853780"/>
    <w:rsid w:val="008611DD"/>
    <w:rsid w:val="00866867"/>
    <w:rsid w:val="00872257"/>
    <w:rsid w:val="0087738C"/>
    <w:rsid w:val="008802AF"/>
    <w:rsid w:val="0088318F"/>
    <w:rsid w:val="0088331D"/>
    <w:rsid w:val="008852B0"/>
    <w:rsid w:val="008852C4"/>
    <w:rsid w:val="00886B60"/>
    <w:rsid w:val="008920FF"/>
    <w:rsid w:val="00896A10"/>
    <w:rsid w:val="008A5D26"/>
    <w:rsid w:val="008A6B13"/>
    <w:rsid w:val="008B3859"/>
    <w:rsid w:val="008B4E49"/>
    <w:rsid w:val="008B7B26"/>
    <w:rsid w:val="008C4229"/>
    <w:rsid w:val="008C5BE0"/>
    <w:rsid w:val="008C7233"/>
    <w:rsid w:val="008D3C09"/>
    <w:rsid w:val="008E171D"/>
    <w:rsid w:val="008E2785"/>
    <w:rsid w:val="008F0654"/>
    <w:rsid w:val="008F06CB"/>
    <w:rsid w:val="008F612A"/>
    <w:rsid w:val="0090293D"/>
    <w:rsid w:val="009034DE"/>
    <w:rsid w:val="0090605D"/>
    <w:rsid w:val="00913A42"/>
    <w:rsid w:val="009143DB"/>
    <w:rsid w:val="00917CE5"/>
    <w:rsid w:val="00925CEC"/>
    <w:rsid w:val="0092794E"/>
    <w:rsid w:val="00934E81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6EF7"/>
    <w:rsid w:val="009B7000"/>
    <w:rsid w:val="009B739C"/>
    <w:rsid w:val="009C7CA6"/>
    <w:rsid w:val="009D3316"/>
    <w:rsid w:val="009D4E85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4B"/>
    <w:rsid w:val="00A66A78"/>
    <w:rsid w:val="00A7436E"/>
    <w:rsid w:val="00A75A8E"/>
    <w:rsid w:val="00A83676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2BF2"/>
    <w:rsid w:val="00AD4E90"/>
    <w:rsid w:val="00AD5422"/>
    <w:rsid w:val="00AD7D5F"/>
    <w:rsid w:val="00AE650F"/>
    <w:rsid w:val="00AE7D16"/>
    <w:rsid w:val="00AF571A"/>
    <w:rsid w:val="00B07700"/>
    <w:rsid w:val="00B10231"/>
    <w:rsid w:val="00B1528C"/>
    <w:rsid w:val="00B1776A"/>
    <w:rsid w:val="00B21487"/>
    <w:rsid w:val="00B24DB5"/>
    <w:rsid w:val="00B31F9E"/>
    <w:rsid w:val="00B3268F"/>
    <w:rsid w:val="00B33A1A"/>
    <w:rsid w:val="00B371CC"/>
    <w:rsid w:val="00B427E6"/>
    <w:rsid w:val="00B43E1F"/>
    <w:rsid w:val="00B45FBC"/>
    <w:rsid w:val="00B51A7D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4338"/>
    <w:rsid w:val="00BB6C0E"/>
    <w:rsid w:val="00BC52FD"/>
    <w:rsid w:val="00BC6E62"/>
    <w:rsid w:val="00BD0648"/>
    <w:rsid w:val="00BD1040"/>
    <w:rsid w:val="00BD34AA"/>
    <w:rsid w:val="00BE41EC"/>
    <w:rsid w:val="00BE56FB"/>
    <w:rsid w:val="00BE7F18"/>
    <w:rsid w:val="00BF6589"/>
    <w:rsid w:val="00C00647"/>
    <w:rsid w:val="00C02764"/>
    <w:rsid w:val="00C04CEF"/>
    <w:rsid w:val="00C12E96"/>
    <w:rsid w:val="00C236C8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57333"/>
    <w:rsid w:val="00C72223"/>
    <w:rsid w:val="00C76417"/>
    <w:rsid w:val="00C7726F"/>
    <w:rsid w:val="00C8259F"/>
    <w:rsid w:val="00C84C47"/>
    <w:rsid w:val="00C86AFA"/>
    <w:rsid w:val="00CB24F5"/>
    <w:rsid w:val="00CB2663"/>
    <w:rsid w:val="00CB59E9"/>
    <w:rsid w:val="00CC3831"/>
    <w:rsid w:val="00CD5973"/>
    <w:rsid w:val="00CF09AA"/>
    <w:rsid w:val="00CF4813"/>
    <w:rsid w:val="00CF5233"/>
    <w:rsid w:val="00D029B8"/>
    <w:rsid w:val="00D02F60"/>
    <w:rsid w:val="00D07A7B"/>
    <w:rsid w:val="00D10E06"/>
    <w:rsid w:val="00D16820"/>
    <w:rsid w:val="00D301B7"/>
    <w:rsid w:val="00D32721"/>
    <w:rsid w:val="00D328DC"/>
    <w:rsid w:val="00D402FB"/>
    <w:rsid w:val="00D676F3"/>
    <w:rsid w:val="00D70EF5"/>
    <w:rsid w:val="00D71A25"/>
    <w:rsid w:val="00D71FCF"/>
    <w:rsid w:val="00D72A54"/>
    <w:rsid w:val="00D72CC1"/>
    <w:rsid w:val="00D80E7D"/>
    <w:rsid w:val="00D848B9"/>
    <w:rsid w:val="00D85990"/>
    <w:rsid w:val="00D87707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7DC1"/>
    <w:rsid w:val="00DF7648"/>
    <w:rsid w:val="00E04CEB"/>
    <w:rsid w:val="00E060BC"/>
    <w:rsid w:val="00E11420"/>
    <w:rsid w:val="00E170B7"/>
    <w:rsid w:val="00E20900"/>
    <w:rsid w:val="00E34A35"/>
    <w:rsid w:val="00E46308"/>
    <w:rsid w:val="00E51E17"/>
    <w:rsid w:val="00E539B0"/>
    <w:rsid w:val="00E55994"/>
    <w:rsid w:val="00E6307C"/>
    <w:rsid w:val="00E636FA"/>
    <w:rsid w:val="00E63BAC"/>
    <w:rsid w:val="00E66C50"/>
    <w:rsid w:val="00E679D3"/>
    <w:rsid w:val="00E71208"/>
    <w:rsid w:val="00E71444"/>
    <w:rsid w:val="00E74D42"/>
    <w:rsid w:val="00E773E8"/>
    <w:rsid w:val="00E84F38"/>
    <w:rsid w:val="00E85623"/>
    <w:rsid w:val="00E91FAE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115CA"/>
    <w:rsid w:val="00F1510F"/>
    <w:rsid w:val="00F15E5A"/>
    <w:rsid w:val="00F2668F"/>
    <w:rsid w:val="00F340B2"/>
    <w:rsid w:val="00F43390"/>
    <w:rsid w:val="00F50237"/>
    <w:rsid w:val="00F55BA8"/>
    <w:rsid w:val="00F56ACA"/>
    <w:rsid w:val="00F600FE"/>
    <w:rsid w:val="00F62E4D"/>
    <w:rsid w:val="00F711C9"/>
    <w:rsid w:val="00F831CB"/>
    <w:rsid w:val="00F848A3"/>
    <w:rsid w:val="00F85BF8"/>
    <w:rsid w:val="00F87802"/>
    <w:rsid w:val="00F92C0A"/>
    <w:rsid w:val="00F9415B"/>
    <w:rsid w:val="00FA13C2"/>
    <w:rsid w:val="00FB121C"/>
    <w:rsid w:val="00FB2C2F"/>
    <w:rsid w:val="00FC2E3D"/>
    <w:rsid w:val="00FD27B6"/>
    <w:rsid w:val="00FD3689"/>
    <w:rsid w:val="00FD42A3"/>
    <w:rsid w:val="00FD7468"/>
    <w:rsid w:val="00FD7CE0"/>
    <w:rsid w:val="00FE1BE2"/>
    <w:rsid w:val="00FE730A"/>
    <w:rsid w:val="00FF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563EE4-44B4-4A54-BF4C-AB3DE743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20F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uiPriority w:val="99"/>
    <w:semiHidden/>
    <w:rsid w:val="004C3F97"/>
    <w:pPr>
      <w:spacing w:after="600"/>
      <w:ind w:left="5245"/>
    </w:pPr>
  </w:style>
  <w:style w:type="paragraph" w:customStyle="1" w:styleId="ZLITWPKTzmlitwpktartykuempunktem">
    <w:name w:val="Z/LIT_W_PKT – zm. lit. w pkt artykułem (punktem)"/>
    <w:basedOn w:val="LITlitera"/>
    <w:uiPriority w:val="33"/>
    <w:qFormat/>
    <w:rsid w:val="00295A6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7E2CFE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A96265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95A6F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95A6F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A96265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11493E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95A6F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95A6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A96265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95A6F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A96265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95A6F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A96265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D72CC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paragraph" w:customStyle="1" w:styleId="tekstwtabeli">
    <w:name w:val="tekst w tabeli"/>
    <w:basedOn w:val="Normalny"/>
    <w:link w:val="tekstwtabeliZnak"/>
    <w:uiPriority w:val="99"/>
    <w:semiHidden/>
    <w:qFormat/>
    <w:rsid w:val="004C3F97"/>
    <w:pPr>
      <w:framePr w:hSpace="141" w:wrap="around" w:vAnchor="text" w:hAnchor="margin" w:xAlign="center" w:y="175"/>
      <w:suppressAutoHyphens/>
      <w:autoSpaceDE/>
      <w:autoSpaceDN/>
      <w:adjustRightInd/>
      <w:spacing w:before="120" w:after="120"/>
      <w:jc w:val="center"/>
    </w:pPr>
    <w:rPr>
      <w:kern w:val="1"/>
      <w:lang w:eastAsia="ar-SA"/>
    </w:rPr>
  </w:style>
  <w:style w:type="character" w:customStyle="1" w:styleId="tekstwtabeliZnak">
    <w:name w:val="tekst w tabeli Znak"/>
    <w:link w:val="tekstwtabeli"/>
    <w:uiPriority w:val="99"/>
    <w:semiHidden/>
    <w:rsid w:val="004504C0"/>
    <w:rPr>
      <w:rFonts w:ascii="Arial" w:eastAsiaTheme="minorEastAsia" w:hAnsi="Arial" w:cs="Arial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95A6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295A6F"/>
    <w:pPr>
      <w:spacing w:before="0"/>
      <w:ind w:left="510"/>
    </w:pPr>
  </w:style>
  <w:style w:type="paragraph" w:customStyle="1" w:styleId="Tabela">
    <w:name w:val="Tabela"/>
    <w:next w:val="Normalny"/>
    <w:uiPriority w:val="99"/>
    <w:semiHidden/>
    <w:rsid w:val="004C3F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295A6F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D72CC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295A6F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D72CC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basedOn w:val="Normalny"/>
    <w:next w:val="ARTartustawynprozporzdzenia"/>
    <w:link w:val="CZKSIGAoznaczenieiprzedmiotczcilubksigiZnak"/>
    <w:uiPriority w:val="5"/>
    <w:qFormat/>
    <w:rsid w:val="00295A6F"/>
    <w:pPr>
      <w:keepNext/>
      <w:suppressAutoHyphens/>
      <w:spacing w:before="120"/>
      <w:jc w:val="center"/>
    </w:pPr>
    <w:rPr>
      <w:rFonts w:ascii="Times" w:eastAsia="Times New Roman" w:hAnsi="Times" w:cs="Times New Roman"/>
      <w:b/>
      <w:bCs/>
      <w:caps/>
      <w:kern w:val="24"/>
      <w:szCs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D72CC1"/>
    <w:rPr>
      <w:b/>
      <w:bCs/>
      <w:caps/>
      <w:kern w:val="24"/>
    </w:rPr>
  </w:style>
  <w:style w:type="paragraph" w:customStyle="1" w:styleId="TYTDZPRZEDMprzedmiotregulacjitutuulubdziau">
    <w:name w:val="TYT(DZ)_PRZEDM – przedmiot regulacji tutułu lub działu"/>
    <w:basedOn w:val="Normalny"/>
    <w:next w:val="ARTartustawynprozporzdzenia"/>
    <w:link w:val="TYTDZPRZEDMprzedmiotregulacjitutuulubdziauZnak"/>
    <w:uiPriority w:val="7"/>
    <w:qFormat/>
    <w:rsid w:val="00295A6F"/>
    <w:pPr>
      <w:keepNext/>
      <w:suppressAutoHyphens/>
      <w:spacing w:before="120"/>
      <w:jc w:val="center"/>
    </w:pPr>
    <w:rPr>
      <w:rFonts w:ascii="Times" w:eastAsia="Times New Roman" w:hAnsi="Times" w:cs="Times New Roman"/>
      <w:b/>
      <w:szCs w:val="26"/>
    </w:rPr>
  </w:style>
  <w:style w:type="character" w:customStyle="1" w:styleId="TYTDZPRZEDMprzedmiotregulacjitutuulubdziauZnak">
    <w:name w:val="TYT(DZ)_PRZEDM – przedmiot regulacji tutułu lub działu Znak"/>
    <w:basedOn w:val="Domylnaczcionkaakapitu"/>
    <w:link w:val="TYTDZPRZEDMprzedmiotregulacjitutuulubdziau"/>
    <w:uiPriority w:val="7"/>
    <w:rsid w:val="00D72CC1"/>
    <w:rPr>
      <w:b/>
      <w:szCs w:val="26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295A6F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rsid w:val="00D72CC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basedOn w:val="Normalny"/>
    <w:next w:val="DATAAKTUdatauchwalenialubwydaniaaktu"/>
    <w:link w:val="OZNRODZAKTUtznustawalubrozporzdzenieiorganwydajcyZnak"/>
    <w:uiPriority w:val="1"/>
    <w:qFormat/>
    <w:rsid w:val="005635ED"/>
    <w:pPr>
      <w:keepNext/>
      <w:suppressAutoHyphens/>
      <w:spacing w:after="120"/>
      <w:jc w:val="center"/>
    </w:pPr>
    <w:rPr>
      <w:rFonts w:ascii="Times" w:eastAsia="Times New Roman" w:hAnsi="Times" w:cs="Times New Roman"/>
      <w:b/>
      <w:bCs/>
      <w:caps/>
      <w:spacing w:val="54"/>
      <w:kern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5635ED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95A6F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D72CC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95A6F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D72CC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95A6F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A96265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95A6F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D72CC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95A6F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A96265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95A6F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D72CC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95A6F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A96265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95A6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A96265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95A6F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D72CC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95A6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95A6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95A6F"/>
    <w:pPr>
      <w:ind w:left="1860"/>
    </w:pPr>
  </w:style>
  <w:style w:type="paragraph" w:customStyle="1" w:styleId="TYTDZOZNoznaczenietytuulubdziau">
    <w:name w:val="TYT(DZ)_OZN – oznaczenie tytułu lub działu"/>
    <w:next w:val="TYTDZPRZEDMprzedmiotregulacjitutuulubdziau"/>
    <w:link w:val="TYTDZOZNoznaczenietytuulubdziauZnak"/>
    <w:uiPriority w:val="6"/>
    <w:qFormat/>
    <w:rsid w:val="00295A6F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basedOn w:val="Normalny"/>
    <w:link w:val="WMATFIZCHEMwzorymatfizlubchemiichlegendyZnak"/>
    <w:uiPriority w:val="22"/>
    <w:qFormat/>
    <w:rsid w:val="00295A6F"/>
    <w:pPr>
      <w:ind w:left="510"/>
    </w:pPr>
    <w:rPr>
      <w:rFonts w:ascii="Times" w:eastAsia="Times New Roman" w:hAnsi="Times" w:cs="Times New Roman"/>
      <w:szCs w:val="24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D72CC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A96265"/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95A6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5F7A88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basedOn w:val="TYTDZPRZEDMprzedmiotregulacjitutuulubdziau"/>
    <w:next w:val="ZARTzmartartykuempunktem"/>
    <w:link w:val="ZTYTDZPRZEDMzmprzedmtytuulubdziauartykuempunktemZnak"/>
    <w:uiPriority w:val="30"/>
    <w:qFormat/>
    <w:rsid w:val="00295A6F"/>
    <w:pPr>
      <w:spacing w:before="0"/>
      <w:ind w:left="510"/>
    </w:pPr>
    <w:rPr>
      <w:b w:val="0"/>
    </w:rPr>
  </w:style>
  <w:style w:type="character" w:customStyle="1" w:styleId="ZTYTDZPRZEDMzmprzedmtytuulubdziauartykuempunktemZnak">
    <w:name w:val="Z/TYT(DZ)_PRZEDM – zm. przedm. tytułu lub działu artykułem (punktem) Znak"/>
    <w:basedOn w:val="TYTDZPRZEDMprzedmiotregulacjitutuulubdziauZnak"/>
    <w:link w:val="ZTYTDZPRZEDMzmprzedmtytuulubdziauartykuempunktem"/>
    <w:uiPriority w:val="30"/>
    <w:rsid w:val="005F7A88"/>
    <w:rPr>
      <w:b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95A6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95A6F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7A537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7A537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basedOn w:val="Normalny"/>
    <w:next w:val="ZROZDZODDZPRZEDMzmprzedmrozdzoddzartykuempunktem"/>
    <w:link w:val="ZROZDZODDZOZNzmoznrozdzoddzartykuempunktemZnak"/>
    <w:uiPriority w:val="31"/>
    <w:qFormat/>
    <w:rsid w:val="005F7A88"/>
    <w:pPr>
      <w:keepNext/>
      <w:widowControl/>
      <w:suppressAutoHyphens/>
      <w:autoSpaceDE/>
      <w:autoSpaceDN/>
      <w:adjustRightInd/>
      <w:ind w:left="510"/>
      <w:jc w:val="center"/>
    </w:pPr>
    <w:rPr>
      <w:rFonts w:ascii="Times" w:hAnsi="Times"/>
      <w:bCs/>
      <w:kern w:val="24"/>
      <w:szCs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5F7A88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A96265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95A6F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95A6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7A5373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95A6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95A6F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95A6F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F87802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95A6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95A6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95A6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95A6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95A6F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5F7A88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95A6F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5F7A88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95A6F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5F7A88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680058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037E1A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95A6F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5F7A88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95A6F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5F7A88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95A6F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11493E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95A6F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11493E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680058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95A6F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11493E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95A6F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11493E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95A6F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11493E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95A6F"/>
    <w:pPr>
      <w:ind w:left="2688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11493E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95A6F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5F7A88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95A6F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5F7A88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95A6F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5F7A88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95A6F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11493E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95A6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11493E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95A6F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11493E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95A6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11493E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95A6F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11493E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435D26"/>
    <w:pPr>
      <w:ind w:left="2688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435D26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95A6F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11493E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95A6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11493E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435D26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435D26"/>
    <w:pPr>
      <w:ind w:left="2767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95A6F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11493E"/>
    <w:rPr>
      <w:rFonts w:eastAsiaTheme="minorEastAsia" w:cs="Arial"/>
      <w:bCs/>
      <w:szCs w:val="20"/>
    </w:rPr>
  </w:style>
  <w:style w:type="paragraph" w:customStyle="1" w:styleId="Z2TIRCZWSP2TIRwTIRzmczciwsppodwtiretwtiretpodwjnymtiret">
    <w:name w:val="Z_2TIR/CZ_WSP_2TIR_w_TIR – zm. części wsp. podw. tiret w tiret podwójnym tiret"/>
    <w:basedOn w:val="CZWSPTIRczwsplnatiret"/>
    <w:next w:val="2TIRpodwjnytiret"/>
    <w:link w:val="Z2TIRCZWSP2TIRwTIRzmczciwsppodwtiretwtiretpodwjnymtiretZnak"/>
    <w:uiPriority w:val="86"/>
    <w:qFormat/>
    <w:rsid w:val="00295A6F"/>
    <w:pPr>
      <w:ind w:left="2177"/>
    </w:pPr>
  </w:style>
  <w:style w:type="character" w:customStyle="1" w:styleId="Z2TIRCZWSP2TIRwTIRzmczciwsppodwtiretwtiretpodwjnymtiretZnak">
    <w:name w:val="Z_2TIR/CZ_WSP_2TIR_w_TIR – zm. części wsp. podw. tiret w tiret podwójnym tiret Znak"/>
    <w:basedOn w:val="CZWSPTIRczwsplnatiretZnak"/>
    <w:link w:val="Z2TIRCZWSP2TIRwTIRzmczciwsppodwtiretwtiretpodwjnymtiret"/>
    <w:uiPriority w:val="86"/>
    <w:rsid w:val="0011493E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95A6F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11493E"/>
    <w:rPr>
      <w:rFonts w:eastAsiaTheme="minorEastAsia" w:cs="Arial"/>
      <w:bCs/>
      <w:szCs w:val="20"/>
    </w:rPr>
  </w:style>
  <w:style w:type="paragraph" w:customStyle="1" w:styleId="Z2TIRCZWSP2TIRwLITzmczciwsppodwtiretwlitpodwjnymtiret">
    <w:name w:val="Z_2TIR/CZ_WSP_2TIR_w_LIT – zm. części wsp. podw. tiret w lit. podwójnym tiret"/>
    <w:basedOn w:val="CZWSPTIRczwsplnatiret"/>
    <w:next w:val="2TIRpodwjnytiret"/>
    <w:link w:val="Z2TIRCZWSP2TIRwLITzmczciwsppodwtiretwlitpodwjnymtiretZnak"/>
    <w:uiPriority w:val="87"/>
    <w:qFormat/>
    <w:rsid w:val="00295A6F"/>
    <w:pPr>
      <w:ind w:left="2654"/>
    </w:pPr>
  </w:style>
  <w:style w:type="character" w:customStyle="1" w:styleId="Z2TIRCZWSP2TIRwLITzmczciwsppodwtiretwlitpodwjnymtiretZnak">
    <w:name w:val="Z_2TIR/CZ_WSP_2TIR_w_LIT – zm. części wsp. podw. tiret w lit. podwójnym tiret Znak"/>
    <w:basedOn w:val="CZWSPTIRczwsplnatiretZnak"/>
    <w:link w:val="Z2TIRCZWSP2TIRwLITzmczciwsppodwtiretwlitpodwjnymtiret"/>
    <w:uiPriority w:val="87"/>
    <w:rsid w:val="0011493E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95A6F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5F7A88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95A6F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5F7A88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7E2CFE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7E2CF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572512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572512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680058"/>
    <w:pPr>
      <w:ind w:left="1021"/>
    </w:pPr>
  </w:style>
  <w:style w:type="paragraph" w:customStyle="1" w:styleId="ODNONIKtreodnonika">
    <w:name w:val="ODNOŚNIK – treść odnośnika"/>
    <w:basedOn w:val="Tekstprzypisudolnego"/>
    <w:uiPriority w:val="25"/>
    <w:qFormat/>
    <w:rsid w:val="00295A6F"/>
    <w:pPr>
      <w:widowControl/>
      <w:ind w:left="284" w:hanging="284"/>
    </w:pPr>
    <w:rPr>
      <w:rFonts w:ascii="Times New Roman" w:eastAsiaTheme="minorEastAsia" w:hAnsi="Times New Roman" w:cs="Arial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95A6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95A6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95A6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95A6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95A6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295A6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5F7A88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5F7A88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95A6F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11493E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95A6F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11493E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AC4EA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AC4EA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047312"/>
    <w:pPr>
      <w:ind w:left="1021"/>
    </w:pPr>
  </w:style>
  <w:style w:type="paragraph" w:customStyle="1" w:styleId="ZCZWSP2TIRwPKTzmczciwsppodwtirwpktartykuempunktem">
    <w:name w:val="Z/CZ_WSP_2TIR_w_PKT – zm. części wsp. podw. tir w pkt artykułem (punktem)"/>
    <w:basedOn w:val="Z2TIRwPKTzmpodwtirwpktartykuempunktem"/>
    <w:uiPriority w:val="73"/>
    <w:qFormat/>
    <w:rsid w:val="00866867"/>
    <w:pPr>
      <w:ind w:left="2291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047312"/>
    <w:pPr>
      <w:ind w:left="2177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047312"/>
    <w:pPr>
      <w:ind w:left="1701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A95936"/>
    <w:pPr>
      <w:ind w:left="1304" w:firstLine="0"/>
    </w:pPr>
  </w:style>
  <w:style w:type="paragraph" w:customStyle="1" w:styleId="ZCZWSP2TIRwLITzmczciwsppodwtirwlitartykuempunktem">
    <w:name w:val="Z/CZ_WSP_2TIR_w_LIT – zm. części wsp. podw. tir w lit. artykułem (punktem)"/>
    <w:basedOn w:val="Z2TIRwLITzmpodwtirwlitartykuempunktem"/>
    <w:uiPriority w:val="73"/>
    <w:qFormat/>
    <w:rsid w:val="00A95936"/>
    <w:pPr>
      <w:ind w:left="1780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A95936"/>
    <w:pPr>
      <w:ind w:left="1497"/>
    </w:pPr>
  </w:style>
  <w:style w:type="paragraph" w:customStyle="1" w:styleId="ZZCZWSP2TIRzmianazmczciwsppodwtir">
    <w:name w:val="ZZ/CZ_WSP_2TIR – zmiana. zm. części wsp. podw. tir."/>
    <w:basedOn w:val="ZZTIRzmianazmtir"/>
    <w:uiPriority w:val="62"/>
    <w:qFormat/>
    <w:rsid w:val="0095201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494F62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D1040"/>
    <w:pPr>
      <w:ind w:left="907" w:hanging="397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BD104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2E64F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6686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6686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51A7D"/>
    <w:pPr>
      <w:ind w:left="2767"/>
    </w:pPr>
  </w:style>
  <w:style w:type="paragraph" w:customStyle="1" w:styleId="ZLITCZWSP2TIRwTIRzmczciwsppodwtirwtirliter">
    <w:name w:val="Z_LIT/CZ_WSP_2TIR_w_TIR – zm. części wsp. podw. tir. w tir literą"/>
    <w:basedOn w:val="ZLIT2TIRwTIRzmpodwtirwtirliter"/>
    <w:next w:val="LITlitera"/>
    <w:uiPriority w:val="78"/>
    <w:qFormat/>
    <w:rsid w:val="00B51A7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51A7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51A7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AC00F2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AC00F2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F600F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F600FE"/>
    <w:pPr>
      <w:ind w:left="3277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FD746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FD746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FD7468"/>
  </w:style>
  <w:style w:type="paragraph" w:customStyle="1" w:styleId="ZZ2TIRzmianazmpodwtir">
    <w:name w:val="ZZ/2TIR – zmiana. zm. podw. tir."/>
    <w:basedOn w:val="ZZCZWSP2TIRzmianazmczciwsppodwtir"/>
    <w:uiPriority w:val="90"/>
    <w:qFormat/>
    <w:rsid w:val="0095201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279C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279C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279C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279C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279C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279C0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279C0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279C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7D6DC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7D6DCE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8318F"/>
  </w:style>
  <w:style w:type="paragraph" w:customStyle="1" w:styleId="ZZUSTzmianazmust">
    <w:name w:val="ZZ/UST(§) – zmiana zm. ust. (§)"/>
    <w:basedOn w:val="ZZARTzmianazmart"/>
    <w:uiPriority w:val="60"/>
    <w:qFormat/>
    <w:rsid w:val="00B80402"/>
  </w:style>
  <w:style w:type="paragraph" w:customStyle="1" w:styleId="TYTDZPRZEDMprzedmiotregulacjitytuulubdziau">
    <w:name w:val="TYT(DZ)_PRZEDM – przedmiot regulacji tytułu lub działu"/>
    <w:basedOn w:val="Normalny"/>
    <w:next w:val="ARTartustawynprozporzdzenia"/>
    <w:link w:val="TYTDZPRZEDMprzedmiotregulacjitytuulubdziauZnak"/>
    <w:uiPriority w:val="7"/>
    <w:qFormat/>
    <w:rsid w:val="00946DD0"/>
    <w:pPr>
      <w:keepNext/>
      <w:suppressAutoHyphens/>
      <w:spacing w:before="120"/>
      <w:jc w:val="center"/>
    </w:pPr>
    <w:rPr>
      <w:rFonts w:ascii="Times" w:eastAsia="Times New Roman" w:hAnsi="Times" w:cs="Times New Roman"/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946DD0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5635E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5F7A8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5F7A8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5F7A8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5F7A8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5F7A88"/>
    <w:pPr>
      <w:ind w:left="1894"/>
    </w:pPr>
  </w:style>
  <w:style w:type="paragraph" w:customStyle="1" w:styleId="Podpis-A7">
    <w:name w:val="Podpis-A7"/>
    <w:basedOn w:val="Normalny"/>
    <w:rsid w:val="00E63BAC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63BAC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BAC"/>
    <w:rPr>
      <w:rFonts w:ascii="Times New Roman" w:hAnsi="Times New Roman"/>
      <w:szCs w:val="20"/>
    </w:rPr>
  </w:style>
  <w:style w:type="paragraph" w:customStyle="1" w:styleId="akapit">
    <w:name w:val="akapit"/>
    <w:basedOn w:val="Normalny"/>
    <w:uiPriority w:val="99"/>
    <w:rsid w:val="00B1776A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AD7D5F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AD7D5F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D7D5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D7D5F"/>
    <w:rPr>
      <w:bCs/>
    </w:rPr>
  </w:style>
  <w:style w:type="character" w:customStyle="1" w:styleId="Kkursywa">
    <w:name w:val="_K_ – kursywa"/>
    <w:basedOn w:val="Domylnaczcionkaakapitu"/>
    <w:uiPriority w:val="1"/>
    <w:qFormat/>
    <w:rsid w:val="00AD7D5F"/>
    <w:rPr>
      <w:i/>
    </w:rPr>
  </w:style>
  <w:style w:type="paragraph" w:customStyle="1" w:styleId="ZLITwPKTzmlitwpktartykuempunktem0">
    <w:name w:val="Z/LIT_w_PKT – zm. lit. w pkt artykułem (punktem)"/>
    <w:basedOn w:val="LITlitera"/>
    <w:uiPriority w:val="34"/>
    <w:qFormat/>
    <w:rsid w:val="003A0EB7"/>
    <w:pPr>
      <w:suppressAutoHyphens w:val="0"/>
      <w:autoSpaceDE/>
      <w:autoSpaceDN/>
      <w:adjustRightInd/>
      <w:ind w:left="1497"/>
    </w:p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A0EB7"/>
    <w:rPr>
      <w:b/>
      <w:i/>
      <w:vanish w:val="0"/>
      <w:spacing w:val="0"/>
      <w:vertAlign w:val="subscript"/>
    </w:rPr>
  </w:style>
  <w:style w:type="character" w:customStyle="1" w:styleId="BEZWERSALIKW">
    <w:name w:val="_BEZ_WERSALIKÓW_"/>
    <w:basedOn w:val="Domylnaczcionkaakapitu"/>
    <w:uiPriority w:val="4"/>
    <w:qFormat/>
    <w:rsid w:val="003A0EB7"/>
    <w:rPr>
      <w:cap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3A0EB7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3A0EB7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3A0EB7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3A0EB7"/>
    <w:rPr>
      <w:rFonts w:eastAsiaTheme="minorEastAsia" w:cs="Arial"/>
      <w:bCs/>
      <w:szCs w:val="20"/>
    </w:rPr>
  </w:style>
  <w:style w:type="paragraph" w:customStyle="1" w:styleId="ZCZWSP2TIRwPKTzmczciwsppodwtirwpktartykuempunktem0">
    <w:name w:val="Z/CZ_WSP_2TIR_w_PKT – zm. części wsp. podw. tir. w pkt artykułem (punktem)"/>
    <w:basedOn w:val="Z2TIRwPKTzmpodwtirwpktartykuempunktem"/>
    <w:next w:val="ZZUSTzmianazmust"/>
    <w:uiPriority w:val="73"/>
    <w:qFormat/>
    <w:rsid w:val="003A0EB7"/>
    <w:pPr>
      <w:ind w:left="1894" w:firstLine="0"/>
    </w:pPr>
  </w:style>
  <w:style w:type="paragraph" w:customStyle="1" w:styleId="ZCZWSP2TIRwLITzmczciwsppodwtirwlitartykuempunktem0">
    <w:name w:val="Z/CZ_WSP_2TIR_w_LIT – zm. części wsp. podw. tir. w lit. artykułem (punktem)"/>
    <w:basedOn w:val="Z2TIRwLITzmpodwtirwlitartykuempunktem"/>
    <w:next w:val="ZZUSTzmianazmust"/>
    <w:uiPriority w:val="73"/>
    <w:qFormat/>
    <w:rsid w:val="003A0EB7"/>
    <w:pPr>
      <w:ind w:left="1383" w:firstLine="0"/>
    </w:pPr>
  </w:style>
  <w:style w:type="paragraph" w:customStyle="1" w:styleId="ZZCZWSP2TIRzmianazmczciwsppodwtir0">
    <w:name w:val="ZZ/CZ_WSP_2TIR – zmiana zm. części wsp. podw. tir."/>
    <w:basedOn w:val="ZZTIRzmianazmtir"/>
    <w:next w:val="ZZUSTzmianazmust"/>
    <w:uiPriority w:val="94"/>
    <w:qFormat/>
    <w:rsid w:val="003A0EB7"/>
    <w:pPr>
      <w:ind w:left="1894" w:firstLine="0"/>
    </w:pPr>
  </w:style>
  <w:style w:type="paragraph" w:customStyle="1" w:styleId="ZLITCZWSP2TIRwTIRzmczciwsppodwtirwtirliter0">
    <w:name w:val="Z_LIT/CZ_WSP_2TIR_w_TIR – zm. części wsp. podw. tir. w tir. literą"/>
    <w:basedOn w:val="ZLIT2TIRwTIRzmpodwtirwtirliter"/>
    <w:next w:val="LITlitera"/>
    <w:uiPriority w:val="78"/>
    <w:qFormat/>
    <w:rsid w:val="003A0EB7"/>
    <w:pPr>
      <w:ind w:left="1383" w:firstLine="0"/>
    </w:pPr>
  </w:style>
  <w:style w:type="paragraph" w:customStyle="1" w:styleId="ZZ2TIRzmianazmpodwtir0">
    <w:name w:val="ZZ/2TIR – zmiana zm. podw. tir."/>
    <w:basedOn w:val="ZZCZWSP2TIRzmianazmczciwsppodwtir0"/>
    <w:uiPriority w:val="90"/>
    <w:qFormat/>
    <w:rsid w:val="003A0EB7"/>
    <w:pPr>
      <w:ind w:left="2291" w:hanging="397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3A0EB7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3A0EB7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3A0EB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3A0EB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3A0EB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3A0EB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3A0EB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3A0EB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3A0EB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3A0EB7"/>
    <w:rPr>
      <w:b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3A0EB7"/>
    <w:pPr>
      <w:widowControl/>
      <w:autoSpaceDE/>
      <w:autoSpaceDN/>
      <w:adjustRightInd/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3A0EB7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3A0EB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3A0EB7"/>
    <w:pPr>
      <w:autoSpaceDE/>
      <w:autoSpaceDN/>
      <w:adjustRightInd/>
      <w:spacing w:line="240" w:lineRule="auto"/>
      <w:ind w:left="284" w:firstLine="0"/>
    </w:pPr>
    <w:rPr>
      <w:sz w:val="20"/>
    </w:r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3A0EB7"/>
    <w:pPr>
      <w:autoSpaceDE/>
      <w:autoSpaceDN/>
      <w:adjustRightInd/>
      <w:ind w:left="510" w:firstLine="0"/>
    </w:pPr>
  </w:style>
  <w:style w:type="paragraph" w:customStyle="1" w:styleId="LITwpoprawce">
    <w:name w:val="LIT w poprawce"/>
    <w:basedOn w:val="Normalny"/>
    <w:qFormat/>
    <w:rsid w:val="003A0EB7"/>
    <w:pPr>
      <w:ind w:left="284" w:hanging="284"/>
    </w:pPr>
  </w:style>
  <w:style w:type="paragraph" w:customStyle="1" w:styleId="TIRwpoprawce">
    <w:name w:val="TIR w poprawce"/>
    <w:basedOn w:val="Normalny"/>
    <w:qFormat/>
    <w:rsid w:val="003A0EB7"/>
    <w:pPr>
      <w:ind w:left="681" w:hanging="397"/>
    </w:pPr>
  </w:style>
  <w:style w:type="paragraph" w:styleId="Tekstpodstawowywcity">
    <w:name w:val="Body Text Indent"/>
    <w:basedOn w:val="Normalny"/>
    <w:link w:val="TekstpodstawowywcityZnak"/>
    <w:uiPriority w:val="99"/>
    <w:rsid w:val="003A0EB7"/>
    <w:pPr>
      <w:widowControl/>
      <w:autoSpaceDE/>
      <w:autoSpaceDN/>
      <w:adjustRightInd/>
      <w:ind w:firstLine="748"/>
    </w:pPr>
    <w:rPr>
      <w:rFonts w:eastAsia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0EB7"/>
    <w:rPr>
      <w:rFonts w:ascii="Times New Roman" w:hAnsi="Times New Roman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0EB7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EB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A0EB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A0EB7"/>
    <w:rPr>
      <w:color w:val="808080"/>
    </w:rPr>
  </w:style>
  <w:style w:type="table" w:styleId="Tabela-Siatka">
    <w:name w:val="Table Grid"/>
    <w:basedOn w:val="Standardowy"/>
    <w:uiPriority w:val="99"/>
    <w:locked/>
    <w:rsid w:val="003A0EB7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EB7"/>
    <w:pPr>
      <w:widowControl/>
      <w:autoSpaceDE/>
      <w:autoSpaceDN/>
      <w:adjustRightInd/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2E3AB4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498E-A37F-4808-AD15-217738FD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1672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Dorota Grąziewicz</dc:creator>
  <cp:lastModifiedBy>Grzegorz Molesztak</cp:lastModifiedBy>
  <cp:revision>8</cp:revision>
  <cp:lastPrinted>2019-01-25T12:35:00Z</cp:lastPrinted>
  <dcterms:created xsi:type="dcterms:W3CDTF">2019-01-24T10:29:00Z</dcterms:created>
  <dcterms:modified xsi:type="dcterms:W3CDTF">2019-01-28T08:56:00Z</dcterms:modified>
</cp:coreProperties>
</file>