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0DB" w:rsidRPr="004240DB" w:rsidRDefault="004240DB" w:rsidP="00A60174">
      <w:pPr>
        <w:keepNext/>
        <w:spacing w:after="0" w:line="360" w:lineRule="auto"/>
        <w:jc w:val="center"/>
        <w:rPr>
          <w:rFonts w:ascii="Times New Roman" w:eastAsia="Times New Roman" w:hAnsi="Times New Roman" w:cs="Times New Roman"/>
          <w:bCs/>
          <w:caps/>
          <w:kern w:val="24"/>
          <w:sz w:val="24"/>
          <w:szCs w:val="24"/>
          <w:lang w:eastAsia="pl-PL"/>
        </w:rPr>
      </w:pPr>
      <w:r w:rsidRPr="004240DB">
        <w:rPr>
          <w:rFonts w:ascii="Times New Roman" w:eastAsia="Times New Roman" w:hAnsi="Times New Roman" w:cs="Times New Roman"/>
          <w:bCs/>
          <w:caps/>
          <w:kern w:val="24"/>
          <w:sz w:val="24"/>
          <w:szCs w:val="24"/>
          <w:lang w:eastAsia="pl-PL"/>
        </w:rPr>
        <w:t>UZASADNIENIE</w:t>
      </w:r>
    </w:p>
    <w:p w:rsidR="004240DB" w:rsidRPr="004240DB" w:rsidRDefault="004240DB" w:rsidP="00A60174">
      <w:pPr>
        <w:suppressAutoHyphens/>
        <w:autoSpaceDE w:val="0"/>
        <w:autoSpaceDN w:val="0"/>
        <w:adjustRightInd w:val="0"/>
        <w:spacing w:before="24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Regulacje zawarte w projekcie ustawy o wspieraniu działalności naukowej z Funduszu Polskiej Nauki, zwanego dalej „projektem ustawy”, wpisują się w realizację Strategii na Rzecz Odpowiedzialnego Rozwoju do roku 2020 (z perspektywą do 2030 r.) przyjętej przez Radę Ministrów w dniu 14 lutego 2017 r. Strategia ta obejmuje szereg obszarów, w których rozwój nauki (działań badawczo-rozwojowych) stanowi istotny e</w:t>
      </w:r>
      <w:r w:rsidR="00C02B98">
        <w:rPr>
          <w:rFonts w:ascii="Times New Roman" w:eastAsia="Times New Roman" w:hAnsi="Times New Roman" w:cs="Times New Roman"/>
          <w:sz w:val="24"/>
          <w:szCs w:val="20"/>
          <w:lang w:eastAsia="pl-PL"/>
        </w:rPr>
        <w:t>lement z </w:t>
      </w:r>
      <w:r w:rsidRPr="004240DB">
        <w:rPr>
          <w:rFonts w:ascii="Times New Roman" w:eastAsia="Times New Roman" w:hAnsi="Times New Roman" w:cs="Times New Roman"/>
          <w:sz w:val="24"/>
          <w:szCs w:val="20"/>
          <w:lang w:eastAsia="pl-PL"/>
        </w:rPr>
        <w:t xml:space="preserve">punktu widzenia wzrostu poziomu konkurencyjności podmiotów krajowych. W celu pod nazwą </w:t>
      </w:r>
      <w:r w:rsidRPr="00A60174">
        <w:rPr>
          <w:rFonts w:ascii="Times New Roman" w:eastAsia="Times New Roman" w:hAnsi="Times New Roman" w:cs="Times New Roman"/>
          <w:i/>
          <w:sz w:val="24"/>
          <w:szCs w:val="20"/>
          <w:lang w:eastAsia="pl-PL"/>
        </w:rPr>
        <w:t>Zwiększenie innowacyjności przedsiębiorstw na rynku krajowym i rynkach zagranicznych</w:t>
      </w:r>
      <w:r w:rsidRPr="004240DB">
        <w:rPr>
          <w:rFonts w:ascii="Times New Roman" w:eastAsia="Times New Roman" w:hAnsi="Times New Roman" w:cs="Times New Roman"/>
          <w:sz w:val="24"/>
          <w:szCs w:val="20"/>
          <w:lang w:eastAsia="pl-PL"/>
        </w:rPr>
        <w:t xml:space="preserve"> wskazuje się, że oprócz rozwiązań horyzontalnych, zwiększających innowacyjność gospodarki (wsparcie wszystkich etapów powstawania innowacji, w tym fazy działalności badawczo-rozwojowej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jej wdrożenia oraz wchodzenia na rynki globalne, ochrony własności intelektualnej, współpracy nauka-biznes itd.)</w:t>
      </w:r>
      <w:r w:rsidR="00397381">
        <w:rPr>
          <w:rFonts w:ascii="Times New Roman" w:eastAsia="Times New Roman" w:hAnsi="Times New Roman" w:cs="Times New Roman"/>
          <w:sz w:val="24"/>
          <w:szCs w:val="20"/>
          <w:lang w:eastAsia="pl-PL"/>
        </w:rPr>
        <w:t>,</w:t>
      </w:r>
      <w:r w:rsidRPr="004240DB">
        <w:rPr>
          <w:rFonts w:ascii="Times New Roman" w:eastAsia="Times New Roman" w:hAnsi="Times New Roman" w:cs="Times New Roman"/>
          <w:sz w:val="24"/>
          <w:szCs w:val="20"/>
          <w:lang w:eastAsia="pl-PL"/>
        </w:rPr>
        <w:t xml:space="preserve"> wsparcie będzie skoncentrowane na wybranych obszarach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technologiach, które mają istotne znaczenie dla gospodarki. Strategia na Rzecz Odpowiedzialnego Rozwoju, pośród działań podejmowanych do 2020 r., wymienia Rozwój szkolnictwa wyższego, zgodnie z trzema filarami Strategii dla szkolnictwa wyższego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nauki – Konstytucja dla nauki, Innowacje dla gospodarki, Nauka dla Ciebie, ogłoszonej 9 września 2016 r., w kierunku systemu efektywnie współpracującego z otoczeniem (…), promującego: doskonałość naukową opartą na jakości, funkcjonowanie interdyscyplinarnych zespołów badawczych (…). Strategia ta wśród działań podejmowanych do 2030 r. wymienia umiędzynarodowienie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otwarcie polskich szkół wyższych na innowacje przez zapewnienie m.in. otoczenia prawnego sprzyjającego innowacyjności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komercjalizacji wyników badań naukowych przez uczelnie i jednostki naukowe czy stworzenie warunków, które pozwolą na zatrudnianie w</w:t>
      </w:r>
      <w:r w:rsidR="00C02B98">
        <w:rPr>
          <w:rFonts w:ascii="Times New Roman" w:eastAsia="Times New Roman" w:hAnsi="Times New Roman" w:cs="Times New Roman"/>
          <w:sz w:val="24"/>
          <w:szCs w:val="20"/>
          <w:lang w:eastAsia="pl-PL"/>
        </w:rPr>
        <w:t xml:space="preserve"> Polsce zagranicznych uczonych z </w:t>
      </w:r>
      <w:r w:rsidRPr="004240DB">
        <w:rPr>
          <w:rFonts w:ascii="Times New Roman" w:eastAsia="Times New Roman" w:hAnsi="Times New Roman" w:cs="Times New Roman"/>
          <w:sz w:val="24"/>
          <w:szCs w:val="20"/>
          <w:lang w:eastAsia="pl-PL"/>
        </w:rPr>
        <w:t>dorobkiem naukowym. Działalność naukowa wspierana ze</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środków Funduszu Polskiej Nauki, zwanego dalej „Funduszem”, powinna być nastawiona nie tylko na badania naukowe i prace rozwojowe, lecz także komercjalizację ich wyników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postaci innowacyjnych produktów, które mogłyby konkurować na polskim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globalnym rynku.</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Rozwiązania przyjęte w projekcie ustawy realizują założenia Strategii zarówno w</w:t>
      </w:r>
      <w:r w:rsidR="00C02B98">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zakresie zwiększenia nakładów finansowych na działalność naukową, jak również w</w:t>
      </w:r>
      <w:r w:rsidR="00C02B98">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 xml:space="preserve">zakresie wspierania powstania i rozwoju innowacyjnych sposobów organizacji działań badawczo-rozwojowych. Zakłada się, że firmy z branży, w której będzie </w:t>
      </w:r>
      <w:r w:rsidRPr="004240DB">
        <w:rPr>
          <w:rFonts w:ascii="Times New Roman" w:eastAsia="Times New Roman" w:hAnsi="Times New Roman" w:cs="Times New Roman"/>
          <w:sz w:val="24"/>
          <w:szCs w:val="20"/>
          <w:lang w:eastAsia="pl-PL"/>
        </w:rPr>
        <w:lastRenderedPageBreak/>
        <w:t>funkcjonował wirtualny instytut badawczy (w szczególności z sektora mikro-, małych i</w:t>
      </w:r>
      <w:r w:rsidR="00C02B98">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średnich przedsiębiorstw), uzyskają możliwość szybszego rozwoju dzięki transferowi wiedzy od zespołów badawczych, które będą miały stabilne i długotrwałe finansowanie ze środków Funduszu.</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Jednymi z flagowych projektów wymienionych w Strategii na Rzecz Odpowiedzialnego Rozwoju jest Centrum Rozwoju Biotechnologii (przewidujący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szczególności budowanie pozycji Rzecz</w:t>
      </w:r>
      <w:r w:rsidR="00285B56">
        <w:rPr>
          <w:rFonts w:ascii="Times New Roman" w:eastAsia="Times New Roman" w:hAnsi="Times New Roman" w:cs="Times New Roman"/>
          <w:sz w:val="24"/>
          <w:szCs w:val="20"/>
          <w:lang w:eastAsia="pl-PL"/>
        </w:rPr>
        <w:t>y</w:t>
      </w:r>
      <w:r w:rsidRPr="004240DB">
        <w:rPr>
          <w:rFonts w:ascii="Times New Roman" w:eastAsia="Times New Roman" w:hAnsi="Times New Roman" w:cs="Times New Roman"/>
          <w:sz w:val="24"/>
          <w:szCs w:val="20"/>
          <w:lang w:eastAsia="pl-PL"/>
        </w:rPr>
        <w:t>pospolitej Polskiej jako europejskiego centrum zaawansowanych technologii medycznych) oraz Polskie wyroby medyczne. Należy również wskazać, iż jedną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branż, w których Rzeczpospolita Polska posiada znaczący potencjał rozwojowy</w:t>
      </w:r>
      <w:r w:rsidR="00397381">
        <w:rPr>
          <w:rFonts w:ascii="Times New Roman" w:eastAsia="Times New Roman" w:hAnsi="Times New Roman" w:cs="Times New Roman"/>
          <w:sz w:val="24"/>
          <w:szCs w:val="20"/>
          <w:lang w:eastAsia="pl-PL"/>
        </w:rPr>
        <w:t>,</w:t>
      </w:r>
      <w:r w:rsidRPr="004240DB">
        <w:rPr>
          <w:rFonts w:ascii="Times New Roman" w:eastAsia="Times New Roman" w:hAnsi="Times New Roman" w:cs="Times New Roman"/>
          <w:sz w:val="24"/>
          <w:szCs w:val="20"/>
          <w:lang w:eastAsia="pl-PL"/>
        </w:rPr>
        <w:t xml:space="preserve"> jest branża zaawansowanych </w:t>
      </w:r>
      <w:r w:rsidR="00C02B98">
        <w:rPr>
          <w:rFonts w:ascii="Times New Roman" w:eastAsia="Times New Roman" w:hAnsi="Times New Roman" w:cs="Times New Roman"/>
          <w:sz w:val="24"/>
          <w:szCs w:val="20"/>
          <w:lang w:eastAsia="pl-PL"/>
        </w:rPr>
        <w:t>produktów biotechnologicznych i </w:t>
      </w:r>
      <w:r w:rsidRPr="004240DB">
        <w:rPr>
          <w:rFonts w:ascii="Times New Roman" w:eastAsia="Times New Roman" w:hAnsi="Times New Roman" w:cs="Times New Roman"/>
          <w:sz w:val="24"/>
          <w:szCs w:val="20"/>
          <w:lang w:eastAsia="pl-PL"/>
        </w:rPr>
        <w:t>biomedycznych. Mając na uwadze powyższe, środki tworzonego Funduszu w</w:t>
      </w:r>
      <w:r w:rsidR="00C02B98">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pierwszej kolejności zostaną przeznaczone na obszar szeroko rozumianej biotechnologii, ze szczególnym uwzględnieniem biotechnologii medycznej. Obszar ten ma bowiem bardzo duży potencjał komercyjny – zgodnie z raportem „</w:t>
      </w:r>
      <w:proofErr w:type="spellStart"/>
      <w:r w:rsidRPr="004240DB">
        <w:rPr>
          <w:rFonts w:ascii="Times New Roman" w:eastAsia="Times New Roman" w:hAnsi="Times New Roman" w:cs="Times New Roman"/>
          <w:sz w:val="24"/>
          <w:szCs w:val="20"/>
          <w:lang w:eastAsia="pl-PL"/>
        </w:rPr>
        <w:t>Biotechnology</w:t>
      </w:r>
      <w:proofErr w:type="spellEnd"/>
      <w:r w:rsidRPr="004240DB">
        <w:rPr>
          <w:rFonts w:ascii="Times New Roman" w:eastAsia="Times New Roman" w:hAnsi="Times New Roman" w:cs="Times New Roman"/>
          <w:sz w:val="24"/>
          <w:szCs w:val="20"/>
          <w:lang w:eastAsia="pl-PL"/>
        </w:rPr>
        <w:t xml:space="preserve"> Report 2017” przychody firm </w:t>
      </w:r>
      <w:proofErr w:type="spellStart"/>
      <w:r w:rsidRPr="004240DB">
        <w:rPr>
          <w:rFonts w:ascii="Times New Roman" w:eastAsia="Times New Roman" w:hAnsi="Times New Roman" w:cs="Times New Roman"/>
          <w:sz w:val="24"/>
          <w:szCs w:val="20"/>
          <w:lang w:eastAsia="pl-PL"/>
        </w:rPr>
        <w:t>biotech</w:t>
      </w:r>
      <w:proofErr w:type="spellEnd"/>
      <w:r w:rsidRPr="004240DB">
        <w:rPr>
          <w:rFonts w:ascii="Times New Roman" w:eastAsia="Times New Roman" w:hAnsi="Times New Roman" w:cs="Times New Roman"/>
          <w:sz w:val="24"/>
          <w:szCs w:val="20"/>
          <w:lang w:eastAsia="pl-PL"/>
        </w:rPr>
        <w:t xml:space="preserve"> w 2016 r. osiągnęły kwotę 139,4 mld USD (wzrost o 7%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stosunku do 2015 r.), a ich wydatki na działalność badawczo</w:t>
      </w:r>
      <w:r w:rsidR="00C02B98">
        <w:rPr>
          <w:rFonts w:ascii="Times New Roman" w:eastAsia="Times New Roman" w:hAnsi="Times New Roman" w:cs="Times New Roman"/>
          <w:sz w:val="24"/>
          <w:szCs w:val="20"/>
          <w:lang w:eastAsia="pl-PL"/>
        </w:rPr>
        <w:noBreakHyphen/>
      </w:r>
      <w:r w:rsidRPr="004240DB">
        <w:rPr>
          <w:rFonts w:ascii="Times New Roman" w:eastAsia="Times New Roman" w:hAnsi="Times New Roman" w:cs="Times New Roman"/>
          <w:sz w:val="24"/>
          <w:szCs w:val="20"/>
          <w:lang w:eastAsia="pl-PL"/>
        </w:rPr>
        <w:t xml:space="preserve">rozwojową wyniosły 45,7 mld USD (wzrost </w:t>
      </w:r>
      <w:r w:rsidR="00C02B98">
        <w:rPr>
          <w:rFonts w:ascii="Times New Roman" w:eastAsia="Times New Roman" w:hAnsi="Times New Roman" w:cs="Times New Roman"/>
          <w:sz w:val="24"/>
          <w:szCs w:val="20"/>
          <w:lang w:eastAsia="pl-PL"/>
        </w:rPr>
        <w:t>o 12%), a zatrudnienie 203 tys. </w:t>
      </w:r>
      <w:r w:rsidRPr="004240DB">
        <w:rPr>
          <w:rFonts w:ascii="Times New Roman" w:eastAsia="Times New Roman" w:hAnsi="Times New Roman" w:cs="Times New Roman"/>
          <w:sz w:val="24"/>
          <w:szCs w:val="20"/>
          <w:lang w:eastAsia="pl-PL"/>
        </w:rPr>
        <w:t>osób (wzrost o</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14%).</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Na gruncie obowiązujących przepisów finansowanie działalności badawczej odbywa się bądź za pośrednictwem subwencji, której beneficjentem są wskazane podmioty (finansowanie oparte o ocenę działalności całego podmiotu, a nie określonego, dysponującego najwyższymi kompetencjami zespołu naukowego), bądź przez konkretne projekty badawcze. Narodowe Centrum Nauki wspiera finansowo projekty badawcze jedynie w obszarze badań podstawow</w:t>
      </w:r>
      <w:r w:rsidR="00C02B98">
        <w:rPr>
          <w:rFonts w:ascii="Times New Roman" w:eastAsia="Times New Roman" w:hAnsi="Times New Roman" w:cs="Times New Roman"/>
          <w:sz w:val="24"/>
          <w:szCs w:val="20"/>
          <w:lang w:eastAsia="pl-PL"/>
        </w:rPr>
        <w:t>ych, a Narodowe Centrum Badań i </w:t>
      </w:r>
      <w:r w:rsidRPr="004240DB">
        <w:rPr>
          <w:rFonts w:ascii="Times New Roman" w:eastAsia="Times New Roman" w:hAnsi="Times New Roman" w:cs="Times New Roman"/>
          <w:sz w:val="24"/>
          <w:szCs w:val="20"/>
          <w:lang w:eastAsia="pl-PL"/>
        </w:rPr>
        <w:t xml:space="preserve">Rozwoju finansuje prawie wyłącznie badania przemysłowe i prace rozwojowe. Finansowanie działalności naukowej koncentruje się na samym procesie badawczym, bez fazy komercjalizacji, natomiast funkcjonujące fundusze inwestycyjne wspierają projekty dysponujące już określonym produktem, co nie zapewnia finansowania dla początkowej fazy rozwoju innowacyjnych koncepcji. Obowiązujące przepisy nie przewidują natomiast bezpośredniego finansowania działalności naukowej prowadzonej przez zespoły badawcze w pełnym cyklu powstawania innowacji, na poziomie niezbędnym do przygotowania i wprowadzenia na rynek konkurencyjnego produktu. Analiza obowiązującego stanu prawnego wykazała, że nie ma możliwości wdrożenia </w:t>
      </w:r>
      <w:r w:rsidRPr="004240DB">
        <w:rPr>
          <w:rFonts w:ascii="Times New Roman" w:eastAsia="Times New Roman" w:hAnsi="Times New Roman" w:cs="Times New Roman"/>
          <w:sz w:val="24"/>
          <w:szCs w:val="20"/>
          <w:lang w:eastAsia="pl-PL"/>
        </w:rPr>
        <w:lastRenderedPageBreak/>
        <w:t>rozwiązania przewidzianego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projektowanej ustawie w oparciu o dostępne narzędzia prawne i instytucje tworzące system szkolnictwa wyższego i nauki.</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Wprowadzenie projektowanego rozwiązania jest związane z koniecznością stworzenia nowego mechanizmu finansowania badań naukowych i prac rozwojowych oraz ich komercjalizacji. Uzupełniałby on procesy dotychczas funkcjonujące, w szczególności w</w:t>
      </w:r>
      <w:r w:rsidR="00C02B98">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obszarach o dużym znaczeniu społecznym i gospodarczym. Cechą charakterystyczną projektowanego rozwiązania będzie zapewnienie stabilnego systemu finansowania, które będzie dostępne w perspektywie długookresowej (w założeniu do 10 lat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cyklach 5-letnich, po dokonaniu oceny wydatkowania dotychczas przyznanych środków oraz przy osiąganiu zakładanych celów naukowych). Finansowanie takie jest niezbędne dla prowadzenia badań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wdrażania ich wyników, szczegó</w:t>
      </w:r>
      <w:r w:rsidR="00C02B98">
        <w:rPr>
          <w:rFonts w:ascii="Times New Roman" w:eastAsia="Times New Roman" w:hAnsi="Times New Roman" w:cs="Times New Roman"/>
          <w:sz w:val="24"/>
          <w:szCs w:val="20"/>
          <w:lang w:eastAsia="pl-PL"/>
        </w:rPr>
        <w:t>lnie w niektórych branżach, np. </w:t>
      </w:r>
      <w:r w:rsidRPr="004240DB">
        <w:rPr>
          <w:rFonts w:ascii="Times New Roman" w:eastAsia="Times New Roman" w:hAnsi="Times New Roman" w:cs="Times New Roman"/>
          <w:sz w:val="24"/>
          <w:szCs w:val="20"/>
          <w:lang w:eastAsia="pl-PL"/>
        </w:rPr>
        <w:t>biotechnologii czy medycynie. Utworzenie Fu</w:t>
      </w:r>
      <w:r w:rsidR="00C02B98">
        <w:rPr>
          <w:rFonts w:ascii="Times New Roman" w:eastAsia="Times New Roman" w:hAnsi="Times New Roman" w:cs="Times New Roman"/>
          <w:sz w:val="24"/>
          <w:szCs w:val="20"/>
          <w:lang w:eastAsia="pl-PL"/>
        </w:rPr>
        <w:t>nduszu stanowi również jeden ze </w:t>
      </w:r>
      <w:r w:rsidRPr="004240DB">
        <w:rPr>
          <w:rFonts w:ascii="Times New Roman" w:eastAsia="Times New Roman" w:hAnsi="Times New Roman" w:cs="Times New Roman"/>
          <w:sz w:val="24"/>
          <w:szCs w:val="20"/>
          <w:lang w:eastAsia="pl-PL"/>
        </w:rPr>
        <w:t>sposobów rozwiązania problemu niskiego poziomu komercjalizacji innowacyjnych pomysłów.</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Projekt ustawy ma na celu stworzenie podstaw i mechanizmu finansowania działalności naukowej prowadzonej w nowatorskiej formule – wirtualnego instytutu badawczego, zwanego dalej „WIB”, który będzie stanowił formę organizacji pracy wyselekcjonowanych, konkurencyjnych na poziomie międzynarodowym zespołów badawczych prowadzących działalność naukową o wysokim potencjale zastosowań społeczno-gospodarczych, pod kierunkiem lide</w:t>
      </w:r>
      <w:r w:rsidR="00C02B98">
        <w:rPr>
          <w:rFonts w:ascii="Times New Roman" w:eastAsia="Times New Roman" w:hAnsi="Times New Roman" w:cs="Times New Roman"/>
          <w:sz w:val="24"/>
          <w:szCs w:val="20"/>
          <w:lang w:eastAsia="pl-PL"/>
        </w:rPr>
        <w:t>ra o uznanym dorobku naukowym i </w:t>
      </w:r>
      <w:r w:rsidRPr="004240DB">
        <w:rPr>
          <w:rFonts w:ascii="Times New Roman" w:eastAsia="Times New Roman" w:hAnsi="Times New Roman" w:cs="Times New Roman"/>
          <w:sz w:val="24"/>
          <w:szCs w:val="20"/>
          <w:lang w:eastAsia="pl-PL"/>
        </w:rPr>
        <w:t>której wyniki zostaną następnie skomercjalizowane (art. 5 ust. 2 projektu ustawy).</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WIB nie będzie posiadał osobowości prawnej, nie będzie również pracodawcą dla naukowców wchodzących w skład tworzących go z</w:t>
      </w:r>
      <w:r w:rsidR="00C02B98">
        <w:rPr>
          <w:rFonts w:ascii="Times New Roman" w:eastAsia="Times New Roman" w:hAnsi="Times New Roman" w:cs="Times New Roman"/>
          <w:sz w:val="24"/>
          <w:szCs w:val="20"/>
          <w:lang w:eastAsia="pl-PL"/>
        </w:rPr>
        <w:t>espołów badawczych. Struktura i </w:t>
      </w:r>
      <w:r w:rsidRPr="004240DB">
        <w:rPr>
          <w:rFonts w:ascii="Times New Roman" w:eastAsia="Times New Roman" w:hAnsi="Times New Roman" w:cs="Times New Roman"/>
          <w:sz w:val="24"/>
          <w:szCs w:val="20"/>
          <w:lang w:eastAsia="pl-PL"/>
        </w:rPr>
        <w:t>sposób działania WIB są</w:t>
      </w:r>
      <w:r w:rsidRPr="004240DB" w:rsidDel="00FB48EA">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określone w projekcie ustawy w sposób ramowy – jest to uzasadnione innowacyjnym w polskich warunkach mechanizmem finansowania badań, który może wymagać pewnych zmian na etapie jego wdrażania. Uregulowanie tych elementów bezpośrednio w ustawie utrudniłoby adekwatną i szybką reakcję podmiotów wchodzących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skład systemu. Wszystkie kwestie dotyczące funkcjonowania WIB, zgodnie z projektem ustawy, będą szczegółowo uregulowane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umowie, którą minister właściwy do spraw szkolnictwa wyższego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nauki, zwany dalej „ministrem”</w:t>
      </w:r>
      <w:r w:rsidR="00C02B98">
        <w:rPr>
          <w:rFonts w:ascii="Times New Roman" w:eastAsia="Times New Roman" w:hAnsi="Times New Roman" w:cs="Times New Roman"/>
          <w:sz w:val="24"/>
          <w:szCs w:val="20"/>
          <w:lang w:eastAsia="pl-PL"/>
        </w:rPr>
        <w:t>, zawrze z </w:t>
      </w:r>
      <w:r w:rsidRPr="004240DB">
        <w:rPr>
          <w:rFonts w:ascii="Times New Roman" w:eastAsia="Times New Roman" w:hAnsi="Times New Roman" w:cs="Times New Roman"/>
          <w:sz w:val="24"/>
          <w:szCs w:val="20"/>
          <w:lang w:eastAsia="pl-PL"/>
        </w:rPr>
        <w:t>podmiotem zarządzającym.</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lastRenderedPageBreak/>
        <w:t>Fundusz finansujący działalność WIB powstanie w Banku Gospodarstwa Krajowego, zwanym dalej „BGK”. Będzie on wyodrębniony z budżetu państwa i będzie mógł finansować wskazane cele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dłuższym horyzoncie czasowym. Przewiduje się, że zasadniczym źródłem finansowania Funduszu będzie kwota 500 mln zł, jaką zostanie on zasilony w wyniku obniżenia funduszu statutowego BGK</w:t>
      </w:r>
      <w:r w:rsidRPr="004240DB" w:rsidDel="00E24B7A">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(art. 19 ust. 2 projektu ustawy). Kwota ta została określona na poziomie umożliwiającym odpowiednie finansowanie badań naukowych i prac rozwojowych. Plan finansowy Funduszu będzie stanowił wyodrębnioną część planu finansowego BGK. Fundusz będzie funkcjonował na zasadach funduszu przepływowego, podobnie jak inne</w:t>
      </w:r>
      <w:r w:rsidR="00C02B98">
        <w:rPr>
          <w:rFonts w:ascii="Times New Roman" w:eastAsia="Times New Roman" w:hAnsi="Times New Roman" w:cs="Times New Roman"/>
          <w:sz w:val="24"/>
          <w:szCs w:val="20"/>
          <w:lang w:eastAsia="pl-PL"/>
        </w:rPr>
        <w:t xml:space="preserve"> fundusze znajdujące się w </w:t>
      </w:r>
      <w:r w:rsidRPr="004240DB">
        <w:rPr>
          <w:rFonts w:ascii="Times New Roman" w:eastAsia="Times New Roman" w:hAnsi="Times New Roman" w:cs="Times New Roman"/>
          <w:sz w:val="24"/>
          <w:szCs w:val="20"/>
          <w:lang w:eastAsia="pl-PL"/>
        </w:rPr>
        <w:t>zarządzie BGK (w tym Krajowy Fundusz Drogowy czy Fundusz Kolejowy).</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Celem Funduszu jest finansowanie działalności naukowej szczególnie ważnej dla realizacji strategii rozwoju kraju, służącej rozwoj</w:t>
      </w:r>
      <w:r w:rsidR="00C02B98">
        <w:rPr>
          <w:rFonts w:ascii="Times New Roman" w:eastAsia="Times New Roman" w:hAnsi="Times New Roman" w:cs="Times New Roman"/>
          <w:sz w:val="24"/>
          <w:szCs w:val="20"/>
          <w:lang w:eastAsia="pl-PL"/>
        </w:rPr>
        <w:t>owi innowacyjnych produktów. Ze </w:t>
      </w:r>
      <w:r w:rsidRPr="004240DB">
        <w:rPr>
          <w:rFonts w:ascii="Times New Roman" w:eastAsia="Times New Roman" w:hAnsi="Times New Roman" w:cs="Times New Roman"/>
          <w:sz w:val="24"/>
          <w:szCs w:val="20"/>
          <w:lang w:eastAsia="pl-PL"/>
        </w:rPr>
        <w:t>środków Funduszu będzie finansowana działalność naukowa, o której mowa w art. 4 ustawy z dnia 20</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lipca 2018 r. − Prawo o szkolnictw</w:t>
      </w:r>
      <w:r w:rsidR="00C02B98">
        <w:rPr>
          <w:rFonts w:ascii="Times New Roman" w:eastAsia="Times New Roman" w:hAnsi="Times New Roman" w:cs="Times New Roman"/>
          <w:sz w:val="24"/>
          <w:szCs w:val="20"/>
          <w:lang w:eastAsia="pl-PL"/>
        </w:rPr>
        <w:t>ie wyższym i nauce (Dz. U. poz. </w:t>
      </w:r>
      <w:r w:rsidRPr="004240DB">
        <w:rPr>
          <w:rFonts w:ascii="Times New Roman" w:eastAsia="Times New Roman" w:hAnsi="Times New Roman" w:cs="Times New Roman"/>
          <w:sz w:val="24"/>
          <w:szCs w:val="20"/>
          <w:lang w:eastAsia="pl-PL"/>
        </w:rPr>
        <w:t>1668, z późn. zm.),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wyłączeniem twórczości artystycznej. Ze środków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Funduszu będą finansowane zespoły badawcze prowadzące działalność naukową w formie WIB w</w:t>
      </w:r>
      <w:r w:rsidR="00C02B98">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określonym obszarze nauki (art. 5 ust. 1 projektu ustawy). Projekt ustawy wskazuje kryteria, które będą brane pod uwagę przy wyłanianiu zespołów badawczych. Przy finansowaniu działalności naukowej ze środków Funduszu będzie brany pod uwagę wysoki poziom potencjału zespołu badawczego i jego lidera do prowadzenia działalności naukowej, dotychczasowe osiągnięci</w:t>
      </w:r>
      <w:r w:rsidR="00CE4E46">
        <w:rPr>
          <w:rFonts w:ascii="Times New Roman" w:eastAsia="Times New Roman" w:hAnsi="Times New Roman" w:cs="Times New Roman"/>
          <w:sz w:val="24"/>
          <w:szCs w:val="20"/>
          <w:lang w:eastAsia="pl-PL"/>
        </w:rPr>
        <w:t>a członków zespołu badawczego w </w:t>
      </w:r>
      <w:r w:rsidRPr="004240DB">
        <w:rPr>
          <w:rFonts w:ascii="Times New Roman" w:eastAsia="Times New Roman" w:hAnsi="Times New Roman" w:cs="Times New Roman"/>
          <w:sz w:val="24"/>
          <w:szCs w:val="20"/>
          <w:lang w:eastAsia="pl-PL"/>
        </w:rPr>
        <w:t>zakresie działalności naukowej i komercjalizacji jej wyników, znaczenie przewidywanych efektów działalności naukowej dla rozwoju gospodarczego i polityki rozwojowej państwa, w tym wkład w innowacyjność gospodarki oraz potencjał komercjalizacyjny planowanych efektów działalności naukowej (art. 5 ust. 5 projektu ustawy). Istota projektowanych rozwiązań dotyczy udzielania wsparcia zespołom badawczym o</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potencjale pozwalającym realizować badania naukowe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 xml:space="preserve">prace rozwojowe na światowym poziomie, których wyniki mogą stać się podstawą do rozwoju produktów o znaczeniu globalnym. Niezależnie od tego trzeba zauważyć, że projekt ustawy nie wyklucza sytuacji, w której w ramach jednego </w:t>
      </w:r>
      <w:r w:rsidR="00CE4E46">
        <w:rPr>
          <w:rFonts w:ascii="Times New Roman" w:eastAsia="Times New Roman" w:hAnsi="Times New Roman" w:cs="Times New Roman"/>
          <w:sz w:val="24"/>
          <w:szCs w:val="20"/>
          <w:lang w:eastAsia="pl-PL"/>
        </w:rPr>
        <w:t>zespołu będą zarówno naukowcy o </w:t>
      </w:r>
      <w:r w:rsidRPr="004240DB">
        <w:rPr>
          <w:rFonts w:ascii="Times New Roman" w:eastAsia="Times New Roman" w:hAnsi="Times New Roman" w:cs="Times New Roman"/>
          <w:sz w:val="24"/>
          <w:szCs w:val="20"/>
          <w:lang w:eastAsia="pl-PL"/>
        </w:rPr>
        <w:t>bardzo dużym doświadczeniu, jak i o</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mniejszym dorobku, co jest pożądanym rozwiązaniem</w:t>
      </w:r>
      <w:r w:rsidR="00397381">
        <w:rPr>
          <w:rFonts w:ascii="Times New Roman" w:eastAsia="Times New Roman" w:hAnsi="Times New Roman" w:cs="Times New Roman"/>
          <w:sz w:val="24"/>
          <w:szCs w:val="20"/>
          <w:lang w:eastAsia="pl-PL"/>
        </w:rPr>
        <w:t>,</w:t>
      </w:r>
      <w:r w:rsidRPr="004240DB">
        <w:rPr>
          <w:rFonts w:ascii="Times New Roman" w:eastAsia="Times New Roman" w:hAnsi="Times New Roman" w:cs="Times New Roman"/>
          <w:sz w:val="24"/>
          <w:szCs w:val="20"/>
          <w:lang w:eastAsia="pl-PL"/>
        </w:rPr>
        <w:t xml:space="preserve"> biorąc pod uwagę kwestię rozwoju kadr naukowych. Uwzględnienie obok działalności naukowej także elementów dydaktyki wynika z analizy doświadczeń </w:t>
      </w:r>
      <w:r w:rsidRPr="004240DB">
        <w:rPr>
          <w:rFonts w:ascii="Times New Roman" w:eastAsia="Times New Roman" w:hAnsi="Times New Roman" w:cs="Times New Roman"/>
          <w:sz w:val="24"/>
          <w:szCs w:val="20"/>
          <w:lang w:eastAsia="pl-PL"/>
        </w:rPr>
        <w:lastRenderedPageBreak/>
        <w:t>międzynarodowych. Wskazują one, że prowadzenie badań naukowych i prac rozwojowych jest jednym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elementów procesu dydaktycznego i tak też będzie</w:t>
      </w:r>
      <w:r w:rsidR="00CE4E46">
        <w:rPr>
          <w:rFonts w:ascii="Times New Roman" w:eastAsia="Times New Roman" w:hAnsi="Times New Roman" w:cs="Times New Roman"/>
          <w:sz w:val="24"/>
          <w:szCs w:val="20"/>
          <w:lang w:eastAsia="pl-PL"/>
        </w:rPr>
        <w:t xml:space="preserve"> w </w:t>
      </w:r>
      <w:r w:rsidRPr="004240DB">
        <w:rPr>
          <w:rFonts w:ascii="Times New Roman" w:eastAsia="Times New Roman" w:hAnsi="Times New Roman" w:cs="Times New Roman"/>
          <w:sz w:val="24"/>
          <w:szCs w:val="20"/>
          <w:lang w:eastAsia="pl-PL"/>
        </w:rPr>
        <w:t>ramach realizacji zadań przez zespoły badawcze wchodzące w skład WIB (przede wszystkim w zakresie studiów doktoranckich).</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Proces powstawania WIB zostanie zapoczątkowany wskazaniem przez ministra, po zasięgnięciu opinii ministra właściwego do spraw gospodarki, obszaru, w jakim planuje się prowadzenie działalności naukowej w tej formie. Przy wyborze obszaru uwzględniane będą priorytety wynikające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dokumentów strategicznych przyjętych przez Radę Ministrów, a</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szczególności ze Strategii na Rzecz Odpowiedzialnego Rozwoju, Krajowych Inteligentnych Specjalizacji, potencjału badawczego występującego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poszczególnych dziedzinach nauki oraz istniejących lub przyszłych potrzeb społecznych lub gospodarczych. Obszar działalności naukowej odnosi się do zakresu tematycznego działalności badawczej, który może mieścić się w ramach jednej dyscypliny naukowej lub dziedziny nauki, ale też może mieć charakter interdyscyplinarny. Projekt ustawy ma na celu stworzenie warunków do powoływania WIB-ów, w których zespoły naukowców będą prowadzić badania naukowe lub prace rozwojowe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obszarach przyszłościowych i przekrojowych w stosunku do obowiązujących przepisów dotyczących dyscyplin naukowych czy dziedzin nauki.</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240DB">
        <w:rPr>
          <w:rFonts w:ascii="Times New Roman" w:eastAsia="Times New Roman" w:hAnsi="Times New Roman" w:cs="Times New Roman"/>
          <w:bCs/>
          <w:sz w:val="24"/>
          <w:szCs w:val="20"/>
          <w:lang w:eastAsia="pl-PL"/>
        </w:rPr>
        <w:t>Jednym z takich obszarów jest biotechnologia, będąca źródłem rozwiązań w</w:t>
      </w:r>
      <w:r w:rsidR="00C02B98">
        <w:rPr>
          <w:rFonts w:ascii="Times New Roman" w:eastAsia="Times New Roman" w:hAnsi="Times New Roman" w:cs="Times New Roman"/>
          <w:bCs/>
          <w:sz w:val="24"/>
          <w:szCs w:val="20"/>
          <w:lang w:eastAsia="pl-PL"/>
        </w:rPr>
        <w:t xml:space="preserve"> </w:t>
      </w:r>
      <w:r w:rsidRPr="004240DB">
        <w:rPr>
          <w:rFonts w:ascii="Times New Roman" w:eastAsia="Times New Roman" w:hAnsi="Times New Roman" w:cs="Times New Roman"/>
          <w:bCs/>
          <w:sz w:val="24"/>
          <w:szCs w:val="20"/>
          <w:lang w:eastAsia="pl-PL"/>
        </w:rPr>
        <w:t>zakresie medycyny, żywności funkcjonalnej, ochrony środowiska czy nowych materiałów. Informację o obszarze działalności naukowej, wysokości środków finansowych przeznaczonych na jej finansowanie oraz okresie tego finansowania minister będzie podawał do wiadomości w</w:t>
      </w:r>
      <w:r w:rsidR="00C02B98">
        <w:rPr>
          <w:rFonts w:ascii="Times New Roman" w:eastAsia="Times New Roman" w:hAnsi="Times New Roman" w:cs="Times New Roman"/>
          <w:bCs/>
          <w:sz w:val="24"/>
          <w:szCs w:val="20"/>
          <w:lang w:eastAsia="pl-PL"/>
        </w:rPr>
        <w:t xml:space="preserve"> </w:t>
      </w:r>
      <w:r w:rsidRPr="004240DB">
        <w:rPr>
          <w:rFonts w:ascii="Times New Roman" w:eastAsia="Times New Roman" w:hAnsi="Times New Roman" w:cs="Times New Roman"/>
          <w:bCs/>
          <w:sz w:val="24"/>
          <w:szCs w:val="20"/>
          <w:lang w:eastAsia="pl-PL"/>
        </w:rPr>
        <w:t>komunikacie ogłaszanym w Biuletynie Informacji Publicznej na swojej stronie podmiotowej. Komunikat nie ma charakteru konstytutywnego, a jego wydanie ma na celu poinfo</w:t>
      </w:r>
      <w:r w:rsidR="00CE4E46">
        <w:rPr>
          <w:rFonts w:ascii="Times New Roman" w:eastAsia="Times New Roman" w:hAnsi="Times New Roman" w:cs="Times New Roman"/>
          <w:bCs/>
          <w:sz w:val="24"/>
          <w:szCs w:val="20"/>
          <w:lang w:eastAsia="pl-PL"/>
        </w:rPr>
        <w:t>rmowanie środowiska naukowego o </w:t>
      </w:r>
      <w:r w:rsidRPr="004240DB">
        <w:rPr>
          <w:rFonts w:ascii="Times New Roman" w:eastAsia="Times New Roman" w:hAnsi="Times New Roman" w:cs="Times New Roman"/>
          <w:bCs/>
          <w:sz w:val="24"/>
          <w:szCs w:val="20"/>
          <w:lang w:eastAsia="pl-PL"/>
        </w:rPr>
        <w:t>rozpoczęciu procesu powołania WIB albo – w</w:t>
      </w:r>
      <w:r w:rsidR="00C02B98">
        <w:rPr>
          <w:rFonts w:ascii="Times New Roman" w:eastAsia="Times New Roman" w:hAnsi="Times New Roman" w:cs="Times New Roman"/>
          <w:bCs/>
          <w:sz w:val="24"/>
          <w:szCs w:val="20"/>
          <w:lang w:eastAsia="pl-PL"/>
        </w:rPr>
        <w:t xml:space="preserve"> </w:t>
      </w:r>
      <w:r w:rsidRPr="004240DB">
        <w:rPr>
          <w:rFonts w:ascii="Times New Roman" w:eastAsia="Times New Roman" w:hAnsi="Times New Roman" w:cs="Times New Roman"/>
          <w:bCs/>
          <w:sz w:val="24"/>
          <w:szCs w:val="20"/>
          <w:lang w:eastAsia="pl-PL"/>
        </w:rPr>
        <w:t xml:space="preserve">przypadku wyboru opcji przeprowadzenia otwartego konkursu ofert na podmiot zarządzający – o możliwości wzięcia udziału w takim konkursie. Z art. 7 projektu ustawy wynika, że podmiot zarządzający będzie mógł być wyłoniony przez wskazanie PORT Polskiego Ośrodka Rozwoju Technologii Spółki z ograniczoną odpowiedzialnością, zwanego dalej „PORT”, jako podmiotu zarządzającego albo w drodze konkursu. W pierwszym przypadku bezpośrednio po komunikacie, o którym mowa w art. 6 ust. 3 projektu ustawy, minister wydaje komunikat, o którym mowa w art. 7 ust. 7 projektu ustawy, </w:t>
      </w:r>
      <w:r w:rsidRPr="004240DB">
        <w:rPr>
          <w:rFonts w:ascii="Times New Roman" w:eastAsia="Times New Roman" w:hAnsi="Times New Roman" w:cs="Times New Roman"/>
          <w:bCs/>
          <w:sz w:val="24"/>
          <w:szCs w:val="20"/>
          <w:lang w:eastAsia="pl-PL"/>
        </w:rPr>
        <w:lastRenderedPageBreak/>
        <w:t>w</w:t>
      </w:r>
      <w:r w:rsidR="00CE4E46">
        <w:rPr>
          <w:rFonts w:ascii="Times New Roman" w:eastAsia="Times New Roman" w:hAnsi="Times New Roman" w:cs="Times New Roman"/>
          <w:bCs/>
          <w:sz w:val="24"/>
          <w:szCs w:val="20"/>
          <w:lang w:eastAsia="pl-PL"/>
        </w:rPr>
        <w:t> </w:t>
      </w:r>
      <w:r w:rsidRPr="004240DB">
        <w:rPr>
          <w:rFonts w:ascii="Times New Roman" w:eastAsia="Times New Roman" w:hAnsi="Times New Roman" w:cs="Times New Roman"/>
          <w:bCs/>
          <w:sz w:val="24"/>
          <w:szCs w:val="20"/>
          <w:lang w:eastAsia="pl-PL"/>
        </w:rPr>
        <w:t>którym wskazuje PORT jako podmiot zarządzający. Natomiast w drugim przypadku minister ogłasza konkurs na wyłonienie podmiotu zarządzającego i po jego wyłonieniu podaje w drodze komunikatu informację o wyłonionym podmiocie.</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 xml:space="preserve">Projekt ustawy wprowadza konstrukcję organizacji i finansowania działalności naukowej WIB opartą na umowach pomiędzy zaangażowanymi podmiotami (art. 9 </w:t>
      </w:r>
      <w:r w:rsidR="00CE4E46">
        <w:rPr>
          <w:rFonts w:ascii="Times New Roman" w:eastAsia="Times New Roman" w:hAnsi="Times New Roman" w:cs="Times New Roman"/>
          <w:sz w:val="24"/>
          <w:szCs w:val="20"/>
          <w:lang w:eastAsia="pl-PL"/>
        </w:rPr>
        <w:t>i art. </w:t>
      </w:r>
      <w:r w:rsidRPr="004240DB">
        <w:rPr>
          <w:rFonts w:ascii="Times New Roman" w:eastAsia="Times New Roman" w:hAnsi="Times New Roman" w:cs="Times New Roman"/>
          <w:sz w:val="24"/>
          <w:szCs w:val="20"/>
          <w:lang w:eastAsia="pl-PL"/>
        </w:rPr>
        <w:t>11 projektu ustawy). Działania związane z organizacją WIB oraz jego zarządzaniem minister będzie powierzał, na podstawie umowy</w:t>
      </w:r>
      <w:r w:rsidR="00397381">
        <w:rPr>
          <w:rFonts w:ascii="Times New Roman" w:eastAsia="Times New Roman" w:hAnsi="Times New Roman" w:cs="Times New Roman"/>
          <w:sz w:val="24"/>
          <w:szCs w:val="20"/>
          <w:lang w:eastAsia="pl-PL"/>
        </w:rPr>
        <w:t>,</w:t>
      </w:r>
      <w:r w:rsidRPr="004240DB">
        <w:rPr>
          <w:rFonts w:ascii="Times New Roman" w:eastAsia="Times New Roman" w:hAnsi="Times New Roman" w:cs="Times New Roman"/>
          <w:sz w:val="24"/>
          <w:szCs w:val="20"/>
          <w:lang w:eastAsia="pl-PL"/>
        </w:rPr>
        <w:t xml:space="preserve"> podmiotowi zarządzającemu. Będzie nim mógł być – jak wskazano wyżej – PORT albo podmiot wybrany w drodze otwartego konkursu ofert spoś</w:t>
      </w:r>
      <w:r w:rsidR="00CE4E46">
        <w:rPr>
          <w:rFonts w:ascii="Times New Roman" w:eastAsia="Times New Roman" w:hAnsi="Times New Roman" w:cs="Times New Roman"/>
          <w:sz w:val="24"/>
          <w:szCs w:val="20"/>
          <w:lang w:eastAsia="pl-PL"/>
        </w:rPr>
        <w:t>ród podmiotów, o których mowa w </w:t>
      </w:r>
      <w:r w:rsidRPr="004240DB">
        <w:rPr>
          <w:rFonts w:ascii="Times New Roman" w:eastAsia="Times New Roman" w:hAnsi="Times New Roman" w:cs="Times New Roman"/>
          <w:sz w:val="24"/>
          <w:szCs w:val="20"/>
          <w:lang w:eastAsia="pl-PL"/>
        </w:rPr>
        <w:t>art. 7</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ust. 1 pkt 8 ustawy z dnia 20</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lipca 2018 r. – Prawo o szkolnictwie wyższym i</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nauce. Przy podejmowaniu decyzji o</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sposobie wyłonienia podmiotu zarządzającego decydujący będzie potencjał organizacyjny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techniczny do realizacji zadań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zakresie zarządzania WIB (art. 7 ust. 1 projektu ustawy).</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Określony w projekcie ustawy sposób wyboru i zakres podmiotów, które mogą pełnić funkcję podmiotu zarządzającego</w:t>
      </w:r>
      <w:r w:rsidR="00397381">
        <w:rPr>
          <w:rFonts w:ascii="Times New Roman" w:eastAsia="Times New Roman" w:hAnsi="Times New Roman" w:cs="Times New Roman"/>
          <w:sz w:val="24"/>
          <w:szCs w:val="20"/>
          <w:lang w:eastAsia="pl-PL"/>
        </w:rPr>
        <w:t>,</w:t>
      </w:r>
      <w:r w:rsidRPr="004240DB">
        <w:rPr>
          <w:rFonts w:ascii="Times New Roman" w:eastAsia="Times New Roman" w:hAnsi="Times New Roman" w:cs="Times New Roman"/>
          <w:sz w:val="24"/>
          <w:szCs w:val="20"/>
          <w:lang w:eastAsia="pl-PL"/>
        </w:rPr>
        <w:t xml:space="preserve"> wynika przede wszystkim ze specyfiki zadań wskazanych do realizacji przez taką jednostkę. Należy bowiem zauważyć, iż rolą podmiotu zarządzającego jest kompleksowa organizacja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zarządzanie WIB, którego działalność będzie skupiona na specjalistycznym obszarze – wymagającym adekwatnych zasobów ze strony podmiotu zarządzającego. Zadania podmiotu zarządzającego zostały określone w art. 8 ust. 1 projektu ustawy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obejmują: organizację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przeprowadzanie otwartych konkursów ofert na wyłonienie zespołów badawczych, opracowanie standardów rekrutacji do zespołów badawczych oraz przeprowadzanie ewaluacji ich stosowania, wybór oraz organizację pracy ekspertów, w tym ekspertów zagranicznych, którzy będą dokonywali oceny zgłoszonych do konkursu zespołów badawczych i ich liderów, przygotowanie i zawieranie umów o</w:t>
      </w:r>
      <w:r w:rsidR="00C02B98">
        <w:rPr>
          <w:rFonts w:ascii="Times New Roman" w:eastAsia="Times New Roman" w:hAnsi="Times New Roman" w:cs="Times New Roman"/>
          <w:sz w:val="24"/>
          <w:szCs w:val="20"/>
          <w:lang w:eastAsia="pl-PL"/>
        </w:rPr>
        <w:t xml:space="preserve"> </w:t>
      </w:r>
      <w:r w:rsidR="00CE4E46">
        <w:rPr>
          <w:rFonts w:ascii="Times New Roman" w:eastAsia="Times New Roman" w:hAnsi="Times New Roman" w:cs="Times New Roman"/>
          <w:sz w:val="24"/>
          <w:szCs w:val="20"/>
          <w:lang w:eastAsia="pl-PL"/>
        </w:rPr>
        <w:t>finansowanie ze </w:t>
      </w:r>
      <w:r w:rsidRPr="004240DB">
        <w:rPr>
          <w:rFonts w:ascii="Times New Roman" w:eastAsia="Times New Roman" w:hAnsi="Times New Roman" w:cs="Times New Roman"/>
          <w:sz w:val="24"/>
          <w:szCs w:val="20"/>
          <w:lang w:eastAsia="pl-PL"/>
        </w:rPr>
        <w:t>środków Funduszu zespołów badawczych wyłonionych w otwartych konkursach ofert. Do zadań podmiotu zarządzającego będzie należ</w:t>
      </w:r>
      <w:r w:rsidR="00CE4E46">
        <w:rPr>
          <w:rFonts w:ascii="Times New Roman" w:eastAsia="Times New Roman" w:hAnsi="Times New Roman" w:cs="Times New Roman"/>
          <w:sz w:val="24"/>
          <w:szCs w:val="20"/>
          <w:lang w:eastAsia="pl-PL"/>
        </w:rPr>
        <w:t>ało również opracowanie zasad i </w:t>
      </w:r>
      <w:r w:rsidRPr="004240DB">
        <w:rPr>
          <w:rFonts w:ascii="Times New Roman" w:eastAsia="Times New Roman" w:hAnsi="Times New Roman" w:cs="Times New Roman"/>
          <w:sz w:val="24"/>
          <w:szCs w:val="20"/>
          <w:lang w:eastAsia="pl-PL"/>
        </w:rPr>
        <w:t>procedur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zakresie zarządzania własnością intelektualną oraz komercjalizacją wyników pracy zespołów badawczych lub know-how związanego z tymi wynikami, przeprowadzanie ewaluacji działalności naukowej zespołów badawczych oraz oceny końcowej zespołów badawczych, przekazywanie środków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 xml:space="preserve">Funduszu, a także nadzór nad realizacją zadań przez zespoły badawcze oraz prawidłowością wydatkowania </w:t>
      </w:r>
      <w:r w:rsidRPr="004240DB">
        <w:rPr>
          <w:rFonts w:ascii="Times New Roman" w:eastAsia="Times New Roman" w:hAnsi="Times New Roman" w:cs="Times New Roman"/>
          <w:sz w:val="24"/>
          <w:szCs w:val="20"/>
          <w:lang w:eastAsia="pl-PL"/>
        </w:rPr>
        <w:lastRenderedPageBreak/>
        <w:t>środków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Funduszu. Podmiot zarządzający będzie odpowiadał też za komercjalizację wyników pracy zespołów badawczych lub know-how związanego z tymi wynikami.</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W przypadku otwartego konkursu ofert na podmiot zarządzający, w ogłoszeniu zamieszczane będą informacje wskazane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 xml:space="preserve">art. 7 ust. 2 projektu ustawy obejmujące przedmiot otwartego konkursu ofert, okres finansowania i wysokość środków przeznaczonych na funkcjonowanie WIB, szczegółowe </w:t>
      </w:r>
      <w:r w:rsidR="00CE4E46">
        <w:rPr>
          <w:rFonts w:ascii="Times New Roman" w:eastAsia="Times New Roman" w:hAnsi="Times New Roman" w:cs="Times New Roman"/>
          <w:sz w:val="24"/>
          <w:szCs w:val="20"/>
          <w:lang w:eastAsia="pl-PL"/>
        </w:rPr>
        <w:t>kryteria oceny ofert, miejsce i </w:t>
      </w:r>
      <w:r w:rsidRPr="004240DB">
        <w:rPr>
          <w:rFonts w:ascii="Times New Roman" w:eastAsia="Times New Roman" w:hAnsi="Times New Roman" w:cs="Times New Roman"/>
          <w:sz w:val="24"/>
          <w:szCs w:val="20"/>
          <w:lang w:eastAsia="pl-PL"/>
        </w:rPr>
        <w:t>termin składania ofert, termin rozstrzygnięcia otwartego konkursu ofert, a także termin i sposób ogłoszenia wyników otwartego konkursu ofert, wykaz dokumentów, które należy dołączyć do oferty, jak również informację o</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możliwości odwołania otwartego konkursu ofert przed upływem terminu na złożenie ofert, możliwości przedłużenia terminu złożenia ofert, a</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także termin rozstrzygnięcia otwartego konkursu ofert oraz informacje o sposobie złożenia oferty i dokumentów, które należy do niej dołączyć. Projekt ustawy w art. 7 ust. 5 stanowi, że w przypadku wyłaniania podmiotu zarządzającego w trybie otwartego konkursu ofert minister musi brać od uwagę: potencjał organizacyjny i techniczny podmiotów składających oferty, doświadczenie tych podmiotów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zakresie zarządzania projektami obejmującymi prowadzenie działalności naukowej, a także przewidywaną wysokość kosztów realizacji zadań podmiotu zarządzającego. Są to więc kryteria wspólne dla wszystkich podmiotów zarządzających niezależnie od tego, w jakim obszarze WIB zostanie powołany. Przy rozstrzyganiu konkursu będzie brana pod uwagę cała działalność oferentów, a</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nie tylko fakt prowadzenia działalności naukowej, co związane jest z zakresem i charakterem zadań związanych z zarządzaniem WIB. Do wyboru podmiotu zarządzającego nie będzie stosować się ustawy z dnia 29 stycznia 2004 r. – Prawo zamówień publicznych (Dz. U. z 2018 r. poz. 1986</w:t>
      </w:r>
      <w:r w:rsidR="00397381">
        <w:rPr>
          <w:rFonts w:ascii="Times New Roman" w:eastAsia="Times New Roman" w:hAnsi="Times New Roman" w:cs="Times New Roman"/>
          <w:sz w:val="24"/>
          <w:szCs w:val="20"/>
          <w:lang w:eastAsia="pl-PL"/>
        </w:rPr>
        <w:t>, z późn. zm.</w:t>
      </w:r>
      <w:r w:rsidRPr="004240DB">
        <w:rPr>
          <w:rFonts w:ascii="Times New Roman" w:eastAsia="Times New Roman" w:hAnsi="Times New Roman" w:cs="Times New Roman"/>
          <w:sz w:val="24"/>
          <w:szCs w:val="20"/>
          <w:lang w:eastAsia="pl-PL"/>
        </w:rPr>
        <w:t>). Uregulowanie kwestii wyboru podmiotu zarządzającego przepisami projektu ustawy podyktowane jest specyfiką zadań, które mają realizować podmioty zarządzające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zakresie zarządzania wirtualnym instytutem badawczym, a także potrzebą szybkiego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sprawnego wyłonienia podmiotu zarządzającego WIB.</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W odniesieniu do możliwości zawarcia umowy o zarządzanie WIB z PORT, należy wskazać, iż jest to jednoosobowa spółka Skarbu Państwa, dysponująca odpowiednim zapleczem laboratoryjnym oraz potencjałem organizacyjnym do koordynowania prac zespołów badawczych (w tym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 xml:space="preserve">obszarze biotechnologii). Od czasu swojego utworzenia spółka koordynowała realizację wielu projektów obejmujących prowadzenie </w:t>
      </w:r>
      <w:r w:rsidRPr="004240DB">
        <w:rPr>
          <w:rFonts w:ascii="Times New Roman" w:eastAsia="Times New Roman" w:hAnsi="Times New Roman" w:cs="Times New Roman"/>
          <w:sz w:val="24"/>
          <w:szCs w:val="20"/>
          <w:lang w:eastAsia="pl-PL"/>
        </w:rPr>
        <w:lastRenderedPageBreak/>
        <w:t>działalności naukowej. Wartość już zrealizowanych projektów to ponad 900 mln zł. PORT realizował między innymi projekt pn.</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Biotechnologie i Zaawansowane Technologie Medyczne (</w:t>
      </w:r>
      <w:proofErr w:type="spellStart"/>
      <w:r w:rsidRPr="004240DB">
        <w:rPr>
          <w:rFonts w:ascii="Times New Roman" w:eastAsia="Times New Roman" w:hAnsi="Times New Roman" w:cs="Times New Roman"/>
          <w:sz w:val="24"/>
          <w:szCs w:val="20"/>
          <w:lang w:eastAsia="pl-PL"/>
        </w:rPr>
        <w:t>BioMED</w:t>
      </w:r>
      <w:proofErr w:type="spellEnd"/>
      <w:r w:rsidRPr="004240DB">
        <w:rPr>
          <w:rFonts w:ascii="Times New Roman" w:eastAsia="Times New Roman" w:hAnsi="Times New Roman" w:cs="Times New Roman"/>
          <w:sz w:val="24"/>
          <w:szCs w:val="20"/>
          <w:lang w:eastAsia="pl-PL"/>
        </w:rPr>
        <w:t>) obejmujący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 xml:space="preserve">szczególności badania w zakresie </w:t>
      </w:r>
      <w:proofErr w:type="spellStart"/>
      <w:r w:rsidRPr="004240DB">
        <w:rPr>
          <w:rFonts w:ascii="Times New Roman" w:eastAsia="Times New Roman" w:hAnsi="Times New Roman" w:cs="Times New Roman"/>
          <w:sz w:val="24"/>
          <w:szCs w:val="20"/>
          <w:lang w:eastAsia="pl-PL"/>
        </w:rPr>
        <w:t>bionanomateriałów</w:t>
      </w:r>
      <w:proofErr w:type="spellEnd"/>
      <w:r w:rsidRPr="004240DB">
        <w:rPr>
          <w:rFonts w:ascii="Times New Roman" w:eastAsia="Times New Roman" w:hAnsi="Times New Roman" w:cs="Times New Roman"/>
          <w:sz w:val="24"/>
          <w:szCs w:val="20"/>
          <w:lang w:eastAsia="pl-PL"/>
        </w:rPr>
        <w:t xml:space="preserve">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terapii i diagnostyce, nowych nośników leków, precyzyjnej diagnostyki nowotworów, problematykę zapobiegania i leczenia chorób, medycyny regeneracyjnej. Realizowane projekty miały charakter zarówno działalności własnej, jak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koordynacji badań prowadzonych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innych podmiotach prowadzących działalność naukową. Spółka zatrudnia wyspecjalizowaną kadrę naukową pracującą z</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wykorzystaniem nowoczesnej infrastruktury badawczej oraz prowadzi działalność naukową współpracując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partnerami gospodarczymi, w tym innymi spółkami Skarbu Państwa. Podmiot ten spełnia zatem warunki organizacyjne oraz dysponuje zapleczem do realizacji zadań podmiotu zarządzającego. Ponadto, zgodnie z art. 18 projektu ustawy</w:t>
      </w:r>
      <w:r w:rsidR="00234BD1">
        <w:rPr>
          <w:rFonts w:ascii="Times New Roman" w:eastAsia="Times New Roman" w:hAnsi="Times New Roman" w:cs="Times New Roman"/>
          <w:sz w:val="24"/>
          <w:szCs w:val="20"/>
          <w:lang w:eastAsia="pl-PL"/>
        </w:rPr>
        <w:t>,</w:t>
      </w:r>
      <w:r w:rsidRPr="004240DB">
        <w:rPr>
          <w:rFonts w:ascii="Times New Roman" w:eastAsia="Times New Roman" w:hAnsi="Times New Roman" w:cs="Times New Roman"/>
          <w:sz w:val="24"/>
          <w:szCs w:val="20"/>
          <w:lang w:eastAsia="pl-PL"/>
        </w:rPr>
        <w:t xml:space="preserve"> spółkę proponuje się dodać do katalogu spółek realizujących misję publiczną – zmiana w art. 2 pkt 8 ustawy z dnia 16 grudnia 2016 r. o</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zasadach zarządzania mieniem państwowym (Dz. U. z 2018 r. poz. 1182, z późn. zm.</w:t>
      </w:r>
      <w:r w:rsidR="00CE4E46">
        <w:rPr>
          <w:rFonts w:ascii="Times New Roman" w:eastAsia="Times New Roman" w:hAnsi="Times New Roman" w:cs="Times New Roman"/>
          <w:sz w:val="24"/>
          <w:szCs w:val="20"/>
          <w:lang w:eastAsia="pl-PL"/>
        </w:rPr>
        <w:t>). Wynika to między innymi z </w:t>
      </w:r>
      <w:r w:rsidRPr="004240DB">
        <w:rPr>
          <w:rFonts w:ascii="Times New Roman" w:eastAsia="Times New Roman" w:hAnsi="Times New Roman" w:cs="Times New Roman"/>
          <w:sz w:val="24"/>
          <w:szCs w:val="20"/>
          <w:lang w:eastAsia="pl-PL"/>
        </w:rPr>
        <w:t xml:space="preserve">faktu, że jest to spółka będąca własnością Skarbu Państwa, która dysponuje potencjałem, jaki powinien zostać wykorzystany do realizacji polityki </w:t>
      </w:r>
      <w:r w:rsidR="00234BD1">
        <w:rPr>
          <w:rFonts w:ascii="Times New Roman" w:eastAsia="Times New Roman" w:hAnsi="Times New Roman" w:cs="Times New Roman"/>
          <w:sz w:val="24"/>
          <w:szCs w:val="20"/>
          <w:lang w:eastAsia="pl-PL"/>
        </w:rPr>
        <w:t>r</w:t>
      </w:r>
      <w:r w:rsidRPr="004240DB">
        <w:rPr>
          <w:rFonts w:ascii="Times New Roman" w:eastAsia="Times New Roman" w:hAnsi="Times New Roman" w:cs="Times New Roman"/>
          <w:sz w:val="24"/>
          <w:szCs w:val="20"/>
          <w:lang w:eastAsia="pl-PL"/>
        </w:rPr>
        <w:t>ządu, w tym do prowadzenia badań w sektorach istotnych z punktu widzenia polityki gospodarczej i</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naukowej państwa, wskazanych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dokumentach strategicznych. W spółce realizującej misję publiczną wykonywanie praw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akcji lub udziałów należących do Skarbu Państwa lub państwowej osoby prawnej odbywa się na zasadach prawidłowej gospodarki, w</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szczególności w celu efektywnej realizacji misji publicznej realizowanej przez tę spółkę (wykonywanie praw z akcji lub udziałów należących do Skarbu Państwa lub państwowej osoby w spółce bez misji publicznej odbywa się na zasadach prawidłowej gospodarki, w celu osiągnięcia trwałego wzrostu wartości tych akcji,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uwzględnieniem polityki gospodarczej państwa). Spółka tym samym stanie się instrumentem efektywnie realizującym misję i cele polityki państwa.</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 xml:space="preserve">Informacja o wyborze podmiotu zarządzającego zostanie podana do publicznej wiadomości w drodze komunikatu ogłoszonego w Biuletynie Informacji Publicznej na stronie podmiotowej ministra. Po wyłonieniu podmiotu zarządzającego minister zawrze z nim umowę o zarządzanie WIB, której niezbędne elementy wskazuje art. 9 ust. 2 projektu ustawy. Powstanie WIB obwarowane jest wysokimi wymaganiami w stosunku do osób wchodzących w skład zespołów badawczych tworzących WIB, a tym samym </w:t>
      </w:r>
      <w:r w:rsidRPr="004240DB">
        <w:rPr>
          <w:rFonts w:ascii="Times New Roman" w:eastAsia="Times New Roman" w:hAnsi="Times New Roman" w:cs="Times New Roman"/>
          <w:sz w:val="24"/>
          <w:szCs w:val="20"/>
          <w:lang w:eastAsia="pl-PL"/>
        </w:rPr>
        <w:lastRenderedPageBreak/>
        <w:t>w</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stosunku do oczekiwanego potencjału tych zespołów (w szczególności doskonałość naukowa badań, międzynarodowa reputacja, otwartość na innowacje), dlatego też szczególnie istotne będzie właściwe przeprowadzenie procesu wyboru liderów tych zespołów i rekrutacji ich członków. Organizacja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przeprowadzenie otwartych konkursów ofert na wybór zespołów badawczych będzie należała do podmiotu zarządzającego (art. 8 ust. 1 pkt 1 projektu ustawy). Będzie on korzystał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tym zakresie ze wsparcia ekspertów, w tym ekspertów zagranicznych, którzy będą dokonywali oceny zespołów badawczych zgłoszonych do konkursu. Sposób i tryb przeprowadzenia otwartego konkursu ofert zostanie określony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umowie o zarządzanie WIB. Podmiot zarządzający będzie zobowiązany również do opracowania standardów rekrutacji do zespołów badawczych (art. 8 ust. 1 pkt 2 projektu ustawy</w:t>
      </w:r>
      <w:r w:rsidR="00CE4E46">
        <w:rPr>
          <w:rFonts w:ascii="Times New Roman" w:eastAsia="Times New Roman" w:hAnsi="Times New Roman" w:cs="Times New Roman"/>
          <w:sz w:val="24"/>
          <w:szCs w:val="20"/>
          <w:lang w:eastAsia="pl-PL"/>
        </w:rPr>
        <w:t>) oraz będzie przygotowywał i </w:t>
      </w:r>
      <w:r w:rsidRPr="004240DB">
        <w:rPr>
          <w:rFonts w:ascii="Times New Roman" w:eastAsia="Times New Roman" w:hAnsi="Times New Roman" w:cs="Times New Roman"/>
          <w:sz w:val="24"/>
          <w:szCs w:val="20"/>
          <w:lang w:eastAsia="pl-PL"/>
        </w:rPr>
        <w:t>zawierał umowy o finansowanie ze środków Funduszu zespołów badawczych wyłonionych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otwartych</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konkursach ofert (art. 8 ust. 1 pkt 4 projektu ustawy). Zgodnie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art. 9 ust. 2 pkt 2 i 5 projektu ustawy liczbę tych zespołów, a także wysokość i sposób przekazywania oraz rozliczania środków finansowych przeznaczonych na finansowanie zespołów badawczych będzie określała umowa o zarządzanie WIB. Podmiot zarządzający, po przeprowadzeniu otwartych konkursów ofert na wyłonienie zespołów badawczych, zawiera umowę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podmiotem zatrudniającym lidera zespołu badawczego (art. 11 projektu ustawy). Zakłada się, że w większości przypadkó</w:t>
      </w:r>
      <w:r w:rsidR="00234BD1">
        <w:rPr>
          <w:rFonts w:ascii="Times New Roman" w:eastAsia="Times New Roman" w:hAnsi="Times New Roman" w:cs="Times New Roman"/>
          <w:sz w:val="24"/>
          <w:szCs w:val="20"/>
          <w:lang w:eastAsia="pl-PL"/>
        </w:rPr>
        <w:t>w</w:t>
      </w:r>
      <w:r w:rsidRPr="004240DB">
        <w:rPr>
          <w:rFonts w:ascii="Times New Roman" w:eastAsia="Times New Roman" w:hAnsi="Times New Roman" w:cs="Times New Roman"/>
          <w:sz w:val="24"/>
          <w:szCs w:val="20"/>
          <w:lang w:eastAsia="pl-PL"/>
        </w:rPr>
        <w:t xml:space="preserve"> zespoły badawcze będą złożone z pracowników jednej jednostki. Na etapie podpisywania umowy z podmiotem zarządzającym zostanie przygotowywany – jeśli będzie taka potrzeba – plan rekrutacji kolejnych osób do zespołu badawczego (osobom takim będzie mogła zostać powierzona praca przez jednostkę macierzystą lidera zespołu badawczego,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wykorzystaniem różnych form prawnych). Podmiot zarządzający będzie dysponował środkami przeznaczonymi dla zespoł</w:t>
      </w:r>
      <w:r w:rsidR="00CE4E46">
        <w:rPr>
          <w:rFonts w:ascii="Times New Roman" w:eastAsia="Times New Roman" w:hAnsi="Times New Roman" w:cs="Times New Roman"/>
          <w:sz w:val="24"/>
          <w:szCs w:val="20"/>
          <w:lang w:eastAsia="pl-PL"/>
        </w:rPr>
        <w:t>ów badawczych funkcjonujących w </w:t>
      </w:r>
      <w:r w:rsidRPr="004240DB">
        <w:rPr>
          <w:rFonts w:ascii="Times New Roman" w:eastAsia="Times New Roman" w:hAnsi="Times New Roman" w:cs="Times New Roman"/>
          <w:sz w:val="24"/>
          <w:szCs w:val="20"/>
          <w:lang w:eastAsia="pl-PL"/>
        </w:rPr>
        <w:t>formie WIB, przy czym środki te będą przekazywane na</w:t>
      </w:r>
      <w:r w:rsidR="00CE4E46">
        <w:rPr>
          <w:rFonts w:ascii="Times New Roman" w:eastAsia="Times New Roman" w:hAnsi="Times New Roman" w:cs="Times New Roman"/>
          <w:sz w:val="24"/>
          <w:szCs w:val="20"/>
          <w:lang w:eastAsia="pl-PL"/>
        </w:rPr>
        <w:t xml:space="preserve"> rachunki podmiotów, w </w:t>
      </w:r>
      <w:r w:rsidRPr="004240DB">
        <w:rPr>
          <w:rFonts w:ascii="Times New Roman" w:eastAsia="Times New Roman" w:hAnsi="Times New Roman" w:cs="Times New Roman"/>
          <w:sz w:val="24"/>
          <w:szCs w:val="20"/>
          <w:lang w:eastAsia="pl-PL"/>
        </w:rPr>
        <w:t>których będą zatrudnieni liderzy zespołów badawczych. Warunki i tryb przekazywania środków finansowych określi umowa pomiędzy podmiotem zarządzającym a podmiotem, w którym działalność naukową prowadzi lider zespołu badawczego. Zgodnie z art. 11 projektu ust</w:t>
      </w:r>
      <w:r w:rsidR="00CE4E46">
        <w:rPr>
          <w:rFonts w:ascii="Times New Roman" w:eastAsia="Times New Roman" w:hAnsi="Times New Roman" w:cs="Times New Roman"/>
          <w:sz w:val="24"/>
          <w:szCs w:val="20"/>
          <w:lang w:eastAsia="pl-PL"/>
        </w:rPr>
        <w:t>awy umowa taka zawierana jest z </w:t>
      </w:r>
      <w:r w:rsidRPr="004240DB">
        <w:rPr>
          <w:rFonts w:ascii="Times New Roman" w:eastAsia="Times New Roman" w:hAnsi="Times New Roman" w:cs="Times New Roman"/>
          <w:sz w:val="24"/>
          <w:szCs w:val="20"/>
          <w:lang w:eastAsia="pl-PL"/>
        </w:rPr>
        <w:t>podmiotami wymienionymi w art. 7 ust. 1 pkt 1, 3–6 i 8 ustawy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dnia 20 lipca 2018 r. – Prawo o</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 xml:space="preserve">szkolnictwie wyższym i nauce, czyli uczelniami, Polską Akademią Nauk, instytutami naukowymi Polskiej Akademii Nauk, instytutami badawczymi, </w:t>
      </w:r>
      <w:r w:rsidRPr="004240DB">
        <w:rPr>
          <w:rFonts w:ascii="Times New Roman" w:eastAsia="Times New Roman" w:hAnsi="Times New Roman" w:cs="Times New Roman"/>
          <w:sz w:val="24"/>
          <w:szCs w:val="20"/>
          <w:lang w:eastAsia="pl-PL"/>
        </w:rPr>
        <w:lastRenderedPageBreak/>
        <w:t>międzynarodowymi instytutami naukowymi utworzonymi na podstawie odrębnych ustaw działającymi na terytorium Rzeczypospolitej Polskiej i innymi podmiotami prowadzącymi głównie działalność naukową w sposób samodzielny i ciągły.</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Projekt ustawy w art. 11 określa również obligatoryjne elementy tych umów. Są nimi w</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szczególności: zakres planowanej działalności naukowej, warunki jej realizacji, w</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tym harmonogram i kosztorys, warunki i tryb przekazywania środków finansowych, wskazanie lidera zespołu badawczego wraz z określeniem docelowej liczby członków tego zespołu oraz planem niezbędnych działań rekrutacyjnych, spodziewane efekty działalności naukowej, w tym zobowiązanie do współpracy przy komercjalizacji wyników pracy zespołów badawczych lub know-how związanego z tymi wynikami, zasady zarządzania pracą zespołu badawczego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warunki jej organizacji, inne, niż określone w art. 8 ust. 2 pkt 1–4</w:t>
      </w:r>
      <w:r w:rsidR="00266AA0">
        <w:rPr>
          <w:rFonts w:ascii="Times New Roman" w:eastAsia="Times New Roman" w:hAnsi="Times New Roman" w:cs="Times New Roman"/>
          <w:sz w:val="24"/>
          <w:szCs w:val="20"/>
          <w:lang w:eastAsia="pl-PL"/>
        </w:rPr>
        <w:t xml:space="preserve"> projektu ustawy</w:t>
      </w:r>
      <w:r w:rsidRPr="004240DB">
        <w:rPr>
          <w:rFonts w:ascii="Times New Roman" w:eastAsia="Times New Roman" w:hAnsi="Times New Roman" w:cs="Times New Roman"/>
          <w:sz w:val="24"/>
          <w:szCs w:val="20"/>
          <w:lang w:eastAsia="pl-PL"/>
        </w:rPr>
        <w:t>, działania wykonywane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ramach nadzoru nad realizacją zadań przez zespoły badawcze oraz prawid</w:t>
      </w:r>
      <w:r w:rsidR="00CE4E46">
        <w:rPr>
          <w:rFonts w:ascii="Times New Roman" w:eastAsia="Times New Roman" w:hAnsi="Times New Roman" w:cs="Times New Roman"/>
          <w:sz w:val="24"/>
          <w:szCs w:val="20"/>
          <w:lang w:eastAsia="pl-PL"/>
        </w:rPr>
        <w:t>łowością wydatkowania środków z </w:t>
      </w:r>
      <w:r w:rsidRPr="004240DB">
        <w:rPr>
          <w:rFonts w:ascii="Times New Roman" w:eastAsia="Times New Roman" w:hAnsi="Times New Roman" w:cs="Times New Roman"/>
          <w:sz w:val="24"/>
          <w:szCs w:val="20"/>
          <w:lang w:eastAsia="pl-PL"/>
        </w:rPr>
        <w:t>Funduszu, sposób i tryb sprawowania nadzoru nad realizacją zadań przez zespoły badawcze oraz prawid</w:t>
      </w:r>
      <w:r w:rsidR="00266AA0">
        <w:rPr>
          <w:rFonts w:ascii="Times New Roman" w:eastAsia="Times New Roman" w:hAnsi="Times New Roman" w:cs="Times New Roman"/>
          <w:sz w:val="24"/>
          <w:szCs w:val="20"/>
          <w:lang w:eastAsia="pl-PL"/>
        </w:rPr>
        <w:t>łowością wydatkowania środków z </w:t>
      </w:r>
      <w:r w:rsidRPr="004240DB">
        <w:rPr>
          <w:rFonts w:ascii="Times New Roman" w:eastAsia="Times New Roman" w:hAnsi="Times New Roman" w:cs="Times New Roman"/>
          <w:sz w:val="24"/>
          <w:szCs w:val="20"/>
          <w:lang w:eastAsia="pl-PL"/>
        </w:rPr>
        <w:t>Funduszu, zakres praw wynikających z przyznania praw autorskich, praw pokrewnych oraz praw własności przemysłowej, sposób i koszty sprawowania ochrony praw własności intelektualnej, sposoby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warunki rozporządzania prawami własności intelektualnej oraz ich wykorzystania dla celów komercyjnych i do dalszych badań naukowych lub prac rozwojowych, wielkości udziałów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korzyści wynikających z</w:t>
      </w:r>
      <w:r w:rsidR="00266AA0">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komercjalizacji wyników pracy zespołów badaw</w:t>
      </w:r>
      <w:r w:rsidR="00266AA0">
        <w:rPr>
          <w:rFonts w:ascii="Times New Roman" w:eastAsia="Times New Roman" w:hAnsi="Times New Roman" w:cs="Times New Roman"/>
          <w:sz w:val="24"/>
          <w:szCs w:val="20"/>
          <w:lang w:eastAsia="pl-PL"/>
        </w:rPr>
        <w:t>czych lub know-how związanego z </w:t>
      </w:r>
      <w:bookmarkStart w:id="0" w:name="_GoBack"/>
      <w:bookmarkEnd w:id="0"/>
      <w:r w:rsidRPr="004240DB">
        <w:rPr>
          <w:rFonts w:ascii="Times New Roman" w:eastAsia="Times New Roman" w:hAnsi="Times New Roman" w:cs="Times New Roman"/>
          <w:sz w:val="24"/>
          <w:szCs w:val="20"/>
          <w:lang w:eastAsia="pl-PL"/>
        </w:rPr>
        <w:t>tymi wynikami</w:t>
      </w:r>
      <w:r w:rsidR="00CE4E46">
        <w:rPr>
          <w:rFonts w:ascii="Times New Roman" w:eastAsia="Times New Roman" w:hAnsi="Times New Roman" w:cs="Times New Roman"/>
          <w:sz w:val="24"/>
          <w:szCs w:val="20"/>
          <w:lang w:eastAsia="pl-PL"/>
        </w:rPr>
        <w:t>, warunki i </w:t>
      </w:r>
      <w:r w:rsidRPr="004240DB">
        <w:rPr>
          <w:rFonts w:ascii="Times New Roman" w:eastAsia="Times New Roman" w:hAnsi="Times New Roman" w:cs="Times New Roman"/>
          <w:sz w:val="24"/>
          <w:szCs w:val="20"/>
          <w:lang w:eastAsia="pl-PL"/>
        </w:rPr>
        <w:t>sposób rozliczenia przekazanych środków finansowych, sposób i zakres ewaluacji działalności naukowej, tryb kontroli wykonania obowiązków określonych w umowie oraz warunki rozwiązania umowy. Tak szeroki katalog spraw regulowanych w umowie ma na celu z jednej strony zapewnienie sprawnej realizacji prac zespołów badawczych działających w formie WIB, z drugiej stosowanie odpowiednich mechanizmów kontrolnych po stronie podmiotu zarządzającego.</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Podmiot zarządzający będzie sprawował nadzór nad realizacją zadań przez zespoły badawcze oraz prawidłowością wydatkowania środków z Funduszu.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 xml:space="preserve">ramach nadzoru podmiot zarządzający może dokonywać kontroli realizacji zadań przez zespoły badawcze czy wstrzymać lub nawet przerwać ich finansowanie, np. w sytuacji wydatkowania przekazanych środków niezgodnie z umową czy nieosiągania, na danym etapie, zakładanych wyników działalności naukowej (art. 8 ust. 2 projektu ustawy). </w:t>
      </w:r>
      <w:r w:rsidRPr="004240DB">
        <w:rPr>
          <w:rFonts w:ascii="Times New Roman" w:eastAsia="Times New Roman" w:hAnsi="Times New Roman" w:cs="Times New Roman"/>
          <w:sz w:val="24"/>
          <w:szCs w:val="20"/>
          <w:lang w:eastAsia="pl-PL"/>
        </w:rPr>
        <w:lastRenderedPageBreak/>
        <w:t>W</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związku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faktem, iż badania naukowe i prace rozwojowe z zasady charakteryzują się dużym ryzykiem z punktu widzenia osiągnięcia zakładanego rezultatu, konieczna jest możliwość zaprzestania finansowania danej działalności, jeśli dalsze prace nie rokują na osiągnięcie celów określonych w ramach umowy. W ramach nadzoru podmiot zarządzający może także dokonywać innych działań nadzorczych, które zostaną określone w umowie pomiędzy podmiotem zarządzającym a podmiotem, w którym działalność naukową prowadzi lider zespołu badawczego.</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Do zadań podmiotu zarządzającego będzie należało również opracowanie zasad i</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procedur w zakresie zarządzania własnością intelektualną i komercjalizacją wyników pracy zespołów badawczych lub know-how związanego z tymi wynikami.</w:t>
      </w:r>
      <w:r w:rsidRPr="004240DB" w:rsidDel="00C26DD1">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Wpływy z</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komercjalizacji działalności naukowej będą dzielone, zgodnie z umową między podmiotem zarządzającym a</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 xml:space="preserve">jednostką zatrudniającą </w:t>
      </w:r>
      <w:r w:rsidR="00CE4E46">
        <w:rPr>
          <w:rFonts w:ascii="Times New Roman" w:eastAsia="Times New Roman" w:hAnsi="Times New Roman" w:cs="Times New Roman"/>
          <w:sz w:val="24"/>
          <w:szCs w:val="20"/>
          <w:lang w:eastAsia="pl-PL"/>
        </w:rPr>
        <w:t>lidera, pomiędzy tą jednostkę a </w:t>
      </w:r>
      <w:r w:rsidRPr="004240DB">
        <w:rPr>
          <w:rFonts w:ascii="Times New Roman" w:eastAsia="Times New Roman" w:hAnsi="Times New Roman" w:cs="Times New Roman"/>
          <w:sz w:val="24"/>
          <w:szCs w:val="20"/>
          <w:lang w:eastAsia="pl-PL"/>
        </w:rPr>
        <w:t>Fundusz. Rozwiązanie to zapewni stałe źródło przychodów do Funduszu, które będą się zwiększać wraz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 xml:space="preserve">komercjalizacją kolejnych wyników prac zespołów badawczych. Doświadczenia belgijskiego </w:t>
      </w:r>
      <w:proofErr w:type="spellStart"/>
      <w:r w:rsidRPr="004240DB">
        <w:rPr>
          <w:rFonts w:ascii="Times New Roman" w:eastAsia="Times New Roman" w:hAnsi="Times New Roman" w:cs="Times New Roman"/>
          <w:sz w:val="24"/>
          <w:szCs w:val="20"/>
          <w:lang w:eastAsia="pl-PL"/>
        </w:rPr>
        <w:t>Vlaams</w:t>
      </w:r>
      <w:proofErr w:type="spellEnd"/>
      <w:r w:rsidRPr="004240DB">
        <w:rPr>
          <w:rFonts w:ascii="Times New Roman" w:eastAsia="Times New Roman" w:hAnsi="Times New Roman" w:cs="Times New Roman"/>
          <w:sz w:val="24"/>
          <w:szCs w:val="20"/>
          <w:lang w:eastAsia="pl-PL"/>
        </w:rPr>
        <w:t xml:space="preserve"> </w:t>
      </w:r>
      <w:proofErr w:type="spellStart"/>
      <w:r w:rsidRPr="004240DB">
        <w:rPr>
          <w:rFonts w:ascii="Times New Roman" w:eastAsia="Times New Roman" w:hAnsi="Times New Roman" w:cs="Times New Roman"/>
          <w:sz w:val="24"/>
          <w:szCs w:val="20"/>
          <w:lang w:eastAsia="pl-PL"/>
        </w:rPr>
        <w:t>Instituut</w:t>
      </w:r>
      <w:proofErr w:type="spellEnd"/>
      <w:r w:rsidRPr="004240DB">
        <w:rPr>
          <w:rFonts w:ascii="Times New Roman" w:eastAsia="Times New Roman" w:hAnsi="Times New Roman" w:cs="Times New Roman"/>
          <w:sz w:val="24"/>
          <w:szCs w:val="20"/>
          <w:lang w:eastAsia="pl-PL"/>
        </w:rPr>
        <w:t xml:space="preserve"> </w:t>
      </w:r>
      <w:proofErr w:type="spellStart"/>
      <w:r w:rsidRPr="004240DB">
        <w:rPr>
          <w:rFonts w:ascii="Times New Roman" w:eastAsia="Times New Roman" w:hAnsi="Times New Roman" w:cs="Times New Roman"/>
          <w:sz w:val="24"/>
          <w:szCs w:val="20"/>
          <w:lang w:eastAsia="pl-PL"/>
        </w:rPr>
        <w:t>voor</w:t>
      </w:r>
      <w:proofErr w:type="spellEnd"/>
      <w:r w:rsidRPr="004240DB">
        <w:rPr>
          <w:rFonts w:ascii="Times New Roman" w:eastAsia="Times New Roman" w:hAnsi="Times New Roman" w:cs="Times New Roman"/>
          <w:sz w:val="24"/>
          <w:szCs w:val="20"/>
          <w:lang w:eastAsia="pl-PL"/>
        </w:rPr>
        <w:t xml:space="preserve"> Biotechnologie pokazują, iż wpływy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komercjalizacji mogą stać się istotnym elementem finansowania zespołów badawczych, co pozwoli na stworzenie dodatkowego źródła służącego zwiększeniu publicznych nakładów na działalność badawczo-rozwojową.</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Sposób i tryb sprawowania nadzoru na realizacją zadań przez podmiot zarządzający zostanie określony w umowie pomiędzy ministrem a podmiotem zarządzającym. Niezależnie od powyższego projekt ustawy zawiera również przepisy dotyczące nadzoru ministra nad podmiotem zarządzającym (art. 10 projektu ustawy). W celu zapewnienia skutecznego nadzoru minister będzie mógł żądać wglądu we wszystkie dokumenty związane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zarządzaniem WIB, dokonywać oceny działalności podmiotu zarządzającego oraz przeprowadzać kontrolę w trybie ustawy z</w:t>
      </w:r>
      <w:r w:rsidR="00C02B98">
        <w:rPr>
          <w:rFonts w:ascii="Times New Roman" w:eastAsia="Times New Roman" w:hAnsi="Times New Roman" w:cs="Times New Roman"/>
          <w:sz w:val="24"/>
          <w:szCs w:val="20"/>
          <w:lang w:eastAsia="pl-PL"/>
        </w:rPr>
        <w:t xml:space="preserve"> </w:t>
      </w:r>
      <w:r w:rsidR="00CE4E46">
        <w:rPr>
          <w:rFonts w:ascii="Times New Roman" w:eastAsia="Times New Roman" w:hAnsi="Times New Roman" w:cs="Times New Roman"/>
          <w:sz w:val="24"/>
          <w:szCs w:val="20"/>
          <w:lang w:eastAsia="pl-PL"/>
        </w:rPr>
        <w:t>dnia 15 lipca 2011 r. o </w:t>
      </w:r>
      <w:r w:rsidRPr="004240DB">
        <w:rPr>
          <w:rFonts w:ascii="Times New Roman" w:eastAsia="Times New Roman" w:hAnsi="Times New Roman" w:cs="Times New Roman"/>
          <w:sz w:val="24"/>
          <w:szCs w:val="20"/>
          <w:lang w:eastAsia="pl-PL"/>
        </w:rPr>
        <w:t>kontroli w administracji rządowej (Dz. U. poz. 1092). Ma to na celu zapewnienie odpowiedniej jakości realizacji zadań przez podmiot zarządzający, a w razie niewywiązywania się z powierzonych zadań także rozwiązania umowy.</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Projekt ustawy określa maksymalną wysokość środków finansowych przeznaczonych na pokrycie kosztów realizacji zadań przez podmiot zarządzający – nie może ona przekroczyć 5% środków finansowych przeznaczonych na realizację zadań, o których mowa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 xml:space="preserve">art. 5 ust. 1 projektu ustawy. Rozwiązanie to ma zapewnić, iż środki Funduszu </w:t>
      </w:r>
      <w:r w:rsidRPr="004240DB">
        <w:rPr>
          <w:rFonts w:ascii="Times New Roman" w:eastAsia="Times New Roman" w:hAnsi="Times New Roman" w:cs="Times New Roman"/>
          <w:sz w:val="24"/>
          <w:szCs w:val="20"/>
          <w:lang w:eastAsia="pl-PL"/>
        </w:rPr>
        <w:lastRenderedPageBreak/>
        <w:t>będą co do zasady przekazywane na działania związane z pracą zespołów badawczych, a podmiot zarządzający będzie musiał udokumentować poniesione koszty.</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W art. 5 ust. 1 projekt ustawy stanowi, że środki Funduszu przeznacza się na finansowanie zespołów badawczych prowadzących w ramach WIB działalność naukową w</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 xml:space="preserve">określonym obszarze oraz na komercjalizację wyników pracy tych zespołów lub know-how związanego z tymi wynikami. O sposobie wydatkowania środków decyduje minister, między innymi przez zawarte z </w:t>
      </w:r>
      <w:r w:rsidR="00CE4E46">
        <w:rPr>
          <w:rFonts w:ascii="Times New Roman" w:eastAsia="Times New Roman" w:hAnsi="Times New Roman" w:cs="Times New Roman"/>
          <w:sz w:val="24"/>
          <w:szCs w:val="20"/>
          <w:lang w:eastAsia="pl-PL"/>
        </w:rPr>
        <w:t>BGK porozumienie, o </w:t>
      </w:r>
      <w:r w:rsidRPr="004240DB">
        <w:rPr>
          <w:rFonts w:ascii="Times New Roman" w:eastAsia="Times New Roman" w:hAnsi="Times New Roman" w:cs="Times New Roman"/>
          <w:sz w:val="24"/>
          <w:szCs w:val="20"/>
          <w:lang w:eastAsia="pl-PL"/>
        </w:rPr>
        <w:t>którym mowa w art. 12 projektu ustawy. W porozumieniu tym określa się w</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szczególności sposób i harmonogram przekazywania podmiotowi zarządzającemu środków finansowych, który powinien być zbieżny z wysokością środków finansowych przeznaczonych na finansowanie realizacji zadań przez podmiot zarządzający oraz wysokością środków finansowych przeznaczonych na finansowanie prac zespołów badawczych i sposobem ich przekazywania. W porozumieniu ministra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BGK strony określają również sposób gromadzenia w ramach Funduszu wpływów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komercjalizacji. Minister każdorazowo, zgodnie z art. 14 projektu ustawy, będzie występował z</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wnioskiem do BGK o</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dokonanie wypłaty na rzecz podmiotu zar</w:t>
      </w:r>
      <w:r w:rsidR="00CE4E46">
        <w:rPr>
          <w:rFonts w:ascii="Times New Roman" w:eastAsia="Times New Roman" w:hAnsi="Times New Roman" w:cs="Times New Roman"/>
          <w:sz w:val="24"/>
          <w:szCs w:val="20"/>
          <w:lang w:eastAsia="pl-PL"/>
        </w:rPr>
        <w:t>ządzającego w </w:t>
      </w:r>
      <w:r w:rsidRPr="004240DB">
        <w:rPr>
          <w:rFonts w:ascii="Times New Roman" w:eastAsia="Times New Roman" w:hAnsi="Times New Roman" w:cs="Times New Roman"/>
          <w:sz w:val="24"/>
          <w:szCs w:val="20"/>
          <w:lang w:eastAsia="pl-PL"/>
        </w:rPr>
        <w:t>wysokości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terminach wynikających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porozumienia, o którym mowa w art. 12 projektu ustawy. Charakter uzupełniający ma art. 13 ust. 1 i 2 projektu ustawy, wskazujący inne wydatki, które mogą być pokrywane ze</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środków Funduszu.</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W art. 2 projektu ustawy określono źródła zasilania Funduszu, co ma pozwolić w</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przyszłości na jego rozwój – są to mię</w:t>
      </w:r>
      <w:r w:rsidR="00CE4E46">
        <w:rPr>
          <w:rFonts w:ascii="Times New Roman" w:eastAsia="Times New Roman" w:hAnsi="Times New Roman" w:cs="Times New Roman"/>
          <w:sz w:val="24"/>
          <w:szCs w:val="20"/>
          <w:lang w:eastAsia="pl-PL"/>
        </w:rPr>
        <w:t>dzy innymi środki pochodzące z </w:t>
      </w:r>
      <w:r w:rsidRPr="004240DB">
        <w:rPr>
          <w:rFonts w:ascii="Times New Roman" w:eastAsia="Times New Roman" w:hAnsi="Times New Roman" w:cs="Times New Roman"/>
          <w:sz w:val="24"/>
          <w:szCs w:val="20"/>
          <w:lang w:eastAsia="pl-PL"/>
        </w:rPr>
        <w:t>komercjalizacji wyników prac zespołów badawczych, darowizn i zapisów, środki ze źródeł zagranicznych (np. fundusze europejskie) czy pożyczki z budżetu państwa. Projekt ustawy pozwala również na zasilanie Funduszu dotacjami celowymi z budżetu państwa lub innymi środkami publicznymi, jednakże w okresie pierwszych 10 lat nie przewiduje się tego rodzaju dofinansowania. Projekt ustawy przewiduje również możliwość zaciągania przez BGK kredytów, pożyczek lub emitowania obligacji na rzecz Funduszu w celu finansowania działań WIB oraz spłaty już zaciągniętych zobowiązań. Środki Funduszu mogą również pochodzić z odsetek od wolnych środków Funduszu przekazanych w depozyt ministrowi właściwemu do spraw budżetu. Biorąc pod uwagę konieczność efektywnego zarządzania długiem publicznym</w:t>
      </w:r>
      <w:r w:rsidR="00234BD1">
        <w:rPr>
          <w:rFonts w:ascii="Times New Roman" w:eastAsia="Times New Roman" w:hAnsi="Times New Roman" w:cs="Times New Roman"/>
          <w:sz w:val="24"/>
          <w:szCs w:val="20"/>
          <w:lang w:eastAsia="pl-PL"/>
        </w:rPr>
        <w:t>,</w:t>
      </w:r>
      <w:r w:rsidRPr="004240DB">
        <w:rPr>
          <w:rFonts w:ascii="Times New Roman" w:eastAsia="Times New Roman" w:hAnsi="Times New Roman" w:cs="Times New Roman"/>
          <w:sz w:val="24"/>
          <w:szCs w:val="20"/>
          <w:lang w:eastAsia="pl-PL"/>
        </w:rPr>
        <w:t xml:space="preserve"> wprowadzony został w odniesieniu do środków Funduszu mechanizm wskazany w ustawie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 xml:space="preserve">dnia </w:t>
      </w:r>
      <w:r w:rsidR="00CE4E46">
        <w:rPr>
          <w:rFonts w:ascii="Times New Roman" w:eastAsia="Times New Roman" w:hAnsi="Times New Roman" w:cs="Times New Roman"/>
          <w:sz w:val="24"/>
          <w:szCs w:val="20"/>
          <w:lang w:eastAsia="pl-PL"/>
        </w:rPr>
        <w:t>27 </w:t>
      </w:r>
      <w:r w:rsidRPr="004240DB">
        <w:rPr>
          <w:rFonts w:ascii="Times New Roman" w:eastAsia="Times New Roman" w:hAnsi="Times New Roman" w:cs="Times New Roman"/>
          <w:sz w:val="24"/>
          <w:szCs w:val="20"/>
          <w:lang w:eastAsia="pl-PL"/>
        </w:rPr>
        <w:t xml:space="preserve">sierpnia 2009 r. o finansach publicznych (Dz. U. z 2017 r. poz. 2077, z późn. zm.) </w:t>
      </w:r>
      <w:r w:rsidRPr="004240DB">
        <w:rPr>
          <w:rFonts w:ascii="Times New Roman" w:eastAsia="Times New Roman" w:hAnsi="Times New Roman" w:cs="Times New Roman"/>
          <w:sz w:val="24"/>
          <w:szCs w:val="20"/>
          <w:lang w:eastAsia="pl-PL"/>
        </w:rPr>
        <w:lastRenderedPageBreak/>
        <w:t>dotyczący przekazywania ministrowi właściwemu do spraw budżetu wolnych środków Funduszu w depozyt (art. 4 projektu ustawy).</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Nadzór nad gospodarowaniem środkami Funduszu powierza się Radzie Nadzorczej BGK (art. 15 ust. 1 projektu ustawy) – podobnie jak w przypadku innych tego rodzaju Funduszy. Projekt ustawy wprowadza zmiany w us</w:t>
      </w:r>
      <w:r w:rsidR="00CE4E46">
        <w:rPr>
          <w:rFonts w:ascii="Times New Roman" w:eastAsia="Times New Roman" w:hAnsi="Times New Roman" w:cs="Times New Roman"/>
          <w:sz w:val="24"/>
          <w:szCs w:val="20"/>
          <w:lang w:eastAsia="pl-PL"/>
        </w:rPr>
        <w:t>tawie z dnia 14 marca 2003 r. o </w:t>
      </w:r>
      <w:r w:rsidRPr="004240DB">
        <w:rPr>
          <w:rFonts w:ascii="Times New Roman" w:eastAsia="Times New Roman" w:hAnsi="Times New Roman" w:cs="Times New Roman"/>
          <w:sz w:val="24"/>
          <w:szCs w:val="20"/>
          <w:lang w:eastAsia="pl-PL"/>
        </w:rPr>
        <w:t>Banku Gospodarstwa Krajowego (Dz. U. z 2018 r. poz. 1543), rozszerzając Radę Nadzorczą o</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przedstawiciela ministra (art. 17 projektu ustawy).</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BGK będzie wyodrębniał w swoim planie finansowym plan finansowy Funduszu. Plan ten będzie podstawą do wypłat ze środków Funduszu i będzie zawierał w szczególności przewidywaną wysokość środków przeznaczonych na</w:t>
      </w:r>
      <w:r w:rsidR="00CE4E46">
        <w:rPr>
          <w:rFonts w:ascii="Times New Roman" w:eastAsia="Times New Roman" w:hAnsi="Times New Roman" w:cs="Times New Roman"/>
          <w:sz w:val="24"/>
          <w:szCs w:val="20"/>
          <w:lang w:eastAsia="pl-PL"/>
        </w:rPr>
        <w:t xml:space="preserve"> realizację zadań związanych ze </w:t>
      </w:r>
      <w:r w:rsidRPr="004240DB">
        <w:rPr>
          <w:rFonts w:ascii="Times New Roman" w:eastAsia="Times New Roman" w:hAnsi="Times New Roman" w:cs="Times New Roman"/>
          <w:sz w:val="24"/>
          <w:szCs w:val="20"/>
          <w:lang w:eastAsia="pl-PL"/>
        </w:rPr>
        <w:t>wspieraniem działalności naukowej, obsługę kredytów, pożyczek i emisję obligacji oraz przewidywane wynagrodzenia dla BGK z tytułu kosztów obsługi F</w:t>
      </w:r>
      <w:r w:rsidR="00CE4E46">
        <w:rPr>
          <w:rFonts w:ascii="Times New Roman" w:eastAsia="Times New Roman" w:hAnsi="Times New Roman" w:cs="Times New Roman"/>
          <w:sz w:val="24"/>
          <w:szCs w:val="20"/>
          <w:lang w:eastAsia="pl-PL"/>
        </w:rPr>
        <w:t>unduszu, a </w:t>
      </w:r>
      <w:r w:rsidRPr="004240DB">
        <w:rPr>
          <w:rFonts w:ascii="Times New Roman" w:eastAsia="Times New Roman" w:hAnsi="Times New Roman" w:cs="Times New Roman"/>
          <w:sz w:val="24"/>
          <w:szCs w:val="20"/>
          <w:lang w:eastAsia="pl-PL"/>
        </w:rPr>
        <w:t>także planowane przychody Funduszu.</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W celu zapewnienia właściwej realizacji zadań związanych ze wspieraniem działalności naukowej projekt ustawy nakłada na BGK obowiązek przekazywania ministrowi oraz ministrowi właściwemu do spraw finansów publicznych projektu planu finansowego Funduszu na dany rok, w terminie do 15 czerwca roku poprzedniego (art. 15 ust. 2 pkt 1 projektu ustawy), składania ministrowi informacji o</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realizacji planu finansowego Funduszu (art. 15 ust. 2 pkt 4 projektu ustawy), a także składania ministrowi właściwemu do spraw finansów publicznych sprawozdania z realizacji planu finansowego Funduszu w danym roku do dnia 30 kwietnia roku następnego</w:t>
      </w:r>
      <w:r w:rsidR="00CE4E46">
        <w:rPr>
          <w:rFonts w:ascii="Times New Roman" w:eastAsia="Times New Roman" w:hAnsi="Times New Roman" w:cs="Times New Roman"/>
          <w:sz w:val="24"/>
          <w:szCs w:val="20"/>
          <w:lang w:eastAsia="pl-PL"/>
        </w:rPr>
        <w:t xml:space="preserve"> (art. 15 ust. </w:t>
      </w:r>
      <w:r w:rsidRPr="004240DB">
        <w:rPr>
          <w:rFonts w:ascii="Times New Roman" w:eastAsia="Times New Roman" w:hAnsi="Times New Roman" w:cs="Times New Roman"/>
          <w:sz w:val="24"/>
          <w:szCs w:val="20"/>
          <w:lang w:eastAsia="pl-PL"/>
        </w:rPr>
        <w:t>2 pkt 5 projektu ustawy).</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W terminie 30 dni od dnia wejścia w życie projektu ustawy obniżony zostanie fundusz statutowy BGK o kwotę w wysokości 500 000 000 zł, przez wpłatę tej kwoty na zasilenie Funduszu</w:t>
      </w:r>
      <w:r w:rsidR="00397381">
        <w:rPr>
          <w:rStyle w:val="Odwoanieprzypisudolnego"/>
          <w:rFonts w:ascii="Times New Roman" w:eastAsia="Times New Roman" w:hAnsi="Times New Roman"/>
          <w:sz w:val="24"/>
          <w:szCs w:val="20"/>
          <w:lang w:eastAsia="pl-PL"/>
        </w:rPr>
        <w:footnoteReference w:id="1"/>
      </w:r>
      <w:r w:rsidR="00397381" w:rsidRPr="00397381">
        <w:rPr>
          <w:rFonts w:ascii="Times New Roman" w:eastAsia="Times New Roman" w:hAnsi="Times New Roman" w:cs="Times New Roman"/>
          <w:sz w:val="24"/>
          <w:szCs w:val="20"/>
          <w:vertAlign w:val="superscript"/>
          <w:lang w:eastAsia="pl-PL"/>
        </w:rPr>
        <w:t>)</w:t>
      </w:r>
      <w:r w:rsidRPr="004240DB">
        <w:rPr>
          <w:rFonts w:ascii="Times New Roman" w:eastAsia="Times New Roman" w:hAnsi="Times New Roman" w:cs="Times New Roman"/>
          <w:sz w:val="24"/>
          <w:szCs w:val="20"/>
          <w:lang w:eastAsia="pl-PL"/>
        </w:rPr>
        <w:t>. Wejście w życie ustawy w terminie 14 dni od dnia ogłoszenia spowodowane jest dążeniem do jak najszybszego rozpoczęcia działań związanych z</w:t>
      </w:r>
      <w:r w:rsidR="00CE4E46">
        <w:rPr>
          <w:rFonts w:ascii="Times New Roman" w:eastAsia="Times New Roman" w:hAnsi="Times New Roman" w:cs="Times New Roman"/>
          <w:sz w:val="24"/>
          <w:szCs w:val="20"/>
          <w:lang w:eastAsia="pl-PL"/>
        </w:rPr>
        <w:t> </w:t>
      </w:r>
      <w:r w:rsidRPr="004240DB">
        <w:rPr>
          <w:rFonts w:ascii="Times New Roman" w:eastAsia="Times New Roman" w:hAnsi="Times New Roman" w:cs="Times New Roman"/>
          <w:sz w:val="24"/>
          <w:szCs w:val="20"/>
          <w:lang w:eastAsia="pl-PL"/>
        </w:rPr>
        <w:t>wyłonieniem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finansowaniem działalności zespołów badawczych.</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lastRenderedPageBreak/>
        <w:t>Należy wskazać, że nie ma możliwości podjęcia alternatywnych w stosunku do projektu ustawy środków umożliwiających osiągnięcie zamierzonego celu. Może on zostać osiągnięty tylko przez stworzenie nowego mechanizmu finansowania działalności naukowej prowadzonej w formie WIB. Przyjęty sposób organizacji finansowania prowadzenia działalności naukowej uzasadniony jest potrzebą elastycznego dysponowania środkami finansowymi. Przyjęta forma funduszu ma na celu umożliwienie finansowania działalności naukowej, w szczególności tworzenie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rozwój zespołów badawczych realizujących badania wpisujące się w ustaloną agendę badawczą, przy równoczesnym zapewnieniu ciągłości finansowania w długookresowej perspektywie. Fundusz stanowiący jeden z rachunków BGK jest też formą optymalną</w:t>
      </w:r>
      <w:r w:rsidR="00234BD1">
        <w:rPr>
          <w:rFonts w:ascii="Times New Roman" w:eastAsia="Times New Roman" w:hAnsi="Times New Roman" w:cs="Times New Roman"/>
          <w:sz w:val="24"/>
          <w:szCs w:val="20"/>
          <w:lang w:eastAsia="pl-PL"/>
        </w:rPr>
        <w:t>,</w:t>
      </w:r>
      <w:r w:rsidRPr="004240DB">
        <w:rPr>
          <w:rFonts w:ascii="Times New Roman" w:eastAsia="Times New Roman" w:hAnsi="Times New Roman" w:cs="Times New Roman"/>
          <w:sz w:val="24"/>
          <w:szCs w:val="20"/>
          <w:lang w:eastAsia="pl-PL"/>
        </w:rPr>
        <w:t xml:space="preserve"> jeśli chodzi o koszty obsługi – nie powołuje się tu dodatkowych instytucji (a zatem nie powstaną koszty ich utworzenia i wyposażenia oraz utrzymywania), ale korzysta się </w:t>
      </w:r>
      <w:r w:rsidR="00CE4E46">
        <w:rPr>
          <w:rFonts w:ascii="Times New Roman" w:eastAsia="Times New Roman" w:hAnsi="Times New Roman" w:cs="Times New Roman"/>
          <w:sz w:val="24"/>
          <w:szCs w:val="20"/>
          <w:lang w:eastAsia="pl-PL"/>
        </w:rPr>
        <w:t>z </w:t>
      </w:r>
      <w:r w:rsidRPr="004240DB">
        <w:rPr>
          <w:rFonts w:ascii="Times New Roman" w:eastAsia="Times New Roman" w:hAnsi="Times New Roman" w:cs="Times New Roman"/>
          <w:sz w:val="24"/>
          <w:szCs w:val="20"/>
          <w:lang w:eastAsia="pl-PL"/>
        </w:rPr>
        <w:t>już dostępnych, sprawdzonych narzędzi.</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W odniesieniu do kwestii pomocy publicznej w stosunku do finansowania ze środków Funduszu zespołów badawczych zostaną spełnione warunki dotyczące prowadzenia działalności niegospodarczej, określone w pkt 19 Zasad ramowych dotyczących pomocy państwa na działalność badawczą, rozwojową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innowacyjną. Kwestie prowadzenia rozdzielności działalności gospodarczej i niegospodarczej przez wskazane w projekcie ustawy podmioty należące do systemu szkolnictwa wyższego i</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nauki są znane tym podmiotom, ze względu na doświadczenia w wykorzystywaniu środków unijnych.</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 xml:space="preserve">Projekt ustawy nie wymaga przedstawiania właściwym organom i instytucjom Unii Europejskiej, w tym Europejskiemu Bankowi Centralnemu, w celu uzyskania opinii, dokonania powiadomienia, konsultacji albo uzgodnienia. </w:t>
      </w:r>
    </w:p>
    <w:p w:rsidR="004240DB" w:rsidRPr="004240DB" w:rsidRDefault="004240DB" w:rsidP="00A60174">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4240DB">
        <w:rPr>
          <w:rFonts w:ascii="Times New Roman" w:eastAsia="Times New Roman" w:hAnsi="Times New Roman" w:cs="Times New Roman"/>
          <w:sz w:val="24"/>
          <w:szCs w:val="20"/>
          <w:lang w:eastAsia="pl-PL"/>
        </w:rPr>
        <w:t>Zawarte w projekcie ustawy regulacje nie st</w:t>
      </w:r>
      <w:r w:rsidR="00CE4E46">
        <w:rPr>
          <w:rFonts w:ascii="Times New Roman" w:eastAsia="Times New Roman" w:hAnsi="Times New Roman" w:cs="Times New Roman"/>
          <w:sz w:val="24"/>
          <w:szCs w:val="20"/>
          <w:lang w:eastAsia="pl-PL"/>
        </w:rPr>
        <w:t>anowią przepisów technicznych w </w:t>
      </w:r>
      <w:r w:rsidRPr="004240DB">
        <w:rPr>
          <w:rFonts w:ascii="Times New Roman" w:eastAsia="Times New Roman" w:hAnsi="Times New Roman" w:cs="Times New Roman"/>
          <w:sz w:val="24"/>
          <w:szCs w:val="20"/>
          <w:lang w:eastAsia="pl-PL"/>
        </w:rPr>
        <w:t>rozumieniu rozporządzenia Rady Ministrów z dnia 23 grudnia 2002 r. w sprawie sposobu funkcjonowania krajowego systemu notyfikacji norm i aktów prawnych (Dz. U. poz. 2039 oraz z</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2004</w:t>
      </w:r>
      <w:r w:rsidR="00C02B98">
        <w:rPr>
          <w:rFonts w:ascii="Times New Roman" w:eastAsia="Times New Roman" w:hAnsi="Times New Roman" w:cs="Times New Roman"/>
          <w:sz w:val="24"/>
          <w:szCs w:val="20"/>
          <w:lang w:eastAsia="pl-PL"/>
        </w:rPr>
        <w:t xml:space="preserve"> </w:t>
      </w:r>
      <w:r w:rsidRPr="004240DB">
        <w:rPr>
          <w:rFonts w:ascii="Times New Roman" w:eastAsia="Times New Roman" w:hAnsi="Times New Roman" w:cs="Times New Roman"/>
          <w:sz w:val="24"/>
          <w:szCs w:val="20"/>
          <w:lang w:eastAsia="pl-PL"/>
        </w:rPr>
        <w:t>r. poz. 597), dlatego też projekt ustawy nie podlega procedurze notyfikacji.</w:t>
      </w:r>
    </w:p>
    <w:p w:rsidR="00A60174" w:rsidRPr="00A60174" w:rsidRDefault="004240DB" w:rsidP="00397381">
      <w:pPr>
        <w:suppressAutoHyphens/>
        <w:autoSpaceDE w:val="0"/>
        <w:autoSpaceDN w:val="0"/>
        <w:adjustRightInd w:val="0"/>
        <w:spacing w:before="120" w:after="0" w:line="360" w:lineRule="auto"/>
        <w:jc w:val="both"/>
        <w:rPr>
          <w:rFonts w:ascii="Times New Roman" w:hAnsi="Times New Roman" w:cs="Times New Roman"/>
        </w:rPr>
      </w:pPr>
      <w:r w:rsidRPr="004240DB">
        <w:rPr>
          <w:rFonts w:ascii="Times New Roman" w:eastAsia="Times New Roman" w:hAnsi="Times New Roman" w:cs="Times New Roman"/>
          <w:sz w:val="24"/>
          <w:szCs w:val="20"/>
          <w:lang w:eastAsia="pl-PL"/>
        </w:rPr>
        <w:t>Projekt ustawy nie jest sprzeczny z prawem Unii Europejskiej.</w:t>
      </w:r>
    </w:p>
    <w:sectPr w:rsidR="00A60174" w:rsidRPr="00A60174" w:rsidSect="00A60174">
      <w:footerReference w:type="default" r:id="rId8"/>
      <w:footnotePr>
        <w:numRestart w:val="eachSect"/>
      </w:footnotePr>
      <w:pgSz w:w="11906" w:h="16838" w:code="9"/>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0DB" w:rsidRDefault="004240DB" w:rsidP="004240DB">
      <w:pPr>
        <w:spacing w:after="0" w:line="240" w:lineRule="auto"/>
      </w:pPr>
      <w:r>
        <w:separator/>
      </w:r>
    </w:p>
  </w:endnote>
  <w:endnote w:type="continuationSeparator" w:id="0">
    <w:p w:rsidR="004240DB" w:rsidRDefault="004240DB" w:rsidP="00424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017876"/>
      <w:docPartObj>
        <w:docPartGallery w:val="Page Numbers (Bottom of Page)"/>
        <w:docPartUnique/>
      </w:docPartObj>
    </w:sdtPr>
    <w:sdtEndPr>
      <w:rPr>
        <w:rFonts w:ascii="Times New Roman" w:hAnsi="Times New Roman" w:cs="Times New Roman"/>
        <w:sz w:val="24"/>
        <w:szCs w:val="24"/>
      </w:rPr>
    </w:sdtEndPr>
    <w:sdtContent>
      <w:p w:rsidR="00A60174" w:rsidRPr="00A60174" w:rsidRDefault="00A60174">
        <w:pPr>
          <w:pStyle w:val="Stopka"/>
          <w:jc w:val="center"/>
          <w:rPr>
            <w:rFonts w:ascii="Times New Roman" w:hAnsi="Times New Roman" w:cs="Times New Roman"/>
            <w:sz w:val="24"/>
            <w:szCs w:val="24"/>
          </w:rPr>
        </w:pPr>
        <w:r w:rsidRPr="00A60174">
          <w:rPr>
            <w:rFonts w:ascii="Times New Roman" w:hAnsi="Times New Roman" w:cs="Times New Roman"/>
            <w:sz w:val="24"/>
            <w:szCs w:val="24"/>
          </w:rPr>
          <w:fldChar w:fldCharType="begin"/>
        </w:r>
        <w:r w:rsidRPr="00A60174">
          <w:rPr>
            <w:rFonts w:ascii="Times New Roman" w:hAnsi="Times New Roman" w:cs="Times New Roman"/>
            <w:sz w:val="24"/>
            <w:szCs w:val="24"/>
          </w:rPr>
          <w:instrText>PAGE   \* MERGEFORMAT</w:instrText>
        </w:r>
        <w:r w:rsidRPr="00A60174">
          <w:rPr>
            <w:rFonts w:ascii="Times New Roman" w:hAnsi="Times New Roman" w:cs="Times New Roman"/>
            <w:sz w:val="24"/>
            <w:szCs w:val="24"/>
          </w:rPr>
          <w:fldChar w:fldCharType="separate"/>
        </w:r>
        <w:r w:rsidR="00266AA0">
          <w:rPr>
            <w:rFonts w:ascii="Times New Roman" w:hAnsi="Times New Roman" w:cs="Times New Roman"/>
            <w:noProof/>
            <w:sz w:val="24"/>
            <w:szCs w:val="24"/>
          </w:rPr>
          <w:t>14</w:t>
        </w:r>
        <w:r w:rsidRPr="00A60174">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0DB" w:rsidRDefault="004240DB" w:rsidP="004240DB">
      <w:pPr>
        <w:spacing w:after="0" w:line="240" w:lineRule="auto"/>
      </w:pPr>
      <w:r>
        <w:separator/>
      </w:r>
    </w:p>
  </w:footnote>
  <w:footnote w:type="continuationSeparator" w:id="0">
    <w:p w:rsidR="004240DB" w:rsidRDefault="004240DB" w:rsidP="004240DB">
      <w:pPr>
        <w:spacing w:after="0" w:line="240" w:lineRule="auto"/>
      </w:pPr>
      <w:r>
        <w:continuationSeparator/>
      </w:r>
    </w:p>
  </w:footnote>
  <w:footnote w:id="1">
    <w:p w:rsidR="00397381" w:rsidRPr="00397381" w:rsidRDefault="00397381" w:rsidP="00397381">
      <w:pPr>
        <w:pStyle w:val="Tekstprzypisudolnego"/>
        <w:ind w:left="284" w:hanging="284"/>
        <w:jc w:val="both"/>
        <w:rPr>
          <w:rFonts w:ascii="Times New Roman" w:hAnsi="Times New Roman" w:cs="Times New Roman"/>
        </w:rPr>
      </w:pPr>
      <w:r w:rsidRPr="00397381">
        <w:rPr>
          <w:rStyle w:val="Odwoanieprzypisudolnego"/>
          <w:rFonts w:ascii="Times New Roman" w:hAnsi="Times New Roman"/>
        </w:rPr>
        <w:footnoteRef/>
      </w:r>
      <w:r w:rsidRPr="00397381">
        <w:rPr>
          <w:rFonts w:ascii="Times New Roman" w:hAnsi="Times New Roman" w:cs="Times New Roman"/>
          <w:vertAlign w:val="superscript"/>
        </w:rPr>
        <w:t>)</w:t>
      </w:r>
      <w:r>
        <w:rPr>
          <w:rFonts w:ascii="Times New Roman" w:hAnsi="Times New Roman" w:cs="Times New Roman"/>
        </w:rPr>
        <w:tab/>
      </w:r>
      <w:r w:rsidRPr="00397381">
        <w:rPr>
          <w:rFonts w:ascii="Times New Roman" w:hAnsi="Times New Roman" w:cs="Times New Roman"/>
        </w:rPr>
        <w:t xml:space="preserve">Do obniżenia funduszu statutowego BGK nie będzie miał zastosowania wymóg uzyskania zezwolenia, o którym mowa w art. 77 rozporządzenia Parlamentu Europejskiego i Rady (UE) nr 575/2013 z dnia 26 czerwca 2013 r. w sprawie wymogów ostrożnościowych dla instytucji kredytowych i firm inwestycyjnych, zmieniającego rozporządzenie (UE) nr 648/2012 </w:t>
      </w:r>
      <w:r>
        <w:rPr>
          <w:rFonts w:ascii="Times New Roman" w:hAnsi="Times New Roman" w:cs="Times New Roman"/>
        </w:rPr>
        <w:t>(Dz. Urz. UE L </w:t>
      </w:r>
      <w:r w:rsidRPr="00397381">
        <w:rPr>
          <w:rFonts w:ascii="Times New Roman" w:hAnsi="Times New Roman" w:cs="Times New Roman"/>
        </w:rPr>
        <w:t>176 z 27.06.2013, str. 1, z późn. zm.). Możliwość wprowadzenia odstąpienia od tego wymogu wynika z art. 3 ust. 1a ustawy z dnia 14 marca 2003 r. o Banku Gospodarstwa Krajowego. Należy również wskazać, iż środki przeznaczone na utworzenie Fundu</w:t>
      </w:r>
      <w:r>
        <w:rPr>
          <w:rFonts w:ascii="Times New Roman" w:hAnsi="Times New Roman" w:cs="Times New Roman"/>
        </w:rPr>
        <w:t>szu zostały przekazane do BGK z </w:t>
      </w:r>
      <w:r w:rsidRPr="00397381">
        <w:rPr>
          <w:rFonts w:ascii="Times New Roman" w:hAnsi="Times New Roman" w:cs="Times New Roman"/>
        </w:rPr>
        <w:t>budżetu państwa w 2017 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0DB"/>
    <w:rsid w:val="001A0157"/>
    <w:rsid w:val="001B1982"/>
    <w:rsid w:val="00234BD1"/>
    <w:rsid w:val="00266AA0"/>
    <w:rsid w:val="00285B56"/>
    <w:rsid w:val="00373182"/>
    <w:rsid w:val="00397381"/>
    <w:rsid w:val="003C1860"/>
    <w:rsid w:val="004240DB"/>
    <w:rsid w:val="005B1A0A"/>
    <w:rsid w:val="00A60174"/>
    <w:rsid w:val="00A6318A"/>
    <w:rsid w:val="00C02B98"/>
    <w:rsid w:val="00CE4E46"/>
    <w:rsid w:val="00EB13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40D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240DB"/>
  </w:style>
  <w:style w:type="character" w:styleId="Odwoanieprzypisudolnego">
    <w:name w:val="footnote reference"/>
    <w:uiPriority w:val="99"/>
    <w:semiHidden/>
    <w:rsid w:val="004240DB"/>
    <w:rPr>
      <w:rFonts w:cs="Times New Roman"/>
      <w:vertAlign w:val="superscript"/>
    </w:rPr>
  </w:style>
  <w:style w:type="paragraph" w:customStyle="1" w:styleId="ODNONIKtreodnonika">
    <w:name w:val="ODNOŚNIK – treść odnośnika"/>
    <w:uiPriority w:val="99"/>
    <w:qFormat/>
    <w:rsid w:val="004240DB"/>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basedOn w:val="Domylnaczcionkaakapitu"/>
    <w:uiPriority w:val="2"/>
    <w:qFormat/>
    <w:rsid w:val="004240DB"/>
    <w:rPr>
      <w:b w:val="0"/>
      <w:i w:val="0"/>
      <w:vanish w:val="0"/>
      <w:spacing w:val="0"/>
      <w:vertAlign w:val="superscript"/>
    </w:rPr>
  </w:style>
  <w:style w:type="paragraph" w:styleId="Stopka">
    <w:name w:val="footer"/>
    <w:basedOn w:val="Normalny"/>
    <w:link w:val="StopkaZnak"/>
    <w:uiPriority w:val="99"/>
    <w:unhideWhenUsed/>
    <w:rsid w:val="00A6017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60174"/>
  </w:style>
  <w:style w:type="paragraph" w:styleId="Tekstprzypisudolnego">
    <w:name w:val="footnote text"/>
    <w:basedOn w:val="Normalny"/>
    <w:link w:val="TekstprzypisudolnegoZnak"/>
    <w:uiPriority w:val="99"/>
    <w:semiHidden/>
    <w:unhideWhenUsed/>
    <w:rsid w:val="0039738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97381"/>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40D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240DB"/>
  </w:style>
  <w:style w:type="character" w:styleId="Odwoanieprzypisudolnego">
    <w:name w:val="footnote reference"/>
    <w:uiPriority w:val="99"/>
    <w:semiHidden/>
    <w:rsid w:val="004240DB"/>
    <w:rPr>
      <w:rFonts w:cs="Times New Roman"/>
      <w:vertAlign w:val="superscript"/>
    </w:rPr>
  </w:style>
  <w:style w:type="paragraph" w:customStyle="1" w:styleId="ODNONIKtreodnonika">
    <w:name w:val="ODNOŚNIK – treść odnośnika"/>
    <w:uiPriority w:val="99"/>
    <w:qFormat/>
    <w:rsid w:val="004240DB"/>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basedOn w:val="Domylnaczcionkaakapitu"/>
    <w:uiPriority w:val="2"/>
    <w:qFormat/>
    <w:rsid w:val="004240DB"/>
    <w:rPr>
      <w:b w:val="0"/>
      <w:i w:val="0"/>
      <w:vanish w:val="0"/>
      <w:spacing w:val="0"/>
      <w:vertAlign w:val="superscript"/>
    </w:rPr>
  </w:style>
  <w:style w:type="paragraph" w:styleId="Stopka">
    <w:name w:val="footer"/>
    <w:basedOn w:val="Normalny"/>
    <w:link w:val="StopkaZnak"/>
    <w:uiPriority w:val="99"/>
    <w:unhideWhenUsed/>
    <w:rsid w:val="00A6017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60174"/>
  </w:style>
  <w:style w:type="paragraph" w:styleId="Tekstprzypisudolnego">
    <w:name w:val="footnote text"/>
    <w:basedOn w:val="Normalny"/>
    <w:link w:val="TekstprzypisudolnegoZnak"/>
    <w:uiPriority w:val="99"/>
    <w:semiHidden/>
    <w:unhideWhenUsed/>
    <w:rsid w:val="0039738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9738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05579-C595-4486-9F95-B60EB56E6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14</Pages>
  <Words>4901</Words>
  <Characters>29411</Characters>
  <Application>Microsoft Office Word</Application>
  <DocSecurity>0</DocSecurity>
  <Lines>245</Lines>
  <Paragraphs>68</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34244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Ćwiek Katarzyna</dc:creator>
  <cp:lastModifiedBy>użytkownik</cp:lastModifiedBy>
  <cp:revision>6</cp:revision>
  <dcterms:created xsi:type="dcterms:W3CDTF">2019-01-17T08:52:00Z</dcterms:created>
  <dcterms:modified xsi:type="dcterms:W3CDTF">2019-01-30T08:41:00Z</dcterms:modified>
</cp:coreProperties>
</file>