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0F5" w:rsidRPr="003072CD" w:rsidRDefault="001650F5" w:rsidP="003072CD">
      <w:pPr>
        <w:spacing w:before="120"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UZASADNIENIE</w:t>
      </w:r>
    </w:p>
    <w:p w:rsidR="004B17FB" w:rsidRPr="003072CD" w:rsidRDefault="009C0998" w:rsidP="00086D3F">
      <w:pPr>
        <w:pStyle w:val="Akapitzlist"/>
        <w:numPr>
          <w:ilvl w:val="0"/>
          <w:numId w:val="17"/>
        </w:numPr>
        <w:spacing w:before="24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Potrzeba i cel wydania ustawy</w:t>
      </w:r>
    </w:p>
    <w:p w:rsidR="00D23136" w:rsidRPr="003072CD" w:rsidRDefault="001650F5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Projektowana ustawa o zmianie ustawy o wymianie informacji podatkowych z innymi państwami oraz</w:t>
      </w:r>
      <w:r w:rsidR="004A05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niektórych innych</w:t>
      </w:r>
      <w:r w:rsidR="00A2414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 </w:t>
      </w:r>
      <w:r w:rsidR="00E84DE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modyfikuje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zasady i tryb wymiany informacji podatkowych, obowiązki instytucji finansowych w zakresie automatycznej wymiany informacji podatkowych oraz kontrolę ich wykonywania, </w:t>
      </w:r>
      <w:r w:rsidR="007E709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 także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obowiązki w zakresie automatycznej wymiany informacji pochodzących z informacji o jednostkach wchodzących w skład grupy podmiotów. </w:t>
      </w:r>
      <w:r w:rsidR="00D2313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Celem projektowanej ustawy jest wyeliminowanie wątpliwości związanych ze stosowaniem pierwotnie przyjętych rozwiązań legislacyjnych, w tym także w kontekście:</w:t>
      </w:r>
    </w:p>
    <w:p w:rsidR="001650F5" w:rsidRPr="003072CD" w:rsidRDefault="00FB3E44" w:rsidP="003072CD">
      <w:pPr>
        <w:numPr>
          <w:ilvl w:val="0"/>
          <w:numId w:val="16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cel</w:t>
      </w:r>
      <w:r w:rsidR="00745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dyrektyw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Rady 2014/107/UE z dnia 9 grudnia 2014 r.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zmieniającej 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dyrektywę 2011/16/UE w zakresie obowiązkowej automatycznej wymiany informacji w dziedzinie opodatkowania</w:t>
      </w:r>
      <w:r w:rsidR="007912C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CC5A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zwan</w:t>
      </w:r>
      <w:r w:rsidR="007912C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ej</w:t>
      </w:r>
      <w:r w:rsidR="00CC5A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dalej „dyrektywą 2014/107/UE”</w:t>
      </w:r>
      <w:r w:rsidR="009826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;</w:t>
      </w:r>
    </w:p>
    <w:p w:rsidR="001650F5" w:rsidRPr="003072CD" w:rsidRDefault="00FB3E44" w:rsidP="003072CD">
      <w:pPr>
        <w:numPr>
          <w:ilvl w:val="0"/>
          <w:numId w:val="16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cel</w:t>
      </w:r>
      <w:r w:rsidR="00745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dyrektyw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Rady (UE) 2016/881 z dnia 25 maja 2016 r.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zmieniającej </w:t>
      </w:r>
      <w:r w:rsidR="001650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dyrektywę 2011/16/UE w zakresie obowiązkowej automatycznej wymiany informacji w dziedzinie opodatkowania</w:t>
      </w:r>
      <w:r w:rsidR="00CC5A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zwan</w:t>
      </w:r>
      <w:r w:rsidR="007912C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ej</w:t>
      </w:r>
      <w:r w:rsidR="00CC5AF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dalej „dyrektywą 2016/881</w:t>
      </w:r>
      <w:r w:rsidR="001075C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”</w:t>
      </w:r>
      <w:r w:rsidR="009826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;</w:t>
      </w:r>
    </w:p>
    <w:p w:rsidR="001650F5" w:rsidRPr="003072CD" w:rsidRDefault="001650F5" w:rsidP="003072CD">
      <w:pPr>
        <w:numPr>
          <w:ilvl w:val="0"/>
          <w:numId w:val="16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wytyczny</w:t>
      </w:r>
      <w:r w:rsidR="00745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ch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Common</w:t>
      </w:r>
      <w:proofErr w:type="spellEnd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Reporting Standard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(CRS), do 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stosowania których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Polska zobowiązała się w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podpisanym w dniu 29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października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2014 r. Wielostronnym porozumieniu właściwych władz w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sprawie automatycznej wymiany informacji finansowych</w:t>
      </w:r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</w:t>
      </w:r>
      <w:proofErr w:type="spellStart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Competent</w:t>
      </w:r>
      <w:proofErr w:type="spellEnd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Authority Agreement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);</w:t>
      </w:r>
    </w:p>
    <w:p w:rsidR="001650F5" w:rsidRPr="003072CD" w:rsidRDefault="001650F5" w:rsidP="003072CD">
      <w:pPr>
        <w:numPr>
          <w:ilvl w:val="0"/>
          <w:numId w:val="16"/>
        </w:numPr>
        <w:spacing w:after="0" w:line="360" w:lineRule="auto"/>
        <w:ind w:left="425" w:hanging="425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en-US" w:eastAsia="pl-PL"/>
        </w:rPr>
      </w:pP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standard</w:t>
      </w:r>
      <w:r w:rsidR="00745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BEPS (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działanie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13)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Transfer Pricing Documentation and Country-by-Country Reporting;</w:t>
      </w:r>
    </w:p>
    <w:p w:rsidR="001650F5" w:rsidRPr="003072CD" w:rsidRDefault="001650F5" w:rsidP="003072CD">
      <w:pPr>
        <w:numPr>
          <w:ilvl w:val="0"/>
          <w:numId w:val="16"/>
        </w:numPr>
        <w:spacing w:after="0" w:line="360" w:lineRule="auto"/>
        <w:ind w:left="425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ustaw</w:t>
      </w:r>
      <w:r w:rsidR="00745273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y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 z dnia 1 marca 2018 r. o przeciwdziałaniu praniu pieniędzy oraz finansowaniu terroryzmu (Dz.</w:t>
      </w:r>
      <w:r w:rsidR="00F6343F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U. poz. 723</w:t>
      </w:r>
      <w:r w:rsidR="00F6343F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 xml:space="preserve">, z </w:t>
      </w:r>
      <w:proofErr w:type="spellStart"/>
      <w:r w:rsidR="00F6343F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="00F6343F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. zm.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)</w:t>
      </w:r>
      <w:r w:rsidR="00A17A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, zwanej dalej „ustawą o</w:t>
      </w:r>
      <w:r w:rsidR="009A6F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 </w:t>
      </w:r>
      <w:r w:rsidR="00A17A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przeciwdziałaniu praniu pieniędzy oraz finansowaniu terroryzmu”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D23136" w:rsidRPr="003072CD" w:rsidRDefault="00D23136" w:rsidP="003072CD">
      <w:pPr>
        <w:pStyle w:val="Default"/>
        <w:spacing w:before="120" w:line="360" w:lineRule="auto"/>
        <w:jc w:val="both"/>
        <w:rPr>
          <w:color w:val="000000" w:themeColor="text1"/>
        </w:rPr>
      </w:pPr>
      <w:r w:rsidRPr="003072CD">
        <w:rPr>
          <w:color w:val="000000" w:themeColor="text1"/>
        </w:rPr>
        <w:t>W zakresie automatycznej wymiany informacji o rachunkach raportowanych projekt przewiduje m.in. zmianę definicji</w:t>
      </w:r>
      <w:r w:rsidR="00CE4701" w:rsidRPr="003072CD">
        <w:rPr>
          <w:color w:val="000000" w:themeColor="text1"/>
        </w:rPr>
        <w:t xml:space="preserve"> zawartych w słowniczku ustawy</w:t>
      </w:r>
      <w:r w:rsidRPr="003072CD">
        <w:rPr>
          <w:color w:val="000000" w:themeColor="text1"/>
        </w:rPr>
        <w:t xml:space="preserve"> z uwzględnieniem wytycznych CRS oraz rozwiązań unijnych. Ponadto projekt wprowadza wymóg dodatkowej weryfikacji rachunków finansowych otw</w:t>
      </w:r>
      <w:r w:rsidR="00086D3F">
        <w:rPr>
          <w:color w:val="000000" w:themeColor="text1"/>
        </w:rPr>
        <w:t>artych w okresie między dniem 1 </w:t>
      </w:r>
      <w:r w:rsidRPr="003072CD">
        <w:rPr>
          <w:color w:val="000000" w:themeColor="text1"/>
        </w:rPr>
        <w:t>stycznia 2016 r. a dniem 30 kwietnia 2017 r. Projekt uzupełnia również ustawę w</w:t>
      </w:r>
      <w:r w:rsidR="00086D3F">
        <w:rPr>
          <w:color w:val="000000" w:themeColor="text1"/>
        </w:rPr>
        <w:t> </w:t>
      </w:r>
      <w:r w:rsidRPr="003072CD">
        <w:rPr>
          <w:color w:val="000000" w:themeColor="text1"/>
        </w:rPr>
        <w:t xml:space="preserve">zakresie trustów, które nie zostały uwzględnione w </w:t>
      </w:r>
      <w:r w:rsidR="00CE4701" w:rsidRPr="003072CD">
        <w:rPr>
          <w:color w:val="000000" w:themeColor="text1"/>
        </w:rPr>
        <w:t xml:space="preserve">jej </w:t>
      </w:r>
      <w:r w:rsidRPr="003072CD">
        <w:rPr>
          <w:color w:val="000000" w:themeColor="text1"/>
        </w:rPr>
        <w:t>pierwotnej wersji.</w:t>
      </w:r>
    </w:p>
    <w:p w:rsidR="009C0998" w:rsidRPr="003072CD" w:rsidRDefault="009C0998" w:rsidP="003072CD">
      <w:pPr>
        <w:pStyle w:val="Default"/>
        <w:spacing w:before="120" w:line="360" w:lineRule="auto"/>
        <w:jc w:val="both"/>
        <w:rPr>
          <w:color w:val="000000" w:themeColor="text1"/>
        </w:rPr>
      </w:pPr>
      <w:r w:rsidRPr="003072CD">
        <w:rPr>
          <w:color w:val="000000" w:themeColor="text1"/>
        </w:rPr>
        <w:lastRenderedPageBreak/>
        <w:t>W stosunku do automatycznej wymiany informacji podatkowych o jednostkach wchodzących w skład grupy podmiotów zmodyfikowana została</w:t>
      </w:r>
      <w:r w:rsidR="00CC5AF5" w:rsidRPr="003072CD">
        <w:rPr>
          <w:color w:val="000000" w:themeColor="text1"/>
        </w:rPr>
        <w:t xml:space="preserve"> </w:t>
      </w:r>
      <w:r w:rsidR="00EB644B" w:rsidRPr="003072CD">
        <w:rPr>
          <w:color w:val="000000" w:themeColor="text1"/>
        </w:rPr>
        <w:t>przy uwzględnieniu dyrektywy</w:t>
      </w:r>
      <w:r w:rsidR="00F051AC" w:rsidRPr="003072CD">
        <w:rPr>
          <w:color w:val="000000" w:themeColor="text1"/>
        </w:rPr>
        <w:t xml:space="preserve"> </w:t>
      </w:r>
      <w:r w:rsidRPr="003072CD">
        <w:rPr>
          <w:color w:val="000000" w:themeColor="text1"/>
        </w:rPr>
        <w:t>2016/881</w:t>
      </w:r>
      <w:r w:rsidR="00CC5AF5" w:rsidRPr="003072CD">
        <w:rPr>
          <w:color w:val="000000" w:themeColor="text1"/>
        </w:rPr>
        <w:t xml:space="preserve"> oraz </w:t>
      </w:r>
      <w:r w:rsidR="00EB644B" w:rsidRPr="003072CD">
        <w:rPr>
          <w:color w:val="000000" w:themeColor="text1"/>
        </w:rPr>
        <w:t xml:space="preserve">wytycznych wypracowanych </w:t>
      </w:r>
      <w:r w:rsidR="00CC5AF5" w:rsidRPr="003072CD">
        <w:rPr>
          <w:color w:val="000000" w:themeColor="text1"/>
        </w:rPr>
        <w:t xml:space="preserve">w ramach prac OECD </w:t>
      </w:r>
      <w:r w:rsidR="00EB644B" w:rsidRPr="003072CD">
        <w:rPr>
          <w:color w:val="000000" w:themeColor="text1"/>
        </w:rPr>
        <w:t xml:space="preserve">związanych </w:t>
      </w:r>
      <w:r w:rsidR="00CC5AF5" w:rsidRPr="003072CD">
        <w:rPr>
          <w:color w:val="000000" w:themeColor="text1"/>
        </w:rPr>
        <w:t>z</w:t>
      </w:r>
      <w:r w:rsidRPr="003072CD">
        <w:rPr>
          <w:color w:val="000000" w:themeColor="text1"/>
        </w:rPr>
        <w:t xml:space="preserve"> </w:t>
      </w:r>
      <w:r w:rsidR="00F051AC" w:rsidRPr="003072CD">
        <w:rPr>
          <w:color w:val="000000" w:themeColor="text1"/>
        </w:rPr>
        <w:t xml:space="preserve">inicjatywą </w:t>
      </w:r>
      <w:r w:rsidRPr="003072CD">
        <w:rPr>
          <w:color w:val="000000" w:themeColor="text1"/>
        </w:rPr>
        <w:t>BEPS</w:t>
      </w:r>
      <w:r w:rsidR="00F051AC" w:rsidRPr="003072CD">
        <w:rPr>
          <w:color w:val="000000" w:themeColor="text1"/>
        </w:rPr>
        <w:t xml:space="preserve"> </w:t>
      </w:r>
      <w:r w:rsidR="003072CD" w:rsidRPr="003072CD">
        <w:rPr>
          <w:color w:val="000000" w:themeColor="text1"/>
        </w:rPr>
        <w:t>–</w:t>
      </w:r>
      <w:r w:rsidR="00CC5AF5" w:rsidRPr="003072CD">
        <w:rPr>
          <w:color w:val="000000" w:themeColor="text1"/>
        </w:rPr>
        <w:t xml:space="preserve"> działanie</w:t>
      </w:r>
      <w:r w:rsidRPr="003072CD">
        <w:rPr>
          <w:color w:val="000000" w:themeColor="text1"/>
        </w:rPr>
        <w:t xml:space="preserve"> 13 </w:t>
      </w:r>
      <w:r w:rsidR="003072CD" w:rsidRPr="003072CD">
        <w:rPr>
          <w:color w:val="000000" w:themeColor="text1"/>
        </w:rPr>
        <w:t>–</w:t>
      </w:r>
      <w:r w:rsidR="00851704" w:rsidRPr="003072CD">
        <w:rPr>
          <w:color w:val="000000" w:themeColor="text1"/>
        </w:rPr>
        <w:t xml:space="preserve"> </w:t>
      </w:r>
      <w:r w:rsidRPr="003072CD">
        <w:rPr>
          <w:color w:val="000000" w:themeColor="text1"/>
        </w:rPr>
        <w:t>m.in. definicja grupy podmiotów oraz sposób kalkulacji kwoty progowej w przypadku, gdy rok obrotowy obejmuje okres inny niż 12 miesięcy. Ponadto obok kwoty progowej w euro określona została równowartość wskazanej kwoty w złotych polskich. Wprowadzone zostało również odniesienie do sposobu obliczania wartości kwoty progowej w państwie rezydencji jednostki dominującej oraz wprowadzono wymóg, aby dodatkowe informacje lub wyjaśnienia zawarte w informacji o grupie podmiotów przekazywane były także w języku angielskim. Dookreślono także środki komunikacji elektronicznej do przesyłania informacji o grupie podmiotów oraz wprowadzona została instytucja korekty składanych wcześniej raportów.</w:t>
      </w:r>
    </w:p>
    <w:p w:rsidR="009B0517" w:rsidRPr="003072CD" w:rsidRDefault="009C0998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 wprowadza również zmiany</w:t>
      </w:r>
      <w:r w:rsidR="009B051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w:</w:t>
      </w:r>
    </w:p>
    <w:p w:rsidR="009B0517" w:rsidRPr="003072CD" w:rsidRDefault="009B0517" w:rsidP="003072CD">
      <w:pPr>
        <w:pStyle w:val="Akapitzlist"/>
        <w:numPr>
          <w:ilvl w:val="0"/>
          <w:numId w:val="35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ustawie z dnia 29 sierpnia 1997 r.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Ordynacja p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odatkowa (Dz. U. z 2018 r. poz.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800, z 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zm.), gdzie przewiduje się wprowadzenie obowiązku podania przez wnioskodawcę występującego z wnioskiem o wydanie interpretacji przepisów prawa podatkowego, odpowiednio</w:t>
      </w:r>
      <w:r w:rsidR="00561B41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61B4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państw</w:t>
      </w:r>
      <w:r w:rsidR="000A442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="00561B4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lub terytorium </w:t>
      </w:r>
      <w:r w:rsidR="00561B4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miejsca zamieszkania osoby fizycznej,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danych identyfikujących osobę prawną lub jednostkę organizacyjną niemającą osobowości prawnej</w:t>
      </w:r>
      <w:r w:rsidR="0048760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jak również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państw</w:t>
      </w:r>
      <w:r w:rsidR="0048760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lub terytoriów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</w:t>
      </w:r>
      <w:r w:rsidR="0048760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których wystąpiły lub mogą wystąpić skutki transgraniczne</w:t>
      </w:r>
      <w:r w:rsidR="00EB64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; ponadto proponuje się usunięcie przepisów skutkujących podwójnym raportowaniem w odniesieniu do rachunków prowadzonych przez banki i spółdzielcze kasy oszczędnościowo-kredytowe,</w:t>
      </w:r>
    </w:p>
    <w:p w:rsidR="009B0517" w:rsidRPr="003072CD" w:rsidRDefault="009B0517" w:rsidP="003072CD">
      <w:pPr>
        <w:pStyle w:val="Akapitzlist"/>
        <w:numPr>
          <w:ilvl w:val="0"/>
          <w:numId w:val="35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ustawie z dnia 10 września 1999 r.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Kodeks karny skarbowy (Dz. U. z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2018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r. poz. 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1958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z 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zm.), gdzie przewiduje się wprowadzenie typu uprzywilejowanego czynu zabronionego w przypadku działań wbrew przepisom ustawy o wymianie informacji</w:t>
      </w:r>
      <w:r w:rsidR="001B0B1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podatkowych z innymi państwami,</w:t>
      </w:r>
    </w:p>
    <w:p w:rsidR="00EB644B" w:rsidRPr="003072CD" w:rsidRDefault="009B0517" w:rsidP="003072CD">
      <w:pPr>
        <w:pStyle w:val="Akapitzlist"/>
        <w:numPr>
          <w:ilvl w:val="0"/>
          <w:numId w:val="35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ustawie </w:t>
      </w:r>
      <w:r w:rsidR="009C0998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o wykonywaniu Umowy między Rzą</w:t>
      </w:r>
      <w:r w:rsidR="00086D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dem Rzeczypospolitej Polskiej a </w:t>
      </w:r>
      <w:r w:rsidR="009C0998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Rządem Stanów Zjednoczonych Ameryki w sprawie poprawy wypełniania międzynarodowych obowiązków podatkowych oraz wdrożenia ustawodawstwa FATCA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 gdzie przewiduje się 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ydłużenie zwolnienia z obowiązku</w:t>
      </w:r>
      <w:r w:rsidR="009C099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raportowania informacji o amerykańskim NIP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oraz wprowadzeni</w:t>
      </w:r>
      <w:r w:rsidR="007912C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obowiązku składania oświadczenia o rezydencji</w:t>
      </w:r>
      <w:r w:rsidR="001B0B1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podatkowej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 rygorem odpowiedzialności karnej</w:t>
      </w:r>
      <w:r w:rsidR="00EB64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</w:p>
    <w:p w:rsidR="009B0517" w:rsidRPr="003072CD" w:rsidRDefault="00EB644B" w:rsidP="003072CD">
      <w:pPr>
        <w:pStyle w:val="Akapitzlist"/>
        <w:numPr>
          <w:ilvl w:val="0"/>
          <w:numId w:val="35"/>
        </w:numPr>
        <w:spacing w:after="0" w:line="36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 xml:space="preserve">ustawie </w:t>
      </w:r>
      <w:r w:rsidR="001A39F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 dnia 5 lipca 2018 r. o zmianie ustawy – Ordynacja podatkowa oraz niektórych innych ustaw, gdzie proponuje się wydłużenie, z jednego dnia do dwóch miesięcy, okresu, w którym banki będą obowiązane do przekazywania informacji dotyczących rachunków lokaty terminowej podmiotu kwalifikowanego.</w:t>
      </w:r>
    </w:p>
    <w:p w:rsidR="009C0998" w:rsidRPr="003072CD" w:rsidRDefault="00B17C41" w:rsidP="003072CD">
      <w:pPr>
        <w:pStyle w:val="Akapitzlist"/>
        <w:numPr>
          <w:ilvl w:val="0"/>
          <w:numId w:val="17"/>
        </w:numPr>
        <w:spacing w:before="24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Ustawa </w:t>
      </w:r>
      <w:r w:rsidR="007912C5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z dnia 9 marca 2017 r. 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o wymianie informacji podatkowych z innymi państwami (Dz.</w:t>
      </w:r>
      <w:r w:rsidR="003072CD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U. poz. 648</w:t>
      </w:r>
      <w:r w:rsidR="00171FE2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, z </w:t>
      </w:r>
      <w:proofErr w:type="spellStart"/>
      <w:r w:rsidR="00171FE2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późn</w:t>
      </w:r>
      <w:proofErr w:type="spellEnd"/>
      <w:r w:rsidR="00171FE2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. zm.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)</w:t>
      </w:r>
    </w:p>
    <w:p w:rsidR="00E82325" w:rsidRPr="003072CD" w:rsidRDefault="00E82325" w:rsidP="003072CD">
      <w:pPr>
        <w:pStyle w:val="Akapitzlist"/>
        <w:numPr>
          <w:ilvl w:val="0"/>
          <w:numId w:val="19"/>
        </w:numPr>
        <w:spacing w:before="120" w:after="0" w:line="36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Zmiany w zakresie wymiany informacji podatkowych na wniosek</w:t>
      </w:r>
    </w:p>
    <w:p w:rsidR="00004323" w:rsidRPr="003072CD" w:rsidRDefault="00004323" w:rsidP="003072CD">
      <w:p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Zgodnie z art. 19 ust. 1 ustawy o wymianie informacji podatkowych z innymi państwami Szef Krajowej Administracji Skarbowej, w celu wymiany informacji podatkowych, może zawierać z właściwym organem państwa członkowskiego porozumienia w zakresie przebywania upoważnionych przedstawicieli właściwego organu państwa członkowskiego w siedzibach organów podatkowych oraz ich obecności w toku postępowań w sprawie udzielenia informacji podatkowych, postępowań podatkowych i czynności kontrolnych. W stosunku do obecnego brzmienia przepisu przewiduje się dodatkowo możliwość obecności przedstawicieli właściwego organu państwa członkowskiego w postępowaniu w sprawie udzielenia informacji podatkowych. Dodatkowo, w dodawanym art. 19 ust. 4, zdecydowano się na nadanie upoważnionym przedstawicielom uprawnień do zadawania pytań świadkowi oraz stronie w ramach przeprowadzanego dowodu z zeznań świadka lub przesłuchania strony</w:t>
      </w:r>
      <w:r w:rsidR="003072CD"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oraz</w:t>
      </w:r>
      <w:r w:rsidR="003072CD"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do przeglądania i utrwalania dokumentów i innych dowodów związanych ze sprawą.</w:t>
      </w:r>
    </w:p>
    <w:p w:rsidR="00004323" w:rsidRPr="003072CD" w:rsidRDefault="00004323" w:rsidP="003072CD">
      <w:p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Rozszerzenie uprawnień, z których korzystać mogą upoważnieni przedstawiciele właściwego organu państwa członkowskiego</w:t>
      </w:r>
      <w:r w:rsidR="00A17A3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przyczyni się do zwiększenia operacyjnej efektywności postępowań w sprawie udzielenia informacji podatkowych.</w:t>
      </w:r>
    </w:p>
    <w:p w:rsidR="00004323" w:rsidRPr="003072CD" w:rsidRDefault="00004323" w:rsidP="003072CD">
      <w:p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Jednocześnie w projekcie zaproponowano dodanie w art. 11 nowego ust. 3a stanowiącego ogólny przepis o charakterze kompetencyjnym wskazujący na możliwość przeprowadzania w ramach postępowania o udzielenie informacji podatkowych dowodów w celu uzyskania informacji podatkowych objętych wnioskiem. Przepis ten należy odczytywać przy uwzględnieniu specyfiki postępowania w sprawie udzielenia informacji podatkowych, w tym przede wszystkim odmiennego celu tego postępowania w porównaniu do postępowania podatkowego czy kontroli podatkowej. Istota 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lastRenderedPageBreak/>
        <w:t>postępowania prowadzonego na podstawie przepisów działu II ustawy o wymianie informacji podatkowych z innymi państwami polega na udzieleniu informacji podatkowych innemu państwu członkowskiemu, a nie dokonaniu wymiaru podatku przez polskie organy podatkowe. Z tego względu w ramach tego postępowania przepisy o dowodach zawarte w dziale IV rozdziale 11 Ordynacji podatkowej będą mogły być stosowane jedynie odpowiednio. Polski organ prowadzący to postępowanie będzie ograniczony zakresem wniosku organu państwa członkow</w:t>
      </w:r>
      <w:r w:rsidR="00086D3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skiego, a nie wynikającą z art. 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122 Ordynacji podatkowej zasadą prawdy obiektywnej nakazującą podjęcie wszelkich niezbędnych działań w celu dokładnego wyjaśnienia stanu faktycznego oraz załatwienia sprawy. Postępowanie w sprawie udzielenia informacji podatkowej ma bowiem charakter posiłkowy w stosunku do sprawy prowadzonej przez organy państwa członkowskiego występującego z wnioskiem o przekazanie informacji.</w:t>
      </w:r>
    </w:p>
    <w:p w:rsidR="00004323" w:rsidRPr="003072CD" w:rsidRDefault="00004323" w:rsidP="003072CD">
      <w:p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Proponowana zmiana art. 23 ust. 1 ustawy odnosi się do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sytuacji skierowania wniosku organu właściwego państwa członkowskiego wszczynającego sprawę administracyjną. Wniosek administracji państwa członkowskiego może formułować prośbę o udzielenie informacji na piśmie w sposób polegający na przesł</w:t>
      </w:r>
      <w:r w:rsidR="00086D3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uchaniu konkretnego podatnika w </w:t>
      </w:r>
      <w:r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charakterze świadka i przesłanie jego zeznań do organu występującego z wnioskiem. W związku z powyższym zasadne jest rozszerzenie odesłań do działu IV rozdziału 6 (wezwania) i 11 (dowody) 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Ordynacj</w:t>
      </w:r>
      <w:r w:rsidR="002D1BC1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i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</w:t>
      </w:r>
      <w:r w:rsidR="002D1BC1"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podatkowej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, tak aby było możliwe udzielenie informacji przez polską administrację skarbową w ten sposób, że osoba ta zostanie wezwana</w:t>
      </w:r>
      <w:r w:rsidR="00A17A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a następnie przesłuchana w charakterze świadka</w:t>
      </w:r>
      <w:r w:rsidR="00A17A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a informacje zostaną przesłane wnioskującej administracji.</w:t>
      </w:r>
    </w:p>
    <w:p w:rsidR="00004323" w:rsidRPr="003072CD" w:rsidRDefault="0000432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Od wniosków o informacje na piśmie odróżnić należy wnioski o obecność lub udział urzędników administracji wnioskującej w jakimkolwiek postępowaniu dopuszczalnym zgodnie z polskim prawem, jak również w poszczególnych czynnościach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. Wnioski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ww. obecność lub udział w postępowaniu obejmują często wyłącznie prośbę o wgląd do dokumentów oraz przesłuchanie świadków.</w:t>
      </w:r>
    </w:p>
    <w:p w:rsidR="00004323" w:rsidRPr="003072CD" w:rsidRDefault="0000432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W związku z powyższym zasadne jest z jednej strony wskazanie w ustawie wprost uprawnień, które przysługują upoważnionym urzędnikom państw członkowskich przebywającym na terytorium Polski w związku z wn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ioskiem o obecność lub udział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postępowaniu. Jednocześnie zważywszy, że rozporządzenie Rady (UE) nr 904/2010 konstytuuje analogiczne podstawy prawne wniosku o obecność lub udz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iał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lastRenderedPageBreak/>
        <w:t>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postępowaniu w zakresie podatku VAT, w niniejszym projekcie zaproponowano analogiczne uprawnienia w celu 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uspójnienia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 xml:space="preserve"> procedowania spraw w przedmiocie podatków pośrednich i bezpośrednich.</w:t>
      </w:r>
    </w:p>
    <w:p w:rsidR="00004323" w:rsidRPr="003072CD" w:rsidRDefault="00004323" w:rsidP="003072CD">
      <w:pPr>
        <w:suppressAutoHyphens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 w:eastAsia="pl-PL"/>
        </w:rPr>
        <w:t>W związku z tym, że wniosek o obecność lub udział w postępowaniu obejmuje często jedynie przesłuchanie świadków, zasadne jest rozszerzenie katalogu odesłań do stosowania działu IV Ordynacji Podatkowej o rozdziały 6 i 11. Podkreślić należy jednak, że także w przypadku wniosku o obecność lub udział w postępowaniu uprawnienia władcze będą wykonywane przez urzędników (lub funkcjonariuszy) polskiej administracji skarbowej w związku z załatwianiem sprawy wszczętej wnioskiem organu właściwego państwa członkowskiego.</w:t>
      </w:r>
    </w:p>
    <w:p w:rsidR="00E225E1" w:rsidRPr="003072CD" w:rsidRDefault="00E225E1" w:rsidP="003072CD">
      <w:pPr>
        <w:pStyle w:val="Akapitzlist"/>
        <w:numPr>
          <w:ilvl w:val="0"/>
          <w:numId w:val="19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Zmiany w zakresie automatycznej wymiany informacji podatkowych</w:t>
      </w:r>
    </w:p>
    <w:p w:rsidR="00384238" w:rsidRPr="003072CD" w:rsidRDefault="00B27270" w:rsidP="003072CD">
      <w:p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1)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384238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Zmiany dostosowujące </w:t>
      </w:r>
    </w:p>
    <w:p w:rsidR="00384238" w:rsidRPr="003072CD" w:rsidRDefault="00E82325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 przewiduje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doprecyzowanie niektórych pojęć zawartych 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słowniczku </w:t>
      </w:r>
      <w:r w:rsidR="00B2727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stawy (art. 1 pkt </w:t>
      </w:r>
      <w:r w:rsidR="005A25D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4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lit. a projektu)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tym</w:t>
      </w:r>
      <w:r w:rsidR="007D62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definiowanych </w:t>
      </w:r>
      <w:r w:rsidR="007D62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art. 24 ust. 1 ustawy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pojęć 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„aktywów finansowych”</w:t>
      </w:r>
      <w:r w:rsidR="007D62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(zmiana pkt 1)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„podmiotu rządowego” </w:t>
      </w:r>
      <w:r w:rsidR="007D62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(zmiana pkt 31) oraz </w:t>
      </w:r>
      <w:r w:rsidR="003842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„umowy renty”</w:t>
      </w:r>
      <w:r w:rsidR="007D62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(zmiana pkt 46)</w:t>
      </w:r>
      <w:r w:rsidR="0091690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jak również dookreśl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enie</w:t>
      </w:r>
      <w:r w:rsidR="0091690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niektór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ych</w:t>
      </w:r>
      <w:r w:rsidR="0091690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obowiązk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ów</w:t>
      </w:r>
      <w:r w:rsidR="0091690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raportujących instytucji finansowych (art. 48 ust. 1 i 2 oraz art. 50 ust. 2 ustawy). </w:t>
      </w:r>
    </w:p>
    <w:p w:rsidR="00384238" w:rsidRPr="003072CD" w:rsidRDefault="00384238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Ponadto art. 1 pkt 1</w:t>
      </w:r>
      <w:r w:rsidR="00DA514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3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projektu zmienia treść art. 73 ustawy, uprawniając </w:t>
      </w:r>
      <w:r w:rsidR="00587DC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Szefa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</w:t>
      </w:r>
      <w:r w:rsidR="00587DC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rajowej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="00587DC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dministracji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</w:t>
      </w:r>
      <w:r w:rsidR="00587DC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karbowej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 nieprzekazywania uzyskanych od raportujących instytucji finansowych informacji podatkowych, jeżeli z porozumienia, o którym mowa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art. 24 ust. 1 pkt 25 lit. b lub c ustawy, lub oświadczenia złożonego przez państwo uczestniczące wynika, że informacje te nie są przekazywane. Zmiana motywowana jest faktem, iż część państw</w:t>
      </w:r>
      <w:r w:rsidR="00A07F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które zdecydował</w:t>
      </w:r>
      <w:r w:rsidR="007912C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się przekazywać informacje do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polskiego organu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nie oczekuje w tym względzie wzajemności.</w:t>
      </w:r>
    </w:p>
    <w:p w:rsidR="00384238" w:rsidRPr="003072CD" w:rsidRDefault="00B27270" w:rsidP="003072CD">
      <w:pPr>
        <w:keepNext/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2)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384238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Trusty</w:t>
      </w:r>
    </w:p>
    <w:p w:rsidR="00F93FCB" w:rsidRPr="003072CD" w:rsidRDefault="00384238" w:rsidP="003072CD">
      <w:pPr>
        <w:keepNext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Mając na uwadze fakt, iż instytucja trustu pełni istotną rolę w globalnym standardzie automatycznej wymiany informacji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zdecydowano się na </w:t>
      </w:r>
      <w:r w:rsidR="00E8232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wprowadzenie do ustawy tej instytucji</w:t>
      </w:r>
      <w:r w:rsidR="000F13C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przy uwzględnieniu</w:t>
      </w:r>
      <w:r w:rsidR="003F737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postanowień dyrektywy 2014/107/UE odnoszących się do tego rodzaju podmiotów.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Celem uzyskania spójności z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 stosowanym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przez raportujące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instytucje 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finansowe </w:t>
      </w:r>
      <w:r w:rsidR="008517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regulacjami dotyczącymi przeciwdziałania praniu pieniędzy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zdecydowano się na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odwoł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anie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 definicji trustu zawartej w 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art. 2 ust. 2 pkt 24 ustawy </w:t>
      </w:r>
      <w:bookmarkStart w:id="0" w:name="_GoBack"/>
      <w:bookmarkEnd w:id="0"/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lastRenderedPageBreak/>
        <w:t>o przeciwdziałaniu praniu pieniędzy oraz finansowaniu terroryzmu</w:t>
      </w:r>
      <w:r w:rsidR="00E20AD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(dodawany art. 24 ust. 1 pkt 45a ustawy o wymianie informacji podatkowych z innymi państwami)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. Odwołanie się do definicji trustu z ww. ustawy pozwoli uzyskać spójność instytucjonalną oraz przyczyni się do zwiększenia efektywności operacyjnej na poziomie działania poszczególnych instytucji finansowych. Projektowane regulacje z punktu widzenia automatycznej wymiany informacji podatkowych w zakresie trustów </w:t>
      </w:r>
      <w:r w:rsidR="00004323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uwzględniają 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dwie kategorie stanów faktycznych: trust posiada status raportującej instytucji finansowej (m.in. projektowany </w:t>
      </w:r>
      <w:r w:rsidR="00E20AD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art. 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25 ust. 4) oraz trust jest posiadaczem rachunku prowadzon</w:t>
      </w:r>
      <w:r w:rsidR="007D62F6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ego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przez raportującą instytucję finansową. W pierwszym ze wskazanych przypadków trust obowiązany będzie m.in. do stosowania procedur należytej staranności oraz identyfikacji rachunków raportowanych. Z punktu widzenia trustu jako posiadacza rachunku relewantne będą m.in. regulacje</w:t>
      </w:r>
      <w:r w:rsidR="0048070C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które zobowiązują rozpozna</w:t>
      </w:r>
      <w:r w:rsidR="00C31916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wa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ć trust jako podmiot dla celów automatycznej wymiany informacji (projektowany </w:t>
      </w:r>
      <w:r w:rsidR="00C31916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art. 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24 ust. 1 pkt 28)</w:t>
      </w:r>
      <w:r w:rsidR="00A17A3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oraz </w:t>
      </w:r>
      <w:r w:rsidR="00A07F15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regulacje 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służące odpowiedniemu ustalaniu rezydencji trustu będącego pasywnym NFE (projektowany</w:t>
      </w:r>
      <w:r w:rsidR="00C31916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art.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24 ust. 1 pkt</w:t>
      </w:r>
      <w:r w:rsidR="00A07F15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22 i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23).</w:t>
      </w:r>
      <w:r w:rsidR="00E91EEC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</w:t>
      </w:r>
      <w:r w:rsidR="00E20AD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W </w:t>
      </w:r>
      <w:r w:rsidR="00F93FC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projektowanym art. 32 ust. 1 pkt 5 przewidziano wyłączenie z obowiązków</w:t>
      </w:r>
      <w:r w:rsidR="00A17A3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</w:t>
      </w:r>
      <w:r w:rsidR="003072C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</w:t>
      </w:r>
      <w:r w:rsidR="00F93FC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o których mowa w art. 27, art. 28 oraz art. 30 </w:t>
      </w:r>
      <w:r w:rsidR="00A07F15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ustawy o wymianie informacji podatkowych z innymi państwami</w:t>
      </w:r>
      <w:r w:rsidR="00A17A3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</w:t>
      </w:r>
      <w:r w:rsidR="00A07F15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</w:t>
      </w:r>
      <w:r w:rsidR="00F93FC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dla trustów będących raportującymi instytucjami finansowymi w zakresie, w jakim powiernik trustu będący raportującą instytucją finansową przekazuje informacje o rachunkach raportowanych tego trustu.</w:t>
      </w:r>
    </w:p>
    <w:p w:rsidR="00D554EF" w:rsidRPr="003072CD" w:rsidRDefault="00E91EEC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Mając na uwadze możliwe trudności mogące się pojawić podczas praktycznego stosowania przepisów dotyczących trustów</w:t>
      </w:r>
      <w:r w:rsidR="00A17A3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,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należy </w:t>
      </w:r>
      <w:r w:rsidR="00A22423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wyjaśnić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, że </w:t>
      </w:r>
      <w:r w:rsidR="002C427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interpretacja </w:t>
      </w:r>
      <w:r w:rsidR="00A22423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omawianych </w:t>
      </w:r>
      <w:r w:rsidR="002C427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przepisów powinna</w:t>
      </w:r>
      <w:r w:rsidR="003072C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</w:t>
      </w:r>
      <w:r w:rsidR="002C427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uwzględniać</w:t>
      </w:r>
      <w:r w:rsidR="00E20ADB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</w:t>
      </w:r>
      <w:r w:rsidR="002C427D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cele</w:t>
      </w:r>
      <w:r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dyrektywy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2014/107/UE oraz kontekst nakreślony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przez wytyczne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dla </w:t>
      </w:r>
      <w:proofErr w:type="spellStart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Common</w:t>
      </w:r>
      <w:proofErr w:type="spellEnd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Reporting Standard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opracowane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przez OECD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(zawarte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m.in. w komentarzu do standardu automatycznej wymiany informacji podatkowych)</w:t>
      </w:r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.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Jednocześnie podkreślenia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wymaga fakt, że wprowadzane przepisy powinny być stosowane z uwzg</w:t>
      </w:r>
      <w:r w:rsidR="00AF66E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lędnieniem celów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rozwiązań legislacyjnych przyjętych w ustawie o przeciwdziałaniu praniu pieniędzy oraz finansowaniu terroryzmu. W tym kontekście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podkreślenia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wymaga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m.in. przyjęcie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9125A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spójności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znaczeniowej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poję</w:t>
      </w:r>
      <w:r w:rsidR="0054611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711728"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beneficjent trustu </w:t>
      </w:r>
      <w:r w:rsidR="007117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użytego</w:t>
      </w:r>
      <w:r w:rsidR="00711728"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</w:t>
      </w:r>
      <w:r w:rsidR="00A224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projektowanym </w:t>
      </w:r>
      <w:r w:rsidR="007117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art. 24 ust. 1 pkt 38 lit. d z pojęciem </w:t>
      </w:r>
      <w:r w:rsidR="00711728"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beneficjent </w:t>
      </w:r>
      <w:r w:rsidR="007117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użytym w stosunku do trustu w ramach definicji beneficjenta rzeczywistego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zawartej </w:t>
      </w:r>
      <w:r w:rsidR="007117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ustawie</w:t>
      </w:r>
      <w:r w:rsidR="00C31916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 przeciwdziałaniu praniu pieniędzy oraz finansowaniu terroryzmu</w:t>
      </w:r>
      <w:r w:rsidR="007117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</w:t>
      </w:r>
      <w:r w:rsidR="00D856F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ależy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również wyjaśnić</w:t>
      </w:r>
      <w:r w:rsidR="00D856F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że pojęcie </w:t>
      </w:r>
      <w:r w:rsidR="009125A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„rzeczywistego </w:t>
      </w:r>
      <w:r w:rsidR="009125A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prawa własnościowego w truście”</w:t>
      </w:r>
      <w:r w:rsidR="002A2D3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(projektowany </w:t>
      </w:r>
      <w:r w:rsidR="002A2D30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art. 24 ust. 1 pkt 1</w:t>
      </w:r>
      <w:r w:rsidR="00AF66E8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 xml:space="preserve"> lit. j</w:t>
      </w:r>
      <w:r w:rsidR="002A2D30" w:rsidRPr="003072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  <w:t>)</w:t>
      </w:r>
      <w:r w:rsidR="00D856F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powinno się </w:t>
      </w:r>
      <w:r w:rsidR="00D856F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interpretować z uwzględnieniem definicji poj</w:t>
      </w:r>
      <w:r w:rsidR="000E225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ęcia </w:t>
      </w:r>
      <w:r w:rsidR="000E2257"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beneficjenta rzeczywistego</w:t>
      </w:r>
      <w:r w:rsidR="000E225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(tym samym przyjąć należy, że rzeczywiste praw</w:t>
      </w:r>
      <w:r w:rsidR="00AF66E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</w:t>
      </w:r>
      <w:r w:rsidR="000E225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własnościowe w truście posiadać mogą podmioty</w:t>
      </w:r>
      <w:r w:rsidR="0048070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0E225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które</w:t>
      </w:r>
      <w:r w:rsidR="002C427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2A2D3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mają</w:t>
      </w:r>
      <w:r w:rsidR="000E225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status beneficjenta rzeczywistego w przypadku trustu).</w:t>
      </w:r>
      <w:r w:rsidR="00D554E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Jednocześnie zauważyć należy, iż pojęcia „rzecz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ywistego prawa własnościowego w </w:t>
      </w:r>
      <w:r w:rsidR="00D554E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truście”</w:t>
      </w:r>
      <w:r w:rsidR="0048070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D554E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jak i „beneficjenta rzeczywistego” w swojej intencji mają akcentować oderwanie od formalnej własności czy formalnego prawa do otrzymywania korzyści</w:t>
      </w:r>
      <w:r w:rsidR="00EB320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EB0CD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4E4B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Warto nadmienić, iż p</w:t>
      </w:r>
      <w:r w:rsidR="00EB0CD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osłużenie się</w:t>
      </w:r>
      <w:r w:rsidR="00F93FC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przez ustawodawcę</w:t>
      </w:r>
      <w:r w:rsidR="00EB0CD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sformułowaniem „rzeczywisty”</w:t>
      </w:r>
      <w:r w:rsidR="00F93FC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celem podkreślenia odejścia od formalistycznego rozumienia własności</w:t>
      </w:r>
      <w:r w:rsidR="004E4B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miało miejsce także 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 gruncie</w:t>
      </w:r>
      <w:r w:rsidR="004E4B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A224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innych ustaw, np. w ustawie </w:t>
      </w:r>
      <w:r w:rsidR="004E4B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 podatku dochodowym od osób prawnych</w:t>
      </w:r>
      <w:r w:rsidR="00A224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użyto m.in. zwrotu „rzeczywista działalność gospodarcza”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„rzeczywiste zachowania” </w:t>
      </w:r>
      <w:r w:rsidR="00A224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 „rzeczywisty właściciel”</w:t>
      </w:r>
      <w:r w:rsidR="004E4B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01262D" w:rsidRPr="003072CD" w:rsidRDefault="00B27270" w:rsidP="003072CD">
      <w:pPr>
        <w:keepNext/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3)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01262D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Raportowanie dla celów automatycznej wymiany informacji podatkowych</w:t>
      </w:r>
    </w:p>
    <w:p w:rsidR="00A42838" w:rsidRPr="003072CD" w:rsidRDefault="00B27270" w:rsidP="003072CD">
      <w:pPr>
        <w:keepNext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 wprowadza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zmiany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przepisach określających sposób ustalania katalogu państw uczestniczących oraz państw</w:t>
      </w:r>
      <w:r w:rsidR="00F4040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objętych obowiązkiem raportowania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 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konsekwencji minister właściwy do spraw finansów publicznych będzie dokonywał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publikacji:</w:t>
      </w:r>
    </w:p>
    <w:p w:rsidR="00A42838" w:rsidRPr="003072CD" w:rsidRDefault="003072CD" w:rsidP="00086D3F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ab/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 podstawie art. 24 ust. 5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listy państw uczestniczących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o których mowa w art. </w:t>
      </w:r>
      <w:r w:rsidR="00B2727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24 ust. 1 pkt 25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lit. b i c</w:t>
      </w:r>
      <w:r w:rsidR="00B2727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(lista będzie aktualizowana na bieżąco) oraz </w:t>
      </w:r>
    </w:p>
    <w:p w:rsidR="0001262D" w:rsidRPr="003072CD" w:rsidRDefault="003072CD" w:rsidP="00086D3F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ab/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 podstawie art. 33 ust. 5 ustawy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listy państw objętych obowiązkiem raportowania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;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godnie z proponowanym brzmieniem art. 33 ust. 3 obowiązkiem raportowania za dany rok kalendarzowy objęte będą wyłącznie te państwa</w:t>
      </w:r>
      <w:r w:rsidR="0048070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lub terytoria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które zostały wymienione w obwieszczen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iu ogłoszonym na podstawie ust. 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5 tego artykułu do 31 marca roku następującego po tym roku kalendarzowym (tj. roku, w którym wykonywany jest obo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wiązek przekazania informacji o </w:t>
      </w:r>
      <w:r w:rsidR="0001262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rachunkach raportowanych).</w:t>
      </w:r>
    </w:p>
    <w:p w:rsidR="00DC296F" w:rsidRPr="003072CD" w:rsidRDefault="00DE2A54" w:rsidP="003072CD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Jednocześnie należy podkreślić, iż minister właściwy do spraw finansów publicznych będzie obowiązany do publikacji listy wszystkich państw, które uzyskały status państw uczestniczących wskutek zawarcia porozumienia stanowiącego podstawę automatycznej wymiany informacji o rachunkach raportowanych. Ponadto zgodnie z proponowanym art. 33 ust. 3 objęcie obowiązkiem raportowania dotyczyć będzie również państw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 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terytoriów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które podjęły działania w celu zawarcia ww. porozumienia.</w:t>
      </w:r>
      <w:r w:rsidR="007C47D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Przez </w:t>
      </w:r>
      <w:r w:rsidR="0054611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takie </w:t>
      </w:r>
      <w:r w:rsidR="007C47D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działania rozumieć należy</w:t>
      </w:r>
      <w:r w:rsidR="002A125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np. polityczne deklaracje danego </w:t>
      </w:r>
      <w:r w:rsidR="0048070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państwa </w:t>
      </w:r>
      <w:r w:rsidR="007C564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lub terytorium złożone wobec Światowego Forum ds. Przejrzystości i Wymiany Informacji, w którym zobowiązują się one do dokonania wymiany informacji za określony rok, </w:t>
      </w:r>
      <w:r w:rsidR="002A125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bądź formalne notyfikacje skierowane do OECD.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Rozszerzenie obow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iązku raportowania o wskazaną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przywołanym artykule kategorię państw determinowane jest dynamiką procesu przystępowania poszczególnych państw i jurysdykcji do standardu automatycznej wymiany informacji podatkowych. Takie rozwiązanie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daje możliwość uwzględnienia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raportowaniu rezydentów państw, które formalnie staną się uczestniczącymi po dniu 31 marca danego roku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 przed dniem 30 września danego roku (tj. dniem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 którego Szef </w:t>
      </w:r>
      <w:r w:rsidR="000F13C4"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Krajowej Administracji Skarbowej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zobowiązany jest uzyskane informacje przekazać).</w:t>
      </w:r>
      <w:r w:rsidR="007C47D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DC296F" w:rsidRPr="003072CD" w:rsidRDefault="00DC296F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Jednocześnie w art. 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10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projektu postanowiono, że lista państw objętych obowiązkiem raportowania za 2018 r. zostanie ogłoszona w terminie 14 dni od dnia ogłoszenia ustawy (lista za lata kolejne będzie publikow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ana do 31 marca danego roku).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konsekwencji raportujące instytucje finansowe dla celów raportowania posługiwać się będą listą opublikowaną w roku, w którym są obowiązane dokonać 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raportowania, nie zaś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listą opublikowaną w roku poprzedzającym rok, za który raportują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tak jak jest to przewidziane w ustawie w dotychczasowym brzmieniu). Zgodnie z art. 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10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ust. 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raportujące instytucje finansowe dla celów raportowania za lata 2018 i 2019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stosują przepisy w brzmieniu nadanym niniejszą ustawą, co oznacza, że będą się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posług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iwać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listą</w:t>
      </w:r>
      <w:r w:rsidR="00504EC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 której mowa w art. 33 ust. 5 (tj. listą ogłaszaną do 31 marca).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Zgodnie z art. 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10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ust. 3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projektu ustawy</w:t>
      </w:r>
      <w:r w:rsidR="00504EC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przypadku gdy raportująca instytucja finansowa przekaże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przed wejściem w życie zmian przewidzianych w projekcie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informacje o rachunkach raportowanych zgodnie z listą państw uczestniczących 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dotyczącą 2018 r.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ogłoszoną w 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drodze obwieszczenia w 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roku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2017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(na podstawie przepisów dotychczasowych)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będzie 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obowiązana przekazać informację o rachunkach raportowanych w oparciu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 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listę, o której mowa w art. 33 ust. 5 ustawy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(na podstawie przepisów nowych)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tyl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 w 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zakresie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jakim informacje o rachunkach raportowanych nie zostały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za ten rok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już przekazane</w:t>
      </w:r>
      <w:r w:rsidR="001A549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na podstawie przepisów dotychczasowych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806B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Należy przy tym podkreślić, że raportujące instytucje finansowe będą mogły realizować ww. obowiązek</w:t>
      </w:r>
      <w:r w:rsidR="00504EC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gdyż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 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związku z procedurami należytej staranności określonymi w ustawie są w posiadaniu danych o rezydencji wszystkich posiadaczy rachunków (tj. nie tylko tych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którzy są rezydentami </w:t>
      </w:r>
      <w:r w:rsidR="001F5A8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</w:t>
      </w:r>
      <w:r w:rsidR="008D783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aństw lub terytori</w:t>
      </w:r>
      <w:r w:rsidR="00806B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ów wymienionych na ww. li</w:t>
      </w:r>
      <w:r w:rsidR="001F5A8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stach</w:t>
      </w:r>
      <w:r w:rsidR="00806B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).</w:t>
      </w:r>
    </w:p>
    <w:p w:rsidR="00DE2A54" w:rsidRPr="003072CD" w:rsidRDefault="00DE2A54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 xml:space="preserve">Uwzględniając praktyczne okoliczności procesu zawierania </w:t>
      </w:r>
      <w:r w:rsidR="000043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wskazanych wyżej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porozumień, można rozsądnie przyjąć, że ryzyko</w:t>
      </w:r>
      <w:r w:rsidR="00384EA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iż dane państwo mimo wpisania na listę</w:t>
      </w:r>
      <w:r w:rsidR="001A2C7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 której mowa w </w:t>
      </w:r>
      <w:r w:rsidR="002D1BC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projektowanym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art. 33 ust. 5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="001A2C7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stanie się formalnie państwem uczestniczącym do dnia 30 września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jest niewielkie. </w:t>
      </w:r>
      <w:r w:rsidR="000043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Niemniej w przypadku odpadnięcia celu przetwarzania danych otrzymanych od raportujących instytucji finansowych (tj. danych dotyczących rezydentów państw lub terytoriów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00432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które nie staną się państwami uczestniczącymi) dane te zostaną usunięte jako niemożliwe do użycia dla celów określonych w ustawie.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związku z tym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przypadku gdy po dniu 30 września przechowywanie tych danych nie będzie niezbędne do realizacji celów ustawowych lub realizacji zobowiązań międzynarodowych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1F411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dane te powinny zostać usunięte.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konsekwencji uznać należy, iż proponowane rozwiązanie jest proporcjonalne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tj.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ograniczające informacje przekazywane Szefowi </w:t>
      </w:r>
      <w:r w:rsidR="00F6346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Krajowej Administracji Skarbowej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 niezbędnych do wykonania jego zadań.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Warto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przy tym podkreślić, że zarówno przetwarzanie danych przez Szefa K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rajowej 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dministracji 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karbowej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413B0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jak i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ich usuwanie następować 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będzie zgodnie z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7C12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rozporządzeniem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Parlamentu Europejskiego i 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Rady (UE) 2016/679 z dnia 27 kwietnia 2016 r. w sprawie ochr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ony osób fizycznych w związku z </w:t>
      </w:r>
      <w:r w:rsidR="00C82A3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przetwarzaniem danych osobowych i w sprawie swobodnego przepływu takich danych oraz uchylenia dyrektywy 95/46/WE</w:t>
      </w:r>
      <w:r w:rsidR="002578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 w tym w szczególności z zasadą ograniczenia przechowywania określoną w art. 5 ust. 1 lit. e tego rozporządzenia, która wymaga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2578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żeby dane osobowe były </w:t>
      </w:r>
      <w:r w:rsidR="0025784B"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przechowywane w formie umożliwiającej identyfikację osoby, której dane dotyczą, przez okres nie dłuższy, niż jest to niezbędne do celów, w których dane te są przetwarzane, przy czym dane osobowe można przechowywać przez okres dłuższy, o ile będą one przetwarzane wyłącznie do celów archiwalnych w interesie publicznym, do celów badań naukowych lub historycznych lub do celów statystycznych.</w:t>
      </w:r>
    </w:p>
    <w:p w:rsidR="0001262D" w:rsidRPr="003072CD" w:rsidRDefault="0001262D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Konsekwencją wprowadzonych zmian dotyczących zakresu obowiązku przekazywania informacji o rachunkach raportowanych jest uchylenie art. 33 ust. 2 oraz art. 74 ust. 2</w:t>
      </w:r>
      <w:r w:rsidR="00953D4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Skutkiem uchylenia ostatniego z wymienionych przepisów będzie obowiązek przekazania przez Szefa Krajowej Administracji Skarbowej informacji o rachunkach raportowanych z uwzględnieniem zawartych porozumień stanowiących podstawę automatycznej wymiany informacji o rachunkach raportowanych.</w:t>
      </w:r>
      <w:r w:rsidR="00E7226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E20ADB" w:rsidRPr="003072CD" w:rsidRDefault="00B27270" w:rsidP="003072C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art. 1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pkt </w:t>
      </w:r>
      <w:r w:rsidR="002578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7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lit.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 i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pkt </w:t>
      </w:r>
      <w:r w:rsidR="00DA514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8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doprecyzowano </w:t>
      </w:r>
      <w:r w:rsidR="002578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przepis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dotyczący formy przesyłania informacji o rachunkach raportowanych, wskazując, iż informacje powinny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 xml:space="preserve">być przesyłane za pomocą oprogramowania interfejsowego, którego adres jest zamieszczony w Biuletynie Informacji Publicznej na stronie podmiotowej urzędu obsługującego ministra właściwego do spraw finansów publicznych.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Zmiana art. 33 ust.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 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 i art. 36 ust. 1 ustawy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pozwoli uniknąć pojawiających się wątpliwości interpretacyjnych w zakresie tego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czy wskazana inform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acja może zostać przekazana np.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poprzez 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ePUAP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bądź drogą elektroniczną w inny sposób.</w:t>
      </w:r>
    </w:p>
    <w:p w:rsidR="0001262D" w:rsidRPr="003072CD" w:rsidRDefault="00A42838" w:rsidP="003072CD">
      <w:pPr>
        <w:suppressAutoHyphens/>
        <w:spacing w:before="120" w:after="0" w:line="36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pl-PL" w:eastAsia="pl-PL"/>
        </w:rPr>
      </w:pPr>
      <w:r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>4)</w:t>
      </w:r>
      <w:r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01262D"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>Przedsiębiorstwo zbiorowego inwestowania – zmiana zakresu wyłączenia</w:t>
      </w:r>
      <w:r w:rsidR="00086D3F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 xml:space="preserve"> (art. </w:t>
      </w:r>
      <w:r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 xml:space="preserve">1 pkt </w:t>
      </w:r>
      <w:r w:rsidR="00DA514E"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>6</w:t>
      </w:r>
      <w:r w:rsidRPr="003072CD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pl-PL"/>
        </w:rPr>
        <w:t xml:space="preserve"> lit. b projektu)</w:t>
      </w:r>
    </w:p>
    <w:p w:rsidR="0001262D" w:rsidRPr="003072CD" w:rsidRDefault="0001262D" w:rsidP="003072CD">
      <w:pPr>
        <w:suppressAutoHyphens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</w:pPr>
      <w:r w:rsidRPr="003072CD">
        <w:rPr>
          <w:rFonts w:ascii="Times New Roman" w:eastAsia="Cambria" w:hAnsi="Times New Roman" w:cs="Times New Roman"/>
          <w:color w:val="000000" w:themeColor="text1"/>
          <w:sz w:val="24"/>
          <w:szCs w:val="24"/>
          <w:lang w:val="pl-PL"/>
        </w:rPr>
        <w:t>Zgodnie z obecnym brzmieniem art. 32 ust. 1 ustawy</w:t>
      </w:r>
      <w:r w:rsidR="002D3198" w:rsidRPr="003072CD">
        <w:rPr>
          <w:rFonts w:ascii="Times New Roman" w:eastAsia="Cambria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86D3F">
        <w:rPr>
          <w:rFonts w:ascii="Times New Roman" w:eastAsia="Cambria" w:hAnsi="Times New Roman" w:cs="Times New Roman"/>
          <w:color w:val="000000" w:themeColor="text1"/>
          <w:sz w:val="24"/>
          <w:szCs w:val="24"/>
          <w:lang w:val="pl-PL"/>
        </w:rPr>
        <w:t>z wykonywania obowiązków, o </w:t>
      </w:r>
      <w:r w:rsidRPr="003072CD">
        <w:rPr>
          <w:rFonts w:ascii="Times New Roman" w:eastAsia="Cambria" w:hAnsi="Times New Roman" w:cs="Times New Roman"/>
          <w:color w:val="000000" w:themeColor="text1"/>
          <w:sz w:val="24"/>
          <w:szCs w:val="24"/>
          <w:lang w:val="pl-PL"/>
        </w:rPr>
        <w:t xml:space="preserve">których mowa w art. 27, art. 28 oraz art. 30 ustawy, wyłączona jest polska instytucja finansowa będąca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zwolnionym przedsiębiorstwem zbiorowego inwestowania. </w:t>
      </w:r>
      <w:r w:rsidR="00643273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Przepis art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. 32 ust. 7</w:t>
      </w:r>
      <w:r w:rsidR="002D319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tej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ustawy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wskazuje natomiast, iż wyemitowanie przez przedsiębiorstwo zbiorowego inwestowania certyfikatów inwestycyjnych albo praw uczestnictwa na okaziciela w formie dokumentu nie powoduje utraty przez podmiot inwestujący statusu zwolnionego przedsiębiorstwa zbiorowego inwestowania, jeżeli przedsiębiorstwo zbiorowego inwestowania spełnia co najmniej jeden ze wskazanych w tym przepisie warunków. </w:t>
      </w:r>
      <w:r w:rsidR="00D23136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W projekcie zdecydowano się na zmianę obecnie obowiązującego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brzmienia przepisu poprzez odpowiednie uzupełnienie warunków </w:t>
      </w:r>
      <w:r w:rsidR="008842A7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oraz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uzależnienie stosowania wyłączenia od spełnienia wszystkich wymienionych w przepisie warunków. </w:t>
      </w:r>
    </w:p>
    <w:p w:rsidR="00C73B85" w:rsidRPr="003072CD" w:rsidRDefault="0001262D" w:rsidP="003072CD">
      <w:pPr>
        <w:suppressAutoHyphens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Ponadto art. </w:t>
      </w:r>
      <w:r w:rsidR="00CE0F94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8 </w:t>
      </w:r>
      <w:r w:rsidR="00AE244E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ust. 1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pkt 1 lit. c</w:t>
      </w:r>
      <w:r w:rsidR="002D319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projektu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nakłada obo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wiązek przekazania informacji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rachunkach raportowanych na podmioty inwestujące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regulowane przepisami ustawy 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dnia 27 maja 2004 r. o funduszach inwestycyjnych i zarządzaniu alternatywnymi funduszami inwestycyjnymi (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Dz. U. z 2018 r. poz. 1355</w:t>
      </w:r>
      <w:r w:rsidR="00DB14A9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, z </w:t>
      </w:r>
      <w:proofErr w:type="spellStart"/>
      <w:r w:rsidR="00DB14A9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późn</w:t>
      </w:r>
      <w:proofErr w:type="spellEnd"/>
      <w:r w:rsidR="00DB14A9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. zm.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), które nie spełniały warunków wyłączenia ich spod tego obowiązku (określonych proponowanym brzmieniem art. 32 ust. 7). Obowiązek </w:t>
      </w:r>
      <w:r w:rsidR="008842A7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ten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obejmie informacje o rachunkach raportowanych, które nie zostały przekazane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za lata 2016 i 2017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. 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Wskazany obowiązek odnosi się do stanów faktycznych przeszłych</w:t>
      </w:r>
      <w:r w:rsidR="006A25C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, jednakże obowiązek przekazania informacji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powsta</w:t>
      </w:r>
      <w:r w:rsidR="006A25C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je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po wejściu w życie projektowanych zmian. Ponadto projektowane rozwiązanie (art. 32 ust. 7 zdanie 2) stanowi odzwierciedleni</w:t>
      </w:r>
      <w:r w:rsidR="006A25C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e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rozwiązań przyjętych w</w:t>
      </w:r>
      <w:r w:rsidR="0056279B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dyrektywie 2014/107/UE (załącznik I, sekcja VII, lit. B, pkt 9)</w:t>
      </w:r>
      <w:r w:rsidR="00C73B85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. </w:t>
      </w:r>
    </w:p>
    <w:p w:rsidR="0001262D" w:rsidRPr="003072CD" w:rsidRDefault="00A42838" w:rsidP="003072CD">
      <w:pPr>
        <w:suppressAutoHyphens/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>5)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ab/>
      </w:r>
      <w:r w:rsidR="0001262D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>Odpowiedzialność za składanie fałszywych oświadczeń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 xml:space="preserve"> (art. 1 pkt </w:t>
      </w:r>
      <w:r w:rsidR="002D3198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 xml:space="preserve">9 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pl-PL"/>
        </w:rPr>
        <w:t>projektu)</w:t>
      </w:r>
    </w:p>
    <w:p w:rsidR="00C73B85" w:rsidRPr="003072CD" w:rsidRDefault="0001262D" w:rsidP="003072CD">
      <w:pPr>
        <w:pStyle w:val="Akapitzlist"/>
        <w:suppressAutoHyphens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lastRenderedPageBreak/>
        <w:t>W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nowym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brzmieniu art. 43 ust. 1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proponuje się wprowadzenie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  <w:r w:rsidR="00A42838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przepisu wymagającego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składania oświadczeń o rezydencji podatkowej pod rygorem odpowiedzialności karnej za podanie danych niezgodnych ze stanem faktycznym, wskazując, że oświadczenia te winny zostać opatrzone klauzulą o następującej treści: „Jestem świadomy odpowiedzialności karnej za złożenie fałszywego oświadczenia.”. W tym względzie należy zauważyć, że składane oświadczenie musi być opatrzone odpowiednim rygorem </w:t>
      </w:r>
      <w:r w:rsidR="0049427F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w celu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zapewnienia skutecznego wdrożenia i przestrzegania procedur należytej staranności</w:t>
      </w:r>
      <w:r w:rsidR="00213CBA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, 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tym samym skutecznego wdrożenia standardu automatycznej wymiany informacji podatkowych. Celem uzyskania </w:t>
      </w:r>
      <w:r w:rsidR="00CE0F94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systemowej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spójności projekt wprowadza również obowiązek zawarcia podobnej klauzuli w analogicznych oświadczeniach składanych w ramach FATCA.</w:t>
      </w:r>
      <w:r w:rsidR="00C73B85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</w:p>
    <w:p w:rsidR="00A42838" w:rsidRPr="003072CD" w:rsidRDefault="00D23136" w:rsidP="003072CD">
      <w:pPr>
        <w:pStyle w:val="Akapitzlist"/>
        <w:suppressAutoHyphens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Wprowadzenie rygoru odpowiedzialności karnej w p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rzypadku składania oświadczeń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rezydencji podatkowej nie wpływa na przewidziane w art. 43 ust. 2 uprawnienie raportującej instytucji finansowej do dokonania wstępnego wypełnienia tego oświadczenia (z wyjątkiem informacji o państwie rezydencji). W związku z tym projekt nie przewiduje zmiany tego przepisu. Dodatkowo należy zauważyć, że osoba podpisująca oświadczenie poprzez złożenie podpisu potwierdza prawidłowość danych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w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nim zawartych. A zatem przed podpisaniem dokumentu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jest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zobowiązana również dokonać weryfikacji informacji zawartych w oświadczeniu, które uprzednio zostały wprowadzone przez raportującą instytucję finansową. Fakt, iż oświadczenie może zostać wstępnie wypełnione przez raportującą instytucję finansową </w:t>
      </w:r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pl-PL"/>
        </w:rPr>
        <w:t xml:space="preserve">per </w:t>
      </w:r>
      <w:proofErr w:type="spellStart"/>
      <w:r w:rsidRPr="003072C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  <w:lang w:val="pl-PL"/>
        </w:rPr>
        <w:t>se</w:t>
      </w:r>
      <w:proofErr w:type="spellEnd"/>
      <w:r w:rsidR="00EF4412" w:rsidRPr="00D64B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,</w:t>
      </w:r>
      <w:r w:rsidRPr="00E543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nie wyłącza odpowiedzialności osoby podpisującej oświadczenie, niemniej może być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istotne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punktu widzenia późniejszego ustalania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zakresu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odpowiedzialności osoby składającej oświadczenie. Odpowiedzialności karnej może podlegać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po wypełnien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iu przesłanek 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art. 233 § 6 kk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wyłącznie osoba składająca fałszywe oświadczenie, a zatem ten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pl-PL"/>
        </w:rPr>
        <w:t xml:space="preserve"> kto oświadczenie podpisuje. </w:t>
      </w:r>
    </w:p>
    <w:p w:rsidR="00E225E1" w:rsidRPr="003072CD" w:rsidRDefault="00A42838" w:rsidP="003072CD">
      <w:p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6)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E225E1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Obowiązek weryfikacji rachunków otwartych w okresie od 1 stycznia 2016 r. do 30 kwietnia 2017 r.</w:t>
      </w:r>
    </w:p>
    <w:p w:rsidR="00FA34EC" w:rsidRPr="003072CD" w:rsidRDefault="00C25ABE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Projektowany przepis a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6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wprowadza obowiązek dodatkowej weryfikacji rachunków otwartych w okresie od dnia 1 stycznia 2016 r. do dnia 30 kwietnia 2017 r. oraz </w:t>
      </w:r>
      <w:r w:rsidR="007E709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prowadzonych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 dzień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wejścia w życie niniejszej ustawy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Zgodnie z 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proponowanym artykułem raportujące instytucje finansowe </w:t>
      </w:r>
      <w:r w:rsidR="00223F1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obowiązane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wystąpić do swoich klientów (posiadaczy rachunków) z żądaniem złożenia oświadczenia o rezydencji podatkowej, zawierającego dane o rezydencji podatkowej</w:t>
      </w:r>
      <w:r w:rsidR="007E709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aktualne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na dzień otwarcia rachunku. </w:t>
      </w:r>
      <w:r w:rsidR="00FA34E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Należy przy tym zaznaczyć, iż wprowadzany obowiązek ze względu na konieczność uzyskania oświadczenia o rezydencji podatkowej </w:t>
      </w:r>
      <w:r w:rsidR="004449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aktualnego </w:t>
      </w:r>
      <w:r w:rsidR="004449A5" w:rsidRPr="003072CD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pl-PL"/>
        </w:rPr>
        <w:t>na dzień otwarcia rachunku</w:t>
      </w:r>
      <w:r w:rsidR="004449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FA34E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nie będzie stanowił powielenia obowiązku określonego w art. 98 ust. 4 ustawy</w:t>
      </w:r>
      <w:r w:rsidR="004449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brzmieniu obecnie obowiązującym</w:t>
      </w:r>
      <w:r w:rsidR="00A45E3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(odnoszącym się do uzyskania tego oświadczenia z danymi aktualnymi na dzień jego złożenia)</w:t>
      </w:r>
      <w:r w:rsidR="004449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E22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A02615" w:rsidRPr="003072CD" w:rsidRDefault="008C220D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Zgodnie z projektowanym 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6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ust. 2 w przypa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dku nieuzyskania oświadczenia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rezydencji podatkowej na podstawie 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6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ust. 1 </w:t>
      </w:r>
      <w:r w:rsidR="00DB67A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celu</w:t>
      </w:r>
      <w:r w:rsidR="00DB67A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jego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uzyskania raportujące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instytucje finansowe 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obowiązane</w:t>
      </w:r>
      <w:r w:rsidR="009826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podjąć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F051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rzeczywiste działania zmierzające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 nawiązania kontaktu z posiadaczem rachunku (na piśmie, telefonicznie, osobiście lub drogą elektroniczną). </w:t>
      </w:r>
    </w:p>
    <w:p w:rsidR="00E225E1" w:rsidRPr="003072CD" w:rsidRDefault="00DB67A2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Jednocześnie należy mieć na uwadze, iż w przypadku gdy oświadczenie o rezydencji podatkowej będzie składane przez posiadaczy rachunków po dniu wejściu w życie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dodawanego zdania drugiego 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art. 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43 ust. 1 ustawy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(tj. regulacji dotyczącej konieczności uwzględniania 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oświadczeniach 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 rezydencji podatkowej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klauzuli dotyczącej odpowiedzialności karnej)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wówczas raportujące instytucje finansowe dla celów dokumentowania rachunku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będą obowiązane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odbierać oświadczenia zgodnie z 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przepisami w nowym brzmieniu, a więc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będą mogły posłużyć się oświadczeniami bez </w:t>
      </w:r>
      <w:r w:rsidR="00A0261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klauzuli dotyczącej odpowiedzialności karnej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</w:p>
    <w:p w:rsidR="00E225E1" w:rsidRPr="003072CD" w:rsidRDefault="00E225E1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Zgodnie z </w:t>
      </w:r>
      <w:r w:rsidR="00B54D3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8 </w:t>
      </w:r>
      <w:r w:rsidR="00CD480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raportujące instytucje finansowe w terminie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od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dnia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1 stycznia 2020 r.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dnia 3</w:t>
      </w:r>
      <w:r w:rsidR="007E709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marca 2020 r. 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obowiązane dokonać raportowania rachunków zidentyfikowanych w oparciu o 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6</w:t>
      </w:r>
      <w:r w:rsidR="00DB14A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B54D3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tj. w oparciu o oświadczenie o rezydencji</w:t>
      </w:r>
      <w:r w:rsidR="003943D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oraz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rachunków niezidentyfikowanych w oparciu o takie oświadczenie</w:t>
      </w:r>
      <w:r w:rsidR="003943D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przy czym należy wskazać, że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sposób raportowania oraz zakres przekazywanych informacji będzie analogiczny do przewidzianego obecnie w stosunku do rachunków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raportowanych i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nieudokumentowanych. </w:t>
      </w:r>
    </w:p>
    <w:p w:rsidR="00E225E1" w:rsidRPr="003072CD" w:rsidRDefault="00E225E1" w:rsidP="003072CD">
      <w:pPr>
        <w:pStyle w:val="Akapitzlist"/>
        <w:numPr>
          <w:ilvl w:val="0"/>
          <w:numId w:val="36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Obowiązek weryfikacji rachunków istniejących</w:t>
      </w:r>
    </w:p>
    <w:p w:rsidR="00CD6EAA" w:rsidRPr="003072CD" w:rsidRDefault="009E2C05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Przepis 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7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wprowadza obowiązek ponownej identyfikacji </w:t>
      </w:r>
      <w:r w:rsidR="002132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posiadacza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rachunk</w:t>
      </w:r>
      <w:r w:rsidR="002132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przypadku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gdy ta</w:t>
      </w:r>
      <w:r w:rsidR="0021322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ka identyfikacja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został</w:t>
      </w:r>
      <w:r w:rsidR="0098500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uprzednio dokonana na podstawie art. 50 ust. 2</w:t>
      </w:r>
      <w:r w:rsidR="00D64BA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 jednocześnie przy </w:t>
      </w:r>
      <w:r w:rsidR="0006214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tej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identyfikacji instytucja finansowa nie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 xml:space="preserve">uwzględniła 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przesłanki 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rezydencji podatkowej posiadacza rachunku. Wskazany artykuł odczytywać należy w kontekście proponowanej nowelizacji art. 50 ust. 2 ustawy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która wprowadza obowiązek uwzględniania rezydencji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podatkowej przy stosowaniu tzw. </w:t>
      </w:r>
      <w:r w:rsidR="00E225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wyszukania elektronicznego.</w:t>
      </w:r>
    </w:p>
    <w:p w:rsidR="00E225E1" w:rsidRPr="003072CD" w:rsidRDefault="00E225E1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Jeżeli raportująca instytucja finansowa faktycznie dokon</w:t>
      </w:r>
      <w:r w:rsidR="005B4E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ała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wyszukania elektronicznego z uwzględnieniem kryterium rezydencji podatkowej posiadacza rachunku lub potwierdziła rezydencję podatkową posiadacza rachunku na podstawie oświadczenia o rezydencji podatkowej</w:t>
      </w:r>
      <w:r w:rsidR="009956A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będzie zobowiązana </w:t>
      </w:r>
      <w:r w:rsidR="009D792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ponownie dokonać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takiego wyszukania (art.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7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ust. 2).</w:t>
      </w:r>
    </w:p>
    <w:p w:rsidR="00E225E1" w:rsidRPr="003072CD" w:rsidRDefault="00E225E1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Zgodnie z 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8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raportujące instytucje finansowe w terminie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od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dnia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stycznia 2020 r.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 dnia 3</w:t>
      </w:r>
      <w:r w:rsidR="005B4E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marca 2020 r. </w:t>
      </w:r>
      <w:r w:rsidR="00C25AB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będą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obowiązane dokonać raportowania rachunków zidentyfikowanych w oparciu o art. </w:t>
      </w:r>
      <w:r w:rsidR="007D188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7 </w:t>
      </w:r>
      <w:r w:rsidR="005B4E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projektu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(tj. w oparciu o wyszukanie elektroniczne z uwzględnieniem 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przesłank</w:t>
      </w:r>
      <w:r w:rsidR="005B4E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rezydencji podatkowej), chyba że w wyniku ponownej identyfikacji 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dokonanej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na podstawie </w:t>
      </w:r>
      <w:r w:rsidR="0004750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ww.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artykułu rezydencja do celów podatkowych posiadacza rachunku nie uległa zmianie </w:t>
      </w:r>
      <w:r w:rsidR="005B4E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nie ustalono nieznanych dotychczas rezydencji podatkowych. Wprowadzenie takiego rozwiązania pozwoli istotnie zmniejszyć wolumen przesyłanych danych, tym samym odciążając podmioty objęte obowiązkiem </w:t>
      </w:r>
      <w:r w:rsidR="00B54D3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raportowania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071483" w:rsidRPr="003072CD" w:rsidRDefault="00071483" w:rsidP="003072CD">
      <w:pPr>
        <w:pStyle w:val="Akapitzlist"/>
        <w:keepNext/>
        <w:numPr>
          <w:ilvl w:val="0"/>
          <w:numId w:val="19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Zmiany w zakresie raportowania według krajów</w:t>
      </w:r>
      <w:r w:rsidR="00916902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(art. 1 pkt 1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5</w:t>
      </w:r>
      <w:r w:rsidR="003072CD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–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2</w:t>
      </w:r>
      <w:r w:rsidR="00916902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1 projektu)</w:t>
      </w:r>
    </w:p>
    <w:p w:rsidR="00071483" w:rsidRPr="003072CD" w:rsidRDefault="00071483" w:rsidP="003072CD">
      <w:pPr>
        <w:pStyle w:val="Akapitzlist"/>
        <w:keepNext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Definicja grupy podmiotów 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(art. 1 pkt 1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5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projektu) </w:t>
      </w:r>
    </w:p>
    <w:p w:rsidR="00CA66EB" w:rsidRPr="003072CD" w:rsidRDefault="00CA66EB" w:rsidP="003072CD">
      <w:pPr>
        <w:pStyle w:val="Akapitzlist"/>
        <w:keepNext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Zmiana definicji grupy podmiotów (art. 82 ustawy) zakłada odejście od odwoływania się do przepisów o rachunkowości. Dotychczasowe brzmienie przepisu określało grupę podmiotów jako grupę kapitałową w rozumieniu przep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isów o rachunkowości. Zgodnie 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art. 3 ust. 1 pkt 44 ustawy z dnia 29 września 1994 r.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 rachunkowości (Dz. U. z 2018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r. poz. 395, z </w:t>
      </w:r>
      <w:proofErr w:type="spellStart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zm.), jako grupę kapitałową rozumie się jednostkę dominującą wraz z jednostkami zależnymi.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Odwoływanie się do przepisów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rachunkowości skutkowało wątpliwościami, który podmiot powinien być zobligowany do składania informacji o grupie podmiotów w przypadku konsolidacji występującej na co najmniej dwóch poziomach. Ustawa o rachunkowości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wskazując na pojęcie „jednostki”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stanowi, że jednostka ma siedzibę lub miejsce sprawowania zarządu na terytorium Rzeczypospolitej Polskiej (art. 3 ust. 1 pkt 1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 zw. z art. 2 ust. 1 ustawy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rachunkowości). Powodowało to wątpliwości, k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tóry podmiot, w przypadku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gdy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Polsce znajduje się jednostka dominująca jednocześnie sama będąca podmiotem zależnym wobec jednostki dominującej znajdującej się za granicą, jest obowiązany do składania </w:t>
      </w:r>
      <w:r w:rsidR="009E2C0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informacji o grupie podmiotów (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CBC-R</w:t>
      </w:r>
      <w:r w:rsidR="009E2C0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)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Zgodnie z celem przepisu polska jednostka, jak i jej spółki zależne, w powiadomieniu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powinny wskazywać jednostkę dominującą mającą siedzibę lub zarząd za granicą. Wyłącznie ta jednostka jest obowiązana do złożeni</w:t>
      </w:r>
      <w:r w:rsidR="00E87B0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CBC-R (według terminologii dyrektywy 2016/881: jednostka dominująca najwyższego szczebla; według terminologii ustawy o wymianie informacji podatkowych z innymi państwami: jednostka dominująca).</w:t>
      </w:r>
    </w:p>
    <w:p w:rsidR="00CA66EB" w:rsidRPr="003072CD" w:rsidRDefault="00CA66EB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Zmiana w zakresie art. 82</w:t>
      </w:r>
      <w:r w:rsidR="002D1BC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pozwala również na usunięcie mogących występować wątpliwości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zakresie</w:t>
      </w:r>
      <w:r w:rsidR="00F571C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przeliczania kursów walut. W przypadku gdy odmienne zasady przeliczania walut stosowała jednostka dominująca, a odmienne jednostki zależne m</w:t>
      </w:r>
      <w:r w:rsidR="0062307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iały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rezydencję w Polsce, mogło dochodzić do s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ytuacji, że przychody liczone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państwie jednostki dominującej nie przekraczały 750 000 000 euro, zaś przekraczały wskazany próg po przeliczeniu na </w:t>
      </w:r>
      <w:r w:rsidR="009E2C0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złote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W konsekwencji nie było w pełni jednoznaczne, czy jednostki zależne mające rezydencję w Polsce obowiązane były składać w Polsce </w:t>
      </w:r>
      <w:r w:rsidR="002E379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br/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C-R w ramach raportowania krajowego. Zmiana w zakresie przeliczania walut, poprzez odwołanie się do sposobu kalkulacji przyjętego w państwie jednostki dominującej, ma na celu wyeliminowanie wspomnianych niejasności. Dla oceny, czy grupa podmiotów przekracza próg przychodowy 750 000 000 euro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znaczenie ma wyłącznie przeliczenie wspomnianej kwoty na euro </w:t>
      </w:r>
      <w:r w:rsidR="002E379C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zgodnie z zasadami przyjętymi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państwie rezydencji podmiotu dominującego. </w:t>
      </w:r>
    </w:p>
    <w:p w:rsidR="00CA66EB" w:rsidRPr="003072CD" w:rsidRDefault="00CA66EB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Określono także sposób kalkulacji kwoty progowej w przypadku, gdy rok obrotowy obejmuje okres inny niż 12 miesięcy. </w:t>
      </w:r>
    </w:p>
    <w:p w:rsidR="00CA66EB" w:rsidRPr="003072CD" w:rsidRDefault="00CA66EB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Ponadto obok kwoty progowej w euro określona została równowartość wskazanej kwoty w złotych polskich w wysokości 3 250 000 000 zł. Określona kwota w złotych polskich wynika z załącznika III, sekcji I, pkt 4 dyrektywy 2016/881. Zgodnie ze wskazaną regulacją dyrektywy 2016/881 kwota 750 000 000 euro powinna zostać przeliczona według kursu ze stycznia </w:t>
      </w:r>
      <w:r w:rsidR="009D792C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2015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r.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Definicja grupy podmiotów (art. 82 ust. 1 pkt 1 lit. a) została uzupełniona o warunek hipotetycznego notowania na rynku regulowanym (ang. </w:t>
      </w:r>
      <w:proofErr w:type="spellStart"/>
      <w:r w:rsidRPr="0062307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deemed</w:t>
      </w:r>
      <w:proofErr w:type="spellEnd"/>
      <w:r w:rsidRPr="0062307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 xml:space="preserve"> listing </w:t>
      </w:r>
      <w:proofErr w:type="spellStart"/>
      <w:r w:rsidRPr="0062307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provis</w:t>
      </w:r>
      <w:r w:rsidR="00C477D8" w:rsidRPr="0062307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i</w:t>
      </w:r>
      <w:r w:rsidRPr="00623078">
        <w:rPr>
          <w:rFonts w:ascii="Times New Roman" w:hAnsi="Times New Roman" w:cs="Times New Roman"/>
          <w:i/>
          <w:color w:val="000000" w:themeColor="text1"/>
          <w:sz w:val="24"/>
          <w:szCs w:val="24"/>
          <w:lang w:val="pl-PL"/>
        </w:rPr>
        <w:t>on</w:t>
      </w:r>
      <w:proofErr w:type="spellEnd"/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). Wskazany warunek, w świetle dyrektywy 2016/881, jest przewidziany dla trzech przypadków: dla definicji grupy podmiotów, jednostki dominującej oraz jednostki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wchodzącej w skład grupy. Nowelizacja uzupeł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nia definicję grupy podmiotów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wskazany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powyżej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warunek. Zgodnie z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ałącznikiem III, sekcja I, pkt 1 dyrektywy 2016/881, termin „grupa” oznacza grupę przedsiębiorstw, pomiędzy którymi istnieją powiązania właścicielskie lub relacje kontroli, w związku z czym grupa ta ma obowiązek sporządzać „skonsolidowane sprawozdania finansowe” do celów sprawozdawczości finansowej zgodnie z obowiązującymi zasadami rachunkowości lub miałaby taki obowiązek, gdyby udziały kapitałowe w którymkolwiek z należących do niej przedsiębiorstw były przedmiotem obrotu na rynku regulowanym. Wprowadzana zmiana poszerza zakres definicji grupy podmiotów. Ponadto dzięki wprowadzanej nowelizacji spójne stają się definicje jednostki dominującej oraz jednostki wchodzącej w skład grupy, ponieważ w przypadku tych definicji warunek hipotetycznego notowania na rynku regulowanym istniał wcześniej.</w:t>
      </w:r>
    </w:p>
    <w:p w:rsidR="00071483" w:rsidRPr="003072CD" w:rsidRDefault="00071483" w:rsidP="003072CD">
      <w:pPr>
        <w:pStyle w:val="Akapitzlist"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Przesyłanie informacji o grupie podmiotów oraz powiadomień drogą elektroniczną 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(art. 1 pkt 1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6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i pkt 1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8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lit. b projektu)</w:t>
      </w:r>
    </w:p>
    <w:p w:rsidR="00071483" w:rsidRPr="003072CD" w:rsidRDefault="0007148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przepisie art. 83 ust</w:t>
      </w:r>
      <w:r w:rsidR="00B443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1 </w:t>
      </w:r>
      <w:r w:rsidR="004175B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ustawy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doprecyzow</w:t>
      </w:r>
      <w:r w:rsidR="00B443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ano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jakimi środkami komunikacji elektronicznej</w:t>
      </w:r>
      <w:r w:rsidR="00B443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jednostki zobowiązane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przesyła</w:t>
      </w:r>
      <w:r w:rsidR="00B4434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ją</w:t>
      </w:r>
      <w:r w:rsidR="000B3BA5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informacje o grupie podmiotów. Uszczegółowienie w tym zakresie ma na celu wyjaśnienie wątpliwości powstałych na bazie funkcjonowania dotychczasowych przepisów.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071483" w:rsidRPr="003072CD" w:rsidRDefault="0007148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Przepisem art. 86 ust. 2 </w:t>
      </w:r>
      <w:r w:rsidR="002D1BC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ustawy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doprecyzowuje się spo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soby przesyłania powiadomień,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których mowa w art. 86 ust.</w:t>
      </w:r>
      <w:r w:rsidR="002D1BC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1 ustawy. Przyjęte roz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wiązanie jest analogiczne jak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przypadku przesyłanych informacji o grupie podmiotów. </w:t>
      </w:r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Jednocześnie w przepisie tym zaproponowano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odejście od dotychczasowego s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posobu przesyłania informacji 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formie papierowej. Tym samym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zbędne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jest określanie </w:t>
      </w:r>
      <w:r w:rsidR="00F7727B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wzoru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powiadomienia przez </w:t>
      </w:r>
      <w:r w:rsidR="004175B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ministra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właściwego do spraw finansów publicznych w drodze rozporządzenia</w:t>
      </w:r>
      <w:r w:rsidR="00CD6EA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</w:p>
    <w:p w:rsidR="002E7209" w:rsidRPr="003072CD" w:rsidRDefault="002E7209" w:rsidP="003072CD">
      <w:pPr>
        <w:pStyle w:val="Akapitzlist"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Raportowanie zastępcze (art. 1 pkt 1</w:t>
      </w:r>
      <w:r w:rsidR="004175BA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7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projektu)</w:t>
      </w:r>
    </w:p>
    <w:p w:rsidR="002E7209" w:rsidRPr="003072CD" w:rsidRDefault="002E7209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Ze względu na możliwe niejasności w dotychczasowym brz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mieniu art. 84 ust. 2 pkt 2 lit.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 </w:t>
      </w:r>
      <w:r w:rsidR="004175B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uszczegółowiony został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wspomniany przepis</w:t>
      </w:r>
      <w:r w:rsidR="003F235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mając na uwadze fakultatywne składanie raportów w państwach lub terytoriach spoza UE. Fakultatywne składanie raportów może mieć miejsce wówczas, gdy w określonym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państwie obowiązują przepisy o raportowaniu według krajów, lecz państwo to nie przewiduje obowiązku złożenia raportu dla okresu sprawozdawczego, za który dany podmiot składa raport.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2E7209" w:rsidRPr="003072CD" w:rsidRDefault="002E7209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 xml:space="preserve">Przepis zostaje uzupełniony poprzez dodanie alternatywnej przesłanki, którą może spełnić grupa podmiotów zainteresowana raportowaniem zastępczym. Wymogi określone w polskich przepisach </w:t>
      </w:r>
      <w:r w:rsidR="004175BA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zostaną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spełnione, g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dy grupa podmiotów zadecyduje o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złożeniu raportu w państwie, gdzie złożenie raportu jest fakultatywne oraz państwo to ma obowiązek przekazania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złożonego raportu do Polski. Obowiązek przekazania raportu do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polskiego organu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może wynikać z aktów prawa międzynarodowego. Zmiana doprecyzowuje istniejącą regulację.</w:t>
      </w:r>
    </w:p>
    <w:p w:rsidR="002E7209" w:rsidRPr="003072CD" w:rsidRDefault="002E7209" w:rsidP="003072CD">
      <w:pPr>
        <w:pStyle w:val="Akapitzlist"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Zmiana terminu na złożenie powiadomienia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7C1F4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(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art. 1 pkt 1</w:t>
      </w:r>
      <w:r w:rsidR="004175BA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8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lit. a projektu</w:t>
      </w:r>
      <w:r w:rsidR="007C1F47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)</w:t>
      </w:r>
    </w:p>
    <w:p w:rsidR="00CA66EB" w:rsidRPr="003072CD" w:rsidRDefault="002E7209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art. 86 ust. 1 ustawy umożliwiono jednostkom wchodzącym w skład grupy podmiotów złożenie powiadomienia </w:t>
      </w:r>
      <w:r w:rsidR="001075C0" w:rsidRPr="003072C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w terminie trzech miesięcy od dnia zakończenia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sprawozdawczego roku obrotowego danej grupy podmiotów.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Wydłużony termin umożliwi jednostkom zobowiązanym do składania powiadomienia rzetelne wyliczenie wysokości skonsolidowanych przychodów danej grupy podmiotów. </w:t>
      </w:r>
    </w:p>
    <w:p w:rsidR="002E7209" w:rsidRPr="003072CD" w:rsidRDefault="002E7209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Przyjęte rozwiązanie jest analogiczne do </w:t>
      </w:r>
      <w:r w:rsidR="001075C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zasady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funkcjonującej w ustawie o podatku dochodowym od osób prawnych, zgodnie z którą podatnicy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są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obowiązani składać zeznanie podatkowe</w:t>
      </w:r>
      <w:r w:rsidRPr="003072C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o wysokości dochodu osiągniętego (straty poniesionej) w roku podatkowym </w:t>
      </w:r>
      <w:r w:rsidR="003072CD" w:rsidRPr="003072CD">
        <w:rPr>
          <w:rFonts w:ascii="Times New Roman" w:hAnsi="Times New Roman" w:cs="Times New Roman"/>
          <w:color w:val="000000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do końca trzeciego miesiąca roku następnego.</w:t>
      </w:r>
    </w:p>
    <w:p w:rsidR="002E7209" w:rsidRPr="003072CD" w:rsidRDefault="002E7209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Ponadto możliwość wydłużenia terminu wynika wprost z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przepisów </w:t>
      </w:r>
      <w:r w:rsidRPr="003072CD">
        <w:rPr>
          <w:rFonts w:ascii="Times New Roman" w:hAnsi="Times New Roman" w:cs="Times New Roman"/>
          <w:bCs/>
          <w:sz w:val="24"/>
          <w:szCs w:val="24"/>
          <w:lang w:val="pl-PL"/>
        </w:rPr>
        <w:t>dyrektywy 2016/881.</w:t>
      </w:r>
    </w:p>
    <w:p w:rsidR="00071483" w:rsidRPr="003072CD" w:rsidRDefault="00071483" w:rsidP="003072CD">
      <w:pPr>
        <w:pStyle w:val="Akapitzlist"/>
        <w:numPr>
          <w:ilvl w:val="0"/>
          <w:numId w:val="20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Język składania informacji dodatkowej oraz wyjaśnień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(art. 1 pkt 1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9</w:t>
      </w:r>
      <w:r w:rsidR="002E7209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projektu)</w:t>
      </w:r>
    </w:p>
    <w:p w:rsidR="00071483" w:rsidRPr="003072CD" w:rsidRDefault="001075C0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Informacje o grupie podmiotów podlegają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zgodnie z art. 88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przekazaniu do innych państw lub terytoriów, w których znajduje się co najmniej jedna jednostka wchodząca w skład grupy podmiotów. Ustawa z dnia 7 października 1999 r. o języku polskim (Dz. U.</w:t>
      </w:r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2018 r. poz. 931</w:t>
      </w:r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</w:t>
      </w:r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="007C6EB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zm.) ustanawia zasadę, zgodnie z którą językiem urzędowym jest język polski. Ustawa stwierdza również, że odejście od tej reguły powinno następować jedynie w wyjątkowych i uzasadnionych sytuacjach. </w:t>
      </w:r>
    </w:p>
    <w:p w:rsidR="00071483" w:rsidRPr="003072CD" w:rsidRDefault="007C08FF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Obowiązek przekazywania </w:t>
      </w:r>
      <w:r w:rsidR="009D792C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CBC</w:t>
      </w:r>
      <w:r w:rsidR="00071483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-R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między państwami w języku angielskim został nałożony przez prawo UE. Zgodnie z art. 1 pkt 2 </w:t>
      </w:r>
      <w:r w:rsidR="007C6EBD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>r</w:t>
      </w:r>
      <w:r w:rsidR="00071483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 xml:space="preserve">ozporządzenia wykonawczego Komisji (UE) 2016/1963 z dnia 9 listopada 2016 r. zmieniającego rozporządzenie wykonawcze (UE) 2015/2378 w odniesieniu do standardowych formularzy i ustaleń językowych stosowanych w związku z dyrektywami Rady (UE) 2015/2376 i (UE) </w:t>
      </w:r>
      <w:r w:rsidR="00071483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lastRenderedPageBreak/>
        <w:t>2016/881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:</w:t>
      </w:r>
      <w:r w:rsidR="00071483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 xml:space="preserve"> 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„</w:t>
      </w:r>
      <w:r w:rsidR="00071483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>Najistotniejszymi elementami, o których mowa w art. 20 ust. 6 dyrektywy 2011/16/UE, są informacje lub wyjaśnienia zawarte w sekcji III tabela 3 w załączniku III do tej dyrektywy i te najistotniejsze elementy przekazuje się również w języku angielskim, z wyjątkiem sytuacji</w:t>
      </w:r>
      <w:r w:rsidR="00A17A31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>,</w:t>
      </w:r>
      <w:r w:rsidR="00071483" w:rsidRPr="003072CD">
        <w:rPr>
          <w:rFonts w:ascii="Times New Roman" w:hAnsi="Times New Roman" w:cs="Times New Roman"/>
          <w:iCs/>
          <w:color w:val="000000" w:themeColor="text1"/>
          <w:sz w:val="24"/>
          <w:szCs w:val="24"/>
          <w:lang w:val="pl-PL"/>
        </w:rPr>
        <w:t xml:space="preserve"> gdy wysyłające państwo członkowskie i wszystkie inne państwa członkowskie, do których informacje są wysyłane na podstawie art. 8aa ust. 2 dyrektywy 2011/16/UE, uzgodniły stosowanie innego języka urzędowego Unii”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W konsekwencji art. 87 ust. 1a ustanawia obowiązek składania dodatkowych informacji lub wyjaśnień w języku polskim oraz angielskim. </w:t>
      </w:r>
    </w:p>
    <w:p w:rsidR="00071483" w:rsidRPr="003072CD" w:rsidRDefault="0007148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Biorąc pod uwagę, że odejście od reguły określonej w ustawie o języku polskim powinno następować jedynie w wyjątkowych i uzasadnionych sytuacjach, należy zaznaczyć, że w przypadku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informacji o grupie podmiotów</w:t>
      </w:r>
      <w:r w:rsidR="009543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praw</w:t>
      </w:r>
      <w:r w:rsidR="00E615F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Unii Europejskiej</w:t>
      </w:r>
      <w:r w:rsidR="00E615F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nakłada na Polskę obowiązek przekazywania danych w języku angielskim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Ponadto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biorąc pod uwagę specyfikę funkcjonowania grup kapitałowych, do których stosuje się wymogi </w:t>
      </w:r>
      <w:r w:rsidR="008D53B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raportowania według krajów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8D53B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zasadne wydaje się założenie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że podmioty te dysponują właściwymi informacjami w języku angielskim. </w:t>
      </w:r>
    </w:p>
    <w:p w:rsidR="0071067F" w:rsidRPr="003072CD" w:rsidRDefault="0071067F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przypadku gdyby Polska oraz wszystkie inne państwa członkowskie uzgodniły stosowanie innego języka urzędowego Unii Europejskiej w celu wysyłania informacji na podstawie art. 8aa ust. 2 dyrektywy 2011/16/UE, składanie informacji oraz wyjaśnień będzie możliwe w innym języku niż język polski oraz język angielski po wprowadzeniu zmian do polskich przepisów.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2E7209" w:rsidRPr="003072CD" w:rsidRDefault="002E7209" w:rsidP="003072CD">
      <w:pPr>
        <w:pStyle w:val="Akapitzlist"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Możliwość korygowania złożonych </w:t>
      </w:r>
      <w:r w:rsidR="00086D3F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informacji o grupie podmiotów i 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powiadomień, możliwość wzywania przez organ podatkowy do składania wyjaśnień oraz możliwość przeprowadzania kontroli </w:t>
      </w:r>
      <w:r w:rsidR="00856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oraz </w:t>
      </w:r>
      <w:r w:rsidR="009D792C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forma udzielenia </w:t>
      </w:r>
      <w:r w:rsidR="00856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pełnomocnictw</w:t>
      </w:r>
      <w:r w:rsidR="009D792C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a</w:t>
      </w:r>
      <w:r w:rsidR="00856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(art. 1 pkt </w:t>
      </w:r>
      <w:r w:rsidR="00E522D0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20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projektu)</w:t>
      </w:r>
    </w:p>
    <w:p w:rsidR="002E7209" w:rsidRPr="003072CD" w:rsidRDefault="002E7209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świetle wprowadzanego przepisu art. 87a Szef </w:t>
      </w:r>
      <w:r w:rsidR="000F13C4" w:rsidRPr="003072C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Krajowej Administracji Skarbowej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jest upraw</w:t>
      </w:r>
      <w:r w:rsidR="002930D0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n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iony do przeprowadzania kontrol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 w zakresie wywiązywania się 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obowiązków określonych w dziale V ustawy. Celem wprowadzanego przepisu jest uzupełnienie katalogu środków, które mają na celu zapewnienie skuteczności funkcjonowania przepisów o raportowaniu według krajów. Przepis o możliwości przeprowadzenia kontroli jest konstrukcją analogiczną do obowiązującej na gruncie regulacji</w:t>
      </w:r>
      <w:r w:rsidR="00D5107E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dotyczącej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FATCA oraz raportowania dla celów automatycznej wymiany informacji podatkowych.</w:t>
      </w:r>
    </w:p>
    <w:p w:rsidR="00F75D2C" w:rsidRPr="003072CD" w:rsidRDefault="002E7209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Przepisy art. 87b ustawy określają przypadki, dla których jednostka raportująca może skorygować uprzednio złożoną informację o grupie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podmiotów lub powiadomienie. Z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kolei </w:t>
      </w:r>
      <w:r w:rsidR="00024A3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art. 87c wskazuje się, iż w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przypadku wystąpienia uchybień lub nieprawidłowości, których wyjaśnienie nie wymaga przeprowadzenia kontroli</w:t>
      </w:r>
      <w:r w:rsidR="00A17A31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jednostka wchodząca w skład grupy podmiotów, która złożyła informację o grupie podmiotów lub powiadomienie, </w:t>
      </w:r>
      <w:r w:rsidR="00F62AD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będzie</w:t>
      </w:r>
      <w:r w:rsidR="00F62AD7" w:rsidRPr="003072CD" w:rsidDel="00F62AD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obowiązana do udzielenia informacji Szefowi </w:t>
      </w:r>
      <w:r w:rsidR="000F13C4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Krajowej Administracji Skarbowej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niezbędnych do ich wyjaśnienia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Rozwiązanie to jest analogiczne do funkcjonującego obecnie w art. 71 ustawy.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Ponadto ustawa zostaje uzupełniona o art. 87d</w:t>
      </w:r>
      <w:r w:rsidR="00D5107E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, który dopuszcza możliwość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stosowania pełnomocnictwa uregulowanego w Ordynacj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i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podatkowej </w:t>
      </w:r>
      <w:r w:rsidR="00086D3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do składania infromacji o 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grupie podmiotów oraz powiadomień. Dotychczas ze względu na brak odesłania do Ordynacj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i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podatkowej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nie było jasne, czy zasadne jest posługiwanie się pełnomocnictwem w takiej formie.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Zgodnie z wprowadzanym przepisem art. 87d, pełnomocnictwo do podpisywania deklaracji składanej za pomocą środków komunikacji </w:t>
      </w:r>
      <w:r w:rsidR="00086D3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elektronicznej, o którym mowa w 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dziale III rozdziale 9a 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Ordynacji podatkowej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, obejmuje również upoważnienie do podpisania informacji o grupie podmiotów i powiadomień, o których mowa w art. 86 ust. 1. W myśl projektowanej regulacji, jeśli dany pełnomocnik został upoważniony do podpisywania deklaracji składanej za pomocą środków komunikacji elektronicznej, będzie to równoznaczne z udzieleniem pełnomocni</w:t>
      </w:r>
      <w:r w:rsidR="00A17A3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c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t</w:t>
      </w:r>
      <w:r w:rsidR="00086D3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wa do podpisywania informacji o 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grupie podmiotów oraz powiadomień. W konsekwencji nie jest wymagane udzielanie osobnego pełnomocnictwa </w:t>
      </w:r>
      <w:r w:rsidR="00A17A3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na</w:t>
      </w:r>
      <w:r w:rsidR="00A17A3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potrzeb</w:t>
      </w:r>
      <w:r w:rsidR="00A17A3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y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wywiązania się z omawianych obowiązków.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Biorąc pod uwagę charakter czynności, które dotychczas wchodziły w zakres umocowania pełnomocnictwa do podpisywania deklaracji składanej za pomocą środków elektronicznych, nie uznaje się za celowe tworzenie odrębnej instytucji prawnej w tym zakresie. Informacja o grupie podmiotów oraz powiadomienie nie spełniają definicji deklaracji w rozumieniu art. 3 pkt 5 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Ordynacji podatkowej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z tego powodu, że nie są składane przez podmioty działające jako podatnicy, płatnicy lub inkasenci. Obowiązki na gruncie ustawy o wymianie informacji podatkowych z innymi państwami </w:t>
      </w:r>
      <w:r w:rsidR="00C31916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są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oderwane od podmiotowości prawnopodatkowej. Jednak jest to rodzaj obowiązków o charakterze tożsamym ze składaniem deklaracji podatkowych.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lastRenderedPageBreak/>
        <w:t xml:space="preserve">W zakresie regulacji pełnomocnictwa </w:t>
      </w:r>
      <w:r w:rsidR="00C31916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w art. 13 projektu ustawy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przewiduje </w:t>
      </w:r>
      <w:r w:rsidR="00A17A3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się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przepis przejściowy. Pełnomocnictwo do podpisywania deklaracji składanej za pomocą środków komunikacji elektronicznej, o którym mowa w przepisach działu III rozdziału 9a </w:t>
      </w:r>
      <w:r w:rsidR="002D1BC1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Ordynacji podatkowej</w:t>
      </w:r>
      <w:r w:rsidR="00954338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udzielone przed </w:t>
      </w:r>
      <w:r w:rsidR="00D5107E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dniem 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wejści</w:t>
      </w:r>
      <w:r w:rsidR="00D5107E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a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w życie ustawy obejmuje również upoważnienie do </w:t>
      </w:r>
      <w:r w:rsidR="00D5107E"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podpisywania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informacji o grupie podmiotów i powiadomień. </w:t>
      </w:r>
    </w:p>
    <w:p w:rsidR="00640004" w:rsidRPr="003072CD" w:rsidRDefault="00640004" w:rsidP="003072CD">
      <w:pPr>
        <w:spacing w:before="120" w:after="0" w:line="36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Należy podkreślić, że zmiana w zakresie pełnomocnictwa ma charakter doprecyzowujący, gdyż do tej pory budziło wątpliwości</w:t>
      </w:r>
      <w:r w:rsidR="00A17A3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 w jakiej formie prawnej powinno mieć miejsce umocowanie pełnomocnika w </w:t>
      </w:r>
      <w:r w:rsidR="00086D3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>zakresie składania informacji o </w:t>
      </w:r>
      <w:r w:rsidRPr="003072C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</w:rPr>
        <w:t xml:space="preserve">grupie podmiotów oraz powiadomień. </w:t>
      </w:r>
    </w:p>
    <w:p w:rsidR="00F75D2C" w:rsidRPr="003072CD" w:rsidRDefault="00F75D2C" w:rsidP="003072CD">
      <w:pPr>
        <w:pStyle w:val="Akapitzlist"/>
        <w:keepNext/>
        <w:keepLines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pl-PL"/>
        </w:rPr>
        <w:t xml:space="preserve">Kary administracyjne (art. 1 pkt </w:t>
      </w:r>
      <w:r w:rsidR="00E522D0" w:rsidRPr="003072C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pl-PL"/>
        </w:rPr>
        <w:t>2</w:t>
      </w:r>
      <w:r w:rsidRPr="003072C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pl-PL"/>
        </w:rPr>
        <w:t xml:space="preserve">1 projektu) </w:t>
      </w:r>
    </w:p>
    <w:p w:rsidR="002E7209" w:rsidRPr="003072CD" w:rsidRDefault="002E7209" w:rsidP="003072CD">
      <w:pPr>
        <w:keepNext/>
        <w:keepLines/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Doprecyzowanie w zakresie art. 90 ma na celu uniknięcie wątpliwości, że sankcji podlega nie tylko niezłożenie CBC-R lub CBC-P, ale także złożenie z nieprawidłowymi danymi lub złożenie dokumentu niekompletnego. O złożeniu powiadomienia lub informacji o grupie podmiotów można mówić wyłącznie wówczas, gdy zostają one wypełnione prawidłowymi danymi. Wskazanie w art. 90 ust. 1 pkt 1 dodatkowo art. 85 ma na celu doprecyzowanie, że organ będzie badać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czy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="001F38E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 przypadku składania zastępczego raportu przez podmiot krajowy</w:t>
      </w:r>
      <w:r w:rsidR="001F38EF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podmiot ten zawarł w CBC-R wszystkie dane, do których miał dostęp. </w:t>
      </w:r>
    </w:p>
    <w:p w:rsidR="001C70D6" w:rsidRPr="003072CD" w:rsidRDefault="001C70D6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Zgodnie z art. 91 ust. 5 ustawy, postępowanie w sprawie nałożenia kary pieniężnej toczy się na podstawie przepisów ustawy z dnia 14 czerwca 1960 r. – Kodeks postępowania administracyjnego (Dz.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U. z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2018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r. poz. </w:t>
      </w:r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2096, z </w:t>
      </w:r>
      <w:proofErr w:type="spellStart"/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późn</w:t>
      </w:r>
      <w:proofErr w:type="spellEnd"/>
      <w:r w:rsidR="00C3191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. zm.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). Należy podkreślić, że w przypadku kar administracyjnych obowiązuje zasada stosowania ustawy względniejszej dla strony. W myśl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art.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189c ustawy – Kodeks postępowania administracyjnego, </w:t>
      </w:r>
      <w:r w:rsidR="00504EC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j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eżeli w czasie wydawania decyzji w sprawie administracyjnej kary pieniężnej obowiązuje ustawa inna niż w czasie naruszenia prawa, w następstwie którego ma być nałożona kara, stosuje się ustawę nową, jednakże należy stosować ustawę obowiązującą poprzednio, jeżeli jest ona względniejsza dla strony. </w:t>
      </w:r>
    </w:p>
    <w:p w:rsidR="00071483" w:rsidRPr="003072CD" w:rsidRDefault="00071483" w:rsidP="003072CD">
      <w:pPr>
        <w:pStyle w:val="Akapitzlist"/>
        <w:numPr>
          <w:ilvl w:val="0"/>
          <w:numId w:val="20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Przepisy obowiązujące z mocą wsteczną</w:t>
      </w:r>
    </w:p>
    <w:p w:rsidR="00071483" w:rsidRPr="003072CD" w:rsidRDefault="00071483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Wprowadzane modyfikacje raportowania według krajów przewidują określenie dwóch regulacji, które zaczną obowiązywać z mocą wsteczną. </w:t>
      </w:r>
      <w:r w:rsidR="000F518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Przepis art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="000F5182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11 </w:t>
      </w:r>
      <w:r w:rsidR="009543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ustawy odnosi się do przepisu regulującego zmianę definicji grupy</w:t>
      </w:r>
      <w:r w:rsidR="004A05F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podmiotów</w:t>
      </w:r>
      <w:r w:rsidR="00F24B3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 </w:t>
      </w:r>
      <w:r w:rsidR="00975EE1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zakresie, której dotyczy wprowadzany art. 82 ust. 2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Z racji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tego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, że wprowadzane zmiany mają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na celu usunięcie wątpliwości co do sposobu przeliczania walut</w:t>
      </w:r>
      <w:r w:rsidR="001C09C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i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usuwają wątpliwości co do konsekwencji odmiennych zasad przeliczeń kursów w państwie jednostki dominującej oraz w państwach jednostek zastępczych, są rozwiązaniem działającym na korzyść podatnika. W konsekwencji celowe jest wprowadzenie obowiązywania omawianego przepisu dla podmiotów rozpoczynających sprawozdawczy rok obrotowy po dniu 31 grudnia 2017 r. </w:t>
      </w:r>
    </w:p>
    <w:p w:rsidR="00A45E30" w:rsidRPr="003072CD" w:rsidRDefault="000F5182" w:rsidP="003072CD">
      <w:pPr>
        <w:spacing w:before="12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Przepis art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.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12 </w:t>
      </w:r>
      <w:r w:rsidR="00954338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projektu 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ustawy 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do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tyczy przypadk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ów, kiedy złożenie informacji o 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grupie podmiotów w obcym państwie jest fakultatywne. Należy mieć na uwadze, że raporty w państwach, gdzie ich składanie jest fakultatywne</w:t>
      </w:r>
      <w:r w:rsidR="00A17A31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mogą być składane do końca 2018 r. Brak określenia mocy wstecznej przepisu art. 84 ust. 2 pkt 2 lit. a</w:t>
      </w:r>
      <w:r w:rsidR="002E7209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ustawy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mógłby prowadzić do uniemożliwienia podmiotom, które złożyły raporty w państwach, gdzie ich złożenie jest fakultatywne, spełnienie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polskich wymogów ustawowych. W 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konsekwencji jest to rozwiązanie </w:t>
      </w:r>
      <w:r w:rsidR="008D53B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korzystne dla</w:t>
      </w:r>
      <w:r w:rsidR="00071483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podatnika.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</w:t>
      </w:r>
    </w:p>
    <w:p w:rsidR="00CA2112" w:rsidRPr="003072CD" w:rsidRDefault="00CA2112" w:rsidP="003072CD">
      <w:pPr>
        <w:pStyle w:val="Akapitzlist"/>
        <w:keepNext/>
        <w:numPr>
          <w:ilvl w:val="0"/>
          <w:numId w:val="17"/>
        </w:numPr>
        <w:suppressAutoHyphens/>
        <w:spacing w:before="240" w:after="0" w:line="360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3072CD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Ustawa z dnia</w:t>
      </w:r>
      <w:r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 2</w:t>
      </w:r>
      <w:r w:rsidR="00471120"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9</w:t>
      </w:r>
      <w:r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 </w:t>
      </w:r>
      <w:r w:rsidR="00471120"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sierpnia</w:t>
      </w:r>
      <w:r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 </w:t>
      </w:r>
      <w:r w:rsidR="00471120"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1997</w:t>
      </w:r>
      <w:r w:rsidRPr="003072CD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 r. – Ordynacja podat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kowa </w:t>
      </w:r>
    </w:p>
    <w:p w:rsidR="00FF2A03" w:rsidRPr="003072CD" w:rsidRDefault="00FF2A03" w:rsidP="003072CD">
      <w:pPr>
        <w:pStyle w:val="ZUSTzmustartykuempunktem"/>
        <w:keepNext/>
        <w:spacing w:before="120"/>
        <w:ind w:left="0" w:firstLine="0"/>
        <w:rPr>
          <w:rFonts w:ascii="Times New Roman" w:hAnsi="Times New Roman" w:cs="Times New Roman"/>
          <w:b/>
          <w:color w:val="000000"/>
          <w:szCs w:val="24"/>
        </w:rPr>
      </w:pPr>
      <w:r w:rsidRPr="003072CD">
        <w:rPr>
          <w:rFonts w:ascii="Times New Roman" w:hAnsi="Times New Roman" w:cs="Times New Roman"/>
          <w:b/>
          <w:color w:val="000000"/>
          <w:szCs w:val="24"/>
        </w:rPr>
        <w:t>Interpretacje indywidualne</w:t>
      </w:r>
    </w:p>
    <w:p w:rsidR="00A4628D" w:rsidRPr="003072CD" w:rsidRDefault="00CA2112" w:rsidP="003072CD">
      <w:pPr>
        <w:pStyle w:val="ZUSTzmustartykuempunktem"/>
        <w:keepNext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3072CD">
        <w:rPr>
          <w:rFonts w:ascii="Times New Roman" w:hAnsi="Times New Roman" w:cs="Times New Roman"/>
          <w:szCs w:val="24"/>
        </w:rPr>
        <w:t xml:space="preserve">W art. 14b proponuje się dodanie </w:t>
      </w:r>
      <w:r w:rsidR="009F635D" w:rsidRPr="003072CD">
        <w:rPr>
          <w:rFonts w:ascii="Times New Roman" w:hAnsi="Times New Roman" w:cs="Times New Roman"/>
          <w:szCs w:val="24"/>
        </w:rPr>
        <w:t>§ 3a, któr</w:t>
      </w:r>
      <w:r w:rsidR="008435B4" w:rsidRPr="003072CD">
        <w:rPr>
          <w:rFonts w:ascii="Times New Roman" w:hAnsi="Times New Roman" w:cs="Times New Roman"/>
          <w:szCs w:val="24"/>
        </w:rPr>
        <w:t>y</w:t>
      </w:r>
      <w:r w:rsidR="009F635D" w:rsidRPr="003072CD">
        <w:rPr>
          <w:rFonts w:ascii="Times New Roman" w:hAnsi="Times New Roman" w:cs="Times New Roman"/>
          <w:szCs w:val="24"/>
        </w:rPr>
        <w:t xml:space="preserve"> będ</w:t>
      </w:r>
      <w:r w:rsidR="008435B4" w:rsidRPr="003072CD">
        <w:rPr>
          <w:rFonts w:ascii="Times New Roman" w:hAnsi="Times New Roman" w:cs="Times New Roman"/>
          <w:szCs w:val="24"/>
        </w:rPr>
        <w:t>zie</w:t>
      </w:r>
      <w:r w:rsidR="009F635D" w:rsidRPr="003072CD">
        <w:rPr>
          <w:rFonts w:ascii="Times New Roman" w:hAnsi="Times New Roman" w:cs="Times New Roman"/>
          <w:szCs w:val="24"/>
        </w:rPr>
        <w:t xml:space="preserve"> normowa</w:t>
      </w:r>
      <w:r w:rsidR="00A10FD7" w:rsidRPr="003072CD">
        <w:rPr>
          <w:rFonts w:ascii="Times New Roman" w:hAnsi="Times New Roman" w:cs="Times New Roman"/>
          <w:szCs w:val="24"/>
        </w:rPr>
        <w:t>ć</w:t>
      </w:r>
      <w:r w:rsidR="009F635D" w:rsidRPr="003072CD">
        <w:rPr>
          <w:rFonts w:ascii="Times New Roman" w:hAnsi="Times New Roman" w:cs="Times New Roman"/>
          <w:szCs w:val="24"/>
        </w:rPr>
        <w:t xml:space="preserve"> sytuacje, w których wnioskodawca występujący o wydanie interpreta</w:t>
      </w:r>
      <w:r w:rsidR="00D312CF" w:rsidRPr="003072CD">
        <w:rPr>
          <w:rFonts w:ascii="Times New Roman" w:hAnsi="Times New Roman" w:cs="Times New Roman"/>
          <w:szCs w:val="24"/>
        </w:rPr>
        <w:t>cji przepisów prawa podatkowego</w:t>
      </w:r>
      <w:r w:rsidR="009F635D" w:rsidRPr="003072CD">
        <w:rPr>
          <w:rFonts w:ascii="Times New Roman" w:hAnsi="Times New Roman" w:cs="Times New Roman"/>
          <w:szCs w:val="24"/>
        </w:rPr>
        <w:t xml:space="preserve"> </w:t>
      </w:r>
      <w:r w:rsidR="005624F2" w:rsidRPr="003072CD">
        <w:rPr>
          <w:rFonts w:ascii="Times New Roman" w:hAnsi="Times New Roman" w:cs="Times New Roman"/>
          <w:szCs w:val="24"/>
        </w:rPr>
        <w:t xml:space="preserve">będzie zobligowany do wskazania </w:t>
      </w:r>
      <w:r w:rsidR="000264A5" w:rsidRPr="003072CD">
        <w:rPr>
          <w:rFonts w:ascii="Times New Roman" w:hAnsi="Times New Roman" w:cs="Times New Roman"/>
          <w:szCs w:val="24"/>
        </w:rPr>
        <w:t xml:space="preserve">odpowiednio </w:t>
      </w:r>
      <w:r w:rsidR="000A442C" w:rsidRPr="003072CD">
        <w:rPr>
          <w:rFonts w:ascii="Times New Roman" w:hAnsi="Times New Roman" w:cs="Times New Roman"/>
          <w:szCs w:val="24"/>
        </w:rPr>
        <w:t>państwa</w:t>
      </w:r>
      <w:r w:rsidR="00465047" w:rsidRPr="003072CD">
        <w:rPr>
          <w:rFonts w:ascii="Times New Roman" w:hAnsi="Times New Roman" w:cs="Times New Roman"/>
          <w:szCs w:val="24"/>
        </w:rPr>
        <w:t xml:space="preserve"> lub terytorium</w:t>
      </w:r>
      <w:r w:rsidR="000A442C" w:rsidRPr="003072CD">
        <w:rPr>
          <w:rFonts w:ascii="Times New Roman" w:hAnsi="Times New Roman" w:cs="Times New Roman"/>
          <w:szCs w:val="24"/>
        </w:rPr>
        <w:t xml:space="preserve"> miejsca zamieszkania osoby fizycznej, </w:t>
      </w:r>
      <w:r w:rsidR="005624F2" w:rsidRPr="003072CD">
        <w:rPr>
          <w:rFonts w:ascii="Times New Roman" w:hAnsi="Times New Roman" w:cs="Times New Roman"/>
          <w:szCs w:val="24"/>
        </w:rPr>
        <w:t>danych identyfikujących osobę prawną lub jednostkę organizacyjną niemającą osobo</w:t>
      </w:r>
      <w:r w:rsidR="000264A5" w:rsidRPr="003072CD">
        <w:rPr>
          <w:rFonts w:ascii="Times New Roman" w:hAnsi="Times New Roman" w:cs="Times New Roman"/>
          <w:szCs w:val="24"/>
        </w:rPr>
        <w:t>wości prawnej</w:t>
      </w:r>
      <w:r w:rsidR="00A10FD7" w:rsidRPr="003072CD">
        <w:rPr>
          <w:rFonts w:ascii="Times New Roman" w:hAnsi="Times New Roman" w:cs="Times New Roman"/>
          <w:szCs w:val="24"/>
        </w:rPr>
        <w:t xml:space="preserve"> </w:t>
      </w:r>
      <w:r w:rsidR="000264A5" w:rsidRPr="003072CD">
        <w:rPr>
          <w:rFonts w:ascii="Times New Roman" w:hAnsi="Times New Roman" w:cs="Times New Roman"/>
          <w:szCs w:val="24"/>
        </w:rPr>
        <w:t xml:space="preserve">lub </w:t>
      </w:r>
      <w:r w:rsidR="005624F2" w:rsidRPr="003072CD">
        <w:rPr>
          <w:rFonts w:ascii="Times New Roman" w:hAnsi="Times New Roman" w:cs="Times New Roman"/>
          <w:szCs w:val="24"/>
        </w:rPr>
        <w:t>państw</w:t>
      </w:r>
      <w:r w:rsidR="00465047" w:rsidRPr="003072CD">
        <w:rPr>
          <w:rFonts w:ascii="Times New Roman" w:hAnsi="Times New Roman" w:cs="Times New Roman"/>
          <w:szCs w:val="24"/>
        </w:rPr>
        <w:t>/</w:t>
      </w:r>
      <w:r w:rsidR="005624F2" w:rsidRPr="003072CD">
        <w:rPr>
          <w:rFonts w:ascii="Times New Roman" w:hAnsi="Times New Roman" w:cs="Times New Roman"/>
          <w:szCs w:val="24"/>
        </w:rPr>
        <w:t>terytori</w:t>
      </w:r>
      <w:r w:rsidR="00465047" w:rsidRPr="003072CD">
        <w:rPr>
          <w:rFonts w:ascii="Times New Roman" w:hAnsi="Times New Roman" w:cs="Times New Roman"/>
          <w:szCs w:val="24"/>
        </w:rPr>
        <w:t>ów</w:t>
      </w:r>
      <w:r w:rsidR="007D5C17" w:rsidRPr="003072CD">
        <w:rPr>
          <w:rFonts w:ascii="Times New Roman" w:hAnsi="Times New Roman" w:cs="Times New Roman"/>
          <w:szCs w:val="24"/>
        </w:rPr>
        <w:t>,</w:t>
      </w:r>
      <w:r w:rsidR="00465047" w:rsidRPr="003072CD">
        <w:rPr>
          <w:rFonts w:ascii="Times New Roman" w:hAnsi="Times New Roman" w:cs="Times New Roman"/>
          <w:szCs w:val="24"/>
        </w:rPr>
        <w:t xml:space="preserve"> na</w:t>
      </w:r>
      <w:r w:rsidR="005624F2" w:rsidRPr="003072CD">
        <w:rPr>
          <w:rFonts w:ascii="Times New Roman" w:hAnsi="Times New Roman" w:cs="Times New Roman"/>
          <w:szCs w:val="24"/>
        </w:rPr>
        <w:t xml:space="preserve"> których </w:t>
      </w:r>
      <w:r w:rsidR="00F208D6" w:rsidRPr="003072CD">
        <w:rPr>
          <w:rFonts w:ascii="Times New Roman" w:hAnsi="Times New Roman" w:cs="Times New Roman"/>
          <w:szCs w:val="24"/>
        </w:rPr>
        <w:t>wystąpiły lub mogą wystąpić</w:t>
      </w:r>
      <w:r w:rsidR="005624F2" w:rsidRPr="003072CD">
        <w:rPr>
          <w:rFonts w:ascii="Times New Roman" w:hAnsi="Times New Roman" w:cs="Times New Roman"/>
          <w:szCs w:val="24"/>
        </w:rPr>
        <w:t xml:space="preserve"> skutki transgraniczne</w:t>
      </w:r>
      <w:r w:rsidR="00CA0793" w:rsidRPr="003072CD">
        <w:rPr>
          <w:rFonts w:ascii="Times New Roman" w:hAnsi="Times New Roman" w:cs="Times New Roman"/>
          <w:szCs w:val="24"/>
        </w:rPr>
        <w:t>.</w:t>
      </w:r>
      <w:r w:rsidR="008079C8" w:rsidRPr="003072CD">
        <w:rPr>
          <w:rFonts w:ascii="Times New Roman" w:hAnsi="Times New Roman" w:cs="Times New Roman"/>
          <w:szCs w:val="24"/>
        </w:rPr>
        <w:t xml:space="preserve"> </w:t>
      </w:r>
      <w:r w:rsidR="009F292F" w:rsidRPr="003072CD">
        <w:rPr>
          <w:rFonts w:ascii="Times New Roman" w:hAnsi="Times New Roman" w:cs="Times New Roman"/>
          <w:szCs w:val="24"/>
        </w:rPr>
        <w:t xml:space="preserve">Przy czym obowiązek ten nie będzie obejmował wniosków o wydanie interpretacji </w:t>
      </w:r>
      <w:r w:rsidR="000A442C" w:rsidRPr="003072CD">
        <w:rPr>
          <w:rFonts w:ascii="Times New Roman" w:hAnsi="Times New Roman" w:cs="Times New Roman"/>
          <w:szCs w:val="24"/>
        </w:rPr>
        <w:t xml:space="preserve">indywidualnej dotyczących wyłącznie indywidualnej sprawy osoby fizycznej, jak również wniosków o wydanie interpretacji indywidualnej </w:t>
      </w:r>
      <w:r w:rsidR="009F292F" w:rsidRPr="003072CD">
        <w:rPr>
          <w:rFonts w:ascii="Times New Roman" w:hAnsi="Times New Roman" w:cs="Times New Roman"/>
          <w:szCs w:val="24"/>
        </w:rPr>
        <w:t>w zakresie podatku akcyz</w:t>
      </w:r>
      <w:r w:rsidR="00086D3F">
        <w:rPr>
          <w:rFonts w:ascii="Times New Roman" w:hAnsi="Times New Roman" w:cs="Times New Roman"/>
          <w:szCs w:val="24"/>
        </w:rPr>
        <w:t>owego oraz podatku od towarów i </w:t>
      </w:r>
      <w:r w:rsidR="009F292F" w:rsidRPr="003072CD">
        <w:rPr>
          <w:rFonts w:ascii="Times New Roman" w:hAnsi="Times New Roman" w:cs="Times New Roman"/>
          <w:szCs w:val="24"/>
        </w:rPr>
        <w:t>usług.</w:t>
      </w:r>
    </w:p>
    <w:p w:rsidR="008079C8" w:rsidRPr="003072CD" w:rsidRDefault="008079C8" w:rsidP="003072CD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3072CD">
        <w:rPr>
          <w:rFonts w:ascii="Times New Roman" w:hAnsi="Times New Roman" w:cs="Times New Roman"/>
          <w:szCs w:val="24"/>
        </w:rPr>
        <w:t xml:space="preserve">Pojęcie </w:t>
      </w:r>
      <w:r w:rsidRPr="003072CD">
        <w:rPr>
          <w:rFonts w:ascii="Times New Roman" w:hAnsi="Times New Roman" w:cs="Times New Roman"/>
          <w:i/>
          <w:szCs w:val="24"/>
        </w:rPr>
        <w:t>skutki transgraniczne</w:t>
      </w:r>
      <w:r w:rsidRPr="003072CD">
        <w:rPr>
          <w:rFonts w:ascii="Times New Roman" w:hAnsi="Times New Roman" w:cs="Times New Roman"/>
          <w:szCs w:val="24"/>
        </w:rPr>
        <w:t xml:space="preserve"> nie ma nadanego spec</w:t>
      </w:r>
      <w:r w:rsidR="00086D3F">
        <w:rPr>
          <w:rFonts w:ascii="Times New Roman" w:hAnsi="Times New Roman" w:cs="Times New Roman"/>
          <w:szCs w:val="24"/>
        </w:rPr>
        <w:t>yficznego znaczenia i zgodnie z </w:t>
      </w:r>
      <w:r w:rsidRPr="003072CD">
        <w:rPr>
          <w:rFonts w:ascii="Times New Roman" w:hAnsi="Times New Roman" w:cs="Times New Roman"/>
          <w:szCs w:val="24"/>
        </w:rPr>
        <w:t>definicją językową dotyczy zdarzenia mając</w:t>
      </w:r>
      <w:r w:rsidR="00086D3F">
        <w:rPr>
          <w:rFonts w:ascii="Times New Roman" w:hAnsi="Times New Roman" w:cs="Times New Roman"/>
          <w:szCs w:val="24"/>
        </w:rPr>
        <w:t>ego skutki w dwóch krajach, np. </w:t>
      </w:r>
      <w:r w:rsidRPr="003072CD">
        <w:rPr>
          <w:rFonts w:ascii="Times New Roman" w:hAnsi="Times New Roman" w:cs="Times New Roman"/>
          <w:szCs w:val="24"/>
        </w:rPr>
        <w:t>dotyczącego podejmowanej działalności w innym p</w:t>
      </w:r>
      <w:r w:rsidR="00086D3F">
        <w:rPr>
          <w:rFonts w:ascii="Times New Roman" w:hAnsi="Times New Roman" w:cs="Times New Roman"/>
          <w:szCs w:val="24"/>
        </w:rPr>
        <w:t>aństwie (która nie mieści się w </w:t>
      </w:r>
      <w:r w:rsidRPr="003072CD">
        <w:rPr>
          <w:rFonts w:ascii="Times New Roman" w:hAnsi="Times New Roman" w:cs="Times New Roman"/>
          <w:szCs w:val="24"/>
        </w:rPr>
        <w:t>kategoriach wymienionych w § 3a pkt 1 projektowanego artykułu). Przykładem interpretacji indywidualnej</w:t>
      </w:r>
      <w:r w:rsidR="009D792C" w:rsidRPr="003072CD">
        <w:rPr>
          <w:rFonts w:ascii="Times New Roman" w:hAnsi="Times New Roman" w:cs="Times New Roman"/>
          <w:szCs w:val="24"/>
        </w:rPr>
        <w:t>,</w:t>
      </w:r>
      <w:r w:rsidRPr="003072CD">
        <w:rPr>
          <w:rFonts w:ascii="Times New Roman" w:hAnsi="Times New Roman" w:cs="Times New Roman"/>
          <w:szCs w:val="24"/>
        </w:rPr>
        <w:t xml:space="preserve"> która mieściłaby się w tak rozumianym pojęciu</w:t>
      </w:r>
      <w:r w:rsidR="00A17A31">
        <w:rPr>
          <w:rFonts w:ascii="Times New Roman" w:hAnsi="Times New Roman" w:cs="Times New Roman"/>
          <w:szCs w:val="24"/>
        </w:rPr>
        <w:t>,</w:t>
      </w:r>
      <w:r w:rsidRPr="003072CD">
        <w:rPr>
          <w:rFonts w:ascii="Times New Roman" w:hAnsi="Times New Roman" w:cs="Times New Roman"/>
          <w:szCs w:val="24"/>
        </w:rPr>
        <w:t xml:space="preserve"> byłaby </w:t>
      </w:r>
      <w:r w:rsidR="00086D3F">
        <w:rPr>
          <w:rFonts w:ascii="Times New Roman" w:hAnsi="Times New Roman" w:cs="Times New Roman"/>
          <w:szCs w:val="24"/>
        </w:rPr>
        <w:t>np. </w:t>
      </w:r>
      <w:r w:rsidR="00A4628D" w:rsidRPr="003072CD">
        <w:rPr>
          <w:rFonts w:ascii="Times New Roman" w:hAnsi="Times New Roman" w:cs="Times New Roman"/>
          <w:szCs w:val="24"/>
        </w:rPr>
        <w:t>interpretacja potwierdzająca nieistnienie zakładu w innym państwie w świetle umowy o unikaniu podwójnego opodatkowania.</w:t>
      </w:r>
    </w:p>
    <w:p w:rsidR="00AC132E" w:rsidRPr="003072CD" w:rsidRDefault="00AC132E" w:rsidP="003072CD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3072CD">
        <w:rPr>
          <w:rFonts w:ascii="Times New Roman" w:hAnsi="Times New Roman" w:cs="Times New Roman"/>
          <w:szCs w:val="24"/>
        </w:rPr>
        <w:lastRenderedPageBreak/>
        <w:t xml:space="preserve">Jednocześnie </w:t>
      </w:r>
      <w:r w:rsidR="00334025" w:rsidRPr="003072CD">
        <w:rPr>
          <w:rFonts w:ascii="Times New Roman" w:hAnsi="Times New Roman" w:cs="Times New Roman"/>
          <w:szCs w:val="24"/>
        </w:rPr>
        <w:t xml:space="preserve">w art. 14nb Ordynacji podatkowej </w:t>
      </w:r>
      <w:r w:rsidRPr="003072CD">
        <w:rPr>
          <w:rFonts w:ascii="Times New Roman" w:hAnsi="Times New Roman" w:cs="Times New Roman"/>
          <w:szCs w:val="24"/>
        </w:rPr>
        <w:t xml:space="preserve">przewiduje się, że </w:t>
      </w:r>
      <w:r w:rsidR="00334025" w:rsidRPr="003072CD">
        <w:rPr>
          <w:rFonts w:ascii="Times New Roman" w:hAnsi="Times New Roman" w:cs="Times New Roman"/>
          <w:szCs w:val="24"/>
        </w:rPr>
        <w:t>ochrona prawna</w:t>
      </w:r>
      <w:r w:rsidR="00953D48" w:rsidRPr="003072CD">
        <w:rPr>
          <w:rFonts w:ascii="Times New Roman" w:hAnsi="Times New Roman" w:cs="Times New Roman"/>
          <w:szCs w:val="24"/>
        </w:rPr>
        <w:t xml:space="preserve"> wynikająca</w:t>
      </w:r>
      <w:r w:rsidR="00334025" w:rsidRPr="003072CD">
        <w:rPr>
          <w:rFonts w:ascii="Times New Roman" w:hAnsi="Times New Roman" w:cs="Times New Roman"/>
          <w:szCs w:val="24"/>
        </w:rPr>
        <w:t xml:space="preserve"> </w:t>
      </w:r>
      <w:r w:rsidR="009D792C" w:rsidRPr="003072CD">
        <w:rPr>
          <w:rFonts w:ascii="Times New Roman" w:hAnsi="Times New Roman" w:cs="Times New Roman"/>
          <w:szCs w:val="24"/>
        </w:rPr>
        <w:t xml:space="preserve">z </w:t>
      </w:r>
      <w:r w:rsidR="00334025" w:rsidRPr="003072CD">
        <w:rPr>
          <w:rFonts w:ascii="Times New Roman" w:hAnsi="Times New Roman" w:cs="Times New Roman"/>
          <w:szCs w:val="24"/>
        </w:rPr>
        <w:t>interpretacji ind</w:t>
      </w:r>
      <w:r w:rsidR="00953D48" w:rsidRPr="003072CD">
        <w:rPr>
          <w:rFonts w:ascii="Times New Roman" w:hAnsi="Times New Roman" w:cs="Times New Roman"/>
          <w:szCs w:val="24"/>
        </w:rPr>
        <w:t>ywidualnej przewidziana w art.</w:t>
      </w:r>
      <w:r w:rsidR="00E522D0" w:rsidRPr="003072CD">
        <w:rPr>
          <w:rFonts w:ascii="Times New Roman" w:hAnsi="Times New Roman" w:cs="Times New Roman"/>
          <w:szCs w:val="24"/>
        </w:rPr>
        <w:t xml:space="preserve"> </w:t>
      </w:r>
      <w:r w:rsidR="00334025" w:rsidRPr="003072CD">
        <w:rPr>
          <w:rFonts w:ascii="Times New Roman" w:hAnsi="Times New Roman" w:cs="Times New Roman"/>
          <w:szCs w:val="24"/>
        </w:rPr>
        <w:t>14k</w:t>
      </w:r>
      <w:r w:rsidR="003072CD" w:rsidRPr="003072CD">
        <w:rPr>
          <w:rFonts w:ascii="Times New Roman" w:hAnsi="Times New Roman" w:cs="Times New Roman"/>
          <w:szCs w:val="24"/>
        </w:rPr>
        <w:t>–</w:t>
      </w:r>
      <w:r w:rsidR="00334025" w:rsidRPr="003072CD">
        <w:rPr>
          <w:rFonts w:ascii="Times New Roman" w:hAnsi="Times New Roman" w:cs="Times New Roman"/>
          <w:szCs w:val="24"/>
        </w:rPr>
        <w:t>14n</w:t>
      </w:r>
      <w:r w:rsidR="00465047" w:rsidRPr="003072CD">
        <w:rPr>
          <w:rFonts w:ascii="Times New Roman" w:hAnsi="Times New Roman" w:cs="Times New Roman"/>
          <w:szCs w:val="24"/>
        </w:rPr>
        <w:t xml:space="preserve"> </w:t>
      </w:r>
      <w:r w:rsidR="00334025" w:rsidRPr="003072CD">
        <w:rPr>
          <w:rFonts w:ascii="Times New Roman" w:hAnsi="Times New Roman" w:cs="Times New Roman"/>
          <w:szCs w:val="24"/>
        </w:rPr>
        <w:t xml:space="preserve">tej ustawy będzie </w:t>
      </w:r>
      <w:r w:rsidR="00497AC9" w:rsidRPr="003072CD">
        <w:rPr>
          <w:rFonts w:ascii="Times New Roman" w:hAnsi="Times New Roman" w:cs="Times New Roman"/>
          <w:szCs w:val="24"/>
        </w:rPr>
        <w:t>obejmować transakcje, zespoły transakcji lub inne zdarzenia w zakresie, w jakim we wniosku o wydanie interpretacji indywidualnej zgodnie z art. 14b § 3a wskazane zostały</w:t>
      </w:r>
      <w:r w:rsidR="000A442C" w:rsidRPr="003072CD">
        <w:rPr>
          <w:rFonts w:ascii="Times New Roman" w:hAnsi="Times New Roman" w:cs="Times New Roman"/>
          <w:szCs w:val="24"/>
        </w:rPr>
        <w:t xml:space="preserve"> państwa</w:t>
      </w:r>
      <w:r w:rsidR="00465047" w:rsidRPr="003072CD">
        <w:rPr>
          <w:rFonts w:ascii="Times New Roman" w:hAnsi="Times New Roman" w:cs="Times New Roman"/>
          <w:szCs w:val="24"/>
        </w:rPr>
        <w:t>, terytoria</w:t>
      </w:r>
      <w:r w:rsidR="000A442C" w:rsidRPr="003072CD">
        <w:rPr>
          <w:rFonts w:ascii="Times New Roman" w:hAnsi="Times New Roman" w:cs="Times New Roman"/>
          <w:szCs w:val="24"/>
        </w:rPr>
        <w:t xml:space="preserve"> i</w:t>
      </w:r>
      <w:r w:rsidR="00497AC9" w:rsidRPr="003072CD">
        <w:rPr>
          <w:rFonts w:ascii="Times New Roman" w:hAnsi="Times New Roman" w:cs="Times New Roman"/>
          <w:szCs w:val="24"/>
        </w:rPr>
        <w:t xml:space="preserve"> dane</w:t>
      </w:r>
      <w:r w:rsidR="005A2316" w:rsidRPr="003072CD">
        <w:rPr>
          <w:rFonts w:ascii="Times New Roman" w:hAnsi="Times New Roman" w:cs="Times New Roman"/>
          <w:szCs w:val="24"/>
        </w:rPr>
        <w:t>,</w:t>
      </w:r>
      <w:r w:rsidR="00497AC9" w:rsidRPr="003072CD">
        <w:rPr>
          <w:rFonts w:ascii="Times New Roman" w:hAnsi="Times New Roman" w:cs="Times New Roman"/>
          <w:szCs w:val="24"/>
        </w:rPr>
        <w:t xml:space="preserve"> o których mowa w tym przepisie.</w:t>
      </w:r>
    </w:p>
    <w:p w:rsidR="00D23136" w:rsidRPr="003072CD" w:rsidRDefault="00D23136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Dodanie wskazanych regulacji uwzględnia cel dyrektywy Rady 2011/16/UE oraz wytyczn</w:t>
      </w:r>
      <w:r w:rsidR="00A17A31">
        <w:rPr>
          <w:rFonts w:ascii="Times New Roman" w:hAnsi="Times New Roman" w:cs="Times New Roman"/>
          <w:sz w:val="24"/>
          <w:szCs w:val="24"/>
          <w:lang w:val="pl-PL"/>
        </w:rPr>
        <w:t>e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zawart</w:t>
      </w:r>
      <w:r w:rsidR="00A17A31">
        <w:rPr>
          <w:rFonts w:ascii="Times New Roman" w:hAnsi="Times New Roman" w:cs="Times New Roman"/>
          <w:sz w:val="24"/>
          <w:szCs w:val="24"/>
          <w:lang w:val="pl-PL"/>
        </w:rPr>
        <w:t>e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w opracowanym przez OECD standardzie BEPS.</w:t>
      </w:r>
    </w:p>
    <w:p w:rsidR="009725B4" w:rsidRPr="003072CD" w:rsidRDefault="009725B4" w:rsidP="003072CD">
      <w:pPr>
        <w:keepNext/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sz w:val="24"/>
          <w:szCs w:val="24"/>
          <w:lang w:val="pl-PL"/>
        </w:rPr>
        <w:t>Zniesienie obowiązku przekazywania informacji</w:t>
      </w:r>
      <w:r w:rsidR="00471120" w:rsidRPr="003072CD">
        <w:rPr>
          <w:rFonts w:ascii="Times New Roman" w:hAnsi="Times New Roman" w:cs="Times New Roman"/>
          <w:b/>
          <w:sz w:val="24"/>
          <w:szCs w:val="24"/>
          <w:lang w:val="pl-PL"/>
        </w:rPr>
        <w:t xml:space="preserve"> na podstawie art. 82 § 2 </w:t>
      </w:r>
    </w:p>
    <w:p w:rsidR="009725B4" w:rsidRPr="003072CD" w:rsidRDefault="009725B4" w:rsidP="003072CD">
      <w:pPr>
        <w:spacing w:before="120"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Przepis art. 82 § 2 Ordynacji podatkowej nakłada na banki i spółdzielcze kasy oszczędnościowo-kredytowe (SKOK-i) obowiązek sporządzania i przekazywania Szefowi Krajowej Administracji Skarbowej, w form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ie dokumentu elektronicznego, w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okresie sprawozdawczym 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odpowiednio od 1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do 15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dnia miesiąca oraz od 16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do ostatniego dnia miesiąca 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>–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informacji o otwartych i zamkniętych rachunkach bankowych związanych z prowadzeniem działalności gospodarczej, w terminie do 7. dnia następnego okresu sprawozdawczego. Jak wynika 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ze zdania drugiego w § 2 w art.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82 Ordynacji podatkowej powyższy obowiązek nie dotyczy rachunków podmiotów kwalifikowanych w rozumieniu art. 119zg pkt 5 Ordynacji podatkowej podlegających przekazaniu na podstawie art. 119zq pkt 1 tej ustawy. Definicja rachunku podmiotu kwalifikowanego obejmuje jednak swoim zakresem m.in. rachunki związane z prowadzeniem działalności gospodarczej, o których informacje są przekazywane przez banki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i SKOK-i na podstawie art. 119z</w:t>
      </w:r>
      <w:r w:rsidR="00F666F4" w:rsidRPr="003072CD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Ordynacji podatkowej w terminach określonych w art. 119zp § 1 pkt 1 i § 2 pkt 1 tej ustawy. W ramach systemu STIR są zatem przekazywane także informacje, o których mowa w art. 82 § 2 Ordynacji podatkowej.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Aby uniknąć podwójnego raportowania tych samych informacji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zasadne jest uchylenie § 2 w art. 82 Ordynacji podatkowej, który to przepis aktualnie nie ma samodzielnego znaczenia. Uchylenie § 2c, § 7 i § 8 w art. 82 Ordynacji podatkowej to zmiany dostosowawcze, wynikające z uchylenia § 2</w:t>
      </w:r>
      <w:r w:rsidR="00E936D8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tego artykułu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:rsidR="009F292F" w:rsidRPr="003072CD" w:rsidRDefault="001C09C3" w:rsidP="003072CD">
      <w:pPr>
        <w:spacing w:before="240" w:after="0" w:line="360" w:lineRule="auto"/>
        <w:ind w:left="426" w:hanging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IV.</w:t>
      </w:r>
      <w:r w:rsid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9F292F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Ustawa z dnia 10 września 1999 r. </w:t>
      </w:r>
      <w:r w:rsidR="003072CD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–</w:t>
      </w:r>
      <w:r w:rsidR="009F292F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 Kodeks karny skarbowy </w:t>
      </w:r>
    </w:p>
    <w:p w:rsidR="009F292F" w:rsidRPr="003072CD" w:rsidRDefault="009F292F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Uzupełnienie sankcji karn</w:t>
      </w:r>
      <w:r w:rsidR="00DC27E8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ych 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skarbowych</w:t>
      </w:r>
    </w:p>
    <w:p w:rsidR="009F292F" w:rsidRPr="003072CD" w:rsidRDefault="009F292F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Zmiana art. 80c oraz</w:t>
      </w:r>
      <w:r w:rsidR="007D5C1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art.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80d ustawy z dnia 10 września 1999 r. 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="007D5C17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K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odeks karny skarbowy polega na wprowadzeniu typu uprzywil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ejowanego czynu zabronionego. </w:t>
      </w:r>
      <w:r w:rsidR="00086D3F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lastRenderedPageBreak/>
        <w:t>W 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wypadku mniejszej wagi, sprawca podlega karze jak za wykroczenie skarbowe. Ze względu na to, że obok konsekwencji karn</w:t>
      </w:r>
      <w:r w:rsidR="008551D6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ych 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skarbowych przewidziana jest kara administracyjna w dziale VI ustawy</w:t>
      </w:r>
      <w:r w:rsidR="00C77F73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zasadne jest wprowadzenie możliwości złagodzenia kary nakładanej w oparciu o kodeks karny skarbowy.</w:t>
      </w:r>
    </w:p>
    <w:p w:rsidR="004360F0" w:rsidRPr="003072CD" w:rsidRDefault="001C09C3" w:rsidP="00CF2091">
      <w:pPr>
        <w:keepNext/>
        <w:spacing w:before="120"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V</w:t>
      </w:r>
      <w:r w:rsidR="00923A05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I</w:t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.</w:t>
      </w:r>
      <w:r w:rsidR="00CF209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AC507F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Ustawa </w:t>
      </w:r>
      <w:r w:rsidR="009F292F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z dnia 9 października 2015 r. </w:t>
      </w:r>
      <w:r w:rsidR="00AC507F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o wykonywaniu Umowy między Rządem Rzeczypospolitej Polskiej a Rządem Stanów Zjednoczonych Ameryki w sprawie poprawy wypełniania międzynarodowych obowiązków podatkowych oraz wdrożenia ustawodawstwa FATCA </w:t>
      </w:r>
    </w:p>
    <w:p w:rsidR="00180285" w:rsidRPr="003072CD" w:rsidRDefault="00C8686F" w:rsidP="00CF2091">
      <w:pPr>
        <w:pStyle w:val="Akapitzlist"/>
        <w:numPr>
          <w:ilvl w:val="0"/>
          <w:numId w:val="33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Raportowanie informacji o amerykańskim NIP</w:t>
      </w:r>
    </w:p>
    <w:p w:rsidR="00AE2A1D" w:rsidRPr="003072CD" w:rsidRDefault="000A442C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Przepis a</w:t>
      </w:r>
      <w:r w:rsidR="00AE2A1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rt. </w:t>
      </w:r>
      <w:r w:rsidR="00443FC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4</w:t>
      </w:r>
      <w:r w:rsidR="00BC32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pkt 1</w:t>
      </w:r>
      <w:r w:rsidR="00AE2A1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projektu wprowadza wydłużen</w:t>
      </w:r>
      <w:r w:rsidR="00BC32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ie okresu</w:t>
      </w:r>
      <w:r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,</w:t>
      </w:r>
      <w:r w:rsidR="00BC32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 dla którego w odniesieniu do amerykańskich rachunków raportowanych prowadzonych przez raportującą polską instytucję finansową na dzień 30 czerwca 2014 r. informacje, o których mowa w art. 4 ust. 1 pkt 2, przekazywane za lata 2014</w:t>
      </w:r>
      <w:r w:rsidR="003072CD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–</w:t>
      </w:r>
      <w:r w:rsidR="00BC3228" w:rsidRPr="003072CD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2019 </w:t>
      </w:r>
      <w:r w:rsidR="00C8686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nie muszą zawierać i</w:t>
      </w:r>
      <w:r w:rsidR="00086D3F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nformacji o </w:t>
      </w:r>
      <w:r w:rsidR="00C8686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amerykańskim NIP, jeżeli numer ten nie jest dostępny w rejestrach raportującej polskiej instytucji finansowej. W takim przypadku raportująca polska instytucja finansowa </w:t>
      </w:r>
      <w:r w:rsidR="007D5C17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jest </w:t>
      </w:r>
      <w:r w:rsidR="00C8686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obowiązana przekazać informacje o </w:t>
      </w:r>
      <w:r w:rsidR="009D792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amerykańskim NIP</w:t>
      </w:r>
      <w:r w:rsidR="00C8686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 o ile instytucja ta posiada te dane.</w:t>
      </w:r>
      <w:r w:rsidR="008435B4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465047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Jednocześnie</w:t>
      </w:r>
      <w:r w:rsidR="00307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6E070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zgodnie z proponowanym art</w:t>
      </w:r>
      <w:r w:rsidR="009D792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.</w:t>
      </w:r>
      <w:r w:rsidR="00307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F666F4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14 </w:t>
      </w:r>
      <w:r w:rsidR="006E070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projektu brak informacji o amerykańskim NIP w informacji już przekazanej za 2017 r. nie stanowi podstawy do uznania tej informacji za nieprawidłową.</w:t>
      </w:r>
    </w:p>
    <w:p w:rsidR="00CF7FE6" w:rsidRPr="003072CD" w:rsidRDefault="00CF7FE6" w:rsidP="00CF2091">
      <w:pPr>
        <w:pStyle w:val="Akapitzlist"/>
        <w:keepNext/>
        <w:keepLines/>
        <w:numPr>
          <w:ilvl w:val="0"/>
          <w:numId w:val="34"/>
        </w:numPr>
        <w:spacing w:before="120"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l-PL"/>
        </w:rPr>
        <w:t>Odpowiedzialność za składanie fałszywych oświadczeń</w:t>
      </w:r>
    </w:p>
    <w:p w:rsidR="00CF7FE6" w:rsidRPr="003072CD" w:rsidRDefault="00CF7FE6" w:rsidP="00CF2091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</w:t>
      </w:r>
      <w:r w:rsidR="00307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proponowanym brzmieniu art. 19 ust. 5 </w:t>
      </w:r>
      <w:r w:rsidR="009F292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proponuje się wprowadzenie </w:t>
      </w:r>
      <w:r w:rsidR="00F666F4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wymogu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F666F4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składania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oświadczenia posiadacza rachunku</w:t>
      </w:r>
      <w:r w:rsidR="008551D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o którym mowa w art. 19 ust. 1</w:t>
      </w:r>
      <w:r w:rsidR="008551D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pod rygorem odpowiedzialności karnej za podanie danych niezgodnyc</w:t>
      </w:r>
      <w:r w:rsidR="009F292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h ze stanem faktycznym.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9F292F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O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świadczenia te winny zostać opatrzone klauzulą o następującej treści: „Jestem świadomy odpowiedzialności karnej za złożenie fałszywego oświadczenia.”. </w:t>
      </w:r>
      <w:r w:rsidR="009D792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N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ależy zauważyć, że w wyniku wprowadzonej zmiany składane oświadczenie będzie spójne z klauzulą zawartą na formularzach W-8 i W-9</w:t>
      </w:r>
      <w:r w:rsidR="00443FC8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oraz z analogiczną zmianą dla celów automatycznej wymiany informacji podatkowych.</w:t>
      </w:r>
      <w:r w:rsidR="00E22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Przy czym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E22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z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godnie </w:t>
      </w:r>
      <w:r w:rsidR="005132F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z</w:t>
      </w:r>
      <w:r w:rsidR="00086D3F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 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proponowanym przepisem wymóg pouczenia o odpowiedzialności karnej za składanie fałszywych zeznań uważa się za spełniony</w:t>
      </w:r>
      <w:r w:rsidR="00086D3F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także w przypadku oświadczeń o 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odpowiedzialności za składanie fałszywych zeznań s</w:t>
      </w:r>
      <w:r w:rsidR="00086D3F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kładanych na formularzach W-8 i 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W-9, o których mowa w </w:t>
      </w:r>
      <w:r w:rsidR="00F55E77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u</w:t>
      </w:r>
      <w:r w:rsidR="00FA34EC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mowie FATCA oraz załączniku I do tej umowy.</w:t>
      </w:r>
      <w:r w:rsidR="00A06C34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</w:p>
    <w:p w:rsidR="009725B4" w:rsidRPr="003072CD" w:rsidRDefault="00CF2091" w:rsidP="00086D3F">
      <w:pPr>
        <w:keepNext/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lastRenderedPageBreak/>
        <w:t>VII.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="009725B4" w:rsidRPr="003072CD">
        <w:rPr>
          <w:rFonts w:ascii="Times New Roman" w:hAnsi="Times New Roman" w:cs="Times New Roman"/>
          <w:b/>
          <w:sz w:val="24"/>
          <w:szCs w:val="24"/>
          <w:lang w:val="pl-PL"/>
        </w:rPr>
        <w:t>Ustaw</w:t>
      </w:r>
      <w:r w:rsidR="00471120" w:rsidRPr="003072CD">
        <w:rPr>
          <w:rFonts w:ascii="Times New Roman" w:hAnsi="Times New Roman" w:cs="Times New Roman"/>
          <w:b/>
          <w:sz w:val="24"/>
          <w:szCs w:val="24"/>
          <w:lang w:val="pl-PL"/>
        </w:rPr>
        <w:t>a</w:t>
      </w:r>
      <w:r w:rsidR="009725B4" w:rsidRPr="003072CD">
        <w:rPr>
          <w:rFonts w:ascii="Times New Roman" w:hAnsi="Times New Roman" w:cs="Times New Roman"/>
          <w:b/>
          <w:sz w:val="24"/>
          <w:szCs w:val="24"/>
          <w:lang w:val="pl-PL"/>
        </w:rPr>
        <w:t xml:space="preserve"> z dnia 5 lipca 2018 r. o zmianie usta</w:t>
      </w:r>
      <w:r w:rsidR="003072CD" w:rsidRPr="003072CD">
        <w:rPr>
          <w:rFonts w:ascii="Times New Roman" w:hAnsi="Times New Roman" w:cs="Times New Roman"/>
          <w:b/>
          <w:sz w:val="24"/>
          <w:szCs w:val="24"/>
          <w:lang w:val="pl-PL"/>
        </w:rPr>
        <w:t xml:space="preserve">wy – Ordynacja podatkowa oraz </w:t>
      </w:r>
      <w:r w:rsidR="009725B4" w:rsidRPr="003072CD">
        <w:rPr>
          <w:rFonts w:ascii="Times New Roman" w:hAnsi="Times New Roman" w:cs="Times New Roman"/>
          <w:b/>
          <w:sz w:val="24"/>
          <w:szCs w:val="24"/>
          <w:lang w:val="pl-PL"/>
        </w:rPr>
        <w:t xml:space="preserve">niektórych innych ustaw </w:t>
      </w:r>
    </w:p>
    <w:p w:rsidR="009725B4" w:rsidRPr="003072CD" w:rsidRDefault="009725B4" w:rsidP="003072CD">
      <w:pPr>
        <w:pStyle w:val="Tekstpodstawowy3"/>
        <w:spacing w:before="120"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Proponowane zmiany w</w:t>
      </w:r>
      <w:r w:rsidR="00E936D8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art. 5 projektu w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pkt 1 lit. a oraz </w:t>
      </w:r>
      <w:r w:rsidR="00273EAA">
        <w:rPr>
          <w:rFonts w:ascii="Times New Roman" w:hAnsi="Times New Roman" w:cs="Times New Roman"/>
          <w:sz w:val="24"/>
          <w:szCs w:val="24"/>
          <w:lang w:val="pl-PL"/>
        </w:rPr>
        <w:t xml:space="preserve">w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pkt 3 dotyczą terminu składania przez banki w rozumieniu art. 119z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g pkt 1 Ordynacji podatkowej, z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wyjątkiem banków spółdzielczych, informacji, o których mowa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w art. 119zp § 1 pkt 1 tej ustawy, dotyczących rachunków lokaty terminowej podmiotu kwalifikowanego. Na podstawie aktualnego art. 19 pkt 3 ustawy z dnia 5 lipca 2018 r. o zmianie ustawy – Ordynacja podatkowa oraz niektórych innych 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 xml:space="preserve">ustaw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(Dz. U. poz. 1499), zwanej dalej „ustawą z dnia 5 lipca 2018 r.”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przepisy dotyczące rachunków lokaty terminowej podmiotu kwalifikowanego wchodzą w życie z dniem 1 lipca 2019 r. Oznaczałoby to, że w tej samej dacie banki, z wyjątkiem banków spółdzielczych, miałyby obowiązek przesyłania wymienionych informacji. Rozpocz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ęcie przekazywania informacji w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znacząco szerszym zakresie jednego dnia jednocześnie przez wszystkie banki komercyjne jest ryzykowne z punktu widzenia całego sektora. Niezbędne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 xml:space="preserve"> jest rozłożenie tego procesu w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czasie. Projektowa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ne zmiany umożliwiają bankom, z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wyjątkiem banków spółdzielczych, przekazywanie informacji, o których mowa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w art.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119zp § 1 pkt 1 Ordynacji podatkowej, dotyczących rachunków lokaty terminowej podmiotu kwalifikowanego od dnia 1 maja 2019 r. (projektowany art. 19 pkt 2a i zmiana w pkt 3 ustawy z dnia 5 lipca 2018 r.), wskazując w projektowany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 xml:space="preserve">m art. 12 ust. 1 pkt 1 ustawy z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dnia 5 lipca 2018 r., że rozpoczęcie tego obowiązku powinno nastąpić nie później niż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z dniem 1 lipca 2019 r. Konsekwencją powyższej zmiany jest zmiana w pkt 1 lit. b dotycząca art. 12 ust. 3 ustawy z dnia 5 lipca 2018 r.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9725B4" w:rsidRPr="003072CD" w:rsidRDefault="009725B4" w:rsidP="003072CD">
      <w:pPr>
        <w:pStyle w:val="Tekstpodstawowy3"/>
        <w:spacing w:before="120"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Projektowana zmiana w pkt 1 lit. a w zakresie art. 12 ust. 1 pkt 2 ustawy z dnia 5 lipca 2018 r. </w:t>
      </w:r>
      <w:r w:rsidR="00F666F4" w:rsidRPr="003072CD">
        <w:rPr>
          <w:rFonts w:ascii="Times New Roman" w:hAnsi="Times New Roman" w:cs="Times New Roman"/>
          <w:sz w:val="24"/>
          <w:szCs w:val="24"/>
          <w:lang w:val="pl-PL"/>
        </w:rPr>
        <w:t>stanowi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zmian</w:t>
      </w:r>
      <w:r w:rsidR="00F666F4" w:rsidRPr="003072CD">
        <w:rPr>
          <w:rFonts w:ascii="Times New Roman" w:hAnsi="Times New Roman" w:cs="Times New Roman"/>
          <w:sz w:val="24"/>
          <w:szCs w:val="24"/>
          <w:lang w:val="pl-PL"/>
        </w:rPr>
        <w:t>ę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dostosowawczą do przedstawionej powyżej zmiany w art. 12 ust. 1 pkt 1 ustawy z dnia 5 lipca 2018 r., ponieważ treść art. 12 ust. 1 pkt 2 odpowiada aktualnej treści art. 12 ust. 1 wymienionej ustawy. </w:t>
      </w:r>
      <w:r w:rsidR="00F666F4" w:rsidRPr="003072CD">
        <w:rPr>
          <w:rFonts w:ascii="Times New Roman" w:hAnsi="Times New Roman" w:cs="Times New Roman"/>
          <w:sz w:val="24"/>
          <w:szCs w:val="24"/>
          <w:lang w:val="pl-PL"/>
        </w:rPr>
        <w:t>Przepis a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rt. 12 ust. 1 pkt 2 ustawy z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dnia 5 lipca 2018 r. dotyczy przekazywania informacji, o których mowa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w art. 119zp § 1 pkt 1 Ordynacji podatkowej, dotyczących rachunków lokaty terminowej podmiotu kwalifikowanego przez banki spółdzielcze oraz sp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ółdzielcze kasy oszczędnościowo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noBreakHyphen/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kredytowe. Podmioty te zaczną realizować obowiązki w powyższym zakresie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nie później niż z dniem 1 stycznia 2020 r., co oznacza, że mogą rozpocząć przesyłanie wymienionych informacji także przed dniem 1 stycznia 2020 r. W tym przypadku nie ma ryzyka, że dojdzie do realizacji przez wszystkie banki spółdzielcze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lastRenderedPageBreak/>
        <w:t>oraz spółdzielcze kasy oszczędnościowo-kredytowe obowiązku przekazywania informacji w tym samym dniu.</w:t>
      </w:r>
    </w:p>
    <w:p w:rsidR="009725B4" w:rsidRPr="003072CD" w:rsidRDefault="009725B4" w:rsidP="003072CD">
      <w:pPr>
        <w:pStyle w:val="Tekstpodstawowy3"/>
        <w:spacing w:before="120"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Proponowana</w:t>
      </w:r>
      <w:r w:rsidR="00E936D8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w art. 5 projektu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zmiana w zakresie pkt 2 jest związana z rozszerzeniem w ustawie z dnia 5 lipca 2018 r. definicji rach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unku podmiotu kwalifikowanego o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rachunek lokaty terminowej. Rozszerzenie to oznaczałoby nieproporcjonalny wzrost opłaty za ustalanie wskaźnika ryzyka dla banków i SKOK-ów w roku 2019, ponieważ opłata jest ustalana ryczałtowo w odniesieniu do liczby rachunków podmiotu kwalifikowanego prowadzonych przez ten bank lub 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SKOK. Projektowany przepis art.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16a ma na celu pozostawienie opłaty w 2019 r. na niezmienionym poziomie</w:t>
      </w:r>
      <w:r w:rsidRPr="003072CD">
        <w:rPr>
          <w:rStyle w:val="Odwoanieprzypisudolnego"/>
          <w:rFonts w:ascii="Times New Roman" w:hAnsi="Times New Roman" w:cs="Times New Roman"/>
          <w:sz w:val="24"/>
          <w:szCs w:val="24"/>
          <w:lang w:val="pl-PL"/>
        </w:rPr>
        <w:footnoteReference w:id="1"/>
      </w:r>
      <w:r w:rsidR="00CF2091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)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. W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kolejnych latach rachunki</w:t>
      </w:r>
      <w:r w:rsidR="003072CD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lokaty terminowej podmiotów kwalifikowanych będą mogły być uwzględniane przy ustalaniu opłaty z uwagi 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na przeliczenie jej wysokości w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zmienionym rozporządzeniu. </w:t>
      </w:r>
    </w:p>
    <w:p w:rsidR="00DE7076" w:rsidRPr="003072CD" w:rsidRDefault="00DE7076" w:rsidP="00CF2091">
      <w:pPr>
        <w:spacing w:before="240" w:after="0" w:line="360" w:lineRule="auto"/>
        <w:ind w:left="567" w:hanging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VI</w:t>
      </w:r>
      <w:r w:rsidR="00923A05"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II</w:t>
      </w:r>
      <w:r w:rsidR="00CF209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>.</w:t>
      </w:r>
      <w:r w:rsidR="00CF2091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ab/>
      </w:r>
      <w:r w:rsidRPr="003072CD">
        <w:rPr>
          <w:rFonts w:ascii="Times New Roman" w:hAnsi="Times New Roman" w:cs="Times New Roman"/>
          <w:b/>
          <w:color w:val="000000" w:themeColor="text1"/>
          <w:sz w:val="24"/>
          <w:szCs w:val="24"/>
          <w:lang w:val="pl-PL"/>
        </w:rPr>
        <w:t xml:space="preserve">Wejście w życie ustawy </w:t>
      </w:r>
    </w:p>
    <w:p w:rsidR="00DE7076" w:rsidRPr="003072CD" w:rsidRDefault="00DE7076" w:rsidP="003072CD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Zgodnie z art.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1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5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E936D8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projektowana ustawa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wchodzi w życie </w:t>
      </w:r>
      <w:r w:rsidR="00E936D8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po upływie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14 dni od dnia ogłoszenia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z wyjątkiem art.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844B29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10 ust. 2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 który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wchodzi w życie z dniem ogłoszenia. Wejście w życie art. </w:t>
      </w:r>
      <w:r w:rsidR="00844B29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10 ust. 2 </w:t>
      </w:r>
      <w:r w:rsidR="002D1BC1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projektu 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z dniem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ogłoszenia umożliwia odpowiednio wczesne ogłoszenie listy </w:t>
      </w:r>
      <w:r w:rsidR="00E936D8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p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aństw i terytoriów objętych obowiązkiem raportowania. Wskazana regulacja pozwoli raportującym instytucjom finansowym na uwzględnienie ww. listy w raportowaniu za rok 2018 i tym samym 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spowoduje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uniknięcie ewentualnego 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„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raportowania uzupełniającego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”,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402CFA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 przypadku gdy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raportujące instytucje finansowe dokonały już raportowania za ten rok na podstawie listy państw uczestniczących ogłoszonej w drodze obwieszczenia w roku 2017. </w:t>
      </w:r>
      <w:r w:rsidR="00F01EB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 związku z tym uznać należy, że istnieje ważny interes państwa, który wymaga natychmiastowego wejścia w życie aktu normatywnego, a zasady demokratycznego państwa prawnego nie stoją temu na przeszkodzie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,</w:t>
      </w:r>
      <w:r w:rsidR="00F01EB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żeby dniem wejścia w życie 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mógł być dzień ogłoszenia (art. </w:t>
      </w:r>
      <w:r w:rsidR="00F01EB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4 ust. 2 ustawy 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z dnia 20 lipca 2000 r. </w:t>
      </w:r>
      <w:r w:rsidR="00F01EB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o 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ogłaszaniu aktów normatywnych i </w:t>
      </w:r>
      <w:r w:rsidR="00F01EBE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niektórych innych aktów prawnych).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Ponadto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art. 5 </w:t>
      </w:r>
      <w:r w:rsidR="00E936D8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projektu 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wchodzi w życie z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dniem 1 maja 2019 r., a więc w 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dniu, w którym zgodnie z ustawą </w:t>
      </w:r>
      <w:r w:rsidR="007D0C16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z dnia 5 lipca 2018 r. 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wchodzą w życie przepisy dotyczące raportowania o</w:t>
      </w:r>
      <w:r w:rsidR="003072CD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rachunkach lokat terminowych. Z </w:t>
      </w:r>
      <w:r w:rsidR="007D0C16"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kolei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art. 1 pkt 9 i art. 4 pkt 2 wprowadzające obowiązek uwzględniania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lastRenderedPageBreak/>
        <w:t>w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> 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oświadczeniach o rezydencji podatkowej klauzuli dotyczącej rygoru odpowiedzialności karnej za składanie fałszywych zeznań wchodzą w życie po upływie 6 miesięcy od dnia ogłoszenia. Wydłużone </w:t>
      </w:r>
      <w:r w:rsidRPr="003072CD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pl-PL"/>
        </w:rPr>
        <w:t>vacatio legis</w:t>
      </w:r>
      <w:r w:rsidR="00086D3F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w</w:t>
      </w:r>
      <w:r w:rsidR="00C77F73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 </w:t>
      </w:r>
      <w:r w:rsidRPr="003072CD">
        <w:rPr>
          <w:rFonts w:ascii="Times New Roman" w:hAnsi="Times New Roman" w:cs="Times New Roman"/>
          <w:bCs/>
          <w:color w:val="000000" w:themeColor="text1"/>
          <w:sz w:val="24"/>
          <w:szCs w:val="24"/>
          <w:lang w:val="pl-PL"/>
        </w:rPr>
        <w:t xml:space="preserve">przypadku tej regulacji pozwoli na odpowiednie dostosowanie systemów i procesów przez raportujące instytucje finansowe. </w:t>
      </w:r>
    </w:p>
    <w:p w:rsidR="00F814DD" w:rsidRPr="003072CD" w:rsidRDefault="00F814DD" w:rsidP="003072C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Projekt ustawy jest zgodny z prawem Unii Europejskiej.</w:t>
      </w:r>
    </w:p>
    <w:p w:rsidR="00F814DD" w:rsidRPr="003072CD" w:rsidRDefault="00F814DD" w:rsidP="003072C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Zgodnie z art. 5 ustawy z dnia 7 lipca 2005 r. o działalności lobbingowej w procesie stanowienia prawa (Dz. U. z 2017 r. poz. 248) oraz § 52 ust. 1 uchwały nr 190 Rady Ministrów z dnia 29 października 2013 r. – Regulamin 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>pracy Rady Ministrów (M.P. z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2016 r. poz. 1006</w:t>
      </w:r>
      <w:r w:rsidR="00807600"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, z </w:t>
      </w:r>
      <w:proofErr w:type="spellStart"/>
      <w:r w:rsidR="00807600" w:rsidRPr="003072CD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="00807600" w:rsidRPr="003072CD">
        <w:rPr>
          <w:rFonts w:ascii="Times New Roman" w:hAnsi="Times New Roman" w:cs="Times New Roman"/>
          <w:sz w:val="24"/>
          <w:szCs w:val="24"/>
          <w:lang w:val="pl-PL"/>
        </w:rPr>
        <w:t>. zm.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) projekt zosta</w:t>
      </w:r>
      <w:r w:rsidR="009F292F" w:rsidRPr="003072CD">
        <w:rPr>
          <w:rFonts w:ascii="Times New Roman" w:hAnsi="Times New Roman" w:cs="Times New Roman"/>
          <w:sz w:val="24"/>
          <w:szCs w:val="24"/>
          <w:lang w:val="pl-PL"/>
        </w:rPr>
        <w:t>ł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udostępniony w Biuletynie Informacji Publicznej na stronach internetowych Rządowego Centrum Legislacji.</w:t>
      </w:r>
    </w:p>
    <w:p w:rsidR="00F814DD" w:rsidRPr="003072CD" w:rsidRDefault="00F814DD" w:rsidP="003072C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Projekt nie podlega notyfikacji zgodnie z procedurą określoną w rozporządzeniu Rady Ministrów z dnia 23 grudnia 2002 r. w sprawie sposobu funkcjonowania krajowego sy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temu notyfikacji norm i aktów prawnych (Dz. U. poz. 2039 oraz z 2004 r. poz. 597). </w:t>
      </w:r>
    </w:p>
    <w:p w:rsidR="00C77F73" w:rsidRDefault="00F814DD" w:rsidP="003072C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72CD">
        <w:rPr>
          <w:rFonts w:ascii="Times New Roman" w:hAnsi="Times New Roman" w:cs="Times New Roman"/>
          <w:sz w:val="24"/>
          <w:szCs w:val="24"/>
          <w:lang w:val="pl-PL"/>
        </w:rPr>
        <w:t>Projekt nie wymaga zaopiniowania, dokonania</w:t>
      </w:r>
      <w:r w:rsidR="00086D3F">
        <w:rPr>
          <w:rFonts w:ascii="Times New Roman" w:hAnsi="Times New Roman" w:cs="Times New Roman"/>
          <w:sz w:val="24"/>
          <w:szCs w:val="24"/>
          <w:lang w:val="pl-PL"/>
        </w:rPr>
        <w:t xml:space="preserve"> konsultacji albo uzgodnienia z 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właściwymi instytucjami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 xml:space="preserve"> i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 xml:space="preserve"> organami Unii Europejskiej, w tym </w:t>
      </w:r>
      <w:r w:rsidR="00C77F73">
        <w:rPr>
          <w:rFonts w:ascii="Times New Roman" w:hAnsi="Times New Roman" w:cs="Times New Roman"/>
          <w:sz w:val="24"/>
          <w:szCs w:val="24"/>
          <w:lang w:val="pl-PL"/>
        </w:rPr>
        <w:t xml:space="preserve">z </w:t>
      </w:r>
      <w:r w:rsidRPr="003072CD">
        <w:rPr>
          <w:rFonts w:ascii="Times New Roman" w:hAnsi="Times New Roman" w:cs="Times New Roman"/>
          <w:sz w:val="24"/>
          <w:szCs w:val="24"/>
          <w:lang w:val="pl-PL"/>
        </w:rPr>
        <w:t>Europejskim Bankiem Centralnym.</w:t>
      </w:r>
    </w:p>
    <w:sectPr w:rsidR="00C77F73" w:rsidSect="003072CD">
      <w:footerReference w:type="default" r:id="rId12"/>
      <w:pgSz w:w="11906" w:h="16838"/>
      <w:pgMar w:top="1588" w:right="1418" w:bottom="1418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B78" w:rsidRDefault="00962B78" w:rsidP="00375C29">
      <w:pPr>
        <w:spacing w:after="0" w:line="240" w:lineRule="auto"/>
      </w:pPr>
      <w:r>
        <w:separator/>
      </w:r>
    </w:p>
  </w:endnote>
  <w:endnote w:type="continuationSeparator" w:id="0">
    <w:p w:rsidR="00962B78" w:rsidRDefault="00962B78" w:rsidP="00375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64908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50389" w:rsidRPr="003072CD" w:rsidRDefault="00F50389" w:rsidP="003072CD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072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72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72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592D" w:rsidRPr="0047592D">
          <w:rPr>
            <w:rFonts w:ascii="Times New Roman" w:hAnsi="Times New Roman" w:cs="Times New Roman"/>
            <w:noProof/>
            <w:sz w:val="24"/>
            <w:szCs w:val="24"/>
            <w:lang w:val="pl-PL"/>
          </w:rPr>
          <w:t>9</w:t>
        </w:r>
        <w:r w:rsidRPr="003072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B78" w:rsidRDefault="00962B78" w:rsidP="00375C29">
      <w:pPr>
        <w:spacing w:after="0" w:line="240" w:lineRule="auto"/>
      </w:pPr>
      <w:r>
        <w:separator/>
      </w:r>
    </w:p>
  </w:footnote>
  <w:footnote w:type="continuationSeparator" w:id="0">
    <w:p w:rsidR="00962B78" w:rsidRDefault="00962B78" w:rsidP="00375C29">
      <w:pPr>
        <w:spacing w:after="0" w:line="240" w:lineRule="auto"/>
      </w:pPr>
      <w:r>
        <w:continuationSeparator/>
      </w:r>
    </w:p>
  </w:footnote>
  <w:footnote w:id="1">
    <w:p w:rsidR="009725B4" w:rsidRPr="00CF2091" w:rsidRDefault="009725B4" w:rsidP="00CF2091">
      <w:pPr>
        <w:pStyle w:val="Tekstprzypisudolnego"/>
        <w:ind w:left="284" w:hanging="284"/>
        <w:jc w:val="both"/>
        <w:rPr>
          <w:rFonts w:ascii="Times New Roman" w:hAnsi="Times New Roman" w:cs="Times New Roman"/>
          <w:lang w:val="pl-PL"/>
        </w:rPr>
      </w:pPr>
      <w:r w:rsidRPr="00CF2091">
        <w:rPr>
          <w:rStyle w:val="Odwoanieprzypisudolnego"/>
          <w:rFonts w:ascii="Times New Roman" w:hAnsi="Times New Roman" w:cs="Times New Roman"/>
        </w:rPr>
        <w:footnoteRef/>
      </w:r>
      <w:r w:rsidRPr="00CF2091">
        <w:rPr>
          <w:rFonts w:ascii="Times New Roman" w:hAnsi="Times New Roman" w:cs="Times New Roman"/>
          <w:vertAlign w:val="superscript"/>
          <w:lang w:val="pl-PL"/>
        </w:rPr>
        <w:t>)</w:t>
      </w:r>
      <w:r w:rsidR="00CF2091" w:rsidRPr="00CF2091">
        <w:rPr>
          <w:rFonts w:ascii="Times New Roman" w:hAnsi="Times New Roman" w:cs="Times New Roman"/>
          <w:vertAlign w:val="superscript"/>
          <w:lang w:val="pl-PL"/>
        </w:rPr>
        <w:tab/>
      </w:r>
      <w:r w:rsidRPr="00CF2091">
        <w:rPr>
          <w:rFonts w:ascii="Times New Roman" w:hAnsi="Times New Roman" w:cs="Times New Roman"/>
          <w:lang w:val="pl-PL"/>
        </w:rPr>
        <w:t>Wysokość opłaty na 2019 r. wynika z rozporządzenia Ministra Finansów z dnia 30 stycznia 2018 r. w sprawie opłaty za ustalanie wskaźnika ryzyka (Dz. U. poz. 282</w:t>
      </w:r>
      <w:r w:rsidR="00E572F4" w:rsidRPr="00CF2091">
        <w:rPr>
          <w:rFonts w:ascii="Times New Roman" w:hAnsi="Times New Roman" w:cs="Times New Roman"/>
          <w:lang w:val="pl-PL"/>
        </w:rPr>
        <w:t xml:space="preserve"> </w:t>
      </w:r>
      <w:r w:rsidR="00C77F73">
        <w:rPr>
          <w:rFonts w:ascii="Times New Roman" w:hAnsi="Times New Roman" w:cs="Times New Roman"/>
          <w:lang w:val="pl-PL"/>
        </w:rPr>
        <w:t>oraz</w:t>
      </w:r>
      <w:r w:rsidR="00E572F4" w:rsidRPr="00CF2091">
        <w:rPr>
          <w:rFonts w:ascii="Times New Roman" w:hAnsi="Times New Roman" w:cs="Times New Roman"/>
          <w:lang w:val="pl-PL"/>
        </w:rPr>
        <w:t xml:space="preserve"> z 2019 r. poz. 2490</w:t>
      </w:r>
      <w:r w:rsidRPr="00CF2091">
        <w:rPr>
          <w:rFonts w:ascii="Times New Roman" w:hAnsi="Times New Roman" w:cs="Times New Roman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2640"/>
    <w:multiLevelType w:val="hybridMultilevel"/>
    <w:tmpl w:val="71462932"/>
    <w:lvl w:ilvl="0" w:tplc="759C4DE8">
      <w:start w:val="6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871A8"/>
    <w:multiLevelType w:val="hybridMultilevel"/>
    <w:tmpl w:val="FADC862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3244E"/>
    <w:multiLevelType w:val="hybridMultilevel"/>
    <w:tmpl w:val="F1F254DA"/>
    <w:lvl w:ilvl="0" w:tplc="0CA683A0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71450"/>
    <w:multiLevelType w:val="hybridMultilevel"/>
    <w:tmpl w:val="EC401B9A"/>
    <w:lvl w:ilvl="0" w:tplc="2E0AC2B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87810"/>
    <w:multiLevelType w:val="hybridMultilevel"/>
    <w:tmpl w:val="D38078BE"/>
    <w:lvl w:ilvl="0" w:tplc="2E46ADF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C51A20"/>
    <w:multiLevelType w:val="hybridMultilevel"/>
    <w:tmpl w:val="DF8A3C1C"/>
    <w:lvl w:ilvl="0" w:tplc="4A8EA4A2">
      <w:start w:val="2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5610A"/>
    <w:multiLevelType w:val="hybridMultilevel"/>
    <w:tmpl w:val="FA321324"/>
    <w:lvl w:ilvl="0" w:tplc="F894D884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1D77B1"/>
    <w:multiLevelType w:val="hybridMultilevel"/>
    <w:tmpl w:val="8FCAA4E2"/>
    <w:lvl w:ilvl="0" w:tplc="AFB43DDA">
      <w:start w:val="3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C2604CC"/>
    <w:multiLevelType w:val="hybridMultilevel"/>
    <w:tmpl w:val="65A02096"/>
    <w:lvl w:ilvl="0" w:tplc="EB7454A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F1CFB"/>
    <w:multiLevelType w:val="hybridMultilevel"/>
    <w:tmpl w:val="E07EC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44AC7"/>
    <w:multiLevelType w:val="hybridMultilevel"/>
    <w:tmpl w:val="F0BCEA2A"/>
    <w:lvl w:ilvl="0" w:tplc="A22AC9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F91F73"/>
    <w:multiLevelType w:val="hybridMultilevel"/>
    <w:tmpl w:val="38F2243A"/>
    <w:lvl w:ilvl="0" w:tplc="66F09742">
      <w:start w:val="1"/>
      <w:numFmt w:val="upperRoman"/>
      <w:lvlText w:val="%1.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2764B04"/>
    <w:multiLevelType w:val="hybridMultilevel"/>
    <w:tmpl w:val="A1E698EE"/>
    <w:lvl w:ilvl="0" w:tplc="66F097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397433"/>
    <w:multiLevelType w:val="hybridMultilevel"/>
    <w:tmpl w:val="00BC63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D97AE9"/>
    <w:multiLevelType w:val="hybridMultilevel"/>
    <w:tmpl w:val="313893E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DF54C8"/>
    <w:multiLevelType w:val="hybridMultilevel"/>
    <w:tmpl w:val="ECD8A65C"/>
    <w:lvl w:ilvl="0" w:tplc="944E0012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FD3369"/>
    <w:multiLevelType w:val="hybridMultilevel"/>
    <w:tmpl w:val="07104200"/>
    <w:lvl w:ilvl="0" w:tplc="83920AE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833138"/>
    <w:multiLevelType w:val="hybridMultilevel"/>
    <w:tmpl w:val="539862AE"/>
    <w:lvl w:ilvl="0" w:tplc="744E75E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5E12C8A"/>
    <w:multiLevelType w:val="hybridMultilevel"/>
    <w:tmpl w:val="4FDC2EA2"/>
    <w:lvl w:ilvl="0" w:tplc="296EDB44">
      <w:start w:val="1"/>
      <w:numFmt w:val="lowerLetter"/>
      <w:pStyle w:val="Nagwek2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7E21059"/>
    <w:multiLevelType w:val="hybridMultilevel"/>
    <w:tmpl w:val="C95204BC"/>
    <w:lvl w:ilvl="0" w:tplc="2E40B0D6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47CF3"/>
    <w:multiLevelType w:val="hybridMultilevel"/>
    <w:tmpl w:val="22C4436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F764C7"/>
    <w:multiLevelType w:val="hybridMultilevel"/>
    <w:tmpl w:val="D0B664C2"/>
    <w:lvl w:ilvl="0" w:tplc="FB14C42E">
      <w:start w:val="5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548FE"/>
    <w:multiLevelType w:val="hybridMultilevel"/>
    <w:tmpl w:val="D986AB58"/>
    <w:lvl w:ilvl="0" w:tplc="FF90BB6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4D9C1FC1"/>
    <w:multiLevelType w:val="hybridMultilevel"/>
    <w:tmpl w:val="55E0E8D4"/>
    <w:lvl w:ilvl="0" w:tplc="E612C6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92908"/>
    <w:multiLevelType w:val="hybridMultilevel"/>
    <w:tmpl w:val="9A34366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D87B9B"/>
    <w:multiLevelType w:val="hybridMultilevel"/>
    <w:tmpl w:val="E7320E14"/>
    <w:lvl w:ilvl="0" w:tplc="E612C6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F46EA1"/>
    <w:multiLevelType w:val="hybridMultilevel"/>
    <w:tmpl w:val="D902A538"/>
    <w:lvl w:ilvl="0" w:tplc="EECA5AA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0E3DF0"/>
    <w:multiLevelType w:val="hybridMultilevel"/>
    <w:tmpl w:val="E3549A22"/>
    <w:lvl w:ilvl="0" w:tplc="59C2D5E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463A7A"/>
    <w:multiLevelType w:val="hybridMultilevel"/>
    <w:tmpl w:val="12349D0C"/>
    <w:lvl w:ilvl="0" w:tplc="6BF05874">
      <w:start w:val="7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D664C9"/>
    <w:multiLevelType w:val="hybridMultilevel"/>
    <w:tmpl w:val="FF08635C"/>
    <w:lvl w:ilvl="0" w:tplc="2B86F80E">
      <w:start w:val="1"/>
      <w:numFmt w:val="decimal"/>
      <w:pStyle w:val="Nagwek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721338"/>
    <w:multiLevelType w:val="hybridMultilevel"/>
    <w:tmpl w:val="1CFEA9C8"/>
    <w:lvl w:ilvl="0" w:tplc="6D1C6A0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8657B"/>
    <w:multiLevelType w:val="hybridMultilevel"/>
    <w:tmpl w:val="C2C44A78"/>
    <w:lvl w:ilvl="0" w:tplc="3C7A5CA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9"/>
  </w:num>
  <w:num w:numId="3">
    <w:abstractNumId w:val="29"/>
  </w:num>
  <w:num w:numId="4">
    <w:abstractNumId w:val="29"/>
  </w:num>
  <w:num w:numId="5">
    <w:abstractNumId w:val="30"/>
  </w:num>
  <w:num w:numId="6">
    <w:abstractNumId w:val="6"/>
  </w:num>
  <w:num w:numId="7">
    <w:abstractNumId w:val="6"/>
  </w:num>
  <w:num w:numId="8">
    <w:abstractNumId w:val="17"/>
  </w:num>
  <w:num w:numId="9">
    <w:abstractNumId w:val="17"/>
  </w:num>
  <w:num w:numId="10">
    <w:abstractNumId w:val="27"/>
  </w:num>
  <w:num w:numId="11">
    <w:abstractNumId w:val="29"/>
  </w:num>
  <w:num w:numId="12">
    <w:abstractNumId w:val="29"/>
  </w:num>
  <w:num w:numId="13">
    <w:abstractNumId w:val="18"/>
  </w:num>
  <w:num w:numId="14">
    <w:abstractNumId w:val="18"/>
  </w:num>
  <w:num w:numId="15">
    <w:abstractNumId w:val="16"/>
  </w:num>
  <w:num w:numId="16">
    <w:abstractNumId w:val="9"/>
  </w:num>
  <w:num w:numId="17">
    <w:abstractNumId w:val="12"/>
  </w:num>
  <w:num w:numId="18">
    <w:abstractNumId w:val="3"/>
  </w:num>
  <w:num w:numId="19">
    <w:abstractNumId w:val="1"/>
  </w:num>
  <w:num w:numId="20">
    <w:abstractNumId w:val="20"/>
  </w:num>
  <w:num w:numId="21">
    <w:abstractNumId w:val="14"/>
  </w:num>
  <w:num w:numId="22">
    <w:abstractNumId w:val="15"/>
  </w:num>
  <w:num w:numId="23">
    <w:abstractNumId w:val="23"/>
  </w:num>
  <w:num w:numId="24">
    <w:abstractNumId w:val="25"/>
  </w:num>
  <w:num w:numId="25">
    <w:abstractNumId w:val="11"/>
  </w:num>
  <w:num w:numId="26">
    <w:abstractNumId w:val="8"/>
  </w:num>
  <w:num w:numId="27">
    <w:abstractNumId w:val="7"/>
  </w:num>
  <w:num w:numId="28">
    <w:abstractNumId w:val="21"/>
  </w:num>
  <w:num w:numId="29">
    <w:abstractNumId w:val="0"/>
  </w:num>
  <w:num w:numId="30">
    <w:abstractNumId w:val="4"/>
  </w:num>
  <w:num w:numId="31">
    <w:abstractNumId w:val="22"/>
  </w:num>
  <w:num w:numId="32">
    <w:abstractNumId w:val="26"/>
  </w:num>
  <w:num w:numId="33">
    <w:abstractNumId w:val="31"/>
  </w:num>
  <w:num w:numId="34">
    <w:abstractNumId w:val="5"/>
  </w:num>
  <w:num w:numId="35">
    <w:abstractNumId w:val="10"/>
  </w:num>
  <w:num w:numId="36">
    <w:abstractNumId w:val="28"/>
  </w:num>
  <w:num w:numId="37">
    <w:abstractNumId w:val="13"/>
  </w:num>
  <w:num w:numId="38">
    <w:abstractNumId w:val="24"/>
  </w:num>
  <w:num w:numId="39">
    <w:abstractNumId w:val="19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zMjW2MDezNLQ0MDZV0lEKTi0uzszPAykwrgUA1KvHaCwAAAA="/>
  </w:docVars>
  <w:rsids>
    <w:rsidRoot w:val="001650F5"/>
    <w:rsid w:val="00004323"/>
    <w:rsid w:val="0001262D"/>
    <w:rsid w:val="000133F7"/>
    <w:rsid w:val="00017552"/>
    <w:rsid w:val="00024A3F"/>
    <w:rsid w:val="000264A5"/>
    <w:rsid w:val="00027125"/>
    <w:rsid w:val="0002763D"/>
    <w:rsid w:val="0003124D"/>
    <w:rsid w:val="00034523"/>
    <w:rsid w:val="00044874"/>
    <w:rsid w:val="0004750B"/>
    <w:rsid w:val="000551E3"/>
    <w:rsid w:val="000579C8"/>
    <w:rsid w:val="00062144"/>
    <w:rsid w:val="000656F6"/>
    <w:rsid w:val="00070AE6"/>
    <w:rsid w:val="00071483"/>
    <w:rsid w:val="000842D2"/>
    <w:rsid w:val="00086D3F"/>
    <w:rsid w:val="000A442C"/>
    <w:rsid w:val="000A77AA"/>
    <w:rsid w:val="000B3BA5"/>
    <w:rsid w:val="000B570E"/>
    <w:rsid w:val="000B7434"/>
    <w:rsid w:val="000C488C"/>
    <w:rsid w:val="000C7306"/>
    <w:rsid w:val="000D15DB"/>
    <w:rsid w:val="000D3AD3"/>
    <w:rsid w:val="000E09F9"/>
    <w:rsid w:val="000E2257"/>
    <w:rsid w:val="000F13C4"/>
    <w:rsid w:val="000F5182"/>
    <w:rsid w:val="000F69A7"/>
    <w:rsid w:val="001075C0"/>
    <w:rsid w:val="00110749"/>
    <w:rsid w:val="00131F2B"/>
    <w:rsid w:val="0013430B"/>
    <w:rsid w:val="001650F5"/>
    <w:rsid w:val="001675B1"/>
    <w:rsid w:val="00171FE2"/>
    <w:rsid w:val="0017553F"/>
    <w:rsid w:val="0017740F"/>
    <w:rsid w:val="00177D5D"/>
    <w:rsid w:val="00180285"/>
    <w:rsid w:val="001856E7"/>
    <w:rsid w:val="0019616C"/>
    <w:rsid w:val="00197437"/>
    <w:rsid w:val="001A2C74"/>
    <w:rsid w:val="001A39FE"/>
    <w:rsid w:val="001A5491"/>
    <w:rsid w:val="001A79A5"/>
    <w:rsid w:val="001B08BF"/>
    <w:rsid w:val="001B0B14"/>
    <w:rsid w:val="001B2106"/>
    <w:rsid w:val="001B6544"/>
    <w:rsid w:val="001C09C3"/>
    <w:rsid w:val="001C1405"/>
    <w:rsid w:val="001C47CF"/>
    <w:rsid w:val="001C70D6"/>
    <w:rsid w:val="001D1BE5"/>
    <w:rsid w:val="001D1E09"/>
    <w:rsid w:val="001D3A93"/>
    <w:rsid w:val="001E4756"/>
    <w:rsid w:val="001F38EF"/>
    <w:rsid w:val="001F411C"/>
    <w:rsid w:val="001F5A85"/>
    <w:rsid w:val="00213222"/>
    <w:rsid w:val="00213CBA"/>
    <w:rsid w:val="00217055"/>
    <w:rsid w:val="00223F17"/>
    <w:rsid w:val="002331BA"/>
    <w:rsid w:val="00244720"/>
    <w:rsid w:val="00244951"/>
    <w:rsid w:val="00245BE6"/>
    <w:rsid w:val="0025784B"/>
    <w:rsid w:val="0026787B"/>
    <w:rsid w:val="00273EAA"/>
    <w:rsid w:val="002774F3"/>
    <w:rsid w:val="002849C3"/>
    <w:rsid w:val="002863A1"/>
    <w:rsid w:val="002930D0"/>
    <w:rsid w:val="002A092F"/>
    <w:rsid w:val="002A1252"/>
    <w:rsid w:val="002A2D30"/>
    <w:rsid w:val="002A471F"/>
    <w:rsid w:val="002A614C"/>
    <w:rsid w:val="002B3447"/>
    <w:rsid w:val="002B7071"/>
    <w:rsid w:val="002C427D"/>
    <w:rsid w:val="002C4A51"/>
    <w:rsid w:val="002D1BC1"/>
    <w:rsid w:val="002D3198"/>
    <w:rsid w:val="002E379C"/>
    <w:rsid w:val="002E7209"/>
    <w:rsid w:val="002F4FB3"/>
    <w:rsid w:val="00304D08"/>
    <w:rsid w:val="00305CAD"/>
    <w:rsid w:val="00306389"/>
    <w:rsid w:val="003072CD"/>
    <w:rsid w:val="00307687"/>
    <w:rsid w:val="00334025"/>
    <w:rsid w:val="00337433"/>
    <w:rsid w:val="00346BDD"/>
    <w:rsid w:val="00351545"/>
    <w:rsid w:val="0035352A"/>
    <w:rsid w:val="003737AC"/>
    <w:rsid w:val="00375C29"/>
    <w:rsid w:val="00375C89"/>
    <w:rsid w:val="00382BA5"/>
    <w:rsid w:val="00384238"/>
    <w:rsid w:val="00384EA2"/>
    <w:rsid w:val="00392AF7"/>
    <w:rsid w:val="003943D5"/>
    <w:rsid w:val="003A1F62"/>
    <w:rsid w:val="003A7516"/>
    <w:rsid w:val="003B1C18"/>
    <w:rsid w:val="003B1F46"/>
    <w:rsid w:val="003B7AF1"/>
    <w:rsid w:val="003C66AA"/>
    <w:rsid w:val="003E4C53"/>
    <w:rsid w:val="003F111F"/>
    <w:rsid w:val="003F2350"/>
    <w:rsid w:val="003F7375"/>
    <w:rsid w:val="00402CFA"/>
    <w:rsid w:val="00402D19"/>
    <w:rsid w:val="0041003F"/>
    <w:rsid w:val="00410D90"/>
    <w:rsid w:val="00413B03"/>
    <w:rsid w:val="00415187"/>
    <w:rsid w:val="004175BA"/>
    <w:rsid w:val="004257B7"/>
    <w:rsid w:val="00434C45"/>
    <w:rsid w:val="004360F0"/>
    <w:rsid w:val="00443FC8"/>
    <w:rsid w:val="004449A5"/>
    <w:rsid w:val="0045348D"/>
    <w:rsid w:val="00454FC8"/>
    <w:rsid w:val="00465047"/>
    <w:rsid w:val="00471120"/>
    <w:rsid w:val="00472F08"/>
    <w:rsid w:val="0047592D"/>
    <w:rsid w:val="00475C3D"/>
    <w:rsid w:val="0048070C"/>
    <w:rsid w:val="0048760A"/>
    <w:rsid w:val="004879A9"/>
    <w:rsid w:val="0049427F"/>
    <w:rsid w:val="00497AC9"/>
    <w:rsid w:val="004A05F6"/>
    <w:rsid w:val="004B17FB"/>
    <w:rsid w:val="004B37BA"/>
    <w:rsid w:val="004D6A42"/>
    <w:rsid w:val="004D7749"/>
    <w:rsid w:val="004E4B4B"/>
    <w:rsid w:val="004E66EC"/>
    <w:rsid w:val="00504EC6"/>
    <w:rsid w:val="00510E39"/>
    <w:rsid w:val="005129B4"/>
    <w:rsid w:val="005132FD"/>
    <w:rsid w:val="005154FB"/>
    <w:rsid w:val="005206A6"/>
    <w:rsid w:val="00525004"/>
    <w:rsid w:val="00525A13"/>
    <w:rsid w:val="00546114"/>
    <w:rsid w:val="005462E0"/>
    <w:rsid w:val="0055203F"/>
    <w:rsid w:val="00561B41"/>
    <w:rsid w:val="005624F2"/>
    <w:rsid w:val="00562755"/>
    <w:rsid w:val="0056279B"/>
    <w:rsid w:val="0056382E"/>
    <w:rsid w:val="00587DCC"/>
    <w:rsid w:val="005A0C63"/>
    <w:rsid w:val="005A2316"/>
    <w:rsid w:val="005A25D2"/>
    <w:rsid w:val="005A3822"/>
    <w:rsid w:val="005A505F"/>
    <w:rsid w:val="005B4DDB"/>
    <w:rsid w:val="005B4EA5"/>
    <w:rsid w:val="005C3598"/>
    <w:rsid w:val="005E68EB"/>
    <w:rsid w:val="005F00FF"/>
    <w:rsid w:val="00610465"/>
    <w:rsid w:val="00617796"/>
    <w:rsid w:val="00623078"/>
    <w:rsid w:val="00623EC9"/>
    <w:rsid w:val="00624CDB"/>
    <w:rsid w:val="00637E85"/>
    <w:rsid w:val="00640004"/>
    <w:rsid w:val="00642649"/>
    <w:rsid w:val="00643273"/>
    <w:rsid w:val="0066198E"/>
    <w:rsid w:val="00662DC4"/>
    <w:rsid w:val="006668A0"/>
    <w:rsid w:val="0067170B"/>
    <w:rsid w:val="00672B53"/>
    <w:rsid w:val="00672E99"/>
    <w:rsid w:val="00677821"/>
    <w:rsid w:val="00682609"/>
    <w:rsid w:val="00691C6D"/>
    <w:rsid w:val="006A0730"/>
    <w:rsid w:val="006A0CE0"/>
    <w:rsid w:val="006A25C0"/>
    <w:rsid w:val="006A64A6"/>
    <w:rsid w:val="006D3ECA"/>
    <w:rsid w:val="006E070E"/>
    <w:rsid w:val="006E1A72"/>
    <w:rsid w:val="006F3F10"/>
    <w:rsid w:val="00702ED1"/>
    <w:rsid w:val="0071067F"/>
    <w:rsid w:val="00711728"/>
    <w:rsid w:val="00716140"/>
    <w:rsid w:val="00723AC6"/>
    <w:rsid w:val="00735A8E"/>
    <w:rsid w:val="00745273"/>
    <w:rsid w:val="0074677A"/>
    <w:rsid w:val="00756D79"/>
    <w:rsid w:val="00771EC4"/>
    <w:rsid w:val="00777E23"/>
    <w:rsid w:val="00781956"/>
    <w:rsid w:val="00783004"/>
    <w:rsid w:val="007852FC"/>
    <w:rsid w:val="00787357"/>
    <w:rsid w:val="00790D7A"/>
    <w:rsid w:val="007912C5"/>
    <w:rsid w:val="00793397"/>
    <w:rsid w:val="00795C42"/>
    <w:rsid w:val="007A3DBD"/>
    <w:rsid w:val="007C08FF"/>
    <w:rsid w:val="007C1280"/>
    <w:rsid w:val="007C1F47"/>
    <w:rsid w:val="007C47D0"/>
    <w:rsid w:val="007C564E"/>
    <w:rsid w:val="007C6EBD"/>
    <w:rsid w:val="007D0C16"/>
    <w:rsid w:val="007D1880"/>
    <w:rsid w:val="007D5C17"/>
    <w:rsid w:val="007D62F6"/>
    <w:rsid w:val="007E709A"/>
    <w:rsid w:val="007E712A"/>
    <w:rsid w:val="007F32E6"/>
    <w:rsid w:val="007F3A66"/>
    <w:rsid w:val="007F5EA2"/>
    <w:rsid w:val="00806B0B"/>
    <w:rsid w:val="008075FE"/>
    <w:rsid w:val="00807600"/>
    <w:rsid w:val="008079C8"/>
    <w:rsid w:val="0081278E"/>
    <w:rsid w:val="008148DE"/>
    <w:rsid w:val="00817034"/>
    <w:rsid w:val="00817554"/>
    <w:rsid w:val="00817F6C"/>
    <w:rsid w:val="00824246"/>
    <w:rsid w:val="008435B4"/>
    <w:rsid w:val="00844B29"/>
    <w:rsid w:val="00851325"/>
    <w:rsid w:val="00851704"/>
    <w:rsid w:val="008551D6"/>
    <w:rsid w:val="008562D0"/>
    <w:rsid w:val="00865223"/>
    <w:rsid w:val="00882430"/>
    <w:rsid w:val="008842A7"/>
    <w:rsid w:val="00886B59"/>
    <w:rsid w:val="008C13C6"/>
    <w:rsid w:val="008C220D"/>
    <w:rsid w:val="008D53B6"/>
    <w:rsid w:val="008D783C"/>
    <w:rsid w:val="008E5D79"/>
    <w:rsid w:val="008F569F"/>
    <w:rsid w:val="00903AEA"/>
    <w:rsid w:val="009125AA"/>
    <w:rsid w:val="00916902"/>
    <w:rsid w:val="00923A05"/>
    <w:rsid w:val="009338D8"/>
    <w:rsid w:val="0093443A"/>
    <w:rsid w:val="009372DA"/>
    <w:rsid w:val="009447F8"/>
    <w:rsid w:val="00950780"/>
    <w:rsid w:val="00953D48"/>
    <w:rsid w:val="00954338"/>
    <w:rsid w:val="00962B78"/>
    <w:rsid w:val="00963A3B"/>
    <w:rsid w:val="00971E7E"/>
    <w:rsid w:val="009725B4"/>
    <w:rsid w:val="00975EE1"/>
    <w:rsid w:val="009812A0"/>
    <w:rsid w:val="00982622"/>
    <w:rsid w:val="00985006"/>
    <w:rsid w:val="00987E0D"/>
    <w:rsid w:val="009956AC"/>
    <w:rsid w:val="009A1A1E"/>
    <w:rsid w:val="009A6F67"/>
    <w:rsid w:val="009B0517"/>
    <w:rsid w:val="009B3273"/>
    <w:rsid w:val="009C0998"/>
    <w:rsid w:val="009C5B74"/>
    <w:rsid w:val="009D4FF9"/>
    <w:rsid w:val="009D6F6E"/>
    <w:rsid w:val="009D792C"/>
    <w:rsid w:val="009E2C05"/>
    <w:rsid w:val="009F292F"/>
    <w:rsid w:val="009F635D"/>
    <w:rsid w:val="00A01458"/>
    <w:rsid w:val="00A02615"/>
    <w:rsid w:val="00A062A4"/>
    <w:rsid w:val="00A06C34"/>
    <w:rsid w:val="00A07086"/>
    <w:rsid w:val="00A07F15"/>
    <w:rsid w:val="00A10FD7"/>
    <w:rsid w:val="00A17A31"/>
    <w:rsid w:val="00A21E34"/>
    <w:rsid w:val="00A22423"/>
    <w:rsid w:val="00A23037"/>
    <w:rsid w:val="00A238E2"/>
    <w:rsid w:val="00A2414A"/>
    <w:rsid w:val="00A308F2"/>
    <w:rsid w:val="00A31598"/>
    <w:rsid w:val="00A42838"/>
    <w:rsid w:val="00A45E30"/>
    <w:rsid w:val="00A4628D"/>
    <w:rsid w:val="00A6111D"/>
    <w:rsid w:val="00A63728"/>
    <w:rsid w:val="00A747F3"/>
    <w:rsid w:val="00A804E7"/>
    <w:rsid w:val="00AA466B"/>
    <w:rsid w:val="00AB7064"/>
    <w:rsid w:val="00AB7321"/>
    <w:rsid w:val="00AC132E"/>
    <w:rsid w:val="00AC507F"/>
    <w:rsid w:val="00AC57FA"/>
    <w:rsid w:val="00AC5D74"/>
    <w:rsid w:val="00AD03E5"/>
    <w:rsid w:val="00AE244E"/>
    <w:rsid w:val="00AE2A1D"/>
    <w:rsid w:val="00AF3FFB"/>
    <w:rsid w:val="00AF66E8"/>
    <w:rsid w:val="00B07DF2"/>
    <w:rsid w:val="00B11390"/>
    <w:rsid w:val="00B11A94"/>
    <w:rsid w:val="00B17C41"/>
    <w:rsid w:val="00B2049B"/>
    <w:rsid w:val="00B27270"/>
    <w:rsid w:val="00B36F1E"/>
    <w:rsid w:val="00B4434B"/>
    <w:rsid w:val="00B54D31"/>
    <w:rsid w:val="00B563A9"/>
    <w:rsid w:val="00B63272"/>
    <w:rsid w:val="00B66F6C"/>
    <w:rsid w:val="00B711B4"/>
    <w:rsid w:val="00B71A13"/>
    <w:rsid w:val="00B8504A"/>
    <w:rsid w:val="00BA0ED7"/>
    <w:rsid w:val="00BA2824"/>
    <w:rsid w:val="00BA74EC"/>
    <w:rsid w:val="00BA786A"/>
    <w:rsid w:val="00BB4BB2"/>
    <w:rsid w:val="00BC3228"/>
    <w:rsid w:val="00BC71FB"/>
    <w:rsid w:val="00BD26B9"/>
    <w:rsid w:val="00BD3FDC"/>
    <w:rsid w:val="00BF07E6"/>
    <w:rsid w:val="00BF2D8D"/>
    <w:rsid w:val="00C11D59"/>
    <w:rsid w:val="00C12DAA"/>
    <w:rsid w:val="00C25ABE"/>
    <w:rsid w:val="00C25F88"/>
    <w:rsid w:val="00C31916"/>
    <w:rsid w:val="00C477D8"/>
    <w:rsid w:val="00C5425C"/>
    <w:rsid w:val="00C65F52"/>
    <w:rsid w:val="00C70BD8"/>
    <w:rsid w:val="00C73B85"/>
    <w:rsid w:val="00C77F73"/>
    <w:rsid w:val="00C82A39"/>
    <w:rsid w:val="00C8686F"/>
    <w:rsid w:val="00C935B2"/>
    <w:rsid w:val="00CA0793"/>
    <w:rsid w:val="00CA2112"/>
    <w:rsid w:val="00CA66EB"/>
    <w:rsid w:val="00CC1A9E"/>
    <w:rsid w:val="00CC42F8"/>
    <w:rsid w:val="00CC5AF5"/>
    <w:rsid w:val="00CD4804"/>
    <w:rsid w:val="00CD6EAA"/>
    <w:rsid w:val="00CE0F94"/>
    <w:rsid w:val="00CE4701"/>
    <w:rsid w:val="00CF2091"/>
    <w:rsid w:val="00CF20B5"/>
    <w:rsid w:val="00CF5C11"/>
    <w:rsid w:val="00CF7FE6"/>
    <w:rsid w:val="00D17A61"/>
    <w:rsid w:val="00D23136"/>
    <w:rsid w:val="00D312CF"/>
    <w:rsid w:val="00D508D9"/>
    <w:rsid w:val="00D5107E"/>
    <w:rsid w:val="00D5184B"/>
    <w:rsid w:val="00D549C6"/>
    <w:rsid w:val="00D554EF"/>
    <w:rsid w:val="00D57DE2"/>
    <w:rsid w:val="00D64BA7"/>
    <w:rsid w:val="00D856F1"/>
    <w:rsid w:val="00D85AD1"/>
    <w:rsid w:val="00DA514E"/>
    <w:rsid w:val="00DB14A9"/>
    <w:rsid w:val="00DB67A2"/>
    <w:rsid w:val="00DC27E8"/>
    <w:rsid w:val="00DC296F"/>
    <w:rsid w:val="00DE1872"/>
    <w:rsid w:val="00DE2A54"/>
    <w:rsid w:val="00DE7076"/>
    <w:rsid w:val="00DF0E87"/>
    <w:rsid w:val="00E01ED2"/>
    <w:rsid w:val="00E06105"/>
    <w:rsid w:val="00E118D0"/>
    <w:rsid w:val="00E129B2"/>
    <w:rsid w:val="00E14A4E"/>
    <w:rsid w:val="00E16962"/>
    <w:rsid w:val="00E20ADB"/>
    <w:rsid w:val="00E222CD"/>
    <w:rsid w:val="00E225E1"/>
    <w:rsid w:val="00E360CB"/>
    <w:rsid w:val="00E45E61"/>
    <w:rsid w:val="00E522D0"/>
    <w:rsid w:val="00E52A27"/>
    <w:rsid w:val="00E543AF"/>
    <w:rsid w:val="00E572F4"/>
    <w:rsid w:val="00E615F9"/>
    <w:rsid w:val="00E7226F"/>
    <w:rsid w:val="00E746F8"/>
    <w:rsid w:val="00E806CD"/>
    <w:rsid w:val="00E82325"/>
    <w:rsid w:val="00E84DE7"/>
    <w:rsid w:val="00E87B0A"/>
    <w:rsid w:val="00E91EEC"/>
    <w:rsid w:val="00E936D8"/>
    <w:rsid w:val="00EB0CDE"/>
    <w:rsid w:val="00EB3201"/>
    <w:rsid w:val="00EB644B"/>
    <w:rsid w:val="00EE56F7"/>
    <w:rsid w:val="00EE69F0"/>
    <w:rsid w:val="00EF4412"/>
    <w:rsid w:val="00F010F4"/>
    <w:rsid w:val="00F01EBE"/>
    <w:rsid w:val="00F051AC"/>
    <w:rsid w:val="00F208D6"/>
    <w:rsid w:val="00F24B38"/>
    <w:rsid w:val="00F314F2"/>
    <w:rsid w:val="00F32DDA"/>
    <w:rsid w:val="00F4040C"/>
    <w:rsid w:val="00F4180A"/>
    <w:rsid w:val="00F431C3"/>
    <w:rsid w:val="00F50389"/>
    <w:rsid w:val="00F523CF"/>
    <w:rsid w:val="00F55E77"/>
    <w:rsid w:val="00F571C7"/>
    <w:rsid w:val="00F60C3F"/>
    <w:rsid w:val="00F62AD7"/>
    <w:rsid w:val="00F6343F"/>
    <w:rsid w:val="00F6346C"/>
    <w:rsid w:val="00F65BD8"/>
    <w:rsid w:val="00F666F4"/>
    <w:rsid w:val="00F70AE1"/>
    <w:rsid w:val="00F7177C"/>
    <w:rsid w:val="00F74E07"/>
    <w:rsid w:val="00F75D2C"/>
    <w:rsid w:val="00F7727B"/>
    <w:rsid w:val="00F814DD"/>
    <w:rsid w:val="00F85BA2"/>
    <w:rsid w:val="00F93FCB"/>
    <w:rsid w:val="00F95D9D"/>
    <w:rsid w:val="00FA0AE4"/>
    <w:rsid w:val="00FA34EC"/>
    <w:rsid w:val="00FB0A49"/>
    <w:rsid w:val="00FB3AE6"/>
    <w:rsid w:val="00FB3E44"/>
    <w:rsid w:val="00FD1DA2"/>
    <w:rsid w:val="00FD25A6"/>
    <w:rsid w:val="00FD2A5A"/>
    <w:rsid w:val="00FE67F3"/>
    <w:rsid w:val="00FE6A99"/>
    <w:rsid w:val="00FF2A03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A092F"/>
    <w:pPr>
      <w:keepNext/>
      <w:keepLines/>
      <w:numPr>
        <w:numId w:val="1"/>
      </w:numPr>
      <w:spacing w:before="240" w:after="0"/>
      <w:outlineLvl w:val="0"/>
    </w:pPr>
    <w:rPr>
      <w:rFonts w:ascii="Calibri" w:eastAsiaTheme="majorEastAsia" w:hAnsi="Calibri" w:cstheme="majorBidi"/>
      <w:b/>
      <w:color w:val="2E74B5" w:themeColor="accent1" w:themeShade="BF"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A092F"/>
    <w:pPr>
      <w:keepNext/>
      <w:keepLines/>
      <w:numPr>
        <w:numId w:val="14"/>
      </w:numPr>
      <w:spacing w:before="40" w:after="0"/>
      <w:ind w:left="720"/>
      <w:outlineLvl w:val="1"/>
    </w:pPr>
    <w:rPr>
      <w:rFonts w:eastAsia="Times New Roman" w:cstheme="minorHAnsi"/>
      <w:b/>
      <w:color w:val="4472C4" w:themeColor="accent5"/>
      <w:sz w:val="20"/>
      <w:szCs w:val="20"/>
      <w:lang w:val="pl-PL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92F"/>
    <w:rPr>
      <w:rFonts w:ascii="Calibri" w:eastAsiaTheme="majorEastAsia" w:hAnsi="Calibri" w:cstheme="majorBidi"/>
      <w:b/>
      <w:color w:val="2E74B5" w:themeColor="accent1" w:themeShade="BF"/>
      <w:sz w:val="20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9616C"/>
    <w:pPr>
      <w:spacing w:after="100"/>
    </w:pPr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2A092F"/>
    <w:rPr>
      <w:rFonts w:eastAsia="Times New Roman" w:cstheme="minorHAnsi"/>
      <w:b/>
      <w:color w:val="4472C4" w:themeColor="accent5"/>
      <w:sz w:val="20"/>
      <w:szCs w:val="20"/>
      <w:lang w:val="pl-PL" w:eastAsia="en-GB"/>
    </w:rPr>
  </w:style>
  <w:style w:type="paragraph" w:customStyle="1" w:styleId="Default">
    <w:name w:val="Default"/>
    <w:rsid w:val="009C09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paragraph" w:customStyle="1" w:styleId="CoverSubTitle">
    <w:name w:val="CoverSubTitle"/>
    <w:basedOn w:val="Normalny"/>
    <w:link w:val="CoverSubTitleChar"/>
    <w:unhideWhenUsed/>
    <w:rsid w:val="009C0998"/>
    <w:pPr>
      <w:spacing w:after="0" w:line="240" w:lineRule="auto"/>
    </w:pPr>
    <w:rPr>
      <w:rFonts w:ascii="Times New Roman" w:eastAsia="SimSun" w:hAnsi="Times New Roman" w:cs="Times New Roman"/>
      <w:b/>
      <w:szCs w:val="20"/>
    </w:rPr>
  </w:style>
  <w:style w:type="character" w:customStyle="1" w:styleId="CoverSubTitleChar">
    <w:name w:val="CoverSubTitle Char"/>
    <w:link w:val="CoverSubTitle"/>
    <w:rsid w:val="009C0998"/>
    <w:rPr>
      <w:rFonts w:ascii="Times New Roman" w:eastAsia="SimSun" w:hAnsi="Times New Roman" w:cs="Times New Roman"/>
      <w:b/>
      <w:szCs w:val="20"/>
    </w:rPr>
  </w:style>
  <w:style w:type="paragraph" w:styleId="Akapitzlist">
    <w:name w:val="List Paragraph"/>
    <w:basedOn w:val="Normalny"/>
    <w:uiPriority w:val="34"/>
    <w:qFormat/>
    <w:rsid w:val="009C09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6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86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C29"/>
  </w:style>
  <w:style w:type="paragraph" w:styleId="Stopka">
    <w:name w:val="footer"/>
    <w:basedOn w:val="Normalny"/>
    <w:link w:val="StopkaZnak"/>
    <w:uiPriority w:val="99"/>
    <w:unhideWhenUsed/>
    <w:rsid w:val="003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C29"/>
  </w:style>
  <w:style w:type="character" w:styleId="Odwoaniedokomentarza">
    <w:name w:val="annotation reference"/>
    <w:basedOn w:val="Domylnaczcionkaakapitu"/>
    <w:uiPriority w:val="99"/>
    <w:semiHidden/>
    <w:unhideWhenUsed/>
    <w:rsid w:val="00F05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1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1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5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51A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A2112"/>
    <w:rPr>
      <w:color w:val="0000FF"/>
      <w:u w:val="single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624F2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character" w:customStyle="1" w:styleId="Bodytext">
    <w:name w:val="Body text_"/>
    <w:basedOn w:val="Domylnaczcionkaakapitu"/>
    <w:link w:val="Tekstpodstawowy3"/>
    <w:rsid w:val="00923A05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podstawowy3">
    <w:name w:val="Tekst podstawowy3"/>
    <w:basedOn w:val="Normalny"/>
    <w:link w:val="Bodytext"/>
    <w:rsid w:val="00923A05"/>
    <w:pPr>
      <w:shd w:val="clear" w:color="auto" w:fill="FFFFFF"/>
      <w:spacing w:before="240" w:after="60" w:line="340" w:lineRule="exact"/>
      <w:ind w:hanging="460"/>
      <w:jc w:val="both"/>
    </w:pPr>
    <w:rPr>
      <w:rFonts w:ascii="Arial" w:eastAsia="Arial" w:hAnsi="Arial" w:cs="Arial"/>
      <w:sz w:val="19"/>
      <w:szCs w:val="19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3A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3A05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3A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A092F"/>
    <w:pPr>
      <w:keepNext/>
      <w:keepLines/>
      <w:numPr>
        <w:numId w:val="1"/>
      </w:numPr>
      <w:spacing w:before="240" w:after="0"/>
      <w:outlineLvl w:val="0"/>
    </w:pPr>
    <w:rPr>
      <w:rFonts w:ascii="Calibri" w:eastAsiaTheme="majorEastAsia" w:hAnsi="Calibri" w:cstheme="majorBidi"/>
      <w:b/>
      <w:color w:val="2E74B5" w:themeColor="accent1" w:themeShade="BF"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A092F"/>
    <w:pPr>
      <w:keepNext/>
      <w:keepLines/>
      <w:numPr>
        <w:numId w:val="14"/>
      </w:numPr>
      <w:spacing w:before="40" w:after="0"/>
      <w:ind w:left="720"/>
      <w:outlineLvl w:val="1"/>
    </w:pPr>
    <w:rPr>
      <w:rFonts w:eastAsia="Times New Roman" w:cstheme="minorHAnsi"/>
      <w:b/>
      <w:color w:val="4472C4" w:themeColor="accent5"/>
      <w:sz w:val="20"/>
      <w:szCs w:val="20"/>
      <w:lang w:val="pl-PL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92F"/>
    <w:rPr>
      <w:rFonts w:ascii="Calibri" w:eastAsiaTheme="majorEastAsia" w:hAnsi="Calibri" w:cstheme="majorBidi"/>
      <w:b/>
      <w:color w:val="2E74B5" w:themeColor="accent1" w:themeShade="BF"/>
      <w:sz w:val="20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19616C"/>
    <w:pPr>
      <w:spacing w:after="100"/>
    </w:pPr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rsid w:val="002A092F"/>
    <w:rPr>
      <w:rFonts w:eastAsia="Times New Roman" w:cstheme="minorHAnsi"/>
      <w:b/>
      <w:color w:val="4472C4" w:themeColor="accent5"/>
      <w:sz w:val="20"/>
      <w:szCs w:val="20"/>
      <w:lang w:val="pl-PL" w:eastAsia="en-GB"/>
    </w:rPr>
  </w:style>
  <w:style w:type="paragraph" w:customStyle="1" w:styleId="Default">
    <w:name w:val="Default"/>
    <w:rsid w:val="009C09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l-PL" w:eastAsia="pl-PL"/>
    </w:rPr>
  </w:style>
  <w:style w:type="paragraph" w:customStyle="1" w:styleId="CoverSubTitle">
    <w:name w:val="CoverSubTitle"/>
    <w:basedOn w:val="Normalny"/>
    <w:link w:val="CoverSubTitleChar"/>
    <w:unhideWhenUsed/>
    <w:rsid w:val="009C0998"/>
    <w:pPr>
      <w:spacing w:after="0" w:line="240" w:lineRule="auto"/>
    </w:pPr>
    <w:rPr>
      <w:rFonts w:ascii="Times New Roman" w:eastAsia="SimSun" w:hAnsi="Times New Roman" w:cs="Times New Roman"/>
      <w:b/>
      <w:szCs w:val="20"/>
    </w:rPr>
  </w:style>
  <w:style w:type="character" w:customStyle="1" w:styleId="CoverSubTitleChar">
    <w:name w:val="CoverSubTitle Char"/>
    <w:link w:val="CoverSubTitle"/>
    <w:rsid w:val="009C0998"/>
    <w:rPr>
      <w:rFonts w:ascii="Times New Roman" w:eastAsia="SimSun" w:hAnsi="Times New Roman" w:cs="Times New Roman"/>
      <w:b/>
      <w:szCs w:val="20"/>
    </w:rPr>
  </w:style>
  <w:style w:type="paragraph" w:styleId="Akapitzlist">
    <w:name w:val="List Paragraph"/>
    <w:basedOn w:val="Normalny"/>
    <w:uiPriority w:val="34"/>
    <w:qFormat/>
    <w:rsid w:val="009C09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6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686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C29"/>
  </w:style>
  <w:style w:type="paragraph" w:styleId="Stopka">
    <w:name w:val="footer"/>
    <w:basedOn w:val="Normalny"/>
    <w:link w:val="StopkaZnak"/>
    <w:uiPriority w:val="99"/>
    <w:unhideWhenUsed/>
    <w:rsid w:val="003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C29"/>
  </w:style>
  <w:style w:type="character" w:styleId="Odwoaniedokomentarza">
    <w:name w:val="annotation reference"/>
    <w:basedOn w:val="Domylnaczcionkaakapitu"/>
    <w:uiPriority w:val="99"/>
    <w:semiHidden/>
    <w:unhideWhenUsed/>
    <w:rsid w:val="00F05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1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1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5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51A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CA2112"/>
    <w:rPr>
      <w:color w:val="0000FF"/>
      <w:u w:val="single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624F2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val="pl-PL" w:eastAsia="pl-PL"/>
    </w:rPr>
  </w:style>
  <w:style w:type="character" w:customStyle="1" w:styleId="Bodytext">
    <w:name w:val="Body text_"/>
    <w:basedOn w:val="Domylnaczcionkaakapitu"/>
    <w:link w:val="Tekstpodstawowy3"/>
    <w:rsid w:val="00923A05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podstawowy3">
    <w:name w:val="Tekst podstawowy3"/>
    <w:basedOn w:val="Normalny"/>
    <w:link w:val="Bodytext"/>
    <w:rsid w:val="00923A05"/>
    <w:pPr>
      <w:shd w:val="clear" w:color="auto" w:fill="FFFFFF"/>
      <w:spacing w:before="240" w:after="60" w:line="340" w:lineRule="exact"/>
      <w:ind w:hanging="460"/>
      <w:jc w:val="both"/>
    </w:pPr>
    <w:rPr>
      <w:rFonts w:ascii="Arial" w:eastAsia="Arial" w:hAnsi="Arial" w:cs="Arial"/>
      <w:sz w:val="19"/>
      <w:szCs w:val="19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3A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3A05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3A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508BF8F95AF644AB0F823F98C2FBF8" ma:contentTypeVersion="" ma:contentTypeDescription="Utwórz nowy dokument." ma:contentTypeScope="" ma:versionID="0a9078ab1ec66175d5eeefd71a8779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F88EC-E65B-474A-9A77-B4343B22A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9612EB-7CAB-473F-BF5B-7EDA1AE5E1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57CC45-6413-4233-918E-0332DE2A1F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C13F15-3041-43E0-A306-A6E0220B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25</Pages>
  <Words>8304</Words>
  <Characters>49830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Żak Andrzej</dc:creator>
  <cp:lastModifiedBy>Wójcik Aleksandra</cp:lastModifiedBy>
  <cp:revision>12</cp:revision>
  <cp:lastPrinted>2019-01-04T10:51:00Z</cp:lastPrinted>
  <dcterms:created xsi:type="dcterms:W3CDTF">2019-02-13T10:39:00Z</dcterms:created>
  <dcterms:modified xsi:type="dcterms:W3CDTF">2019-02-13T13:41:00Z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0x010100E2508BF8F95AF644AB0F823F98C2FBF8</vt:lpwstr>
  </property>
</Properties>
</file>