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CDE" w:rsidRPr="00613011" w:rsidRDefault="00AC3CDE" w:rsidP="00613011">
      <w:pPr>
        <w:pStyle w:val="OZNRODZAKTUtznustawalubrozporzdzenieiorganwydajcy"/>
      </w:pPr>
      <w:r w:rsidRPr="00613011">
        <w:t>UZASADNIENIE</w:t>
      </w:r>
    </w:p>
    <w:p w:rsidR="00AC3CDE" w:rsidRDefault="00AC3CDE" w:rsidP="0015321A">
      <w:pPr>
        <w:pStyle w:val="NIEARTTEKSTtekstnieartykuowanynppodstprawnarozplubpreambua"/>
      </w:pPr>
    </w:p>
    <w:p w:rsidR="00AC3CDE" w:rsidRPr="0015321A" w:rsidRDefault="00AC3CDE" w:rsidP="003D3982">
      <w:pPr>
        <w:keepNext/>
        <w:rPr>
          <w:rStyle w:val="Ppogrubienie"/>
        </w:rPr>
      </w:pPr>
      <w:r w:rsidRPr="0015321A">
        <w:rPr>
          <w:rStyle w:val="Ppogrubienie"/>
        </w:rPr>
        <w:t>1. Cel projektowanej ustawy</w:t>
      </w:r>
    </w:p>
    <w:p w:rsidR="00AC3CDE" w:rsidRDefault="00AC3CDE" w:rsidP="00221CC4">
      <w:pPr>
        <w:pStyle w:val="NIEARTTEKSTtekstnieartykuowanynppodstprawnarozplubpreambua"/>
      </w:pPr>
      <w:r w:rsidRPr="00B14E14">
        <w:t xml:space="preserve">Projektowana ustawa o zmianie ustawy </w:t>
      </w:r>
      <w:r>
        <w:t xml:space="preserve">– Prawo ochrony środowiska </w:t>
      </w:r>
      <w:r w:rsidRPr="00B14E14">
        <w:t xml:space="preserve">ma na celu </w:t>
      </w:r>
      <w:r>
        <w:t>dostosowanie systemu prawa do</w:t>
      </w:r>
      <w:r w:rsidRPr="00B14E14">
        <w:t xml:space="preserve"> wyroku Trybunału Konstytucyjnego</w:t>
      </w:r>
      <w:r w:rsidRPr="00510A18">
        <w:t xml:space="preserve"> z dnia </w:t>
      </w:r>
      <w:r>
        <w:t>7 marca 2018 r.</w:t>
      </w:r>
      <w:r w:rsidRPr="00510A18">
        <w:t xml:space="preserve"> (sygn. akt </w:t>
      </w:r>
      <w:r>
        <w:t>K</w:t>
      </w:r>
      <w:r w:rsidRPr="00510A18">
        <w:t xml:space="preserve"> </w:t>
      </w:r>
      <w:r>
        <w:t>2/17</w:t>
      </w:r>
      <w:r w:rsidRPr="00510A18">
        <w:t>)</w:t>
      </w:r>
      <w:r>
        <w:t xml:space="preserve">, </w:t>
      </w:r>
      <w:r w:rsidRPr="00B14E14">
        <w:t>stwierdzając</w:t>
      </w:r>
      <w:r>
        <w:t>ego</w:t>
      </w:r>
      <w:r w:rsidRPr="00B14E14">
        <w:t xml:space="preserve"> niezgodność</w:t>
      </w:r>
      <w:r>
        <w:t xml:space="preserve"> </w:t>
      </w:r>
      <w:r w:rsidRPr="005259D4">
        <w:t xml:space="preserve">art. </w:t>
      </w:r>
      <w:r>
        <w:t>129 ust. 4</w:t>
      </w:r>
      <w:r w:rsidRPr="005259D4">
        <w:t xml:space="preserve"> </w:t>
      </w:r>
      <w:r w:rsidRPr="00221CC4">
        <w:t xml:space="preserve">ustawy z dnia </w:t>
      </w:r>
      <w:r>
        <w:t>27</w:t>
      </w:r>
      <w:r w:rsidRPr="00221CC4">
        <w:t xml:space="preserve"> </w:t>
      </w:r>
      <w:r>
        <w:t>kwietnia</w:t>
      </w:r>
      <w:r w:rsidRPr="00221CC4">
        <w:t xml:space="preserve"> </w:t>
      </w:r>
      <w:r>
        <w:t>2001</w:t>
      </w:r>
      <w:r w:rsidRPr="00221CC4">
        <w:t xml:space="preserve"> r. – </w:t>
      </w:r>
      <w:r>
        <w:t>Prawo ochrony środowiska</w:t>
      </w:r>
      <w:r w:rsidRPr="00221CC4">
        <w:t xml:space="preserve"> (Dz. U. z 201</w:t>
      </w:r>
      <w:r>
        <w:t>6</w:t>
      </w:r>
      <w:r w:rsidRPr="00221CC4">
        <w:t xml:space="preserve"> r. poz. </w:t>
      </w:r>
      <w:r>
        <w:t>672</w:t>
      </w:r>
      <w:r w:rsidRPr="00221CC4">
        <w:t xml:space="preserve"> z</w:t>
      </w:r>
      <w:r>
        <w:t xml:space="preserve"> </w:t>
      </w:r>
      <w:r w:rsidRPr="00221CC4">
        <w:t xml:space="preserve">późn. zm.; dalej jako </w:t>
      </w:r>
      <w:r>
        <w:t>Pr.o.ś.</w:t>
      </w:r>
      <w:r w:rsidRPr="00221CC4">
        <w:t>)</w:t>
      </w:r>
      <w:r>
        <w:t xml:space="preserve"> z Konstytucją. </w:t>
      </w:r>
      <w:r w:rsidRPr="00510A18">
        <w:t xml:space="preserve">Sentencja </w:t>
      </w:r>
      <w:r>
        <w:t>powołanego orzeczenia</w:t>
      </w:r>
      <w:r w:rsidRPr="00510A18">
        <w:t xml:space="preserve"> została opublikowana w Dz. U. </w:t>
      </w:r>
      <w:r>
        <w:t xml:space="preserve">z dnia 14 marca 2018 r., </w:t>
      </w:r>
      <w:r w:rsidRPr="00510A18">
        <w:t xml:space="preserve">poz. </w:t>
      </w:r>
      <w:r>
        <w:t>534</w:t>
      </w:r>
      <w:r w:rsidRPr="00510A18">
        <w:t xml:space="preserve">. Pełny tekst </w:t>
      </w:r>
      <w:r>
        <w:t xml:space="preserve">rozstrzygnięcia wraz z </w:t>
      </w:r>
      <w:r w:rsidRPr="00510A18">
        <w:t>uzasadnieniem ukazał się w</w:t>
      </w:r>
      <w:r>
        <w:t xml:space="preserve"> </w:t>
      </w:r>
      <w:r w:rsidRPr="00510A18">
        <w:t xml:space="preserve">OTK ZU </w:t>
      </w:r>
      <w:r>
        <w:t>A poz. 13</w:t>
      </w:r>
      <w:r w:rsidRPr="00510A18">
        <w:t>.</w:t>
      </w:r>
    </w:p>
    <w:p w:rsidR="00AC3CDE" w:rsidRPr="0015321A" w:rsidRDefault="00AC3CDE" w:rsidP="0015321A"/>
    <w:p w:rsidR="00AC3CDE" w:rsidRPr="0015321A" w:rsidRDefault="00AC3CDE" w:rsidP="003D3982">
      <w:pPr>
        <w:keepNext/>
        <w:rPr>
          <w:rStyle w:val="Ppogrubienie"/>
        </w:rPr>
      </w:pPr>
      <w:r w:rsidRPr="0015321A">
        <w:rPr>
          <w:rStyle w:val="Ppogrubienie"/>
        </w:rPr>
        <w:t>2. Przedmiot i istota wypowiedzi Trybunału Konstytucyjnego</w:t>
      </w:r>
    </w:p>
    <w:p w:rsidR="00AC3CDE" w:rsidRDefault="00AC3CDE" w:rsidP="000C244F">
      <w:pPr>
        <w:pStyle w:val="NIEARTTEKSTtekstnieartykuowanynppodstprawnarozplubpreambua"/>
      </w:pPr>
      <w:r>
        <w:t xml:space="preserve">2.1. Trybunał orzekł, że </w:t>
      </w:r>
      <w:r w:rsidRPr="000C244F">
        <w:t>art.</w:t>
      </w:r>
      <w:r>
        <w:t xml:space="preserve"> </w:t>
      </w:r>
      <w:r w:rsidRPr="001511E7">
        <w:t>129 ust. 4</w:t>
      </w:r>
      <w:r>
        <w:t xml:space="preserve"> Pr.o.ś.</w:t>
      </w:r>
      <w:r w:rsidRPr="001511E7">
        <w:t xml:space="preserve"> jest niezgodny z art. 64 ust. 1 w zw</w:t>
      </w:r>
      <w:r>
        <w:t xml:space="preserve">iązku z art. 31 ust. </w:t>
      </w:r>
      <w:r w:rsidRPr="001511E7">
        <w:t>3 Konstytucji Rzeczypospolitej Polskiej</w:t>
      </w:r>
      <w:r w:rsidRPr="000C244F">
        <w:t>.</w:t>
      </w:r>
    </w:p>
    <w:p w:rsidR="00AC3CDE" w:rsidRDefault="00AC3CDE" w:rsidP="00B43582">
      <w:pPr>
        <w:pStyle w:val="ARTartustawynprozporzdzenia"/>
      </w:pPr>
      <w:r>
        <w:t xml:space="preserve">2.2. </w:t>
      </w:r>
      <w:r w:rsidRPr="00F75D3C">
        <w:rPr>
          <w:spacing w:val="-2"/>
        </w:rPr>
        <w:t>W myśl zakwestionowanego art. 129 ust. 4 Pr.o.ś.,</w:t>
      </w:r>
      <w:r>
        <w:rPr>
          <w:spacing w:val="-2"/>
        </w:rPr>
        <w:t xml:space="preserve"> z roszczeniem, o którym mowa w </w:t>
      </w:r>
      <w:r w:rsidRPr="00F75D3C">
        <w:rPr>
          <w:spacing w:val="-2"/>
        </w:rPr>
        <w:t>ust.</w:t>
      </w:r>
      <w:r>
        <w:t xml:space="preserve"> 1–3, można wystąpić w okresie 2 lat od dnia wejścia w życie rozporządzenia lub aktu prawa miejscowego powodującego ograniczenie sposobu korzystania z nieruchomości. Określony w tym przepisie termin jest tzw. terminem prekluzyjnym (zawitym) – por. wyrok Sądu Najwyższego z dnia 10 października 2008 r., II CSK 216/08. Jego przekroczenie skutkuje zatem wygaśnięciem roszczeń przysługujących podmiotowi uprawnionemu.</w:t>
      </w:r>
    </w:p>
    <w:p w:rsidR="00AC3CDE" w:rsidRDefault="00AC3CDE" w:rsidP="00E27068">
      <w:pPr>
        <w:pStyle w:val="ARTartustawynprozporzdzenia"/>
      </w:pPr>
      <w:r>
        <w:t>Przytoczony art. 129 ust. 4 Pr.o.ś. odnosi się do następujących roszczeń:</w:t>
      </w:r>
    </w:p>
    <w:p w:rsidR="00AC3CDE" w:rsidRDefault="00AC3CDE" w:rsidP="00E27068">
      <w:r>
        <w:t>–</w:t>
      </w:r>
      <w:r>
        <w:tab/>
        <w:t>o wykup nieruchomości lub jej części, z którym właściciel nieruchomości może wystąpić w  przypadku, gdy w związku z ograniczeniem sposobu korzystania z nieruchomości korzystanie z niej lub z jej części w dotychczasowy sposób lub zgodny z dotychczasowym przeznaczeniem stało się niemożliwe lub istotnie ograniczone (art. 129 ust. 1 Pr.o.ś.),</w:t>
      </w:r>
    </w:p>
    <w:p w:rsidR="00AC3CDE" w:rsidRDefault="00AC3CDE" w:rsidP="00E27068">
      <w:r w:rsidRPr="002D4A1E">
        <w:rPr>
          <w:spacing w:val="-2"/>
        </w:rPr>
        <w:t>–</w:t>
      </w:r>
      <w:r w:rsidRPr="002D4A1E">
        <w:rPr>
          <w:spacing w:val="-2"/>
        </w:rPr>
        <w:tab/>
        <w:t>o odszkodowanie za poniesioną szkodę, w tym za zmniejszenie wartości nieruchomości,</w:t>
      </w:r>
      <w:r>
        <w:t xml:space="preserve"> z   którym właściciel nieruchomości może wystąpić, jeżeli szkoda powstała wskutek ograniczenia sposobu korzystania z nieruchomości (art. 129 ust. 2 Pr.o.ś.),</w:t>
      </w:r>
    </w:p>
    <w:p w:rsidR="00AC3CDE" w:rsidRDefault="00AC3CDE" w:rsidP="00E27068">
      <w:r>
        <w:t>–</w:t>
      </w:r>
      <w:r>
        <w:tab/>
        <w:t xml:space="preserve">o wykup nieruchomości lub jej części albo </w:t>
      </w:r>
      <w:r w:rsidRPr="002D4A1E">
        <w:rPr>
          <w:spacing w:val="-2"/>
        </w:rPr>
        <w:t>odszkodowanie za poniesioną szkodę</w:t>
      </w:r>
      <w:r>
        <w:rPr>
          <w:spacing w:val="-2"/>
        </w:rPr>
        <w:t xml:space="preserve">, z którymi – pod warunkiem zaistnienia okoliczności wskazanych powyżej – może wystąpić użytkownik wieczysty; ponadto z roszczeniem odszkodowawczym może wystąpić również </w:t>
      </w:r>
      <w:r>
        <w:t>osoba, której przysługuje prawo rzeczowe do nieruchomości (art. 129 ust. 3 Pr.o.ś.).</w:t>
      </w:r>
    </w:p>
    <w:p w:rsidR="00AC3CDE" w:rsidRDefault="00AC3CDE" w:rsidP="00E27068">
      <w:pPr>
        <w:pStyle w:val="ARTartustawynprozporzdzenia"/>
      </w:pPr>
      <w:r w:rsidRPr="00765955">
        <w:rPr>
          <w:spacing w:val="-2"/>
        </w:rPr>
        <w:t>Omawiane regulacje znajdują zastosowanie wtedy, gdy ograniczenie sposobu korzystania</w:t>
      </w:r>
      <w:r>
        <w:t xml:space="preserve"> z nieruchomości w związku z ochroną zasobów środowiska następuje przez: 1) </w:t>
      </w:r>
      <w:r w:rsidRPr="00765955">
        <w:t xml:space="preserve">poddanie ochronie obszarów lub obiektów na podstawie przepisów ustawy </w:t>
      </w:r>
      <w:r>
        <w:t xml:space="preserve">z dnia 16 kwietnia 2004 r. </w:t>
      </w:r>
      <w:r w:rsidRPr="00BF44AB">
        <w:rPr>
          <w:spacing w:val="-2"/>
        </w:rPr>
        <w:t>o ochronie przyrody (dalej jako u.o.p.) albo 2) wyznaczenie obszarów cichych w aglomeracji</w:t>
      </w:r>
      <w:r>
        <w:t xml:space="preserve"> oraz obszarów cichych poza aglomeracją (art. 130 ust. 1 pkt 1 i 3 Pr.o.ś.). Jeżeli chodzi o tę pierwszą kategorię, to dotyczy to przede wszystkim takich </w:t>
      </w:r>
      <w:r>
        <w:lastRenderedPageBreak/>
        <w:t xml:space="preserve">form ochrony jak: </w:t>
      </w:r>
      <w:r w:rsidRPr="00AC7786">
        <w:rPr>
          <w:spacing w:val="-2"/>
        </w:rPr>
        <w:t>parki narodowe, rezerwaty przyrody, parki krajobrazowe, obszary chronionego krajobrazu</w:t>
      </w:r>
      <w:r>
        <w:t>, pomniki przyrody, stanowiska dokumentacyjne, użytki ekologiczne czy też zespoły przyrodniczo-krajobrazowe.</w:t>
      </w:r>
    </w:p>
    <w:p w:rsidR="00AC3CDE" w:rsidRDefault="00AC3CDE" w:rsidP="00E27068">
      <w:pPr>
        <w:pStyle w:val="ARTartustawynprozporzdzenia"/>
      </w:pPr>
      <w:r>
        <w:t>Niezależnie od tego – jak przewiduje art. 130 ust. 2 Pr.o.ś. –</w:t>
      </w:r>
      <w:r w:rsidRPr="006D7990">
        <w:rPr>
          <w:spacing w:val="-2"/>
        </w:rPr>
        <w:t xml:space="preserve"> do ograniczenia sposobu korzystania z nieruchomości w</w:t>
      </w:r>
      <w:r>
        <w:rPr>
          <w:spacing w:val="-2"/>
        </w:rPr>
        <w:t xml:space="preserve"> </w:t>
      </w:r>
      <w:r w:rsidRPr="006D7990">
        <w:rPr>
          <w:spacing w:val="-2"/>
        </w:rPr>
        <w:t>celu ochrony zasobów środowiska</w:t>
      </w:r>
      <w:r w:rsidRPr="003E415E">
        <w:t xml:space="preserve"> </w:t>
      </w:r>
      <w:r>
        <w:t xml:space="preserve">może dochodzić także </w:t>
      </w:r>
      <w:r w:rsidRPr="003E415E">
        <w:t xml:space="preserve">na podstawie przepisów ustawy </w:t>
      </w:r>
      <w:r>
        <w:t xml:space="preserve">z dnia 27 marca 2003 r. o planowaniu i </w:t>
      </w:r>
      <w:r w:rsidRPr="003E415E">
        <w:t>zagospodarowaniu przestrzennym</w:t>
      </w:r>
      <w:r>
        <w:t xml:space="preserve"> (dalej jako u.p.z.p.). Odnosi się to zwłaszcza do wyznaczania otulin wokół </w:t>
      </w:r>
      <w:r w:rsidRPr="00073D22">
        <w:rPr>
          <w:spacing w:val="-2"/>
        </w:rPr>
        <w:t>parków narodowych bądź rezerwatów przyrody. W takiej sytuacji podstawę prawną zgłaszania</w:t>
      </w:r>
      <w:r>
        <w:t xml:space="preserve"> roszczeń związanych z ograniczeniem sposobu korzystania z nieruchomości stanowić będą przepisy art. 129 ust. 1–4 Pr.o.ś., a nie art. 36 ust. 1 i 3 u.p.z.p. Wynika to jednoznacznie z art. 129 ust. 5 Pr.o.ś.</w:t>
      </w:r>
    </w:p>
    <w:p w:rsidR="00AC3CDE" w:rsidRDefault="00AC3CDE" w:rsidP="00E27068">
      <w:pPr>
        <w:pStyle w:val="ARTartustawynprozporzdzenia"/>
      </w:pPr>
      <w:r>
        <w:t xml:space="preserve">W przypadku zgłoszenia roszczenia w terminie, o którym mowa w art. 129 ust. 4 Pr.o.ś., wysokość odszkodowania ustala, zgodnie z art. 131 ust. 1 Pr.o.ś., właściwy starosta. Decyzja w tym przedmiocie nie podlega zaskarżeniu w administracyjnym trybie instancji, natomiast zainteresowany może, w terminie 30 dni od dnia doręczenia decyzji, wnieść powództwo do sądu powszechnego (art. 131 ust. 2 Pr.o.ś.). Z kolei żądanie wykupu nieruchomości lub jej części realizowane jest z uwzględnieniem odpowiednio stosowanych przepisów ustawy z dnia 21 sierpnia 1997 r. o gospodarce nieruchomościami (art. 132 Pr.o.ś.). Jak stanowi art. 133 Pr.o.ś., ustalenie wysokości odszkodowania oraz ceny </w:t>
      </w:r>
      <w:r w:rsidRPr="0041111D">
        <w:rPr>
          <w:spacing w:val="-2"/>
        </w:rPr>
        <w:t>wykupu nieruchomości następuje po uzyskaniu opinii rzeczoznawcy majątkowego, określającej</w:t>
      </w:r>
      <w:r>
        <w:t xml:space="preserve"> wartość nieruchomości według zasad i trybu przewidzianych w powołanej już </w:t>
      </w:r>
      <w:hyperlink r:id="rId8" w:anchor="hiperlinkText.rpc?hiperlink=type=tresc:nro=Powszechny.2024383:ver=2&amp;full=1" w:tgtFrame="_parent" w:history="1">
        <w:r w:rsidRPr="009A1085">
          <w:t>ustaw</w:t>
        </w:r>
      </w:hyperlink>
      <w:r>
        <w:t xml:space="preserve">ie o gospodarce nieruchomościami. Wreszcie, art. 134 Pr.o.ś. </w:t>
      </w:r>
      <w:r w:rsidRPr="003E650B">
        <w:rPr>
          <w:spacing w:val="-3"/>
        </w:rPr>
        <w:t>przesądza, iż</w:t>
      </w:r>
      <w:r>
        <w:rPr>
          <w:spacing w:val="-3"/>
        </w:rPr>
        <w:t xml:space="preserve"> podmiotem</w:t>
      </w:r>
      <w:r w:rsidRPr="003E650B">
        <w:rPr>
          <w:spacing w:val="-3"/>
        </w:rPr>
        <w:t xml:space="preserve"> obowiązanym do wypłaty odszkodowania lub wykupu nieruchomości </w:t>
      </w:r>
      <w:r>
        <w:rPr>
          <w:spacing w:val="-3"/>
        </w:rPr>
        <w:t>jest</w:t>
      </w:r>
      <w:r w:rsidRPr="003E650B">
        <w:rPr>
          <w:spacing w:val="-3"/>
        </w:rPr>
        <w:t xml:space="preserve"> właściwa</w:t>
      </w:r>
      <w:r>
        <w:t xml:space="preserve"> jednostka </w:t>
      </w:r>
      <w:r w:rsidRPr="002171DB">
        <w:rPr>
          <w:spacing w:val="-2"/>
        </w:rPr>
        <w:t>samorządu terytorialnego – jeżeli ograniczenie sposobu korzystania z</w:t>
      </w:r>
      <w:r>
        <w:rPr>
          <w:spacing w:val="-2"/>
        </w:rPr>
        <w:t xml:space="preserve"> </w:t>
      </w:r>
      <w:r w:rsidRPr="002171DB">
        <w:rPr>
          <w:spacing w:val="-2"/>
        </w:rPr>
        <w:t xml:space="preserve">nieruchomości </w:t>
      </w:r>
      <w:r w:rsidRPr="003E650B">
        <w:rPr>
          <w:spacing w:val="-2"/>
        </w:rPr>
        <w:t>nastąpiło w wyniku uchwalenia aktu prawa miejscowego przez organ samorządu terytorialnego,</w:t>
      </w:r>
      <w:r>
        <w:t xml:space="preserve"> albo reprezentowany przez wojewodę Skarb Państwa – jeżeli ograniczenie sposobu korzystania z nieruchomości jest skutkiem wydania rozporządzenia Rady Ministrów, właściwego ministra albo wojewody.</w:t>
      </w:r>
    </w:p>
    <w:p w:rsidR="00AC3CDE" w:rsidRDefault="00AC3CDE" w:rsidP="00E27068">
      <w:pPr>
        <w:pStyle w:val="ARTartustawynprozporzdzenia"/>
      </w:pPr>
      <w:r>
        <w:t xml:space="preserve">Ponadto przepisy art. 129 ust. 4 w związku z art. 129 ust. 1–3 Pr.o.ś. są stosowane w przypadku utworzenia obszaru ograniczonego użytkowania na zasadzie art. 135 Pr.o.ś. W tym zakresie podmiotem obowiązanym do uczynienia zadość roszczeniom o wykup albo odszkodowanie jest </w:t>
      </w:r>
      <w:r w:rsidRPr="00A625D0">
        <w:t>ten, którego działalność spowod</w:t>
      </w:r>
      <w:r>
        <w:t>owała wprowadzenie ograniczeń w </w:t>
      </w:r>
      <w:r w:rsidRPr="00A625D0">
        <w:t>związku z ustanowieniem obszaru ograniczonego użytkowania</w:t>
      </w:r>
      <w:r>
        <w:t xml:space="preserve"> (art. 136 ust. 2 Pr.o.ś.), zaś wszelkie sprawy sporne rozstrzygane są na drodze sądowej, bez uprzedniego rozpatrywania roszczeń w postępowaniu administracyjnym. Jeżeli chodzi przy tym o rodzaje przedsięwzięć, </w:t>
      </w:r>
      <w:r w:rsidRPr="00E03BD0">
        <w:rPr>
          <w:spacing w:val="-2"/>
        </w:rPr>
        <w:t xml:space="preserve">z powodu których może zostać ustanowiony obszar ograniczonego użytkowania, to w </w:t>
      </w:r>
      <w:r>
        <w:rPr>
          <w:spacing w:val="-2"/>
        </w:rPr>
        <w:t>gr</w:t>
      </w:r>
      <w:r w:rsidRPr="00E03BD0">
        <w:rPr>
          <w:spacing w:val="-2"/>
        </w:rPr>
        <w:t>ę</w:t>
      </w:r>
      <w:r>
        <w:t xml:space="preserve"> może </w:t>
      </w:r>
      <w:r w:rsidRPr="00AF5E49">
        <w:rPr>
          <w:spacing w:val="-2"/>
        </w:rPr>
        <w:t>wchodzić przykładowo utworzenie oczyszczalni ścieków, składowiska odpadów komunalnych,</w:t>
      </w:r>
      <w:r w:rsidRPr="00C71A22">
        <w:t xml:space="preserve"> kompostowni, trasy komunikacyjnej, </w:t>
      </w:r>
      <w:r>
        <w:t xml:space="preserve">czy chociażby </w:t>
      </w:r>
      <w:r w:rsidRPr="00C71A22">
        <w:t>lotniska</w:t>
      </w:r>
      <w:r>
        <w:t>.</w:t>
      </w:r>
    </w:p>
    <w:p w:rsidR="00AC3CDE" w:rsidRDefault="00AC3CDE" w:rsidP="00A82061">
      <w:pPr>
        <w:pStyle w:val="ARTartustawynprozporzdzenia"/>
      </w:pPr>
      <w:r>
        <w:t>2.3. Punktem odniesienia dla rozważań TK był art. 64 ust. 1 Konstytucji, który nie tylko rozwija i uszczegóławia, lecz również ujmuje w kategoriach prawa podmiotowego ogólną zasadę ochrony własności wyrażoną w art. 21 ust. 1 Konstytucji.</w:t>
      </w:r>
    </w:p>
    <w:p w:rsidR="00AC3CDE" w:rsidRDefault="00AC3CDE" w:rsidP="00A82061">
      <w:pPr>
        <w:pStyle w:val="ARTartustawynprozporzdzenia"/>
        <w:rPr>
          <w:rFonts w:ascii="Times New Roman" w:hAnsi="Times New Roman" w:cs="Times New Roman"/>
          <w:szCs w:val="24"/>
        </w:rPr>
      </w:pPr>
      <w:r>
        <w:lastRenderedPageBreak/>
        <w:t xml:space="preserve">Stosownie do art. 64 ust. 1, </w:t>
      </w:r>
      <w:r w:rsidRPr="00FD52BD">
        <w:rPr>
          <w:rFonts w:ascii="Times New Roman" w:hAnsi="Times New Roman" w:cs="Times New Roman"/>
          <w:szCs w:val="24"/>
        </w:rPr>
        <w:t xml:space="preserve">każdy ma prawo do własności, innych praw majątkowych oraz prawo dziedziczenia. </w:t>
      </w:r>
      <w:r>
        <w:rPr>
          <w:rFonts w:ascii="Times New Roman" w:hAnsi="Times New Roman" w:cs="Times New Roman"/>
          <w:szCs w:val="24"/>
        </w:rPr>
        <w:t>Niemniej należy pamiętać, że w</w:t>
      </w:r>
      <w:r w:rsidRPr="00FD52BD">
        <w:rPr>
          <w:rFonts w:ascii="Times New Roman" w:hAnsi="Times New Roman" w:cs="Times New Roman"/>
          <w:szCs w:val="24"/>
        </w:rPr>
        <w:t>łasność lub inne konstytucyjnie chronione prawa majątkowe nie mają charakteru absolutnego i mogą podlegać ustawowym ograniczeniom</w:t>
      </w:r>
      <w:r>
        <w:rPr>
          <w:rFonts w:ascii="Times New Roman" w:hAnsi="Times New Roman" w:cs="Times New Roman"/>
          <w:szCs w:val="24"/>
        </w:rPr>
        <w:t xml:space="preserve"> z tym jednak zastrzeżeniem, że wszelkie ograniczenia wprowadzane przez ustawodawcę m</w:t>
      </w:r>
      <w:r w:rsidRPr="00FD52BD">
        <w:rPr>
          <w:rFonts w:ascii="Times New Roman" w:hAnsi="Times New Roman" w:cs="Times New Roman"/>
          <w:szCs w:val="24"/>
        </w:rPr>
        <w:t xml:space="preserve">uszą spełniać wymagania proporcjonalności </w:t>
      </w:r>
      <w:r w:rsidRPr="00FD52BD">
        <w:rPr>
          <w:rFonts w:ascii="Times New Roman" w:hAnsi="Times New Roman" w:cs="Times New Roman"/>
          <w:i/>
          <w:iCs/>
          <w:szCs w:val="24"/>
        </w:rPr>
        <w:t>sensu largo</w:t>
      </w:r>
      <w:r w:rsidRPr="00FD52BD">
        <w:rPr>
          <w:rFonts w:ascii="Times New Roman" w:hAnsi="Times New Roman" w:cs="Times New Roman"/>
          <w:szCs w:val="24"/>
        </w:rPr>
        <w:t xml:space="preserve">, a więc przejść test: 1) przydatności, </w:t>
      </w:r>
      <w:r w:rsidRPr="00414528">
        <w:rPr>
          <w:rFonts w:ascii="Times New Roman" w:hAnsi="Times New Roman" w:cs="Times New Roman"/>
          <w:spacing w:val="-2"/>
          <w:szCs w:val="24"/>
        </w:rPr>
        <w:t>2)</w:t>
      </w:r>
      <w:r>
        <w:rPr>
          <w:rFonts w:ascii="Times New Roman" w:hAnsi="Times New Roman" w:cs="Times New Roman"/>
          <w:spacing w:val="-2"/>
          <w:szCs w:val="24"/>
        </w:rPr>
        <w:t xml:space="preserve"> </w:t>
      </w:r>
      <w:r w:rsidRPr="00414528">
        <w:rPr>
          <w:rFonts w:ascii="Times New Roman" w:hAnsi="Times New Roman" w:cs="Times New Roman"/>
          <w:spacing w:val="-2"/>
          <w:szCs w:val="24"/>
        </w:rPr>
        <w:t xml:space="preserve">najmniejszej uciążliwości (niezbędności) oraz 3) proporcjonalności </w:t>
      </w:r>
      <w:r w:rsidRPr="00414528">
        <w:rPr>
          <w:rFonts w:ascii="Times New Roman" w:hAnsi="Times New Roman" w:cs="Times New Roman"/>
          <w:i/>
          <w:iCs/>
          <w:spacing w:val="-2"/>
          <w:szCs w:val="24"/>
        </w:rPr>
        <w:t>sensu stricto</w:t>
      </w:r>
      <w:r w:rsidRPr="00414528">
        <w:rPr>
          <w:rFonts w:ascii="Times New Roman" w:hAnsi="Times New Roman" w:cs="Times New Roman"/>
          <w:spacing w:val="-2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Cs w:val="24"/>
        </w:rPr>
        <w:t>Warun</w:t>
      </w:r>
      <w:r w:rsidRPr="00414528">
        <w:rPr>
          <w:rFonts w:ascii="Times New Roman" w:hAnsi="Times New Roman" w:cs="Times New Roman"/>
          <w:spacing w:val="-2"/>
          <w:szCs w:val="24"/>
        </w:rPr>
        <w:t>ki</w:t>
      </w:r>
      <w:r w:rsidRPr="00FD52BD">
        <w:rPr>
          <w:rFonts w:ascii="Times New Roman" w:hAnsi="Times New Roman" w:cs="Times New Roman"/>
          <w:szCs w:val="24"/>
        </w:rPr>
        <w:t xml:space="preserve"> te składają się na treść </w:t>
      </w:r>
      <w:r>
        <w:rPr>
          <w:rFonts w:ascii="Times New Roman" w:hAnsi="Times New Roman" w:cs="Times New Roman"/>
          <w:szCs w:val="24"/>
        </w:rPr>
        <w:t>ogólnej przesłanki „</w:t>
      </w:r>
      <w:r w:rsidRPr="00FD52BD">
        <w:rPr>
          <w:rFonts w:ascii="Times New Roman" w:hAnsi="Times New Roman" w:cs="Times New Roman"/>
          <w:szCs w:val="24"/>
        </w:rPr>
        <w:t>konieczności w demokratycznym państwie</w:t>
      </w:r>
      <w:r>
        <w:rPr>
          <w:rFonts w:ascii="Times New Roman" w:hAnsi="Times New Roman" w:cs="Times New Roman"/>
          <w:szCs w:val="24"/>
        </w:rPr>
        <w:t>”</w:t>
      </w:r>
      <w:r w:rsidRPr="00FD52BD">
        <w:rPr>
          <w:rFonts w:ascii="Times New Roman" w:hAnsi="Times New Roman" w:cs="Times New Roman"/>
          <w:szCs w:val="24"/>
        </w:rPr>
        <w:t xml:space="preserve">, o której </w:t>
      </w:r>
      <w:r>
        <w:rPr>
          <w:rFonts w:ascii="Times New Roman" w:hAnsi="Times New Roman" w:cs="Times New Roman"/>
          <w:szCs w:val="24"/>
        </w:rPr>
        <w:t>mowa w</w:t>
      </w:r>
      <w:r w:rsidRPr="00FD52BD">
        <w:rPr>
          <w:rFonts w:ascii="Times New Roman" w:hAnsi="Times New Roman" w:cs="Times New Roman"/>
          <w:szCs w:val="24"/>
        </w:rPr>
        <w:t xml:space="preserve"> art. 31 ust.</w:t>
      </w:r>
      <w:r>
        <w:rPr>
          <w:rFonts w:ascii="Times New Roman" w:hAnsi="Times New Roman" w:cs="Times New Roman"/>
          <w:szCs w:val="24"/>
        </w:rPr>
        <w:t xml:space="preserve"> 3 zdanie pierwsze Konstytucji</w:t>
      </w:r>
      <w:r w:rsidRPr="00FD52BD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Dodatkowo trzeba też mieć na względzie, że o</w:t>
      </w:r>
      <w:r w:rsidRPr="00FD52BD">
        <w:rPr>
          <w:rFonts w:ascii="Times New Roman" w:hAnsi="Times New Roman" w:cs="Times New Roman"/>
          <w:szCs w:val="24"/>
        </w:rPr>
        <w:t xml:space="preserve">graniczenie ustawą prawa własności lub innych praw majątkowych </w:t>
      </w:r>
      <w:r>
        <w:rPr>
          <w:rFonts w:ascii="Times New Roman" w:hAnsi="Times New Roman" w:cs="Times New Roman"/>
          <w:szCs w:val="24"/>
        </w:rPr>
        <w:t xml:space="preserve">w żadnym wypadku </w:t>
      </w:r>
      <w:r w:rsidRPr="00FD52BD">
        <w:rPr>
          <w:rFonts w:ascii="Times New Roman" w:hAnsi="Times New Roman" w:cs="Times New Roman"/>
          <w:szCs w:val="24"/>
        </w:rPr>
        <w:t>nie może naruszać istoty</w:t>
      </w:r>
      <w:r>
        <w:rPr>
          <w:rFonts w:ascii="Times New Roman" w:hAnsi="Times New Roman" w:cs="Times New Roman"/>
          <w:szCs w:val="24"/>
        </w:rPr>
        <w:t xml:space="preserve"> tych praw</w:t>
      </w:r>
      <w:r w:rsidRPr="00FD52B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(</w:t>
      </w:r>
      <w:r w:rsidRPr="00FD52BD">
        <w:rPr>
          <w:rFonts w:ascii="Times New Roman" w:hAnsi="Times New Roman" w:cs="Times New Roman"/>
          <w:szCs w:val="24"/>
        </w:rPr>
        <w:t>art. 31 ust. 3 zd</w:t>
      </w:r>
      <w:r>
        <w:rPr>
          <w:rFonts w:ascii="Times New Roman" w:hAnsi="Times New Roman" w:cs="Times New Roman"/>
          <w:szCs w:val="24"/>
        </w:rPr>
        <w:t>.</w:t>
      </w:r>
      <w:r w:rsidRPr="00FD52B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2</w:t>
      </w:r>
      <w:r w:rsidRPr="00FD52BD">
        <w:rPr>
          <w:rFonts w:ascii="Times New Roman" w:hAnsi="Times New Roman" w:cs="Times New Roman"/>
          <w:szCs w:val="24"/>
        </w:rPr>
        <w:t xml:space="preserve"> Konstytucji</w:t>
      </w:r>
      <w:r>
        <w:rPr>
          <w:rFonts w:ascii="Times New Roman" w:hAnsi="Times New Roman" w:cs="Times New Roman"/>
          <w:szCs w:val="24"/>
        </w:rPr>
        <w:t>)</w:t>
      </w:r>
      <w:r w:rsidRPr="00FD52BD">
        <w:rPr>
          <w:rFonts w:ascii="Times New Roman" w:hAnsi="Times New Roman" w:cs="Times New Roman"/>
          <w:szCs w:val="24"/>
        </w:rPr>
        <w:t>.</w:t>
      </w:r>
    </w:p>
    <w:p w:rsidR="00AC3CDE" w:rsidRDefault="00AC3CDE" w:rsidP="00882005">
      <w:pPr>
        <w:pStyle w:val="ARTartustawynprozporzdzenia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2.4. </w:t>
      </w:r>
      <w:r>
        <w:rPr>
          <w:rFonts w:ascii="Times New Roman" w:hAnsi="Times New Roman"/>
          <w:szCs w:val="24"/>
        </w:rPr>
        <w:t xml:space="preserve">W pierwszej kolejności Trybunał Konstytucyjny podkreślił, że zarzut zbyt krótkiego terminu prekluzyjnego dotyczy </w:t>
      </w:r>
      <w:r w:rsidRPr="00355EF7">
        <w:rPr>
          <w:rStyle w:val="Kkursywa"/>
        </w:rPr>
        <w:t>de facto</w:t>
      </w:r>
      <w:r>
        <w:rPr>
          <w:rFonts w:ascii="Times New Roman" w:hAnsi="Times New Roman"/>
          <w:szCs w:val="24"/>
        </w:rPr>
        <w:t xml:space="preserve"> ograniczenia własności i innych praw majątkowych przez odjęcie podmiotom uprawnionym koniecznych, a więc będących następstwem ograniczenia sposobu korzystania z nieruchomości, roszczeń o wykup lub odszkodowanie.</w:t>
      </w:r>
    </w:p>
    <w:p w:rsidR="00AC3CDE" w:rsidRDefault="00AC3CDE" w:rsidP="00882005">
      <w:pPr>
        <w:pStyle w:val="ARTartustawynprozporzdzenia"/>
        <w:rPr>
          <w:rFonts w:ascii="Times New Roman" w:hAnsi="Times New Roman" w:cs="Times New Roman"/>
          <w:szCs w:val="24"/>
        </w:rPr>
      </w:pPr>
      <w:r>
        <w:rPr>
          <w:rFonts w:ascii="Times New Roman" w:hAnsi="Times New Roman"/>
          <w:szCs w:val="24"/>
        </w:rPr>
        <w:t>Prekluzja – jak zaznaczył Trybunał – jest jedną z instytucji określanych wspólnym mianem „dawności”. Owa dawność pełni szereg ważnych funkcji w systemie prawnym, w szczególności funkcję stabilizacyjną. „</w:t>
      </w:r>
      <w:r w:rsidRPr="00FD52BD">
        <w:rPr>
          <w:rFonts w:ascii="Times New Roman" w:hAnsi="Times New Roman" w:cs="Times New Roman"/>
          <w:szCs w:val="24"/>
        </w:rPr>
        <w:t xml:space="preserve">System prawny z uwagi na konstytucyjną wartość porządku publicznego powinien być ukształtowany w taki sposób, aby unikał wzruszania długotrwałych stanów faktycznych, gwarantując pewność i bezpieczeństwo obrotu prawnego. Z kolei spełniając funkcję ochronną, nie powinien kreować stanu niepewności co do dochodzenia czy wykonywania praw lub uprawnień przy jednoczesnym nakładaniu na inne podmioty obowiązków trwających </w:t>
      </w:r>
      <w:r w:rsidRPr="00FD52BD">
        <w:rPr>
          <w:rFonts w:ascii="Times New Roman" w:hAnsi="Times New Roman" w:cs="Times New Roman"/>
          <w:i/>
          <w:iCs/>
          <w:szCs w:val="24"/>
        </w:rPr>
        <w:t>ad infinitum</w:t>
      </w:r>
      <w:r w:rsidRPr="00FD52BD">
        <w:rPr>
          <w:rFonts w:ascii="Times New Roman" w:hAnsi="Times New Roman" w:cs="Times New Roman"/>
          <w:szCs w:val="24"/>
        </w:rPr>
        <w:t>. Dawność spełnia również funkcję wychowawczą i dyscyplinującą, mobilizując osoby uprawnione do dochodzenia swoich praw w racjonalnym czasie. Ponadto, może usuwać trudności dowodowe, jakie mogą wystąpić po wielu latach od zdarzenia wywołującego określone skutki prawne</w:t>
      </w:r>
      <w:r>
        <w:rPr>
          <w:rFonts w:ascii="Times New Roman" w:hAnsi="Times New Roman" w:cs="Times New Roman"/>
          <w:szCs w:val="24"/>
        </w:rPr>
        <w:t>”.</w:t>
      </w:r>
    </w:p>
    <w:p w:rsidR="00AC3CDE" w:rsidRDefault="00AC3CDE" w:rsidP="00882005">
      <w:pPr>
        <w:pStyle w:val="ARTartustawynprozporzdzenia"/>
        <w:rPr>
          <w:rFonts w:ascii="Times New Roman" w:hAnsi="Times New Roman" w:cs="Times New Roman"/>
          <w:szCs w:val="24"/>
        </w:rPr>
      </w:pPr>
      <w:r w:rsidRPr="003351AF">
        <w:rPr>
          <w:rFonts w:ascii="Times New Roman" w:hAnsi="Times New Roman"/>
          <w:spacing w:val="-2"/>
          <w:szCs w:val="24"/>
        </w:rPr>
        <w:t>Równocześnie jednak T</w:t>
      </w:r>
      <w:r>
        <w:rPr>
          <w:rFonts w:ascii="Times New Roman" w:hAnsi="Times New Roman"/>
          <w:spacing w:val="-2"/>
          <w:szCs w:val="24"/>
        </w:rPr>
        <w:t>K</w:t>
      </w:r>
      <w:r w:rsidRPr="003351AF">
        <w:rPr>
          <w:rFonts w:ascii="Times New Roman" w:hAnsi="Times New Roman"/>
          <w:spacing w:val="-2"/>
          <w:szCs w:val="24"/>
        </w:rPr>
        <w:t xml:space="preserve"> podniósł, że </w:t>
      </w:r>
      <w:r w:rsidRPr="003351AF">
        <w:rPr>
          <w:rFonts w:ascii="Times New Roman" w:hAnsi="Times New Roman" w:cs="Times New Roman"/>
          <w:spacing w:val="-2"/>
          <w:szCs w:val="24"/>
        </w:rPr>
        <w:t>termin prekluzyjny to instytucja stosunkowo</w:t>
      </w:r>
      <w:r w:rsidRPr="00F57C10">
        <w:rPr>
          <w:rFonts w:ascii="Times New Roman" w:hAnsi="Times New Roman" w:cs="Times New Roman"/>
          <w:spacing w:val="-2"/>
          <w:szCs w:val="24"/>
        </w:rPr>
        <w:t xml:space="preserve"> surowa dla uczestników obrotu. „Bezskuteczny upływ terminu zawitego powoduje</w:t>
      </w:r>
      <w:r w:rsidRPr="00FD52BD">
        <w:rPr>
          <w:rFonts w:ascii="Times New Roman" w:hAnsi="Times New Roman" w:cs="Times New Roman"/>
          <w:szCs w:val="24"/>
        </w:rPr>
        <w:t xml:space="preserve"> definitywne wygaśnięcie prawa (uprawnienia), które należało w tym terminie wykonywać </w:t>
      </w:r>
      <w:r w:rsidRPr="00F57C10">
        <w:rPr>
          <w:rFonts w:ascii="Times New Roman" w:hAnsi="Times New Roman" w:cs="Times New Roman"/>
          <w:spacing w:val="-2"/>
          <w:szCs w:val="24"/>
        </w:rPr>
        <w:t>(…)</w:t>
      </w:r>
      <w:r>
        <w:rPr>
          <w:rFonts w:ascii="Times New Roman" w:hAnsi="Times New Roman" w:cs="Times New Roman"/>
          <w:spacing w:val="-2"/>
          <w:szCs w:val="24"/>
        </w:rPr>
        <w:t xml:space="preserve"> w  </w:t>
      </w:r>
      <w:r w:rsidRPr="00F57C10">
        <w:rPr>
          <w:rFonts w:ascii="Times New Roman" w:hAnsi="Times New Roman" w:cs="Times New Roman"/>
          <w:spacing w:val="-2"/>
          <w:szCs w:val="24"/>
        </w:rPr>
        <w:t>odróżnieniu od przedawnienia, terminy zawite nie podlegają co do zasady zawieszeniu,</w:t>
      </w:r>
      <w:r w:rsidRPr="00FD52BD">
        <w:rPr>
          <w:rFonts w:ascii="Times New Roman" w:hAnsi="Times New Roman" w:cs="Times New Roman"/>
          <w:szCs w:val="24"/>
        </w:rPr>
        <w:t xml:space="preserve"> wstrzymaniu czy przerwaniu, a ich upływ uwzględniany jest z urzędu, a nie na zarzut. </w:t>
      </w:r>
      <w:r w:rsidRPr="002559B0">
        <w:rPr>
          <w:rFonts w:ascii="Times New Roman" w:hAnsi="Times New Roman" w:cs="Times New Roman"/>
          <w:spacing w:val="-2"/>
          <w:szCs w:val="24"/>
        </w:rPr>
        <w:t>Prekluzję cechuje zatem znaczny rygoryzm prawny”. Dlatego posłużenie się przez prawodawcę</w:t>
      </w:r>
      <w:r w:rsidRPr="0086444A">
        <w:rPr>
          <w:rFonts w:ascii="Times New Roman" w:hAnsi="Times New Roman" w:cs="Times New Roman"/>
          <w:szCs w:val="24"/>
        </w:rPr>
        <w:t xml:space="preserve"> terminem prekluzyjnym powinno być szczególnie uzasadnione </w:t>
      </w:r>
      <w:r>
        <w:rPr>
          <w:rFonts w:ascii="Times New Roman" w:hAnsi="Times New Roman" w:cs="Times New Roman"/>
          <w:szCs w:val="24"/>
        </w:rPr>
        <w:t>„</w:t>
      </w:r>
      <w:r w:rsidRPr="0086444A">
        <w:rPr>
          <w:rFonts w:ascii="Times New Roman" w:hAnsi="Times New Roman" w:cs="Times New Roman"/>
          <w:szCs w:val="24"/>
        </w:rPr>
        <w:t xml:space="preserve">standardami i funkcjami </w:t>
      </w:r>
      <w:r w:rsidRPr="002559B0">
        <w:rPr>
          <w:rFonts w:ascii="Times New Roman" w:hAnsi="Times New Roman" w:cs="Times New Roman"/>
          <w:spacing w:val="-2"/>
          <w:szCs w:val="24"/>
        </w:rPr>
        <w:t>dawności oraz przyjmowane przede wszystkim dla realizacji celów o doniosłości powszechnej,</w:t>
      </w:r>
      <w:r w:rsidRPr="0086444A">
        <w:rPr>
          <w:rFonts w:ascii="Times New Roman" w:hAnsi="Times New Roman" w:cs="Times New Roman"/>
          <w:szCs w:val="24"/>
        </w:rPr>
        <w:t xml:space="preserve"> ogólnospołecznej</w:t>
      </w:r>
      <w:r>
        <w:rPr>
          <w:rFonts w:ascii="Times New Roman" w:hAnsi="Times New Roman" w:cs="Times New Roman"/>
          <w:szCs w:val="24"/>
        </w:rPr>
        <w:t>”.</w:t>
      </w:r>
    </w:p>
    <w:p w:rsidR="00AC3CDE" w:rsidRDefault="00AC3CDE" w:rsidP="00882005">
      <w:pPr>
        <w:pStyle w:val="ARTartustawynprozporzdzenia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W orzecznictwie sądu konstytucyjnego przyjmuje się, że tradycyjne funkcje dawności </w:t>
      </w:r>
      <w:r w:rsidRPr="00FD52BD">
        <w:rPr>
          <w:rFonts w:ascii="Times New Roman" w:hAnsi="Times New Roman" w:cs="Times New Roman"/>
          <w:szCs w:val="24"/>
        </w:rPr>
        <w:t xml:space="preserve">stanowią </w:t>
      </w:r>
      <w:r>
        <w:rPr>
          <w:rFonts w:ascii="Times New Roman" w:hAnsi="Times New Roman" w:cs="Times New Roman"/>
          <w:szCs w:val="24"/>
        </w:rPr>
        <w:t xml:space="preserve">co do zasady </w:t>
      </w:r>
      <w:r w:rsidRPr="00FD52BD">
        <w:rPr>
          <w:rFonts w:ascii="Times New Roman" w:hAnsi="Times New Roman" w:cs="Times New Roman"/>
          <w:szCs w:val="24"/>
        </w:rPr>
        <w:t>wystarczając</w:t>
      </w:r>
      <w:r>
        <w:rPr>
          <w:rFonts w:ascii="Times New Roman" w:hAnsi="Times New Roman" w:cs="Times New Roman"/>
          <w:szCs w:val="24"/>
        </w:rPr>
        <w:t>y</w:t>
      </w:r>
      <w:r w:rsidRPr="00FD52B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argument za</w:t>
      </w:r>
      <w:r w:rsidRPr="00FD52BD">
        <w:rPr>
          <w:rFonts w:ascii="Times New Roman" w:hAnsi="Times New Roman" w:cs="Times New Roman"/>
          <w:szCs w:val="24"/>
        </w:rPr>
        <w:t xml:space="preserve"> stosowani</w:t>
      </w:r>
      <w:r>
        <w:rPr>
          <w:rFonts w:ascii="Times New Roman" w:hAnsi="Times New Roman" w:cs="Times New Roman"/>
          <w:szCs w:val="24"/>
        </w:rPr>
        <w:t>em</w:t>
      </w:r>
      <w:r w:rsidRPr="00FD52B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prekluzji w relacjach typu </w:t>
      </w:r>
      <w:r w:rsidRPr="00FD52BD">
        <w:rPr>
          <w:rFonts w:ascii="Times New Roman" w:hAnsi="Times New Roman" w:cs="Times New Roman"/>
          <w:szCs w:val="24"/>
        </w:rPr>
        <w:t>horyzontaln</w:t>
      </w:r>
      <w:r>
        <w:rPr>
          <w:rFonts w:ascii="Times New Roman" w:hAnsi="Times New Roman" w:cs="Times New Roman"/>
          <w:szCs w:val="24"/>
        </w:rPr>
        <w:t>ego</w:t>
      </w:r>
      <w:r w:rsidRPr="00FD52BD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tzn.</w:t>
      </w:r>
      <w:r w:rsidRPr="00FD52BD">
        <w:rPr>
          <w:rFonts w:ascii="Times New Roman" w:hAnsi="Times New Roman" w:cs="Times New Roman"/>
          <w:szCs w:val="24"/>
        </w:rPr>
        <w:t xml:space="preserve"> w obrocie cywilnoprawnym, między równorzędnymi podmiotami, które kształtują swoją sytuację prawną w przeważającej mierze na zasadzie autonomii woli</w:t>
      </w:r>
      <w:r>
        <w:rPr>
          <w:rFonts w:ascii="Times New Roman" w:hAnsi="Times New Roman" w:cs="Times New Roman"/>
          <w:szCs w:val="24"/>
        </w:rPr>
        <w:t xml:space="preserve">. Natomiast w relacjach o charakterze wertykalnym, czyli relacjach obywatele – państwo (jednostka samorządu terytorialnego), nie jest to już takie oczywiste. </w:t>
      </w:r>
      <w:r>
        <w:rPr>
          <w:rFonts w:ascii="Times New Roman" w:hAnsi="Times New Roman" w:cs="Times New Roman"/>
          <w:szCs w:val="24"/>
        </w:rPr>
        <w:lastRenderedPageBreak/>
        <w:t>„</w:t>
      </w:r>
      <w:r w:rsidRPr="00FD52BD">
        <w:rPr>
          <w:rFonts w:ascii="Times New Roman" w:hAnsi="Times New Roman" w:cs="Times New Roman"/>
          <w:szCs w:val="24"/>
        </w:rPr>
        <w:t>Państwo dysponuje szczególną wiedzą o swojej sytuacji prawnej, w</w:t>
      </w:r>
      <w:r>
        <w:rPr>
          <w:rFonts w:ascii="Times New Roman" w:hAnsi="Times New Roman" w:cs="Times New Roman"/>
          <w:szCs w:val="24"/>
        </w:rPr>
        <w:t xml:space="preserve"> </w:t>
      </w:r>
      <w:r w:rsidRPr="00FD52BD">
        <w:rPr>
          <w:rFonts w:ascii="Times New Roman" w:hAnsi="Times New Roman" w:cs="Times New Roman"/>
          <w:szCs w:val="24"/>
        </w:rPr>
        <w:t xml:space="preserve">tym majątkowej (rejestry, ewidencje, spisy, archiwa), oraz aparatem urzędniczym, na którym spoczywa szczególny obowiązek dbałości o interes państwa w wielu płaszczyznach. Zasadniczo w takim przypadku odpadają tradycyjne motywy (funkcje) korzystania z instytucji dawności. Tym bardziej wtedy, gdy </w:t>
      </w:r>
      <w:r>
        <w:rPr>
          <w:rFonts w:ascii="Times New Roman" w:hAnsi="Times New Roman" w:cs="Times New Roman"/>
          <w:szCs w:val="24"/>
        </w:rPr>
        <w:t>– jak w  </w:t>
      </w:r>
      <w:r w:rsidRPr="00FD52BD">
        <w:rPr>
          <w:rFonts w:ascii="Times New Roman" w:hAnsi="Times New Roman" w:cs="Times New Roman"/>
          <w:szCs w:val="24"/>
        </w:rPr>
        <w:t>niniejszej sprawie – dawność jest ograniczeniem szeroko rozumianej rekompensaty za jednostronne, władcze doprowadzenie przez państwo do uprzedniego uszczerbku w prawach majątkowych obywateli</w:t>
      </w:r>
      <w:r>
        <w:rPr>
          <w:rFonts w:ascii="Times New Roman" w:hAnsi="Times New Roman" w:cs="Times New Roman"/>
          <w:szCs w:val="24"/>
        </w:rPr>
        <w:t>”</w:t>
      </w:r>
      <w:r w:rsidRPr="00FD52BD">
        <w:rPr>
          <w:rFonts w:ascii="Times New Roman" w:hAnsi="Times New Roman" w:cs="Times New Roman"/>
          <w:szCs w:val="24"/>
        </w:rPr>
        <w:t>.</w:t>
      </w:r>
    </w:p>
    <w:p w:rsidR="00AC3CDE" w:rsidRDefault="00AC3CDE" w:rsidP="00882005">
      <w:pPr>
        <w:pStyle w:val="ARTartustawynprozporzdzenia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W ocenie Trybunału, wprowadzając w art. </w:t>
      </w:r>
      <w:r>
        <w:t xml:space="preserve">129 ust. 4 Pr.o.ś. </w:t>
      </w:r>
      <w:r w:rsidRPr="00FD52BD">
        <w:rPr>
          <w:rFonts w:ascii="Times New Roman" w:hAnsi="Times New Roman" w:cs="Times New Roman"/>
          <w:szCs w:val="24"/>
        </w:rPr>
        <w:t xml:space="preserve">krótki termin zawity na dochodzenie roszczenia, </w:t>
      </w:r>
      <w:r>
        <w:rPr>
          <w:rFonts w:ascii="Times New Roman" w:hAnsi="Times New Roman" w:cs="Times New Roman"/>
          <w:szCs w:val="24"/>
        </w:rPr>
        <w:t xml:space="preserve">prawodawca </w:t>
      </w:r>
      <w:r w:rsidRPr="00FD52BD">
        <w:rPr>
          <w:rFonts w:ascii="Times New Roman" w:hAnsi="Times New Roman" w:cs="Times New Roman"/>
          <w:szCs w:val="24"/>
        </w:rPr>
        <w:t>w istocie liczył na to, że nie wszyscy uprawnieni zdążą skorzystać z</w:t>
      </w:r>
      <w:r>
        <w:rPr>
          <w:rFonts w:ascii="Times New Roman" w:hAnsi="Times New Roman" w:cs="Times New Roman"/>
          <w:szCs w:val="24"/>
        </w:rPr>
        <w:t xml:space="preserve"> </w:t>
      </w:r>
      <w:r w:rsidRPr="00FD52BD">
        <w:rPr>
          <w:rFonts w:ascii="Times New Roman" w:hAnsi="Times New Roman" w:cs="Times New Roman"/>
          <w:szCs w:val="24"/>
        </w:rPr>
        <w:t>prz</w:t>
      </w:r>
      <w:r>
        <w:rPr>
          <w:rFonts w:ascii="Times New Roman" w:hAnsi="Times New Roman" w:cs="Times New Roman"/>
          <w:szCs w:val="24"/>
        </w:rPr>
        <w:t>ysługujący</w:t>
      </w:r>
      <w:r w:rsidRPr="00FD52BD">
        <w:rPr>
          <w:rFonts w:ascii="Times New Roman" w:hAnsi="Times New Roman" w:cs="Times New Roman"/>
          <w:szCs w:val="24"/>
        </w:rPr>
        <w:t xml:space="preserve">ch </w:t>
      </w:r>
      <w:r>
        <w:rPr>
          <w:rFonts w:ascii="Times New Roman" w:hAnsi="Times New Roman" w:cs="Times New Roman"/>
          <w:szCs w:val="24"/>
        </w:rPr>
        <w:t xml:space="preserve">im </w:t>
      </w:r>
      <w:r w:rsidRPr="00FD52BD">
        <w:rPr>
          <w:rFonts w:ascii="Times New Roman" w:hAnsi="Times New Roman" w:cs="Times New Roman"/>
          <w:szCs w:val="24"/>
        </w:rPr>
        <w:t xml:space="preserve">roszczeń. </w:t>
      </w:r>
      <w:r>
        <w:rPr>
          <w:rFonts w:ascii="Times New Roman" w:hAnsi="Times New Roman" w:cs="Times New Roman"/>
          <w:szCs w:val="24"/>
        </w:rPr>
        <w:t>„</w:t>
      </w:r>
      <w:r w:rsidRPr="00FD52BD">
        <w:rPr>
          <w:rFonts w:ascii="Times New Roman" w:hAnsi="Times New Roman" w:cs="Times New Roman"/>
          <w:szCs w:val="24"/>
        </w:rPr>
        <w:t xml:space="preserve">Dominuje w tym troska o finanse publiczne, chęć </w:t>
      </w:r>
      <w:r w:rsidRPr="008E1EBC">
        <w:rPr>
          <w:rFonts w:ascii="Times New Roman" w:hAnsi="Times New Roman" w:cs="Times New Roman"/>
          <w:spacing w:val="-2"/>
          <w:szCs w:val="24"/>
        </w:rPr>
        <w:t>ograniczenia wydatków obciążających budżet państwa czy jednostek samorządu terytorialnego;</w:t>
      </w:r>
      <w:r w:rsidRPr="00FD52BD">
        <w:rPr>
          <w:rFonts w:ascii="Times New Roman" w:hAnsi="Times New Roman" w:cs="Times New Roman"/>
          <w:szCs w:val="24"/>
        </w:rPr>
        <w:t xml:space="preserve"> mniejszą rolę odgrywa wola wynagrodzenia uszczerbków poniesionych wskutek ograniczenia </w:t>
      </w:r>
      <w:r w:rsidRPr="001A3BF2">
        <w:rPr>
          <w:rFonts w:ascii="Times New Roman" w:hAnsi="Times New Roman" w:cs="Times New Roman"/>
          <w:spacing w:val="-4"/>
          <w:szCs w:val="24"/>
        </w:rPr>
        <w:t>własności lub innych praw majątkowych”. Funkcja stabilizacyjna oraz związana z zapewnieniem</w:t>
      </w:r>
      <w:r>
        <w:rPr>
          <w:rFonts w:ascii="Times New Roman" w:hAnsi="Times New Roman" w:cs="Times New Roman"/>
          <w:szCs w:val="24"/>
        </w:rPr>
        <w:t xml:space="preserve"> pewności i bezpieczeństwa obrotu prawnego schodzą w tym przypadku na drugi plan. Jednak z punktu widzenia testu proporcjonalności najważniejsze jest to, że art. 129 ust. 4 Pr.o.ś. nie  </w:t>
      </w:r>
      <w:r w:rsidRPr="00FD52BD">
        <w:rPr>
          <w:rFonts w:ascii="Times New Roman" w:hAnsi="Times New Roman" w:cs="Times New Roman"/>
          <w:szCs w:val="24"/>
        </w:rPr>
        <w:t>spełnia przesłanki najmniejszej uciążliwości.</w:t>
      </w:r>
      <w:r>
        <w:rPr>
          <w:rFonts w:ascii="Times New Roman" w:hAnsi="Times New Roman" w:cs="Times New Roman"/>
          <w:szCs w:val="24"/>
        </w:rPr>
        <w:t xml:space="preserve"> </w:t>
      </w:r>
      <w:r w:rsidRPr="00FD52BD">
        <w:rPr>
          <w:rFonts w:ascii="Times New Roman" w:hAnsi="Times New Roman" w:cs="Times New Roman"/>
          <w:szCs w:val="24"/>
        </w:rPr>
        <w:t>Przepis ten nie stanowi</w:t>
      </w:r>
      <w:r>
        <w:rPr>
          <w:rFonts w:ascii="Times New Roman" w:hAnsi="Times New Roman" w:cs="Times New Roman"/>
          <w:szCs w:val="24"/>
        </w:rPr>
        <w:t xml:space="preserve"> bowiem</w:t>
      </w:r>
      <w:r w:rsidRPr="00FD52BD">
        <w:rPr>
          <w:rFonts w:ascii="Times New Roman" w:hAnsi="Times New Roman" w:cs="Times New Roman"/>
          <w:szCs w:val="24"/>
        </w:rPr>
        <w:t xml:space="preserve"> </w:t>
      </w:r>
      <w:r w:rsidRPr="00A1753D">
        <w:rPr>
          <w:rFonts w:ascii="Times New Roman" w:hAnsi="Times New Roman" w:cs="Times New Roman"/>
          <w:spacing w:val="-3"/>
          <w:szCs w:val="24"/>
        </w:rPr>
        <w:t>najmniej dolegli</w:t>
      </w:r>
      <w:r>
        <w:rPr>
          <w:rFonts w:ascii="Times New Roman" w:hAnsi="Times New Roman" w:cs="Times New Roman"/>
          <w:spacing w:val="-3"/>
          <w:szCs w:val="24"/>
        </w:rPr>
        <w:t>wego</w:t>
      </w:r>
      <w:r w:rsidRPr="00A1753D">
        <w:rPr>
          <w:rFonts w:ascii="Times New Roman" w:hAnsi="Times New Roman" w:cs="Times New Roman"/>
          <w:spacing w:val="-3"/>
          <w:szCs w:val="24"/>
        </w:rPr>
        <w:t xml:space="preserve"> środka prowadzącego do osiągnięcia założonego celu. </w:t>
      </w:r>
      <w:r>
        <w:rPr>
          <w:rFonts w:ascii="Times New Roman" w:hAnsi="Times New Roman" w:cs="Times New Roman"/>
          <w:spacing w:val="-3"/>
          <w:szCs w:val="24"/>
        </w:rPr>
        <w:t xml:space="preserve">Zdaniem </w:t>
      </w:r>
      <w:r w:rsidRPr="00A1753D">
        <w:rPr>
          <w:rFonts w:ascii="Times New Roman" w:hAnsi="Times New Roman" w:cs="Times New Roman"/>
          <w:spacing w:val="-3"/>
          <w:szCs w:val="24"/>
        </w:rPr>
        <w:t>T</w:t>
      </w:r>
      <w:r>
        <w:rPr>
          <w:rFonts w:ascii="Times New Roman" w:hAnsi="Times New Roman" w:cs="Times New Roman"/>
          <w:spacing w:val="-3"/>
          <w:szCs w:val="24"/>
        </w:rPr>
        <w:t>K</w:t>
      </w:r>
      <w:r w:rsidRPr="00A1753D">
        <w:rPr>
          <w:rFonts w:ascii="Times New Roman" w:hAnsi="Times New Roman" w:cs="Times New Roman"/>
          <w:spacing w:val="-3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„[o]</w:t>
      </w:r>
      <w:r w:rsidRPr="00FD52BD">
        <w:rPr>
          <w:rFonts w:ascii="Times New Roman" w:hAnsi="Times New Roman" w:cs="Times New Roman"/>
          <w:szCs w:val="24"/>
        </w:rPr>
        <w:t>siągnięcie tego celu, przy zachowaniu racji posłużenia się insty</w:t>
      </w:r>
      <w:r>
        <w:rPr>
          <w:rFonts w:ascii="Times New Roman" w:hAnsi="Times New Roman" w:cs="Times New Roman"/>
          <w:szCs w:val="24"/>
        </w:rPr>
        <w:t xml:space="preserve">tucją dawności, mogłoby </w:t>
      </w:r>
      <w:r w:rsidRPr="000312F0">
        <w:rPr>
          <w:rFonts w:ascii="Times New Roman" w:hAnsi="Times New Roman" w:cs="Times New Roman"/>
          <w:spacing w:val="-2"/>
          <w:szCs w:val="24"/>
        </w:rPr>
        <w:t>nastąpić także przez zakreślenie w ustawie dłuższego terminu prekluzji, dającego uprawnionym</w:t>
      </w:r>
      <w:r w:rsidRPr="00FD52BD">
        <w:rPr>
          <w:rFonts w:ascii="Times New Roman" w:hAnsi="Times New Roman" w:cs="Times New Roman"/>
          <w:szCs w:val="24"/>
        </w:rPr>
        <w:t xml:space="preserve"> realną możliwość dochodzenia roszczeń, bez uszczerbku dla przydatności instytucji</w:t>
      </w:r>
      <w:r>
        <w:rPr>
          <w:rFonts w:ascii="Times New Roman" w:hAnsi="Times New Roman" w:cs="Times New Roman"/>
          <w:szCs w:val="24"/>
        </w:rPr>
        <w:t>”</w:t>
      </w:r>
      <w:r w:rsidRPr="00FD52BD">
        <w:rPr>
          <w:rFonts w:ascii="Times New Roman" w:hAnsi="Times New Roman" w:cs="Times New Roman"/>
          <w:szCs w:val="24"/>
        </w:rPr>
        <w:t>.</w:t>
      </w:r>
    </w:p>
    <w:p w:rsidR="00AC3CDE" w:rsidRDefault="00AC3CDE" w:rsidP="00882005">
      <w:pPr>
        <w:pStyle w:val="ARTartustawynprozporzdzenia"/>
      </w:pPr>
      <w:r w:rsidRPr="0072286F">
        <w:rPr>
          <w:rFonts w:ascii="Times New Roman" w:hAnsi="Times New Roman" w:cs="Times New Roman"/>
          <w:spacing w:val="-3"/>
          <w:szCs w:val="24"/>
        </w:rPr>
        <w:t xml:space="preserve">Trybunał </w:t>
      </w:r>
      <w:r>
        <w:rPr>
          <w:rFonts w:ascii="Times New Roman" w:hAnsi="Times New Roman" w:cs="Times New Roman"/>
          <w:spacing w:val="-3"/>
          <w:szCs w:val="24"/>
        </w:rPr>
        <w:t>zauważy</w:t>
      </w:r>
      <w:r w:rsidRPr="0072286F">
        <w:rPr>
          <w:rFonts w:ascii="Times New Roman" w:hAnsi="Times New Roman" w:cs="Times New Roman"/>
          <w:spacing w:val="-3"/>
          <w:szCs w:val="24"/>
        </w:rPr>
        <w:t xml:space="preserve">ł ponadto, że kontrolowany przepis nie czyni również zadość </w:t>
      </w:r>
      <w:r>
        <w:rPr>
          <w:rFonts w:ascii="Times New Roman" w:hAnsi="Times New Roman" w:cs="Times New Roman"/>
          <w:spacing w:val="-3"/>
          <w:szCs w:val="24"/>
        </w:rPr>
        <w:t xml:space="preserve">trzeciej </w:t>
      </w:r>
      <w:r w:rsidRPr="0072286F">
        <w:rPr>
          <w:rFonts w:ascii="Times New Roman" w:hAnsi="Times New Roman" w:cs="Times New Roman"/>
          <w:spacing w:val="-3"/>
          <w:szCs w:val="24"/>
        </w:rPr>
        <w:t>przesłance</w:t>
      </w:r>
      <w:r>
        <w:rPr>
          <w:rFonts w:ascii="Times New Roman" w:hAnsi="Times New Roman" w:cs="Times New Roman"/>
          <w:szCs w:val="24"/>
        </w:rPr>
        <w:t xml:space="preserve"> testu </w:t>
      </w:r>
      <w:r w:rsidRPr="00970DED">
        <w:rPr>
          <w:rFonts w:ascii="Times New Roman" w:hAnsi="Times New Roman" w:cs="Times New Roman"/>
          <w:szCs w:val="24"/>
        </w:rPr>
        <w:t>proporcjonalności</w:t>
      </w:r>
      <w:r w:rsidRPr="00970DED">
        <w:t xml:space="preserve">. </w:t>
      </w:r>
      <w:r>
        <w:t>„N</w:t>
      </w:r>
      <w:r w:rsidRPr="00970DED">
        <w:t>ie można bagatelizować znaczenia przewidywalności wydatków</w:t>
      </w:r>
      <w:r>
        <w:t xml:space="preserve"> dla finansów publicznych, choćby w zakresie oddziaływania ocenianego przepisu. Tyle że dobro to w analizowanej sprawie nie pozostaje w proporcji </w:t>
      </w:r>
      <w:r w:rsidRPr="00B97339">
        <w:rPr>
          <w:rStyle w:val="Kkursywa"/>
        </w:rPr>
        <w:t>sensu stricto</w:t>
      </w:r>
      <w:r>
        <w:t xml:space="preserve"> do roszczeń o odszkodowanie lub o wykup, będących ekwiwalentem odebranych wcześniej uprawnień właścicielskich lub tworzących inne prawa majątkowe, w ramach ograniczenia tych praw (…) uszczerbek w wartościach konstytucyjnych, wynikający z odjęcia tych roszczeń po upływie tak krótkiego terminu zawitego, pozostaje w dysproporcji z ewentualnym uszczerbkiem w wartości przewidywalności budżetowej, wynikającym z wydłużenia terminu prekluzji”.</w:t>
      </w:r>
    </w:p>
    <w:p w:rsidR="00AC3CDE" w:rsidRPr="00CB59EA" w:rsidRDefault="00AC3CDE" w:rsidP="00882005">
      <w:pPr>
        <w:pStyle w:val="ARTartustawynprozporzdzenia"/>
      </w:pPr>
      <w:r w:rsidRPr="00114956">
        <w:rPr>
          <w:spacing w:val="-2"/>
        </w:rPr>
        <w:t>2.5. Stwierdziwszy niekonstytucyjność art. 129 ust. 4 Pr.o.ś., TK postanowił o odroczeniu</w:t>
      </w:r>
      <w:r>
        <w:t xml:space="preserve"> utraty mocy obowiązującej kontrolowanej normy prawnej i wyznaczył termin 12 miesięcy na dokonanie zmian w systemie prawnym (pkt II sentencji wyroku).</w:t>
      </w:r>
    </w:p>
    <w:p w:rsidR="00AC3CDE" w:rsidRPr="0015321A" w:rsidRDefault="00AC3CDE" w:rsidP="0015321A"/>
    <w:p w:rsidR="00AC3CDE" w:rsidRPr="0015321A" w:rsidRDefault="00AC3CDE" w:rsidP="00457372">
      <w:pPr>
        <w:keepNext/>
        <w:rPr>
          <w:rStyle w:val="Ppogrubienie"/>
        </w:rPr>
      </w:pPr>
      <w:r w:rsidRPr="0015321A">
        <w:rPr>
          <w:rStyle w:val="Ppogrubienie"/>
        </w:rPr>
        <w:t>3. Różnice między dotychczasowym a projektowanym stanem prawnym</w:t>
      </w:r>
    </w:p>
    <w:p w:rsidR="00AC3CDE" w:rsidRDefault="00AC3CDE" w:rsidP="00284963">
      <w:pPr>
        <w:pStyle w:val="ARTartustawynprozporzdzenia"/>
      </w:pPr>
      <w:r>
        <w:t xml:space="preserve">Jak to zostało już podkreślone w części 2.2. niniejszego uzasadnienia, zgodnie z wciąż obowiązującym stanem prawnym roszczenie o wykup nieruchomości lub jej części bądź </w:t>
      </w:r>
      <w:r>
        <w:rPr>
          <w:spacing w:val="-2"/>
        </w:rPr>
        <w:t>o </w:t>
      </w:r>
      <w:r w:rsidRPr="0036785E">
        <w:rPr>
          <w:spacing w:val="-2"/>
        </w:rPr>
        <w:t>odszkodowanie za poniesioną szkodę, które – w przypadku ograniczenia sposobu korzystania</w:t>
      </w:r>
      <w:r>
        <w:t xml:space="preserve"> z nieruchomości w związku z ochroną zasobów środowiska – przysługuje właścicielowi, użytkownikowi wieczystemu lub podmiotowi </w:t>
      </w:r>
      <w:r>
        <w:lastRenderedPageBreak/>
        <w:t>uprawnionemu z tytułu prawa rzeczowego do nieruchomości, wygasa ostatecznie po upływie 2 lat od dnia wejścia w życie rozporządzenia lub aktu prawa miejscowego będącego źródłem danego ograniczenia.</w:t>
      </w:r>
    </w:p>
    <w:p w:rsidR="00AC3CDE" w:rsidRDefault="00AC3CDE" w:rsidP="00284963">
      <w:pPr>
        <w:pStyle w:val="ARTartustawynprozporzdzenia"/>
      </w:pPr>
      <w:r>
        <w:t xml:space="preserve">Trybunał uznał powyższy termin za sprzeczny z zasadą proporcjonalności wywodzoną z art. 31 ust. </w:t>
      </w:r>
      <w:r w:rsidRPr="001511E7">
        <w:t>3 Konstytucji</w:t>
      </w:r>
      <w:r>
        <w:t xml:space="preserve">, a tym samym za naruszający standard ochrony poręczony w art. </w:t>
      </w:r>
      <w:r w:rsidRPr="001511E7">
        <w:t xml:space="preserve">64 ust. 1 </w:t>
      </w:r>
      <w:r>
        <w:t>ustawy zasadniczej, tylko i wyłącznie z uwagi na jego niedostateczną długość. I  jakkolwiek w części motywacyjnej swego rozstrzygnięcia zaakcentował, że r</w:t>
      </w:r>
      <w:r w:rsidRPr="008D0F52">
        <w:t>ozwiązania, jakie ustawodawca jest obowiązany wprowadzić w okresie odroczenia, mogą przybrać różną postać</w:t>
      </w:r>
      <w:r>
        <w:t xml:space="preserve">, to nadmienił, że jeżeli </w:t>
      </w:r>
      <w:r w:rsidRPr="00FD52BD">
        <w:rPr>
          <w:rFonts w:ascii="Times New Roman" w:hAnsi="Times New Roman" w:cs="Times New Roman"/>
          <w:szCs w:val="24"/>
        </w:rPr>
        <w:t xml:space="preserve">za pomocą instytucji dawności, </w:t>
      </w:r>
      <w:r>
        <w:rPr>
          <w:rFonts w:ascii="Times New Roman" w:hAnsi="Times New Roman" w:cs="Times New Roman"/>
          <w:szCs w:val="24"/>
        </w:rPr>
        <w:t xml:space="preserve">i to </w:t>
      </w:r>
      <w:r w:rsidRPr="00FD52BD">
        <w:rPr>
          <w:rFonts w:ascii="Times New Roman" w:hAnsi="Times New Roman" w:cs="Times New Roman"/>
          <w:szCs w:val="24"/>
        </w:rPr>
        <w:t xml:space="preserve">bez zmiany </w:t>
      </w:r>
      <w:r>
        <w:rPr>
          <w:rFonts w:ascii="Times New Roman" w:hAnsi="Times New Roman" w:cs="Times New Roman"/>
          <w:szCs w:val="24"/>
        </w:rPr>
        <w:t>koncepcji</w:t>
      </w:r>
      <w:r w:rsidRPr="00FD52BD">
        <w:rPr>
          <w:rFonts w:ascii="Times New Roman" w:hAnsi="Times New Roman" w:cs="Times New Roman"/>
          <w:szCs w:val="24"/>
        </w:rPr>
        <w:t xml:space="preserve"> normatywne</w:t>
      </w:r>
      <w:r>
        <w:rPr>
          <w:rFonts w:ascii="Times New Roman" w:hAnsi="Times New Roman" w:cs="Times New Roman"/>
          <w:szCs w:val="24"/>
        </w:rPr>
        <w:t>j</w:t>
      </w:r>
      <w:r w:rsidRPr="00FD52BD">
        <w:rPr>
          <w:rFonts w:ascii="Times New Roman" w:hAnsi="Times New Roman" w:cs="Times New Roman"/>
          <w:szCs w:val="24"/>
        </w:rPr>
        <w:t>,</w:t>
      </w:r>
      <w:r>
        <w:t xml:space="preserve"> nadal miałaby być chroniona</w:t>
      </w:r>
      <w:r w:rsidRPr="00FD52BD">
        <w:rPr>
          <w:rFonts w:ascii="Times New Roman" w:hAnsi="Times New Roman" w:cs="Times New Roman"/>
          <w:szCs w:val="24"/>
        </w:rPr>
        <w:t xml:space="preserve"> wartość przewidywalności budżetowej</w:t>
      </w:r>
      <w:r>
        <w:rPr>
          <w:rFonts w:ascii="Times New Roman" w:hAnsi="Times New Roman" w:cs="Times New Roman"/>
          <w:szCs w:val="24"/>
        </w:rPr>
        <w:t>,</w:t>
      </w:r>
      <w:r w:rsidRPr="00FD52B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to sam </w:t>
      </w:r>
      <w:r w:rsidRPr="00FD52BD">
        <w:rPr>
          <w:rFonts w:ascii="Times New Roman" w:hAnsi="Times New Roman" w:cs="Times New Roman"/>
          <w:szCs w:val="24"/>
        </w:rPr>
        <w:t>termin prekluzji</w:t>
      </w:r>
      <w:r>
        <w:rPr>
          <w:rFonts w:ascii="Times New Roman" w:hAnsi="Times New Roman" w:cs="Times New Roman"/>
          <w:szCs w:val="24"/>
        </w:rPr>
        <w:t xml:space="preserve"> musi zostać wydłużony. Według Trybunału Konstytucyjnego, „[d]</w:t>
      </w:r>
      <w:r w:rsidRPr="00FD52BD">
        <w:rPr>
          <w:rFonts w:ascii="Times New Roman" w:hAnsi="Times New Roman" w:cs="Times New Roman"/>
          <w:szCs w:val="24"/>
        </w:rPr>
        <w:t>ługość tego terminu powinna być określona z</w:t>
      </w:r>
      <w:r>
        <w:rPr>
          <w:rFonts w:ascii="Times New Roman" w:hAnsi="Times New Roman" w:cs="Times New Roman"/>
          <w:szCs w:val="24"/>
        </w:rPr>
        <w:t xml:space="preserve"> </w:t>
      </w:r>
      <w:r w:rsidRPr="00FD52BD">
        <w:rPr>
          <w:rFonts w:ascii="Times New Roman" w:hAnsi="Times New Roman" w:cs="Times New Roman"/>
          <w:szCs w:val="24"/>
        </w:rPr>
        <w:t xml:space="preserve">uwzględnieniem zasługującego na ochronę interesu </w:t>
      </w:r>
      <w:r w:rsidRPr="00D32D18">
        <w:rPr>
          <w:rFonts w:ascii="Times New Roman" w:hAnsi="Times New Roman" w:cs="Times New Roman"/>
          <w:spacing w:val="-2"/>
          <w:szCs w:val="24"/>
        </w:rPr>
        <w:t>publicznego oraz prywatnego osób uprawnionych. Rzecznik [będący wnioskodawcą w sprawie</w:t>
      </w:r>
      <w:r>
        <w:rPr>
          <w:rFonts w:ascii="Times New Roman" w:hAnsi="Times New Roman" w:cs="Times New Roman"/>
          <w:szCs w:val="24"/>
        </w:rPr>
        <w:t xml:space="preserve"> K 2/17] </w:t>
      </w:r>
      <w:r w:rsidRPr="00FD52BD">
        <w:rPr>
          <w:rFonts w:ascii="Times New Roman" w:hAnsi="Times New Roman" w:cs="Times New Roman"/>
          <w:szCs w:val="24"/>
        </w:rPr>
        <w:t xml:space="preserve">trafnie także wskazywał na funkcjonujące w różnych działach polskiego systemu prawnego dłuższe terminy zawite. Ich średnia długość może służyć za swoisty standard, do którego mógłby odwołać się prawodawca, projektując zmianę art. 129 ust. 4 </w:t>
      </w:r>
      <w:r>
        <w:rPr>
          <w:rFonts w:ascii="Times New Roman" w:hAnsi="Times New Roman" w:cs="Times New Roman"/>
          <w:szCs w:val="24"/>
        </w:rPr>
        <w:t>(…) [Pr</w:t>
      </w:r>
      <w:r w:rsidRPr="00FD52BD">
        <w:rPr>
          <w:rFonts w:ascii="Times New Roman" w:hAnsi="Times New Roman" w:cs="Times New Roman"/>
          <w:szCs w:val="24"/>
        </w:rPr>
        <w:t>.o.ś.</w:t>
      </w:r>
      <w:r>
        <w:rPr>
          <w:rFonts w:ascii="Times New Roman" w:hAnsi="Times New Roman" w:cs="Times New Roman"/>
          <w:szCs w:val="24"/>
        </w:rPr>
        <w:t>]</w:t>
      </w:r>
      <w:r w:rsidRPr="00FD52B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w </w:t>
      </w:r>
      <w:r w:rsidRPr="00FD52BD">
        <w:rPr>
          <w:rFonts w:ascii="Times New Roman" w:hAnsi="Times New Roman" w:cs="Times New Roman"/>
          <w:szCs w:val="24"/>
        </w:rPr>
        <w:t>analizowanym zakresie</w:t>
      </w:r>
      <w:r>
        <w:rPr>
          <w:rFonts w:ascii="Times New Roman" w:hAnsi="Times New Roman" w:cs="Times New Roman"/>
          <w:szCs w:val="24"/>
        </w:rPr>
        <w:t>”</w:t>
      </w:r>
      <w:r w:rsidRPr="00FD52BD">
        <w:rPr>
          <w:rFonts w:ascii="Times New Roman" w:hAnsi="Times New Roman" w:cs="Times New Roman"/>
          <w:szCs w:val="24"/>
        </w:rPr>
        <w:t>.</w:t>
      </w:r>
    </w:p>
    <w:p w:rsidR="00AC3CDE" w:rsidRDefault="00AC3CDE" w:rsidP="00284963">
      <w:pPr>
        <w:pStyle w:val="ARTartustawynprozporzdzenia"/>
      </w:pPr>
      <w:r w:rsidRPr="009C5041">
        <w:t xml:space="preserve">Mając na względzie tę </w:t>
      </w:r>
      <w:r>
        <w:t>sugesti</w:t>
      </w:r>
      <w:r w:rsidRPr="009C5041">
        <w:t>ę</w:t>
      </w:r>
      <w:r>
        <w:t xml:space="preserve"> oraz okoliczność, że na gruncie projektowanej regulacji niezbędne jest wyważenie sprzecznych interesów rożnych podmiotów (z jednej strony – uprawnionych do dochodzenia roszczeń na postawie art. 129 ust. 1–4 Pr.o.ś., a z drugiej – obowiązanych do ich zaspokojenia, w tym spółek prawa handlowego, których działalność jest przesłanką </w:t>
      </w:r>
      <w:r w:rsidRPr="001A7774">
        <w:t>ograniczenia sposobu korzystania ze środowiska w wyniku ustanowienia obszaru ograniczonego</w:t>
      </w:r>
      <w:r>
        <w:t xml:space="preserve"> użytkowania) </w:t>
      </w:r>
      <w:r w:rsidRPr="009C5041">
        <w:t xml:space="preserve">proponuje się zastąpienie dotychczasowego terminu </w:t>
      </w:r>
      <w:r>
        <w:t>2</w:t>
      </w:r>
      <w:r w:rsidRPr="009C5041">
        <w:t>-letniego</w:t>
      </w:r>
      <w:r>
        <w:t xml:space="preserve"> terminem wynoszącym 3 lata (art. 1 projektowanej ustawy). Zakłada się, że termin ten nie będzie stał na przeszkodzie skutecznemu dochodzeniu przez uprawnionych przyznanych im prawem roszczeń i jednocześnie pozwoli efektywnie oszacować i zaplanować wydatki, które wedle art. 134 oraz art. 136 ust. 2 Pr.o.ś. muszą być uwzględnione odpowiednio w budżetach </w:t>
      </w:r>
      <w:r w:rsidRPr="004A416C">
        <w:rPr>
          <w:spacing w:val="-4"/>
        </w:rPr>
        <w:t>jednostek samorządu terytorialnego lub Skarbu Państwa albo w planach finansowych podmiotów,</w:t>
      </w:r>
      <w:r>
        <w:t xml:space="preserve"> których działalność doprowadziła do ustanowienia obszaru ograniczonego użytkowania.  </w:t>
      </w:r>
      <w:r>
        <w:rPr>
          <w:spacing w:val="-2"/>
        </w:rPr>
        <w:t>Zarazem w niezmienionym kształcie zostanie utrzymane unormowanie wyznaczające początek biegu omawianego terminu („</w:t>
      </w:r>
      <w:r w:rsidRPr="00D912C7">
        <w:rPr>
          <w:spacing w:val="-2"/>
        </w:rPr>
        <w:t>od dnia wejścia w życie rozporządzenia lub aktu prawa miejscowego powodującego ograniczenie sposobu korzystania z nieruchomości</w:t>
      </w:r>
      <w:r>
        <w:rPr>
          <w:spacing w:val="-2"/>
        </w:rPr>
        <w:t>”).</w:t>
      </w:r>
    </w:p>
    <w:p w:rsidR="00AC3CDE" w:rsidRDefault="00AC3CDE" w:rsidP="00F555AE">
      <w:pPr>
        <w:pStyle w:val="ARTartustawynprozporzdzenia"/>
      </w:pPr>
      <w:r>
        <w:t xml:space="preserve">W końcowym fragmencie uzasadnienia wyroku Trybunał zwrócił jeszcze uwagę na potrzebę uchwalenia odpowiedniego przepisu przejściowego. Mianowicie: w poświęconym tej kwestii akapicie wskazał, że „[w] </w:t>
      </w:r>
      <w:r w:rsidRPr="00FD52BD">
        <w:rPr>
          <w:rFonts w:ascii="Times New Roman" w:hAnsi="Times New Roman" w:cs="Times New Roman"/>
          <w:szCs w:val="24"/>
        </w:rPr>
        <w:t>gestii ustawodawcy pozostaje rozstrzygnięcie, w drodze odpowiedniej reguły intertemporalnej, czy nowe rozwiązanie, które zostanie przyjęte, będzie miało zastosowanie także do stanów faktycznych zaistniałych przed wejściem w życie niniejszego wyroku TK i ewentualnie w jakim zakresie czasowym</w:t>
      </w:r>
      <w:r>
        <w:rPr>
          <w:rFonts w:ascii="Times New Roman" w:hAnsi="Times New Roman" w:cs="Times New Roman"/>
          <w:szCs w:val="24"/>
        </w:rPr>
        <w:t>”</w:t>
      </w:r>
      <w:r w:rsidRPr="00FD52BD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Ponieważ, jak to już wcześniej nadmieniono, projekt nie może abstrahować od tego, że w opisywanym przypadku w rachubę wchodzą sprzeczne interesy i jednocześnie chroniące je konkurencyjne wartości rangi konstytucyjnej regulacje przejściowe ograniczono do przepisu art. 2. W jednostce tej zaproponowano, aby jedynie ci spośród uprawnionych, których roszczenia nie wygasły przed wejściem w życie ustawy, zostali objęci nowym, tj. 3-letnim terminem prekluzyjnym. Skądinąd takie rozwiązanie </w:t>
      </w:r>
      <w:r>
        <w:rPr>
          <w:rFonts w:ascii="Times New Roman" w:hAnsi="Times New Roman" w:cs="Times New Roman"/>
          <w:szCs w:val="24"/>
        </w:rPr>
        <w:lastRenderedPageBreak/>
        <w:t xml:space="preserve">znajduje uzasadnienie w tradycyjnie stosowanych regulacjach międzyczasowych, których przykładem może być m.in. art. XXXV w związku z art. XXXVI ustawy </w:t>
      </w:r>
      <w:r w:rsidRPr="00F555AE">
        <w:rPr>
          <w:rFonts w:ascii="Times New Roman" w:hAnsi="Times New Roman" w:cs="Times New Roman"/>
          <w:szCs w:val="24"/>
        </w:rPr>
        <w:t>z dnia 23 kwietnia 1964 r.</w:t>
      </w:r>
      <w:r>
        <w:rPr>
          <w:rFonts w:ascii="Times New Roman" w:hAnsi="Times New Roman" w:cs="Times New Roman"/>
          <w:szCs w:val="24"/>
        </w:rPr>
        <w:t xml:space="preserve"> – </w:t>
      </w:r>
      <w:r w:rsidRPr="00F555AE">
        <w:rPr>
          <w:rFonts w:ascii="Times New Roman" w:hAnsi="Times New Roman" w:cs="Times New Roman"/>
          <w:szCs w:val="24"/>
        </w:rPr>
        <w:t>Przepisy wprowadzające kodeks cywilny</w:t>
      </w:r>
      <w:r>
        <w:rPr>
          <w:rFonts w:ascii="Times New Roman" w:hAnsi="Times New Roman" w:cs="Times New Roman"/>
          <w:szCs w:val="24"/>
        </w:rPr>
        <w:t>.</w:t>
      </w:r>
    </w:p>
    <w:p w:rsidR="00AC3CDE" w:rsidRPr="00743F36" w:rsidRDefault="00AC3CDE" w:rsidP="00284963">
      <w:pPr>
        <w:pStyle w:val="ARTartustawynprozporzdzenia"/>
      </w:pPr>
      <w:r>
        <w:t>Zgodnie z art. 3 projektowanej ustawy, okres jej spoczywania ma być wyznaczony przez wskazanie konkretnej daty, a mianowicie 14 marca 2019 r. Takie ukształtowanie</w:t>
      </w:r>
      <w:r w:rsidRPr="00A53812">
        <w:rPr>
          <w:spacing w:val="-2"/>
        </w:rPr>
        <w:t xml:space="preserve"> </w:t>
      </w:r>
      <w:r w:rsidRPr="00A53812">
        <w:rPr>
          <w:rStyle w:val="Kkursywa"/>
          <w:spacing w:val="-2"/>
        </w:rPr>
        <w:t>vacatio legis</w:t>
      </w:r>
      <w:r w:rsidRPr="00A53812">
        <w:rPr>
          <w:spacing w:val="-2"/>
        </w:rPr>
        <w:t xml:space="preserve"> jest motywowane</w:t>
      </w:r>
      <w:r>
        <w:t xml:space="preserve"> terminem, jaki Trybunał zakreślił ustawodawcy w pkt II sentencji wyroku z </w:t>
      </w:r>
      <w:r w:rsidRPr="00510A18">
        <w:t xml:space="preserve">dnia </w:t>
      </w:r>
      <w:r>
        <w:t xml:space="preserve">7 marca 2018 r. na wykonanie tegoż orzeczenia. </w:t>
      </w:r>
    </w:p>
    <w:p w:rsidR="00AC3CDE" w:rsidRDefault="00AC3CDE" w:rsidP="0015321A">
      <w:pPr>
        <w:rPr>
          <w:rStyle w:val="Ppogrubienie"/>
        </w:rPr>
      </w:pPr>
    </w:p>
    <w:p w:rsidR="00AC3CDE" w:rsidRPr="0094134D" w:rsidRDefault="00AC3CDE" w:rsidP="008A2640">
      <w:pPr>
        <w:keepNext/>
        <w:rPr>
          <w:rStyle w:val="Ppogrubienie"/>
        </w:rPr>
      </w:pPr>
      <w:r w:rsidRPr="0094134D">
        <w:rPr>
          <w:rStyle w:val="Ppogrubienie"/>
        </w:rPr>
        <w:t>4. Konsultacje</w:t>
      </w:r>
    </w:p>
    <w:p w:rsidR="00AC3CDE" w:rsidRDefault="00AC3CDE" w:rsidP="008A2640">
      <w:pPr>
        <w:pStyle w:val="NIEARTTEKSTtekstnieartykuowanynppodstprawnarozplubpreambua"/>
        <w:rPr>
          <w:rStyle w:val="Ppogrubienie"/>
        </w:rPr>
      </w:pPr>
      <w:r>
        <w:t>Nadesłane w ramach konsultacji opinie i uwagi są zamieszczone na senackiej stronie internetowej. Wyniki konsultacji przedstawiono w Ocenie Skutków Regulacji.</w:t>
      </w:r>
    </w:p>
    <w:p w:rsidR="00AC3CDE" w:rsidRDefault="00AC3CDE" w:rsidP="003D3982">
      <w:pPr>
        <w:keepNext/>
        <w:rPr>
          <w:rStyle w:val="Ppogrubienie"/>
        </w:rPr>
      </w:pPr>
    </w:p>
    <w:p w:rsidR="00AC3CDE" w:rsidRPr="0015321A" w:rsidRDefault="00AC3CDE" w:rsidP="003D3982">
      <w:pPr>
        <w:keepNext/>
        <w:rPr>
          <w:rStyle w:val="Ppogrubienie"/>
        </w:rPr>
      </w:pPr>
      <w:r>
        <w:rPr>
          <w:rStyle w:val="Ppogrubienie"/>
        </w:rPr>
        <w:t xml:space="preserve">5. </w:t>
      </w:r>
      <w:r w:rsidRPr="0015321A">
        <w:rPr>
          <w:rStyle w:val="Ppogrubienie"/>
        </w:rPr>
        <w:t>Oświadczenie o zgodności z prawem Unii Europejskiej</w:t>
      </w:r>
    </w:p>
    <w:p w:rsidR="00AC3CDE" w:rsidRPr="00613011" w:rsidRDefault="00AC3CDE" w:rsidP="00730DA0">
      <w:pPr>
        <w:pStyle w:val="NIEARTTEKSTtekstnieartykuowanynppodstprawnarozplubpreambua"/>
      </w:pPr>
      <w:r w:rsidRPr="0015321A">
        <w:t>Zakres przedmiotowy projektowanej ustawy nie jest objęty prawem Unii Europejskiej.</w:t>
      </w:r>
    </w:p>
    <w:p w:rsidR="00AC3CDE" w:rsidRPr="001B342E" w:rsidRDefault="00AC3CDE" w:rsidP="00C70646">
      <w:bookmarkStart w:id="0" w:name="_GoBack"/>
      <w:bookmarkEnd w:id="0"/>
    </w:p>
    <w:sectPr w:rsidR="00AC3CDE" w:rsidRPr="001B342E" w:rsidSect="009050DC">
      <w:headerReference w:type="default" r:id="rId9"/>
      <w:pgSz w:w="11906" w:h="16838"/>
      <w:pgMar w:top="426" w:right="707" w:bottom="426" w:left="720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BA6" w:rsidRDefault="00480BA6">
      <w:r>
        <w:separator/>
      </w:r>
    </w:p>
  </w:endnote>
  <w:endnote w:type="continuationSeparator" w:id="0">
    <w:p w:rsidR="00480BA6" w:rsidRDefault="00480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BA6" w:rsidRDefault="00480BA6">
      <w:r>
        <w:separator/>
      </w:r>
    </w:p>
  </w:footnote>
  <w:footnote w:type="continuationSeparator" w:id="0">
    <w:p w:rsidR="00480BA6" w:rsidRDefault="00480B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0DC" w:rsidRPr="009050DC" w:rsidRDefault="009050DC" w:rsidP="009050DC">
    <w:pPr>
      <w:pStyle w:val="Nagwek"/>
      <w:rPr>
        <w:sz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2354159"/>
    <w:multiLevelType w:val="hybridMultilevel"/>
    <w:tmpl w:val="50785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6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6"/>
  </w:num>
  <w:num w:numId="12">
    <w:abstractNumId w:val="11"/>
  </w:num>
  <w:num w:numId="13">
    <w:abstractNumId w:val="17"/>
  </w:num>
  <w:num w:numId="14">
    <w:abstractNumId w:val="29"/>
  </w:num>
  <w:num w:numId="15">
    <w:abstractNumId w:val="16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8"/>
  </w:num>
  <w:num w:numId="29">
    <w:abstractNumId w:val="40"/>
  </w:num>
  <w:num w:numId="30">
    <w:abstractNumId w:val="36"/>
  </w:num>
  <w:num w:numId="31">
    <w:abstractNumId w:val="21"/>
  </w:num>
  <w:num w:numId="32">
    <w:abstractNumId w:val="12"/>
  </w:num>
  <w:num w:numId="33">
    <w:abstractNumId w:val="34"/>
  </w:num>
  <w:num w:numId="34">
    <w:abstractNumId w:val="22"/>
  </w:num>
  <w:num w:numId="35">
    <w:abstractNumId w:val="19"/>
  </w:num>
  <w:num w:numId="36">
    <w:abstractNumId w:val="24"/>
  </w:num>
  <w:num w:numId="37">
    <w:abstractNumId w:val="30"/>
  </w:num>
  <w:num w:numId="38">
    <w:abstractNumId w:val="27"/>
  </w:num>
  <w:num w:numId="39">
    <w:abstractNumId w:val="15"/>
  </w:num>
  <w:num w:numId="40">
    <w:abstractNumId w:val="33"/>
  </w:num>
  <w:num w:numId="41">
    <w:abstractNumId w:val="31"/>
  </w:num>
  <w:num w:numId="42">
    <w:abstractNumId w:val="23"/>
  </w:num>
  <w:num w:numId="43">
    <w:abstractNumId w:val="38"/>
  </w:num>
  <w:num w:numId="44">
    <w:abstractNumId w:val="14"/>
  </w:num>
  <w:num w:numId="45">
    <w:abstractNumId w:val="32"/>
  </w:num>
  <w:num w:numId="46">
    <w:abstractNumId w:val="10"/>
  </w:num>
  <w:num w:numId="47">
    <w:abstractNumId w:val="26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9DD"/>
    <w:rsid w:val="000012DA"/>
    <w:rsid w:val="0000246E"/>
    <w:rsid w:val="00012A35"/>
    <w:rsid w:val="00016099"/>
    <w:rsid w:val="00017DC2"/>
    <w:rsid w:val="0002057F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27CA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B7791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0BA6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49D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50DC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3CDE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2DA4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0076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EF2A559-3657-4C4A-AF4D-B0289F73B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C82DA4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82DA4"/>
    <w:rPr>
      <w:rFonts w:ascii="Times New Roman" w:hAnsi="Times New Roman"/>
      <w:szCs w:val="20"/>
    </w:rPr>
  </w:style>
  <w:style w:type="character" w:customStyle="1" w:styleId="IGindeksgrny">
    <w:name w:val="_IG_ – indeks górny"/>
    <w:basedOn w:val="Domylnaczcionkaakapitu"/>
    <w:uiPriority w:val="2"/>
    <w:qFormat/>
    <w:rsid w:val="00AC3CDE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AC3CDE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3CDE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AC3CDE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senat.pl/lex/index.rp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BC3F5-D559-4E72-8322-4FBC9A994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18</TotalTime>
  <Pages>6</Pages>
  <Words>2462</Words>
  <Characters>14776</Characters>
  <Application>Microsoft Office Word</Application>
  <DocSecurity>0</DocSecurity>
  <Lines>123</Lines>
  <Paragraphs>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17204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zawislak</dc:creator>
  <cp:lastModifiedBy>Grzegorz Molesztak</cp:lastModifiedBy>
  <cp:revision>8</cp:revision>
  <cp:lastPrinted>2019-02-14T14:56:00Z</cp:lastPrinted>
  <dcterms:created xsi:type="dcterms:W3CDTF">2019-02-14T14:33:00Z</dcterms:created>
  <dcterms:modified xsi:type="dcterms:W3CDTF">2019-02-15T14:12:00Z</dcterms:modified>
</cp:coreProperties>
</file>