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A56" w:rsidRPr="00153A56" w:rsidRDefault="00EF5A58" w:rsidP="00EF5A58">
      <w:pPr>
        <w:widowControl w:val="0"/>
        <w:autoSpaceDE w:val="0"/>
        <w:autoSpaceDN w:val="0"/>
        <w:adjustRightInd w:val="0"/>
        <w:spacing w:before="120" w:after="0" w:line="360" w:lineRule="auto"/>
        <w:jc w:val="center"/>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UZASADNIENIE</w:t>
      </w:r>
    </w:p>
    <w:p w:rsidR="00153A56" w:rsidRPr="00153A56" w:rsidRDefault="00153A56" w:rsidP="00EF5A5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Celem projektowanych zmian jest przede wszystkim ochrona praw małoletnich dzieci przed zachowaniami naruszającymi ich dobro. Ocena obowiązujących rozwiązań prowadzi bowiem do konstatacji, że pozycja małoletniego dziecka wymaga wzmocnienia. Dotyczy to zarówno sfery prawa ma</w:t>
      </w:r>
      <w:r w:rsidR="00EF5A58">
        <w:rPr>
          <w:rFonts w:ascii="Times New Roman" w:eastAsia="Times New Roman" w:hAnsi="Times New Roman" w:cs="Times New Roman"/>
          <w:bCs/>
          <w:sz w:val="24"/>
          <w:szCs w:val="24"/>
          <w:lang w:eastAsia="pl-PL"/>
        </w:rPr>
        <w:t>terialnego, jak i formalnego. W </w:t>
      </w:r>
      <w:r w:rsidRPr="00153A56">
        <w:rPr>
          <w:rFonts w:ascii="Times New Roman" w:eastAsia="Times New Roman" w:hAnsi="Times New Roman" w:cs="Times New Roman"/>
          <w:bCs/>
          <w:sz w:val="24"/>
          <w:szCs w:val="24"/>
          <w:lang w:eastAsia="pl-PL"/>
        </w:rPr>
        <w:t xml:space="preserve">zakresie przepisów ustawy z dnia 25 lutego 1964 r. – Kodeks rodzinny i opiekuńczy, zwanej dalej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k.r.o.</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projekt w art. 1 przewiduje nowelizację</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art. 58 § 1a i dodanie §</w:t>
      </w:r>
      <w:r w:rsidR="00EF5A58">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1aa, art. 107 § 2 i dodanie § 2a, art. 109 § 1, art. 133 przez dodanie § 4, oraz dodanie art. 133</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który wprowadza instytucję natychmiastowych</w:t>
      </w:r>
      <w:r w:rsidR="00494C86">
        <w:rPr>
          <w:rFonts w:ascii="Times New Roman" w:eastAsia="Times New Roman" w:hAnsi="Times New Roman" w:cs="Times New Roman"/>
          <w:bCs/>
          <w:sz w:val="24"/>
          <w:szCs w:val="24"/>
          <w:lang w:eastAsia="pl-PL"/>
        </w:rPr>
        <w:t xml:space="preserve"> świadczeń alimentacyjnych</w:t>
      </w:r>
      <w:r w:rsidRPr="00153A56">
        <w:rPr>
          <w:rFonts w:ascii="Times New Roman" w:eastAsia="Times New Roman" w:hAnsi="Times New Roman" w:cs="Times New Roman"/>
          <w:bCs/>
          <w:sz w:val="24"/>
          <w:szCs w:val="24"/>
          <w:lang w:eastAsia="pl-PL"/>
        </w:rPr>
        <w:t xml:space="preserve">. W przypadku przepisów ustawy z dnia 17 listopada 1964 r. – Kodeks postępowania cywilnego, zwanej dalej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k.p.c.</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nowelizacja przewidziana w art. 2 projektu</w:t>
      </w:r>
      <w:r w:rsidR="00EF5A58">
        <w:rPr>
          <w:rFonts w:ascii="Times New Roman" w:eastAsia="Times New Roman" w:hAnsi="Times New Roman" w:cs="Times New Roman"/>
          <w:bCs/>
          <w:sz w:val="24"/>
          <w:szCs w:val="24"/>
          <w:lang w:eastAsia="pl-PL"/>
        </w:rPr>
        <w:t xml:space="preserve"> obejmuje art. 59, art. </w:t>
      </w:r>
      <w:r w:rsidRPr="00153A56">
        <w:rPr>
          <w:rFonts w:ascii="Times New Roman" w:eastAsia="Times New Roman" w:hAnsi="Times New Roman" w:cs="Times New Roman"/>
          <w:bCs/>
          <w:sz w:val="24"/>
          <w:szCs w:val="24"/>
          <w:lang w:eastAsia="pl-PL"/>
        </w:rPr>
        <w:t>98</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art. 183</w:t>
      </w:r>
      <w:r w:rsidRPr="00EF5A58">
        <w:rPr>
          <w:rFonts w:ascii="Times New Roman" w:eastAsia="Times New Roman" w:hAnsi="Times New Roman" w:cs="Times New Roman"/>
          <w:bCs/>
          <w:sz w:val="24"/>
          <w:szCs w:val="24"/>
          <w:vertAlign w:val="superscript"/>
          <w:lang w:eastAsia="pl-PL"/>
        </w:rPr>
        <w:t>5</w:t>
      </w:r>
      <w:r w:rsidRPr="00153A56">
        <w:rPr>
          <w:rFonts w:ascii="Times New Roman" w:eastAsia="Times New Roman" w:hAnsi="Times New Roman" w:cs="Times New Roman"/>
          <w:bCs/>
          <w:sz w:val="24"/>
          <w:szCs w:val="24"/>
          <w:lang w:eastAsia="pl-PL"/>
        </w:rPr>
        <w:t>, art. 216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przez dodanie § 3, dodanie art. 436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–436</w:t>
      </w:r>
      <w:r w:rsidRPr="00EF5A58">
        <w:rPr>
          <w:rFonts w:ascii="Times New Roman" w:eastAsia="Times New Roman" w:hAnsi="Times New Roman" w:cs="Times New Roman"/>
          <w:bCs/>
          <w:sz w:val="24"/>
          <w:szCs w:val="24"/>
          <w:vertAlign w:val="superscript"/>
          <w:lang w:eastAsia="pl-PL"/>
        </w:rPr>
        <w:t>4</w:t>
      </w:r>
      <w:r w:rsidRPr="00153A56">
        <w:rPr>
          <w:rFonts w:ascii="Times New Roman" w:eastAsia="Times New Roman" w:hAnsi="Times New Roman" w:cs="Times New Roman"/>
          <w:bCs/>
          <w:sz w:val="24"/>
          <w:szCs w:val="24"/>
          <w:lang w:eastAsia="pl-PL"/>
        </w:rPr>
        <w:t>, które regulują etap postępowania poprzedzającego potencjalny rozwód lub separację, nazwany rodzinnym postępowaniem informacyjnym, art. 440, art. 441, art. 445</w:t>
      </w:r>
      <w:r w:rsidRPr="00EF5A58">
        <w:rPr>
          <w:rFonts w:ascii="Times New Roman" w:eastAsia="Times New Roman" w:hAnsi="Times New Roman" w:cs="Times New Roman"/>
          <w:bCs/>
          <w:sz w:val="24"/>
          <w:szCs w:val="24"/>
          <w:vertAlign w:val="superscript"/>
          <w:lang w:eastAsia="pl-PL"/>
        </w:rPr>
        <w:t xml:space="preserve">1 </w:t>
      </w:r>
      <w:r w:rsidRPr="00153A56">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2, dodanie art. </w:t>
      </w:r>
      <w:r w:rsidRPr="00153A56">
        <w:rPr>
          <w:rFonts w:ascii="Times New Roman" w:eastAsia="Times New Roman" w:hAnsi="Times New Roman" w:cs="Times New Roman"/>
          <w:bCs/>
          <w:sz w:val="24"/>
          <w:szCs w:val="24"/>
          <w:lang w:eastAsia="pl-PL"/>
        </w:rPr>
        <w:t>445</w:t>
      </w:r>
      <w:r w:rsidRPr="00EF5A58">
        <w:rPr>
          <w:rFonts w:ascii="Times New Roman" w:eastAsia="Times New Roman" w:hAnsi="Times New Roman" w:cs="Times New Roman"/>
          <w:bCs/>
          <w:sz w:val="24"/>
          <w:szCs w:val="24"/>
          <w:vertAlign w:val="superscript"/>
          <w:lang w:eastAsia="pl-PL"/>
        </w:rPr>
        <w:t>1a</w:t>
      </w:r>
      <w:r w:rsidRPr="00153A56">
        <w:rPr>
          <w:rFonts w:ascii="Times New Roman" w:eastAsia="Times New Roman" w:hAnsi="Times New Roman" w:cs="Times New Roman"/>
          <w:bCs/>
          <w:sz w:val="24"/>
          <w:szCs w:val="24"/>
          <w:lang w:eastAsia="pl-PL"/>
        </w:rPr>
        <w:t xml:space="preserve">, który rozstrzyga wzajemną relację wskazanych </w:t>
      </w:r>
      <w:r w:rsidR="00494C86">
        <w:rPr>
          <w:rFonts w:ascii="Times New Roman" w:eastAsia="Times New Roman" w:hAnsi="Times New Roman" w:cs="Times New Roman"/>
          <w:bCs/>
          <w:sz w:val="24"/>
          <w:szCs w:val="24"/>
          <w:lang w:eastAsia="pl-PL"/>
        </w:rPr>
        <w:t xml:space="preserve">w </w:t>
      </w:r>
      <w:r w:rsidRPr="00153A56">
        <w:rPr>
          <w:rFonts w:ascii="Times New Roman" w:eastAsia="Times New Roman" w:hAnsi="Times New Roman" w:cs="Times New Roman"/>
          <w:bCs/>
          <w:sz w:val="24"/>
          <w:szCs w:val="24"/>
          <w:lang w:eastAsia="pl-PL"/>
        </w:rPr>
        <w:t>nim postępowań toczących się lub mogących się toczyć w czasie trwania rodzinnego postępowania informacyjnego, dodanie działu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o postępowaniu nakazowym alimentacyjnym, a w nim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–505</w:t>
      </w:r>
      <w:r w:rsidRPr="00EF5A58">
        <w:rPr>
          <w:rFonts w:ascii="Times New Roman" w:eastAsia="Times New Roman" w:hAnsi="Times New Roman" w:cs="Times New Roman"/>
          <w:bCs/>
          <w:sz w:val="24"/>
          <w:szCs w:val="24"/>
          <w:vertAlign w:val="superscript"/>
          <w:lang w:eastAsia="pl-PL"/>
        </w:rPr>
        <w:t>50</w:t>
      </w:r>
      <w:r w:rsidRPr="00153A56">
        <w:rPr>
          <w:rFonts w:ascii="Times New Roman" w:eastAsia="Times New Roman" w:hAnsi="Times New Roman" w:cs="Times New Roman"/>
          <w:bCs/>
          <w:sz w:val="24"/>
          <w:szCs w:val="24"/>
          <w:lang w:eastAsia="pl-PL"/>
        </w:rPr>
        <w:t>, a także nowelizację art. 576 przez dodanie § 3, art. 732 przez dodanie § 2 i art. 742 przez dodanie § 4</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Konsekwencją nowelizacji prawa formalnego jest nowelizacja art. 19, art.</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79 i art. 96 ustawy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z dnia 28 lipca 2005 r. o kosztach sądowych w sprawach cywilnych, zwanej dalej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u.k.s.c.</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przewidziana w art. 5 projektu.</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Uzupełnieniem zagadnienia zmierzającego do wzmocnienia ochrony praw małoletniego dziecka, w szczególności prawa do utrzymywania kontaktów z dzieckiem lub sprawowania nad nim pieczy, jest nowelizacja ustawy z dnia 6 czerwca 1997 r. – Kodeks karny, zwanej dalej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k.k.</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przed dodanie </w:t>
      </w:r>
      <w:r w:rsidR="00D97B2E">
        <w:rPr>
          <w:rFonts w:ascii="Times New Roman" w:eastAsia="Times New Roman" w:hAnsi="Times New Roman" w:cs="Times New Roman"/>
          <w:bCs/>
          <w:sz w:val="24"/>
          <w:szCs w:val="24"/>
          <w:lang w:eastAsia="pl-PL"/>
        </w:rPr>
        <w:t>nowego typu przestępstwa w art. </w:t>
      </w:r>
      <w:r w:rsidRPr="00153A56">
        <w:rPr>
          <w:rFonts w:ascii="Times New Roman" w:eastAsia="Times New Roman" w:hAnsi="Times New Roman" w:cs="Times New Roman"/>
          <w:bCs/>
          <w:sz w:val="24"/>
          <w:szCs w:val="24"/>
          <w:lang w:eastAsia="pl-PL"/>
        </w:rPr>
        <w:t>209a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art. 3 projektu, oraz</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jej następstwie, nowelizacja</w:t>
      </w:r>
      <w:r w:rsidR="00D97B2E">
        <w:rPr>
          <w:rFonts w:ascii="Times New Roman" w:eastAsia="Times New Roman" w:hAnsi="Times New Roman" w:cs="Times New Roman"/>
          <w:bCs/>
          <w:sz w:val="24"/>
          <w:szCs w:val="24"/>
          <w:lang w:eastAsia="pl-PL"/>
        </w:rPr>
        <w:t xml:space="preserve"> ustawy z dnia 6 </w:t>
      </w:r>
      <w:r w:rsidRPr="00153A56">
        <w:rPr>
          <w:rFonts w:ascii="Times New Roman" w:eastAsia="Times New Roman" w:hAnsi="Times New Roman" w:cs="Times New Roman"/>
          <w:bCs/>
          <w:sz w:val="24"/>
          <w:szCs w:val="24"/>
          <w:lang w:eastAsia="pl-PL"/>
        </w:rPr>
        <w:t xml:space="preserve">czerwca 1997 r. – Kodeks postępowania karnego, zwanej dalej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k.p.k.</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przez dodanie art. 318a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art. 4 projektu. Jak wynika bowiem</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przeprowadzonych analiz, mimo istniejących od blisko 6 lat regulacji (art. 598</w:t>
      </w:r>
      <w:r w:rsidRPr="00EF5A58">
        <w:rPr>
          <w:rFonts w:ascii="Times New Roman" w:eastAsia="Times New Roman" w:hAnsi="Times New Roman" w:cs="Times New Roman"/>
          <w:bCs/>
          <w:sz w:val="24"/>
          <w:szCs w:val="24"/>
          <w:vertAlign w:val="superscript"/>
          <w:lang w:eastAsia="pl-PL"/>
        </w:rPr>
        <w:t>15</w:t>
      </w:r>
      <w:r w:rsidRPr="00153A56">
        <w:rPr>
          <w:rFonts w:ascii="Times New Roman" w:eastAsia="Times New Roman" w:hAnsi="Times New Roman" w:cs="Times New Roman"/>
          <w:bCs/>
          <w:sz w:val="24"/>
          <w:szCs w:val="24"/>
          <w:lang w:eastAsia="pl-PL"/>
        </w:rPr>
        <w:t>–</w:t>
      </w:r>
      <w:r w:rsidR="005E6E0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598</w:t>
      </w:r>
      <w:r w:rsidRPr="00EF5A58">
        <w:rPr>
          <w:rFonts w:ascii="Times New Roman" w:eastAsia="Times New Roman" w:hAnsi="Times New Roman" w:cs="Times New Roman"/>
          <w:bCs/>
          <w:sz w:val="24"/>
          <w:szCs w:val="24"/>
          <w:vertAlign w:val="superscript"/>
          <w:lang w:eastAsia="pl-PL"/>
        </w:rPr>
        <w:t>21</w:t>
      </w:r>
      <w:r w:rsidRPr="00153A56">
        <w:rPr>
          <w:rFonts w:ascii="Times New Roman" w:eastAsia="Times New Roman" w:hAnsi="Times New Roman" w:cs="Times New Roman"/>
          <w:bCs/>
          <w:sz w:val="24"/>
          <w:szCs w:val="24"/>
          <w:lang w:eastAsia="pl-PL"/>
        </w:rPr>
        <w:t xml:space="preserve"> k.p.c.) umożliwiających nałożenie sankcji majątkowej na osobę, która nie wykonuje obowiązku w zakresie realizacji ustalonego kontaktu z dzieckiem, nadal istnieje grupa spraw, w których zasądzane sumy pieniężne nie są uiszczane, a orzeczenia lub ugody nie są realizowane. </w:t>
      </w:r>
      <w:r w:rsidRPr="00153A56">
        <w:rPr>
          <w:rFonts w:ascii="Times New Roman" w:eastAsia="Times New Roman" w:hAnsi="Times New Roman" w:cs="Times New Roman"/>
          <w:bCs/>
          <w:sz w:val="24"/>
          <w:szCs w:val="24"/>
          <w:lang w:eastAsia="pl-PL"/>
        </w:rPr>
        <w:lastRenderedPageBreak/>
        <w:t>Sprzyja to zerwaniu więzi między dzieckiem, a uprawnionym do kontaktu,</w:t>
      </w:r>
      <w:r w:rsidR="00EF5A58">
        <w:rPr>
          <w:rFonts w:ascii="Times New Roman" w:eastAsia="Times New Roman" w:hAnsi="Times New Roman" w:cs="Times New Roman"/>
          <w:bCs/>
          <w:sz w:val="24"/>
          <w:szCs w:val="24"/>
          <w:lang w:eastAsia="pl-PL"/>
        </w:rPr>
        <w:t xml:space="preserve"> </w:t>
      </w:r>
      <w:r w:rsidR="005E6E08">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szczególności rodzicem, z którym dziecko nie zamieszkuje na stałe. Koniecznym się staje w tych okolicznościach stworzenie dodatkowych instrumentów, które powinny wpłynąć na zmianę takich postaw. Uwagę tę należy</w:t>
      </w:r>
      <w:r w:rsidR="005E6E08">
        <w:rPr>
          <w:rFonts w:ascii="Times New Roman" w:eastAsia="Times New Roman" w:hAnsi="Times New Roman" w:cs="Times New Roman"/>
          <w:bCs/>
          <w:sz w:val="24"/>
          <w:szCs w:val="24"/>
          <w:lang w:eastAsia="pl-PL"/>
        </w:rPr>
        <w:t xml:space="preserve"> odnieść również do orzeczeń, w </w:t>
      </w:r>
      <w:r w:rsidRPr="00153A56">
        <w:rPr>
          <w:rFonts w:ascii="Times New Roman" w:eastAsia="Times New Roman" w:hAnsi="Times New Roman" w:cs="Times New Roman"/>
          <w:bCs/>
          <w:sz w:val="24"/>
          <w:szCs w:val="24"/>
          <w:lang w:eastAsia="pl-PL"/>
        </w:rPr>
        <w:t>których sąd orzekł, że dziecko będzie</w:t>
      </w:r>
      <w:r w:rsidR="005E6E08">
        <w:rPr>
          <w:rFonts w:ascii="Times New Roman" w:eastAsia="Times New Roman" w:hAnsi="Times New Roman" w:cs="Times New Roman"/>
          <w:bCs/>
          <w:sz w:val="24"/>
          <w:szCs w:val="24"/>
          <w:lang w:eastAsia="pl-PL"/>
        </w:rPr>
        <w:t xml:space="preserve"> mieszkać z każdym z rodziców w </w:t>
      </w:r>
      <w:r w:rsidRPr="00153A56">
        <w:rPr>
          <w:rFonts w:ascii="Times New Roman" w:eastAsia="Times New Roman" w:hAnsi="Times New Roman" w:cs="Times New Roman"/>
          <w:bCs/>
          <w:sz w:val="24"/>
          <w:szCs w:val="24"/>
          <w:lang w:eastAsia="pl-PL"/>
        </w:rPr>
        <w:t>powtarzających się okresach, gdyż</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tego rodzaju przypadkach, przywołane przepisy dotyczące wykonywania kontaktów stosuje się odpowiednio (art. 598</w:t>
      </w:r>
      <w:r w:rsidRPr="00EF5A58">
        <w:rPr>
          <w:rFonts w:ascii="Times New Roman" w:eastAsia="Times New Roman" w:hAnsi="Times New Roman" w:cs="Times New Roman"/>
          <w:bCs/>
          <w:sz w:val="24"/>
          <w:szCs w:val="24"/>
          <w:vertAlign w:val="superscript"/>
          <w:lang w:eastAsia="pl-PL"/>
        </w:rPr>
        <w:t xml:space="preserve">22 </w:t>
      </w:r>
      <w:r w:rsidRPr="00153A56">
        <w:rPr>
          <w:rFonts w:ascii="Times New Roman" w:eastAsia="Times New Roman" w:hAnsi="Times New Roman" w:cs="Times New Roman"/>
          <w:bCs/>
          <w:sz w:val="24"/>
          <w:szCs w:val="24"/>
          <w:lang w:eastAsia="pl-PL"/>
        </w:rPr>
        <w:t>k.p.c.).</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Rozstrzygnięcie o wykonywaniu władzy rodzicielskiej rozwodzących się rodziców czy też z innych przyczyn żyjących w rozłączeniu, w postaci ustanowienia pieczy naprzemiennej, jest rozwiązaniem, które mieści się obecnie w dyspozycji art. 58 § 1a oraz art. 107 § 2 k.r.o. Forma pieczy naprzemiennej nad wspólnym małoletnim dzieckiem rodziców żyjących</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rozłączeniu jest zawsze możliwa w zawartym przez nich porozumieniu. Nowelizacja wskazanych przepisów jest natomiast odpowiedzią na pojawiające się w doktrynie poglądy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o braku podstawy prawnej do ustanawiania pieczy naprzemiennej. Żaden z przepisów materialnoprawnych nie przewiduje takiego rozwiązania. Potwierdzenie jej istnienia wynika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przepisów art. 582</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4 k.p.c., </w:t>
      </w:r>
      <w:r w:rsidR="00D97B2E">
        <w:rPr>
          <w:rFonts w:ascii="Times New Roman" w:eastAsia="Times New Roman" w:hAnsi="Times New Roman" w:cs="Times New Roman"/>
          <w:bCs/>
          <w:sz w:val="24"/>
          <w:szCs w:val="24"/>
          <w:lang w:eastAsia="pl-PL"/>
        </w:rPr>
        <w:t>art. </w:t>
      </w:r>
      <w:r w:rsidRPr="00153A56">
        <w:rPr>
          <w:rFonts w:ascii="Times New Roman" w:eastAsia="Times New Roman" w:hAnsi="Times New Roman" w:cs="Times New Roman"/>
          <w:bCs/>
          <w:sz w:val="24"/>
          <w:szCs w:val="24"/>
          <w:lang w:eastAsia="pl-PL"/>
        </w:rPr>
        <w:t>598</w:t>
      </w:r>
      <w:r w:rsidRPr="00EF5A58">
        <w:rPr>
          <w:rFonts w:ascii="Times New Roman" w:eastAsia="Times New Roman" w:hAnsi="Times New Roman" w:cs="Times New Roman"/>
          <w:bCs/>
          <w:sz w:val="24"/>
          <w:szCs w:val="24"/>
          <w:vertAlign w:val="superscript"/>
          <w:lang w:eastAsia="pl-PL"/>
        </w:rPr>
        <w:t>22</w:t>
      </w:r>
      <w:r w:rsidRPr="00153A56">
        <w:rPr>
          <w:rFonts w:ascii="Times New Roman" w:eastAsia="Times New Roman" w:hAnsi="Times New Roman" w:cs="Times New Roman"/>
          <w:bCs/>
          <w:sz w:val="24"/>
          <w:szCs w:val="24"/>
          <w:lang w:eastAsia="pl-PL"/>
        </w:rPr>
        <w:t xml:space="preserve"> k.p.c. oraz art. 756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1 pkt 3 i § 2 k.p.c.</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Zgodnie z art. 109 § 1 k.r.o. sąd opiekuńczy wyda odpowiednie zarządzenia, jeżeli dobro dziecka jest zagrożone. Nie budzi wątpliwości, że jeżeli rodzic nie wykonuje swoich obowiązków wobec dziecka, zagraża jego dobru. Obowiązkiem rodzica względem dziecka jest przykładowo łożenie na jego utrzymanie (art. 133 § 1 k.r.o.) czy utrzymywanie z nim kontaktów (art. 113 § 1 k.r.o.). Niewykonanie orzeczenia albo ugody, które o obowiązkach tych stanowią, jest speł</w:t>
      </w:r>
      <w:r w:rsidR="00D97B2E">
        <w:rPr>
          <w:rFonts w:ascii="Times New Roman" w:eastAsia="Times New Roman" w:hAnsi="Times New Roman" w:cs="Times New Roman"/>
          <w:bCs/>
          <w:sz w:val="24"/>
          <w:szCs w:val="24"/>
          <w:lang w:eastAsia="pl-PL"/>
        </w:rPr>
        <w:t>nieniem przesłanki art. 109 § 1 </w:t>
      </w:r>
      <w:r w:rsidRPr="00153A56">
        <w:rPr>
          <w:rFonts w:ascii="Times New Roman" w:eastAsia="Times New Roman" w:hAnsi="Times New Roman" w:cs="Times New Roman"/>
          <w:bCs/>
          <w:sz w:val="24"/>
          <w:szCs w:val="24"/>
          <w:lang w:eastAsia="pl-PL"/>
        </w:rPr>
        <w:t>k.r.o. Należy zwrócić uwagę, że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doktrynie podnoszono, że postępowanie tego rodzica, który utrudnia kontakty dziecka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drugim rodzicem, przybierające formy zjawiska alienacji, może być podstawą ograniczenia jego władzy rodzicielskiej na podstawie regulacji z art. 109 k.r.o. Również Sąd Najwyższy</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w postanowieniu z dnia 30 </w:t>
      </w:r>
      <w:r w:rsidRPr="00153A56">
        <w:rPr>
          <w:rFonts w:ascii="Times New Roman" w:eastAsia="Times New Roman" w:hAnsi="Times New Roman" w:cs="Times New Roman"/>
          <w:bCs/>
          <w:sz w:val="24"/>
          <w:szCs w:val="24"/>
          <w:lang w:eastAsia="pl-PL"/>
        </w:rPr>
        <w:t>sierpnia 1977 r. wywiódł, że uniemożliwianie utrzymania właściwego kontaktu między rodzicem a dzieckiem narusza interes małoletniego i może stanowić przyczynę uzasadniającą zmianę prawomocnego postanowienia regulującego wykonywanie władzy rodzicielskiej (sygn. akt III CRN 204/77, LEX nr 7986).</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lastRenderedPageBreak/>
        <w:t>Sąd opiekuńczy władny jest, na podstawie przywołanego przepisu, wydać każde zarządzenie, jakiego w danych okolicznościach wymaga dobro dziecka. Może wszcząć</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z urzędu postępowanie w kierunku ograniczenia </w:t>
      </w:r>
      <w:r w:rsidR="00D97B2E">
        <w:rPr>
          <w:rFonts w:ascii="Times New Roman" w:eastAsia="Times New Roman" w:hAnsi="Times New Roman" w:cs="Times New Roman"/>
          <w:bCs/>
          <w:sz w:val="24"/>
          <w:szCs w:val="24"/>
          <w:lang w:eastAsia="pl-PL"/>
        </w:rPr>
        <w:t>władzy rodzicielskiej, mając za </w:t>
      </w:r>
      <w:r w:rsidRPr="00153A56">
        <w:rPr>
          <w:rFonts w:ascii="Times New Roman" w:eastAsia="Times New Roman" w:hAnsi="Times New Roman" w:cs="Times New Roman"/>
          <w:bCs/>
          <w:sz w:val="24"/>
          <w:szCs w:val="24"/>
          <w:lang w:eastAsia="pl-PL"/>
        </w:rPr>
        <w:t>podstawę</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art. 570 lub 577 k.p.c. Może uczynić to na wniosek rodzica uprawnionego do kontaktów lub do odebrania dziecka.</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 przewiduje jednak wyraźne wskazanie w treści omawianego przepisu, że tego rodzaju reakcja sądu jest możliwa również w przypadku niewykonywania orzeczenia opiekuńczego, z przykładowym przywołaniem tego rodzaju orzeczeń (ustalenie kontaktów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dzieckiem, odebranie dziecka), co będzie dla rodziców jasnym komunikatem o skutkach braku realizacji orzeczenia sądu. Tak sformułowany przepis, w powiązaniu z wprowadzeniem potencjalnej odpowiedzialności karnej za brak realizacji orzeczenia sądu, ukazuje kompleksowe ujęcie problematyki nierespektowania tego rodzaju sądowych rozstrzygnięć.</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proponowanym brzmieniu przepis ten stanowi również wyraźny przekaz dla rodziców, że niestosowanie się do orzeczeń sądu, jest traktowane jako zagrożenie dobra dziecka.</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Sprawne określenie zakresu świadczenia alimentacyjnego przysługującego dzieciom od rodziców, również jest koniecznością z punktu widzenia dobra dziecka. Postępowanie dotyczące ustalenia zakresu świadczeń alimentacyjnych podlega ogólnym regułom procesu. Wydawane w jego toku postanowienie o zabezpieczeniu, skutkiem składanych zażaleń, wydłuża proces. Dochodzenie zatem do orzeczenia kończącego postępowanie bywa długie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żmudne. Tymczasem chodzi o jak najszybszy dostęp do należnych dziecku świadczeń.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projekcie wprowadza się zatem, alternatywną do istniejącej, drogę dochodzenia do uzyskania świadczeń alimentacyjnych poprzez alimentacyjny nakaz zapłaty, którym ustalane byłyby alimenty w ustandaryzowanej wysokości. W tym celu dodaje</w:t>
      </w:r>
      <w:r w:rsidR="00D97B2E">
        <w:rPr>
          <w:rFonts w:ascii="Times New Roman" w:eastAsia="Times New Roman" w:hAnsi="Times New Roman" w:cs="Times New Roman"/>
          <w:bCs/>
          <w:sz w:val="24"/>
          <w:szCs w:val="24"/>
          <w:lang w:eastAsia="pl-PL"/>
        </w:rPr>
        <w:t xml:space="preserve"> się art. </w:t>
      </w:r>
      <w:r w:rsidRPr="00153A56">
        <w:rPr>
          <w:rFonts w:ascii="Times New Roman" w:eastAsia="Times New Roman" w:hAnsi="Times New Roman" w:cs="Times New Roman"/>
          <w:bCs/>
          <w:sz w:val="24"/>
          <w:szCs w:val="24"/>
          <w:lang w:eastAsia="pl-PL"/>
        </w:rPr>
        <w:t>133</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k.r.o. oraz nowy dział w k.p.c. – Postępowanie nakazowe alimentacyjne.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Projektowane rozwiązania zmierzają do wzmocnienia ochrony dobra dziecka również przez wprowadzenie obowiązku zawiadamiania prokuratora o toczącym się przed sądem postępowaniu opiekuńczym dotyczącym dziecka, co gwarantować ma nowelizacja art. 59 k.p.c.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lastRenderedPageBreak/>
        <w:t>Ochronie tej służyć ma wreszcie wskazanie warunków w jakich powinno się obywać wysłuchanie małoletniego, a zatem co do zasady w p</w:t>
      </w:r>
      <w:r w:rsidR="00D97B2E">
        <w:rPr>
          <w:rFonts w:ascii="Times New Roman" w:eastAsia="Times New Roman" w:hAnsi="Times New Roman" w:cs="Times New Roman"/>
          <w:bCs/>
          <w:sz w:val="24"/>
          <w:szCs w:val="24"/>
          <w:lang w:eastAsia="pl-PL"/>
        </w:rPr>
        <w:t>rzystosowanym do tego pokoju, o </w:t>
      </w:r>
      <w:r w:rsidRPr="00153A56">
        <w:rPr>
          <w:rFonts w:ascii="Times New Roman" w:eastAsia="Times New Roman" w:hAnsi="Times New Roman" w:cs="Times New Roman"/>
          <w:bCs/>
          <w:sz w:val="24"/>
          <w:szCs w:val="24"/>
          <w:lang w:eastAsia="pl-PL"/>
        </w:rPr>
        <w:t>czym traktuje nowelizacja art. 216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i art. 576 k.p.c.</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 zmierza również do usprawnienia postępowania w sprawach o rozwód lub</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separację, wprowadzając rozwiązania mające ogr</w:t>
      </w:r>
      <w:r w:rsidR="00D97B2E">
        <w:rPr>
          <w:rFonts w:ascii="Times New Roman" w:eastAsia="Times New Roman" w:hAnsi="Times New Roman" w:cs="Times New Roman"/>
          <w:bCs/>
          <w:sz w:val="24"/>
          <w:szCs w:val="24"/>
          <w:lang w:eastAsia="pl-PL"/>
        </w:rPr>
        <w:t>aniczyć instytucje wpływające w </w:t>
      </w:r>
      <w:r w:rsidRPr="00153A56">
        <w:rPr>
          <w:rFonts w:ascii="Times New Roman" w:eastAsia="Times New Roman" w:hAnsi="Times New Roman" w:cs="Times New Roman"/>
          <w:bCs/>
          <w:sz w:val="24"/>
          <w:szCs w:val="24"/>
          <w:lang w:eastAsia="pl-PL"/>
        </w:rPr>
        <w:t>istotny sposób na czas trwania tych postępowań. Istotną zmianą, jaką przewiduje projekt w tym zakresie, jest rozszerzenie instytucji mediacji i umożliwienie bezpłatnego udziału w niej stron. Dotyczy to osób, które chcą zainicjować postępowanie rozwodowe i posiadają wspólne małoletnie dzieci. Realizacji tego zamierzenia służy dodanie przepisów art. 436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–436</w:t>
      </w:r>
      <w:r w:rsidRPr="00EF5A58">
        <w:rPr>
          <w:rFonts w:ascii="Times New Roman" w:eastAsia="Times New Roman" w:hAnsi="Times New Roman" w:cs="Times New Roman"/>
          <w:bCs/>
          <w:sz w:val="24"/>
          <w:szCs w:val="24"/>
          <w:vertAlign w:val="superscript"/>
          <w:lang w:eastAsia="pl-PL"/>
        </w:rPr>
        <w:t>4</w:t>
      </w:r>
      <w:r w:rsidRPr="00153A56">
        <w:rPr>
          <w:rFonts w:ascii="Times New Roman" w:eastAsia="Times New Roman" w:hAnsi="Times New Roman" w:cs="Times New Roman"/>
          <w:bCs/>
          <w:sz w:val="24"/>
          <w:szCs w:val="24"/>
          <w:lang w:eastAsia="pl-PL"/>
        </w:rPr>
        <w:t xml:space="preserve"> k.p.c. oraz nowelizacja art. 183</w:t>
      </w:r>
      <w:r w:rsidRPr="00EF5A58">
        <w:rPr>
          <w:rFonts w:ascii="Times New Roman" w:eastAsia="Times New Roman" w:hAnsi="Times New Roman" w:cs="Times New Roman"/>
          <w:bCs/>
          <w:sz w:val="24"/>
          <w:szCs w:val="24"/>
          <w:vertAlign w:val="superscript"/>
          <w:lang w:eastAsia="pl-PL"/>
        </w:rPr>
        <w:t>5</w:t>
      </w:r>
      <w:r w:rsidRPr="00153A56">
        <w:rPr>
          <w:rFonts w:ascii="Times New Roman" w:eastAsia="Times New Roman" w:hAnsi="Times New Roman" w:cs="Times New Roman"/>
          <w:bCs/>
          <w:sz w:val="24"/>
          <w:szCs w:val="24"/>
          <w:lang w:eastAsia="pl-PL"/>
        </w:rPr>
        <w:t xml:space="preserve"> k.p.c., a także przepisów ustawy o kosztach sądowych w sprawach cywilnych. Proponowane zmiany w sposób bezpośredni realizowałyby konstytucyjną zasadę wyrażoną w treści art. 18 Konstytucji RP, w której wskazano, że rodzina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małżeństwo znajdują się pod ochroną i opieką Rzeczypospolitej Polskiej.</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Szczegółowe uzasadnienie proponowanych zmian przedstawia się w następująco.</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Pojęcie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opieka naprzemienna</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w istocie odnoszące się do pieczy naprzemiennej, zostało wprost powołane w unormowaniach art. 2 pkt 16, art. 5 ust. 2a oraz art. 8 ust. 2 pkt 5 ustawy z dnia 11 lutego 2016 r. o pomocy państwa w wychowywaniu dzieci (Dz.</w:t>
      </w:r>
      <w:r w:rsidR="00D97B2E">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U. z 2018 r. poz. 2134</w:t>
      </w:r>
      <w:r w:rsidR="00494C86">
        <w:rPr>
          <w:rFonts w:ascii="Times New Roman" w:eastAsia="Times New Roman" w:hAnsi="Times New Roman" w:cs="Times New Roman"/>
          <w:bCs/>
          <w:sz w:val="24"/>
          <w:szCs w:val="24"/>
          <w:lang w:eastAsia="pl-PL"/>
        </w:rPr>
        <w:t xml:space="preserve"> i 2354 </w:t>
      </w:r>
      <w:r w:rsidRPr="00153A56">
        <w:rPr>
          <w:rFonts w:ascii="Times New Roman" w:eastAsia="Times New Roman" w:hAnsi="Times New Roman" w:cs="Times New Roman"/>
          <w:bCs/>
          <w:sz w:val="24"/>
          <w:szCs w:val="24"/>
          <w:lang w:eastAsia="pl-PL"/>
        </w:rPr>
        <w:t>oraz z 2019 r. poz. 60</w:t>
      </w:r>
      <w:r w:rsidR="00494C86">
        <w:rPr>
          <w:rFonts w:ascii="Times New Roman" w:eastAsia="Times New Roman" w:hAnsi="Times New Roman" w:cs="Times New Roman"/>
          <w:bCs/>
          <w:sz w:val="24"/>
          <w:szCs w:val="24"/>
          <w:lang w:eastAsia="pl-PL"/>
        </w:rPr>
        <w:t xml:space="preserve"> i 303</w:t>
      </w:r>
      <w:r w:rsidRPr="00153A56">
        <w:rPr>
          <w:rFonts w:ascii="Times New Roman" w:eastAsia="Times New Roman" w:hAnsi="Times New Roman" w:cs="Times New Roman"/>
          <w:bCs/>
          <w:sz w:val="24"/>
          <w:szCs w:val="24"/>
          <w:lang w:eastAsia="pl-PL"/>
        </w:rPr>
        <w:t xml:space="preserve">). Ustawodawca wyraźnie odwołał się w tych przepisach do sądowych orzeczeń rozstrzygających o wykonywaniu władzy rodzicielskiej przez rodziców pozostających w rozłączeniu, gdy dziecko jest w pieczy naprzemiennej każdego z nich. Nie może zatem budzić wątpliwości, że pojęcie to funkcjonuje już w obowiązującym porządku prawnym. Należy jednak zauważyć, że </w:t>
      </w:r>
      <w:r w:rsidR="00D97B2E">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znaczeniu jakim posługuje się nim wskazana ustawa, zostało ono stworzone w</w:t>
      </w:r>
      <w:r w:rsidR="00494C86">
        <w:rPr>
          <w:rFonts w:ascii="Times New Roman" w:eastAsia="Times New Roman" w:hAnsi="Times New Roman" w:cs="Times New Roman"/>
          <w:bCs/>
          <w:sz w:val="24"/>
          <w:szCs w:val="24"/>
          <w:lang w:eastAsia="pl-PL"/>
        </w:rPr>
        <w:t>y</w:t>
      </w:r>
      <w:r w:rsidRPr="00153A56">
        <w:rPr>
          <w:rFonts w:ascii="Times New Roman" w:eastAsia="Times New Roman" w:hAnsi="Times New Roman" w:cs="Times New Roman"/>
          <w:bCs/>
          <w:sz w:val="24"/>
          <w:szCs w:val="24"/>
          <w:lang w:eastAsia="pl-PL"/>
        </w:rPr>
        <w:t>łącznie na potrzeby tej ustawy, a zatem wypłaty świadczenia wychowawczego.</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celu wyraźnego wyeksponowania możliwości orzekania przez sąd o pieczy naprzemiennej, co pozwoli zapobiegać zjawisku tzw. alienacji rodzicielskiej, projekt przewiduje rozwiązanie, które stanowi uzupełnienie obecnych unormowań. W ten sposób uniknie się również wątpliwości co do istnienia podstawy prawnej stosowania takiego rozstrzygnięcia.</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Konstrukcja projektowanych przepisów art. 58 k.r.o., dotyczącego rozstrzygnięć na wypadek rozwodu lub separacji i art. 107 k.r.o., dotyczącego potrzeby wydawania </w:t>
      </w:r>
      <w:r w:rsidRPr="00153A56">
        <w:rPr>
          <w:rFonts w:ascii="Times New Roman" w:eastAsia="Times New Roman" w:hAnsi="Times New Roman" w:cs="Times New Roman"/>
          <w:bCs/>
          <w:sz w:val="24"/>
          <w:szCs w:val="24"/>
          <w:lang w:eastAsia="pl-PL"/>
        </w:rPr>
        <w:lastRenderedPageBreak/>
        <w:t>rozstrzygnięcia o władzy rodzicielskiej na wypadek rozłączenia rodziców, poza zmianą redakcyjną, wskazuje na sposoby regulowania wykonywania władzy rodzicielskiej</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 xml:space="preserve">naciskiem na zasadę wspólnego jej wykonywania, czemu służy wyodrębnienie jednostek redakcyjnych w stosunku do aktualnego stanu prawnego. Projektowane przepisy nie ograniczają możliwości uregulowania władzy rodzicielskiej, niczego nie narzucają, nie wprowadzają automatyzmu, lecz wymieniają możliwości jakie w danych okolicznościach sprawy sąd może zastosować. Każdorazowo o sposobie uregulowania wykonywania władzy rodzicielskiej decydować będzie naczelna zasada jaką jest dobro dziecka.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pierwszej kolejności to sami rodzice powinni decydować o sposobie wykonywania władzy rodzicielskiej i utrzymywaniu kontaktów z dzieckiem po rozwodzie (separacji)</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lub na wypadek rozłączenia. Z kolei, nawet przy braku porozumienia, mając na względzie naturalne prawo dziecka do wychowania przez oboje rodziców, sąd rozstrzygnie o sposobie wspólnego wykonywania przez nich tej władzy. Już w obecnym brzmieniu wymienionych przepisów, prawo to ma pierwszeństwo w przypadku ewentualnego konfliktu pomiędzy rodzicami. Nawet, gdyby na skutek konfliktu do porozumienia nie doszło, to jego brak ma mniejsze znaczenie niż prawo dziecka do wychowania przez oboje rodziców.</w:t>
      </w:r>
      <w:r w:rsidR="00EF5A58">
        <w:rPr>
          <w:rFonts w:ascii="Times New Roman" w:eastAsia="Times New Roman" w:hAnsi="Times New Roman" w:cs="Times New Roman"/>
          <w:bCs/>
          <w:sz w:val="24"/>
          <w:szCs w:val="24"/>
          <w:lang w:eastAsia="pl-PL"/>
        </w:rPr>
        <w:t xml:space="preserve"> </w:t>
      </w:r>
    </w:p>
    <w:p w:rsidR="00153A56" w:rsidRPr="00153A56" w:rsidRDefault="00153A56" w:rsidP="002F63E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Nowelizacja wprowadza jednak wprost możliwość powierzenia (projektowany</w:t>
      </w:r>
      <w:r w:rsidR="00D97B2E">
        <w:rPr>
          <w:rFonts w:ascii="Times New Roman" w:eastAsia="Times New Roman" w:hAnsi="Times New Roman" w:cs="Times New Roman"/>
          <w:bCs/>
          <w:sz w:val="24"/>
          <w:szCs w:val="24"/>
          <w:lang w:eastAsia="pl-PL"/>
        </w:rPr>
        <w:t xml:space="preserve"> art. </w:t>
      </w:r>
      <w:r w:rsidRPr="00153A56">
        <w:rPr>
          <w:rFonts w:ascii="Times New Roman" w:eastAsia="Times New Roman" w:hAnsi="Times New Roman" w:cs="Times New Roman"/>
          <w:bCs/>
          <w:sz w:val="24"/>
          <w:szCs w:val="24"/>
          <w:lang w:eastAsia="pl-PL"/>
        </w:rPr>
        <w:t>58</w:t>
      </w:r>
      <w:r w:rsidR="00DF75E7">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1aa k.r.o.) lub pozostawienia (projektowany art. 107 § 2a k.r.o.) wykonywania władzy rodzicielskiej obojgu rodzicom z określeniem</w:t>
      </w:r>
      <w:r w:rsidR="00D97B2E">
        <w:rPr>
          <w:rFonts w:ascii="Times New Roman" w:eastAsia="Times New Roman" w:hAnsi="Times New Roman" w:cs="Times New Roman"/>
          <w:bCs/>
          <w:sz w:val="24"/>
          <w:szCs w:val="24"/>
          <w:lang w:eastAsia="pl-PL"/>
        </w:rPr>
        <w:t>, że dziecko będzie mieszkać z </w:t>
      </w:r>
      <w:r w:rsidRPr="00153A56">
        <w:rPr>
          <w:rFonts w:ascii="Times New Roman" w:eastAsia="Times New Roman" w:hAnsi="Times New Roman" w:cs="Times New Roman"/>
          <w:bCs/>
          <w:sz w:val="24"/>
          <w:szCs w:val="24"/>
          <w:lang w:eastAsia="pl-PL"/>
        </w:rPr>
        <w:t>każdym</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rodziców w powtarzających się okresach. Należy zauważyć, że orzeczenie tej treści odnosi się do sposobu wykonywania władzy rodzicielskiej, sama władza jest przy tym niepodzielna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dopiero jej ograniczenie powoduje zmianę zakresu praw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 xml:space="preserve">obowiązków rodzica wobec dziecka w ramach władzy rodzicielskiej.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Sąd każdorazowo dokona oceny według kryterium dobra dziecka, w odniesieniu do konkretnych okoliczności, czy rozstrzygnięcie o pieczy naprzemiennej będzie zgodne</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dobrem dziecka. W doktrynie wielokrotnie podkreślano, że warunkiem zastosowania wykonywania władzy rodzicielskiej przez oboje rodziców jest przede wszystkim zdolność rodziców do komunikacji i współpracy przy podej</w:t>
      </w:r>
      <w:r w:rsidR="00D97B2E">
        <w:rPr>
          <w:rFonts w:ascii="Times New Roman" w:eastAsia="Times New Roman" w:hAnsi="Times New Roman" w:cs="Times New Roman"/>
          <w:bCs/>
          <w:sz w:val="24"/>
          <w:szCs w:val="24"/>
          <w:lang w:eastAsia="pl-PL"/>
        </w:rPr>
        <w:t>mowaniu decyzji w </w:t>
      </w:r>
      <w:r w:rsidRPr="00153A56">
        <w:rPr>
          <w:rFonts w:ascii="Times New Roman" w:eastAsia="Times New Roman" w:hAnsi="Times New Roman" w:cs="Times New Roman"/>
          <w:bCs/>
          <w:sz w:val="24"/>
          <w:szCs w:val="24"/>
          <w:lang w:eastAsia="pl-PL"/>
        </w:rPr>
        <w:t xml:space="preserve">sprawach dziecka, wola rodziców dla zastosowania takiego rozwiązania, dotychczasowy charakter i intensywność więzów rodziców z dzieckiem, możliwość </w:t>
      </w:r>
      <w:r w:rsidRPr="00153A56">
        <w:rPr>
          <w:rFonts w:ascii="Times New Roman" w:eastAsia="Times New Roman" w:hAnsi="Times New Roman" w:cs="Times New Roman"/>
          <w:bCs/>
          <w:sz w:val="24"/>
          <w:szCs w:val="24"/>
          <w:lang w:eastAsia="pl-PL"/>
        </w:rPr>
        <w:lastRenderedPageBreak/>
        <w:t>potencjalnego zdezorganizowania życia szkolnego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społecznego dziecka, odległość pomiędzy miejscami zamieszkania rodziców, charakter</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godziny pracy rodziców, wiek i liczbę dzieci. Istnienie mocnego konfliktu uniemożliwiającego zgodne komunikowanie się między rodzicami, może stanowić ważny argument na rzecz innego niż piecza naprzemienna rozstrzygnięcia przez sąd w przedmiocie wykonywania władzy rodzicielskiej.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Ustalenie czynników, które przemawiają za zgodnością z dobrem dziecka ustalenia pieczy naprzemiennej oraz takich, które stwarzają zagrożenie tego dobra, stanowić będzie zadanie sądu. Sąd będzie mógł powierzyć wykonywanie władzy rodzicielskiej jednemu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rodziców, ograniczając władzę rodzicielską drugiego do określonych obowiązków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uprawnień w stosunku do osoby dziecka jedynie wówczas, </w:t>
      </w:r>
      <w:r w:rsidR="00D97B2E">
        <w:rPr>
          <w:rFonts w:ascii="Times New Roman" w:eastAsia="Times New Roman" w:hAnsi="Times New Roman" w:cs="Times New Roman"/>
          <w:bCs/>
          <w:sz w:val="24"/>
          <w:szCs w:val="24"/>
          <w:lang w:eastAsia="pl-PL"/>
        </w:rPr>
        <w:t>gdy będzie za </w:t>
      </w:r>
      <w:r w:rsidRPr="00153A56">
        <w:rPr>
          <w:rFonts w:ascii="Times New Roman" w:eastAsia="Times New Roman" w:hAnsi="Times New Roman" w:cs="Times New Roman"/>
          <w:bCs/>
          <w:sz w:val="24"/>
          <w:szCs w:val="24"/>
          <w:lang w:eastAsia="pl-PL"/>
        </w:rPr>
        <w:t>tym przemawiać dobro dziecka.</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Projektowane w tym zakresie zmiany są jednocześnie odpowiedzią na przyjętą</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w 2015 </w:t>
      </w:r>
      <w:r w:rsidRPr="00153A56">
        <w:rPr>
          <w:rFonts w:ascii="Times New Roman" w:eastAsia="Times New Roman" w:hAnsi="Times New Roman" w:cs="Times New Roman"/>
          <w:bCs/>
          <w:sz w:val="24"/>
          <w:szCs w:val="24"/>
          <w:lang w:eastAsia="pl-PL"/>
        </w:rPr>
        <w:t xml:space="preserve">r. przez Zgromadzenie Parlamentarne Rady Europy rezolucję nr 2079 –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Równość</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wspólna władza rodzicielska: rola ojców</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Rezolucja wskazuje cele, do jakich państwa będące członkami Rady Europy powinny dążyć. Zgodnie z jej treścią opieka naprzemienna jest docelowym modelem ksz</w:t>
      </w:r>
      <w:r w:rsidR="00D97B2E">
        <w:rPr>
          <w:rFonts w:ascii="Times New Roman" w:eastAsia="Times New Roman" w:hAnsi="Times New Roman" w:cs="Times New Roman"/>
          <w:bCs/>
          <w:sz w:val="24"/>
          <w:szCs w:val="24"/>
          <w:lang w:eastAsia="pl-PL"/>
        </w:rPr>
        <w:t>tałtowania kontaktów rodziców z </w:t>
      </w:r>
      <w:r w:rsidRPr="00153A56">
        <w:rPr>
          <w:rFonts w:ascii="Times New Roman" w:eastAsia="Times New Roman" w:hAnsi="Times New Roman" w:cs="Times New Roman"/>
          <w:bCs/>
          <w:sz w:val="24"/>
          <w:szCs w:val="24"/>
          <w:lang w:eastAsia="pl-PL"/>
        </w:rPr>
        <w:t>dzieckiem. Rada Europy zauważa, że ojcowie w obliczu prawa, praktyk i uprzedzeń są pozbawieni możliwości utrzymywania relacji z dziećmi. Wzywa państwa członkowskie do wprowadzenia w swoich ustawodawstwach planów rodzicielskich, promowania odpowiedzialności i równości rodzicielskiej oraz wspólnego zamieszkania dziecka. Zaprojektowane zmiany mają służyć temu celowi.</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Nowelizacja treści art. 109 § </w:t>
      </w:r>
      <w:r w:rsidR="00494C86">
        <w:rPr>
          <w:rFonts w:ascii="Times New Roman" w:eastAsia="Times New Roman" w:hAnsi="Times New Roman" w:cs="Times New Roman"/>
          <w:bCs/>
          <w:sz w:val="24"/>
          <w:szCs w:val="24"/>
          <w:lang w:eastAsia="pl-PL"/>
        </w:rPr>
        <w:t xml:space="preserve">1 </w:t>
      </w:r>
      <w:r w:rsidRPr="00153A56">
        <w:rPr>
          <w:rFonts w:ascii="Times New Roman" w:eastAsia="Times New Roman" w:hAnsi="Times New Roman" w:cs="Times New Roman"/>
          <w:bCs/>
          <w:sz w:val="24"/>
          <w:szCs w:val="24"/>
          <w:lang w:eastAsia="pl-PL"/>
        </w:rPr>
        <w:t>k.r.o., oraz w jego uzupełnieniu, dodanie art. 209a k.k.</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art. 318a k.p.k., wychodzi naprzeciw postulatom dotyczącym braku skuteczności obecnych przepisów dotyczących wykonywania kontaktów i przymusowego odebrania osoby podlegającej władzy rodzicielskiej lub pozostającej pod opieką. Problem ten podnoszono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petycjach wielokrotnych i indywidualnych kierowanych do Ministerstwa Sprawiedliwości. Zagadnieniom izolowania dziecka od jednego z ro</w:t>
      </w:r>
      <w:r w:rsidR="00D97B2E">
        <w:rPr>
          <w:rFonts w:ascii="Times New Roman" w:eastAsia="Times New Roman" w:hAnsi="Times New Roman" w:cs="Times New Roman"/>
          <w:bCs/>
          <w:sz w:val="24"/>
          <w:szCs w:val="24"/>
          <w:lang w:eastAsia="pl-PL"/>
        </w:rPr>
        <w:t>dziców i </w:t>
      </w:r>
      <w:r w:rsidRPr="00153A56">
        <w:rPr>
          <w:rFonts w:ascii="Times New Roman" w:eastAsia="Times New Roman" w:hAnsi="Times New Roman" w:cs="Times New Roman"/>
          <w:bCs/>
          <w:sz w:val="24"/>
          <w:szCs w:val="24"/>
          <w:lang w:eastAsia="pl-PL"/>
        </w:rPr>
        <w:t>wykonywania kontaktów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dzieckiem poświęcone były również pisma Rzecznika Praw Dziecka (sygn. akt DSRiN-II-053-9/17) oraz Rzecznika Praw Obywatelskich (sygn. akt DSRiN-II-053-11/17</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DL-I-053-8/17). Problem braku wystarczających narzędzi, do wykonania orzeczenia sądu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części spraw tego rodzaju, sygnalizowali </w:t>
      </w:r>
      <w:r w:rsidRPr="00153A56">
        <w:rPr>
          <w:rFonts w:ascii="Times New Roman" w:eastAsia="Times New Roman" w:hAnsi="Times New Roman" w:cs="Times New Roman"/>
          <w:bCs/>
          <w:sz w:val="24"/>
          <w:szCs w:val="24"/>
          <w:lang w:eastAsia="pl-PL"/>
        </w:rPr>
        <w:lastRenderedPageBreak/>
        <w:t>również sędziowie i kuratorzy sądowi. Petycje poświęcone tej problematyce kierowane były również do Sejmu, Senatu, Prezydenta RP</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Premiera RP.</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Zauważyć należy, że większość tej kategorii spraw rozpoznawana jest jednak skutecznie w oparciu o obowiązujące regulacje przewidziane w art. 598</w:t>
      </w:r>
      <w:r w:rsidRPr="00EF5A58">
        <w:rPr>
          <w:rFonts w:ascii="Times New Roman" w:eastAsia="Times New Roman" w:hAnsi="Times New Roman" w:cs="Times New Roman"/>
          <w:bCs/>
          <w:sz w:val="24"/>
          <w:szCs w:val="24"/>
          <w:vertAlign w:val="superscript"/>
          <w:lang w:eastAsia="pl-PL"/>
        </w:rPr>
        <w:t>15</w:t>
      </w:r>
      <w:r w:rsidRPr="00153A56">
        <w:rPr>
          <w:rFonts w:ascii="Times New Roman" w:eastAsia="Times New Roman" w:hAnsi="Times New Roman" w:cs="Times New Roman"/>
          <w:bCs/>
          <w:sz w:val="24"/>
          <w:szCs w:val="24"/>
          <w:lang w:eastAsia="pl-PL"/>
        </w:rPr>
        <w:t>–</w:t>
      </w:r>
      <w:r w:rsidR="00564744">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598</w:t>
      </w:r>
      <w:r w:rsidRPr="00EF5A58">
        <w:rPr>
          <w:rFonts w:ascii="Times New Roman" w:eastAsia="Times New Roman" w:hAnsi="Times New Roman" w:cs="Times New Roman"/>
          <w:bCs/>
          <w:sz w:val="24"/>
          <w:szCs w:val="24"/>
          <w:vertAlign w:val="superscript"/>
          <w:lang w:eastAsia="pl-PL"/>
        </w:rPr>
        <w:t>21</w:t>
      </w:r>
      <w:r w:rsidRPr="00153A56">
        <w:rPr>
          <w:rFonts w:ascii="Times New Roman" w:eastAsia="Times New Roman" w:hAnsi="Times New Roman" w:cs="Times New Roman"/>
          <w:bCs/>
          <w:sz w:val="24"/>
          <w:szCs w:val="24"/>
          <w:lang w:eastAsia="pl-PL"/>
        </w:rPr>
        <w:t xml:space="preserve"> k.p.c. Zgodnie z ich treścią w przypadku niewykonania albo niewłaściwego wykonania przez osobę, pod której pieczą dziecko pozostaje, obowiązków wynikających z orzeczenia lub ugody zawartej przed sądem albo przed media</w:t>
      </w:r>
      <w:r w:rsidR="00D97B2E">
        <w:rPr>
          <w:rFonts w:ascii="Times New Roman" w:eastAsia="Times New Roman" w:hAnsi="Times New Roman" w:cs="Times New Roman"/>
          <w:bCs/>
          <w:sz w:val="24"/>
          <w:szCs w:val="24"/>
          <w:lang w:eastAsia="pl-PL"/>
        </w:rPr>
        <w:t>torem w przedmiocie kontaktów z </w:t>
      </w:r>
      <w:r w:rsidRPr="00153A56">
        <w:rPr>
          <w:rFonts w:ascii="Times New Roman" w:eastAsia="Times New Roman" w:hAnsi="Times New Roman" w:cs="Times New Roman"/>
          <w:bCs/>
          <w:sz w:val="24"/>
          <w:szCs w:val="24"/>
          <w:lang w:eastAsia="pl-PL"/>
        </w:rPr>
        <w:t>dzieckiem, sąd zagrozi tej osobie nakazaniem zapłaty na rzecz osoby uprawnionej do kontaktu z dzieckiem oznaczonej sumy pieniężnej za każde naruszenie obowiązku. Jeżeli osoba, której sąd zagroził nakazaniem zapłaty oznaczonej sumy pieniężnej, nadal nie wypełnia swego obowiązku, sąd nakazuje jej zapłatę należnej sumy pieniężnej, ustalając jej wysokość stosownie do liczby naruszeń.</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Jest jednak część spraw, w których uczestnicy skutecznie blokują wykonanie orzeczeń mimo nakładanych sum pieniężnych (ukrywanie się, utrudnianie kontaktów). Ministerstwo Sprawiedliwości, w związku z przyjęciem przez Radę Ministrów w dniu 17 maja 2007 r. Programu Działań Rządu w sprawie wykonywania wyroków Europejskiego Trybunału Praw Człowieka wobec Rzeczypospolitej Polskiej, realizuje obowiązek nałożony w punkcie 13.1.3 Programu, który przewiduje monitorowanie skali problemu dotyczącego nieskuteczności egzekucji postanowień sądowych dotyczących kontaktów z dzieckiem bądź nakazujących wydani</w:t>
      </w:r>
      <w:r w:rsidR="00D97B2E">
        <w:rPr>
          <w:rFonts w:ascii="Times New Roman" w:eastAsia="Times New Roman" w:hAnsi="Times New Roman" w:cs="Times New Roman"/>
          <w:bCs/>
          <w:sz w:val="24"/>
          <w:szCs w:val="24"/>
          <w:lang w:eastAsia="pl-PL"/>
        </w:rPr>
        <w:t>e dziecka. Ustalenia dokonane w </w:t>
      </w:r>
      <w:r w:rsidRPr="00153A56">
        <w:rPr>
          <w:rFonts w:ascii="Times New Roman" w:eastAsia="Times New Roman" w:hAnsi="Times New Roman" w:cs="Times New Roman"/>
          <w:bCs/>
          <w:sz w:val="24"/>
          <w:szCs w:val="24"/>
          <w:lang w:eastAsia="pl-PL"/>
        </w:rPr>
        <w:t>toku prowadzonego monitoringu wykazują, że główna przyczyna</w:t>
      </w:r>
      <w:r w:rsidR="00D97B2E">
        <w:rPr>
          <w:rFonts w:ascii="Times New Roman" w:eastAsia="Times New Roman" w:hAnsi="Times New Roman" w:cs="Times New Roman"/>
          <w:bCs/>
          <w:sz w:val="24"/>
          <w:szCs w:val="24"/>
          <w:lang w:eastAsia="pl-PL"/>
        </w:rPr>
        <w:t xml:space="preserve"> nieskuteczności w </w:t>
      </w:r>
      <w:r w:rsidRPr="00153A56">
        <w:rPr>
          <w:rFonts w:ascii="Times New Roman" w:eastAsia="Times New Roman" w:hAnsi="Times New Roman" w:cs="Times New Roman"/>
          <w:bCs/>
          <w:sz w:val="24"/>
          <w:szCs w:val="24"/>
          <w:lang w:eastAsia="pl-PL"/>
        </w:rPr>
        <w:t>wykonaniu orzeczeń sądów w zakresie realizacji kontaktów z dzieckiem nie leży po stronie sądów, lecz po stronie rodziców bądź samego dziecka, które odmawia kontaktu, lub gdy wykonanie kontaktu z uwagi na jego stan psychofizyczny stanowiłoby zagrożenie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dobra dziecka.</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Obecnie do sądów wpływa blisko 4501 wniosków o wykonanie kontaktów (rok 2017 – dane z formularzy statystycznych MS-s 16/18). Pozostałość z roku poprzedniego – 2016, wynosiła 2119 spraw. W całości lub w części sąd uwzględnił wnioski </w:t>
      </w:r>
      <w:r w:rsidR="00D97B2E">
        <w:rPr>
          <w:rFonts w:ascii="Times New Roman" w:eastAsia="Times New Roman" w:hAnsi="Times New Roman" w:cs="Times New Roman"/>
          <w:bCs/>
          <w:sz w:val="24"/>
          <w:szCs w:val="24"/>
          <w:lang w:eastAsia="pl-PL"/>
        </w:rPr>
        <w:t>w 364 </w:t>
      </w:r>
      <w:r w:rsidRPr="00153A56">
        <w:rPr>
          <w:rFonts w:ascii="Times New Roman" w:eastAsia="Times New Roman" w:hAnsi="Times New Roman" w:cs="Times New Roman"/>
          <w:bCs/>
          <w:sz w:val="24"/>
          <w:szCs w:val="24"/>
          <w:lang w:eastAsia="pl-PL"/>
        </w:rPr>
        <w:t>sprawach.</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roku 2017 do sądów wpłynęło łącznie 15</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899 spraw o ustalenie kontaktów (uwzględniono wnioski w 2367 sprawach) i 5655 spraw o zmianę kontaktów (uwzględniono wnioski w 1272 sprawach). Tym samym tylko w części ustalonych przez sąd kontaktów nie dochodzi do ich wykonania i wnoszone są wnioski na </w:t>
      </w:r>
      <w:r w:rsidRPr="00153A56">
        <w:rPr>
          <w:rFonts w:ascii="Times New Roman" w:eastAsia="Times New Roman" w:hAnsi="Times New Roman" w:cs="Times New Roman"/>
          <w:bCs/>
          <w:sz w:val="24"/>
          <w:szCs w:val="24"/>
          <w:lang w:eastAsia="pl-PL"/>
        </w:rPr>
        <w:lastRenderedPageBreak/>
        <w:t>podstawie art. 598</w:t>
      </w:r>
      <w:r w:rsidRPr="00EF5A58">
        <w:rPr>
          <w:rFonts w:ascii="Times New Roman" w:eastAsia="Times New Roman" w:hAnsi="Times New Roman" w:cs="Times New Roman"/>
          <w:bCs/>
          <w:sz w:val="24"/>
          <w:szCs w:val="24"/>
          <w:vertAlign w:val="superscript"/>
          <w:lang w:eastAsia="pl-PL"/>
        </w:rPr>
        <w:t>15</w:t>
      </w:r>
      <w:r w:rsidRPr="00153A56">
        <w:rPr>
          <w:rFonts w:ascii="Times New Roman" w:eastAsia="Times New Roman" w:hAnsi="Times New Roman" w:cs="Times New Roman"/>
          <w:bCs/>
          <w:sz w:val="24"/>
          <w:szCs w:val="24"/>
          <w:lang w:eastAsia="pl-PL"/>
        </w:rPr>
        <w:t xml:space="preserve"> i następne k.p.c. Jeszcze mniejszą liczbę stanowią te spra</w:t>
      </w:r>
      <w:r w:rsidR="00D97B2E">
        <w:rPr>
          <w:rFonts w:ascii="Times New Roman" w:eastAsia="Times New Roman" w:hAnsi="Times New Roman" w:cs="Times New Roman"/>
          <w:bCs/>
          <w:sz w:val="24"/>
          <w:szCs w:val="24"/>
          <w:lang w:eastAsia="pl-PL"/>
        </w:rPr>
        <w:t>wy, w </w:t>
      </w:r>
      <w:r w:rsidRPr="00153A56">
        <w:rPr>
          <w:rFonts w:ascii="Times New Roman" w:eastAsia="Times New Roman" w:hAnsi="Times New Roman" w:cs="Times New Roman"/>
          <w:bCs/>
          <w:sz w:val="24"/>
          <w:szCs w:val="24"/>
          <w:lang w:eastAsia="pl-PL"/>
        </w:rPr>
        <w:t xml:space="preserve">których mimo zobowiązania i nałożenia sumy pieniężnej do realizacji orzeczenia nie dochodzi. To właśnie tej kategorii spraw dotyczą projektowane zmiany.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Propozycja nowelizacji polegająca na ujęciu w treści przepisu art. 109 § 1 k.r.o. orzeczeń sądu, brak realizacji których może skutkować wydaniem przez sąd zarządzeń opiekuńczych, jest właściwym krokiem w kierunku zmiany wskazanych negatywnych postaw rodziców. W ocenie projektodawcy, rozwiązanie to powinno w znacznie większym, niż obecnie zakresie, wymuszać na stronie zobowiązanej wykonywanie orzeczeń, poszukiwanie porozumienia ze stron</w:t>
      </w:r>
      <w:r w:rsidR="00494C86">
        <w:rPr>
          <w:rFonts w:ascii="Times New Roman" w:eastAsia="Times New Roman" w:hAnsi="Times New Roman" w:cs="Times New Roman"/>
          <w:bCs/>
          <w:sz w:val="24"/>
          <w:szCs w:val="24"/>
          <w:lang w:eastAsia="pl-PL"/>
        </w:rPr>
        <w:t>ą</w:t>
      </w:r>
      <w:r w:rsidRPr="00153A56">
        <w:rPr>
          <w:rFonts w:ascii="Times New Roman" w:eastAsia="Times New Roman" w:hAnsi="Times New Roman" w:cs="Times New Roman"/>
          <w:bCs/>
          <w:sz w:val="24"/>
          <w:szCs w:val="24"/>
          <w:lang w:eastAsia="pl-PL"/>
        </w:rPr>
        <w:t xml:space="preserve"> uprawnioną oraz współpracę stron </w:t>
      </w:r>
      <w:r w:rsidR="00494C86">
        <w:rPr>
          <w:rFonts w:ascii="Times New Roman" w:eastAsia="Times New Roman" w:hAnsi="Times New Roman" w:cs="Times New Roman"/>
          <w:bCs/>
          <w:sz w:val="24"/>
          <w:szCs w:val="24"/>
          <w:lang w:eastAsia="pl-PL"/>
        </w:rPr>
        <w:t>w</w:t>
      </w:r>
      <w:r w:rsidR="003D1F31">
        <w:rPr>
          <w:rFonts w:ascii="Times New Roman" w:eastAsia="Times New Roman" w:hAnsi="Times New Roman" w:cs="Times New Roman"/>
          <w:bCs/>
          <w:sz w:val="24"/>
          <w:szCs w:val="24"/>
          <w:lang w:eastAsia="pl-PL"/>
        </w:rPr>
        <w:t> </w:t>
      </w:r>
      <w:r w:rsidR="00494C86">
        <w:rPr>
          <w:rFonts w:ascii="Times New Roman" w:eastAsia="Times New Roman" w:hAnsi="Times New Roman" w:cs="Times New Roman"/>
          <w:bCs/>
          <w:sz w:val="24"/>
          <w:szCs w:val="24"/>
          <w:lang w:eastAsia="pl-PL"/>
        </w:rPr>
        <w:t>zakresie</w:t>
      </w:r>
      <w:r w:rsidRPr="00153A56">
        <w:rPr>
          <w:rFonts w:ascii="Times New Roman" w:eastAsia="Times New Roman" w:hAnsi="Times New Roman" w:cs="Times New Roman"/>
          <w:bCs/>
          <w:sz w:val="24"/>
          <w:szCs w:val="24"/>
          <w:lang w:eastAsia="pl-PL"/>
        </w:rPr>
        <w:t xml:space="preserve"> przygotowania dziecka w celu wykonania postanowienia. Często głęboka niechęć rodziców do wzajemnej współpracy sprawia, że w konflikt ten angażowane są ich małoletnie dzieci. Potwierdza to potrzebę uświadomienia tego rodzaju.</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Uwzględniając, że tego rodzaju oddziaływanie sądu bywa niewystarczające, projekt wprowadza zatem nowy typ przestępstwa i tym samym karalność za utrudnianie kontaktów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dzieckiem, lub za utrudnianie możliwości sprawowania pieczy naprzemiennej, gdy orzeczenie lub ugoda nie są wykonywane mimo uprzedniego nakazania zapłaty sumy pieniężnej, a także za uchylanie się od orzeczenia sądu nakazującego odebranie dziecka. Projekt przewiduje jednocześnie, adekwatnie do rozwiązania na gruncie k.p.c., że ściganie takiego czynu następuje na wniosek. To bowiem pokrzywdzony niemożnością realizacji upr</w:t>
      </w:r>
      <w:r w:rsidR="00D97B2E">
        <w:rPr>
          <w:rFonts w:ascii="Times New Roman" w:eastAsia="Times New Roman" w:hAnsi="Times New Roman" w:cs="Times New Roman"/>
          <w:bCs/>
          <w:sz w:val="24"/>
          <w:szCs w:val="24"/>
          <w:lang w:eastAsia="pl-PL"/>
        </w:rPr>
        <w:t>awnień powinien decydować w tym </w:t>
      </w:r>
      <w:r w:rsidRPr="00153A56">
        <w:rPr>
          <w:rFonts w:ascii="Times New Roman" w:eastAsia="Times New Roman" w:hAnsi="Times New Roman" w:cs="Times New Roman"/>
          <w:bCs/>
          <w:sz w:val="24"/>
          <w:szCs w:val="24"/>
          <w:lang w:eastAsia="pl-PL"/>
        </w:rPr>
        <w:t>przedmiocie. Nałożenie sankcji majątkowej również o</w:t>
      </w:r>
      <w:r w:rsidR="00D97B2E">
        <w:rPr>
          <w:rFonts w:ascii="Times New Roman" w:eastAsia="Times New Roman" w:hAnsi="Times New Roman" w:cs="Times New Roman"/>
          <w:bCs/>
          <w:sz w:val="24"/>
          <w:szCs w:val="24"/>
          <w:lang w:eastAsia="pl-PL"/>
        </w:rPr>
        <w:t>dbywa się na wniosek (art. </w:t>
      </w:r>
      <w:r w:rsidRPr="00153A56">
        <w:rPr>
          <w:rFonts w:ascii="Times New Roman" w:eastAsia="Times New Roman" w:hAnsi="Times New Roman" w:cs="Times New Roman"/>
          <w:bCs/>
          <w:sz w:val="24"/>
          <w:szCs w:val="24"/>
          <w:lang w:eastAsia="pl-PL"/>
        </w:rPr>
        <w:t>598</w:t>
      </w:r>
      <w:r w:rsidRPr="00EF5A58">
        <w:rPr>
          <w:rFonts w:ascii="Times New Roman" w:eastAsia="Times New Roman" w:hAnsi="Times New Roman" w:cs="Times New Roman"/>
          <w:bCs/>
          <w:sz w:val="24"/>
          <w:szCs w:val="24"/>
          <w:vertAlign w:val="superscript"/>
          <w:lang w:eastAsia="pl-PL"/>
        </w:rPr>
        <w:t>18</w:t>
      </w:r>
      <w:r w:rsidRPr="00153A56">
        <w:rPr>
          <w:rFonts w:ascii="Times New Roman" w:eastAsia="Times New Roman" w:hAnsi="Times New Roman" w:cs="Times New Roman"/>
          <w:bCs/>
          <w:sz w:val="24"/>
          <w:szCs w:val="24"/>
          <w:lang w:eastAsia="pl-PL"/>
        </w:rPr>
        <w:t xml:space="preserve"> k.p.c.), podobnie jak uruchomienie procedury przym</w:t>
      </w:r>
      <w:r w:rsidR="00D97B2E">
        <w:rPr>
          <w:rFonts w:ascii="Times New Roman" w:eastAsia="Times New Roman" w:hAnsi="Times New Roman" w:cs="Times New Roman"/>
          <w:bCs/>
          <w:sz w:val="24"/>
          <w:szCs w:val="24"/>
          <w:lang w:eastAsia="pl-PL"/>
        </w:rPr>
        <w:t>usowego odebrania dziecka (art. </w:t>
      </w:r>
      <w:r w:rsidRPr="00153A56">
        <w:rPr>
          <w:rFonts w:ascii="Times New Roman" w:eastAsia="Times New Roman" w:hAnsi="Times New Roman" w:cs="Times New Roman"/>
          <w:bCs/>
          <w:sz w:val="24"/>
          <w:szCs w:val="24"/>
          <w:lang w:eastAsia="pl-PL"/>
        </w:rPr>
        <w:t>598</w:t>
      </w:r>
      <w:r w:rsidRPr="00EF5A58">
        <w:rPr>
          <w:rFonts w:ascii="Times New Roman" w:eastAsia="Times New Roman" w:hAnsi="Times New Roman" w:cs="Times New Roman"/>
          <w:bCs/>
          <w:sz w:val="24"/>
          <w:szCs w:val="24"/>
          <w:vertAlign w:val="superscript"/>
          <w:lang w:eastAsia="pl-PL"/>
        </w:rPr>
        <w:t>6</w:t>
      </w:r>
      <w:r w:rsidRPr="00153A56">
        <w:rPr>
          <w:rFonts w:ascii="Times New Roman" w:eastAsia="Times New Roman" w:hAnsi="Times New Roman" w:cs="Times New Roman"/>
          <w:bCs/>
          <w:sz w:val="24"/>
          <w:szCs w:val="24"/>
          <w:lang w:eastAsia="pl-PL"/>
        </w:rPr>
        <w:t xml:space="preserve"> k.p.c.).</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Projekt przewiduje</w:t>
      </w:r>
      <w:r w:rsidR="006E728A">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aby niewykonywanie orzeczeń albo ugód, których dotyczy projektowany art. 209a k.k., zagrożone było karą ograniczenia wolności lub grzywną. Wprowadzenie mechanizmów prawnokarnych, analogicznych do zastosowanych przy przestępstwie niealimentacji, niewątpliwie pozytywnie wpłynie na wzmocnienie rangi orzeczeń sądów opiekuńczych oraz dobrowolne ich wykonywanie.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Problematyka penalizacji zachowań polegających na utrudnianiu kontaktów lub sprawowania pieczy nad małoletnim wymaga uwzględnienia, wynikających z zasady proporcjonalności określonej w art. 31 ust. 3 Konstytucji RP, obowiązków prawodawcy,</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do których należy przyjmowanie danej regulacji wówczas, gdy jest </w:t>
      </w:r>
      <w:r w:rsidRPr="00153A56">
        <w:rPr>
          <w:rFonts w:ascii="Times New Roman" w:eastAsia="Times New Roman" w:hAnsi="Times New Roman" w:cs="Times New Roman"/>
          <w:sz w:val="24"/>
          <w:szCs w:val="24"/>
          <w:lang w:eastAsia="pl-PL"/>
        </w:rPr>
        <w:lastRenderedPageBreak/>
        <w:t>niezbędna dla ochrony określonego dobra prawnego, z którym jest powiązana. Zasada ta szczególny nacisk kładzie na adekwatność celu i środka użytego do jego osiągnięcia. Oceniając pod tym kątem ewentualną ingerencję prawnokarną w sferę życia rodzinnego należy uwzględnić fakt, że podłożem zdarzeń, jakie miałyby być penalizowane, jest konflikt między rodzicami. Stąd nie wydaje się</w:t>
      </w:r>
      <w:r w:rsidR="00D97B2E">
        <w:rPr>
          <w:rFonts w:ascii="Times New Roman" w:eastAsia="Times New Roman" w:hAnsi="Times New Roman" w:cs="Times New Roman"/>
          <w:sz w:val="24"/>
          <w:szCs w:val="24"/>
          <w:lang w:eastAsia="pl-PL"/>
        </w:rPr>
        <w:t xml:space="preserve"> zasadne wprowadzanie sankcji w </w:t>
      </w:r>
      <w:r w:rsidRPr="00153A56">
        <w:rPr>
          <w:rFonts w:ascii="Times New Roman" w:eastAsia="Times New Roman" w:hAnsi="Times New Roman" w:cs="Times New Roman"/>
          <w:sz w:val="24"/>
          <w:szCs w:val="24"/>
          <w:lang w:eastAsia="pl-PL"/>
        </w:rPr>
        <w:t xml:space="preserve">postaci kary pozbawienia wolności.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Dodatkowo podkreślić należy,</w:t>
      </w:r>
      <w:r w:rsidR="003347A2">
        <w:rPr>
          <w:rFonts w:ascii="Times New Roman" w:eastAsia="Times New Roman" w:hAnsi="Times New Roman" w:cs="Times New Roman"/>
          <w:sz w:val="24"/>
          <w:szCs w:val="24"/>
          <w:lang w:eastAsia="pl-PL"/>
        </w:rPr>
        <w:t xml:space="preserve"> że najbardziej pożądane byłoby</w:t>
      </w:r>
      <w:r w:rsidRPr="00153A56">
        <w:rPr>
          <w:rFonts w:ascii="Times New Roman" w:eastAsia="Times New Roman" w:hAnsi="Times New Roman" w:cs="Times New Roman"/>
          <w:sz w:val="24"/>
          <w:szCs w:val="24"/>
          <w:lang w:eastAsia="pl-PL"/>
        </w:rPr>
        <w:t xml:space="preserve"> podejmowanie działań, które doprowadziłyby do pogodzenia konkurencyjnych interesów stron, </w:t>
      </w:r>
      <w:r w:rsidR="00D97B2E">
        <w:rPr>
          <w:rFonts w:ascii="Times New Roman" w:eastAsia="Times New Roman" w:hAnsi="Times New Roman" w:cs="Times New Roman"/>
          <w:sz w:val="24"/>
          <w:szCs w:val="24"/>
          <w:lang w:eastAsia="pl-PL"/>
        </w:rPr>
        <w:t>z </w:t>
      </w:r>
      <w:r w:rsidRPr="00153A56">
        <w:rPr>
          <w:rFonts w:ascii="Times New Roman" w:eastAsia="Times New Roman" w:hAnsi="Times New Roman" w:cs="Times New Roman"/>
          <w:sz w:val="24"/>
          <w:szCs w:val="24"/>
          <w:lang w:eastAsia="pl-PL"/>
        </w:rPr>
        <w:t>uwzględnieniem</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dobra dziecka, które ma charakter nadrzędny.</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Pe</w:t>
      </w:r>
      <w:r w:rsidR="006E728A">
        <w:rPr>
          <w:rFonts w:ascii="Times New Roman" w:eastAsia="Times New Roman" w:hAnsi="Times New Roman" w:cs="Times New Roman"/>
          <w:sz w:val="24"/>
          <w:szCs w:val="24"/>
          <w:lang w:eastAsia="pl-PL"/>
        </w:rPr>
        <w:t>nalizację tego rodzaju zachowań</w:t>
      </w:r>
      <w:r w:rsidRPr="00153A56">
        <w:rPr>
          <w:rFonts w:ascii="Times New Roman" w:eastAsia="Times New Roman" w:hAnsi="Times New Roman" w:cs="Times New Roman"/>
          <w:sz w:val="24"/>
          <w:szCs w:val="24"/>
          <w:lang w:eastAsia="pl-PL"/>
        </w:rPr>
        <w:t xml:space="preserve"> przewiduje szereg państw zachodnich.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Tytułem przykładu wskazać należy, że porządki prawne takich państw jak: Republika Federalna Niemiec, Francja, Wielka Brytania i Belgia, uznają, że naruszanie obowiązków wynikających z orzeczenia o kontaktach skutkuje przede wszystkim nałożeniem na rodzica sankcji prawnokarnych, poczynając od grzywny do kary pozbawienia wolności.</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 xml:space="preserve">Zgodnie z regulacjami obowiązującymi w niemieckim porządku prawnym (§ 1684 Bürgerliches Gesetzbuch </w:t>
      </w:r>
      <w:r w:rsidR="00567B46">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BGB) w razie uchybień zaistniałych przy wykonywaniu kontaktów z dzieckiem istnieje możliwość ustanowienia czasowo kuratora ds. nadzoru</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nad wykonywaniem tych kontaktów z dzieckiem. W przypadku uchylania się od obowiązku realizowania kontaktów przewiduje się nałożenie na rodzica kary grzywny w wysokości do 25</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000 euro, a jeżeli i to nie będzie efektywne, również zastosowanie kary pozbawienia wolności.</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We francuskim porządku prawnym uchylanie się od obowiązku realizacji kontaktów</w:t>
      </w:r>
      <w:r w:rsidR="00EF5A58">
        <w:rPr>
          <w:rFonts w:ascii="Times New Roman" w:eastAsia="Times New Roman" w:hAnsi="Times New Roman" w:cs="Times New Roman"/>
          <w:sz w:val="24"/>
          <w:szCs w:val="24"/>
          <w:lang w:eastAsia="pl-PL"/>
        </w:rPr>
        <w:t xml:space="preserve"> </w:t>
      </w:r>
      <w:r w:rsidR="00D97B2E">
        <w:rPr>
          <w:rFonts w:ascii="Times New Roman" w:eastAsia="Times New Roman" w:hAnsi="Times New Roman" w:cs="Times New Roman"/>
          <w:sz w:val="24"/>
          <w:szCs w:val="24"/>
          <w:lang w:eastAsia="pl-PL"/>
        </w:rPr>
        <w:t>z </w:t>
      </w:r>
      <w:r w:rsidRPr="00153A56">
        <w:rPr>
          <w:rFonts w:ascii="Times New Roman" w:eastAsia="Times New Roman" w:hAnsi="Times New Roman" w:cs="Times New Roman"/>
          <w:sz w:val="24"/>
          <w:szCs w:val="24"/>
          <w:lang w:eastAsia="pl-PL"/>
        </w:rPr>
        <w:t>dzieckiem jest kwalifikowane jako przestępstwo stypizowane w art. 227.5 francuskiego kodeksu karnego, który stanowi, że zgłoszone przypadki regularnego uchylania się od tego obowiązku karane są grzywną w wysokości do 15</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000 euro i karą pozbawienia wolności do roku.</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 xml:space="preserve">Regulacje obowiązujące w Wielkiej Brytanii przewidują sankcje w postaci: obowiązkowych szkoleń i terapii rodzicielskiej dla rodzica, który narusza obowiązki wynikające z uregulowania kontaktów, grzywny, wydania orzeczenia o zmianie miejsca pobytu dziecka u osoby uprawnionej do kontaktów oraz karą pozbawienia wolności osoby, która systematycznie i świadomie uniemożliwia kontakty.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lastRenderedPageBreak/>
        <w:t>W porządku prawnym Belgii uchylanie się od obowiązków w zakresie realizowania kontaktów również skutkuje sankcjami prawnymi unormowanymi w art. 431 belgijskiego kodeksu karnego. Przepis ten przewiduje możliwość orzeczenia kary pozbawienia wolności od 8 dni do 5 lat oraz grzywnę w wysokości do 1000 euro. Rodzaj zastosowanej sankcji karnej zależy od rodzaju i częstotliwości popełnionych naruszeń.</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Podsumowując należy stwierdzić, że uchylanie się od obowiązku realizowania kontaktów z dzieckiem w wymienionych państwach Unii Europejskiej wiąże się</w:t>
      </w:r>
      <w:r w:rsidR="00EF5A58">
        <w:rPr>
          <w:rFonts w:ascii="Times New Roman" w:eastAsia="Times New Roman" w:hAnsi="Times New Roman" w:cs="Times New Roman"/>
          <w:sz w:val="24"/>
          <w:szCs w:val="24"/>
          <w:lang w:eastAsia="pl-PL"/>
        </w:rPr>
        <w:t xml:space="preserve"> </w:t>
      </w:r>
      <w:r w:rsidR="00D97B2E">
        <w:rPr>
          <w:rFonts w:ascii="Times New Roman" w:eastAsia="Times New Roman" w:hAnsi="Times New Roman" w:cs="Times New Roman"/>
          <w:sz w:val="24"/>
          <w:szCs w:val="24"/>
          <w:lang w:eastAsia="pl-PL"/>
        </w:rPr>
        <w:t>z </w:t>
      </w:r>
      <w:r w:rsidRPr="00153A56">
        <w:rPr>
          <w:rFonts w:ascii="Times New Roman" w:eastAsia="Times New Roman" w:hAnsi="Times New Roman" w:cs="Times New Roman"/>
          <w:sz w:val="24"/>
          <w:szCs w:val="24"/>
          <w:lang w:eastAsia="pl-PL"/>
        </w:rPr>
        <w:t>zastosowaniem o wiele dalej idących sankcji, których rygorystyczne stosowanie skutkować może nawet długotrwałym pozbawieniem wolności osoby, która dopuszcza się utrudniania lub uniemożliwiania kontaktów osobie do nich uprawnionej.</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Projektowane rozwiązanie przewiduje ostatecznie, że karze podlegałaby osoba zobowiązana orzeczeniem sądu albo ugodą zawartą przed sądem lub mediatorem do wykonywania tego orzeczenia lub ugody w zakresie kontaktów z dzieckiem lub orzeczenia,</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którym sąd określił, że dziecko będzie</w:t>
      </w:r>
      <w:r w:rsidR="00D97B2E">
        <w:rPr>
          <w:rFonts w:ascii="Times New Roman" w:eastAsia="Times New Roman" w:hAnsi="Times New Roman" w:cs="Times New Roman"/>
          <w:sz w:val="24"/>
          <w:szCs w:val="24"/>
          <w:lang w:eastAsia="pl-PL"/>
        </w:rPr>
        <w:t xml:space="preserve"> mieszkać z każdym z rodziców w </w:t>
      </w:r>
      <w:r w:rsidRPr="00153A56">
        <w:rPr>
          <w:rFonts w:ascii="Times New Roman" w:eastAsia="Times New Roman" w:hAnsi="Times New Roman" w:cs="Times New Roman"/>
          <w:sz w:val="24"/>
          <w:szCs w:val="24"/>
          <w:lang w:eastAsia="pl-PL"/>
        </w:rPr>
        <w:t>powtarzających się okresach, jeżeli jednocześnie wyczerpana została procedura przewidziana w art. 598</w:t>
      </w:r>
      <w:r w:rsidRPr="00EF5A58">
        <w:rPr>
          <w:rFonts w:ascii="Times New Roman" w:eastAsia="Times New Roman" w:hAnsi="Times New Roman" w:cs="Times New Roman"/>
          <w:sz w:val="24"/>
          <w:szCs w:val="24"/>
          <w:vertAlign w:val="superscript"/>
          <w:lang w:eastAsia="pl-PL"/>
        </w:rPr>
        <w:t>15</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i następne k.p.c., czyli mimo nakazania zapłaty sumy pieniężnej, zobowiązany nadal nie wykonuje orzeczenia lub ugody (projektowany </w:t>
      </w:r>
      <w:r w:rsidR="00D97B2E">
        <w:rPr>
          <w:rFonts w:ascii="Times New Roman" w:eastAsia="Times New Roman" w:hAnsi="Times New Roman" w:cs="Times New Roman"/>
          <w:sz w:val="24"/>
          <w:szCs w:val="24"/>
          <w:lang w:eastAsia="pl-PL"/>
        </w:rPr>
        <w:t>art. </w:t>
      </w:r>
      <w:r w:rsidRPr="00153A56">
        <w:rPr>
          <w:rFonts w:ascii="Times New Roman" w:eastAsia="Times New Roman" w:hAnsi="Times New Roman" w:cs="Times New Roman"/>
          <w:sz w:val="24"/>
          <w:szCs w:val="24"/>
          <w:lang w:eastAsia="pl-PL"/>
        </w:rPr>
        <w:t>209a § 1 k.k.). Takiej samej karze podlegać miałaby również osoba zobowiązana do oddania dziecka, która nie wykonałaby orzeczenia, o którym mowa w art. 598</w:t>
      </w:r>
      <w:r w:rsidRPr="00EF5A58">
        <w:rPr>
          <w:rFonts w:ascii="Times New Roman" w:eastAsia="Times New Roman" w:hAnsi="Times New Roman" w:cs="Times New Roman"/>
          <w:sz w:val="24"/>
          <w:szCs w:val="24"/>
          <w:vertAlign w:val="superscript"/>
          <w:lang w:eastAsia="pl-PL"/>
        </w:rPr>
        <w:t>5</w:t>
      </w:r>
      <w:r w:rsidR="00D97B2E">
        <w:rPr>
          <w:rFonts w:ascii="Times New Roman" w:eastAsia="Times New Roman" w:hAnsi="Times New Roman" w:cs="Times New Roman"/>
          <w:sz w:val="24"/>
          <w:szCs w:val="24"/>
          <w:lang w:eastAsia="pl-PL"/>
        </w:rPr>
        <w:t xml:space="preserve"> k.p.c. i </w:t>
      </w:r>
      <w:r w:rsidRPr="00153A56">
        <w:rPr>
          <w:rFonts w:ascii="Times New Roman" w:eastAsia="Times New Roman" w:hAnsi="Times New Roman" w:cs="Times New Roman"/>
          <w:sz w:val="24"/>
          <w:szCs w:val="24"/>
          <w:lang w:eastAsia="pl-PL"/>
        </w:rPr>
        <w:t>sąd nakazałby kuratorowi sądowemu przymusowe odebranie dziecka w trybie art. 598</w:t>
      </w:r>
      <w:r w:rsidRPr="00EF5A58">
        <w:rPr>
          <w:rFonts w:ascii="Times New Roman" w:eastAsia="Times New Roman" w:hAnsi="Times New Roman" w:cs="Times New Roman"/>
          <w:sz w:val="24"/>
          <w:szCs w:val="24"/>
          <w:vertAlign w:val="superscript"/>
          <w:lang w:eastAsia="pl-PL"/>
        </w:rPr>
        <w:t>6</w:t>
      </w:r>
      <w:r w:rsidRPr="00153A56">
        <w:rPr>
          <w:rFonts w:ascii="Times New Roman" w:eastAsia="Times New Roman" w:hAnsi="Times New Roman" w:cs="Times New Roman"/>
          <w:sz w:val="24"/>
          <w:szCs w:val="24"/>
          <w:lang w:eastAsia="pl-PL"/>
        </w:rPr>
        <w:t xml:space="preserve"> k.p.c., zobowiązany zaś nadal uchylałby się od jego wykonania (projektowany art. 209a § 2 k.k.). Jak już wskazano, oba te czyny ścigane byłyby na wniosek, adekwatnie do rozwiązania przewidzianego na gruncie k.p.c. Pozostawiono zatem woli uprawnionego decyzję w przedmiocie ścigania takich czynów (projektowany art. 209a § 3 k.k.). Jednocześnie, mając na uwadze cel projektowanych zmian, a zatem</w:t>
      </w:r>
      <w:r w:rsidR="00456B05">
        <w:rPr>
          <w:rFonts w:ascii="Times New Roman" w:eastAsia="Times New Roman" w:hAnsi="Times New Roman" w:cs="Times New Roman"/>
          <w:sz w:val="24"/>
          <w:szCs w:val="24"/>
          <w:lang w:eastAsia="pl-PL"/>
        </w:rPr>
        <w:t xml:space="preserve"> dążenie do zmiany postawy osób</w:t>
      </w:r>
      <w:r w:rsidRPr="00153A56">
        <w:rPr>
          <w:rFonts w:ascii="Times New Roman" w:eastAsia="Times New Roman" w:hAnsi="Times New Roman" w:cs="Times New Roman"/>
          <w:sz w:val="24"/>
          <w:szCs w:val="24"/>
          <w:lang w:eastAsia="pl-PL"/>
        </w:rPr>
        <w:t xml:space="preserve"> zobowiązanych do wykonywania orzeczeń sądu lub ugód dotyczących dziecka, projekt przewiduje, że wykonanie orzeczenia albo ugody</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o</w:t>
      </w:r>
      <w:r w:rsidR="00456B05">
        <w:rPr>
          <w:rFonts w:ascii="Times New Roman" w:eastAsia="Times New Roman" w:hAnsi="Times New Roman" w:cs="Times New Roman"/>
          <w:sz w:val="24"/>
          <w:szCs w:val="24"/>
          <w:lang w:eastAsia="pl-PL"/>
        </w:rPr>
        <w:t>kreślonych przepisami warunkach</w:t>
      </w:r>
      <w:r w:rsidRPr="00153A56">
        <w:rPr>
          <w:rFonts w:ascii="Times New Roman" w:eastAsia="Times New Roman" w:hAnsi="Times New Roman" w:cs="Times New Roman"/>
          <w:sz w:val="24"/>
          <w:szCs w:val="24"/>
          <w:lang w:eastAsia="pl-PL"/>
        </w:rPr>
        <w:t xml:space="preserve"> pozwoli uniknąć kary. Nie będzie bowiem podlegał karze ten, kto przed upływem 30 dni od dnia pierwszego przesłuch</w:t>
      </w:r>
      <w:r w:rsidR="00456B05">
        <w:rPr>
          <w:rFonts w:ascii="Times New Roman" w:eastAsia="Times New Roman" w:hAnsi="Times New Roman" w:cs="Times New Roman"/>
          <w:sz w:val="24"/>
          <w:szCs w:val="24"/>
          <w:lang w:eastAsia="pl-PL"/>
        </w:rPr>
        <w:t>ania w charakterze podejrzanego</w:t>
      </w:r>
      <w:r w:rsidRPr="00153A56">
        <w:rPr>
          <w:rFonts w:ascii="Times New Roman" w:eastAsia="Times New Roman" w:hAnsi="Times New Roman" w:cs="Times New Roman"/>
          <w:sz w:val="24"/>
          <w:szCs w:val="24"/>
          <w:lang w:eastAsia="pl-PL"/>
        </w:rPr>
        <w:t xml:space="preserve"> wykonał orzeczenie lub wykonywał je w czasie zawieszenia postępowania, które zarządził prokurator w celu umożliwienia podejrzanemu zmiany swojej postawy wobec obowiązku wynikającego z orzeczenia sądu albo ugody </w:t>
      </w:r>
      <w:r w:rsidRPr="00153A56">
        <w:rPr>
          <w:rFonts w:ascii="Times New Roman" w:eastAsia="Times New Roman" w:hAnsi="Times New Roman" w:cs="Times New Roman"/>
          <w:sz w:val="24"/>
          <w:szCs w:val="24"/>
          <w:lang w:eastAsia="pl-PL"/>
        </w:rPr>
        <w:lastRenderedPageBreak/>
        <w:t>(projektowany art. 209a § 4 i 5 k.k.).</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takiej sytuacji prokurator nie skieruje aktu oskarżenia do sądu, lecz umorzy postępowanie na podstawie art. 17 §</w:t>
      </w:r>
      <w:r w:rsidR="00DF75E7">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1 pkt 4 k.p.k.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Z projektowanym przepisem art. 209a k.k. powiązana jest konstrukcja projektowanego art. 318a k.p.k. dotycząca postępowania przygotowawczego prowadzonego w sprawach</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o czyny z projektowanego art. 209a § 1 k.k.</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Prokurator prowadzący to postępowanie będzie mógł je zawiesić na okres od 3 miesięcy do roku, o ile podejrzany na piśmie zobowiąże się do wykonywania orzeczenia sądu opiekuńczego albo ugody zawartej przed sądem lub mediatorem, od wykonania których do tego czasu się uchylał (projektowany art. 318a § 1 k.p.k.). W czasie zawieszenia postępowania, kurator sądowy będzie sporządzał na żądanie prokuratora, co najmniej raz na 3 miesiące, wywiad środowiskowy, w celu potwierdzenia wywiązywania się podejrzanego ze zobowiązania albo wskaże w nim przyczyny, dla których podejrzany nadal nie wykonuje orzeczenia sądu albo ugody (projektowany art. 318a § 2 k.p.k.).</w:t>
      </w:r>
      <w:r w:rsidR="00EF5A58">
        <w:rPr>
          <w:rFonts w:ascii="Times New Roman" w:eastAsia="Times New Roman" w:hAnsi="Times New Roman" w:cs="Times New Roman"/>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 xml:space="preserve">Ten swoisty czas </w:t>
      </w:r>
      <w:r w:rsidR="00EF5A58">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probacji</w:t>
      </w:r>
      <w:r w:rsidR="00EF5A58">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ma zapewnić zatem dobrowolne wykonywanie przez podejrzanego zobowiązania zgodnego z dobrem dziecka, o którym wcześniej prawomocnie orzekł już sąd. Sąd ten będzie </w:t>
      </w:r>
      <w:r w:rsidR="00D97B2E">
        <w:rPr>
          <w:rFonts w:ascii="Times New Roman" w:eastAsia="Times New Roman" w:hAnsi="Times New Roman" w:cs="Times New Roman"/>
          <w:sz w:val="24"/>
          <w:szCs w:val="24"/>
          <w:lang w:eastAsia="pl-PL"/>
        </w:rPr>
        <w:t>informowany przez prokuratora o </w:t>
      </w:r>
      <w:r w:rsidRPr="00153A56">
        <w:rPr>
          <w:rFonts w:ascii="Times New Roman" w:eastAsia="Times New Roman" w:hAnsi="Times New Roman" w:cs="Times New Roman"/>
          <w:sz w:val="24"/>
          <w:szCs w:val="24"/>
          <w:lang w:eastAsia="pl-PL"/>
        </w:rPr>
        <w:t>przebiegu postępowania, co przewiduje projektowany art. 318a § 4 k.p.k. Pozwoli to na rozważenie przez sąd podjęcia</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z urzędu określonego postępowania opiekuńczego. Tak skonstruowany przepis ma tym samym ten walor, że kształtuje właściwe postawy wobec sądowych rozstrzygnięć.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 xml:space="preserve">Przedstawiona propozycja nie wpłynie znacząco na obciążenie organów ścigania ani sądów, a to z uwagi na fakt, że łączna liczba spraw, w których zagrożono uczestnikowi lub zasądzono od niego zapłatę sumy pieniężnej za niewykonywanie orzeczeń, nie przekracza 1000 w skali kraju w ciągu roku. Uwzględniając, że projektodawca przewiduje dodatkowo tryb wnioskowy zależny od woli pokrzywdzonego, propozycja nie wpłynie na widoczny wzrost obciążenia prokuratur i sądów w rozpatrywaniu spraw tego rodzaju. Jednocześnie nowe narzędzie dla wzmocnienia orzeczeń sądów rodzinnych jest pożądane społecznie.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W celu sprawniejszego zagwarantowania należnych małoletnim środków utrzymania proponuje się wprowadzenie instytucji natychmiastowych</w:t>
      </w:r>
      <w:r w:rsidR="00456B05">
        <w:rPr>
          <w:rFonts w:ascii="Times New Roman" w:eastAsia="Times New Roman" w:hAnsi="Times New Roman" w:cs="Times New Roman"/>
          <w:sz w:val="24"/>
          <w:szCs w:val="24"/>
          <w:lang w:eastAsia="pl-PL"/>
        </w:rPr>
        <w:t xml:space="preserve"> świadczeń alimentacyjnych</w:t>
      </w:r>
      <w:r w:rsidRPr="00153A56">
        <w:rPr>
          <w:rFonts w:ascii="Times New Roman" w:eastAsia="Times New Roman" w:hAnsi="Times New Roman" w:cs="Times New Roman"/>
          <w:sz w:val="24"/>
          <w:szCs w:val="24"/>
          <w:lang w:eastAsia="pl-PL"/>
        </w:rPr>
        <w:t xml:space="preserve">, które orzekane byłyby w sposób uproszczony w tzw. postępowaniu nakazowym alimentacyjnym.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lastRenderedPageBreak/>
        <w:t xml:space="preserve">W toku prac nad niniejszym projektem, mając również na uwadze postulaty wprowadzenia na wzór niemiecki tzw. tabel alimentacyjnych, w Ministerstwie Sprawiedliwości dokonano analizy szeregu rozwiązań w tym zakresie w celu wypracowania odpowiedniego dla Polski modelu.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Istniejące w Niemczech tzw. tabele alimentacyjne funkcjonują obok kodeksowych regulacji z zakresu alimentów i są rozpowszechniane w nieznanej polskiemu prawu formie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wytycznych dla sądu. Istotną trudnością w r</w:t>
      </w:r>
      <w:r w:rsidR="00D97B2E">
        <w:rPr>
          <w:rFonts w:ascii="Times New Roman" w:eastAsia="Times New Roman" w:hAnsi="Times New Roman" w:cs="Times New Roman"/>
          <w:bCs/>
          <w:sz w:val="24"/>
          <w:szCs w:val="24"/>
          <w:lang w:eastAsia="pl-PL"/>
        </w:rPr>
        <w:t>ecepcji tabel funkcjonujących w </w:t>
      </w:r>
      <w:r w:rsidRPr="00153A56">
        <w:rPr>
          <w:rFonts w:ascii="Times New Roman" w:eastAsia="Times New Roman" w:hAnsi="Times New Roman" w:cs="Times New Roman"/>
          <w:bCs/>
          <w:sz w:val="24"/>
          <w:szCs w:val="24"/>
          <w:lang w:eastAsia="pl-PL"/>
        </w:rPr>
        <w:t>Niemczech jest wiarygodne ustalenie dochodów osoby zobowiązanej do alimentacji. Jak wynika z praktyki sądowej strony wielokrotnie zaniżają swoje dochody w celu uzyskania najkorzystniejszego dla siebie rozstrzygnięcia. Powszechną od wielu lat praktyką są nierzetelne zaświadczenia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zatrudnieniu i zarobkach. Tymczasem dokumenty te mają istotne znaczenie dla ustalenia zakresu świadczenia przysługującego dziecku. Tabele ponadto nie uwzględniają wielu czynników istotnych przy ustalaniu alimentów. Cechuje je pewien automatyzm.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Korzystając z doświadczeń innych państw w zakresie stosowania tabel do ustalania wysokości zobowiązania alimentacyjnego, należałoby się odnieść do pewnych obiektywnych kryteriów, takich jak przeciętne koszty utrzymania i zależność kosztów utrzymania od wieku uprawnionego. Kwoty zróżnicowane ze względu na wiek dziecka powinny jednak wzrastać wraz z rosnącą kwotę dochodów brutto zobowiązanego, stosownie do obowiązującej</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polskim systemie prawnym zasady równej stopy życiowej rodziców i ich dzieci.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Istotne jest znalezienie kompromisu pomiędzy potrzebą zapewnienia należytego zaspokojenia potrzeb dziecka, odpowiednich do jego wieku i związanych z tym uwarunkowań, a zapewnieniem zobowiązan</w:t>
      </w:r>
      <w:r w:rsidR="00D97B2E">
        <w:rPr>
          <w:rFonts w:ascii="Times New Roman" w:eastAsia="Times New Roman" w:hAnsi="Times New Roman" w:cs="Times New Roman"/>
          <w:bCs/>
          <w:sz w:val="24"/>
          <w:szCs w:val="24"/>
          <w:lang w:eastAsia="pl-PL"/>
        </w:rPr>
        <w:t>emu możliwości wywiązania się z </w:t>
      </w:r>
      <w:r w:rsidRPr="00153A56">
        <w:rPr>
          <w:rFonts w:ascii="Times New Roman" w:eastAsia="Times New Roman" w:hAnsi="Times New Roman" w:cs="Times New Roman"/>
          <w:bCs/>
          <w:sz w:val="24"/>
          <w:szCs w:val="24"/>
          <w:lang w:eastAsia="pl-PL"/>
        </w:rPr>
        <w:t>określonych zobowiązań alimentacyjnych bez potrzeby ingerencji sądu, a następnie organu egzekucyjnego. Wysokość kosztów utrzymania dziecka nie została dotychczas obliczona,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 informacje w tym zakresie mają charakter jedynie szacunkowy, gdyż koszty utrzymania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wychowania dziecka są sumą wielu czynników tj. zamożności rodziny, liczby dzieci, ich wieku. Należy zatem zastosować obiektywne kryterium.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Zgodnie z art. 128 k.r.o. obowiązek alimentacyjny polega przede wszystkim na dostarczaniu środków utrzymania, a w miarę potrzeby także środków wychowania.</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 xml:space="preserve">konsekwencji nie ogranicza obowiązku do dostarczania uprawnionemu środków </w:t>
      </w:r>
      <w:r w:rsidRPr="00153A56">
        <w:rPr>
          <w:rFonts w:ascii="Times New Roman" w:eastAsia="Times New Roman" w:hAnsi="Times New Roman" w:cs="Times New Roman"/>
          <w:bCs/>
          <w:sz w:val="24"/>
          <w:szCs w:val="24"/>
          <w:lang w:eastAsia="pl-PL"/>
        </w:rPr>
        <w:lastRenderedPageBreak/>
        <w:t>pieniężnych, lecz także środków wychowania pojmowanych w powszechnym tego słowa znaczeniu (sprawowanie opieki, dbanie o zdrowie, rozwój fizyczny i umysłowy, itp.). Tak rozumiany obowiązek alimentacyjny obejmuje mnogość różnych stanów faktycznych, które należy uwzględnić w indywidualnym akcie konkretyzacji tego obowiązku. Potrzebna jest zatem koncepcja zmian mająca na celu nie tylko usprawnienie procesów o alimenty, ale również uwzględniająca kompleksową sytuację dziecka, z punktu widzenia materialnego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opiekuńczego.</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Obowiązujące rozwiązanie przewidziane w art. 135 § 1 k.r.o. polegające na ustalaniu przez sąd tzw. możliwości zarobkowych zobowiązanego w kontekście usprawiedliwionych potrzeb uprawnionego, jest narzędziem sprawnie eliminującym twierdzenia o braku pracy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trudnościach w zatrudnieniu. Przepis ten pozwala sądowi na pewną elastyczność, która sprzyja uwzględnieniu wielu czynników mających wpływ na zakres obowiązku alimentacyjnego, leżących czy to po stronie uprawnionego, czy zobowiązanego. W zakresie usprawiedliwionych potrzeb uprawnionego dziecka, należy wskazać, że zmieniają się one wraz z wiekiem dziecka. Ponadto, dzieci nawet w tym samym wieku, uczące się w tego samego rodzaju szkołach posiadają usprawiedliwione potrzeby na różnym poziomie. Uzależnione jest to od ich stanu zdrowia, zainteresowań, posiadanych zdolności.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Uznano ostatecznie, że w alternatywnie do istniejących regulacji, najbardziej właściwym będzie wprowadzenie do polskiego systemu prawnego instytucji</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natychmiastowych świadczeń alimentacyjnych, z których skorzystać będą mogli zainteresowani szybkim uzyskaniem orzeczenia sądowego z pominięciem długiego</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żmudnego procesu. Jest to jednocześnie wciąż świadczenie alimentacyjne,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 jedynie będzie dochodzone w odrębnym trybie. Zaletą tej instytucji jest jej prostota</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przewidywalność co do czasu uzyskania orzeczenia w przedmiocie alimentów oraz jego wysokości. Z uwagi na jej charakter nie może budzić wątpliwości, że na wymiar tego świadczenia nie będą wpływały świadczenia, o których mowa w art. 135 § 3 k.r.o.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Co najważniejsze nie zamykałaby drogi do domagania się innej kwoty alimentów</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postępowaniu opartym na obecnie istniejących regulacjach. Wprowadzeniu tych rozwiązań służą projektowane przepisy art. 133</w:t>
      </w:r>
      <w:r w:rsidRPr="00EF5A58">
        <w:rPr>
          <w:rFonts w:ascii="Times New Roman" w:eastAsia="Times New Roman" w:hAnsi="Times New Roman" w:cs="Times New Roman"/>
          <w:bCs/>
          <w:sz w:val="24"/>
          <w:szCs w:val="24"/>
          <w:vertAlign w:val="superscript"/>
          <w:lang w:eastAsia="pl-PL"/>
        </w:rPr>
        <w:t>1</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k.r.o.</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Wysokość projektowanych świadczeń określana byłaby na podstawie algorytmu. Na algorytm ten składają się: minimalne wynagrodzenie, ustalane na następny rok, </w:t>
      </w:r>
      <w:r w:rsidRPr="00153A56">
        <w:rPr>
          <w:rFonts w:ascii="Times New Roman" w:eastAsia="Times New Roman" w:hAnsi="Times New Roman" w:cs="Times New Roman"/>
          <w:bCs/>
          <w:sz w:val="24"/>
          <w:szCs w:val="24"/>
          <w:lang w:eastAsia="pl-PL"/>
        </w:rPr>
        <w:lastRenderedPageBreak/>
        <w:t>o</w:t>
      </w:r>
      <w:r w:rsidR="00D97B2E">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którym mowa w przepisach ustawy z dnia 10 października 2002 r. o minimalnym wynagrodzeniu za pracę (Dz. U. z 2018 r. poz. 2177)</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oraz współczynnik dzietności, który oznacza liczbę dzieci, które urodziłaby przeciętnie kobieta w ciągu całego okresu rozrodczego, który ogłasza na swoich stronach internetowych Główny Urząd Statystyczny (GUS). W oparciu o te dane ustala się kwotę przeliczeniową. Jest ona ilorazem podwójnego minimalnego wynagrodzenia na następny rok (dwoje rodziców)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 xml:space="preserve">sumy utworzonej z liczby 2 oraz współczynnika dzietności, który w </w:t>
      </w:r>
      <w:r w:rsidR="00D97B2E">
        <w:rPr>
          <w:rFonts w:ascii="Times New Roman" w:eastAsia="Times New Roman" w:hAnsi="Times New Roman" w:cs="Times New Roman"/>
          <w:bCs/>
          <w:sz w:val="24"/>
          <w:szCs w:val="24"/>
          <w:lang w:eastAsia="pl-PL"/>
        </w:rPr>
        <w:t>roku 2017 </w:t>
      </w:r>
      <w:r w:rsidRPr="00153A56">
        <w:rPr>
          <w:rFonts w:ascii="Times New Roman" w:eastAsia="Times New Roman" w:hAnsi="Times New Roman" w:cs="Times New Roman"/>
          <w:bCs/>
          <w:sz w:val="24"/>
          <w:szCs w:val="24"/>
          <w:lang w:eastAsia="pl-PL"/>
        </w:rPr>
        <w:t>wynosił 1,45. Kwota minimalnego wynagrodzenia na rok 2019 wynosi 2250</w:t>
      </w:r>
      <w:r w:rsidR="00D97B2E">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złotych. Pomnożone przez dwa wynosi 4500. Tę kwotę należy podzielić przez liczbę 3,45 (liczba 2 plus aktualny współczynnik dzietności – 1,45). Obecna kwota przeliczeniowa to zatem 1304,35 złotych. Od tak ustalonej kwoty na podstawie stawki procentowej w zależności od liczby uprawnionych dzieci byłaby ustalana kwota natychmiastowych</w:t>
      </w:r>
      <w:r w:rsidR="009913C0">
        <w:rPr>
          <w:rFonts w:ascii="Times New Roman" w:eastAsia="Times New Roman" w:hAnsi="Times New Roman" w:cs="Times New Roman"/>
          <w:bCs/>
          <w:sz w:val="24"/>
          <w:szCs w:val="24"/>
          <w:lang w:eastAsia="pl-PL"/>
        </w:rPr>
        <w:t xml:space="preserve"> świadczeń alimentacyjnych</w:t>
      </w:r>
      <w:r w:rsidRPr="00153A56">
        <w:rPr>
          <w:rFonts w:ascii="Times New Roman" w:eastAsia="Times New Roman" w:hAnsi="Times New Roman" w:cs="Times New Roman"/>
          <w:bCs/>
          <w:sz w:val="24"/>
          <w:szCs w:val="24"/>
          <w:lang w:eastAsia="pl-PL"/>
        </w:rPr>
        <w:t xml:space="preserve">, przy czym przy jednym dziecku to 38% tej kwoty, przy dwojgu dzieciach 34,5%, przy trojgu dzieciach 31%, przy czworgu dzieciach 27,5%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 xml:space="preserve">przy pięciorgu oraz większej liczbie dzieci 24%.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Wysokość natychmiastowych </w:t>
      </w:r>
      <w:r w:rsidR="00411FCD">
        <w:rPr>
          <w:rFonts w:ascii="Times New Roman" w:eastAsia="Times New Roman" w:hAnsi="Times New Roman" w:cs="Times New Roman"/>
          <w:bCs/>
          <w:sz w:val="24"/>
          <w:szCs w:val="24"/>
          <w:lang w:eastAsia="pl-PL"/>
        </w:rPr>
        <w:t>świadczeń alimentacyjnych</w:t>
      </w:r>
      <w:r w:rsidR="00411FCD"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będzie corocznie aktualizowana z urzędu</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postępowaniu egzekucyjnym na podstawie obwieszczenia Ministra Sprawiedliwości (projektowany art. 133</w:t>
      </w:r>
      <w:r w:rsidRPr="00EF5A58">
        <w:rPr>
          <w:rFonts w:ascii="Times New Roman" w:eastAsia="Times New Roman" w:hAnsi="Times New Roman" w:cs="Times New Roman"/>
          <w:bCs/>
          <w:sz w:val="24"/>
          <w:szCs w:val="24"/>
          <w:vertAlign w:val="superscript"/>
          <w:lang w:eastAsia="pl-PL"/>
        </w:rPr>
        <w:t xml:space="preserve">1 </w:t>
      </w:r>
      <w:r w:rsidRPr="00153A56">
        <w:rPr>
          <w:rFonts w:ascii="Times New Roman" w:eastAsia="Times New Roman" w:hAnsi="Times New Roman" w:cs="Times New Roman"/>
          <w:bCs/>
          <w:sz w:val="24"/>
          <w:szCs w:val="24"/>
          <w:lang w:eastAsia="pl-PL"/>
        </w:rPr>
        <w:t>§ 3 k.r.o.). W przypadku gdy świadczenie jest realizowane dobrowolnie, jego wysokość skorygują same strony. Mając na względzie, że podstawą ustalania wysokości tych alimentów byłyby dwa wskaźniki: czynnik demograficzny</w:t>
      </w:r>
      <w:r w:rsidR="00EF5A58">
        <w:rPr>
          <w:rFonts w:ascii="Times New Roman" w:eastAsia="Times New Roman" w:hAnsi="Times New Roman" w:cs="Times New Roman"/>
          <w:bCs/>
          <w:sz w:val="24"/>
          <w:szCs w:val="24"/>
          <w:lang w:eastAsia="pl-PL"/>
        </w:rPr>
        <w:t xml:space="preserve">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 xml:space="preserve">najniższe wynagrodzenie krajowe, nie można zakładać, że czynnik demograficzny zmniejszy się, a czynnik wynagrodzenia zwiększy, co w konsekwencji spowoduje wzrost świadczeń alimentacyjnych. Może się bowiem okazać, że zmiana wysokości obu tych czynników wpłynie finalnie na obniżenie świadczeń alimentacyjnych. Wówczas mimo wzrostu usprawiedliwionych potrzeb uprawnionego do alimentów, wysokość natychmiastowych </w:t>
      </w:r>
      <w:r w:rsidR="00411FCD">
        <w:rPr>
          <w:rFonts w:ascii="Times New Roman" w:eastAsia="Times New Roman" w:hAnsi="Times New Roman" w:cs="Times New Roman"/>
          <w:bCs/>
          <w:sz w:val="24"/>
          <w:szCs w:val="24"/>
          <w:lang w:eastAsia="pl-PL"/>
        </w:rPr>
        <w:t>świadczeń alimentacyjnych</w:t>
      </w:r>
      <w:r w:rsidR="00411FCD"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uległaby zmniejszeniu. Zostaje jednak zawsze możliwość wniesienia zwykłego powództwa opartego o kryteria art. 135 k.r.o., a w przypadku potrzeby ustalenia alimentów już zasądzonych w innym</w:t>
      </w:r>
      <w:r w:rsidR="00DF75E7">
        <w:rPr>
          <w:rFonts w:ascii="Times New Roman" w:eastAsia="Times New Roman" w:hAnsi="Times New Roman" w:cs="Times New Roman"/>
          <w:bCs/>
          <w:sz w:val="24"/>
          <w:szCs w:val="24"/>
          <w:lang w:eastAsia="pl-PL"/>
        </w:rPr>
        <w:t xml:space="preserve"> wymiarze, w oparciu o art. 138 </w:t>
      </w:r>
      <w:r w:rsidRPr="00153A56">
        <w:rPr>
          <w:rFonts w:ascii="Times New Roman" w:eastAsia="Times New Roman" w:hAnsi="Times New Roman" w:cs="Times New Roman"/>
          <w:bCs/>
          <w:sz w:val="24"/>
          <w:szCs w:val="24"/>
          <w:lang w:eastAsia="pl-PL"/>
        </w:rPr>
        <w:t>k.r.o.</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Należy również zwrócić uwagę, że konstrukcja projektowanego przepisu jest pomyślana na orzekanie o wysokości natychmiastowych </w:t>
      </w:r>
      <w:r w:rsidR="00411FCD">
        <w:rPr>
          <w:rFonts w:ascii="Times New Roman" w:eastAsia="Times New Roman" w:hAnsi="Times New Roman" w:cs="Times New Roman"/>
          <w:bCs/>
          <w:sz w:val="24"/>
          <w:szCs w:val="24"/>
          <w:lang w:eastAsia="pl-PL"/>
        </w:rPr>
        <w:t>świadczeń alimentacyjnych</w:t>
      </w:r>
      <w:r w:rsidR="00411FCD" w:rsidRPr="00153A56">
        <w:rPr>
          <w:rFonts w:ascii="Times New Roman" w:eastAsia="Times New Roman" w:hAnsi="Times New Roman" w:cs="Times New Roman"/>
          <w:bCs/>
          <w:sz w:val="24"/>
          <w:szCs w:val="24"/>
          <w:lang w:eastAsia="pl-PL"/>
        </w:rPr>
        <w:t xml:space="preserve"> </w:t>
      </w:r>
      <w:r w:rsidR="00411FCD">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 xml:space="preserve">wysokości zależnej od liczby dzieci, które pochodzą od wspólnych rodziców, zatem jeżeli spośród przykładowo trojga dzieci uprawnionych do alimentów jedynie jedno </w:t>
      </w:r>
      <w:r w:rsidRPr="00153A56">
        <w:rPr>
          <w:rFonts w:ascii="Times New Roman" w:eastAsia="Times New Roman" w:hAnsi="Times New Roman" w:cs="Times New Roman"/>
          <w:bCs/>
          <w:sz w:val="24"/>
          <w:szCs w:val="24"/>
          <w:lang w:eastAsia="pl-PL"/>
        </w:rPr>
        <w:lastRenderedPageBreak/>
        <w:t>złoży pozew o</w:t>
      </w:r>
      <w:r w:rsidR="00411FCD">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wydanie nakazu alimentacyjnego, sąd </w:t>
      </w:r>
      <w:r w:rsidR="00411FCD">
        <w:rPr>
          <w:rFonts w:ascii="Times New Roman" w:eastAsia="Times New Roman" w:hAnsi="Times New Roman" w:cs="Times New Roman"/>
          <w:bCs/>
          <w:sz w:val="24"/>
          <w:szCs w:val="24"/>
          <w:lang w:eastAsia="pl-PL"/>
        </w:rPr>
        <w:t>ustali wysokość natychmiastowych świadczeń</w:t>
      </w:r>
      <w:r w:rsidRPr="00153A56">
        <w:rPr>
          <w:rFonts w:ascii="Times New Roman" w:eastAsia="Times New Roman" w:hAnsi="Times New Roman" w:cs="Times New Roman"/>
          <w:bCs/>
          <w:sz w:val="24"/>
          <w:szCs w:val="24"/>
          <w:lang w:eastAsia="pl-PL"/>
        </w:rPr>
        <w:t xml:space="preserve"> alimentacyjn</w:t>
      </w:r>
      <w:r w:rsidR="00411FCD">
        <w:rPr>
          <w:rFonts w:ascii="Times New Roman" w:eastAsia="Times New Roman" w:hAnsi="Times New Roman" w:cs="Times New Roman"/>
          <w:bCs/>
          <w:sz w:val="24"/>
          <w:szCs w:val="24"/>
          <w:lang w:eastAsia="pl-PL"/>
        </w:rPr>
        <w:t>ych</w:t>
      </w:r>
      <w:r w:rsidRPr="00153A56">
        <w:rPr>
          <w:rFonts w:ascii="Times New Roman" w:eastAsia="Times New Roman" w:hAnsi="Times New Roman" w:cs="Times New Roman"/>
          <w:bCs/>
          <w:sz w:val="24"/>
          <w:szCs w:val="24"/>
          <w:lang w:eastAsia="pl-PL"/>
        </w:rPr>
        <w:t xml:space="preserve"> na poziomie 31% kwoty przeliczeniowej. Każdorazowo zatem sąd musi ustalić liczbę uprawnionych pochodzących od wspólnych rodziców, stąd potrzeba takiego wskazania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pozwie o wydanie alimentacyjnego nakazu zapłaty (projektowany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 xml:space="preserve"> § 1 pkt 3 k.p.c.).</w:t>
      </w:r>
      <w:r w:rsidR="00EF5A58">
        <w:rPr>
          <w:rFonts w:ascii="Times New Roman" w:eastAsia="Times New Roman" w:hAnsi="Times New Roman" w:cs="Times New Roman"/>
          <w:bCs/>
          <w:sz w:val="24"/>
          <w:szCs w:val="24"/>
          <w:lang w:eastAsia="pl-PL"/>
        </w:rPr>
        <w:t xml:space="preserve">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 przewiduje możliwość żądania natychmiastowych świadczeń alimentacyjnych bez ograniczeń w liczbie dzieci uprawnionych do alimentów. Jednym z czynników mających wpływ na wysokość natychmiastowych świadczeń alimentacyjnych jest liczba dzieci pochodzących od tych samych rodziców. Najwyższa wysokość świadczenia alimentacyjnego przysługuje w sytuacji</w:t>
      </w:r>
      <w:r w:rsidR="00126615">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kiedy żąda </w:t>
      </w:r>
      <w:r w:rsidR="002F6B6D">
        <w:rPr>
          <w:rFonts w:ascii="Times New Roman" w:eastAsia="Times New Roman" w:hAnsi="Times New Roman" w:cs="Times New Roman"/>
          <w:bCs/>
          <w:sz w:val="24"/>
          <w:szCs w:val="24"/>
          <w:lang w:eastAsia="pl-PL"/>
        </w:rPr>
        <w:t>go</w:t>
      </w:r>
      <w:bookmarkStart w:id="0" w:name="_GoBack"/>
      <w:bookmarkEnd w:id="0"/>
      <w:r w:rsidRPr="00153A56">
        <w:rPr>
          <w:rFonts w:ascii="Times New Roman" w:eastAsia="Times New Roman" w:hAnsi="Times New Roman" w:cs="Times New Roman"/>
          <w:bCs/>
          <w:sz w:val="24"/>
          <w:szCs w:val="24"/>
          <w:lang w:eastAsia="pl-PL"/>
        </w:rPr>
        <w:t xml:space="preserve"> jedno dziecko. Następnie wysokość ta ulega zmniejszeniu o 3,5% kwoty przeliczeniowej przy każdym kolejnym dziecku.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Przy żądaniu alimentów na pięcioro i większą liczbę dzieci kwota ta wynosi, na chwilę projektowania, po 310,00 złotych na każde dziec</w:t>
      </w:r>
      <w:r w:rsidR="00D97B2E">
        <w:rPr>
          <w:rFonts w:ascii="Times New Roman" w:eastAsia="Times New Roman" w:hAnsi="Times New Roman" w:cs="Times New Roman"/>
          <w:bCs/>
          <w:sz w:val="24"/>
          <w:szCs w:val="24"/>
          <w:lang w:eastAsia="pl-PL"/>
        </w:rPr>
        <w:t>ko. Według statystyk GUS w 2016 </w:t>
      </w:r>
      <w:r w:rsidRPr="00153A56">
        <w:rPr>
          <w:rFonts w:ascii="Times New Roman" w:eastAsia="Times New Roman" w:hAnsi="Times New Roman" w:cs="Times New Roman"/>
          <w:bCs/>
          <w:sz w:val="24"/>
          <w:szCs w:val="24"/>
          <w:lang w:eastAsia="pl-PL"/>
        </w:rPr>
        <w:t>r</w:t>
      </w:r>
      <w:r w:rsidR="00126615">
        <w:rPr>
          <w:rFonts w:ascii="Times New Roman" w:eastAsia="Times New Roman" w:hAnsi="Times New Roman" w:cs="Times New Roman"/>
          <w:bCs/>
          <w:sz w:val="24"/>
          <w:szCs w:val="24"/>
          <w:lang w:eastAsia="pl-PL"/>
        </w:rPr>
        <w:t>.</w:t>
      </w:r>
      <w:r w:rsidR="00EF5A58">
        <w:rPr>
          <w:rFonts w:ascii="Times New Roman" w:eastAsia="Times New Roman" w:hAnsi="Times New Roman" w:cs="Times New Roman"/>
          <w:bCs/>
          <w:sz w:val="24"/>
          <w:szCs w:val="24"/>
          <w:lang w:eastAsia="pl-PL"/>
        </w:rPr>
        <w:t xml:space="preserve"> </w:t>
      </w:r>
      <w:r w:rsidR="00126615">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Polsce urodziło się 382 257 dzieci. Tych piątych, szóst</w:t>
      </w:r>
      <w:r w:rsidR="00D97B2E">
        <w:rPr>
          <w:rFonts w:ascii="Times New Roman" w:eastAsia="Times New Roman" w:hAnsi="Times New Roman" w:cs="Times New Roman"/>
          <w:bCs/>
          <w:sz w:val="24"/>
          <w:szCs w:val="24"/>
          <w:lang w:eastAsia="pl-PL"/>
        </w:rPr>
        <w:t>ych, siódmych i </w:t>
      </w:r>
      <w:r w:rsidRPr="00153A56">
        <w:rPr>
          <w:rFonts w:ascii="Times New Roman" w:eastAsia="Times New Roman" w:hAnsi="Times New Roman" w:cs="Times New Roman"/>
          <w:bCs/>
          <w:sz w:val="24"/>
          <w:szCs w:val="24"/>
          <w:lang w:eastAsia="pl-PL"/>
        </w:rPr>
        <w:t>kolejnych jedynie 6037. Ta liczba stanowi 1,6% całej liczby urodzeń w roku 2016. Według Ministerstwa Rodziny, Pracy i Polityki Społecznej w 2016 r</w:t>
      </w:r>
      <w:r w:rsidR="00126615">
        <w:rPr>
          <w:rFonts w:ascii="Times New Roman" w:eastAsia="Times New Roman" w:hAnsi="Times New Roman" w:cs="Times New Roman"/>
          <w:bCs/>
          <w:sz w:val="24"/>
          <w:szCs w:val="24"/>
          <w:lang w:eastAsia="pl-PL"/>
        </w:rPr>
        <w:t>. żyło w Polsce 520 000 </w:t>
      </w:r>
      <w:r w:rsidRPr="00153A56">
        <w:rPr>
          <w:rFonts w:ascii="Times New Roman" w:eastAsia="Times New Roman" w:hAnsi="Times New Roman" w:cs="Times New Roman"/>
          <w:bCs/>
          <w:sz w:val="24"/>
          <w:szCs w:val="24"/>
          <w:lang w:eastAsia="pl-PL"/>
        </w:rPr>
        <w:t>rodzin wychowujących troje i więcej dzieci. Łącznie w rodzinach wielodzietnych żyje 2</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700 000 osób. Trudno jednak ustalić, </w:t>
      </w:r>
      <w:r w:rsidR="00D97B2E">
        <w:rPr>
          <w:rFonts w:ascii="Times New Roman" w:eastAsia="Times New Roman" w:hAnsi="Times New Roman" w:cs="Times New Roman"/>
          <w:bCs/>
          <w:sz w:val="24"/>
          <w:szCs w:val="24"/>
          <w:lang w:eastAsia="pl-PL"/>
        </w:rPr>
        <w:t>ile z nich to rodziny, w </w:t>
      </w:r>
      <w:r w:rsidRPr="00153A56">
        <w:rPr>
          <w:rFonts w:ascii="Times New Roman" w:eastAsia="Times New Roman" w:hAnsi="Times New Roman" w:cs="Times New Roman"/>
          <w:bCs/>
          <w:sz w:val="24"/>
          <w:szCs w:val="24"/>
          <w:lang w:eastAsia="pl-PL"/>
        </w:rPr>
        <w:t>których przyszło na świat więcej niż pięcioro dzieci. Pełna charakterystyka rodzin jest możliwa do uzyskania tylko w oparciu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o dane ze spisów powszechnych. Dla przykładu na rok 2011, kiedy odbył się ostatni taki spis, rodzin liczących 10 i więcej dzieci było 1139. Trzeba jednak pamiętać, że znaczna część zbieranych wówczas informacji pochodzi z badania reprezentacyjnego obejmującego ok.</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20% wylosowanych mieszkań, które następnie uogólniono na całą populację.</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153A56">
        <w:rPr>
          <w:rFonts w:ascii="Times New Roman" w:eastAsia="Times New Roman" w:hAnsi="Times New Roman" w:cs="Times New Roman"/>
          <w:bCs/>
          <w:sz w:val="24"/>
          <w:szCs w:val="24"/>
        </w:rPr>
        <w:t xml:space="preserve">Związek Dużych Rodzin </w:t>
      </w:r>
      <w:r w:rsidR="00EF5A58">
        <w:rPr>
          <w:rFonts w:ascii="Times New Roman" w:eastAsia="Times New Roman" w:hAnsi="Times New Roman" w:cs="Times New Roman"/>
          <w:bCs/>
          <w:sz w:val="24"/>
          <w:szCs w:val="24"/>
        </w:rPr>
        <w:t>„</w:t>
      </w:r>
      <w:r w:rsidRPr="00153A56">
        <w:rPr>
          <w:rFonts w:ascii="Times New Roman" w:eastAsia="Times New Roman" w:hAnsi="Times New Roman" w:cs="Times New Roman"/>
          <w:bCs/>
          <w:sz w:val="24"/>
          <w:szCs w:val="24"/>
        </w:rPr>
        <w:t>Trzy Plus</w:t>
      </w:r>
      <w:r w:rsidR="00EF5A58">
        <w:rPr>
          <w:rFonts w:ascii="Times New Roman" w:eastAsia="Times New Roman" w:hAnsi="Times New Roman" w:cs="Times New Roman"/>
          <w:bCs/>
          <w:sz w:val="24"/>
          <w:szCs w:val="24"/>
        </w:rPr>
        <w:t>”</w:t>
      </w:r>
      <w:r w:rsidRPr="00153A56">
        <w:rPr>
          <w:rFonts w:ascii="Times New Roman" w:eastAsia="Times New Roman" w:hAnsi="Times New Roman" w:cs="Times New Roman"/>
          <w:bCs/>
          <w:sz w:val="24"/>
          <w:szCs w:val="24"/>
        </w:rPr>
        <w:t xml:space="preserve"> i IPSOS Polska we współpracy</w:t>
      </w:r>
      <w:r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 xml:space="preserve">z Fundacją PZU opracował pierwszy w Polsce raport </w:t>
      </w:r>
      <w:r w:rsidR="00EF5A58">
        <w:rPr>
          <w:rFonts w:ascii="Times New Roman" w:eastAsia="Times New Roman" w:hAnsi="Times New Roman" w:cs="Times New Roman"/>
          <w:bCs/>
          <w:sz w:val="24"/>
          <w:szCs w:val="24"/>
        </w:rPr>
        <w:t>„</w:t>
      </w:r>
      <w:r w:rsidRPr="00153A56">
        <w:rPr>
          <w:rFonts w:ascii="Times New Roman" w:eastAsia="Times New Roman" w:hAnsi="Times New Roman" w:cs="Times New Roman"/>
          <w:bCs/>
          <w:sz w:val="24"/>
          <w:szCs w:val="24"/>
        </w:rPr>
        <w:t>Wielodzietni w Polsce Raport 2016</w:t>
      </w:r>
      <w:r w:rsidR="00EF5A58">
        <w:rPr>
          <w:rFonts w:ascii="Times New Roman" w:eastAsia="Times New Roman" w:hAnsi="Times New Roman" w:cs="Times New Roman"/>
          <w:bCs/>
          <w:sz w:val="24"/>
          <w:szCs w:val="24"/>
        </w:rPr>
        <w:t>”</w:t>
      </w:r>
      <w:r w:rsidRPr="00153A56">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rPr>
        <w:t xml:space="preserve"> poświęcony rodzinom z trojgiem i więcej dzieci</w:t>
      </w:r>
      <w:r w:rsidRPr="00153A56">
        <w:rPr>
          <w:rFonts w:ascii="Times New Roman" w:eastAsia="Times New Roman" w:hAnsi="Times New Roman" w:cs="Times New Roman"/>
          <w:bCs/>
          <w:sz w:val="24"/>
          <w:szCs w:val="24"/>
          <w:lang w:eastAsia="pl-PL"/>
        </w:rPr>
        <w:t>. Został on</w:t>
      </w:r>
      <w:r w:rsidRPr="00153A56">
        <w:rPr>
          <w:rFonts w:ascii="Times New Roman" w:eastAsia="Times New Roman" w:hAnsi="Times New Roman" w:cs="Times New Roman"/>
          <w:bCs/>
          <w:sz w:val="24"/>
          <w:szCs w:val="24"/>
        </w:rPr>
        <w:t xml:space="preserve"> opublikowany na stronie www.3plus.pl. Raport wskazuje, że 74% rodzin wielodzietnych w Polsce ma troje dzieci, 14% – czworo dzieci,</w:t>
      </w:r>
      <w:r w:rsidR="00EF5A58">
        <w:rPr>
          <w:rFonts w:ascii="Times New Roman" w:eastAsia="Times New Roman" w:hAnsi="Times New Roman" w:cs="Times New Roman"/>
          <w:bCs/>
          <w:sz w:val="24"/>
          <w:szCs w:val="24"/>
        </w:rPr>
        <w:t xml:space="preserve"> </w:t>
      </w:r>
      <w:r w:rsidRPr="00153A56">
        <w:rPr>
          <w:rFonts w:ascii="Times New Roman" w:eastAsia="Times New Roman" w:hAnsi="Times New Roman" w:cs="Times New Roman"/>
          <w:bCs/>
          <w:sz w:val="24"/>
          <w:szCs w:val="24"/>
        </w:rPr>
        <w:t>7% – pięcioro dzieci, a 6% – więcej niż pięcioro. Chodzi o potomstwo poniżej 24. roku życia zamieszkujące z rodzicami we wspólnym gospodarstwie domowym. W niemal co czwartym</w:t>
      </w:r>
      <w:r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 xml:space="preserve">gospodarstwie (23%) mieszkają dzieci ze związków </w:t>
      </w:r>
      <w:r w:rsidRPr="00153A56">
        <w:rPr>
          <w:rFonts w:ascii="Times New Roman" w:eastAsia="Times New Roman" w:hAnsi="Times New Roman" w:cs="Times New Roman"/>
          <w:bCs/>
          <w:sz w:val="24"/>
          <w:szCs w:val="24"/>
        </w:rPr>
        <w:lastRenderedPageBreak/>
        <w:t>poprzednich (także byłych,</w:t>
      </w:r>
      <w:r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rozwiązanych). Co oznacza</w:t>
      </w:r>
      <w:r w:rsidRPr="00153A56">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rPr>
        <w:t xml:space="preserve"> że procent dzieci pochodzących od tych samych rodziców będzie mniejszy. </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Wobec powyższych statystyk żądanie zasądzenia natychmiastowych </w:t>
      </w:r>
      <w:r w:rsidR="00254E4E">
        <w:rPr>
          <w:rFonts w:ascii="Times New Roman" w:eastAsia="Times New Roman" w:hAnsi="Times New Roman" w:cs="Times New Roman"/>
          <w:bCs/>
          <w:sz w:val="24"/>
          <w:szCs w:val="24"/>
          <w:lang w:eastAsia="pl-PL"/>
        </w:rPr>
        <w:t xml:space="preserve">świadczeń alimentacyjnych </w:t>
      </w:r>
      <w:r w:rsidRPr="00153A56">
        <w:rPr>
          <w:rFonts w:ascii="Times New Roman" w:eastAsia="Times New Roman" w:hAnsi="Times New Roman" w:cs="Times New Roman"/>
          <w:bCs/>
          <w:sz w:val="24"/>
          <w:szCs w:val="24"/>
          <w:lang w:eastAsia="pl-PL"/>
        </w:rPr>
        <w:t xml:space="preserve">na sześcioro czy większą liczbę dzieci </w:t>
      </w:r>
      <w:r w:rsidR="00254E4E">
        <w:rPr>
          <w:rFonts w:ascii="Times New Roman" w:eastAsia="Times New Roman" w:hAnsi="Times New Roman" w:cs="Times New Roman"/>
          <w:bCs/>
          <w:sz w:val="24"/>
          <w:szCs w:val="24"/>
          <w:lang w:eastAsia="pl-PL"/>
        </w:rPr>
        <w:t>będzie sporadyczne, stąd brak w </w:t>
      </w:r>
      <w:r w:rsidRPr="00153A56">
        <w:rPr>
          <w:rFonts w:ascii="Times New Roman" w:eastAsia="Times New Roman" w:hAnsi="Times New Roman" w:cs="Times New Roman"/>
          <w:bCs/>
          <w:sz w:val="24"/>
          <w:szCs w:val="24"/>
          <w:lang w:eastAsia="pl-PL"/>
        </w:rPr>
        <w:t>projekcie wskazania dla każdej kolejnej liczby dzieci, ponad pięcioro, odrębnej wysokości świadczenia. Zważywszy, że na chwilę bieżącą natychmiastowe</w:t>
      </w:r>
      <w:r w:rsidR="00254E4E">
        <w:rPr>
          <w:rFonts w:ascii="Times New Roman" w:eastAsia="Times New Roman" w:hAnsi="Times New Roman" w:cs="Times New Roman"/>
          <w:bCs/>
          <w:sz w:val="24"/>
          <w:szCs w:val="24"/>
          <w:lang w:eastAsia="pl-PL"/>
        </w:rPr>
        <w:t xml:space="preserve"> świadczenia alimentacyjne</w:t>
      </w:r>
      <w:r w:rsidRPr="00153A56">
        <w:rPr>
          <w:rFonts w:ascii="Times New Roman" w:eastAsia="Times New Roman" w:hAnsi="Times New Roman" w:cs="Times New Roman"/>
          <w:bCs/>
          <w:sz w:val="24"/>
          <w:szCs w:val="24"/>
          <w:lang w:eastAsia="pl-PL"/>
        </w:rPr>
        <w:t xml:space="preserve"> na pięcioro </w:t>
      </w:r>
      <w:r w:rsidR="00D97B2E">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 xml:space="preserve">więcej dzieci to kwota 310,00 złotych, dalsze obniżanie wysokości alimentów doprowadziłoby do zasądzania </w:t>
      </w:r>
      <w:r w:rsidR="00254E4E">
        <w:rPr>
          <w:rFonts w:ascii="Times New Roman" w:eastAsia="Times New Roman" w:hAnsi="Times New Roman" w:cs="Times New Roman"/>
          <w:bCs/>
          <w:sz w:val="24"/>
          <w:szCs w:val="24"/>
          <w:lang w:eastAsia="pl-PL"/>
        </w:rPr>
        <w:t>kwot poniżej 300,00 złotych, co </w:t>
      </w:r>
      <w:r w:rsidRPr="00153A56">
        <w:rPr>
          <w:rFonts w:ascii="Times New Roman" w:eastAsia="Times New Roman" w:hAnsi="Times New Roman" w:cs="Times New Roman"/>
          <w:bCs/>
          <w:sz w:val="24"/>
          <w:szCs w:val="24"/>
          <w:lang w:eastAsia="pl-PL"/>
        </w:rPr>
        <w:t>nie stanowi gwarancji finansowego zabezpieczenia nawet części podstawowych potrzeb uprawnionych.</w:t>
      </w:r>
    </w:p>
    <w:p w:rsidR="00153A56" w:rsidRPr="00153A56" w:rsidRDefault="00153A56" w:rsidP="00D97B2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Proponowana instytucja natychmiastowych świadczeń alimentacyjnych nie zawiera zróżnicowania alimentów ze względu na wiek uprawnio</w:t>
      </w:r>
      <w:r w:rsidR="00DF75E7">
        <w:rPr>
          <w:rFonts w:ascii="Times New Roman" w:eastAsia="Times New Roman" w:hAnsi="Times New Roman" w:cs="Times New Roman"/>
          <w:bCs/>
          <w:sz w:val="24"/>
          <w:szCs w:val="24"/>
          <w:lang w:eastAsia="pl-PL"/>
        </w:rPr>
        <w:t>nego dziecka (projektowany art. </w:t>
      </w:r>
      <w:r w:rsidRPr="00153A56">
        <w:rPr>
          <w:rFonts w:ascii="Times New Roman" w:eastAsia="Times New Roman" w:hAnsi="Times New Roman" w:cs="Times New Roman"/>
          <w:bCs/>
          <w:sz w:val="24"/>
          <w:szCs w:val="24"/>
          <w:lang w:eastAsia="pl-PL"/>
        </w:rPr>
        <w:t>133</w:t>
      </w:r>
      <w:r w:rsidRPr="00EF5A58">
        <w:rPr>
          <w:rFonts w:ascii="Times New Roman" w:eastAsia="Times New Roman" w:hAnsi="Times New Roman" w:cs="Times New Roman"/>
          <w:bCs/>
          <w:sz w:val="24"/>
          <w:szCs w:val="24"/>
          <w:vertAlign w:val="superscript"/>
          <w:lang w:eastAsia="pl-PL"/>
        </w:rPr>
        <w:t>1</w:t>
      </w:r>
      <w:r w:rsidR="00DF75E7">
        <w:rPr>
          <w:rFonts w:ascii="Times New Roman" w:eastAsia="Times New Roman" w:hAnsi="Times New Roman" w:cs="Times New Roman"/>
          <w:bCs/>
          <w:sz w:val="24"/>
          <w:szCs w:val="24"/>
          <w:vertAlign w:val="superscript"/>
          <w:lang w:eastAsia="pl-PL"/>
        </w:rPr>
        <w:t xml:space="preserve"> </w:t>
      </w:r>
      <w:r w:rsidRPr="00153A56">
        <w:rPr>
          <w:rFonts w:ascii="Times New Roman" w:eastAsia="Times New Roman" w:hAnsi="Times New Roman" w:cs="Times New Roman"/>
          <w:bCs/>
          <w:sz w:val="24"/>
          <w:szCs w:val="24"/>
          <w:lang w:eastAsia="pl-PL"/>
        </w:rPr>
        <w:t>§ 1). Zaletą projektowanej koncepcji jest szybkość uzyskania orzeczenia sądowego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przedmiocie alimentów w postaci alimentacyjnego nakazu zapłaty. </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W tym celu projekt przewiduje nowelizację przepisów k.p.c., poprzez wprowadzenie </w:t>
      </w:r>
      <w:r w:rsidR="00126615">
        <w:rPr>
          <w:rFonts w:ascii="Times New Roman" w:eastAsia="Times New Roman" w:hAnsi="Times New Roman" w:cs="Times New Roman"/>
          <w:bCs/>
          <w:sz w:val="24"/>
          <w:szCs w:val="24"/>
          <w:lang w:eastAsia="pl-PL"/>
        </w:rPr>
        <w:t>d</w:t>
      </w:r>
      <w:r w:rsidRPr="00153A56">
        <w:rPr>
          <w:rFonts w:ascii="Times New Roman" w:eastAsia="Times New Roman" w:hAnsi="Times New Roman" w:cs="Times New Roman"/>
          <w:bCs/>
          <w:sz w:val="24"/>
          <w:szCs w:val="24"/>
          <w:lang w:eastAsia="pl-PL"/>
        </w:rPr>
        <w:t xml:space="preserve">ziału IX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Postępowanie nakazowe alimentacyjne (w księdze pierwszej, tytule VII po dziale VII), i dodanie w nim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w:t>
      </w:r>
      <w:r w:rsidR="00B3442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505</w:t>
      </w:r>
      <w:r w:rsidRPr="00EF5A58">
        <w:rPr>
          <w:rFonts w:ascii="Times New Roman" w:eastAsia="Times New Roman" w:hAnsi="Times New Roman" w:cs="Times New Roman"/>
          <w:bCs/>
          <w:sz w:val="24"/>
          <w:szCs w:val="24"/>
          <w:vertAlign w:val="superscript"/>
          <w:lang w:eastAsia="pl-PL"/>
        </w:rPr>
        <w:t>50</w:t>
      </w:r>
      <w:r w:rsidRPr="00153A56">
        <w:rPr>
          <w:rFonts w:ascii="Times New Roman" w:eastAsia="Times New Roman" w:hAnsi="Times New Roman" w:cs="Times New Roman"/>
          <w:bCs/>
          <w:sz w:val="24"/>
          <w:szCs w:val="24"/>
          <w:lang w:eastAsia="pl-PL"/>
        </w:rPr>
        <w:t>. Wydawany w tych sprawach nakaz stanowić ma specjalną formę procesową dla orzeczeń, których przedmiotem są natychmiastowe świadczenia alimentacyjne. Projekt powiela jednocześnie niektóre</w:t>
      </w:r>
      <w:r w:rsidR="00EF5A58">
        <w:rPr>
          <w:rFonts w:ascii="Times New Roman" w:eastAsia="Times New Roman" w:hAnsi="Times New Roman" w:cs="Times New Roman"/>
          <w:bCs/>
          <w:sz w:val="24"/>
          <w:szCs w:val="24"/>
          <w:lang w:eastAsia="pl-PL"/>
        </w:rPr>
        <w:t xml:space="preserve"> </w:t>
      </w:r>
      <w:r w:rsidR="00DF75E7">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rozwiązań, które regulują postępowanie nakazowe (projektowane art. 505</w:t>
      </w:r>
      <w:r w:rsidRPr="00EF5A58">
        <w:rPr>
          <w:rFonts w:ascii="Times New Roman" w:eastAsia="Times New Roman" w:hAnsi="Times New Roman" w:cs="Times New Roman"/>
          <w:bCs/>
          <w:sz w:val="24"/>
          <w:szCs w:val="24"/>
          <w:vertAlign w:val="superscript"/>
          <w:lang w:eastAsia="pl-PL"/>
        </w:rPr>
        <w:t>44</w:t>
      </w:r>
      <w:r w:rsidRPr="00153A56">
        <w:rPr>
          <w:rFonts w:ascii="Times New Roman" w:eastAsia="Times New Roman" w:hAnsi="Times New Roman" w:cs="Times New Roman"/>
          <w:bCs/>
          <w:sz w:val="24"/>
          <w:szCs w:val="24"/>
          <w:lang w:eastAsia="pl-PL"/>
        </w:rPr>
        <w:t>–505</w:t>
      </w:r>
      <w:r w:rsidRPr="00EF5A58">
        <w:rPr>
          <w:rFonts w:ascii="Times New Roman" w:eastAsia="Times New Roman" w:hAnsi="Times New Roman" w:cs="Times New Roman"/>
          <w:bCs/>
          <w:sz w:val="24"/>
          <w:szCs w:val="24"/>
          <w:vertAlign w:val="superscript"/>
          <w:lang w:eastAsia="pl-PL"/>
        </w:rPr>
        <w:t>50</w:t>
      </w:r>
      <w:r w:rsidRPr="00153A56">
        <w:rPr>
          <w:rFonts w:ascii="Times New Roman" w:eastAsia="Times New Roman" w:hAnsi="Times New Roman" w:cs="Times New Roman"/>
          <w:bCs/>
          <w:sz w:val="24"/>
          <w:szCs w:val="24"/>
          <w:lang w:eastAsia="pl-PL"/>
        </w:rPr>
        <w:t xml:space="preserve"> k.p.c.). Wnoszący pozew nie będzie jednocześnie zobowiązany do wskazywania wartości przedmiotu sporu, gdyż ustalona z urzędu wysokość należnych alimentów będzie zawsze wiadoma, a zależna jedynie od liczby uprawnionych. Alimenty te </w:t>
      </w:r>
      <w:r w:rsidR="00126615">
        <w:rPr>
          <w:rFonts w:ascii="Times New Roman" w:eastAsia="Times New Roman" w:hAnsi="Times New Roman" w:cs="Times New Roman"/>
          <w:bCs/>
          <w:sz w:val="24"/>
          <w:szCs w:val="24"/>
          <w:lang w:eastAsia="pl-PL"/>
        </w:rPr>
        <w:t>po</w:t>
      </w:r>
      <w:r w:rsidRPr="00153A56">
        <w:rPr>
          <w:rFonts w:ascii="Times New Roman" w:eastAsia="Times New Roman" w:hAnsi="Times New Roman" w:cs="Times New Roman"/>
          <w:bCs/>
          <w:sz w:val="24"/>
          <w:szCs w:val="24"/>
          <w:lang w:eastAsia="pl-PL"/>
        </w:rPr>
        <w:t>nadto będą orzekane za okres od wniesienia pozwu, co wynika z charakteru tego specjalnego świadczenia. Inne żądanie spowoduje rozpoznanie pozwu na zasadach ogólnych (projektowany art. 505</w:t>
      </w:r>
      <w:r w:rsidRPr="00EF5A58">
        <w:rPr>
          <w:rFonts w:ascii="Times New Roman" w:eastAsia="Times New Roman" w:hAnsi="Times New Roman" w:cs="Times New Roman"/>
          <w:bCs/>
          <w:sz w:val="24"/>
          <w:szCs w:val="24"/>
          <w:vertAlign w:val="superscript"/>
          <w:lang w:eastAsia="pl-PL"/>
        </w:rPr>
        <w:t xml:space="preserve">41 </w:t>
      </w:r>
      <w:r w:rsidRPr="00153A56">
        <w:rPr>
          <w:rFonts w:ascii="Times New Roman" w:eastAsia="Times New Roman" w:hAnsi="Times New Roman" w:cs="Times New Roman"/>
          <w:bCs/>
          <w:sz w:val="24"/>
          <w:szCs w:val="24"/>
          <w:lang w:eastAsia="pl-PL"/>
        </w:rPr>
        <w:t>§ 1 k.p.c.). W ramach uproszczenia procedury projekt zakłada, że pozew wnosi się na urzędowym formularzu (projektowany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 xml:space="preserve"> § 2 k.p.c.), co jest równoznaczne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z koniecznością wydania przez Ministra Sprawiedliwości rozporządzenia na podstawie delegacji ustawowej, zawartej w art. 125 § 3 k.p.c., w celu ustalenia wzoru nowego formularza. Uproszczenie polegać będzie również na ograniczeniu </w:t>
      </w:r>
      <w:r w:rsidR="00126615">
        <w:rPr>
          <w:rFonts w:ascii="Times New Roman" w:eastAsia="Times New Roman" w:hAnsi="Times New Roman" w:cs="Times New Roman"/>
          <w:bCs/>
          <w:sz w:val="24"/>
          <w:szCs w:val="24"/>
          <w:lang w:eastAsia="pl-PL"/>
        </w:rPr>
        <w:t>liczby</w:t>
      </w:r>
      <w:r w:rsidR="00126615"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dowodów, przy jednoczesnym położeniu nacisku na oświadczenia strony powodowej złożone po pouczeniu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odpowiedzialności karnej za </w:t>
      </w:r>
      <w:r w:rsidRPr="00153A56">
        <w:rPr>
          <w:rFonts w:ascii="Times New Roman" w:eastAsia="Times New Roman" w:hAnsi="Times New Roman" w:cs="Times New Roman"/>
          <w:bCs/>
          <w:sz w:val="24"/>
          <w:szCs w:val="24"/>
          <w:lang w:eastAsia="pl-PL"/>
        </w:rPr>
        <w:lastRenderedPageBreak/>
        <w:t>złożenie fałszywego oświadczenia (projektowany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 xml:space="preserve"> § 1 k.p.c.). Dowody, z</w:t>
      </w:r>
      <w:r w:rsidR="00BF401D">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wyjątkiem odpisu aktu urodzenia dziecka, wystarczy wskazać (projektowany art. 505</w:t>
      </w:r>
      <w:r w:rsidRPr="00EF5A58">
        <w:rPr>
          <w:rFonts w:ascii="Times New Roman" w:eastAsia="Times New Roman" w:hAnsi="Times New Roman" w:cs="Times New Roman"/>
          <w:bCs/>
          <w:sz w:val="24"/>
          <w:szCs w:val="24"/>
          <w:vertAlign w:val="superscript"/>
          <w:lang w:eastAsia="pl-PL"/>
        </w:rPr>
        <w:t>40</w:t>
      </w:r>
      <w:r w:rsidRPr="00153A56">
        <w:rPr>
          <w:rFonts w:ascii="Times New Roman" w:eastAsia="Times New Roman" w:hAnsi="Times New Roman" w:cs="Times New Roman"/>
          <w:bCs/>
          <w:sz w:val="24"/>
          <w:szCs w:val="24"/>
          <w:lang w:eastAsia="pl-PL"/>
        </w:rPr>
        <w:t xml:space="preserve"> § 3 k.p.c.). Treść nakazu zapłaty będzie dotyczyła natychmiastowych świadczeń alimentacyjnych jako roszczeń powtarzających się również na przyszłość, ze wskazaniem terminów płatności (projektowany art. 505</w:t>
      </w:r>
      <w:r w:rsidRPr="00EF5A58">
        <w:rPr>
          <w:rFonts w:ascii="Times New Roman" w:eastAsia="Times New Roman" w:hAnsi="Times New Roman" w:cs="Times New Roman"/>
          <w:bCs/>
          <w:sz w:val="24"/>
          <w:szCs w:val="24"/>
          <w:vertAlign w:val="superscript"/>
          <w:lang w:eastAsia="pl-PL"/>
        </w:rPr>
        <w:t>42</w:t>
      </w:r>
      <w:r w:rsidRPr="00153A56">
        <w:rPr>
          <w:rFonts w:ascii="Times New Roman" w:eastAsia="Times New Roman" w:hAnsi="Times New Roman" w:cs="Times New Roman"/>
          <w:bCs/>
          <w:sz w:val="24"/>
          <w:szCs w:val="24"/>
          <w:lang w:eastAsia="pl-PL"/>
        </w:rPr>
        <w:t>). Pozew w tym p</w:t>
      </w:r>
      <w:r w:rsidR="00DF75E7">
        <w:rPr>
          <w:rFonts w:ascii="Times New Roman" w:eastAsia="Times New Roman" w:hAnsi="Times New Roman" w:cs="Times New Roman"/>
          <w:bCs/>
          <w:sz w:val="24"/>
          <w:szCs w:val="24"/>
          <w:lang w:eastAsia="pl-PL"/>
        </w:rPr>
        <w:t>ostępowaniu będzie rozpoznany w </w:t>
      </w:r>
      <w:r w:rsidRPr="00153A56">
        <w:rPr>
          <w:rFonts w:ascii="Times New Roman" w:eastAsia="Times New Roman" w:hAnsi="Times New Roman" w:cs="Times New Roman"/>
          <w:bCs/>
          <w:sz w:val="24"/>
          <w:szCs w:val="24"/>
          <w:lang w:eastAsia="pl-PL"/>
        </w:rPr>
        <w:t>założeniu, najpóźniej w terminie 14 dni od jego wniesienia (projektowany art. 505</w:t>
      </w:r>
      <w:r w:rsidRPr="00EF5A58">
        <w:rPr>
          <w:rFonts w:ascii="Times New Roman" w:eastAsia="Times New Roman" w:hAnsi="Times New Roman" w:cs="Times New Roman"/>
          <w:bCs/>
          <w:sz w:val="24"/>
          <w:szCs w:val="24"/>
          <w:vertAlign w:val="superscript"/>
          <w:lang w:eastAsia="pl-PL"/>
        </w:rPr>
        <w:t>41</w:t>
      </w:r>
      <w:r w:rsidR="00DF75E7">
        <w:rPr>
          <w:rFonts w:ascii="Times New Roman" w:eastAsia="Times New Roman" w:hAnsi="Times New Roman" w:cs="Times New Roman"/>
          <w:bCs/>
          <w:sz w:val="24"/>
          <w:szCs w:val="24"/>
          <w:vertAlign w:val="superscript"/>
          <w:lang w:eastAsia="pl-PL"/>
        </w:rPr>
        <w:t xml:space="preserve"> </w:t>
      </w:r>
      <w:r w:rsidR="00DF75E7">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2 k.p.c.). Postępowanie alimentacyjne nakazowe pozwoli odciążyć sądy w zakresie konieczności rozpatrywania wniosków o zabezpieczenie, gdyż projekt przewiduje, że alimentacyjny nakaz zapłaty jest natychmiast wykonalny (projektowany art. 505</w:t>
      </w:r>
      <w:r w:rsidRPr="00EF5A58">
        <w:rPr>
          <w:rFonts w:ascii="Times New Roman" w:eastAsia="Times New Roman" w:hAnsi="Times New Roman" w:cs="Times New Roman"/>
          <w:bCs/>
          <w:sz w:val="24"/>
          <w:szCs w:val="24"/>
          <w:vertAlign w:val="superscript"/>
          <w:lang w:eastAsia="pl-PL"/>
        </w:rPr>
        <w:t xml:space="preserve">43 </w:t>
      </w:r>
      <w:r w:rsidRPr="00153A56">
        <w:rPr>
          <w:rFonts w:ascii="Times New Roman" w:eastAsia="Times New Roman" w:hAnsi="Times New Roman" w:cs="Times New Roman"/>
          <w:bCs/>
          <w:sz w:val="24"/>
          <w:szCs w:val="24"/>
          <w:lang w:eastAsia="pl-PL"/>
        </w:rPr>
        <w:t>k.p.c.). Pozwany</w:t>
      </w:r>
      <w:r w:rsidR="00126615">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nie godząc się na wysokość alimentów zasądzonych alimentacyjnym nakazem zapłaty</w:t>
      </w:r>
      <w:r w:rsidR="00126615">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będzie mógł wnieść zarzuty, wówczas sprawa </w:t>
      </w:r>
      <w:r w:rsidR="00DF75E7">
        <w:rPr>
          <w:rFonts w:ascii="Times New Roman" w:eastAsia="Times New Roman" w:hAnsi="Times New Roman" w:cs="Times New Roman"/>
          <w:bCs/>
          <w:sz w:val="24"/>
          <w:szCs w:val="24"/>
          <w:lang w:eastAsia="pl-PL"/>
        </w:rPr>
        <w:t>podlega rozpoznaniu w </w:t>
      </w:r>
      <w:r w:rsidRPr="00153A56">
        <w:rPr>
          <w:rFonts w:ascii="Times New Roman" w:eastAsia="Times New Roman" w:hAnsi="Times New Roman" w:cs="Times New Roman"/>
          <w:bCs/>
          <w:sz w:val="24"/>
          <w:szCs w:val="24"/>
          <w:lang w:eastAsia="pl-PL"/>
        </w:rPr>
        <w:t>trybie zwykłym (projektowany art. 505</w:t>
      </w:r>
      <w:r w:rsidRPr="00EF5A58">
        <w:rPr>
          <w:rFonts w:ascii="Times New Roman" w:eastAsia="Times New Roman" w:hAnsi="Times New Roman" w:cs="Times New Roman"/>
          <w:bCs/>
          <w:sz w:val="24"/>
          <w:szCs w:val="24"/>
          <w:vertAlign w:val="superscript"/>
          <w:lang w:eastAsia="pl-PL"/>
        </w:rPr>
        <w:t xml:space="preserve">48 </w:t>
      </w:r>
      <w:r w:rsidRPr="00153A56">
        <w:rPr>
          <w:rFonts w:ascii="Times New Roman" w:eastAsia="Times New Roman" w:hAnsi="Times New Roman" w:cs="Times New Roman"/>
          <w:bCs/>
          <w:sz w:val="24"/>
          <w:szCs w:val="24"/>
          <w:lang w:eastAsia="pl-PL"/>
        </w:rPr>
        <w:t>k.p.c.)</w:t>
      </w:r>
      <w:r w:rsidR="00DF75E7">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Projekt, w zakresie uprawnień dzieci do świadczeń alimentacyjnych należnych od rodziców, przewiduje, co do zasady, wprowadzenie granicy wieku, po osiągnięciu którego</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ustawałby obowiązek alimentacyjny r</w:t>
      </w:r>
      <w:r w:rsidR="00DF75E7">
        <w:rPr>
          <w:rFonts w:ascii="Times New Roman" w:eastAsia="Times New Roman" w:hAnsi="Times New Roman" w:cs="Times New Roman"/>
          <w:sz w:val="24"/>
          <w:szCs w:val="24"/>
          <w:lang w:eastAsia="pl-PL"/>
        </w:rPr>
        <w:t>odzica wobec dziecka wyrażony w </w:t>
      </w:r>
      <w:r w:rsidRPr="00153A56">
        <w:rPr>
          <w:rFonts w:ascii="Times New Roman" w:eastAsia="Times New Roman" w:hAnsi="Times New Roman" w:cs="Times New Roman"/>
          <w:sz w:val="24"/>
          <w:szCs w:val="24"/>
          <w:lang w:eastAsia="pl-PL"/>
        </w:rPr>
        <w:t>postaci świadczenia alimentacyjnego ustalonego wyrokiem albo ugodą (projektowany art. 133 § 4). Wiek 25 lat należy uznać za pozwalający na samodzielne utrzymanie. Założenie to nie obejmuje dzieci, które posiadają orzeczenie o stopniu niepełnosprawności, dlatego w przypadku tych osób,</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zakresie wygaśnięcia ustalonych świadczeń alimentacyjnych, zastosowanie będą miały zasady dotychczasowe. Zagadnienia wydawania tego rodzaju orzeczeń regulują przepisy ustawy z dnia 27 sierpnia 1997 r. o rehabilitacji zawodowej i społecznej oraz zatrudnianiu osób niepełnosprawnych (Dz. U. z 2018 r.</w:t>
      </w:r>
      <w:r w:rsidR="00DF75E7">
        <w:rPr>
          <w:rFonts w:ascii="Times New Roman" w:eastAsia="Times New Roman" w:hAnsi="Times New Roman" w:cs="Times New Roman"/>
          <w:sz w:val="24"/>
          <w:szCs w:val="24"/>
          <w:lang w:eastAsia="pl-PL"/>
        </w:rPr>
        <w:t xml:space="preserve"> poz. 511</w:t>
      </w:r>
      <w:r w:rsidR="00126615">
        <w:rPr>
          <w:rFonts w:ascii="Times New Roman" w:eastAsia="Times New Roman" w:hAnsi="Times New Roman" w:cs="Times New Roman"/>
          <w:sz w:val="24"/>
          <w:szCs w:val="24"/>
          <w:lang w:eastAsia="pl-PL"/>
        </w:rPr>
        <w:t>,</w:t>
      </w:r>
      <w:r w:rsidR="00DF75E7">
        <w:rPr>
          <w:rFonts w:ascii="Times New Roman" w:eastAsia="Times New Roman" w:hAnsi="Times New Roman" w:cs="Times New Roman"/>
          <w:sz w:val="24"/>
          <w:szCs w:val="24"/>
          <w:lang w:eastAsia="pl-PL"/>
        </w:rPr>
        <w:t xml:space="preserve"> z późn. zm.). Wiek 25 </w:t>
      </w:r>
      <w:r w:rsidRPr="00153A56">
        <w:rPr>
          <w:rFonts w:ascii="Times New Roman" w:eastAsia="Times New Roman" w:hAnsi="Times New Roman" w:cs="Times New Roman"/>
          <w:sz w:val="24"/>
          <w:szCs w:val="24"/>
          <w:lang w:eastAsia="pl-PL"/>
        </w:rPr>
        <w:t>lat jest jednocześnie górną granicą wieku do wypłaty świadczeń z funduszu alimentacyjnego</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w przypadku osób uczących się w szkole </w:t>
      </w:r>
      <w:r w:rsidR="00DF75E7">
        <w:rPr>
          <w:rFonts w:ascii="Times New Roman" w:eastAsia="Times New Roman" w:hAnsi="Times New Roman" w:cs="Times New Roman"/>
          <w:sz w:val="24"/>
          <w:szCs w:val="24"/>
          <w:lang w:eastAsia="pl-PL"/>
        </w:rPr>
        <w:t>lub szkole wyższej (art. 9 ust. </w:t>
      </w:r>
      <w:r w:rsidRPr="00153A56">
        <w:rPr>
          <w:rFonts w:ascii="Times New Roman" w:eastAsia="Times New Roman" w:hAnsi="Times New Roman" w:cs="Times New Roman"/>
          <w:sz w:val="24"/>
          <w:szCs w:val="24"/>
          <w:lang w:eastAsia="pl-PL"/>
        </w:rPr>
        <w:t>1 i 2 ustawy z dnia</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7 września 2007 r. o pomocy osobom uprawnionym do alimentów – Dz. U. z 2018 r. poz. 554</w:t>
      </w:r>
      <w:r w:rsidR="00126615">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z późn</w:t>
      </w:r>
      <w:r w:rsidR="00126615">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zm.). Projektowane rozwiązanie nie dotyczy, jak wskazano, samego uprawnienia do świadczenia alimentacyjnego należnego z mocy ustawy, lecz jedynie ustalonego orzeczeniem przez sąd albo ugodą zatwierdzoną przez sąd. Projekt zakłada przy tym, że rozwiązanie to obejmie orzeczenia wydane oraz ugody zawarte w tym przedmiocie po wejściu w ży</w:t>
      </w:r>
      <w:r w:rsidR="00DF75E7">
        <w:rPr>
          <w:rFonts w:ascii="Times New Roman" w:eastAsia="Times New Roman" w:hAnsi="Times New Roman" w:cs="Times New Roman"/>
          <w:sz w:val="24"/>
          <w:szCs w:val="24"/>
          <w:lang w:eastAsia="pl-PL"/>
        </w:rPr>
        <w:t>cie ustawy (art. 7 projektu). W </w:t>
      </w:r>
      <w:r w:rsidRPr="00153A56">
        <w:rPr>
          <w:rFonts w:ascii="Times New Roman" w:eastAsia="Times New Roman" w:hAnsi="Times New Roman" w:cs="Times New Roman"/>
          <w:sz w:val="24"/>
          <w:szCs w:val="24"/>
          <w:lang w:eastAsia="pl-PL"/>
        </w:rPr>
        <w:t xml:space="preserve">przypadku uzyskania zdolności do samodzielnego utrzymania przez dziecko przed ukończeniem 25 lat (również przez fakt zaprzestania nauki) rodzic, zobowiązany dotąd </w:t>
      </w:r>
      <w:r w:rsidRPr="00153A56">
        <w:rPr>
          <w:rFonts w:ascii="Times New Roman" w:eastAsia="Times New Roman" w:hAnsi="Times New Roman" w:cs="Times New Roman"/>
          <w:sz w:val="24"/>
          <w:szCs w:val="24"/>
          <w:lang w:eastAsia="pl-PL"/>
        </w:rPr>
        <w:lastRenderedPageBreak/>
        <w:t>do łożenia na jego utrzymanie w wysokości określonej wyrokiem albo ugodą, będzie mógł, zgodnie z art. 133 § 1 lub § 3 k.r.o. w zw. z art. 138 k.r.o., wystąpić</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o zniesienie tego obowiązku, przed ukończeniem przez dziecko tego wieku. Projektowane rozwiązanie służy ograniczeniu postępowań o wygaśnięcie obowiązku alimentacyjnego</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postaci ustalonej wyrokiem albo ugodą, gdy dziecko nie czyni starań</w:t>
      </w:r>
      <w:r w:rsidR="008476D9">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aby zmienić swoją sytuację, osiągnęło zaś wiek, który pozwala na samodzielnie utrzymanie. Rodzic nie będzie zatem zmuszony wnosić pozwu w tym przedmiocie, po ukończeniu przez dziecko 25 lat, gdyż osiągnięcie tego wieku spowoduje ustanie obowiązku dalszego utrzymania</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(w przypadku</w:t>
      </w:r>
      <w:r w:rsidR="00CD327C">
        <w:rPr>
          <w:rFonts w:ascii="Times New Roman" w:eastAsia="Times New Roman" w:hAnsi="Times New Roman" w:cs="Times New Roman"/>
          <w:sz w:val="24"/>
          <w:szCs w:val="24"/>
          <w:lang w:eastAsia="pl-PL"/>
        </w:rPr>
        <w:t>,</w:t>
      </w:r>
      <w:r w:rsidRPr="00153A56">
        <w:rPr>
          <w:rFonts w:ascii="Times New Roman" w:eastAsia="Times New Roman" w:hAnsi="Times New Roman" w:cs="Times New Roman"/>
          <w:sz w:val="24"/>
          <w:szCs w:val="24"/>
          <w:lang w:eastAsia="pl-PL"/>
        </w:rPr>
        <w:t xml:space="preserve"> gdy był ustalony wyrokiem albo ugodą). W określonych sytuacjach okazać się może, że ukończenie 25 lat nie pozwoli jednak dziecku na samodzielne utrzymanie, w takim przypadku osiągnięcie tego wieku nie spowoduje ustania ustalonego uprzednio świadczenia (wyjątek), ale warunkiem jest wystąpienie przez uprawnionego z roszczeniem do sądu</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o przedłużenie okresu obowiązywania ustalonego świadczenia alimentacyjnego od rodziców. Rozwiązanie to wzorowane jest w tym zakresie na przepisie art. 60 § 3 k.r.o. </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Mając na uwadze, że w ostatnim okresie odnotowano liczne zdarzenia, w których dochodziło do użycia przemocy fizycznej wobec małoletnich dzieci ze strony ich rodziców lub opiekunów, niejednokrotnie prowadzącej do śmierci dziecka, za właściwe uznano potrzebę informowania przez sąd prokuratora o każdej sprawie dotyczącej dziecka, którego dobro jest zagrożone, co może znacząco przyczynić się do zmniejszenia skali tych zjawisk (projektowany art. 59 k.p.c.)</w:t>
      </w:r>
      <w:r w:rsidR="00CD327C">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Odpowiednio wcześniejsza reakcja prokuratora, wyposażonego w środki prawne do przeciwdziałania, a także do zwalczania patologicznych zachowań wobec małoletnich, na dostrzeżone agresywne zachowania wobec dziecka, zapobiegnie ewentualnym tragediom.</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obecnym brzmieniu art. 59 k.p.c. sąd zawiad</w:t>
      </w:r>
      <w:r w:rsidR="00CD327C">
        <w:rPr>
          <w:rFonts w:ascii="Times New Roman" w:eastAsia="Times New Roman" w:hAnsi="Times New Roman" w:cs="Times New Roman"/>
          <w:bCs/>
          <w:sz w:val="24"/>
          <w:szCs w:val="24"/>
          <w:lang w:eastAsia="pl-PL"/>
        </w:rPr>
        <w:t>am</w:t>
      </w:r>
      <w:r w:rsidRPr="00153A56">
        <w:rPr>
          <w:rFonts w:ascii="Times New Roman" w:eastAsia="Times New Roman" w:hAnsi="Times New Roman" w:cs="Times New Roman"/>
          <w:bCs/>
          <w:sz w:val="24"/>
          <w:szCs w:val="24"/>
          <w:lang w:eastAsia="pl-PL"/>
        </w:rPr>
        <w:t>ia prokuratora o każdej sprawie,</w:t>
      </w:r>
      <w:r w:rsidR="00EF5A58">
        <w:rPr>
          <w:rFonts w:ascii="Times New Roman" w:eastAsia="Times New Roman" w:hAnsi="Times New Roman" w:cs="Times New Roman"/>
          <w:bCs/>
          <w:sz w:val="24"/>
          <w:szCs w:val="24"/>
          <w:lang w:eastAsia="pl-PL"/>
        </w:rPr>
        <w:t xml:space="preserve"> </w:t>
      </w:r>
      <w:r w:rsidR="00DF75E7">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której uważa jego udział za potrzebny. Nowelizacja tego przepisu zmierza do nałożenia na sąd obowiązku w zakresie spraw, które toczą się przed sądem opiekuńczym, a których charakter wskazuje, że dobro dziecka może być zagrożone. Jak ustalono na kanwie wielu spraw, objętych nadzorem przez Prokuraturę Krajową, brak zawiadomienia prokuratora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sprawach dotyczących zagrożonego dobra dziecka może negatywnie wpływać na sprawność ustaleń w konkretnych przypadkach. </w:t>
      </w:r>
      <w:r w:rsidR="00CD327C">
        <w:rPr>
          <w:rFonts w:ascii="Times New Roman" w:eastAsia="Times New Roman" w:hAnsi="Times New Roman" w:cs="Times New Roman"/>
          <w:bCs/>
          <w:sz w:val="24"/>
          <w:szCs w:val="24"/>
          <w:lang w:eastAsia="pl-PL"/>
        </w:rPr>
        <w:t>Pon</w:t>
      </w:r>
      <w:r w:rsidRPr="00153A56">
        <w:rPr>
          <w:rFonts w:ascii="Times New Roman" w:eastAsia="Times New Roman" w:hAnsi="Times New Roman" w:cs="Times New Roman"/>
          <w:bCs/>
          <w:sz w:val="24"/>
          <w:szCs w:val="24"/>
          <w:lang w:eastAsia="pl-PL"/>
        </w:rPr>
        <w:t xml:space="preserve">adto organy postępowania przygotowawczego dysponują możliwościami pilnego przeprowadzenia czynności niecierpiących zwłoki oraz zebrania i zabezpieczenia </w:t>
      </w:r>
      <w:r w:rsidRPr="00153A56">
        <w:rPr>
          <w:rFonts w:ascii="Times New Roman" w:eastAsia="Times New Roman" w:hAnsi="Times New Roman" w:cs="Times New Roman"/>
          <w:bCs/>
          <w:sz w:val="24"/>
          <w:szCs w:val="24"/>
          <w:lang w:eastAsia="pl-PL"/>
        </w:rPr>
        <w:lastRenderedPageBreak/>
        <w:t>dowodów, których to uprawnień nie posiadają inne organy, np. kuratorzy sądowi czy organy opieki społecznej.</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zakresie nowelizacji przepisów dotyczących rozwiązania małżeństwa zaznaczyć należy, że polski system prawny otacza opieką instytucje małżeństwa. Podstawowym aktem prawnym w tym zakresie jest Konstytucja Rzec</w:t>
      </w:r>
      <w:r w:rsidR="00DF75E7">
        <w:rPr>
          <w:rFonts w:ascii="Times New Roman" w:eastAsia="Times New Roman" w:hAnsi="Times New Roman" w:cs="Times New Roman"/>
          <w:bCs/>
          <w:sz w:val="24"/>
          <w:szCs w:val="24"/>
          <w:lang w:eastAsia="pl-PL"/>
        </w:rPr>
        <w:t>zypospolitej Polskiej (Dz. U. z </w:t>
      </w:r>
      <w:r w:rsidRPr="00153A56">
        <w:rPr>
          <w:rFonts w:ascii="Times New Roman" w:eastAsia="Times New Roman" w:hAnsi="Times New Roman" w:cs="Times New Roman"/>
          <w:bCs/>
          <w:sz w:val="24"/>
          <w:szCs w:val="24"/>
          <w:lang w:eastAsia="pl-PL"/>
        </w:rPr>
        <w:t>1997 r. poz. 483</w:t>
      </w:r>
      <w:r w:rsidR="00C35B2B">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z późn. zm.)</w:t>
      </w:r>
      <w:r w:rsidR="00C35B2B">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Art. 18 Konstytucji stanowi: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Małżeństwo jako związek kobiety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mężczyzny, rodzina, macierzyństwo i rodziciel</w:t>
      </w:r>
      <w:r w:rsidR="00DF75E7">
        <w:rPr>
          <w:rFonts w:ascii="Times New Roman" w:eastAsia="Times New Roman" w:hAnsi="Times New Roman" w:cs="Times New Roman"/>
          <w:bCs/>
          <w:sz w:val="24"/>
          <w:szCs w:val="24"/>
          <w:lang w:eastAsia="pl-PL"/>
        </w:rPr>
        <w:t>stwo znajdują się pod ochroną i </w:t>
      </w:r>
      <w:r w:rsidRPr="00153A56">
        <w:rPr>
          <w:rFonts w:ascii="Times New Roman" w:eastAsia="Times New Roman" w:hAnsi="Times New Roman" w:cs="Times New Roman"/>
          <w:bCs/>
          <w:sz w:val="24"/>
          <w:szCs w:val="24"/>
          <w:lang w:eastAsia="pl-PL"/>
        </w:rPr>
        <w:t>opieką Rzeczypospolitej Polskiej.</w:t>
      </w:r>
      <w:r w:rsidR="00EF5A58">
        <w:rPr>
          <w:rFonts w:ascii="Times New Roman" w:eastAsia="Times New Roman" w:hAnsi="Times New Roman" w:cs="Times New Roman"/>
          <w:bCs/>
          <w:sz w:val="24"/>
          <w:szCs w:val="24"/>
          <w:lang w:eastAsia="pl-PL"/>
        </w:rPr>
        <w:t>”</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Konsekwencją istnienia przytoczonego artykułu jest stworzenie w ustawodawstwie gwarancji instytucjonalnych dla określonych w tej normie wartości. Istnieje prawny obowiązek państwa ustanowienia odpowiednich instytucji zapewniających trwałe miejsce małżeństwu, rodzinie, macierzyństwu i rodzicielstwu w polskim systemie prawnym. Przepis ten bowiem nakazuje podejmowanie przez państwo takich działań, które umacniają więzi między osobami tworzącymi rodzinę, a zwłaszcza więzi istniejące między rodzicami</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dziećmi oraz między małżonkami.</w:t>
      </w:r>
      <w:r w:rsidR="00EF5A58">
        <w:rPr>
          <w:rFonts w:ascii="Times New Roman" w:eastAsia="Times New Roman" w:hAnsi="Times New Roman" w:cs="Times New Roman"/>
          <w:bCs/>
          <w:sz w:val="24"/>
          <w:szCs w:val="24"/>
          <w:lang w:eastAsia="pl-PL"/>
        </w:rPr>
        <w:t xml:space="preserve"> </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Rozpad rodziny spowodowany separacją lub rozwodem jest dzisiaj jednym</w:t>
      </w:r>
      <w:r w:rsidR="00EF5A58">
        <w:rPr>
          <w:rFonts w:ascii="Times New Roman" w:eastAsia="Times New Roman" w:hAnsi="Times New Roman" w:cs="Times New Roman"/>
          <w:bCs/>
          <w:sz w:val="24"/>
          <w:szCs w:val="24"/>
          <w:lang w:eastAsia="pl-PL"/>
        </w:rPr>
        <w:t xml:space="preserve"> </w:t>
      </w:r>
      <w:r w:rsidR="00DF75E7">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najpoważniejszych problemów społecznych. Zjawisko to pogłębia się we wszystkich krajach Europy.</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Praktycznie wszystkie badania, które analizują zależność pomiędzy rozpadem rodziny spowodowanej rozwodem i uwarunkowaniami ekonomicznymi, wskazują na silną korelację tych dwóch zmiennych. Dezintegracja struktur rodzinnych generuje koszty. Są one związane z koniecznością ponoszenia większych wydatków związanych </w:t>
      </w:r>
      <w:r w:rsidR="0062595A">
        <w:rPr>
          <w:rFonts w:ascii="Times New Roman" w:eastAsia="Times New Roman" w:hAnsi="Times New Roman" w:cs="Times New Roman"/>
          <w:bCs/>
          <w:sz w:val="24"/>
          <w:szCs w:val="24"/>
          <w:lang w:eastAsia="pl-PL"/>
        </w:rPr>
        <w:t>ze </w:t>
      </w:r>
      <w:r w:rsidRPr="00153A56">
        <w:rPr>
          <w:rFonts w:ascii="Times New Roman" w:eastAsia="Times New Roman" w:hAnsi="Times New Roman" w:cs="Times New Roman"/>
          <w:bCs/>
          <w:sz w:val="24"/>
          <w:szCs w:val="24"/>
          <w:lang w:eastAsia="pl-PL"/>
        </w:rPr>
        <w:t>wzrostem problemów społecznych przy jednoczesnym obniżeniu wpływów do budżetu (mniejsza efektywność ekonomiczna osób z</w:t>
      </w:r>
      <w:r w:rsidR="00DF75E7">
        <w:rPr>
          <w:rFonts w:ascii="Times New Roman" w:eastAsia="Times New Roman" w:hAnsi="Times New Roman" w:cs="Times New Roman"/>
          <w:bCs/>
          <w:sz w:val="24"/>
          <w:szCs w:val="24"/>
          <w:lang w:eastAsia="pl-PL"/>
        </w:rPr>
        <w:t xml:space="preserve"> rodzin, które rozpadły się). Z </w:t>
      </w:r>
      <w:r w:rsidRPr="00153A56">
        <w:rPr>
          <w:rFonts w:ascii="Times New Roman" w:eastAsia="Times New Roman" w:hAnsi="Times New Roman" w:cs="Times New Roman"/>
          <w:bCs/>
          <w:sz w:val="24"/>
          <w:szCs w:val="24"/>
          <w:lang w:eastAsia="pl-PL"/>
        </w:rPr>
        <w:t>publikowanego w Wielkiej Brytanii raportu na temat kosztów rozpadu rodzin przygotowanego przez</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Relationship Foundation</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Cambridge wynika, że w skali całego kraju Wielka Brytania straciła na pokrycie kosztów związanych z dezintegracją rodziny 47 miliardów funtów. Koszty te są ponoszone zarówno przez państwo, jak i samorządy lokalne. Pokazanie skali strat finansowych związanych</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brakiem wspierania jedności małżeństw i rodzin stał się impulsem do wdrożenia rozwiązań, które w szczególny sposób wspierałyby budowanie relacji rodzinnych i małżeńskich.</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Wielkiej Brytanii </w:t>
      </w:r>
      <w:r w:rsidRPr="00153A56">
        <w:rPr>
          <w:rFonts w:ascii="Times New Roman" w:eastAsia="Times New Roman" w:hAnsi="Times New Roman" w:cs="Times New Roman"/>
          <w:bCs/>
          <w:sz w:val="24"/>
          <w:szCs w:val="24"/>
          <w:lang w:eastAsia="pl-PL"/>
        </w:rPr>
        <w:lastRenderedPageBreak/>
        <w:t>na każdego 1 funta wydanego na profilaktykę relacyjną przypada 6000 funtów wydanych jako reakcja na rozpad rodziny, co ukazuje skalę problemu.</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Polsce w roku 2017 orzeczono 68</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493 rozwod</w:t>
      </w:r>
      <w:r w:rsidR="00C35B2B">
        <w:rPr>
          <w:rFonts w:ascii="Times New Roman" w:eastAsia="Times New Roman" w:hAnsi="Times New Roman" w:cs="Times New Roman"/>
          <w:bCs/>
          <w:sz w:val="24"/>
          <w:szCs w:val="24"/>
          <w:lang w:eastAsia="pl-PL"/>
        </w:rPr>
        <w:t>y</w:t>
      </w:r>
      <w:r w:rsidRPr="00153A56">
        <w:rPr>
          <w:rFonts w:ascii="Times New Roman" w:eastAsia="Times New Roman" w:hAnsi="Times New Roman" w:cs="Times New Roman"/>
          <w:bCs/>
          <w:sz w:val="24"/>
          <w:szCs w:val="24"/>
          <w:lang w:eastAsia="pl-PL"/>
        </w:rPr>
        <w:t xml:space="preserve"> i 2037 separacji (informacje</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formularza statystycznego MS-s 10). Pamiętać należy, że skutki rozwodu dosięgają nie tylko małżonków, ale również ich wspólnych dziec</w:t>
      </w:r>
      <w:r w:rsidR="0062595A">
        <w:rPr>
          <w:rFonts w:ascii="Times New Roman" w:eastAsia="Times New Roman" w:hAnsi="Times New Roman" w:cs="Times New Roman"/>
          <w:bCs/>
          <w:sz w:val="24"/>
          <w:szCs w:val="24"/>
          <w:lang w:eastAsia="pl-PL"/>
        </w:rPr>
        <w:t>i – w większości małoletnich. W </w:t>
      </w:r>
      <w:r w:rsidRPr="00153A56">
        <w:rPr>
          <w:rFonts w:ascii="Times New Roman" w:eastAsia="Times New Roman" w:hAnsi="Times New Roman" w:cs="Times New Roman"/>
          <w:bCs/>
          <w:sz w:val="24"/>
          <w:szCs w:val="24"/>
          <w:lang w:eastAsia="pl-PL"/>
        </w:rPr>
        <w:t>łącznej liczbie orzeczonych rozwodów blisko 30</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000 dotyczyło postępowań, w </w:t>
      </w:r>
      <w:r w:rsidRPr="00153A56">
        <w:rPr>
          <w:rFonts w:ascii="Times New Roman" w:eastAsia="Times New Roman" w:hAnsi="Times New Roman" w:cs="Times New Roman"/>
          <w:bCs/>
          <w:sz w:val="24"/>
          <w:szCs w:val="24"/>
          <w:lang w:eastAsia="pl-PL"/>
        </w:rPr>
        <w:t>których strony posiadały małoletnie dzieci i musiały być podejmowane w ich sprawie przewidziane prawem decyzje. Warto zwrócić uwagę, że blisko 70</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000 spraw rozwodowych rocznie to niewiele mniej niż 400</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000 spraw w ciągu 5 lat, a liczba osób bezpośrednio doświadczających rozwodów sięga blisko 1 100</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000 obywateli.</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Główną osią regulowanych w projekcie zapisów jest dobro dziecka i to właśnie na rzecz dobra najmłodszych i najsłabszych członków rodzinny podejmowana jest inicjatywa zmian, które zagwarantować mają większą ochronę instytucji małżeństwa.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Proponuje się wprowadzenie dodatkowych jednostek redakcyjnych – art. 436</w:t>
      </w:r>
      <w:r w:rsidRPr="00EF5A58">
        <w:rPr>
          <w:rFonts w:ascii="Times New Roman" w:eastAsia="Times New Roman" w:hAnsi="Times New Roman" w:cs="Times New Roman"/>
          <w:bCs/>
          <w:sz w:val="24"/>
          <w:szCs w:val="24"/>
          <w:vertAlign w:val="superscript"/>
          <w:lang w:eastAsia="pl-PL"/>
        </w:rPr>
        <w:t>1</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436</w:t>
      </w:r>
      <w:r w:rsidRPr="00EF5A58">
        <w:rPr>
          <w:rFonts w:ascii="Times New Roman" w:eastAsia="Times New Roman" w:hAnsi="Times New Roman" w:cs="Times New Roman"/>
          <w:bCs/>
          <w:sz w:val="24"/>
          <w:szCs w:val="24"/>
          <w:vertAlign w:val="superscript"/>
          <w:lang w:eastAsia="pl-PL"/>
        </w:rPr>
        <w:t>4</w:t>
      </w:r>
      <w:r w:rsidRPr="00153A56">
        <w:rPr>
          <w:rFonts w:ascii="Times New Roman" w:eastAsia="Times New Roman" w:hAnsi="Times New Roman" w:cs="Times New Roman"/>
          <w:bCs/>
          <w:sz w:val="24"/>
          <w:szCs w:val="24"/>
          <w:lang w:eastAsia="pl-PL"/>
        </w:rPr>
        <w:t xml:space="preserve"> k.p.c., które mają tworzyć nową instytucję tzw. rodzinnego postępowania informacyjnego.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Na marginesie należy wskazać, że regulacje te są zgodne ze Strategią </w:t>
      </w:r>
      <w:r w:rsidR="00C35B2B">
        <w:rPr>
          <w:rFonts w:ascii="Times New Roman" w:eastAsia="Times New Roman" w:hAnsi="Times New Roman" w:cs="Times New Roman"/>
          <w:bCs/>
          <w:sz w:val="24"/>
          <w:szCs w:val="24"/>
          <w:lang w:eastAsia="pl-PL"/>
        </w:rPr>
        <w:t xml:space="preserve">na rzecz </w:t>
      </w:r>
      <w:r w:rsidRPr="00153A56">
        <w:rPr>
          <w:rFonts w:ascii="Times New Roman" w:eastAsia="Times New Roman" w:hAnsi="Times New Roman" w:cs="Times New Roman"/>
          <w:bCs/>
          <w:sz w:val="24"/>
          <w:szCs w:val="24"/>
          <w:lang w:eastAsia="pl-PL"/>
        </w:rPr>
        <w:t xml:space="preserve">Odpowiedzialnego Rozwoju.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Zgodnie z projektowanym art. 436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 1 k.p.c. rozwód lub separacja mają być poprzedzone rodzinnym postępowaniem informacyjnym. Obowiązek udziału w tym postępowaniu dotyczyć będzie jednak wyłącznie stron mających wspólne małoletnie dzieci. Takie rozwiązanie uzasadnione jest tym, że w przypadku rodziców posiadających małoletnie dzieci pozostaje najwięcej zagadnień, które wymagają uzgodnienia – władza rodzicielska, miejsce zamieszkania dziecka, kontakty, alimenty. Często na tle tych właśnie uzgodnień dochodzi do </w:t>
      </w:r>
      <w:r w:rsidR="0062595A">
        <w:rPr>
          <w:rFonts w:ascii="Times New Roman" w:eastAsia="Times New Roman" w:hAnsi="Times New Roman" w:cs="Times New Roman"/>
          <w:bCs/>
          <w:sz w:val="24"/>
          <w:szCs w:val="24"/>
          <w:lang w:eastAsia="pl-PL"/>
        </w:rPr>
        <w:t>sporów, co pogłębia konflikt ze </w:t>
      </w:r>
      <w:r w:rsidRPr="00153A56">
        <w:rPr>
          <w:rFonts w:ascii="Times New Roman" w:eastAsia="Times New Roman" w:hAnsi="Times New Roman" w:cs="Times New Roman"/>
          <w:bCs/>
          <w:sz w:val="24"/>
          <w:szCs w:val="24"/>
          <w:lang w:eastAsia="pl-PL"/>
        </w:rPr>
        <w:t>szkodą dla małoletnich dzieci. Projektodawca chce w</w:t>
      </w:r>
      <w:r w:rsidR="0062595A">
        <w:rPr>
          <w:rFonts w:ascii="Times New Roman" w:eastAsia="Times New Roman" w:hAnsi="Times New Roman" w:cs="Times New Roman"/>
          <w:bCs/>
          <w:sz w:val="24"/>
          <w:szCs w:val="24"/>
          <w:lang w:eastAsia="pl-PL"/>
        </w:rPr>
        <w:t>esprzeć strony w tym procesie i </w:t>
      </w:r>
      <w:r w:rsidRPr="00153A56">
        <w:rPr>
          <w:rFonts w:ascii="Times New Roman" w:eastAsia="Times New Roman" w:hAnsi="Times New Roman" w:cs="Times New Roman"/>
          <w:bCs/>
          <w:sz w:val="24"/>
          <w:szCs w:val="24"/>
          <w:lang w:eastAsia="pl-PL"/>
        </w:rPr>
        <w:t>umożliwia w trakcie postępowania informacyjnego odbycie bezpłatnych mediacji. Obowiązek ten nie będzie dotyczył małżonków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przyp</w:t>
      </w:r>
      <w:r w:rsidR="0062595A">
        <w:rPr>
          <w:rFonts w:ascii="Times New Roman" w:eastAsia="Times New Roman" w:hAnsi="Times New Roman" w:cs="Times New Roman"/>
          <w:bCs/>
          <w:sz w:val="24"/>
          <w:szCs w:val="24"/>
          <w:lang w:eastAsia="pl-PL"/>
        </w:rPr>
        <w:t>adku skazania jednego z nich za </w:t>
      </w:r>
      <w:r w:rsidRPr="00153A56">
        <w:rPr>
          <w:rFonts w:ascii="Times New Roman" w:eastAsia="Times New Roman" w:hAnsi="Times New Roman" w:cs="Times New Roman"/>
          <w:bCs/>
          <w:sz w:val="24"/>
          <w:szCs w:val="24"/>
          <w:lang w:eastAsia="pl-PL"/>
        </w:rPr>
        <w:t>umyślne przestępstwo na szkodę małżonka</w:t>
      </w:r>
      <w:r w:rsidR="0062595A">
        <w:rPr>
          <w:rFonts w:ascii="Times New Roman" w:eastAsia="Times New Roman" w:hAnsi="Times New Roman" w:cs="Times New Roman"/>
          <w:bCs/>
          <w:sz w:val="24"/>
          <w:szCs w:val="24"/>
          <w:lang w:eastAsia="pl-PL"/>
        </w:rPr>
        <w:t xml:space="preserve"> lub ich wspólnego dziecka (np. </w:t>
      </w:r>
      <w:r w:rsidRPr="00153A56">
        <w:rPr>
          <w:rFonts w:ascii="Times New Roman" w:eastAsia="Times New Roman" w:hAnsi="Times New Roman" w:cs="Times New Roman"/>
          <w:bCs/>
          <w:sz w:val="24"/>
          <w:szCs w:val="24"/>
          <w:lang w:eastAsia="pl-PL"/>
        </w:rPr>
        <w:t>przestępstwo znęcania), a także</w:t>
      </w:r>
      <w:r w:rsidR="00C35B2B">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gdy o takie czyny małżonkowi przedstawiono zarzuty ich popełnienia. Uzasadnione jest to charakterem mediacji. Jeżeli jednak inaczej postanowi małżonek pokrzywdzony</w:t>
      </w:r>
      <w:r w:rsidR="00C35B2B">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i w takiej sytuacji tego rodzaju post</w:t>
      </w:r>
      <w:r w:rsidR="00C35B2B">
        <w:rPr>
          <w:rFonts w:ascii="Times New Roman" w:eastAsia="Times New Roman" w:hAnsi="Times New Roman" w:cs="Times New Roman"/>
          <w:bCs/>
          <w:sz w:val="24"/>
          <w:szCs w:val="24"/>
          <w:lang w:eastAsia="pl-PL"/>
        </w:rPr>
        <w:t>ę</w:t>
      </w:r>
      <w:r w:rsidRPr="00153A56">
        <w:rPr>
          <w:rFonts w:ascii="Times New Roman" w:eastAsia="Times New Roman" w:hAnsi="Times New Roman" w:cs="Times New Roman"/>
          <w:bCs/>
          <w:sz w:val="24"/>
          <w:szCs w:val="24"/>
          <w:lang w:eastAsia="pl-PL"/>
        </w:rPr>
        <w:t xml:space="preserve">powanie się </w:t>
      </w:r>
      <w:r w:rsidRPr="00153A56">
        <w:rPr>
          <w:rFonts w:ascii="Times New Roman" w:eastAsia="Times New Roman" w:hAnsi="Times New Roman" w:cs="Times New Roman"/>
          <w:bCs/>
          <w:sz w:val="24"/>
          <w:szCs w:val="24"/>
          <w:lang w:eastAsia="pl-PL"/>
        </w:rPr>
        <w:lastRenderedPageBreak/>
        <w:t>odbędzie (projektowany art. 436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 4 k.p.c.). Z uwagi na istotę tego postępowania, powiązanego z zamiarem rozwodu lub separacji, zgodnie z projektowanym art. 436</w:t>
      </w:r>
      <w:r w:rsidRPr="00EF5A58">
        <w:rPr>
          <w:rFonts w:ascii="Times New Roman" w:eastAsia="Times New Roman" w:hAnsi="Times New Roman" w:cs="Times New Roman"/>
          <w:bCs/>
          <w:sz w:val="24"/>
          <w:szCs w:val="24"/>
          <w:vertAlign w:val="superscript"/>
          <w:lang w:eastAsia="pl-PL"/>
        </w:rPr>
        <w:t>1</w:t>
      </w:r>
      <w:r w:rsidR="002D432B">
        <w:rPr>
          <w:rFonts w:ascii="Times New Roman" w:eastAsia="Times New Roman" w:hAnsi="Times New Roman" w:cs="Times New Roman"/>
          <w:bCs/>
          <w:sz w:val="24"/>
          <w:szCs w:val="24"/>
          <w:lang w:eastAsia="pl-PL"/>
        </w:rPr>
        <w:t xml:space="preserve"> § </w:t>
      </w:r>
      <w:r w:rsidRPr="00153A56">
        <w:rPr>
          <w:rFonts w:ascii="Times New Roman" w:eastAsia="Times New Roman" w:hAnsi="Times New Roman" w:cs="Times New Roman"/>
          <w:bCs/>
          <w:sz w:val="24"/>
          <w:szCs w:val="24"/>
          <w:lang w:eastAsia="pl-PL"/>
        </w:rPr>
        <w:t>3</w:t>
      </w:r>
      <w:r w:rsidR="002D432B">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 xml:space="preserve">k.p.c., czynności w rodzinnym postępowaniu informacyjnym wykonuje, i tym samym prowadzi to postępowanie, sąd właściwy w sprawach o rozwód i o separację, czyli sąd okręgowy, przy czym bez udziału ławników, </w:t>
      </w:r>
      <w:r w:rsidR="0062595A">
        <w:rPr>
          <w:rFonts w:ascii="Times New Roman" w:eastAsia="Times New Roman" w:hAnsi="Times New Roman" w:cs="Times New Roman"/>
          <w:bCs/>
          <w:sz w:val="24"/>
          <w:szCs w:val="24"/>
          <w:lang w:eastAsia="pl-PL"/>
        </w:rPr>
        <w:t>wzorem rozwiązania przyjętego w </w:t>
      </w:r>
      <w:r w:rsidRPr="00153A56">
        <w:rPr>
          <w:rFonts w:ascii="Times New Roman" w:eastAsia="Times New Roman" w:hAnsi="Times New Roman" w:cs="Times New Roman"/>
          <w:bCs/>
          <w:sz w:val="24"/>
          <w:szCs w:val="24"/>
          <w:lang w:eastAsia="pl-PL"/>
        </w:rPr>
        <w:t>sprawach z zakresu prawa pracy i ubezpieczeń społecznych (art. 468 § 1 i 3 k.p.c.). Dotyczy to zatem wydania zarządzenia, o którym mowa w projektowanym art. 436</w:t>
      </w:r>
      <w:r w:rsidRPr="00EF5A58">
        <w:rPr>
          <w:rFonts w:ascii="Times New Roman" w:eastAsia="Times New Roman" w:hAnsi="Times New Roman" w:cs="Times New Roman"/>
          <w:bCs/>
          <w:sz w:val="24"/>
          <w:szCs w:val="24"/>
          <w:vertAlign w:val="superscript"/>
          <w:lang w:eastAsia="pl-PL"/>
        </w:rPr>
        <w:t>2</w:t>
      </w:r>
      <w:r w:rsidR="0062595A">
        <w:rPr>
          <w:rFonts w:ascii="Times New Roman" w:eastAsia="Times New Roman" w:hAnsi="Times New Roman" w:cs="Times New Roman"/>
          <w:bCs/>
          <w:sz w:val="24"/>
          <w:szCs w:val="24"/>
          <w:lang w:eastAsia="pl-PL"/>
        </w:rPr>
        <w:t xml:space="preserve"> § 1 </w:t>
      </w:r>
      <w:r w:rsidRPr="00153A56">
        <w:rPr>
          <w:rFonts w:ascii="Times New Roman" w:eastAsia="Times New Roman" w:hAnsi="Times New Roman" w:cs="Times New Roman"/>
          <w:bCs/>
          <w:sz w:val="24"/>
          <w:szCs w:val="24"/>
          <w:lang w:eastAsia="pl-PL"/>
        </w:rPr>
        <w:t>k.p.c., o wezwaniu stron do udziału w posiedzeniu informacyjnym, przedłużenia mediacji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4 k.p.c.), zatwierdzenia wypracowanej ugody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6 k.p.c.</w:t>
      </w:r>
      <w:r w:rsidR="00EF5A58">
        <w:rPr>
          <w:rFonts w:ascii="Times New Roman" w:eastAsia="Times New Roman" w:hAnsi="Times New Roman" w:cs="Times New Roman"/>
          <w:bCs/>
          <w:sz w:val="24"/>
          <w:szCs w:val="24"/>
          <w:lang w:eastAsia="pl-PL"/>
        </w:rPr>
        <w:t xml:space="preserve"> </w:t>
      </w:r>
      <w:r w:rsidRPr="008C0845">
        <w:rPr>
          <w:rFonts w:ascii="Times New Roman" w:eastAsia="Times New Roman" w:hAnsi="Times New Roman" w:cs="Times New Roman"/>
          <w:bCs/>
          <w:i/>
          <w:sz w:val="24"/>
          <w:szCs w:val="24"/>
          <w:lang w:eastAsia="pl-PL"/>
        </w:rPr>
        <w:t>a contrario</w:t>
      </w:r>
      <w:r w:rsidRPr="00153A56">
        <w:rPr>
          <w:rFonts w:ascii="Times New Roman" w:eastAsia="Times New Roman" w:hAnsi="Times New Roman" w:cs="Times New Roman"/>
          <w:bCs/>
          <w:sz w:val="24"/>
          <w:szCs w:val="24"/>
          <w:lang w:eastAsia="pl-PL"/>
        </w:rPr>
        <w:t>), umorzenia rodzinnego postępowania informacyjnego (projektowany art. 436</w:t>
      </w:r>
      <w:r w:rsidRPr="00EF5A58">
        <w:rPr>
          <w:rFonts w:ascii="Times New Roman" w:eastAsia="Times New Roman" w:hAnsi="Times New Roman" w:cs="Times New Roman"/>
          <w:bCs/>
          <w:sz w:val="24"/>
          <w:szCs w:val="24"/>
          <w:vertAlign w:val="superscript"/>
          <w:lang w:eastAsia="pl-PL"/>
        </w:rPr>
        <w:t>3</w:t>
      </w:r>
      <w:r w:rsidRPr="00153A56">
        <w:rPr>
          <w:rFonts w:ascii="Times New Roman" w:eastAsia="Times New Roman" w:hAnsi="Times New Roman" w:cs="Times New Roman"/>
          <w:bCs/>
          <w:sz w:val="24"/>
          <w:szCs w:val="24"/>
          <w:lang w:eastAsia="pl-PL"/>
        </w:rPr>
        <w:t xml:space="preserve"> k.p.c.).</w:t>
      </w:r>
      <w:r w:rsidR="00EF5A58">
        <w:rPr>
          <w:rFonts w:ascii="Times New Roman" w:eastAsia="Times New Roman" w:hAnsi="Times New Roman" w:cs="Times New Roman"/>
          <w:bCs/>
          <w:sz w:val="24"/>
          <w:szCs w:val="24"/>
          <w:lang w:eastAsia="pl-PL"/>
        </w:rPr>
        <w:t xml:space="preserve">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Postępowanie ma dać małżonkom co najmniej miesiąc (minimalny czas trwania postępowania –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4 k.p.c.) na wzajemne wyjaśnienie problemów</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i dojście do porozumienia, by tak ważnej decyzji, gdy chodzi o dobro ich dzieci, nie podejmować pochopnie.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odpowiedzi na dostrzeżoną przez organizacje społeczne, mediatorów, środowiska sędziowskie i przedstawicieli zawodów prawniczych pochopność w działaniu stron decydujących się na rozwód, w projekcie przewiduj</w:t>
      </w:r>
      <w:r w:rsidR="004C215A">
        <w:rPr>
          <w:rFonts w:ascii="Times New Roman" w:eastAsia="Times New Roman" w:hAnsi="Times New Roman" w:cs="Times New Roman"/>
          <w:bCs/>
          <w:sz w:val="24"/>
          <w:szCs w:val="24"/>
          <w:lang w:eastAsia="pl-PL"/>
        </w:rPr>
        <w:t>e</w:t>
      </w:r>
      <w:r w:rsidRPr="00153A56">
        <w:rPr>
          <w:rFonts w:ascii="Times New Roman" w:eastAsia="Times New Roman" w:hAnsi="Times New Roman" w:cs="Times New Roman"/>
          <w:bCs/>
          <w:sz w:val="24"/>
          <w:szCs w:val="24"/>
          <w:lang w:eastAsia="pl-PL"/>
        </w:rPr>
        <w:t xml:space="preserve"> się</w:t>
      </w:r>
      <w:r w:rsidR="004C215A">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że w postępowaniu w toku rodzinnego postępowania informacyjnego strony uzyskają pouczenie o skutkach społecznych rozpadu małżeństwa, w szczególności dla małoletnich dzieci małżonków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1 pkt 2 i § 5 k.p.c.). Wzó</w:t>
      </w:r>
      <w:r w:rsidR="0062595A">
        <w:rPr>
          <w:rFonts w:ascii="Times New Roman" w:eastAsia="Times New Roman" w:hAnsi="Times New Roman" w:cs="Times New Roman"/>
          <w:bCs/>
          <w:sz w:val="24"/>
          <w:szCs w:val="24"/>
          <w:lang w:eastAsia="pl-PL"/>
        </w:rPr>
        <w:t>r takiego pouczenia zostanie, w </w:t>
      </w:r>
      <w:r w:rsidRPr="00153A56">
        <w:rPr>
          <w:rFonts w:ascii="Times New Roman" w:eastAsia="Times New Roman" w:hAnsi="Times New Roman" w:cs="Times New Roman"/>
          <w:bCs/>
          <w:sz w:val="24"/>
          <w:szCs w:val="24"/>
          <w:lang w:eastAsia="pl-PL"/>
        </w:rPr>
        <w:t>drodze rozporządzenia, określony przez Ministra</w:t>
      </w:r>
      <w:r w:rsidR="0062595A">
        <w:rPr>
          <w:rFonts w:ascii="Times New Roman" w:eastAsia="Times New Roman" w:hAnsi="Times New Roman" w:cs="Times New Roman"/>
          <w:bCs/>
          <w:sz w:val="24"/>
          <w:szCs w:val="24"/>
          <w:lang w:eastAsia="pl-PL"/>
        </w:rPr>
        <w:t xml:space="preserve"> Sprawiedliwości </w:t>
      </w:r>
      <w:r w:rsidR="00C35B2B">
        <w:rPr>
          <w:rFonts w:ascii="Times New Roman" w:eastAsia="Times New Roman" w:hAnsi="Times New Roman" w:cs="Times New Roman"/>
          <w:bCs/>
          <w:sz w:val="24"/>
          <w:szCs w:val="24"/>
          <w:lang w:eastAsia="pl-PL"/>
        </w:rPr>
        <w:t xml:space="preserve">w </w:t>
      </w:r>
      <w:r w:rsidR="0062595A">
        <w:rPr>
          <w:rFonts w:ascii="Times New Roman" w:eastAsia="Times New Roman" w:hAnsi="Times New Roman" w:cs="Times New Roman"/>
          <w:bCs/>
          <w:sz w:val="24"/>
          <w:szCs w:val="24"/>
          <w:lang w:eastAsia="pl-PL"/>
        </w:rPr>
        <w:t>porozumieniu z </w:t>
      </w:r>
      <w:r w:rsidRPr="00153A56">
        <w:rPr>
          <w:rFonts w:ascii="Times New Roman" w:eastAsia="Times New Roman" w:hAnsi="Times New Roman" w:cs="Times New Roman"/>
          <w:bCs/>
          <w:sz w:val="24"/>
          <w:szCs w:val="24"/>
          <w:lang w:eastAsia="pl-PL"/>
        </w:rPr>
        <w:t>ministrem właściwym do spraw rodziny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7 k.p.c.).</w:t>
      </w:r>
      <w:r w:rsidR="00EF5A58">
        <w:rPr>
          <w:rFonts w:ascii="Times New Roman" w:eastAsia="Times New Roman" w:hAnsi="Times New Roman" w:cs="Times New Roman"/>
          <w:bCs/>
          <w:sz w:val="24"/>
          <w:szCs w:val="24"/>
          <w:lang w:eastAsia="pl-PL"/>
        </w:rPr>
        <w:t xml:space="preserve"> </w:t>
      </w:r>
    </w:p>
    <w:p w:rsidR="00153A56" w:rsidRPr="00153A56" w:rsidRDefault="00153A56" w:rsidP="00DF75E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Główną rolę w powyższym postępowaniu będą odgrywać mediatorzy, którzy uzgodnią</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małżonkami warunki rozwodu lub separacji, kwestie władzy rodzicielskiej nad dziećmi, kontaktów z nimi i wysokość alimentów (projektowany art. 436</w:t>
      </w:r>
      <w:r w:rsidRPr="00EF5A58">
        <w:rPr>
          <w:rFonts w:ascii="Times New Roman" w:eastAsia="Times New Roman" w:hAnsi="Times New Roman" w:cs="Times New Roman"/>
          <w:bCs/>
          <w:sz w:val="24"/>
          <w:szCs w:val="24"/>
          <w:vertAlign w:val="superscript"/>
          <w:lang w:eastAsia="pl-PL"/>
        </w:rPr>
        <w:t xml:space="preserve">1 </w:t>
      </w:r>
      <w:r w:rsidRPr="00153A56">
        <w:rPr>
          <w:rFonts w:ascii="Times New Roman" w:eastAsia="Times New Roman" w:hAnsi="Times New Roman" w:cs="Times New Roman"/>
          <w:bCs/>
          <w:sz w:val="24"/>
          <w:szCs w:val="24"/>
          <w:lang w:eastAsia="pl-PL"/>
        </w:rPr>
        <w:t>§</w:t>
      </w:r>
      <w:r w:rsidR="00DF75E7">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1 k.p.c.). </w:t>
      </w:r>
      <w:r w:rsidR="0062595A">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 xml:space="preserve">tym celu strony powinny zawrzeć ugodę, która podlega kontroli sądu na zasadach ogólnych, a </w:t>
      </w:r>
      <w:r w:rsidR="00C35B2B">
        <w:rPr>
          <w:rFonts w:ascii="Times New Roman" w:eastAsia="Times New Roman" w:hAnsi="Times New Roman" w:cs="Times New Roman"/>
          <w:bCs/>
          <w:sz w:val="24"/>
          <w:szCs w:val="24"/>
          <w:lang w:eastAsia="pl-PL"/>
        </w:rPr>
        <w:t>po</w:t>
      </w:r>
      <w:r w:rsidRPr="00153A56">
        <w:rPr>
          <w:rFonts w:ascii="Times New Roman" w:eastAsia="Times New Roman" w:hAnsi="Times New Roman" w:cs="Times New Roman"/>
          <w:bCs/>
          <w:sz w:val="24"/>
          <w:szCs w:val="24"/>
          <w:lang w:eastAsia="pl-PL"/>
        </w:rPr>
        <w:t>nadto sąd zbada wówczas</w:t>
      </w:r>
      <w:r w:rsidR="00C35B2B">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czy skutkiem wykonania ugody nie ucierpi dobro małoletnich dzieci.</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przypadku takiej oceny ora</w:t>
      </w:r>
      <w:r w:rsidR="0062595A">
        <w:rPr>
          <w:rFonts w:ascii="Times New Roman" w:eastAsia="Times New Roman" w:hAnsi="Times New Roman" w:cs="Times New Roman"/>
          <w:bCs/>
          <w:sz w:val="24"/>
          <w:szCs w:val="24"/>
          <w:lang w:eastAsia="pl-PL"/>
        </w:rPr>
        <w:t xml:space="preserve">z dokonywanej </w:t>
      </w:r>
      <w:r w:rsidR="00C35B2B">
        <w:rPr>
          <w:rFonts w:ascii="Times New Roman" w:eastAsia="Times New Roman" w:hAnsi="Times New Roman" w:cs="Times New Roman"/>
          <w:bCs/>
          <w:sz w:val="24"/>
          <w:szCs w:val="24"/>
          <w:lang w:eastAsia="pl-PL"/>
        </w:rPr>
        <w:t>po</w:t>
      </w:r>
      <w:r w:rsidR="004C215A">
        <w:rPr>
          <w:rFonts w:ascii="Times New Roman" w:eastAsia="Times New Roman" w:hAnsi="Times New Roman" w:cs="Times New Roman"/>
          <w:bCs/>
          <w:sz w:val="24"/>
          <w:szCs w:val="24"/>
          <w:lang w:eastAsia="pl-PL"/>
        </w:rPr>
        <w:t>nadto w </w:t>
      </w:r>
      <w:r w:rsidR="0062595A">
        <w:rPr>
          <w:rFonts w:ascii="Times New Roman" w:eastAsia="Times New Roman" w:hAnsi="Times New Roman" w:cs="Times New Roman"/>
          <w:bCs/>
          <w:sz w:val="24"/>
          <w:szCs w:val="24"/>
          <w:lang w:eastAsia="pl-PL"/>
        </w:rPr>
        <w:t>oparciu o </w:t>
      </w:r>
      <w:r w:rsidRPr="00153A56">
        <w:rPr>
          <w:rFonts w:ascii="Times New Roman" w:eastAsia="Times New Roman" w:hAnsi="Times New Roman" w:cs="Times New Roman"/>
          <w:bCs/>
          <w:sz w:val="24"/>
          <w:szCs w:val="24"/>
          <w:lang w:eastAsia="pl-PL"/>
        </w:rPr>
        <w:t>przepis art. 183</w:t>
      </w:r>
      <w:r w:rsidRPr="00EF5A58">
        <w:rPr>
          <w:rFonts w:ascii="Times New Roman" w:eastAsia="Times New Roman" w:hAnsi="Times New Roman" w:cs="Times New Roman"/>
          <w:bCs/>
          <w:sz w:val="24"/>
          <w:szCs w:val="24"/>
          <w:vertAlign w:val="superscript"/>
          <w:lang w:eastAsia="pl-PL"/>
        </w:rPr>
        <w:t>14</w:t>
      </w:r>
      <w:r w:rsidRPr="00153A56">
        <w:rPr>
          <w:rFonts w:ascii="Times New Roman" w:eastAsia="Times New Roman" w:hAnsi="Times New Roman" w:cs="Times New Roman"/>
          <w:bCs/>
          <w:sz w:val="24"/>
          <w:szCs w:val="24"/>
          <w:lang w:eastAsia="pl-PL"/>
        </w:rPr>
        <w:t xml:space="preserve"> § 3 k.p.c., sąd ugody nie zatwierdzi (projektowany art. 436</w:t>
      </w:r>
      <w:r w:rsidRPr="00EF5A58">
        <w:rPr>
          <w:rFonts w:ascii="Times New Roman" w:eastAsia="Times New Roman" w:hAnsi="Times New Roman" w:cs="Times New Roman"/>
          <w:bCs/>
          <w:sz w:val="24"/>
          <w:szCs w:val="24"/>
          <w:vertAlign w:val="superscript"/>
          <w:lang w:eastAsia="pl-PL"/>
        </w:rPr>
        <w:t>2</w:t>
      </w:r>
      <w:r w:rsidR="0062595A">
        <w:rPr>
          <w:rFonts w:ascii="Times New Roman" w:eastAsia="Times New Roman" w:hAnsi="Times New Roman" w:cs="Times New Roman"/>
          <w:bCs/>
          <w:sz w:val="24"/>
          <w:szCs w:val="24"/>
          <w:lang w:eastAsia="pl-PL"/>
        </w:rPr>
        <w:t xml:space="preserve"> § 6 </w:t>
      </w:r>
      <w:r w:rsidRPr="00153A56">
        <w:rPr>
          <w:rFonts w:ascii="Times New Roman" w:eastAsia="Times New Roman" w:hAnsi="Times New Roman" w:cs="Times New Roman"/>
          <w:bCs/>
          <w:sz w:val="24"/>
          <w:szCs w:val="24"/>
          <w:lang w:eastAsia="pl-PL"/>
        </w:rPr>
        <w:t xml:space="preserve">k.p.c.). Dzięki zawarciu ugody sam proces o rozwód lub o separację, jeśli będzie się toczył, powinien przebiegać znacznie sprawniej i bezkonfliktowo. Jeżeli </w:t>
      </w:r>
      <w:r w:rsidRPr="00153A56">
        <w:rPr>
          <w:rFonts w:ascii="Times New Roman" w:eastAsia="Times New Roman" w:hAnsi="Times New Roman" w:cs="Times New Roman"/>
          <w:bCs/>
          <w:sz w:val="24"/>
          <w:szCs w:val="24"/>
          <w:lang w:eastAsia="pl-PL"/>
        </w:rPr>
        <w:lastRenderedPageBreak/>
        <w:t>strony wypracowały ugodę przed rozpoczęciem rodzinnego postępowania informacyjnego, będzie ona podlegała ocenie sądu tak jak ta zawarta w jego toku.</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W związku z udziałem w posiedzeniu informacyjnym w rodzinnym postępowaniu informacyjnym mediator powinien uzyskać wynagrodzenie, również wówczas</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gdy strony nie zdecydują się na mediację,</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dlatego w projekci</w:t>
      </w:r>
      <w:r w:rsidR="0062595A">
        <w:rPr>
          <w:rFonts w:ascii="Times New Roman" w:eastAsia="Times New Roman" w:hAnsi="Times New Roman" w:cs="Times New Roman"/>
          <w:bCs/>
          <w:sz w:val="24"/>
          <w:szCs w:val="24"/>
          <w:lang w:eastAsia="pl-PL"/>
        </w:rPr>
        <w:t>e przewidziano nowelizację art. </w:t>
      </w:r>
      <w:r w:rsidRPr="00153A56">
        <w:rPr>
          <w:rFonts w:ascii="Times New Roman" w:eastAsia="Times New Roman" w:hAnsi="Times New Roman" w:cs="Times New Roman"/>
          <w:bCs/>
          <w:sz w:val="24"/>
          <w:szCs w:val="24"/>
          <w:lang w:eastAsia="pl-PL"/>
        </w:rPr>
        <w:t>98</w:t>
      </w:r>
      <w:r w:rsidRPr="00EF5A58">
        <w:rPr>
          <w:rFonts w:ascii="Times New Roman" w:eastAsia="Times New Roman" w:hAnsi="Times New Roman" w:cs="Times New Roman"/>
          <w:bCs/>
          <w:sz w:val="24"/>
          <w:szCs w:val="24"/>
          <w:vertAlign w:val="superscript"/>
          <w:lang w:eastAsia="pl-PL"/>
        </w:rPr>
        <w:t xml:space="preserve">1 </w:t>
      </w:r>
      <w:r w:rsidRPr="00153A56">
        <w:rPr>
          <w:rFonts w:ascii="Times New Roman" w:eastAsia="Times New Roman" w:hAnsi="Times New Roman" w:cs="Times New Roman"/>
          <w:bCs/>
          <w:sz w:val="24"/>
          <w:szCs w:val="24"/>
          <w:lang w:eastAsia="pl-PL"/>
        </w:rPr>
        <w:t>§ 4 k.p.c. poprzez objęcie delegacją dla Ministra Sprawiedliwości do wydania rozporządzenia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wysokości wynagrodzenia mediatora za przeprowadzenie </w:t>
      </w:r>
      <w:r w:rsidR="0062595A">
        <w:rPr>
          <w:rFonts w:ascii="Times New Roman" w:eastAsia="Times New Roman" w:hAnsi="Times New Roman" w:cs="Times New Roman"/>
          <w:bCs/>
          <w:sz w:val="24"/>
          <w:szCs w:val="24"/>
          <w:lang w:eastAsia="pl-PL"/>
        </w:rPr>
        <w:t>mediacji w </w:t>
      </w:r>
      <w:r w:rsidRPr="00153A56">
        <w:rPr>
          <w:rFonts w:ascii="Times New Roman" w:eastAsia="Times New Roman" w:hAnsi="Times New Roman" w:cs="Times New Roman"/>
          <w:bCs/>
          <w:sz w:val="24"/>
          <w:szCs w:val="24"/>
          <w:lang w:eastAsia="pl-PL"/>
        </w:rPr>
        <w:t xml:space="preserve">rodzinnym postępowaniu informacyjnym oraz za udział mediatora w posiedzeniu informacyjnym (art. 2 pkt 2 projektu).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Od wniosku o przeprowadzenie rodzinnego postępowania informacyjnego nie będzie pobierana opłata. Państwo weźmie na siebie ciężar poniesienia kosztów, również obejmujących koszty mediacji, która być może doprowadzi do ugodowego zakończenia sporu i utrzymania rodziny. Służą temu propozycje zmian przewidziane w art. 5 projektu,</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 dotyczące ustawy o kosztach sądowych w sprawach cywilnych (projektowany art. 96 u.k.s.c.), w związku z którymi pozostaje nowelizacja art. 183</w:t>
      </w:r>
      <w:r w:rsidRPr="00EF5A58">
        <w:rPr>
          <w:rFonts w:ascii="Times New Roman" w:eastAsia="Times New Roman" w:hAnsi="Times New Roman" w:cs="Times New Roman"/>
          <w:bCs/>
          <w:sz w:val="24"/>
          <w:szCs w:val="24"/>
          <w:vertAlign w:val="superscript"/>
          <w:lang w:eastAsia="pl-PL"/>
        </w:rPr>
        <w:t>5</w:t>
      </w:r>
      <w:r w:rsidRPr="00153A56">
        <w:rPr>
          <w:rFonts w:ascii="Times New Roman" w:eastAsia="Times New Roman" w:hAnsi="Times New Roman" w:cs="Times New Roman"/>
          <w:bCs/>
          <w:sz w:val="24"/>
          <w:szCs w:val="24"/>
          <w:lang w:eastAsia="pl-PL"/>
        </w:rPr>
        <w:t xml:space="preserve"> k.p.c. (art. 2 pkt 3 projektu).</w:t>
      </w:r>
      <w:r w:rsidR="00EF5A58">
        <w:rPr>
          <w:rFonts w:ascii="Times New Roman" w:eastAsia="Times New Roman" w:hAnsi="Times New Roman" w:cs="Times New Roman"/>
          <w:bCs/>
          <w:sz w:val="24"/>
          <w:szCs w:val="24"/>
          <w:lang w:eastAsia="pl-PL"/>
        </w:rPr>
        <w:t xml:space="preserve">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 przewiduje również zakaz żądania w rodzinnym postępowaniu informacyjnym udzielenia zabezpieczenia na podstawie art. 730 k.p.c.</w:t>
      </w:r>
      <w:r w:rsidR="00955FBE">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(projektowany art. 436</w:t>
      </w:r>
      <w:r w:rsidRPr="00EF5A58">
        <w:rPr>
          <w:rFonts w:ascii="Times New Roman" w:eastAsia="Times New Roman" w:hAnsi="Times New Roman" w:cs="Times New Roman"/>
          <w:bCs/>
          <w:sz w:val="24"/>
          <w:szCs w:val="24"/>
          <w:vertAlign w:val="superscript"/>
          <w:lang w:eastAsia="pl-PL"/>
        </w:rPr>
        <w:t>1</w:t>
      </w:r>
      <w:r w:rsidR="0062595A">
        <w:rPr>
          <w:rFonts w:ascii="Times New Roman" w:eastAsia="Times New Roman" w:hAnsi="Times New Roman" w:cs="Times New Roman"/>
          <w:bCs/>
          <w:sz w:val="24"/>
          <w:szCs w:val="24"/>
          <w:lang w:eastAsia="pl-PL"/>
        </w:rPr>
        <w:t xml:space="preserve"> § 5 </w:t>
      </w:r>
      <w:r w:rsidRPr="00153A56">
        <w:rPr>
          <w:rFonts w:ascii="Times New Roman" w:eastAsia="Times New Roman" w:hAnsi="Times New Roman" w:cs="Times New Roman"/>
          <w:bCs/>
          <w:sz w:val="24"/>
          <w:szCs w:val="24"/>
          <w:lang w:eastAsia="pl-PL"/>
        </w:rPr>
        <w:t>k.p.c.). Umożliwienie stronom składanie wniosków o zabezpieczenie wydłużałoby rodzinne postępowanie informacyjne. Ponadto celem tego postępowania jest ukierunkowanie na wypracowanie ugody między małżonkami, a nie uzyskanie korzystnego dla każdej ze stron orzeczenia. Proje</w:t>
      </w:r>
      <w:r w:rsidR="0062595A">
        <w:rPr>
          <w:rFonts w:ascii="Times New Roman" w:eastAsia="Times New Roman" w:hAnsi="Times New Roman" w:cs="Times New Roman"/>
          <w:bCs/>
          <w:sz w:val="24"/>
          <w:szCs w:val="24"/>
          <w:lang w:eastAsia="pl-PL"/>
        </w:rPr>
        <w:t>kt zakłada, że złożenie pozwu o </w:t>
      </w:r>
      <w:r w:rsidRPr="00153A56">
        <w:rPr>
          <w:rFonts w:ascii="Times New Roman" w:eastAsia="Times New Roman" w:hAnsi="Times New Roman" w:cs="Times New Roman"/>
          <w:bCs/>
          <w:sz w:val="24"/>
          <w:szCs w:val="24"/>
          <w:lang w:eastAsia="pl-PL"/>
        </w:rPr>
        <w:t>rozwód lub separację, gdy strony nie uczestniczyły w rodzinnym postępowaniu informacyjnym, w przypadkach, w których obowiązek ten ich dotyczy, nie spowoduje rozpoznania sprawy o rozwód lub o separację. Aby mogło to być możliwe, wymaga się w tym celu dołączenia do pozwu odpisu postanowienia o umorzeniu rodzinnego postępowania informacyjnego (projektowany art. 436</w:t>
      </w:r>
      <w:r w:rsidRPr="00EF5A58">
        <w:rPr>
          <w:rFonts w:ascii="Times New Roman" w:eastAsia="Times New Roman" w:hAnsi="Times New Roman" w:cs="Times New Roman"/>
          <w:bCs/>
          <w:sz w:val="24"/>
          <w:szCs w:val="24"/>
          <w:vertAlign w:val="superscript"/>
          <w:lang w:eastAsia="pl-PL"/>
        </w:rPr>
        <w:t xml:space="preserve">4 </w:t>
      </w:r>
      <w:r w:rsidRPr="00153A56">
        <w:rPr>
          <w:rFonts w:ascii="Times New Roman" w:eastAsia="Times New Roman" w:hAnsi="Times New Roman" w:cs="Times New Roman"/>
          <w:bCs/>
          <w:sz w:val="24"/>
          <w:szCs w:val="24"/>
          <w:lang w:eastAsia="pl-PL"/>
        </w:rPr>
        <w:t>§ 1 k.p.c.). Brak odpisu postanowienia oznacza niezachowanie warunków formalnych pisma i zwrot pisma po bezskutecznym upływie terminu wzywającego do jego</w:t>
      </w:r>
      <w:r w:rsidR="0062595A">
        <w:rPr>
          <w:rFonts w:ascii="Times New Roman" w:eastAsia="Times New Roman" w:hAnsi="Times New Roman" w:cs="Times New Roman"/>
          <w:bCs/>
          <w:sz w:val="24"/>
          <w:szCs w:val="24"/>
          <w:lang w:eastAsia="pl-PL"/>
        </w:rPr>
        <w:t xml:space="preserve"> uzupełnienia (art. 130 § 1 i 2 </w:t>
      </w:r>
      <w:r w:rsidRPr="00153A56">
        <w:rPr>
          <w:rFonts w:ascii="Times New Roman" w:eastAsia="Times New Roman" w:hAnsi="Times New Roman" w:cs="Times New Roman"/>
          <w:bCs/>
          <w:sz w:val="24"/>
          <w:szCs w:val="24"/>
          <w:lang w:eastAsia="pl-PL"/>
        </w:rPr>
        <w:t>k.p.c.).</w:t>
      </w:r>
      <w:r w:rsidR="00EF5A58">
        <w:rPr>
          <w:rFonts w:ascii="Times New Roman" w:eastAsia="Times New Roman" w:hAnsi="Times New Roman" w:cs="Times New Roman"/>
          <w:bCs/>
          <w:sz w:val="24"/>
          <w:szCs w:val="24"/>
          <w:lang w:eastAsia="pl-PL"/>
        </w:rPr>
        <w:t xml:space="preserve">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 xml:space="preserve">W ramach proponowanych zmian znalazły się również propozycje usprawnienia postępowań sądowych powiązanych z postępowaniem o rozwód lub o separację, czyli </w:t>
      </w:r>
      <w:r w:rsidRPr="00153A56">
        <w:rPr>
          <w:rFonts w:ascii="Times New Roman" w:eastAsia="Times New Roman" w:hAnsi="Times New Roman" w:cs="Times New Roman"/>
          <w:bCs/>
          <w:sz w:val="24"/>
          <w:szCs w:val="24"/>
          <w:lang w:eastAsia="pl-PL"/>
        </w:rPr>
        <w:lastRenderedPageBreak/>
        <w:t>przepisy art. 445</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i art. 445</w:t>
      </w:r>
      <w:r w:rsidRPr="00EF5A58">
        <w:rPr>
          <w:rFonts w:ascii="Times New Roman" w:eastAsia="Times New Roman" w:hAnsi="Times New Roman" w:cs="Times New Roman"/>
          <w:bCs/>
          <w:sz w:val="24"/>
          <w:szCs w:val="24"/>
          <w:vertAlign w:val="superscript"/>
          <w:lang w:eastAsia="pl-PL"/>
        </w:rPr>
        <w:t>1a</w:t>
      </w:r>
      <w:r w:rsidRPr="00153A56">
        <w:rPr>
          <w:rFonts w:ascii="Times New Roman" w:eastAsia="Times New Roman" w:hAnsi="Times New Roman" w:cs="Times New Roman"/>
          <w:bCs/>
          <w:sz w:val="24"/>
          <w:szCs w:val="24"/>
          <w:lang w:eastAsia="pl-PL"/>
        </w:rPr>
        <w:t xml:space="preserve"> k.p.c. Jest to istotny element z uwagi na prawa stron</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uczestników postępowania, ale pośrednio również przekłada się na sytuację ich małoletnich dzieci. Niewątpliwie przedłużające się postępowania tworzą sytuację niepewności, a to wpływa na poziom stresu, destabilizacji i poczucie bezpieczeństwa.</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Obecnie postępowania dotyczące władzy rodzicielskiej lub kontaktów wszczęte przed wytoczeniem powództwa o rozwód lub o separację, które nie zostały zakończone, ulegają zawieszeniu i oczekują na zakończenie sprawy rozwodowej. Sprawa jest zawieszona niejednokrotnie na okres kilku lat, a następnie w większości przypadków jest umarzana. Konieczna jest koncentracja postępowań oraz materiału dowodowego przed jednym sądem</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rozstrzygnięcie w jednym postępowaniu. Ideą jest</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aby w takich okolicznościach sprawami</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wyżej wymienionego zakresu zajmował się jeden sąd – sąd właściwy do orzekania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sprawach o rozwód i o separację. Projektowany art. 445</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 2 k.p.c. przewiduje przekazywanie sprawy do sądu okręgowego, przed którym toczy się sprawa o rozwód lub</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separację. Nie wyklucza to podejmowania decyzji w nagłych sytuacjach w oparciu o treść art. 569 § 2 k.p.c.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Projektowany art. 445</w:t>
      </w:r>
      <w:r w:rsidRPr="00EF5A58">
        <w:rPr>
          <w:rFonts w:ascii="Times New Roman" w:eastAsia="Times New Roman" w:hAnsi="Times New Roman" w:cs="Times New Roman"/>
          <w:bCs/>
          <w:sz w:val="24"/>
          <w:szCs w:val="24"/>
          <w:vertAlign w:val="superscript"/>
          <w:lang w:eastAsia="pl-PL"/>
        </w:rPr>
        <w:t>1a</w:t>
      </w:r>
      <w:r w:rsidRPr="00153A56">
        <w:rPr>
          <w:rFonts w:ascii="Times New Roman" w:eastAsia="Times New Roman" w:hAnsi="Times New Roman" w:cs="Times New Roman"/>
          <w:bCs/>
          <w:sz w:val="24"/>
          <w:szCs w:val="24"/>
          <w:lang w:eastAsia="pl-PL"/>
        </w:rPr>
        <w:t xml:space="preserve"> § 1 k.p.c. przewiduje, że w czasie trwania rodzinnego postępowania informacyjnego nie mogą być wszczęte postępowania w sądzie rejonowym dotyczące zaspokojenia potrzeb rodziny, alimentów oraz władzy rodzicielskiej i kontaktów. Założeniem jest</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aby małżonkowie podczas trwania rodzinnego postępowania informacyjnego skupili się na wypracowaniu ugody. Wszczynanie spraw przed sądem rejonowym rodziłoby </w:t>
      </w:r>
      <w:r w:rsidR="0062595A">
        <w:rPr>
          <w:rFonts w:ascii="Times New Roman" w:eastAsia="Times New Roman" w:hAnsi="Times New Roman" w:cs="Times New Roman"/>
          <w:bCs/>
          <w:sz w:val="24"/>
          <w:szCs w:val="24"/>
          <w:lang w:eastAsia="pl-PL"/>
        </w:rPr>
        <w:t>kolejne konflikty między nimi i </w:t>
      </w:r>
      <w:r w:rsidRPr="00153A56">
        <w:rPr>
          <w:rFonts w:ascii="Times New Roman" w:eastAsia="Times New Roman" w:hAnsi="Times New Roman" w:cs="Times New Roman"/>
          <w:bCs/>
          <w:sz w:val="24"/>
          <w:szCs w:val="24"/>
          <w:lang w:eastAsia="pl-PL"/>
        </w:rPr>
        <w:t>nie sprzyjałoby ich rozwiązywaniu w sposób ugodowy.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projekcie przewidziano, że elementy</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jakie powinna zawierać taka ugoda</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określi, w drodze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rozporządzenia, Minister Sprawiedliwości (projektowany art. 436</w:t>
      </w:r>
      <w:r w:rsidRPr="00EF5A58">
        <w:rPr>
          <w:rFonts w:ascii="Times New Roman" w:eastAsia="Times New Roman" w:hAnsi="Times New Roman" w:cs="Times New Roman"/>
          <w:bCs/>
          <w:sz w:val="24"/>
          <w:szCs w:val="24"/>
          <w:vertAlign w:val="superscript"/>
          <w:lang w:eastAsia="pl-PL"/>
        </w:rPr>
        <w:t>2</w:t>
      </w:r>
      <w:r w:rsidRPr="00153A56">
        <w:rPr>
          <w:rFonts w:ascii="Times New Roman" w:eastAsia="Times New Roman" w:hAnsi="Times New Roman" w:cs="Times New Roman"/>
          <w:bCs/>
          <w:sz w:val="24"/>
          <w:szCs w:val="24"/>
          <w:lang w:eastAsia="pl-PL"/>
        </w:rPr>
        <w:t xml:space="preserve"> § 8 k.p.c.).</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Postępowania w sprawie dotyczącej władzy rodzicielskiej i kontaktów wszczęte przed złożeniem wniosku o rodzinne postępowanie informacyjne ulegał</w:t>
      </w:r>
      <w:r w:rsidR="00955FBE">
        <w:rPr>
          <w:rFonts w:ascii="Times New Roman" w:eastAsia="Times New Roman" w:hAnsi="Times New Roman" w:cs="Times New Roman"/>
          <w:bCs/>
          <w:sz w:val="24"/>
          <w:szCs w:val="24"/>
          <w:lang w:eastAsia="pl-PL"/>
        </w:rPr>
        <w:t>y</w:t>
      </w:r>
      <w:r w:rsidRPr="00153A56">
        <w:rPr>
          <w:rFonts w:ascii="Times New Roman" w:eastAsia="Times New Roman" w:hAnsi="Times New Roman" w:cs="Times New Roman"/>
          <w:bCs/>
          <w:sz w:val="24"/>
          <w:szCs w:val="24"/>
          <w:lang w:eastAsia="pl-PL"/>
        </w:rPr>
        <w:t>by zawieszeniu. Jednocześnie sąd opiekuńczy będzie mógł orzekać w postępowaniu zabezpieczającym (projektowany art. 445</w:t>
      </w:r>
      <w:r w:rsidRPr="00EF5A58">
        <w:rPr>
          <w:rFonts w:ascii="Times New Roman" w:eastAsia="Times New Roman" w:hAnsi="Times New Roman" w:cs="Times New Roman"/>
          <w:bCs/>
          <w:sz w:val="24"/>
          <w:szCs w:val="24"/>
          <w:vertAlign w:val="superscript"/>
          <w:lang w:eastAsia="pl-PL"/>
        </w:rPr>
        <w:t>1a</w:t>
      </w:r>
      <w:r w:rsidRPr="00153A56">
        <w:rPr>
          <w:rFonts w:ascii="Times New Roman" w:eastAsia="Times New Roman" w:hAnsi="Times New Roman" w:cs="Times New Roman"/>
          <w:bCs/>
          <w:sz w:val="24"/>
          <w:szCs w:val="24"/>
          <w:lang w:eastAsia="pl-PL"/>
        </w:rPr>
        <w:t xml:space="preserve"> § 2 k.p.c.). Rozwiązan</w:t>
      </w:r>
      <w:r w:rsidR="0062595A">
        <w:rPr>
          <w:rFonts w:ascii="Times New Roman" w:eastAsia="Times New Roman" w:hAnsi="Times New Roman" w:cs="Times New Roman"/>
          <w:bCs/>
          <w:sz w:val="24"/>
          <w:szCs w:val="24"/>
          <w:lang w:eastAsia="pl-PL"/>
        </w:rPr>
        <w:t>ie to nie stoi w sprzeczności z </w:t>
      </w:r>
      <w:r w:rsidRPr="00153A56">
        <w:rPr>
          <w:rFonts w:ascii="Times New Roman" w:eastAsia="Times New Roman" w:hAnsi="Times New Roman" w:cs="Times New Roman"/>
          <w:bCs/>
          <w:sz w:val="24"/>
          <w:szCs w:val="24"/>
          <w:lang w:eastAsia="pl-PL"/>
        </w:rPr>
        <w:t>projektowanym art. 436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 5 k.p.c., wyłączają</w:t>
      </w:r>
      <w:r w:rsidR="0062595A">
        <w:rPr>
          <w:rFonts w:ascii="Times New Roman" w:eastAsia="Times New Roman" w:hAnsi="Times New Roman" w:cs="Times New Roman"/>
          <w:bCs/>
          <w:sz w:val="24"/>
          <w:szCs w:val="24"/>
          <w:lang w:eastAsia="pl-PL"/>
        </w:rPr>
        <w:t>cym udzielenie zabezpieczenia w </w:t>
      </w:r>
      <w:r w:rsidRPr="00153A56">
        <w:rPr>
          <w:rFonts w:ascii="Times New Roman" w:eastAsia="Times New Roman" w:hAnsi="Times New Roman" w:cs="Times New Roman"/>
          <w:bCs/>
          <w:sz w:val="24"/>
          <w:szCs w:val="24"/>
          <w:lang w:eastAsia="pl-PL"/>
        </w:rPr>
        <w:t>rodzinnym postępowaniu informacyjnym, gd</w:t>
      </w:r>
      <w:r w:rsidR="0062595A">
        <w:rPr>
          <w:rFonts w:ascii="Times New Roman" w:eastAsia="Times New Roman" w:hAnsi="Times New Roman" w:cs="Times New Roman"/>
          <w:bCs/>
          <w:sz w:val="24"/>
          <w:szCs w:val="24"/>
          <w:lang w:eastAsia="pl-PL"/>
        </w:rPr>
        <w:t>yż odnosi się do postępowania w </w:t>
      </w:r>
      <w:r w:rsidRPr="00153A56">
        <w:rPr>
          <w:rFonts w:ascii="Times New Roman" w:eastAsia="Times New Roman" w:hAnsi="Times New Roman" w:cs="Times New Roman"/>
          <w:bCs/>
          <w:sz w:val="24"/>
          <w:szCs w:val="24"/>
          <w:lang w:eastAsia="pl-PL"/>
        </w:rPr>
        <w:t>sprawie zawieszonej, prowadzonej przez sąd opiekuńczy. Projektowany art. 436</w:t>
      </w:r>
      <w:r w:rsidRPr="00EF5A58">
        <w:rPr>
          <w:rFonts w:ascii="Times New Roman" w:eastAsia="Times New Roman" w:hAnsi="Times New Roman" w:cs="Times New Roman"/>
          <w:bCs/>
          <w:sz w:val="24"/>
          <w:szCs w:val="24"/>
          <w:vertAlign w:val="superscript"/>
          <w:lang w:eastAsia="pl-PL"/>
        </w:rPr>
        <w:t>1</w:t>
      </w:r>
      <w:r w:rsidR="0062595A">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lastRenderedPageBreak/>
        <w:t>§ 5 </w:t>
      </w:r>
      <w:r w:rsidRPr="00153A56">
        <w:rPr>
          <w:rFonts w:ascii="Times New Roman" w:eastAsia="Times New Roman" w:hAnsi="Times New Roman" w:cs="Times New Roman"/>
          <w:bCs/>
          <w:sz w:val="24"/>
          <w:szCs w:val="24"/>
          <w:lang w:eastAsia="pl-PL"/>
        </w:rPr>
        <w:t>k.p.c. jest natomiast adresowany do sądu, przed którym toczy się rodzinne postępowanie informacyjne.</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 kolei postępowania w sprawie alimentów i zaspokajania potrzeb rodziny wszczęte przed złożeniem wniosku o rodzinne postępowanie informacyjne ulegałyby zawieszeniu jedynie co do świadczeń za okres od złożenia wniosku o rodzinne postępowanie informacyjne (projektowany art. 445</w:t>
      </w:r>
      <w:r w:rsidRPr="00EF5A58">
        <w:rPr>
          <w:rFonts w:ascii="Times New Roman" w:eastAsia="Times New Roman" w:hAnsi="Times New Roman" w:cs="Times New Roman"/>
          <w:bCs/>
          <w:sz w:val="24"/>
          <w:szCs w:val="24"/>
          <w:vertAlign w:val="superscript"/>
          <w:lang w:eastAsia="pl-PL"/>
        </w:rPr>
        <w:t>1a</w:t>
      </w:r>
      <w:r w:rsidRPr="00153A56">
        <w:rPr>
          <w:rFonts w:ascii="Times New Roman" w:eastAsia="Times New Roman" w:hAnsi="Times New Roman" w:cs="Times New Roman"/>
          <w:bCs/>
          <w:sz w:val="24"/>
          <w:szCs w:val="24"/>
          <w:lang w:eastAsia="pl-PL"/>
        </w:rPr>
        <w:t xml:space="preserve"> § 3 k.p.c.).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Innym elementem usprawniającym postępowanie, w tym przypadku o rozwód lub</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separację, jest projektowany przepis art. 441 § 2, który przewiduje możliwość ograniczenia postępowania dowodowego w przypadku zawarcia ugody w rodzinnym postępowaniu informacyjnym, do ustalenia okoliczności dotyczących rozkładu pożycia oraz czy wskutek rozwodu lub separacji nie ucierpi dobro wspólnych małoletnich dzieci małżonków.</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Kładąc nacisk na trwałość małżeństwa</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projekt przewiduje skreślenie zdania drugiego</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przepisie art. 440 k.p.c. celem umożliwienia zawieszenia postępowania w sprawie</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rozwód i o separację</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kiedy tylko istnieją widoki utrzymanie pożycia małżeńskiego. Obecna regulacja przewiduje zawieszenie postępowania w sprawach tego rodzaju tylko raz.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Istotnym zagadnieniem jest zapewnienie małoletnim wysłuchiwanym w sądzie odpowiednich warunków pozwalających na ograniczenie stresu związanego z wizytą</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sądzie i prowadzonymi z jego udziałem czynnościami. Proponowana zmiana treści art. 216</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k.p.c. przez dodanie § 3 i tym samym art. 576 k.p.c., również poprzez dodanie § 3, wynika</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potrzeby ustandaryzowania warunków, w których odbywać się może wysłuchanie małoletnich. Oba przepisy regulują zagadnienie wysłuchania małoletniego, w zależności od rodzaju postępowania. Obecnie zarówno art. 216</w:t>
      </w:r>
      <w:r w:rsidRPr="00EF5A58">
        <w:rPr>
          <w:rFonts w:ascii="Times New Roman" w:eastAsia="Times New Roman" w:hAnsi="Times New Roman" w:cs="Times New Roman"/>
          <w:bCs/>
          <w:sz w:val="24"/>
          <w:szCs w:val="24"/>
          <w:vertAlign w:val="superscript"/>
          <w:lang w:eastAsia="pl-PL"/>
        </w:rPr>
        <w:t xml:space="preserve">1 </w:t>
      </w:r>
      <w:r w:rsidR="0062595A">
        <w:rPr>
          <w:rFonts w:ascii="Times New Roman" w:eastAsia="Times New Roman" w:hAnsi="Times New Roman" w:cs="Times New Roman"/>
          <w:bCs/>
          <w:sz w:val="24"/>
          <w:szCs w:val="24"/>
          <w:lang w:eastAsia="pl-PL"/>
        </w:rPr>
        <w:t>§ 1 k.p.c., jak i art. </w:t>
      </w:r>
      <w:r w:rsidRPr="00153A56">
        <w:rPr>
          <w:rFonts w:ascii="Times New Roman" w:eastAsia="Times New Roman" w:hAnsi="Times New Roman" w:cs="Times New Roman"/>
          <w:bCs/>
          <w:sz w:val="24"/>
          <w:szCs w:val="24"/>
          <w:lang w:eastAsia="pl-PL"/>
        </w:rPr>
        <w:t>576 § 2 k.p.c., wskazują jedynie, że wysłuchanie odbywa się poza salą posiedzeń sądu. Proponuje się uzupełnienie tego zapisu o warunki</w:t>
      </w:r>
      <w:r w:rsidR="000B738C">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jakim powinno odpowiadać takie pomieszczenie. Propozycja nie dotyczy trybu wysłuchania. Zamiarem projektodawcy jest, aby pokoje wysłuchań miały przyjazny dla małoletnich charakter, zapewniające swobodę wypowiedzi i poczucie bezpi</w:t>
      </w:r>
      <w:r w:rsidR="008C0845">
        <w:rPr>
          <w:rFonts w:ascii="Times New Roman" w:eastAsia="Times New Roman" w:hAnsi="Times New Roman" w:cs="Times New Roman"/>
          <w:bCs/>
          <w:sz w:val="24"/>
          <w:szCs w:val="24"/>
          <w:lang w:eastAsia="pl-PL"/>
        </w:rPr>
        <w:t>eczeństwa małoletnich. Chodzi o </w:t>
      </w:r>
      <w:r w:rsidRPr="00153A56">
        <w:rPr>
          <w:rFonts w:ascii="Times New Roman" w:eastAsia="Times New Roman" w:hAnsi="Times New Roman" w:cs="Times New Roman"/>
          <w:bCs/>
          <w:sz w:val="24"/>
          <w:szCs w:val="24"/>
          <w:lang w:eastAsia="pl-PL"/>
        </w:rPr>
        <w:t>to</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aby wyodrębnione pomieszczenie wyposażone było w sprzęt przypominający warunki mieszkania. Nie będzie w tych pomieszczeniach wymagane instalowanie kosztownych sprzętów rejestracji obrazu i dźwięku, gdyż wysłuchanie nie podlega </w:t>
      </w:r>
      <w:r w:rsidRPr="00153A56">
        <w:rPr>
          <w:rFonts w:ascii="Times New Roman" w:eastAsia="Times New Roman" w:hAnsi="Times New Roman" w:cs="Times New Roman"/>
          <w:bCs/>
          <w:sz w:val="24"/>
          <w:szCs w:val="24"/>
          <w:lang w:eastAsia="pl-PL"/>
        </w:rPr>
        <w:lastRenderedPageBreak/>
        <w:t xml:space="preserve">ujawnieniu. Zaznaczyć oczywiście należy, że jeżeli sądy posiadają już pomieszczenia spełniające pełne wymagania określone w </w:t>
      </w:r>
      <w:r w:rsidR="00955FBE">
        <w:rPr>
          <w:rFonts w:ascii="Times New Roman" w:eastAsia="Times New Roman" w:hAnsi="Times New Roman" w:cs="Times New Roman"/>
          <w:bCs/>
          <w:sz w:val="24"/>
          <w:szCs w:val="24"/>
          <w:lang w:eastAsia="pl-PL"/>
        </w:rPr>
        <w:t>r</w:t>
      </w:r>
      <w:r w:rsidRPr="00153A56">
        <w:rPr>
          <w:rFonts w:ascii="Times New Roman" w:eastAsia="Times New Roman" w:hAnsi="Times New Roman" w:cs="Times New Roman"/>
          <w:bCs/>
          <w:sz w:val="24"/>
          <w:szCs w:val="24"/>
          <w:lang w:eastAsia="pl-PL"/>
        </w:rPr>
        <w:t>ozporządzeniu Min</w:t>
      </w:r>
      <w:r w:rsidR="004C215A">
        <w:rPr>
          <w:rFonts w:ascii="Times New Roman" w:eastAsia="Times New Roman" w:hAnsi="Times New Roman" w:cs="Times New Roman"/>
          <w:bCs/>
          <w:sz w:val="24"/>
          <w:szCs w:val="24"/>
          <w:lang w:eastAsia="pl-PL"/>
        </w:rPr>
        <w:t>istra Sprawiedliwości z </w:t>
      </w:r>
      <w:r w:rsidR="0062595A">
        <w:rPr>
          <w:rFonts w:ascii="Times New Roman" w:eastAsia="Times New Roman" w:hAnsi="Times New Roman" w:cs="Times New Roman"/>
          <w:bCs/>
          <w:sz w:val="24"/>
          <w:szCs w:val="24"/>
          <w:lang w:eastAsia="pl-PL"/>
        </w:rPr>
        <w:t>dnia 18 </w:t>
      </w:r>
      <w:r w:rsidRPr="00153A56">
        <w:rPr>
          <w:rFonts w:ascii="Times New Roman" w:eastAsia="Times New Roman" w:hAnsi="Times New Roman" w:cs="Times New Roman"/>
          <w:bCs/>
          <w:sz w:val="24"/>
          <w:szCs w:val="24"/>
          <w:lang w:eastAsia="pl-PL"/>
        </w:rPr>
        <w:t>grudnia 2013 r. w sprawie sposobu przygotowania przesłuchania przeprowadzanego w trybie określonym w art. 185a</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185c k.p.k. (Dz. U. poz. 1642), to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takich pomieszczeniach również mogą odbywać się wysłuchania małoletnich i nie będzie istniała potrzeba tworzenia odrębnych pokoi wysłuchań.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Usprawnieniu postępowania sądowego służy również projektowany art. 732 k.p.c. Obserwacja praktyki sądowej w sprawach rodzinnych wskazuje, że jedną z głównych przyczyn przewlekłości postępowań sądowych, które nie są zależne od sądów, są składane wielokrotnie wnioski o zabezpieczenie i o zmianę sposobu zabezpieczenia, następnie zaskarżane przez uczestników (strony). Zaproponowane w pro</w:t>
      </w:r>
      <w:r w:rsidR="0062595A">
        <w:rPr>
          <w:rFonts w:ascii="Times New Roman" w:eastAsia="Times New Roman" w:hAnsi="Times New Roman" w:cs="Times New Roman"/>
          <w:bCs/>
          <w:sz w:val="24"/>
          <w:szCs w:val="24"/>
          <w:lang w:eastAsia="pl-PL"/>
        </w:rPr>
        <w:t>jektowanym § </w:t>
      </w:r>
      <w:r w:rsidRPr="00153A56">
        <w:rPr>
          <w:rFonts w:ascii="Times New Roman" w:eastAsia="Times New Roman" w:hAnsi="Times New Roman" w:cs="Times New Roman"/>
          <w:bCs/>
          <w:sz w:val="24"/>
          <w:szCs w:val="24"/>
          <w:lang w:eastAsia="pl-PL"/>
        </w:rPr>
        <w:t>2 rozwiązanie może w istotny sposób wpłynąć na przyśpieszenie rozpoznawania spraw, w szczególności rozwodowych czy o ustalenie kontaktów. Projekt przewiduje zatem, że wniosek</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o zabezpieczenie może być złożony w terminie do 30 dni od złożenia pisma wszczynającego postępowanie, a zmiana postanowienia o zabezpieczeniu może nastąpić wyłącznie wtedy, gdy zachodzą uzasadnione obawy bezpośredniego zagrożenia dobra małoletniego. Takie rozwiązanie powinno przyczynić się do ograniczenia wnoszonych środków, które paraliżują sprawne rozpoznawanie spraw.</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Temu samemu celowi służy propozycja nowelizacji art. 742 k.p.c. poprzez dodanie § 4</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Wskazano w projekcie, że wniosek o zmianę zabezpieczenia dopuszczalny jest jedynie</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gdy zachodzą uzasadnione obawy bezpośredniego zagrożenia dobra małoletniego dziecka lub</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w istotny sposób zmianie uległy przyczyny zabezpieczenia. Ocena przesłanek należy do sądu. Uprawnienie do złożenia wniosku o zmianę dotyczyć ma przy tym zarówno zobowiązanego, jak i uprawnionego.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Nowelizacja ustawy o kosztach sądowych w sprawach cywilnych wiąże się</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z </w:t>
      </w:r>
      <w:r w:rsidRPr="00153A56">
        <w:rPr>
          <w:rFonts w:ascii="Times New Roman" w:eastAsia="Times New Roman" w:hAnsi="Times New Roman" w:cs="Times New Roman"/>
          <w:bCs/>
          <w:sz w:val="24"/>
          <w:szCs w:val="24"/>
          <w:lang w:eastAsia="pl-PL"/>
        </w:rPr>
        <w:t>nowelizacją przepisów k.p.c. Zmiana art. 19 ust. 4 u.k.s.c. ma charakter porządkowy, wymaga bowiem wskazania wysokoś</w:t>
      </w:r>
      <w:r w:rsidR="00955FBE">
        <w:rPr>
          <w:rFonts w:ascii="Times New Roman" w:eastAsia="Times New Roman" w:hAnsi="Times New Roman" w:cs="Times New Roman"/>
          <w:bCs/>
          <w:sz w:val="24"/>
          <w:szCs w:val="24"/>
          <w:lang w:eastAsia="pl-PL"/>
        </w:rPr>
        <w:t>ci</w:t>
      </w:r>
      <w:r w:rsidRPr="00153A56">
        <w:rPr>
          <w:rFonts w:ascii="Times New Roman" w:eastAsia="Times New Roman" w:hAnsi="Times New Roman" w:cs="Times New Roman"/>
          <w:bCs/>
          <w:sz w:val="24"/>
          <w:szCs w:val="24"/>
          <w:lang w:eastAsia="pl-PL"/>
        </w:rPr>
        <w:t xml:space="preserve"> pobieranej opłaty od zarzutów w nowym postępowaniu. Art. 79 ust. 1 pkt 3 lit. b u.k.s.c. obliguje obecnie sąd do zwrotu połowy opłaty w sprawach o rozwód i o separację w razie orzeczenia o rozwodzie lub</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separacji na zgodny wniosek stron bez orzekania o winie. Wydaje się, że tego rodzaju możliwość trudno pogodzić ze wskazywaną już konstytucyjną normą</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 xml:space="preserve">o szczególnej ochronie rodziny. W założeniu przepis ten ma sprzyjać szybkiemu zakończeniu tych </w:t>
      </w:r>
      <w:r w:rsidRPr="00153A56">
        <w:rPr>
          <w:rFonts w:ascii="Times New Roman" w:eastAsia="Times New Roman" w:hAnsi="Times New Roman" w:cs="Times New Roman"/>
          <w:bCs/>
          <w:sz w:val="24"/>
          <w:szCs w:val="24"/>
          <w:lang w:eastAsia="pl-PL"/>
        </w:rPr>
        <w:lastRenderedPageBreak/>
        <w:t>spraw. Argument o zwrocie połowy opłaty nie jest jednak ani podstawowym, ani</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w </w:t>
      </w:r>
      <w:r w:rsidRPr="00153A56">
        <w:rPr>
          <w:rFonts w:ascii="Times New Roman" w:eastAsia="Times New Roman" w:hAnsi="Times New Roman" w:cs="Times New Roman"/>
          <w:bCs/>
          <w:sz w:val="24"/>
          <w:szCs w:val="24"/>
          <w:lang w:eastAsia="pl-PL"/>
        </w:rPr>
        <w:t>wielu przypadkach znanym stronom przyczynkiem do osiągnięcia przez nie porozumienia co do zgodnego wniosku procesowego. Nie przekonuje tym bardziej, że opłata w sprawie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o rozwód jest w istocie niewielka i wynosi 600,00 złotych. Z tej przyczyny projekt zakłada, że dotychczasowa możliwość zwrotu ograniczona zostanie jedynie do spraw o separację. Zwrot nie będzie jednak uzależniony od dotychczasowego warunku, ale od tego, czy małżo</w:t>
      </w:r>
      <w:r w:rsidR="0062595A">
        <w:rPr>
          <w:rFonts w:ascii="Times New Roman" w:eastAsia="Times New Roman" w:hAnsi="Times New Roman" w:cs="Times New Roman"/>
          <w:bCs/>
          <w:sz w:val="24"/>
          <w:szCs w:val="24"/>
          <w:lang w:eastAsia="pl-PL"/>
        </w:rPr>
        <w:t>nkowie osiągnęli porozumienie w </w:t>
      </w:r>
      <w:r w:rsidRPr="00153A56">
        <w:rPr>
          <w:rFonts w:ascii="Times New Roman" w:eastAsia="Times New Roman" w:hAnsi="Times New Roman" w:cs="Times New Roman"/>
          <w:bCs/>
          <w:sz w:val="24"/>
          <w:szCs w:val="24"/>
          <w:lang w:eastAsia="pl-PL"/>
        </w:rPr>
        <w:t>kwestiach wymagających rozstrzygnięcia, przewi</w:t>
      </w:r>
      <w:r w:rsidR="0062595A">
        <w:rPr>
          <w:rFonts w:ascii="Times New Roman" w:eastAsia="Times New Roman" w:hAnsi="Times New Roman" w:cs="Times New Roman"/>
          <w:bCs/>
          <w:sz w:val="24"/>
          <w:szCs w:val="24"/>
          <w:lang w:eastAsia="pl-PL"/>
        </w:rPr>
        <w:t>dzianych w Kodeksie rodzinnym i </w:t>
      </w:r>
      <w:r w:rsidRPr="00153A56">
        <w:rPr>
          <w:rFonts w:ascii="Times New Roman" w:eastAsia="Times New Roman" w:hAnsi="Times New Roman" w:cs="Times New Roman"/>
          <w:bCs/>
          <w:sz w:val="24"/>
          <w:szCs w:val="24"/>
          <w:lang w:eastAsia="pl-PL"/>
        </w:rPr>
        <w:t>opiekuńczym (art. 5 pkt 2 projektu).</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 badania przeprowadzonego w 2016 r</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przez Instytut Wymiaru Sprawiedliwości </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Koszty postępowań sądowych w sprawach rozwodowych</w:t>
      </w:r>
      <w:r w:rsidR="00EF5A58">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wynika, że opłaty sądowe uiszczane w sprawach o rozwód odpowiadają za ok. 1% ogółu dochodów budżetowych</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z tytułu opłat sądowych. Uwzględnić w tym należy ok</w:t>
      </w:r>
      <w:r w:rsidR="0062595A">
        <w:rPr>
          <w:rFonts w:ascii="Times New Roman" w:eastAsia="Times New Roman" w:hAnsi="Times New Roman" w:cs="Times New Roman"/>
          <w:bCs/>
          <w:sz w:val="24"/>
          <w:szCs w:val="24"/>
          <w:lang w:eastAsia="pl-PL"/>
        </w:rPr>
        <w:t>oliczność, że co najmniej w 25% </w:t>
      </w:r>
      <w:r w:rsidRPr="00153A56">
        <w:rPr>
          <w:rFonts w:ascii="Times New Roman" w:eastAsia="Times New Roman" w:hAnsi="Times New Roman" w:cs="Times New Roman"/>
          <w:bCs/>
          <w:sz w:val="24"/>
          <w:szCs w:val="24"/>
          <w:lang w:eastAsia="pl-PL"/>
        </w:rPr>
        <w:t>spraw strony są zwolnione z kosztów sądowych. Powoduje to taki skutek, że faktyczne koszty postępowań rozwodowych są znacznie wyższe niż koszty ponoszone przez strony. Rezygnacja ze zwrotu z urzędu poł</w:t>
      </w:r>
      <w:r w:rsidR="0062595A">
        <w:rPr>
          <w:rFonts w:ascii="Times New Roman" w:eastAsia="Times New Roman" w:hAnsi="Times New Roman" w:cs="Times New Roman"/>
          <w:bCs/>
          <w:sz w:val="24"/>
          <w:szCs w:val="24"/>
          <w:lang w:eastAsia="pl-PL"/>
        </w:rPr>
        <w:t>owy opłaty sądowej w sprawach o </w:t>
      </w:r>
      <w:r w:rsidRPr="00153A56">
        <w:rPr>
          <w:rFonts w:ascii="Times New Roman" w:eastAsia="Times New Roman" w:hAnsi="Times New Roman" w:cs="Times New Roman"/>
          <w:bCs/>
          <w:sz w:val="24"/>
          <w:szCs w:val="24"/>
          <w:lang w:eastAsia="pl-PL"/>
        </w:rPr>
        <w:t>rozwód spowodowałaby, że faktyczne koszty byłyby w wyższym zakresie opłacane przez strony,</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a nie ogół obywateli, w znaczeniu udziału w tych kosztach Skarbu Państwa.</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Powyższe oznacza, że nie ma ani konstytucyjnego, ani procesowego, ani nawet finansowego uzasadnienia dalsze wspieranie przez państwo stron postępowań o rozwód</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dotychczasowej formie zwrotu połowy opłaty w przypadku zgodnego wniosku</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rozwód bez orzekania o winie.</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Projektowany art. 6 wskazuje, że alimenty natychmiastowe dotyczą tych dzieci, uprawnionych do świadczeń alimentacyjnych, które przed wejściem w życie ustawy nie występowały o zasądzenie alimentów.</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Projekt przesądza w art. 7, że projektowane w art. 133 § 4 k.r.o. rozwiązanie</w:t>
      </w:r>
      <w:r w:rsidR="00EF5A58">
        <w:rPr>
          <w:rFonts w:ascii="Times New Roman" w:eastAsia="Times New Roman" w:hAnsi="Times New Roman" w:cs="Times New Roman"/>
          <w:sz w:val="24"/>
          <w:szCs w:val="24"/>
          <w:lang w:eastAsia="pl-PL"/>
        </w:rPr>
        <w:t xml:space="preserve"> </w:t>
      </w:r>
      <w:r w:rsidR="0062595A">
        <w:rPr>
          <w:rFonts w:ascii="Times New Roman" w:eastAsia="Times New Roman" w:hAnsi="Times New Roman" w:cs="Times New Roman"/>
          <w:sz w:val="24"/>
          <w:szCs w:val="24"/>
          <w:lang w:eastAsia="pl-PL"/>
        </w:rPr>
        <w:t>o </w:t>
      </w:r>
      <w:r w:rsidRPr="00153A56">
        <w:rPr>
          <w:rFonts w:ascii="Times New Roman" w:eastAsia="Times New Roman" w:hAnsi="Times New Roman" w:cs="Times New Roman"/>
          <w:sz w:val="24"/>
          <w:szCs w:val="24"/>
          <w:lang w:eastAsia="pl-PL"/>
        </w:rPr>
        <w:t>wygaśnięciu świadczenia alimentacyjnego wynikającego z orzeczenia sądu albo ugody</w:t>
      </w:r>
      <w:r w:rsidR="00EF5A58">
        <w:rPr>
          <w:rFonts w:ascii="Times New Roman" w:eastAsia="Times New Roman" w:hAnsi="Times New Roman" w:cs="Times New Roman"/>
          <w:sz w:val="24"/>
          <w:szCs w:val="24"/>
          <w:lang w:eastAsia="pl-PL"/>
        </w:rPr>
        <w:t xml:space="preserve"> </w:t>
      </w:r>
      <w:r w:rsidRPr="00153A56">
        <w:rPr>
          <w:rFonts w:ascii="Times New Roman" w:eastAsia="Times New Roman" w:hAnsi="Times New Roman" w:cs="Times New Roman"/>
          <w:sz w:val="24"/>
          <w:szCs w:val="24"/>
          <w:lang w:eastAsia="pl-PL"/>
        </w:rPr>
        <w:t xml:space="preserve">z chwilą ukończenia przez dziecko 25 lat dotyczy orzeczeń wydanych oraz ugód zawartych po dniu wejścia w życie ustawy.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t xml:space="preserve">Projekt przesądza również, w art. 8 i </w:t>
      </w:r>
      <w:r w:rsidR="00955FBE">
        <w:rPr>
          <w:rFonts w:ascii="Times New Roman" w:eastAsia="Times New Roman" w:hAnsi="Times New Roman" w:cs="Times New Roman"/>
          <w:sz w:val="24"/>
          <w:szCs w:val="24"/>
          <w:lang w:eastAsia="pl-PL"/>
        </w:rPr>
        <w:t xml:space="preserve">art. </w:t>
      </w:r>
      <w:r w:rsidRPr="00153A56">
        <w:rPr>
          <w:rFonts w:ascii="Times New Roman" w:eastAsia="Times New Roman" w:hAnsi="Times New Roman" w:cs="Times New Roman"/>
          <w:sz w:val="24"/>
          <w:szCs w:val="24"/>
          <w:lang w:eastAsia="pl-PL"/>
        </w:rPr>
        <w:t>9, że sprawy w nich wskazane, będące w toku</w:t>
      </w:r>
      <w:r w:rsidR="00EF5A58">
        <w:rPr>
          <w:rFonts w:ascii="Times New Roman" w:eastAsia="Times New Roman" w:hAnsi="Times New Roman" w:cs="Times New Roman"/>
          <w:sz w:val="24"/>
          <w:szCs w:val="24"/>
          <w:lang w:eastAsia="pl-PL"/>
        </w:rPr>
        <w:t xml:space="preserve"> </w:t>
      </w:r>
      <w:r w:rsidR="0062595A">
        <w:rPr>
          <w:rFonts w:ascii="Times New Roman" w:eastAsia="Times New Roman" w:hAnsi="Times New Roman" w:cs="Times New Roman"/>
          <w:sz w:val="24"/>
          <w:szCs w:val="24"/>
          <w:lang w:eastAsia="pl-PL"/>
        </w:rPr>
        <w:t>w </w:t>
      </w:r>
      <w:r w:rsidRPr="00153A56">
        <w:rPr>
          <w:rFonts w:ascii="Times New Roman" w:eastAsia="Times New Roman" w:hAnsi="Times New Roman" w:cs="Times New Roman"/>
          <w:sz w:val="24"/>
          <w:szCs w:val="24"/>
          <w:lang w:eastAsia="pl-PL"/>
        </w:rPr>
        <w:t>chwili wejścia w życie ustawy, podlegają regułom dotychczasowym.</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53A56">
        <w:rPr>
          <w:rFonts w:ascii="Times New Roman" w:eastAsia="Times New Roman" w:hAnsi="Times New Roman" w:cs="Times New Roman"/>
          <w:sz w:val="24"/>
          <w:szCs w:val="24"/>
          <w:lang w:eastAsia="pl-PL"/>
        </w:rPr>
        <w:lastRenderedPageBreak/>
        <w:t xml:space="preserve">W projektowanym art. 11 kwestię </w:t>
      </w:r>
      <w:r w:rsidRPr="00EF6FFD">
        <w:rPr>
          <w:rFonts w:ascii="Times New Roman" w:eastAsia="Times New Roman" w:hAnsi="Times New Roman" w:cs="Times New Roman"/>
          <w:i/>
          <w:sz w:val="24"/>
          <w:szCs w:val="24"/>
          <w:lang w:eastAsia="pl-PL"/>
        </w:rPr>
        <w:t>vacatio legis</w:t>
      </w:r>
      <w:r w:rsidRPr="00153A56">
        <w:rPr>
          <w:rFonts w:ascii="Times New Roman" w:eastAsia="Times New Roman" w:hAnsi="Times New Roman" w:cs="Times New Roman"/>
          <w:sz w:val="24"/>
          <w:szCs w:val="24"/>
          <w:lang w:eastAsia="pl-PL"/>
        </w:rPr>
        <w:t xml:space="preserve"> rozstrzyga się w zależności od przedmiotu nowelizacji. Wprowadzane rozwiązania, niewymagające wydania dodatkowych aktów wykonawczych (projekt przewiduje wydanie czterech rozporządzeń przez Ministra Sprawiedliwości), będą obowiązywały po upływie 14 dni od dnia ogłoszenia, pozostałe zaś po upływie sześciu miesięcy od dnia ogłoszenia.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Zgodnie z § 1 ust. 1 uchwały nr 20 Rady Ministrów z dnia 18 lutego 2014 r.</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 sprawie zaleceń ujednolicenia terminów wejścia w życie niek</w:t>
      </w:r>
      <w:r w:rsidR="0062595A">
        <w:rPr>
          <w:rFonts w:ascii="Times New Roman" w:eastAsia="Times New Roman" w:hAnsi="Times New Roman" w:cs="Times New Roman"/>
          <w:bCs/>
          <w:sz w:val="24"/>
          <w:szCs w:val="24"/>
          <w:lang w:eastAsia="pl-PL"/>
        </w:rPr>
        <w:t>tórych aktów normatywnych (M.P. </w:t>
      </w:r>
      <w:r w:rsidRPr="00153A56">
        <w:rPr>
          <w:rFonts w:ascii="Times New Roman" w:eastAsia="Times New Roman" w:hAnsi="Times New Roman" w:cs="Times New Roman"/>
          <w:bCs/>
          <w:sz w:val="24"/>
          <w:szCs w:val="24"/>
          <w:lang w:eastAsia="pl-PL"/>
        </w:rPr>
        <w:t>poz. 205), projekt ustawy powinien przewidywać jej wejście w życie 1 stycznia albo</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1 czerwca. Ważne względy dotyczące ochrony dobra dziec</w:t>
      </w:r>
      <w:r w:rsidR="0062595A">
        <w:rPr>
          <w:rFonts w:ascii="Times New Roman" w:eastAsia="Times New Roman" w:hAnsi="Times New Roman" w:cs="Times New Roman"/>
          <w:bCs/>
          <w:sz w:val="24"/>
          <w:szCs w:val="24"/>
          <w:lang w:eastAsia="pl-PL"/>
        </w:rPr>
        <w:t>ka przemawiają za </w:t>
      </w:r>
      <w:r w:rsidRPr="00153A56">
        <w:rPr>
          <w:rFonts w:ascii="Times New Roman" w:eastAsia="Times New Roman" w:hAnsi="Times New Roman" w:cs="Times New Roman"/>
          <w:bCs/>
          <w:sz w:val="24"/>
          <w:szCs w:val="24"/>
          <w:lang w:eastAsia="pl-PL"/>
        </w:rPr>
        <w:t>innym terminem wejścia ustawy w życie, to jest wskazanym w projekcie.</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W</w:t>
      </w:r>
      <w:r w:rsidR="009D6AE9">
        <w:rPr>
          <w:rFonts w:ascii="Times New Roman" w:eastAsia="Times New Roman" w:hAnsi="Times New Roman" w:cs="Times New Roman"/>
          <w:bCs/>
          <w:sz w:val="24"/>
          <w:szCs w:val="24"/>
          <w:lang w:eastAsia="pl-PL"/>
        </w:rPr>
        <w:t> </w:t>
      </w:r>
      <w:r w:rsidRPr="00153A56">
        <w:rPr>
          <w:rFonts w:ascii="Times New Roman" w:eastAsia="Times New Roman" w:hAnsi="Times New Roman" w:cs="Times New Roman"/>
          <w:bCs/>
          <w:sz w:val="24"/>
          <w:szCs w:val="24"/>
          <w:lang w:eastAsia="pl-PL"/>
        </w:rPr>
        <w:t>zakresie</w:t>
      </w:r>
      <w:r w:rsidR="0060735A">
        <w:rPr>
          <w:rFonts w:ascii="Times New Roman" w:eastAsia="Times New Roman" w:hAnsi="Times New Roman" w:cs="Times New Roman"/>
          <w:bCs/>
          <w:sz w:val="24"/>
          <w:szCs w:val="24"/>
          <w:lang w:eastAsia="pl-PL"/>
        </w:rPr>
        <w:t>,</w:t>
      </w:r>
      <w:r w:rsidR="00955FBE">
        <w:rPr>
          <w:rFonts w:ascii="Times New Roman" w:eastAsia="Times New Roman" w:hAnsi="Times New Roman" w:cs="Times New Roman"/>
          <w:bCs/>
          <w:sz w:val="24"/>
          <w:szCs w:val="24"/>
          <w:lang w:eastAsia="pl-PL"/>
        </w:rPr>
        <w:t xml:space="preserve"> w</w:t>
      </w:r>
      <w:r w:rsidRPr="00153A56">
        <w:rPr>
          <w:rFonts w:ascii="Times New Roman" w:eastAsia="Times New Roman" w:hAnsi="Times New Roman" w:cs="Times New Roman"/>
          <w:bCs/>
          <w:sz w:val="24"/>
          <w:szCs w:val="24"/>
          <w:lang w:eastAsia="pl-PL"/>
        </w:rPr>
        <w:t xml:space="preserve"> jakim projekt obejmuje zagadnienia wymagające wydania aktów wykonawczych, jest to jednocześnie czas</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lang w:eastAsia="pl-PL"/>
        </w:rPr>
        <w:t xml:space="preserve"> w jakim możliwe będzie ich p</w:t>
      </w:r>
      <w:r w:rsidR="009D6AE9">
        <w:rPr>
          <w:rFonts w:ascii="Times New Roman" w:eastAsia="Times New Roman" w:hAnsi="Times New Roman" w:cs="Times New Roman"/>
          <w:bCs/>
          <w:sz w:val="24"/>
          <w:szCs w:val="24"/>
          <w:lang w:eastAsia="pl-PL"/>
        </w:rPr>
        <w:t>rzygotowanie i </w:t>
      </w:r>
      <w:r w:rsidR="00EF6FFD">
        <w:rPr>
          <w:rFonts w:ascii="Times New Roman" w:eastAsia="Times New Roman" w:hAnsi="Times New Roman" w:cs="Times New Roman"/>
          <w:bCs/>
          <w:sz w:val="24"/>
          <w:szCs w:val="24"/>
          <w:lang w:eastAsia="pl-PL"/>
        </w:rPr>
        <w:t>opublikowanie, a </w:t>
      </w:r>
      <w:r w:rsidRPr="00153A56">
        <w:rPr>
          <w:rFonts w:ascii="Times New Roman" w:eastAsia="Times New Roman" w:hAnsi="Times New Roman" w:cs="Times New Roman"/>
          <w:bCs/>
          <w:sz w:val="24"/>
          <w:szCs w:val="24"/>
          <w:lang w:eastAsia="pl-PL"/>
        </w:rPr>
        <w:t>także przyswojenie nowych rozwiązań przez podmioty, których projekt dotyczy.</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 powodu niedającego się przewidzieć czasu wejścia w życie ustawy obwieszczenie,</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o </w:t>
      </w:r>
      <w:r w:rsidRPr="00153A56">
        <w:rPr>
          <w:rFonts w:ascii="Times New Roman" w:eastAsia="Times New Roman" w:hAnsi="Times New Roman" w:cs="Times New Roman"/>
          <w:bCs/>
          <w:sz w:val="24"/>
          <w:szCs w:val="24"/>
          <w:lang w:eastAsia="pl-PL"/>
        </w:rPr>
        <w:t>którym mowa w projektowanym art. 133</w:t>
      </w:r>
      <w:r w:rsidRPr="00EF5A58">
        <w:rPr>
          <w:rFonts w:ascii="Times New Roman" w:eastAsia="Times New Roman" w:hAnsi="Times New Roman" w:cs="Times New Roman"/>
          <w:bCs/>
          <w:sz w:val="24"/>
          <w:szCs w:val="24"/>
          <w:vertAlign w:val="superscript"/>
          <w:lang w:eastAsia="pl-PL"/>
        </w:rPr>
        <w:t>1</w:t>
      </w:r>
      <w:r w:rsidRPr="00153A56">
        <w:rPr>
          <w:rFonts w:ascii="Times New Roman" w:eastAsia="Times New Roman" w:hAnsi="Times New Roman" w:cs="Times New Roman"/>
          <w:bCs/>
          <w:sz w:val="24"/>
          <w:szCs w:val="24"/>
          <w:lang w:eastAsia="pl-PL"/>
        </w:rPr>
        <w:t xml:space="preserve"> § 2 k.r.o., mogłoby nie zostać ogłoszone, gdyż projekt przewiduje ogłaszanie go corocznie do dnia 30 listopada, przy uwzględnieniu w nim minimalnego wynagrodzenia ustalanego na następny rok. Projektowany art. 10 zakłada zatem, że w pierwszym roku obowiązywania ustawy Minister Sprawiedliwości ogłosi kwotę przeliczeniową oraz wysokość natychmiastowego świadczenia alimentacyjnego przed upływem sześciu miesięcy od dnia jej ogłoszenia w oparciu o ustalone minimalne wynagrodzenie za prac</w:t>
      </w:r>
      <w:r w:rsidR="00955FBE">
        <w:rPr>
          <w:rFonts w:ascii="Times New Roman" w:eastAsia="Times New Roman" w:hAnsi="Times New Roman" w:cs="Times New Roman"/>
          <w:bCs/>
          <w:sz w:val="24"/>
          <w:szCs w:val="24"/>
          <w:lang w:eastAsia="pl-PL"/>
        </w:rPr>
        <w:t>ę</w:t>
      </w:r>
      <w:r w:rsidRPr="00153A56">
        <w:rPr>
          <w:rFonts w:ascii="Times New Roman" w:eastAsia="Times New Roman" w:hAnsi="Times New Roman" w:cs="Times New Roman"/>
          <w:bCs/>
          <w:sz w:val="24"/>
          <w:szCs w:val="24"/>
          <w:lang w:eastAsia="pl-PL"/>
        </w:rPr>
        <w:t xml:space="preserve"> za ten właśnie rok.</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Przed skierowaniem niniejszego projektu do uzgodnień, konsultacji publicznych</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opiniowania Rada Ministrów ani jej organ pomocniczy nie występowały o ocenę OSR przez koordynatora OSR.</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rPr>
        <w:t xml:space="preserve">Projekt ustawy </w:t>
      </w:r>
      <w:r w:rsidRPr="00153A56">
        <w:rPr>
          <w:rFonts w:ascii="Times New Roman" w:eastAsia="Times New Roman" w:hAnsi="Times New Roman" w:cs="Times New Roman"/>
          <w:bCs/>
          <w:sz w:val="24"/>
          <w:szCs w:val="24"/>
          <w:lang w:eastAsia="pl-PL"/>
        </w:rPr>
        <w:t xml:space="preserve">nie </w:t>
      </w:r>
      <w:r w:rsidRPr="00153A56">
        <w:rPr>
          <w:rFonts w:ascii="Times New Roman" w:eastAsia="Times New Roman" w:hAnsi="Times New Roman" w:cs="Times New Roman"/>
          <w:bCs/>
          <w:sz w:val="24"/>
          <w:szCs w:val="24"/>
        </w:rPr>
        <w:t xml:space="preserve">jest </w:t>
      </w:r>
      <w:r w:rsidRPr="00153A56">
        <w:rPr>
          <w:rFonts w:ascii="Times New Roman" w:eastAsia="Times New Roman" w:hAnsi="Times New Roman" w:cs="Times New Roman"/>
          <w:bCs/>
          <w:sz w:val="24"/>
          <w:szCs w:val="24"/>
          <w:lang w:eastAsia="pl-PL"/>
        </w:rPr>
        <w:t>objęty</w:t>
      </w:r>
      <w:r w:rsidRPr="00153A56">
        <w:rPr>
          <w:rFonts w:ascii="Times New Roman" w:eastAsia="Times New Roman" w:hAnsi="Times New Roman" w:cs="Times New Roman"/>
          <w:bCs/>
          <w:sz w:val="24"/>
          <w:szCs w:val="24"/>
        </w:rPr>
        <w:t xml:space="preserve"> prawem Unii Europejskiej</w:t>
      </w:r>
      <w:r w:rsidRPr="00153A56">
        <w:rPr>
          <w:rFonts w:ascii="Times New Roman" w:eastAsia="Times New Roman" w:hAnsi="Times New Roman" w:cs="Times New Roman"/>
          <w:bCs/>
          <w:sz w:val="24"/>
          <w:szCs w:val="24"/>
          <w:lang w:eastAsia="pl-PL"/>
        </w:rPr>
        <w:t xml:space="preserve"> i nie jest z nim sprzeczny. Jednocześnie projekt nie wymaga przedstawienia właściwym organom</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lang w:eastAsia="pl-PL"/>
        </w:rPr>
        <w:t>i instytucjom Unii Europejskiej, w tym Europejskiemu Bankowi Centralnemu, w celu uzyskania opinii, dokonania powiadomienia, konsultacji albo uzgodnienia.</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Projekt ustawy nie wpłynie na działalność mikroprzedsiębiorców oraz małych</w:t>
      </w:r>
      <w:r w:rsidR="00EF5A58">
        <w:rPr>
          <w:rFonts w:ascii="Times New Roman" w:eastAsia="Times New Roman" w:hAnsi="Times New Roman" w:cs="Times New Roman"/>
          <w:bCs/>
          <w:sz w:val="24"/>
          <w:szCs w:val="24"/>
          <w:lang w:eastAsia="pl-PL"/>
        </w:rPr>
        <w:t xml:space="preserve"> </w:t>
      </w:r>
      <w:r w:rsidR="0062595A">
        <w:rPr>
          <w:rFonts w:ascii="Times New Roman" w:eastAsia="Times New Roman" w:hAnsi="Times New Roman" w:cs="Times New Roman"/>
          <w:bCs/>
          <w:sz w:val="24"/>
          <w:szCs w:val="24"/>
          <w:lang w:eastAsia="pl-PL"/>
        </w:rPr>
        <w:t>i </w:t>
      </w:r>
      <w:r w:rsidRPr="00153A56">
        <w:rPr>
          <w:rFonts w:ascii="Times New Roman" w:eastAsia="Times New Roman" w:hAnsi="Times New Roman" w:cs="Times New Roman"/>
          <w:bCs/>
          <w:sz w:val="24"/>
          <w:szCs w:val="24"/>
          <w:lang w:eastAsia="pl-PL"/>
        </w:rPr>
        <w:t>średnich firm.</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rPr>
        <w:lastRenderedPageBreak/>
        <w:t>Projekt</w:t>
      </w:r>
      <w:r w:rsidRPr="00153A56">
        <w:rPr>
          <w:rFonts w:ascii="Times New Roman" w:eastAsia="Times New Roman" w:hAnsi="Times New Roman" w:cs="Times New Roman"/>
          <w:bCs/>
          <w:sz w:val="24"/>
          <w:szCs w:val="24"/>
          <w:lang w:eastAsia="pl-PL"/>
        </w:rPr>
        <w:t>owana</w:t>
      </w:r>
      <w:r w:rsidRPr="00153A56">
        <w:rPr>
          <w:rFonts w:ascii="Times New Roman" w:eastAsia="Times New Roman" w:hAnsi="Times New Roman" w:cs="Times New Roman"/>
          <w:bCs/>
          <w:sz w:val="24"/>
          <w:szCs w:val="24"/>
        </w:rPr>
        <w:t xml:space="preserve"> ustaw</w:t>
      </w:r>
      <w:r w:rsidRPr="00153A56">
        <w:rPr>
          <w:rFonts w:ascii="Times New Roman" w:eastAsia="Times New Roman" w:hAnsi="Times New Roman" w:cs="Times New Roman"/>
          <w:bCs/>
          <w:sz w:val="24"/>
          <w:szCs w:val="24"/>
          <w:lang w:eastAsia="pl-PL"/>
        </w:rPr>
        <w:t>a</w:t>
      </w:r>
      <w:r w:rsidR="00955FBE">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rPr>
        <w:t xml:space="preserve"> zgodnie </w:t>
      </w:r>
      <w:r w:rsidR="00955FBE">
        <w:rPr>
          <w:rFonts w:ascii="Times New Roman" w:eastAsia="Times New Roman" w:hAnsi="Times New Roman" w:cs="Times New Roman"/>
          <w:bCs/>
          <w:sz w:val="24"/>
          <w:szCs w:val="24"/>
        </w:rPr>
        <w:t xml:space="preserve">z </w:t>
      </w:r>
      <w:r w:rsidRPr="00153A56">
        <w:rPr>
          <w:rFonts w:ascii="Times New Roman" w:eastAsia="Times New Roman" w:hAnsi="Times New Roman" w:cs="Times New Roman"/>
          <w:bCs/>
          <w:sz w:val="24"/>
          <w:szCs w:val="24"/>
        </w:rPr>
        <w:t>§ 4</w:t>
      </w:r>
      <w:r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rozporządzeni</w:t>
      </w:r>
      <w:r w:rsidRPr="00153A56">
        <w:rPr>
          <w:rFonts w:ascii="Times New Roman" w:eastAsia="Times New Roman" w:hAnsi="Times New Roman" w:cs="Times New Roman"/>
          <w:bCs/>
          <w:sz w:val="24"/>
          <w:szCs w:val="24"/>
          <w:lang w:eastAsia="pl-PL"/>
        </w:rPr>
        <w:t>a</w:t>
      </w:r>
      <w:r w:rsidRPr="00153A56">
        <w:rPr>
          <w:rFonts w:ascii="Times New Roman" w:eastAsia="Times New Roman" w:hAnsi="Times New Roman" w:cs="Times New Roman"/>
          <w:bCs/>
          <w:sz w:val="24"/>
          <w:szCs w:val="24"/>
        </w:rPr>
        <w:t xml:space="preserve"> Rady Ministrów z dnia 23 grudnia</w:t>
      </w:r>
      <w:r w:rsidR="00EF5A58">
        <w:rPr>
          <w:rFonts w:ascii="Times New Roman" w:eastAsia="Times New Roman" w:hAnsi="Times New Roman" w:cs="Times New Roman"/>
          <w:bCs/>
          <w:sz w:val="24"/>
          <w:szCs w:val="24"/>
        </w:rPr>
        <w:t xml:space="preserve"> </w:t>
      </w:r>
      <w:r w:rsidRPr="00153A56">
        <w:rPr>
          <w:rFonts w:ascii="Times New Roman" w:eastAsia="Times New Roman" w:hAnsi="Times New Roman" w:cs="Times New Roman"/>
          <w:bCs/>
          <w:sz w:val="24"/>
          <w:szCs w:val="24"/>
        </w:rPr>
        <w:t xml:space="preserve">2002 r. w sprawie </w:t>
      </w:r>
      <w:r w:rsidR="00955FBE">
        <w:rPr>
          <w:rFonts w:ascii="Times New Roman" w:eastAsia="Times New Roman" w:hAnsi="Times New Roman" w:cs="Times New Roman"/>
          <w:bCs/>
          <w:sz w:val="24"/>
          <w:szCs w:val="24"/>
        </w:rPr>
        <w:t xml:space="preserve">sposobu </w:t>
      </w:r>
      <w:r w:rsidRPr="00153A56">
        <w:rPr>
          <w:rFonts w:ascii="Times New Roman" w:eastAsia="Times New Roman" w:hAnsi="Times New Roman" w:cs="Times New Roman"/>
          <w:bCs/>
          <w:sz w:val="24"/>
          <w:szCs w:val="24"/>
        </w:rPr>
        <w:t>funkcjonowania krajowego systemu notyfikacji norm i aktów prawnych (Dz. U. poz. 2039 oraz z 2004 r. poz. 597)</w:t>
      </w:r>
      <w:r w:rsidRPr="00153A56">
        <w:rPr>
          <w:rFonts w:ascii="Times New Roman" w:eastAsia="Times New Roman" w:hAnsi="Times New Roman" w:cs="Times New Roman"/>
          <w:bCs/>
          <w:sz w:val="24"/>
          <w:szCs w:val="24"/>
          <w:lang w:eastAsia="pl-PL"/>
        </w:rPr>
        <w:t>,</w:t>
      </w:r>
      <w:r w:rsidR="00EF5A58">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nie podlega notyfikacji</w:t>
      </w:r>
      <w:r w:rsidRPr="00153A56">
        <w:rPr>
          <w:rFonts w:ascii="Times New Roman" w:eastAsia="Times New Roman" w:hAnsi="Times New Roman" w:cs="Times New Roman"/>
          <w:bCs/>
          <w:sz w:val="24"/>
          <w:szCs w:val="24"/>
          <w:lang w:eastAsia="pl-PL"/>
        </w:rPr>
        <w:t xml:space="preserve"> </w:t>
      </w:r>
      <w:r w:rsidRPr="00153A56">
        <w:rPr>
          <w:rFonts w:ascii="Times New Roman" w:eastAsia="Times New Roman" w:hAnsi="Times New Roman" w:cs="Times New Roman"/>
          <w:bCs/>
          <w:sz w:val="24"/>
          <w:szCs w:val="24"/>
        </w:rPr>
        <w:t>Komisji Europejskiej</w:t>
      </w:r>
      <w:r w:rsidRPr="00153A56">
        <w:rPr>
          <w:rFonts w:ascii="Times New Roman" w:eastAsia="Times New Roman" w:hAnsi="Times New Roman" w:cs="Times New Roman"/>
          <w:bCs/>
          <w:sz w:val="24"/>
          <w:szCs w:val="24"/>
          <w:lang w:eastAsia="pl-PL"/>
        </w:rPr>
        <w:t>.</w:t>
      </w:r>
      <w:r w:rsidRPr="00153A56">
        <w:rPr>
          <w:rFonts w:ascii="Times New Roman" w:eastAsia="Times New Roman" w:hAnsi="Times New Roman" w:cs="Times New Roman"/>
          <w:bCs/>
          <w:sz w:val="24"/>
          <w:szCs w:val="24"/>
        </w:rPr>
        <w:t xml:space="preserve"> </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Zgodnie z art. 5 ustawy z dnia 7 lipca 2005 r. o działalności lobbingowej w procesie stanowienia prawa (Dz. U. z 2017 r. poz. 248) projekt został udostępniony w Biuletynie Informacji Publicznej na stronie podmiotowej Rządowego Cent</w:t>
      </w:r>
      <w:r w:rsidR="0062595A">
        <w:rPr>
          <w:rFonts w:ascii="Times New Roman" w:eastAsia="Times New Roman" w:hAnsi="Times New Roman" w:cs="Times New Roman"/>
          <w:bCs/>
          <w:sz w:val="24"/>
          <w:szCs w:val="24"/>
          <w:lang w:eastAsia="pl-PL"/>
        </w:rPr>
        <w:t>rum Legislacji, w </w:t>
      </w:r>
      <w:r w:rsidRPr="00153A56">
        <w:rPr>
          <w:rFonts w:ascii="Times New Roman" w:eastAsia="Times New Roman" w:hAnsi="Times New Roman" w:cs="Times New Roman"/>
          <w:bCs/>
          <w:sz w:val="24"/>
          <w:szCs w:val="24"/>
          <w:lang w:eastAsia="pl-PL"/>
        </w:rPr>
        <w:t>serwisie Rządowy Proces Legislacyjny, oraz na stronach internetowych Ministerstwa Sprawiedliwości.</w:t>
      </w:r>
    </w:p>
    <w:p w:rsidR="00153A56" w:rsidRPr="00153A56" w:rsidRDefault="00153A56" w:rsidP="0062595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53A56">
        <w:rPr>
          <w:rFonts w:ascii="Times New Roman" w:eastAsia="Times New Roman" w:hAnsi="Times New Roman" w:cs="Times New Roman"/>
          <w:bCs/>
          <w:sz w:val="24"/>
          <w:szCs w:val="24"/>
          <w:lang w:eastAsia="pl-PL"/>
        </w:rPr>
        <w:t>Żaden podmiot nie zgłosił zainteresowania pracam</w:t>
      </w:r>
      <w:r w:rsidR="0062595A">
        <w:rPr>
          <w:rFonts w:ascii="Times New Roman" w:eastAsia="Times New Roman" w:hAnsi="Times New Roman" w:cs="Times New Roman"/>
          <w:bCs/>
          <w:sz w:val="24"/>
          <w:szCs w:val="24"/>
          <w:lang w:eastAsia="pl-PL"/>
        </w:rPr>
        <w:t>i nad przedmiotowym projektem w </w:t>
      </w:r>
      <w:r w:rsidRPr="00153A56">
        <w:rPr>
          <w:rFonts w:ascii="Times New Roman" w:eastAsia="Times New Roman" w:hAnsi="Times New Roman" w:cs="Times New Roman"/>
          <w:bCs/>
          <w:sz w:val="24"/>
          <w:szCs w:val="24"/>
          <w:lang w:eastAsia="pl-PL"/>
        </w:rPr>
        <w:t>trybie powołanej wyżej ustawy.</w:t>
      </w:r>
    </w:p>
    <w:sectPr w:rsidR="00153A56" w:rsidRPr="00153A56" w:rsidSect="00EF5A58">
      <w:footerReference w:type="default" r:id="rId7"/>
      <w:footerReference w:type="first" r:id="rId8"/>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B2E" w:rsidRDefault="00D97B2E" w:rsidP="00EF5A58">
      <w:pPr>
        <w:spacing w:after="0" w:line="240" w:lineRule="auto"/>
      </w:pPr>
      <w:r>
        <w:separator/>
      </w:r>
    </w:p>
  </w:endnote>
  <w:endnote w:type="continuationSeparator" w:id="0">
    <w:p w:rsidR="00D97B2E" w:rsidRDefault="00D97B2E" w:rsidP="00EF5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altName w:val="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318174"/>
      <w:docPartObj>
        <w:docPartGallery w:val="Page Numbers (Bottom of Page)"/>
        <w:docPartUnique/>
      </w:docPartObj>
    </w:sdtPr>
    <w:sdtEndPr>
      <w:rPr>
        <w:rFonts w:ascii="Times New Roman" w:hAnsi="Times New Roman"/>
      </w:rPr>
    </w:sdtEndPr>
    <w:sdtContent>
      <w:p w:rsidR="00D97B2E" w:rsidRPr="00EF5A58" w:rsidRDefault="00D97B2E">
        <w:pPr>
          <w:pStyle w:val="Stopka"/>
          <w:jc w:val="center"/>
          <w:rPr>
            <w:rFonts w:ascii="Times New Roman" w:hAnsi="Times New Roman"/>
          </w:rPr>
        </w:pPr>
        <w:r w:rsidRPr="00EF5A58">
          <w:rPr>
            <w:rFonts w:ascii="Times New Roman" w:hAnsi="Times New Roman"/>
          </w:rPr>
          <w:fldChar w:fldCharType="begin"/>
        </w:r>
        <w:r w:rsidRPr="00EF5A58">
          <w:rPr>
            <w:rFonts w:ascii="Times New Roman" w:hAnsi="Times New Roman"/>
          </w:rPr>
          <w:instrText>PAGE   \* MERGEFORMAT</w:instrText>
        </w:r>
        <w:r w:rsidRPr="00EF5A58">
          <w:rPr>
            <w:rFonts w:ascii="Times New Roman" w:hAnsi="Times New Roman"/>
          </w:rPr>
          <w:fldChar w:fldCharType="separate"/>
        </w:r>
        <w:r w:rsidR="002F6B6D">
          <w:rPr>
            <w:rFonts w:ascii="Times New Roman" w:hAnsi="Times New Roman"/>
            <w:noProof/>
          </w:rPr>
          <w:t>16</w:t>
        </w:r>
        <w:r w:rsidRPr="00EF5A58">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B2E" w:rsidRDefault="00D97B2E">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B2E" w:rsidRDefault="00D97B2E" w:rsidP="00EF5A58">
      <w:pPr>
        <w:spacing w:after="0" w:line="240" w:lineRule="auto"/>
      </w:pPr>
      <w:r>
        <w:separator/>
      </w:r>
    </w:p>
  </w:footnote>
  <w:footnote w:type="continuationSeparator" w:id="0">
    <w:p w:rsidR="00D97B2E" w:rsidRDefault="00D97B2E" w:rsidP="00EF5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75449"/>
    <w:multiLevelType w:val="hybridMultilevel"/>
    <w:tmpl w:val="A7EA7060"/>
    <w:lvl w:ilvl="0" w:tplc="3B384BB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C73FB9"/>
    <w:multiLevelType w:val="hybridMultilevel"/>
    <w:tmpl w:val="B832D286"/>
    <w:lvl w:ilvl="0" w:tplc="7F08DCAE">
      <w:start w:val="1"/>
      <w:numFmt w:val="decimal"/>
      <w:lvlText w:val="%1)"/>
      <w:lvlJc w:val="left"/>
      <w:pPr>
        <w:ind w:left="1785" w:hanging="765"/>
      </w:pPr>
    </w:lvl>
    <w:lvl w:ilvl="1" w:tplc="04150019">
      <w:start w:val="1"/>
      <w:numFmt w:val="lowerLetter"/>
      <w:lvlText w:val="%2."/>
      <w:lvlJc w:val="left"/>
      <w:pPr>
        <w:ind w:left="2100" w:hanging="360"/>
      </w:pPr>
    </w:lvl>
    <w:lvl w:ilvl="2" w:tplc="0415001B">
      <w:start w:val="1"/>
      <w:numFmt w:val="lowerRoman"/>
      <w:lvlText w:val="%3."/>
      <w:lvlJc w:val="right"/>
      <w:pPr>
        <w:ind w:left="2820" w:hanging="180"/>
      </w:pPr>
    </w:lvl>
    <w:lvl w:ilvl="3" w:tplc="0415000F">
      <w:start w:val="1"/>
      <w:numFmt w:val="decimal"/>
      <w:lvlText w:val="%4."/>
      <w:lvlJc w:val="left"/>
      <w:pPr>
        <w:ind w:left="3540" w:hanging="360"/>
      </w:pPr>
    </w:lvl>
    <w:lvl w:ilvl="4" w:tplc="04150019">
      <w:start w:val="1"/>
      <w:numFmt w:val="lowerLetter"/>
      <w:lvlText w:val="%5."/>
      <w:lvlJc w:val="left"/>
      <w:pPr>
        <w:ind w:left="4260" w:hanging="360"/>
      </w:pPr>
    </w:lvl>
    <w:lvl w:ilvl="5" w:tplc="0415001B">
      <w:start w:val="1"/>
      <w:numFmt w:val="lowerRoman"/>
      <w:lvlText w:val="%6."/>
      <w:lvlJc w:val="right"/>
      <w:pPr>
        <w:ind w:left="4980" w:hanging="180"/>
      </w:pPr>
    </w:lvl>
    <w:lvl w:ilvl="6" w:tplc="0415000F">
      <w:start w:val="1"/>
      <w:numFmt w:val="decimal"/>
      <w:lvlText w:val="%7."/>
      <w:lvlJc w:val="left"/>
      <w:pPr>
        <w:ind w:left="5700" w:hanging="360"/>
      </w:pPr>
    </w:lvl>
    <w:lvl w:ilvl="7" w:tplc="04150019">
      <w:start w:val="1"/>
      <w:numFmt w:val="lowerLetter"/>
      <w:lvlText w:val="%8."/>
      <w:lvlJc w:val="left"/>
      <w:pPr>
        <w:ind w:left="6420" w:hanging="360"/>
      </w:pPr>
    </w:lvl>
    <w:lvl w:ilvl="8" w:tplc="0415001B">
      <w:start w:val="1"/>
      <w:numFmt w:val="lowerRoman"/>
      <w:lvlText w:val="%9."/>
      <w:lvlJc w:val="right"/>
      <w:pPr>
        <w:ind w:left="7140" w:hanging="180"/>
      </w:pPr>
    </w:lvl>
  </w:abstractNum>
  <w:abstractNum w:abstractNumId="2" w15:restartNumberingAfterBreak="0">
    <w:nsid w:val="1FAF3CE1"/>
    <w:multiLevelType w:val="hybridMultilevel"/>
    <w:tmpl w:val="B8ECD2B4"/>
    <w:lvl w:ilvl="0" w:tplc="7D8270CC">
      <w:start w:val="1"/>
      <w:numFmt w:val="decimal"/>
      <w:lvlText w:val="%1)"/>
      <w:lvlJc w:val="left"/>
      <w:pPr>
        <w:ind w:left="1380" w:hanging="360"/>
      </w:pPr>
    </w:lvl>
    <w:lvl w:ilvl="1" w:tplc="04150019">
      <w:start w:val="1"/>
      <w:numFmt w:val="lowerLetter"/>
      <w:lvlText w:val="%2."/>
      <w:lvlJc w:val="left"/>
      <w:pPr>
        <w:ind w:left="2100" w:hanging="360"/>
      </w:pPr>
    </w:lvl>
    <w:lvl w:ilvl="2" w:tplc="0415001B">
      <w:start w:val="1"/>
      <w:numFmt w:val="lowerRoman"/>
      <w:lvlText w:val="%3."/>
      <w:lvlJc w:val="right"/>
      <w:pPr>
        <w:ind w:left="2820" w:hanging="180"/>
      </w:pPr>
    </w:lvl>
    <w:lvl w:ilvl="3" w:tplc="0415000F">
      <w:start w:val="1"/>
      <w:numFmt w:val="decimal"/>
      <w:lvlText w:val="%4."/>
      <w:lvlJc w:val="left"/>
      <w:pPr>
        <w:ind w:left="3540" w:hanging="360"/>
      </w:pPr>
    </w:lvl>
    <w:lvl w:ilvl="4" w:tplc="04150019">
      <w:start w:val="1"/>
      <w:numFmt w:val="lowerLetter"/>
      <w:lvlText w:val="%5."/>
      <w:lvlJc w:val="left"/>
      <w:pPr>
        <w:ind w:left="4260" w:hanging="360"/>
      </w:pPr>
    </w:lvl>
    <w:lvl w:ilvl="5" w:tplc="0415001B">
      <w:start w:val="1"/>
      <w:numFmt w:val="lowerRoman"/>
      <w:lvlText w:val="%6."/>
      <w:lvlJc w:val="right"/>
      <w:pPr>
        <w:ind w:left="4980" w:hanging="180"/>
      </w:pPr>
    </w:lvl>
    <w:lvl w:ilvl="6" w:tplc="0415000F">
      <w:start w:val="1"/>
      <w:numFmt w:val="decimal"/>
      <w:lvlText w:val="%7."/>
      <w:lvlJc w:val="left"/>
      <w:pPr>
        <w:ind w:left="5700" w:hanging="360"/>
      </w:pPr>
    </w:lvl>
    <w:lvl w:ilvl="7" w:tplc="04150019">
      <w:start w:val="1"/>
      <w:numFmt w:val="lowerLetter"/>
      <w:lvlText w:val="%8."/>
      <w:lvlJc w:val="left"/>
      <w:pPr>
        <w:ind w:left="6420" w:hanging="360"/>
      </w:pPr>
    </w:lvl>
    <w:lvl w:ilvl="8" w:tplc="0415001B">
      <w:start w:val="1"/>
      <w:numFmt w:val="lowerRoman"/>
      <w:lvlText w:val="%9."/>
      <w:lvlJc w:val="right"/>
      <w:pPr>
        <w:ind w:left="7140" w:hanging="180"/>
      </w:pPr>
    </w:lvl>
  </w:abstractNum>
  <w:abstractNum w:abstractNumId="3" w15:restartNumberingAfterBreak="0">
    <w:nsid w:val="218107C1"/>
    <w:multiLevelType w:val="hybridMultilevel"/>
    <w:tmpl w:val="C77687BA"/>
    <w:lvl w:ilvl="0" w:tplc="E3BC308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39B462CB"/>
    <w:multiLevelType w:val="hybridMultilevel"/>
    <w:tmpl w:val="187CC0CE"/>
    <w:lvl w:ilvl="0" w:tplc="1A7439BA">
      <w:start w:val="1"/>
      <w:numFmt w:val="decimal"/>
      <w:lvlText w:val="%1)"/>
      <w:lvlJc w:val="left"/>
      <w:pPr>
        <w:ind w:left="870" w:hanging="360"/>
      </w:pPr>
      <w:rPr>
        <w:b/>
      </w:r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5" w15:restartNumberingAfterBreak="0">
    <w:nsid w:val="3C457585"/>
    <w:multiLevelType w:val="hybridMultilevel"/>
    <w:tmpl w:val="4CB8AA48"/>
    <w:lvl w:ilvl="0" w:tplc="4C0CD656">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6" w15:restartNumberingAfterBreak="0">
    <w:nsid w:val="495761C2"/>
    <w:multiLevelType w:val="hybridMultilevel"/>
    <w:tmpl w:val="B51CA296"/>
    <w:lvl w:ilvl="0" w:tplc="D996DD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BE40345"/>
    <w:multiLevelType w:val="hybridMultilevel"/>
    <w:tmpl w:val="B8D0BB3A"/>
    <w:lvl w:ilvl="0" w:tplc="CE9859C8">
      <w:start w:val="1"/>
      <w:numFmt w:val="decimal"/>
      <w:lvlText w:val="%1)"/>
      <w:lvlJc w:val="left"/>
      <w:pPr>
        <w:ind w:left="1290" w:hanging="78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8" w15:restartNumberingAfterBreak="0">
    <w:nsid w:val="63D70C3E"/>
    <w:multiLevelType w:val="hybridMultilevel"/>
    <w:tmpl w:val="798C7CE8"/>
    <w:lvl w:ilvl="0" w:tplc="1B68B816">
      <w:start w:val="1"/>
      <w:numFmt w:val="decimal"/>
      <w:lvlText w:val="%1)"/>
      <w:lvlJc w:val="left"/>
      <w:pPr>
        <w:ind w:left="1068" w:hanging="360"/>
      </w:pPr>
      <w:rPr>
        <w:b/>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9" w15:restartNumberingAfterBreak="0">
    <w:nsid w:val="6A434A3E"/>
    <w:multiLevelType w:val="hybridMultilevel"/>
    <w:tmpl w:val="0EC05094"/>
    <w:lvl w:ilvl="0" w:tplc="9B7AFC2E">
      <w:start w:val="1"/>
      <w:numFmt w:val="decimal"/>
      <w:lvlText w:val="%1)"/>
      <w:lvlJc w:val="left"/>
      <w:pPr>
        <w:ind w:left="1230" w:hanging="360"/>
      </w:pPr>
    </w:lvl>
    <w:lvl w:ilvl="1" w:tplc="04150019">
      <w:start w:val="1"/>
      <w:numFmt w:val="lowerLetter"/>
      <w:lvlText w:val="%2."/>
      <w:lvlJc w:val="left"/>
      <w:pPr>
        <w:ind w:left="1950" w:hanging="360"/>
      </w:pPr>
    </w:lvl>
    <w:lvl w:ilvl="2" w:tplc="0415001B">
      <w:start w:val="1"/>
      <w:numFmt w:val="lowerRoman"/>
      <w:lvlText w:val="%3."/>
      <w:lvlJc w:val="right"/>
      <w:pPr>
        <w:ind w:left="2670" w:hanging="180"/>
      </w:pPr>
    </w:lvl>
    <w:lvl w:ilvl="3" w:tplc="0415000F">
      <w:start w:val="1"/>
      <w:numFmt w:val="decimal"/>
      <w:lvlText w:val="%4."/>
      <w:lvlJc w:val="left"/>
      <w:pPr>
        <w:ind w:left="3390" w:hanging="360"/>
      </w:pPr>
    </w:lvl>
    <w:lvl w:ilvl="4" w:tplc="04150019">
      <w:start w:val="1"/>
      <w:numFmt w:val="lowerLetter"/>
      <w:lvlText w:val="%5."/>
      <w:lvlJc w:val="left"/>
      <w:pPr>
        <w:ind w:left="4110" w:hanging="360"/>
      </w:pPr>
    </w:lvl>
    <w:lvl w:ilvl="5" w:tplc="0415001B">
      <w:start w:val="1"/>
      <w:numFmt w:val="lowerRoman"/>
      <w:lvlText w:val="%6."/>
      <w:lvlJc w:val="right"/>
      <w:pPr>
        <w:ind w:left="4830" w:hanging="180"/>
      </w:pPr>
    </w:lvl>
    <w:lvl w:ilvl="6" w:tplc="0415000F">
      <w:start w:val="1"/>
      <w:numFmt w:val="decimal"/>
      <w:lvlText w:val="%7."/>
      <w:lvlJc w:val="left"/>
      <w:pPr>
        <w:ind w:left="5550" w:hanging="360"/>
      </w:pPr>
    </w:lvl>
    <w:lvl w:ilvl="7" w:tplc="04150019">
      <w:start w:val="1"/>
      <w:numFmt w:val="lowerLetter"/>
      <w:lvlText w:val="%8."/>
      <w:lvlJc w:val="left"/>
      <w:pPr>
        <w:ind w:left="6270" w:hanging="360"/>
      </w:pPr>
    </w:lvl>
    <w:lvl w:ilvl="8" w:tplc="0415001B">
      <w:start w:val="1"/>
      <w:numFmt w:val="lowerRoman"/>
      <w:lvlText w:val="%9."/>
      <w:lvlJc w:val="right"/>
      <w:pPr>
        <w:ind w:left="699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A56"/>
    <w:rsid w:val="000B738C"/>
    <w:rsid w:val="000D1749"/>
    <w:rsid w:val="000F71CE"/>
    <w:rsid w:val="00126615"/>
    <w:rsid w:val="00153A56"/>
    <w:rsid w:val="001A0157"/>
    <w:rsid w:val="001B1982"/>
    <w:rsid w:val="00254E4E"/>
    <w:rsid w:val="00281C62"/>
    <w:rsid w:val="002D432B"/>
    <w:rsid w:val="002F63EA"/>
    <w:rsid w:val="002F6B6D"/>
    <w:rsid w:val="003347A2"/>
    <w:rsid w:val="00373182"/>
    <w:rsid w:val="003C1860"/>
    <w:rsid w:val="003D1F31"/>
    <w:rsid w:val="00411FCD"/>
    <w:rsid w:val="00456B05"/>
    <w:rsid w:val="00494C86"/>
    <w:rsid w:val="004C215A"/>
    <w:rsid w:val="00564744"/>
    <w:rsid w:val="00567B46"/>
    <w:rsid w:val="0057350A"/>
    <w:rsid w:val="005B1A0A"/>
    <w:rsid w:val="005E6E08"/>
    <w:rsid w:val="0060735A"/>
    <w:rsid w:val="0062595A"/>
    <w:rsid w:val="006E728A"/>
    <w:rsid w:val="006F4F4D"/>
    <w:rsid w:val="008476D9"/>
    <w:rsid w:val="0089178C"/>
    <w:rsid w:val="008C0845"/>
    <w:rsid w:val="0091746D"/>
    <w:rsid w:val="00955FBE"/>
    <w:rsid w:val="009913C0"/>
    <w:rsid w:val="009D6AE9"/>
    <w:rsid w:val="00A6318A"/>
    <w:rsid w:val="00A71067"/>
    <w:rsid w:val="00A73F68"/>
    <w:rsid w:val="00B34428"/>
    <w:rsid w:val="00BB17AF"/>
    <w:rsid w:val="00BF401D"/>
    <w:rsid w:val="00BF704C"/>
    <w:rsid w:val="00C35B2B"/>
    <w:rsid w:val="00C92A9A"/>
    <w:rsid w:val="00C96346"/>
    <w:rsid w:val="00CD327C"/>
    <w:rsid w:val="00D97B2E"/>
    <w:rsid w:val="00DB7593"/>
    <w:rsid w:val="00DF75E7"/>
    <w:rsid w:val="00EB1369"/>
    <w:rsid w:val="00EF5A58"/>
    <w:rsid w:val="00EF6FFD"/>
    <w:rsid w:val="00FB44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9F0B"/>
  <w15:docId w15:val="{AE327579-5246-4B27-8994-55CB552F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153A56"/>
    <w:pPr>
      <w:keepNext/>
      <w:keepLines/>
      <w:spacing w:before="480" w:after="0"/>
      <w:outlineLvl w:val="0"/>
    </w:pPr>
    <w:rPr>
      <w:rFonts w:ascii="Cambria" w:eastAsia="Times New Roman"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9"/>
    <w:semiHidden/>
    <w:rsid w:val="00153A56"/>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153A56"/>
  </w:style>
  <w:style w:type="paragraph" w:customStyle="1" w:styleId="ZLITwPKTzmlitwpktartykuempunktem">
    <w:name w:val="Z/LIT_w_PKT – zm. lit. w pkt artykułem (punktem)"/>
    <w:basedOn w:val="LITlitera"/>
    <w:uiPriority w:val="32"/>
    <w:qFormat/>
    <w:rsid w:val="00153A56"/>
    <w:pPr>
      <w:ind w:left="1497"/>
    </w:pPr>
  </w:style>
  <w:style w:type="paragraph" w:customStyle="1" w:styleId="ZTIRwPKTzmtirwpktartykuempunktem">
    <w:name w:val="Z/TIR_w_PKT – zm. tir. w pkt artykułem (punktem)"/>
    <w:basedOn w:val="TIRtiret"/>
    <w:uiPriority w:val="33"/>
    <w:qFormat/>
    <w:rsid w:val="00153A5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53A56"/>
    <w:pPr>
      <w:ind w:left="1021"/>
    </w:pPr>
  </w:style>
  <w:style w:type="paragraph" w:customStyle="1" w:styleId="2TIRpodwjnytiret">
    <w:name w:val="2TIR – podwójny tiret"/>
    <w:basedOn w:val="TIRtiret"/>
    <w:uiPriority w:val="73"/>
    <w:qFormat/>
    <w:rsid w:val="00153A56"/>
    <w:pPr>
      <w:ind w:left="1780"/>
    </w:pPr>
  </w:style>
  <w:style w:type="character" w:styleId="Odwoanieprzypisudolnego">
    <w:name w:val="footnote reference"/>
    <w:uiPriority w:val="99"/>
    <w:semiHidden/>
    <w:rsid w:val="00153A56"/>
    <w:rPr>
      <w:rFonts w:cs="Times New Roman"/>
      <w:vertAlign w:val="superscript"/>
    </w:rPr>
  </w:style>
  <w:style w:type="paragraph" w:styleId="Nagwek">
    <w:name w:val="header"/>
    <w:basedOn w:val="Normalny"/>
    <w:link w:val="NagwekZnak"/>
    <w:uiPriority w:val="99"/>
    <w:semiHidden/>
    <w:rsid w:val="00153A56"/>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153A56"/>
    <w:rPr>
      <w:rFonts w:ascii="Times" w:eastAsia="Times New Roman" w:hAnsi="Times" w:cs="Times New Roman"/>
      <w:kern w:val="1"/>
      <w:sz w:val="24"/>
      <w:szCs w:val="24"/>
      <w:lang w:eastAsia="ar-SA"/>
    </w:rPr>
  </w:style>
  <w:style w:type="paragraph" w:styleId="Stopka">
    <w:name w:val="footer"/>
    <w:basedOn w:val="Normalny"/>
    <w:link w:val="StopkaZnak"/>
    <w:uiPriority w:val="99"/>
    <w:rsid w:val="00153A56"/>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153A56"/>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153A56"/>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153A56"/>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153A56"/>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53A56"/>
    <w:pPr>
      <w:ind w:left="1497"/>
    </w:pPr>
  </w:style>
  <w:style w:type="paragraph" w:customStyle="1" w:styleId="ZTIRwLITzmtirwlitartykuempunktem">
    <w:name w:val="Z/TIR_w_LIT – zm. tir. w lit. artykułem (punktem)"/>
    <w:basedOn w:val="TIRtiret"/>
    <w:uiPriority w:val="33"/>
    <w:qFormat/>
    <w:rsid w:val="00153A5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53A56"/>
  </w:style>
  <w:style w:type="character" w:customStyle="1" w:styleId="Nagwek1Znak">
    <w:name w:val="Nagłówek 1 Znak"/>
    <w:basedOn w:val="Domylnaczcionkaakapitu"/>
    <w:link w:val="Nagwek1"/>
    <w:uiPriority w:val="99"/>
    <w:semiHidden/>
    <w:rsid w:val="00153A56"/>
    <w:rPr>
      <w:rFonts w:ascii="Cambria" w:eastAsia="Times New Roman" w:hAnsi="Cambria" w:cs="Times New Roman"/>
      <w:b/>
      <w:bCs/>
      <w:color w:val="365F91"/>
      <w:kern w:val="1"/>
      <w:sz w:val="28"/>
      <w:szCs w:val="28"/>
      <w:lang w:eastAsia="ar-SA"/>
    </w:rPr>
  </w:style>
  <w:style w:type="paragraph" w:styleId="Bezodstpw">
    <w:name w:val="No Spacing"/>
    <w:uiPriority w:val="99"/>
    <w:rsid w:val="00153A56"/>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153A56"/>
    <w:pPr>
      <w:ind w:left="1020"/>
    </w:pPr>
  </w:style>
  <w:style w:type="paragraph" w:customStyle="1" w:styleId="ZARTzmartartykuempunktem">
    <w:name w:val="Z/ART(§) – zm. art. (§) artykułem (punktem)"/>
    <w:basedOn w:val="ARTartustawynprozporzdzenia"/>
    <w:uiPriority w:val="30"/>
    <w:qFormat/>
    <w:rsid w:val="00153A5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53A56"/>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53A56"/>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153A56"/>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53A56"/>
    <w:rPr>
      <w:bCs/>
    </w:rPr>
  </w:style>
  <w:style w:type="paragraph" w:customStyle="1" w:styleId="OZNRODZAKTUtznustawalubrozporzdzenieiorganwydajcy">
    <w:name w:val="OZN_RODZ_AKTU – tzn. ustawa lub rozporządzenie i organ wydający"/>
    <w:next w:val="DATAAKTUdatauchwalenialubwydaniaaktu"/>
    <w:uiPriority w:val="5"/>
    <w:qFormat/>
    <w:rsid w:val="00153A56"/>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153A56"/>
    <w:pPr>
      <w:spacing w:before="0"/>
    </w:pPr>
    <w:rPr>
      <w:bCs/>
    </w:rPr>
  </w:style>
  <w:style w:type="paragraph" w:customStyle="1" w:styleId="PKTpunkt">
    <w:name w:val="PKT – punkt"/>
    <w:uiPriority w:val="13"/>
    <w:qFormat/>
    <w:rsid w:val="00153A56"/>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153A56"/>
    <w:pPr>
      <w:ind w:left="0" w:firstLine="0"/>
    </w:pPr>
  </w:style>
  <w:style w:type="paragraph" w:customStyle="1" w:styleId="LITlitera">
    <w:name w:val="LIT – litera"/>
    <w:basedOn w:val="PKTpunkt"/>
    <w:uiPriority w:val="14"/>
    <w:qFormat/>
    <w:rsid w:val="00153A56"/>
    <w:pPr>
      <w:ind w:left="986" w:hanging="476"/>
    </w:pPr>
  </w:style>
  <w:style w:type="paragraph" w:customStyle="1" w:styleId="CZWSPLITczwsplnaliter">
    <w:name w:val="CZ_WSP_LIT – część wspólna liter"/>
    <w:basedOn w:val="LITlitera"/>
    <w:next w:val="USTustnpkodeksu"/>
    <w:uiPriority w:val="17"/>
    <w:qFormat/>
    <w:rsid w:val="00153A56"/>
    <w:pPr>
      <w:ind w:left="510" w:firstLine="0"/>
    </w:pPr>
    <w:rPr>
      <w:szCs w:val="24"/>
    </w:rPr>
  </w:style>
  <w:style w:type="paragraph" w:customStyle="1" w:styleId="TIRtiret">
    <w:name w:val="TIR – tiret"/>
    <w:basedOn w:val="LITlitera"/>
    <w:uiPriority w:val="15"/>
    <w:qFormat/>
    <w:rsid w:val="00153A56"/>
    <w:pPr>
      <w:ind w:left="1384" w:hanging="397"/>
    </w:pPr>
  </w:style>
  <w:style w:type="paragraph" w:customStyle="1" w:styleId="CZWSPTIRczwsplnatiret">
    <w:name w:val="CZ_WSP_TIR – część wspólna tiret"/>
    <w:basedOn w:val="TIRtiret"/>
    <w:next w:val="USTustnpkodeksu"/>
    <w:uiPriority w:val="17"/>
    <w:qFormat/>
    <w:rsid w:val="00153A56"/>
    <w:pPr>
      <w:ind w:left="987" w:firstLine="0"/>
    </w:pPr>
  </w:style>
  <w:style w:type="paragraph" w:customStyle="1" w:styleId="CYTcytatnpprzysigi">
    <w:name w:val="CYT – cytat np. przysięgi"/>
    <w:basedOn w:val="USTustnpkodeksu"/>
    <w:next w:val="USTustnpkodeksu"/>
    <w:uiPriority w:val="18"/>
    <w:qFormat/>
    <w:rsid w:val="00153A5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53A56"/>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153A56"/>
  </w:style>
  <w:style w:type="paragraph" w:customStyle="1" w:styleId="ZLITCZWSPTIRwLITzmczciwsptirwlitliter">
    <w:name w:val="Z_LIT/CZ_WSP_TIR_w_LIT – zm. części wsp. tir. w lit. literą"/>
    <w:basedOn w:val="CZWSPTIRczwsplnatiret"/>
    <w:next w:val="LITlitera"/>
    <w:uiPriority w:val="51"/>
    <w:qFormat/>
    <w:rsid w:val="00153A56"/>
    <w:pPr>
      <w:ind w:left="1463"/>
    </w:pPr>
  </w:style>
  <w:style w:type="paragraph" w:customStyle="1" w:styleId="ZLITTIRwLITzmtirwlitliter">
    <w:name w:val="Z_LIT/TIR_w_LIT – zm. tir. w lit. literą"/>
    <w:basedOn w:val="TIRtiret"/>
    <w:uiPriority w:val="49"/>
    <w:qFormat/>
    <w:rsid w:val="00153A56"/>
    <w:pPr>
      <w:ind w:left="1860"/>
    </w:pPr>
  </w:style>
  <w:style w:type="paragraph" w:customStyle="1" w:styleId="TYTDZOZNoznaczenietytuulubdziau">
    <w:name w:val="TYT(DZ)_OZN – oznaczenie tytułu lub działu"/>
    <w:next w:val="Normalny"/>
    <w:uiPriority w:val="9"/>
    <w:qFormat/>
    <w:rsid w:val="00153A56"/>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153A5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53A5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53A56"/>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153A5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53A56"/>
    <w:pPr>
      <w:ind w:left="510"/>
    </w:pPr>
  </w:style>
  <w:style w:type="paragraph" w:customStyle="1" w:styleId="ZZLITzmianazmlit">
    <w:name w:val="ZZ/LIT – zmiana zm. lit."/>
    <w:basedOn w:val="ZZPKTzmianazmpkt"/>
    <w:uiPriority w:val="67"/>
    <w:qFormat/>
    <w:rsid w:val="00153A56"/>
    <w:pPr>
      <w:ind w:left="2370" w:hanging="476"/>
    </w:pPr>
  </w:style>
  <w:style w:type="paragraph" w:customStyle="1" w:styleId="ZZTIRzmianazmtir">
    <w:name w:val="ZZ/TIR – zmiana zm. tir."/>
    <w:basedOn w:val="ZZLITzmianazmlit"/>
    <w:uiPriority w:val="67"/>
    <w:qFormat/>
    <w:rsid w:val="00153A5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53A56"/>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153A56"/>
    <w:pPr>
      <w:ind w:left="987"/>
    </w:pPr>
  </w:style>
  <w:style w:type="paragraph" w:customStyle="1" w:styleId="ZLITPKTzmpktliter">
    <w:name w:val="Z_LIT/PKT – zm. pkt literą"/>
    <w:basedOn w:val="PKTpunkt"/>
    <w:uiPriority w:val="47"/>
    <w:qFormat/>
    <w:rsid w:val="00153A56"/>
    <w:pPr>
      <w:ind w:left="1497"/>
    </w:pPr>
  </w:style>
  <w:style w:type="paragraph" w:customStyle="1" w:styleId="ZZCZWSPPKTzmianazmczciwsppkt">
    <w:name w:val="ZZ/CZ_WSP_PKT – zmiana. zm. części wsp. pkt"/>
    <w:basedOn w:val="ZZARTzmianazmart"/>
    <w:next w:val="ZPKTzmpktartykuempunktem"/>
    <w:uiPriority w:val="68"/>
    <w:qFormat/>
    <w:rsid w:val="00153A56"/>
    <w:pPr>
      <w:ind w:firstLine="0"/>
    </w:pPr>
  </w:style>
  <w:style w:type="paragraph" w:customStyle="1" w:styleId="ZLITLITzmlitliter">
    <w:name w:val="Z_LIT/LIT – zm. lit. literą"/>
    <w:basedOn w:val="LITlitera"/>
    <w:uiPriority w:val="48"/>
    <w:qFormat/>
    <w:rsid w:val="00153A56"/>
    <w:pPr>
      <w:ind w:left="1463"/>
    </w:pPr>
  </w:style>
  <w:style w:type="paragraph" w:customStyle="1" w:styleId="ZLITCZWSPPKTzmczciwsppktliter">
    <w:name w:val="Z_LIT/CZ_WSP_PKT – zm. części wsp. pkt literą"/>
    <w:basedOn w:val="CZWSPLITczwsplnaliter"/>
    <w:next w:val="LITlitera"/>
    <w:uiPriority w:val="50"/>
    <w:qFormat/>
    <w:rsid w:val="00153A56"/>
    <w:pPr>
      <w:ind w:left="987"/>
    </w:pPr>
  </w:style>
  <w:style w:type="paragraph" w:customStyle="1" w:styleId="ZLITTIRzmtirliter">
    <w:name w:val="Z_LIT/TIR – zm. tir. literą"/>
    <w:basedOn w:val="TIRtiret"/>
    <w:uiPriority w:val="49"/>
    <w:qFormat/>
    <w:rsid w:val="00153A56"/>
  </w:style>
  <w:style w:type="paragraph" w:customStyle="1" w:styleId="ZZCZWSPLITwPKTzmianazmczciwsplitwpkt">
    <w:name w:val="ZZ/CZ_WSP_LIT_w_PKT – zmiana zm. części wsp. lit. w pkt"/>
    <w:basedOn w:val="ZZLITwPKTzmianazmlitwpkt"/>
    <w:uiPriority w:val="69"/>
    <w:qFormat/>
    <w:rsid w:val="00153A56"/>
    <w:pPr>
      <w:ind w:left="2404" w:firstLine="0"/>
    </w:pPr>
  </w:style>
  <w:style w:type="paragraph" w:customStyle="1" w:styleId="ZLITLITwPKTzmlitwpktliter">
    <w:name w:val="Z_LIT/LIT_w_PKT – zm. lit. w pkt literą"/>
    <w:basedOn w:val="LITlitera"/>
    <w:uiPriority w:val="48"/>
    <w:qFormat/>
    <w:rsid w:val="00153A56"/>
    <w:pPr>
      <w:ind w:left="1973"/>
    </w:pPr>
  </w:style>
  <w:style w:type="paragraph" w:customStyle="1" w:styleId="ZLITCZWSPLITwPKTzmczciwsplitwpktliter">
    <w:name w:val="Z_LIT/CZ_WSP_LIT_w_PKT – zm. części wsp. lit. w pkt literą"/>
    <w:basedOn w:val="CZWSPLITczwsplnaliter"/>
    <w:next w:val="LITlitera"/>
    <w:uiPriority w:val="51"/>
    <w:qFormat/>
    <w:rsid w:val="00153A56"/>
    <w:pPr>
      <w:ind w:left="1497"/>
    </w:pPr>
  </w:style>
  <w:style w:type="paragraph" w:customStyle="1" w:styleId="ZLITTIRwPKTzmtirwpktliter">
    <w:name w:val="Z_LIT/TIR_w_PKT – zm. tir. w pkt literą"/>
    <w:basedOn w:val="TIRtiret"/>
    <w:uiPriority w:val="49"/>
    <w:qFormat/>
    <w:rsid w:val="00153A56"/>
    <w:pPr>
      <w:ind w:left="2370"/>
    </w:pPr>
  </w:style>
  <w:style w:type="paragraph" w:customStyle="1" w:styleId="ZLITCZWSPTIRwPKTzmczciwsptirwpktliter">
    <w:name w:val="Z_LIT/CZ_WSP_TIR_w_PKT – zm. części wsp. tir. w pkt literą"/>
    <w:basedOn w:val="CZWSPTIRczwsplnatiret"/>
    <w:next w:val="LITlitera"/>
    <w:uiPriority w:val="51"/>
    <w:qFormat/>
    <w:rsid w:val="00153A56"/>
    <w:pPr>
      <w:ind w:left="1973"/>
    </w:pPr>
  </w:style>
  <w:style w:type="paragraph" w:styleId="Tekstprzypisudolnego">
    <w:name w:val="footnote text"/>
    <w:basedOn w:val="Normalny"/>
    <w:link w:val="TekstprzypisudolnegoZnak"/>
    <w:uiPriority w:val="99"/>
    <w:semiHidden/>
    <w:qFormat/>
    <w:rsid w:val="00153A56"/>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153A56"/>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153A56"/>
    <w:pPr>
      <w:ind w:left="1859"/>
    </w:pPr>
  </w:style>
  <w:style w:type="paragraph" w:customStyle="1" w:styleId="ZTIRCZWSPPKTzmczciwsppkttiret">
    <w:name w:val="Z_TIR/CZ_WSP_PKT – zm. części wsp. pkt tiret"/>
    <w:basedOn w:val="CZWSPLITczwsplnaliter"/>
    <w:next w:val="TIRtiret"/>
    <w:uiPriority w:val="58"/>
    <w:qFormat/>
    <w:rsid w:val="00153A56"/>
    <w:pPr>
      <w:ind w:left="1383"/>
    </w:pPr>
  </w:style>
  <w:style w:type="paragraph" w:customStyle="1" w:styleId="ZTIRTIRzmtirtiret">
    <w:name w:val="Z_TIR/TIR – zm. tir. tiret"/>
    <w:basedOn w:val="TIRtiret"/>
    <w:uiPriority w:val="57"/>
    <w:qFormat/>
    <w:rsid w:val="00153A56"/>
    <w:pPr>
      <w:ind w:left="1780"/>
    </w:pPr>
  </w:style>
  <w:style w:type="paragraph" w:customStyle="1" w:styleId="ZZCZWSPTIRwPKTzmianazmczciwsptirwpkt">
    <w:name w:val="ZZ/CZ_WSP_TIR_w_PKT – zmiana zm. części wsp. tir. w pkt"/>
    <w:basedOn w:val="ZZTIRwPKTzmianazmtirwpkt"/>
    <w:uiPriority w:val="70"/>
    <w:qFormat/>
    <w:rsid w:val="00153A56"/>
    <w:pPr>
      <w:ind w:left="2880" w:firstLine="0"/>
    </w:pPr>
  </w:style>
  <w:style w:type="paragraph" w:customStyle="1" w:styleId="ZZTIRwLITzmianazmtirwlit">
    <w:name w:val="ZZ/TIR_w_LIT – zmiana zm. tir. w lit."/>
    <w:basedOn w:val="ZZTIRzmianazmtir"/>
    <w:uiPriority w:val="67"/>
    <w:qFormat/>
    <w:rsid w:val="00153A56"/>
    <w:pPr>
      <w:ind w:left="2767"/>
    </w:pPr>
  </w:style>
  <w:style w:type="paragraph" w:customStyle="1" w:styleId="ZTIRTIRwLITzmtirwlittiret">
    <w:name w:val="Z_TIR/TIR_w_LIT – zm. tir. w lit. tiret"/>
    <w:basedOn w:val="TIRtiret"/>
    <w:uiPriority w:val="57"/>
    <w:qFormat/>
    <w:rsid w:val="00153A56"/>
    <w:pPr>
      <w:ind w:left="2257"/>
    </w:pPr>
  </w:style>
  <w:style w:type="paragraph" w:customStyle="1" w:styleId="ZTIRCZWSPTIRwLITzmczciwsptirwlittiret">
    <w:name w:val="Z_TIR/CZ_WSP_TIR_w_LIT – zm. części wsp. tir. w lit. tiret"/>
    <w:basedOn w:val="CZWSPTIRczwsplnatiret"/>
    <w:next w:val="TIRtiret"/>
    <w:uiPriority w:val="60"/>
    <w:qFormat/>
    <w:rsid w:val="00153A56"/>
    <w:pPr>
      <w:ind w:left="1860"/>
    </w:pPr>
  </w:style>
  <w:style w:type="paragraph" w:customStyle="1" w:styleId="CZWSP2TIRczwsplnapodwjnychtiret">
    <w:name w:val="CZ_WSP_2TIR – część wspólna podwójnych tiret"/>
    <w:basedOn w:val="CZWSPTIRczwsplnatiret"/>
    <w:next w:val="TIRtiret"/>
    <w:uiPriority w:val="73"/>
    <w:qFormat/>
    <w:rsid w:val="00153A56"/>
    <w:pPr>
      <w:ind w:left="1780"/>
    </w:pPr>
  </w:style>
  <w:style w:type="paragraph" w:customStyle="1" w:styleId="Z2TIRzmpodwtirartykuempunktem">
    <w:name w:val="Z/2TIR – zm. podw. tir. artykułem (punktem)"/>
    <w:basedOn w:val="TIRtiret"/>
    <w:uiPriority w:val="73"/>
    <w:qFormat/>
    <w:rsid w:val="00153A56"/>
    <w:pPr>
      <w:ind w:left="907"/>
    </w:pPr>
  </w:style>
  <w:style w:type="paragraph" w:customStyle="1" w:styleId="ZZCZWSPTIRwLITzmianazmczciwsptirwlit">
    <w:name w:val="ZZ/CZ_WSP_TIR_w_LIT – zmiana zm. części wsp. tir. w lit."/>
    <w:basedOn w:val="ZZTIRwLITzmianazmtirwlit"/>
    <w:uiPriority w:val="70"/>
    <w:qFormat/>
    <w:rsid w:val="00153A56"/>
    <w:pPr>
      <w:ind w:left="2370" w:firstLine="0"/>
    </w:pPr>
  </w:style>
  <w:style w:type="paragraph" w:customStyle="1" w:styleId="ZLIT2TIRzmpodwtirliter">
    <w:name w:val="Z_LIT/2TIR – zm. podw. tir. literą"/>
    <w:basedOn w:val="TIRtiret"/>
    <w:uiPriority w:val="75"/>
    <w:qFormat/>
    <w:rsid w:val="00153A56"/>
  </w:style>
  <w:style w:type="paragraph" w:customStyle="1" w:styleId="ZTIR2TIRzmpodwtirtiret">
    <w:name w:val="Z_TIR/2TIR – zm. podw. tir. tiret"/>
    <w:basedOn w:val="TIRtiret"/>
    <w:uiPriority w:val="78"/>
    <w:qFormat/>
    <w:rsid w:val="00153A5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53A56"/>
    <w:pPr>
      <w:ind w:left="1780"/>
    </w:pPr>
  </w:style>
  <w:style w:type="paragraph" w:customStyle="1" w:styleId="Z2TIRwPKTzmpodwtirwpktartykuempunktem">
    <w:name w:val="Z/2TIR_w_PKT – zm. podw. tir. w pkt artykułem (punktem)"/>
    <w:basedOn w:val="TIRtiret"/>
    <w:next w:val="ZPKTzmpktartykuempunktem"/>
    <w:uiPriority w:val="74"/>
    <w:qFormat/>
    <w:rsid w:val="00153A56"/>
    <w:pPr>
      <w:ind w:left="2291"/>
    </w:pPr>
  </w:style>
  <w:style w:type="paragraph" w:customStyle="1" w:styleId="ZTIRPKTzmpkttiret">
    <w:name w:val="Z_TIR/PKT – zm. pkt tiret"/>
    <w:basedOn w:val="PKTpunkt"/>
    <w:uiPriority w:val="56"/>
    <w:qFormat/>
    <w:rsid w:val="00153A56"/>
    <w:pPr>
      <w:ind w:left="1893"/>
    </w:pPr>
  </w:style>
  <w:style w:type="paragraph" w:customStyle="1" w:styleId="ZTIRLITwPKTzmlitwpkttiret">
    <w:name w:val="Z_TIR/LIT_w_PKT – zm. lit. w pkt tiret"/>
    <w:basedOn w:val="LITlitera"/>
    <w:uiPriority w:val="57"/>
    <w:qFormat/>
    <w:rsid w:val="00153A56"/>
    <w:pPr>
      <w:ind w:left="2336"/>
    </w:pPr>
  </w:style>
  <w:style w:type="paragraph" w:customStyle="1" w:styleId="ZTIRCZWSPLITwPKTzmczciwsplitwpkttiret">
    <w:name w:val="Z_TIR/CZ_WSP_LIT_w_PKT – zm. części wsp. lit. w pkt tiret"/>
    <w:basedOn w:val="CZWSPLITczwsplnaliter"/>
    <w:uiPriority w:val="59"/>
    <w:qFormat/>
    <w:rsid w:val="00153A56"/>
    <w:pPr>
      <w:ind w:left="1860"/>
    </w:pPr>
  </w:style>
  <w:style w:type="paragraph" w:customStyle="1" w:styleId="ZTIR2TIRwLITzmpodwtirwlittiret">
    <w:name w:val="Z_TIR/2TIR_w_LIT – zm. podw. tir. w lit. tiret"/>
    <w:basedOn w:val="TIRtiret"/>
    <w:uiPriority w:val="79"/>
    <w:qFormat/>
    <w:rsid w:val="00153A5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53A56"/>
    <w:pPr>
      <w:ind w:left="2257"/>
    </w:pPr>
  </w:style>
  <w:style w:type="paragraph" w:customStyle="1" w:styleId="ZTIR2TIRwTIRzmpodwtirwtirtiret">
    <w:name w:val="Z_TIR/2TIR_w_TIR – zm. podw. tir. w tir. tiret"/>
    <w:basedOn w:val="TIRtiret"/>
    <w:uiPriority w:val="78"/>
    <w:qFormat/>
    <w:rsid w:val="00153A56"/>
    <w:pPr>
      <w:ind w:left="2177"/>
    </w:pPr>
  </w:style>
  <w:style w:type="paragraph" w:customStyle="1" w:styleId="ZTIRCZWSP2TIRwTIRzmczciwsppodwtirwtirtiret">
    <w:name w:val="Z_TIR/CZ_WSP_2TIR_w_TIR – zm. części wsp. podw. tir. w tir. tiret"/>
    <w:basedOn w:val="CZWSPTIRczwsplnatiret"/>
    <w:uiPriority w:val="79"/>
    <w:qFormat/>
    <w:rsid w:val="00153A56"/>
    <w:pPr>
      <w:ind w:left="1780"/>
    </w:pPr>
  </w:style>
  <w:style w:type="paragraph" w:customStyle="1" w:styleId="Z2TIRLITzmlitpodwjnymtiret">
    <w:name w:val="Z_2TIR/LIT – zm. lit. podwójnym tiret"/>
    <w:basedOn w:val="LITlitera"/>
    <w:uiPriority w:val="84"/>
    <w:qFormat/>
    <w:rsid w:val="00153A56"/>
    <w:pPr>
      <w:ind w:left="2256"/>
    </w:pPr>
  </w:style>
  <w:style w:type="paragraph" w:customStyle="1" w:styleId="ZZ2TIRwTIRzmianazmpodwtirwtir">
    <w:name w:val="ZZ/2TIR_w_TIR – zmiana zm. podw. tir. w tir."/>
    <w:basedOn w:val="ZZCZWSP2TIRzmianazmczciwsppodwtir"/>
    <w:uiPriority w:val="93"/>
    <w:qFormat/>
    <w:rsid w:val="00153A56"/>
    <w:pPr>
      <w:ind w:left="2688" w:hanging="397"/>
    </w:pPr>
  </w:style>
  <w:style w:type="paragraph" w:customStyle="1" w:styleId="ZZ2TIRwLITzmianazmpodwtirwlit">
    <w:name w:val="ZZ/2TIR_w_LIT – zmiana zm. podw. tir. w lit."/>
    <w:basedOn w:val="ZZ2TIRwTIRzmianazmpodwtirwtir"/>
    <w:uiPriority w:val="94"/>
    <w:qFormat/>
    <w:rsid w:val="00153A56"/>
    <w:pPr>
      <w:ind w:left="3164"/>
    </w:pPr>
  </w:style>
  <w:style w:type="paragraph" w:customStyle="1" w:styleId="Z2TIRTIRwLITzmtirwlitpodwjnymtiret">
    <w:name w:val="Z_2TIR/TIR_w_LIT – zm. tir. w lit. podwójnym tiret"/>
    <w:basedOn w:val="TIRtiret"/>
    <w:uiPriority w:val="84"/>
    <w:qFormat/>
    <w:rsid w:val="00153A5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53A56"/>
    <w:pPr>
      <w:ind w:left="2257"/>
    </w:pPr>
  </w:style>
  <w:style w:type="paragraph" w:customStyle="1" w:styleId="ZZ2TIRwPKTzmianazmpodwtirwpkt">
    <w:name w:val="ZZ/2TIR_w_PKT – zmiana zm. podw. tir. w pkt"/>
    <w:basedOn w:val="ZZ2TIRwLITzmianazmpodwtirwlit"/>
    <w:uiPriority w:val="94"/>
    <w:qFormat/>
    <w:rsid w:val="00153A56"/>
    <w:pPr>
      <w:ind w:left="3674"/>
    </w:pPr>
  </w:style>
  <w:style w:type="paragraph" w:customStyle="1" w:styleId="ZZCZWSP2TIRwTIRzmianazmczciwsppodwtirwtir">
    <w:name w:val="ZZ/CZ_WSP_2TIR_w_TIR – zmiana zm. części wsp. podw. tir. w tir."/>
    <w:basedOn w:val="ZZ2TIRwLITzmianazmpodwtirwlit"/>
    <w:uiPriority w:val="94"/>
    <w:qFormat/>
    <w:rsid w:val="00153A56"/>
    <w:pPr>
      <w:ind w:left="2291" w:firstLine="0"/>
    </w:pPr>
  </w:style>
  <w:style w:type="paragraph" w:customStyle="1" w:styleId="Z2TIR2TIRwTIRzmpodwtirwtirpodwjnymtiret">
    <w:name w:val="Z_2TIR/2TIR_w_TIR – zm. podw. tir. w tir. podwójnym tiret"/>
    <w:basedOn w:val="TIRtiret"/>
    <w:uiPriority w:val="85"/>
    <w:qFormat/>
    <w:rsid w:val="00153A5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53A56"/>
    <w:pPr>
      <w:ind w:left="2177"/>
    </w:pPr>
  </w:style>
  <w:style w:type="paragraph" w:customStyle="1" w:styleId="Z2TIR2TIRwLITzmpodwtirwlitpodwjnymtiret">
    <w:name w:val="Z_2TIR/2TIR_w_LIT – zm. podw. tir. w lit. podwójnym tiret"/>
    <w:basedOn w:val="TIRtiret"/>
    <w:uiPriority w:val="86"/>
    <w:qFormat/>
    <w:rsid w:val="00153A5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53A5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53A5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53A56"/>
    <w:pPr>
      <w:spacing w:after="120"/>
      <w:ind w:left="510"/>
    </w:pPr>
    <w:rPr>
      <w:b w:val="0"/>
    </w:rPr>
  </w:style>
  <w:style w:type="character" w:styleId="Odwoaniedokomentarza">
    <w:name w:val="annotation reference"/>
    <w:basedOn w:val="Domylnaczcionkaakapitu"/>
    <w:uiPriority w:val="99"/>
    <w:semiHidden/>
    <w:rsid w:val="00153A56"/>
    <w:rPr>
      <w:sz w:val="16"/>
      <w:szCs w:val="16"/>
    </w:rPr>
  </w:style>
  <w:style w:type="paragraph" w:styleId="Tekstkomentarza">
    <w:name w:val="annotation text"/>
    <w:basedOn w:val="Normalny"/>
    <w:link w:val="TekstkomentarzaZnak"/>
    <w:uiPriority w:val="99"/>
    <w:semiHidden/>
    <w:rsid w:val="00153A56"/>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153A56"/>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153A56"/>
    <w:rPr>
      <w:b/>
      <w:bCs/>
    </w:rPr>
  </w:style>
  <w:style w:type="character" w:customStyle="1" w:styleId="TematkomentarzaZnak">
    <w:name w:val="Temat komentarza Znak"/>
    <w:basedOn w:val="TekstkomentarzaZnak"/>
    <w:link w:val="Tematkomentarza"/>
    <w:uiPriority w:val="99"/>
    <w:semiHidden/>
    <w:rsid w:val="00153A56"/>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153A56"/>
    <w:pPr>
      <w:ind w:left="1894"/>
    </w:pPr>
  </w:style>
  <w:style w:type="paragraph" w:customStyle="1" w:styleId="ZZPKTzmianazmpkt">
    <w:name w:val="ZZ/PKT – zmiana zm. pkt"/>
    <w:basedOn w:val="ZPKTzmpktartykuempunktem"/>
    <w:uiPriority w:val="66"/>
    <w:qFormat/>
    <w:rsid w:val="00153A56"/>
    <w:pPr>
      <w:ind w:left="2404"/>
    </w:pPr>
  </w:style>
  <w:style w:type="paragraph" w:customStyle="1" w:styleId="ZZLITwPKTzmianazmlitwpkt">
    <w:name w:val="ZZ/LIT_w_PKT – zmiana zm. lit. w pkt"/>
    <w:basedOn w:val="ZLITwPKTzmlitwpktartykuempunktem"/>
    <w:uiPriority w:val="67"/>
    <w:qFormat/>
    <w:rsid w:val="00153A56"/>
    <w:pPr>
      <w:ind w:left="2880"/>
    </w:pPr>
  </w:style>
  <w:style w:type="paragraph" w:customStyle="1" w:styleId="ZZTIRwPKTzmianazmtirwpkt">
    <w:name w:val="ZZ/TIR_w_PKT – zmiana zm. tir. w pkt"/>
    <w:basedOn w:val="ZTIRwPKTzmtirwpktartykuempunktem"/>
    <w:uiPriority w:val="67"/>
    <w:qFormat/>
    <w:rsid w:val="00153A56"/>
    <w:pPr>
      <w:ind w:left="3277"/>
    </w:pPr>
  </w:style>
  <w:style w:type="paragraph" w:customStyle="1" w:styleId="ZZWMATFIZCHEMzmwzorumatfizlubchem">
    <w:name w:val="ZZ/W_MAT(FIZ|CHEM) – zm. wzoru mat. (fiz. lub chem.)"/>
    <w:basedOn w:val="ZWMATFIZCHEMzmwzorumatfizlubchemartykuempunktem"/>
    <w:uiPriority w:val="71"/>
    <w:qFormat/>
    <w:rsid w:val="00153A56"/>
    <w:pPr>
      <w:ind w:left="2404"/>
    </w:pPr>
  </w:style>
  <w:style w:type="paragraph" w:customStyle="1" w:styleId="ODNONIKtreodnonika">
    <w:name w:val="ODNOŚNIK – treść odnośnika"/>
    <w:uiPriority w:val="19"/>
    <w:qFormat/>
    <w:rsid w:val="00153A56"/>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153A5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53A5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53A56"/>
    <w:rPr>
      <w:rFonts w:ascii="Times New Roman" w:hAnsi="Times New Roman"/>
    </w:rPr>
  </w:style>
  <w:style w:type="paragraph" w:customStyle="1" w:styleId="ZTIRTIRwPKTzmtirwpkttiret">
    <w:name w:val="Z_TIR/TIR_w_PKT – zm. tir. w pkt tiret"/>
    <w:basedOn w:val="ZTIRTIRwLITzmtirwlittiret"/>
    <w:uiPriority w:val="57"/>
    <w:qFormat/>
    <w:rsid w:val="00153A56"/>
    <w:pPr>
      <w:ind w:left="2733"/>
    </w:pPr>
  </w:style>
  <w:style w:type="paragraph" w:customStyle="1" w:styleId="ZTIRCZWSPTIRwPKTzmczciwsptirtiret">
    <w:name w:val="Z_TIR/CZ_WSP_TIR_w_PKT – zm. części wsp. tir. tiret"/>
    <w:basedOn w:val="ZTIRTIRwPKTzmtirwpkttiret"/>
    <w:next w:val="TIRtiret"/>
    <w:uiPriority w:val="60"/>
    <w:qFormat/>
    <w:rsid w:val="00153A5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53A56"/>
    <w:pPr>
      <w:ind w:left="510" w:firstLine="0"/>
    </w:pPr>
  </w:style>
  <w:style w:type="paragraph" w:customStyle="1" w:styleId="ROZDZODDZOZNoznaczenierozdziauluboddziau">
    <w:name w:val="ROZDZ(ODDZ)_OZN – oznaczenie rozdziału lub oddziału"/>
    <w:next w:val="ARTartustawynprozporzdzenia"/>
    <w:uiPriority w:val="10"/>
    <w:qFormat/>
    <w:rsid w:val="00153A56"/>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153A56"/>
    <w:pPr>
      <w:ind w:left="2177"/>
    </w:pPr>
  </w:style>
  <w:style w:type="paragraph" w:customStyle="1" w:styleId="Z2TIRTIRzmtirpodwjnymtiret">
    <w:name w:val="Z_2TIR/TIR – zm. tir. podwójnym tiret"/>
    <w:basedOn w:val="TIRtiret"/>
    <w:uiPriority w:val="84"/>
    <w:qFormat/>
    <w:rsid w:val="00153A5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53A56"/>
    <w:pPr>
      <w:ind w:left="1021"/>
    </w:pPr>
  </w:style>
  <w:style w:type="paragraph" w:customStyle="1" w:styleId="ZLITSKARNzmsankcjikarnejliter">
    <w:name w:val="Z_LIT/S_KARN – zm. sankcji karnej literą"/>
    <w:basedOn w:val="ZSKARNzmsankcjikarnejwszczeglnociwKodeksiekarnym"/>
    <w:uiPriority w:val="53"/>
    <w:qFormat/>
    <w:rsid w:val="00153A5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53A5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53A56"/>
    <w:pPr>
      <w:ind w:left="1894" w:firstLine="0"/>
    </w:pPr>
  </w:style>
  <w:style w:type="paragraph" w:customStyle="1" w:styleId="Z2TIRwLITzmpodwtirwlitartykuempunktem">
    <w:name w:val="Z/2TIR_w_LIT – zm. podw. tir. w lit. artykułem (punktem)"/>
    <w:basedOn w:val="Z2TIRwPKTzmpodwtirwpktartykuempunktem"/>
    <w:uiPriority w:val="74"/>
    <w:qFormat/>
    <w:rsid w:val="00153A56"/>
    <w:pPr>
      <w:ind w:left="1780"/>
    </w:pPr>
  </w:style>
  <w:style w:type="paragraph" w:customStyle="1" w:styleId="Z2TIRwTIRzmpodwtirwtirartykuempunktem">
    <w:name w:val="Z/2TIR_w_TIR – zm. podw. tir. w tir. artykułem (punktem)"/>
    <w:basedOn w:val="Z2TIRwLITzmpodwtirwlitartykuempunktem"/>
    <w:uiPriority w:val="73"/>
    <w:qFormat/>
    <w:rsid w:val="00153A5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53A5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53A56"/>
    <w:pPr>
      <w:ind w:left="1383" w:firstLine="0"/>
    </w:pPr>
  </w:style>
  <w:style w:type="paragraph" w:customStyle="1" w:styleId="ZZCZWSP2TIRzmianazmczciwsppodwtir">
    <w:name w:val="ZZ/CZ_WSP_2TIR – zmiana zm. części wsp. podw. tir."/>
    <w:basedOn w:val="ZZTIRzmianazmtir"/>
    <w:next w:val="ZZUSTzmianazmust"/>
    <w:uiPriority w:val="94"/>
    <w:qFormat/>
    <w:rsid w:val="00153A56"/>
    <w:pPr>
      <w:ind w:left="1894" w:firstLine="0"/>
    </w:pPr>
  </w:style>
  <w:style w:type="paragraph" w:customStyle="1" w:styleId="PKTODNONIKApunktodnonika">
    <w:name w:val="PKT_ODNOŚNIKA – punkt odnośnika"/>
    <w:basedOn w:val="ODNONIKtreodnonika"/>
    <w:uiPriority w:val="19"/>
    <w:qFormat/>
    <w:rsid w:val="00153A56"/>
    <w:pPr>
      <w:ind w:left="568"/>
    </w:pPr>
  </w:style>
  <w:style w:type="paragraph" w:customStyle="1" w:styleId="ZODNONIKAzmtekstuodnonikaartykuempunktem">
    <w:name w:val="Z/ODNOŚNIKA – zm. tekstu odnośnika artykułem (punktem)"/>
    <w:basedOn w:val="ODNONIKtreodnonika"/>
    <w:uiPriority w:val="39"/>
    <w:qFormat/>
    <w:rsid w:val="00153A5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53A56"/>
    <w:pPr>
      <w:ind w:left="1304"/>
    </w:pPr>
  </w:style>
  <w:style w:type="paragraph" w:customStyle="1" w:styleId="ZPKTODNONIKAzmpktodnonikaartykuempunktem">
    <w:name w:val="Z/PKT_ODNOŚNIKA – zm. pkt odnośnika artykułem (punktem)"/>
    <w:basedOn w:val="ZODNONIKAzmtekstuodnonikaartykuempunktem"/>
    <w:uiPriority w:val="39"/>
    <w:qFormat/>
    <w:rsid w:val="00153A56"/>
  </w:style>
  <w:style w:type="paragraph" w:customStyle="1" w:styleId="ZLIT2TIRwTIRzmpodwtirwtirliter">
    <w:name w:val="Z_LIT/2TIR_w_TIR – zm. podw. tir. w tir. literą"/>
    <w:basedOn w:val="ZLIT2TIRzmpodwtirliter"/>
    <w:uiPriority w:val="75"/>
    <w:qFormat/>
    <w:rsid w:val="00153A56"/>
    <w:pPr>
      <w:ind w:left="1780"/>
    </w:pPr>
  </w:style>
  <w:style w:type="paragraph" w:customStyle="1" w:styleId="ZLIT2TIRwLITzmpodwtirwlitliter">
    <w:name w:val="Z_LIT/2TIR_w_LIT – zm. podw. tir. w lit. literą"/>
    <w:basedOn w:val="ZLIT2TIRwTIRzmpodwtirwtirliter"/>
    <w:uiPriority w:val="76"/>
    <w:qFormat/>
    <w:rsid w:val="00153A56"/>
    <w:pPr>
      <w:ind w:left="2257"/>
    </w:pPr>
  </w:style>
  <w:style w:type="paragraph" w:customStyle="1" w:styleId="ZLIT2TIRwPKTzmpodwtirwpktliter">
    <w:name w:val="Z_LIT/2TIR_w_PKT – zm. podw. tir. w pkt literą"/>
    <w:basedOn w:val="ZLIT2TIRwLITzmpodwtirwlitliter"/>
    <w:uiPriority w:val="76"/>
    <w:qFormat/>
    <w:rsid w:val="00153A5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53A5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53A5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53A56"/>
    <w:pPr>
      <w:ind w:left="2370" w:firstLine="0"/>
    </w:pPr>
  </w:style>
  <w:style w:type="paragraph" w:customStyle="1" w:styleId="ZTIR2TIRwPKTzmpodwtirwpkttiret">
    <w:name w:val="Z_TIR/2TIR_w_PKT – zm. podw. tir. w pkt tiret"/>
    <w:basedOn w:val="ZTIR2TIRwLITzmpodwtirwlittiret"/>
    <w:uiPriority w:val="79"/>
    <w:qFormat/>
    <w:rsid w:val="00153A5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53A5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53A56"/>
    <w:pPr>
      <w:ind w:left="2767"/>
    </w:pPr>
  </w:style>
  <w:style w:type="paragraph" w:customStyle="1" w:styleId="ZZCZWSP2TIRwPKTzmianazmczciwsppodwtirwpkt">
    <w:name w:val="ZZ/CZ_WSP_2TIR_w_PKT – zmiana zm. części wsp. podw. tir. w pkt"/>
    <w:basedOn w:val="ZZ2TIRwLITzmianazmpodwtirwlit"/>
    <w:uiPriority w:val="95"/>
    <w:qFormat/>
    <w:rsid w:val="00153A5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53A56"/>
  </w:style>
  <w:style w:type="paragraph" w:customStyle="1" w:styleId="ZLITCZWSP2TIRzmczciwsppodwtirliter">
    <w:name w:val="Z_LIT/CZ_WSP_2TIR – zm. części wsp. podw. tir. literą"/>
    <w:basedOn w:val="ZLITCZWSPPKTzmczciwsppktliter"/>
    <w:next w:val="LITlitera"/>
    <w:uiPriority w:val="76"/>
    <w:qFormat/>
    <w:rsid w:val="00153A56"/>
  </w:style>
  <w:style w:type="paragraph" w:customStyle="1" w:styleId="ZTIRCZWSP2TIRzmczciwsppodwtirtiret">
    <w:name w:val="Z_TIR/CZ_WSP_2TIR – zm. części wsp. podw. tir. tiret"/>
    <w:basedOn w:val="ZLITCZWSP2TIRzmczciwsppodwtirliter"/>
    <w:next w:val="TIRtiret"/>
    <w:uiPriority w:val="79"/>
    <w:qFormat/>
    <w:rsid w:val="00153A56"/>
  </w:style>
  <w:style w:type="paragraph" w:customStyle="1" w:styleId="ZZ2TIRzmianazmpodwtir">
    <w:name w:val="ZZ/2TIR – zmiana zm. podw. tir."/>
    <w:basedOn w:val="ZZCZWSP2TIRzmianazmczciwsppodwtir"/>
    <w:uiPriority w:val="93"/>
    <w:qFormat/>
    <w:rsid w:val="00153A5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53A56"/>
  </w:style>
  <w:style w:type="paragraph" w:customStyle="1" w:styleId="ZCZWSPTIRzmczciwsptirartykuempunktem">
    <w:name w:val="Z/CZ_WSP_TIR – zm. części wsp. tir. artykułem (punktem)"/>
    <w:basedOn w:val="ZCZWSPPKTzmczciwsppktartykuempunktem"/>
    <w:next w:val="PKTpunkt"/>
    <w:uiPriority w:val="35"/>
    <w:qFormat/>
    <w:rsid w:val="00153A56"/>
  </w:style>
  <w:style w:type="paragraph" w:customStyle="1" w:styleId="ZLITCZWSPLITzmczciwsplitliter">
    <w:name w:val="Z_LIT/CZ_WSP_LIT – zm. części wsp. lit. literą"/>
    <w:basedOn w:val="ZLITCZWSPPKTzmczciwsppktliter"/>
    <w:next w:val="LITlitera"/>
    <w:uiPriority w:val="51"/>
    <w:qFormat/>
    <w:rsid w:val="00153A56"/>
  </w:style>
  <w:style w:type="paragraph" w:customStyle="1" w:styleId="ZLITCZWSPTIRzmczciwsptirliter">
    <w:name w:val="Z_LIT/CZ_WSP_TIR – zm. części wsp. tir. literą"/>
    <w:basedOn w:val="ZLITCZWSPPKTzmczciwsppktliter"/>
    <w:next w:val="LITlitera"/>
    <w:uiPriority w:val="51"/>
    <w:qFormat/>
    <w:rsid w:val="00153A56"/>
  </w:style>
  <w:style w:type="paragraph" w:customStyle="1" w:styleId="ZTIRCZWSPLITzmczciwsplittiret">
    <w:name w:val="Z_TIR/CZ_WSP_LIT – zm. części wsp. lit. tiret"/>
    <w:basedOn w:val="ZTIRCZWSPPKTzmczciwsppkttiret"/>
    <w:next w:val="TIRtiret"/>
    <w:uiPriority w:val="59"/>
    <w:qFormat/>
    <w:rsid w:val="00153A56"/>
  </w:style>
  <w:style w:type="paragraph" w:customStyle="1" w:styleId="ZTIRCZWSPTIRzmczciwsptirtiret">
    <w:name w:val="Z_TIR/CZ_WSP_TIR – zm. części wsp. tir. tiret"/>
    <w:basedOn w:val="ZTIRCZWSPPKTzmczciwsppkttiret"/>
    <w:next w:val="TIRtiret"/>
    <w:uiPriority w:val="60"/>
    <w:qFormat/>
    <w:rsid w:val="00153A56"/>
  </w:style>
  <w:style w:type="paragraph" w:customStyle="1" w:styleId="ZZCZWSPLITzmianazmczciwsplit">
    <w:name w:val="ZZ/CZ_WSP_LIT – zmiana. zm. części wsp. lit."/>
    <w:basedOn w:val="ZZCZWSPPKTzmianazmczciwsppkt"/>
    <w:uiPriority w:val="69"/>
    <w:qFormat/>
    <w:rsid w:val="00153A56"/>
  </w:style>
  <w:style w:type="paragraph" w:customStyle="1" w:styleId="ZZCZWSPTIRzmianazmczciwsptir">
    <w:name w:val="ZZ/CZ_WSP_TIR – zmiana. zm. części wsp. tir."/>
    <w:basedOn w:val="ZZCZWSPPKTzmianazmczciwsppkt"/>
    <w:uiPriority w:val="69"/>
    <w:qFormat/>
    <w:rsid w:val="00153A56"/>
  </w:style>
  <w:style w:type="paragraph" w:customStyle="1" w:styleId="Z2TIRCZWSPTIRzmczciwsptirpodwjnymtiret">
    <w:name w:val="Z_2TIR/CZ_WSP_TIR – zm. części wsp. tir. podwójnym tiret"/>
    <w:basedOn w:val="Z2TIRCZWSPLITzmczciwsplitpodwjnymtiret"/>
    <w:next w:val="2TIRpodwjnytiret"/>
    <w:uiPriority w:val="87"/>
    <w:qFormat/>
    <w:rsid w:val="00153A5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53A56"/>
  </w:style>
  <w:style w:type="paragraph" w:customStyle="1" w:styleId="ZUSTzmustartykuempunktem">
    <w:name w:val="Z/UST(§) – zm. ust. (§) artykułem (punktem)"/>
    <w:basedOn w:val="ZARTzmartartykuempunktem"/>
    <w:uiPriority w:val="30"/>
    <w:qFormat/>
    <w:rsid w:val="00153A56"/>
  </w:style>
  <w:style w:type="paragraph" w:customStyle="1" w:styleId="ZZUSTzmianazmust">
    <w:name w:val="ZZ/UST(§) – zmiana zm. ust. (§)"/>
    <w:basedOn w:val="ZZARTzmianazmart"/>
    <w:uiPriority w:val="65"/>
    <w:qFormat/>
    <w:rsid w:val="00153A56"/>
  </w:style>
  <w:style w:type="paragraph" w:customStyle="1" w:styleId="TYTDZPRZEDMprzedmiotregulacjitytuulubdziau">
    <w:name w:val="TYT(DZ)_PRZEDM – przedmiot regulacji tytułu lub działu"/>
    <w:next w:val="ARTartustawynprozporzdzenia"/>
    <w:uiPriority w:val="9"/>
    <w:qFormat/>
    <w:rsid w:val="00153A56"/>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153A5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53A5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53A5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53A5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53A5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53A56"/>
    <w:pPr>
      <w:ind w:left="1894"/>
    </w:pPr>
  </w:style>
  <w:style w:type="paragraph" w:customStyle="1" w:styleId="P1wTABELIpoziom1numeracjiwtabeli">
    <w:name w:val="P1_w_TABELI – poziom 1 numeracji w tabeli"/>
    <w:basedOn w:val="PKTpunkt"/>
    <w:uiPriority w:val="24"/>
    <w:qFormat/>
    <w:rsid w:val="00153A5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53A56"/>
    <w:pPr>
      <w:ind w:left="0" w:firstLine="0"/>
    </w:pPr>
  </w:style>
  <w:style w:type="paragraph" w:customStyle="1" w:styleId="P2wTABELIpoziom2numeracjiwtabeli">
    <w:name w:val="P2_w_TABELI – poziom 2 numeracji w tabeli"/>
    <w:basedOn w:val="P1wTABELIpoziom1numeracjiwtabeli"/>
    <w:uiPriority w:val="24"/>
    <w:qFormat/>
    <w:rsid w:val="00153A56"/>
    <w:pPr>
      <w:ind w:left="794"/>
    </w:pPr>
  </w:style>
  <w:style w:type="paragraph" w:customStyle="1" w:styleId="P3wTABELIpoziom3numeracjiwtabeli">
    <w:name w:val="P3_w_TABELI – poziom 3 numeracji w tabeli"/>
    <w:basedOn w:val="P2wTABELIpoziom2numeracjiwtabeli"/>
    <w:uiPriority w:val="24"/>
    <w:qFormat/>
    <w:rsid w:val="00153A5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53A5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53A5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53A56"/>
    <w:pPr>
      <w:ind w:left="1191"/>
    </w:pPr>
  </w:style>
  <w:style w:type="paragraph" w:customStyle="1" w:styleId="P4wTABELIpoziom4numeracjiwtabeli">
    <w:name w:val="P4_w_TABELI – poziom 4 numeracji w tabeli"/>
    <w:basedOn w:val="P3wTABELIpoziom3numeracjiwtabeli"/>
    <w:uiPriority w:val="24"/>
    <w:qFormat/>
    <w:rsid w:val="00153A56"/>
    <w:pPr>
      <w:ind w:left="1588"/>
    </w:pPr>
  </w:style>
  <w:style w:type="paragraph" w:customStyle="1" w:styleId="TYTTABELItytutabeli">
    <w:name w:val="TYT_TABELI – tytuł tabeli"/>
    <w:basedOn w:val="TYTDZOZNoznaczenietytuulubdziau"/>
    <w:uiPriority w:val="22"/>
    <w:qFormat/>
    <w:rsid w:val="00153A56"/>
    <w:rPr>
      <w:b/>
    </w:rPr>
  </w:style>
  <w:style w:type="paragraph" w:customStyle="1" w:styleId="OZNPROJEKTUwskazaniedatylubwersjiprojektu">
    <w:name w:val="OZN_PROJEKTU – wskazanie daty lub wersji projektu"/>
    <w:next w:val="OZNRODZAKTUtznustawalubrozporzdzenieiorganwydajcy"/>
    <w:uiPriority w:val="5"/>
    <w:qFormat/>
    <w:rsid w:val="00153A56"/>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153A5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53A56"/>
    <w:pPr>
      <w:ind w:left="0" w:right="4820"/>
      <w:jc w:val="left"/>
    </w:pPr>
  </w:style>
  <w:style w:type="paragraph" w:customStyle="1" w:styleId="TEKSTwporozumieniu">
    <w:name w:val="TEKST&quot;w porozumieniu:&quot;"/>
    <w:next w:val="NAZORGWPOROZUMIENIUnazwaorganuwporozumieniuzktrymaktjestwydawany"/>
    <w:uiPriority w:val="27"/>
    <w:qFormat/>
    <w:rsid w:val="00153A56"/>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153A5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53A56"/>
    <w:pPr>
      <w:ind w:left="510" w:firstLine="0"/>
    </w:pPr>
  </w:style>
  <w:style w:type="paragraph" w:customStyle="1" w:styleId="NOTATKILEGISLATORA">
    <w:name w:val="NOTATKI_LEGISLATORA"/>
    <w:basedOn w:val="Normalny"/>
    <w:uiPriority w:val="5"/>
    <w:qFormat/>
    <w:rsid w:val="00153A56"/>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153A56"/>
    <w:pPr>
      <w:keepNext/>
    </w:pPr>
    <w:rPr>
      <w:b/>
      <w:u w:val="none"/>
    </w:rPr>
  </w:style>
  <w:style w:type="paragraph" w:customStyle="1" w:styleId="OZNPARAFYADNOTACJE">
    <w:name w:val="OZN_PARAFY(ADNOTACJE)"/>
    <w:basedOn w:val="ODNONIKtreodnonika"/>
    <w:uiPriority w:val="26"/>
    <w:qFormat/>
    <w:rsid w:val="00153A56"/>
  </w:style>
  <w:style w:type="paragraph" w:customStyle="1" w:styleId="TEKSTZacznikido">
    <w:name w:val="TEKST&quot;Załącznik(i) do ...&quot;"/>
    <w:uiPriority w:val="28"/>
    <w:qFormat/>
    <w:rsid w:val="00153A56"/>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153A56"/>
    <w:pPr>
      <w:ind w:left="851"/>
    </w:pPr>
  </w:style>
  <w:style w:type="paragraph" w:customStyle="1" w:styleId="CZWSPLITODNONIKAczwspliterodnonika">
    <w:name w:val="CZ_WSP_LIT_ODNOŚNIKA – część wsp. liter odnośnika"/>
    <w:basedOn w:val="LITODNONIKAliteraodnonika"/>
    <w:uiPriority w:val="22"/>
    <w:qFormat/>
    <w:rsid w:val="00153A5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53A5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53A5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53A5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53A5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53A5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53A5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53A56"/>
  </w:style>
  <w:style w:type="paragraph" w:customStyle="1" w:styleId="ZLITwPKTODNONIKAzmlitwpktodnonikaartykuempunktem">
    <w:name w:val="Z/LIT_w_PKT_ODNOŚNIKA – zm. lit. w pkt odnośnika artykułem (punktem)"/>
    <w:basedOn w:val="ZLITODNONIKAzmlitodnonikaartykuempunktem"/>
    <w:uiPriority w:val="40"/>
    <w:qFormat/>
    <w:rsid w:val="00153A5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53A5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53A5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53A5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53A5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53A5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53A56"/>
  </w:style>
  <w:style w:type="paragraph" w:customStyle="1" w:styleId="ZZFRAGzmianazmfragmentunpzdania">
    <w:name w:val="ZZ/FRAG – zmiana zm. fragmentu (np. zdania)"/>
    <w:basedOn w:val="ZZCZWSPPKTzmianazmczciwsppkt"/>
    <w:uiPriority w:val="70"/>
    <w:qFormat/>
    <w:rsid w:val="00153A56"/>
  </w:style>
  <w:style w:type="paragraph" w:customStyle="1" w:styleId="Z2TIRPKTzmpktpodwjnymtiret">
    <w:name w:val="Z_2TIR/PKT – zm. pkt podwójnym tiret"/>
    <w:basedOn w:val="Z2TIRLITzmlitpodwjnymtiret"/>
    <w:uiPriority w:val="83"/>
    <w:qFormat/>
    <w:rsid w:val="00153A5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53A5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53A5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53A5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53A56"/>
    <w:pPr>
      <w:ind w:left="1780" w:firstLine="510"/>
    </w:pPr>
  </w:style>
  <w:style w:type="paragraph" w:customStyle="1" w:styleId="Z2TIRUSTzmustpodwjnymtiret">
    <w:name w:val="Z_2TIR/UST(§) – zm. ust. (§) podwójnym tiret"/>
    <w:basedOn w:val="Z2TIRPKTzmpktpodwjnymtiret"/>
    <w:uiPriority w:val="82"/>
    <w:qFormat/>
    <w:rsid w:val="00153A5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53A56"/>
    <w:pPr>
      <w:ind w:left="3164" w:firstLine="0"/>
    </w:pPr>
  </w:style>
  <w:style w:type="paragraph" w:customStyle="1" w:styleId="Z2TIRCZWSPPKTzmczciwsppktpodwjnymtiret">
    <w:name w:val="Z_2TIR/CZ_WSP_PKT – zm. części wsp. pkt podwójnym tiret"/>
    <w:basedOn w:val="Z2TIRPKTzmpktpodwjnymtiret"/>
    <w:uiPriority w:val="86"/>
    <w:qFormat/>
    <w:rsid w:val="00153A5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53A5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53A56"/>
    <w:pPr>
      <w:ind w:left="2767" w:firstLine="0"/>
    </w:pPr>
  </w:style>
  <w:style w:type="paragraph" w:customStyle="1" w:styleId="ZLITARTzmartliter">
    <w:name w:val="Z_LIT/ART(§) – zm. art. (§) literą"/>
    <w:basedOn w:val="ZLITUSTzmustliter"/>
    <w:uiPriority w:val="46"/>
    <w:qFormat/>
    <w:rsid w:val="00153A56"/>
    <w:rPr>
      <w:rFonts w:ascii="Times New Roman" w:hAnsi="Times New Roman"/>
    </w:rPr>
  </w:style>
  <w:style w:type="paragraph" w:customStyle="1" w:styleId="ZTIRARTzmarttiret">
    <w:name w:val="Z_TIR/ART(§) – zm. art. (§) tiret"/>
    <w:basedOn w:val="ZTIRPKTzmpkttiret"/>
    <w:uiPriority w:val="55"/>
    <w:qFormat/>
    <w:rsid w:val="00153A56"/>
    <w:pPr>
      <w:ind w:left="1383" w:firstLine="510"/>
    </w:pPr>
    <w:rPr>
      <w:rFonts w:ascii="Times New Roman" w:hAnsi="Times New Roman"/>
    </w:rPr>
  </w:style>
  <w:style w:type="paragraph" w:customStyle="1" w:styleId="ZTIRUSTzmusttiret">
    <w:name w:val="Z_TIR/UST(§) – zm. ust. (§) tiret"/>
    <w:basedOn w:val="ZTIRARTzmarttiret"/>
    <w:uiPriority w:val="55"/>
    <w:qFormat/>
    <w:rsid w:val="00153A56"/>
  </w:style>
  <w:style w:type="paragraph" w:customStyle="1" w:styleId="ZLITKSIGIzmozniprzedmksigiliter">
    <w:name w:val="Z_LIT/KSIĘGI – zm. ozn. i przedm. księgi literą"/>
    <w:basedOn w:val="ZCZCIKSIGIzmozniprzedmczciksigiartykuempunktem"/>
    <w:uiPriority w:val="44"/>
    <w:qFormat/>
    <w:rsid w:val="00153A5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53A5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53A5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53A5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53A56"/>
    <w:pPr>
      <w:ind w:left="987"/>
    </w:pPr>
  </w:style>
  <w:style w:type="paragraph" w:customStyle="1" w:styleId="ZTIRDZOZNzmozndziautiret">
    <w:name w:val="Z_TIR/DZ_OZN – zm. ozn. działu tiret"/>
    <w:basedOn w:val="ZLITTYTDZOZNzmozntytuudziauliter"/>
    <w:next w:val="ZTIRDZPRZEDMzmprzedmdziautiret"/>
    <w:uiPriority w:val="54"/>
    <w:qFormat/>
    <w:rsid w:val="00153A56"/>
    <w:pPr>
      <w:ind w:left="1383"/>
    </w:pPr>
  </w:style>
  <w:style w:type="paragraph" w:customStyle="1" w:styleId="ZTIRDZPRZEDMzmprzedmdziautiret">
    <w:name w:val="Z_TIR/DZ_PRZEDM – zm. przedm. działu tiret"/>
    <w:basedOn w:val="ZLITTYTDZPRZEDMzmprzedmtytuudziauliter"/>
    <w:uiPriority w:val="54"/>
    <w:qFormat/>
    <w:rsid w:val="00153A5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53A56"/>
    <w:pPr>
      <w:ind w:left="1383"/>
    </w:pPr>
  </w:style>
  <w:style w:type="paragraph" w:customStyle="1" w:styleId="ZTIRROZDZODDZPRZEDMzmprzedmrozdzoddztiret">
    <w:name w:val="Z_TIR/ROZDZ(ODDZ)_PRZEDM – zm. przedm. rozdz. (oddz.) tiret"/>
    <w:basedOn w:val="ZLITROZDZODDZPRZEDMzmprzedmrozdzoddzliter"/>
    <w:uiPriority w:val="54"/>
    <w:qFormat/>
    <w:rsid w:val="00153A5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53A5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53A56"/>
    <w:pPr>
      <w:ind w:left="1780"/>
    </w:pPr>
  </w:style>
  <w:style w:type="character" w:customStyle="1" w:styleId="IGindeksgrny">
    <w:name w:val="_IG_ – indeks górny"/>
    <w:basedOn w:val="Domylnaczcionkaakapitu"/>
    <w:uiPriority w:val="2"/>
    <w:qFormat/>
    <w:rsid w:val="00153A56"/>
    <w:rPr>
      <w:b w:val="0"/>
      <w:i w:val="0"/>
      <w:vanish w:val="0"/>
      <w:spacing w:val="0"/>
      <w:vertAlign w:val="superscript"/>
    </w:rPr>
  </w:style>
  <w:style w:type="character" w:customStyle="1" w:styleId="IDindeksdolny">
    <w:name w:val="_ID_ – indeks dolny"/>
    <w:basedOn w:val="Domylnaczcionkaakapitu"/>
    <w:uiPriority w:val="3"/>
    <w:qFormat/>
    <w:rsid w:val="00153A5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153A56"/>
    <w:rPr>
      <w:b/>
      <w:vanish w:val="0"/>
      <w:spacing w:val="0"/>
      <w:vertAlign w:val="subscript"/>
    </w:rPr>
  </w:style>
  <w:style w:type="character" w:customStyle="1" w:styleId="IDKindeksdolnyikursywa">
    <w:name w:val="_ID_K_ – indeks dolny i kursywa"/>
    <w:basedOn w:val="Domylnaczcionkaakapitu"/>
    <w:uiPriority w:val="3"/>
    <w:qFormat/>
    <w:rsid w:val="00153A56"/>
    <w:rPr>
      <w:i/>
      <w:vanish w:val="0"/>
      <w:spacing w:val="0"/>
      <w:vertAlign w:val="subscript"/>
    </w:rPr>
  </w:style>
  <w:style w:type="character" w:customStyle="1" w:styleId="IGPindeksgrnyipogrubienie">
    <w:name w:val="_IG_P_ – indeks górny i pogrubienie"/>
    <w:basedOn w:val="Domylnaczcionkaakapitu"/>
    <w:uiPriority w:val="2"/>
    <w:qFormat/>
    <w:rsid w:val="00153A56"/>
    <w:rPr>
      <w:b/>
      <w:vanish w:val="0"/>
      <w:spacing w:val="0"/>
      <w:vertAlign w:val="superscript"/>
    </w:rPr>
  </w:style>
  <w:style w:type="character" w:customStyle="1" w:styleId="IGKindeksgrnyikursywa">
    <w:name w:val="_IG_K_ – indeks górny i kursywa"/>
    <w:basedOn w:val="Domylnaczcionkaakapitu"/>
    <w:uiPriority w:val="2"/>
    <w:qFormat/>
    <w:rsid w:val="00153A5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153A5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153A56"/>
    <w:rPr>
      <w:b/>
      <w:i/>
      <w:vanish w:val="0"/>
      <w:spacing w:val="0"/>
      <w:vertAlign w:val="subscript"/>
    </w:rPr>
  </w:style>
  <w:style w:type="character" w:customStyle="1" w:styleId="Ppogrubienie">
    <w:name w:val="_P_ – pogrubienie"/>
    <w:basedOn w:val="Domylnaczcionkaakapitu"/>
    <w:uiPriority w:val="1"/>
    <w:qFormat/>
    <w:rsid w:val="00153A56"/>
    <w:rPr>
      <w:b/>
    </w:rPr>
  </w:style>
  <w:style w:type="character" w:customStyle="1" w:styleId="Kkursywa">
    <w:name w:val="_K_ – kursywa"/>
    <w:basedOn w:val="Domylnaczcionkaakapitu"/>
    <w:uiPriority w:val="1"/>
    <w:qFormat/>
    <w:rsid w:val="00153A56"/>
    <w:rPr>
      <w:i/>
    </w:rPr>
  </w:style>
  <w:style w:type="character" w:customStyle="1" w:styleId="PKpogrubieniekursywa">
    <w:name w:val="_P_K_ – pogrubienie kursywa"/>
    <w:basedOn w:val="Domylnaczcionkaakapitu"/>
    <w:uiPriority w:val="1"/>
    <w:qFormat/>
    <w:rsid w:val="00153A56"/>
    <w:rPr>
      <w:b/>
      <w:i/>
    </w:rPr>
  </w:style>
  <w:style w:type="character" w:customStyle="1" w:styleId="TEKSTOZNACZONYWDOKUMENCIERDOWYMJAKOUKRYTY">
    <w:name w:val="_TEKST_OZNACZONY_W_DOKUMENCIE_ŹRÓDŁOWYM_JAKO_UKRYTY_"/>
    <w:basedOn w:val="Domylnaczcionkaakapitu"/>
    <w:uiPriority w:val="4"/>
    <w:unhideWhenUsed/>
    <w:qFormat/>
    <w:rsid w:val="00153A56"/>
    <w:rPr>
      <w:vanish w:val="0"/>
      <w:color w:val="FF0000"/>
      <w:u w:val="single" w:color="FF0000"/>
    </w:rPr>
  </w:style>
  <w:style w:type="character" w:customStyle="1" w:styleId="BEZWERSALIKW">
    <w:name w:val="_BEZ_WERSALIKÓW_"/>
    <w:basedOn w:val="Domylnaczcionkaakapitu"/>
    <w:uiPriority w:val="4"/>
    <w:qFormat/>
    <w:rsid w:val="00153A56"/>
    <w:rPr>
      <w:caps/>
    </w:rPr>
  </w:style>
  <w:style w:type="character" w:customStyle="1" w:styleId="IIGPindeksgrnyindeksugrnegoipogrubienie">
    <w:name w:val="_IIG_P_ – indeks górny indeksu górnego i pogrubienie"/>
    <w:basedOn w:val="Domylnaczcionkaakapitu"/>
    <w:uiPriority w:val="3"/>
    <w:qFormat/>
    <w:rsid w:val="00153A5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153A5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53A56"/>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153A56"/>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153A56"/>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53A56"/>
    <w:pPr>
      <w:ind w:left="1894"/>
    </w:pPr>
  </w:style>
  <w:style w:type="paragraph" w:customStyle="1" w:styleId="ZZSKARNzmianazmsankcjikarnej">
    <w:name w:val="ZZ/S_KARN – zmiana zm. sankcji karnej"/>
    <w:basedOn w:val="ZZFRAGzmianazmfragmentunpzdania"/>
    <w:uiPriority w:val="71"/>
    <w:qFormat/>
    <w:rsid w:val="00153A5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53A56"/>
    <w:pPr>
      <w:ind w:left="2291" w:firstLine="0"/>
    </w:pPr>
  </w:style>
  <w:style w:type="paragraph" w:customStyle="1" w:styleId="WMATFIZCHEMwzrmatfizlubchem">
    <w:name w:val="W_MAT(FIZ|CHEM) – wzór mat. (fiz. lub chem.)"/>
    <w:uiPriority w:val="18"/>
    <w:qFormat/>
    <w:rsid w:val="00153A56"/>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153A5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53A5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53A5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53A5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53A5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53A5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53A5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53A5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53A56"/>
    <w:pPr>
      <w:ind w:left="3085"/>
    </w:pPr>
  </w:style>
  <w:style w:type="paragraph" w:customStyle="1" w:styleId="ZLITCYTzmcytatunpprzysigiliter">
    <w:name w:val="Z_LIT/CYT – zm. cytatu np. przysięgi literą"/>
    <w:basedOn w:val="ZCYTzmcytatunpprzysigiartykuempunktem"/>
    <w:uiPriority w:val="53"/>
    <w:qFormat/>
    <w:rsid w:val="00153A56"/>
    <w:pPr>
      <w:ind w:left="1497"/>
    </w:pPr>
  </w:style>
  <w:style w:type="paragraph" w:customStyle="1" w:styleId="ZTIRCYTzmcytatunpprzysigitiret">
    <w:name w:val="Z_TIR/CYT – zm. cytatu np. przysięgi tiret"/>
    <w:basedOn w:val="ZLITCYTzmcytatunpprzysigiliter"/>
    <w:next w:val="ZTIRUSTzmusttiret"/>
    <w:uiPriority w:val="61"/>
    <w:qFormat/>
    <w:rsid w:val="00153A5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53A56"/>
    <w:pPr>
      <w:ind w:left="2291"/>
    </w:pPr>
  </w:style>
  <w:style w:type="paragraph" w:customStyle="1" w:styleId="ZZCYTzmianazmcytatunpprzysigi">
    <w:name w:val="ZZ/CYT – zmiana zm. cytatu np. przysięgi"/>
    <w:basedOn w:val="ZZFRAGzmianazmfragmentunpzdania"/>
    <w:next w:val="ZZUSTzmianazmust"/>
    <w:uiPriority w:val="71"/>
    <w:qFormat/>
    <w:rsid w:val="00153A5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53A56"/>
    <w:pPr>
      <w:ind w:left="1780"/>
    </w:pPr>
  </w:style>
  <w:style w:type="table" w:styleId="Tabela-Siatka">
    <w:name w:val="Table Grid"/>
    <w:basedOn w:val="Standardowy"/>
    <w:rsid w:val="00153A56"/>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153A56"/>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53A5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53A5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53A5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153A56"/>
    <w:rPr>
      <w:color w:val="808080"/>
    </w:rPr>
  </w:style>
  <w:style w:type="character" w:customStyle="1" w:styleId="Hipercze1">
    <w:name w:val="Hiperłącze1"/>
    <w:basedOn w:val="Domylnaczcionkaakapitu"/>
    <w:uiPriority w:val="99"/>
    <w:semiHidden/>
    <w:rsid w:val="00153A56"/>
    <w:rPr>
      <w:color w:val="0000FF"/>
      <w:u w:val="single"/>
    </w:rPr>
  </w:style>
  <w:style w:type="paragraph" w:styleId="Tekstprzypisukocowego">
    <w:name w:val="endnote text"/>
    <w:basedOn w:val="Normalny"/>
    <w:link w:val="TekstprzypisukocowegoZnak"/>
    <w:uiPriority w:val="99"/>
    <w:semiHidden/>
    <w:rsid w:val="00153A56"/>
    <w:pPr>
      <w:widowControl w:val="0"/>
      <w:autoSpaceDE w:val="0"/>
      <w:autoSpaceDN w:val="0"/>
      <w:adjustRightInd w:val="0"/>
      <w:spacing w:after="0" w:line="240" w:lineRule="auto"/>
    </w:pPr>
    <w:rPr>
      <w:rFonts w:ascii="Times New Roman" w:eastAsia="Times New Roman" w:hAnsi="Times New Roman" w:cs="Arial"/>
      <w:sz w:val="20"/>
      <w:szCs w:val="20"/>
      <w:lang w:eastAsia="pl-PL"/>
    </w:rPr>
  </w:style>
  <w:style w:type="character" w:customStyle="1" w:styleId="TekstprzypisukocowegoZnak">
    <w:name w:val="Tekst przypisu końcowego Znak"/>
    <w:basedOn w:val="Domylnaczcionkaakapitu"/>
    <w:link w:val="Tekstprzypisukocowego"/>
    <w:uiPriority w:val="99"/>
    <w:semiHidden/>
    <w:rsid w:val="00153A56"/>
    <w:rPr>
      <w:rFonts w:ascii="Times New Roman" w:eastAsia="Times New Roman" w:hAnsi="Times New Roman" w:cs="Arial"/>
      <w:sz w:val="20"/>
      <w:szCs w:val="20"/>
      <w:lang w:eastAsia="pl-PL"/>
    </w:rPr>
  </w:style>
  <w:style w:type="character" w:styleId="Odwoanieprzypisukocowego">
    <w:name w:val="endnote reference"/>
    <w:basedOn w:val="Domylnaczcionkaakapitu"/>
    <w:uiPriority w:val="99"/>
    <w:semiHidden/>
    <w:rsid w:val="00153A56"/>
    <w:rPr>
      <w:vertAlign w:val="superscript"/>
    </w:rPr>
  </w:style>
  <w:style w:type="paragraph" w:customStyle="1" w:styleId="Poprawka1">
    <w:name w:val="Poprawka1"/>
    <w:next w:val="Poprawka"/>
    <w:hidden/>
    <w:uiPriority w:val="99"/>
    <w:semiHidden/>
    <w:rsid w:val="00153A56"/>
    <w:pPr>
      <w:spacing w:after="0" w:line="240" w:lineRule="auto"/>
    </w:pPr>
    <w:rPr>
      <w:rFonts w:ascii="Times New Roman" w:eastAsia="Times New Roman" w:hAnsi="Times New Roman" w:cs="Arial"/>
      <w:sz w:val="24"/>
      <w:szCs w:val="20"/>
      <w:lang w:eastAsia="pl-PL"/>
    </w:rPr>
  </w:style>
  <w:style w:type="character" w:customStyle="1" w:styleId="Nagwek1Znak1">
    <w:name w:val="Nagłówek 1 Znak1"/>
    <w:basedOn w:val="Domylnaczcionkaakapitu"/>
    <w:uiPriority w:val="9"/>
    <w:rsid w:val="00153A56"/>
    <w:rPr>
      <w:rFonts w:asciiTheme="majorHAnsi" w:eastAsiaTheme="majorEastAsia" w:hAnsiTheme="majorHAnsi" w:cstheme="majorBidi"/>
      <w:b/>
      <w:bCs/>
      <w:color w:val="365F91" w:themeColor="accent1" w:themeShade="BF"/>
      <w:sz w:val="28"/>
      <w:szCs w:val="28"/>
    </w:rPr>
  </w:style>
  <w:style w:type="character" w:styleId="Hipercze">
    <w:name w:val="Hyperlink"/>
    <w:basedOn w:val="Domylnaczcionkaakapitu"/>
    <w:uiPriority w:val="99"/>
    <w:semiHidden/>
    <w:unhideWhenUsed/>
    <w:rsid w:val="00153A56"/>
    <w:rPr>
      <w:color w:val="0000FF" w:themeColor="hyperlink"/>
      <w:u w:val="single"/>
    </w:rPr>
  </w:style>
  <w:style w:type="paragraph" w:styleId="Poprawka">
    <w:name w:val="Revision"/>
    <w:hidden/>
    <w:uiPriority w:val="99"/>
    <w:semiHidden/>
    <w:rsid w:val="00153A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28</Pages>
  <Words>9436</Words>
  <Characters>56617</Characters>
  <Application>Microsoft Office Word</Application>
  <DocSecurity>0</DocSecurity>
  <Lines>471</Lines>
  <Paragraphs>131</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65922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Rybkowska Bożena</cp:lastModifiedBy>
  <cp:revision>32</cp:revision>
  <cp:lastPrinted>2019-02-27T10:27:00Z</cp:lastPrinted>
  <dcterms:created xsi:type="dcterms:W3CDTF">2019-02-22T11:20:00Z</dcterms:created>
  <dcterms:modified xsi:type="dcterms:W3CDTF">2019-02-27T13:29:00Z</dcterms:modified>
</cp:coreProperties>
</file>