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BA8" w:rsidRPr="00BD6511" w:rsidRDefault="00795BA8" w:rsidP="005B5962">
      <w:pPr>
        <w:autoSpaceDE w:val="0"/>
        <w:autoSpaceDN w:val="0"/>
        <w:adjustRightInd w:val="0"/>
        <w:spacing w:after="0" w:line="360" w:lineRule="auto"/>
        <w:jc w:val="center"/>
        <w:rPr>
          <w:rFonts w:ascii="Times New Roman" w:eastAsia="Times New Roman" w:hAnsi="Times New Roman" w:cs="Arial"/>
          <w:sz w:val="24"/>
          <w:szCs w:val="20"/>
          <w:lang w:eastAsia="pl-PL"/>
        </w:rPr>
      </w:pPr>
      <w:bookmarkStart w:id="0" w:name="bookmark7"/>
      <w:r w:rsidRPr="00BD6511">
        <w:rPr>
          <w:rFonts w:ascii="Times New Roman" w:eastAsia="Times New Roman" w:hAnsi="Times New Roman" w:cs="Arial"/>
          <w:sz w:val="24"/>
          <w:szCs w:val="20"/>
          <w:lang w:eastAsia="pl-PL"/>
        </w:rPr>
        <w:t>UZASADNIENIE</w:t>
      </w:r>
      <w:bookmarkEnd w:id="0"/>
    </w:p>
    <w:p w:rsidR="00795BA8" w:rsidRPr="00795BA8" w:rsidRDefault="00795BA8" w:rsidP="005B5962">
      <w:pPr>
        <w:autoSpaceDE w:val="0"/>
        <w:autoSpaceDN w:val="0"/>
        <w:adjustRightInd w:val="0"/>
        <w:spacing w:before="24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Informatyzacja działalności podmiotów publicznych, która została zapoczątkowana ustawą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dnia 17 lutego 2005 r. o informatyzacji działalności podmiotów realizujących zadania publiczne (Dz. U. z 2017 r</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poz. 570, z późn. zm.), jest czynnikiem determinującym rozwój nowoczesnego i sprawne</w:t>
      </w:r>
      <w:r w:rsidR="005B5962">
        <w:rPr>
          <w:rFonts w:ascii="Times New Roman" w:eastAsia="Times New Roman" w:hAnsi="Times New Roman" w:cs="Arial"/>
          <w:sz w:val="24"/>
          <w:szCs w:val="20"/>
        </w:rPr>
        <w:t>go państwa. Uchwalona w dniu 10 </w:t>
      </w:r>
      <w:r w:rsidRPr="00795BA8">
        <w:rPr>
          <w:rFonts w:ascii="Times New Roman" w:eastAsia="Times New Roman" w:hAnsi="Times New Roman" w:cs="Arial"/>
          <w:sz w:val="24"/>
          <w:szCs w:val="20"/>
        </w:rPr>
        <w:t xml:space="preserve">stycznia 2014 r. ustawa o zmianie ustawy o informatyzacji działalności podmiotów realizujących zadania publiczne oraz niektórych innych </w:t>
      </w:r>
      <w:r w:rsidR="005B5962">
        <w:rPr>
          <w:rFonts w:ascii="Times New Roman" w:eastAsia="Times New Roman" w:hAnsi="Times New Roman" w:cs="Arial"/>
          <w:sz w:val="24"/>
          <w:szCs w:val="20"/>
        </w:rPr>
        <w:t>ustaw (Dz. U. poz. 183, z późn. </w:t>
      </w:r>
      <w:r w:rsidRPr="00795BA8">
        <w:rPr>
          <w:rFonts w:ascii="Times New Roman" w:eastAsia="Times New Roman" w:hAnsi="Times New Roman" w:cs="Arial"/>
          <w:sz w:val="24"/>
          <w:szCs w:val="20"/>
        </w:rPr>
        <w:t>zm</w:t>
      </w:r>
      <w:r w:rsidR="00BA537B">
        <w:rPr>
          <w:rFonts w:ascii="Times New Roman" w:eastAsia="Times New Roman" w:hAnsi="Times New Roman" w:cs="Arial"/>
          <w:sz w:val="24"/>
          <w:szCs w:val="20"/>
        </w:rPr>
        <w:t>.</w:t>
      </w:r>
      <w:r w:rsidRPr="00795BA8">
        <w:rPr>
          <w:rFonts w:ascii="Times New Roman" w:eastAsia="Times New Roman" w:hAnsi="Times New Roman" w:cs="Arial"/>
          <w:sz w:val="24"/>
          <w:szCs w:val="20"/>
        </w:rPr>
        <w:t>), zwana dalej „ustawą o zmianie ustawy o informatyzacji”, stanowi kolejny etap tego rozwoju, ponieważ wprowadza szereg nowych rozwiązań prawnych związanych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funkcjonowaniem cyfrowego społeczeństwa. Wychodząc naprzeciw oczekiwaniem społecznym</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ustawodawca w </w:t>
      </w:r>
      <w:r w:rsidRPr="00795BA8">
        <w:rPr>
          <w:rFonts w:ascii="Times New Roman" w:eastAsia="Times New Roman" w:hAnsi="Times New Roman" w:cs="Arial"/>
          <w:sz w:val="24"/>
          <w:szCs w:val="20"/>
          <w:lang w:eastAsia="pl-PL"/>
        </w:rPr>
        <w:t xml:space="preserve">ww. </w:t>
      </w:r>
      <w:r w:rsidR="005B5962">
        <w:rPr>
          <w:rFonts w:ascii="Times New Roman" w:eastAsia="Times New Roman" w:hAnsi="Times New Roman" w:cs="Arial"/>
          <w:sz w:val="24"/>
          <w:szCs w:val="20"/>
        </w:rPr>
        <w:t>ustawie wprowadził m.in. </w:t>
      </w:r>
      <w:r w:rsidRPr="00795BA8">
        <w:rPr>
          <w:rFonts w:ascii="Times New Roman" w:eastAsia="Times New Roman" w:hAnsi="Times New Roman" w:cs="Arial"/>
          <w:sz w:val="24"/>
          <w:szCs w:val="20"/>
        </w:rPr>
        <w:t xml:space="preserve">elektronizację postępowania przed sądami administracyjnymi.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lang w:eastAsia="ar-SA"/>
        </w:rPr>
      </w:pPr>
      <w:r w:rsidRPr="00795BA8">
        <w:rPr>
          <w:rFonts w:ascii="Times New Roman" w:eastAsia="Times New Roman" w:hAnsi="Times New Roman" w:cs="Arial"/>
          <w:sz w:val="24"/>
          <w:szCs w:val="20"/>
          <w:lang w:eastAsia="ar-SA"/>
        </w:rPr>
        <w:t>Informatyzacja postępowania sądowego stanowi niewątpliwie istotne przedsięwzięcie organizacyjne dla całego wymiaru sprawiedliwości. W chwili obecnej trwają prace nad systemem teleinformatycznym, który będzie wykorzystywany przez wszystkie sądy administracyjne w Polsce do obsługi tego postępowania. System ten umożliwi stronom i</w:t>
      </w:r>
      <w:r w:rsidR="00BA537B">
        <w:rPr>
          <w:rFonts w:ascii="Times New Roman" w:eastAsia="Times New Roman" w:hAnsi="Times New Roman" w:cs="Arial"/>
          <w:sz w:val="24"/>
          <w:szCs w:val="20"/>
          <w:lang w:eastAsia="ar-SA"/>
        </w:rPr>
        <w:t> </w:t>
      </w:r>
      <w:r w:rsidRPr="00795BA8">
        <w:rPr>
          <w:rFonts w:ascii="Times New Roman" w:eastAsia="Times New Roman" w:hAnsi="Times New Roman" w:cs="Arial"/>
          <w:sz w:val="24"/>
          <w:szCs w:val="20"/>
          <w:lang w:eastAsia="ar-SA"/>
        </w:rPr>
        <w:t>uczestnikom postępowania m.in. korzystanie z elektronicznej komunikacji z sądem w</w:t>
      </w:r>
      <w:r w:rsidR="00BA537B">
        <w:rPr>
          <w:rFonts w:ascii="Times New Roman" w:eastAsia="Times New Roman" w:hAnsi="Times New Roman" w:cs="Arial"/>
          <w:sz w:val="24"/>
          <w:szCs w:val="20"/>
          <w:lang w:eastAsia="ar-SA"/>
        </w:rPr>
        <w:t> </w:t>
      </w:r>
      <w:r w:rsidRPr="00795BA8">
        <w:rPr>
          <w:rFonts w:ascii="Times New Roman" w:eastAsia="Times New Roman" w:hAnsi="Times New Roman" w:cs="Arial"/>
          <w:sz w:val="24"/>
          <w:szCs w:val="20"/>
          <w:lang w:eastAsia="ar-SA"/>
        </w:rPr>
        <w:t>ich sprawach. Sądom zaś zapewni możliwość prowadzenia akt w postaci elektronicznej, a przede wszystkim pozwoli na optymalizację efektywności pracy sędziów i</w:t>
      </w:r>
      <w:r w:rsidR="00BA537B">
        <w:rPr>
          <w:rFonts w:ascii="Times New Roman" w:eastAsia="Times New Roman" w:hAnsi="Times New Roman" w:cs="Arial"/>
          <w:sz w:val="24"/>
          <w:szCs w:val="20"/>
          <w:lang w:eastAsia="ar-SA"/>
        </w:rPr>
        <w:t> </w:t>
      </w:r>
      <w:r w:rsidRPr="00795BA8">
        <w:rPr>
          <w:rFonts w:ascii="Times New Roman" w:eastAsia="Times New Roman" w:hAnsi="Times New Roman" w:cs="Arial"/>
          <w:sz w:val="24"/>
          <w:szCs w:val="20"/>
          <w:lang w:eastAsia="ar-SA"/>
        </w:rPr>
        <w:t>pracowników sądów administracyjnych.</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Doświadczenia związane z budową tego systemu teleinformatycznego pozwoliły na</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wyciągnięcie wniosków, które legły u podstaw proponowanych obecnie zmian ustawy z</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dnia 30 sierpnia 2002 r.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Prawo o postępowaniu prze</w:t>
      </w:r>
      <w:r w:rsidR="005B5962">
        <w:rPr>
          <w:rFonts w:ascii="Times New Roman" w:eastAsia="Times New Roman" w:hAnsi="Times New Roman" w:cs="Arial"/>
          <w:sz w:val="24"/>
          <w:szCs w:val="20"/>
        </w:rPr>
        <w:t>d sądami administracyjnymi (Dz. </w:t>
      </w:r>
      <w:r w:rsidRPr="00795BA8">
        <w:rPr>
          <w:rFonts w:ascii="Times New Roman" w:eastAsia="Times New Roman" w:hAnsi="Times New Roman" w:cs="Arial"/>
          <w:sz w:val="24"/>
          <w:szCs w:val="20"/>
        </w:rPr>
        <w:t>U.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2018 r. poz. 1302, z późn. zm.), zwanej dalej „p.p.s.a.”</w:t>
      </w:r>
      <w:r w:rsidR="005B5962">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Wpłynęły na to również zmiany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przepisach prawnych regulujących postępowania sądowe oraz informatyzację, jakie nastąpiły na poziomie prawa </w:t>
      </w:r>
      <w:r w:rsidR="005B5962">
        <w:rPr>
          <w:rFonts w:ascii="Times New Roman" w:eastAsia="Times New Roman" w:hAnsi="Times New Roman" w:cs="Arial"/>
          <w:sz w:val="24"/>
          <w:szCs w:val="20"/>
        </w:rPr>
        <w:t>krajowego, np. ustawa z dnia 10 </w:t>
      </w:r>
      <w:r w:rsidRPr="00795BA8">
        <w:rPr>
          <w:rFonts w:ascii="Times New Roman" w:eastAsia="Times New Roman" w:hAnsi="Times New Roman" w:cs="Arial"/>
          <w:sz w:val="24"/>
          <w:szCs w:val="20"/>
        </w:rPr>
        <w:t xml:space="preserve">lipca 2015 r. o zmianie ustawy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Kodeks cywilny, ustawy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Kodeks postępowania cywilnego oraz niektórych innych ustaw (Dz. U. poz. 1311</w:t>
      </w:r>
      <w:r w:rsidRPr="00795BA8">
        <w:rPr>
          <w:rFonts w:ascii="Times New Roman" w:eastAsia="Times New Roman" w:hAnsi="Times New Roman" w:cs="Arial"/>
          <w:sz w:val="24"/>
          <w:szCs w:val="20"/>
          <w:lang w:eastAsia="pl-PL"/>
        </w:rPr>
        <w:t>, z późn. zm.</w:t>
      </w:r>
      <w:r w:rsidRPr="00795BA8">
        <w:rPr>
          <w:rFonts w:ascii="Times New Roman" w:eastAsia="Times New Roman" w:hAnsi="Times New Roman" w:cs="Arial"/>
          <w:sz w:val="24"/>
          <w:szCs w:val="20"/>
        </w:rPr>
        <w:t>), ustawa z dnia 5 września 2016 r. o usługach zaufania oraz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identyfikacji elektronicznej (Dz. U. </w:t>
      </w:r>
      <w:r w:rsidR="005B5962">
        <w:rPr>
          <w:rFonts w:ascii="Times New Roman" w:eastAsia="Times New Roman" w:hAnsi="Times New Roman" w:cs="Arial"/>
          <w:sz w:val="24"/>
          <w:szCs w:val="20"/>
          <w:lang w:eastAsia="pl-PL"/>
        </w:rPr>
        <w:t>z</w:t>
      </w:r>
      <w:r w:rsidR="00BA537B">
        <w:rPr>
          <w:rFonts w:ascii="Times New Roman" w:eastAsia="Times New Roman" w:hAnsi="Times New Roman" w:cs="Arial"/>
          <w:sz w:val="24"/>
          <w:szCs w:val="20"/>
          <w:lang w:eastAsia="pl-PL"/>
        </w:rPr>
        <w:t> </w:t>
      </w:r>
      <w:r w:rsidR="005B5962">
        <w:rPr>
          <w:rFonts w:ascii="Times New Roman" w:eastAsia="Times New Roman" w:hAnsi="Times New Roman" w:cs="Arial"/>
          <w:sz w:val="24"/>
          <w:szCs w:val="20"/>
          <w:lang w:eastAsia="pl-PL"/>
        </w:rPr>
        <w:t>2019 </w:t>
      </w:r>
      <w:r w:rsidRPr="00795BA8">
        <w:rPr>
          <w:rFonts w:ascii="Times New Roman" w:eastAsia="Times New Roman" w:hAnsi="Times New Roman" w:cs="Arial"/>
          <w:sz w:val="24"/>
          <w:szCs w:val="20"/>
          <w:lang w:eastAsia="pl-PL"/>
        </w:rPr>
        <w:t>r.</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lang w:eastAsia="pl-PL"/>
        </w:rPr>
        <w:t>poz. 162</w:t>
      </w:r>
      <w:r w:rsidRPr="00795BA8">
        <w:rPr>
          <w:rFonts w:ascii="Times New Roman" w:eastAsia="Times New Roman" w:hAnsi="Times New Roman" w:cs="Arial"/>
          <w:sz w:val="24"/>
          <w:szCs w:val="20"/>
        </w:rPr>
        <w:t>)</w:t>
      </w:r>
      <w:r w:rsidR="009F4F6C">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od chwili wejścia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życie ustawy o zmianie ustawy o</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informatyzacji, a także potrzeba zapewnienia spójności 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pewności systemu prawa.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lastRenderedPageBreak/>
        <w:t xml:space="preserve">Niniejsza ustawa wprowadza </w:t>
      </w:r>
      <w:r w:rsidRPr="00795BA8">
        <w:rPr>
          <w:rFonts w:ascii="Times New Roman" w:eastAsia="Times New Roman" w:hAnsi="Times New Roman" w:cs="Arial"/>
          <w:sz w:val="24"/>
          <w:szCs w:val="20"/>
          <w:lang w:eastAsia="pl-PL"/>
        </w:rPr>
        <w:t xml:space="preserve">m.in. </w:t>
      </w:r>
      <w:r w:rsidRPr="00795BA8">
        <w:rPr>
          <w:rFonts w:ascii="Times New Roman" w:eastAsia="Times New Roman" w:hAnsi="Times New Roman" w:cs="Arial"/>
          <w:sz w:val="24"/>
          <w:szCs w:val="20"/>
        </w:rPr>
        <w:t>zmiany w p.p.s.a. oraz w art. 4 ustawy o zmianie ustawy o</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informatyzacji, dotyczącym zmian p.p.s.a.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W pierwszej kolejności zostaną omówione te zmiany, które dostosowują przepisy p.p.s.a. do regulacji obowiązujących w zakresie systemu teleinformatycznego obsługującego postępowanie cywilne. Zapewni to spójność systemu prawnego przez ujednolicenie podejścia do procedur sądowych zarówno dla obywateli, jak i</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profesjonalnych pełnomocników.</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 xml:space="preserve">Niniejsza ustawa nowelizuje art. 75 p.p.s.a. przez dodanie § 2, zgodnie z którym pisma </w:t>
      </w:r>
      <w:r w:rsidR="009F4F6C">
        <w:rPr>
          <w:rFonts w:ascii="Times New Roman" w:eastAsia="Times New Roman" w:hAnsi="Times New Roman" w:cs="Arial"/>
          <w:sz w:val="24"/>
          <w:szCs w:val="20"/>
        </w:rPr>
        <w:t>w post</w:t>
      </w:r>
      <w:r w:rsidR="00795258">
        <w:rPr>
          <w:rFonts w:ascii="Times New Roman" w:eastAsia="Times New Roman" w:hAnsi="Times New Roman" w:cs="Arial"/>
          <w:sz w:val="24"/>
          <w:szCs w:val="20"/>
        </w:rPr>
        <w:t>ę</w:t>
      </w:r>
      <w:bookmarkStart w:id="1" w:name="_GoBack"/>
      <w:bookmarkEnd w:id="1"/>
      <w:r w:rsidR="009F4F6C">
        <w:rPr>
          <w:rFonts w:ascii="Times New Roman" w:eastAsia="Times New Roman" w:hAnsi="Times New Roman" w:cs="Arial"/>
          <w:sz w:val="24"/>
          <w:szCs w:val="20"/>
        </w:rPr>
        <w:t xml:space="preserve">powaniu sądowym </w:t>
      </w:r>
      <w:r w:rsidRPr="00795BA8">
        <w:rPr>
          <w:rFonts w:ascii="Times New Roman" w:eastAsia="Times New Roman" w:hAnsi="Times New Roman" w:cs="Arial"/>
          <w:sz w:val="24"/>
          <w:szCs w:val="20"/>
        </w:rPr>
        <w:t>i</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orzeczenia</w:t>
      </w:r>
      <w:r w:rsidRPr="00795BA8">
        <w:rPr>
          <w:rFonts w:ascii="Times New Roman" w:eastAsia="Times New Roman" w:hAnsi="Times New Roman" w:cs="Arial"/>
          <w:sz w:val="24"/>
          <w:szCs w:val="20"/>
          <w:lang w:eastAsia="pl-PL"/>
        </w:rPr>
        <w:t xml:space="preserve"> mogą być</w:t>
      </w:r>
      <w:r w:rsidRPr="00795BA8">
        <w:rPr>
          <w:rFonts w:ascii="Times New Roman" w:eastAsia="Times New Roman" w:hAnsi="Times New Roman" w:cs="Arial"/>
          <w:sz w:val="24"/>
          <w:szCs w:val="20"/>
        </w:rPr>
        <w:t xml:space="preserve"> doręczane w formie dokumentu elektronicznego zawiera</w:t>
      </w:r>
      <w:r w:rsidRPr="00795BA8">
        <w:rPr>
          <w:rFonts w:ascii="Times New Roman" w:eastAsia="Times New Roman" w:hAnsi="Times New Roman" w:cs="Arial"/>
          <w:sz w:val="24"/>
          <w:szCs w:val="20"/>
          <w:lang w:eastAsia="pl-PL"/>
        </w:rPr>
        <w:t>jącego</w:t>
      </w:r>
      <w:r w:rsidRPr="00795BA8">
        <w:rPr>
          <w:rFonts w:ascii="Times New Roman" w:eastAsia="Times New Roman" w:hAnsi="Times New Roman" w:cs="Arial"/>
          <w:sz w:val="24"/>
          <w:szCs w:val="20"/>
        </w:rPr>
        <w:t xml:space="preserve"> dane z systemu teleinformatycznego sądu. W tym miejscu należy wskazać, że podobna regulacja znajduje się także</w:t>
      </w:r>
      <w:r w:rsidRPr="00795BA8">
        <w:rPr>
          <w:rFonts w:ascii="Times New Roman" w:eastAsia="Times New Roman" w:hAnsi="Times New Roman" w:cs="Arial"/>
          <w:sz w:val="24"/>
          <w:szCs w:val="20"/>
          <w:lang w:eastAsia="pl-PL"/>
        </w:rPr>
        <w:t xml:space="preserve"> w ustawie z dnia 17 listopada 1964 r.</w:t>
      </w:r>
      <w:r w:rsidRPr="00795BA8">
        <w:rPr>
          <w:rFonts w:ascii="Times New Roman" w:eastAsia="Times New Roman" w:hAnsi="Times New Roman" w:cs="Arial"/>
          <w:sz w:val="24"/>
          <w:szCs w:val="20"/>
        </w:rPr>
        <w:t xml:space="preserve"> </w:t>
      </w:r>
      <w:r w:rsidR="00587712">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lang w:eastAsia="pl-PL"/>
        </w:rPr>
        <w:t>K</w:t>
      </w:r>
      <w:r w:rsidRPr="00795BA8">
        <w:rPr>
          <w:rFonts w:ascii="Times New Roman" w:eastAsia="Times New Roman" w:hAnsi="Times New Roman" w:cs="Arial"/>
          <w:sz w:val="24"/>
          <w:szCs w:val="20"/>
        </w:rPr>
        <w:t xml:space="preserve">odeks postępowania cywilnego </w:t>
      </w:r>
      <w:r w:rsidRPr="00795BA8">
        <w:rPr>
          <w:rFonts w:ascii="Times New Roman" w:eastAsia="Times New Roman" w:hAnsi="Times New Roman" w:cs="Arial"/>
          <w:sz w:val="24"/>
          <w:szCs w:val="20"/>
          <w:lang w:eastAsia="pl-PL"/>
        </w:rPr>
        <w:t>(Dz. U. z 2018 r. poz. 1360, z</w:t>
      </w:r>
      <w:r w:rsidR="00E6111D">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 xml:space="preserve">późn. zm.) </w:t>
      </w:r>
      <w:r w:rsidRPr="00795BA8">
        <w:rPr>
          <w:rFonts w:ascii="Times New Roman" w:eastAsia="Times New Roman" w:hAnsi="Times New Roman" w:cs="Arial"/>
          <w:sz w:val="24"/>
          <w:szCs w:val="20"/>
        </w:rPr>
        <w:t>(por. art. 140 § 2 k.p.c.). Norma wprowadzana w art. 75 § 2 p.p.s.a. została jednak dostosowana do wymogów wynikających z informatyzacji postępowania sądowoadministracyjnego. W tym miejscu należy wskazać, że w związku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cyfryzacją postępowania</w:t>
      </w:r>
      <w:r w:rsidR="009F4F6C">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pisma w postępowaniu sądowym i orzeczenia będą doręczane nie tylko w odpisach. W pewnych sytuacjach strona otrzyma także oryginał dokumentu. Dla przykładu należy wskazać, że jeżeli w</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danym postępowaniu strona złoży pismo w</w:t>
      </w:r>
      <w:r w:rsidR="00E6111D">
        <w:rPr>
          <w:rFonts w:ascii="Times New Roman" w:eastAsia="Times New Roman" w:hAnsi="Times New Roman" w:cs="Arial"/>
          <w:sz w:val="24"/>
          <w:szCs w:val="20"/>
        </w:rPr>
        <w:t> </w:t>
      </w:r>
      <w:r w:rsidRPr="00795BA8">
        <w:rPr>
          <w:rFonts w:ascii="Times New Roman" w:eastAsia="Times New Roman" w:hAnsi="Times New Roman" w:cs="Arial"/>
          <w:sz w:val="24"/>
          <w:szCs w:val="20"/>
        </w:rPr>
        <w:t>formie dokumentu elektronicznego, to pozostałym uczestnikom tego postępowania, którzy korzystają ze środków komunikacji elektronicznej, sąd doręczy oryginał tego pisma, a nie jego odpis.</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Kolejną zmianą, która wychodzi naprzeciw postulatom zapewnienia spójności systemu prawa, jest zmiana art. 45 p.p.s.a. dotycząca pism procesowych stron, które składane są na rozprawie. Podobnie jak ma to miejsce w procedurze cywilnej (art. 125 § 1 k.p.c.), w</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rozumieniu art. 45 p.p.s.a. </w:t>
      </w:r>
      <w:r w:rsidRPr="00795BA8">
        <w:rPr>
          <w:rFonts w:ascii="Times New Roman" w:eastAsia="Times New Roman" w:hAnsi="Times New Roman" w:cs="Arial"/>
          <w:sz w:val="24"/>
          <w:szCs w:val="20"/>
          <w:lang w:eastAsia="pl-PL"/>
        </w:rPr>
        <w:t>w nowym brzmieniu</w:t>
      </w:r>
      <w:r w:rsidR="009F4F6C">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lang w:eastAsia="pl-PL"/>
        </w:rPr>
        <w:t xml:space="preserve"> </w:t>
      </w:r>
      <w:r w:rsidRPr="00795BA8">
        <w:rPr>
          <w:rFonts w:ascii="Times New Roman" w:eastAsia="Times New Roman" w:hAnsi="Times New Roman" w:cs="Arial"/>
          <w:sz w:val="24"/>
          <w:szCs w:val="20"/>
        </w:rPr>
        <w:t>pismami procesowymi są wyłącznie pisma kierowane do sądu poza rozprawą. Wszystkie pisma procesowe składane na rozprawie stanowią natomiast tylko załączniki do protokołu. Założeniem postępowania jest bowiem jego ustność, znajdująca wyraz w sposobie przeprowadzenia rozprawy. Poza rozprawą</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co do zasady</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obowiązuje forma pis</w:t>
      </w:r>
      <w:r w:rsidRPr="00795BA8">
        <w:rPr>
          <w:rFonts w:ascii="Times New Roman" w:eastAsia="Times New Roman" w:hAnsi="Times New Roman" w:cs="Arial"/>
          <w:sz w:val="24"/>
          <w:szCs w:val="20"/>
          <w:lang w:eastAsia="pl-PL"/>
        </w:rPr>
        <w:t>e</w:t>
      </w:r>
      <w:r w:rsidRPr="00795BA8">
        <w:rPr>
          <w:rFonts w:ascii="Times New Roman" w:eastAsia="Times New Roman" w:hAnsi="Times New Roman" w:cs="Arial"/>
          <w:sz w:val="24"/>
          <w:szCs w:val="20"/>
        </w:rPr>
        <w:t>m</w:t>
      </w:r>
      <w:r w:rsidRPr="00795BA8">
        <w:rPr>
          <w:rFonts w:ascii="Times New Roman" w:eastAsia="Times New Roman" w:hAnsi="Times New Roman" w:cs="Arial"/>
          <w:sz w:val="24"/>
          <w:szCs w:val="20"/>
          <w:lang w:eastAsia="pl-PL"/>
        </w:rPr>
        <w:t>n</w:t>
      </w:r>
      <w:r w:rsidRPr="00795BA8">
        <w:rPr>
          <w:rFonts w:ascii="Times New Roman" w:eastAsia="Times New Roman" w:hAnsi="Times New Roman" w:cs="Arial"/>
          <w:sz w:val="24"/>
          <w:szCs w:val="20"/>
        </w:rPr>
        <w:t>a. Składanie wniosków i</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oświadczeń ustnie do protokołu sądowego poza rozprawą możliwe jest tylko wyjątkowo, w wypadkach wyraźnie przewidzianych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ustawie.</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lastRenderedPageBreak/>
        <w:t xml:space="preserve">Dla stworzenia możliwości działania tak rozległego systemu, obejmującego terytorium całego kraju i miliony potencjalnych użytkowników, niezbędne jest także zapewnienie jednoznacznej identyfikacji podmiotów w nim zarejestrowanych, właściwego zarządzania ich danymi oraz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dla właściwego wykorzystania możliwości, jakie niesie ze sobą informatyzacja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automatyczne</w:t>
      </w:r>
      <w:r w:rsidRPr="00795BA8">
        <w:rPr>
          <w:rFonts w:ascii="Times New Roman" w:eastAsia="Times New Roman" w:hAnsi="Times New Roman" w:cs="Arial"/>
          <w:sz w:val="24"/>
          <w:szCs w:val="20"/>
          <w:lang w:eastAsia="pl-PL"/>
        </w:rPr>
        <w:t>go</w:t>
      </w:r>
      <w:r w:rsidRPr="00795BA8">
        <w:rPr>
          <w:rFonts w:ascii="Times New Roman" w:eastAsia="Times New Roman" w:hAnsi="Times New Roman" w:cs="Arial"/>
          <w:sz w:val="24"/>
          <w:szCs w:val="20"/>
        </w:rPr>
        <w:t xml:space="preserve"> przetwarzani</w:t>
      </w:r>
      <w:r w:rsidRPr="00795BA8">
        <w:rPr>
          <w:rFonts w:ascii="Times New Roman" w:eastAsia="Times New Roman" w:hAnsi="Times New Roman" w:cs="Arial"/>
          <w:sz w:val="24"/>
          <w:szCs w:val="20"/>
          <w:lang w:eastAsia="pl-PL"/>
        </w:rPr>
        <w:t>a</w:t>
      </w:r>
      <w:r w:rsidRPr="00795BA8">
        <w:rPr>
          <w:rFonts w:ascii="Times New Roman" w:eastAsia="Times New Roman" w:hAnsi="Times New Roman" w:cs="Arial"/>
          <w:sz w:val="24"/>
          <w:szCs w:val="20"/>
        </w:rPr>
        <w:t xml:space="preserve"> danych. W tym celu konieczne jest stworzenie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opracowywanym systemie centralnego rejestru podmiotów. Zważywszy, że w odniesieniu np. do osób fizycznych praktycznie wszystkie dane identyfikujące mogą ulegać zmianie (imię, nazwisko, adres) lub nie zapewniają niepowtarzalności (data urodzenia), niezbędnym jest użycie identyfikatora niepowtarzalnego, jakim jest PESEL, który jednocześnie może być weryfikowany po zapewnieniu</w:t>
      </w:r>
      <w:r w:rsidRPr="00795BA8">
        <w:rPr>
          <w:rFonts w:ascii="Times New Roman" w:eastAsia="Times New Roman" w:hAnsi="Times New Roman" w:cs="Arial"/>
          <w:sz w:val="24"/>
          <w:szCs w:val="20"/>
          <w:lang w:eastAsia="pl-PL"/>
        </w:rPr>
        <w:t xml:space="preserve"> </w:t>
      </w:r>
      <w:r w:rsidRPr="00795BA8">
        <w:rPr>
          <w:rFonts w:ascii="Times New Roman" w:eastAsia="Times New Roman" w:hAnsi="Times New Roman" w:cs="Arial"/>
          <w:sz w:val="24"/>
          <w:szCs w:val="20"/>
        </w:rPr>
        <w:t>integracji z rejestrem PESEL.</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Przyjęcie takiego rozwiązania, opartego na unikatowym identyfikatorze PESEL/KRS/NIP, jest niezbędne dla zapewnienia funkcjonowania systemu, w</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szczególności jeśli weźmie się pod uwagę potencjalną liczbę podmiotów zarejestrowanych w systemie oraz konieczność ograniczania do minimum możliwości popełnienia pomyłek w zakresie identyfikacji stron oraz innych uczestników postępowania sądowoadministracyjnego.</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Zarówno sam problem, jak i proponowany sposób jego rozwiązania, są analogiczne do</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odnotowanych w przeszłości w związku z funkcjonowaniem e-sądu w Lublinie.</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 xml:space="preserve">Należy bowiem zauważyć, że w procedurze cywilnej obowiązek podawania numeru PESEL powoda został wprowadzony ustawą z dnia 9 stycznia 2009 r. o zmianie ustawy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Kodeks postępowania cywilnego oraz niektórych innych ustaw (Dz. U. poz. 156) i</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dotyczył pozwów składanych w elektronicznym postępowaniu upominawczym (EPU).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uzasadnieniu nowelizacji wskazywano przede wszystkim na niepowtarzalność tego identyfikatora, jego niezbędność dla identyfikacji osoby podpisem elektronicznym, a</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także ułatwienia związane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przeszukiwaniem masowej bazy danych osób biorących udział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postępowaniu. Następnie ustawą z dnia 10 maja 2013 r. o zmianie ustawy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Kodeks postępowania cywilnego (Dz.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U. poz. 654) obowiązek ten wprowadzono także w innych postępowaniach cywilnych, a w przypadku EPU rozszerzono go dodatkowo o</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numer PESEL pozwanego. Jak</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wynika z uzasad</w:t>
      </w:r>
      <w:r w:rsidR="005B5962">
        <w:rPr>
          <w:rFonts w:ascii="Times New Roman" w:eastAsia="Times New Roman" w:hAnsi="Times New Roman" w:cs="Arial"/>
          <w:sz w:val="24"/>
          <w:szCs w:val="20"/>
        </w:rPr>
        <w:t>nienia uchwały Senatu z dnia 18 </w:t>
      </w:r>
      <w:r w:rsidRPr="00795BA8">
        <w:rPr>
          <w:rFonts w:ascii="Times New Roman" w:eastAsia="Times New Roman" w:hAnsi="Times New Roman" w:cs="Arial"/>
          <w:sz w:val="24"/>
          <w:szCs w:val="20"/>
        </w:rPr>
        <w:t>kwietnia 2013 r. (</w:t>
      </w:r>
      <w:r w:rsidRPr="00795BA8">
        <w:rPr>
          <w:rFonts w:ascii="Times New Roman" w:eastAsia="Times New Roman" w:hAnsi="Times New Roman" w:cs="Arial"/>
          <w:sz w:val="24"/>
          <w:szCs w:val="20"/>
          <w:lang w:eastAsia="pl-PL"/>
        </w:rPr>
        <w:t xml:space="preserve">VII </w:t>
      </w:r>
      <w:r w:rsidRPr="00795BA8">
        <w:rPr>
          <w:rFonts w:ascii="Times New Roman" w:eastAsia="Times New Roman" w:hAnsi="Times New Roman" w:cs="Arial"/>
          <w:sz w:val="24"/>
          <w:szCs w:val="20"/>
        </w:rPr>
        <w:t xml:space="preserve">kadencja, druk </w:t>
      </w:r>
      <w:r w:rsidRPr="00795BA8">
        <w:rPr>
          <w:rFonts w:ascii="Times New Roman" w:eastAsia="Times New Roman" w:hAnsi="Times New Roman" w:cs="Arial"/>
          <w:sz w:val="24"/>
          <w:szCs w:val="20"/>
          <w:lang w:eastAsia="pl-PL"/>
        </w:rPr>
        <w:t>nr</w:t>
      </w:r>
      <w:r w:rsidRPr="00795BA8">
        <w:rPr>
          <w:rFonts w:ascii="Times New Roman" w:eastAsia="Times New Roman" w:hAnsi="Times New Roman" w:cs="Arial"/>
          <w:sz w:val="24"/>
          <w:szCs w:val="20"/>
        </w:rPr>
        <w:t xml:space="preserve"> 1289), główną intencją tych zmian było wykluczenie niebezpieczeństwa pomyłki co do tożsamości stron nie tylko na etapie </w:t>
      </w:r>
      <w:r w:rsidRPr="00795BA8">
        <w:rPr>
          <w:rFonts w:ascii="Times New Roman" w:eastAsia="Times New Roman" w:hAnsi="Times New Roman" w:cs="Arial"/>
          <w:sz w:val="24"/>
          <w:szCs w:val="20"/>
        </w:rPr>
        <w:lastRenderedPageBreak/>
        <w:t>sądowego postępowania rozpoznawczego, ale również na etapie postępowania egzekucyjnego.</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Te same okoliczności determinują konieczność wprowadzenia obowiązku podawania numeru PESEL/KRS/NIP</w:t>
      </w:r>
      <w:r w:rsidRPr="00795BA8">
        <w:rPr>
          <w:rFonts w:ascii="Times New Roman" w:eastAsia="Times New Roman" w:hAnsi="Times New Roman" w:cs="Arial"/>
          <w:sz w:val="24"/>
          <w:szCs w:val="20"/>
          <w:lang w:eastAsia="pl-PL"/>
        </w:rPr>
        <w:t>/REGON</w:t>
      </w:r>
      <w:r w:rsidRPr="00795BA8">
        <w:rPr>
          <w:rFonts w:ascii="Times New Roman" w:eastAsia="Times New Roman" w:hAnsi="Times New Roman" w:cs="Arial"/>
          <w:sz w:val="24"/>
          <w:szCs w:val="20"/>
        </w:rPr>
        <w:t xml:space="preserve"> w postępowaniu sądowoadministracyjnym, również w stosunku do pełnomocników lub przedstawicieli ustawowych stron. System teleinformatyczny musi bowiem zapewnić bezpieczeństwo danych w nim zawartych. Z</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uwagi natomiast na szeroką kognicję sądów administracyjnych (obrót bronią, obronność, dane wrażliwe, tajemnica skarbowa, tajemnica przedsiębiorcy</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itp.) należy zapewnić szczegółową identyfikację użytkowników systemu, aby zminimalizować ryzyko dostępu do dokumentów zgromadzonych w aktach przez osoby nieuprawnione. Stąd też projektowana zmiana treści art. 46 § 2 p.p.s.a.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Z uwagi na treść art. 46 § 2a p.p.s.a., w związku z wprowadzeniem przez ustawodawcę nowej formy doręczania korespondencji (doręczenia elektroniczne), koniecznym stało się także dokonanie zmiany art. 70 § 1 p.p.s.a. Zmiana ta ma jednak charakter wyłącznie redakcyjny 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nakłada na stronę oraz jej przedstawicieli obowiązek informowania sądu o</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każdej zmianie adresu elektronicznego.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Jednocześnie</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ze względu na </w:t>
      </w:r>
      <w:r w:rsidRPr="00795BA8">
        <w:rPr>
          <w:rFonts w:ascii="Times New Roman" w:eastAsia="Times New Roman" w:hAnsi="Times New Roman" w:cs="Arial"/>
          <w:sz w:val="24"/>
          <w:szCs w:val="20"/>
          <w:lang w:eastAsia="pl-PL"/>
        </w:rPr>
        <w:t>brzmienie</w:t>
      </w:r>
      <w:r w:rsidRPr="00795BA8">
        <w:rPr>
          <w:rFonts w:ascii="Times New Roman" w:eastAsia="Times New Roman" w:hAnsi="Times New Roman" w:cs="Arial"/>
          <w:sz w:val="24"/>
          <w:szCs w:val="20"/>
        </w:rPr>
        <w:t xml:space="preserve"> art. 20a ust. 2 ustawy z dnia 17 lutego 2005 r. o</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informatyzacji działalności podmiotów realizujących zadania publiczne</w:t>
      </w:r>
      <w:r w:rsidR="009F4F6C">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przeredagowano brzmienie art. 46 § 2a p.p.s.a., usuwając z niego </w:t>
      </w:r>
      <w:r w:rsidRPr="00795BA8">
        <w:rPr>
          <w:rFonts w:ascii="Times New Roman" w:eastAsia="Times New Roman" w:hAnsi="Times New Roman" w:cs="Arial"/>
          <w:sz w:val="24"/>
          <w:szCs w:val="20"/>
          <w:lang w:eastAsia="pl-PL"/>
        </w:rPr>
        <w:t>regulację</w:t>
      </w:r>
      <w:r w:rsidRPr="00795BA8">
        <w:rPr>
          <w:rFonts w:ascii="Times New Roman" w:eastAsia="Times New Roman" w:hAnsi="Times New Roman" w:cs="Arial"/>
          <w:sz w:val="24"/>
          <w:szCs w:val="20"/>
        </w:rPr>
        <w:t xml:space="preserve"> dotycząc</w:t>
      </w:r>
      <w:r w:rsidRPr="00795BA8">
        <w:rPr>
          <w:rFonts w:ascii="Times New Roman" w:eastAsia="Times New Roman" w:hAnsi="Times New Roman" w:cs="Arial"/>
          <w:sz w:val="24"/>
          <w:szCs w:val="20"/>
          <w:lang w:eastAsia="pl-PL"/>
        </w:rPr>
        <w:t>ą</w:t>
      </w:r>
      <w:r w:rsidRPr="00795BA8">
        <w:rPr>
          <w:rFonts w:ascii="Times New Roman" w:eastAsia="Times New Roman" w:hAnsi="Times New Roman" w:cs="Arial"/>
          <w:sz w:val="24"/>
          <w:szCs w:val="20"/>
        </w:rPr>
        <w:t xml:space="preserve"> możliwości zastosowania innych mechanizmów, o których mowa w art. 20a ust. 2 ustawy z dnia 17 lutego 2005 r. o</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informatyzacji działalności podmiotów realizujących zadania publiczne.</w:t>
      </w:r>
      <w:r w:rsidRPr="00795BA8">
        <w:rPr>
          <w:rFonts w:ascii="Times New Roman" w:eastAsia="Times New Roman" w:hAnsi="Times New Roman" w:cs="Arial"/>
          <w:sz w:val="24"/>
          <w:szCs w:val="20"/>
          <w:lang w:eastAsia="pl-PL"/>
        </w:rPr>
        <w:t xml:space="preserve"> W</w:t>
      </w:r>
      <w:r w:rsidRPr="00795BA8">
        <w:rPr>
          <w:rFonts w:ascii="Times New Roman" w:eastAsia="Times New Roman" w:hAnsi="Times New Roman" w:cs="Arial"/>
          <w:sz w:val="24"/>
          <w:szCs w:val="20"/>
        </w:rPr>
        <w:t>skazane w art. 20a ust.</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2 ustawy z dnia 17 lutego 2005 r. o</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informatyzacji działalności podmiotów realizujących zadania publiczne „inne mechanizmy” stanowią jedynie środki identyfikacji elektronicznej 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nie mogą być wykorzystywane do podpisu dokumentów elektronicznych. W związku z powyższym w</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taki sam sposób zmodyfikowano również art. 37 § 1a, art. 37a, art. 48 § 3a i art. 74a § 3 pkt 2 p.p.s.a.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795BA8">
        <w:rPr>
          <w:rFonts w:ascii="Times New Roman" w:eastAsia="Times New Roman" w:hAnsi="Times New Roman" w:cs="Arial"/>
          <w:sz w:val="24"/>
          <w:szCs w:val="20"/>
        </w:rPr>
        <w:t>W tym miejscu należy zauważyć, że ustawa o zmianie ustawy o informatyzacji wprowadziła istotne zmiany w zakresie sposobu, w jaki sąd będzie komunikował się ze stronami postępowania. Dodano nowy art. 74a p.p.s.a.</w:t>
      </w:r>
      <w:r w:rsidR="009F4F6C">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z którego wynika, że pisma mogą być doręczane stronom za pomocą środków komunikacji elektronicznej, jeżeli strona wniosła pismo w formie dokumentu elektronicznego przez elektroniczną </w:t>
      </w:r>
      <w:r w:rsidRPr="00795BA8">
        <w:rPr>
          <w:rFonts w:ascii="Times New Roman" w:eastAsia="Times New Roman" w:hAnsi="Times New Roman" w:cs="Arial"/>
          <w:sz w:val="24"/>
          <w:szCs w:val="20"/>
        </w:rPr>
        <w:lastRenderedPageBreak/>
        <w:t>skrzynkę podawczą sądu lub organu, za pośrednictwem którego składane jest pismo, albo wystąpiła do sądu o takie doręczenie 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wskazała sądowi adres elektroniczny, albo wyraziła zgodę na doręczanie pism za pomocą tych środków i wskazała sądowi adres elektroniczny. Jeżeli natomiast strona zrezygnuje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elektronicznego sposobu doręczania korespondencji, to sąd zobowiązany jest do komunikowania się ze stroną w sposób tradycyjny. Jednocześnie w </w:t>
      </w:r>
      <w:r w:rsidRPr="00795BA8">
        <w:rPr>
          <w:rFonts w:ascii="Times New Roman" w:eastAsia="Times New Roman" w:hAnsi="Times New Roman" w:cs="Arial"/>
          <w:sz w:val="24"/>
          <w:szCs w:val="20"/>
          <w:lang w:eastAsia="pl-PL"/>
        </w:rPr>
        <w:t>p.p.s.a.</w:t>
      </w:r>
      <w:r w:rsidRPr="00795BA8">
        <w:rPr>
          <w:rFonts w:ascii="Times New Roman" w:eastAsia="Times New Roman" w:hAnsi="Times New Roman" w:cs="Arial"/>
          <w:sz w:val="24"/>
          <w:szCs w:val="20"/>
        </w:rPr>
        <w:t xml:space="preserve"> –</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przeciwieństwie do k.p.c.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nie przewidziano żadnej szczególnej regulacji dotyczącej sposobu złożenia takiego oświadczenia. Oznacza to, że takie oświadczenie może być złożone zarówno w sposób tradycyjny, jak i elektronicznie. Z perspektywy sprawności postępowania sądowoadministracyjnego rozwiązanie to należy oceniać negatywnie. O skuteczności oświadczenia złożonego w</w:t>
      </w:r>
      <w:r w:rsidR="00BA537B">
        <w:rPr>
          <w:rFonts w:ascii="Times New Roman" w:eastAsia="Times New Roman" w:hAnsi="Times New Roman" w:cs="Arial"/>
          <w:sz w:val="24"/>
          <w:szCs w:val="20"/>
        </w:rPr>
        <w:t> </w:t>
      </w:r>
      <w:r w:rsidRPr="00795BA8">
        <w:rPr>
          <w:rFonts w:ascii="Times New Roman" w:eastAsia="Times New Roman" w:hAnsi="Times New Roman" w:cs="Arial"/>
          <w:sz w:val="24"/>
          <w:szCs w:val="20"/>
        </w:rPr>
        <w:t>sposób tradycyjny decyduje bowiem data stempla pocztowego, a</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nie data jego faktycznego wpływu do sądu. Doręczenia dokonane w tym okresie za pomocą środków komunikacji elektronicznej będą zatem nieskuteczne, a sąd zobligowany będzie do ponownego wysłania stronie tej samej korespondencji, tym razem w sposób tradycyjny, co może skutkować przedłużeniem postępowania. W związku z powyższym projektowana ustawa przewiduje dodanie w § 2 art. 74a p.p.s.a. zdania, że oświadczenie o rezygnacji z doręczania pism za pomocą środków komunikacji elektronicznej może być złożone wyłącznie w formie dokumentu elektronicznego. W tym miejscu należy zauważyć, że podobna regulacja znajduje się w art. 125 § 2</w:t>
      </w:r>
      <w:r w:rsidRPr="009F4F6C">
        <w:rPr>
          <w:rFonts w:ascii="Times New Roman" w:eastAsia="Times New Roman" w:hAnsi="Times New Roman" w:cs="Arial"/>
          <w:sz w:val="24"/>
          <w:szCs w:val="20"/>
          <w:vertAlign w:val="superscript"/>
        </w:rPr>
        <w:t>4</w:t>
      </w:r>
      <w:r w:rsidRPr="00795BA8">
        <w:rPr>
          <w:rFonts w:ascii="Times New Roman" w:eastAsia="Times New Roman" w:hAnsi="Times New Roman" w:cs="Arial"/>
          <w:sz w:val="24"/>
          <w:szCs w:val="20"/>
        </w:rPr>
        <w:t xml:space="preserve"> k.p.c. </w:t>
      </w:r>
      <w:r w:rsidRPr="00795BA8">
        <w:rPr>
          <w:rFonts w:ascii="Times New Roman" w:eastAsia="Times New Roman" w:hAnsi="Times New Roman" w:cs="Arial"/>
          <w:sz w:val="24"/>
          <w:szCs w:val="20"/>
          <w:lang w:eastAsia="pl-PL"/>
        </w:rPr>
        <w:t xml:space="preserve">Dodatkowo należy wskazać, iż art. 74a § 2 p.p.s.a ma na celu zapewnienie spójności systemu prawa (spójności z ustawą z dnia 14 czerwca 1960 r. </w:t>
      </w:r>
      <w:r w:rsidR="00587712">
        <w:rPr>
          <w:rFonts w:ascii="Times New Roman" w:eastAsia="Times New Roman" w:hAnsi="Times New Roman" w:cs="Arial"/>
          <w:sz w:val="24"/>
          <w:szCs w:val="20"/>
          <w:lang w:eastAsia="pl-PL"/>
        </w:rPr>
        <w:t xml:space="preserve">– </w:t>
      </w:r>
      <w:r w:rsidRPr="00795BA8">
        <w:rPr>
          <w:rFonts w:ascii="Times New Roman" w:eastAsia="Times New Roman" w:hAnsi="Times New Roman" w:cs="Arial"/>
          <w:sz w:val="24"/>
          <w:szCs w:val="20"/>
          <w:lang w:eastAsia="pl-PL"/>
        </w:rPr>
        <w:t>Kodeks</w:t>
      </w:r>
      <w:r w:rsidR="00FA05E3">
        <w:rPr>
          <w:rFonts w:ascii="Times New Roman" w:eastAsia="Times New Roman" w:hAnsi="Times New Roman" w:cs="Arial"/>
          <w:sz w:val="24"/>
          <w:szCs w:val="20"/>
          <w:lang w:eastAsia="pl-PL"/>
        </w:rPr>
        <w:t xml:space="preserve"> </w:t>
      </w:r>
      <w:r w:rsidRPr="00795BA8">
        <w:rPr>
          <w:rFonts w:ascii="Times New Roman" w:eastAsia="Times New Roman" w:hAnsi="Times New Roman" w:cs="Arial"/>
          <w:sz w:val="24"/>
          <w:szCs w:val="20"/>
          <w:lang w:eastAsia="pl-PL"/>
        </w:rPr>
        <w:t>postępowania administracyjnego</w:t>
      </w:r>
      <w:r w:rsidR="009F4F6C">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lang w:eastAsia="pl-PL"/>
        </w:rPr>
        <w:t xml:space="preserve"> Dz. U. z 2018 r. poz. 2096, z późn. zm.) w zakresie czasu dostępu do pism doręczanych w formie dokumentu elektronicznego. Zainteresowany może także w każdym czasie otrzymać dostęp do tego dokumentu, występując o wydanie jego odpisu. Ponadto strona może wystąpić z wnioskiem o udostępnienie akt sądowych.</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Równocześnie w celu rozpowszechnienia wiedzy na temat informatyzacji i zachęcenia stron do korzystania ze środków komunikacji elektronicznej</w:t>
      </w:r>
      <w:r w:rsidR="009F4F6C">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w art. 12b p.p.s.a. </w:t>
      </w:r>
      <w:r w:rsidRPr="00795BA8">
        <w:rPr>
          <w:rFonts w:ascii="Times New Roman" w:eastAsia="Times New Roman" w:hAnsi="Times New Roman" w:cs="Arial"/>
          <w:sz w:val="24"/>
          <w:szCs w:val="20"/>
          <w:lang w:eastAsia="pl-PL"/>
        </w:rPr>
        <w:t>zmieniono brzmienie</w:t>
      </w:r>
      <w:r w:rsidRPr="00795BA8">
        <w:rPr>
          <w:rFonts w:ascii="Times New Roman" w:eastAsia="Times New Roman" w:hAnsi="Times New Roman" w:cs="Arial"/>
          <w:sz w:val="24"/>
          <w:szCs w:val="20"/>
        </w:rPr>
        <w:t xml:space="preserve"> § 5 </w:t>
      </w:r>
      <w:r w:rsidRPr="00795BA8">
        <w:rPr>
          <w:rFonts w:ascii="Times New Roman" w:eastAsia="Times New Roman" w:hAnsi="Times New Roman" w:cs="Arial"/>
          <w:sz w:val="24"/>
          <w:szCs w:val="20"/>
          <w:lang w:eastAsia="pl-PL"/>
        </w:rPr>
        <w:t>na</w:t>
      </w:r>
      <w:r w:rsidRPr="00795BA8">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lang w:eastAsia="pl-PL"/>
        </w:rPr>
        <w:t>następujące</w:t>
      </w:r>
      <w:r w:rsidRPr="00795BA8">
        <w:rPr>
          <w:rFonts w:ascii="Times New Roman" w:eastAsia="Times New Roman" w:hAnsi="Times New Roman" w:cs="Arial"/>
          <w:sz w:val="24"/>
          <w:szCs w:val="20"/>
        </w:rPr>
        <w:t>: „Sąd, doręczając stronie pierwsze pismo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sprawie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formie innej niż forma dokumentu elektronicznego, informuje stronę o</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warunkach wnoszenia pism oraz ich doręczania przez sąd za pomocą środków komunikacji elektronicznej.”. Ponadto w art. 74a § 3 pkt 2 p.p.s.a. wyrazy „w systemie teleinformatycznym sądu</w:t>
      </w:r>
      <w:r w:rsidR="005B5962">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zastąpiono wyrazami „w systemie teleinformatycznym wykorzystywanym przez sąd do obsługi doręczeń”, aby umożliwić sądom korzystanie </w:t>
      </w:r>
      <w:r w:rsidRPr="00795BA8">
        <w:rPr>
          <w:rFonts w:ascii="Times New Roman" w:eastAsia="Times New Roman" w:hAnsi="Times New Roman" w:cs="Arial"/>
          <w:sz w:val="24"/>
          <w:szCs w:val="20"/>
        </w:rPr>
        <w:lastRenderedPageBreak/>
        <w:t>z</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innych systemów teleinformatycznych w zakresie dotyczącym obsługi doręczeń,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szczególności z systemu ePUAP. Zmieniono także brzmienie art. 74a § 9 p.p.s.a. Projekt ustawy zakłada bowiem, że treść pisma w formie dokumentu elektronicznego będzie udostępniana jego adresatowi w systemie teleinformatycznym sądu przez okres</w:t>
      </w:r>
      <w:r w:rsidRPr="00795BA8">
        <w:rPr>
          <w:rFonts w:ascii="Times New Roman" w:eastAsia="Times New Roman" w:hAnsi="Times New Roman" w:cs="Arial"/>
          <w:sz w:val="24"/>
          <w:szCs w:val="20"/>
          <w:lang w:eastAsia="pl-PL"/>
        </w:rPr>
        <w:t xml:space="preserve"> co najmniej</w:t>
      </w:r>
      <w:r w:rsidRPr="00795BA8">
        <w:rPr>
          <w:rFonts w:ascii="Times New Roman" w:eastAsia="Times New Roman" w:hAnsi="Times New Roman" w:cs="Arial"/>
          <w:sz w:val="24"/>
          <w:szCs w:val="20"/>
        </w:rPr>
        <w:t xml:space="preserve"> 3 miesięcy od dnia uznania tego pisma za doręczone.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chwili obecnej podobna regulacja znajduje się w art. 46 § 8 </w:t>
      </w:r>
      <w:r w:rsidRPr="00795BA8">
        <w:rPr>
          <w:rFonts w:ascii="Times New Roman" w:eastAsia="Times New Roman" w:hAnsi="Times New Roman" w:cs="Arial"/>
          <w:sz w:val="24"/>
          <w:szCs w:val="20"/>
          <w:lang w:eastAsia="pl-PL"/>
        </w:rPr>
        <w:t>k.p.a.</w:t>
      </w:r>
      <w:r w:rsidRPr="00795BA8">
        <w:rPr>
          <w:rFonts w:ascii="Times New Roman" w:eastAsia="Times New Roman" w:hAnsi="Times New Roman" w:cs="Arial"/>
          <w:sz w:val="24"/>
          <w:szCs w:val="20"/>
        </w:rPr>
        <w:t xml:space="preserve"> i została wprowadzona w art. 2 pkt 5 ustawy o zmianie ustawy o informatyzacji, który wszedł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życie z dniem 11</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maja 2014</w:t>
      </w:r>
      <w:r w:rsidR="009F4F6C">
        <w:rPr>
          <w:rFonts w:ascii="Times New Roman" w:eastAsia="Times New Roman" w:hAnsi="Times New Roman" w:cs="Arial"/>
          <w:sz w:val="24"/>
          <w:szCs w:val="20"/>
        </w:rPr>
        <w:t> </w:t>
      </w:r>
      <w:r w:rsidRPr="00795BA8">
        <w:rPr>
          <w:rFonts w:ascii="Times New Roman" w:eastAsia="Times New Roman" w:hAnsi="Times New Roman" w:cs="Arial"/>
          <w:sz w:val="24"/>
          <w:szCs w:val="20"/>
        </w:rPr>
        <w:t>r.</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Niniejsza ustawa w sposób wyraźny normuje także kwestię, czy protokoły, notatki urzędowe, wyroki i ich uzasadnienia mogą być utrwalone w postaci elektronicznej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systemie teleinformatycznym sądu, przez wprowadzenie zmian w</w:t>
      </w:r>
      <w:r w:rsidR="00FA05E3">
        <w:rPr>
          <w:rFonts w:ascii="Times New Roman" w:eastAsia="Times New Roman" w:hAnsi="Times New Roman" w:cs="Arial"/>
          <w:sz w:val="24"/>
          <w:szCs w:val="20"/>
        </w:rPr>
        <w:t xml:space="preserve"> </w:t>
      </w:r>
      <w:r w:rsidR="005B5962">
        <w:rPr>
          <w:rFonts w:ascii="Times New Roman" w:eastAsia="Times New Roman" w:hAnsi="Times New Roman" w:cs="Arial"/>
          <w:sz w:val="24"/>
          <w:szCs w:val="20"/>
        </w:rPr>
        <w:t>art. 100, art. 101, art. </w:t>
      </w:r>
      <w:r w:rsidRPr="00795BA8">
        <w:rPr>
          <w:rFonts w:ascii="Times New Roman" w:eastAsia="Times New Roman" w:hAnsi="Times New Roman" w:cs="Arial"/>
          <w:sz w:val="24"/>
          <w:szCs w:val="20"/>
        </w:rPr>
        <w:t>137 i art. 143</w:t>
      </w:r>
      <w:r w:rsidR="009F4F6C">
        <w:rPr>
          <w:rFonts w:ascii="Times New Roman" w:eastAsia="Times New Roman" w:hAnsi="Times New Roman" w:cs="Arial"/>
          <w:sz w:val="24"/>
          <w:szCs w:val="20"/>
        </w:rPr>
        <w:t xml:space="preserve"> p.p.s.a.</w:t>
      </w:r>
      <w:r w:rsidRPr="00795BA8">
        <w:rPr>
          <w:rFonts w:ascii="Times New Roman" w:eastAsia="Times New Roman" w:hAnsi="Times New Roman" w:cs="Arial"/>
          <w:sz w:val="24"/>
          <w:szCs w:val="20"/>
        </w:rPr>
        <w:t xml:space="preserve"> Na</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podstawie art. 166 i art. 167 p.p.s.a. przepisy te znajdą odpowiednie zastosowanie również do postanowień i zarządzeń. Wprowadzenie tych regulacji jest niezbędne dla</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zapewnienia sprawności postępowania sądowoadministracyjnego oraz kompletności elektronicznych akt sądowych, których integralną częścią są protokoły i orzeczenia.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przeciwnym wypadku orzeczenia będą musiały być dokumentowane najpierw w postaci papierowej, a następnie przekształcane w postać elektroniczną przez sporządzenie elektronicznej kopii tego dokumentu, np.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celu udostępnienia</w:t>
      </w:r>
      <w:r w:rsidRPr="00795BA8">
        <w:rPr>
          <w:rFonts w:ascii="Times New Roman" w:eastAsia="Times New Roman" w:hAnsi="Times New Roman" w:cs="Arial"/>
          <w:sz w:val="24"/>
          <w:szCs w:val="20"/>
          <w:lang w:eastAsia="pl-PL"/>
        </w:rPr>
        <w:t xml:space="preserve"> ich</w:t>
      </w:r>
      <w:r w:rsidRPr="00795BA8">
        <w:rPr>
          <w:rFonts w:ascii="Times New Roman" w:eastAsia="Times New Roman" w:hAnsi="Times New Roman" w:cs="Arial"/>
          <w:sz w:val="24"/>
          <w:szCs w:val="20"/>
        </w:rPr>
        <w:t xml:space="preserve"> stronom korzystającym ze</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środków komunikacji elektronicznej. Akta sądowe musiałyby mieć zatem zawsze dualną postać, choć zgodnie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treścią art. 12a § 1 p.p.s.a mogą być prowadzone tylko w jednej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nich. Powodowałoby to</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znaczne obciążenia związane z koniecznością każdorazowego przekształcenia dokumentów sądowych, a także przyczyniłoby się do wydłużenia postępowania i zwiększałoby ryzyko pomyłek.</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 xml:space="preserve">Problem ten został również dostrzeżony przez ustawodawcę w nowelizacji </w:t>
      </w:r>
      <w:r w:rsidRPr="00795BA8">
        <w:rPr>
          <w:rFonts w:ascii="Times New Roman" w:eastAsia="Times New Roman" w:hAnsi="Times New Roman" w:cs="Arial"/>
          <w:sz w:val="24"/>
          <w:szCs w:val="20"/>
          <w:lang w:eastAsia="pl-PL"/>
        </w:rPr>
        <w:t>k.p.c.</w:t>
      </w:r>
      <w:r w:rsidRPr="00795BA8">
        <w:rPr>
          <w:rFonts w:ascii="Times New Roman" w:eastAsia="Times New Roman" w:hAnsi="Times New Roman" w:cs="Arial"/>
          <w:sz w:val="24"/>
          <w:szCs w:val="20"/>
        </w:rPr>
        <w:t xml:space="preserve"> dokonanej ustawą z dnia 10 lipca 2015 r. o zmianie ustawy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Kodeks cywilny, ustawy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Kodeks postępowania cywilnego oraz niektórych innych ustaw (Dz.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U. poz. 1311</w:t>
      </w:r>
      <w:r w:rsidRPr="00795BA8">
        <w:rPr>
          <w:rFonts w:ascii="Times New Roman" w:eastAsia="Times New Roman" w:hAnsi="Times New Roman" w:cs="Arial"/>
          <w:sz w:val="24"/>
          <w:szCs w:val="20"/>
          <w:lang w:eastAsia="pl-PL"/>
        </w:rPr>
        <w:t>, z</w:t>
      </w:r>
      <w:r w:rsidR="004301E8">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późn. zm.</w:t>
      </w:r>
      <w:r w:rsidRPr="00795BA8">
        <w:rPr>
          <w:rFonts w:ascii="Times New Roman" w:eastAsia="Times New Roman" w:hAnsi="Times New Roman" w:cs="Arial"/>
          <w:sz w:val="24"/>
          <w:szCs w:val="20"/>
        </w:rPr>
        <w:t>). W celu wyeliminowania jakichkolwiek wątpliwości dotyczących możliwości utrwalenia orzeczenia sądowego w systemie teleinformatycznym</w:t>
      </w:r>
      <w:r w:rsidR="009F4F6C">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w k.p.c. przewidziano dodanie w art. 324 § 4 w brzmieniu: „w postępowaniu wszczętym za</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pośrednictwem systemu teleinformatycznego wyrok może być utrwalony w systemie teleinformatycznym i opatrzony kwalifikowanym podpisem elektronicznym”.</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lastRenderedPageBreak/>
        <w:t xml:space="preserve">Potrzeba zapewnienia spójnego systemu prawa przemawia za wprowadzeniem porównywalnej regulacji w p.p.s.a.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wobec braku bezpośredniego przepisu w tym zakresie, przy jednoczesnym precyzyjnym regulowaniu tej kwestii w odrębnych procedurach. Proponowana w projekcie </w:t>
      </w:r>
      <w:r w:rsidR="009F4F6C">
        <w:rPr>
          <w:rFonts w:ascii="Times New Roman" w:eastAsia="Times New Roman" w:hAnsi="Times New Roman" w:cs="Arial"/>
          <w:sz w:val="24"/>
          <w:szCs w:val="20"/>
        </w:rPr>
        <w:t xml:space="preserve">ustawy </w:t>
      </w:r>
      <w:r w:rsidRPr="00795BA8">
        <w:rPr>
          <w:rFonts w:ascii="Times New Roman" w:eastAsia="Times New Roman" w:hAnsi="Times New Roman" w:cs="Arial"/>
          <w:sz w:val="24"/>
          <w:szCs w:val="20"/>
        </w:rPr>
        <w:t>treść przepisu art. 137 § 5 p.p.s.a. jest zgodna z</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kolejną nowelizacją art. 324 § 4 k.p.c. dokonaną ustawą z dnia 5 września 2016 r. o</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usługach zaufania </w:t>
      </w:r>
      <w:r w:rsidR="009F4F6C">
        <w:rPr>
          <w:rFonts w:ascii="Times New Roman" w:eastAsia="Times New Roman" w:hAnsi="Times New Roman" w:cs="Arial"/>
          <w:sz w:val="24"/>
          <w:szCs w:val="20"/>
        </w:rPr>
        <w:t>oraz</w:t>
      </w:r>
      <w:r w:rsidRPr="00795BA8">
        <w:rPr>
          <w:rFonts w:ascii="Times New Roman" w:eastAsia="Times New Roman" w:hAnsi="Times New Roman" w:cs="Arial"/>
          <w:sz w:val="24"/>
          <w:szCs w:val="20"/>
        </w:rPr>
        <w:t xml:space="preserve"> identyfikacji elektronicznej. Z uwagi na fakt, iż informatyzacja postępowania sądowoadministracyjnego dotyczy całego postępowania sądowego, a nie jego określonego trybu, jak ma to miejsce w przypadku postępowania cywilnego, wprowadzenie takiej regulacji jest zasadne nie tylko wobec wyroków sądów administracyjnych i ich uzasadnień, ale także wobec protokołów i notatek urzędowych, które dokumentują przebieg posiedzeń sądowych.</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W tym miejscu należy zauważyć, że po utrwaleniu wyroku w systemie teleinformatycznym sądu i podpisaniu go kwalifikowanym podpisem elektronicznym, z</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przyczyn technicznych, nie będzie już możliwości zamieszczania na dokumencie jakichkolwiek dalszych adnotacji.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związku z powyższym ewentualna wzmianka o</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sprostowaniu orzeczenia będzie musiała być sporządzona w formie odrębnego dokumentu elektronicznego podpisanego kwalifikowanym podpisem elektronicznym, stąd też propozycja nowelizacji art. 156 p.p.s.a.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W dalszej części uzasadnienia omówione zostaną pozostałe zmiany, które są niezbędne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przyczyn systemowych lub organizacyjnych i mają na celu usprawnienie postępowania sądowoadministracyjnego oraz dostosowanie przepisów p.p.s.a do wymogów wynikających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informatyzacji.</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 xml:space="preserve">W pierwszej kolejności należy zwrócić uwagę na zmianę dotyczącą art. 12a § 5 p.p.s.a. Projekt </w:t>
      </w:r>
      <w:r w:rsidRPr="00795BA8">
        <w:rPr>
          <w:rFonts w:ascii="Times New Roman" w:eastAsia="Times New Roman" w:hAnsi="Times New Roman" w:cs="Arial"/>
          <w:sz w:val="24"/>
          <w:szCs w:val="20"/>
          <w:lang w:eastAsia="pl-PL"/>
        </w:rPr>
        <w:t xml:space="preserve">ustawy </w:t>
      </w:r>
      <w:r w:rsidRPr="00795BA8">
        <w:rPr>
          <w:rFonts w:ascii="Times New Roman" w:eastAsia="Times New Roman" w:hAnsi="Times New Roman" w:cs="Arial"/>
          <w:sz w:val="24"/>
          <w:szCs w:val="20"/>
        </w:rPr>
        <w:t>precyzuje możliwość udostępniania akt sądowych (w tym akt prowadzonych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lang w:eastAsia="pl-PL"/>
        </w:rPr>
        <w:t>postaci</w:t>
      </w:r>
      <w:r w:rsidRPr="00795BA8">
        <w:rPr>
          <w:rFonts w:ascii="Times New Roman" w:eastAsia="Times New Roman" w:hAnsi="Times New Roman" w:cs="Arial"/>
          <w:sz w:val="24"/>
          <w:szCs w:val="20"/>
        </w:rPr>
        <w:t xml:space="preserve"> elektronicznej) oraz uzyskiwania z nich odpisów, kopii i</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wyciągów. W tym miejscu należy bowiem zauważyć, że elektroniczne akta sądowe będą udostępnianie stronom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systemie teleinformatycznym sądu. W przypadku tego rodzaju akt nie będzie zatem zachodziła potrzeba wydawania w szczególności kopii lub wyciągów z tych akt, skoro, po uprzednim uwierzytelnieniu, strona będzie miała możliwość samodzielnej realizacji tych czynności bezpośrednio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systemie teleinformatycznym sądu.</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lastRenderedPageBreak/>
        <w:t>Ponadto</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w związku z treścią art. 20a ust. 1 i 2 ustawy</w:t>
      </w:r>
      <w:r w:rsidRPr="00795BA8">
        <w:rPr>
          <w:rFonts w:ascii="Times New Roman" w:eastAsia="Times New Roman" w:hAnsi="Times New Roman" w:cs="Arial"/>
          <w:sz w:val="24"/>
          <w:szCs w:val="20"/>
          <w:lang w:eastAsia="pl-PL"/>
        </w:rPr>
        <w:t xml:space="preserve"> z dnia 17 lutego 2005 r.</w:t>
      </w:r>
      <w:r w:rsidRPr="00795BA8">
        <w:rPr>
          <w:rFonts w:ascii="Times New Roman" w:eastAsia="Times New Roman" w:hAnsi="Times New Roman" w:cs="Arial"/>
          <w:sz w:val="24"/>
          <w:szCs w:val="20"/>
        </w:rPr>
        <w:t xml:space="preserve"> o</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informatyzacji działalności podmiotów realizujących zadania publiczne</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w przepisie </w:t>
      </w:r>
      <w:r w:rsidRPr="00795BA8">
        <w:rPr>
          <w:rFonts w:ascii="Times New Roman" w:eastAsia="Times New Roman" w:hAnsi="Times New Roman" w:cs="Arial"/>
          <w:sz w:val="24"/>
          <w:szCs w:val="20"/>
          <w:lang w:eastAsia="pl-PL"/>
        </w:rPr>
        <w:t xml:space="preserve">powyższym </w:t>
      </w:r>
      <w:r w:rsidRPr="00795BA8">
        <w:rPr>
          <w:rFonts w:ascii="Times New Roman" w:eastAsia="Times New Roman" w:hAnsi="Times New Roman" w:cs="Arial"/>
          <w:sz w:val="24"/>
          <w:szCs w:val="20"/>
        </w:rPr>
        <w:t>wyrazy „po identyfikacji” zastąpiono wyrazami „po uwierzytelnieniu”.</w:t>
      </w:r>
    </w:p>
    <w:p w:rsidR="00795BA8" w:rsidRPr="00795BA8" w:rsidRDefault="009F4F6C" w:rsidP="005B5962">
      <w:pPr>
        <w:autoSpaceDE w:val="0"/>
        <w:autoSpaceDN w:val="0"/>
        <w:adjustRightInd w:val="0"/>
        <w:spacing w:before="120" w:after="0" w:line="360" w:lineRule="auto"/>
        <w:jc w:val="both"/>
        <w:rPr>
          <w:rFonts w:ascii="Times New Roman" w:eastAsia="Times New Roman" w:hAnsi="Times New Roman" w:cs="Arial"/>
          <w:sz w:val="24"/>
          <w:szCs w:val="20"/>
        </w:rPr>
      </w:pPr>
      <w:r>
        <w:rPr>
          <w:rFonts w:ascii="Times New Roman" w:eastAsia="Times New Roman" w:hAnsi="Times New Roman" w:cs="Arial"/>
          <w:sz w:val="24"/>
          <w:szCs w:val="20"/>
          <w:lang w:eastAsia="pl-PL"/>
        </w:rPr>
        <w:t>P</w:t>
      </w:r>
      <w:r w:rsidR="00795BA8" w:rsidRPr="00795BA8">
        <w:rPr>
          <w:rFonts w:ascii="Times New Roman" w:eastAsia="Times New Roman" w:hAnsi="Times New Roman" w:cs="Arial"/>
          <w:sz w:val="24"/>
          <w:szCs w:val="20"/>
          <w:lang w:eastAsia="pl-PL"/>
        </w:rPr>
        <w:t xml:space="preserve">rojektowana </w:t>
      </w:r>
      <w:r w:rsidR="00795BA8" w:rsidRPr="00795BA8">
        <w:rPr>
          <w:rFonts w:ascii="Times New Roman" w:eastAsia="Times New Roman" w:hAnsi="Times New Roman" w:cs="Arial"/>
          <w:sz w:val="24"/>
          <w:szCs w:val="20"/>
        </w:rPr>
        <w:t xml:space="preserve">ustawa uchyla nowelizację art. 54 </w:t>
      </w:r>
      <w:r w:rsidR="00795BA8" w:rsidRPr="00795BA8">
        <w:rPr>
          <w:rFonts w:ascii="Times New Roman" w:eastAsia="Times New Roman" w:hAnsi="Times New Roman" w:cs="Arial"/>
          <w:sz w:val="24"/>
          <w:szCs w:val="20"/>
          <w:lang w:eastAsia="pl-PL"/>
        </w:rPr>
        <w:t>p.p.s.a. polegającą na dodaniu</w:t>
      </w:r>
      <w:r w:rsidR="00FA05E3">
        <w:rPr>
          <w:rFonts w:ascii="Times New Roman" w:eastAsia="Times New Roman" w:hAnsi="Times New Roman" w:cs="Arial"/>
          <w:sz w:val="24"/>
          <w:szCs w:val="20"/>
          <w:lang w:eastAsia="pl-PL"/>
        </w:rPr>
        <w:t xml:space="preserve"> </w:t>
      </w:r>
      <w:r w:rsidR="00795BA8" w:rsidRPr="00795BA8">
        <w:rPr>
          <w:rFonts w:ascii="Times New Roman" w:eastAsia="Times New Roman" w:hAnsi="Times New Roman" w:cs="Arial"/>
          <w:sz w:val="24"/>
          <w:szCs w:val="20"/>
        </w:rPr>
        <w:t>§ 2a</w:t>
      </w:r>
      <w:r w:rsidR="00FA05E3">
        <w:rPr>
          <w:rFonts w:ascii="Times New Roman" w:eastAsia="Times New Roman" w:hAnsi="Times New Roman" w:cs="Arial"/>
          <w:sz w:val="24"/>
          <w:szCs w:val="20"/>
        </w:rPr>
        <w:t>–</w:t>
      </w:r>
      <w:r w:rsidR="00795BA8" w:rsidRPr="00795BA8">
        <w:rPr>
          <w:rFonts w:ascii="Times New Roman" w:eastAsia="Times New Roman" w:hAnsi="Times New Roman" w:cs="Arial"/>
          <w:sz w:val="24"/>
          <w:szCs w:val="20"/>
        </w:rPr>
        <w:t>2c, która została wprowadzona ustawą o zmianie ustawy o informatyzacji. Powołane przepisy określają wyłącznie sposób, w</w:t>
      </w:r>
      <w:r w:rsidR="00FA05E3">
        <w:rPr>
          <w:rFonts w:ascii="Times New Roman" w:eastAsia="Times New Roman" w:hAnsi="Times New Roman" w:cs="Arial"/>
          <w:sz w:val="24"/>
          <w:szCs w:val="20"/>
        </w:rPr>
        <w:t xml:space="preserve"> </w:t>
      </w:r>
      <w:r w:rsidR="00795BA8" w:rsidRPr="00795BA8">
        <w:rPr>
          <w:rFonts w:ascii="Times New Roman" w:eastAsia="Times New Roman" w:hAnsi="Times New Roman" w:cs="Arial"/>
          <w:sz w:val="24"/>
          <w:szCs w:val="20"/>
        </w:rPr>
        <w:t>jaki organy administracji publicznej przekazują sądom akta administracyjne, i zawierają normy o</w:t>
      </w:r>
      <w:r w:rsidR="00FA05E3">
        <w:rPr>
          <w:rFonts w:ascii="Times New Roman" w:eastAsia="Times New Roman" w:hAnsi="Times New Roman" w:cs="Arial"/>
          <w:sz w:val="24"/>
          <w:szCs w:val="20"/>
        </w:rPr>
        <w:t xml:space="preserve"> </w:t>
      </w:r>
      <w:r w:rsidR="00795BA8" w:rsidRPr="00795BA8">
        <w:rPr>
          <w:rFonts w:ascii="Times New Roman" w:eastAsia="Times New Roman" w:hAnsi="Times New Roman" w:cs="Arial"/>
          <w:sz w:val="24"/>
          <w:szCs w:val="20"/>
        </w:rPr>
        <w:t>charakterze technicznym, które powinny znaleźć się w</w:t>
      </w:r>
      <w:r w:rsidR="00FA05E3">
        <w:rPr>
          <w:rFonts w:ascii="Times New Roman" w:eastAsia="Times New Roman" w:hAnsi="Times New Roman" w:cs="Arial"/>
          <w:sz w:val="24"/>
          <w:szCs w:val="20"/>
          <w:lang w:eastAsia="pl-PL"/>
        </w:rPr>
        <w:t xml:space="preserve"> </w:t>
      </w:r>
      <w:r w:rsidR="00795BA8" w:rsidRPr="00795BA8">
        <w:rPr>
          <w:rFonts w:ascii="Times New Roman" w:eastAsia="Times New Roman" w:hAnsi="Times New Roman" w:cs="Arial"/>
          <w:sz w:val="24"/>
          <w:szCs w:val="20"/>
        </w:rPr>
        <w:t>rozporządzeniu, a nie w</w:t>
      </w:r>
      <w:r w:rsidR="00FA05E3">
        <w:rPr>
          <w:rFonts w:ascii="Times New Roman" w:eastAsia="Times New Roman" w:hAnsi="Times New Roman" w:cs="Arial"/>
          <w:sz w:val="24"/>
          <w:szCs w:val="20"/>
        </w:rPr>
        <w:t xml:space="preserve"> </w:t>
      </w:r>
      <w:r w:rsidR="00795BA8" w:rsidRPr="00795BA8">
        <w:rPr>
          <w:rFonts w:ascii="Times New Roman" w:eastAsia="Times New Roman" w:hAnsi="Times New Roman" w:cs="Arial"/>
          <w:sz w:val="24"/>
          <w:szCs w:val="20"/>
        </w:rPr>
        <w:t xml:space="preserve">ustawie. Wobec powyższego </w:t>
      </w:r>
      <w:r w:rsidR="00795BA8" w:rsidRPr="00795BA8">
        <w:rPr>
          <w:rFonts w:ascii="Times New Roman" w:eastAsia="Times New Roman" w:hAnsi="Times New Roman" w:cs="Arial"/>
          <w:sz w:val="24"/>
          <w:szCs w:val="20"/>
          <w:lang w:eastAsia="pl-PL"/>
        </w:rPr>
        <w:t>zmodyfikowano brzmienie art. 54</w:t>
      </w:r>
      <w:r w:rsidR="00FA05E3">
        <w:rPr>
          <w:rFonts w:ascii="Times New Roman" w:eastAsia="Times New Roman" w:hAnsi="Times New Roman" w:cs="Arial"/>
          <w:sz w:val="24"/>
          <w:szCs w:val="20"/>
          <w:lang w:eastAsia="pl-PL"/>
        </w:rPr>
        <w:t xml:space="preserve"> </w:t>
      </w:r>
      <w:r w:rsidR="00795BA8" w:rsidRPr="00795BA8">
        <w:rPr>
          <w:rFonts w:ascii="Times New Roman" w:eastAsia="Times New Roman" w:hAnsi="Times New Roman" w:cs="Arial"/>
          <w:sz w:val="24"/>
          <w:szCs w:val="20"/>
          <w:lang w:eastAsia="pl-PL"/>
        </w:rPr>
        <w:t xml:space="preserve">§ 2 p.p.s.a., a </w:t>
      </w:r>
      <w:r w:rsidR="00795BA8" w:rsidRPr="00795BA8">
        <w:rPr>
          <w:rFonts w:ascii="Times New Roman" w:eastAsia="Times New Roman" w:hAnsi="Times New Roman" w:cs="Arial"/>
          <w:sz w:val="24"/>
          <w:szCs w:val="20"/>
        </w:rPr>
        <w:t xml:space="preserve">w projektowanym § 5 </w:t>
      </w:r>
      <w:r w:rsidR="00795BA8" w:rsidRPr="00795BA8">
        <w:rPr>
          <w:rFonts w:ascii="Times New Roman" w:eastAsia="Times New Roman" w:hAnsi="Times New Roman" w:cs="Arial"/>
          <w:sz w:val="24"/>
          <w:szCs w:val="20"/>
          <w:lang w:eastAsia="pl-PL"/>
        </w:rPr>
        <w:t xml:space="preserve">i 6 </w:t>
      </w:r>
      <w:r w:rsidR="00795BA8" w:rsidRPr="00795BA8">
        <w:rPr>
          <w:rFonts w:ascii="Times New Roman" w:eastAsia="Times New Roman" w:hAnsi="Times New Roman" w:cs="Arial"/>
          <w:sz w:val="24"/>
          <w:szCs w:val="20"/>
        </w:rPr>
        <w:t xml:space="preserve">Prezydent </w:t>
      </w:r>
      <w:r>
        <w:rPr>
          <w:rFonts w:ascii="Times New Roman" w:eastAsia="Times New Roman" w:hAnsi="Times New Roman" w:cs="Arial"/>
          <w:sz w:val="24"/>
          <w:szCs w:val="20"/>
        </w:rPr>
        <w:t xml:space="preserve">Rzeczypospolitej Polskiej </w:t>
      </w:r>
      <w:r w:rsidR="00795BA8" w:rsidRPr="00795BA8">
        <w:rPr>
          <w:rFonts w:ascii="Times New Roman" w:eastAsia="Times New Roman" w:hAnsi="Times New Roman" w:cs="Arial"/>
          <w:sz w:val="24"/>
          <w:szCs w:val="20"/>
        </w:rPr>
        <w:t xml:space="preserve">został upoważniony do wydania aktu wykonawczego w tym zakresie. </w:t>
      </w:r>
      <w:r w:rsidR="00795BA8" w:rsidRPr="00795BA8">
        <w:rPr>
          <w:rFonts w:ascii="Times New Roman" w:eastAsia="Times New Roman" w:hAnsi="Times New Roman" w:cs="Arial"/>
          <w:sz w:val="24"/>
          <w:szCs w:val="20"/>
          <w:lang w:eastAsia="pl-PL"/>
        </w:rPr>
        <w:t>Zgodnie z</w:t>
      </w:r>
      <w:r w:rsidR="00795BA8" w:rsidRPr="00795BA8">
        <w:rPr>
          <w:rFonts w:ascii="Times New Roman" w:eastAsia="Times New Roman" w:hAnsi="Times New Roman" w:cs="Arial"/>
          <w:sz w:val="24"/>
          <w:szCs w:val="20"/>
        </w:rPr>
        <w:t xml:space="preserve"> </w:t>
      </w:r>
      <w:r w:rsidR="005C6B87">
        <w:rPr>
          <w:rFonts w:ascii="Times New Roman" w:eastAsia="Times New Roman" w:hAnsi="Times New Roman" w:cs="Arial"/>
          <w:sz w:val="24"/>
          <w:szCs w:val="20"/>
        </w:rPr>
        <w:t xml:space="preserve">art. 54 </w:t>
      </w:r>
      <w:r w:rsidR="00795BA8" w:rsidRPr="00795BA8">
        <w:rPr>
          <w:rFonts w:ascii="Times New Roman" w:eastAsia="Times New Roman" w:hAnsi="Times New Roman" w:cs="Arial"/>
          <w:sz w:val="24"/>
          <w:szCs w:val="20"/>
          <w:lang w:eastAsia="pl-PL"/>
        </w:rPr>
        <w:t xml:space="preserve">§ 5 </w:t>
      </w:r>
      <w:r w:rsidR="005C6B87">
        <w:rPr>
          <w:rFonts w:ascii="Times New Roman" w:eastAsia="Times New Roman" w:hAnsi="Times New Roman" w:cs="Arial"/>
          <w:sz w:val="24"/>
          <w:szCs w:val="20"/>
          <w:lang w:eastAsia="pl-PL"/>
        </w:rPr>
        <w:t xml:space="preserve">p.p.s.a. </w:t>
      </w:r>
      <w:r w:rsidR="00795BA8" w:rsidRPr="00795BA8">
        <w:rPr>
          <w:rFonts w:ascii="Times New Roman" w:eastAsia="Times New Roman" w:hAnsi="Times New Roman" w:cs="Arial"/>
          <w:sz w:val="24"/>
          <w:szCs w:val="20"/>
        </w:rPr>
        <w:t>Prezydent Rzeczypospolitej Polskiej określi, w</w:t>
      </w:r>
      <w:r w:rsidR="00E6111D">
        <w:rPr>
          <w:rFonts w:ascii="Times New Roman" w:eastAsia="Times New Roman" w:hAnsi="Times New Roman" w:cs="Arial"/>
          <w:sz w:val="24"/>
          <w:szCs w:val="20"/>
          <w:lang w:eastAsia="pl-PL"/>
        </w:rPr>
        <w:t> </w:t>
      </w:r>
      <w:r w:rsidR="00795BA8" w:rsidRPr="00795BA8">
        <w:rPr>
          <w:rFonts w:ascii="Times New Roman" w:eastAsia="Times New Roman" w:hAnsi="Times New Roman" w:cs="Arial"/>
          <w:sz w:val="24"/>
          <w:szCs w:val="20"/>
        </w:rPr>
        <w:t>drodze rozporządzenia, szczegółowy sposób oraz szczegółowe warunki przekazywania skargi wraz z odpowiedzią na skargę i</w:t>
      </w:r>
      <w:r w:rsidR="004301E8">
        <w:rPr>
          <w:rFonts w:ascii="Times New Roman" w:eastAsia="Times New Roman" w:hAnsi="Times New Roman" w:cs="Arial"/>
          <w:sz w:val="24"/>
          <w:szCs w:val="20"/>
        </w:rPr>
        <w:t> </w:t>
      </w:r>
      <w:r w:rsidR="00795BA8" w:rsidRPr="00795BA8">
        <w:rPr>
          <w:rFonts w:ascii="Times New Roman" w:eastAsia="Times New Roman" w:hAnsi="Times New Roman" w:cs="Arial"/>
          <w:sz w:val="24"/>
          <w:szCs w:val="20"/>
        </w:rPr>
        <w:t>aktami sprawy, której ta skarga dotyczy, do sądu administracyjnego przez organ, którego działanie, bezczynność lub przewlekłe prowadzenie postępowania jest przedmiotem skargi, oraz przez ministra właściwego do spraw zagranicznych przekazującego skargę wniesioną za pośrednictwem konsula.</w:t>
      </w:r>
      <w:r w:rsidR="00795BA8" w:rsidRPr="00795BA8">
        <w:rPr>
          <w:rFonts w:ascii="Times New Roman" w:eastAsia="Times New Roman" w:hAnsi="Times New Roman" w:cs="Arial"/>
          <w:sz w:val="24"/>
          <w:szCs w:val="20"/>
          <w:lang w:eastAsia="pl-PL"/>
        </w:rPr>
        <w:t xml:space="preserve"> W </w:t>
      </w:r>
      <w:r w:rsidR="00795BA8" w:rsidRPr="00795BA8">
        <w:rPr>
          <w:rFonts w:ascii="Times New Roman" w:eastAsia="Times New Roman" w:hAnsi="Times New Roman" w:cs="Arial"/>
          <w:sz w:val="24"/>
          <w:szCs w:val="20"/>
        </w:rPr>
        <w:t>§ 6</w:t>
      </w:r>
      <w:r w:rsidR="00795BA8" w:rsidRPr="00795BA8">
        <w:rPr>
          <w:rFonts w:ascii="Times New Roman" w:eastAsia="Times New Roman" w:hAnsi="Times New Roman" w:cs="Arial"/>
          <w:sz w:val="24"/>
          <w:szCs w:val="20"/>
          <w:lang w:eastAsia="pl-PL"/>
        </w:rPr>
        <w:t xml:space="preserve"> określono wytyczne do wydania przedmiotowego rozporządzenia wskazujące na konieczność </w:t>
      </w:r>
      <w:r w:rsidR="00795BA8" w:rsidRPr="00795BA8">
        <w:rPr>
          <w:rFonts w:ascii="Times New Roman" w:eastAsia="Times New Roman" w:hAnsi="Times New Roman" w:cs="Arial"/>
          <w:sz w:val="24"/>
          <w:szCs w:val="20"/>
        </w:rPr>
        <w:t>uwzględnienia</w:t>
      </w:r>
      <w:r w:rsidR="00795BA8" w:rsidRPr="00795BA8">
        <w:rPr>
          <w:rFonts w:ascii="Times New Roman" w:eastAsia="Times New Roman" w:hAnsi="Times New Roman" w:cs="Arial"/>
          <w:sz w:val="24"/>
          <w:szCs w:val="20"/>
          <w:lang w:eastAsia="pl-PL"/>
        </w:rPr>
        <w:t xml:space="preserve"> przy wydawaniu tego aktu </w:t>
      </w:r>
      <w:r w:rsidR="00795BA8" w:rsidRPr="00795BA8">
        <w:rPr>
          <w:rFonts w:ascii="Times New Roman" w:eastAsia="Times New Roman" w:hAnsi="Times New Roman" w:cs="Arial"/>
          <w:sz w:val="24"/>
          <w:szCs w:val="20"/>
        </w:rPr>
        <w:t>form</w:t>
      </w:r>
      <w:r w:rsidR="00795BA8" w:rsidRPr="00795BA8">
        <w:rPr>
          <w:rFonts w:ascii="Times New Roman" w:eastAsia="Times New Roman" w:hAnsi="Times New Roman" w:cs="Arial"/>
          <w:sz w:val="24"/>
          <w:szCs w:val="20"/>
          <w:lang w:eastAsia="pl-PL"/>
        </w:rPr>
        <w:t>y</w:t>
      </w:r>
      <w:r w:rsidR="00795BA8" w:rsidRPr="00795BA8">
        <w:rPr>
          <w:rFonts w:ascii="Times New Roman" w:eastAsia="Times New Roman" w:hAnsi="Times New Roman" w:cs="Arial"/>
          <w:sz w:val="24"/>
          <w:szCs w:val="20"/>
        </w:rPr>
        <w:t xml:space="preserve"> lub postaci, w której została wniesiona skarga, posta</w:t>
      </w:r>
      <w:r w:rsidR="00795BA8" w:rsidRPr="00795BA8">
        <w:rPr>
          <w:rFonts w:ascii="Times New Roman" w:eastAsia="Times New Roman" w:hAnsi="Times New Roman" w:cs="Arial"/>
          <w:sz w:val="24"/>
          <w:szCs w:val="20"/>
          <w:lang w:eastAsia="pl-PL"/>
        </w:rPr>
        <w:t>ci</w:t>
      </w:r>
      <w:r w:rsidR="00795BA8" w:rsidRPr="00795BA8">
        <w:rPr>
          <w:rFonts w:ascii="Times New Roman" w:eastAsia="Times New Roman" w:hAnsi="Times New Roman" w:cs="Arial"/>
          <w:sz w:val="24"/>
          <w:szCs w:val="20"/>
        </w:rPr>
        <w:t xml:space="preserve"> akt sprawy, której dotyczy skarga, oraz potrzeby zachowania jednolitego standardu i bezpieczeństwa przekazywanych akt sprawy, skargi i odpowiedzi na skargę.</w:t>
      </w:r>
      <w:r w:rsidR="00795BA8" w:rsidRPr="00795BA8">
        <w:rPr>
          <w:rFonts w:ascii="Times New Roman" w:eastAsia="Times New Roman" w:hAnsi="Times New Roman" w:cs="Arial"/>
          <w:sz w:val="24"/>
          <w:szCs w:val="20"/>
          <w:lang w:eastAsia="pl-PL"/>
        </w:rPr>
        <w:t xml:space="preserve"> Uregulowanie tych kwestii w rozporządzeniu umożliwi szybkie </w:t>
      </w:r>
      <w:r w:rsidR="00795BA8" w:rsidRPr="00795BA8">
        <w:rPr>
          <w:rFonts w:ascii="Times New Roman" w:eastAsia="Times New Roman" w:hAnsi="Times New Roman" w:cs="Arial"/>
          <w:sz w:val="24"/>
          <w:szCs w:val="20"/>
        </w:rPr>
        <w:t>dostosow</w:t>
      </w:r>
      <w:r w:rsidR="00795BA8" w:rsidRPr="00795BA8">
        <w:rPr>
          <w:rFonts w:ascii="Times New Roman" w:eastAsia="Times New Roman" w:hAnsi="Times New Roman" w:cs="Arial"/>
          <w:sz w:val="24"/>
          <w:szCs w:val="20"/>
          <w:lang w:eastAsia="pl-PL"/>
        </w:rPr>
        <w:t>yw</w:t>
      </w:r>
      <w:r w:rsidR="00795BA8" w:rsidRPr="00795BA8">
        <w:rPr>
          <w:rFonts w:ascii="Times New Roman" w:eastAsia="Times New Roman" w:hAnsi="Times New Roman" w:cs="Arial"/>
          <w:sz w:val="24"/>
          <w:szCs w:val="20"/>
        </w:rPr>
        <w:t>anie regulacji prawnych do aktualnych wymogów technologicznych. W związku z</w:t>
      </w:r>
      <w:r w:rsidR="004301E8">
        <w:rPr>
          <w:rFonts w:ascii="Times New Roman" w:eastAsia="Times New Roman" w:hAnsi="Times New Roman" w:cs="Arial"/>
          <w:sz w:val="24"/>
          <w:szCs w:val="20"/>
        </w:rPr>
        <w:t> </w:t>
      </w:r>
      <w:r w:rsidR="00795BA8" w:rsidRPr="00795BA8">
        <w:rPr>
          <w:rFonts w:ascii="Times New Roman" w:eastAsia="Times New Roman" w:hAnsi="Times New Roman" w:cs="Arial"/>
          <w:sz w:val="24"/>
          <w:szCs w:val="20"/>
        </w:rPr>
        <w:t xml:space="preserve">uchyleniem </w:t>
      </w:r>
      <w:r w:rsidR="00795BA8" w:rsidRPr="00795BA8">
        <w:rPr>
          <w:rFonts w:ascii="Times New Roman" w:eastAsia="Times New Roman" w:hAnsi="Times New Roman" w:cs="Arial"/>
          <w:sz w:val="24"/>
          <w:szCs w:val="20"/>
          <w:lang w:eastAsia="pl-PL"/>
        </w:rPr>
        <w:t xml:space="preserve">ww. </w:t>
      </w:r>
      <w:r w:rsidR="00795BA8" w:rsidRPr="00795BA8">
        <w:rPr>
          <w:rFonts w:ascii="Times New Roman" w:eastAsia="Times New Roman" w:hAnsi="Times New Roman" w:cs="Arial"/>
          <w:sz w:val="24"/>
          <w:szCs w:val="20"/>
        </w:rPr>
        <w:t>nowelizacji niezbędne stało się także uchylenie nowelizacji art. 55 § 1 i</w:t>
      </w:r>
      <w:r w:rsidR="00FA05E3">
        <w:rPr>
          <w:rFonts w:ascii="Times New Roman" w:eastAsia="Times New Roman" w:hAnsi="Times New Roman" w:cs="Arial"/>
          <w:sz w:val="24"/>
          <w:szCs w:val="20"/>
        </w:rPr>
        <w:t xml:space="preserve"> </w:t>
      </w:r>
      <w:r w:rsidR="00795BA8" w:rsidRPr="00795BA8">
        <w:rPr>
          <w:rFonts w:ascii="Times New Roman" w:eastAsia="Times New Roman" w:hAnsi="Times New Roman" w:cs="Arial"/>
          <w:sz w:val="24"/>
          <w:szCs w:val="20"/>
        </w:rPr>
        <w:t>3 p.p.s.a.</w:t>
      </w:r>
      <w:r w:rsidR="005C6B87">
        <w:rPr>
          <w:rFonts w:ascii="Times New Roman" w:eastAsia="Times New Roman" w:hAnsi="Times New Roman" w:cs="Arial"/>
          <w:sz w:val="24"/>
          <w:szCs w:val="20"/>
        </w:rPr>
        <w:t>,</w:t>
      </w:r>
      <w:r w:rsidR="00795BA8" w:rsidRPr="00795BA8">
        <w:rPr>
          <w:rFonts w:ascii="Times New Roman" w:eastAsia="Times New Roman" w:hAnsi="Times New Roman" w:cs="Arial"/>
          <w:sz w:val="24"/>
          <w:szCs w:val="20"/>
        </w:rPr>
        <w:t xml:space="preserve"> przewidzianej w art. 4 pkt 10 ustawy o zmianie ustawy o</w:t>
      </w:r>
      <w:r w:rsidR="00FA05E3">
        <w:rPr>
          <w:rFonts w:ascii="Times New Roman" w:eastAsia="Times New Roman" w:hAnsi="Times New Roman" w:cs="Arial"/>
          <w:sz w:val="24"/>
          <w:szCs w:val="20"/>
        </w:rPr>
        <w:t xml:space="preserve"> </w:t>
      </w:r>
      <w:r w:rsidR="00795BA8" w:rsidRPr="00795BA8">
        <w:rPr>
          <w:rFonts w:ascii="Times New Roman" w:eastAsia="Times New Roman" w:hAnsi="Times New Roman" w:cs="Arial"/>
          <w:sz w:val="24"/>
          <w:szCs w:val="20"/>
        </w:rPr>
        <w:t>informatyzacji.</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Z uwagi na informatyzację działalności podmiotów realizujących zadania publiczne niezbędnym stało się także unormowanie w p.p.s.a. kwestii zwrotu akt administracyjnych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postaci elektronicznej. W przypadku takich akt nie będzie bowiem zachodziła potrzeba ich zwrotu, ponieważ nadal będą one w posiadaniu organu</w:t>
      </w:r>
      <w:r w:rsidR="005C6B87">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nawet po przekazaniu ich do sądu. Dlatego w art. 286 p.p.s.a. wprowadza się § 1a, zgodnie z</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którym w przypadku elektronicznych akt administracyjnych, po prawomocnym zakończeniu postępowania sądowego, organ administracji publicznej otrzyma jedynie odpis orzeczenia ze</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stwierdzeniem jego prawomocności. W związku z powyższą </w:t>
      </w:r>
      <w:r w:rsidRPr="00795BA8">
        <w:rPr>
          <w:rFonts w:ascii="Times New Roman" w:eastAsia="Times New Roman" w:hAnsi="Times New Roman" w:cs="Arial"/>
          <w:sz w:val="24"/>
          <w:szCs w:val="20"/>
        </w:rPr>
        <w:lastRenderedPageBreak/>
        <w:t xml:space="preserve">zmianą nadano również nowe brzmienie § 2 </w:t>
      </w:r>
      <w:r w:rsidR="005C6B87">
        <w:rPr>
          <w:rFonts w:ascii="Times New Roman" w:eastAsia="Times New Roman" w:hAnsi="Times New Roman" w:cs="Arial"/>
          <w:sz w:val="24"/>
          <w:szCs w:val="20"/>
        </w:rPr>
        <w:t xml:space="preserve">ww. przepisu </w:t>
      </w:r>
      <w:r w:rsidRPr="00795BA8">
        <w:rPr>
          <w:rFonts w:ascii="Times New Roman" w:eastAsia="Times New Roman" w:hAnsi="Times New Roman" w:cs="Arial"/>
          <w:sz w:val="24"/>
          <w:szCs w:val="20"/>
        </w:rPr>
        <w:t>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wskazano, że termin do załatwienia sprawy przez organ administracji określony w przepisach prawa lub wyznaczony przez sąd liczy się od dnia doręczenia organowi akt albo</w:t>
      </w:r>
      <w:r w:rsidR="005C6B87">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w:t>
      </w:r>
      <w:r w:rsidR="005C6B87" w:rsidRPr="00795BA8">
        <w:rPr>
          <w:rFonts w:ascii="Times New Roman" w:eastAsia="Times New Roman" w:hAnsi="Times New Roman" w:cs="Arial"/>
          <w:sz w:val="24"/>
          <w:szCs w:val="20"/>
        </w:rPr>
        <w:t>w przypadk</w:t>
      </w:r>
      <w:r w:rsidR="005C6B87" w:rsidRPr="00795BA8">
        <w:rPr>
          <w:rFonts w:ascii="Times New Roman" w:eastAsia="Times New Roman" w:hAnsi="Times New Roman" w:cs="Arial"/>
          <w:sz w:val="24"/>
          <w:szCs w:val="20"/>
          <w:lang w:eastAsia="pl-PL"/>
        </w:rPr>
        <w:t>u</w:t>
      </w:r>
      <w:r w:rsidR="005C6B87" w:rsidRPr="00795BA8">
        <w:rPr>
          <w:rFonts w:ascii="Times New Roman" w:eastAsia="Times New Roman" w:hAnsi="Times New Roman" w:cs="Arial"/>
          <w:sz w:val="24"/>
          <w:szCs w:val="20"/>
        </w:rPr>
        <w:t xml:space="preserve"> wskazany</w:t>
      </w:r>
      <w:r w:rsidR="005C6B87" w:rsidRPr="00795BA8">
        <w:rPr>
          <w:rFonts w:ascii="Times New Roman" w:eastAsia="Times New Roman" w:hAnsi="Times New Roman" w:cs="Arial"/>
          <w:sz w:val="24"/>
          <w:szCs w:val="20"/>
          <w:lang w:eastAsia="pl-PL"/>
        </w:rPr>
        <w:t>m</w:t>
      </w:r>
      <w:r w:rsidR="005C6B87" w:rsidRPr="00795BA8">
        <w:rPr>
          <w:rFonts w:ascii="Times New Roman" w:eastAsia="Times New Roman" w:hAnsi="Times New Roman" w:cs="Arial"/>
          <w:sz w:val="24"/>
          <w:szCs w:val="20"/>
        </w:rPr>
        <w:t xml:space="preserve"> w § 1a</w:t>
      </w:r>
      <w:r w:rsidR="005C6B87">
        <w:rPr>
          <w:rFonts w:ascii="Times New Roman" w:eastAsia="Times New Roman" w:hAnsi="Times New Roman" w:cs="Arial"/>
          <w:sz w:val="24"/>
          <w:szCs w:val="20"/>
        </w:rPr>
        <w:t>,</w:t>
      </w:r>
      <w:r w:rsidR="005C6B87" w:rsidRPr="00795BA8">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odpisu orzeczenia.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795BA8">
        <w:rPr>
          <w:rFonts w:ascii="Times New Roman" w:eastAsia="Times New Roman" w:hAnsi="Times New Roman" w:cs="Arial"/>
          <w:sz w:val="24"/>
          <w:szCs w:val="20"/>
          <w:lang w:eastAsia="pl-PL"/>
        </w:rPr>
        <w:t xml:space="preserve">W art. 66 p.p.s.a. po § 1 zaproponowano dodanie § 1a, w którym wskazano, iż </w:t>
      </w:r>
      <w:bookmarkStart w:id="2" w:name="mip39253552"/>
      <w:bookmarkEnd w:id="2"/>
      <w:r w:rsidR="005B5962">
        <w:rPr>
          <w:rFonts w:ascii="Times New Roman" w:eastAsia="Times New Roman" w:hAnsi="Times New Roman" w:cs="Arial"/>
          <w:sz w:val="24"/>
          <w:szCs w:val="20"/>
          <w:lang w:eastAsia="pl-PL"/>
        </w:rPr>
        <w:t>przepis § </w:t>
      </w:r>
      <w:r w:rsidRPr="00795BA8">
        <w:rPr>
          <w:rFonts w:ascii="Times New Roman" w:eastAsia="Times New Roman" w:hAnsi="Times New Roman" w:cs="Arial"/>
          <w:sz w:val="24"/>
          <w:szCs w:val="20"/>
          <w:lang w:eastAsia="pl-PL"/>
        </w:rPr>
        <w:t xml:space="preserve">1 (przepis </w:t>
      </w:r>
      <w:r w:rsidR="005C6B87">
        <w:rPr>
          <w:rFonts w:ascii="Times New Roman" w:eastAsia="Times New Roman" w:hAnsi="Times New Roman" w:cs="Arial"/>
          <w:sz w:val="24"/>
          <w:szCs w:val="20"/>
          <w:lang w:eastAsia="pl-PL"/>
        </w:rPr>
        <w:t xml:space="preserve">w projektowanym brzmieniu </w:t>
      </w:r>
      <w:r w:rsidRPr="00795BA8">
        <w:rPr>
          <w:rFonts w:ascii="Times New Roman" w:eastAsia="Times New Roman" w:hAnsi="Times New Roman" w:cs="Arial"/>
          <w:sz w:val="24"/>
          <w:szCs w:val="20"/>
          <w:lang w:eastAsia="pl-PL"/>
        </w:rPr>
        <w:t>stanowi, iż w toku sprawy adwokaci, radcy prawni, doradcy podatkowi, rzecznicy patentowi i radcy Prokuratorii Generalnej Rzeczypospolitej Polskiej doręczają sobie nawzajem pisma bezpośrednio za potwierdzeniem odbioru i</w:t>
      </w:r>
      <w:r w:rsidR="004301E8">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oznaczeniem daty lub przesyłką poleconą) nie dotyczy pism wnoszonych w formie dokumentu elektronicznego, podlegających doręczeniu adwokatowi, radcy prawnemu, doradcy podatkowemu, rzecznikowi patentowemu, radcy Prokuratorii Generalnej Rzeczypospolitej Polskiej, którzy korzystają ze środków komunikacji elektronicznej do doręczeń. Analogiczne rozwiązania przyjęto w art. 132 §</w:t>
      </w:r>
      <w:r w:rsidR="00E6111D">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1</w:t>
      </w:r>
      <w:r w:rsidRPr="005C6B87">
        <w:rPr>
          <w:rFonts w:ascii="Times New Roman" w:eastAsia="Times New Roman" w:hAnsi="Times New Roman" w:cs="Arial"/>
          <w:sz w:val="24"/>
          <w:szCs w:val="20"/>
          <w:vertAlign w:val="superscript"/>
          <w:lang w:eastAsia="pl-PL"/>
        </w:rPr>
        <w:t>2</w:t>
      </w:r>
      <w:r w:rsidR="00FA05E3">
        <w:rPr>
          <w:rFonts w:ascii="Times New Roman" w:eastAsia="Times New Roman" w:hAnsi="Times New Roman" w:cs="Arial"/>
          <w:sz w:val="24"/>
          <w:szCs w:val="20"/>
          <w:lang w:eastAsia="pl-PL"/>
        </w:rPr>
        <w:t xml:space="preserve"> </w:t>
      </w:r>
      <w:r w:rsidRPr="00795BA8">
        <w:rPr>
          <w:rFonts w:ascii="Times New Roman" w:eastAsia="Times New Roman" w:hAnsi="Times New Roman" w:cs="Arial"/>
          <w:sz w:val="24"/>
          <w:szCs w:val="20"/>
          <w:lang w:eastAsia="pl-PL"/>
        </w:rPr>
        <w:t>k.p.c. Ponadto warto wskazać, iż pełnomocnicy chcący korzystać z komunikacji elektronicznej będą czerpali wiedzę o sposobie komunikowania się pozostałych stron z</w:t>
      </w:r>
      <w:r w:rsidR="00E6111D">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akt sądowych prowadzonych i udostępnianych elektronicznie.</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Jednocześnie przez wgląd na szybkość postępowania sądowoadministracyjnego, zgodnie 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nowym art. 49b p.p.s.a.</w:t>
      </w:r>
      <w:r w:rsidR="005C6B87">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Prezes Naczelnego Sądu Administracyjnego będzie uprawniony do opracowania wzorów dokumentów elektronicznych, które będą mogły być wykorzystywane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postępowaniu w sprawach sądowoadministracyjnych, tj.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szczególności wzoru skargi administracyjnej, co niewątpliwie będzie stanowiło duże ułatwienie dla uczestników postępowania. Prezes Naczelnego Sądu Administracyjnego udostępni te wzory w Biuletynie Informacji Publicznej na stronie podmiotowej Naczelnego Sądu Administracyjnego. Celem tego przepisu nie jest jednak zobligowanie strony do wnoszenia pism zgodnych z tymi wzorami, ale jedynie wprowadzenie dla nich pewnych ułatwień.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795BA8">
        <w:rPr>
          <w:rFonts w:ascii="Times New Roman" w:eastAsia="Times New Roman" w:hAnsi="Times New Roman" w:cs="Arial"/>
          <w:sz w:val="24"/>
          <w:szCs w:val="20"/>
        </w:rPr>
        <w:t xml:space="preserve">W celu usprawnienia postępowania sądowoadministracyjnego projekt </w:t>
      </w:r>
      <w:r w:rsidRPr="00795BA8">
        <w:rPr>
          <w:rFonts w:ascii="Times New Roman" w:eastAsia="Times New Roman" w:hAnsi="Times New Roman" w:cs="Arial"/>
          <w:sz w:val="24"/>
          <w:szCs w:val="20"/>
          <w:lang w:eastAsia="pl-PL"/>
        </w:rPr>
        <w:t xml:space="preserve">ustawy </w:t>
      </w:r>
      <w:r w:rsidRPr="00795BA8">
        <w:rPr>
          <w:rFonts w:ascii="Times New Roman" w:eastAsia="Times New Roman" w:hAnsi="Times New Roman" w:cs="Arial"/>
          <w:sz w:val="24"/>
          <w:szCs w:val="20"/>
        </w:rPr>
        <w:t xml:space="preserve">modyfikuje także brzmienie art. 10 ust. 2 ustawy o zmianie ustawy o informatyzacji, wprowadzając wyjątek od określonej w tym przepisie reguły czasowego przedłużenia </w:t>
      </w:r>
      <w:r w:rsidRPr="00795BA8">
        <w:rPr>
          <w:rFonts w:ascii="Times New Roman" w:eastAsia="Times New Roman" w:hAnsi="Times New Roman" w:cs="Arial"/>
          <w:sz w:val="24"/>
          <w:szCs w:val="20"/>
          <w:lang w:eastAsia="pl-PL"/>
        </w:rPr>
        <w:t xml:space="preserve">stosowania </w:t>
      </w:r>
      <w:r w:rsidRPr="00795BA8">
        <w:rPr>
          <w:rFonts w:ascii="Times New Roman" w:eastAsia="Times New Roman" w:hAnsi="Times New Roman" w:cs="Arial"/>
          <w:sz w:val="24"/>
          <w:szCs w:val="20"/>
        </w:rPr>
        <w:t>prawa dotychczasowego.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postępowaniach sądowych wszczętych przed wejściem w życie </w:t>
      </w:r>
      <w:r w:rsidR="005C6B87">
        <w:rPr>
          <w:rFonts w:ascii="Times New Roman" w:eastAsia="Times New Roman" w:hAnsi="Times New Roman" w:cs="Arial"/>
          <w:sz w:val="24"/>
          <w:szCs w:val="20"/>
        </w:rPr>
        <w:t>ww. przepisu</w:t>
      </w:r>
      <w:r w:rsidRPr="00795BA8">
        <w:rPr>
          <w:rFonts w:ascii="Times New Roman" w:eastAsia="Times New Roman" w:hAnsi="Times New Roman" w:cs="Arial"/>
          <w:sz w:val="24"/>
          <w:szCs w:val="20"/>
        </w:rPr>
        <w:t xml:space="preserve"> ustawy dopuszczalne będzie bowiem dokonanie wyboru</w:t>
      </w:r>
      <w:r w:rsidRPr="00795BA8">
        <w:rPr>
          <w:rFonts w:ascii="Times New Roman" w:eastAsia="Times New Roman" w:hAnsi="Times New Roman" w:cs="Arial"/>
          <w:sz w:val="24"/>
          <w:szCs w:val="20"/>
          <w:lang w:eastAsia="pl-PL"/>
        </w:rPr>
        <w:t xml:space="preserve"> przez stronę</w:t>
      </w:r>
      <w:r w:rsidRPr="00795BA8">
        <w:rPr>
          <w:rFonts w:ascii="Times New Roman" w:eastAsia="Times New Roman" w:hAnsi="Times New Roman" w:cs="Arial"/>
          <w:sz w:val="24"/>
          <w:szCs w:val="20"/>
        </w:rPr>
        <w:t xml:space="preserve"> wnoszenia pism procesowych za pośrednictwem systemu </w:t>
      </w:r>
      <w:r w:rsidRPr="00795BA8">
        <w:rPr>
          <w:rFonts w:ascii="Times New Roman" w:eastAsia="Times New Roman" w:hAnsi="Times New Roman" w:cs="Arial"/>
          <w:sz w:val="24"/>
          <w:szCs w:val="20"/>
        </w:rPr>
        <w:lastRenderedPageBreak/>
        <w:t>teleinformatycznego sądu obsługującego postępowanie sądow</w:t>
      </w:r>
      <w:r w:rsidR="005C6B87">
        <w:rPr>
          <w:rFonts w:ascii="Times New Roman" w:eastAsia="Times New Roman" w:hAnsi="Times New Roman" w:cs="Arial"/>
          <w:sz w:val="24"/>
          <w:szCs w:val="20"/>
        </w:rPr>
        <w:t>e</w:t>
      </w:r>
      <w:r w:rsidRPr="00795BA8">
        <w:rPr>
          <w:rFonts w:ascii="Times New Roman" w:eastAsia="Times New Roman" w:hAnsi="Times New Roman" w:cs="Arial"/>
          <w:sz w:val="24"/>
          <w:szCs w:val="20"/>
        </w:rPr>
        <w:t xml:space="preserve"> oraz ich doręczania przez sąd za pomocą środków komunikacji elektronicznej.</w:t>
      </w:r>
      <w:r w:rsidRPr="00795BA8">
        <w:rPr>
          <w:rFonts w:ascii="Times New Roman" w:eastAsia="Times New Roman" w:hAnsi="Times New Roman" w:cs="Arial"/>
          <w:sz w:val="24"/>
          <w:szCs w:val="20"/>
          <w:lang w:eastAsia="pl-PL"/>
        </w:rPr>
        <w:t xml:space="preserve">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Projekt</w:t>
      </w:r>
      <w:r w:rsidRPr="00795BA8">
        <w:rPr>
          <w:rFonts w:ascii="Times New Roman" w:eastAsia="Times New Roman" w:hAnsi="Times New Roman" w:cs="Arial"/>
          <w:sz w:val="24"/>
          <w:szCs w:val="20"/>
          <w:lang w:eastAsia="pl-PL"/>
        </w:rPr>
        <w:t xml:space="preserve"> ustawy</w:t>
      </w:r>
      <w:r w:rsidRPr="00795BA8">
        <w:rPr>
          <w:rFonts w:ascii="Times New Roman" w:eastAsia="Times New Roman" w:hAnsi="Times New Roman" w:cs="Arial"/>
          <w:sz w:val="24"/>
          <w:szCs w:val="20"/>
        </w:rPr>
        <w:t xml:space="preserve"> przewiduje również usunięcie zdania drugiego z art. 49a p.p.s.a.</w:t>
      </w:r>
      <w:r w:rsidR="005C6B87">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na co wpływ miały ograniczenia informatyczno-techniczne publicznie dostępnej platformy teleinformatycznej.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Ze względu na zakres zmian wprowadzanych w poszczególnych przepisach p.p.s.a.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niniejszym projekcie </w:t>
      </w:r>
      <w:r w:rsidRPr="00795BA8">
        <w:rPr>
          <w:rFonts w:ascii="Times New Roman" w:eastAsia="Times New Roman" w:hAnsi="Times New Roman" w:cs="Arial"/>
          <w:sz w:val="24"/>
          <w:szCs w:val="20"/>
          <w:lang w:eastAsia="pl-PL"/>
        </w:rPr>
        <w:t xml:space="preserve">ustawy </w:t>
      </w:r>
      <w:r w:rsidRPr="00795BA8">
        <w:rPr>
          <w:rFonts w:ascii="Times New Roman" w:eastAsia="Times New Roman" w:hAnsi="Times New Roman" w:cs="Arial"/>
          <w:sz w:val="24"/>
          <w:szCs w:val="20"/>
        </w:rPr>
        <w:t xml:space="preserve">zaproponowano uchylenie zmian dotyczących terminologii wprowadzanych do ustawy o zmianie ustawy o informatyzacji w ramach ustawy z dnia 5 lipca 2018 r. o zmianie ustawy o usługach zaufania oraz identyfikacji elektronicznej oraz niektórych innych ustaw (Dz. U. poz. 1544 oraz z 2019 r. poz. </w:t>
      </w:r>
      <w:r w:rsidRPr="00795BA8">
        <w:rPr>
          <w:rFonts w:ascii="Times New Roman" w:eastAsia="Times New Roman" w:hAnsi="Times New Roman" w:cs="Arial"/>
          <w:sz w:val="24"/>
          <w:szCs w:val="20"/>
          <w:lang w:eastAsia="pl-PL"/>
        </w:rPr>
        <w:t>60</w:t>
      </w:r>
      <w:r w:rsidRPr="00795BA8">
        <w:rPr>
          <w:rFonts w:ascii="Times New Roman" w:eastAsia="Times New Roman" w:hAnsi="Times New Roman" w:cs="Arial"/>
          <w:sz w:val="24"/>
          <w:szCs w:val="20"/>
        </w:rPr>
        <w:t xml:space="preserve">) oraz ustawy z dnia 6 grudnia 2018 r. o zmianie ustawy o dowodach osobistych oraz niektórych innych ustaw (Dz. U. </w:t>
      </w:r>
      <w:r w:rsidR="005C6B87">
        <w:rPr>
          <w:rFonts w:ascii="Times New Roman" w:eastAsia="Times New Roman" w:hAnsi="Times New Roman" w:cs="Arial"/>
          <w:sz w:val="24"/>
          <w:szCs w:val="20"/>
        </w:rPr>
        <w:t xml:space="preserve">z </w:t>
      </w:r>
      <w:r w:rsidRPr="00795BA8">
        <w:rPr>
          <w:rFonts w:ascii="Times New Roman" w:eastAsia="Times New Roman" w:hAnsi="Times New Roman" w:cs="Arial"/>
          <w:sz w:val="24"/>
          <w:szCs w:val="20"/>
          <w:lang w:eastAsia="pl-PL"/>
        </w:rPr>
        <w:t xml:space="preserve">2019 r. </w:t>
      </w:r>
      <w:r w:rsidRPr="00795BA8">
        <w:rPr>
          <w:rFonts w:ascii="Times New Roman" w:eastAsia="Times New Roman" w:hAnsi="Times New Roman" w:cs="Arial"/>
          <w:sz w:val="24"/>
          <w:szCs w:val="20"/>
        </w:rPr>
        <w:t xml:space="preserve">poz. </w:t>
      </w:r>
      <w:r w:rsidRPr="00795BA8">
        <w:rPr>
          <w:rFonts w:ascii="Times New Roman" w:eastAsia="Times New Roman" w:hAnsi="Times New Roman" w:cs="Arial"/>
          <w:sz w:val="24"/>
          <w:szCs w:val="20"/>
          <w:lang w:eastAsia="pl-PL"/>
        </w:rPr>
        <w:t>60</w:t>
      </w:r>
      <w:r w:rsidRPr="00795BA8">
        <w:rPr>
          <w:rFonts w:ascii="Times New Roman" w:eastAsia="Times New Roman" w:hAnsi="Times New Roman" w:cs="Arial"/>
          <w:sz w:val="24"/>
          <w:szCs w:val="20"/>
        </w:rPr>
        <w:t>). Rozwiązanie to ma zagwarantować spójność, czytelność i kompleksowość zmian wprowadzanych w p.p.s.a.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 xml:space="preserve">W projekcie </w:t>
      </w:r>
      <w:r w:rsidRPr="00795BA8">
        <w:rPr>
          <w:rFonts w:ascii="Times New Roman" w:eastAsia="Times New Roman" w:hAnsi="Times New Roman" w:cs="Arial"/>
          <w:sz w:val="24"/>
          <w:szCs w:val="20"/>
          <w:lang w:eastAsia="pl-PL"/>
        </w:rPr>
        <w:t xml:space="preserve">ustawy </w:t>
      </w:r>
      <w:r w:rsidRPr="00795BA8">
        <w:rPr>
          <w:rFonts w:ascii="Times New Roman" w:eastAsia="Times New Roman" w:hAnsi="Times New Roman" w:cs="Arial"/>
          <w:sz w:val="24"/>
          <w:szCs w:val="20"/>
        </w:rPr>
        <w:t>wprowadzono przepis przejściowy (art. 5), zgodnie z którym do postępowań sądowoadministracyjnych</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wszczętych i niezakończonych</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lang w:eastAsia="pl-PL"/>
        </w:rPr>
        <w:t>przed d</w:t>
      </w:r>
      <w:r w:rsidR="005C6B87">
        <w:rPr>
          <w:rFonts w:ascii="Times New Roman" w:eastAsia="Times New Roman" w:hAnsi="Times New Roman" w:cs="Arial"/>
          <w:sz w:val="24"/>
          <w:szCs w:val="20"/>
          <w:lang w:eastAsia="pl-PL"/>
        </w:rPr>
        <w:t>niem wejścia w życie niniejszej</w:t>
      </w:r>
      <w:r w:rsidRPr="00795BA8">
        <w:rPr>
          <w:rFonts w:ascii="Times New Roman" w:eastAsia="Times New Roman" w:hAnsi="Times New Roman" w:cs="Arial"/>
          <w:sz w:val="24"/>
          <w:szCs w:val="20"/>
          <w:lang w:eastAsia="pl-PL"/>
        </w:rPr>
        <w:t xml:space="preserve"> </w:t>
      </w:r>
      <w:r w:rsidR="005C6B87">
        <w:rPr>
          <w:rFonts w:ascii="Times New Roman" w:eastAsia="Times New Roman" w:hAnsi="Times New Roman" w:cs="Arial"/>
          <w:sz w:val="24"/>
          <w:szCs w:val="20"/>
          <w:lang w:eastAsia="pl-PL"/>
        </w:rPr>
        <w:t>ustawy</w:t>
      </w:r>
      <w:r w:rsidRPr="00795BA8">
        <w:rPr>
          <w:rFonts w:ascii="Times New Roman" w:eastAsia="Times New Roman" w:hAnsi="Times New Roman" w:cs="Arial"/>
          <w:sz w:val="24"/>
          <w:szCs w:val="20"/>
        </w:rPr>
        <w:t>, stosuje się przepisy dotychczasowe, z tym że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postępowaniach tych </w:t>
      </w:r>
      <w:r w:rsidRPr="00795BA8">
        <w:rPr>
          <w:rFonts w:ascii="Times New Roman" w:eastAsia="Times New Roman" w:hAnsi="Times New Roman" w:cs="Arial"/>
          <w:sz w:val="24"/>
          <w:szCs w:val="20"/>
          <w:lang w:eastAsia="pl-PL"/>
        </w:rPr>
        <w:t xml:space="preserve">strona może </w:t>
      </w:r>
      <w:r w:rsidRPr="00795BA8">
        <w:rPr>
          <w:rFonts w:ascii="Times New Roman" w:eastAsia="Times New Roman" w:hAnsi="Times New Roman" w:cs="Arial"/>
          <w:sz w:val="24"/>
          <w:szCs w:val="20"/>
        </w:rPr>
        <w:t>dokona</w:t>
      </w:r>
      <w:r w:rsidRPr="00795BA8">
        <w:rPr>
          <w:rFonts w:ascii="Times New Roman" w:eastAsia="Times New Roman" w:hAnsi="Times New Roman" w:cs="Arial"/>
          <w:sz w:val="24"/>
          <w:szCs w:val="20"/>
          <w:lang w:eastAsia="pl-PL"/>
        </w:rPr>
        <w:t>ć</w:t>
      </w:r>
      <w:r w:rsidRPr="00795BA8">
        <w:rPr>
          <w:rFonts w:ascii="Times New Roman" w:eastAsia="Times New Roman" w:hAnsi="Times New Roman" w:cs="Arial"/>
          <w:sz w:val="24"/>
          <w:szCs w:val="20"/>
        </w:rPr>
        <w:t xml:space="preserve"> wyboru wnoszenia pisma strony za pośrednictwem systemu teleinformatycznego sądu obsługującego postępowanie sądowe oraz ich doręczania przez sąd za pomocą środków komunikacji elektronicznej.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795BA8">
        <w:rPr>
          <w:rFonts w:ascii="Times New Roman" w:eastAsia="Times New Roman" w:hAnsi="Times New Roman" w:cs="Arial"/>
          <w:sz w:val="24"/>
          <w:szCs w:val="20"/>
        </w:rPr>
        <w:t xml:space="preserve">Ponadto pierwsze pismo wnoszone </w:t>
      </w:r>
      <w:r w:rsidR="005C6B87">
        <w:rPr>
          <w:rFonts w:ascii="Times New Roman" w:eastAsia="Times New Roman" w:hAnsi="Times New Roman" w:cs="Arial"/>
          <w:sz w:val="24"/>
          <w:szCs w:val="20"/>
        </w:rPr>
        <w:t xml:space="preserve">przez stronę </w:t>
      </w:r>
      <w:r w:rsidRPr="00795BA8">
        <w:rPr>
          <w:rFonts w:ascii="Times New Roman" w:eastAsia="Times New Roman" w:hAnsi="Times New Roman" w:cs="Arial"/>
          <w:sz w:val="24"/>
          <w:szCs w:val="20"/>
        </w:rPr>
        <w:t xml:space="preserve">w takiej sprawie po dniu </w:t>
      </w:r>
      <w:r w:rsidRPr="00795BA8">
        <w:rPr>
          <w:rFonts w:ascii="Times New Roman" w:eastAsia="Times New Roman" w:hAnsi="Times New Roman" w:cs="Arial"/>
          <w:sz w:val="24"/>
          <w:szCs w:val="20"/>
          <w:lang w:eastAsia="pl-PL"/>
        </w:rPr>
        <w:t>wejścia w</w:t>
      </w:r>
      <w:r w:rsidR="00E6111D">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życie niniejsze</w:t>
      </w:r>
      <w:r w:rsidR="00E6111D">
        <w:rPr>
          <w:rFonts w:ascii="Times New Roman" w:eastAsia="Times New Roman" w:hAnsi="Times New Roman" w:cs="Arial"/>
          <w:sz w:val="24"/>
          <w:szCs w:val="20"/>
          <w:lang w:eastAsia="pl-PL"/>
        </w:rPr>
        <w:t>j</w:t>
      </w:r>
      <w:r w:rsidRPr="00795BA8">
        <w:rPr>
          <w:rFonts w:ascii="Times New Roman" w:eastAsia="Times New Roman" w:hAnsi="Times New Roman" w:cs="Arial"/>
          <w:sz w:val="24"/>
          <w:szCs w:val="20"/>
          <w:lang w:eastAsia="pl-PL"/>
        </w:rPr>
        <w:t xml:space="preserve"> </w:t>
      </w:r>
      <w:r w:rsidR="00E6111D">
        <w:rPr>
          <w:rFonts w:ascii="Times New Roman" w:eastAsia="Times New Roman" w:hAnsi="Times New Roman" w:cs="Arial"/>
          <w:sz w:val="24"/>
          <w:szCs w:val="20"/>
          <w:lang w:eastAsia="pl-PL"/>
        </w:rPr>
        <w:t>ustawy</w:t>
      </w:r>
      <w:r w:rsidRPr="00795BA8">
        <w:rPr>
          <w:rFonts w:ascii="Times New Roman" w:eastAsia="Times New Roman" w:hAnsi="Times New Roman" w:cs="Arial"/>
          <w:sz w:val="24"/>
          <w:szCs w:val="20"/>
        </w:rPr>
        <w:t xml:space="preserve"> będzie musiało spełniać również warunki formalne określone 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art. 46 § 2 p.p.s.a.</w:t>
      </w:r>
      <w:r w:rsidR="00E6111D">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w brzmieniu ustalonym niniejszą ustawą, a więc zawierać oznaczenia miejsca zamieszkania lub siedziby 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adresy stron, ich przedstawicieli ustawowych i pełnomocników oraz numer PESEL/KRS/NIP</w:t>
      </w:r>
      <w:r w:rsidRPr="00795BA8">
        <w:rPr>
          <w:rFonts w:ascii="Times New Roman" w:eastAsia="Times New Roman" w:hAnsi="Times New Roman" w:cs="Arial"/>
          <w:sz w:val="24"/>
          <w:szCs w:val="20"/>
          <w:lang w:eastAsia="pl-PL"/>
        </w:rPr>
        <w:t>/REGON</w:t>
      </w:r>
      <w:r w:rsidRPr="00795BA8">
        <w:rPr>
          <w:rFonts w:ascii="Times New Roman" w:eastAsia="Times New Roman" w:hAnsi="Times New Roman" w:cs="Arial"/>
          <w:sz w:val="24"/>
          <w:szCs w:val="20"/>
        </w:rPr>
        <w:t>, a także oznaczenie przedmiotu sprawy. Zapewni to lepszą identyfikację stron lub innych uczestników postępowania sądowoadministracyjnego.</w:t>
      </w:r>
      <w:r w:rsidRPr="00795BA8">
        <w:rPr>
          <w:rFonts w:ascii="Times New Roman" w:eastAsia="Times New Roman" w:hAnsi="Times New Roman" w:cs="Arial"/>
          <w:sz w:val="24"/>
          <w:szCs w:val="20"/>
          <w:lang w:eastAsia="pl-PL"/>
        </w:rPr>
        <w:t xml:space="preserve"> Jednocześnie warto wskazać, iż przepis art. 5 </w:t>
      </w:r>
      <w:r w:rsidR="00E6111D">
        <w:rPr>
          <w:rFonts w:ascii="Times New Roman" w:eastAsia="Times New Roman" w:hAnsi="Times New Roman" w:cs="Arial"/>
          <w:sz w:val="24"/>
          <w:szCs w:val="20"/>
          <w:lang w:eastAsia="pl-PL"/>
        </w:rPr>
        <w:t xml:space="preserve">projektu ustawy </w:t>
      </w:r>
      <w:r w:rsidRPr="00795BA8">
        <w:rPr>
          <w:rFonts w:ascii="Times New Roman" w:eastAsia="Times New Roman" w:hAnsi="Times New Roman" w:cs="Arial"/>
          <w:sz w:val="24"/>
          <w:szCs w:val="20"/>
          <w:lang w:eastAsia="pl-PL"/>
        </w:rPr>
        <w:t>dotyczy każdego pierwszego pisma wniesionego po wejściu w życie projektowanych przepisów, nawet jeśli nie jest to pierwsze, a kolejne pismo w sprawie.</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Jednocześnie mając na uwadze brzmienie ustawy z dnia 5 lipca 2018 r. o zmianie ustawy o</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 xml:space="preserve">usługach zaufania oraz identyfikacji elektronicznej oraz niektórych innych ustaw, która przewiduje powstanie węzła krajowego identyfikacji elektronicznej, </w:t>
      </w:r>
      <w:r w:rsidRPr="00795BA8">
        <w:rPr>
          <w:rFonts w:ascii="Times New Roman" w:eastAsia="Times New Roman" w:hAnsi="Times New Roman" w:cs="Arial"/>
          <w:sz w:val="24"/>
          <w:szCs w:val="20"/>
        </w:rPr>
        <w:lastRenderedPageBreak/>
        <w:t>w</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projekcie niniejszej ustawy wprowadzono regulację określającą zasady uwierzytelniania stron postępowania w systemie teleinformatycznym sądu do czasu przyłączenia tego systemu do tego węzła krajowego identyfikacji elektronicznej (art. </w:t>
      </w:r>
      <w:r w:rsidRPr="00795BA8">
        <w:rPr>
          <w:rFonts w:ascii="Times New Roman" w:eastAsia="Times New Roman" w:hAnsi="Times New Roman" w:cs="Arial"/>
          <w:sz w:val="24"/>
          <w:szCs w:val="20"/>
          <w:lang w:eastAsia="pl-PL"/>
        </w:rPr>
        <w:t>6</w:t>
      </w:r>
      <w:r w:rsidRPr="00795BA8">
        <w:rPr>
          <w:rFonts w:ascii="Times New Roman" w:eastAsia="Times New Roman" w:hAnsi="Times New Roman" w:cs="Arial"/>
          <w:sz w:val="24"/>
          <w:szCs w:val="20"/>
        </w:rPr>
        <w:t xml:space="preserve">).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795BA8">
        <w:rPr>
          <w:rFonts w:ascii="Times New Roman" w:eastAsia="Times New Roman" w:hAnsi="Times New Roman" w:cs="Arial"/>
          <w:sz w:val="24"/>
          <w:szCs w:val="20"/>
          <w:lang w:eastAsia="pl-PL"/>
        </w:rPr>
        <w:t xml:space="preserve">Ponadto, zgodnie z art. 7 </w:t>
      </w:r>
      <w:r w:rsidR="00E6111D">
        <w:rPr>
          <w:rFonts w:ascii="Times New Roman" w:eastAsia="Times New Roman" w:hAnsi="Times New Roman" w:cs="Arial"/>
          <w:sz w:val="24"/>
          <w:szCs w:val="20"/>
          <w:lang w:eastAsia="pl-PL"/>
        </w:rPr>
        <w:t xml:space="preserve">projektu ustawy </w:t>
      </w:r>
      <w:r w:rsidRPr="00795BA8">
        <w:rPr>
          <w:rFonts w:ascii="Times New Roman" w:eastAsia="Times New Roman" w:hAnsi="Times New Roman" w:cs="Arial"/>
          <w:sz w:val="24"/>
          <w:szCs w:val="20"/>
          <w:lang w:eastAsia="pl-PL"/>
        </w:rPr>
        <w:t>organ, o którym mowa w art. 54 § 1 p.p.s.a.</w:t>
      </w:r>
      <w:r w:rsidR="00E6111D">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lang w:eastAsia="pl-PL"/>
        </w:rPr>
        <w:t xml:space="preserve"> dostosuje system elektronicznego zarządzania dokumentacją do szczegółowego sposobu oraz szczegółowych warunków przekazywania akt sprawy, określonych w przepisach wydanych na podstawie art. 54 § 5 p.p.s.a., w terminie 12 miesięcy od dnia wejścia w</w:t>
      </w:r>
      <w:r w:rsidR="004301E8">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 xml:space="preserve">życie niniejszej ustawy. Do czasu dostosowania systemu organ przekazuje akta sprawy do sądu w sposób przewidziany dla akt prowadzonych w postaci papierowej. Przepis ten będzie miał zastosowanie odpowiednio do przekazywania przez ministra </w:t>
      </w:r>
      <w:r w:rsidR="00E6111D">
        <w:rPr>
          <w:rFonts w:ascii="Times New Roman" w:eastAsia="Times New Roman" w:hAnsi="Times New Roman" w:cs="Arial"/>
          <w:sz w:val="24"/>
          <w:szCs w:val="20"/>
          <w:lang w:eastAsia="pl-PL"/>
        </w:rPr>
        <w:t xml:space="preserve">właściwego do </w:t>
      </w:r>
      <w:r w:rsidRPr="00795BA8">
        <w:rPr>
          <w:rFonts w:ascii="Times New Roman" w:eastAsia="Times New Roman" w:hAnsi="Times New Roman" w:cs="Arial"/>
          <w:sz w:val="24"/>
          <w:szCs w:val="20"/>
          <w:lang w:eastAsia="pl-PL"/>
        </w:rPr>
        <w:t>spraw zagranicznych akt spraw, których dotyczy skarga wniesiona za pośrednictwem konsula.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 xml:space="preserve">Ustawa wejdzie w życie z dniem 31 maja 2019 r., podobnie jak pozostałe regulacje dotyczące informatyzacji postępowania sądowoadministracyjnego.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Projekt ustawy nie jest sprzeczny z prawem Unii Europejskiej oraz</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nie</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zawiera norm technicznych w rozumieniu przepisów rozporzą</w:t>
      </w:r>
      <w:r w:rsidR="005B5962">
        <w:rPr>
          <w:rFonts w:ascii="Times New Roman" w:eastAsia="Times New Roman" w:hAnsi="Times New Roman" w:cs="Arial"/>
          <w:sz w:val="24"/>
          <w:szCs w:val="20"/>
        </w:rPr>
        <w:t>dzenia Rady Ministrów z dnia 23 </w:t>
      </w:r>
      <w:r w:rsidRPr="00795BA8">
        <w:rPr>
          <w:rFonts w:ascii="Times New Roman" w:eastAsia="Times New Roman" w:hAnsi="Times New Roman" w:cs="Arial"/>
          <w:sz w:val="24"/>
          <w:szCs w:val="20"/>
        </w:rPr>
        <w:t>grudnia 2002</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r. w sprawie sposobu funkcjonowania krajowego systemu notyfikacji norm 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aktów prawnych (Dz. U. poz. 2039</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lang w:eastAsia="pl-PL"/>
        </w:rPr>
        <w:t>oraz z 2004 r. poz. 597</w:t>
      </w:r>
      <w:r w:rsidRPr="00795BA8">
        <w:rPr>
          <w:rFonts w:ascii="Times New Roman" w:eastAsia="Times New Roman" w:hAnsi="Times New Roman" w:cs="Arial"/>
          <w:sz w:val="24"/>
          <w:szCs w:val="20"/>
        </w:rPr>
        <w:t>) i w związku z</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powyższym nie</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podlega procedurze notyfikacji.</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Projektowana ustawa nie wymaga przedstawienia instytucjom i</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organom Unii Europejskiej</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w:t>
      </w:r>
      <w:r w:rsidR="00E6111D">
        <w:rPr>
          <w:rFonts w:ascii="Times New Roman" w:eastAsia="Times New Roman" w:hAnsi="Times New Roman" w:cs="Arial"/>
          <w:sz w:val="24"/>
          <w:szCs w:val="20"/>
        </w:rPr>
        <w:t xml:space="preserve">w tym </w:t>
      </w:r>
      <w:r w:rsidRPr="00795BA8">
        <w:rPr>
          <w:rFonts w:ascii="Times New Roman" w:eastAsia="Times New Roman" w:hAnsi="Times New Roman" w:cs="Arial"/>
          <w:sz w:val="24"/>
          <w:szCs w:val="20"/>
        </w:rPr>
        <w:t>Europejskiemu Bankowi Centralnemu</w:t>
      </w:r>
      <w:r w:rsidR="00E6111D">
        <w:rPr>
          <w:rFonts w:ascii="Times New Roman" w:eastAsia="Times New Roman" w:hAnsi="Times New Roman" w:cs="Arial"/>
          <w:sz w:val="24"/>
          <w:szCs w:val="20"/>
        </w:rPr>
        <w:t>,</w:t>
      </w:r>
      <w:r w:rsidRPr="00795BA8">
        <w:rPr>
          <w:rFonts w:ascii="Times New Roman" w:eastAsia="Times New Roman" w:hAnsi="Times New Roman" w:cs="Arial"/>
          <w:sz w:val="24"/>
          <w:szCs w:val="20"/>
          <w:lang w:eastAsia="pl-PL"/>
        </w:rPr>
        <w:t xml:space="preserve"> w celu uzyskania opinii, dokonania powiadomienia, konsultacji albo uzgodnienia.</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Projekt ustawy nie spowoduje także dla mikro- i małych przedsiębiorstw żadnych skutków finansowych. Ewentualne dodatkowe wydatki na utrzymanie przez te podmioty odpowiedniej infrastruktury informatycznej niezbędnej do obsługi postępowania sądowoadministracyjnego, tj. np. zakup kwalifikowanego podpisu elektronicznego</w:t>
      </w:r>
      <w:r w:rsidRPr="00795BA8">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rPr>
        <w:t xml:space="preserve"> zostaną zrównoważone zmniejszeniem wydatków na ewentualne usługi poligraficzne lub zakup materiałów biurowych. </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W ujęciu niepieniężnym dla mikro- i małych przedsiębiorców należy przyjąć, że projekt ustawy spowoduje w szczególności skutki takie jak: skrócenie czasu trwania postępowań sądowoadministracyjnych, oszczędność czasu w zakresie związanym z</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 xml:space="preserve">przygotowywaniem pism procesowych z uwagi na możliwość wykorzystania </w:t>
      </w:r>
      <w:r w:rsidRPr="00795BA8">
        <w:rPr>
          <w:rFonts w:ascii="Times New Roman" w:eastAsia="Times New Roman" w:hAnsi="Times New Roman" w:cs="Arial"/>
          <w:sz w:val="24"/>
          <w:szCs w:val="20"/>
        </w:rPr>
        <w:lastRenderedPageBreak/>
        <w:t xml:space="preserve">odpowiednich wzorów dokumentów elektronicznych, a w związku z likwidacją obowiązku dołączenia odpisów tych pism </w:t>
      </w:r>
      <w:r w:rsidR="00FA05E3">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także w</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zakresie związanym z</w:t>
      </w:r>
      <w:r w:rsidR="00587712">
        <w:rPr>
          <w:rFonts w:ascii="Times New Roman" w:eastAsia="Times New Roman" w:hAnsi="Times New Roman" w:cs="Arial"/>
          <w:sz w:val="24"/>
          <w:szCs w:val="20"/>
        </w:rPr>
        <w:t>e</w:t>
      </w:r>
      <w:r w:rsidR="004301E8">
        <w:rPr>
          <w:rFonts w:ascii="Times New Roman" w:eastAsia="Times New Roman" w:hAnsi="Times New Roman" w:cs="Arial"/>
          <w:sz w:val="24"/>
          <w:szCs w:val="20"/>
        </w:rPr>
        <w:t> </w:t>
      </w:r>
      <w:r w:rsidRPr="00795BA8">
        <w:rPr>
          <w:rFonts w:ascii="Times New Roman" w:eastAsia="Times New Roman" w:hAnsi="Times New Roman" w:cs="Arial"/>
          <w:sz w:val="24"/>
          <w:szCs w:val="20"/>
        </w:rPr>
        <w:t>sporządzaniem tych odpisów.</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795BA8">
        <w:rPr>
          <w:rFonts w:ascii="Times New Roman" w:eastAsia="Times New Roman" w:hAnsi="Times New Roman" w:cs="Arial"/>
          <w:sz w:val="24"/>
          <w:szCs w:val="20"/>
          <w:lang w:eastAsia="pl-PL"/>
        </w:rPr>
        <w:t xml:space="preserve">Projekt </w:t>
      </w:r>
      <w:r w:rsidR="00E6111D">
        <w:rPr>
          <w:rFonts w:ascii="Times New Roman" w:eastAsia="Times New Roman" w:hAnsi="Times New Roman" w:cs="Arial"/>
          <w:sz w:val="24"/>
          <w:szCs w:val="20"/>
          <w:lang w:eastAsia="pl-PL"/>
        </w:rPr>
        <w:t xml:space="preserve">ustawy, </w:t>
      </w:r>
      <w:r w:rsidRPr="00795BA8">
        <w:rPr>
          <w:rFonts w:ascii="Times New Roman" w:eastAsia="Times New Roman" w:hAnsi="Times New Roman" w:cs="Arial"/>
          <w:sz w:val="24"/>
          <w:szCs w:val="20"/>
          <w:lang w:eastAsia="pl-PL"/>
        </w:rPr>
        <w:t>usprawniając informatyzację postępowania sądowoadministracyjnego i</w:t>
      </w:r>
      <w:r w:rsidR="004301E8">
        <w:rPr>
          <w:rFonts w:ascii="Times New Roman" w:eastAsia="Times New Roman" w:hAnsi="Times New Roman" w:cs="Arial"/>
          <w:sz w:val="24"/>
          <w:szCs w:val="20"/>
          <w:lang w:eastAsia="pl-PL"/>
        </w:rPr>
        <w:t> </w:t>
      </w:r>
      <w:r w:rsidRPr="00795BA8">
        <w:rPr>
          <w:rFonts w:ascii="Times New Roman" w:eastAsia="Times New Roman" w:hAnsi="Times New Roman" w:cs="Arial"/>
          <w:sz w:val="24"/>
          <w:szCs w:val="20"/>
          <w:lang w:eastAsia="pl-PL"/>
        </w:rPr>
        <w:t>wprowadzając kolejne ułatwienia, pozytywnie wpłynie na wpływ na osoby niepełnosprawne, starsze oraz rodziny</w:t>
      </w:r>
      <w:r w:rsidR="00E6111D">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lang w:eastAsia="pl-PL"/>
        </w:rPr>
        <w:t xml:space="preserve"> umożliwiając im zrealizowanie spraw sądowoadministracyjnych bez konieczności osobistego stawiennictwa</w:t>
      </w:r>
      <w:r w:rsidR="00E6111D">
        <w:rPr>
          <w:rFonts w:ascii="Times New Roman" w:eastAsia="Times New Roman" w:hAnsi="Times New Roman" w:cs="Arial"/>
          <w:sz w:val="24"/>
          <w:szCs w:val="20"/>
          <w:lang w:eastAsia="pl-PL"/>
        </w:rPr>
        <w:t>,</w:t>
      </w:r>
      <w:r w:rsidRPr="00795BA8">
        <w:rPr>
          <w:rFonts w:ascii="Times New Roman" w:eastAsia="Times New Roman" w:hAnsi="Times New Roman" w:cs="Arial"/>
          <w:sz w:val="24"/>
          <w:szCs w:val="20"/>
          <w:lang w:eastAsia="pl-PL"/>
        </w:rPr>
        <w:t xml:space="preserve"> m.in. przez elektroniczny dostęp do akt sprawy, wysyłanie i</w:t>
      </w:r>
      <w:r w:rsidR="00FA05E3">
        <w:rPr>
          <w:rFonts w:ascii="Times New Roman" w:eastAsia="Times New Roman" w:hAnsi="Times New Roman" w:cs="Arial"/>
          <w:sz w:val="24"/>
          <w:szCs w:val="20"/>
          <w:lang w:eastAsia="pl-PL"/>
        </w:rPr>
        <w:t xml:space="preserve"> </w:t>
      </w:r>
      <w:r w:rsidRPr="00795BA8">
        <w:rPr>
          <w:rFonts w:ascii="Times New Roman" w:eastAsia="Times New Roman" w:hAnsi="Times New Roman" w:cs="Arial"/>
          <w:sz w:val="24"/>
          <w:szCs w:val="20"/>
          <w:lang w:eastAsia="pl-PL"/>
        </w:rPr>
        <w:t>odbieranie pism drogą elektroniczną.</w:t>
      </w:r>
    </w:p>
    <w:p w:rsidR="00795BA8" w:rsidRPr="00795BA8" w:rsidRDefault="00795BA8" w:rsidP="005B5962">
      <w:pPr>
        <w:autoSpaceDE w:val="0"/>
        <w:autoSpaceDN w:val="0"/>
        <w:adjustRightInd w:val="0"/>
        <w:spacing w:before="120" w:after="0" w:line="360" w:lineRule="auto"/>
        <w:jc w:val="both"/>
        <w:rPr>
          <w:rFonts w:ascii="Times New Roman" w:eastAsia="Times New Roman" w:hAnsi="Times New Roman" w:cs="Arial"/>
          <w:sz w:val="24"/>
          <w:szCs w:val="20"/>
        </w:rPr>
      </w:pPr>
      <w:r w:rsidRPr="00795BA8">
        <w:rPr>
          <w:rFonts w:ascii="Times New Roman" w:eastAsia="Times New Roman" w:hAnsi="Times New Roman" w:cs="Arial"/>
          <w:sz w:val="24"/>
          <w:szCs w:val="20"/>
        </w:rPr>
        <w:t xml:space="preserve">Projekt </w:t>
      </w:r>
      <w:r w:rsidR="00E6111D">
        <w:rPr>
          <w:rFonts w:ascii="Times New Roman" w:eastAsia="Times New Roman" w:hAnsi="Times New Roman" w:cs="Arial"/>
          <w:sz w:val="24"/>
          <w:szCs w:val="20"/>
        </w:rPr>
        <w:t xml:space="preserve">ustawy </w:t>
      </w:r>
      <w:r w:rsidRPr="00795BA8">
        <w:rPr>
          <w:rFonts w:ascii="Times New Roman" w:eastAsia="Times New Roman" w:hAnsi="Times New Roman" w:cs="Arial"/>
          <w:sz w:val="24"/>
          <w:szCs w:val="20"/>
        </w:rPr>
        <w:t>został umieszczony w Biuletynie Informacji Publicznej na stronie podmiotowej Rządowego Centrum Legislacji, w serwisie Rządowy Proces Legislacyjny</w:t>
      </w:r>
      <w:r w:rsidR="004301E8">
        <w:rPr>
          <w:rFonts w:ascii="Times New Roman" w:eastAsia="Times New Roman" w:hAnsi="Times New Roman" w:cs="Arial"/>
          <w:sz w:val="24"/>
          <w:szCs w:val="20"/>
        </w:rPr>
        <w:t>,</w:t>
      </w:r>
      <w:r w:rsidRPr="00795BA8">
        <w:rPr>
          <w:rFonts w:ascii="Times New Roman" w:eastAsia="Times New Roman" w:hAnsi="Times New Roman" w:cs="Arial"/>
          <w:sz w:val="24"/>
          <w:szCs w:val="20"/>
        </w:rPr>
        <w:t xml:space="preserve"> oraz w BIP na</w:t>
      </w:r>
      <w:r w:rsidR="00FA05E3">
        <w:rPr>
          <w:rFonts w:ascii="Times New Roman" w:eastAsia="Times New Roman" w:hAnsi="Times New Roman" w:cs="Arial"/>
          <w:sz w:val="24"/>
          <w:szCs w:val="20"/>
        </w:rPr>
        <w:t xml:space="preserve"> </w:t>
      </w:r>
      <w:r w:rsidRPr="00795BA8">
        <w:rPr>
          <w:rFonts w:ascii="Times New Roman" w:eastAsia="Times New Roman" w:hAnsi="Times New Roman" w:cs="Arial"/>
          <w:sz w:val="24"/>
          <w:szCs w:val="20"/>
        </w:rPr>
        <w:t>stronie podmiotowej Ministra Cyfryzacji.</w:t>
      </w:r>
    </w:p>
    <w:p w:rsidR="003C1860" w:rsidRDefault="00795BA8" w:rsidP="005B5962">
      <w:pPr>
        <w:autoSpaceDE w:val="0"/>
        <w:autoSpaceDN w:val="0"/>
        <w:adjustRightInd w:val="0"/>
        <w:spacing w:before="120" w:after="0" w:line="360" w:lineRule="auto"/>
        <w:jc w:val="both"/>
      </w:pPr>
      <w:r w:rsidRPr="00795BA8">
        <w:rPr>
          <w:rFonts w:ascii="Times New Roman" w:eastAsia="Times New Roman" w:hAnsi="Times New Roman" w:cs="Arial"/>
          <w:sz w:val="24"/>
          <w:szCs w:val="20"/>
        </w:rPr>
        <w:t xml:space="preserve">Do projektu </w:t>
      </w:r>
      <w:r w:rsidR="00E6111D">
        <w:rPr>
          <w:rFonts w:ascii="Times New Roman" w:eastAsia="Times New Roman" w:hAnsi="Times New Roman" w:cs="Arial"/>
          <w:sz w:val="24"/>
          <w:szCs w:val="20"/>
        </w:rPr>
        <w:t xml:space="preserve">ustawy </w:t>
      </w:r>
      <w:r w:rsidRPr="00795BA8">
        <w:rPr>
          <w:rFonts w:ascii="Times New Roman" w:eastAsia="Times New Roman" w:hAnsi="Times New Roman" w:cs="Arial"/>
          <w:sz w:val="24"/>
          <w:szCs w:val="20"/>
        </w:rPr>
        <w:t>nie zostały przekazane zgłoszenia lobbingowe.</w:t>
      </w:r>
    </w:p>
    <w:sectPr w:rsidR="003C1860" w:rsidSect="00BD6511">
      <w:footerReference w:type="default" r:id="rId6"/>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511" w:rsidRDefault="00BD6511" w:rsidP="00BD6511">
      <w:pPr>
        <w:spacing w:after="0" w:line="240" w:lineRule="auto"/>
      </w:pPr>
      <w:r>
        <w:separator/>
      </w:r>
    </w:p>
  </w:endnote>
  <w:endnote w:type="continuationSeparator" w:id="0">
    <w:p w:rsidR="00BD6511" w:rsidRDefault="00BD6511" w:rsidP="00BD6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630094"/>
      <w:docPartObj>
        <w:docPartGallery w:val="Page Numbers (Bottom of Page)"/>
        <w:docPartUnique/>
      </w:docPartObj>
    </w:sdtPr>
    <w:sdtEndPr>
      <w:rPr>
        <w:rFonts w:ascii="Times New Roman" w:hAnsi="Times New Roman" w:cs="Times New Roman"/>
        <w:sz w:val="24"/>
        <w:szCs w:val="24"/>
      </w:rPr>
    </w:sdtEndPr>
    <w:sdtContent>
      <w:p w:rsidR="00BD6511" w:rsidRPr="00BD6511" w:rsidRDefault="00BD6511">
        <w:pPr>
          <w:pStyle w:val="Stopka"/>
          <w:jc w:val="center"/>
          <w:rPr>
            <w:rFonts w:ascii="Times New Roman" w:hAnsi="Times New Roman" w:cs="Times New Roman"/>
            <w:sz w:val="24"/>
            <w:szCs w:val="24"/>
          </w:rPr>
        </w:pPr>
        <w:r w:rsidRPr="00BD6511">
          <w:rPr>
            <w:rFonts w:ascii="Times New Roman" w:hAnsi="Times New Roman" w:cs="Times New Roman"/>
            <w:sz w:val="24"/>
            <w:szCs w:val="24"/>
          </w:rPr>
          <w:fldChar w:fldCharType="begin"/>
        </w:r>
        <w:r w:rsidRPr="00BD6511">
          <w:rPr>
            <w:rFonts w:ascii="Times New Roman" w:hAnsi="Times New Roman" w:cs="Times New Roman"/>
            <w:sz w:val="24"/>
            <w:szCs w:val="24"/>
          </w:rPr>
          <w:instrText>PAGE   \* MERGEFORMAT</w:instrText>
        </w:r>
        <w:r w:rsidRPr="00BD6511">
          <w:rPr>
            <w:rFonts w:ascii="Times New Roman" w:hAnsi="Times New Roman" w:cs="Times New Roman"/>
            <w:sz w:val="24"/>
            <w:szCs w:val="24"/>
          </w:rPr>
          <w:fldChar w:fldCharType="separate"/>
        </w:r>
        <w:r w:rsidR="00EB14E2">
          <w:rPr>
            <w:rFonts w:ascii="Times New Roman" w:hAnsi="Times New Roman" w:cs="Times New Roman"/>
            <w:noProof/>
            <w:sz w:val="24"/>
            <w:szCs w:val="24"/>
          </w:rPr>
          <w:t>2</w:t>
        </w:r>
        <w:r w:rsidRPr="00BD651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511" w:rsidRDefault="00BD6511" w:rsidP="00BD6511">
      <w:pPr>
        <w:spacing w:after="0" w:line="240" w:lineRule="auto"/>
      </w:pPr>
      <w:r>
        <w:separator/>
      </w:r>
    </w:p>
  </w:footnote>
  <w:footnote w:type="continuationSeparator" w:id="0">
    <w:p w:rsidR="00BD6511" w:rsidRDefault="00BD6511" w:rsidP="00BD65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BA8"/>
    <w:rsid w:val="001A0157"/>
    <w:rsid w:val="001A7910"/>
    <w:rsid w:val="001B1982"/>
    <w:rsid w:val="00373182"/>
    <w:rsid w:val="003C1860"/>
    <w:rsid w:val="004301E8"/>
    <w:rsid w:val="0057350A"/>
    <w:rsid w:val="00587712"/>
    <w:rsid w:val="005B1A0A"/>
    <w:rsid w:val="005B5962"/>
    <w:rsid w:val="005C6B87"/>
    <w:rsid w:val="00795258"/>
    <w:rsid w:val="00795BA8"/>
    <w:rsid w:val="009F4F6C"/>
    <w:rsid w:val="00A6318A"/>
    <w:rsid w:val="00BA537B"/>
    <w:rsid w:val="00BD6511"/>
    <w:rsid w:val="00BF704C"/>
    <w:rsid w:val="00E6111D"/>
    <w:rsid w:val="00EB1369"/>
    <w:rsid w:val="00EB14E2"/>
    <w:rsid w:val="00FA05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4DE6"/>
  <w15:docId w15:val="{65AE589B-17F4-4B74-B434-31F76B56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D651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11"/>
  </w:style>
  <w:style w:type="paragraph" w:styleId="Stopka">
    <w:name w:val="footer"/>
    <w:basedOn w:val="Normalny"/>
    <w:link w:val="StopkaZnak"/>
    <w:uiPriority w:val="99"/>
    <w:unhideWhenUsed/>
    <w:rsid w:val="00BD651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11"/>
  </w:style>
  <w:style w:type="paragraph" w:styleId="Tekstdymka">
    <w:name w:val="Balloon Text"/>
    <w:basedOn w:val="Normalny"/>
    <w:link w:val="TekstdymkaZnak"/>
    <w:uiPriority w:val="99"/>
    <w:semiHidden/>
    <w:unhideWhenUsed/>
    <w:rsid w:val="00FA05E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A05E3"/>
    <w:rPr>
      <w:rFonts w:ascii="Tahoma" w:hAnsi="Tahoma" w:cs="Tahoma"/>
      <w:sz w:val="16"/>
      <w:szCs w:val="16"/>
    </w:rPr>
  </w:style>
  <w:style w:type="paragraph" w:styleId="Poprawka">
    <w:name w:val="Revision"/>
    <w:hidden/>
    <w:uiPriority w:val="99"/>
    <w:semiHidden/>
    <w:rsid w:val="005B59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12</Pages>
  <Words>3926</Words>
  <Characters>23559</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Rybkowska Bożena</cp:lastModifiedBy>
  <cp:revision>7</cp:revision>
  <cp:lastPrinted>2019-03-05T12:58:00Z</cp:lastPrinted>
  <dcterms:created xsi:type="dcterms:W3CDTF">2019-03-04T17:25:00Z</dcterms:created>
  <dcterms:modified xsi:type="dcterms:W3CDTF">2019-03-05T12:58:00Z</dcterms:modified>
</cp:coreProperties>
</file>