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5C" w:rsidRPr="00D50597" w:rsidRDefault="003E485C" w:rsidP="00D50597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50597">
        <w:rPr>
          <w:b/>
          <w:sz w:val="24"/>
          <w:szCs w:val="24"/>
        </w:rPr>
        <w:t>Uzasadnienie</w:t>
      </w:r>
    </w:p>
    <w:p w:rsidR="00AE2F4A" w:rsidRPr="00D50597" w:rsidRDefault="00AE2F4A" w:rsidP="00D50597">
      <w:pPr>
        <w:spacing w:line="360" w:lineRule="auto"/>
        <w:rPr>
          <w:sz w:val="24"/>
          <w:szCs w:val="24"/>
        </w:rPr>
      </w:pPr>
    </w:p>
    <w:p w:rsidR="00D50597" w:rsidRPr="00D50597" w:rsidRDefault="00D50597" w:rsidP="00D50597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Poselski projekt ustawy </w:t>
      </w:r>
      <w:r w:rsidRPr="00D50597">
        <w:rPr>
          <w:sz w:val="24"/>
          <w:szCs w:val="24"/>
        </w:rPr>
        <w:t>o zmianie ustawy o rachunkowości wychodzi naprzeciw zapotrzebowaniu małych organizacji pozarządowych, które nie są rejestrowane w rejestrze przedsiębiorców KRS i ma na celu zapewnienie odpowiedniego czasu tym podmiotom na zapewnienie możliwości sporządzania sprawozdań finansowych w postaci elektronicznej oraz uniknięcia przez nie konieczności ponoszenia bardzo znacznych wydatków finansowych związanych ze sprostaniem wprowadzonym nowym wymogom prawnym.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>Jednostki niewpisane do rejestru przedsiębiorców KRS mają obowiązek sporządzania sprawozdań finansowych w postaci elektronicznej, nieustrukturyzowanej, oraz opatrywania ich kwalifikowanym podpisem elektronicznym lub podpisem zaufanym. Sporządzenie sprawozdania finansowego w postaci elektronicznej nieustrukturyzowanej oznacza, że ma być ono sporządzone w formie pliku, który można zapisać i odczytać za pomocą programu komputerowego, np. w postaci pliku tekstowego, pliku graficznego lub mieszanego, a następnie podpisane kwalifikowanym podpisem elektronicznym lub podpisem zaufanym, przez osobę, której powierzono prowadzenie ksiąg rachunkowych, i kierownika jednostki, a jeżeli jednostką kieruje organ wieloosobowy – przez wszystkich członków tego organu.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>W przypadku małych organizacji pozarządowych (dalej określanych jako NGO) wpisanych wyłącznie do rejestru stowarzyszeń (…),</w:t>
      </w:r>
      <w:r>
        <w:t xml:space="preserve"> </w:t>
      </w:r>
      <w:r w:rsidRPr="00D50597">
        <w:t>powoduje to konieczność wydania przez każdą NGO nieraz po kilka tysięcy złotych na uzyskanie dla członków zarządu kwalifikowanych podpisów elektronicznych. Przeciętna NGO ma często zarząd o kilkuosobowej liczbie członków. Ponadto w przypadku tych podmiotów problem stanowi samo sporządzenie sprawozdania finansowego w postaci elektronicznej.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>Małe NGO opierają swoją działalność na pracy społecznej swoich członków. Nie posiadają one dochodów, z których są w stanie w łatwy sposób sfinansować uzyskanie dla członków zarządów kwalifikowanych podpisów elektronicznych. Ewentualnie swoje skromne środki musiałyby przeznaczyć na ten cel ograniczając jednocześnie swoją działalność statutową.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>Nowa sytuacja prawna powoduje, że w większości organizacji pozarządowych nie zostaną w terminach ustawowych wykonane prawidłowo obowiązki w zakresie sporządzania sprawozdań finansowych i ich terminowego składania, co w sposób całkowicie społecznie nieuzasadniony narazi władze tych jednostek na ryzyko odpowiedzialności karno-skarbowej.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 xml:space="preserve">Należy wskazać, że ustawodawca w sposób co najmniej zastanawiający zrobił wśród NGO wyjątek w odniesieniu do kół gospodyń wiejskich. W art. 2 ust. 6 ustawy o rachunkowości wskazał, że </w:t>
      </w:r>
      <w:r w:rsidRPr="00D50597">
        <w:rPr>
          <w:shd w:val="clear" w:color="auto" w:fill="FFFFFF"/>
        </w:rPr>
        <w:t>koła </w:t>
      </w:r>
      <w:bookmarkStart w:id="1" w:name="highlightHit_0"/>
      <w:bookmarkEnd w:id="1"/>
      <w:r w:rsidRPr="00D50597">
        <w:rPr>
          <w:rStyle w:val="highlight-disabled"/>
          <w:shd w:val="clear" w:color="auto" w:fill="FFFFFF"/>
        </w:rPr>
        <w:t>gospodyń</w:t>
      </w:r>
      <w:r w:rsidRPr="00D50597">
        <w:rPr>
          <w:shd w:val="clear" w:color="auto" w:fill="FFFFFF"/>
        </w:rPr>
        <w:t xml:space="preserve"> wiejskich działające na podstawie ustawy z dnia 9 listopada 2018 r. </w:t>
      </w:r>
      <w:r w:rsidRPr="00D50597">
        <w:rPr>
          <w:shd w:val="clear" w:color="auto" w:fill="FFFFFF"/>
        </w:rPr>
        <w:lastRenderedPageBreak/>
        <w:t>o kołach </w:t>
      </w:r>
      <w:bookmarkStart w:id="2" w:name="highlightHit_1"/>
      <w:bookmarkEnd w:id="2"/>
      <w:r w:rsidRPr="00D50597">
        <w:rPr>
          <w:rStyle w:val="highlight-disabled"/>
          <w:shd w:val="clear" w:color="auto" w:fill="FFFFFF"/>
        </w:rPr>
        <w:t>gospodyń</w:t>
      </w:r>
      <w:r w:rsidRPr="00D50597">
        <w:rPr>
          <w:shd w:val="clear" w:color="auto" w:fill="FFFFFF"/>
        </w:rPr>
        <w:t> wiejskich (Dz.U. </w:t>
      </w:r>
      <w:hyperlink r:id="rId7" w:history="1">
        <w:r w:rsidRPr="00D50597">
          <w:rPr>
            <w:rStyle w:val="Hipercze"/>
            <w:color w:val="auto"/>
            <w:shd w:val="clear" w:color="auto" w:fill="FFFFFF"/>
          </w:rPr>
          <w:t>poz. 2212</w:t>
        </w:r>
      </w:hyperlink>
      <w:r w:rsidRPr="00D50597">
        <w:rPr>
          <w:shd w:val="clear" w:color="auto" w:fill="FFFFFF"/>
        </w:rPr>
        <w:t>) mogą prowadzić uproszczoną ewidencję przychodów i kosztów na zasadach i warunkach określonych w tej ustawie. Z kolei w art. 24 ust. 1 ustawy o kołach gospodyń wiejskich wprowadził możliwość prowadzenia uproszczonej ewidencji przychodów i kosztów, przy czym warunki tam wymienione spełnia potencjalnie wiele tysięcy innych NGO, pozbawionych możliwości korzystania z dobrodziejstwa prowadzenia uproszczonych zasad rachunkowości.</w:t>
      </w:r>
    </w:p>
    <w:p w:rsidR="00D50597" w:rsidRPr="00D50597" w:rsidRDefault="00D50597" w:rsidP="00D50597">
      <w:pPr>
        <w:pStyle w:val="NormalnyWeb"/>
        <w:widowControl w:val="0"/>
        <w:shd w:val="clear" w:color="auto" w:fill="FFFFFF"/>
        <w:spacing w:before="0" w:beforeAutospacing="0" w:after="0" w:afterAutospacing="0" w:line="360" w:lineRule="auto"/>
        <w:jc w:val="both"/>
      </w:pPr>
      <w:r w:rsidRPr="00D50597">
        <w:tab/>
        <w:t xml:space="preserve">W zaistniałej sytuacji wydaje się zasadnym, by umożliwić tysiącom małych organizacji pozarządowych, niewpisanym do rejestru przedsiębiorców, możliwość składania sprawozdań finansowych w wersji papierowej. Jeżeli w przyszłości władze państwowe staną na stanowisku, że konieczne jest sporządzanie sprawozdań finansowych tylko elektronicznie, to wskazanym jest umożliwienia podpisania takich wersji tylko jednym podpisem (np. pełnomocnika), w sposób analogiczny do rozwiązania prawnego przewidzianego w </w:t>
      </w:r>
      <w:r w:rsidRPr="00D50597">
        <w:rPr>
          <w:shd w:val="clear" w:color="auto" w:fill="FFFFFF"/>
        </w:rPr>
        <w:t>art. 3b § 1 pkt 2 Ordynacji podatkowej.</w:t>
      </w:r>
    </w:p>
    <w:p w:rsidR="00D50597" w:rsidRDefault="00D50597" w:rsidP="00D50597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Projekt ustawy powoduje pozytywne skutki </w:t>
      </w:r>
      <w:r w:rsidRPr="00D50597">
        <w:rPr>
          <w:sz w:val="24"/>
          <w:szCs w:val="24"/>
        </w:rPr>
        <w:t>społeczne, gospodarcze</w:t>
      </w:r>
      <w:r>
        <w:rPr>
          <w:sz w:val="24"/>
          <w:szCs w:val="24"/>
        </w:rPr>
        <w:t xml:space="preserve"> </w:t>
      </w:r>
      <w:r w:rsidRPr="00D50597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50597">
        <w:rPr>
          <w:sz w:val="24"/>
          <w:szCs w:val="24"/>
        </w:rPr>
        <w:t>prawne</w:t>
      </w:r>
      <w:r>
        <w:rPr>
          <w:sz w:val="24"/>
          <w:szCs w:val="24"/>
        </w:rPr>
        <w:t>.</w:t>
      </w:r>
    </w:p>
    <w:p w:rsidR="00D50597" w:rsidRDefault="00D50597" w:rsidP="00D50597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Projekt ustawy nie powoduje skutków finansowych po stronie budżetu państwa ani budżetów jednostek samorządu terytorialnego.</w:t>
      </w:r>
    </w:p>
    <w:p w:rsidR="00D50597" w:rsidRDefault="00D50597" w:rsidP="00D50597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Projekt ustawy </w:t>
      </w:r>
      <w:r w:rsidRPr="00D50597">
        <w:rPr>
          <w:sz w:val="24"/>
          <w:szCs w:val="24"/>
        </w:rPr>
        <w:t xml:space="preserve">nie jest objęty </w:t>
      </w:r>
      <w:r>
        <w:rPr>
          <w:sz w:val="24"/>
          <w:szCs w:val="24"/>
        </w:rPr>
        <w:t xml:space="preserve">prawem Unii Europejskiej. </w:t>
      </w:r>
    </w:p>
    <w:p w:rsidR="00D50597" w:rsidRDefault="00D50597" w:rsidP="00D50597">
      <w:pPr>
        <w:widowControl w:val="0"/>
        <w:spacing w:line="360" w:lineRule="auto"/>
        <w:jc w:val="both"/>
        <w:rPr>
          <w:sz w:val="24"/>
          <w:szCs w:val="24"/>
        </w:rPr>
      </w:pPr>
    </w:p>
    <w:p w:rsidR="00AE2F4A" w:rsidRPr="00D50597" w:rsidRDefault="00AE2F4A" w:rsidP="00D50597">
      <w:pPr>
        <w:spacing w:line="360" w:lineRule="auto"/>
        <w:rPr>
          <w:sz w:val="24"/>
          <w:szCs w:val="24"/>
        </w:rPr>
      </w:pPr>
    </w:p>
    <w:p w:rsidR="00AE2F4A" w:rsidRPr="00D50597" w:rsidRDefault="00AE2F4A" w:rsidP="00D50597">
      <w:pPr>
        <w:spacing w:line="360" w:lineRule="auto"/>
        <w:rPr>
          <w:sz w:val="24"/>
          <w:szCs w:val="24"/>
        </w:rPr>
      </w:pPr>
    </w:p>
    <w:p w:rsidR="00AE2F4A" w:rsidRPr="00D50597" w:rsidRDefault="00AE2F4A" w:rsidP="00D50597">
      <w:pPr>
        <w:spacing w:line="360" w:lineRule="auto"/>
        <w:rPr>
          <w:sz w:val="24"/>
          <w:szCs w:val="24"/>
        </w:rPr>
      </w:pPr>
    </w:p>
    <w:p w:rsidR="00AE2F4A" w:rsidRPr="00D50597" w:rsidRDefault="00AE2F4A" w:rsidP="00D50597">
      <w:pPr>
        <w:spacing w:line="360" w:lineRule="auto"/>
        <w:rPr>
          <w:sz w:val="24"/>
          <w:szCs w:val="24"/>
        </w:rPr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p w:rsidR="00AE2F4A" w:rsidRDefault="00AE2F4A" w:rsidP="00AE2F4A">
      <w:pPr>
        <w:spacing w:line="360" w:lineRule="auto"/>
      </w:pPr>
    </w:p>
    <w:sectPr w:rsidR="00AE2F4A" w:rsidSect="00FD5885">
      <w:pgSz w:w="11906" w:h="16838"/>
      <w:pgMar w:top="1417" w:right="128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C0" w:rsidRDefault="005012C0" w:rsidP="002D5805">
      <w:r>
        <w:separator/>
      </w:r>
    </w:p>
  </w:endnote>
  <w:endnote w:type="continuationSeparator" w:id="0">
    <w:p w:rsidR="005012C0" w:rsidRDefault="005012C0" w:rsidP="002D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C0" w:rsidRDefault="005012C0" w:rsidP="002D5805">
      <w:r>
        <w:separator/>
      </w:r>
    </w:p>
  </w:footnote>
  <w:footnote w:type="continuationSeparator" w:id="0">
    <w:p w:rsidR="005012C0" w:rsidRDefault="005012C0" w:rsidP="002D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C50"/>
    <w:multiLevelType w:val="hybridMultilevel"/>
    <w:tmpl w:val="65B066D4"/>
    <w:lvl w:ilvl="0" w:tplc="4B60F360">
      <w:start w:val="1"/>
      <w:numFmt w:val="decimal"/>
      <w:lvlText w:val="%1)"/>
      <w:lvlJc w:val="left"/>
      <w:pPr>
        <w:ind w:left="1068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B"/>
    <w:rsid w:val="00023930"/>
    <w:rsid w:val="00051CAA"/>
    <w:rsid w:val="000C1409"/>
    <w:rsid w:val="000C776B"/>
    <w:rsid w:val="00106C93"/>
    <w:rsid w:val="0014268E"/>
    <w:rsid w:val="00152DAF"/>
    <w:rsid w:val="001B2777"/>
    <w:rsid w:val="002269F4"/>
    <w:rsid w:val="00280416"/>
    <w:rsid w:val="00282A96"/>
    <w:rsid w:val="002D5805"/>
    <w:rsid w:val="00325E69"/>
    <w:rsid w:val="003E485C"/>
    <w:rsid w:val="00435D60"/>
    <w:rsid w:val="0044397F"/>
    <w:rsid w:val="005012C0"/>
    <w:rsid w:val="005439BA"/>
    <w:rsid w:val="00545394"/>
    <w:rsid w:val="00593734"/>
    <w:rsid w:val="005B0F78"/>
    <w:rsid w:val="00705C52"/>
    <w:rsid w:val="00990415"/>
    <w:rsid w:val="009F24D7"/>
    <w:rsid w:val="00A4744A"/>
    <w:rsid w:val="00A524C6"/>
    <w:rsid w:val="00AD6A71"/>
    <w:rsid w:val="00AE2F4A"/>
    <w:rsid w:val="00B922F8"/>
    <w:rsid w:val="00CA69C7"/>
    <w:rsid w:val="00CD7527"/>
    <w:rsid w:val="00CF70FA"/>
    <w:rsid w:val="00D31A75"/>
    <w:rsid w:val="00D50597"/>
    <w:rsid w:val="00D7347B"/>
    <w:rsid w:val="00E03920"/>
    <w:rsid w:val="00E21A94"/>
    <w:rsid w:val="00E70DEB"/>
    <w:rsid w:val="00E8133F"/>
    <w:rsid w:val="00FB00BA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B199F2-F302-45A3-AD16-24A9A48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47B"/>
  </w:style>
  <w:style w:type="paragraph" w:styleId="Nagwek2">
    <w:name w:val="heading 2"/>
    <w:basedOn w:val="Normalny"/>
    <w:link w:val="Nagwek2Znak"/>
    <w:uiPriority w:val="9"/>
    <w:qFormat/>
    <w:rsid w:val="00AE2F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0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A71"/>
    <w:pPr>
      <w:ind w:left="720"/>
      <w:contextualSpacing/>
    </w:pPr>
  </w:style>
  <w:style w:type="paragraph" w:styleId="Nagwek">
    <w:name w:val="header"/>
    <w:basedOn w:val="Normalny"/>
    <w:link w:val="NagwekZnak"/>
    <w:rsid w:val="002D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805"/>
  </w:style>
  <w:style w:type="paragraph" w:styleId="Stopka">
    <w:name w:val="footer"/>
    <w:basedOn w:val="Normalny"/>
    <w:link w:val="StopkaZnak"/>
    <w:rsid w:val="002D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805"/>
  </w:style>
  <w:style w:type="character" w:customStyle="1" w:styleId="Nagwek2Znak">
    <w:name w:val="Nagłówek 2 Znak"/>
    <w:basedOn w:val="Domylnaczcionkaakapitu"/>
    <w:link w:val="Nagwek2"/>
    <w:uiPriority w:val="9"/>
    <w:rsid w:val="00AE2F4A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AE2F4A"/>
    <w:rPr>
      <w:i/>
      <w:iCs/>
    </w:rPr>
  </w:style>
  <w:style w:type="character" w:styleId="Pogrubienie">
    <w:name w:val="Strong"/>
    <w:basedOn w:val="Domylnaczcionkaakapitu"/>
    <w:uiPriority w:val="22"/>
    <w:qFormat/>
    <w:rsid w:val="00AE2F4A"/>
    <w:rPr>
      <w:b/>
      <w:bCs/>
    </w:rPr>
  </w:style>
  <w:style w:type="paragraph" w:customStyle="1" w:styleId="Default">
    <w:name w:val="Default"/>
    <w:rsid w:val="003E48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50597"/>
    <w:pPr>
      <w:widowControl w:val="0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50597"/>
    <w:rPr>
      <w:sz w:val="28"/>
    </w:rPr>
  </w:style>
  <w:style w:type="character" w:styleId="Hipercze">
    <w:name w:val="Hyperlink"/>
    <w:rsid w:val="00D50597"/>
    <w:rPr>
      <w:color w:val="0000FF"/>
      <w:u w:val="single"/>
    </w:rPr>
  </w:style>
  <w:style w:type="paragraph" w:styleId="NormalnyWeb">
    <w:name w:val="Normal (Web)"/>
    <w:basedOn w:val="Normalny"/>
    <w:rsid w:val="00D5059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disabled">
    <w:name w:val="highlight-disabled"/>
    <w:rsid w:val="00D5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wgiy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 stycznia  2012 r</vt:lpstr>
    </vt:vector>
  </TitlesOfParts>
  <Company>KS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 stycznia  2012 r</dc:title>
  <dc:subject/>
  <dc:creator>kl0058</dc:creator>
  <cp:keywords/>
  <cp:lastModifiedBy>Grzegorz Molesztak</cp:lastModifiedBy>
  <cp:revision>3</cp:revision>
  <cp:lastPrinted>2019-02-25T14:15:00Z</cp:lastPrinted>
  <dcterms:created xsi:type="dcterms:W3CDTF">2019-02-25T14:16:00Z</dcterms:created>
  <dcterms:modified xsi:type="dcterms:W3CDTF">2019-03-06T14:27:00Z</dcterms:modified>
</cp:coreProperties>
</file>