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EE1" w:rsidRDefault="00990EE1" w:rsidP="00990EE1">
      <w:pPr>
        <w:pStyle w:val="ROZDZODDZPRZEDMprzedmiotregulacjirozdziauluboddziau"/>
      </w:pPr>
      <w:bookmarkStart w:id="0" w:name="_GoBack"/>
      <w:bookmarkEnd w:id="0"/>
      <w:r>
        <w:t>Uzasadnienie</w:t>
      </w:r>
    </w:p>
    <w:p w:rsidR="00990EE1" w:rsidRDefault="00990EE1" w:rsidP="00990EE1">
      <w:pPr>
        <w:pStyle w:val="ARTartustawynprozporzdzenia"/>
      </w:pPr>
      <w:r>
        <w:t>Celem ustawy z dnia 9 listopada 2018 r. o kołach gospodyń wiejskich było wzmocnienie środowisk wiejskich, poprzez wyposażenie kół gospodyń wiejskich w osobowość prawną i umożliwienie tym podmiotom w pełni samodzielnego działania we wszystkich stosunkach prawnych. Dla zagwarantowania kołom rzeczywistej samodzielności ustawodawca stworzył możliwość ubiegania się o pomoc finansową na realizację zadań, istotnych z punktu widzenia społeczności wiejskich, a określonych w art. 2 ust. 3 przedmiotowej ustawy.</w:t>
      </w:r>
    </w:p>
    <w:p w:rsidR="00990EE1" w:rsidRDefault="00990EE1" w:rsidP="00990EE1">
      <w:pPr>
        <w:pStyle w:val="ARTartustawynprozporzdzenia"/>
      </w:pPr>
      <w:r>
        <w:t>Warto zauważyć, że pierwsza transza udzielonej pomocy spowodowała istotną aktywizację środowisk wiejskich w rozwoju przedsiębiorczości na terenach wiejskich, czego dowodem jest, że aż 59% wszystkich zarejestrowanych kół w 2018 r. w Krajowym Rejestrze Kół Gospodyń Wiejskich stanowią koła nowopowstałe lub reaktywowane, czyli takie które już nie prowadziły działalności.</w:t>
      </w:r>
    </w:p>
    <w:p w:rsidR="00990EE1" w:rsidRDefault="00990EE1" w:rsidP="00990EE1">
      <w:pPr>
        <w:pStyle w:val="ARTartustawynprozporzdzenia"/>
      </w:pPr>
      <w:r>
        <w:t xml:space="preserve">O skali zainteresowania tą formą działalności (na podstawie nowych przepisów) świadczy fakt, iż w aż 96% powiatów w Polsce działa choćby jedno koło gospodyń wiejskich zarejestrowane na podstawie </w:t>
      </w:r>
      <w:r w:rsidRPr="009722CC">
        <w:t>ustawy z dnia 9 listopada 2018 r. o kołach gospodyń wiejskich</w:t>
      </w:r>
      <w:r>
        <w:t>.</w:t>
      </w:r>
    </w:p>
    <w:p w:rsidR="00990EE1" w:rsidRDefault="00990EE1" w:rsidP="00990EE1">
      <w:pPr>
        <w:pStyle w:val="ARTartustawynprozporzdzenia"/>
      </w:pPr>
      <w:r>
        <w:t>Aktualnie, po kilku miesiącach funkcjonowania ww. ustawy, odpowiadając na postulaty zgłaszane przede wszystkim przez same koła gospodyń wiejskich i środowiska z nimi związane, celowe jest doprecyzowanie zakresu regulacji przedmiotowej ustawy. Jest to ważne w szczególności po to, żeby umożliwić faktyczną i efektywną partycypację w kołach gospodyń wiejskich wszystkim osobom, które działały w kołach funkcjonujących na podstawie przepisów ustawy o społeczno-zawodowych organizacjach rolników, niezależnie od obecnego statusu administracyjnego obszaru działalności koła, a także wszystkim osobom chcącym działać w danym kole, niezależnie od ich miejsca stałego zamieszkania (choćby po to, by członkami kół w miejscu swojego pochodzenia mogły być także osoby na co dzień zamieszkujące w mieście).</w:t>
      </w:r>
    </w:p>
    <w:p w:rsidR="00990EE1" w:rsidRDefault="00990EE1" w:rsidP="00990EE1">
      <w:pPr>
        <w:pStyle w:val="ARTartustawynprozporzdzenia"/>
      </w:pPr>
      <w:r>
        <w:t>Zgodnie z obowiązującymi przepisami ustawy o kołach gospodyń wiejskich, koła mogą być zakładane i mogą działać wyłącznie na terenie wsi, a członkami kół gospodyń wiejskich mogą być wyłącznie osoby, których miejscem zamieszkania jest wieś będąca terenem działalności koła (jak stanowi art. 4 ust. 3 przedmiotowej ustawy).</w:t>
      </w:r>
    </w:p>
    <w:p w:rsidR="00990EE1" w:rsidRDefault="00990EE1" w:rsidP="00990EE1">
      <w:pPr>
        <w:pStyle w:val="ARTartustawynprozporzdzenia"/>
      </w:pPr>
      <w:r>
        <w:t xml:space="preserve">Doświadczenia związane z realizacją powyższej ustawy, jak i liczne głosy pochodzące od kół gospodyń wiejskich, wskazują, że konieczne jest dostosowanie wymogów ustawy </w:t>
      </w:r>
      <w:r>
        <w:br/>
        <w:t xml:space="preserve">w zakresie tego gdzie mogą być tworzone koła i kto jest uprawniony do członkostwa w nich, </w:t>
      </w:r>
      <w:r>
        <w:lastRenderedPageBreak/>
        <w:t>do rzeczywistej skali funkcjonowania kół gospodyń wiejskich w Polsce. W praktyce bowiem koła funkcjonują (zarówno w ramach kółek rolniczych jak i w innych reżimach prawnych, w szczególności na podstawie ustawy - Prawo o stowarzyszeniach) także na terenach dawnych wsi, obecnie znajdujących się w granicach administracyjnych miast (w szczególności na terenie miasta Dąbrowa Górnicza działa 12 kół gospodyń wiejskich, co jest skutkiem dynamicznego rozwoju terytorialnego tego miasta i przyłączania do niego sąsiednich gmin).</w:t>
      </w:r>
    </w:p>
    <w:p w:rsidR="00990EE1" w:rsidRDefault="00990EE1" w:rsidP="00990EE1">
      <w:pPr>
        <w:pStyle w:val="ARTartustawynprozporzdzenia"/>
      </w:pPr>
      <w:r>
        <w:t xml:space="preserve">Celem ustawodawcy jest zatem umożliwienie wszystkim dotychczas działającym kołom, nawet gdy miejscowość, w której zostały pierwotnie utworzone została włączona w granice miasta, dokonanie rejestracji w Krajowym Rejestrze Kół Gospodyń Wiejskich i czerpanie korzyści z rozwiązań przewidzianych w ustawie o kołach gospodyń wiejskich. Analogicznie konieczne jest zapewnienie możliwości dalszego funkcjonowania kołom utworzonym już na podstawie nowych przepisów, jeżeli miejscowość, w której zarejestrowano koło uzyskała status miasta (od 1 stycznia 2019 r. jest to w szczególności przykład Pacanowa). </w:t>
      </w:r>
    </w:p>
    <w:p w:rsidR="00990EE1" w:rsidRDefault="00990EE1" w:rsidP="00990EE1">
      <w:pPr>
        <w:pStyle w:val="ARTartustawynprozporzdzenia"/>
      </w:pPr>
      <w:r>
        <w:t>Ze względu na fakt, że istnieje silne społeczne zapotrzebowanie na organizowanie społeczeństwa obywatelskiego przez koła gospodyń wiejskich także na terenach formalnie znajdujących się w granicach administracyjnych miast, ale o zbliżonym charakterze zabudowy i stosunków społecznych do terenów wiejskich (są to często dawne tereny wiejskie włączone w obręb miast - w tym przypadku takie, na których nie działały dotychczas koła gospodyń wiejskich) celem ustawodawcy jest umożliwienie tworzenia i funkcjonowania kół także na wybranych terenach miejskich - w miastach do 5 000 mieszkańców, a miastach większych na obszarach istniejących w nich sołectw.</w:t>
      </w:r>
    </w:p>
    <w:p w:rsidR="00990EE1" w:rsidRDefault="00990EE1" w:rsidP="00990EE1">
      <w:pPr>
        <w:pStyle w:val="ARTartustawynprozporzdzenia"/>
      </w:pPr>
      <w:r>
        <w:t xml:space="preserve">Mając również na uwadze, że koła gospodyń wiejskich stanowią instrument samoorganizacji społeczności wiejskiej zapewniający łączność pokoleniową konieczne jest zapewnienie możliwości członkostwa w kołach osobom pochodzącym z danej miejscowości, w której działa koło, bez konieczności wykazania faktu dalszego stałego zamieszkiwania w tej miejscowości. Doświadczenia pokazują bowiem, że osoby silnie zaangażowane </w:t>
      </w:r>
      <w:r>
        <w:br/>
        <w:t xml:space="preserve">w działalność kół często "zamieszkują", to jest przebywają z zamiarem stałego pobytu, </w:t>
      </w:r>
      <w:r>
        <w:br/>
        <w:t>w miastach, do których wyemigrowały w celach zarobkowych. Odczuwają one jednak silne związki emocjonalne ze społecznością, z której pochodzą i stąd nie powinny być eliminowane z możliwości partycypacji w kołach gospodyń wiejskich. Na potrzeby realizacji tego postulatu celowe jest w ocenie projektodawcy zniesienie wymogu stałego zamieszkiwania wyrażonego w obecnym art. 4 ust. 3 ustawy, a utrzymanie go jedynie dla członków komitetu założycielskiego koła.</w:t>
      </w:r>
    </w:p>
    <w:p w:rsidR="00990EE1" w:rsidRDefault="00990EE1" w:rsidP="00990EE1">
      <w:pPr>
        <w:pStyle w:val="ARTartustawynprozporzdzenia"/>
      </w:pPr>
      <w:r>
        <w:lastRenderedPageBreak/>
        <w:t>Ponadto w projekcie zawarto kilka zmian porządkujących, a także doprecyzowano rolę Pełnomocnika Rządu do spraw Małych i Średnich Przedsiębiorstw, między innymi w zakresie prowadzenia skoordynowanych działań na rzecz promowania i wspierania kół gospodyń wiejskich w obszarze rozwoju przedsiębiorczości na terenach wiejskich, co powinno przyczynić się do trwałego zakorzenienia kół wśród instytucji społeczeństwa obywatelskiego.</w:t>
      </w:r>
    </w:p>
    <w:p w:rsidR="00990EE1" w:rsidRDefault="00990EE1" w:rsidP="00990EE1">
      <w:pPr>
        <w:pStyle w:val="ARTartustawynprozporzdzenia"/>
      </w:pPr>
      <w:r>
        <w:tab/>
        <w:t>Projekt zawiera również przepisy finansowe konieczne dla kontynuowania w 2019 r. realizacji instrumentu pomocowego dla kół gospodyń wiejskich, o którym mowa w art. 35 ust. 1 ustawy.</w:t>
      </w:r>
    </w:p>
    <w:p w:rsidR="00990EE1" w:rsidRDefault="00990EE1" w:rsidP="00990EE1">
      <w:pPr>
        <w:pStyle w:val="NIEARTTEKSTtekstnieartykuowanynppodstprawnarozplubpreambua"/>
      </w:pPr>
      <w:r w:rsidRPr="004F1903">
        <w:t>W związku z wejściem</w:t>
      </w:r>
      <w:r>
        <w:t xml:space="preserve"> w życie</w:t>
      </w:r>
      <w:r w:rsidRPr="004F1903">
        <w:t xml:space="preserve"> ustawy o kołach gospodyń wiejskich z dniem 28 listopada 2018 r. w okresie pierwszego miesiąca obowiązywania ustawy wnioski o pomoc finansową złożyło ok. 5 tys. kół gospodyń wiejskich i z tego tytułu w ramach budżetu państwa na 2018 r. łącznie z wydatkami niewygasającymi została uruchomiona kwota 16</w:t>
      </w:r>
      <w:r>
        <w:t xml:space="preserve">,5 mln zł. </w:t>
      </w:r>
    </w:p>
    <w:p w:rsidR="00990EE1" w:rsidRDefault="00990EE1" w:rsidP="00990EE1">
      <w:pPr>
        <w:pStyle w:val="NIEARTTEKSTtekstnieartykuowanynppodstprawnarozplubpreambua"/>
      </w:pPr>
      <w:r>
        <w:t>Na 2019 r. proponuje</w:t>
      </w:r>
      <w:r w:rsidRPr="004F1903">
        <w:t xml:space="preserve"> </w:t>
      </w:r>
      <w:r>
        <w:t>się limit wydatków w wysokości 40 mln zł,</w:t>
      </w:r>
      <w:r w:rsidRPr="004F1903">
        <w:t xml:space="preserve"> z tego  nie więc</w:t>
      </w:r>
      <w:r>
        <w:t>ej niż 4 %, to jest 1,6 mln zł zostanie przeznaczone</w:t>
      </w:r>
      <w:r w:rsidRPr="004F1903">
        <w:t xml:space="preserve"> na realizację zadań Pełnomocnika Rządu ds. Małych i Średnich Przedsiębiorstw, o których mowa w art. 25 ust</w:t>
      </w:r>
      <w:r>
        <w:t>. 3a ustawy, natomiast kwota</w:t>
      </w:r>
      <w:r w:rsidRPr="004F1903">
        <w:t xml:space="preserve"> </w:t>
      </w:r>
      <w:r w:rsidRPr="00AF5058">
        <w:t>38,4 mln z</w:t>
      </w:r>
      <w:r>
        <w:t>ł</w:t>
      </w:r>
      <w:r w:rsidRPr="00AF5058">
        <w:t xml:space="preserve"> pozwali na przyznanie pomocy finansowej dla ok. 11,6 tys. kół</w:t>
      </w:r>
      <w:r>
        <w:t>.</w:t>
      </w:r>
    </w:p>
    <w:p w:rsidR="00990EE1" w:rsidRPr="00887082" w:rsidRDefault="00990EE1" w:rsidP="00990EE1">
      <w:pPr>
        <w:pStyle w:val="NIEARTTEKSTtekstnieartykuowanynppodstprawnarozplubpreambua"/>
      </w:pPr>
      <w:r w:rsidRPr="00AF5058">
        <w:t xml:space="preserve"> </w:t>
      </w:r>
      <w:r>
        <w:t xml:space="preserve">Projektodawca przyjmuje założenie, że źródłem finansowania ustawy będą środki budżetu państwa pochodzące </w:t>
      </w:r>
      <w:r w:rsidRPr="00887082">
        <w:t>z rezerwy ogólnej i zmiany przeznaczenia rezerw celowych</w:t>
      </w:r>
      <w:r>
        <w:t>.</w:t>
      </w:r>
      <w:r w:rsidRPr="00887082">
        <w:t xml:space="preserve"> </w:t>
      </w:r>
    </w:p>
    <w:p w:rsidR="00990EE1" w:rsidRDefault="00990EE1" w:rsidP="00990EE1">
      <w:pPr>
        <w:pStyle w:val="ARTartustawynprozporzdzenia"/>
      </w:pPr>
      <w:r>
        <w:t>Przewidziano, że p</w:t>
      </w:r>
      <w:r w:rsidRPr="00887082">
        <w:t>omoc będzie przyznawana do wyczerpania środków</w:t>
      </w:r>
      <w:r>
        <w:t xml:space="preserve"> finansowych, zalimitowanych w projektowanym art. 36a ustawy</w:t>
      </w:r>
      <w:r w:rsidRPr="00887082">
        <w:t xml:space="preserve">. </w:t>
      </w:r>
      <w:r>
        <w:t>Przyjęty mechanizm korygujący zakłada, że o</w:t>
      </w:r>
      <w:r w:rsidRPr="00887082">
        <w:t xml:space="preserve"> terminie zaprzestania przyjmowania wniosków poinformuje Prezes A</w:t>
      </w:r>
      <w:r>
        <w:t xml:space="preserve">gencji </w:t>
      </w:r>
      <w:r w:rsidRPr="00887082">
        <w:t>R</w:t>
      </w:r>
      <w:r>
        <w:t xml:space="preserve">estrukturyzacji i Modernizacji Rolnictwa (ARiMR)  </w:t>
      </w:r>
      <w:r w:rsidRPr="00887082">
        <w:t>na swojej stronie internetowej. Ponadt</w:t>
      </w:r>
      <w:r>
        <w:t>o na stronie internetowej ARIMR</w:t>
      </w:r>
      <w:r w:rsidRPr="00887082">
        <w:t xml:space="preserve"> będzie zamieszczana narastająco, w o</w:t>
      </w:r>
      <w:r>
        <w:t>kresach miesięcznych, informacja</w:t>
      </w:r>
      <w:r w:rsidRPr="00887082">
        <w:t xml:space="preserve"> o kwocie na jaką zostały założon</w:t>
      </w:r>
      <w:r>
        <w:t>e wnioski  o przyznanie  pomocy. Jednocześnie m</w:t>
      </w:r>
      <w:r w:rsidRPr="00887082">
        <w:t xml:space="preserve">inister właściwy do spraw  rozwoju regionalnego będzie monitorował poziom wykorzystania środków w oparciu o okresowe informacje Prezesa ARMiR w terminach wynikających z rozporządzenia ministra, wydanego na podstawie art. 35 ust.12.  </w:t>
      </w:r>
    </w:p>
    <w:p w:rsidR="00990EE1" w:rsidRPr="00BF1DB2" w:rsidRDefault="00990EE1" w:rsidP="00990EE1">
      <w:pPr>
        <w:pStyle w:val="NIEARTTEKSTtekstnieartykuowanynppodstprawnarozplubpreambua"/>
      </w:pPr>
      <w:r w:rsidRPr="00BF1DB2">
        <w:t>Projekt ustawy nie jest sprzeczny z prawem Unii Europejskiej.</w:t>
      </w:r>
    </w:p>
    <w:p w:rsidR="00990EE1" w:rsidRPr="00BF1DB2" w:rsidRDefault="00990EE1" w:rsidP="00990EE1">
      <w:pPr>
        <w:pStyle w:val="NIEARTTEKSTtekstnieartykuowanynppodstprawnarozplubpreambua"/>
      </w:pPr>
      <w:r w:rsidRPr="00BF1DB2">
        <w:t>Projekt zawiera rozwiązania, które przyczynią się do rozwoju przedsiębiorczości na terenach wiejskich</w:t>
      </w:r>
      <w:r>
        <w:t xml:space="preserve"> co</w:t>
      </w:r>
      <w:r w:rsidRPr="00BF1DB2">
        <w:t xml:space="preserve"> będzie miało pozytywne skutki gospodarcze i społeczne. </w:t>
      </w:r>
    </w:p>
    <w:p w:rsidR="007A2A58" w:rsidRDefault="00990EE1" w:rsidP="00990EE1">
      <w:pPr>
        <w:pStyle w:val="NIEARTTEKSTtekstnieartykuowanynppodstprawnarozplubpreambua"/>
      </w:pPr>
      <w:r w:rsidRPr="00BF1DB2">
        <w:t xml:space="preserve">Projekt ma </w:t>
      </w:r>
      <w:r>
        <w:t>pozytywny wpływ</w:t>
      </w:r>
      <w:r w:rsidRPr="00BF1DB2">
        <w:t xml:space="preserve"> na działalność mikroprzedsiębiorców oraz małych </w:t>
      </w:r>
      <w:r>
        <w:br/>
      </w:r>
      <w:r w:rsidRPr="00BF1DB2">
        <w:t xml:space="preserve">i średnich przedsiębiorców </w:t>
      </w:r>
      <w:r>
        <w:t>ponieważ</w:t>
      </w:r>
      <w:r w:rsidRPr="00BF1DB2">
        <w:t xml:space="preserve"> zawiera rozwiązania, które wspierają rozwój </w:t>
      </w:r>
      <w:r w:rsidRPr="00BF1DB2">
        <w:lastRenderedPageBreak/>
        <w:t>przedsiębiorczości na terenach wiejskich w szczególności wśród kół gospodyń wiejskich</w:t>
      </w:r>
      <w:r>
        <w:t>, które prowadza taką działalność.</w:t>
      </w:r>
    </w:p>
    <w:sectPr w:rsidR="007A2A58" w:rsidSect="00990EE1">
      <w:headerReference w:type="default" r:id="rId6"/>
      <w:footnotePr>
        <w:numRestart w:val="eachSect"/>
      </w:footnotePr>
      <w:pgSz w:w="11906" w:h="16838"/>
      <w:pgMar w:top="1134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E8D" w:rsidRDefault="00D96E8D">
      <w:pPr>
        <w:spacing w:line="240" w:lineRule="auto"/>
      </w:pPr>
      <w:r>
        <w:separator/>
      </w:r>
    </w:p>
  </w:endnote>
  <w:endnote w:type="continuationSeparator" w:id="0">
    <w:p w:rsidR="00D96E8D" w:rsidRDefault="00D96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E8D" w:rsidRDefault="00D96E8D">
      <w:pPr>
        <w:spacing w:line="240" w:lineRule="auto"/>
      </w:pPr>
      <w:r>
        <w:separator/>
      </w:r>
    </w:p>
  </w:footnote>
  <w:footnote w:type="continuationSeparator" w:id="0">
    <w:p w:rsidR="00D96E8D" w:rsidRDefault="00D96E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990EE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F7E7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FB1"/>
    <w:rsid w:val="00481E20"/>
    <w:rsid w:val="007A2A58"/>
    <w:rsid w:val="00986DEC"/>
    <w:rsid w:val="00990EE1"/>
    <w:rsid w:val="00BF7E74"/>
    <w:rsid w:val="00C35E12"/>
    <w:rsid w:val="00D96E8D"/>
    <w:rsid w:val="00D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7B470C-3466-4E87-8301-253FA8E3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0EE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90EE1"/>
    <w:pPr>
      <w:widowControl/>
      <w:autoSpaceDE/>
      <w:autoSpaceDN/>
      <w:adjustRightInd/>
      <w:ind w:left="1497" w:hanging="476"/>
      <w:jc w:val="both"/>
    </w:pPr>
    <w:rPr>
      <w:rFonts w:ascii="Times" w:hAnsi="Times"/>
      <w:bCs/>
    </w:rPr>
  </w:style>
  <w:style w:type="paragraph" w:styleId="Nagwek">
    <w:name w:val="header"/>
    <w:basedOn w:val="Normalny"/>
    <w:link w:val="NagwekZnak"/>
    <w:uiPriority w:val="99"/>
    <w:semiHidden/>
    <w:rsid w:val="00990EE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90EE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0EE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0EE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0EE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0EE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0EE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0EE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990EE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0EE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0EE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990EE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0EE1"/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0EE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dcterms:created xsi:type="dcterms:W3CDTF">2019-03-07T09:43:00Z</dcterms:created>
  <dcterms:modified xsi:type="dcterms:W3CDTF">2019-03-08T10:48:00Z</dcterms:modified>
</cp:coreProperties>
</file>