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193" w:rsidRPr="00614F5F" w:rsidRDefault="005B0193" w:rsidP="00614F5F">
      <w:pPr>
        <w:spacing w:line="360" w:lineRule="auto"/>
        <w:ind w:firstLine="708"/>
        <w:jc w:val="center"/>
        <w:rPr>
          <w:rFonts w:ascii="Times New Roman" w:hAnsi="Times New Roman" w:cs="Times New Roman"/>
        </w:rPr>
      </w:pPr>
      <w:r w:rsidRPr="00614F5F">
        <w:rPr>
          <w:rFonts w:ascii="Times New Roman" w:hAnsi="Times New Roman" w:cs="Times New Roman"/>
          <w:b/>
        </w:rPr>
        <w:t>UZASADNIENIE</w:t>
      </w:r>
    </w:p>
    <w:p w:rsidR="005B0193" w:rsidRPr="00614F5F" w:rsidRDefault="005B0193" w:rsidP="00614F5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4F5F">
        <w:rPr>
          <w:rFonts w:ascii="Times New Roman" w:hAnsi="Times New Roman" w:cs="Times New Roman"/>
          <w:sz w:val="24"/>
          <w:szCs w:val="24"/>
        </w:rPr>
        <w:t xml:space="preserve">Zgodnie z art. 3 decyzji Rady europejskiej  (UE ) 2018/937 z dnia 28 czerwca 2018 r. ustanawiającej skład Parlamentu Europejskiego  w Rzeczypospolitej Polskiej zostanie wybranych 52 posłów do Parlamentu Europejskiego, jednak w przypadku gdyby Zjednoczone Królestwo nadal było państwem członkowskim Unii na początku kadencji parlamentarnej 2019-2024, liczba obejmujących swoje funkcje posłów do Parlamentu Europejskiego wybranych w Rzeczypospolitej Polskiej będzie wynosiła 51.  </w:t>
      </w:r>
    </w:p>
    <w:p w:rsidR="005B0193" w:rsidRPr="00614F5F" w:rsidRDefault="005B0193" w:rsidP="00614F5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4F5F">
        <w:rPr>
          <w:rFonts w:ascii="Times New Roman" w:hAnsi="Times New Roman" w:cs="Times New Roman"/>
          <w:sz w:val="24"/>
          <w:szCs w:val="24"/>
        </w:rPr>
        <w:t xml:space="preserve">Przepisy ustawy z dnia 5 stycznia 2011 r. — Kodeks wyborczy (Dz. U. z 2018 r. poz. 754, 1000 i 1349 oraz z 2019 r. poz. 273) nie dają podstaw do ustalenia i wskazania, który z 52 wybranych w Rzeczypospolitej Polskiej posłów do Parlamentu Europejskiego miałby w takiej sytuacji nie objąć mandatu na początku kadencji. Brak takiego wskazania mógłby uniemożliwić objęcie mandatów przez wszystkich wybranych posłów, konieczne jest zatem uregulowanie tej kwestii w drodze ustawowej. </w:t>
      </w:r>
    </w:p>
    <w:p w:rsidR="00024A98" w:rsidRPr="00614F5F" w:rsidRDefault="005B0193" w:rsidP="00614F5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4F5F">
        <w:rPr>
          <w:rFonts w:ascii="Times New Roman" w:hAnsi="Times New Roman" w:cs="Times New Roman"/>
          <w:i/>
          <w:sz w:val="24"/>
          <w:szCs w:val="24"/>
        </w:rPr>
        <w:t>Poselski projekt ustawy o  zasadach ustalenia kolejności obsadzania mandatów posłów do Parlamentu Europejskiego wybieranych w Rzeczypospolitej Polskiej na kadencję 2019-2024</w:t>
      </w:r>
      <w:r w:rsidR="00446B29" w:rsidRPr="00614F5F">
        <w:rPr>
          <w:rFonts w:ascii="Times New Roman" w:hAnsi="Times New Roman" w:cs="Times New Roman"/>
          <w:sz w:val="24"/>
          <w:szCs w:val="24"/>
        </w:rPr>
        <w:t xml:space="preserve"> wprowadza stosowne rozwiązania w powyższym temacie. W projekcie skorzystano z analogii do art. 386 § 6 Kodeksy wyborczego, określającego sposób obsadzenia wakującego mandatu w przypadku, gdy nie może go objąć żaden z kandydatów z tej samej listy; w takiej sytuacji mandat obejmuje kandydat z innej listy kandydatów tego samego komitetu wyborczego, który w wyborach otrzymał największą liczbę głosów, o ile nie uzyskał mandatu. </w:t>
      </w:r>
      <w:r w:rsidR="00614F5F" w:rsidRPr="00614F5F">
        <w:rPr>
          <w:rFonts w:ascii="Times New Roman" w:hAnsi="Times New Roman" w:cs="Times New Roman"/>
          <w:sz w:val="24"/>
          <w:szCs w:val="24"/>
        </w:rPr>
        <w:t xml:space="preserve">Przepisem tym ustawodawca ustanowił swego rodzaju kolejność obejmowania mandatów przez kandydatów, niezależną od tego, z której listy okręgowej kandydowali i niezależną od metody podziału mandatów przypadających danemu komitetowi pomiędzy jego okręgowe listy okręgowe. </w:t>
      </w:r>
    </w:p>
    <w:p w:rsidR="00614F5F" w:rsidRDefault="00E8700D" w:rsidP="00614F5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zasadzie analogii w</w:t>
      </w:r>
      <w:r w:rsidR="00614F5F" w:rsidRPr="00614F5F">
        <w:rPr>
          <w:rFonts w:ascii="Times New Roman" w:hAnsi="Times New Roman" w:cs="Times New Roman"/>
          <w:sz w:val="24"/>
          <w:szCs w:val="24"/>
        </w:rPr>
        <w:t xml:space="preserve"> projekcie wprowadzono rozwiązanie polegające na tym, że spośród kandydatów komitetu, któremu przypadł mandat odpowiadający 52. </w:t>
      </w:r>
      <w:r w:rsidR="00614F5F">
        <w:rPr>
          <w:rFonts w:ascii="Times New Roman" w:hAnsi="Times New Roman" w:cs="Times New Roman"/>
          <w:sz w:val="24"/>
          <w:szCs w:val="24"/>
        </w:rPr>
        <w:t>i</w:t>
      </w:r>
      <w:r w:rsidR="00614F5F" w:rsidRPr="00614F5F">
        <w:rPr>
          <w:rFonts w:ascii="Times New Roman" w:hAnsi="Times New Roman" w:cs="Times New Roman"/>
          <w:sz w:val="24"/>
          <w:szCs w:val="24"/>
        </w:rPr>
        <w:t xml:space="preserve">lorazowi wyborczemu, kandydatem, którego ustawodawca uznaje za najsłabiej legitymowanego do objęcia mandatu jest ten, który uzyskał najmniejszą liczbę głosów. </w:t>
      </w:r>
    </w:p>
    <w:p w:rsidR="00614F5F" w:rsidRDefault="00614F5F" w:rsidP="00614F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Projekt wywołuje pozytywne skutki społeczne i prawne.</w:t>
      </w:r>
    </w:p>
    <w:p w:rsidR="00614F5F" w:rsidRDefault="00614F5F" w:rsidP="00614F5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614F5F">
        <w:rPr>
          <w:rFonts w:ascii="Times New Roman" w:hAnsi="Times New Roman" w:cs="Times New Roman"/>
          <w:sz w:val="24"/>
          <w:szCs w:val="24"/>
        </w:rPr>
        <w:t xml:space="preserve">rojekt ustawy </w:t>
      </w:r>
      <w:r>
        <w:rPr>
          <w:rFonts w:ascii="Times New Roman" w:hAnsi="Times New Roman" w:cs="Times New Roman"/>
          <w:sz w:val="24"/>
          <w:szCs w:val="24"/>
        </w:rPr>
        <w:t xml:space="preserve">nie </w:t>
      </w:r>
      <w:r w:rsidRPr="00614F5F">
        <w:rPr>
          <w:rFonts w:ascii="Times New Roman" w:hAnsi="Times New Roman" w:cs="Times New Roman"/>
          <w:sz w:val="24"/>
          <w:szCs w:val="24"/>
        </w:rPr>
        <w:t>pociąga za sobą obciążeni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14F5F">
        <w:rPr>
          <w:rFonts w:ascii="Times New Roman" w:hAnsi="Times New Roman" w:cs="Times New Roman"/>
          <w:sz w:val="24"/>
          <w:szCs w:val="24"/>
        </w:rPr>
        <w:t xml:space="preserve"> budżetu państwa lub budżetów jednostek samorządu terytorialnego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6B29" w:rsidRPr="005B0193" w:rsidRDefault="00614F5F" w:rsidP="00AC773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614F5F">
        <w:rPr>
          <w:rFonts w:ascii="Times New Roman" w:hAnsi="Times New Roman" w:cs="Times New Roman"/>
          <w:sz w:val="24"/>
          <w:szCs w:val="24"/>
        </w:rPr>
        <w:t>rzedmiot projektowanej regulacji nie jest objęty prawem Unii Europejskiej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446B29" w:rsidRPr="005B0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DA1"/>
    <w:rsid w:val="00024A98"/>
    <w:rsid w:val="00446B29"/>
    <w:rsid w:val="005B0193"/>
    <w:rsid w:val="00614F5F"/>
    <w:rsid w:val="00AC773A"/>
    <w:rsid w:val="00B37DA1"/>
    <w:rsid w:val="00E8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11508F-071B-495A-99C1-67F834ED0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Celińska</dc:creator>
  <cp:keywords/>
  <dc:description/>
  <cp:lastModifiedBy>Emilia Celińska</cp:lastModifiedBy>
  <cp:revision>4</cp:revision>
  <dcterms:created xsi:type="dcterms:W3CDTF">2019-03-07T12:09:00Z</dcterms:created>
  <dcterms:modified xsi:type="dcterms:W3CDTF">2019-03-07T13:24:00Z</dcterms:modified>
</cp:coreProperties>
</file>