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7C" w:rsidRPr="005C5E7C" w:rsidRDefault="005C5E7C" w:rsidP="005C5E7C">
      <w:pPr>
        <w:pStyle w:val="TEKSTwTABELIWYRODKOWANYtekstwyrodkowanywpoziomie"/>
        <w:spacing w:before="120"/>
        <w:rPr>
          <w:rFonts w:ascii="Times New Roman" w:hAnsi="Times New Roman" w:cs="Times New Roman"/>
        </w:rPr>
      </w:pPr>
      <w:r w:rsidRPr="005C5E7C">
        <w:rPr>
          <w:rFonts w:ascii="Times New Roman" w:hAnsi="Times New Roman" w:cs="Times New Roman"/>
        </w:rPr>
        <w:t>UZASADNIENIE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5C5E7C">
        <w:rPr>
          <w:rFonts w:ascii="Times New Roman" w:hAnsi="Times New Roman" w:cs="Times New Roman"/>
        </w:rPr>
        <w:t>Projektowana zmiana ustawy o jakości handlowej artykułów rolno-spożywczych ma na celu dostosowanie przepisów prawa kr</w:t>
      </w:r>
      <w:bookmarkStart w:id="0" w:name="_GoBack"/>
      <w:bookmarkEnd w:id="0"/>
      <w:r w:rsidRPr="005C5E7C">
        <w:rPr>
          <w:rFonts w:ascii="Times New Roman" w:hAnsi="Times New Roman" w:cs="Times New Roman"/>
        </w:rPr>
        <w:t>ajowego do nowego prawodawstwa Unii Europejskiej, które jest stosowane od dnia 11</w:t>
      </w:r>
      <w:r>
        <w:rPr>
          <w:rFonts w:ascii="Times New Roman" w:hAnsi="Times New Roman" w:cs="Times New Roman"/>
        </w:rPr>
        <w:t xml:space="preserve"> </w:t>
      </w:r>
      <w:r w:rsidRPr="005C5E7C">
        <w:rPr>
          <w:rFonts w:ascii="Times New Roman" w:hAnsi="Times New Roman" w:cs="Times New Roman"/>
        </w:rPr>
        <w:t xml:space="preserve">lipca 2018 r., tj.: 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</w:r>
      <w:r w:rsidRPr="005C5E7C">
        <w:rPr>
          <w:rFonts w:ascii="Times New Roman" w:hAnsi="Times New Roman" w:cs="Times New Roman"/>
        </w:rPr>
        <w:t>rozporządzenia delegowanego Komisji (UE) 2017/1182 z dnia 20 kwietnia 2017 r. uzupełniającego rozporządzenie Parlamen</w:t>
      </w:r>
      <w:r>
        <w:rPr>
          <w:rFonts w:ascii="Times New Roman" w:hAnsi="Times New Roman" w:cs="Times New Roman"/>
        </w:rPr>
        <w:t>tu Europejskiego i Rady (UE) nr </w:t>
      </w:r>
      <w:r w:rsidRPr="005C5E7C">
        <w:rPr>
          <w:rFonts w:ascii="Times New Roman" w:hAnsi="Times New Roman" w:cs="Times New Roman"/>
        </w:rPr>
        <w:t>1308/2013 w</w:t>
      </w:r>
      <w:r>
        <w:rPr>
          <w:rFonts w:ascii="Times New Roman" w:hAnsi="Times New Roman" w:cs="Times New Roman"/>
        </w:rPr>
        <w:t xml:space="preserve"> </w:t>
      </w:r>
      <w:r w:rsidRPr="005C5E7C">
        <w:rPr>
          <w:rFonts w:ascii="Times New Roman" w:hAnsi="Times New Roman" w:cs="Times New Roman"/>
        </w:rPr>
        <w:t>odniesieniu do unijnych skal klasyfikacji tusz wołowych, wieprzowych i baranich oraz raportowania cen rynkowych niektórych kategorii tusz i żywych zwierząt (Dz. Urz. UE L 171 z 04.07.2017, str. 74), zwanego dalej „rozporządzeniem 2017/1182”;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 w:rsidRPr="005C5E7C">
        <w:rPr>
          <w:rFonts w:ascii="Times New Roman" w:hAnsi="Times New Roman" w:cs="Times New Roman"/>
        </w:rPr>
        <w:t>rozporządzenia wykonawczego Komisji (UE) 2017/1184 z dnia 20 kwietnia 2017</w:t>
      </w:r>
      <w:r>
        <w:rPr>
          <w:rFonts w:ascii="Times New Roman" w:hAnsi="Times New Roman" w:cs="Times New Roman"/>
        </w:rPr>
        <w:t xml:space="preserve"> </w:t>
      </w:r>
      <w:r w:rsidRPr="005C5E7C">
        <w:rPr>
          <w:rFonts w:ascii="Times New Roman" w:hAnsi="Times New Roman" w:cs="Times New Roman"/>
        </w:rPr>
        <w:t>r. ustanawiającego zasady stosowania rozporządzenia Parlamentu Europejskiego i</w:t>
      </w:r>
      <w:r>
        <w:rPr>
          <w:rFonts w:ascii="Times New Roman" w:hAnsi="Times New Roman" w:cs="Times New Roman"/>
        </w:rPr>
        <w:t> </w:t>
      </w:r>
      <w:r w:rsidRPr="005C5E7C">
        <w:rPr>
          <w:rFonts w:ascii="Times New Roman" w:hAnsi="Times New Roman" w:cs="Times New Roman"/>
        </w:rPr>
        <w:t>Rady (UE) nr 1308/2013 w odniesieniu do unijnych skal klasyfikacji tusz wołowych, wieprzowych i baranich oraz raportowania cen rynkowych niektórych kategorii tusz i</w:t>
      </w:r>
      <w:r>
        <w:rPr>
          <w:rFonts w:ascii="Times New Roman" w:hAnsi="Times New Roman" w:cs="Times New Roman"/>
        </w:rPr>
        <w:t xml:space="preserve"> </w:t>
      </w:r>
      <w:r w:rsidRPr="005C5E7C">
        <w:rPr>
          <w:rFonts w:ascii="Times New Roman" w:hAnsi="Times New Roman" w:cs="Times New Roman"/>
        </w:rPr>
        <w:t>żywych zwierząt (Dz. Urz. UE L 171 z 04.07.2017, str. 103), zwanego dalej „rozporządzeniem 2017/1184”.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Rozporządzenia te zostały przyjęte na podstawie rozporządzenia Parlamentu Europejskiego i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Rady (UE) nr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1308/2013 z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dnia 17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grudnia 2013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r. ustanawiającego wspólną organizację rynków produktów rolnych oraz uchylającego rozporządzenia Rady (EWG) nr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922/72, (EWG) nr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234/79, (WE) nr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1037/2001 i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(WE) nr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1234/2007 (Dz. Urz. UE L 347 z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 xml:space="preserve">20.12.2013, str. 671, z późn. zm.). 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Zmiany zawarte w projekcie ustawy przewidują: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1)</w:t>
      </w:r>
      <w:r>
        <w:rPr>
          <w:rFonts w:ascii="Times New Roman" w:hAnsi="Times New Roman" w:cs="Times New Roman"/>
          <w:lang w:eastAsia="en-US"/>
        </w:rPr>
        <w:tab/>
      </w:r>
      <w:r w:rsidRPr="005C5E7C">
        <w:rPr>
          <w:rFonts w:ascii="Times New Roman" w:hAnsi="Times New Roman" w:cs="Times New Roman"/>
          <w:lang w:eastAsia="en-US"/>
        </w:rPr>
        <w:t>dodanie ust. 3ba w art. 15a – celem doprecyzowania przepisów umożliwiających dobrowolne prowadzenie klasyfikacji tusz w sytuacji gdy</w:t>
      </w:r>
      <w:r w:rsidR="00981169">
        <w:rPr>
          <w:rFonts w:ascii="Times New Roman" w:hAnsi="Times New Roman" w:cs="Times New Roman"/>
          <w:lang w:eastAsia="en-US"/>
        </w:rPr>
        <w:t>,</w:t>
      </w:r>
      <w:r w:rsidRPr="005C5E7C">
        <w:rPr>
          <w:rFonts w:ascii="Times New Roman" w:hAnsi="Times New Roman" w:cs="Times New Roman"/>
          <w:lang w:eastAsia="en-US"/>
        </w:rPr>
        <w:t xml:space="preserve"> mimo możliwości zwolnieni</w:t>
      </w:r>
      <w:r w:rsidRPr="005C5E7C">
        <w:rPr>
          <w:rFonts w:ascii="Times New Roman" w:hAnsi="Times New Roman" w:cs="Times New Roman"/>
        </w:rPr>
        <w:t>a</w:t>
      </w:r>
      <w:r w:rsidRPr="005C5E7C">
        <w:rPr>
          <w:rFonts w:ascii="Times New Roman" w:hAnsi="Times New Roman" w:cs="Times New Roman"/>
          <w:lang w:eastAsia="en-US"/>
        </w:rPr>
        <w:t xml:space="preserve"> z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takiego obowiązku, podmiot zdecyduje się prowadzić klasyfikację;</w:t>
      </w:r>
      <w:r>
        <w:rPr>
          <w:rFonts w:ascii="Times New Roman" w:hAnsi="Times New Roman" w:cs="Times New Roman"/>
          <w:lang w:eastAsia="en-US"/>
        </w:rPr>
        <w:t xml:space="preserve"> 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2)</w:t>
      </w:r>
      <w:r>
        <w:rPr>
          <w:rFonts w:ascii="Times New Roman" w:hAnsi="Times New Roman" w:cs="Times New Roman"/>
          <w:lang w:eastAsia="en-US"/>
        </w:rPr>
        <w:tab/>
      </w:r>
      <w:r w:rsidRPr="005C5E7C">
        <w:rPr>
          <w:rFonts w:ascii="Times New Roman" w:hAnsi="Times New Roman" w:cs="Times New Roman"/>
          <w:lang w:eastAsia="en-US"/>
        </w:rPr>
        <w:t>uchylenie lit. b w ust. 2 oraz w ust. 3 w art. 15a, tj. przepisów umożliwiających nieprowadzenie klasyfikacji przez podmiot prowadzący rzeźnię, w której ubija się: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 xml:space="preserve">wyłącznie świnie urodzone i tuczone w tuczarniach tych rzeźni oraz dokonuje się rozbioru wszystkich uzyskanych tusz, 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niewielkie ilości bydła na podstawie umowy z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 xml:space="preserve">właścicielem. 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lastRenderedPageBreak/>
        <w:t xml:space="preserve">Takie możliwości derogacji obowiązku klasyfikacji nie są przewidziane w nowych przepisach Unii Europejskiej. </w:t>
      </w:r>
    </w:p>
    <w:p w:rsidR="005C5E7C" w:rsidRPr="005C5E7C" w:rsidRDefault="005C5E7C" w:rsidP="005C5E7C">
      <w:pPr>
        <w:widowControl/>
        <w:autoSpaceDE/>
        <w:autoSpaceDN/>
        <w:adjustRightInd/>
        <w:spacing w:before="120"/>
        <w:jc w:val="both"/>
        <w:rPr>
          <w:rFonts w:eastAsia="Times New Roman" w:cs="Times New Roman"/>
          <w:szCs w:val="24"/>
        </w:rPr>
      </w:pPr>
      <w:r w:rsidRPr="005C5E7C">
        <w:rPr>
          <w:rFonts w:eastAsia="Times New Roman" w:cs="Times New Roman"/>
          <w:szCs w:val="24"/>
        </w:rPr>
        <w:t>Derogacja obowiązku klasyfikacji tusz wieprzowych wskazana w obowiązującym przepisie art. 15a ust. 3 pkt 2 lit. b ustawy z dnia 21 grudnia 2000 r. o jakości handlowej artykułów rolno-spożywczych (Dz. U. z 2018 r. poz. 2164 i 2354)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>wdraża postanowienia art. 20 ust. 2 lit. b rozporządzenia Komisji (WE) nr 1249/2008 z</w:t>
      </w:r>
      <w:r>
        <w:rPr>
          <w:rFonts w:eastAsia="Times New Roman" w:cs="Times New Roman"/>
          <w:szCs w:val="24"/>
        </w:rPr>
        <w:t xml:space="preserve"> dnia 10 </w:t>
      </w:r>
      <w:r w:rsidRPr="005C5E7C">
        <w:rPr>
          <w:rFonts w:eastAsia="Times New Roman" w:cs="Times New Roman"/>
          <w:szCs w:val="24"/>
        </w:rPr>
        <w:t xml:space="preserve">grudnia 2008 r. </w:t>
      </w:r>
      <w:hyperlink r:id="rId7" w:tooltip="32008R1249" w:history="1">
        <w:r w:rsidRPr="005C5E7C">
          <w:rPr>
            <w:rFonts w:eastAsia="Times New Roman" w:cs="Times New Roman"/>
            <w:color w:val="000000"/>
            <w:szCs w:val="24"/>
          </w:rPr>
          <w:t>ustanawiającego szczegółowe zasady wdrożenia wspólnotowych skal klasyfikacji tusz wołowych, wieprzowych i baranich oraz raportowania ich cen</w:t>
        </w:r>
      </w:hyperlink>
      <w:r w:rsidRPr="005C5E7C">
        <w:rPr>
          <w:rFonts w:eastAsia="Times New Roman" w:cs="Times New Roman"/>
          <w:color w:val="000000"/>
          <w:szCs w:val="24"/>
        </w:rPr>
        <w:t xml:space="preserve"> (Dz. Urz. UE L 337 z</w:t>
      </w:r>
      <w:r>
        <w:rPr>
          <w:rFonts w:eastAsia="Times New Roman" w:cs="Times New Roman"/>
          <w:color w:val="000000"/>
          <w:szCs w:val="24"/>
        </w:rPr>
        <w:t xml:space="preserve"> </w:t>
      </w:r>
      <w:r w:rsidRPr="005C5E7C">
        <w:rPr>
          <w:rFonts w:eastAsia="Times New Roman" w:cs="Times New Roman"/>
          <w:color w:val="000000"/>
          <w:szCs w:val="24"/>
        </w:rPr>
        <w:t>16.12.2008, str. 7, z późn. zm.). Zg</w:t>
      </w:r>
      <w:r w:rsidRPr="005C5E7C">
        <w:rPr>
          <w:rFonts w:eastAsia="Times New Roman" w:cs="Times New Roman"/>
          <w:szCs w:val="24"/>
        </w:rPr>
        <w:t>odnie z tym przepisem w</w:t>
      </w:r>
      <w:r>
        <w:rPr>
          <w:rFonts w:eastAsia="Times New Roman" w:cs="Times New Roman"/>
          <w:szCs w:val="24"/>
        </w:rPr>
        <w:t> </w:t>
      </w:r>
      <w:r w:rsidRPr="005C5E7C">
        <w:rPr>
          <w:rFonts w:eastAsia="Times New Roman" w:cs="Times New Roman"/>
          <w:szCs w:val="24"/>
        </w:rPr>
        <w:t>drodze odstępstwa państwa członkowskie mogą zdecydować o tym, że stosowanie wspólnotowej skali klasyfikacji tusz wieprzowych nie jest obowiązkowe w przypadku rzeźni (…), w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>których dokonuje się tylko uboju świń urodzonych i tuczonych we własnych tuczarniach i które same zajmują się rozbiorem wszystkich uzyskanych tusz. Należy zauważyć, że co prawda w art. 2 ust. 2 lit. a rozporządzenia (UE) 2017/1182, które uchyliło i zastąpiło ww. rozporządzenie KE (WE) nr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 xml:space="preserve">1249/2008, przewidziana została również derogacja obowiązku klasyfikacji tusz wieprzowych, jednak jej treść różni się od treści dotychczas obowiązującej derogacji określonej w cytowanym art. 20 Komisji (WE) nr 1249/2008 (art. 2 ust. 2 lit. a rozporządzenia (UE) 2017/1182: </w:t>
      </w:r>
      <w:r w:rsidRPr="005C5E7C">
        <w:rPr>
          <w:rFonts w:eastAsia="Times New Roman" w:cs="Times New Roman"/>
          <w:i/>
          <w:szCs w:val="24"/>
        </w:rPr>
        <w:t>Państwa członkowskie mogą zdecydować, że wymogi doty</w:t>
      </w:r>
      <w:r>
        <w:rPr>
          <w:rFonts w:eastAsia="Times New Roman" w:cs="Times New Roman"/>
          <w:i/>
          <w:szCs w:val="24"/>
        </w:rPr>
        <w:t>czące klasyfikacji tusz bydła i </w:t>
      </w:r>
      <w:r w:rsidRPr="005C5E7C">
        <w:rPr>
          <w:rFonts w:eastAsia="Times New Roman" w:cs="Times New Roman"/>
          <w:i/>
          <w:szCs w:val="24"/>
        </w:rPr>
        <w:t>świń nie są obowiązkowe dla (…) tusz bydła i świń będących w posiadaniu rzeźni, jeżeli nie przeprowadza się żadnych transakcji handlowych dotyczących zakupu tych zwierząt</w:t>
      </w:r>
      <w:r w:rsidRPr="005C5E7C">
        <w:rPr>
          <w:rFonts w:eastAsia="Times New Roman" w:cs="Times New Roman"/>
          <w:szCs w:val="24"/>
        </w:rPr>
        <w:t>). Fakt ten ma istotne znaczenie dla sformułowania przepisów w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>projektowanej zmianie ustawy o jakości handlowej artykułów rolno-spożywczych, w</w:t>
      </w:r>
      <w:r>
        <w:rPr>
          <w:rFonts w:eastAsia="Times New Roman" w:cs="Times New Roman"/>
          <w:szCs w:val="24"/>
        </w:rPr>
        <w:t xml:space="preserve"> szczególności w </w:t>
      </w:r>
      <w:r w:rsidRPr="005C5E7C">
        <w:rPr>
          <w:rFonts w:eastAsia="Times New Roman" w:cs="Times New Roman"/>
          <w:szCs w:val="24"/>
        </w:rPr>
        <w:t>kontekście stosowanych w Polsce systemów produkcji świń oraz celów, jakie stawia się klasyfikacji tusz, tj.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>poza celem ustalania porównywalnych w</w:t>
      </w:r>
      <w:r>
        <w:rPr>
          <w:rFonts w:eastAsia="Times New Roman" w:cs="Times New Roman"/>
          <w:szCs w:val="24"/>
        </w:rPr>
        <w:t xml:space="preserve"> </w:t>
      </w:r>
      <w:r w:rsidRPr="005C5E7C">
        <w:rPr>
          <w:rFonts w:eastAsia="Times New Roman" w:cs="Times New Roman"/>
          <w:szCs w:val="24"/>
        </w:rPr>
        <w:t>skali UE cen rynkowych tusz na potrzeby ich raportowania do KE, również cel zapewnienia obiektywnej oceny wartości handlowej tusz na potrzeby godziwej zapłaty za dostarczone do rzeźni zwierzęta.</w:t>
      </w:r>
    </w:p>
    <w:p w:rsidR="005C5E7C" w:rsidRPr="005C5E7C" w:rsidRDefault="005C5E7C" w:rsidP="005C5E7C">
      <w:pPr>
        <w:pStyle w:val="ARTartustawynprozporzdzenia"/>
        <w:ind w:firstLine="0"/>
        <w:rPr>
          <w:rFonts w:ascii="Times New Roman" w:hAnsi="Times New Roman" w:cs="Times New Roman"/>
          <w:szCs w:val="24"/>
          <w:lang w:eastAsia="en-US"/>
        </w:rPr>
      </w:pPr>
      <w:r w:rsidRPr="005C5E7C">
        <w:rPr>
          <w:rFonts w:ascii="Times New Roman" w:eastAsia="Times New Roman" w:hAnsi="Times New Roman" w:cs="Times New Roman"/>
          <w:szCs w:val="24"/>
        </w:rPr>
        <w:t xml:space="preserve">Kwestia dotycząca wdrożenia zmienionych przepisów w zakresie klasyfikacji tusz zwierząt rzeźnych była przedmiotem konsultacji z Radą ds. Klasyfikacji Tusz Zwierząt Rzeźnych, która jest organem doradczym Ministra Rolnictwa i Rozwoju Wsi, powołanym zarządzeniem nr 76 Ministra Rolnictwa i Rozwoju Wsi z dnia 17 listopada </w:t>
      </w:r>
      <w:r w:rsidRPr="005C5E7C">
        <w:rPr>
          <w:rFonts w:ascii="Times New Roman" w:eastAsia="Times New Roman" w:hAnsi="Times New Roman" w:cs="Times New Roman"/>
          <w:szCs w:val="24"/>
        </w:rPr>
        <w:lastRenderedPageBreak/>
        <w:t>2017 r.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uchwale nr 2/2018 Rady w sprawie stanowiska Rady w zakresie zagadnień dotyczących wdrożenia nowych przepisów unijnych 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zakresie klasyfikacji tusz zwierząt rzeźnych Rada wskazuje, że zwolnienie z obow</w:t>
      </w:r>
      <w:r>
        <w:rPr>
          <w:rFonts w:ascii="Times New Roman" w:eastAsia="Times New Roman" w:hAnsi="Times New Roman" w:cs="Times New Roman"/>
          <w:szCs w:val="24"/>
        </w:rPr>
        <w:t>iązku klasyfikacji tusz bydła i </w:t>
      </w:r>
      <w:r w:rsidRPr="005C5E7C">
        <w:rPr>
          <w:rFonts w:ascii="Times New Roman" w:eastAsia="Times New Roman" w:hAnsi="Times New Roman" w:cs="Times New Roman"/>
          <w:szCs w:val="24"/>
        </w:rPr>
        <w:t>świń będących w posiadaniu rzeźni, jeżeli nie przeprowadza się żadnych transakcji handlowych dotyczących zakupu tych zwierząt,</w:t>
      </w:r>
      <w:r>
        <w:rPr>
          <w:rFonts w:ascii="Times New Roman" w:eastAsia="Times New Roman" w:hAnsi="Times New Roman" w:cs="Times New Roman"/>
          <w:szCs w:val="24"/>
        </w:rPr>
        <w:t xml:space="preserve"> nie powinno być stosowane. W </w:t>
      </w:r>
      <w:r w:rsidRPr="005C5E7C">
        <w:rPr>
          <w:rFonts w:ascii="Times New Roman" w:eastAsia="Times New Roman" w:hAnsi="Times New Roman" w:cs="Times New Roman"/>
          <w:szCs w:val="24"/>
        </w:rPr>
        <w:t>dyskusji dotyczącej omawianej derogacji podkreślano możliwość nadużyć w ramach tuczu nakładczego.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Jest to system produkcji świń, 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ramach którego zwierzęta należące do danego podmiotu (rzeźni) nie są tuczone 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tuczarniach tego podmiotu, ale w</w:t>
      </w:r>
      <w:r>
        <w:rPr>
          <w:rFonts w:ascii="Times New Roman" w:eastAsia="Times New Roman" w:hAnsi="Times New Roman" w:cs="Times New Roman"/>
          <w:szCs w:val="24"/>
        </w:rPr>
        <w:t> </w:t>
      </w:r>
      <w:r w:rsidRPr="005C5E7C">
        <w:rPr>
          <w:rFonts w:ascii="Times New Roman" w:eastAsia="Times New Roman" w:hAnsi="Times New Roman" w:cs="Times New Roman"/>
          <w:szCs w:val="24"/>
        </w:rPr>
        <w:t>gospodarstwach rolników indywidualnych na podstawie umów zawieranych między stronami. Zwierzęta dostarczane do gospodarstw w ramach takiej umowy,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 xml:space="preserve">po zakończeniu okresu tuczu w gospodarstwie rolnika, </w:t>
      </w:r>
      <w:r w:rsidR="00981169" w:rsidRPr="005C5E7C">
        <w:rPr>
          <w:rFonts w:ascii="Times New Roman" w:eastAsia="Times New Roman" w:hAnsi="Times New Roman" w:cs="Times New Roman"/>
          <w:szCs w:val="24"/>
        </w:rPr>
        <w:t xml:space="preserve">są </w:t>
      </w:r>
      <w:r w:rsidRPr="005C5E7C">
        <w:rPr>
          <w:rFonts w:ascii="Times New Roman" w:eastAsia="Times New Roman" w:hAnsi="Times New Roman" w:cs="Times New Roman"/>
          <w:szCs w:val="24"/>
        </w:rPr>
        <w:t>odbierane przez podmiot, który je do gospodarstwa dostarczył. Nadużycia, które mogłyby pojawić się w kontekście klasyfikacji tusz, polegające na zastąpieniu 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ramach tego systemu produkcji świń transakcji sprzedaży/zakupu świń inną formą współpracy między stronami, mogłoby umożliwić, przy skorzystaniu przez Polskę z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derogacji określonej w art. 2 ust. 2 lit. a rozporządzenia (UE) 2017/1182, nieklasyfikowanie znacznej liczby tusz. W opinii Rady natomiast klasyfikacja powinna być obowiązkowa w odniesieniu do możliwie całego łańcucha dostaw w celu ochrony producentów w łańcuchu dostaw oraz skutecznej pracy hodowlanej w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5C5E7C">
        <w:rPr>
          <w:rFonts w:ascii="Times New Roman" w:eastAsia="Times New Roman" w:hAnsi="Times New Roman" w:cs="Times New Roman"/>
          <w:szCs w:val="24"/>
        </w:rPr>
        <w:t>produkcji;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szCs w:val="24"/>
          <w:lang w:eastAsia="en-US"/>
        </w:rPr>
      </w:pPr>
      <w:r w:rsidRPr="005C5E7C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  <w:lang w:eastAsia="en-US"/>
        </w:rPr>
        <w:t>)</w:t>
      </w:r>
      <w:r>
        <w:rPr>
          <w:rFonts w:ascii="Times New Roman" w:hAnsi="Times New Roman" w:cs="Times New Roman"/>
          <w:szCs w:val="24"/>
          <w:lang w:eastAsia="en-US"/>
        </w:rPr>
        <w:tab/>
      </w:r>
      <w:r w:rsidRPr="005C5E7C">
        <w:rPr>
          <w:rFonts w:ascii="Times New Roman" w:hAnsi="Times New Roman" w:cs="Times New Roman"/>
          <w:szCs w:val="24"/>
          <w:lang w:eastAsia="en-US"/>
        </w:rPr>
        <w:t>w art. 40 w ust. 4c: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szCs w:val="24"/>
          <w:lang w:eastAsia="en-US"/>
        </w:rPr>
        <w:t xml:space="preserve">w pkt </w:t>
      </w:r>
      <w:r w:rsidRPr="005C5E7C">
        <w:rPr>
          <w:rFonts w:ascii="Times New Roman" w:hAnsi="Times New Roman" w:cs="Times New Roman"/>
          <w:lang w:eastAsia="en-US"/>
        </w:rPr>
        <w:t xml:space="preserve">1 </w:t>
      </w:r>
      <w:r w:rsidR="00981169">
        <w:rPr>
          <w:rFonts w:ascii="Times New Roman" w:hAnsi="Times New Roman" w:cs="Times New Roman"/>
          <w:lang w:eastAsia="en-US"/>
        </w:rPr>
        <w:t xml:space="preserve">w </w:t>
      </w:r>
      <w:r w:rsidRPr="005C5E7C">
        <w:rPr>
          <w:rFonts w:ascii="Times New Roman" w:hAnsi="Times New Roman" w:cs="Times New Roman"/>
          <w:lang w:eastAsia="en-US"/>
        </w:rPr>
        <w:t>lit. b dodanie kary za niezgodne z wymaganiami art. 12 rozporządzenia 2017/1182 stosowanie metod automatycznej klasyfikacji tusz wieprzowych,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dodanie pkt 6 przewidującego kary dla podmiotu prowadzącego rzeźnię świń za nieprzekazywanie dostawcom zwierząt wyników klasyfikacji tusz wieprzowych zgodnie z art. 1 rozporządzenia 2017/1184,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 xml:space="preserve">dodanie pkt 7 przewidującego kary dla podmiotu prowadzącego rzeźnię świń za nieprowadzenie dziennej ewidencji kontrolnej funkcjonowania metod automatycznej klasyfikacji, o której mowa w art. 12 ust. 1 lit. b, </w:t>
      </w:r>
    </w:p>
    <w:p w:rsidR="005C5E7C" w:rsidRPr="005C5E7C" w:rsidRDefault="005C5E7C" w:rsidP="005C5E7C">
      <w:pPr>
        <w:pStyle w:val="NIEARTTEKSTtekstnieartykuowanynppodstprawnarozplubpreambua"/>
        <w:numPr>
          <w:ilvl w:val="0"/>
          <w:numId w:val="1"/>
        </w:numPr>
        <w:spacing w:before="0"/>
        <w:ind w:left="709" w:hanging="425"/>
        <w:rPr>
          <w:rFonts w:ascii="Times New Roman" w:hAnsi="Times New Roman" w:cs="Times New Roman"/>
          <w:szCs w:val="24"/>
          <w:lang w:eastAsia="en-US"/>
        </w:rPr>
      </w:pPr>
      <w:r w:rsidRPr="005C5E7C">
        <w:rPr>
          <w:rFonts w:ascii="Times New Roman" w:hAnsi="Times New Roman" w:cs="Times New Roman"/>
          <w:lang w:eastAsia="en-US"/>
        </w:rPr>
        <w:t>obowiązki te</w:t>
      </w:r>
      <w:r w:rsidRPr="005C5E7C">
        <w:rPr>
          <w:rFonts w:ascii="Times New Roman" w:hAnsi="Times New Roman" w:cs="Times New Roman"/>
          <w:szCs w:val="24"/>
          <w:lang w:eastAsia="en-US"/>
        </w:rPr>
        <w:t xml:space="preserve"> zostały dodane nowymi przepisami Unii Europejskiej;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szCs w:val="24"/>
          <w:lang w:eastAsia="en-US"/>
        </w:rPr>
      </w:pPr>
      <w:r>
        <w:rPr>
          <w:rFonts w:ascii="Times New Roman" w:hAnsi="Times New Roman" w:cs="Times New Roman"/>
          <w:szCs w:val="24"/>
          <w:lang w:eastAsia="en-US"/>
        </w:rPr>
        <w:t>4)</w:t>
      </w:r>
      <w:r>
        <w:rPr>
          <w:rFonts w:ascii="Times New Roman" w:hAnsi="Times New Roman" w:cs="Times New Roman"/>
          <w:szCs w:val="24"/>
          <w:lang w:eastAsia="en-US"/>
        </w:rPr>
        <w:tab/>
      </w:r>
      <w:r w:rsidRPr="005C5E7C">
        <w:rPr>
          <w:rFonts w:ascii="Times New Roman" w:hAnsi="Times New Roman" w:cs="Times New Roman"/>
          <w:szCs w:val="24"/>
          <w:lang w:eastAsia="en-US"/>
        </w:rPr>
        <w:t xml:space="preserve">w art. 40 w ust. 4d w pkt 1 w lit. b – dodanie kary dla podmiotu prowadzącego rzeźnie bydła za błędy w określaniu kategorii bydła. Dotychczas kara ta dotyczyła </w:t>
      </w:r>
      <w:r w:rsidRPr="005C5E7C">
        <w:rPr>
          <w:rFonts w:ascii="Times New Roman" w:hAnsi="Times New Roman" w:cs="Times New Roman"/>
          <w:szCs w:val="24"/>
          <w:lang w:eastAsia="en-US"/>
        </w:rPr>
        <w:lastRenderedPageBreak/>
        <w:t xml:space="preserve">tylko rzeczoznawcy ustalającego wyniki klasyfikacji, jednak w niektórych przypadkach wina może leżeć po stronie właściciela zakładu organizującego pracę rzeźni; 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b/>
          <w:bCs w:val="0"/>
          <w:lang w:eastAsia="en-US"/>
        </w:rPr>
      </w:pPr>
      <w:r>
        <w:rPr>
          <w:rFonts w:ascii="Times New Roman" w:hAnsi="Times New Roman" w:cs="Times New Roman"/>
          <w:lang w:eastAsia="en-US"/>
        </w:rPr>
        <w:t>5)</w:t>
      </w:r>
      <w:r>
        <w:rPr>
          <w:rFonts w:ascii="Times New Roman" w:hAnsi="Times New Roman" w:cs="Times New Roman"/>
          <w:lang w:eastAsia="en-US"/>
        </w:rPr>
        <w:tab/>
      </w:r>
      <w:r w:rsidRPr="005C5E7C">
        <w:rPr>
          <w:rFonts w:ascii="Times New Roman" w:hAnsi="Times New Roman" w:cs="Times New Roman"/>
          <w:lang w:eastAsia="en-US"/>
        </w:rPr>
        <w:t xml:space="preserve">w art. 40 </w:t>
      </w:r>
      <w:r w:rsidR="00981169">
        <w:rPr>
          <w:rFonts w:ascii="Times New Roman" w:hAnsi="Times New Roman" w:cs="Times New Roman"/>
          <w:lang w:eastAsia="en-US"/>
        </w:rPr>
        <w:t xml:space="preserve">w </w:t>
      </w:r>
      <w:r w:rsidRPr="005C5E7C">
        <w:rPr>
          <w:rFonts w:ascii="Times New Roman" w:hAnsi="Times New Roman" w:cs="Times New Roman"/>
          <w:lang w:eastAsia="en-US"/>
        </w:rPr>
        <w:t>ust. 4c w pkt 4 oraz w ust. 4d pkt 4 dotyczących obowiązujących dotychczas kar grzywny za nieprawidłowe znakowanie tusz wieprzowych lub wołowych uaktualniono odesłanie do art. 8 rozporządzenia 2017/1182</w:t>
      </w:r>
      <w:r>
        <w:rPr>
          <w:rFonts w:ascii="Times New Roman" w:hAnsi="Times New Roman" w:cs="Times New Roman"/>
          <w:lang w:eastAsia="en-US"/>
        </w:rPr>
        <w:t>. Ponadto w </w:t>
      </w:r>
      <w:r w:rsidRPr="005C5E7C">
        <w:rPr>
          <w:rFonts w:ascii="Times New Roman" w:hAnsi="Times New Roman" w:cs="Times New Roman"/>
          <w:lang w:eastAsia="en-US"/>
        </w:rPr>
        <w:t>związku z faktem, że stosownie do postanowień art. 8 ust. 7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C5E7C">
        <w:rPr>
          <w:rFonts w:ascii="Times New Roman" w:hAnsi="Times New Roman" w:cs="Times New Roman"/>
          <w:lang w:eastAsia="en-US"/>
        </w:rPr>
        <w:t>rozporządzenia 2017/1182 (upoważnienie państwa członkowskiego do ustanowienia krajowych przepisów w sprawie dodatkowych wymogów dotyczących znakowania), w Polsce obowiązują dodatkowe wymogi dotyczące znakowania tusz</w:t>
      </w:r>
      <w:r>
        <w:rPr>
          <w:rFonts w:ascii="Times New Roman" w:hAnsi="Times New Roman" w:cs="Times New Roman"/>
          <w:lang w:eastAsia="en-US"/>
        </w:rPr>
        <w:t xml:space="preserve"> wołowych i </w:t>
      </w:r>
      <w:r w:rsidRPr="005C5E7C">
        <w:rPr>
          <w:rFonts w:ascii="Times New Roman" w:hAnsi="Times New Roman" w:cs="Times New Roman"/>
          <w:lang w:eastAsia="en-US"/>
        </w:rPr>
        <w:t xml:space="preserve">wieprzowych – </w:t>
      </w:r>
      <w:r w:rsidRPr="005C5E7C">
        <w:rPr>
          <w:rFonts w:ascii="Times New Roman" w:hAnsi="Times New Roman" w:cs="Times New Roman"/>
          <w:color w:val="000000" w:themeColor="text1"/>
          <w:lang w:eastAsia="en-US"/>
        </w:rPr>
        <w:t>rozporządzenie Ministra Rolnictwa i Rozwoju Wsi z dnia 30</w:t>
      </w:r>
      <w:r>
        <w:rPr>
          <w:rFonts w:ascii="Times New Roman" w:hAnsi="Times New Roman" w:cs="Times New Roman"/>
          <w:color w:val="000000" w:themeColor="text1"/>
          <w:lang w:eastAsia="en-US"/>
        </w:rPr>
        <w:t> </w:t>
      </w:r>
      <w:r w:rsidRPr="005C5E7C">
        <w:rPr>
          <w:rFonts w:ascii="Times New Roman" w:hAnsi="Times New Roman" w:cs="Times New Roman"/>
          <w:color w:val="000000" w:themeColor="text1"/>
          <w:lang w:eastAsia="en-US"/>
        </w:rPr>
        <w:t xml:space="preserve">kwietnia 2018 r. w sprawie szczegółowych warunków ustalania i sposobu oznaczania klas jakości handlowej tusz wieprzowych oraz tusz wołowych </w:t>
      </w:r>
      <w:hyperlink r:id="rId8" w:history="1">
        <w:r w:rsidRPr="00F43C74">
          <w:rPr>
            <w:rStyle w:val="Hipercze"/>
            <w:rFonts w:ascii="Times New Roman" w:hAnsi="Times New Roman" w:cs="Times New Roman"/>
            <w:color w:val="000000" w:themeColor="text1"/>
            <w:u w:val="none"/>
            <w:lang w:eastAsia="en-US"/>
          </w:rPr>
          <w:t>(Dz. U. z 2018 r. poz. 934)</w:t>
        </w:r>
      </w:hyperlink>
      <w:r w:rsidRPr="00F43C74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r w:rsidRPr="005C5E7C">
        <w:rPr>
          <w:rFonts w:ascii="Times New Roman" w:hAnsi="Times New Roman" w:cs="Times New Roman"/>
          <w:color w:val="000000" w:themeColor="text1"/>
          <w:lang w:eastAsia="en-US"/>
        </w:rPr>
        <w:t>–</w:t>
      </w:r>
      <w:r w:rsidR="00981169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r w:rsidRPr="005C5E7C">
        <w:rPr>
          <w:rFonts w:ascii="Times New Roman" w:hAnsi="Times New Roman" w:cs="Times New Roman"/>
          <w:color w:val="000000" w:themeColor="text1"/>
          <w:lang w:eastAsia="en-US"/>
        </w:rPr>
        <w:t>w</w:t>
      </w:r>
      <w:r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r w:rsidRPr="005C5E7C">
        <w:rPr>
          <w:rFonts w:ascii="Times New Roman" w:hAnsi="Times New Roman" w:cs="Times New Roman"/>
          <w:color w:val="000000" w:themeColor="text1"/>
          <w:lang w:eastAsia="en-US"/>
        </w:rPr>
        <w:t xml:space="preserve">przepisie art. 40 ust. 4c pkt 4 oraz w ust. 4d pkt 4 zawarto również odwołanie </w:t>
      </w:r>
      <w:r w:rsidRPr="005C5E7C">
        <w:rPr>
          <w:rFonts w:ascii="Times New Roman" w:hAnsi="Times New Roman" w:cs="Times New Roman"/>
          <w:lang w:eastAsia="en-US"/>
        </w:rPr>
        <w:t>do dodatkowych wymogów w zakresie oznaczania tusz, określonych w ww. rozporządzeniu.</w:t>
      </w:r>
      <w:r>
        <w:rPr>
          <w:rFonts w:ascii="Times New Roman" w:hAnsi="Times New Roman" w:cs="Times New Roman"/>
          <w:lang w:eastAsia="en-US"/>
        </w:rPr>
        <w:t xml:space="preserve"> </w:t>
      </w:r>
    </w:p>
    <w:p w:rsidR="005C5E7C" w:rsidRPr="005C5E7C" w:rsidRDefault="005C5E7C" w:rsidP="005C5E7C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szCs w:val="24"/>
          <w:lang w:eastAsia="en-US"/>
        </w:rPr>
      </w:pPr>
      <w:r w:rsidRPr="005C5E7C">
        <w:rPr>
          <w:rFonts w:ascii="Times New Roman" w:hAnsi="Times New Roman" w:cs="Times New Roman"/>
          <w:szCs w:val="24"/>
          <w:lang w:eastAsia="en-US"/>
        </w:rPr>
        <w:t>6</w:t>
      </w:r>
      <w:r>
        <w:rPr>
          <w:rFonts w:ascii="Times New Roman" w:hAnsi="Times New Roman" w:cs="Times New Roman"/>
          <w:szCs w:val="24"/>
          <w:lang w:eastAsia="en-US"/>
        </w:rPr>
        <w:t>)</w:t>
      </w:r>
      <w:r>
        <w:rPr>
          <w:rFonts w:ascii="Times New Roman" w:hAnsi="Times New Roman" w:cs="Times New Roman"/>
          <w:szCs w:val="24"/>
          <w:lang w:eastAsia="en-US"/>
        </w:rPr>
        <w:tab/>
      </w:r>
      <w:r w:rsidRPr="005C5E7C">
        <w:rPr>
          <w:rFonts w:ascii="Times New Roman" w:hAnsi="Times New Roman" w:cs="Times New Roman"/>
          <w:szCs w:val="24"/>
          <w:lang w:eastAsia="en-US"/>
        </w:rPr>
        <w:t>w art. 40a w ust. 1 w pkt 5 – doprecyzowanie przepisu przez wskazanie, że kara dotyczy nieprowadzenia klasyfikacji tusz tylko przez podmioty, które są do tego obowiązane.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  <w:lang w:eastAsia="en-US"/>
        </w:rPr>
      </w:pPr>
      <w:r w:rsidRPr="005C5E7C">
        <w:rPr>
          <w:rFonts w:ascii="Times New Roman" w:hAnsi="Times New Roman" w:cs="Times New Roman"/>
          <w:szCs w:val="24"/>
          <w:lang w:eastAsia="en-US"/>
        </w:rPr>
        <w:t>Pozostałe zmiany polegają na aktualizacji odesłań do przepisów unijnych, a więc zmianie odesłań do rozporządzenia Komisji (WE) nr 1</w:t>
      </w:r>
      <w:r>
        <w:rPr>
          <w:rFonts w:ascii="Times New Roman" w:hAnsi="Times New Roman" w:cs="Times New Roman"/>
          <w:szCs w:val="24"/>
          <w:lang w:eastAsia="en-US"/>
        </w:rPr>
        <w:t>249/2008 z dnia 10 grudnia 2008 </w:t>
      </w:r>
      <w:r w:rsidRPr="005C5E7C">
        <w:rPr>
          <w:rFonts w:ascii="Times New Roman" w:hAnsi="Times New Roman" w:cs="Times New Roman"/>
          <w:szCs w:val="24"/>
          <w:lang w:eastAsia="en-US"/>
        </w:rPr>
        <w:t xml:space="preserve">r. ustanawiającego szczegółowe zasady wdrożenia wspólnotowych skal klasyfikacji tusz wołowych, wieprzowych i baranich oraz raportowania ich cen </w:t>
      </w:r>
      <w:r>
        <w:rPr>
          <w:rFonts w:ascii="Times New Roman" w:hAnsi="Times New Roman" w:cs="Times New Roman"/>
          <w:szCs w:val="24"/>
          <w:lang w:eastAsia="en-US"/>
        </w:rPr>
        <w:t>i </w:t>
      </w:r>
      <w:r w:rsidRPr="005C5E7C">
        <w:rPr>
          <w:rFonts w:ascii="Times New Roman" w:hAnsi="Times New Roman" w:cs="Times New Roman"/>
          <w:szCs w:val="24"/>
          <w:lang w:eastAsia="en-US"/>
        </w:rPr>
        <w:t>zastąpienie ich odesłaniami do rozporządzeń 2017/1182 i 2017/1184 – dotyczy to przepisów o metodach automatycznej klasyfikacji tusz wołowych (art. 15b ustawy) oraz przepisów o karach (art. 40 ustawy).</w:t>
      </w:r>
    </w:p>
    <w:p w:rsidR="005C5E7C" w:rsidRPr="005C5E7C" w:rsidRDefault="005C5E7C" w:rsidP="005C5E7C">
      <w:pPr>
        <w:widowControl/>
        <w:tabs>
          <w:tab w:val="right" w:pos="9072"/>
        </w:tabs>
        <w:spacing w:before="120"/>
        <w:jc w:val="both"/>
        <w:rPr>
          <w:rFonts w:eastAsia="Calibri" w:cs="Times New Roman"/>
          <w:szCs w:val="24"/>
          <w:lang w:eastAsia="en-US"/>
        </w:rPr>
      </w:pPr>
      <w:r w:rsidRPr="005C5E7C">
        <w:rPr>
          <w:rFonts w:cs="Times New Roman"/>
          <w:szCs w:val="24"/>
          <w:lang w:eastAsia="en-US"/>
        </w:rPr>
        <w:t>Mając na uwadze zakres i charakter zmian przewidzianych w projekcie niniejszej ustawy, nie ma potrzeby wprowadzania przepisów przejściowych. Nie wprowadza się zmian w</w:t>
      </w:r>
      <w:r>
        <w:rPr>
          <w:rFonts w:cs="Times New Roman"/>
          <w:szCs w:val="24"/>
          <w:lang w:eastAsia="en-US"/>
        </w:rPr>
        <w:t xml:space="preserve"> </w:t>
      </w:r>
      <w:r w:rsidRPr="005C5E7C">
        <w:rPr>
          <w:rFonts w:cs="Times New Roman"/>
          <w:szCs w:val="24"/>
          <w:lang w:eastAsia="en-US"/>
        </w:rPr>
        <w:t>upoważnieniach do wydania przepisów wykonawczych przez ministra właściwego do spraw rynków rolnych. Z</w:t>
      </w:r>
      <w:r w:rsidRPr="005C5E7C">
        <w:rPr>
          <w:rFonts w:eastAsia="Calibri" w:cs="Times New Roman"/>
          <w:szCs w:val="24"/>
          <w:lang w:eastAsia="en-US"/>
        </w:rPr>
        <w:t>aproponowane w projektowanej ustawie zmiany w</w:t>
      </w:r>
      <w:r>
        <w:rPr>
          <w:rFonts w:eastAsia="Calibri" w:cs="Times New Roman"/>
          <w:szCs w:val="24"/>
          <w:lang w:eastAsia="en-US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 xml:space="preserve">zakresie przepisów karnych i kar pieniężnych, o których </w:t>
      </w:r>
      <w:r>
        <w:rPr>
          <w:rFonts w:eastAsia="Calibri" w:cs="Times New Roman"/>
          <w:szCs w:val="24"/>
          <w:lang w:eastAsia="en-US"/>
        </w:rPr>
        <w:t>mowa w art. 40 i </w:t>
      </w:r>
      <w:r w:rsidR="00AC5F15">
        <w:rPr>
          <w:rFonts w:eastAsia="Calibri" w:cs="Times New Roman"/>
          <w:szCs w:val="24"/>
          <w:lang w:eastAsia="en-US"/>
        </w:rPr>
        <w:t xml:space="preserve"> art. </w:t>
      </w:r>
      <w:r w:rsidRPr="005C5E7C">
        <w:rPr>
          <w:rFonts w:eastAsia="Calibri" w:cs="Times New Roman"/>
          <w:szCs w:val="24"/>
          <w:lang w:eastAsia="en-US"/>
        </w:rPr>
        <w:t>40a zmienianej ustawy,</w:t>
      </w:r>
      <w:r>
        <w:rPr>
          <w:rFonts w:eastAsia="Calibri" w:cs="Times New Roman"/>
          <w:szCs w:val="24"/>
          <w:lang w:eastAsia="en-US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 xml:space="preserve">polegają na dostosowaniu odesłań zawartych w tych </w:t>
      </w:r>
      <w:r w:rsidRPr="005C5E7C">
        <w:rPr>
          <w:rFonts w:eastAsia="Calibri" w:cs="Times New Roman"/>
          <w:szCs w:val="24"/>
          <w:lang w:eastAsia="en-US"/>
        </w:rPr>
        <w:lastRenderedPageBreak/>
        <w:t>przepisach do nowych rozporządzeń Komisji Europejskiej (UE) 2017/1182 i 2017/1184 oraz na uzupełnieniu katalogu kar o kary związane z</w:t>
      </w:r>
      <w:r>
        <w:rPr>
          <w:rFonts w:eastAsia="Calibri" w:cs="Times New Roman"/>
          <w:szCs w:val="24"/>
          <w:lang w:eastAsia="en-US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 xml:space="preserve">obowiązkami nałożonymi na podmioty prowadzące rzeźnie i wykonujące klasyfikację tusz zwierząt rzeźnych, przy czym obowiązki te </w:t>
      </w:r>
      <w:r w:rsidR="00981169" w:rsidRPr="005C5E7C">
        <w:rPr>
          <w:rFonts w:eastAsia="Calibri" w:cs="Times New Roman"/>
          <w:szCs w:val="24"/>
          <w:lang w:eastAsia="en-US"/>
        </w:rPr>
        <w:t xml:space="preserve">są </w:t>
      </w:r>
      <w:r w:rsidRPr="005C5E7C">
        <w:rPr>
          <w:rFonts w:eastAsia="Calibri" w:cs="Times New Roman"/>
          <w:szCs w:val="24"/>
          <w:lang w:eastAsia="en-US"/>
        </w:rPr>
        <w:t>nałożone na podmioty bezpośrednio na mocy ww. rozporządzeń Komisji Europejskiej (UE)</w:t>
      </w:r>
      <w:r>
        <w:rPr>
          <w:rFonts w:eastAsia="Calibri" w:cs="Times New Roman"/>
          <w:szCs w:val="24"/>
          <w:lang w:eastAsia="en-US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>2017/1182 i</w:t>
      </w:r>
      <w:r>
        <w:rPr>
          <w:rFonts w:eastAsia="Calibri" w:cs="Times New Roman"/>
          <w:szCs w:val="24"/>
          <w:lang w:eastAsia="en-US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 xml:space="preserve">2017/1184, które stosuje się od dnia 11 lipca 2018 r. 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5C5E7C">
        <w:rPr>
          <w:rFonts w:ascii="Times New Roman" w:hAnsi="Times New Roman" w:cs="Times New Roman"/>
          <w:szCs w:val="24"/>
        </w:rPr>
        <w:t>Projekt ustawy jest zgodny z prawem Unii Europejskiej.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5C5E7C">
        <w:rPr>
          <w:rFonts w:ascii="Times New Roman" w:hAnsi="Times New Roman" w:cs="Times New Roman"/>
          <w:szCs w:val="24"/>
        </w:rPr>
        <w:t>Projektowana ustawa nie podlega procedurze notyfikacji w rozumieniu przepisów rozporządzenia Rady Ministrów z dnia 23 grudnia 2002 r. w sprawie sposobu funkcjonowania krajowego systemu notyfikacji norm i</w:t>
      </w:r>
      <w:r>
        <w:rPr>
          <w:rFonts w:ascii="Times New Roman" w:hAnsi="Times New Roman" w:cs="Times New Roman"/>
          <w:szCs w:val="24"/>
        </w:rPr>
        <w:t xml:space="preserve"> aktów prawnych (Dz. U. poz. </w:t>
      </w:r>
      <w:r w:rsidRPr="005C5E7C">
        <w:rPr>
          <w:rFonts w:ascii="Times New Roman" w:hAnsi="Times New Roman" w:cs="Times New Roman"/>
          <w:szCs w:val="24"/>
        </w:rPr>
        <w:t>2039, z</w:t>
      </w:r>
      <w:r>
        <w:rPr>
          <w:rFonts w:ascii="Times New Roman" w:hAnsi="Times New Roman" w:cs="Times New Roman"/>
          <w:szCs w:val="24"/>
        </w:rPr>
        <w:t xml:space="preserve"> </w:t>
      </w:r>
      <w:r w:rsidRPr="005C5E7C">
        <w:rPr>
          <w:rFonts w:ascii="Times New Roman" w:hAnsi="Times New Roman" w:cs="Times New Roman"/>
          <w:szCs w:val="24"/>
        </w:rPr>
        <w:t>późn. zm.), gdyż nie zawiera przepisów technicznych.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5C5E7C">
        <w:rPr>
          <w:rFonts w:ascii="Times New Roman" w:hAnsi="Times New Roman" w:cs="Times New Roman"/>
          <w:szCs w:val="24"/>
        </w:rPr>
        <w:t xml:space="preserve">Projekt ustawy został wpisany do Wykazu prac legislacyjnych i programowych Rady Ministrów pod numerem UC 138. </w:t>
      </w:r>
    </w:p>
    <w:p w:rsidR="005C5E7C" w:rsidRPr="005C5E7C" w:rsidRDefault="005C5E7C" w:rsidP="008E452C">
      <w:pPr>
        <w:pStyle w:val="TEKSTwTABELIWYRODKOWANYtekstwyrodkowanywpoziomie"/>
        <w:spacing w:before="120"/>
        <w:rPr>
          <w:rStyle w:val="Ppogrubienie"/>
          <w:rFonts w:ascii="Times New Roman" w:hAnsi="Times New Roman" w:cs="Times New Roman"/>
          <w:szCs w:val="24"/>
        </w:rPr>
      </w:pPr>
      <w:r w:rsidRPr="005C5E7C">
        <w:rPr>
          <w:rStyle w:val="Ppogrubienie"/>
          <w:rFonts w:ascii="Times New Roman" w:hAnsi="Times New Roman" w:cs="Times New Roman"/>
          <w:szCs w:val="24"/>
        </w:rPr>
        <w:t>Ocena przewidywanego wpływu projektu ustawy na działalność mikroprzedsiębiorców, małych i średnich przedsiębiorców</w:t>
      </w:r>
    </w:p>
    <w:p w:rsidR="005C5E7C" w:rsidRPr="005C5E7C" w:rsidRDefault="005C5E7C" w:rsidP="005C5E7C">
      <w:pPr>
        <w:widowControl/>
        <w:tabs>
          <w:tab w:val="right" w:pos="9072"/>
        </w:tabs>
        <w:spacing w:before="120"/>
        <w:jc w:val="both"/>
        <w:rPr>
          <w:rFonts w:eastAsia="Calibri" w:cs="Times New Roman"/>
          <w:szCs w:val="24"/>
          <w:lang w:eastAsia="en-US"/>
        </w:rPr>
      </w:pPr>
      <w:r w:rsidRPr="005C5E7C">
        <w:rPr>
          <w:rFonts w:cs="Times New Roman"/>
          <w:szCs w:val="24"/>
        </w:rPr>
        <w:t>Zgodnie z ustawą z dnia 21 grudnia 2000 r. o ja</w:t>
      </w:r>
      <w:r>
        <w:rPr>
          <w:rFonts w:cs="Times New Roman"/>
          <w:szCs w:val="24"/>
        </w:rPr>
        <w:t>kości handlowej artykułów rolno</w:t>
      </w:r>
      <w:r>
        <w:rPr>
          <w:rFonts w:cs="Times New Roman"/>
          <w:szCs w:val="24"/>
        </w:rPr>
        <w:noBreakHyphen/>
      </w:r>
      <w:r w:rsidRPr="005C5E7C">
        <w:rPr>
          <w:rFonts w:cs="Times New Roman"/>
          <w:szCs w:val="24"/>
        </w:rPr>
        <w:t xml:space="preserve">spożywczych, obowiązek klasyfikacji nie dotyczy rzeźni najmniejszych, a więc tych, które ubijają nie więcej </w:t>
      </w:r>
      <w:r w:rsidR="00AC5F15">
        <w:rPr>
          <w:rFonts w:cs="Times New Roman"/>
          <w:szCs w:val="24"/>
        </w:rPr>
        <w:t xml:space="preserve">niż </w:t>
      </w:r>
      <w:r w:rsidRPr="005C5E7C">
        <w:rPr>
          <w:rFonts w:cs="Times New Roman"/>
          <w:szCs w:val="24"/>
        </w:rPr>
        <w:t>200 sztuk świń lub 75 sztuk bydła w wieku od 8. miesiąca życia tygodniowo średniorocznie. W przypadku pozostałych przedsiębiorców jedyną zmianą jest wprowadzenie sankcji za nieprzekazywanie wyników klasyfikacji tusz wieprzowych dostawcom. Derogacja umożliw</w:t>
      </w:r>
      <w:r>
        <w:rPr>
          <w:rFonts w:cs="Times New Roman"/>
          <w:szCs w:val="24"/>
        </w:rPr>
        <w:t>iająca nieklasyfikowanie tusz w </w:t>
      </w:r>
      <w:r w:rsidRPr="005C5E7C">
        <w:rPr>
          <w:rFonts w:cs="Times New Roman"/>
          <w:szCs w:val="24"/>
        </w:rPr>
        <w:t>przypadku uboju niewielkich ilości zwierząt na p</w:t>
      </w:r>
      <w:r>
        <w:rPr>
          <w:rFonts w:cs="Times New Roman"/>
          <w:szCs w:val="24"/>
        </w:rPr>
        <w:t>odstawie umowy z właścicielem w </w:t>
      </w:r>
      <w:r w:rsidRPr="005C5E7C">
        <w:rPr>
          <w:rFonts w:cs="Times New Roman"/>
          <w:szCs w:val="24"/>
        </w:rPr>
        <w:t>praktyce mieściła się w derogacji, o</w:t>
      </w:r>
      <w:r>
        <w:rPr>
          <w:rFonts w:cs="Times New Roman"/>
          <w:szCs w:val="24"/>
        </w:rPr>
        <w:t xml:space="preserve"> </w:t>
      </w:r>
      <w:r w:rsidRPr="005C5E7C">
        <w:rPr>
          <w:rFonts w:cs="Times New Roman"/>
          <w:szCs w:val="24"/>
        </w:rPr>
        <w:t>której mowa w art. 15a ust. 3 lit. a, a więc jej brak nie będzie miał wpływu na sytuację podmiotów prowadzących rzeźnie. Derogacja umożliwiająca nieprowadzenie klasyfikacji tus</w:t>
      </w:r>
      <w:r>
        <w:rPr>
          <w:rFonts w:cs="Times New Roman"/>
          <w:szCs w:val="24"/>
        </w:rPr>
        <w:t>z wieprzowych w przypadku</w:t>
      </w:r>
      <w:r w:rsidR="00457E99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gdy w </w:t>
      </w:r>
      <w:r w:rsidRPr="005C5E7C">
        <w:rPr>
          <w:rFonts w:cs="Times New Roman"/>
          <w:szCs w:val="24"/>
        </w:rPr>
        <w:t>rzeźni poddawano ubojowi wyłącznie świnie urodzone i tuczone w tuczarniach tych rzeźni oraz dokonywano rozbioru wszystkich uzyskanych tusz w</w:t>
      </w:r>
      <w:r>
        <w:rPr>
          <w:rFonts w:cs="Times New Roman"/>
          <w:szCs w:val="24"/>
        </w:rPr>
        <w:t xml:space="preserve"> </w:t>
      </w:r>
      <w:r w:rsidRPr="005C5E7C">
        <w:rPr>
          <w:rFonts w:cs="Times New Roman"/>
          <w:szCs w:val="24"/>
        </w:rPr>
        <w:t>praktyce nie była</w:t>
      </w:r>
      <w:r>
        <w:rPr>
          <w:rFonts w:cs="Times New Roman"/>
          <w:szCs w:val="24"/>
        </w:rPr>
        <w:t xml:space="preserve"> w </w:t>
      </w:r>
      <w:r w:rsidRPr="005C5E7C">
        <w:rPr>
          <w:rFonts w:cs="Times New Roman"/>
          <w:szCs w:val="24"/>
        </w:rPr>
        <w:t xml:space="preserve">Polsce szeroko wykorzystywana. </w:t>
      </w:r>
      <w:r w:rsidR="00AC5F15">
        <w:rPr>
          <w:rFonts w:cs="Times New Roman"/>
          <w:szCs w:val="24"/>
        </w:rPr>
        <w:t>O</w:t>
      </w:r>
      <w:r w:rsidRPr="005C5E7C">
        <w:rPr>
          <w:rFonts w:cs="Times New Roman"/>
          <w:szCs w:val="24"/>
        </w:rPr>
        <w:t>becn</w:t>
      </w:r>
      <w:r w:rsidR="00AC5F15">
        <w:rPr>
          <w:rFonts w:cs="Times New Roman"/>
          <w:szCs w:val="24"/>
        </w:rPr>
        <w:t>ie</w:t>
      </w:r>
      <w:r w:rsidRPr="005C5E7C">
        <w:rPr>
          <w:rFonts w:cs="Times New Roman"/>
          <w:szCs w:val="24"/>
        </w:rPr>
        <w:t xml:space="preserve"> </w:t>
      </w:r>
      <w:r w:rsidRPr="005C5E7C">
        <w:rPr>
          <w:rFonts w:eastAsia="Calibri" w:cs="Times New Roman"/>
          <w:szCs w:val="24"/>
          <w:lang w:eastAsia="en-US"/>
        </w:rPr>
        <w:t>żaden z podmiotów prowadzących ubój świń lub bydła nie korzysta z ww. derogacji, w związku z tym wprowadzane w tym zakresie zmiany nie będą miały wpływu na sytuację podmiotów.</w:t>
      </w:r>
    </w:p>
    <w:p w:rsidR="005C5E7C" w:rsidRPr="005C5E7C" w:rsidRDefault="005C5E7C" w:rsidP="005C5E7C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5C5E7C">
        <w:rPr>
          <w:rFonts w:ascii="Times New Roman" w:hAnsi="Times New Roman" w:cs="Times New Roman"/>
          <w:szCs w:val="24"/>
        </w:rPr>
        <w:t>Pozostałe zmiany przewidziane w projekcie ustawy mają charakter techniczny.</w:t>
      </w:r>
    </w:p>
    <w:sectPr w:rsidR="005C5E7C" w:rsidRPr="005C5E7C" w:rsidSect="005C5E7C">
      <w:footerReference w:type="default" r:id="rId9"/>
      <w:footnotePr>
        <w:numRestart w:val="eachSect"/>
      </w:footnotePr>
      <w:pgSz w:w="11906" w:h="16838" w:code="9"/>
      <w:pgMar w:top="1588" w:right="1435" w:bottom="1701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E7C" w:rsidRDefault="005C5E7C" w:rsidP="005C5E7C">
      <w:pPr>
        <w:spacing w:line="240" w:lineRule="auto"/>
      </w:pPr>
      <w:r>
        <w:separator/>
      </w:r>
    </w:p>
  </w:endnote>
  <w:endnote w:type="continuationSeparator" w:id="0">
    <w:p w:rsidR="005C5E7C" w:rsidRDefault="005C5E7C" w:rsidP="005C5E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0507280"/>
      <w:docPartObj>
        <w:docPartGallery w:val="Page Numbers (Bottom of Page)"/>
        <w:docPartUnique/>
      </w:docPartObj>
    </w:sdtPr>
    <w:sdtEndPr/>
    <w:sdtContent>
      <w:p w:rsidR="005C5E7C" w:rsidRDefault="005C5E7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44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E7C" w:rsidRDefault="005C5E7C" w:rsidP="005C5E7C">
      <w:pPr>
        <w:spacing w:line="240" w:lineRule="auto"/>
      </w:pPr>
      <w:r>
        <w:separator/>
      </w:r>
    </w:p>
  </w:footnote>
  <w:footnote w:type="continuationSeparator" w:id="0">
    <w:p w:rsidR="005C5E7C" w:rsidRDefault="005C5E7C" w:rsidP="005C5E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6227B"/>
    <w:multiLevelType w:val="hybridMultilevel"/>
    <w:tmpl w:val="161ED096"/>
    <w:lvl w:ilvl="0" w:tplc="8EA4D062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E7C"/>
    <w:rsid w:val="00457E99"/>
    <w:rsid w:val="005C5E7C"/>
    <w:rsid w:val="00633441"/>
    <w:rsid w:val="007C37A1"/>
    <w:rsid w:val="008E452C"/>
    <w:rsid w:val="00903242"/>
    <w:rsid w:val="00981169"/>
    <w:rsid w:val="009844A9"/>
    <w:rsid w:val="00AC5F15"/>
    <w:rsid w:val="00E52963"/>
    <w:rsid w:val="00F43C74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9983F9-911C-4639-8834-A4355DFE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E7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5C5E7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C5E7C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C5E7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C5E7C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5C5E7C"/>
    <w:rPr>
      <w:b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C5E7C"/>
    <w:pPr>
      <w:widowControl/>
      <w:suppressAutoHyphens/>
      <w:jc w:val="center"/>
    </w:pPr>
    <w:rPr>
      <w:rFonts w:ascii="Times" w:hAnsi="Times"/>
      <w:bCs/>
      <w:kern w:val="24"/>
    </w:rPr>
  </w:style>
  <w:style w:type="character" w:styleId="Hipercze">
    <w:name w:val="Hyperlink"/>
    <w:basedOn w:val="Domylnaczcionkaakapitu"/>
    <w:uiPriority w:val="99"/>
    <w:semiHidden/>
    <w:rsid w:val="005C5E7C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5C5E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5E7C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F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F15"/>
    <w:rPr>
      <w:rFonts w:ascii="Tahoma" w:eastAsiaTheme="minorEastAsia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98116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galis.pl/document-view.seam?documentId=mfrxilrtg4ytemztgu2t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PL/AUTO/?uri=celex:32008R12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1642</Words>
  <Characters>9853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Trafisz Kinga</dc:creator>
  <cp:lastModifiedBy>Jankowska-Słomianko Dorota</cp:lastModifiedBy>
  <cp:revision>9</cp:revision>
  <cp:lastPrinted>2019-02-28T13:42:00Z</cp:lastPrinted>
  <dcterms:created xsi:type="dcterms:W3CDTF">2019-02-22T10:26:00Z</dcterms:created>
  <dcterms:modified xsi:type="dcterms:W3CDTF">2019-02-28T13:42:00Z</dcterms:modified>
</cp:coreProperties>
</file>