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CCB3" w14:textId="77777777" w:rsidR="008B044F" w:rsidRPr="008B044F" w:rsidRDefault="008B044F" w:rsidP="008B044F">
      <w:pPr>
        <w:pStyle w:val="ARTartustawynprozporzdzenia"/>
        <w:tabs>
          <w:tab w:val="left" w:pos="4962"/>
        </w:tabs>
        <w:ind w:left="2832" w:firstLine="708"/>
        <w:rPr>
          <w:rFonts w:ascii="Times New Roman" w:hAnsi="Times New Roman" w:cs="Times New Roman"/>
        </w:rPr>
      </w:pPr>
      <w:r w:rsidRPr="008B044F">
        <w:rPr>
          <w:rFonts w:ascii="Times New Roman" w:hAnsi="Times New Roman" w:cs="Times New Roman"/>
        </w:rPr>
        <w:t>UZASADNIENIE</w:t>
      </w:r>
    </w:p>
    <w:p w14:paraId="020BA761" w14:textId="5A243FCD" w:rsidR="008B044F" w:rsidRPr="008B044F" w:rsidRDefault="008B044F" w:rsidP="008B044F">
      <w:pPr>
        <w:pStyle w:val="CZWSPPKTczwsplnapunktw"/>
        <w:spacing w:before="120"/>
        <w:rPr>
          <w:rFonts w:ascii="Times New Roman" w:hAnsi="Times New Roman" w:cs="Times New Roman"/>
        </w:rPr>
      </w:pPr>
      <w:r w:rsidRPr="008B044F">
        <w:rPr>
          <w:rFonts w:ascii="Times New Roman" w:hAnsi="Times New Roman" w:cs="Times New Roman"/>
        </w:rPr>
        <w:t xml:space="preserve">Potrzeba zmian Kodeksu rodzinnego i opiekuńczego w zakresie prawa filiacyjnego wynika </w:t>
      </w:r>
      <w:r>
        <w:rPr>
          <w:rFonts w:ascii="Times New Roman" w:hAnsi="Times New Roman" w:cs="Times New Roman"/>
        </w:rPr>
        <w:t>z</w:t>
      </w:r>
      <w:r w:rsidR="00731F39">
        <w:rPr>
          <w:rFonts w:ascii="Times New Roman" w:hAnsi="Times New Roman" w:cs="Times New Roman"/>
        </w:rPr>
        <w:t xml:space="preserve"> </w:t>
      </w:r>
      <w:r w:rsidRPr="008B044F">
        <w:rPr>
          <w:rFonts w:ascii="Times New Roman" w:hAnsi="Times New Roman" w:cs="Times New Roman"/>
        </w:rPr>
        <w:t xml:space="preserve">wyroku Trybunału Konstytucyjnego z dnia 26 listopada 2013 r. (sygn. akt P 33/12), wskutek którego art. 71 k.r.o. (zgodnie z którym zaprzeczenie ojcostwa nie było dopuszczalne po śmierci dziecka) utracił moc obowiązującą z dniem 4 grudnia 2013 r., jako niezgodny </w:t>
      </w:r>
      <w:r>
        <w:rPr>
          <w:rFonts w:ascii="Times New Roman" w:hAnsi="Times New Roman" w:cs="Times New Roman"/>
        </w:rPr>
        <w:t>z</w:t>
      </w:r>
      <w:r w:rsidR="00731F39">
        <w:rPr>
          <w:rFonts w:ascii="Times New Roman" w:hAnsi="Times New Roman" w:cs="Times New Roman"/>
        </w:rPr>
        <w:t xml:space="preserve"> </w:t>
      </w:r>
      <w:r>
        <w:rPr>
          <w:rFonts w:ascii="Times New Roman" w:hAnsi="Times New Roman" w:cs="Times New Roman"/>
        </w:rPr>
        <w:t>art.</w:t>
      </w:r>
      <w:r w:rsidR="00731F39">
        <w:rPr>
          <w:rFonts w:ascii="Times New Roman" w:hAnsi="Times New Roman" w:cs="Times New Roman"/>
        </w:rPr>
        <w:t xml:space="preserve"> </w:t>
      </w:r>
      <w:r w:rsidRPr="008B044F">
        <w:rPr>
          <w:rFonts w:ascii="Times New Roman" w:hAnsi="Times New Roman" w:cs="Times New Roman"/>
        </w:rPr>
        <w:t>47 w zw. z art. 31 ust. 1 i art. 18 Konstytucji RP oraz art. 8 Konwencji o ochronie praw człowieka i podst</w:t>
      </w:r>
      <w:r w:rsidR="00731F39">
        <w:rPr>
          <w:rFonts w:ascii="Times New Roman" w:hAnsi="Times New Roman" w:cs="Times New Roman"/>
        </w:rPr>
        <w:t>awowych wolności sporządzonej w </w:t>
      </w:r>
      <w:r w:rsidRPr="008B044F">
        <w:rPr>
          <w:rFonts w:ascii="Times New Roman" w:hAnsi="Times New Roman" w:cs="Times New Roman"/>
        </w:rPr>
        <w:t xml:space="preserve">Rzymie dnia 4 listopada 1950 r. Z tych samych powodów, także z powyższą datą utracił moc obowiązującą art. 456 § 3 k.p.c., </w:t>
      </w:r>
      <w:r>
        <w:rPr>
          <w:rFonts w:ascii="Times New Roman" w:hAnsi="Times New Roman" w:cs="Times New Roman"/>
        </w:rPr>
        <w:t>w</w:t>
      </w:r>
      <w:r w:rsidR="00731F39">
        <w:rPr>
          <w:rFonts w:ascii="Times New Roman" w:hAnsi="Times New Roman" w:cs="Times New Roman"/>
        </w:rPr>
        <w:t xml:space="preserve"> </w:t>
      </w:r>
      <w:r w:rsidRPr="008B044F">
        <w:rPr>
          <w:rFonts w:ascii="Times New Roman" w:hAnsi="Times New Roman" w:cs="Times New Roman"/>
        </w:rPr>
        <w:t xml:space="preserve">zakresie w jakim odnosi się do sprawy </w:t>
      </w:r>
      <w:r w:rsidR="00C65A1F">
        <w:rPr>
          <w:rFonts w:ascii="Times New Roman" w:hAnsi="Times New Roman" w:cs="Times New Roman"/>
        </w:rPr>
        <w:t>o</w:t>
      </w:r>
      <w:r w:rsidR="00D84D43">
        <w:rPr>
          <w:rFonts w:ascii="Times New Roman" w:hAnsi="Times New Roman" w:cs="Times New Roman"/>
        </w:rPr>
        <w:t> </w:t>
      </w:r>
      <w:r w:rsidRPr="008B044F">
        <w:rPr>
          <w:rFonts w:ascii="Times New Roman" w:hAnsi="Times New Roman" w:cs="Times New Roman"/>
        </w:rPr>
        <w:t>zaprzeczeni</w:t>
      </w:r>
      <w:r w:rsidR="00C65A1F">
        <w:rPr>
          <w:rFonts w:ascii="Times New Roman" w:hAnsi="Times New Roman" w:cs="Times New Roman"/>
        </w:rPr>
        <w:t>e</w:t>
      </w:r>
      <w:r w:rsidRPr="008B044F">
        <w:rPr>
          <w:rFonts w:ascii="Times New Roman" w:hAnsi="Times New Roman" w:cs="Times New Roman"/>
        </w:rPr>
        <w:t xml:space="preserve"> ojcostwa. </w:t>
      </w:r>
    </w:p>
    <w:p w14:paraId="1420D822" w14:textId="11272E0C" w:rsidR="008B044F" w:rsidRPr="008B044F" w:rsidRDefault="008B044F" w:rsidP="008B044F">
      <w:pPr>
        <w:pStyle w:val="CZWSPPKTczwsplnapunktw"/>
        <w:spacing w:before="120"/>
        <w:rPr>
          <w:rFonts w:ascii="Times New Roman" w:hAnsi="Times New Roman" w:cs="Times New Roman"/>
        </w:rPr>
      </w:pPr>
      <w:r w:rsidRPr="008B044F">
        <w:rPr>
          <w:rFonts w:ascii="Times New Roman" w:hAnsi="Times New Roman" w:cs="Times New Roman"/>
        </w:rPr>
        <w:t>Zdaniem Trybunału Konstytucyjnego na gruncie ukszta</w:t>
      </w:r>
      <w:r w:rsidR="00731F39">
        <w:rPr>
          <w:rFonts w:ascii="Times New Roman" w:hAnsi="Times New Roman" w:cs="Times New Roman"/>
        </w:rPr>
        <w:t>łtowanej konstytucyjnie (w art. </w:t>
      </w:r>
      <w:r w:rsidRPr="008B044F">
        <w:rPr>
          <w:rFonts w:ascii="Times New Roman" w:hAnsi="Times New Roman" w:cs="Times New Roman"/>
        </w:rPr>
        <w:t xml:space="preserve">47 i </w:t>
      </w:r>
      <w:r w:rsidR="0092429B">
        <w:rPr>
          <w:rFonts w:ascii="Times New Roman" w:hAnsi="Times New Roman" w:cs="Times New Roman"/>
        </w:rPr>
        <w:t xml:space="preserve">art. </w:t>
      </w:r>
      <w:r w:rsidRPr="008B044F">
        <w:rPr>
          <w:rFonts w:ascii="Times New Roman" w:hAnsi="Times New Roman" w:cs="Times New Roman"/>
        </w:rPr>
        <w:t>18 Konstytucji RP) ochrony rodzicielstwa należy wyprowadzić prawo do jego ochrony, sprowadzającej się przede wszystkim do ustalenia fakt</w:t>
      </w:r>
      <w:r w:rsidR="00731F39">
        <w:rPr>
          <w:rFonts w:ascii="Times New Roman" w:hAnsi="Times New Roman" w:cs="Times New Roman"/>
        </w:rPr>
        <w:t>u rodzicielstwa, a </w:t>
      </w:r>
      <w:r w:rsidRPr="008B044F">
        <w:rPr>
          <w:rFonts w:ascii="Times New Roman" w:hAnsi="Times New Roman" w:cs="Times New Roman"/>
        </w:rPr>
        <w:t>więc prawa rodziców do ustalenia więzów pokrewieństwa z dzieckiem, zgodnie ze stanem rzeczywistym tak od strony pozytywnej (jako np. prawo mężczyzny do ustalenia pochodzenia swojego dziecka pozamałżeńskiego), jak również od strony negatywnej, dając możliwość zakwestionowania istnienia więzów pokrewieństwa. Nie kwestionując zasady, że dobro dziecka jest wartością konstytucyjną o szczególnym znaczeniu, którego ochrona może uzasadniać ograniczenie możliwości ustalenia rodzicielstwa biologicznego, Trybunał Konstytucyjny zauważył, że bezwzględna realizacja niezmieniania stanu cywilnego po śmierci człowieka, nie znajduje dodatkowego oparcia w konieczności ochrony dobra zmarłego dziecka, bowiem „zaprzeczenie ojcostwa nie narusza ukształtowanych więzi rodzinnych”. Co więcej Trybunał Konstytucyjny wskazał, że wprowadzone w art. 71 k.r.o. ograniczenie nie służy ochronie żadnych innych uzasadnionych interesów. Rozpatrywane przepisy</w:t>
      </w:r>
      <w:r>
        <w:rPr>
          <w:rFonts w:ascii="Times New Roman" w:hAnsi="Times New Roman" w:cs="Times New Roman"/>
        </w:rPr>
        <w:t xml:space="preserve"> (art. 71 k.r.o. i art. 456 §</w:t>
      </w:r>
      <w:r w:rsidR="00731F39">
        <w:rPr>
          <w:rFonts w:ascii="Times New Roman" w:hAnsi="Times New Roman" w:cs="Times New Roman"/>
        </w:rPr>
        <w:t xml:space="preserve"> </w:t>
      </w:r>
      <w:r>
        <w:rPr>
          <w:rFonts w:ascii="Times New Roman" w:hAnsi="Times New Roman" w:cs="Times New Roman"/>
        </w:rPr>
        <w:t>3</w:t>
      </w:r>
      <w:r w:rsidR="00731F39">
        <w:rPr>
          <w:rFonts w:ascii="Times New Roman" w:hAnsi="Times New Roman" w:cs="Times New Roman"/>
        </w:rPr>
        <w:t xml:space="preserve"> </w:t>
      </w:r>
      <w:r w:rsidRPr="008B044F">
        <w:rPr>
          <w:rFonts w:ascii="Times New Roman" w:hAnsi="Times New Roman" w:cs="Times New Roman"/>
        </w:rPr>
        <w:t>k.p.c.) naruszają zdaniem Trybunału Konstytucyjnego doniosłe wartośc</w:t>
      </w:r>
      <w:r>
        <w:rPr>
          <w:rFonts w:ascii="Times New Roman" w:hAnsi="Times New Roman" w:cs="Times New Roman"/>
        </w:rPr>
        <w:t>i wynikające z</w:t>
      </w:r>
      <w:r w:rsidR="00731F39">
        <w:rPr>
          <w:rFonts w:ascii="Times New Roman" w:hAnsi="Times New Roman" w:cs="Times New Roman"/>
        </w:rPr>
        <w:t> </w:t>
      </w:r>
      <w:r>
        <w:rPr>
          <w:rFonts w:ascii="Times New Roman" w:hAnsi="Times New Roman" w:cs="Times New Roman"/>
        </w:rPr>
        <w:t>art.</w:t>
      </w:r>
      <w:r w:rsidR="00731F39">
        <w:rPr>
          <w:rFonts w:ascii="Times New Roman" w:hAnsi="Times New Roman" w:cs="Times New Roman"/>
        </w:rPr>
        <w:t xml:space="preserve"> </w:t>
      </w:r>
      <w:r w:rsidRPr="008B044F">
        <w:rPr>
          <w:rFonts w:ascii="Times New Roman" w:hAnsi="Times New Roman" w:cs="Times New Roman"/>
        </w:rPr>
        <w:t xml:space="preserve">47 </w:t>
      </w:r>
      <w:r>
        <w:rPr>
          <w:rFonts w:ascii="Times New Roman" w:hAnsi="Times New Roman" w:cs="Times New Roman"/>
        </w:rPr>
        <w:t xml:space="preserve">i </w:t>
      </w:r>
      <w:r w:rsidR="0092429B">
        <w:rPr>
          <w:rFonts w:ascii="Times New Roman" w:hAnsi="Times New Roman" w:cs="Times New Roman"/>
        </w:rPr>
        <w:t xml:space="preserve">art. </w:t>
      </w:r>
      <w:r w:rsidRPr="008B044F">
        <w:rPr>
          <w:rFonts w:ascii="Times New Roman" w:hAnsi="Times New Roman" w:cs="Times New Roman"/>
        </w:rPr>
        <w:t xml:space="preserve">18 Konstytucji RP, a mianowicie prawo mężczyzny do ustalenia rodzicielstwa zgodnie </w:t>
      </w:r>
      <w:r>
        <w:rPr>
          <w:rFonts w:ascii="Times New Roman" w:hAnsi="Times New Roman" w:cs="Times New Roman"/>
        </w:rPr>
        <w:t xml:space="preserve">z </w:t>
      </w:r>
      <w:r w:rsidRPr="008B044F">
        <w:rPr>
          <w:rFonts w:ascii="Times New Roman" w:hAnsi="Times New Roman" w:cs="Times New Roman"/>
        </w:rPr>
        <w:t xml:space="preserve">rzeczywistością oraz dobro rodziny tworzonej przez matkę zmarłego dziecka oraz dobro rodziny jego domniemanego ojca, w imię poszanowania ustawowej wartości w postaci definitywnego ustalenia, wskutek śmierci dziecka, jego stanu rodzinnego </w:t>
      </w:r>
      <w:r w:rsidR="00731F39">
        <w:rPr>
          <w:rFonts w:ascii="Times New Roman" w:hAnsi="Times New Roman" w:cs="Times New Roman"/>
        </w:rPr>
        <w:t>i </w:t>
      </w:r>
      <w:r w:rsidRPr="008B044F">
        <w:rPr>
          <w:rFonts w:ascii="Times New Roman" w:hAnsi="Times New Roman" w:cs="Times New Roman"/>
        </w:rPr>
        <w:t>relacji majątkowych ze spadkobiercami. W rezult</w:t>
      </w:r>
      <w:r w:rsidR="00731F39">
        <w:rPr>
          <w:rFonts w:ascii="Times New Roman" w:hAnsi="Times New Roman" w:cs="Times New Roman"/>
        </w:rPr>
        <w:t>acie ograniczenie ustanowione w </w:t>
      </w:r>
      <w:r w:rsidRPr="008B044F">
        <w:rPr>
          <w:rFonts w:ascii="Times New Roman" w:hAnsi="Times New Roman" w:cs="Times New Roman"/>
        </w:rPr>
        <w:t xml:space="preserve">omawianych przepisach nie jest legitymowane koniecznością ochrony </w:t>
      </w:r>
      <w:r w:rsidRPr="008B044F">
        <w:rPr>
          <w:rFonts w:ascii="Times New Roman" w:hAnsi="Times New Roman" w:cs="Times New Roman"/>
        </w:rPr>
        <w:lastRenderedPageBreak/>
        <w:t>któregokolwiek z dóbr wymienionych w art. 31 ust. 3 Konstytucji</w:t>
      </w:r>
      <w:r w:rsidR="00990239">
        <w:rPr>
          <w:rFonts w:ascii="Times New Roman" w:hAnsi="Times New Roman" w:cs="Times New Roman"/>
        </w:rPr>
        <w:t xml:space="preserve"> RP</w:t>
      </w:r>
      <w:r w:rsidRPr="008B044F">
        <w:rPr>
          <w:rFonts w:ascii="Times New Roman" w:hAnsi="Times New Roman" w:cs="Times New Roman"/>
        </w:rPr>
        <w:t>, a zatem stanowią niezgodne z Konstytucją RP ograniczenie rodziców do ustalenia rodzicielstwa.</w:t>
      </w:r>
    </w:p>
    <w:p w14:paraId="4B104F8D" w14:textId="77777777" w:rsidR="008B044F" w:rsidRPr="008B044F" w:rsidRDefault="008B044F" w:rsidP="008B044F">
      <w:pPr>
        <w:pStyle w:val="CZWSPPKTczwsplnapunktw"/>
        <w:spacing w:before="120"/>
        <w:rPr>
          <w:rFonts w:ascii="Times New Roman" w:hAnsi="Times New Roman" w:cs="Times New Roman"/>
        </w:rPr>
      </w:pPr>
      <w:r w:rsidRPr="008B044F">
        <w:rPr>
          <w:rFonts w:ascii="Times New Roman" w:hAnsi="Times New Roman" w:cs="Times New Roman"/>
        </w:rPr>
        <w:t>Nadto Trybunał Konstytucyjny zwrócił uwagę, aby w celu wyeliminowania ewentualnego niebezpieczeństwa związanego z nieustaleniem stanu cywilnego zmarłego dziecka (oraz ewentualnie jego zstępnych) wprowadzić odpowiednie mechanizmy gwarantujące, że zaprzeczenie ojcostwa zmarłego dziecka będzie łączyło się z koniecznością jednoczesnego złożenia oświadczenia o uznaniu ojcostwa przez innego mężczyznę albo sądowego ustalenia ojcostwa. Stworzenie takich mechanizmów w Kodeksie rodzinnym i opiekuńczym nie wydaje się jednak możliwe. Musiałyby one prowadzić do uzależnienia dopuszczalności wniesienia powództwa o zaprzeczenie ojcostwa od tego, czy inny mężczyzna uzna ojcostwo zmarłego dziecka albo ojcostwo innego mężczyzny zostanie ustalone przez sąd. W tym pierwszym przypadku ojciec biologiczny musiałby w sprawie o zaprzeczenie ojcostwa męża matki dziecka złożyć oświadczenie, że w razie wyroku uwzględniającego powództwo, uzna on sw</w:t>
      </w:r>
      <w:r w:rsidR="0092429B">
        <w:rPr>
          <w:rFonts w:ascii="Times New Roman" w:hAnsi="Times New Roman" w:cs="Times New Roman"/>
        </w:rPr>
        <w:t>oj</w:t>
      </w:r>
      <w:r w:rsidRPr="008B044F">
        <w:rPr>
          <w:rFonts w:ascii="Times New Roman" w:hAnsi="Times New Roman" w:cs="Times New Roman"/>
        </w:rPr>
        <w:t xml:space="preserve">e ojcostwo. Oświadczenie takie nie miałoby </w:t>
      </w:r>
      <w:r w:rsidRPr="008B044F">
        <w:rPr>
          <w:rStyle w:val="Kkursywa"/>
          <w:rFonts w:ascii="Times New Roman" w:hAnsi="Times New Roman" w:cs="Times New Roman"/>
        </w:rPr>
        <w:t>de facto</w:t>
      </w:r>
      <w:r w:rsidRPr="008B044F">
        <w:rPr>
          <w:rFonts w:ascii="Times New Roman" w:hAnsi="Times New Roman" w:cs="Times New Roman"/>
        </w:rPr>
        <w:t xml:space="preserve"> żadnego znaczenia dla ustalenia ojcostwa </w:t>
      </w:r>
      <w:r w:rsidR="00731F39">
        <w:rPr>
          <w:rFonts w:ascii="Times New Roman" w:hAnsi="Times New Roman" w:cs="Times New Roman"/>
        </w:rPr>
        <w:t>w </w:t>
      </w:r>
      <w:r w:rsidRPr="008B044F">
        <w:rPr>
          <w:rFonts w:ascii="Times New Roman" w:hAnsi="Times New Roman" w:cs="Times New Roman"/>
        </w:rPr>
        <w:t xml:space="preserve">przyszłości (po wyroku zaprzeczającym ojcostwo męża matki), jeżeli składający to oświadczenie nie wykonałby go, tj. nie złożył oświadczenia </w:t>
      </w:r>
      <w:r w:rsidR="00731F39">
        <w:rPr>
          <w:rFonts w:ascii="Times New Roman" w:hAnsi="Times New Roman" w:cs="Times New Roman"/>
        </w:rPr>
        <w:t>o uznaniu ojcostwa. W </w:t>
      </w:r>
      <w:r w:rsidRPr="008B044F">
        <w:rPr>
          <w:rFonts w:ascii="Times New Roman" w:hAnsi="Times New Roman" w:cs="Times New Roman"/>
        </w:rPr>
        <w:t>takiej sytuacji stan cywilny zmarłego dziecka pozostałby nieustalony. Regulacja taka prowadziłaby nadto do zróżnicowania praw matki dzie</w:t>
      </w:r>
      <w:r w:rsidR="00731F39">
        <w:rPr>
          <w:rFonts w:ascii="Times New Roman" w:hAnsi="Times New Roman" w:cs="Times New Roman"/>
        </w:rPr>
        <w:t>cka i jej męża do wystąpienia z </w:t>
      </w:r>
      <w:r w:rsidRPr="008B044F">
        <w:rPr>
          <w:rFonts w:ascii="Times New Roman" w:hAnsi="Times New Roman" w:cs="Times New Roman"/>
        </w:rPr>
        <w:t>powództ</w:t>
      </w:r>
      <w:r>
        <w:rPr>
          <w:rFonts w:ascii="Times New Roman" w:hAnsi="Times New Roman" w:cs="Times New Roman"/>
        </w:rPr>
        <w:t>wem o</w:t>
      </w:r>
      <w:r w:rsidR="00731F39">
        <w:rPr>
          <w:rFonts w:ascii="Times New Roman" w:hAnsi="Times New Roman" w:cs="Times New Roman"/>
        </w:rPr>
        <w:t xml:space="preserve"> </w:t>
      </w:r>
      <w:r w:rsidRPr="008B044F">
        <w:rPr>
          <w:rFonts w:ascii="Times New Roman" w:hAnsi="Times New Roman" w:cs="Times New Roman"/>
        </w:rPr>
        <w:t xml:space="preserve">zaprzeczenie ojcostwa po śmierci dziecka. O ile bowiem spełnienie warunku złożenia oświadczenia przez ojca biologicznego dziecka, iż uzna ojcostwo po zaprzeczeniu ojcostwa męża matki dziecka, byłoby z reguły możliwe gdyby </w:t>
      </w:r>
      <w:r w:rsidR="00731F39">
        <w:rPr>
          <w:rFonts w:ascii="Times New Roman" w:hAnsi="Times New Roman" w:cs="Times New Roman"/>
        </w:rPr>
        <w:t>z </w:t>
      </w:r>
      <w:r w:rsidRPr="008B044F">
        <w:rPr>
          <w:rFonts w:ascii="Times New Roman" w:hAnsi="Times New Roman" w:cs="Times New Roman"/>
        </w:rPr>
        <w:t xml:space="preserve">powództwem tym wystąpiła matka dziecka, o tyle byłby to warunek raczej niemożliwy do spełnienia, gdyby z takim powództwem wystąpił mąż matki dziecka. Musiałby on najpierw ustalić, kto jest biologicznym ojcem dziecka, a następnie uzyskać od niego zapewnienie, że w sprawie </w:t>
      </w:r>
      <w:r>
        <w:rPr>
          <w:rFonts w:ascii="Times New Roman" w:hAnsi="Times New Roman" w:cs="Times New Roman"/>
        </w:rPr>
        <w:t>o</w:t>
      </w:r>
      <w:r w:rsidR="00731F39">
        <w:rPr>
          <w:rFonts w:ascii="Times New Roman" w:hAnsi="Times New Roman" w:cs="Times New Roman"/>
        </w:rPr>
        <w:t xml:space="preserve"> </w:t>
      </w:r>
      <w:r w:rsidRPr="008B044F">
        <w:rPr>
          <w:rFonts w:ascii="Times New Roman" w:hAnsi="Times New Roman" w:cs="Times New Roman"/>
        </w:rPr>
        <w:t>zaprzeczenie ojcostwa złoży stosowne oświadczenie. Realizację takiego rozwiązania trudn</w:t>
      </w:r>
      <w:r w:rsidR="00731F39">
        <w:rPr>
          <w:rFonts w:ascii="Times New Roman" w:hAnsi="Times New Roman" w:cs="Times New Roman"/>
        </w:rPr>
        <w:t>o sobie wyobrazić w praktyce. W </w:t>
      </w:r>
      <w:r w:rsidRPr="008B044F">
        <w:rPr>
          <w:rFonts w:ascii="Times New Roman" w:hAnsi="Times New Roman" w:cs="Times New Roman"/>
        </w:rPr>
        <w:t>istocie taka regulacja służyłaby tylko ochronie praw rodzicielskich ojca biologicznego dziecka w sytuacji, gdy chciałby on uzna</w:t>
      </w:r>
      <w:r w:rsidR="00731F39">
        <w:rPr>
          <w:rFonts w:ascii="Times New Roman" w:hAnsi="Times New Roman" w:cs="Times New Roman"/>
        </w:rPr>
        <w:t>ć ojcostwo po śmierci dziecka i </w:t>
      </w:r>
      <w:r w:rsidRPr="008B044F">
        <w:rPr>
          <w:rFonts w:ascii="Times New Roman" w:hAnsi="Times New Roman" w:cs="Times New Roman"/>
        </w:rPr>
        <w:t>współdziałał w tym zakresie z matką dziecka. Pamiętać przy tym należy, że uznanie ojcostwa zmarłego dziecka może nastąpić w termi</w:t>
      </w:r>
      <w:r>
        <w:rPr>
          <w:rFonts w:ascii="Times New Roman" w:hAnsi="Times New Roman" w:cs="Times New Roman"/>
        </w:rPr>
        <w:t>nie sześciu miesięcy od dnia, w</w:t>
      </w:r>
      <w:r w:rsidR="00731F39">
        <w:rPr>
          <w:rFonts w:ascii="Times New Roman" w:hAnsi="Times New Roman" w:cs="Times New Roman"/>
        </w:rPr>
        <w:t> </w:t>
      </w:r>
      <w:r w:rsidRPr="008B044F">
        <w:rPr>
          <w:rFonts w:ascii="Times New Roman" w:hAnsi="Times New Roman" w:cs="Times New Roman"/>
        </w:rPr>
        <w:t xml:space="preserve">którym uznający dowiedział się o śmierci dziecka (art. 76 § 2 k.r.o.). Jest to zatem </w:t>
      </w:r>
      <w:r w:rsidRPr="008B044F">
        <w:rPr>
          <w:rFonts w:ascii="Times New Roman" w:hAnsi="Times New Roman" w:cs="Times New Roman"/>
        </w:rPr>
        <w:lastRenderedPageBreak/>
        <w:t xml:space="preserve">krótki termin, w czasie którego sprawa o zaprzeczenie ojcostwa może się nie zakończyć, a jego upływ powoduje niedopuszczalność uznania ojcostwa. </w:t>
      </w:r>
    </w:p>
    <w:p w14:paraId="4BC8B272" w14:textId="77777777" w:rsidR="008B044F" w:rsidRPr="008B044F" w:rsidRDefault="008B044F" w:rsidP="008B044F">
      <w:pPr>
        <w:pStyle w:val="CZWSPPKTczwsplnapunktw"/>
        <w:spacing w:before="120"/>
        <w:rPr>
          <w:rFonts w:ascii="Times New Roman" w:hAnsi="Times New Roman" w:cs="Times New Roman"/>
        </w:rPr>
      </w:pPr>
      <w:r w:rsidRPr="008B044F">
        <w:rPr>
          <w:rFonts w:ascii="Times New Roman" w:hAnsi="Times New Roman" w:cs="Times New Roman"/>
        </w:rPr>
        <w:t>Spełnienie drugiej z proponowanych przez Trybunał Konstytucyjny przesłanki warunkującej możliwość wniesienia powództwa o zaprzeczenia ojcostwa po śmierci dziecka, tj. uzyskanie sądowego ustalenia ojcostwa, jest tym bardziej problematyczne. Nie jest możliwe wystąpienie z powództwem o ustalenie ojcostwa przed obaleniem domniemania, że ojcem dziecka jest mąż jego matki (art. 72 § 1 k.r.o.). Matka dziecka wytaczająca powództwo o zaprzeczenie ojcostwa może zatem co najwyżej złożyć oświadczenie, że wystąpi z powództwem o ustalenie ojcostwa, ale po pierwsze nie wiadomo czy to uczyni, a po drugie nie wiadomo, jaki</w:t>
      </w:r>
      <w:r w:rsidR="00731F39">
        <w:rPr>
          <w:rFonts w:ascii="Times New Roman" w:hAnsi="Times New Roman" w:cs="Times New Roman"/>
        </w:rPr>
        <w:t xml:space="preserve"> będzie wynik takiego procesu i </w:t>
      </w:r>
      <w:r w:rsidRPr="008B044F">
        <w:rPr>
          <w:rFonts w:ascii="Times New Roman" w:hAnsi="Times New Roman" w:cs="Times New Roman"/>
        </w:rPr>
        <w:t xml:space="preserve">czy dojdzie do ustalenia ojcostwa. Mąż matki dziecka nie ma legitymacji czynnej do wytoczenia powództwa o ustalenie ojcostwa innego mężczyzny. Nie mógłby on zatem wystąpić z powództwem o zaprzeczenie ojcostwa po śmierci dziecka. </w:t>
      </w:r>
    </w:p>
    <w:p w14:paraId="6D7295E1" w14:textId="77777777" w:rsidR="008B044F" w:rsidRPr="008B044F" w:rsidRDefault="008B044F" w:rsidP="008B044F">
      <w:pPr>
        <w:pStyle w:val="CZWSPPKTczwsplnapunktw"/>
        <w:spacing w:before="120"/>
        <w:rPr>
          <w:rFonts w:ascii="Times New Roman" w:hAnsi="Times New Roman" w:cs="Times New Roman"/>
        </w:rPr>
      </w:pPr>
      <w:r w:rsidRPr="008B044F">
        <w:rPr>
          <w:rFonts w:ascii="Times New Roman" w:hAnsi="Times New Roman" w:cs="Times New Roman"/>
        </w:rPr>
        <w:t xml:space="preserve">Reasumując, brak jest mechanizmów, które mogłyby zagwarantować, że po zaprzeczeniu ojcostwa stan cywilny zmarłego dziecka zostanie ustalony. Prowadzi to do konkluzji, że zmiana Kodeksu rodzinnego i opiekuńczego, uwzględniająca skutki orzeczenia Trybunału Konstytucyjnego, powinna ograniczać się do umożliwienia ukończenia procesów </w:t>
      </w:r>
      <w:r>
        <w:rPr>
          <w:rFonts w:ascii="Times New Roman" w:hAnsi="Times New Roman" w:cs="Times New Roman"/>
        </w:rPr>
        <w:t>o</w:t>
      </w:r>
      <w:r w:rsidR="00731F39">
        <w:rPr>
          <w:rFonts w:ascii="Times New Roman" w:hAnsi="Times New Roman" w:cs="Times New Roman"/>
        </w:rPr>
        <w:t xml:space="preserve"> </w:t>
      </w:r>
      <w:r w:rsidRPr="008B044F">
        <w:rPr>
          <w:rFonts w:ascii="Times New Roman" w:hAnsi="Times New Roman" w:cs="Times New Roman"/>
        </w:rPr>
        <w:t>zaprzeczenie ojcostwa (projektowany art. 70</w:t>
      </w:r>
      <w:r w:rsidRPr="008B044F">
        <w:rPr>
          <w:rStyle w:val="IGindeksgrny"/>
          <w:rFonts w:ascii="Times New Roman" w:hAnsi="Times New Roman" w:cs="Times New Roman"/>
        </w:rPr>
        <w:t xml:space="preserve">1 </w:t>
      </w:r>
      <w:r w:rsidR="00731F39">
        <w:rPr>
          <w:rFonts w:ascii="Times New Roman" w:hAnsi="Times New Roman" w:cs="Times New Roman"/>
        </w:rPr>
        <w:t>k.r.o.), a </w:t>
      </w:r>
      <w:r w:rsidRPr="008B044F">
        <w:rPr>
          <w:rFonts w:ascii="Times New Roman" w:hAnsi="Times New Roman" w:cs="Times New Roman"/>
        </w:rPr>
        <w:t>konsekwentnie też – celem ujednolicenia regulacji w tym zakresie – o zaprzeczenie macierzyństwa</w:t>
      </w:r>
      <w:r>
        <w:rPr>
          <w:rFonts w:ascii="Times New Roman" w:hAnsi="Times New Roman" w:cs="Times New Roman"/>
        </w:rPr>
        <w:t xml:space="preserve"> (projektowany art.</w:t>
      </w:r>
      <w:r w:rsidR="00731F39">
        <w:rPr>
          <w:rFonts w:ascii="Times New Roman" w:hAnsi="Times New Roman" w:cs="Times New Roman"/>
        </w:rPr>
        <w:t xml:space="preserve"> </w:t>
      </w:r>
      <w:r w:rsidRPr="008B044F">
        <w:rPr>
          <w:rFonts w:ascii="Times New Roman" w:hAnsi="Times New Roman" w:cs="Times New Roman"/>
        </w:rPr>
        <w:t>61</w:t>
      </w:r>
      <w:r w:rsidRPr="008B044F">
        <w:rPr>
          <w:rStyle w:val="IGindeksgrny"/>
          <w:rFonts w:ascii="Times New Roman" w:hAnsi="Times New Roman" w:cs="Times New Roman"/>
        </w:rPr>
        <w:t>15</w:t>
      </w:r>
      <w:r w:rsidRPr="008B044F">
        <w:rPr>
          <w:rFonts w:ascii="Times New Roman" w:hAnsi="Times New Roman" w:cs="Times New Roman"/>
        </w:rPr>
        <w:t xml:space="preserve"> § 1 k.r.o.) oraz o ustalenie bezskuteczności uznania ojcostwa </w:t>
      </w:r>
      <w:r>
        <w:rPr>
          <w:rFonts w:ascii="Times New Roman" w:hAnsi="Times New Roman" w:cs="Times New Roman"/>
        </w:rPr>
        <w:t>(projektowany art. 83 §</w:t>
      </w:r>
      <w:r w:rsidR="00731F39">
        <w:rPr>
          <w:rFonts w:ascii="Times New Roman" w:hAnsi="Times New Roman" w:cs="Times New Roman"/>
        </w:rPr>
        <w:t xml:space="preserve"> </w:t>
      </w:r>
      <w:r w:rsidRPr="008B044F">
        <w:rPr>
          <w:rFonts w:ascii="Times New Roman" w:hAnsi="Times New Roman" w:cs="Times New Roman"/>
        </w:rPr>
        <w:t xml:space="preserve">1 k.r.o.), wszczętych za życia dziecka (taka też sytuacja miała miejsce w sprawie, na kanwie której orzekał Trybunał Konstytucyjny). W następstwie tych rozwiązań, powinna również nastąpić możliwość ustalenia na drodze sądowej macierzyństwa lub ojcostwa po śmierci dziecka (możliwość uznania ojcostwa po śmierci dziecka została wprowadzona do art. 76 § 2 k.r.o. w wyniku orzeczenia Trybunału Konstytucyjnego z dnia 16 lipca 2007 r. wydanego </w:t>
      </w:r>
      <w:r>
        <w:rPr>
          <w:rFonts w:ascii="Times New Roman" w:hAnsi="Times New Roman" w:cs="Times New Roman"/>
        </w:rPr>
        <w:t>w</w:t>
      </w:r>
      <w:r w:rsidR="00731F39">
        <w:rPr>
          <w:rFonts w:ascii="Times New Roman" w:hAnsi="Times New Roman" w:cs="Times New Roman"/>
        </w:rPr>
        <w:t xml:space="preserve"> </w:t>
      </w:r>
      <w:r w:rsidRPr="008B044F">
        <w:rPr>
          <w:rFonts w:ascii="Times New Roman" w:hAnsi="Times New Roman" w:cs="Times New Roman"/>
        </w:rPr>
        <w:t>sprawie SK 61/06, choć z uwagi na krótki termin – 6 miesięcy,</w:t>
      </w:r>
      <w:r w:rsidR="00731F39">
        <w:rPr>
          <w:rFonts w:ascii="Times New Roman" w:hAnsi="Times New Roman" w:cs="Times New Roman"/>
        </w:rPr>
        <w:t xml:space="preserve"> od dnia w </w:t>
      </w:r>
      <w:r w:rsidRPr="008B044F">
        <w:rPr>
          <w:rFonts w:ascii="Times New Roman" w:hAnsi="Times New Roman" w:cs="Times New Roman"/>
        </w:rPr>
        <w:t xml:space="preserve">którym mężczyzna dowiedział się o jego śmierci – możliwość uznania ojcostwa po uprzednim zaprzeczeniu, w trakcie którego dziecko zmarło, może być iluzoryczna). </w:t>
      </w:r>
    </w:p>
    <w:p w14:paraId="5FECCA1A" w14:textId="77777777" w:rsidR="008B044F" w:rsidRPr="008B044F" w:rsidRDefault="008B044F" w:rsidP="008B044F">
      <w:pPr>
        <w:pStyle w:val="CZWSPPKTczwsplnapunktw"/>
        <w:spacing w:before="120"/>
        <w:rPr>
          <w:rFonts w:ascii="Times New Roman" w:hAnsi="Times New Roman" w:cs="Times New Roman"/>
        </w:rPr>
      </w:pPr>
      <w:r w:rsidRPr="008B044F">
        <w:rPr>
          <w:rFonts w:ascii="Times New Roman" w:hAnsi="Times New Roman" w:cs="Times New Roman"/>
        </w:rPr>
        <w:t>Obecna regulacja nie pozwala na ustalenie macierzyństwa lub ojcostwa po śmierci dziecka (art. 61</w:t>
      </w:r>
      <w:r w:rsidRPr="008B044F">
        <w:rPr>
          <w:rStyle w:val="IGindeksgrny"/>
          <w:rFonts w:ascii="Times New Roman" w:hAnsi="Times New Roman" w:cs="Times New Roman"/>
        </w:rPr>
        <w:t>15</w:t>
      </w:r>
      <w:r w:rsidRPr="008B044F">
        <w:rPr>
          <w:rFonts w:ascii="Times New Roman" w:hAnsi="Times New Roman" w:cs="Times New Roman"/>
        </w:rPr>
        <w:t xml:space="preserve"> i art. 84 § 1 k.r.o.), jeżeli dziecko nie było powodem w już toczącej się sprawie. Taką możliwość ma tylko prokurator (art. 61</w:t>
      </w:r>
      <w:r w:rsidRPr="008B044F">
        <w:rPr>
          <w:rStyle w:val="IGindeksgrny"/>
          <w:rFonts w:ascii="Times New Roman" w:hAnsi="Times New Roman" w:cs="Times New Roman"/>
        </w:rPr>
        <w:t xml:space="preserve">16 </w:t>
      </w:r>
      <w:r w:rsidRPr="008B044F">
        <w:rPr>
          <w:rFonts w:ascii="Times New Roman" w:hAnsi="Times New Roman" w:cs="Times New Roman"/>
        </w:rPr>
        <w:t xml:space="preserve">zdanie pierwsze i art. 86 zdanie </w:t>
      </w:r>
      <w:r w:rsidRPr="008B044F">
        <w:rPr>
          <w:rFonts w:ascii="Times New Roman" w:hAnsi="Times New Roman" w:cs="Times New Roman"/>
        </w:rPr>
        <w:lastRenderedPageBreak/>
        <w:t xml:space="preserve">pierwsze k.r.o.). Skoro uprawnienie takie posiada prokurator, nie ma żadnych powodów, aby odmawiać go matce lub domniemanemu ojcu dziecka. Należy bowiem dopuścić możliwość sądowego ustalenia macierzyństwa lub ojcostwa, także po śmierci dziecka aby wykluczyć sytuację, że stan cywilny dziecka pozostanie nieustalony. Rozwiązanie takie jest oczywistą konsekwencją dopuszczenia możliwości zaprzeczenia macierzyństwa lub ojcostwa po śmierci dziecka, </w:t>
      </w:r>
      <w:r>
        <w:rPr>
          <w:rFonts w:ascii="Times New Roman" w:hAnsi="Times New Roman" w:cs="Times New Roman"/>
        </w:rPr>
        <w:t>w</w:t>
      </w:r>
      <w:r w:rsidR="00731F39">
        <w:rPr>
          <w:rFonts w:ascii="Times New Roman" w:hAnsi="Times New Roman" w:cs="Times New Roman"/>
        </w:rPr>
        <w:t xml:space="preserve"> </w:t>
      </w:r>
      <w:r w:rsidRPr="008B044F">
        <w:rPr>
          <w:rFonts w:ascii="Times New Roman" w:hAnsi="Times New Roman" w:cs="Times New Roman"/>
        </w:rPr>
        <w:t xml:space="preserve">przypadku gdy umrze ono w toku procesu wytoczonego za jego życia, </w:t>
      </w:r>
      <w:r>
        <w:rPr>
          <w:rFonts w:ascii="Times New Roman" w:hAnsi="Times New Roman" w:cs="Times New Roman"/>
        </w:rPr>
        <w:t>wynikającej z</w:t>
      </w:r>
      <w:r w:rsidR="00731F39">
        <w:rPr>
          <w:rFonts w:ascii="Times New Roman" w:hAnsi="Times New Roman" w:cs="Times New Roman"/>
        </w:rPr>
        <w:t xml:space="preserve"> </w:t>
      </w:r>
      <w:r w:rsidRPr="008B044F">
        <w:rPr>
          <w:rFonts w:ascii="Times New Roman" w:hAnsi="Times New Roman" w:cs="Times New Roman"/>
        </w:rPr>
        <w:t>wyroku Trybunału Konstytucyjnego z dnia 26 listopada 2013 r. (sygn. akt P 33/12).</w:t>
      </w:r>
    </w:p>
    <w:p w14:paraId="1A1240E8" w14:textId="77777777" w:rsidR="008B044F" w:rsidRPr="008B044F" w:rsidRDefault="008B044F" w:rsidP="008B044F">
      <w:pPr>
        <w:pStyle w:val="CZWSPPKTczwsplnapunktw"/>
        <w:tabs>
          <w:tab w:val="left" w:pos="4820"/>
          <w:tab w:val="left" w:pos="4962"/>
        </w:tabs>
        <w:spacing w:before="120"/>
        <w:rPr>
          <w:rFonts w:ascii="Times New Roman" w:hAnsi="Times New Roman" w:cs="Times New Roman"/>
        </w:rPr>
      </w:pPr>
      <w:r w:rsidRPr="008B044F">
        <w:rPr>
          <w:rFonts w:ascii="Times New Roman" w:hAnsi="Times New Roman" w:cs="Times New Roman"/>
        </w:rPr>
        <w:t>Z powyższych względów proponuje się zmianę art. 61</w:t>
      </w:r>
      <w:r w:rsidRPr="008B044F">
        <w:rPr>
          <w:rStyle w:val="IGindeksgrny"/>
          <w:rFonts w:ascii="Times New Roman" w:hAnsi="Times New Roman" w:cs="Times New Roman"/>
        </w:rPr>
        <w:t>15</w:t>
      </w:r>
      <w:r w:rsidRPr="008B044F">
        <w:rPr>
          <w:rFonts w:ascii="Times New Roman" w:hAnsi="Times New Roman" w:cs="Times New Roman"/>
        </w:rPr>
        <w:t xml:space="preserve"> k.r.o. przez ograniczenie zakazu zaprzeczenia macierzyństwa po śmierci dziecka, zmianę art. 61</w:t>
      </w:r>
      <w:r w:rsidRPr="008B044F">
        <w:rPr>
          <w:rStyle w:val="IGindeksgrny"/>
          <w:rFonts w:ascii="Times New Roman" w:hAnsi="Times New Roman" w:cs="Times New Roman"/>
        </w:rPr>
        <w:t>10</w:t>
      </w:r>
      <w:r w:rsidRPr="008B044F">
        <w:rPr>
          <w:rFonts w:ascii="Times New Roman" w:hAnsi="Times New Roman" w:cs="Times New Roman"/>
        </w:rPr>
        <w:t xml:space="preserve"> § 2 (przeniesienie regulacji z art. 61</w:t>
      </w:r>
      <w:r w:rsidRPr="008B044F">
        <w:rPr>
          <w:rStyle w:val="IGindeksgrny"/>
          <w:rFonts w:ascii="Times New Roman" w:hAnsi="Times New Roman" w:cs="Times New Roman"/>
        </w:rPr>
        <w:t xml:space="preserve">15 </w:t>
      </w:r>
      <w:r w:rsidRPr="008B044F">
        <w:rPr>
          <w:rFonts w:ascii="Times New Roman" w:hAnsi="Times New Roman" w:cs="Times New Roman"/>
        </w:rPr>
        <w:t>zdanie drugie) oraz zmianę art. 60</w:t>
      </w:r>
      <w:r w:rsidRPr="008B044F">
        <w:rPr>
          <w:rStyle w:val="IGindeksgrny"/>
          <w:rFonts w:ascii="Times New Roman" w:hAnsi="Times New Roman" w:cs="Times New Roman"/>
        </w:rPr>
        <w:t>10</w:t>
      </w:r>
      <w:r w:rsidRPr="008B044F">
        <w:rPr>
          <w:rFonts w:ascii="Times New Roman" w:hAnsi="Times New Roman" w:cs="Times New Roman"/>
        </w:rPr>
        <w:t xml:space="preserve"> § 3, która wskazuje, że także po śmierci dziecka matka dochodzić może ustalenia macierzyństwa. W następstwie tych zmian, niezbędne staje się rów</w:t>
      </w:r>
      <w:r w:rsidR="00731F39">
        <w:rPr>
          <w:rFonts w:ascii="Times New Roman" w:hAnsi="Times New Roman" w:cs="Times New Roman"/>
        </w:rPr>
        <w:t>nież wprowadzenie zmiany w art. </w:t>
      </w:r>
      <w:r w:rsidRPr="008B044F">
        <w:rPr>
          <w:rFonts w:ascii="Times New Roman" w:hAnsi="Times New Roman" w:cs="Times New Roman"/>
        </w:rPr>
        <w:t>61</w:t>
      </w:r>
      <w:r w:rsidRPr="008B044F">
        <w:rPr>
          <w:rStyle w:val="IGindeksgrny"/>
          <w:rFonts w:ascii="Times New Roman" w:hAnsi="Times New Roman" w:cs="Times New Roman"/>
        </w:rPr>
        <w:t>11</w:t>
      </w:r>
      <w:r w:rsidRPr="008B044F">
        <w:rPr>
          <w:rFonts w:ascii="Times New Roman" w:hAnsi="Times New Roman" w:cs="Times New Roman"/>
        </w:rPr>
        <w:t xml:space="preserve"> k.r.o. Stanowi on, że matka nie może wytoczyć powództwa o ustalenie macierzyństwa po osiągnięciu przez dziecko pełnoletności. Mając zatem na uwadze, że po osiągnięciu pełnoletności przez dziecko, jedynie ono może wytoczyć takie powództwo, cenzusem czasowym dla matki chcącej wnieść powództwo o ustalenie macierzyństwa po śmierci dziecka (projektowany art. 61</w:t>
      </w:r>
      <w:r w:rsidRPr="008B044F">
        <w:rPr>
          <w:rStyle w:val="IGindeksgrny"/>
          <w:rFonts w:ascii="Times New Roman" w:hAnsi="Times New Roman" w:cs="Times New Roman"/>
        </w:rPr>
        <w:t xml:space="preserve">10 </w:t>
      </w:r>
      <w:r w:rsidRPr="008B044F">
        <w:rPr>
          <w:rFonts w:ascii="Times New Roman" w:hAnsi="Times New Roman" w:cs="Times New Roman"/>
        </w:rPr>
        <w:t xml:space="preserve">§ 3 k.r.o.), powinien być dzień, w którym zmarłe dziecko osiągnęłoby </w:t>
      </w:r>
      <w:r>
        <w:rPr>
          <w:rFonts w:ascii="Times New Roman" w:hAnsi="Times New Roman" w:cs="Times New Roman"/>
        </w:rPr>
        <w:t>pełnoletność (projektowany art.</w:t>
      </w:r>
      <w:r w:rsidR="00731F39">
        <w:rPr>
          <w:rFonts w:ascii="Times New Roman" w:hAnsi="Times New Roman" w:cs="Times New Roman"/>
        </w:rPr>
        <w:t xml:space="preserve"> </w:t>
      </w:r>
      <w:r w:rsidRPr="008B044F">
        <w:rPr>
          <w:rFonts w:ascii="Times New Roman" w:hAnsi="Times New Roman" w:cs="Times New Roman"/>
        </w:rPr>
        <w:t>61</w:t>
      </w:r>
      <w:r w:rsidRPr="008B044F">
        <w:rPr>
          <w:rStyle w:val="IGindeksgrny"/>
          <w:rFonts w:ascii="Times New Roman" w:hAnsi="Times New Roman" w:cs="Times New Roman"/>
        </w:rPr>
        <w:t xml:space="preserve">11 </w:t>
      </w:r>
      <w:r w:rsidRPr="008B044F">
        <w:rPr>
          <w:rFonts w:ascii="Times New Roman" w:hAnsi="Times New Roman" w:cs="Times New Roman"/>
        </w:rPr>
        <w:t>k.r.o.). Podobne rozwiązanie proponuje się w zakresie regulacji dotyczącej sądowego ustalenia ojcostwa. Umożliwia się zatem wniesienie powództwa o ustalenie ojcostwa po śmierci dziecka matce dziecka lub domniemanemu ojcu (projektowany art. 84 § 4 k.r.o.). Tak jak w przypadku projektowanej zmiany art. 61</w:t>
      </w:r>
      <w:r w:rsidRPr="008B044F">
        <w:rPr>
          <w:rStyle w:val="IGindeksgrny"/>
          <w:rFonts w:ascii="Times New Roman" w:hAnsi="Times New Roman" w:cs="Times New Roman"/>
        </w:rPr>
        <w:t xml:space="preserve">11 </w:t>
      </w:r>
      <w:r w:rsidRPr="008B044F">
        <w:rPr>
          <w:rFonts w:ascii="Times New Roman" w:hAnsi="Times New Roman" w:cs="Times New Roman"/>
        </w:rPr>
        <w:t>k.r.o., wniesienie takiego powództwa byłoby możliwe jedynie do dnia, w którym dziecko osiągnęłoby pełnoletność (projektowany art. 84 §</w:t>
      </w:r>
      <w:r w:rsidR="00731F39">
        <w:rPr>
          <w:rFonts w:ascii="Times New Roman" w:hAnsi="Times New Roman" w:cs="Times New Roman"/>
        </w:rPr>
        <w:t xml:space="preserve"> </w:t>
      </w:r>
      <w:r w:rsidRPr="008B044F">
        <w:rPr>
          <w:rFonts w:ascii="Times New Roman" w:hAnsi="Times New Roman" w:cs="Times New Roman"/>
        </w:rPr>
        <w:t>2 k.r.o.). Przyjmowane w projektowanym art. 61</w:t>
      </w:r>
      <w:r w:rsidRPr="008B044F">
        <w:rPr>
          <w:rStyle w:val="IGindeksgrny"/>
          <w:rFonts w:ascii="Times New Roman" w:hAnsi="Times New Roman" w:cs="Times New Roman"/>
        </w:rPr>
        <w:t>10</w:t>
      </w:r>
      <w:r w:rsidRPr="008B044F">
        <w:rPr>
          <w:rFonts w:ascii="Times New Roman" w:hAnsi="Times New Roman" w:cs="Times New Roman"/>
        </w:rPr>
        <w:t xml:space="preserve"> § 2 zdanie drugie, art. 61</w:t>
      </w:r>
      <w:r w:rsidRPr="008B044F">
        <w:rPr>
          <w:rStyle w:val="IGindeksgrny"/>
          <w:rFonts w:ascii="Times New Roman" w:hAnsi="Times New Roman" w:cs="Times New Roman"/>
        </w:rPr>
        <w:t>15</w:t>
      </w:r>
      <w:r w:rsidRPr="008B044F">
        <w:rPr>
          <w:rFonts w:ascii="Times New Roman" w:hAnsi="Times New Roman" w:cs="Times New Roman"/>
        </w:rPr>
        <w:t xml:space="preserve"> § 2, art. 70</w:t>
      </w:r>
      <w:r w:rsidRPr="008B044F">
        <w:rPr>
          <w:rStyle w:val="IGindeksgrny"/>
          <w:rFonts w:ascii="Times New Roman" w:hAnsi="Times New Roman" w:cs="Times New Roman"/>
        </w:rPr>
        <w:t>1</w:t>
      </w:r>
      <w:r w:rsidRPr="008B044F">
        <w:rPr>
          <w:rFonts w:ascii="Times New Roman" w:hAnsi="Times New Roman" w:cs="Times New Roman"/>
        </w:rPr>
        <w:t xml:space="preserve"> </w:t>
      </w:r>
      <w:r>
        <w:rPr>
          <w:rFonts w:ascii="Times New Roman" w:hAnsi="Times New Roman" w:cs="Times New Roman"/>
        </w:rPr>
        <w:t>§</w:t>
      </w:r>
      <w:r w:rsidR="00731F39">
        <w:rPr>
          <w:rFonts w:ascii="Times New Roman" w:hAnsi="Times New Roman" w:cs="Times New Roman"/>
        </w:rPr>
        <w:t xml:space="preserve"> </w:t>
      </w:r>
      <w:r w:rsidRPr="008B044F">
        <w:rPr>
          <w:rFonts w:ascii="Times New Roman" w:hAnsi="Times New Roman" w:cs="Times New Roman"/>
        </w:rPr>
        <w:t xml:space="preserve">2 i art. 84 § 5 k.r.o., rozwiązanie dotyczące uprawnienia zstępnych zmarłego dziecka do dochodzenia określonych tymi przepisami powództw, powielone zostaje w przypadku instytucji ustalenia bezskuteczności uznania ojcostwa, to jest w projektowanym art. 83 § 2 k.r.o. W tym artykule treść obecnego § 2 proponuje się oznaczyć jako § 3, zaś § 1 zostaje uzupełniony o możliwość ustalenia bezskuteczności uznania dziecka również po śmierci dziecka, jeżeli dziecko zmarło po wszczęciu postępowania. To ostatnie rozwiązanie koresponduje, jak już wskazano, </w:t>
      </w:r>
      <w:r w:rsidR="00731F39">
        <w:rPr>
          <w:rFonts w:ascii="Times New Roman" w:hAnsi="Times New Roman" w:cs="Times New Roman"/>
        </w:rPr>
        <w:t>z </w:t>
      </w:r>
      <w:r w:rsidRPr="008B044F">
        <w:rPr>
          <w:rFonts w:ascii="Times New Roman" w:hAnsi="Times New Roman" w:cs="Times New Roman"/>
        </w:rPr>
        <w:t>projektowanym art. 61</w:t>
      </w:r>
      <w:r w:rsidRPr="008B044F">
        <w:rPr>
          <w:rStyle w:val="IGindeksgrny"/>
          <w:rFonts w:ascii="Times New Roman" w:hAnsi="Times New Roman" w:cs="Times New Roman"/>
        </w:rPr>
        <w:t xml:space="preserve">15 </w:t>
      </w:r>
      <w:r w:rsidRPr="008B044F">
        <w:rPr>
          <w:rFonts w:ascii="Times New Roman" w:hAnsi="Times New Roman" w:cs="Times New Roman"/>
        </w:rPr>
        <w:t>§ 1 i art. 70</w:t>
      </w:r>
      <w:r w:rsidRPr="008B044F">
        <w:rPr>
          <w:rStyle w:val="IGindeksgrny"/>
          <w:rFonts w:ascii="Times New Roman" w:hAnsi="Times New Roman" w:cs="Times New Roman"/>
        </w:rPr>
        <w:t xml:space="preserve">1 </w:t>
      </w:r>
      <w:r w:rsidRPr="008B044F">
        <w:rPr>
          <w:rFonts w:ascii="Times New Roman" w:hAnsi="Times New Roman" w:cs="Times New Roman"/>
        </w:rPr>
        <w:t>§ 1 k.r.o.</w:t>
      </w:r>
    </w:p>
    <w:p w14:paraId="4950C89E" w14:textId="1567D33F" w:rsidR="008B044F" w:rsidRPr="008B044F" w:rsidRDefault="008B044F" w:rsidP="008B044F">
      <w:pPr>
        <w:pStyle w:val="CZWSPPKTczwsplnapunktw"/>
        <w:tabs>
          <w:tab w:val="left" w:pos="4962"/>
        </w:tabs>
        <w:spacing w:before="120"/>
        <w:rPr>
          <w:rFonts w:ascii="Times New Roman" w:hAnsi="Times New Roman" w:cs="Times New Roman"/>
        </w:rPr>
      </w:pPr>
      <w:r w:rsidRPr="008B044F">
        <w:rPr>
          <w:rFonts w:ascii="Times New Roman" w:hAnsi="Times New Roman" w:cs="Times New Roman"/>
        </w:rPr>
        <w:lastRenderedPageBreak/>
        <w:t>W myśl art. 61</w:t>
      </w:r>
      <w:r w:rsidRPr="008B044F">
        <w:rPr>
          <w:rStyle w:val="IGindeksgrny"/>
          <w:rFonts w:ascii="Times New Roman" w:hAnsi="Times New Roman" w:cs="Times New Roman"/>
        </w:rPr>
        <w:t>16</w:t>
      </w:r>
      <w:r w:rsidRPr="008B044F">
        <w:rPr>
          <w:rFonts w:ascii="Times New Roman" w:hAnsi="Times New Roman" w:cs="Times New Roman"/>
        </w:rPr>
        <w:t xml:space="preserve"> oraz art. 86 k.r.o. prokurator może wytoczyć powództwo </w:t>
      </w:r>
      <w:r w:rsidR="00731F39">
        <w:rPr>
          <w:rFonts w:ascii="Times New Roman" w:hAnsi="Times New Roman" w:cs="Times New Roman"/>
        </w:rPr>
        <w:t>o </w:t>
      </w:r>
      <w:r w:rsidRPr="008B044F">
        <w:rPr>
          <w:rFonts w:ascii="Times New Roman" w:hAnsi="Times New Roman" w:cs="Times New Roman"/>
        </w:rPr>
        <w:t>zaprzeczenie macierzyństwa lub ojcostwa oraz o ustalenie macierzyństwa lub ojcostwa, a także o ustalenie bezskuteczności uznania ojcostwa tylko wtedy, gdy wymaga tego dobro dziecka lub ochrona interesu społecznego, które to pojęcia są ocenne, a ich wykładnia pozostawiona uznaniu prokuratora, który nie musi uzasadniać sw</w:t>
      </w:r>
      <w:r w:rsidR="0092429B">
        <w:rPr>
          <w:rFonts w:ascii="Times New Roman" w:hAnsi="Times New Roman" w:cs="Times New Roman"/>
        </w:rPr>
        <w:t>oj</w:t>
      </w:r>
      <w:r w:rsidRPr="008B044F">
        <w:rPr>
          <w:rFonts w:ascii="Times New Roman" w:hAnsi="Times New Roman" w:cs="Times New Roman"/>
        </w:rPr>
        <w:t>ej decyzji co do niewszczynania procesu. Z uwagi na krótki termin do wytoczenia powództwa o zaprzeczenie macierzyństwa lub ojcostwa (sześć miesięcy od dnia sporządzenia aktu urodzenia dziecka – art. 61</w:t>
      </w:r>
      <w:r w:rsidRPr="008B044F">
        <w:rPr>
          <w:rStyle w:val="IGindeksgrny"/>
          <w:rFonts w:ascii="Times New Roman" w:hAnsi="Times New Roman" w:cs="Times New Roman"/>
        </w:rPr>
        <w:t>13</w:t>
      </w:r>
      <w:r w:rsidRPr="008B044F">
        <w:rPr>
          <w:rFonts w:ascii="Times New Roman" w:hAnsi="Times New Roman" w:cs="Times New Roman"/>
        </w:rPr>
        <w:t xml:space="preserve"> § 1 k.r.o. lub od dnia, </w:t>
      </w:r>
      <w:r>
        <w:rPr>
          <w:rFonts w:ascii="Times New Roman" w:hAnsi="Times New Roman" w:cs="Times New Roman"/>
        </w:rPr>
        <w:t>w</w:t>
      </w:r>
      <w:r w:rsidR="00731F39">
        <w:rPr>
          <w:rFonts w:ascii="Times New Roman" w:hAnsi="Times New Roman" w:cs="Times New Roman"/>
        </w:rPr>
        <w:t xml:space="preserve"> </w:t>
      </w:r>
      <w:r w:rsidRPr="008B044F">
        <w:rPr>
          <w:rFonts w:ascii="Times New Roman" w:hAnsi="Times New Roman" w:cs="Times New Roman"/>
        </w:rPr>
        <w:t xml:space="preserve">którym mąż matki dowiedział się o urodzeniu dziecka przez żonę – art. 63 k.r.o.), </w:t>
      </w:r>
      <w:r w:rsidR="00C65A1F" w:rsidRPr="008B044F">
        <w:rPr>
          <w:rFonts w:ascii="Times New Roman" w:hAnsi="Times New Roman" w:cs="Times New Roman"/>
        </w:rPr>
        <w:t xml:space="preserve">jest </w:t>
      </w:r>
      <w:r w:rsidRPr="008B044F">
        <w:rPr>
          <w:rFonts w:ascii="Times New Roman" w:hAnsi="Times New Roman" w:cs="Times New Roman"/>
        </w:rPr>
        <w:t>celowe pozostawienie prokuratorowi powyższych uprawnień, gdyż bardzo często jest to jedyny sposób ustalenia pochodzenia dziecka. Trybunał Konstytucyjny w wyroku będącym źródłem przedmiotowego projektu wskazał, że konsekwencją przyjęcia niekonstytucyjności art. 71 k.r.o., powinna być również stosowna modyfikacja art. 86 k.r.o. Potrzeba spójności regulacji wymaga z kolei aby analogiczna zmiana została wprowadzona w art. 61</w:t>
      </w:r>
      <w:r w:rsidRPr="008B044F">
        <w:rPr>
          <w:rStyle w:val="IGindeksgrny"/>
          <w:rFonts w:ascii="Times New Roman" w:hAnsi="Times New Roman" w:cs="Times New Roman"/>
        </w:rPr>
        <w:t>16</w:t>
      </w:r>
      <w:r w:rsidRPr="008B044F">
        <w:rPr>
          <w:rFonts w:ascii="Times New Roman" w:hAnsi="Times New Roman" w:cs="Times New Roman"/>
        </w:rPr>
        <w:t xml:space="preserve"> k.r.o. Projektowane ograniczenia w zakresie możliwości wnoszenia określonego powództwa po śmierci dziecka, </w:t>
      </w:r>
      <w:r>
        <w:rPr>
          <w:rFonts w:ascii="Times New Roman" w:hAnsi="Times New Roman" w:cs="Times New Roman"/>
        </w:rPr>
        <w:t>o</w:t>
      </w:r>
      <w:r w:rsidR="00731F39">
        <w:rPr>
          <w:rFonts w:ascii="Times New Roman" w:hAnsi="Times New Roman" w:cs="Times New Roman"/>
        </w:rPr>
        <w:t xml:space="preserve"> </w:t>
      </w:r>
      <w:r w:rsidRPr="008B044F">
        <w:rPr>
          <w:rFonts w:ascii="Times New Roman" w:hAnsi="Times New Roman" w:cs="Times New Roman"/>
        </w:rPr>
        <w:t>których mowa w art. 61</w:t>
      </w:r>
      <w:r w:rsidRPr="008B044F">
        <w:rPr>
          <w:rStyle w:val="IGindeksgrny"/>
          <w:rFonts w:ascii="Times New Roman" w:hAnsi="Times New Roman" w:cs="Times New Roman"/>
        </w:rPr>
        <w:t>15</w:t>
      </w:r>
      <w:r w:rsidRPr="008B044F">
        <w:rPr>
          <w:rFonts w:ascii="Times New Roman" w:hAnsi="Times New Roman" w:cs="Times New Roman"/>
        </w:rPr>
        <w:t xml:space="preserve"> § 1, art. 70</w:t>
      </w:r>
      <w:r w:rsidRPr="008B044F">
        <w:rPr>
          <w:rStyle w:val="IGindeksgrny"/>
          <w:rFonts w:ascii="Times New Roman" w:hAnsi="Times New Roman" w:cs="Times New Roman"/>
        </w:rPr>
        <w:t>1</w:t>
      </w:r>
      <w:r w:rsidRPr="008B044F">
        <w:rPr>
          <w:rFonts w:ascii="Times New Roman" w:hAnsi="Times New Roman" w:cs="Times New Roman"/>
        </w:rPr>
        <w:t xml:space="preserve"> § 1 i art. 83 § 1 k.r.o., nie powinny jednak dotyczyć prokuratora. Nie da się bowiem przewidzieć wszystkich możliwych zdarzeń kiedy z punktu widzenia interesu społecznego lub dobra dziecka zasadne byłoby rozstrzygnięcie w zakresie filiacji, zaś strony utraciły już legitymację do wniesienia powództwa. Interwencja prokuratora jako strażnika praworządności byłaby wówczas pożądana. Mając jednak na uwadze potrzebę systemowego ujednolicenia projektowanej regulacji, w tym w kontekście obowiązujących rozwiązań dotyczących możliwości uznania ojcostwa po śmierci dziecka (art. 76 k.r.o.), należało również w przypadku możliwości wnoszen</w:t>
      </w:r>
      <w:r>
        <w:rPr>
          <w:rFonts w:ascii="Times New Roman" w:hAnsi="Times New Roman" w:cs="Times New Roman"/>
        </w:rPr>
        <w:t>ia przez prokuratora powództw o</w:t>
      </w:r>
      <w:r w:rsidR="00731F39">
        <w:rPr>
          <w:rFonts w:ascii="Times New Roman" w:hAnsi="Times New Roman" w:cs="Times New Roman"/>
        </w:rPr>
        <w:t xml:space="preserve"> </w:t>
      </w:r>
      <w:r w:rsidRPr="008B044F">
        <w:rPr>
          <w:rFonts w:ascii="Times New Roman" w:hAnsi="Times New Roman" w:cs="Times New Roman"/>
        </w:rPr>
        <w:t>ustalenie macierzyństwa lub ojcostwa, o zaprzeczenie ma</w:t>
      </w:r>
      <w:r>
        <w:rPr>
          <w:rFonts w:ascii="Times New Roman" w:hAnsi="Times New Roman" w:cs="Times New Roman"/>
        </w:rPr>
        <w:t>cierzyństwa lub ojcostwa oraz o</w:t>
      </w:r>
      <w:r w:rsidR="00731F39">
        <w:rPr>
          <w:rFonts w:ascii="Times New Roman" w:hAnsi="Times New Roman" w:cs="Times New Roman"/>
        </w:rPr>
        <w:t xml:space="preserve"> </w:t>
      </w:r>
      <w:r w:rsidRPr="008B044F">
        <w:rPr>
          <w:rFonts w:ascii="Times New Roman" w:hAnsi="Times New Roman" w:cs="Times New Roman"/>
        </w:rPr>
        <w:t xml:space="preserve">ustalenie bezskuteczności uznania ojcostwa, przyjąć ograniczenie czasowe, stąd propozycja zmiany projektowanego art. 86 </w:t>
      </w:r>
      <w:r w:rsidR="00C65A1F">
        <w:rPr>
          <w:rFonts w:ascii="Times New Roman" w:hAnsi="Times New Roman" w:cs="Times New Roman"/>
        </w:rPr>
        <w:t>k.r.o.</w:t>
      </w:r>
      <w:r w:rsidR="00D84D43">
        <w:rPr>
          <w:rFonts w:ascii="Times New Roman" w:hAnsi="Times New Roman" w:cs="Times New Roman"/>
        </w:rPr>
        <w:t xml:space="preserve"> </w:t>
      </w:r>
      <w:r w:rsidR="00D84D43" w:rsidRPr="008B044F">
        <w:rPr>
          <w:rFonts w:ascii="Times New Roman" w:hAnsi="Times New Roman" w:cs="Times New Roman"/>
        </w:rPr>
        <w:t>i</w:t>
      </w:r>
      <w:r w:rsidR="00D84D43">
        <w:rPr>
          <w:rFonts w:ascii="Times New Roman" w:hAnsi="Times New Roman" w:cs="Times New Roman"/>
        </w:rPr>
        <w:t> </w:t>
      </w:r>
      <w:r w:rsidRPr="008B044F">
        <w:rPr>
          <w:rFonts w:ascii="Times New Roman" w:hAnsi="Times New Roman" w:cs="Times New Roman"/>
        </w:rPr>
        <w:t>konsekwentnie projektowanego art. 61</w:t>
      </w:r>
      <w:r w:rsidRPr="008B044F">
        <w:rPr>
          <w:rStyle w:val="IGindeksgrny"/>
          <w:rFonts w:ascii="Times New Roman" w:hAnsi="Times New Roman" w:cs="Times New Roman"/>
        </w:rPr>
        <w:t>16</w:t>
      </w:r>
      <w:r w:rsidRPr="008B044F">
        <w:rPr>
          <w:rFonts w:ascii="Times New Roman" w:hAnsi="Times New Roman" w:cs="Times New Roman"/>
        </w:rPr>
        <w:t xml:space="preserve"> k.r.o., przez wskazanie, że jeżeli dziecko zmarło przed dojściem do pełnoletności, prokurator może wytoczyć powództwo do dnia, w którym dziecko osiągnęłoby pełnoletność. </w:t>
      </w:r>
    </w:p>
    <w:p w14:paraId="3B2D220D" w14:textId="77777777" w:rsidR="008B044F" w:rsidRPr="008B044F" w:rsidRDefault="008B044F" w:rsidP="008B044F">
      <w:pPr>
        <w:pStyle w:val="CZWSPPKTczwsplnapunktw"/>
        <w:spacing w:before="120"/>
        <w:rPr>
          <w:rFonts w:ascii="Times New Roman" w:hAnsi="Times New Roman" w:cs="Times New Roman"/>
        </w:rPr>
      </w:pPr>
      <w:r w:rsidRPr="008B044F">
        <w:rPr>
          <w:rFonts w:ascii="Times New Roman" w:hAnsi="Times New Roman" w:cs="Times New Roman"/>
        </w:rPr>
        <w:t xml:space="preserve">W związku z projektowanymi regulacjami w obszarze prawa materialnego, niezbędna staje się nowelizacja art. 456 k.p.c. celem określenia sposobu procedowania sądu po śmierci dziecka w zależności od jego roli w procesie. Z kolei w związku z charakterem </w:t>
      </w:r>
      <w:r w:rsidRPr="008B044F">
        <w:rPr>
          <w:rFonts w:ascii="Times New Roman" w:hAnsi="Times New Roman" w:cs="Times New Roman"/>
        </w:rPr>
        <w:lastRenderedPageBreak/>
        <w:t xml:space="preserve">uprawnienia prokuratora do wytaczania powództwa po śmierci dziecka, zachodzi konieczność nowelizacji art. 454 k.p.c. w zakresie regulacji dotyczącej kierowania pozwu przeciwko kuratorowi </w:t>
      </w:r>
      <w:r w:rsidR="00731F39">
        <w:rPr>
          <w:rFonts w:ascii="Times New Roman" w:hAnsi="Times New Roman" w:cs="Times New Roman"/>
        </w:rPr>
        <w:t xml:space="preserve">w </w:t>
      </w:r>
      <w:r w:rsidRPr="008B044F">
        <w:rPr>
          <w:rFonts w:ascii="Times New Roman" w:hAnsi="Times New Roman" w:cs="Times New Roman"/>
        </w:rPr>
        <w:t xml:space="preserve">przypadku gdy dziecko nie żyje. </w:t>
      </w:r>
    </w:p>
    <w:p w14:paraId="4D801F98" w14:textId="7112D333" w:rsidR="008B044F" w:rsidRPr="008B044F" w:rsidRDefault="008B044F" w:rsidP="008B044F">
      <w:pPr>
        <w:pStyle w:val="CZWSPPKTczwsplnapunktw"/>
        <w:spacing w:before="120"/>
        <w:rPr>
          <w:rFonts w:ascii="Times New Roman" w:hAnsi="Times New Roman" w:cs="Times New Roman"/>
        </w:rPr>
      </w:pPr>
      <w:r w:rsidRPr="008B044F">
        <w:rPr>
          <w:rFonts w:ascii="Times New Roman" w:hAnsi="Times New Roman" w:cs="Times New Roman"/>
        </w:rPr>
        <w:t>Proponowane zmiany w art. 99 k.r.o. wykonują postanowie</w:t>
      </w:r>
      <w:r w:rsidR="00731F39">
        <w:rPr>
          <w:rFonts w:ascii="Times New Roman" w:hAnsi="Times New Roman" w:cs="Times New Roman"/>
        </w:rPr>
        <w:t xml:space="preserve">nie Trybunału Konstytucyjnego z </w:t>
      </w:r>
      <w:r w:rsidRPr="008B044F">
        <w:rPr>
          <w:rFonts w:ascii="Times New Roman" w:hAnsi="Times New Roman" w:cs="Times New Roman"/>
        </w:rPr>
        <w:t xml:space="preserve">dnia 11 lutego 2014 r. (sygn. akt S 2/14). Postanowienie to zostało wydane na tle reprezentacji dziecka jako pokrzywdzonego w postępowaniu karnym. Wprawdzie w sentencji postanowienia </w:t>
      </w:r>
      <w:r w:rsidR="00C65A1F" w:rsidRPr="008B044F">
        <w:rPr>
          <w:rFonts w:ascii="Times New Roman" w:hAnsi="Times New Roman" w:cs="Times New Roman"/>
        </w:rPr>
        <w:t xml:space="preserve">jest </w:t>
      </w:r>
      <w:r w:rsidRPr="008B044F">
        <w:rPr>
          <w:rFonts w:ascii="Times New Roman" w:hAnsi="Times New Roman" w:cs="Times New Roman"/>
        </w:rPr>
        <w:t xml:space="preserve">mowa tylko o postępowaniu karnym, niemniej jednak z uzasadnienia postanowienia wynika, że postulaty legislacyjne dotyczą norm prawa rodzinnego i nie mogą być rozpatrywane tylko w odniesieniu do postępowania karnego. Chodzi tu o dwa postulaty Trybunału Konstytucyjnego: wprowadzenia unormowania zapewniającego odpowiednie kwalifikacje oraz kompetencje kuratora z art. 99 k.r.o, oraz nałożenia na kuratora z art. 99 k.r.o. obowiązków informacyjnych, czy wręcz obowiązku konsultacji w stosunku do rodzica sprawującego pieczę nad dzieckiem. </w:t>
      </w:r>
    </w:p>
    <w:p w14:paraId="4748E003" w14:textId="33EB84FB" w:rsidR="008B044F" w:rsidRPr="008B044F" w:rsidRDefault="008B044F" w:rsidP="00731F39">
      <w:pPr>
        <w:pStyle w:val="USTustnpkodeksu"/>
        <w:tabs>
          <w:tab w:val="left" w:pos="4820"/>
          <w:tab w:val="left" w:pos="5103"/>
          <w:tab w:val="left" w:pos="5245"/>
        </w:tabs>
        <w:spacing w:before="120"/>
        <w:ind w:firstLine="0"/>
        <w:rPr>
          <w:rFonts w:ascii="Times New Roman" w:hAnsi="Times New Roman" w:cs="Times New Roman"/>
        </w:rPr>
      </w:pPr>
      <w:r w:rsidRPr="008B044F">
        <w:rPr>
          <w:rFonts w:ascii="Times New Roman" w:hAnsi="Times New Roman" w:cs="Times New Roman"/>
        </w:rPr>
        <w:t>Zmiany te zmierzają także do realizacji postulatów zgłaszanych przez przedstawicieli doktryny w zakresie instytucji kuratora z art. 99 k.r.o. oraz niepublikowanych wyników badań przeprowadzonych w 2018 r</w:t>
      </w:r>
      <w:r w:rsidR="0092429B">
        <w:rPr>
          <w:rFonts w:ascii="Times New Roman" w:hAnsi="Times New Roman" w:cs="Times New Roman"/>
        </w:rPr>
        <w:t>.</w:t>
      </w:r>
      <w:r w:rsidRPr="008B044F">
        <w:rPr>
          <w:rFonts w:ascii="Times New Roman" w:hAnsi="Times New Roman" w:cs="Times New Roman"/>
        </w:rPr>
        <w:t xml:space="preserve"> przez U</w:t>
      </w:r>
      <w:r w:rsidR="00731F39">
        <w:rPr>
          <w:rFonts w:ascii="Times New Roman" w:hAnsi="Times New Roman" w:cs="Times New Roman"/>
        </w:rPr>
        <w:t>niwersytet Mikołaja Kopernika w </w:t>
      </w:r>
      <w:r w:rsidRPr="008B044F">
        <w:rPr>
          <w:rFonts w:ascii="Times New Roman" w:hAnsi="Times New Roman" w:cs="Times New Roman"/>
        </w:rPr>
        <w:t xml:space="preserve">Toruniu we współpracy z Instytutem Wymiaru Sprawiedliwości. Projektowane przepisy przewidują zatem: zobowiązanie kuratora do poznania, wysłuchania oraz informowania dziecka </w:t>
      </w:r>
      <w:r w:rsidR="00731F39">
        <w:rPr>
          <w:rFonts w:ascii="Times New Roman" w:hAnsi="Times New Roman" w:cs="Times New Roman"/>
        </w:rPr>
        <w:t xml:space="preserve">o </w:t>
      </w:r>
      <w:r w:rsidRPr="008B044F">
        <w:rPr>
          <w:rFonts w:ascii="Times New Roman" w:hAnsi="Times New Roman" w:cs="Times New Roman"/>
        </w:rPr>
        <w:t xml:space="preserve">podejmowanych w jego sprawie działaniach, nałożenie na kuratora obowiązku zachowania w tajemnicy informacji, które powziął przy wykonywaniu tej funkcji, uregulowanie zasad wynagradzania kuratora, a także sprecyzowanie uprawnień i zakresu działania kuratora (vide: M. Wielec, </w:t>
      </w:r>
      <w:r w:rsidRPr="008B044F">
        <w:rPr>
          <w:rFonts w:ascii="Times New Roman" w:hAnsi="Times New Roman" w:cs="Times New Roman"/>
          <w:i/>
        </w:rPr>
        <w:t xml:space="preserve">Instytucja kuratora procesowego </w:t>
      </w:r>
      <w:r w:rsidR="00CF527A" w:rsidRPr="008B044F">
        <w:rPr>
          <w:rFonts w:ascii="Times New Roman" w:hAnsi="Times New Roman" w:cs="Times New Roman"/>
          <w:i/>
        </w:rPr>
        <w:t>w</w:t>
      </w:r>
      <w:r w:rsidR="00CF527A">
        <w:rPr>
          <w:rFonts w:ascii="Times New Roman" w:hAnsi="Times New Roman" w:cs="Times New Roman"/>
          <w:i/>
        </w:rPr>
        <w:t> </w:t>
      </w:r>
      <w:r w:rsidRPr="008B044F">
        <w:rPr>
          <w:rFonts w:ascii="Times New Roman" w:hAnsi="Times New Roman" w:cs="Times New Roman"/>
          <w:i/>
        </w:rPr>
        <w:t xml:space="preserve">postępowaniu karnym </w:t>
      </w:r>
      <w:r w:rsidR="00731F39">
        <w:rPr>
          <w:rFonts w:ascii="Times New Roman" w:hAnsi="Times New Roman" w:cs="Times New Roman"/>
          <w:i/>
        </w:rPr>
        <w:t>– uwagi na marginesie Uchwały 7 </w:t>
      </w:r>
      <w:r w:rsidRPr="008B044F">
        <w:rPr>
          <w:rFonts w:ascii="Times New Roman" w:hAnsi="Times New Roman" w:cs="Times New Roman"/>
          <w:i/>
        </w:rPr>
        <w:t xml:space="preserve">sędziów Sądu Najwyższego </w:t>
      </w:r>
      <w:r w:rsidR="007C743C" w:rsidRPr="008B044F">
        <w:rPr>
          <w:rFonts w:ascii="Times New Roman" w:hAnsi="Times New Roman" w:cs="Times New Roman"/>
          <w:i/>
        </w:rPr>
        <w:t>z</w:t>
      </w:r>
      <w:r w:rsidR="007C743C">
        <w:rPr>
          <w:rFonts w:ascii="Times New Roman" w:hAnsi="Times New Roman" w:cs="Times New Roman"/>
          <w:i/>
        </w:rPr>
        <w:t> </w:t>
      </w:r>
      <w:r w:rsidRPr="008B044F">
        <w:rPr>
          <w:rFonts w:ascii="Times New Roman" w:hAnsi="Times New Roman" w:cs="Times New Roman"/>
          <w:i/>
        </w:rPr>
        <w:t>dnia 30 września 2010 roku, sygn. I KZP 10/10</w:t>
      </w:r>
      <w:r w:rsidRPr="008B044F">
        <w:rPr>
          <w:rFonts w:ascii="Times New Roman" w:hAnsi="Times New Roman" w:cs="Times New Roman"/>
        </w:rPr>
        <w:t xml:space="preserve">, Studia Prawnicze i Administracyjne 2/2014; M. Kolendowska-Matejczuk, </w:t>
      </w:r>
      <w:r w:rsidRPr="008B044F">
        <w:rPr>
          <w:rFonts w:ascii="Times New Roman" w:hAnsi="Times New Roman" w:cs="Times New Roman"/>
          <w:i/>
        </w:rPr>
        <w:t>Kurator procesowy dla małoletniego pokrzywdzonego w procesie karnym na tle orzecznictwa Trybunału Konstytucyjnego</w:t>
      </w:r>
      <w:r w:rsidRPr="008B044F">
        <w:rPr>
          <w:rFonts w:ascii="Times New Roman" w:hAnsi="Times New Roman" w:cs="Times New Roman"/>
        </w:rPr>
        <w:t xml:space="preserve">, Prokuratura i Prawo 2015, nr 4; A. Z. Krawiec, </w:t>
      </w:r>
      <w:r w:rsidRPr="008B044F">
        <w:rPr>
          <w:rFonts w:ascii="Times New Roman" w:hAnsi="Times New Roman" w:cs="Times New Roman"/>
          <w:i/>
        </w:rPr>
        <w:t>Kurator jako podmiot reprezentujący małoletniego pokrzywdzonego w postępowaniu karnym</w:t>
      </w:r>
      <w:r w:rsidR="00731F39">
        <w:rPr>
          <w:rFonts w:ascii="Times New Roman" w:hAnsi="Times New Roman" w:cs="Times New Roman"/>
        </w:rPr>
        <w:t>, Prokuratura i </w:t>
      </w:r>
      <w:r w:rsidRPr="008B044F">
        <w:rPr>
          <w:rFonts w:ascii="Times New Roman" w:hAnsi="Times New Roman" w:cs="Times New Roman"/>
        </w:rPr>
        <w:t xml:space="preserve">Prawo 11, 2013; M. Horna-Cieślak, </w:t>
      </w:r>
      <w:r w:rsidRPr="008B044F">
        <w:rPr>
          <w:rFonts w:ascii="Times New Roman" w:hAnsi="Times New Roman" w:cs="Times New Roman"/>
          <w:i/>
        </w:rPr>
        <w:t>Prace legislacyjne dotyczące kuratora procesowego</w:t>
      </w:r>
      <w:r w:rsidRPr="008B044F">
        <w:rPr>
          <w:rFonts w:ascii="Times New Roman" w:hAnsi="Times New Roman" w:cs="Times New Roman"/>
        </w:rPr>
        <w:t xml:space="preserve"> oraz </w:t>
      </w:r>
      <w:r w:rsidR="00731F39">
        <w:rPr>
          <w:rFonts w:ascii="Times New Roman" w:hAnsi="Times New Roman" w:cs="Times New Roman"/>
        </w:rPr>
        <w:t xml:space="preserve">O. </w:t>
      </w:r>
      <w:r w:rsidRPr="008B044F">
        <w:rPr>
          <w:rFonts w:ascii="Times New Roman" w:hAnsi="Times New Roman" w:cs="Times New Roman"/>
        </w:rPr>
        <w:t xml:space="preserve">Trocha, </w:t>
      </w:r>
      <w:r w:rsidRPr="008B044F">
        <w:rPr>
          <w:rFonts w:ascii="Times New Roman" w:hAnsi="Times New Roman" w:cs="Times New Roman"/>
          <w:i/>
        </w:rPr>
        <w:t>Dylematy kuratora dla małoletniego pokrzywdzonego</w:t>
      </w:r>
      <w:r w:rsidRPr="008B044F">
        <w:rPr>
          <w:rFonts w:ascii="Times New Roman" w:hAnsi="Times New Roman" w:cs="Times New Roman"/>
        </w:rPr>
        <w:t xml:space="preserve"> [w:] Kurator procesowy dla małoletniego pokrzywdzonego. Prawne i psychologiczne aspekty udziału małoletniego </w:t>
      </w:r>
      <w:r w:rsidR="00731F39">
        <w:rPr>
          <w:rFonts w:ascii="Times New Roman" w:hAnsi="Times New Roman" w:cs="Times New Roman"/>
        </w:rPr>
        <w:t xml:space="preserve">w </w:t>
      </w:r>
      <w:r w:rsidRPr="008B044F">
        <w:rPr>
          <w:rFonts w:ascii="Times New Roman" w:hAnsi="Times New Roman" w:cs="Times New Roman"/>
        </w:rPr>
        <w:t xml:space="preserve">postępowaniu karnym, Fundacja Dajemy Dzieciom Siłę 2016). </w:t>
      </w:r>
    </w:p>
    <w:p w14:paraId="51C6AC1B" w14:textId="77777777" w:rsidR="008B044F" w:rsidRPr="008B044F" w:rsidRDefault="008B044F" w:rsidP="00731F39">
      <w:pPr>
        <w:pStyle w:val="USTustnpkodeksu"/>
        <w:spacing w:before="120"/>
        <w:ind w:firstLine="0"/>
        <w:rPr>
          <w:rFonts w:ascii="Times New Roman" w:hAnsi="Times New Roman" w:cs="Times New Roman"/>
        </w:rPr>
      </w:pPr>
      <w:r w:rsidRPr="008B044F">
        <w:rPr>
          <w:rFonts w:ascii="Times New Roman" w:hAnsi="Times New Roman" w:cs="Times New Roman"/>
        </w:rPr>
        <w:lastRenderedPageBreak/>
        <w:t>Projektowany art. 99 k.r.o. ma mieć zastosowanie zarówno do kuratora ustanowionego w celu reprezentowania dziecka w toku postępowania (prz</w:t>
      </w:r>
      <w:r w:rsidR="00731F39">
        <w:rPr>
          <w:rFonts w:ascii="Times New Roman" w:hAnsi="Times New Roman" w:cs="Times New Roman"/>
        </w:rPr>
        <w:t xml:space="preserve">ed sądem lub innym organem, np. </w:t>
      </w:r>
      <w:r w:rsidRPr="008B044F">
        <w:rPr>
          <w:rFonts w:ascii="Times New Roman" w:hAnsi="Times New Roman" w:cs="Times New Roman"/>
        </w:rPr>
        <w:t>administracji), jak i w odniesieniu do dokonania czynności gdy rodzice (jeden z rodziców) nie mogą go reprezentować. W konsekwencji proponowane zmiany legislacyjne zmierzają do określenia standardów reprezentacji dziecka przez kuratora oraz zagwarantowania dziecku należytej ochrony jego praw i interesów, a także wzmacniają prawną pozycję rodziców sprawujących bieżącą pieczę nad dzieckiem.</w:t>
      </w:r>
    </w:p>
    <w:p w14:paraId="4DC5598E" w14:textId="77777777" w:rsidR="008B044F" w:rsidRPr="008B044F" w:rsidRDefault="008B044F" w:rsidP="00731F39">
      <w:pPr>
        <w:pStyle w:val="CZWSPPKTczwsplnapunktw"/>
        <w:spacing w:before="120"/>
        <w:rPr>
          <w:rFonts w:ascii="Times New Roman" w:hAnsi="Times New Roman" w:cs="Times New Roman"/>
        </w:rPr>
      </w:pPr>
      <w:r w:rsidRPr="008B044F">
        <w:rPr>
          <w:rFonts w:ascii="Times New Roman" w:hAnsi="Times New Roman" w:cs="Times New Roman"/>
        </w:rPr>
        <w:t xml:space="preserve">Dla osiągnięcia tych celów w zmienianym art. 99 k.r.o. wprowadza się dziesięć jednostek redakcyjnych. </w:t>
      </w:r>
    </w:p>
    <w:p w14:paraId="27097CF2" w14:textId="327661B3" w:rsidR="008B044F" w:rsidRPr="008B044F" w:rsidRDefault="008B044F" w:rsidP="00731F39">
      <w:pPr>
        <w:pStyle w:val="CZWSPPKTczwsplnapunktw"/>
        <w:tabs>
          <w:tab w:val="left" w:pos="4820"/>
          <w:tab w:val="left" w:pos="5245"/>
        </w:tabs>
        <w:spacing w:before="120"/>
        <w:rPr>
          <w:rFonts w:ascii="Times New Roman" w:hAnsi="Times New Roman" w:cs="Times New Roman"/>
        </w:rPr>
      </w:pPr>
      <w:r w:rsidRPr="008B044F">
        <w:rPr>
          <w:rFonts w:ascii="Times New Roman" w:hAnsi="Times New Roman" w:cs="Times New Roman"/>
        </w:rPr>
        <w:t xml:space="preserve">W </w:t>
      </w:r>
      <w:r w:rsidR="00C65A1F">
        <w:rPr>
          <w:rFonts w:ascii="Times New Roman" w:hAnsi="Times New Roman" w:cs="Times New Roman"/>
        </w:rPr>
        <w:t xml:space="preserve">art. 99 </w:t>
      </w:r>
      <w:r w:rsidRPr="008B044F">
        <w:rPr>
          <w:rFonts w:ascii="Times New Roman" w:hAnsi="Times New Roman" w:cs="Times New Roman"/>
        </w:rPr>
        <w:t xml:space="preserve">§ 1 </w:t>
      </w:r>
      <w:r w:rsidR="00C65A1F">
        <w:rPr>
          <w:rFonts w:ascii="Times New Roman" w:hAnsi="Times New Roman" w:cs="Times New Roman"/>
        </w:rPr>
        <w:t xml:space="preserve">k.r.o. </w:t>
      </w:r>
      <w:r w:rsidRPr="008B044F">
        <w:rPr>
          <w:rFonts w:ascii="Times New Roman" w:hAnsi="Times New Roman" w:cs="Times New Roman"/>
        </w:rPr>
        <w:t xml:space="preserve">w drodze przeredagowania dotychczasowej treści przepisu art. 99 k.r.o., ustanawiającego zasadę reprezentacji dziecka przez kuratora w przypadku, gdy nie może być ono reprezentowane przez rodziców, podkreślony zostaje charakter </w:t>
      </w:r>
      <w:r w:rsidR="00D84D43" w:rsidRPr="008B044F">
        <w:rPr>
          <w:rFonts w:ascii="Times New Roman" w:hAnsi="Times New Roman" w:cs="Times New Roman"/>
        </w:rPr>
        <w:t>i</w:t>
      </w:r>
      <w:r w:rsidR="00D84D43">
        <w:rPr>
          <w:rFonts w:ascii="Times New Roman" w:hAnsi="Times New Roman" w:cs="Times New Roman"/>
        </w:rPr>
        <w:t> </w:t>
      </w:r>
      <w:r w:rsidRPr="008B044F">
        <w:rPr>
          <w:rFonts w:ascii="Times New Roman" w:hAnsi="Times New Roman" w:cs="Times New Roman"/>
        </w:rPr>
        <w:t xml:space="preserve">nazwa kuratora. Pojęcie to bywa bowiem mylone z innymi instytucjami o tej samej nazwie. Projektowany przepis wyraźnie eksponuje okoliczność, że ustanawiany na podstawie art. 99 § 1 k.r.o. kurator jest kuratorem powołanym do reprezentowania dziecka. </w:t>
      </w:r>
    </w:p>
    <w:p w14:paraId="320B1A05" w14:textId="65C1F2E0" w:rsidR="008B044F" w:rsidRPr="008B044F" w:rsidRDefault="008B044F" w:rsidP="00731F39">
      <w:pPr>
        <w:pStyle w:val="CZWSPPKTczwsplnapunktw"/>
        <w:spacing w:before="120"/>
        <w:rPr>
          <w:rFonts w:ascii="Times New Roman" w:hAnsi="Times New Roman" w:cs="Times New Roman"/>
        </w:rPr>
      </w:pPr>
      <w:r w:rsidRPr="008B044F">
        <w:rPr>
          <w:rFonts w:ascii="Times New Roman" w:hAnsi="Times New Roman" w:cs="Times New Roman"/>
        </w:rPr>
        <w:t>W systemie polskiego prawa instytucja kurateli nie posiada jednolitej konstrukcji. Wskazuje się, że jest to instytucja bardzo zróżnicowana. Poszczególne rodzaje kurateli uszczegółowione są na gruncie ustaw regulujących ich ustanowienie. W przypadku ich braku bądź niepełnego unormowania będą miały zastosowanie, w drodze analogii, przepisy k.r.o. dotyczące kurateli. Kodeks rodzinn</w:t>
      </w:r>
      <w:r w:rsidR="00731F39">
        <w:rPr>
          <w:rFonts w:ascii="Times New Roman" w:hAnsi="Times New Roman" w:cs="Times New Roman"/>
        </w:rPr>
        <w:t>y i opiekuńczy wskazuje, że w </w:t>
      </w:r>
      <w:r w:rsidRPr="008B044F">
        <w:rPr>
          <w:rFonts w:ascii="Times New Roman" w:hAnsi="Times New Roman" w:cs="Times New Roman"/>
        </w:rPr>
        <w:t>zakresie kurateli stosuje się odpowiednio prz</w:t>
      </w:r>
      <w:r w:rsidR="00731F39">
        <w:rPr>
          <w:rFonts w:ascii="Times New Roman" w:hAnsi="Times New Roman" w:cs="Times New Roman"/>
        </w:rPr>
        <w:t>episy o opiece nad małoletnim z </w:t>
      </w:r>
      <w:r w:rsidRPr="008B044F">
        <w:rPr>
          <w:rFonts w:ascii="Times New Roman" w:hAnsi="Times New Roman" w:cs="Times New Roman"/>
        </w:rPr>
        <w:t>zachowaniem przepisów bezpośrednio regulujących tę instytucję w k.r.o. Natomiast „w myśl art. 155 § 2 k.r.o. do sprawowania opieki nad małoletnim stosuje się odpowiednio przepisy o władzy rodzicielskiej. Zważywszy na to, że do kurateli stosuje się odpowiednio przepisy o opiece nad małoletnim (a</w:t>
      </w:r>
      <w:r w:rsidR="00731F39">
        <w:rPr>
          <w:rFonts w:ascii="Times New Roman" w:hAnsi="Times New Roman" w:cs="Times New Roman"/>
        </w:rPr>
        <w:t>rt. 178 § 2 k.r.o.), niektóre z </w:t>
      </w:r>
      <w:r w:rsidRPr="008B044F">
        <w:rPr>
          <w:rFonts w:ascii="Times New Roman" w:hAnsi="Times New Roman" w:cs="Times New Roman"/>
        </w:rPr>
        <w:t>przepisów o władzy rodzicielskiej</w:t>
      </w:r>
      <w:r w:rsidR="00C65A1F">
        <w:rPr>
          <w:rFonts w:ascii="Times New Roman" w:hAnsi="Times New Roman" w:cs="Times New Roman"/>
        </w:rPr>
        <w:t>,</w:t>
      </w:r>
      <w:r w:rsidRPr="008B044F">
        <w:rPr>
          <w:rFonts w:ascii="Times New Roman" w:hAnsi="Times New Roman" w:cs="Times New Roman"/>
        </w:rPr>
        <w:t xml:space="preserve"> stosowanych odpowiednio do sprawowania opieki nad małoletnim</w:t>
      </w:r>
      <w:r w:rsidR="00C65A1F">
        <w:rPr>
          <w:rFonts w:ascii="Times New Roman" w:hAnsi="Times New Roman" w:cs="Times New Roman"/>
        </w:rPr>
        <w:t>,</w:t>
      </w:r>
      <w:r w:rsidRPr="008B044F">
        <w:rPr>
          <w:rFonts w:ascii="Times New Roman" w:hAnsi="Times New Roman" w:cs="Times New Roman"/>
        </w:rPr>
        <w:t xml:space="preserve"> stosuje się do kurateli” (vide: H. Haak, A. Haak-Trzuskawska, </w:t>
      </w:r>
      <w:r w:rsidRPr="008B044F">
        <w:rPr>
          <w:rFonts w:ascii="Times New Roman" w:hAnsi="Times New Roman" w:cs="Times New Roman"/>
          <w:i/>
        </w:rPr>
        <w:t>Komentarz do art. 145–184 KRO regulujących opiekę i kuratelę</w:t>
      </w:r>
      <w:r w:rsidRPr="008B044F">
        <w:rPr>
          <w:rFonts w:ascii="Times New Roman" w:hAnsi="Times New Roman" w:cs="Times New Roman"/>
        </w:rPr>
        <w:t xml:space="preserve"> [w:] Opieka i kuratela. Komentarz do art. 145–184 KRO oraz związanych z nimi regulacji KPC (art. 516, 518, 520, 573–574, 590–598, 599–602, 604–605), Warszawa 2017, Legalis.). Dodatkowo organ ustanawiający kuratora może bliżej określić jego zakres obowiązków i praw. </w:t>
      </w:r>
      <w:r w:rsidRPr="008B044F">
        <w:rPr>
          <w:rFonts w:ascii="Times New Roman" w:hAnsi="Times New Roman" w:cs="Times New Roman"/>
        </w:rPr>
        <w:lastRenderedPageBreak/>
        <w:t xml:space="preserve">Określone obowiązki i prawa nie mogę być sprzeczne jedynie z przepisami </w:t>
      </w:r>
      <w:r w:rsidRPr="008B044F">
        <w:rPr>
          <w:rFonts w:ascii="Times New Roman" w:hAnsi="Times New Roman" w:cs="Times New Roman"/>
          <w:i/>
        </w:rPr>
        <w:t>iuris cogentis</w:t>
      </w:r>
      <w:r w:rsidRPr="008B044F">
        <w:rPr>
          <w:rFonts w:ascii="Times New Roman" w:hAnsi="Times New Roman" w:cs="Times New Roman"/>
        </w:rPr>
        <w:t xml:space="preserve">. </w:t>
      </w:r>
      <w:r w:rsidR="00731F39">
        <w:rPr>
          <w:rFonts w:ascii="Times New Roman" w:hAnsi="Times New Roman" w:cs="Times New Roman"/>
        </w:rPr>
        <w:t xml:space="preserve">W </w:t>
      </w:r>
      <w:r w:rsidRPr="008B044F">
        <w:rPr>
          <w:rFonts w:ascii="Times New Roman" w:hAnsi="Times New Roman" w:cs="Times New Roman"/>
        </w:rPr>
        <w:t>konsekwencji instytucja kuratora z art. 99 k.r.o. opiera się więc co do zasady na:</w:t>
      </w:r>
    </w:p>
    <w:p w14:paraId="6EF1FDF1" w14:textId="6BAF8DB9" w:rsidR="008B044F" w:rsidRPr="008B044F" w:rsidRDefault="008B044F" w:rsidP="00731F39">
      <w:pPr>
        <w:pStyle w:val="CZWSPPKTczwsplnapunktw"/>
        <w:ind w:left="426" w:hanging="426"/>
        <w:rPr>
          <w:rFonts w:ascii="Times New Roman" w:hAnsi="Times New Roman" w:cs="Times New Roman"/>
        </w:rPr>
      </w:pPr>
      <w:r w:rsidRPr="008B044F">
        <w:rPr>
          <w:rFonts w:ascii="Times New Roman" w:hAnsi="Times New Roman" w:cs="Times New Roman"/>
        </w:rPr>
        <w:t>a)</w:t>
      </w:r>
      <w:r w:rsidRPr="008B044F">
        <w:rPr>
          <w:rFonts w:ascii="Times New Roman" w:hAnsi="Times New Roman" w:cs="Times New Roman"/>
        </w:rPr>
        <w:tab/>
        <w:t>regulacjach dedykowanych poszczególnym rodzajom kurateli</w:t>
      </w:r>
      <w:r w:rsidR="0092429B">
        <w:rPr>
          <w:rFonts w:ascii="Times New Roman" w:hAnsi="Times New Roman" w:cs="Times New Roman"/>
        </w:rPr>
        <w:t>,</w:t>
      </w:r>
    </w:p>
    <w:p w14:paraId="54A7F55E" w14:textId="377DCD18" w:rsidR="008B044F" w:rsidRPr="008B044F" w:rsidRDefault="008B044F" w:rsidP="00731F39">
      <w:pPr>
        <w:pStyle w:val="CZWSPPKTczwsplnapunktw"/>
        <w:ind w:left="426" w:hanging="426"/>
        <w:rPr>
          <w:rFonts w:ascii="Times New Roman" w:hAnsi="Times New Roman" w:cs="Times New Roman"/>
        </w:rPr>
      </w:pPr>
      <w:r w:rsidRPr="008B044F">
        <w:rPr>
          <w:rFonts w:ascii="Times New Roman" w:hAnsi="Times New Roman" w:cs="Times New Roman"/>
        </w:rPr>
        <w:t>b)</w:t>
      </w:r>
      <w:r w:rsidRPr="008B044F">
        <w:rPr>
          <w:rFonts w:ascii="Times New Roman" w:hAnsi="Times New Roman" w:cs="Times New Roman"/>
        </w:rPr>
        <w:tab/>
        <w:t>regulacjach k.r.o. określających bezpośrednio instytucję kurateli</w:t>
      </w:r>
      <w:r w:rsidR="0092429B">
        <w:rPr>
          <w:rFonts w:ascii="Times New Roman" w:hAnsi="Times New Roman" w:cs="Times New Roman"/>
        </w:rPr>
        <w:t>,</w:t>
      </w:r>
    </w:p>
    <w:p w14:paraId="4A7D09DD" w14:textId="656648B4" w:rsidR="008B044F" w:rsidRPr="008B044F" w:rsidRDefault="008B044F" w:rsidP="00731F39">
      <w:pPr>
        <w:pStyle w:val="CZWSPPKTczwsplnapunktw"/>
        <w:ind w:left="426" w:hanging="426"/>
        <w:rPr>
          <w:rFonts w:ascii="Times New Roman" w:hAnsi="Times New Roman" w:cs="Times New Roman"/>
        </w:rPr>
      </w:pPr>
      <w:r w:rsidRPr="008B044F">
        <w:rPr>
          <w:rFonts w:ascii="Times New Roman" w:hAnsi="Times New Roman" w:cs="Times New Roman"/>
        </w:rPr>
        <w:t>c)</w:t>
      </w:r>
      <w:r w:rsidRPr="008B044F">
        <w:rPr>
          <w:rFonts w:ascii="Times New Roman" w:hAnsi="Times New Roman" w:cs="Times New Roman"/>
        </w:rPr>
        <w:tab/>
        <w:t>odpowiednich regulacjach o opiece nad małoletnim, do których odpowiednie zastosowanie mają regulacje o władzy rodzicielskiej</w:t>
      </w:r>
      <w:r w:rsidR="0092429B">
        <w:rPr>
          <w:rFonts w:ascii="Times New Roman" w:hAnsi="Times New Roman" w:cs="Times New Roman"/>
        </w:rPr>
        <w:t>,</w:t>
      </w:r>
    </w:p>
    <w:p w14:paraId="39F040A6" w14:textId="77777777" w:rsidR="008B044F" w:rsidRPr="008B044F" w:rsidRDefault="008B044F" w:rsidP="00731F39">
      <w:pPr>
        <w:pStyle w:val="CZWSPPKTczwsplnapunktw"/>
        <w:ind w:left="426" w:hanging="426"/>
        <w:rPr>
          <w:rFonts w:ascii="Times New Roman" w:hAnsi="Times New Roman" w:cs="Times New Roman"/>
        </w:rPr>
      </w:pPr>
      <w:r w:rsidRPr="008B044F">
        <w:rPr>
          <w:rFonts w:ascii="Times New Roman" w:hAnsi="Times New Roman" w:cs="Times New Roman"/>
        </w:rPr>
        <w:t>d)</w:t>
      </w:r>
      <w:r w:rsidRPr="008B044F">
        <w:rPr>
          <w:rFonts w:ascii="Times New Roman" w:hAnsi="Times New Roman" w:cs="Times New Roman"/>
        </w:rPr>
        <w:tab/>
        <w:t>dodatkowym określeniu zakresu obowiązków i praw kuratora przez organ ustanawiający.</w:t>
      </w:r>
    </w:p>
    <w:p w14:paraId="50ECE038" w14:textId="1524C03B" w:rsidR="008B044F" w:rsidRPr="008B044F" w:rsidRDefault="008B044F" w:rsidP="008B044F">
      <w:pPr>
        <w:pStyle w:val="USTustnpkodeksu"/>
        <w:tabs>
          <w:tab w:val="left" w:pos="4820"/>
          <w:tab w:val="left" w:pos="4962"/>
        </w:tabs>
        <w:spacing w:before="120"/>
        <w:ind w:firstLine="0"/>
        <w:rPr>
          <w:rFonts w:ascii="Times New Roman" w:hAnsi="Times New Roman" w:cs="Times New Roman"/>
        </w:rPr>
      </w:pPr>
      <w:r w:rsidRPr="008B044F">
        <w:rPr>
          <w:rFonts w:ascii="Times New Roman" w:hAnsi="Times New Roman" w:cs="Times New Roman"/>
        </w:rPr>
        <w:t>Powyższe powoduje, że instytucja kuratora z art. 99 k.r.o. jest połączeniem różnych regulacji prawnych. W konsekwencji, jak wykazały to wyżej wspomniane badania, osoby wykonujące funkcję kuratora z art. 99 k.r.o. miały poważne trudności</w:t>
      </w:r>
      <w:r w:rsidR="00D96289">
        <w:rPr>
          <w:rFonts w:ascii="Times New Roman" w:hAnsi="Times New Roman" w:cs="Times New Roman"/>
        </w:rPr>
        <w:t xml:space="preserve"> z </w:t>
      </w:r>
      <w:r w:rsidRPr="008B044F">
        <w:rPr>
          <w:rFonts w:ascii="Times New Roman" w:hAnsi="Times New Roman" w:cs="Times New Roman"/>
        </w:rPr>
        <w:t xml:space="preserve">prawidłowym odtworzeniem istoty oraz zadań na nich spoczywających. Na przykład, adwokaci i radcowie prawni pełnili wobec dziecka </w:t>
      </w:r>
      <w:r w:rsidR="00D96289">
        <w:rPr>
          <w:rFonts w:ascii="Times New Roman" w:hAnsi="Times New Roman" w:cs="Times New Roman"/>
        </w:rPr>
        <w:t>rolę przypisaną pełnomocnikom z </w:t>
      </w:r>
      <w:r w:rsidRPr="008B044F">
        <w:rPr>
          <w:rFonts w:ascii="Times New Roman" w:hAnsi="Times New Roman" w:cs="Times New Roman"/>
        </w:rPr>
        <w:t xml:space="preserve">urzędu a nie kuratorom z art. 99 k.r.o., których cel działania oraz okoliczności ustanowienia są zupełnie odmienne niż w przypadku pełnomocników z urzędu. Nie sprzyja to realizacji zadań przez kuratora zgodnie z dobrem dziecka. Celem projektowanych </w:t>
      </w:r>
      <w:r w:rsidR="00C65A1F" w:rsidRPr="008B044F">
        <w:rPr>
          <w:rFonts w:ascii="Times New Roman" w:hAnsi="Times New Roman" w:cs="Times New Roman"/>
        </w:rPr>
        <w:t xml:space="preserve">w art. 99 </w:t>
      </w:r>
      <w:r w:rsidRPr="008B044F">
        <w:rPr>
          <w:rFonts w:ascii="Times New Roman" w:hAnsi="Times New Roman" w:cs="Times New Roman"/>
        </w:rPr>
        <w:t xml:space="preserve">§ 2 i § 10 </w:t>
      </w:r>
      <w:r w:rsidR="00C65A1F">
        <w:rPr>
          <w:rFonts w:ascii="Times New Roman" w:hAnsi="Times New Roman" w:cs="Times New Roman"/>
        </w:rPr>
        <w:t>k.r.o.</w:t>
      </w:r>
      <w:r w:rsidR="00E55FE0">
        <w:rPr>
          <w:rFonts w:ascii="Times New Roman" w:hAnsi="Times New Roman" w:cs="Times New Roman"/>
        </w:rPr>
        <w:t xml:space="preserve"> </w:t>
      </w:r>
      <w:r w:rsidRPr="008B044F">
        <w:rPr>
          <w:rFonts w:ascii="Times New Roman" w:hAnsi="Times New Roman" w:cs="Times New Roman"/>
        </w:rPr>
        <w:t xml:space="preserve">oraz </w:t>
      </w:r>
      <w:r w:rsidR="0092429B">
        <w:rPr>
          <w:rFonts w:ascii="Times New Roman" w:hAnsi="Times New Roman" w:cs="Times New Roman"/>
        </w:rPr>
        <w:t xml:space="preserve">w </w:t>
      </w:r>
      <w:r w:rsidRPr="008B044F">
        <w:rPr>
          <w:rFonts w:ascii="Times New Roman" w:hAnsi="Times New Roman" w:cs="Times New Roman"/>
        </w:rPr>
        <w:t xml:space="preserve">art. 178 § 3 </w:t>
      </w:r>
      <w:r w:rsidR="00C65A1F">
        <w:rPr>
          <w:rFonts w:ascii="Times New Roman" w:hAnsi="Times New Roman" w:cs="Times New Roman"/>
        </w:rPr>
        <w:t xml:space="preserve">k.r.o. </w:t>
      </w:r>
      <w:r w:rsidRPr="008B044F">
        <w:rPr>
          <w:rFonts w:ascii="Times New Roman" w:hAnsi="Times New Roman" w:cs="Times New Roman"/>
        </w:rPr>
        <w:t xml:space="preserve">jest zatem precyzyjne określenie standardów reprezentacji dziecka przez kuratora </w:t>
      </w:r>
      <w:r w:rsidR="00D84D43" w:rsidRPr="008B044F">
        <w:rPr>
          <w:rFonts w:ascii="Times New Roman" w:hAnsi="Times New Roman" w:cs="Times New Roman"/>
        </w:rPr>
        <w:t>z</w:t>
      </w:r>
      <w:r w:rsidR="00D84D43">
        <w:rPr>
          <w:rFonts w:ascii="Times New Roman" w:hAnsi="Times New Roman" w:cs="Times New Roman"/>
        </w:rPr>
        <w:t> </w:t>
      </w:r>
      <w:r w:rsidRPr="008B044F">
        <w:rPr>
          <w:rFonts w:ascii="Times New Roman" w:hAnsi="Times New Roman" w:cs="Times New Roman"/>
        </w:rPr>
        <w:t>projektowanego art. 99 § 1</w:t>
      </w:r>
      <w:r w:rsidR="00D96289">
        <w:rPr>
          <w:rFonts w:ascii="Times New Roman" w:hAnsi="Times New Roman" w:cs="Times New Roman"/>
        </w:rPr>
        <w:t xml:space="preserve"> k.r.o. W </w:t>
      </w:r>
      <w:r w:rsidRPr="008B044F">
        <w:rPr>
          <w:rFonts w:ascii="Times New Roman" w:hAnsi="Times New Roman" w:cs="Times New Roman"/>
        </w:rPr>
        <w:t xml:space="preserve">rezultacie projektowany </w:t>
      </w:r>
      <w:r w:rsidR="00C65A1F">
        <w:rPr>
          <w:rFonts w:ascii="Times New Roman" w:hAnsi="Times New Roman" w:cs="Times New Roman"/>
        </w:rPr>
        <w:t xml:space="preserve">w art. 99 </w:t>
      </w:r>
      <w:r w:rsidRPr="008B044F">
        <w:rPr>
          <w:rFonts w:ascii="Times New Roman" w:hAnsi="Times New Roman" w:cs="Times New Roman"/>
        </w:rPr>
        <w:t xml:space="preserve">§ 2 </w:t>
      </w:r>
      <w:r w:rsidR="00C65A1F">
        <w:rPr>
          <w:rFonts w:ascii="Times New Roman" w:hAnsi="Times New Roman" w:cs="Times New Roman"/>
        </w:rPr>
        <w:t xml:space="preserve">k.r.o. </w:t>
      </w:r>
      <w:r w:rsidRPr="008B044F">
        <w:rPr>
          <w:rFonts w:ascii="Times New Roman" w:hAnsi="Times New Roman" w:cs="Times New Roman"/>
        </w:rPr>
        <w:t>wprost przesądza o</w:t>
      </w:r>
      <w:r w:rsidR="00D96289">
        <w:rPr>
          <w:rFonts w:ascii="Times New Roman" w:hAnsi="Times New Roman" w:cs="Times New Roman"/>
        </w:rPr>
        <w:t xml:space="preserve"> zakresie uprawnień kuratora, a </w:t>
      </w:r>
      <w:r w:rsidRPr="008B044F">
        <w:rPr>
          <w:rFonts w:ascii="Times New Roman" w:hAnsi="Times New Roman" w:cs="Times New Roman"/>
        </w:rPr>
        <w:t>odesłanie do art</w:t>
      </w:r>
      <w:r w:rsidR="0092429B">
        <w:rPr>
          <w:rFonts w:ascii="Times New Roman" w:hAnsi="Times New Roman" w:cs="Times New Roman"/>
        </w:rPr>
        <w:t>.</w:t>
      </w:r>
      <w:r w:rsidRPr="008B044F">
        <w:rPr>
          <w:rFonts w:ascii="Times New Roman" w:hAnsi="Times New Roman" w:cs="Times New Roman"/>
        </w:rPr>
        <w:t xml:space="preserve"> 95 § 3 i 4 oraz art</w:t>
      </w:r>
      <w:r w:rsidR="00CF527A" w:rsidRPr="008B044F">
        <w:rPr>
          <w:rFonts w:ascii="Times New Roman" w:hAnsi="Times New Roman" w:cs="Times New Roman"/>
        </w:rPr>
        <w:t>.</w:t>
      </w:r>
      <w:r w:rsidR="00CF527A">
        <w:rPr>
          <w:rFonts w:ascii="Times New Roman" w:hAnsi="Times New Roman" w:cs="Times New Roman"/>
        </w:rPr>
        <w:t> </w:t>
      </w:r>
      <w:r w:rsidRPr="008B044F">
        <w:rPr>
          <w:rFonts w:ascii="Times New Roman" w:hAnsi="Times New Roman" w:cs="Times New Roman"/>
        </w:rPr>
        <w:t xml:space="preserve">154 k.r.o. jest wskazaniem, że czynności te kurator podejmuje zawsze w interesie dziecka. W </w:t>
      </w:r>
      <w:r w:rsidR="00C65A1F">
        <w:rPr>
          <w:rFonts w:ascii="Times New Roman" w:hAnsi="Times New Roman" w:cs="Times New Roman"/>
        </w:rPr>
        <w:t xml:space="preserve">art. 99 </w:t>
      </w:r>
      <w:r w:rsidRPr="008B044F">
        <w:rPr>
          <w:rFonts w:ascii="Times New Roman" w:hAnsi="Times New Roman" w:cs="Times New Roman"/>
        </w:rPr>
        <w:t xml:space="preserve">§ 10 </w:t>
      </w:r>
      <w:r w:rsidR="00C65A1F">
        <w:rPr>
          <w:rFonts w:ascii="Times New Roman" w:hAnsi="Times New Roman" w:cs="Times New Roman"/>
        </w:rPr>
        <w:t xml:space="preserve">k.r.o. </w:t>
      </w:r>
      <w:r w:rsidRPr="008B044F">
        <w:rPr>
          <w:rFonts w:ascii="Times New Roman" w:hAnsi="Times New Roman" w:cs="Times New Roman"/>
        </w:rPr>
        <w:t>bezpośrednio ws</w:t>
      </w:r>
      <w:r w:rsidR="00731F39">
        <w:rPr>
          <w:rFonts w:ascii="Times New Roman" w:hAnsi="Times New Roman" w:cs="Times New Roman"/>
        </w:rPr>
        <w:t xml:space="preserve">kazano jakie regulacje prawne z </w:t>
      </w:r>
      <w:r w:rsidRPr="008B044F">
        <w:rPr>
          <w:rFonts w:ascii="Times New Roman" w:hAnsi="Times New Roman" w:cs="Times New Roman"/>
        </w:rPr>
        <w:t xml:space="preserve">instytucji opieki mają zastosowanie do kuratora z projektowanego art. 99 § 1 k.r.o. </w:t>
      </w:r>
      <w:r w:rsidR="00D84D43">
        <w:rPr>
          <w:rFonts w:ascii="Times New Roman" w:hAnsi="Times New Roman" w:cs="Times New Roman"/>
        </w:rPr>
        <w:t>W </w:t>
      </w:r>
      <w:r w:rsidRPr="008B044F">
        <w:rPr>
          <w:rFonts w:ascii="Times New Roman" w:hAnsi="Times New Roman" w:cs="Times New Roman"/>
        </w:rPr>
        <w:t xml:space="preserve">konsekwencji zmiany wymagał także art. 178 </w:t>
      </w:r>
      <w:r w:rsidR="00C65A1F">
        <w:rPr>
          <w:rFonts w:ascii="Times New Roman" w:hAnsi="Times New Roman" w:cs="Times New Roman"/>
        </w:rPr>
        <w:t xml:space="preserve">k.r.o. </w:t>
      </w:r>
      <w:r w:rsidRPr="008B044F">
        <w:rPr>
          <w:rFonts w:ascii="Times New Roman" w:hAnsi="Times New Roman" w:cs="Times New Roman"/>
        </w:rPr>
        <w:t xml:space="preserve">(dodanie § 3). </w:t>
      </w:r>
    </w:p>
    <w:p w14:paraId="2A629BDD" w14:textId="7B24C38D" w:rsidR="008B044F" w:rsidRPr="008B044F" w:rsidRDefault="008B044F" w:rsidP="00731F39">
      <w:pPr>
        <w:pStyle w:val="CZWSPPKTczwsplnapunktw"/>
        <w:spacing w:before="120"/>
        <w:rPr>
          <w:rFonts w:ascii="Times New Roman" w:hAnsi="Times New Roman" w:cs="Times New Roman"/>
        </w:rPr>
      </w:pPr>
      <w:r w:rsidRPr="008B044F">
        <w:rPr>
          <w:rFonts w:ascii="Times New Roman" w:hAnsi="Times New Roman" w:cs="Times New Roman"/>
        </w:rPr>
        <w:t xml:space="preserve">W </w:t>
      </w:r>
      <w:r w:rsidR="00C65A1F">
        <w:rPr>
          <w:rFonts w:ascii="Times New Roman" w:hAnsi="Times New Roman" w:cs="Times New Roman"/>
        </w:rPr>
        <w:t xml:space="preserve">art. 99 </w:t>
      </w:r>
      <w:r w:rsidRPr="008B044F">
        <w:rPr>
          <w:rFonts w:ascii="Times New Roman" w:hAnsi="Times New Roman" w:cs="Times New Roman"/>
        </w:rPr>
        <w:t xml:space="preserve">§ 3 i 4 </w:t>
      </w:r>
      <w:r w:rsidR="00C65A1F">
        <w:rPr>
          <w:rFonts w:ascii="Times New Roman" w:hAnsi="Times New Roman" w:cs="Times New Roman"/>
        </w:rPr>
        <w:t xml:space="preserve">k.r.o. </w:t>
      </w:r>
      <w:r w:rsidRPr="008B044F">
        <w:rPr>
          <w:rFonts w:ascii="Times New Roman" w:hAnsi="Times New Roman" w:cs="Times New Roman"/>
        </w:rPr>
        <w:t xml:space="preserve">sformułowano wymagania formalne dotyczące osoby kuratora. Co do zasady może nim zostać jedynie adwokat lub radca prawny. Osoby zrzeszone </w:t>
      </w:r>
      <w:r w:rsidR="00D84D43" w:rsidRPr="008B044F">
        <w:rPr>
          <w:rFonts w:ascii="Times New Roman" w:hAnsi="Times New Roman" w:cs="Times New Roman"/>
        </w:rPr>
        <w:t>w</w:t>
      </w:r>
      <w:r w:rsidR="00D84D43">
        <w:rPr>
          <w:rFonts w:ascii="Times New Roman" w:hAnsi="Times New Roman" w:cs="Times New Roman"/>
        </w:rPr>
        <w:t> </w:t>
      </w:r>
      <w:r w:rsidRPr="008B044F">
        <w:rPr>
          <w:rFonts w:ascii="Times New Roman" w:hAnsi="Times New Roman" w:cs="Times New Roman"/>
        </w:rPr>
        <w:t xml:space="preserve">strukturach samorządu adwokackiego bądź radcowskiego powinny dodatkowo legitymizować się ukończeniem odpowiednich szkoleń dotyczących zasad reprezentacji dziecka, jego praw lub potrzeb, bądź wykazywać szczególną znajomość spraw dotyczących dziecka rodzajowo odpowiadających sprawie, w której istnieje potrzeba ustanowienia kuratora. W sprawach mniej skomplikowanych będzie mogła to być również inna osoba posiadająca wykształcenie prawnicze i wykazująca się znajomością </w:t>
      </w:r>
      <w:r w:rsidRPr="008B044F">
        <w:rPr>
          <w:rFonts w:ascii="Times New Roman" w:hAnsi="Times New Roman" w:cs="Times New Roman"/>
        </w:rPr>
        <w:lastRenderedPageBreak/>
        <w:t>potrzeb dziecka, w</w:t>
      </w:r>
      <w:r w:rsidR="00D96289">
        <w:rPr>
          <w:rFonts w:ascii="Times New Roman" w:hAnsi="Times New Roman" w:cs="Times New Roman"/>
        </w:rPr>
        <w:t> </w:t>
      </w:r>
      <w:r w:rsidRPr="008B044F">
        <w:rPr>
          <w:rFonts w:ascii="Times New Roman" w:hAnsi="Times New Roman" w:cs="Times New Roman"/>
        </w:rPr>
        <w:t>szczególności wówczas, gdy sąd opiekuńczy określi szczegółowo treść czynności</w:t>
      </w:r>
      <w:r w:rsidR="00D96289">
        <w:rPr>
          <w:rFonts w:ascii="Times New Roman" w:hAnsi="Times New Roman" w:cs="Times New Roman"/>
        </w:rPr>
        <w:t>, a </w:t>
      </w:r>
      <w:r w:rsidRPr="008B044F">
        <w:rPr>
          <w:rFonts w:ascii="Times New Roman" w:hAnsi="Times New Roman" w:cs="Times New Roman"/>
        </w:rPr>
        <w:t>jeżeli szczególne okoliczności za tym przemawiają, także inna osoba</w:t>
      </w:r>
      <w:r w:rsidRPr="008B044F">
        <w:rPr>
          <w:rFonts w:ascii="Times New Roman" w:hAnsi="Times New Roman" w:cs="Times New Roman"/>
          <w:bCs w:val="0"/>
        </w:rPr>
        <w:t xml:space="preserve"> </w:t>
      </w:r>
      <w:r w:rsidRPr="008B044F">
        <w:rPr>
          <w:rFonts w:ascii="Times New Roman" w:hAnsi="Times New Roman" w:cs="Times New Roman"/>
        </w:rPr>
        <w:t>wykazująca się znajomością potrzeb dziecka. Wyjątek ten nie będzie dotyczył reprezentacji dziecka</w:t>
      </w:r>
      <w:r w:rsidR="00D96289">
        <w:rPr>
          <w:rFonts w:ascii="Times New Roman" w:hAnsi="Times New Roman" w:cs="Times New Roman"/>
        </w:rPr>
        <w:t xml:space="preserve"> w </w:t>
      </w:r>
      <w:r w:rsidRPr="008B044F">
        <w:rPr>
          <w:rFonts w:ascii="Times New Roman" w:hAnsi="Times New Roman" w:cs="Times New Roman"/>
        </w:rPr>
        <w:t xml:space="preserve">postępowaniu karnym, z uwagi na szczególny charakter tych spraw, o </w:t>
      </w:r>
      <w:r w:rsidR="00D96289">
        <w:rPr>
          <w:rFonts w:ascii="Times New Roman" w:hAnsi="Times New Roman" w:cs="Times New Roman"/>
        </w:rPr>
        <w:t>czym mowa w </w:t>
      </w:r>
      <w:r w:rsidRPr="008B044F">
        <w:rPr>
          <w:rFonts w:ascii="Times New Roman" w:hAnsi="Times New Roman" w:cs="Times New Roman"/>
        </w:rPr>
        <w:t xml:space="preserve">projektowanym </w:t>
      </w:r>
      <w:r w:rsidR="00C65A1F">
        <w:rPr>
          <w:rFonts w:ascii="Times New Roman" w:hAnsi="Times New Roman" w:cs="Times New Roman"/>
        </w:rPr>
        <w:t xml:space="preserve">art. 99 </w:t>
      </w:r>
      <w:r w:rsidRPr="008B044F">
        <w:rPr>
          <w:rFonts w:ascii="Times New Roman" w:hAnsi="Times New Roman" w:cs="Times New Roman"/>
        </w:rPr>
        <w:t>§ 5</w:t>
      </w:r>
      <w:r w:rsidR="00C65A1F">
        <w:rPr>
          <w:rFonts w:ascii="Times New Roman" w:hAnsi="Times New Roman" w:cs="Times New Roman"/>
        </w:rPr>
        <w:t xml:space="preserve"> k.r.o.</w:t>
      </w:r>
    </w:p>
    <w:p w14:paraId="240226C2" w14:textId="4A6BEADB" w:rsidR="008B044F" w:rsidRPr="008B044F" w:rsidRDefault="008B044F" w:rsidP="00731F39">
      <w:pPr>
        <w:pStyle w:val="CZWSPPKTczwsplnapunktw"/>
        <w:spacing w:before="120"/>
        <w:rPr>
          <w:rFonts w:ascii="Times New Roman" w:hAnsi="Times New Roman" w:cs="Times New Roman"/>
        </w:rPr>
      </w:pPr>
      <w:r w:rsidRPr="008B044F">
        <w:rPr>
          <w:rFonts w:ascii="Times New Roman" w:hAnsi="Times New Roman" w:cs="Times New Roman"/>
        </w:rPr>
        <w:t xml:space="preserve">Wskazanie adwokatów i radców prawnych, jako podstawowych grup zawodowych, wśród których należy poszukiwać kandydatów na kuratora ustanawianego na podstawie art. 99 k.r.o., </w:t>
      </w:r>
      <w:r w:rsidR="00C65A1F" w:rsidRPr="008B044F">
        <w:rPr>
          <w:rFonts w:ascii="Times New Roman" w:hAnsi="Times New Roman" w:cs="Times New Roman"/>
        </w:rPr>
        <w:t xml:space="preserve">jest </w:t>
      </w:r>
      <w:r w:rsidRPr="008B044F">
        <w:rPr>
          <w:rFonts w:ascii="Times New Roman" w:hAnsi="Times New Roman" w:cs="Times New Roman"/>
        </w:rPr>
        <w:t xml:space="preserve">uzasadnione założeniem, że radca prawny i adwokat, jako pełnomocnicy profesjonalni dysponujący największą wiedzą oraz doświadczeniem zawodowym </w:t>
      </w:r>
      <w:r w:rsidR="00731F39">
        <w:rPr>
          <w:rFonts w:ascii="Times New Roman" w:hAnsi="Times New Roman" w:cs="Times New Roman"/>
        </w:rPr>
        <w:t xml:space="preserve">w </w:t>
      </w:r>
      <w:r w:rsidRPr="008B044F">
        <w:rPr>
          <w:rFonts w:ascii="Times New Roman" w:hAnsi="Times New Roman" w:cs="Times New Roman"/>
        </w:rPr>
        <w:t xml:space="preserve">reprezentowaniu innych osób w postępowaniach (zarówno sądowych, jak </w:t>
      </w:r>
      <w:r w:rsidR="00731F39">
        <w:rPr>
          <w:rFonts w:ascii="Times New Roman" w:hAnsi="Times New Roman" w:cs="Times New Roman"/>
        </w:rPr>
        <w:t xml:space="preserve">i </w:t>
      </w:r>
      <w:r w:rsidRPr="008B044F">
        <w:rPr>
          <w:rFonts w:ascii="Times New Roman" w:hAnsi="Times New Roman" w:cs="Times New Roman"/>
        </w:rPr>
        <w:t>administracyjnych) gwarantują właściwe zabezpieczenie interesów dziecka, je</w:t>
      </w:r>
      <w:r w:rsidR="0092429B">
        <w:rPr>
          <w:rFonts w:ascii="Times New Roman" w:hAnsi="Times New Roman" w:cs="Times New Roman"/>
        </w:rPr>
        <w:t>że</w:t>
      </w:r>
      <w:r w:rsidRPr="008B044F">
        <w:rPr>
          <w:rFonts w:ascii="Times New Roman" w:hAnsi="Times New Roman" w:cs="Times New Roman"/>
        </w:rPr>
        <w:t xml:space="preserve">li potrzebne jest dokonanie czynności w warunkach określonych w art. 98 § 2 k.r.o. Okoliczność ta nabiera szczególnego znaczenia w postępowaniu karnym, gdy dziecko ma być reprezentowane jako pokrzywdzone czynem zabronionym, popełnionym na jego szkodę przez jego rodzica. W tego rodzaju postępowaniu reprezentacja małoletniego będzie w zasadzie wymagała podejmowania czynności charakterystycznych dla tych, jakie podejmuje pełnomocnik pokrzywdzonego, którym może być jedynie adwokat lub radca prawny. Nie bez znaczenia jest również to, że zarówno adwokaci, jak i radcowie prawni zobowiązani są do przestrzegania zasad etycznych. Nałożenie na adwokatów i radców prawnych obowiązku ukończenia specjalistycznych szkoleń lub obowiązku posiadania szczególnej znajomości spraw dotyczących dziecka rodzajowo odpowiadających sprawie, w której </w:t>
      </w:r>
      <w:r w:rsidR="001B3AD8" w:rsidRPr="008B044F">
        <w:rPr>
          <w:rFonts w:ascii="Times New Roman" w:hAnsi="Times New Roman" w:cs="Times New Roman"/>
        </w:rPr>
        <w:t xml:space="preserve">jest </w:t>
      </w:r>
      <w:r w:rsidRPr="008B044F">
        <w:rPr>
          <w:rFonts w:ascii="Times New Roman" w:hAnsi="Times New Roman" w:cs="Times New Roman"/>
        </w:rPr>
        <w:t xml:space="preserve">wymagana reprezentacja, jest dodatkowym wypełnieniem zaleceń Trybunału Konstytucyjnego wyrażonych w przywołanym postanowieniu z dnia 11 lutego 2014 r. Zapewnienie należytej reprezentacji praw dziecka wymaga umiejętności porozumiewania się z nim na różnych etapach rozwojowych oraz wiedzy z zakresu relacji dziecka i jego rodziny. Wymóg ten </w:t>
      </w:r>
      <w:r w:rsidR="00731F39">
        <w:rPr>
          <w:rFonts w:ascii="Times New Roman" w:hAnsi="Times New Roman" w:cs="Times New Roman"/>
        </w:rPr>
        <w:t xml:space="preserve">w </w:t>
      </w:r>
      <w:r w:rsidRPr="008B044F">
        <w:rPr>
          <w:rFonts w:ascii="Times New Roman" w:hAnsi="Times New Roman" w:cs="Times New Roman"/>
        </w:rPr>
        <w:t>szczególny sposób okazuje się niezbędny w sprawach karnych</w:t>
      </w:r>
      <w:r w:rsidR="00D96289">
        <w:rPr>
          <w:rFonts w:ascii="Times New Roman" w:hAnsi="Times New Roman" w:cs="Times New Roman"/>
        </w:rPr>
        <w:t>, w </w:t>
      </w:r>
      <w:r w:rsidRPr="008B044F">
        <w:rPr>
          <w:rFonts w:ascii="Times New Roman" w:hAnsi="Times New Roman" w:cs="Times New Roman"/>
        </w:rPr>
        <w:t>których reprezentanci osób małoletnich powinni posiadać specjalistyczną wiedzę na temat funkcjonowania dziecka – ofiary przestępstwa oraz jego rodziny. Wprowadzenie projektow</w:t>
      </w:r>
      <w:r w:rsidR="0092429B">
        <w:rPr>
          <w:rFonts w:ascii="Times New Roman" w:hAnsi="Times New Roman" w:cs="Times New Roman"/>
        </w:rPr>
        <w:t>an</w:t>
      </w:r>
      <w:r w:rsidRPr="008B044F">
        <w:rPr>
          <w:rFonts w:ascii="Times New Roman" w:hAnsi="Times New Roman" w:cs="Times New Roman"/>
        </w:rPr>
        <w:t>ych zmian spowoduje, iż dzieci będą r</w:t>
      </w:r>
      <w:r w:rsidR="00D96289">
        <w:rPr>
          <w:rFonts w:ascii="Times New Roman" w:hAnsi="Times New Roman" w:cs="Times New Roman"/>
        </w:rPr>
        <w:t>eprezentowane przez adwokatów i </w:t>
      </w:r>
      <w:r w:rsidRPr="008B044F">
        <w:rPr>
          <w:rFonts w:ascii="Times New Roman" w:hAnsi="Times New Roman" w:cs="Times New Roman"/>
        </w:rPr>
        <w:t xml:space="preserve">radców prawnych będących w stanie wcielić się w rolę ich rzetelnych przedstawicieli. W sprawach mniej skomplikowanych, </w:t>
      </w:r>
      <w:r w:rsidR="00731F39">
        <w:rPr>
          <w:rFonts w:ascii="Times New Roman" w:hAnsi="Times New Roman" w:cs="Times New Roman"/>
        </w:rPr>
        <w:t xml:space="preserve">w </w:t>
      </w:r>
      <w:r w:rsidRPr="008B044F">
        <w:rPr>
          <w:rFonts w:ascii="Times New Roman" w:hAnsi="Times New Roman" w:cs="Times New Roman"/>
        </w:rPr>
        <w:t xml:space="preserve">postępowaniach innych niż karne, projekt dopuszcza wyjątki od zasady reprezentacji przez adwokatów i radców prawnych. </w:t>
      </w:r>
      <w:r w:rsidRPr="008B044F">
        <w:rPr>
          <w:rFonts w:ascii="Times New Roman" w:hAnsi="Times New Roman" w:cs="Times New Roman"/>
        </w:rPr>
        <w:lastRenderedPageBreak/>
        <w:t>Niemniej jednak, także i w tych wypadkach projekt, co do zasady, wymaga odpowiednich kwalifikacji, które gwarantują wyższe wykształcenie prawnicze oraz znajomość potrzeb dziecka. Takie rozwiązanie umożliwi w szczególności powołanie na kuratorów aplikantów adwokackich lub radcowskich,</w:t>
      </w:r>
      <w:r w:rsidR="00D96289">
        <w:rPr>
          <w:rFonts w:ascii="Times New Roman" w:hAnsi="Times New Roman" w:cs="Times New Roman"/>
        </w:rPr>
        <w:t xml:space="preserve"> co jest obecnie praktykowane w </w:t>
      </w:r>
      <w:r w:rsidRPr="008B044F">
        <w:rPr>
          <w:rFonts w:ascii="Times New Roman" w:hAnsi="Times New Roman" w:cs="Times New Roman"/>
        </w:rPr>
        <w:t xml:space="preserve">sądach i w wielu sprawach wydaje się być wystarczające. W kręgu potencjalnych kandydatów pozostaną także przedstawiciele organizacji pozarządowych. Osoby te, oprócz legitymizowania się odpowiednim wykształceniem, powinny także charakteryzować się znajomością potrzeb dziecka. Wymóg ten oznacza, iż kurator reprezentujący małoletniego potrafi podejmować decyzje zgodne z dobrem i interesem dziecka. Gdy sprawa nie będzie tego wymagała, co oceni sąd w kontekście zaistnienia szczególnych okoliczności, kuratorem będzie mogła być wyznaczona również inna osoba, zwłaszcza z kręgu rodziny dziecka wykazująca znajomość potrzeb dziecka (oczywiście pod warunkiem jej niezależności od rodziców dziecka). </w:t>
      </w:r>
    </w:p>
    <w:p w14:paraId="0195A02B" w14:textId="00E89DF3" w:rsidR="008B044F" w:rsidRPr="008B044F" w:rsidRDefault="008B044F" w:rsidP="00731F39">
      <w:pPr>
        <w:pStyle w:val="CZWSPPKTczwsplnapunktw"/>
        <w:spacing w:before="120"/>
        <w:rPr>
          <w:rFonts w:ascii="Times New Roman" w:hAnsi="Times New Roman" w:cs="Times New Roman"/>
        </w:rPr>
      </w:pPr>
      <w:r w:rsidRPr="008B044F">
        <w:rPr>
          <w:rFonts w:ascii="Times New Roman" w:hAnsi="Times New Roman" w:cs="Times New Roman"/>
        </w:rPr>
        <w:t xml:space="preserve">Projektowany </w:t>
      </w:r>
      <w:r w:rsidR="001B3AD8">
        <w:rPr>
          <w:rFonts w:ascii="Times New Roman" w:hAnsi="Times New Roman" w:cs="Times New Roman"/>
        </w:rPr>
        <w:t xml:space="preserve">art. 99 </w:t>
      </w:r>
      <w:r w:rsidRPr="008B044F">
        <w:rPr>
          <w:rFonts w:ascii="Times New Roman" w:hAnsi="Times New Roman" w:cs="Times New Roman"/>
        </w:rPr>
        <w:t xml:space="preserve">§ 6 </w:t>
      </w:r>
      <w:r w:rsidR="001B3AD8">
        <w:rPr>
          <w:rFonts w:ascii="Times New Roman" w:hAnsi="Times New Roman" w:cs="Times New Roman"/>
        </w:rPr>
        <w:t xml:space="preserve">k.r.o. </w:t>
      </w:r>
      <w:r w:rsidRPr="008B044F">
        <w:rPr>
          <w:rFonts w:ascii="Times New Roman" w:hAnsi="Times New Roman" w:cs="Times New Roman"/>
        </w:rPr>
        <w:t xml:space="preserve">nakłada na kuratora obowiązek informacyjny względem rodzica nie uczestniczącego w postępowaniu oraz obowiązek uzyskania od tego rodzica informacji niezbędnych do prawidłowej reprezentacji dziecka. Potrzeba wprowadzenia zmian odnosi się bezpośrednio do problemów wskazywanych przez Trybunał Konstytucyjny, który zwracał uwagę na trudności z jakimi spotykają się rodzice wyłączeni od reprezentacji dziecka </w:t>
      </w:r>
      <w:r w:rsidR="00731F39">
        <w:rPr>
          <w:rFonts w:ascii="Times New Roman" w:hAnsi="Times New Roman" w:cs="Times New Roman"/>
        </w:rPr>
        <w:t xml:space="preserve">i </w:t>
      </w:r>
      <w:r w:rsidRPr="008B044F">
        <w:rPr>
          <w:rFonts w:ascii="Times New Roman" w:hAnsi="Times New Roman" w:cs="Times New Roman"/>
        </w:rPr>
        <w:t xml:space="preserve">sprawujący bieżącą nad nim pieczę. Dotychczasowa praktyka powodowała, że rodzice byli pozbawieni prawa informacji </w:t>
      </w:r>
      <w:r w:rsidR="00D84D43" w:rsidRPr="008B044F">
        <w:rPr>
          <w:rFonts w:ascii="Times New Roman" w:hAnsi="Times New Roman" w:cs="Times New Roman"/>
        </w:rPr>
        <w:t>o</w:t>
      </w:r>
      <w:r w:rsidR="00D84D43">
        <w:rPr>
          <w:rFonts w:ascii="Times New Roman" w:hAnsi="Times New Roman" w:cs="Times New Roman"/>
        </w:rPr>
        <w:t> </w:t>
      </w:r>
      <w:r w:rsidRPr="008B044F">
        <w:rPr>
          <w:rFonts w:ascii="Times New Roman" w:hAnsi="Times New Roman" w:cs="Times New Roman"/>
        </w:rPr>
        <w:t xml:space="preserve">sytuacji własnego dziecka oraz nie posiadali możliwości przekazania kuratorowi wiadomości niezbędnych do reprezentacji małoletniego. W związku </w:t>
      </w:r>
      <w:r w:rsidR="00731F39">
        <w:rPr>
          <w:rFonts w:ascii="Times New Roman" w:hAnsi="Times New Roman" w:cs="Times New Roman"/>
        </w:rPr>
        <w:t xml:space="preserve">z </w:t>
      </w:r>
      <w:r w:rsidRPr="008B044F">
        <w:rPr>
          <w:rFonts w:ascii="Times New Roman" w:hAnsi="Times New Roman" w:cs="Times New Roman"/>
        </w:rPr>
        <w:t>powyższym, nałożono na kuratora obowiązki informacyjne, które sformułowano w sposób nienasuwający obaw o przekształcenie się w „konsultacje” dające możliwość wpływu na postawę i działania podejmowane przez kuratora. Po pierwsze, obowiązek ten ma być wykonywany z uwzględnieniem dobra dziecka. Po drugie, ma obejmować tylko informacje zakwalifikowane jako niezbędne. Po trzecie wreszcie, możliwość wpływu rodzica na kuratora ogranicza warunek udzielania informacji w formie pisemnej lub za pomocą środków komunikacji elektronicznej. Jednocześnie rodzic</w:t>
      </w:r>
      <w:r w:rsidR="0092429B">
        <w:rPr>
          <w:rFonts w:ascii="Times New Roman" w:hAnsi="Times New Roman" w:cs="Times New Roman"/>
        </w:rPr>
        <w:t>,</w:t>
      </w:r>
      <w:r w:rsidRPr="008B044F">
        <w:rPr>
          <w:rFonts w:ascii="Times New Roman" w:hAnsi="Times New Roman" w:cs="Times New Roman"/>
        </w:rPr>
        <w:t xml:space="preserve"> formułując wniosek o uzyskanie informacji, powinien określić czy i dlaczego są mu one niezbędne aby właściwie wykonywać władzę rodzicielską w kontekście prowadzonej sprawy, w której dziecko jest reprezentowane przez kuratora. Dodatkowo, na kuratora został nałożony obowiązek uzyskania od rodzica informacji o dziecku, jego stanie zdrowia, s</w:t>
      </w:r>
      <w:r w:rsidR="00D96289">
        <w:rPr>
          <w:rFonts w:ascii="Times New Roman" w:hAnsi="Times New Roman" w:cs="Times New Roman"/>
        </w:rPr>
        <w:t xml:space="preserve">ytuacji </w:t>
      </w:r>
      <w:r w:rsidR="00D96289">
        <w:rPr>
          <w:rFonts w:ascii="Times New Roman" w:hAnsi="Times New Roman" w:cs="Times New Roman"/>
        </w:rPr>
        <w:lastRenderedPageBreak/>
        <w:t>rodzinnej i </w:t>
      </w:r>
      <w:r w:rsidRPr="008B044F">
        <w:rPr>
          <w:rFonts w:ascii="Times New Roman" w:hAnsi="Times New Roman" w:cs="Times New Roman"/>
        </w:rPr>
        <w:t>środowisku w zakresie niezbędnym do prawidłowej reprezentacji dziecka. Powyższe podyktowane jest faktem, ż</w:t>
      </w:r>
      <w:r w:rsidR="0092429B">
        <w:rPr>
          <w:rFonts w:ascii="Times New Roman" w:hAnsi="Times New Roman" w:cs="Times New Roman"/>
        </w:rPr>
        <w:t>e</w:t>
      </w:r>
      <w:r w:rsidRPr="008B044F">
        <w:rPr>
          <w:rFonts w:ascii="Times New Roman" w:hAnsi="Times New Roman" w:cs="Times New Roman"/>
        </w:rPr>
        <w:t xml:space="preserve"> rodzic sprawujący bieżącą pieczę nad dzieckiem stanowi źródło informacji o małoletnim pozwalających na</w:t>
      </w:r>
      <w:r w:rsidR="00D96289">
        <w:rPr>
          <w:rFonts w:ascii="Times New Roman" w:hAnsi="Times New Roman" w:cs="Times New Roman"/>
        </w:rPr>
        <w:t xml:space="preserve"> prowadzenie procedur praw</w:t>
      </w:r>
      <w:r w:rsidR="0092429B">
        <w:rPr>
          <w:rFonts w:ascii="Times New Roman" w:hAnsi="Times New Roman" w:cs="Times New Roman"/>
        </w:rPr>
        <w:t>n</w:t>
      </w:r>
      <w:r w:rsidR="00D96289">
        <w:rPr>
          <w:rFonts w:ascii="Times New Roman" w:hAnsi="Times New Roman" w:cs="Times New Roman"/>
        </w:rPr>
        <w:t>ych z </w:t>
      </w:r>
      <w:r w:rsidRPr="008B044F">
        <w:rPr>
          <w:rFonts w:ascii="Times New Roman" w:hAnsi="Times New Roman" w:cs="Times New Roman"/>
        </w:rPr>
        <w:t xml:space="preserve">uwzględnieniem jego potrzeb oraz interesów. Rodzic uczestniczący </w:t>
      </w:r>
      <w:r w:rsidR="007C743C" w:rsidRPr="008B044F">
        <w:rPr>
          <w:rFonts w:ascii="Times New Roman" w:hAnsi="Times New Roman" w:cs="Times New Roman"/>
        </w:rPr>
        <w:t>w</w:t>
      </w:r>
      <w:r w:rsidR="007C743C">
        <w:rPr>
          <w:rFonts w:ascii="Times New Roman" w:hAnsi="Times New Roman" w:cs="Times New Roman"/>
        </w:rPr>
        <w:t> </w:t>
      </w:r>
      <w:r w:rsidRPr="008B044F">
        <w:rPr>
          <w:rFonts w:ascii="Times New Roman" w:hAnsi="Times New Roman" w:cs="Times New Roman"/>
        </w:rPr>
        <w:t>sprawowaniu bieżącej pieczy nad osobą małoletniego i w jego wychowaniu posiada wiedzę na temat jego rozwoju, funkcjonowania oraz potrzeb – np. stanu zdrowia, niepełnosprawności, niewystarczającej znajomości języka polskiego. Rodzic posiada także wiedzę na temat środowiska małoletniego uzasadniającą np. zastosow</w:t>
      </w:r>
      <w:r w:rsidR="00D96289">
        <w:rPr>
          <w:rFonts w:ascii="Times New Roman" w:hAnsi="Times New Roman" w:cs="Times New Roman"/>
        </w:rPr>
        <w:t>anie środków zapobiegawczych. W </w:t>
      </w:r>
      <w:r w:rsidRPr="008B044F">
        <w:rPr>
          <w:rFonts w:ascii="Times New Roman" w:hAnsi="Times New Roman" w:cs="Times New Roman"/>
        </w:rPr>
        <w:t xml:space="preserve">konsekwencji uzyskanie ww. informacji </w:t>
      </w:r>
      <w:r w:rsidR="00D84D43" w:rsidRPr="008B044F">
        <w:rPr>
          <w:rFonts w:ascii="Times New Roman" w:hAnsi="Times New Roman" w:cs="Times New Roman"/>
        </w:rPr>
        <w:t>o</w:t>
      </w:r>
      <w:r w:rsidR="00D84D43">
        <w:rPr>
          <w:rFonts w:ascii="Times New Roman" w:hAnsi="Times New Roman" w:cs="Times New Roman"/>
        </w:rPr>
        <w:t> </w:t>
      </w:r>
      <w:r w:rsidRPr="008B044F">
        <w:rPr>
          <w:rFonts w:ascii="Times New Roman" w:hAnsi="Times New Roman" w:cs="Times New Roman"/>
        </w:rPr>
        <w:t>dziecku jest istotnym elementem prawidłowego wykonywania przez kuratora jego obowiązków, czemu dał wyraz Trybunał Konstytucyjny w wyroku z dnia 21 stycznia 2014 roku, sygn. akt SK 5/12 (</w:t>
      </w:r>
      <w:r w:rsidR="00731F39">
        <w:rPr>
          <w:rFonts w:ascii="Times New Roman" w:hAnsi="Times New Roman" w:cs="Times New Roman"/>
        </w:rPr>
        <w:t>OTK</w:t>
      </w:r>
      <w:r w:rsidR="00731F39">
        <w:rPr>
          <w:rFonts w:ascii="Times New Roman" w:hAnsi="Times New Roman" w:cs="Times New Roman"/>
        </w:rPr>
        <w:noBreakHyphen/>
      </w:r>
      <w:r w:rsidRPr="008B044F">
        <w:rPr>
          <w:rFonts w:ascii="Times New Roman" w:hAnsi="Times New Roman" w:cs="Times New Roman"/>
        </w:rPr>
        <w:t xml:space="preserve">A2014/1/2). Obowiązek uzyskania informacji od rodzica sprawującego bieżącą pieczę nad dzieckiem także został sformułowany </w:t>
      </w:r>
      <w:r w:rsidR="00D84D43" w:rsidRPr="008B044F">
        <w:rPr>
          <w:rFonts w:ascii="Times New Roman" w:hAnsi="Times New Roman" w:cs="Times New Roman"/>
        </w:rPr>
        <w:t>w</w:t>
      </w:r>
      <w:r w:rsidR="00D84D43">
        <w:rPr>
          <w:rFonts w:ascii="Times New Roman" w:hAnsi="Times New Roman" w:cs="Times New Roman"/>
        </w:rPr>
        <w:t> </w:t>
      </w:r>
      <w:r w:rsidRPr="008B044F">
        <w:rPr>
          <w:rFonts w:ascii="Times New Roman" w:hAnsi="Times New Roman" w:cs="Times New Roman"/>
        </w:rPr>
        <w:t>sposób uniemożliwiający wpływanie przez rodzica na postawy i działania podejmowane przez kuratora.</w:t>
      </w:r>
    </w:p>
    <w:p w14:paraId="642E543B" w14:textId="1F34A827" w:rsidR="008B044F" w:rsidRPr="008B044F" w:rsidRDefault="008B044F" w:rsidP="00731F39">
      <w:pPr>
        <w:pStyle w:val="CZWSPPKTczwsplnapunktw"/>
        <w:spacing w:before="120"/>
        <w:rPr>
          <w:rFonts w:ascii="Times New Roman" w:hAnsi="Times New Roman" w:cs="Times New Roman"/>
        </w:rPr>
      </w:pPr>
      <w:r w:rsidRPr="008B044F">
        <w:rPr>
          <w:rFonts w:ascii="Times New Roman" w:hAnsi="Times New Roman" w:cs="Times New Roman"/>
        </w:rPr>
        <w:t xml:space="preserve">Uzupełnieniem tej regulacji jest </w:t>
      </w:r>
      <w:r w:rsidR="001B3AD8">
        <w:rPr>
          <w:rFonts w:ascii="Times New Roman" w:hAnsi="Times New Roman" w:cs="Times New Roman"/>
        </w:rPr>
        <w:t xml:space="preserve">art. 99 </w:t>
      </w:r>
      <w:r w:rsidRPr="008B044F">
        <w:rPr>
          <w:rFonts w:ascii="Times New Roman" w:hAnsi="Times New Roman" w:cs="Times New Roman"/>
        </w:rPr>
        <w:t>§ 7</w:t>
      </w:r>
      <w:r w:rsidR="001B3AD8">
        <w:rPr>
          <w:rFonts w:ascii="Times New Roman" w:hAnsi="Times New Roman" w:cs="Times New Roman"/>
        </w:rPr>
        <w:t xml:space="preserve"> k.r.o.</w:t>
      </w:r>
      <w:r w:rsidRPr="008B044F">
        <w:rPr>
          <w:rFonts w:ascii="Times New Roman" w:hAnsi="Times New Roman" w:cs="Times New Roman"/>
        </w:rPr>
        <w:t>, który rozszerza uprawnienia kuratora</w:t>
      </w:r>
      <w:r w:rsidR="001B3AD8">
        <w:rPr>
          <w:rFonts w:ascii="Times New Roman" w:hAnsi="Times New Roman" w:cs="Times New Roman"/>
        </w:rPr>
        <w:t>,</w:t>
      </w:r>
      <w:r w:rsidRPr="008B044F">
        <w:rPr>
          <w:rFonts w:ascii="Times New Roman" w:hAnsi="Times New Roman" w:cs="Times New Roman"/>
        </w:rPr>
        <w:t xml:space="preserve"> w zakresie uzyskiwania wiedzy na temat reprezentowanego dziecka</w:t>
      </w:r>
      <w:r w:rsidR="001B3AD8">
        <w:rPr>
          <w:rFonts w:ascii="Times New Roman" w:hAnsi="Times New Roman" w:cs="Times New Roman"/>
        </w:rPr>
        <w:t>,</w:t>
      </w:r>
      <w:r w:rsidRPr="008B044F">
        <w:rPr>
          <w:rFonts w:ascii="Times New Roman" w:hAnsi="Times New Roman" w:cs="Times New Roman"/>
        </w:rPr>
        <w:t xml:space="preserve"> przez możliwość zwrócenia się </w:t>
      </w:r>
      <w:r w:rsidR="00731F39">
        <w:rPr>
          <w:rFonts w:ascii="Times New Roman" w:hAnsi="Times New Roman" w:cs="Times New Roman"/>
        </w:rPr>
        <w:t xml:space="preserve">o </w:t>
      </w:r>
      <w:r w:rsidRPr="008B044F">
        <w:rPr>
          <w:rFonts w:ascii="Times New Roman" w:hAnsi="Times New Roman" w:cs="Times New Roman"/>
        </w:rPr>
        <w:t xml:space="preserve">ww. informacje także do organów lub instytucji oraz stowarzyszeń </w:t>
      </w:r>
      <w:r w:rsidR="00D84D43" w:rsidRPr="008B044F">
        <w:rPr>
          <w:rFonts w:ascii="Times New Roman" w:hAnsi="Times New Roman" w:cs="Times New Roman"/>
        </w:rPr>
        <w:t>i</w:t>
      </w:r>
      <w:r w:rsidR="00D84D43">
        <w:rPr>
          <w:rFonts w:ascii="Times New Roman" w:hAnsi="Times New Roman" w:cs="Times New Roman"/>
        </w:rPr>
        <w:t> </w:t>
      </w:r>
      <w:r w:rsidRPr="008B044F">
        <w:rPr>
          <w:rFonts w:ascii="Times New Roman" w:hAnsi="Times New Roman" w:cs="Times New Roman"/>
        </w:rPr>
        <w:t>organizacji społecznych, do których należy dziecko lub które świadczą dziecku pomoc. Wprowadzenie tej regulacji pozwoli kuratorowi na rzetelne i profesjonalne wykonywanie jego roli przez jak najlepsze poznanie potrzeb i sytuacji dziecka, które reprezentuje.</w:t>
      </w:r>
    </w:p>
    <w:p w14:paraId="606247A1" w14:textId="2767872B" w:rsidR="008B044F" w:rsidRPr="008B044F" w:rsidRDefault="008B044F" w:rsidP="00731F39">
      <w:pPr>
        <w:pStyle w:val="USTustnpkodeksu"/>
        <w:spacing w:before="120"/>
        <w:ind w:firstLine="0"/>
        <w:rPr>
          <w:rFonts w:ascii="Times New Roman" w:hAnsi="Times New Roman" w:cs="Times New Roman"/>
        </w:rPr>
      </w:pPr>
      <w:r w:rsidRPr="008B044F">
        <w:rPr>
          <w:rFonts w:ascii="Times New Roman" w:hAnsi="Times New Roman" w:cs="Times New Roman"/>
        </w:rPr>
        <w:t xml:space="preserve">Obecne przepisy, po zastosowaniu kaskadowych odesłań (art. 95 § 4 w zw. z art. 155 </w:t>
      </w:r>
      <w:r w:rsidR="00D96289">
        <w:rPr>
          <w:rFonts w:ascii="Times New Roman" w:hAnsi="Times New Roman" w:cs="Times New Roman"/>
        </w:rPr>
        <w:t>§ </w:t>
      </w:r>
      <w:r w:rsidRPr="008B044F">
        <w:rPr>
          <w:rFonts w:ascii="Times New Roman" w:hAnsi="Times New Roman" w:cs="Times New Roman"/>
        </w:rPr>
        <w:t xml:space="preserve">2 oraz art. 178 § 2 k.r.o), wyprowadzają wyłącznie obowiązek wysłuchania małoletniego przez kuratora, nie nakładają natomiast na kuratora obowiązku nawiązania z dzieckiem kontaktu, poznania go, a także przekazania mu stosownych informacji dotyczących jego spraw. Projektowany </w:t>
      </w:r>
      <w:r w:rsidR="001B3AD8">
        <w:rPr>
          <w:rFonts w:ascii="Times New Roman" w:hAnsi="Times New Roman" w:cs="Times New Roman"/>
        </w:rPr>
        <w:t xml:space="preserve">art. 99 </w:t>
      </w:r>
      <w:r w:rsidRPr="008B044F">
        <w:rPr>
          <w:rFonts w:ascii="Times New Roman" w:hAnsi="Times New Roman" w:cs="Times New Roman"/>
        </w:rPr>
        <w:t xml:space="preserve">§ 8 </w:t>
      </w:r>
      <w:r w:rsidR="001B3AD8">
        <w:rPr>
          <w:rFonts w:ascii="Times New Roman" w:hAnsi="Times New Roman" w:cs="Times New Roman"/>
        </w:rPr>
        <w:t xml:space="preserve">k.r.o. </w:t>
      </w:r>
      <w:r w:rsidRPr="008B044F">
        <w:rPr>
          <w:rFonts w:ascii="Times New Roman" w:hAnsi="Times New Roman" w:cs="Times New Roman"/>
        </w:rPr>
        <w:t xml:space="preserve">wypełnia tę lukę, gdyż wyraźnie reguluje obowiązki kuratora względem dziecka, które reprezentuje. Kurator zostaje zobowiązany do nawiązania z dzieckiem kontaktu i przekazania mu informacji </w:t>
      </w:r>
      <w:r w:rsidR="00D84D43" w:rsidRPr="008B044F">
        <w:rPr>
          <w:rFonts w:ascii="Times New Roman" w:hAnsi="Times New Roman" w:cs="Times New Roman"/>
        </w:rPr>
        <w:t>o</w:t>
      </w:r>
      <w:r w:rsidR="00D84D43">
        <w:rPr>
          <w:rFonts w:ascii="Times New Roman" w:hAnsi="Times New Roman" w:cs="Times New Roman"/>
        </w:rPr>
        <w:t> </w:t>
      </w:r>
      <w:r w:rsidRPr="008B044F">
        <w:rPr>
          <w:rFonts w:ascii="Times New Roman" w:hAnsi="Times New Roman" w:cs="Times New Roman"/>
        </w:rPr>
        <w:t>podejmowanych czynnoś</w:t>
      </w:r>
      <w:r w:rsidR="00731F39">
        <w:rPr>
          <w:rFonts w:ascii="Times New Roman" w:hAnsi="Times New Roman" w:cs="Times New Roman"/>
        </w:rPr>
        <w:t xml:space="preserve">ciach, przebiegu postępowania i </w:t>
      </w:r>
      <w:r w:rsidRPr="008B044F">
        <w:rPr>
          <w:rFonts w:ascii="Times New Roman" w:hAnsi="Times New Roman" w:cs="Times New Roman"/>
        </w:rPr>
        <w:t xml:space="preserve">sposobie jego zakończenia oraz konsekwencjach podjętych działań dla jego sytuacji prawnej. Na kuratora nakłada się dodatkowo obowiązek przekazywania powyższych informacji w sposób </w:t>
      </w:r>
      <w:r w:rsidR="00D96289">
        <w:rPr>
          <w:rFonts w:ascii="Times New Roman" w:hAnsi="Times New Roman" w:cs="Times New Roman"/>
        </w:rPr>
        <w:t>zrozumiały i </w:t>
      </w:r>
      <w:r w:rsidRPr="008B044F">
        <w:rPr>
          <w:rFonts w:ascii="Times New Roman" w:hAnsi="Times New Roman" w:cs="Times New Roman"/>
        </w:rPr>
        <w:t xml:space="preserve">dostosowany do stopnia rozwoju małoletniego. Powyższe obowiązki kurator będzie </w:t>
      </w:r>
      <w:r w:rsidRPr="008B044F">
        <w:rPr>
          <w:rFonts w:ascii="Times New Roman" w:hAnsi="Times New Roman" w:cs="Times New Roman"/>
        </w:rPr>
        <w:lastRenderedPageBreak/>
        <w:t>zobowiązany spełnić gdy pozwoli na to rozwój umysłowy, stan zdrowia i stopień dojrzałości dziecka.</w:t>
      </w:r>
    </w:p>
    <w:p w14:paraId="3562DBE2" w14:textId="2407AB1E" w:rsidR="008B044F" w:rsidRPr="008B044F" w:rsidRDefault="008B044F" w:rsidP="00731F39">
      <w:pPr>
        <w:pStyle w:val="USTustnpkodeksu"/>
        <w:spacing w:before="120"/>
        <w:ind w:firstLine="0"/>
        <w:rPr>
          <w:rFonts w:ascii="Times New Roman" w:hAnsi="Times New Roman" w:cs="Times New Roman"/>
          <w:i/>
        </w:rPr>
      </w:pPr>
      <w:r w:rsidRPr="008B044F">
        <w:rPr>
          <w:rFonts w:ascii="Times New Roman" w:hAnsi="Times New Roman" w:cs="Times New Roman"/>
        </w:rPr>
        <w:t>Kurator reprezentujący dziecko uzyskuje szereg informacji o szczegółach jego życia rodzinnego przez wgląd w akta sprawy, uczestniczenie w procedurach prawnych,</w:t>
      </w:r>
      <w:r w:rsidR="00D96289">
        <w:rPr>
          <w:rFonts w:ascii="Times New Roman" w:hAnsi="Times New Roman" w:cs="Times New Roman"/>
        </w:rPr>
        <w:t xml:space="preserve"> a </w:t>
      </w:r>
      <w:r w:rsidRPr="008B044F">
        <w:rPr>
          <w:rFonts w:ascii="Times New Roman" w:hAnsi="Times New Roman" w:cs="Times New Roman"/>
        </w:rPr>
        <w:t>na mocy projektowanych zmian, także od samego dziecka, rodzica sprawującego nad nim bieżącą pieczę, organów lub instytucji oraz stowarzyszeń i organizacji społecznych, do których należy dziecko lub które świadczą dziecku pomoc. W obecnym stanie prawnym kurator jest związany zakazem rozpows</w:t>
      </w:r>
      <w:r w:rsidR="00D96289">
        <w:rPr>
          <w:rFonts w:ascii="Times New Roman" w:hAnsi="Times New Roman" w:cs="Times New Roman"/>
        </w:rPr>
        <w:t>zechniana wiadomości nabytych w </w:t>
      </w:r>
      <w:r w:rsidRPr="008B044F">
        <w:rPr>
          <w:rFonts w:ascii="Times New Roman" w:hAnsi="Times New Roman" w:cs="Times New Roman"/>
        </w:rPr>
        <w:t>toku postępowania przygotowawczego oraz zamkniętej rozprawy sądowej (</w:t>
      </w:r>
      <w:r w:rsidR="00D96289">
        <w:rPr>
          <w:rFonts w:ascii="Times New Roman" w:hAnsi="Times New Roman" w:cs="Times New Roman"/>
        </w:rPr>
        <w:t>art. 241 § </w:t>
      </w:r>
      <w:r w:rsidRPr="008B044F">
        <w:rPr>
          <w:rFonts w:ascii="Times New Roman" w:hAnsi="Times New Roman" w:cs="Times New Roman"/>
        </w:rPr>
        <w:t xml:space="preserve">1 lub </w:t>
      </w:r>
      <w:r w:rsidR="001B3AD8">
        <w:rPr>
          <w:rFonts w:ascii="Times New Roman" w:hAnsi="Times New Roman" w:cs="Times New Roman"/>
        </w:rPr>
        <w:t>§ </w:t>
      </w:r>
      <w:r w:rsidRPr="008B044F">
        <w:rPr>
          <w:rFonts w:ascii="Times New Roman" w:hAnsi="Times New Roman" w:cs="Times New Roman"/>
        </w:rPr>
        <w:t xml:space="preserve">2 </w:t>
      </w:r>
      <w:r w:rsidR="00731F39">
        <w:rPr>
          <w:rFonts w:ascii="Times New Roman" w:hAnsi="Times New Roman" w:cs="Times New Roman"/>
        </w:rPr>
        <w:t xml:space="preserve">ustawy z dnia 6 </w:t>
      </w:r>
      <w:r w:rsidRPr="008B044F">
        <w:rPr>
          <w:rFonts w:ascii="Times New Roman" w:hAnsi="Times New Roman" w:cs="Times New Roman"/>
        </w:rPr>
        <w:t>czerwca 1997 r. – Kodeks karny</w:t>
      </w:r>
      <w:r w:rsidR="0092429B">
        <w:rPr>
          <w:rFonts w:ascii="Times New Roman" w:hAnsi="Times New Roman" w:cs="Times New Roman"/>
        </w:rPr>
        <w:t xml:space="preserve"> </w:t>
      </w:r>
      <w:r w:rsidR="00E55FE0">
        <w:rPr>
          <w:rFonts w:ascii="Times New Roman" w:hAnsi="Times New Roman" w:cs="Times New Roman"/>
        </w:rPr>
        <w:t>(</w:t>
      </w:r>
      <w:r w:rsidRPr="008B044F">
        <w:rPr>
          <w:rFonts w:ascii="Times New Roman" w:hAnsi="Times New Roman" w:cs="Times New Roman"/>
        </w:rPr>
        <w:t>Dz. U. z 2018 r. poz. 1600</w:t>
      </w:r>
      <w:r w:rsidR="0092429B">
        <w:rPr>
          <w:rFonts w:ascii="Times New Roman" w:hAnsi="Times New Roman" w:cs="Times New Roman"/>
        </w:rPr>
        <w:t>,</w:t>
      </w:r>
      <w:r w:rsidR="00D96289">
        <w:rPr>
          <w:rFonts w:ascii="Times New Roman" w:hAnsi="Times New Roman" w:cs="Times New Roman"/>
        </w:rPr>
        <w:t xml:space="preserve"> z </w:t>
      </w:r>
      <w:r w:rsidRPr="008B044F">
        <w:rPr>
          <w:rFonts w:ascii="Times New Roman" w:hAnsi="Times New Roman" w:cs="Times New Roman"/>
        </w:rPr>
        <w:t>późn. zm.)</w:t>
      </w:r>
      <w:r w:rsidR="00E55FE0">
        <w:rPr>
          <w:rFonts w:ascii="Times New Roman" w:hAnsi="Times New Roman" w:cs="Times New Roman"/>
        </w:rPr>
        <w:t>)</w:t>
      </w:r>
      <w:r w:rsidRPr="008B044F">
        <w:rPr>
          <w:rFonts w:ascii="Times New Roman" w:hAnsi="Times New Roman" w:cs="Times New Roman"/>
        </w:rPr>
        <w:t xml:space="preserve">. Powyższe uregulowanie nie chroni w sposób właściwy interesów dziecka oraz jego rodziny i tym samym </w:t>
      </w:r>
      <w:r w:rsidR="001B3AD8" w:rsidRPr="008B044F">
        <w:rPr>
          <w:rFonts w:ascii="Times New Roman" w:hAnsi="Times New Roman" w:cs="Times New Roman"/>
        </w:rPr>
        <w:t xml:space="preserve">jest </w:t>
      </w:r>
      <w:r w:rsidRPr="008B044F">
        <w:rPr>
          <w:rFonts w:ascii="Times New Roman" w:hAnsi="Times New Roman" w:cs="Times New Roman"/>
        </w:rPr>
        <w:t xml:space="preserve">niezbędne szczegółowe uregulowanie omawianej kwestii. W </w:t>
      </w:r>
      <w:r w:rsidR="001B3AD8">
        <w:rPr>
          <w:rFonts w:ascii="Times New Roman" w:hAnsi="Times New Roman" w:cs="Times New Roman"/>
        </w:rPr>
        <w:t xml:space="preserve">art. 99 </w:t>
      </w:r>
      <w:r w:rsidRPr="008B044F">
        <w:rPr>
          <w:rFonts w:ascii="Times New Roman" w:hAnsi="Times New Roman" w:cs="Times New Roman"/>
        </w:rPr>
        <w:t xml:space="preserve">§ 9 </w:t>
      </w:r>
      <w:r w:rsidR="001B3AD8">
        <w:rPr>
          <w:rFonts w:ascii="Times New Roman" w:hAnsi="Times New Roman" w:cs="Times New Roman"/>
        </w:rPr>
        <w:t xml:space="preserve">k.r.o. </w:t>
      </w:r>
      <w:r w:rsidRPr="008B044F">
        <w:rPr>
          <w:rFonts w:ascii="Times New Roman" w:hAnsi="Times New Roman" w:cs="Times New Roman"/>
        </w:rPr>
        <w:t>nałożono zatem na kuratora reprezentującego dziecko obowiązek zachowania w tajemnicy okoliczności sprawy, o których powziął wiadomość ze względu na wykonywane czynności, z wyją</w:t>
      </w:r>
      <w:r w:rsidR="00D96289">
        <w:rPr>
          <w:rFonts w:ascii="Times New Roman" w:hAnsi="Times New Roman" w:cs="Times New Roman"/>
        </w:rPr>
        <w:t>tkiem wiarygodnych informacji o </w:t>
      </w:r>
      <w:r w:rsidRPr="008B044F">
        <w:rPr>
          <w:rFonts w:ascii="Times New Roman" w:hAnsi="Times New Roman" w:cs="Times New Roman"/>
        </w:rPr>
        <w:t xml:space="preserve">przestępstwach, o których mowa w art. 240 § 1 Kodeksu karnego oraz innych przestępstwach popełnionych na szkodę dziecka. Wskazana tajemnica posiadać będzie status tajemnicy zawodowej i obowiązywać będzie wszystkie osoby pełniące rolę kuratora, o którym mowa w projektowanym art. 99 § 1 k.r.o., a tym samym stanowić będzie </w:t>
      </w:r>
      <w:r w:rsidRPr="008B044F">
        <w:rPr>
          <w:rFonts w:ascii="Times New Roman" w:hAnsi="Times New Roman" w:cs="Times New Roman"/>
          <w:i/>
        </w:rPr>
        <w:t xml:space="preserve">lex specialis </w:t>
      </w:r>
      <w:r w:rsidRPr="008B044F">
        <w:rPr>
          <w:rFonts w:ascii="Times New Roman" w:hAnsi="Times New Roman" w:cs="Times New Roman"/>
        </w:rPr>
        <w:t>wobec tajemnic zawodowych przypisanych np. adwokatom czy radcom prawnym.</w:t>
      </w:r>
    </w:p>
    <w:p w14:paraId="2C9A3243" w14:textId="4704B189" w:rsidR="008B044F" w:rsidRPr="008B044F" w:rsidRDefault="008B044F" w:rsidP="008B044F">
      <w:pPr>
        <w:pStyle w:val="CZWSPPKTczwsplnapunktw"/>
        <w:spacing w:before="120"/>
        <w:rPr>
          <w:rFonts w:ascii="Times New Roman" w:hAnsi="Times New Roman" w:cs="Times New Roman"/>
        </w:rPr>
      </w:pPr>
      <w:r w:rsidRPr="008B044F">
        <w:rPr>
          <w:rFonts w:ascii="Times New Roman" w:hAnsi="Times New Roman" w:cs="Times New Roman"/>
        </w:rPr>
        <w:t>Szczególnego wyjaśnienia wymaga projektowany art. 179 § 1</w:t>
      </w:r>
      <w:r w:rsidRPr="008B044F">
        <w:rPr>
          <w:rStyle w:val="IGindeksgrny"/>
          <w:rFonts w:ascii="Times New Roman" w:hAnsi="Times New Roman" w:cs="Times New Roman"/>
        </w:rPr>
        <w:t>1</w:t>
      </w:r>
      <w:r w:rsidRPr="008B044F">
        <w:rPr>
          <w:rFonts w:ascii="Times New Roman" w:hAnsi="Times New Roman" w:cs="Times New Roman"/>
        </w:rPr>
        <w:t xml:space="preserve"> k.r.o. W obecnym stanie prawnym kurator ustanowiony na podstawie art. 99 k.r.o. do reprezentowania dziecka </w:t>
      </w:r>
      <w:r w:rsidR="00731F39">
        <w:rPr>
          <w:rFonts w:ascii="Times New Roman" w:hAnsi="Times New Roman" w:cs="Times New Roman"/>
        </w:rPr>
        <w:t>w</w:t>
      </w:r>
      <w:r w:rsidR="00D96289">
        <w:rPr>
          <w:rFonts w:ascii="Times New Roman" w:hAnsi="Times New Roman" w:cs="Times New Roman"/>
        </w:rPr>
        <w:t> </w:t>
      </w:r>
      <w:r w:rsidRPr="008B044F">
        <w:rPr>
          <w:rFonts w:ascii="Times New Roman" w:hAnsi="Times New Roman" w:cs="Times New Roman"/>
        </w:rPr>
        <w:t xml:space="preserve">postępowaniu innym niż postępowanie cywilne, jest narażony na to, że w ogóle nie otrzyma wynagrodzenia i zwrotu wydatków, jakie poniósł w związku ze sprawowaniem kurateli. W szczególności należy zauważyć, że kurator do reprezentowania dziecka </w:t>
      </w:r>
      <w:r w:rsidR="00731F39">
        <w:rPr>
          <w:rFonts w:ascii="Times New Roman" w:hAnsi="Times New Roman" w:cs="Times New Roman"/>
        </w:rPr>
        <w:t>w</w:t>
      </w:r>
      <w:r w:rsidR="00D96289">
        <w:rPr>
          <w:rFonts w:ascii="Times New Roman" w:hAnsi="Times New Roman" w:cs="Times New Roman"/>
        </w:rPr>
        <w:t> </w:t>
      </w:r>
      <w:r w:rsidRPr="008B044F">
        <w:rPr>
          <w:rFonts w:ascii="Times New Roman" w:hAnsi="Times New Roman" w:cs="Times New Roman"/>
        </w:rPr>
        <w:t xml:space="preserve">postępowaniach, zwłaszcza w postępowaniu karnym, jest zasadniczo powoływany </w:t>
      </w:r>
      <w:r w:rsidR="00731F39">
        <w:rPr>
          <w:rFonts w:ascii="Times New Roman" w:hAnsi="Times New Roman" w:cs="Times New Roman"/>
        </w:rPr>
        <w:t>z</w:t>
      </w:r>
      <w:r w:rsidR="00D96289">
        <w:rPr>
          <w:rFonts w:ascii="Times New Roman" w:hAnsi="Times New Roman" w:cs="Times New Roman"/>
        </w:rPr>
        <w:t> </w:t>
      </w:r>
      <w:r w:rsidRPr="008B044F">
        <w:rPr>
          <w:rFonts w:ascii="Times New Roman" w:hAnsi="Times New Roman" w:cs="Times New Roman"/>
        </w:rPr>
        <w:t>urzędu. Jak wynika z uzasadnienia powołanego postanowienia Trybunału Konstytucyjnego, w razie potrzeby ustanowienia kuratora dla dziecka jako pokrzywdzonego w sprawie karnej ze stosownym „wnioskiem” do sądu opiekuńczego występuje prokurator. W takim przypadku nie ma praktycznej możliwości przyznania wynagrodzenia ze środków, o których mowa w</w:t>
      </w:r>
      <w:r w:rsidR="00731F39">
        <w:rPr>
          <w:rFonts w:ascii="Times New Roman" w:hAnsi="Times New Roman" w:cs="Times New Roman"/>
        </w:rPr>
        <w:t xml:space="preserve"> </w:t>
      </w:r>
      <w:r w:rsidRPr="008B044F">
        <w:rPr>
          <w:rFonts w:ascii="Times New Roman" w:hAnsi="Times New Roman" w:cs="Times New Roman"/>
        </w:rPr>
        <w:t xml:space="preserve">art. 179 k.r.o., zgodnie z którym wynagrodzenie pokrywa się z dochodów lub z majątku osoby, dla której kurator jest </w:t>
      </w:r>
      <w:r w:rsidRPr="008B044F">
        <w:rPr>
          <w:rFonts w:ascii="Times New Roman" w:hAnsi="Times New Roman" w:cs="Times New Roman"/>
        </w:rPr>
        <w:lastRenderedPageBreak/>
        <w:t>ustanowiony, a jeżeli osoba ta nie ma odpowiednich dochodów lub majątku, wynagrodzenie pokrywa ten, kto żądał ustanowieni</w:t>
      </w:r>
      <w:r w:rsidR="00D96289">
        <w:rPr>
          <w:rFonts w:ascii="Times New Roman" w:hAnsi="Times New Roman" w:cs="Times New Roman"/>
        </w:rPr>
        <w:t>a kuratora. W uchwale z dnia 28 </w:t>
      </w:r>
      <w:r w:rsidRPr="008B044F">
        <w:rPr>
          <w:rFonts w:ascii="Times New Roman" w:hAnsi="Times New Roman" w:cs="Times New Roman"/>
        </w:rPr>
        <w:t>marca 2014 r. wydanej w sprawie o sygn. akt III CZP 6/14, Sąd Najwyższy wyraził pogląd, że w przypadku braku podstaw do pokrycia wynagrodzenia kuratora osoby częściowo ubezwłasnowolnionej na podstawie art. 179 § 1 k.r.o., wynagrodzenie to jest pokrywane ze środków publicznych na podstawie przepisów o po</w:t>
      </w:r>
      <w:r w:rsidR="00D96289">
        <w:rPr>
          <w:rFonts w:ascii="Times New Roman" w:hAnsi="Times New Roman" w:cs="Times New Roman"/>
        </w:rPr>
        <w:t>mocy społecznej (art. </w:t>
      </w:r>
      <w:r w:rsidR="00731F39">
        <w:rPr>
          <w:rFonts w:ascii="Times New Roman" w:hAnsi="Times New Roman" w:cs="Times New Roman"/>
        </w:rPr>
        <w:t xml:space="preserve">162 § 3 </w:t>
      </w:r>
      <w:r w:rsidR="001B3AD8">
        <w:rPr>
          <w:rFonts w:ascii="Times New Roman" w:hAnsi="Times New Roman" w:cs="Times New Roman"/>
        </w:rPr>
        <w:t xml:space="preserve">k.r.o. </w:t>
      </w:r>
      <w:r w:rsidR="00731F39">
        <w:rPr>
          <w:rFonts w:ascii="Times New Roman" w:hAnsi="Times New Roman" w:cs="Times New Roman"/>
        </w:rPr>
        <w:t xml:space="preserve">w </w:t>
      </w:r>
      <w:r w:rsidRPr="008B044F">
        <w:rPr>
          <w:rFonts w:ascii="Times New Roman" w:hAnsi="Times New Roman" w:cs="Times New Roman"/>
        </w:rPr>
        <w:t>zw.</w:t>
      </w:r>
      <w:r w:rsidR="00731F39">
        <w:rPr>
          <w:rFonts w:ascii="Times New Roman" w:hAnsi="Times New Roman" w:cs="Times New Roman"/>
        </w:rPr>
        <w:t xml:space="preserve"> z art. </w:t>
      </w:r>
      <w:r w:rsidRPr="008B044F">
        <w:rPr>
          <w:rFonts w:ascii="Times New Roman" w:hAnsi="Times New Roman" w:cs="Times New Roman"/>
        </w:rPr>
        <w:t xml:space="preserve">178 § 2 k.r.o. i art. 53a ustawy z dnia 12 marca 2004 r. </w:t>
      </w:r>
      <w:r w:rsidR="00D96289">
        <w:rPr>
          <w:rFonts w:ascii="Times New Roman" w:hAnsi="Times New Roman" w:cs="Times New Roman"/>
        </w:rPr>
        <w:t>o </w:t>
      </w:r>
      <w:r w:rsidRPr="008B044F">
        <w:rPr>
          <w:rFonts w:ascii="Times New Roman" w:hAnsi="Times New Roman" w:cs="Times New Roman"/>
        </w:rPr>
        <w:t>pomocy społecznej (OSNC 2015/1/5)</w:t>
      </w:r>
      <w:r w:rsidR="0051648B">
        <w:rPr>
          <w:rFonts w:ascii="Times New Roman" w:hAnsi="Times New Roman" w:cs="Times New Roman"/>
        </w:rPr>
        <w:t>)</w:t>
      </w:r>
      <w:r w:rsidRPr="008B044F">
        <w:rPr>
          <w:rFonts w:ascii="Times New Roman" w:hAnsi="Times New Roman" w:cs="Times New Roman"/>
        </w:rPr>
        <w:t xml:space="preserve">. Treść uchwały nie odnosi się jednak do wynagrodzenia kuratora procesowego, lecz materialnego, o którym mowa w uchwale. </w:t>
      </w:r>
    </w:p>
    <w:p w14:paraId="328700EB" w14:textId="2A5E063D" w:rsidR="008B044F" w:rsidRPr="008B044F" w:rsidRDefault="008B044F" w:rsidP="008B044F">
      <w:pPr>
        <w:pStyle w:val="CZWSPPKTczwsplnapunktw"/>
        <w:spacing w:before="120"/>
        <w:rPr>
          <w:rFonts w:ascii="Times New Roman" w:hAnsi="Times New Roman" w:cs="Times New Roman"/>
        </w:rPr>
      </w:pPr>
      <w:r w:rsidRPr="008B044F">
        <w:rPr>
          <w:rFonts w:ascii="Times New Roman" w:hAnsi="Times New Roman" w:cs="Times New Roman"/>
        </w:rPr>
        <w:t xml:space="preserve">W zakresie wynagrodzenia kuratora do reprezentowania dziecka należy odesłać do regulacji proceduralnych obowiązujących w danym postępowaniu. Jeżeli wynagrodzenie kuratora byłoby objęte zasadami procesowymi, to należałoby je zaliczyć do kosztów danego postępowania z możliwością jego wyłożenia </w:t>
      </w:r>
      <w:r w:rsidR="00D96289">
        <w:rPr>
          <w:rFonts w:ascii="Times New Roman" w:hAnsi="Times New Roman" w:cs="Times New Roman"/>
        </w:rPr>
        <w:t>przez Skarb Państwa i </w:t>
      </w:r>
      <w:r w:rsidRPr="008B044F">
        <w:rPr>
          <w:rFonts w:ascii="Times New Roman" w:hAnsi="Times New Roman" w:cs="Times New Roman"/>
        </w:rPr>
        <w:t xml:space="preserve">końcowego rozliczenia między stronami. W procedurze cywilnej tego rodzaju przepisy już funkcjonują. Należy tu przywołać regulacje przewidziane w ustawie z dnia 28 lipca 2005 r. o kosztach sądowych </w:t>
      </w:r>
      <w:r w:rsidR="00731F39">
        <w:rPr>
          <w:rFonts w:ascii="Times New Roman" w:hAnsi="Times New Roman" w:cs="Times New Roman"/>
        </w:rPr>
        <w:t xml:space="preserve">w </w:t>
      </w:r>
      <w:r w:rsidRPr="008B044F">
        <w:rPr>
          <w:rFonts w:ascii="Times New Roman" w:hAnsi="Times New Roman" w:cs="Times New Roman"/>
        </w:rPr>
        <w:t>sprawach cywilnych (Dz. U. z 2018 r. poz. 300</w:t>
      </w:r>
      <w:r w:rsidR="0092429B">
        <w:rPr>
          <w:rFonts w:ascii="Times New Roman" w:hAnsi="Times New Roman" w:cs="Times New Roman"/>
        </w:rPr>
        <w:t>,</w:t>
      </w:r>
      <w:r w:rsidRPr="008B044F">
        <w:rPr>
          <w:rFonts w:ascii="Times New Roman" w:hAnsi="Times New Roman" w:cs="Times New Roman"/>
        </w:rPr>
        <w:t xml:space="preserve"> </w:t>
      </w:r>
      <w:r w:rsidR="00D96289">
        <w:rPr>
          <w:rFonts w:ascii="Times New Roman" w:hAnsi="Times New Roman" w:cs="Times New Roman"/>
        </w:rPr>
        <w:t>z późn. </w:t>
      </w:r>
      <w:r w:rsidRPr="008B044F">
        <w:rPr>
          <w:rFonts w:ascii="Times New Roman" w:hAnsi="Times New Roman" w:cs="Times New Roman"/>
        </w:rPr>
        <w:t>zm.), w tym zasadniczo art. 5 ust. 1 pkt 3, zgodnie z którym wydatki, stanowiące kosz</w:t>
      </w:r>
      <w:r w:rsidR="00731F39">
        <w:rPr>
          <w:rFonts w:ascii="Times New Roman" w:hAnsi="Times New Roman" w:cs="Times New Roman"/>
        </w:rPr>
        <w:t xml:space="preserve">ty postępowania, obejmują m.in. </w:t>
      </w:r>
      <w:r w:rsidRPr="008B044F">
        <w:rPr>
          <w:rFonts w:ascii="Times New Roman" w:hAnsi="Times New Roman" w:cs="Times New Roman"/>
        </w:rPr>
        <w:t>wynagrodzenie i zwrot kosztów poniesionych przez kuratorów ustanowionych dla strony w danej sprawie. Proponowany przepis art. 179 § 1</w:t>
      </w:r>
      <w:r w:rsidRPr="008B044F">
        <w:rPr>
          <w:rStyle w:val="IGindeksgrny"/>
          <w:rFonts w:ascii="Times New Roman" w:hAnsi="Times New Roman" w:cs="Times New Roman"/>
        </w:rPr>
        <w:t>1</w:t>
      </w:r>
      <w:r w:rsidRPr="008B044F">
        <w:rPr>
          <w:rFonts w:ascii="Times New Roman" w:hAnsi="Times New Roman" w:cs="Times New Roman"/>
        </w:rPr>
        <w:t xml:space="preserve"> k.r.o. odnosił się </w:t>
      </w:r>
      <w:r w:rsidR="0092429B" w:rsidRPr="008B044F">
        <w:rPr>
          <w:rFonts w:ascii="Times New Roman" w:hAnsi="Times New Roman" w:cs="Times New Roman"/>
        </w:rPr>
        <w:t xml:space="preserve">zatem </w:t>
      </w:r>
      <w:r w:rsidRPr="008B044F">
        <w:rPr>
          <w:rFonts w:ascii="Times New Roman" w:hAnsi="Times New Roman" w:cs="Times New Roman"/>
        </w:rPr>
        <w:t xml:space="preserve">będzie </w:t>
      </w:r>
      <w:r w:rsidR="00731F39">
        <w:rPr>
          <w:rFonts w:ascii="Times New Roman" w:hAnsi="Times New Roman" w:cs="Times New Roman"/>
        </w:rPr>
        <w:t xml:space="preserve">w </w:t>
      </w:r>
      <w:r w:rsidRPr="008B044F">
        <w:rPr>
          <w:rFonts w:ascii="Times New Roman" w:hAnsi="Times New Roman" w:cs="Times New Roman"/>
        </w:rPr>
        <w:t xml:space="preserve">tej części do tych przepisów. Stawki tego wynagrodzenia określało rozporządzenie Ministra Sprawiedliwości z dnia 13 listopada 2013 r. w sprawie określenia wysokości wynagrodzenia </w:t>
      </w:r>
      <w:r w:rsidR="00731F39">
        <w:rPr>
          <w:rFonts w:ascii="Times New Roman" w:hAnsi="Times New Roman" w:cs="Times New Roman"/>
        </w:rPr>
        <w:t xml:space="preserve">i </w:t>
      </w:r>
      <w:r w:rsidRPr="008B044F">
        <w:rPr>
          <w:rFonts w:ascii="Times New Roman" w:hAnsi="Times New Roman" w:cs="Times New Roman"/>
        </w:rPr>
        <w:t xml:space="preserve">zwrotu wydatków poniesionych przez kuratorów ustanowionych dla strony w sprawie cywilnej (Dz. U. poz. 1476), wydane na podstawie art. 9 pkt 3 przywołanej ustawy, zaś od dnia 15 marca 2018 r., rozporządzenie Ministra Sprawiedliwości z dnia 9 marca 2018 r. o tym samym tytule (Dz. U. poz. 536). </w:t>
      </w:r>
    </w:p>
    <w:p w14:paraId="003B0347" w14:textId="77777777" w:rsidR="008B044F" w:rsidRPr="008B044F" w:rsidRDefault="008B044F" w:rsidP="008B044F">
      <w:pPr>
        <w:pStyle w:val="CZWSPPKTczwsplnapunktw"/>
        <w:spacing w:before="120"/>
        <w:rPr>
          <w:rFonts w:ascii="Times New Roman" w:hAnsi="Times New Roman" w:cs="Times New Roman"/>
        </w:rPr>
      </w:pPr>
      <w:r w:rsidRPr="008B044F">
        <w:rPr>
          <w:rFonts w:ascii="Times New Roman" w:hAnsi="Times New Roman" w:cs="Times New Roman"/>
        </w:rPr>
        <w:t xml:space="preserve">Jeżeli chodzi o postępowanie administracyjne, to propozycja zawarta w projekcie wydaje się już znajdować potwierdzenie w orzecznictwie sądów. Zgodnie z uchwałą Sądu Najwyższego z dnia 9 lutego 1989 r. w sprawie o sygn. akt </w:t>
      </w:r>
      <w:hyperlink r:id="rId6" w:anchor="hiperlinkText.rpc?hiperlink=type=tresc:nro=OrzeczSad.3514:ver=0&amp;full=1" w:tgtFrame="_parent" w:history="1">
        <w:r w:rsidRPr="008B044F">
          <w:rPr>
            <w:rFonts w:ascii="Times New Roman" w:hAnsi="Times New Roman" w:cs="Times New Roman"/>
          </w:rPr>
          <w:t>III CZP 117/88</w:t>
        </w:r>
      </w:hyperlink>
      <w:r w:rsidRPr="008B044F">
        <w:rPr>
          <w:rFonts w:ascii="Times New Roman" w:hAnsi="Times New Roman" w:cs="Times New Roman"/>
        </w:rPr>
        <w:t>, wyznaczenie przez sąd przedstawiciela dla nieobecnej strony postępowania administracyjnego na wniosek organu administracyjn</w:t>
      </w:r>
      <w:r w:rsidR="00D96289">
        <w:rPr>
          <w:rFonts w:ascii="Times New Roman" w:hAnsi="Times New Roman" w:cs="Times New Roman"/>
        </w:rPr>
        <w:t>ego zgłoszony na podstawie art. </w:t>
      </w:r>
      <w:r w:rsidRPr="008B044F">
        <w:rPr>
          <w:rFonts w:ascii="Times New Roman" w:hAnsi="Times New Roman" w:cs="Times New Roman"/>
        </w:rPr>
        <w:t xml:space="preserve">34 § 1 k.p.a. następuje na podstawie art. 184 k.r.o., a wynagrodzenie takiego przedstawiciela należy do kosztów postępowania administracyjnego (OSNC </w:t>
      </w:r>
      <w:r w:rsidRPr="008B044F">
        <w:rPr>
          <w:rFonts w:ascii="Times New Roman" w:hAnsi="Times New Roman" w:cs="Times New Roman"/>
        </w:rPr>
        <w:lastRenderedPageBreak/>
        <w:t xml:space="preserve">1990/1/11). Art. 263 § 2 k.p.a. pozwala organowi administracji publicznej zaliczyć do kosztów postępowania wszelkie koszty bezpośrednio związane </w:t>
      </w:r>
      <w:r w:rsidR="00731F39">
        <w:rPr>
          <w:rFonts w:ascii="Times New Roman" w:hAnsi="Times New Roman" w:cs="Times New Roman"/>
        </w:rPr>
        <w:t xml:space="preserve">z </w:t>
      </w:r>
      <w:r w:rsidRPr="008B044F">
        <w:rPr>
          <w:rFonts w:ascii="Times New Roman" w:hAnsi="Times New Roman" w:cs="Times New Roman"/>
        </w:rPr>
        <w:t>rozstrzygnięciem sprawy.</w:t>
      </w:r>
    </w:p>
    <w:p w14:paraId="72F96E57" w14:textId="14DF06DF" w:rsidR="008B044F" w:rsidRPr="008B044F" w:rsidRDefault="008B044F" w:rsidP="008B044F">
      <w:pPr>
        <w:pStyle w:val="CZWSPPKTczwsplnapunktw"/>
        <w:spacing w:before="120"/>
        <w:rPr>
          <w:rFonts w:ascii="Times New Roman" w:hAnsi="Times New Roman" w:cs="Times New Roman"/>
        </w:rPr>
      </w:pPr>
      <w:r w:rsidRPr="008B044F">
        <w:rPr>
          <w:rFonts w:ascii="Times New Roman" w:hAnsi="Times New Roman" w:cs="Times New Roman"/>
        </w:rPr>
        <w:t xml:space="preserve">W przypadku postępowania karnego katalog wydatków Skarbu Państwa zawarty </w:t>
      </w:r>
      <w:r w:rsidR="00D96289">
        <w:rPr>
          <w:rFonts w:ascii="Times New Roman" w:hAnsi="Times New Roman" w:cs="Times New Roman"/>
        </w:rPr>
        <w:t>w </w:t>
      </w:r>
      <w:hyperlink r:id="rId7" w:anchor="hiperlinkText.rpc?hiperlink=type=tresc:nro=Powszechny.21469:part=a618§1&amp;full=1" w:tgtFrame="_parent" w:history="1">
        <w:r w:rsidR="00D96289">
          <w:rPr>
            <w:rFonts w:ascii="Times New Roman" w:hAnsi="Times New Roman" w:cs="Times New Roman"/>
          </w:rPr>
          <w:t>art. </w:t>
        </w:r>
        <w:r w:rsidR="00731F39">
          <w:rPr>
            <w:rFonts w:ascii="Times New Roman" w:hAnsi="Times New Roman" w:cs="Times New Roman"/>
          </w:rPr>
          <w:t xml:space="preserve">618 § </w:t>
        </w:r>
        <w:r w:rsidRPr="008B044F">
          <w:rPr>
            <w:rFonts w:ascii="Times New Roman" w:hAnsi="Times New Roman" w:cs="Times New Roman"/>
          </w:rPr>
          <w:t>1</w:t>
        </w:r>
      </w:hyperlink>
      <w:r w:rsidRPr="008B044F">
        <w:rPr>
          <w:rFonts w:ascii="Times New Roman" w:hAnsi="Times New Roman" w:cs="Times New Roman"/>
        </w:rPr>
        <w:t xml:space="preserve"> k.p.k. ma charakter otwarty, o czym świadczy zwrot „w szczególności”. Możliwe jest zatem zaliczenie do kosztów procesu również innych wydatków, a zatem wynagrodzenia kuratorów i zwrotu poniesionych przez nich wydatków. Na gruncie procedury karnej oba te pojęcia zawierają się w pojęciu „należności”. Znalazło to swój wyraz w wyroku Sądu Apelacyjnego w Katowicach z dnia 19 marca 2015 r., wydanym w sprawie o sygn. akt II AKa 46/15, który wydaje się być jednocześnie próbą zniwelowania braku jednoznacznych przepisów pozwalających realnie orzekać </w:t>
      </w:r>
      <w:r w:rsidR="00D96289">
        <w:rPr>
          <w:rFonts w:ascii="Times New Roman" w:hAnsi="Times New Roman" w:cs="Times New Roman"/>
        </w:rPr>
        <w:t>o </w:t>
      </w:r>
      <w:r w:rsidRPr="008B044F">
        <w:rPr>
          <w:rFonts w:ascii="Times New Roman" w:hAnsi="Times New Roman" w:cs="Times New Roman"/>
        </w:rPr>
        <w:t>wynagrodzeniu kuratora ustanowionego do reprezentowania dziecka w postępowaniu karnym, co oczywiście nie ma charakteru obowiązu</w:t>
      </w:r>
      <w:r w:rsidR="00D96289">
        <w:rPr>
          <w:rFonts w:ascii="Times New Roman" w:hAnsi="Times New Roman" w:cs="Times New Roman"/>
        </w:rPr>
        <w:t>jącego prawa, poza związaniem w </w:t>
      </w:r>
      <w:r w:rsidRPr="008B044F">
        <w:rPr>
          <w:rFonts w:ascii="Times New Roman" w:hAnsi="Times New Roman" w:cs="Times New Roman"/>
        </w:rPr>
        <w:t xml:space="preserve">konkretnej sprawie. Orzeczenie to, chociaż </w:t>
      </w:r>
      <w:r w:rsidR="00731F39">
        <w:rPr>
          <w:rFonts w:ascii="Times New Roman" w:hAnsi="Times New Roman" w:cs="Times New Roman"/>
        </w:rPr>
        <w:t xml:space="preserve">w </w:t>
      </w:r>
      <w:r w:rsidRPr="008B044F">
        <w:rPr>
          <w:rFonts w:ascii="Times New Roman" w:hAnsi="Times New Roman" w:cs="Times New Roman"/>
        </w:rPr>
        <w:t>części odwołujące się do nie</w:t>
      </w:r>
      <w:r w:rsidR="0092429B">
        <w:rPr>
          <w:rFonts w:ascii="Times New Roman" w:hAnsi="Times New Roman" w:cs="Times New Roman"/>
        </w:rPr>
        <w:t>-</w:t>
      </w:r>
      <w:r w:rsidRPr="008B044F">
        <w:rPr>
          <w:rFonts w:ascii="Times New Roman" w:hAnsi="Times New Roman" w:cs="Times New Roman"/>
        </w:rPr>
        <w:t>obowiązujących obecnie przepisów dotyczących stawek adwokackich, wskazuje właściwy kierunek, stanowi bowiem, że podstawą prawną zasądzenia wynagrodzenia na rzecz kuratora ustanowionego na podstawie art. 99 k.r.o. dla reprezentowania praw małoletniego jako pokrzywdzonego w postępowaniu karnym prowadzonym przeciwko drugiemu z jego rodziców jest art. 618</w:t>
      </w:r>
      <w:r w:rsidR="00731F39">
        <w:rPr>
          <w:rFonts w:ascii="Times New Roman" w:hAnsi="Times New Roman" w:cs="Times New Roman"/>
        </w:rPr>
        <w:t xml:space="preserve"> § 1 pkt 11 k.p.k. w zw. z art. </w:t>
      </w:r>
      <w:r w:rsidRPr="008B044F">
        <w:rPr>
          <w:rFonts w:ascii="Times New Roman" w:hAnsi="Times New Roman" w:cs="Times New Roman"/>
        </w:rPr>
        <w:t xml:space="preserve">29 ust. 1 </w:t>
      </w:r>
      <w:r w:rsidR="00D96289">
        <w:rPr>
          <w:rFonts w:ascii="Times New Roman" w:hAnsi="Times New Roman" w:cs="Times New Roman"/>
        </w:rPr>
        <w:t>ustawy z </w:t>
      </w:r>
      <w:r w:rsidRPr="008B044F">
        <w:rPr>
          <w:rFonts w:ascii="Times New Roman" w:hAnsi="Times New Roman" w:cs="Times New Roman"/>
        </w:rPr>
        <w:t>dnia 26 maja 1982 r. – Prawo o adwokaturze</w:t>
      </w:r>
      <w:r w:rsidR="001B3AD8">
        <w:rPr>
          <w:rFonts w:ascii="Times New Roman" w:hAnsi="Times New Roman" w:cs="Times New Roman"/>
        </w:rPr>
        <w:t>,</w:t>
      </w:r>
      <w:r w:rsidRPr="008B044F">
        <w:rPr>
          <w:rFonts w:ascii="Times New Roman" w:hAnsi="Times New Roman" w:cs="Times New Roman"/>
        </w:rPr>
        <w:t xml:space="preserve"> w zw. ze stosowanym </w:t>
      </w:r>
      <w:r w:rsidRPr="00F23A9C">
        <w:rPr>
          <w:rFonts w:ascii="Times New Roman" w:hAnsi="Times New Roman" w:cs="Times New Roman"/>
          <w:i/>
        </w:rPr>
        <w:t>per analogiam</w:t>
      </w:r>
      <w:r w:rsidRPr="008B044F">
        <w:rPr>
          <w:rFonts w:ascii="Times New Roman" w:hAnsi="Times New Roman" w:cs="Times New Roman"/>
        </w:rPr>
        <w:t xml:space="preserve"> </w:t>
      </w:r>
      <w:r w:rsidR="00D84D43" w:rsidRPr="008B044F">
        <w:rPr>
          <w:rFonts w:ascii="Times New Roman" w:hAnsi="Times New Roman" w:cs="Times New Roman"/>
        </w:rPr>
        <w:t>§</w:t>
      </w:r>
      <w:r w:rsidR="00D84D43">
        <w:rPr>
          <w:rFonts w:ascii="Times New Roman" w:hAnsi="Times New Roman" w:cs="Times New Roman"/>
        </w:rPr>
        <w:t> </w:t>
      </w:r>
      <w:r w:rsidRPr="008B044F">
        <w:rPr>
          <w:rFonts w:ascii="Times New Roman" w:hAnsi="Times New Roman" w:cs="Times New Roman"/>
        </w:rPr>
        <w:t>1 ust. 1 i 3 rozporządzenia z dnia 13 listopada 2013 r. w sprawie określenia wysokości wynagrodzenia i zwrotu wydatków poniesionych przez kuratorów ustanowionych dla strony w sprawie cywilnej</w:t>
      </w:r>
      <w:r w:rsidR="001B3AD8">
        <w:rPr>
          <w:rFonts w:ascii="Times New Roman" w:hAnsi="Times New Roman" w:cs="Times New Roman"/>
        </w:rPr>
        <w:t>,</w:t>
      </w:r>
      <w:r w:rsidRPr="008B044F">
        <w:rPr>
          <w:rFonts w:ascii="Times New Roman" w:hAnsi="Times New Roman" w:cs="Times New Roman"/>
        </w:rPr>
        <w:t xml:space="preserve"> w zw. z odpowiednimi (zależnymi od realiów konkretnej sprawy karnej) przepisami rozporządzenia z dnia 28 września 2002 r. w sprawie opłat za czynności adwokackie oraz ponoszenia przez Skarb Państwa kosztów nieopłaconej pomocy prawnej udzielonej z urzędu (LEX nr 1667538).</w:t>
      </w:r>
    </w:p>
    <w:p w14:paraId="660AFE9C" w14:textId="77777777" w:rsidR="008B044F" w:rsidRPr="008B044F" w:rsidRDefault="008B044F" w:rsidP="008B044F">
      <w:pPr>
        <w:pStyle w:val="CZWSPPKTczwsplnapunktw"/>
        <w:spacing w:before="120"/>
        <w:rPr>
          <w:rFonts w:ascii="Times New Roman" w:hAnsi="Times New Roman" w:cs="Times New Roman"/>
        </w:rPr>
      </w:pPr>
      <w:r w:rsidRPr="008B044F">
        <w:rPr>
          <w:rFonts w:ascii="Times New Roman" w:hAnsi="Times New Roman" w:cs="Times New Roman"/>
        </w:rPr>
        <w:t xml:space="preserve">W postępowaniu sądowoadministracyjnym przykładowe rodzaje wydatków zostały wymienione w </w:t>
      </w:r>
      <w:hyperlink r:id="rId8" w:anchor="hiperlinkText.rpc?hiperlink=type=tresc:nro=Powszechny.1003404:part=a213&amp;full=1" w:tgtFrame="_parent" w:history="1">
        <w:r w:rsidRPr="008B044F">
          <w:rPr>
            <w:rFonts w:ascii="Times New Roman" w:hAnsi="Times New Roman" w:cs="Times New Roman"/>
          </w:rPr>
          <w:t>art. 213</w:t>
        </w:r>
      </w:hyperlink>
      <w:r w:rsidRPr="008B044F">
        <w:rPr>
          <w:rFonts w:ascii="Times New Roman" w:hAnsi="Times New Roman" w:cs="Times New Roman"/>
        </w:rPr>
        <w:t xml:space="preserve"> ustawy z dnia 30 sierpnia 2002 r. – Prawo o postępowaniu przed sądami administracyjnymi (Dz. U. z 2018 r. poz. 1302). Warto zauważyć, że ustawa ta przewiduje możliwość ustanowienia kuratora procesowego przez sąd administracyjny. Zgodnie z jej art. 30, dla strony niemającej zdolności procesowej, która nie ma przedstawiciela ustawowego, jak również dla strony niemającej organu powołanego do </w:t>
      </w:r>
      <w:r w:rsidRPr="008B044F">
        <w:rPr>
          <w:rFonts w:ascii="Times New Roman" w:hAnsi="Times New Roman" w:cs="Times New Roman"/>
        </w:rPr>
        <w:lastRenderedPageBreak/>
        <w:t>jej reprezentowania, sąd na wniosek strony przeciwnej ustanowi kuratora, jeżeli strona ta podejmuje przeciwko drugiej stronie czynność niecierpiącą zwłoki.</w:t>
      </w:r>
    </w:p>
    <w:p w14:paraId="4ED68A67" w14:textId="77777777" w:rsidR="008B044F" w:rsidRPr="008B044F" w:rsidRDefault="008B044F" w:rsidP="008B044F">
      <w:pPr>
        <w:pStyle w:val="CZWSPPKTczwsplnapunktw"/>
        <w:spacing w:before="120"/>
        <w:rPr>
          <w:rFonts w:ascii="Times New Roman" w:hAnsi="Times New Roman" w:cs="Times New Roman"/>
        </w:rPr>
      </w:pPr>
      <w:r w:rsidRPr="008B044F">
        <w:rPr>
          <w:rFonts w:ascii="Times New Roman" w:hAnsi="Times New Roman" w:cs="Times New Roman"/>
        </w:rPr>
        <w:t>Projektowany art. 179 § 1</w:t>
      </w:r>
      <w:r w:rsidRPr="008B044F">
        <w:rPr>
          <w:rStyle w:val="IGindeksgrny"/>
          <w:rFonts w:ascii="Times New Roman" w:hAnsi="Times New Roman" w:cs="Times New Roman"/>
        </w:rPr>
        <w:t>1</w:t>
      </w:r>
      <w:r w:rsidRPr="008B044F">
        <w:rPr>
          <w:rFonts w:ascii="Times New Roman" w:hAnsi="Times New Roman" w:cs="Times New Roman"/>
        </w:rPr>
        <w:t xml:space="preserve"> k.r.o. przesądza, że o wynagrodzeniu kuratora orzeknie ten sąd lub organ, przed którym kurator reprezentuje dziecko, nie zaś każdorazowo ten, który ustanowił kuratora. Odesłanie do właściwej danemu sądowi lub organowi procedury umożliwi rozliczenie wynagrodzenia i wydatków poniesionych przez kuratora jako kosztów danego postępowania. Je</w:t>
      </w:r>
      <w:r w:rsidR="00D96289">
        <w:rPr>
          <w:rFonts w:ascii="Times New Roman" w:hAnsi="Times New Roman" w:cs="Times New Roman"/>
        </w:rPr>
        <w:t>dnak tylko przepisy stosowane w </w:t>
      </w:r>
      <w:r w:rsidRPr="008B044F">
        <w:rPr>
          <w:rFonts w:ascii="Times New Roman" w:hAnsi="Times New Roman" w:cs="Times New Roman"/>
        </w:rPr>
        <w:t>postępowaniu cywilnym określają stawki tego wynagrodzenia. Mając tę okoliczność na względzie, projekt przewiduje, że sąd lub organ rozstrzygając o wynagrodzeniu kuratora i poniesionych przez niego wydatkach w opar</w:t>
      </w:r>
      <w:r w:rsidR="00731F39">
        <w:rPr>
          <w:rFonts w:ascii="Times New Roman" w:hAnsi="Times New Roman" w:cs="Times New Roman"/>
        </w:rPr>
        <w:t xml:space="preserve">ciu o </w:t>
      </w:r>
      <w:r w:rsidRPr="008B044F">
        <w:rPr>
          <w:rFonts w:ascii="Times New Roman" w:hAnsi="Times New Roman" w:cs="Times New Roman"/>
        </w:rPr>
        <w:t xml:space="preserve">przepisy proceduralne właściwe dla danego postępowania, ustali wysokość tego wynagrodzenia na podstawie przepisów stosowanych w postępowaniu cywilnym, czyli na podstawie rozporządzenia Ministra Sprawiedliwości z dnia 9 marca 2018 r. w sprawie określenia wysokości wynagrodzenia i zwrotu wydatków poniesionych przez kuratorów ustanowionych dla strony w sprawie cywilnej (Dz. U. poz. 536). </w:t>
      </w:r>
    </w:p>
    <w:p w14:paraId="17886232" w14:textId="5CD1D782" w:rsidR="008B044F" w:rsidRPr="008B044F" w:rsidRDefault="008B044F" w:rsidP="008B044F">
      <w:pPr>
        <w:pStyle w:val="USTustnpkodeksu"/>
        <w:spacing w:before="120"/>
        <w:ind w:firstLine="0"/>
        <w:rPr>
          <w:rFonts w:ascii="Times New Roman" w:hAnsi="Times New Roman" w:cs="Times New Roman"/>
        </w:rPr>
      </w:pPr>
      <w:r w:rsidRPr="008B044F">
        <w:rPr>
          <w:rFonts w:ascii="Times New Roman" w:hAnsi="Times New Roman" w:cs="Times New Roman"/>
        </w:rPr>
        <w:t xml:space="preserve">Ażeby </w:t>
      </w:r>
      <w:r w:rsidR="001B3AD8" w:rsidRPr="008B044F">
        <w:rPr>
          <w:rFonts w:ascii="Times New Roman" w:hAnsi="Times New Roman" w:cs="Times New Roman"/>
        </w:rPr>
        <w:t xml:space="preserve">było </w:t>
      </w:r>
      <w:r w:rsidRPr="008B044F">
        <w:rPr>
          <w:rFonts w:ascii="Times New Roman" w:hAnsi="Times New Roman" w:cs="Times New Roman"/>
        </w:rPr>
        <w:t xml:space="preserve">możliwe ukończenie procesów o zaprzeczenie </w:t>
      </w:r>
      <w:r w:rsidR="00731F39">
        <w:rPr>
          <w:rFonts w:ascii="Times New Roman" w:hAnsi="Times New Roman" w:cs="Times New Roman"/>
        </w:rPr>
        <w:t xml:space="preserve">ojcostwa (macierzyństwa) oraz o </w:t>
      </w:r>
      <w:r w:rsidRPr="008B044F">
        <w:rPr>
          <w:rFonts w:ascii="Times New Roman" w:hAnsi="Times New Roman" w:cs="Times New Roman"/>
        </w:rPr>
        <w:t>ustalenie bezskuteczności uznania dziecka rozpoczętych za życia dziecka, należy przyjąć zasadę stosowania</w:t>
      </w:r>
      <w:r w:rsidR="00D84D43">
        <w:rPr>
          <w:rFonts w:ascii="Times New Roman" w:hAnsi="Times New Roman" w:cs="Times New Roman"/>
        </w:rPr>
        <w:t>,</w:t>
      </w:r>
      <w:r w:rsidRPr="008B044F">
        <w:rPr>
          <w:rFonts w:ascii="Times New Roman" w:hAnsi="Times New Roman" w:cs="Times New Roman"/>
        </w:rPr>
        <w:t xml:space="preserve"> w tym zakresie</w:t>
      </w:r>
      <w:r w:rsidR="00D84D43">
        <w:rPr>
          <w:rFonts w:ascii="Times New Roman" w:hAnsi="Times New Roman" w:cs="Times New Roman"/>
        </w:rPr>
        <w:t>,</w:t>
      </w:r>
      <w:r w:rsidRPr="008B044F">
        <w:rPr>
          <w:rFonts w:ascii="Times New Roman" w:hAnsi="Times New Roman" w:cs="Times New Roman"/>
        </w:rPr>
        <w:t xml:space="preserve"> do postępowań będących w toku przepisów zmienionych. Taka konieczność nie zachodzi zaś </w:t>
      </w:r>
      <w:r w:rsidR="00D84D43" w:rsidRPr="008B044F">
        <w:rPr>
          <w:rFonts w:ascii="Times New Roman" w:hAnsi="Times New Roman" w:cs="Times New Roman"/>
        </w:rPr>
        <w:t>w</w:t>
      </w:r>
      <w:r w:rsidR="00D84D43">
        <w:rPr>
          <w:rFonts w:ascii="Times New Roman" w:hAnsi="Times New Roman" w:cs="Times New Roman"/>
        </w:rPr>
        <w:t> </w:t>
      </w:r>
      <w:r w:rsidRPr="008B044F">
        <w:rPr>
          <w:rFonts w:ascii="Times New Roman" w:hAnsi="Times New Roman" w:cs="Times New Roman"/>
        </w:rPr>
        <w:t>odniesieniu do spraw dotyczących ustanowienia kuratora do reprezentowania dziecka, którego rodzice</w:t>
      </w:r>
      <w:r w:rsidR="00731F39">
        <w:rPr>
          <w:rFonts w:ascii="Times New Roman" w:hAnsi="Times New Roman" w:cs="Times New Roman"/>
        </w:rPr>
        <w:t xml:space="preserve"> reprezentować nie mogą, stąd w </w:t>
      </w:r>
      <w:r w:rsidRPr="008B044F">
        <w:rPr>
          <w:rFonts w:ascii="Times New Roman" w:hAnsi="Times New Roman" w:cs="Times New Roman"/>
        </w:rPr>
        <w:t xml:space="preserve">projektowanym art. 3 przyjęto rozwiązanie o stosowaniu w tych sprawach przepisów dotychczasowych. Zastosowanie nowych przepisów łączyłoby się z potrzebą zmiany wydanego postanowienia </w:t>
      </w:r>
      <w:r w:rsidR="00D84D43" w:rsidRPr="008B044F">
        <w:rPr>
          <w:rFonts w:ascii="Times New Roman" w:hAnsi="Times New Roman" w:cs="Times New Roman"/>
        </w:rPr>
        <w:t>o</w:t>
      </w:r>
      <w:r w:rsidR="00D84D43">
        <w:rPr>
          <w:rFonts w:ascii="Times New Roman" w:hAnsi="Times New Roman" w:cs="Times New Roman"/>
        </w:rPr>
        <w:t> </w:t>
      </w:r>
      <w:r w:rsidRPr="008B044F">
        <w:rPr>
          <w:rFonts w:ascii="Times New Roman" w:hAnsi="Times New Roman" w:cs="Times New Roman"/>
        </w:rPr>
        <w:t xml:space="preserve">ustanowieniu kuratora, co wpływałoby na przedłużenie postępowania. Ustanowiony kurator będzie jednak podlegał obowiązkom wynikającym </w:t>
      </w:r>
      <w:r w:rsidR="00731F39">
        <w:rPr>
          <w:rFonts w:ascii="Times New Roman" w:hAnsi="Times New Roman" w:cs="Times New Roman"/>
        </w:rPr>
        <w:t xml:space="preserve">z </w:t>
      </w:r>
      <w:r w:rsidRPr="008B044F">
        <w:rPr>
          <w:rFonts w:ascii="Times New Roman" w:hAnsi="Times New Roman" w:cs="Times New Roman"/>
        </w:rPr>
        <w:t xml:space="preserve">projektowanych art. 99 </w:t>
      </w:r>
      <w:r w:rsidR="00D84D43" w:rsidRPr="008B044F">
        <w:rPr>
          <w:rFonts w:ascii="Times New Roman" w:hAnsi="Times New Roman" w:cs="Times New Roman"/>
        </w:rPr>
        <w:t>§</w:t>
      </w:r>
      <w:r w:rsidR="00D84D43">
        <w:rPr>
          <w:rFonts w:ascii="Times New Roman" w:hAnsi="Times New Roman" w:cs="Times New Roman"/>
        </w:rPr>
        <w:t> </w:t>
      </w:r>
      <w:r w:rsidR="00731F39">
        <w:rPr>
          <w:rFonts w:ascii="Times New Roman" w:hAnsi="Times New Roman" w:cs="Times New Roman"/>
        </w:rPr>
        <w:t>6</w:t>
      </w:r>
      <w:r w:rsidRPr="008B044F">
        <w:rPr>
          <w:rFonts w:ascii="Times New Roman" w:hAnsi="Times New Roman" w:cs="Times New Roman"/>
        </w:rPr>
        <w:t xml:space="preserve">–10 </w:t>
      </w:r>
      <w:r w:rsidR="00D84D43">
        <w:rPr>
          <w:rFonts w:ascii="Times New Roman" w:hAnsi="Times New Roman" w:cs="Times New Roman"/>
        </w:rPr>
        <w:t xml:space="preserve">k.r.o. </w:t>
      </w:r>
      <w:r w:rsidRPr="008B044F">
        <w:rPr>
          <w:rFonts w:ascii="Times New Roman" w:hAnsi="Times New Roman" w:cs="Times New Roman"/>
        </w:rPr>
        <w:t>oraz art. 178 § 3 k.r.o.</w:t>
      </w:r>
    </w:p>
    <w:p w14:paraId="662BC44B" w14:textId="4666537B" w:rsidR="008B044F" w:rsidRPr="008B044F" w:rsidRDefault="008B044F" w:rsidP="008B044F">
      <w:pPr>
        <w:pStyle w:val="USTustnpkodeksu"/>
        <w:spacing w:before="120"/>
        <w:ind w:firstLine="0"/>
        <w:rPr>
          <w:rFonts w:ascii="Times New Roman" w:hAnsi="Times New Roman" w:cs="Times New Roman"/>
        </w:rPr>
      </w:pPr>
      <w:r w:rsidRPr="008B044F">
        <w:rPr>
          <w:rFonts w:ascii="Times New Roman" w:hAnsi="Times New Roman" w:cs="Times New Roman"/>
        </w:rPr>
        <w:t xml:space="preserve">Projekt nie dotyczy warunków określonych w uchwale </w:t>
      </w:r>
      <w:r w:rsidR="00D96289">
        <w:rPr>
          <w:rFonts w:ascii="Times New Roman" w:hAnsi="Times New Roman" w:cs="Times New Roman"/>
        </w:rPr>
        <w:t>nr 20 Rady Ministrów z dnia 18 </w:t>
      </w:r>
      <w:r w:rsidRPr="008B044F">
        <w:rPr>
          <w:rFonts w:ascii="Times New Roman" w:hAnsi="Times New Roman" w:cs="Times New Roman"/>
        </w:rPr>
        <w:t>lutego 2014 r. w sprawie zaleceń ujednolicenia terminów wejścia w życie niektórych aktów normatywnych (M.</w:t>
      </w:r>
      <w:bookmarkStart w:id="0" w:name="_GoBack"/>
      <w:bookmarkEnd w:id="0"/>
      <w:r w:rsidRPr="008B044F">
        <w:rPr>
          <w:rFonts w:ascii="Times New Roman" w:hAnsi="Times New Roman" w:cs="Times New Roman"/>
        </w:rPr>
        <w:t xml:space="preserve">P. poz. 205), gdyż nie jest powiązany z działalnością gospodarczą. Wskazany termin wejścia ustawy w życie, to jest po upływie trzech miesięcy od dnia ogłoszenia, uwzględnia ochronę dobra dziecka i jest jednocześnie czasem w jakim możliwe będzie dostosowanie się do nowych rozwiązań przez podmioty, których projekt dotyczy. </w:t>
      </w:r>
    </w:p>
    <w:p w14:paraId="381670ED" w14:textId="77777777" w:rsidR="008B044F" w:rsidRPr="008B044F" w:rsidRDefault="008B044F" w:rsidP="008B044F">
      <w:pPr>
        <w:spacing w:before="120"/>
        <w:jc w:val="both"/>
        <w:rPr>
          <w:rFonts w:eastAsia="Calibri" w:cs="Times New Roman"/>
          <w:iCs/>
          <w:szCs w:val="24"/>
          <w:lang w:eastAsia="en-US"/>
        </w:rPr>
      </w:pPr>
      <w:r w:rsidRPr="008B044F">
        <w:rPr>
          <w:rFonts w:cs="Times New Roman"/>
          <w:szCs w:val="24"/>
        </w:rPr>
        <w:lastRenderedPageBreak/>
        <w:t xml:space="preserve">Przed skierowaniem niniejszego projektu do uzgodnień, konsultacji publicznych </w:t>
      </w:r>
      <w:r w:rsidR="00731F39">
        <w:rPr>
          <w:rFonts w:cs="Times New Roman"/>
          <w:szCs w:val="24"/>
        </w:rPr>
        <w:t>i</w:t>
      </w:r>
      <w:r w:rsidR="00D96289">
        <w:rPr>
          <w:rFonts w:cs="Times New Roman"/>
          <w:szCs w:val="24"/>
        </w:rPr>
        <w:t> </w:t>
      </w:r>
      <w:r w:rsidRPr="008B044F">
        <w:rPr>
          <w:rFonts w:cs="Times New Roman"/>
          <w:szCs w:val="24"/>
        </w:rPr>
        <w:t>opiniowania, n</w:t>
      </w:r>
      <w:r w:rsidRPr="008B044F">
        <w:rPr>
          <w:rFonts w:eastAsia="Calibri" w:cs="Times New Roman"/>
          <w:iCs/>
          <w:szCs w:val="24"/>
          <w:lang w:eastAsia="en-US"/>
        </w:rPr>
        <w:t>ie dokonywano oceny OSR w trybie § 32 u</w:t>
      </w:r>
      <w:r w:rsidR="00731F39">
        <w:rPr>
          <w:rFonts w:eastAsia="Calibri" w:cs="Times New Roman"/>
          <w:iCs/>
          <w:szCs w:val="24"/>
          <w:lang w:eastAsia="en-US"/>
        </w:rPr>
        <w:t xml:space="preserve">chwały Rady Ministrów </w:t>
      </w:r>
      <w:r w:rsidR="00D96289">
        <w:rPr>
          <w:rFonts w:eastAsia="Calibri" w:cs="Times New Roman"/>
          <w:iCs/>
          <w:szCs w:val="24"/>
          <w:lang w:eastAsia="en-US"/>
        </w:rPr>
        <w:t>z </w:t>
      </w:r>
      <w:r w:rsidR="00731F39">
        <w:rPr>
          <w:rFonts w:eastAsia="Calibri" w:cs="Times New Roman"/>
          <w:iCs/>
          <w:szCs w:val="24"/>
          <w:lang w:eastAsia="en-US"/>
        </w:rPr>
        <w:t xml:space="preserve">dnia 29 </w:t>
      </w:r>
      <w:r w:rsidRPr="008B044F">
        <w:rPr>
          <w:rFonts w:eastAsia="Calibri" w:cs="Times New Roman"/>
          <w:iCs/>
          <w:szCs w:val="24"/>
          <w:lang w:eastAsia="en-US"/>
        </w:rPr>
        <w:t>października 2013 r. – Regulamin pracy Rady</w:t>
      </w:r>
      <w:r w:rsidR="00D96289">
        <w:rPr>
          <w:rFonts w:eastAsia="Calibri" w:cs="Times New Roman"/>
          <w:iCs/>
          <w:szCs w:val="24"/>
          <w:lang w:eastAsia="en-US"/>
        </w:rPr>
        <w:t xml:space="preserve"> Ministrów (M.P. z 2016 r. poz. </w:t>
      </w:r>
      <w:r w:rsidRPr="008B044F">
        <w:rPr>
          <w:rFonts w:eastAsia="Calibri" w:cs="Times New Roman"/>
          <w:iCs/>
          <w:szCs w:val="24"/>
          <w:lang w:eastAsia="en-US"/>
        </w:rPr>
        <w:t>1006</w:t>
      </w:r>
      <w:r w:rsidR="004B56DC">
        <w:rPr>
          <w:rFonts w:eastAsia="Calibri" w:cs="Times New Roman"/>
          <w:iCs/>
          <w:szCs w:val="24"/>
          <w:lang w:eastAsia="en-US"/>
        </w:rPr>
        <w:t>,</w:t>
      </w:r>
      <w:r w:rsidRPr="008B044F">
        <w:rPr>
          <w:rFonts w:eastAsia="Calibri" w:cs="Times New Roman"/>
          <w:iCs/>
          <w:szCs w:val="24"/>
          <w:lang w:eastAsia="en-US"/>
        </w:rPr>
        <w:t xml:space="preserve"> </w:t>
      </w:r>
      <w:r w:rsidR="00731F39">
        <w:rPr>
          <w:rFonts w:eastAsia="Calibri" w:cs="Times New Roman"/>
          <w:iCs/>
          <w:szCs w:val="24"/>
          <w:lang w:eastAsia="en-US"/>
        </w:rPr>
        <w:t xml:space="preserve">z późn. </w:t>
      </w:r>
      <w:r w:rsidRPr="008B044F">
        <w:rPr>
          <w:rFonts w:eastAsia="Calibri" w:cs="Times New Roman"/>
          <w:iCs/>
          <w:szCs w:val="24"/>
          <w:lang w:eastAsia="en-US"/>
        </w:rPr>
        <w:t>zm.).</w:t>
      </w:r>
    </w:p>
    <w:p w14:paraId="4FF6FB5B" w14:textId="77777777" w:rsidR="008B044F" w:rsidRPr="008B044F" w:rsidRDefault="008B044F" w:rsidP="008B044F">
      <w:pPr>
        <w:pStyle w:val="USTustnpkodeksu"/>
        <w:spacing w:before="120"/>
        <w:ind w:firstLine="0"/>
        <w:rPr>
          <w:rFonts w:ascii="Times New Roman" w:hAnsi="Times New Roman" w:cs="Times New Roman"/>
        </w:rPr>
      </w:pPr>
      <w:r w:rsidRPr="008B044F">
        <w:rPr>
          <w:rFonts w:ascii="Times New Roman" w:hAnsi="Times New Roman" w:cs="Times New Roman"/>
          <w:lang w:eastAsia="en-US"/>
        </w:rPr>
        <w:t xml:space="preserve">Projekt ustawy </w:t>
      </w:r>
      <w:r w:rsidRPr="008B044F">
        <w:rPr>
          <w:rFonts w:ascii="Times New Roman" w:hAnsi="Times New Roman" w:cs="Times New Roman"/>
        </w:rPr>
        <w:t xml:space="preserve">nie </w:t>
      </w:r>
      <w:r w:rsidRPr="008B044F">
        <w:rPr>
          <w:rFonts w:ascii="Times New Roman" w:hAnsi="Times New Roman" w:cs="Times New Roman"/>
          <w:lang w:eastAsia="en-US"/>
        </w:rPr>
        <w:t xml:space="preserve">jest </w:t>
      </w:r>
      <w:r w:rsidRPr="008B044F">
        <w:rPr>
          <w:rFonts w:ascii="Times New Roman" w:hAnsi="Times New Roman" w:cs="Times New Roman"/>
        </w:rPr>
        <w:t>objęty</w:t>
      </w:r>
      <w:r w:rsidRPr="008B044F">
        <w:rPr>
          <w:rFonts w:ascii="Times New Roman" w:hAnsi="Times New Roman" w:cs="Times New Roman"/>
          <w:lang w:eastAsia="en-US"/>
        </w:rPr>
        <w:t xml:space="preserve"> prawem Unii Europejskiej</w:t>
      </w:r>
      <w:r w:rsidRPr="008B044F">
        <w:rPr>
          <w:rFonts w:ascii="Times New Roman" w:hAnsi="Times New Roman" w:cs="Times New Roman"/>
        </w:rPr>
        <w:t xml:space="preserve"> i nie jest z nim sprzeczny. Jednocześnie projekt nie wymaga przedstawienia właściwym organom i instytucjom Unii Europejskiej, w tym Europejskiemu Bankowi Centralnemu, w celu uzyskania opinii, dokonania powiadomienia, konsultacji albo uzgodnienia.</w:t>
      </w:r>
    </w:p>
    <w:p w14:paraId="5115A1EE" w14:textId="77777777" w:rsidR="008B044F" w:rsidRPr="008B044F" w:rsidRDefault="008B044F" w:rsidP="00731F39">
      <w:pPr>
        <w:pStyle w:val="NIEARTTEKSTtekstnieartykuowanynppodstprawnarozplubpreambua"/>
        <w:ind w:firstLine="0"/>
        <w:rPr>
          <w:rFonts w:ascii="Times New Roman" w:hAnsi="Times New Roman" w:cs="Times New Roman"/>
        </w:rPr>
      </w:pPr>
      <w:r w:rsidRPr="008B044F">
        <w:rPr>
          <w:rFonts w:ascii="Times New Roman" w:hAnsi="Times New Roman" w:cs="Times New Roman"/>
        </w:rPr>
        <w:t xml:space="preserve">Projekt ustawy nie wpłynie na działalność mikroprzedsiębiorców oraz małych </w:t>
      </w:r>
      <w:r w:rsidR="00D96289">
        <w:rPr>
          <w:rFonts w:ascii="Times New Roman" w:hAnsi="Times New Roman" w:cs="Times New Roman"/>
        </w:rPr>
        <w:t>i </w:t>
      </w:r>
      <w:r w:rsidRPr="008B044F">
        <w:rPr>
          <w:rFonts w:ascii="Times New Roman" w:hAnsi="Times New Roman" w:cs="Times New Roman"/>
        </w:rPr>
        <w:t>średnich firm.</w:t>
      </w:r>
    </w:p>
    <w:p w14:paraId="45F2196D" w14:textId="77777777" w:rsidR="008B044F" w:rsidRPr="00F23A9C" w:rsidRDefault="008B044F" w:rsidP="00731F39">
      <w:pPr>
        <w:pStyle w:val="NIEARTTEKSTtekstnieartykuowanynppodstprawnarozplubpreambua"/>
        <w:ind w:firstLine="0"/>
        <w:rPr>
          <w:rStyle w:val="TEKSTOZNACZONYWDOKUMENCIERDOWYMJAKOUKRYTY"/>
          <w:rFonts w:ascii="Times New Roman" w:hAnsi="Times New Roman" w:cs="Times New Roman"/>
          <w:color w:val="000000" w:themeColor="text1"/>
        </w:rPr>
      </w:pPr>
      <w:r w:rsidRPr="008B044F">
        <w:rPr>
          <w:rFonts w:ascii="Times New Roman" w:hAnsi="Times New Roman" w:cs="Times New Roman"/>
          <w:lang w:eastAsia="en-US"/>
        </w:rPr>
        <w:t>Projekt</w:t>
      </w:r>
      <w:r w:rsidRPr="008B044F">
        <w:rPr>
          <w:rFonts w:ascii="Times New Roman" w:hAnsi="Times New Roman" w:cs="Times New Roman"/>
        </w:rPr>
        <w:t>owana</w:t>
      </w:r>
      <w:r w:rsidRPr="008B044F">
        <w:rPr>
          <w:rFonts w:ascii="Times New Roman" w:hAnsi="Times New Roman" w:cs="Times New Roman"/>
          <w:lang w:eastAsia="en-US"/>
        </w:rPr>
        <w:t xml:space="preserve"> ustaw</w:t>
      </w:r>
      <w:r w:rsidRPr="008B044F">
        <w:rPr>
          <w:rFonts w:ascii="Times New Roman" w:hAnsi="Times New Roman" w:cs="Times New Roman"/>
        </w:rPr>
        <w:t>a</w:t>
      </w:r>
      <w:r w:rsidRPr="008B044F">
        <w:rPr>
          <w:rFonts w:ascii="Times New Roman" w:hAnsi="Times New Roman" w:cs="Times New Roman"/>
          <w:lang w:eastAsia="en-US"/>
        </w:rPr>
        <w:t xml:space="preserve"> nie zawiera przepisów technicznych, a zatem nie podlega notyfikacji zgodnie z trybem przewidzianym w rozporządzeniu Rady M</w:t>
      </w:r>
      <w:r w:rsidR="00731F39">
        <w:rPr>
          <w:rFonts w:ascii="Times New Roman" w:hAnsi="Times New Roman" w:cs="Times New Roman"/>
          <w:lang w:eastAsia="en-US"/>
        </w:rPr>
        <w:t xml:space="preserve">inistrów z dnia 23 grudnia 2002 </w:t>
      </w:r>
      <w:r w:rsidRPr="008B044F">
        <w:rPr>
          <w:rFonts w:ascii="Times New Roman" w:hAnsi="Times New Roman" w:cs="Times New Roman"/>
          <w:lang w:eastAsia="en-US"/>
        </w:rPr>
        <w:t>r. w sprawie sposobu funkcjonowania krajowego systemu notyfikacji norm i aktów prawnych (Dz. U. poz. 2039</w:t>
      </w:r>
      <w:r w:rsidR="004B56DC">
        <w:rPr>
          <w:rFonts w:ascii="Times New Roman" w:hAnsi="Times New Roman" w:cs="Times New Roman"/>
          <w:lang w:eastAsia="en-US"/>
        </w:rPr>
        <w:t>,</w:t>
      </w:r>
      <w:r w:rsidRPr="008B044F">
        <w:rPr>
          <w:rFonts w:ascii="Times New Roman" w:hAnsi="Times New Roman" w:cs="Times New Roman"/>
          <w:lang w:eastAsia="en-US"/>
        </w:rPr>
        <w:t xml:space="preserve"> z późn. zm.).</w:t>
      </w:r>
    </w:p>
    <w:p w14:paraId="73C64F00" w14:textId="77777777" w:rsidR="008B044F" w:rsidRPr="008B044F" w:rsidRDefault="008B044F" w:rsidP="00731F39">
      <w:pPr>
        <w:pStyle w:val="NIEARTTEKSTtekstnieartykuowanynppodstprawnarozplubpreambua"/>
        <w:ind w:firstLine="0"/>
        <w:rPr>
          <w:rFonts w:ascii="Times New Roman" w:hAnsi="Times New Roman" w:cs="Times New Roman"/>
        </w:rPr>
      </w:pPr>
      <w:r w:rsidRPr="008B044F">
        <w:rPr>
          <w:rFonts w:ascii="Times New Roman" w:hAnsi="Times New Roman" w:cs="Times New Roman"/>
        </w:rPr>
        <w:t>Zgodnie z art. 5 ustawy z dnia 7 lipca 2005 r. o działalności lobbingowej w procesie stanowienia prawa (Dz. U. z 2017 r. poz. 248) projekt został udostępniony w Biuletynie Informacji Publicznej na stronie podmiotowej Rządowego Cent</w:t>
      </w:r>
      <w:r w:rsidR="00D96289">
        <w:rPr>
          <w:rFonts w:ascii="Times New Roman" w:hAnsi="Times New Roman" w:cs="Times New Roman"/>
        </w:rPr>
        <w:t>rum Legislacji, w </w:t>
      </w:r>
      <w:r w:rsidRPr="008B044F">
        <w:rPr>
          <w:rFonts w:ascii="Times New Roman" w:hAnsi="Times New Roman" w:cs="Times New Roman"/>
        </w:rPr>
        <w:t>serwisie Rządowy Proces Legislacyjny, oraz na stronie internetowej Ministerstwa Sprawiedliwości.</w:t>
      </w:r>
    </w:p>
    <w:p w14:paraId="19D19C21" w14:textId="77777777" w:rsidR="008B044F" w:rsidRPr="008B044F" w:rsidRDefault="008B044F" w:rsidP="00731F39">
      <w:pPr>
        <w:pStyle w:val="NIEARTTEKSTtekstnieartykuowanynppodstprawnarozplubpreambua"/>
        <w:ind w:firstLine="0"/>
        <w:rPr>
          <w:rFonts w:ascii="Times New Roman" w:hAnsi="Times New Roman" w:cs="Times New Roman"/>
        </w:rPr>
      </w:pPr>
      <w:r w:rsidRPr="008B044F">
        <w:rPr>
          <w:rFonts w:ascii="Times New Roman" w:hAnsi="Times New Roman" w:cs="Times New Roman"/>
        </w:rPr>
        <w:t xml:space="preserve">Żaden podmiot nie zgłosił zainteresowania pracami nad przedmiotowym projektem </w:t>
      </w:r>
      <w:r w:rsidR="00D96289">
        <w:rPr>
          <w:rFonts w:ascii="Times New Roman" w:hAnsi="Times New Roman" w:cs="Times New Roman"/>
        </w:rPr>
        <w:t>w </w:t>
      </w:r>
      <w:r w:rsidR="00B94994">
        <w:rPr>
          <w:rFonts w:ascii="Times New Roman" w:hAnsi="Times New Roman" w:cs="Times New Roman"/>
        </w:rPr>
        <w:t>trybie powołanej wyżej ustawy.</w:t>
      </w:r>
    </w:p>
    <w:p w14:paraId="195F4B79" w14:textId="77777777" w:rsidR="00FA6F97" w:rsidRPr="00112589" w:rsidRDefault="00FA6F97" w:rsidP="00112589">
      <w:pPr>
        <w:rPr>
          <w:rFonts w:cs="Times New Roman"/>
          <w:sz w:val="20"/>
        </w:rPr>
      </w:pPr>
    </w:p>
    <w:sectPr w:rsidR="00FA6F97" w:rsidRPr="00112589" w:rsidSect="00667FBD">
      <w:footerReference w:type="default" r:id="rId9"/>
      <w:footnotePr>
        <w:numRestart w:val="eachSect"/>
      </w:footnotePr>
      <w:pgSz w:w="11906" w:h="16838" w:code="9"/>
      <w:pgMar w:top="1588" w:right="1418" w:bottom="1418" w:left="1985"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409893" w14:textId="77777777" w:rsidR="00731F39" w:rsidRDefault="00731F39" w:rsidP="00731F39">
      <w:pPr>
        <w:spacing w:line="240" w:lineRule="auto"/>
      </w:pPr>
      <w:r>
        <w:separator/>
      </w:r>
    </w:p>
  </w:endnote>
  <w:endnote w:type="continuationSeparator" w:id="0">
    <w:p w14:paraId="30263E97" w14:textId="77777777" w:rsidR="00731F39" w:rsidRDefault="00731F39" w:rsidP="00731F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Times">
    <w:panose1 w:val="0202060306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861784"/>
      <w:docPartObj>
        <w:docPartGallery w:val="Page Numbers (Bottom of Page)"/>
        <w:docPartUnique/>
      </w:docPartObj>
    </w:sdtPr>
    <w:sdtEndPr/>
    <w:sdtContent>
      <w:p w14:paraId="053032A5" w14:textId="4E889B88" w:rsidR="00731F39" w:rsidRDefault="00731F39">
        <w:pPr>
          <w:pStyle w:val="Stopka"/>
          <w:jc w:val="center"/>
        </w:pPr>
        <w:r>
          <w:fldChar w:fldCharType="begin"/>
        </w:r>
        <w:r>
          <w:instrText>PAGE   \* MERGEFORMAT</w:instrText>
        </w:r>
        <w:r>
          <w:fldChar w:fldCharType="separate"/>
        </w:r>
        <w:r w:rsidR="0051648B">
          <w:rPr>
            <w:noProof/>
          </w:rPr>
          <w:t>15</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BBFF9D" w14:textId="77777777" w:rsidR="00731F39" w:rsidRDefault="00731F39" w:rsidP="00731F39">
      <w:pPr>
        <w:spacing w:line="240" w:lineRule="auto"/>
      </w:pPr>
      <w:r>
        <w:separator/>
      </w:r>
    </w:p>
  </w:footnote>
  <w:footnote w:type="continuationSeparator" w:id="0">
    <w:p w14:paraId="05D03D15" w14:textId="77777777" w:rsidR="00731F39" w:rsidRDefault="00731F39" w:rsidP="00731F3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44F"/>
    <w:rsid w:val="00112589"/>
    <w:rsid w:val="001B3AD8"/>
    <w:rsid w:val="004B56DC"/>
    <w:rsid w:val="0051648B"/>
    <w:rsid w:val="00667FBD"/>
    <w:rsid w:val="00731F39"/>
    <w:rsid w:val="007C743C"/>
    <w:rsid w:val="008B044F"/>
    <w:rsid w:val="0092429B"/>
    <w:rsid w:val="009844A9"/>
    <w:rsid w:val="00990239"/>
    <w:rsid w:val="00B94994"/>
    <w:rsid w:val="00C65A1F"/>
    <w:rsid w:val="00CF527A"/>
    <w:rsid w:val="00D84D43"/>
    <w:rsid w:val="00D96289"/>
    <w:rsid w:val="00E52963"/>
    <w:rsid w:val="00E55FE0"/>
    <w:rsid w:val="00F23A9C"/>
    <w:rsid w:val="00FA6F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049A2"/>
  <w15:docId w15:val="{CF17726D-9227-4A30-8D0F-E419871B4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B044F"/>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8B044F"/>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8B044F"/>
    <w:rPr>
      <w:rFonts w:ascii="Times" w:eastAsia="Times New Roman" w:hAnsi="Times" w:cs="Times New Roman"/>
      <w:kern w:val="1"/>
      <w:sz w:val="24"/>
      <w:szCs w:val="24"/>
      <w:lang w:eastAsia="ar-SA"/>
    </w:rPr>
  </w:style>
  <w:style w:type="paragraph" w:customStyle="1" w:styleId="ARTartustawynprozporzdzenia">
    <w:name w:val="ART(§) – art. ustawy (§ np. rozporządzenia)"/>
    <w:qFormat/>
    <w:rsid w:val="008B044F"/>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8B044F"/>
    <w:rPr>
      <w:bCs/>
    </w:rPr>
  </w:style>
  <w:style w:type="paragraph" w:customStyle="1" w:styleId="USTustnpkodeksu">
    <w:name w:val="UST(§) – ust. (§ np. kodeksu)"/>
    <w:basedOn w:val="ARTartustawynprozporzdzenia"/>
    <w:uiPriority w:val="12"/>
    <w:qFormat/>
    <w:rsid w:val="008B044F"/>
    <w:pPr>
      <w:spacing w:before="0"/>
    </w:pPr>
    <w:rPr>
      <w:bCs/>
    </w:rPr>
  </w:style>
  <w:style w:type="paragraph" w:customStyle="1" w:styleId="CZWSPPKTczwsplnapunktw">
    <w:name w:val="CZ_WSP_PKT – część wspólna punktów"/>
    <w:basedOn w:val="Normalny"/>
    <w:next w:val="USTustnpkodeksu"/>
    <w:uiPriority w:val="16"/>
    <w:qFormat/>
    <w:rsid w:val="008B044F"/>
    <w:pPr>
      <w:widowControl/>
      <w:autoSpaceDE/>
      <w:autoSpaceDN/>
      <w:adjustRightInd/>
      <w:jc w:val="both"/>
    </w:pPr>
    <w:rPr>
      <w:rFonts w:ascii="Times" w:hAnsi="Times"/>
      <w:bCs/>
    </w:rPr>
  </w:style>
  <w:style w:type="character" w:customStyle="1" w:styleId="IGindeksgrny">
    <w:name w:val="_IG_ – indeks górny"/>
    <w:basedOn w:val="Domylnaczcionkaakapitu"/>
    <w:uiPriority w:val="2"/>
    <w:qFormat/>
    <w:rsid w:val="008B044F"/>
    <w:rPr>
      <w:b w:val="0"/>
      <w:i w:val="0"/>
      <w:vanish w:val="0"/>
      <w:spacing w:val="0"/>
      <w:vertAlign w:val="superscript"/>
    </w:rPr>
  </w:style>
  <w:style w:type="character" w:customStyle="1" w:styleId="Kkursywa">
    <w:name w:val="_K_ – kursywa"/>
    <w:basedOn w:val="Domylnaczcionkaakapitu"/>
    <w:uiPriority w:val="1"/>
    <w:qFormat/>
    <w:rsid w:val="008B044F"/>
    <w:rPr>
      <w:i/>
    </w:rPr>
  </w:style>
  <w:style w:type="character" w:customStyle="1" w:styleId="TEKSTOZNACZONYWDOKUMENCIERDOWYMJAKOUKRYTY">
    <w:name w:val="_TEKST_OZNACZONY_W_DOKUMENCIE_ŹRÓDŁOWYM_JAKO_UKRYTY_"/>
    <w:basedOn w:val="Domylnaczcionkaakapitu"/>
    <w:uiPriority w:val="4"/>
    <w:unhideWhenUsed/>
    <w:qFormat/>
    <w:rsid w:val="008B044F"/>
    <w:rPr>
      <w:vanish w:val="0"/>
      <w:color w:val="FF0000"/>
      <w:u w:val="single" w:color="FF0000"/>
    </w:rPr>
  </w:style>
  <w:style w:type="paragraph" w:styleId="Stopka">
    <w:name w:val="footer"/>
    <w:basedOn w:val="Normalny"/>
    <w:link w:val="StopkaZnak"/>
    <w:uiPriority w:val="99"/>
    <w:unhideWhenUsed/>
    <w:rsid w:val="00731F39"/>
    <w:pPr>
      <w:tabs>
        <w:tab w:val="center" w:pos="4536"/>
        <w:tab w:val="right" w:pos="9072"/>
      </w:tabs>
      <w:spacing w:line="240" w:lineRule="auto"/>
    </w:pPr>
  </w:style>
  <w:style w:type="character" w:customStyle="1" w:styleId="StopkaZnak">
    <w:name w:val="Stopka Znak"/>
    <w:basedOn w:val="Domylnaczcionkaakapitu"/>
    <w:link w:val="Stopka"/>
    <w:uiPriority w:val="99"/>
    <w:rsid w:val="00731F39"/>
    <w:rPr>
      <w:rFonts w:ascii="Times New Roman" w:eastAsiaTheme="minorEastAsia" w:hAnsi="Times New Roman" w:cs="Arial"/>
      <w:sz w:val="24"/>
      <w:szCs w:val="20"/>
      <w:lang w:eastAsia="pl-PL"/>
    </w:rPr>
  </w:style>
  <w:style w:type="character" w:styleId="Odwoaniedokomentarza">
    <w:name w:val="annotation reference"/>
    <w:basedOn w:val="Domylnaczcionkaakapitu"/>
    <w:uiPriority w:val="99"/>
    <w:semiHidden/>
    <w:unhideWhenUsed/>
    <w:rsid w:val="004B56DC"/>
    <w:rPr>
      <w:sz w:val="16"/>
      <w:szCs w:val="16"/>
    </w:rPr>
  </w:style>
  <w:style w:type="paragraph" w:styleId="Tekstkomentarza">
    <w:name w:val="annotation text"/>
    <w:basedOn w:val="Normalny"/>
    <w:link w:val="TekstkomentarzaZnak"/>
    <w:uiPriority w:val="99"/>
    <w:semiHidden/>
    <w:unhideWhenUsed/>
    <w:rsid w:val="004B56DC"/>
    <w:pPr>
      <w:spacing w:line="240" w:lineRule="auto"/>
    </w:pPr>
    <w:rPr>
      <w:sz w:val="20"/>
    </w:rPr>
  </w:style>
  <w:style w:type="character" w:customStyle="1" w:styleId="TekstkomentarzaZnak">
    <w:name w:val="Tekst komentarza Znak"/>
    <w:basedOn w:val="Domylnaczcionkaakapitu"/>
    <w:link w:val="Tekstkomentarza"/>
    <w:uiPriority w:val="99"/>
    <w:semiHidden/>
    <w:rsid w:val="004B56DC"/>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4B56DC"/>
    <w:rPr>
      <w:b/>
      <w:bCs/>
    </w:rPr>
  </w:style>
  <w:style w:type="character" w:customStyle="1" w:styleId="TematkomentarzaZnak">
    <w:name w:val="Temat komentarza Znak"/>
    <w:basedOn w:val="TekstkomentarzaZnak"/>
    <w:link w:val="Tematkomentarza"/>
    <w:uiPriority w:val="99"/>
    <w:semiHidden/>
    <w:rsid w:val="004B56DC"/>
    <w:rPr>
      <w:rFonts w:ascii="Times New Roman" w:eastAsiaTheme="minorEastAsia" w:hAnsi="Times New Roman" w:cs="Arial"/>
      <w:b/>
      <w:bCs/>
      <w:sz w:val="20"/>
      <w:szCs w:val="20"/>
      <w:lang w:eastAsia="pl-PL"/>
    </w:rPr>
  </w:style>
  <w:style w:type="paragraph" w:styleId="Tekstdymka">
    <w:name w:val="Balloon Text"/>
    <w:basedOn w:val="Normalny"/>
    <w:link w:val="TekstdymkaZnak"/>
    <w:uiPriority w:val="99"/>
    <w:semiHidden/>
    <w:unhideWhenUsed/>
    <w:rsid w:val="004B56DC"/>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B56DC"/>
    <w:rPr>
      <w:rFonts w:ascii="Segoe UI" w:eastAsiaTheme="minorEastAsia"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x.online.wolterskluwer.pl/WKPLOnline/index.rpc" TargetMode="External"/><Relationship Id="rId3" Type="http://schemas.openxmlformats.org/officeDocument/2006/relationships/webSettings" Target="webSettings.xml"/><Relationship Id="rId7" Type="http://schemas.openxmlformats.org/officeDocument/2006/relationships/hyperlink" Target="http://lex.online.wolterskluwer.pl/WKPLOnline/index.rp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x.online.wolterskluwer.pl/WKPLOnline/index.rpc"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16</Pages>
  <Words>5708</Words>
  <Characters>34249</Characters>
  <Application>Microsoft Office Word</Application>
  <DocSecurity>0</DocSecurity>
  <Lines>285</Lines>
  <Paragraphs>79</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39878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Trafisz Kinga</dc:creator>
  <cp:lastModifiedBy>Rybkowska Bożena</cp:lastModifiedBy>
  <cp:revision>10</cp:revision>
  <cp:lastPrinted>2019-03-19T10:21:00Z</cp:lastPrinted>
  <dcterms:created xsi:type="dcterms:W3CDTF">2019-03-11T09:57:00Z</dcterms:created>
  <dcterms:modified xsi:type="dcterms:W3CDTF">2019-03-19T10:21:00Z</dcterms:modified>
</cp:coreProperties>
</file>