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4AE" w:rsidRPr="009C1117" w:rsidRDefault="00A804AE" w:rsidP="009C1117">
      <w:pPr>
        <w:spacing w:after="240" w:line="360" w:lineRule="auto"/>
        <w:jc w:val="center"/>
        <w:rPr>
          <w:rFonts w:ascii="Times New Roman" w:hAnsi="Times New Roman" w:cs="Times New Roman"/>
          <w:sz w:val="24"/>
          <w:szCs w:val="24"/>
        </w:rPr>
      </w:pPr>
      <w:r w:rsidRPr="009C1117">
        <w:rPr>
          <w:rFonts w:ascii="Times New Roman" w:hAnsi="Times New Roman" w:cs="Times New Roman"/>
          <w:sz w:val="24"/>
          <w:szCs w:val="24"/>
        </w:rPr>
        <w:t xml:space="preserve">UZASADNIENIE </w:t>
      </w:r>
    </w:p>
    <w:p w:rsidR="00C86F43" w:rsidRPr="009C1117" w:rsidRDefault="00C86F43" w:rsidP="009C1117">
      <w:pPr>
        <w:pStyle w:val="Akapitzlist"/>
        <w:numPr>
          <w:ilvl w:val="0"/>
          <w:numId w:val="1"/>
        </w:numPr>
        <w:spacing w:line="360" w:lineRule="auto"/>
        <w:rPr>
          <w:rFonts w:ascii="Times New Roman" w:hAnsi="Times New Roman" w:cs="Times New Roman"/>
          <w:sz w:val="24"/>
          <w:szCs w:val="24"/>
          <w:u w:val="single"/>
        </w:rPr>
      </w:pPr>
      <w:r w:rsidRPr="009C1117">
        <w:rPr>
          <w:rFonts w:ascii="Times New Roman" w:hAnsi="Times New Roman" w:cs="Times New Roman"/>
          <w:sz w:val="24"/>
          <w:szCs w:val="24"/>
          <w:u w:val="single"/>
        </w:rPr>
        <w:t>Potrzeba i cel związania Rzeczypospolitej Polskiej Protokołem</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Decyzja o akcesji Republiki Macedonii Północnej do NATO została podjęta na szczycie NATO w dniu 11 lipca 2018 r. Stanowi ona potwierdzenie kontynuacji polityki „otwartych drzwi” i jest świadectwem woli umacniania i jednoczenia kontynentu europejskiego. NATO zachowuje też perspektywę integrac</w:t>
      </w:r>
      <w:r w:rsidR="009C1117">
        <w:rPr>
          <w:rFonts w:ascii="Times New Roman" w:hAnsi="Times New Roman" w:cs="Times New Roman"/>
          <w:sz w:val="24"/>
          <w:szCs w:val="24"/>
        </w:rPr>
        <w:t>yjną dla Gruzji, Ukrainy oraz w </w:t>
      </w:r>
      <w:r w:rsidRPr="009C1117">
        <w:rPr>
          <w:rFonts w:ascii="Times New Roman" w:hAnsi="Times New Roman" w:cs="Times New Roman"/>
          <w:sz w:val="24"/>
          <w:szCs w:val="24"/>
        </w:rPr>
        <w:t xml:space="preserve">przyszłości Republiki Finlandii i Królestwa Szwecji, jeśli państwa te zdecydują się na akcesję do Sojuszu. </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Polityka rozszerzenia NATO ma nadal fundamentalne znaczenie dla rozszerzania strefy bezpieczeństwa i stabilności w Europie i wokół jej granic. W tym kontekście, stabilny politycznie i prosperujący ekonomicznie region Bałkanów Zachodnich to ciągle niedokończone zadanie. Wobec rosnących wpływów partnerów zewnętrznych, rozpoczynając proces akcesyjny Republiki Macedonii Północnej, NA</w:t>
      </w:r>
      <w:r w:rsidR="009C1117">
        <w:rPr>
          <w:rFonts w:ascii="Times New Roman" w:hAnsi="Times New Roman" w:cs="Times New Roman"/>
          <w:sz w:val="24"/>
          <w:szCs w:val="24"/>
        </w:rPr>
        <w:t>TO wysyła jednoznaczny sygnał o </w:t>
      </w:r>
      <w:r w:rsidRPr="009C1117">
        <w:rPr>
          <w:rFonts w:ascii="Times New Roman" w:hAnsi="Times New Roman" w:cs="Times New Roman"/>
          <w:sz w:val="24"/>
          <w:szCs w:val="24"/>
        </w:rPr>
        <w:t xml:space="preserve">determinacji, by utrzymać ten region w ramach zjednoczonej i demokratycznej Europy. </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 xml:space="preserve">Przyjmując nowych członków, NATO rozciąga swe gwarancje bezpieczeństwa na kolejne państwa, umacniając w nich tym samym struktury demokratyczne i nakładając na nie obowiązek przestrzegania wiążących standardów w polityce wewnętrznej i międzynarodowej. Postęp w procesie integracji będzie </w:t>
      </w:r>
      <w:r w:rsidR="009C1117" w:rsidRPr="009C1117">
        <w:rPr>
          <w:rFonts w:ascii="Times New Roman" w:hAnsi="Times New Roman" w:cs="Times New Roman"/>
          <w:sz w:val="24"/>
          <w:szCs w:val="24"/>
        </w:rPr>
        <w:t>stwarzać</w:t>
      </w:r>
      <w:r w:rsidR="009C1117" w:rsidRPr="009C1117">
        <w:rPr>
          <w:rFonts w:ascii="Times New Roman" w:hAnsi="Times New Roman" w:cs="Times New Roman"/>
          <w:sz w:val="24"/>
          <w:szCs w:val="24"/>
        </w:rPr>
        <w:t xml:space="preserve"> </w:t>
      </w:r>
      <w:r w:rsidRPr="009C1117">
        <w:rPr>
          <w:rFonts w:ascii="Times New Roman" w:hAnsi="Times New Roman" w:cs="Times New Roman"/>
          <w:sz w:val="24"/>
          <w:szCs w:val="24"/>
        </w:rPr>
        <w:t>dobr</w:t>
      </w:r>
      <w:r w:rsidR="009C1117">
        <w:rPr>
          <w:rFonts w:ascii="Times New Roman" w:hAnsi="Times New Roman" w:cs="Times New Roman"/>
          <w:sz w:val="24"/>
          <w:szCs w:val="24"/>
        </w:rPr>
        <w:t>ą bazę do bliższej współpracy i </w:t>
      </w:r>
      <w:r w:rsidRPr="009C1117">
        <w:rPr>
          <w:rFonts w:ascii="Times New Roman" w:hAnsi="Times New Roman" w:cs="Times New Roman"/>
          <w:sz w:val="24"/>
          <w:szCs w:val="24"/>
        </w:rPr>
        <w:t>utrzymywania dobrosąsiedzkich relacji. Jest to też ważny element wsparcia Republiki Macedonii Północnej, której rząd, mimo złożonej sytuacji przy rosnących wpływach państw trzecich, deklaruje wolę pozostania na ścieżce integracji euroatlantyckiej. Nie bez znaczenia jest też fakt, iż zapraszając Republikę Macedonii Północnej do członkostwa</w:t>
      </w:r>
      <w:r w:rsidR="009C1117">
        <w:rPr>
          <w:rFonts w:ascii="Times New Roman" w:hAnsi="Times New Roman" w:cs="Times New Roman"/>
          <w:sz w:val="24"/>
          <w:szCs w:val="24"/>
        </w:rPr>
        <w:t>,</w:t>
      </w:r>
      <w:r w:rsidRPr="009C1117">
        <w:rPr>
          <w:rFonts w:ascii="Times New Roman" w:hAnsi="Times New Roman" w:cs="Times New Roman"/>
          <w:sz w:val="24"/>
          <w:szCs w:val="24"/>
        </w:rPr>
        <w:t xml:space="preserve"> wysłaliśmy ważne przesłanie, że rozwiązywanie sporów w drodze mediacji przynosi wymierne korzyści władzom i społeczeństwom decydującym się na taki krok. </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 xml:space="preserve">Akcesja Republiki Macedonii Północnej do NATO powinna przynieść odczuwalną stabilizację dla całych Bałkanów Zachodnich, co będzie </w:t>
      </w:r>
      <w:r w:rsidR="009C1117" w:rsidRPr="009C1117">
        <w:rPr>
          <w:rFonts w:ascii="Times New Roman" w:hAnsi="Times New Roman" w:cs="Times New Roman"/>
          <w:sz w:val="24"/>
          <w:szCs w:val="24"/>
        </w:rPr>
        <w:t>stanowić</w:t>
      </w:r>
      <w:r w:rsidR="009C1117" w:rsidRPr="009C1117">
        <w:rPr>
          <w:rFonts w:ascii="Times New Roman" w:hAnsi="Times New Roman" w:cs="Times New Roman"/>
          <w:sz w:val="24"/>
          <w:szCs w:val="24"/>
        </w:rPr>
        <w:t xml:space="preserve"> </w:t>
      </w:r>
      <w:r w:rsidRPr="009C1117">
        <w:rPr>
          <w:rFonts w:ascii="Times New Roman" w:hAnsi="Times New Roman" w:cs="Times New Roman"/>
          <w:sz w:val="24"/>
          <w:szCs w:val="24"/>
        </w:rPr>
        <w:t>korzystną zmianę środowiska bezpieczeństwa wokół naszego kraju, sprzyjając niezakłóconemu i swobodnemu rozwojowi Rzeczypospolitej Polskiej. Poszerza to też możliwości polityc</w:t>
      </w:r>
      <w:r w:rsidR="009C1117">
        <w:rPr>
          <w:rFonts w:ascii="Times New Roman" w:hAnsi="Times New Roman" w:cs="Times New Roman"/>
          <w:sz w:val="24"/>
          <w:szCs w:val="24"/>
        </w:rPr>
        <w:t xml:space="preserve">znej i gospodarczej współpracy </w:t>
      </w:r>
      <w:r w:rsidRPr="009C1117">
        <w:rPr>
          <w:rFonts w:ascii="Times New Roman" w:hAnsi="Times New Roman" w:cs="Times New Roman"/>
          <w:sz w:val="24"/>
          <w:szCs w:val="24"/>
        </w:rPr>
        <w:t>bilateralnej, stanowiąc jednocześnie istotny krok na drodze Republiki Macedonii Północnej do integracji europejskiej.</w:t>
      </w:r>
    </w:p>
    <w:p w:rsidR="00EC1743" w:rsidRPr="009C1117" w:rsidRDefault="00EC1743"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lastRenderedPageBreak/>
        <w:t xml:space="preserve">Protokół do Traktatu Północnoatlantyckiego w sprawie akcesji Republiki Macedonii Północnej został podpisany </w:t>
      </w:r>
      <w:r w:rsidRPr="009C1117">
        <w:rPr>
          <w:rFonts w:ascii="Times New Roman" w:hAnsi="Times New Roman" w:cs="Times New Roman"/>
          <w:bCs/>
          <w:sz w:val="24"/>
          <w:szCs w:val="24"/>
        </w:rPr>
        <w:t>w Brukseli</w:t>
      </w:r>
      <w:r w:rsidRPr="009C1117">
        <w:rPr>
          <w:rFonts w:ascii="Times New Roman" w:hAnsi="Times New Roman" w:cs="Times New Roman"/>
          <w:sz w:val="24"/>
          <w:szCs w:val="24"/>
        </w:rPr>
        <w:t>, w dniu 6 lutego 2019 r.</w:t>
      </w:r>
    </w:p>
    <w:p w:rsidR="00C86F43" w:rsidRPr="009C1117" w:rsidRDefault="00C86F43" w:rsidP="009C1117">
      <w:pPr>
        <w:pStyle w:val="Akapitzlist"/>
        <w:numPr>
          <w:ilvl w:val="0"/>
          <w:numId w:val="1"/>
        </w:numPr>
        <w:spacing w:line="360" w:lineRule="auto"/>
        <w:jc w:val="both"/>
        <w:rPr>
          <w:rFonts w:ascii="Times New Roman" w:hAnsi="Times New Roman" w:cs="Times New Roman"/>
          <w:sz w:val="24"/>
          <w:szCs w:val="24"/>
          <w:u w:val="single"/>
        </w:rPr>
      </w:pPr>
      <w:r w:rsidRPr="009C1117">
        <w:rPr>
          <w:rFonts w:ascii="Times New Roman" w:hAnsi="Times New Roman" w:cs="Times New Roman"/>
          <w:sz w:val="24"/>
          <w:szCs w:val="24"/>
          <w:u w:val="single"/>
        </w:rPr>
        <w:t>Różnice między dotychczasowym a projektowanym stanem prawnym</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Po tym jak Republika Macedonii Północnej stanie się stroną Traktatu Północnoatlantyckiego, na mocy postanowień Traktatu Rzeczpospolita Polska będzie zobowiązana do udzielania</w:t>
      </w:r>
      <w:r w:rsidR="00B43AB4" w:rsidRPr="009C1117">
        <w:rPr>
          <w:rFonts w:ascii="Times New Roman" w:hAnsi="Times New Roman" w:cs="Times New Roman"/>
          <w:sz w:val="24"/>
          <w:szCs w:val="24"/>
        </w:rPr>
        <w:t>,</w:t>
      </w:r>
      <w:r w:rsidRPr="009C1117">
        <w:rPr>
          <w:rFonts w:ascii="Times New Roman" w:hAnsi="Times New Roman" w:cs="Times New Roman"/>
          <w:sz w:val="24"/>
          <w:szCs w:val="24"/>
        </w:rPr>
        <w:t xml:space="preserve"> w razie potrzeby</w:t>
      </w:r>
      <w:r w:rsidR="00B43AB4" w:rsidRPr="009C1117">
        <w:rPr>
          <w:rFonts w:ascii="Times New Roman" w:hAnsi="Times New Roman" w:cs="Times New Roman"/>
          <w:sz w:val="24"/>
          <w:szCs w:val="24"/>
        </w:rPr>
        <w:t>,</w:t>
      </w:r>
      <w:r w:rsidRPr="009C1117">
        <w:rPr>
          <w:rFonts w:ascii="Times New Roman" w:hAnsi="Times New Roman" w:cs="Times New Roman"/>
          <w:sz w:val="24"/>
          <w:szCs w:val="24"/>
        </w:rPr>
        <w:t xml:space="preserve"> wsparcia wojskowego nowemu członkowi Sojuszu. Z wyjątkiem zakresu podmiotowego nie zmienią się natomiast istniejące już mechanizmy podejmowania decyzji i współpracy państw członkowskich w ramach NATO.</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Tekst Protokołu nie odbiega od tekstu Protokołów stosowanych przy okazji poprzednich rozszerzeń, m.in. Rzeczypospolitej Polskiej. Protokół składa się z trzech artykułów. Pierwszy artykuł upoważnia Sekretarza Ge</w:t>
      </w:r>
      <w:r w:rsidR="009C1117">
        <w:rPr>
          <w:rFonts w:ascii="Times New Roman" w:hAnsi="Times New Roman" w:cs="Times New Roman"/>
          <w:sz w:val="24"/>
          <w:szCs w:val="24"/>
        </w:rPr>
        <w:t>neralnego NATO do przekazania w </w:t>
      </w:r>
      <w:r w:rsidRPr="009C1117">
        <w:rPr>
          <w:rFonts w:ascii="Times New Roman" w:hAnsi="Times New Roman" w:cs="Times New Roman"/>
          <w:sz w:val="24"/>
          <w:szCs w:val="24"/>
        </w:rPr>
        <w:t>imieniu wszystkich państw członkowskich zaproszenia Rządowi Republiki Macedonii Północnej do akcesji do Traktatu Północnoatlantyckiego. Przewiduje również, że Republika Macedonii Północnej stanie się stroną Traktatu w dniu złożenia swego dokumentu przystąpienia Rządowi Stanów Zjednoczonych Ameryki.</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Pozostałe dwa artykuły mają charakter formalno-prawny. Artykuł drugi dotyczy war</w:t>
      </w:r>
      <w:r w:rsidR="00EC1743" w:rsidRPr="009C1117">
        <w:rPr>
          <w:rFonts w:ascii="Times New Roman" w:hAnsi="Times New Roman" w:cs="Times New Roman"/>
          <w:sz w:val="24"/>
          <w:szCs w:val="24"/>
        </w:rPr>
        <w:t>unków wejścia</w:t>
      </w:r>
      <w:r w:rsidR="00B43AB4" w:rsidRPr="009C1117">
        <w:rPr>
          <w:rFonts w:ascii="Times New Roman" w:hAnsi="Times New Roman" w:cs="Times New Roman"/>
          <w:sz w:val="24"/>
          <w:szCs w:val="24"/>
        </w:rPr>
        <w:t xml:space="preserve"> Protokołu</w:t>
      </w:r>
      <w:r w:rsidR="00EC1743" w:rsidRPr="009C1117">
        <w:rPr>
          <w:rFonts w:ascii="Times New Roman" w:hAnsi="Times New Roman" w:cs="Times New Roman"/>
          <w:sz w:val="24"/>
          <w:szCs w:val="24"/>
        </w:rPr>
        <w:t xml:space="preserve"> w życie </w:t>
      </w:r>
      <w:r w:rsidRPr="009C1117">
        <w:rPr>
          <w:rFonts w:ascii="Times New Roman" w:hAnsi="Times New Roman" w:cs="Times New Roman"/>
          <w:sz w:val="24"/>
          <w:szCs w:val="24"/>
        </w:rPr>
        <w:t>oraz obowiązku Rząd</w:t>
      </w:r>
      <w:r w:rsidR="00B43AB4" w:rsidRPr="009C1117">
        <w:rPr>
          <w:rFonts w:ascii="Times New Roman" w:hAnsi="Times New Roman" w:cs="Times New Roman"/>
          <w:sz w:val="24"/>
          <w:szCs w:val="24"/>
        </w:rPr>
        <w:t>u Stanów Zjednoczonych Ameryki informowania</w:t>
      </w:r>
      <w:r w:rsidRPr="009C1117">
        <w:rPr>
          <w:rFonts w:ascii="Times New Roman" w:hAnsi="Times New Roman" w:cs="Times New Roman"/>
          <w:sz w:val="24"/>
          <w:szCs w:val="24"/>
        </w:rPr>
        <w:t xml:space="preserve"> pozostałych Stron o dacie otrzymania każdej notyfikacji przyjęcia Protokołu przez poszczególne państwa. Postanowienia artykułu trzeciego obejmują kwestie języków autentycznych Protokołu (angielski i francuski), depozytariusza oraz jego obowiązku przekazania należycie poświadczonych kopii Protokołu jego Stronom.</w:t>
      </w:r>
    </w:p>
    <w:p w:rsidR="00C86F43" w:rsidRPr="009C1117" w:rsidRDefault="00C86F43" w:rsidP="009C1117">
      <w:pPr>
        <w:pStyle w:val="Akapitzlist"/>
        <w:numPr>
          <w:ilvl w:val="0"/>
          <w:numId w:val="1"/>
        </w:numPr>
        <w:spacing w:line="360" w:lineRule="auto"/>
        <w:jc w:val="both"/>
        <w:rPr>
          <w:rFonts w:ascii="Times New Roman" w:hAnsi="Times New Roman" w:cs="Times New Roman"/>
          <w:sz w:val="24"/>
          <w:szCs w:val="24"/>
          <w:u w:val="single"/>
        </w:rPr>
      </w:pPr>
      <w:r w:rsidRPr="009C1117">
        <w:rPr>
          <w:rFonts w:ascii="Times New Roman" w:hAnsi="Times New Roman" w:cs="Times New Roman"/>
          <w:sz w:val="24"/>
          <w:szCs w:val="24"/>
          <w:u w:val="single"/>
        </w:rPr>
        <w:t>Przewidywane skutki społeczne, gospodarcze, finansowe, polityczne i prawne związane z wejściem w życie Protokołu</w:t>
      </w:r>
    </w:p>
    <w:p w:rsidR="00A804AE" w:rsidRPr="009C1117" w:rsidRDefault="005106D2"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 xml:space="preserve">Wejście w życie Protokołu nie spowoduje </w:t>
      </w:r>
      <w:r w:rsidR="00A804AE" w:rsidRPr="009C1117">
        <w:rPr>
          <w:rFonts w:ascii="Times New Roman" w:hAnsi="Times New Roman" w:cs="Times New Roman"/>
          <w:sz w:val="24"/>
          <w:szCs w:val="24"/>
        </w:rPr>
        <w:t>bezpośrednich ani pośrednich skutków społeczn</w:t>
      </w:r>
      <w:r w:rsidR="00EC1743" w:rsidRPr="009C1117">
        <w:rPr>
          <w:rFonts w:ascii="Times New Roman" w:hAnsi="Times New Roman" w:cs="Times New Roman"/>
          <w:sz w:val="24"/>
          <w:szCs w:val="24"/>
        </w:rPr>
        <w:t>ych, gospodarczych, finansowych</w:t>
      </w:r>
      <w:r w:rsidR="00A804AE" w:rsidRPr="009C1117">
        <w:rPr>
          <w:rFonts w:ascii="Times New Roman" w:hAnsi="Times New Roman" w:cs="Times New Roman"/>
          <w:sz w:val="24"/>
          <w:szCs w:val="24"/>
        </w:rPr>
        <w:t xml:space="preserve"> czy prawnych dla Rzeczypospolitej Polskiej i nie wymaga wskazania dodatkowych źródeł finansowania.</w:t>
      </w:r>
    </w:p>
    <w:p w:rsidR="00202DC1" w:rsidRPr="009C1117" w:rsidRDefault="00202DC1" w:rsidP="009C1117">
      <w:pPr>
        <w:pStyle w:val="Akapitzlist"/>
        <w:numPr>
          <w:ilvl w:val="0"/>
          <w:numId w:val="1"/>
        </w:numPr>
        <w:spacing w:line="360" w:lineRule="auto"/>
        <w:jc w:val="both"/>
        <w:rPr>
          <w:rFonts w:ascii="Times New Roman" w:hAnsi="Times New Roman" w:cs="Times New Roman"/>
          <w:sz w:val="24"/>
          <w:szCs w:val="24"/>
          <w:u w:val="single"/>
        </w:rPr>
      </w:pPr>
      <w:r w:rsidRPr="009C1117">
        <w:rPr>
          <w:rFonts w:ascii="Times New Roman" w:hAnsi="Times New Roman" w:cs="Times New Roman"/>
          <w:sz w:val="24"/>
          <w:szCs w:val="24"/>
          <w:u w:val="single"/>
        </w:rPr>
        <w:t xml:space="preserve">Podmioty prawa krajowego, których dotyczy Protokół </w:t>
      </w:r>
    </w:p>
    <w:p w:rsidR="00202DC1"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 xml:space="preserve">Postanowienia Protokołu nie odnoszą się wprost </w:t>
      </w:r>
      <w:r w:rsidR="009C1117">
        <w:rPr>
          <w:rFonts w:ascii="Times New Roman" w:hAnsi="Times New Roman" w:cs="Times New Roman"/>
          <w:sz w:val="24"/>
          <w:szCs w:val="24"/>
        </w:rPr>
        <w:t>do podmiotów prawa krajowego, w </w:t>
      </w:r>
      <w:r w:rsidRPr="009C1117">
        <w:rPr>
          <w:rFonts w:ascii="Times New Roman" w:hAnsi="Times New Roman" w:cs="Times New Roman"/>
          <w:sz w:val="24"/>
          <w:szCs w:val="24"/>
        </w:rPr>
        <w:t>tym zwłaszcza do osób fizycznych lub prawnych</w:t>
      </w:r>
      <w:r w:rsidR="00B43AB4" w:rsidRPr="009C1117">
        <w:rPr>
          <w:rFonts w:ascii="Times New Roman" w:hAnsi="Times New Roman" w:cs="Times New Roman"/>
          <w:sz w:val="24"/>
          <w:szCs w:val="24"/>
        </w:rPr>
        <w:t>,</w:t>
      </w:r>
      <w:r w:rsidRPr="009C1117">
        <w:rPr>
          <w:rFonts w:ascii="Times New Roman" w:hAnsi="Times New Roman" w:cs="Times New Roman"/>
          <w:sz w:val="24"/>
          <w:szCs w:val="24"/>
        </w:rPr>
        <w:t xml:space="preserve"> i nie rodzą bezpośrednio dla tych </w:t>
      </w:r>
      <w:r w:rsidRPr="009C1117">
        <w:rPr>
          <w:rFonts w:ascii="Times New Roman" w:hAnsi="Times New Roman" w:cs="Times New Roman"/>
          <w:sz w:val="24"/>
          <w:szCs w:val="24"/>
        </w:rPr>
        <w:lastRenderedPageBreak/>
        <w:t xml:space="preserve">podmiotów żadnych dodatkowych praw lub obowiązków, które wykraczałyby poza ramy wynikające z istniejących już zobowiązań sojuszniczych Rzeczypospolitej Polskiej. </w:t>
      </w:r>
    </w:p>
    <w:p w:rsidR="00202DC1" w:rsidRPr="009C1117" w:rsidRDefault="00202DC1" w:rsidP="009C1117">
      <w:pPr>
        <w:pStyle w:val="Akapitzlist"/>
        <w:numPr>
          <w:ilvl w:val="0"/>
          <w:numId w:val="1"/>
        </w:numPr>
        <w:spacing w:line="360" w:lineRule="auto"/>
        <w:jc w:val="both"/>
        <w:rPr>
          <w:rFonts w:ascii="Times New Roman" w:hAnsi="Times New Roman" w:cs="Times New Roman"/>
          <w:sz w:val="24"/>
          <w:szCs w:val="24"/>
          <w:u w:val="single"/>
        </w:rPr>
      </w:pPr>
      <w:r w:rsidRPr="009C1117">
        <w:rPr>
          <w:rFonts w:ascii="Times New Roman" w:hAnsi="Times New Roman" w:cs="Times New Roman"/>
          <w:sz w:val="24"/>
          <w:szCs w:val="24"/>
          <w:u w:val="single"/>
        </w:rPr>
        <w:t>Sposób, w jaki Protokół dotyczy spraw uregulowanych w prawie wewnętrznym</w:t>
      </w:r>
      <w:r w:rsidR="009C1117">
        <w:rPr>
          <w:rFonts w:ascii="Times New Roman" w:hAnsi="Times New Roman" w:cs="Times New Roman"/>
          <w:sz w:val="24"/>
          <w:szCs w:val="24"/>
          <w:u w:val="single"/>
        </w:rPr>
        <w:t>,</w:t>
      </w:r>
      <w:r w:rsidRPr="009C1117">
        <w:rPr>
          <w:rFonts w:ascii="Times New Roman" w:hAnsi="Times New Roman" w:cs="Times New Roman"/>
          <w:sz w:val="24"/>
          <w:szCs w:val="24"/>
          <w:u w:val="single"/>
        </w:rPr>
        <w:t xml:space="preserve"> oraz informacja nt. środków prawnych, które </w:t>
      </w:r>
      <w:r w:rsidR="00FA11DC" w:rsidRPr="009C1117">
        <w:rPr>
          <w:rFonts w:ascii="Times New Roman" w:hAnsi="Times New Roman" w:cs="Times New Roman"/>
          <w:sz w:val="24"/>
          <w:szCs w:val="24"/>
          <w:u w:val="single"/>
        </w:rPr>
        <w:t xml:space="preserve">ewentualnie </w:t>
      </w:r>
      <w:r w:rsidRPr="009C1117">
        <w:rPr>
          <w:rFonts w:ascii="Times New Roman" w:hAnsi="Times New Roman" w:cs="Times New Roman"/>
          <w:sz w:val="24"/>
          <w:szCs w:val="24"/>
          <w:u w:val="single"/>
        </w:rPr>
        <w:t>powinny zostać przyjęte w celu wykonania Protokołu</w:t>
      </w:r>
    </w:p>
    <w:p w:rsidR="00A804AE" w:rsidRPr="009C1117" w:rsidRDefault="00A804AE"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Obowiązujące w prawie wewnętrznym regulacje</w:t>
      </w:r>
      <w:r w:rsidR="00B43AB4" w:rsidRPr="009C1117">
        <w:rPr>
          <w:rFonts w:ascii="Times New Roman" w:hAnsi="Times New Roman" w:cs="Times New Roman"/>
          <w:sz w:val="24"/>
          <w:szCs w:val="24"/>
        </w:rPr>
        <w:t>,</w:t>
      </w:r>
      <w:r w:rsidRPr="009C1117">
        <w:rPr>
          <w:rFonts w:ascii="Times New Roman" w:hAnsi="Times New Roman" w:cs="Times New Roman"/>
          <w:sz w:val="24"/>
          <w:szCs w:val="24"/>
        </w:rPr>
        <w:t xml:space="preserve"> odnoszące się do realizacji przez Rze</w:t>
      </w:r>
      <w:r w:rsidR="00FA11DC" w:rsidRPr="009C1117">
        <w:rPr>
          <w:rFonts w:ascii="Times New Roman" w:hAnsi="Times New Roman" w:cs="Times New Roman"/>
          <w:sz w:val="24"/>
          <w:szCs w:val="24"/>
        </w:rPr>
        <w:t xml:space="preserve">czpospolitą Polską postanowień </w:t>
      </w:r>
      <w:r w:rsidRPr="009C1117">
        <w:rPr>
          <w:rFonts w:ascii="Times New Roman" w:hAnsi="Times New Roman" w:cs="Times New Roman"/>
          <w:sz w:val="24"/>
          <w:szCs w:val="24"/>
        </w:rPr>
        <w:t>Traktatu Północnoatlantyckiego, sp</w:t>
      </w:r>
      <w:r w:rsidR="009C1117">
        <w:rPr>
          <w:rFonts w:ascii="Times New Roman" w:hAnsi="Times New Roman" w:cs="Times New Roman"/>
          <w:sz w:val="24"/>
          <w:szCs w:val="24"/>
        </w:rPr>
        <w:t>orządzonego w </w:t>
      </w:r>
      <w:r w:rsidR="00463C54" w:rsidRPr="009C1117">
        <w:rPr>
          <w:rFonts w:ascii="Times New Roman" w:hAnsi="Times New Roman" w:cs="Times New Roman"/>
          <w:sz w:val="24"/>
          <w:szCs w:val="24"/>
        </w:rPr>
        <w:t>Waszyngtonie dnia</w:t>
      </w:r>
      <w:r w:rsidRPr="009C1117">
        <w:rPr>
          <w:rFonts w:ascii="Times New Roman" w:hAnsi="Times New Roman" w:cs="Times New Roman"/>
          <w:sz w:val="24"/>
          <w:szCs w:val="24"/>
        </w:rPr>
        <w:t xml:space="preserve"> 4 kwietnia 1949 r., będą miały zastosowanie także do Republiki Macedonii P</w:t>
      </w:r>
      <w:r w:rsidR="00202DC1" w:rsidRPr="009C1117">
        <w:rPr>
          <w:rFonts w:ascii="Times New Roman" w:hAnsi="Times New Roman" w:cs="Times New Roman"/>
          <w:sz w:val="24"/>
          <w:szCs w:val="24"/>
        </w:rPr>
        <w:t xml:space="preserve">ółnocnej i nie zajdzie </w:t>
      </w:r>
      <w:r w:rsidRPr="009C1117">
        <w:rPr>
          <w:rFonts w:ascii="Times New Roman" w:hAnsi="Times New Roman" w:cs="Times New Roman"/>
          <w:sz w:val="24"/>
          <w:szCs w:val="24"/>
        </w:rPr>
        <w:t xml:space="preserve">w tym zakresie konieczność przyjęcia nowych lub zmiany aktualnie obowiązujących aktów prawnych.  </w:t>
      </w:r>
    </w:p>
    <w:p w:rsidR="00202DC1" w:rsidRPr="009C1117" w:rsidRDefault="00202DC1" w:rsidP="009C1117">
      <w:pPr>
        <w:pStyle w:val="Akapitzlist"/>
        <w:numPr>
          <w:ilvl w:val="0"/>
          <w:numId w:val="1"/>
        </w:numPr>
        <w:spacing w:line="360" w:lineRule="auto"/>
        <w:jc w:val="both"/>
        <w:rPr>
          <w:rFonts w:ascii="Times New Roman" w:hAnsi="Times New Roman" w:cs="Times New Roman"/>
          <w:sz w:val="24"/>
          <w:szCs w:val="24"/>
          <w:u w:val="single"/>
        </w:rPr>
      </w:pPr>
      <w:r w:rsidRPr="009C1117">
        <w:rPr>
          <w:rFonts w:ascii="Times New Roman" w:hAnsi="Times New Roman" w:cs="Times New Roman"/>
          <w:sz w:val="24"/>
          <w:szCs w:val="24"/>
          <w:u w:val="single"/>
        </w:rPr>
        <w:t>Wyjaśnienie trybu związania Rzeczypospolitej Polskiej Protokołem</w:t>
      </w:r>
    </w:p>
    <w:p w:rsidR="00A804AE" w:rsidRPr="009C1117" w:rsidRDefault="00034181" w:rsidP="009C1117">
      <w:pPr>
        <w:spacing w:line="360" w:lineRule="auto"/>
        <w:ind w:firstLine="708"/>
        <w:jc w:val="both"/>
        <w:rPr>
          <w:rFonts w:ascii="Times New Roman" w:hAnsi="Times New Roman" w:cs="Times New Roman"/>
          <w:sz w:val="24"/>
          <w:szCs w:val="24"/>
        </w:rPr>
      </w:pPr>
      <w:r w:rsidRPr="009C1117">
        <w:rPr>
          <w:rFonts w:ascii="Times New Roman" w:hAnsi="Times New Roman" w:cs="Times New Roman"/>
          <w:sz w:val="24"/>
          <w:szCs w:val="24"/>
        </w:rPr>
        <w:t>Zgodnie z art. 12 ust. 2 ustawy z dnia 14 kwietnia 2000 r. o umowach międzynarodowych (Dz. U. poz. 443, z 2002 r. poz. 1824, z 20</w:t>
      </w:r>
      <w:r w:rsidR="009C1117">
        <w:rPr>
          <w:rFonts w:ascii="Times New Roman" w:hAnsi="Times New Roman" w:cs="Times New Roman"/>
          <w:sz w:val="24"/>
          <w:szCs w:val="24"/>
        </w:rPr>
        <w:t>10 r. poz. 1395, z 2011 r. poz. </w:t>
      </w:r>
      <w:r w:rsidRPr="009C1117">
        <w:rPr>
          <w:rFonts w:ascii="Times New Roman" w:hAnsi="Times New Roman" w:cs="Times New Roman"/>
          <w:sz w:val="24"/>
          <w:szCs w:val="24"/>
        </w:rPr>
        <w:t>676 oraz z 2019 r. poz. 109) ratyfikacji podlegają umowy międzynarodowe, o których mowa w art. 89 i art. 90 Konstytucji Rzeczypospolitej Polskiej</w:t>
      </w:r>
      <w:r w:rsidR="009C1117">
        <w:rPr>
          <w:rFonts w:ascii="Times New Roman" w:hAnsi="Times New Roman" w:cs="Times New Roman"/>
          <w:sz w:val="24"/>
          <w:szCs w:val="24"/>
        </w:rPr>
        <w:t>,</w:t>
      </w:r>
      <w:r w:rsidRPr="009C1117">
        <w:rPr>
          <w:rFonts w:ascii="Times New Roman" w:hAnsi="Times New Roman" w:cs="Times New Roman"/>
          <w:sz w:val="24"/>
          <w:szCs w:val="24"/>
        </w:rPr>
        <w:t xml:space="preserve"> oraz inne umowy międzynarodowe, które przewidują wymóg ratyfikacji albo ją dopuszczają, a szczególne okoliczności to uzasadniają. </w:t>
      </w:r>
      <w:r w:rsidR="00A804AE" w:rsidRPr="009C1117">
        <w:rPr>
          <w:rFonts w:ascii="Times New Roman" w:hAnsi="Times New Roman" w:cs="Times New Roman"/>
          <w:sz w:val="24"/>
          <w:szCs w:val="24"/>
        </w:rPr>
        <w:t xml:space="preserve">Z uwagi na fakt, że Protokół jest umową, która dotyczy układów wojskowych, </w:t>
      </w:r>
      <w:r w:rsidRPr="009C1117">
        <w:rPr>
          <w:rFonts w:ascii="Times New Roman" w:hAnsi="Times New Roman" w:cs="Times New Roman"/>
          <w:sz w:val="24"/>
          <w:szCs w:val="24"/>
        </w:rPr>
        <w:t xml:space="preserve">wymaga on </w:t>
      </w:r>
      <w:r w:rsidR="00A804AE" w:rsidRPr="009C1117">
        <w:rPr>
          <w:rFonts w:ascii="Times New Roman" w:hAnsi="Times New Roman" w:cs="Times New Roman"/>
          <w:sz w:val="24"/>
          <w:szCs w:val="24"/>
        </w:rPr>
        <w:t>ratyfikacji za uprzednią zgodą wyr</w:t>
      </w:r>
      <w:r w:rsidR="009C1117">
        <w:rPr>
          <w:rFonts w:ascii="Times New Roman" w:hAnsi="Times New Roman" w:cs="Times New Roman"/>
          <w:sz w:val="24"/>
          <w:szCs w:val="24"/>
        </w:rPr>
        <w:t>ażoną w ustawie, zgodnie z art. </w:t>
      </w:r>
      <w:r w:rsidR="00A804AE" w:rsidRPr="009C1117">
        <w:rPr>
          <w:rFonts w:ascii="Times New Roman" w:hAnsi="Times New Roman" w:cs="Times New Roman"/>
          <w:sz w:val="24"/>
          <w:szCs w:val="24"/>
        </w:rPr>
        <w:t>89 ust.</w:t>
      </w:r>
      <w:r w:rsidRPr="009C1117">
        <w:rPr>
          <w:rFonts w:ascii="Times New Roman" w:hAnsi="Times New Roman" w:cs="Times New Roman"/>
          <w:sz w:val="24"/>
          <w:szCs w:val="24"/>
        </w:rPr>
        <w:t xml:space="preserve"> </w:t>
      </w:r>
      <w:r w:rsidR="009C1117">
        <w:rPr>
          <w:rFonts w:ascii="Times New Roman" w:hAnsi="Times New Roman" w:cs="Times New Roman"/>
          <w:sz w:val="24"/>
          <w:szCs w:val="24"/>
        </w:rPr>
        <w:t xml:space="preserve">1 pkt 1 </w:t>
      </w:r>
      <w:bookmarkStart w:id="0" w:name="_GoBack"/>
      <w:bookmarkEnd w:id="0"/>
      <w:r w:rsidR="00463C54" w:rsidRPr="009C1117">
        <w:rPr>
          <w:rFonts w:ascii="Times New Roman" w:hAnsi="Times New Roman" w:cs="Times New Roman"/>
          <w:sz w:val="24"/>
          <w:szCs w:val="24"/>
        </w:rPr>
        <w:t>Konstytucji Rzeczypospolitej Polskiej</w:t>
      </w:r>
      <w:r w:rsidR="00A804AE" w:rsidRPr="009C1117">
        <w:rPr>
          <w:rFonts w:ascii="Times New Roman" w:hAnsi="Times New Roman" w:cs="Times New Roman"/>
          <w:sz w:val="24"/>
          <w:szCs w:val="24"/>
        </w:rPr>
        <w:t>.</w:t>
      </w:r>
    </w:p>
    <w:sectPr w:rsidR="00A804AE" w:rsidRPr="009C1117" w:rsidSect="009C111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117" w:rsidRDefault="009C1117" w:rsidP="009C1117">
      <w:pPr>
        <w:spacing w:after="0" w:line="240" w:lineRule="auto"/>
      </w:pPr>
      <w:r>
        <w:separator/>
      </w:r>
    </w:p>
  </w:endnote>
  <w:endnote w:type="continuationSeparator" w:id="0">
    <w:p w:rsidR="009C1117" w:rsidRDefault="009C1117" w:rsidP="009C1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816756"/>
      <w:docPartObj>
        <w:docPartGallery w:val="Page Numbers (Bottom of Page)"/>
        <w:docPartUnique/>
      </w:docPartObj>
    </w:sdtPr>
    <w:sdtEndPr>
      <w:rPr>
        <w:rFonts w:ascii="Times New Roman" w:hAnsi="Times New Roman" w:cs="Times New Roman"/>
        <w:sz w:val="24"/>
        <w:szCs w:val="24"/>
      </w:rPr>
    </w:sdtEndPr>
    <w:sdtContent>
      <w:p w:rsidR="009C1117" w:rsidRPr="009C1117" w:rsidRDefault="009C1117" w:rsidP="009C1117">
        <w:pPr>
          <w:pStyle w:val="Stopka"/>
          <w:jc w:val="center"/>
          <w:rPr>
            <w:rFonts w:ascii="Times New Roman" w:hAnsi="Times New Roman" w:cs="Times New Roman"/>
            <w:sz w:val="24"/>
            <w:szCs w:val="24"/>
          </w:rPr>
        </w:pPr>
        <w:r w:rsidRPr="009C1117">
          <w:rPr>
            <w:rFonts w:ascii="Times New Roman" w:hAnsi="Times New Roman" w:cs="Times New Roman"/>
            <w:sz w:val="24"/>
            <w:szCs w:val="24"/>
          </w:rPr>
          <w:fldChar w:fldCharType="begin"/>
        </w:r>
        <w:r w:rsidRPr="009C1117">
          <w:rPr>
            <w:rFonts w:ascii="Times New Roman" w:hAnsi="Times New Roman" w:cs="Times New Roman"/>
            <w:sz w:val="24"/>
            <w:szCs w:val="24"/>
          </w:rPr>
          <w:instrText>PAGE   \* MERGEFORMAT</w:instrText>
        </w:r>
        <w:r w:rsidRPr="009C1117">
          <w:rPr>
            <w:rFonts w:ascii="Times New Roman" w:hAnsi="Times New Roman" w:cs="Times New Roman"/>
            <w:sz w:val="24"/>
            <w:szCs w:val="24"/>
          </w:rPr>
          <w:fldChar w:fldCharType="separate"/>
        </w:r>
        <w:r>
          <w:rPr>
            <w:rFonts w:ascii="Times New Roman" w:hAnsi="Times New Roman" w:cs="Times New Roman"/>
            <w:noProof/>
            <w:sz w:val="24"/>
            <w:szCs w:val="24"/>
          </w:rPr>
          <w:t>3</w:t>
        </w:r>
        <w:r w:rsidRPr="009C111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117" w:rsidRDefault="009C1117" w:rsidP="009C1117">
      <w:pPr>
        <w:spacing w:after="0" w:line="240" w:lineRule="auto"/>
      </w:pPr>
      <w:r>
        <w:separator/>
      </w:r>
    </w:p>
  </w:footnote>
  <w:footnote w:type="continuationSeparator" w:id="0">
    <w:p w:rsidR="009C1117" w:rsidRDefault="009C1117" w:rsidP="009C11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94F02"/>
    <w:multiLevelType w:val="hybridMultilevel"/>
    <w:tmpl w:val="327877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4AE"/>
    <w:rsid w:val="00034181"/>
    <w:rsid w:val="00043FC0"/>
    <w:rsid w:val="000D2958"/>
    <w:rsid w:val="00202DC1"/>
    <w:rsid w:val="00202EE4"/>
    <w:rsid w:val="00232D5A"/>
    <w:rsid w:val="00341286"/>
    <w:rsid w:val="003905A9"/>
    <w:rsid w:val="00463C54"/>
    <w:rsid w:val="005106D2"/>
    <w:rsid w:val="009C1117"/>
    <w:rsid w:val="00A804AE"/>
    <w:rsid w:val="00B37E6C"/>
    <w:rsid w:val="00B43AB4"/>
    <w:rsid w:val="00B5664D"/>
    <w:rsid w:val="00C86F43"/>
    <w:rsid w:val="00EC1743"/>
    <w:rsid w:val="00FA11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86F43"/>
    <w:pPr>
      <w:ind w:left="720"/>
      <w:contextualSpacing/>
    </w:pPr>
  </w:style>
  <w:style w:type="paragraph" w:styleId="Nagwek">
    <w:name w:val="header"/>
    <w:basedOn w:val="Normalny"/>
    <w:link w:val="NagwekZnak"/>
    <w:uiPriority w:val="99"/>
    <w:unhideWhenUsed/>
    <w:rsid w:val="009C111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1117"/>
  </w:style>
  <w:style w:type="paragraph" w:styleId="Stopka">
    <w:name w:val="footer"/>
    <w:basedOn w:val="Normalny"/>
    <w:link w:val="StopkaZnak"/>
    <w:uiPriority w:val="99"/>
    <w:unhideWhenUsed/>
    <w:rsid w:val="009C111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11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86F43"/>
    <w:pPr>
      <w:ind w:left="720"/>
      <w:contextualSpacing/>
    </w:pPr>
  </w:style>
  <w:style w:type="paragraph" w:styleId="Nagwek">
    <w:name w:val="header"/>
    <w:basedOn w:val="Normalny"/>
    <w:link w:val="NagwekZnak"/>
    <w:uiPriority w:val="99"/>
    <w:unhideWhenUsed/>
    <w:rsid w:val="009C111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1117"/>
  </w:style>
  <w:style w:type="paragraph" w:styleId="Stopka">
    <w:name w:val="footer"/>
    <w:basedOn w:val="Normalny"/>
    <w:link w:val="StopkaZnak"/>
    <w:uiPriority w:val="99"/>
    <w:unhideWhenUsed/>
    <w:rsid w:val="009C111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1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842</Words>
  <Characters>5053</Characters>
  <Application>Microsoft Office Word</Application>
  <DocSecurity>4</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Dudzik Paulina</dc:creator>
  <cp:lastModifiedBy>użytkownik</cp:lastModifiedBy>
  <cp:revision>2</cp:revision>
  <dcterms:created xsi:type="dcterms:W3CDTF">2019-03-07T09:31:00Z</dcterms:created>
  <dcterms:modified xsi:type="dcterms:W3CDTF">2019-03-07T09:31:00Z</dcterms:modified>
</cp:coreProperties>
</file>