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Pr="009C639C" w:rsidRDefault="00AC4D9F" w:rsidP="007F54DC">
      <w:pPr>
        <w:pStyle w:val="OZNRODZAKTUtznustawalubrozporzdzenieiorganwydajcy"/>
        <w:spacing w:after="240"/>
        <w:rPr>
          <w:rFonts w:ascii="Arial" w:hAnsi="Arial" w:cs="Arial"/>
        </w:rPr>
      </w:pPr>
      <w:bookmarkStart w:id="0" w:name="_GoBack"/>
      <w:bookmarkEnd w:id="0"/>
      <w:r w:rsidRPr="009C639C">
        <w:rPr>
          <w:rFonts w:ascii="Arial" w:hAnsi="Arial" w:cs="Arial"/>
        </w:rPr>
        <w:t>Uzasadnienie</w:t>
      </w:r>
    </w:p>
    <w:p w:rsidR="00AC4D9F" w:rsidRPr="009C639C" w:rsidRDefault="00AC4D9F" w:rsidP="007F54DC">
      <w:pPr>
        <w:pStyle w:val="NIEARTTEKSTtekstnieartykuowanynppodstprawnarozplubpreambua"/>
        <w:spacing w:before="0" w:after="240"/>
        <w:rPr>
          <w:rFonts w:ascii="Arial" w:hAnsi="Arial"/>
          <w:szCs w:val="24"/>
        </w:rPr>
      </w:pPr>
    </w:p>
    <w:p w:rsidR="00AC4D9F" w:rsidRPr="009C639C" w:rsidRDefault="00AC4D9F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9C639C">
        <w:rPr>
          <w:rStyle w:val="Ppogrubienie"/>
          <w:rFonts w:ascii="Arial" w:hAnsi="Arial"/>
          <w:szCs w:val="24"/>
        </w:rPr>
        <w:t>1.</w:t>
      </w:r>
      <w:r w:rsidRPr="009C639C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Pr="009C639C" w:rsidRDefault="00993AAA" w:rsidP="007F54DC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639C">
        <w:rPr>
          <w:rFonts w:ascii="Arial" w:hAnsi="Arial"/>
          <w:sz w:val="24"/>
          <w:szCs w:val="24"/>
        </w:rPr>
        <w:t>Projektowana ustawa jest reakcją Komisji do Spraw Petycji</w:t>
      </w:r>
      <w:r w:rsidR="00471182" w:rsidRPr="009C639C">
        <w:rPr>
          <w:rFonts w:ascii="Arial" w:hAnsi="Arial"/>
          <w:sz w:val="24"/>
          <w:szCs w:val="24"/>
        </w:rPr>
        <w:t xml:space="preserve"> Sejmu RP</w:t>
      </w:r>
      <w:r w:rsidRPr="009C639C">
        <w:rPr>
          <w:rFonts w:ascii="Arial" w:hAnsi="Arial"/>
          <w:sz w:val="24"/>
          <w:szCs w:val="24"/>
        </w:rPr>
        <w:t xml:space="preserve"> na petycję skierowaną do Sejmu RP</w:t>
      </w:r>
      <w:r w:rsidR="00EC4F74" w:rsidRPr="009C639C">
        <w:rPr>
          <w:rFonts w:ascii="Arial" w:hAnsi="Arial"/>
          <w:sz w:val="24"/>
          <w:szCs w:val="24"/>
        </w:rPr>
        <w:t xml:space="preserve"> przez </w:t>
      </w:r>
      <w:r w:rsidR="00107E5E" w:rsidRPr="009C639C">
        <w:rPr>
          <w:rFonts w:ascii="Arial" w:hAnsi="Arial"/>
          <w:sz w:val="24"/>
          <w:szCs w:val="24"/>
        </w:rPr>
        <w:t xml:space="preserve">Pana </w:t>
      </w:r>
      <w:r w:rsidR="00173A47" w:rsidRPr="009C639C">
        <w:rPr>
          <w:rFonts w:ascii="Arial" w:hAnsi="Arial"/>
          <w:sz w:val="24"/>
          <w:szCs w:val="24"/>
        </w:rPr>
        <w:t>Sebastiana Adamowicza</w:t>
      </w:r>
      <w:r w:rsidR="00107E5E" w:rsidRPr="009C639C">
        <w:rPr>
          <w:rFonts w:ascii="Arial" w:hAnsi="Arial"/>
          <w:sz w:val="24"/>
          <w:szCs w:val="24"/>
        </w:rPr>
        <w:t xml:space="preserve"> – którą komisja uznała za zasadną</w:t>
      </w:r>
      <w:r w:rsidRPr="009C639C">
        <w:rPr>
          <w:rFonts w:ascii="Arial" w:hAnsi="Arial" w:cs="Arial"/>
          <w:sz w:val="24"/>
          <w:szCs w:val="24"/>
        </w:rPr>
        <w:t>.</w:t>
      </w:r>
    </w:p>
    <w:p w:rsidR="00AE0E0E" w:rsidRPr="009C639C" w:rsidRDefault="00AE0E0E" w:rsidP="007F54DC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639C">
        <w:rPr>
          <w:rFonts w:ascii="Arial" w:hAnsi="Arial" w:cs="Arial"/>
          <w:sz w:val="24"/>
          <w:szCs w:val="24"/>
        </w:rPr>
        <w:t>Celem ustawy jest dokonanie drobnych zmian w dwóch ustawach, dostosowujących występującą w nich terminologię do aktualnego stanu prawnego</w:t>
      </w:r>
      <w:r w:rsidR="003F15EF">
        <w:rPr>
          <w:rFonts w:ascii="Arial" w:hAnsi="Arial" w:cs="Arial"/>
          <w:sz w:val="24"/>
          <w:szCs w:val="24"/>
        </w:rPr>
        <w:t>,</w:t>
      </w:r>
      <w:r w:rsidR="009908B7">
        <w:rPr>
          <w:rFonts w:ascii="Arial" w:hAnsi="Arial" w:cs="Arial"/>
          <w:sz w:val="24"/>
          <w:szCs w:val="24"/>
        </w:rPr>
        <w:t xml:space="preserve">  a </w:t>
      </w:r>
      <w:r w:rsidRPr="009C639C">
        <w:rPr>
          <w:rFonts w:ascii="Arial" w:hAnsi="Arial" w:cs="Arial"/>
          <w:sz w:val="24"/>
          <w:szCs w:val="24"/>
        </w:rPr>
        <w:t>w przypadku ustawy o Rzeczniku Praw Obywatelskich także zapewnienie pełnej spójności zmienianego przepisu z innymi ustawami. Wprowadzenie tych zmian ułatwi adresatom nowelizowanych aktów prawnych ich zroz</w:t>
      </w:r>
      <w:r w:rsidR="009908B7">
        <w:rPr>
          <w:rFonts w:ascii="Arial" w:hAnsi="Arial" w:cs="Arial"/>
          <w:sz w:val="24"/>
          <w:szCs w:val="24"/>
        </w:rPr>
        <w:t>umienie i właściwe stosowanie w </w:t>
      </w:r>
      <w:r w:rsidRPr="009C639C">
        <w:rPr>
          <w:rFonts w:ascii="Arial" w:hAnsi="Arial" w:cs="Arial"/>
          <w:sz w:val="24"/>
          <w:szCs w:val="24"/>
        </w:rPr>
        <w:t>obecnym otoczeniu normatywnym.</w:t>
      </w:r>
    </w:p>
    <w:p w:rsidR="00AC4D9F" w:rsidRPr="009C639C" w:rsidRDefault="00AC4D9F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9C639C">
        <w:rPr>
          <w:rStyle w:val="Ppogrubienie"/>
          <w:rFonts w:ascii="Arial" w:hAnsi="Arial"/>
          <w:szCs w:val="24"/>
        </w:rPr>
        <w:t>2.</w:t>
      </w:r>
      <w:r w:rsidRPr="009C639C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3E76C0" w:rsidRPr="009C639C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232608" w:rsidRPr="009C639C" w:rsidRDefault="00E73097" w:rsidP="009251D6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639C">
        <w:rPr>
          <w:rFonts w:ascii="Arial" w:hAnsi="Arial" w:cs="Arial"/>
          <w:sz w:val="24"/>
          <w:szCs w:val="24"/>
        </w:rPr>
        <w:t>Zgodnie z aktualnym brzmieniem art. 14 pkt 8 u</w:t>
      </w:r>
      <w:r w:rsidR="009908B7">
        <w:rPr>
          <w:rFonts w:ascii="Arial" w:hAnsi="Arial" w:cs="Arial"/>
          <w:sz w:val="24"/>
          <w:szCs w:val="24"/>
        </w:rPr>
        <w:t>stawy z dnia 15 lipca 1987 r. o </w:t>
      </w:r>
      <w:r w:rsidRPr="009C639C">
        <w:rPr>
          <w:rFonts w:ascii="Arial" w:hAnsi="Arial" w:cs="Arial"/>
          <w:sz w:val="24"/>
          <w:szCs w:val="24"/>
        </w:rPr>
        <w:t>Rzeczniku Praw Obywatelskich (Dz. U. z 2018 r. poz. 1749) Rzecznik Praw Obywatelskich może wnieść „kasację lub rewizje nadzwyczajną”. W kontekście tego przepisu są to terminy niewłaściwe, nieaktualne. I</w:t>
      </w:r>
      <w:r w:rsidR="009908B7">
        <w:rPr>
          <w:rFonts w:ascii="Arial" w:hAnsi="Arial" w:cs="Arial"/>
          <w:sz w:val="24"/>
          <w:szCs w:val="24"/>
        </w:rPr>
        <w:t>dentyczna sytuacja ma miejsce w art. </w:t>
      </w:r>
      <w:r w:rsidR="00AE0E0E" w:rsidRPr="009C639C">
        <w:rPr>
          <w:rFonts w:ascii="Arial" w:hAnsi="Arial" w:cs="Arial"/>
          <w:sz w:val="24"/>
          <w:szCs w:val="24"/>
        </w:rPr>
        <w:t>22 ustawy z dnia 27 czerwca 1997 r. o partiach politycznych (Dz. U. z 2018 r. poz. 580)</w:t>
      </w:r>
      <w:r w:rsidRPr="009C639C">
        <w:rPr>
          <w:rFonts w:ascii="Arial" w:hAnsi="Arial" w:cs="Arial"/>
          <w:sz w:val="24"/>
          <w:szCs w:val="24"/>
        </w:rPr>
        <w:t>, w którym</w:t>
      </w:r>
      <w:r w:rsidR="00AE0E0E" w:rsidRPr="009C639C">
        <w:rPr>
          <w:rFonts w:ascii="Arial" w:hAnsi="Arial" w:cs="Arial"/>
          <w:sz w:val="24"/>
          <w:szCs w:val="24"/>
        </w:rPr>
        <w:t xml:space="preserve"> </w:t>
      </w:r>
      <w:r w:rsidRPr="009C639C">
        <w:rPr>
          <w:rFonts w:ascii="Arial" w:hAnsi="Arial" w:cs="Arial"/>
          <w:sz w:val="24"/>
          <w:szCs w:val="24"/>
        </w:rPr>
        <w:t xml:space="preserve">także </w:t>
      </w:r>
      <w:r w:rsidR="00AE0E0E" w:rsidRPr="009C639C">
        <w:rPr>
          <w:rFonts w:ascii="Arial" w:hAnsi="Arial" w:cs="Arial"/>
          <w:sz w:val="24"/>
          <w:szCs w:val="24"/>
        </w:rPr>
        <w:t xml:space="preserve">występuje </w:t>
      </w:r>
      <w:r w:rsidR="00F64EF2" w:rsidRPr="009C639C">
        <w:rPr>
          <w:rFonts w:ascii="Arial" w:hAnsi="Arial" w:cs="Arial"/>
          <w:sz w:val="24"/>
          <w:szCs w:val="24"/>
        </w:rPr>
        <w:t xml:space="preserve">termin „kasacja”. </w:t>
      </w:r>
    </w:p>
    <w:p w:rsidR="00197868" w:rsidRPr="009C639C" w:rsidRDefault="00197868" w:rsidP="009251D6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639C">
        <w:rPr>
          <w:rFonts w:ascii="Arial" w:hAnsi="Arial" w:cs="Arial"/>
          <w:sz w:val="24"/>
          <w:szCs w:val="24"/>
        </w:rPr>
        <w:t>Wynika to z faktu, że r</w:t>
      </w:r>
      <w:r w:rsidR="00E73097" w:rsidRPr="009C639C">
        <w:rPr>
          <w:rFonts w:ascii="Arial" w:hAnsi="Arial" w:cs="Arial"/>
          <w:sz w:val="24"/>
          <w:szCs w:val="24"/>
        </w:rPr>
        <w:t>efor</w:t>
      </w:r>
      <w:r w:rsidR="00D17565" w:rsidRPr="009C639C">
        <w:rPr>
          <w:rFonts w:ascii="Arial" w:hAnsi="Arial" w:cs="Arial"/>
          <w:sz w:val="24"/>
          <w:szCs w:val="24"/>
        </w:rPr>
        <w:t>m</w:t>
      </w:r>
      <w:r w:rsidR="00E73097" w:rsidRPr="009C639C">
        <w:rPr>
          <w:rFonts w:ascii="Arial" w:hAnsi="Arial" w:cs="Arial"/>
          <w:sz w:val="24"/>
          <w:szCs w:val="24"/>
        </w:rPr>
        <w:t>a</w:t>
      </w:r>
      <w:r w:rsidR="00D17565" w:rsidRPr="009C639C">
        <w:rPr>
          <w:rFonts w:ascii="Arial" w:hAnsi="Arial" w:cs="Arial"/>
          <w:sz w:val="24"/>
          <w:szCs w:val="24"/>
        </w:rPr>
        <w:t xml:space="preserve"> </w:t>
      </w:r>
      <w:r w:rsidR="00E73097" w:rsidRPr="009C639C">
        <w:rPr>
          <w:rFonts w:ascii="Arial" w:hAnsi="Arial" w:cs="Arial"/>
          <w:sz w:val="24"/>
          <w:szCs w:val="24"/>
        </w:rPr>
        <w:t xml:space="preserve">kodeksu postępowania karnego </w:t>
      </w:r>
      <w:r w:rsidR="00D17565" w:rsidRPr="009C639C">
        <w:rPr>
          <w:rFonts w:ascii="Arial" w:hAnsi="Arial" w:cs="Arial"/>
          <w:sz w:val="24"/>
          <w:szCs w:val="24"/>
        </w:rPr>
        <w:t>z 1969</w:t>
      </w:r>
      <w:r w:rsidR="003F15EF">
        <w:rPr>
          <w:rFonts w:ascii="Arial" w:hAnsi="Arial" w:cs="Arial"/>
          <w:sz w:val="24"/>
          <w:szCs w:val="24"/>
        </w:rPr>
        <w:t xml:space="preserve"> </w:t>
      </w:r>
      <w:r w:rsidR="00D17565" w:rsidRPr="009C639C">
        <w:rPr>
          <w:rFonts w:ascii="Arial" w:hAnsi="Arial" w:cs="Arial"/>
          <w:sz w:val="24"/>
          <w:szCs w:val="24"/>
        </w:rPr>
        <w:t>r.</w:t>
      </w:r>
      <w:r w:rsidR="00B97804">
        <w:rPr>
          <w:rFonts w:ascii="Arial" w:hAnsi="Arial" w:cs="Arial"/>
          <w:sz w:val="24"/>
          <w:szCs w:val="24"/>
        </w:rPr>
        <w:t>,</w:t>
      </w:r>
      <w:r w:rsidR="00D17565" w:rsidRPr="009C639C">
        <w:rPr>
          <w:rFonts w:ascii="Arial" w:hAnsi="Arial" w:cs="Arial"/>
          <w:sz w:val="24"/>
          <w:szCs w:val="24"/>
        </w:rPr>
        <w:t xml:space="preserve"> dokonana w 1995r.</w:t>
      </w:r>
      <w:r w:rsidR="00B97804">
        <w:rPr>
          <w:rFonts w:ascii="Arial" w:hAnsi="Arial" w:cs="Arial"/>
          <w:sz w:val="24"/>
          <w:szCs w:val="24"/>
        </w:rPr>
        <w:t>,</w:t>
      </w:r>
      <w:r w:rsidR="00D17565" w:rsidRPr="009C639C">
        <w:rPr>
          <w:rFonts w:ascii="Arial" w:hAnsi="Arial" w:cs="Arial"/>
          <w:sz w:val="24"/>
          <w:szCs w:val="24"/>
        </w:rPr>
        <w:t xml:space="preserve"> zastąpiła rewizję nadzwyczajną kasacją</w:t>
      </w:r>
      <w:r w:rsidRPr="009C639C">
        <w:rPr>
          <w:rFonts w:ascii="Arial" w:hAnsi="Arial" w:cs="Arial"/>
          <w:sz w:val="24"/>
          <w:szCs w:val="24"/>
        </w:rPr>
        <w:t>, która także występuje w</w:t>
      </w:r>
      <w:r w:rsidR="009908B7">
        <w:rPr>
          <w:rFonts w:ascii="Arial" w:hAnsi="Arial" w:cs="Arial"/>
          <w:sz w:val="24"/>
          <w:szCs w:val="24"/>
        </w:rPr>
        <w:t> </w:t>
      </w:r>
      <w:r w:rsidR="00D17565" w:rsidRPr="009C639C">
        <w:rPr>
          <w:rFonts w:ascii="Arial" w:hAnsi="Arial" w:cs="Arial"/>
          <w:sz w:val="24"/>
          <w:szCs w:val="24"/>
        </w:rPr>
        <w:t>ustaw</w:t>
      </w:r>
      <w:r w:rsidRPr="009C639C">
        <w:rPr>
          <w:rFonts w:ascii="Arial" w:hAnsi="Arial" w:cs="Arial"/>
          <w:sz w:val="24"/>
          <w:szCs w:val="24"/>
        </w:rPr>
        <w:t>ie</w:t>
      </w:r>
      <w:r w:rsidR="00D17565" w:rsidRPr="009C639C">
        <w:rPr>
          <w:rFonts w:ascii="Arial" w:hAnsi="Arial" w:cs="Arial"/>
          <w:sz w:val="24"/>
          <w:szCs w:val="24"/>
        </w:rPr>
        <w:t xml:space="preserve"> z dnia 6 czerwca 1997 r. </w:t>
      </w:r>
      <w:r w:rsidR="003F15EF">
        <w:rPr>
          <w:rFonts w:ascii="Arial" w:hAnsi="Arial" w:cs="Arial"/>
          <w:sz w:val="24"/>
          <w:szCs w:val="24"/>
        </w:rPr>
        <w:t>- K</w:t>
      </w:r>
      <w:r w:rsidR="00D17565" w:rsidRPr="009C639C">
        <w:rPr>
          <w:rFonts w:ascii="Arial" w:hAnsi="Arial" w:cs="Arial"/>
          <w:sz w:val="24"/>
          <w:szCs w:val="24"/>
        </w:rPr>
        <w:t>odeks postępowania karnego (Dz. U. z 2018</w:t>
      </w:r>
      <w:r w:rsidR="003F15EF">
        <w:rPr>
          <w:rFonts w:ascii="Arial" w:hAnsi="Arial" w:cs="Arial"/>
          <w:sz w:val="24"/>
          <w:szCs w:val="24"/>
        </w:rPr>
        <w:t xml:space="preserve"> </w:t>
      </w:r>
      <w:r w:rsidR="00D17565" w:rsidRPr="009C639C">
        <w:rPr>
          <w:rFonts w:ascii="Arial" w:hAnsi="Arial" w:cs="Arial"/>
          <w:sz w:val="24"/>
          <w:szCs w:val="24"/>
        </w:rPr>
        <w:t>r. poz. 1987)</w:t>
      </w:r>
      <w:r w:rsidRPr="009C639C">
        <w:rPr>
          <w:rFonts w:ascii="Arial" w:hAnsi="Arial" w:cs="Arial"/>
          <w:sz w:val="24"/>
          <w:szCs w:val="24"/>
        </w:rPr>
        <w:t xml:space="preserve"> a u</w:t>
      </w:r>
      <w:r w:rsidR="00E73097" w:rsidRPr="009C639C">
        <w:rPr>
          <w:rFonts w:ascii="Arial" w:hAnsi="Arial" w:cs="Arial"/>
          <w:sz w:val="24"/>
          <w:szCs w:val="24"/>
        </w:rPr>
        <w:t>stawa z dnia 22 grudnia 2004r. o zmianie ustawy</w:t>
      </w:r>
      <w:r w:rsidR="003F15EF">
        <w:rPr>
          <w:rFonts w:ascii="Arial" w:hAnsi="Arial" w:cs="Arial"/>
          <w:sz w:val="24"/>
          <w:szCs w:val="24"/>
        </w:rPr>
        <w:t xml:space="preserve"> -</w:t>
      </w:r>
      <w:r w:rsidR="00E73097" w:rsidRPr="009C639C">
        <w:rPr>
          <w:rFonts w:ascii="Arial" w:hAnsi="Arial" w:cs="Arial"/>
          <w:sz w:val="24"/>
          <w:szCs w:val="24"/>
        </w:rPr>
        <w:t>Kodeks postępowania cywilnego oraz ustawy – Prawo o ustroju sądów powszechnych (Dz. U. z 2005r. Nr 13, poz. 98) zastąpiła kasację nadzwyczajnym środkiem odwoławczym określonym jako „skarga kasacyjna”</w:t>
      </w:r>
      <w:r w:rsidRPr="009C639C">
        <w:rPr>
          <w:rFonts w:ascii="Arial" w:hAnsi="Arial" w:cs="Arial"/>
          <w:sz w:val="24"/>
          <w:szCs w:val="24"/>
        </w:rPr>
        <w:t>.</w:t>
      </w:r>
    </w:p>
    <w:p w:rsidR="003E76C0" w:rsidRPr="009C639C" w:rsidRDefault="003E76C0" w:rsidP="009251D6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639C">
        <w:rPr>
          <w:rFonts w:ascii="Arial" w:hAnsi="Arial" w:cs="Arial"/>
          <w:sz w:val="24"/>
          <w:szCs w:val="24"/>
        </w:rPr>
        <w:lastRenderedPageBreak/>
        <w:t>Zgodnie z propozycja zawartą w projektowanej ustawie wyrażenie: „kasację lub rewizj</w:t>
      </w:r>
      <w:r w:rsidR="00B97804">
        <w:rPr>
          <w:rFonts w:ascii="Arial" w:hAnsi="Arial" w:cs="Arial"/>
          <w:sz w:val="24"/>
          <w:szCs w:val="24"/>
        </w:rPr>
        <w:t>ę</w:t>
      </w:r>
      <w:r w:rsidRPr="009C639C">
        <w:rPr>
          <w:rFonts w:ascii="Arial" w:hAnsi="Arial" w:cs="Arial"/>
          <w:sz w:val="24"/>
          <w:szCs w:val="24"/>
        </w:rPr>
        <w:t xml:space="preserve"> nadzwyczajną” zostałoby zastąpione wyrażeniem </w:t>
      </w:r>
      <w:r w:rsidR="0030711F" w:rsidRPr="009C639C">
        <w:rPr>
          <w:rFonts w:ascii="Arial" w:hAnsi="Arial" w:cs="Arial"/>
          <w:sz w:val="24"/>
          <w:szCs w:val="24"/>
        </w:rPr>
        <w:t xml:space="preserve">„skargę kasacyjną, kasację” </w:t>
      </w:r>
      <w:r w:rsidR="00B97804">
        <w:rPr>
          <w:rFonts w:ascii="Arial" w:hAnsi="Arial" w:cs="Arial"/>
          <w:sz w:val="24"/>
          <w:szCs w:val="24"/>
        </w:rPr>
        <w:t xml:space="preserve">co jest </w:t>
      </w:r>
      <w:r w:rsidRPr="009C639C">
        <w:rPr>
          <w:rFonts w:ascii="Arial" w:hAnsi="Arial" w:cs="Arial"/>
          <w:sz w:val="24"/>
          <w:szCs w:val="24"/>
        </w:rPr>
        <w:t>adekwatn</w:t>
      </w:r>
      <w:r w:rsidR="00B97804">
        <w:rPr>
          <w:rFonts w:ascii="Arial" w:hAnsi="Arial" w:cs="Arial"/>
          <w:sz w:val="24"/>
          <w:szCs w:val="24"/>
        </w:rPr>
        <w:t>e</w:t>
      </w:r>
      <w:r w:rsidRPr="009C639C">
        <w:rPr>
          <w:rFonts w:ascii="Arial" w:hAnsi="Arial" w:cs="Arial"/>
          <w:sz w:val="24"/>
          <w:szCs w:val="24"/>
        </w:rPr>
        <w:t xml:space="preserve"> do aktualnego stanu prawnego.</w:t>
      </w:r>
    </w:p>
    <w:p w:rsidR="00E73097" w:rsidRPr="009C639C" w:rsidRDefault="00197868" w:rsidP="009251D6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639C">
        <w:rPr>
          <w:rFonts w:ascii="Arial" w:hAnsi="Arial" w:cs="Arial"/>
          <w:sz w:val="24"/>
          <w:szCs w:val="24"/>
        </w:rPr>
        <w:t>Ponadto katalog środków przysługujących Rzecznikowi Praw Obywatelskich na podstawie odrębnych ustaw, wymieniony w art. 14 pkt 8</w:t>
      </w:r>
      <w:r w:rsidR="00B97804">
        <w:rPr>
          <w:rFonts w:ascii="Arial" w:hAnsi="Arial" w:cs="Arial"/>
          <w:sz w:val="24"/>
          <w:szCs w:val="24"/>
        </w:rPr>
        <w:t>,</w:t>
      </w:r>
      <w:r w:rsidRPr="009C639C">
        <w:rPr>
          <w:rFonts w:ascii="Arial" w:hAnsi="Arial" w:cs="Arial"/>
          <w:sz w:val="24"/>
          <w:szCs w:val="24"/>
        </w:rPr>
        <w:t xml:space="preserve"> jest niepełny i nie uwzględnia możliwości wniesienia skargi nadzwyczajnej (na podstawie art. 89 § </w:t>
      </w:r>
      <w:r w:rsidR="003E76C0" w:rsidRPr="009C639C">
        <w:rPr>
          <w:rFonts w:ascii="Arial" w:hAnsi="Arial" w:cs="Arial"/>
          <w:sz w:val="24"/>
          <w:szCs w:val="24"/>
        </w:rPr>
        <w:t>2</w:t>
      </w:r>
      <w:r w:rsidR="009908B7">
        <w:rPr>
          <w:rFonts w:ascii="Arial" w:hAnsi="Arial" w:cs="Arial"/>
          <w:sz w:val="24"/>
          <w:szCs w:val="24"/>
        </w:rPr>
        <w:t xml:space="preserve"> ustawy z dnia 8 </w:t>
      </w:r>
      <w:r w:rsidRPr="009C639C">
        <w:rPr>
          <w:rFonts w:ascii="Arial" w:hAnsi="Arial" w:cs="Arial"/>
          <w:sz w:val="24"/>
          <w:szCs w:val="24"/>
        </w:rPr>
        <w:t xml:space="preserve">grudnia 2017 r. o Sądzie Najwyższym) </w:t>
      </w:r>
      <w:r w:rsidR="003E76C0" w:rsidRPr="009C639C">
        <w:rPr>
          <w:rFonts w:ascii="Arial" w:hAnsi="Arial" w:cs="Arial"/>
          <w:sz w:val="24"/>
          <w:szCs w:val="24"/>
        </w:rPr>
        <w:t>oraz skarg</w:t>
      </w:r>
      <w:r w:rsidR="009908B7">
        <w:rPr>
          <w:rFonts w:ascii="Arial" w:hAnsi="Arial" w:cs="Arial"/>
          <w:sz w:val="24"/>
          <w:szCs w:val="24"/>
        </w:rPr>
        <w:t>i o stwierdzenie niezgodności z </w:t>
      </w:r>
      <w:r w:rsidR="003E76C0" w:rsidRPr="009C639C">
        <w:rPr>
          <w:rFonts w:ascii="Arial" w:hAnsi="Arial" w:cs="Arial"/>
          <w:sz w:val="24"/>
          <w:szCs w:val="24"/>
        </w:rPr>
        <w:t>prawem prawomocnego orzeczenia (</w:t>
      </w:r>
      <w:r w:rsidR="003F15EF">
        <w:rPr>
          <w:rFonts w:ascii="Arial" w:hAnsi="Arial" w:cs="Arial"/>
          <w:sz w:val="24"/>
          <w:szCs w:val="24"/>
        </w:rPr>
        <w:t xml:space="preserve">na podstawie </w:t>
      </w:r>
      <w:r w:rsidR="003E76C0" w:rsidRPr="009C639C">
        <w:rPr>
          <w:rFonts w:ascii="Arial" w:hAnsi="Arial" w:cs="Arial"/>
          <w:sz w:val="24"/>
          <w:szCs w:val="24"/>
        </w:rPr>
        <w:t>art. 424</w:t>
      </w:r>
      <w:r w:rsidR="003E76C0" w:rsidRPr="009C639C">
        <w:rPr>
          <w:rFonts w:ascii="Arial" w:hAnsi="Arial" w:cs="Arial"/>
          <w:sz w:val="24"/>
          <w:szCs w:val="24"/>
          <w:vertAlign w:val="superscript"/>
        </w:rPr>
        <w:t>2</w:t>
      </w:r>
      <w:r w:rsidR="009908B7">
        <w:rPr>
          <w:rFonts w:ascii="Arial" w:hAnsi="Arial" w:cs="Arial"/>
          <w:sz w:val="24"/>
          <w:szCs w:val="24"/>
        </w:rPr>
        <w:t xml:space="preserve"> ustawy z dnia 17 </w:t>
      </w:r>
      <w:r w:rsidR="003E76C0" w:rsidRPr="009C639C">
        <w:rPr>
          <w:rFonts w:ascii="Arial" w:hAnsi="Arial" w:cs="Arial"/>
          <w:sz w:val="24"/>
          <w:szCs w:val="24"/>
        </w:rPr>
        <w:t>listopada 1964 r.</w:t>
      </w:r>
      <w:r w:rsidR="003F15EF">
        <w:rPr>
          <w:rFonts w:ascii="Arial" w:hAnsi="Arial" w:cs="Arial"/>
          <w:sz w:val="24"/>
          <w:szCs w:val="24"/>
        </w:rPr>
        <w:t xml:space="preserve"> –</w:t>
      </w:r>
      <w:r w:rsidR="003E76C0" w:rsidRPr="009C639C">
        <w:rPr>
          <w:rFonts w:ascii="Arial" w:hAnsi="Arial" w:cs="Arial"/>
          <w:sz w:val="24"/>
          <w:szCs w:val="24"/>
        </w:rPr>
        <w:t xml:space="preserve"> Kodeks postępowania cywilnego).</w:t>
      </w:r>
    </w:p>
    <w:p w:rsidR="0030711F" w:rsidRPr="009C639C" w:rsidRDefault="0030711F" w:rsidP="009251D6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Arial" w:hAnsi="Arial"/>
          <w:sz w:val="24"/>
          <w:szCs w:val="24"/>
        </w:rPr>
      </w:pPr>
      <w:r w:rsidRPr="009C639C">
        <w:rPr>
          <w:rFonts w:ascii="Arial" w:hAnsi="Arial" w:cs="Arial"/>
          <w:sz w:val="24"/>
          <w:szCs w:val="24"/>
        </w:rPr>
        <w:t>Projektowana ustawa zawiera propozycje uzupełnienia katalogu środków przysługujących Rzecznikowi, wymienionego w art. 14 pkt 8 ustawy</w:t>
      </w:r>
      <w:r w:rsidR="00B97804">
        <w:rPr>
          <w:rFonts w:ascii="Arial" w:hAnsi="Arial" w:cs="Arial"/>
          <w:sz w:val="24"/>
          <w:szCs w:val="24"/>
        </w:rPr>
        <w:t>,</w:t>
      </w:r>
      <w:r w:rsidRPr="009C639C">
        <w:rPr>
          <w:rFonts w:ascii="Arial" w:hAnsi="Arial" w:cs="Arial"/>
          <w:sz w:val="24"/>
          <w:szCs w:val="24"/>
        </w:rPr>
        <w:t xml:space="preserve">  o te dwa środki</w:t>
      </w:r>
      <w:r w:rsidR="003F15EF">
        <w:rPr>
          <w:rFonts w:ascii="Arial" w:hAnsi="Arial" w:cs="Arial"/>
          <w:sz w:val="24"/>
          <w:szCs w:val="24"/>
        </w:rPr>
        <w:t>.</w:t>
      </w:r>
    </w:p>
    <w:p w:rsidR="007F54DC" w:rsidRPr="009C639C" w:rsidRDefault="003E76C0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9C639C">
        <w:rPr>
          <w:rStyle w:val="Ppogrubienie"/>
          <w:rFonts w:ascii="Arial" w:hAnsi="Arial"/>
          <w:szCs w:val="24"/>
        </w:rPr>
        <w:t>3</w:t>
      </w:r>
      <w:r w:rsidR="00AC4D9F" w:rsidRPr="009C639C">
        <w:rPr>
          <w:rStyle w:val="Ppogrubienie"/>
          <w:rFonts w:ascii="Arial" w:hAnsi="Arial"/>
          <w:szCs w:val="24"/>
        </w:rPr>
        <w:t>.</w:t>
      </w:r>
      <w:r w:rsidR="00AC4D9F" w:rsidRPr="009C639C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30711F" w:rsidRPr="009C639C" w:rsidRDefault="0030711F" w:rsidP="0030711F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9C639C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Zasadniczym skutkiem społecznym i prawnym projektowanej ustawy będzie poprawa spójności i przejrzystości systemu prawnego.</w:t>
      </w:r>
    </w:p>
    <w:p w:rsidR="0030711F" w:rsidRPr="009C639C" w:rsidRDefault="0030711F" w:rsidP="0030711F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9C639C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Ze względu na swój charakter i ograniczony zasięg ustawa nie wywoła skutków gospodarczych, jak również skutków finansowych</w:t>
      </w:r>
      <w:r w:rsidR="009F4F3B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.</w:t>
      </w:r>
      <w:r w:rsidRPr="009C639C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</w:t>
      </w:r>
    </w:p>
    <w:p w:rsidR="00C075B0" w:rsidRPr="009C639C" w:rsidRDefault="00C075B0" w:rsidP="007F54DC">
      <w:pPr>
        <w:pStyle w:val="PKTpunkt"/>
        <w:spacing w:after="240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:rsidR="00AC4D9F" w:rsidRPr="009C639C" w:rsidRDefault="00B97804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>4</w:t>
      </w:r>
      <w:r w:rsidR="00AC4D9F" w:rsidRPr="009C639C">
        <w:rPr>
          <w:rStyle w:val="Ppogrubienie"/>
          <w:rFonts w:ascii="Arial" w:hAnsi="Arial"/>
          <w:szCs w:val="24"/>
        </w:rPr>
        <w:t>.</w:t>
      </w:r>
      <w:r w:rsidR="00AC4D9F" w:rsidRPr="009C639C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880849" w:rsidRPr="009C639C" w:rsidRDefault="00AC4D9F" w:rsidP="007F54DC">
      <w:pPr>
        <w:pStyle w:val="NIEARTTEKSTtekstnieartykuowanynppodstprawnarozplubpreambua"/>
        <w:spacing w:before="0" w:after="240"/>
        <w:ind w:firstLine="708"/>
        <w:rPr>
          <w:rFonts w:ascii="Arial" w:hAnsi="Arial"/>
          <w:szCs w:val="24"/>
        </w:rPr>
      </w:pPr>
      <w:r w:rsidRPr="009C639C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6E8" w:rsidRDefault="00D066E8">
      <w:r>
        <w:separator/>
      </w:r>
    </w:p>
  </w:endnote>
  <w:endnote w:type="continuationSeparator" w:id="0">
    <w:p w:rsidR="00D066E8" w:rsidRDefault="00D06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6E8" w:rsidRDefault="00D066E8">
      <w:r>
        <w:separator/>
      </w:r>
    </w:p>
  </w:footnote>
  <w:footnote w:type="continuationSeparator" w:id="0">
    <w:p w:rsidR="00D066E8" w:rsidRDefault="00D06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7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0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10"/>
  </w:num>
  <w:num w:numId="6">
    <w:abstractNumId w:val="11"/>
  </w:num>
  <w:num w:numId="7">
    <w:abstractNumId w:val="2"/>
  </w:num>
  <w:num w:numId="8">
    <w:abstractNumId w:val="1"/>
  </w:num>
  <w:num w:numId="9">
    <w:abstractNumId w:val="8"/>
  </w:num>
  <w:num w:numId="10">
    <w:abstractNumId w:val="4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3E8E"/>
    <w:rsid w:val="00007C8F"/>
    <w:rsid w:val="000154E2"/>
    <w:rsid w:val="00024B86"/>
    <w:rsid w:val="000345E4"/>
    <w:rsid w:val="000621D8"/>
    <w:rsid w:val="00071599"/>
    <w:rsid w:val="00084E72"/>
    <w:rsid w:val="00092C61"/>
    <w:rsid w:val="00102575"/>
    <w:rsid w:val="00107E5E"/>
    <w:rsid w:val="00124393"/>
    <w:rsid w:val="001349F8"/>
    <w:rsid w:val="00135443"/>
    <w:rsid w:val="00135EA2"/>
    <w:rsid w:val="001456ED"/>
    <w:rsid w:val="00152762"/>
    <w:rsid w:val="00162ADB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14C3C"/>
    <w:rsid w:val="00221AAA"/>
    <w:rsid w:val="00223C94"/>
    <w:rsid w:val="00226DC4"/>
    <w:rsid w:val="0022710F"/>
    <w:rsid w:val="00232608"/>
    <w:rsid w:val="00241424"/>
    <w:rsid w:val="002E488E"/>
    <w:rsid w:val="002F06C5"/>
    <w:rsid w:val="002F0F13"/>
    <w:rsid w:val="002F5C5F"/>
    <w:rsid w:val="003031C3"/>
    <w:rsid w:val="00304911"/>
    <w:rsid w:val="0030711F"/>
    <w:rsid w:val="00314D3C"/>
    <w:rsid w:val="00360277"/>
    <w:rsid w:val="00374EC0"/>
    <w:rsid w:val="00392D86"/>
    <w:rsid w:val="0039424C"/>
    <w:rsid w:val="0039704C"/>
    <w:rsid w:val="003B2B6C"/>
    <w:rsid w:val="003E1257"/>
    <w:rsid w:val="003E76C0"/>
    <w:rsid w:val="003F15EF"/>
    <w:rsid w:val="003F1CF4"/>
    <w:rsid w:val="003F4825"/>
    <w:rsid w:val="004178D0"/>
    <w:rsid w:val="0042347B"/>
    <w:rsid w:val="00445511"/>
    <w:rsid w:val="004572A2"/>
    <w:rsid w:val="00460431"/>
    <w:rsid w:val="00467FA8"/>
    <w:rsid w:val="00471182"/>
    <w:rsid w:val="004732F7"/>
    <w:rsid w:val="00476B19"/>
    <w:rsid w:val="00486C59"/>
    <w:rsid w:val="004A285E"/>
    <w:rsid w:val="004D348B"/>
    <w:rsid w:val="00510D43"/>
    <w:rsid w:val="00521B93"/>
    <w:rsid w:val="00532AAA"/>
    <w:rsid w:val="00535A03"/>
    <w:rsid w:val="005420EE"/>
    <w:rsid w:val="005539E7"/>
    <w:rsid w:val="00590C55"/>
    <w:rsid w:val="00593C22"/>
    <w:rsid w:val="005A4819"/>
    <w:rsid w:val="005A725C"/>
    <w:rsid w:val="005C6209"/>
    <w:rsid w:val="006158D5"/>
    <w:rsid w:val="00620EA8"/>
    <w:rsid w:val="006248D8"/>
    <w:rsid w:val="0066364B"/>
    <w:rsid w:val="00694686"/>
    <w:rsid w:val="006B555C"/>
    <w:rsid w:val="006C19FE"/>
    <w:rsid w:val="006E0BD3"/>
    <w:rsid w:val="006E2F2C"/>
    <w:rsid w:val="006F2E11"/>
    <w:rsid w:val="00733780"/>
    <w:rsid w:val="00753BA1"/>
    <w:rsid w:val="00755F4E"/>
    <w:rsid w:val="00777AD6"/>
    <w:rsid w:val="00797802"/>
    <w:rsid w:val="007D694A"/>
    <w:rsid w:val="007E58E2"/>
    <w:rsid w:val="007F197F"/>
    <w:rsid w:val="007F28E7"/>
    <w:rsid w:val="007F54DC"/>
    <w:rsid w:val="00803D94"/>
    <w:rsid w:val="00804120"/>
    <w:rsid w:val="008144C3"/>
    <w:rsid w:val="00816E97"/>
    <w:rsid w:val="00820AE5"/>
    <w:rsid w:val="0084532E"/>
    <w:rsid w:val="008611E4"/>
    <w:rsid w:val="00862400"/>
    <w:rsid w:val="00873B2E"/>
    <w:rsid w:val="00880849"/>
    <w:rsid w:val="008959C1"/>
    <w:rsid w:val="00896840"/>
    <w:rsid w:val="00897B1B"/>
    <w:rsid w:val="008A5969"/>
    <w:rsid w:val="008A5DAB"/>
    <w:rsid w:val="008A7E2F"/>
    <w:rsid w:val="008D4FB4"/>
    <w:rsid w:val="008E32BC"/>
    <w:rsid w:val="008E78DB"/>
    <w:rsid w:val="00905C44"/>
    <w:rsid w:val="009075D3"/>
    <w:rsid w:val="00910A19"/>
    <w:rsid w:val="009251D6"/>
    <w:rsid w:val="00931143"/>
    <w:rsid w:val="009412FA"/>
    <w:rsid w:val="0096308B"/>
    <w:rsid w:val="009745F5"/>
    <w:rsid w:val="009908B7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4F3B"/>
    <w:rsid w:val="009F7F6E"/>
    <w:rsid w:val="00A25A13"/>
    <w:rsid w:val="00A31423"/>
    <w:rsid w:val="00A451DD"/>
    <w:rsid w:val="00A64140"/>
    <w:rsid w:val="00A70833"/>
    <w:rsid w:val="00A9423E"/>
    <w:rsid w:val="00A948F3"/>
    <w:rsid w:val="00A95C33"/>
    <w:rsid w:val="00AC4D9F"/>
    <w:rsid w:val="00AD0A94"/>
    <w:rsid w:val="00AE07E2"/>
    <w:rsid w:val="00AE0E0E"/>
    <w:rsid w:val="00B30EB8"/>
    <w:rsid w:val="00B57EE0"/>
    <w:rsid w:val="00B97804"/>
    <w:rsid w:val="00BA67E2"/>
    <w:rsid w:val="00BB153E"/>
    <w:rsid w:val="00BC1E17"/>
    <w:rsid w:val="00BC331B"/>
    <w:rsid w:val="00BC6C4B"/>
    <w:rsid w:val="00C0654B"/>
    <w:rsid w:val="00C075B0"/>
    <w:rsid w:val="00C159D6"/>
    <w:rsid w:val="00C31AA7"/>
    <w:rsid w:val="00C43853"/>
    <w:rsid w:val="00C5379D"/>
    <w:rsid w:val="00C8077E"/>
    <w:rsid w:val="00C85019"/>
    <w:rsid w:val="00CA2184"/>
    <w:rsid w:val="00CA28B2"/>
    <w:rsid w:val="00CC0606"/>
    <w:rsid w:val="00CC6403"/>
    <w:rsid w:val="00CD6986"/>
    <w:rsid w:val="00CD6DEE"/>
    <w:rsid w:val="00CE4EF5"/>
    <w:rsid w:val="00D066E8"/>
    <w:rsid w:val="00D17565"/>
    <w:rsid w:val="00D2038A"/>
    <w:rsid w:val="00D26946"/>
    <w:rsid w:val="00D50509"/>
    <w:rsid w:val="00D869C9"/>
    <w:rsid w:val="00D87431"/>
    <w:rsid w:val="00D9730C"/>
    <w:rsid w:val="00DA4622"/>
    <w:rsid w:val="00DB590B"/>
    <w:rsid w:val="00DC0016"/>
    <w:rsid w:val="00DD72D1"/>
    <w:rsid w:val="00DE33AD"/>
    <w:rsid w:val="00DF5157"/>
    <w:rsid w:val="00DF7342"/>
    <w:rsid w:val="00E464D2"/>
    <w:rsid w:val="00E61F66"/>
    <w:rsid w:val="00E6283C"/>
    <w:rsid w:val="00E71486"/>
    <w:rsid w:val="00E73097"/>
    <w:rsid w:val="00E834D6"/>
    <w:rsid w:val="00E8733D"/>
    <w:rsid w:val="00EA2FEC"/>
    <w:rsid w:val="00EB5121"/>
    <w:rsid w:val="00EC04EF"/>
    <w:rsid w:val="00EC1C74"/>
    <w:rsid w:val="00EC28B2"/>
    <w:rsid w:val="00EC4F74"/>
    <w:rsid w:val="00EE112B"/>
    <w:rsid w:val="00F11E72"/>
    <w:rsid w:val="00F402D6"/>
    <w:rsid w:val="00F41D2E"/>
    <w:rsid w:val="00F635DD"/>
    <w:rsid w:val="00F64EF2"/>
    <w:rsid w:val="00F91262"/>
    <w:rsid w:val="00F95AFC"/>
    <w:rsid w:val="00FA4271"/>
    <w:rsid w:val="00FA4679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EAE2C5-AFFE-46F2-87B7-E6833EB3E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844C63-E578-491F-B6D2-4E273F3F9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2519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2933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2019-03-13T10:58:00Z</cp:lastPrinted>
  <dcterms:created xsi:type="dcterms:W3CDTF">2019-03-07T12:55:00Z</dcterms:created>
  <dcterms:modified xsi:type="dcterms:W3CDTF">2019-03-19T08:02:00Z</dcterms:modified>
</cp:coreProperties>
</file>