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8EB6A3" w14:textId="77777777" w:rsidR="00BC37D5" w:rsidRPr="004E3E61" w:rsidRDefault="00BC37D5" w:rsidP="00BC37D5">
      <w:pPr>
        <w:spacing w:line="276" w:lineRule="auto"/>
        <w:jc w:val="center"/>
        <w:rPr>
          <w:rFonts w:ascii="Tahoma" w:hAnsi="Tahoma" w:cs="Tahoma"/>
          <w:b/>
          <w:sz w:val="24"/>
          <w:szCs w:val="24"/>
        </w:rPr>
      </w:pPr>
      <w:bookmarkStart w:id="0" w:name="_GoBack"/>
      <w:bookmarkEnd w:id="0"/>
      <w:r w:rsidRPr="004E3E61">
        <w:rPr>
          <w:rFonts w:ascii="Tahoma" w:hAnsi="Tahoma" w:cs="Tahoma"/>
          <w:b/>
          <w:sz w:val="24"/>
          <w:szCs w:val="24"/>
        </w:rPr>
        <w:t>UZASADNIENIE</w:t>
      </w:r>
    </w:p>
    <w:p w14:paraId="5C0184E6" w14:textId="77777777" w:rsidR="00BC37D5" w:rsidRPr="004E3E61" w:rsidRDefault="00BC37D5" w:rsidP="00BC37D5">
      <w:pPr>
        <w:spacing w:line="276" w:lineRule="auto"/>
        <w:jc w:val="both"/>
        <w:rPr>
          <w:rFonts w:ascii="Tahoma" w:hAnsi="Tahoma" w:cs="Tahoma"/>
          <w:bCs/>
          <w:sz w:val="24"/>
          <w:szCs w:val="24"/>
        </w:rPr>
      </w:pPr>
    </w:p>
    <w:p w14:paraId="415444CB" w14:textId="77777777" w:rsidR="00BC37D5" w:rsidRPr="004E3E61" w:rsidRDefault="00BC37D5" w:rsidP="00BC37D5">
      <w:pPr>
        <w:spacing w:line="276" w:lineRule="auto"/>
        <w:jc w:val="both"/>
        <w:rPr>
          <w:rFonts w:ascii="Tahoma" w:eastAsia="Calibri" w:hAnsi="Tahoma" w:cs="Tahoma"/>
          <w:b/>
          <w:sz w:val="24"/>
          <w:szCs w:val="24"/>
        </w:rPr>
      </w:pPr>
      <w:r w:rsidRPr="004E3E61">
        <w:rPr>
          <w:rFonts w:ascii="Tahoma" w:eastAsia="Calibri" w:hAnsi="Tahoma" w:cs="Tahoma"/>
          <w:b/>
          <w:sz w:val="24"/>
          <w:szCs w:val="24"/>
        </w:rPr>
        <w:t xml:space="preserve">I. Potrzeba i cel wydania ustawy </w:t>
      </w:r>
    </w:p>
    <w:p w14:paraId="58E00666" w14:textId="412E370C" w:rsidR="00BC37D5" w:rsidRPr="004E3E61" w:rsidRDefault="00BC37D5" w:rsidP="00BC37D5">
      <w:pPr>
        <w:spacing w:line="276" w:lineRule="auto"/>
        <w:ind w:firstLine="708"/>
        <w:jc w:val="both"/>
        <w:rPr>
          <w:rFonts w:ascii="Tahoma" w:hAnsi="Tahoma" w:cs="Tahoma"/>
          <w:sz w:val="24"/>
          <w:szCs w:val="24"/>
        </w:rPr>
      </w:pPr>
      <w:r w:rsidRPr="004E3E61">
        <w:rPr>
          <w:rFonts w:ascii="Tahoma" w:eastAsia="Calibri" w:hAnsi="Tahoma" w:cs="Tahoma"/>
          <w:sz w:val="24"/>
          <w:szCs w:val="24"/>
        </w:rPr>
        <w:t xml:space="preserve">Celem projektowanej regulacji jest nowelizacja ustawy </w:t>
      </w:r>
      <w:r w:rsidRPr="004E3E61">
        <w:rPr>
          <w:rFonts w:ascii="Tahoma" w:hAnsi="Tahoma" w:cs="Tahoma"/>
          <w:sz w:val="24"/>
          <w:szCs w:val="24"/>
        </w:rPr>
        <w:t xml:space="preserve">z dnia 8 marca 1990 r. o samorządzie gminnym (Dz. U. z </w:t>
      </w:r>
      <w:r w:rsidR="004E3E61">
        <w:rPr>
          <w:rFonts w:ascii="Tahoma" w:eastAsiaTheme="minorEastAsia" w:hAnsi="Tahoma" w:cs="Tahoma"/>
          <w:sz w:val="24"/>
          <w:szCs w:val="24"/>
          <w:lang w:eastAsia="pl-PL"/>
        </w:rPr>
        <w:t xml:space="preserve">2017 r. poz. 1875 </w:t>
      </w:r>
      <w:r w:rsidRPr="004E3E61">
        <w:rPr>
          <w:rFonts w:ascii="Tahoma" w:hAnsi="Tahoma" w:cs="Tahoma"/>
          <w:sz w:val="24"/>
          <w:szCs w:val="24"/>
        </w:rPr>
        <w:t xml:space="preserve">, z późn. zm.), zwanej dalej „u.s.g.”  w kierunku doprecyzowania i wzmocnienia statusu jednostki pomocniczej. Wynika to z potrzeby zwiększenia partycypacji obywateli w funkcjonowaniu samorządu gminnego na poziomie jednostek pomocniczych. Partycypacja obywatelska wymaga aby jednostki te były wyposażone w  realne możliwości i narzędzia, które pozwalają wykorzystywać potencjał oddolnej aktywności społecznej dla rozwoju wspólnot lokalnych i kształtowania warunków życia w otoczeniu miejsca zamieszkania. Jest to w szczególności ważne na obszarach wiejskich ze względu na bardzo duże zróżnicowanie sołectw pod względem wyposażenia sołectw w infrastrukturę, usługi i inne elementy warunkujące jakość życia. </w:t>
      </w:r>
    </w:p>
    <w:p w14:paraId="25624B0D" w14:textId="77777777" w:rsidR="00BC37D5" w:rsidRPr="004E3E61" w:rsidRDefault="00BC37D5" w:rsidP="00BC37D5">
      <w:pPr>
        <w:spacing w:line="276" w:lineRule="auto"/>
        <w:ind w:firstLine="708"/>
        <w:jc w:val="both"/>
        <w:rPr>
          <w:rFonts w:ascii="Tahoma" w:hAnsi="Tahoma" w:cs="Tahoma"/>
          <w:sz w:val="24"/>
          <w:szCs w:val="24"/>
        </w:rPr>
      </w:pPr>
    </w:p>
    <w:p w14:paraId="46E5FCF3" w14:textId="77777777" w:rsidR="00BC37D5" w:rsidRPr="004E3E61" w:rsidRDefault="00BC37D5" w:rsidP="00BC37D5">
      <w:pPr>
        <w:spacing w:line="276" w:lineRule="auto"/>
        <w:ind w:firstLine="708"/>
        <w:jc w:val="both"/>
        <w:rPr>
          <w:rFonts w:ascii="Tahoma" w:hAnsi="Tahoma" w:cs="Tahoma"/>
          <w:sz w:val="24"/>
          <w:szCs w:val="24"/>
        </w:rPr>
      </w:pPr>
      <w:r w:rsidRPr="004E3E61">
        <w:rPr>
          <w:rFonts w:ascii="Tahoma" w:hAnsi="Tahoma" w:cs="Tahoma"/>
          <w:sz w:val="24"/>
          <w:szCs w:val="24"/>
        </w:rPr>
        <w:t>Należy zauważyć, że podział pomocniczy, będący uzupełnieniem zasadniczego podziału terytorialnego państwa, co do zasady stanowi przejaw demokratyzacji życia społecznego, gdyż pozwala na najbardziej bezpośrednią i wnikliwą identyfikację i skuteczną realizację potrzeb mieszkańców danego obszaru. Zatem winien on odgrywać istotną rolę w skutecznej realizacji zadań publicznych na szczeblu gminy i służyć i urzeczywistnieniu zasady subsydiarności w funkcjonowaniu gminy.</w:t>
      </w:r>
    </w:p>
    <w:p w14:paraId="0025DE35" w14:textId="77777777" w:rsidR="00BC37D5" w:rsidRPr="004E3E61" w:rsidRDefault="00BC37D5" w:rsidP="00BC37D5">
      <w:pPr>
        <w:spacing w:line="276" w:lineRule="auto"/>
        <w:jc w:val="both"/>
        <w:rPr>
          <w:rFonts w:ascii="Tahoma" w:hAnsi="Tahoma" w:cs="Tahoma"/>
          <w:sz w:val="24"/>
          <w:szCs w:val="24"/>
        </w:rPr>
      </w:pPr>
      <w:r w:rsidRPr="004E3E61">
        <w:rPr>
          <w:rFonts w:ascii="Tahoma" w:hAnsi="Tahoma" w:cs="Tahoma"/>
          <w:sz w:val="24"/>
          <w:szCs w:val="24"/>
        </w:rPr>
        <w:t>Jurydyzacja idei pomocniczości ma wymiar międzynarodowy i powinna być uwzględniana we wszystkich nowoczesnych ustawodawstwach. Jej definicja została zawarta w art. 4 ust. 3 Europejskiej Karty Samorządu Lokalnego, który stanowi, że: „Generalnie odpowiedzialność za sprawy publiczne powinny ponosić przede wszystkim te organy władzy, które znajdują się najbliżej obywateli. Powierzając te funkcje innemu organowi władzy, należy uwzględnić zakres i charakter zadania oraz wymogi efektywności i gospodarności.”. Zatem subsydiarność jest zasadą podziału władzy, od dołu do góry, zgodnie z którą nigdy nie należy powierzać jednostce większej tego, co może zrobić, równie wydajnie, jednostka mniejsza. Istotą zasady subsydiarności jest, więc dążenie do jak najbardziej racjonalnego podziału władzy pomiędzy poszczególne szczeble jej struktury, opartego na kryterium efektywności</w:t>
      </w:r>
      <w:r w:rsidRPr="004E3E61">
        <w:rPr>
          <w:rStyle w:val="Odwoanieprzypisudolnego"/>
          <w:rFonts w:ascii="Tahoma" w:hAnsi="Tahoma" w:cs="Tahoma"/>
          <w:sz w:val="24"/>
          <w:szCs w:val="24"/>
        </w:rPr>
        <w:footnoteReference w:id="1"/>
      </w:r>
      <w:r w:rsidRPr="004E3E61">
        <w:rPr>
          <w:rFonts w:ascii="Tahoma" w:hAnsi="Tahoma" w:cs="Tahoma"/>
          <w:sz w:val="24"/>
          <w:szCs w:val="24"/>
        </w:rPr>
        <w:t xml:space="preserve">. </w:t>
      </w:r>
    </w:p>
    <w:p w14:paraId="47CA4842" w14:textId="77777777" w:rsidR="00BC37D5" w:rsidRPr="004E3E61" w:rsidRDefault="00BC37D5" w:rsidP="00BC37D5">
      <w:pPr>
        <w:spacing w:line="276" w:lineRule="auto"/>
        <w:jc w:val="both"/>
        <w:rPr>
          <w:rFonts w:ascii="Tahoma" w:hAnsi="Tahoma" w:cs="Tahoma"/>
          <w:sz w:val="24"/>
          <w:szCs w:val="24"/>
        </w:rPr>
      </w:pPr>
    </w:p>
    <w:p w14:paraId="3642DDE0" w14:textId="77777777" w:rsidR="00BC37D5" w:rsidRPr="004E3E61" w:rsidRDefault="00BC37D5" w:rsidP="00BC37D5">
      <w:pPr>
        <w:spacing w:line="276" w:lineRule="auto"/>
        <w:ind w:firstLine="708"/>
        <w:jc w:val="both"/>
        <w:rPr>
          <w:rFonts w:ascii="Tahoma" w:hAnsi="Tahoma" w:cs="Tahoma"/>
          <w:sz w:val="24"/>
          <w:szCs w:val="24"/>
        </w:rPr>
      </w:pPr>
      <w:r w:rsidRPr="004E3E61">
        <w:rPr>
          <w:rFonts w:ascii="Tahoma" w:hAnsi="Tahoma" w:cs="Tahoma"/>
          <w:sz w:val="24"/>
          <w:szCs w:val="24"/>
        </w:rPr>
        <w:t xml:space="preserve">W Polsce zasada subsydiarności ma rangę zasady konstytucyjnej na mocy ustawy zasadniczej z 2 kwietnia 1997 r., choć jej ujęcie w Konstytucji RP ogranicza się </w:t>
      </w:r>
      <w:r w:rsidRPr="004E3E61">
        <w:rPr>
          <w:rFonts w:ascii="Tahoma" w:hAnsi="Tahoma" w:cs="Tahoma"/>
          <w:sz w:val="24"/>
          <w:szCs w:val="24"/>
        </w:rPr>
        <w:lastRenderedPageBreak/>
        <w:t>do jej wymienienia w preambule, bez określenia jej treści w postanowieniach samej konstytucji</w:t>
      </w:r>
      <w:r w:rsidRPr="004E3E61">
        <w:rPr>
          <w:rStyle w:val="Odwoanieprzypisudolnego"/>
          <w:rFonts w:ascii="Tahoma" w:hAnsi="Tahoma" w:cs="Tahoma"/>
          <w:sz w:val="24"/>
          <w:szCs w:val="24"/>
        </w:rPr>
        <w:footnoteReference w:id="2"/>
      </w:r>
      <w:r w:rsidRPr="004E3E61">
        <w:rPr>
          <w:rFonts w:ascii="Tahoma" w:hAnsi="Tahoma" w:cs="Tahoma"/>
          <w:sz w:val="24"/>
          <w:szCs w:val="24"/>
        </w:rPr>
        <w:t xml:space="preserve">. </w:t>
      </w:r>
    </w:p>
    <w:p w14:paraId="3E46B0B1" w14:textId="77777777" w:rsidR="00BC37D5" w:rsidRPr="004E3E61" w:rsidRDefault="00BC37D5" w:rsidP="00BC37D5">
      <w:pPr>
        <w:spacing w:line="276" w:lineRule="auto"/>
        <w:jc w:val="both"/>
        <w:rPr>
          <w:rFonts w:ascii="Tahoma" w:hAnsi="Tahoma" w:cs="Tahoma"/>
          <w:sz w:val="24"/>
          <w:szCs w:val="24"/>
        </w:rPr>
      </w:pPr>
      <w:r w:rsidRPr="004E3E61">
        <w:rPr>
          <w:rFonts w:ascii="Tahoma" w:hAnsi="Tahoma" w:cs="Tahoma"/>
          <w:sz w:val="24"/>
          <w:szCs w:val="24"/>
        </w:rPr>
        <w:t xml:space="preserve">Jednak w polskim systemie samorządowym jednostki pomocnicze w istocie mają rolę podrzędną. Zasada subsydiarności nie jest wyegzekwowana. W tym sensie jednostki pomocnicze stanowią niedokończony element reformy samorządowej, co skutkuje tym, iż są jednym z istotnych niewykorzystanych w pełni potencjałów rozwojowych kraju, w szczególności tyczy się to obszarów wiejskich. </w:t>
      </w:r>
    </w:p>
    <w:p w14:paraId="38F559BB" w14:textId="77777777" w:rsidR="00BC37D5" w:rsidRPr="004E3E61" w:rsidRDefault="00BC37D5" w:rsidP="00BC37D5">
      <w:pPr>
        <w:spacing w:line="276" w:lineRule="auto"/>
        <w:jc w:val="both"/>
        <w:rPr>
          <w:rFonts w:ascii="Tahoma" w:hAnsi="Tahoma" w:cs="Tahoma"/>
          <w:sz w:val="24"/>
          <w:szCs w:val="24"/>
        </w:rPr>
      </w:pPr>
      <w:r w:rsidRPr="004E3E61">
        <w:rPr>
          <w:rFonts w:ascii="Tahoma" w:hAnsi="Tahoma" w:cs="Tahoma"/>
          <w:sz w:val="24"/>
          <w:szCs w:val="24"/>
        </w:rPr>
        <w:t xml:space="preserve">Realizacja zasady subsydiarności wobec jednostek pomocniczych winna polegać na ich „upodmiotowieniu”. Pod tym pojęciem należy widzieć uprawnienia decyzyjne do kreowania koncepcji rozwojowych, a ślad za tym możliwości realizacji projektów i przedsięwzięć o charakterze materialnym i niematerialnym oraz stosowne środki i narzędzi realizacji, np. w zakresie zarządzanie mieniem komunalnym, czy też wykonywanie zadań powierzonych przez gminę. </w:t>
      </w:r>
    </w:p>
    <w:p w14:paraId="37803632" w14:textId="77777777" w:rsidR="00BC37D5" w:rsidRPr="004E3E61" w:rsidRDefault="00BC37D5" w:rsidP="00BC37D5">
      <w:pPr>
        <w:spacing w:line="276" w:lineRule="auto"/>
        <w:ind w:firstLine="708"/>
        <w:jc w:val="both"/>
        <w:rPr>
          <w:rFonts w:ascii="Tahoma" w:hAnsi="Tahoma" w:cs="Tahoma"/>
          <w:sz w:val="24"/>
          <w:szCs w:val="24"/>
        </w:rPr>
      </w:pPr>
    </w:p>
    <w:p w14:paraId="4CABFF25" w14:textId="77777777" w:rsidR="00BC37D5" w:rsidRPr="004E3E61" w:rsidRDefault="00BC37D5" w:rsidP="00BC37D5">
      <w:pPr>
        <w:spacing w:line="276" w:lineRule="auto"/>
        <w:ind w:firstLine="708"/>
        <w:jc w:val="both"/>
        <w:rPr>
          <w:rFonts w:ascii="Tahoma" w:hAnsi="Tahoma" w:cs="Tahoma"/>
          <w:sz w:val="24"/>
          <w:szCs w:val="24"/>
        </w:rPr>
      </w:pPr>
      <w:r w:rsidRPr="004E3E61">
        <w:rPr>
          <w:rFonts w:ascii="Tahoma" w:hAnsi="Tahoma" w:cs="Tahoma"/>
          <w:sz w:val="24"/>
          <w:szCs w:val="24"/>
        </w:rPr>
        <w:t>Upodmiotowienie jednostek pomocniczych od dwóch dekad jest kwestią nieustannie podnoszoną przez środowiska wiejskie, w szczególności Krajowe Stowarzyszenie Sołtysów. Jest to też polem poszukiwania stosownych rozwiązań przez parlament, czego ostatnim przykładem była konferencja zorganizowana przez Komisję Samorządu  Terytorialnego i Administracji Państwowej Senatu RP w dniu 31 stycznia 2017 w gachu Senatu RP. Jednym z jej kluczowych konkluzji jest stwierdzenie, iż wzmocnienie sołectw nie jest możliwe bez stosownych zmian w u.s.g., które winny wyposażać sołectwa w ułomną osobowość prawną.</w:t>
      </w:r>
    </w:p>
    <w:p w14:paraId="7D680641" w14:textId="77777777" w:rsidR="00BC37D5" w:rsidRPr="00E23770" w:rsidRDefault="00BC37D5" w:rsidP="00BC37D5">
      <w:pPr>
        <w:spacing w:line="276" w:lineRule="auto"/>
        <w:ind w:firstLine="708"/>
        <w:jc w:val="both"/>
        <w:rPr>
          <w:rFonts w:ascii="Tahoma" w:hAnsi="Tahoma" w:cs="Tahoma"/>
          <w:sz w:val="24"/>
          <w:szCs w:val="24"/>
        </w:rPr>
      </w:pPr>
      <w:r w:rsidRPr="004E3E61">
        <w:rPr>
          <w:rFonts w:ascii="Tahoma" w:hAnsi="Tahoma" w:cs="Tahoma"/>
          <w:sz w:val="24"/>
          <w:szCs w:val="24"/>
        </w:rPr>
        <w:t>Proponowana nowelizacja u.s.g. spełnia te oczekiwania. Konsekwencją proponowanych zmian w u.s.g. są zmiany w: ustawie z dnia 29 sierpnia 1997 r. - Prawo bankowe</w:t>
      </w:r>
      <w:r w:rsidRPr="00E23770">
        <w:rPr>
          <w:rStyle w:val="Odwoanieprzypisudolnego"/>
          <w:rFonts w:ascii="Tahoma" w:hAnsi="Tahoma" w:cs="Tahoma"/>
          <w:sz w:val="24"/>
          <w:szCs w:val="24"/>
        </w:rPr>
        <w:footnoteReference w:id="3"/>
      </w:r>
      <w:r w:rsidRPr="00E23770">
        <w:rPr>
          <w:rFonts w:ascii="Tahoma" w:hAnsi="Tahoma" w:cs="Tahoma"/>
          <w:sz w:val="24"/>
          <w:szCs w:val="24"/>
        </w:rPr>
        <w:t>, ustawie z dnia 24 kwietnia 2003 r. o działalności pożytku publicznego i o wolontariacie</w:t>
      </w:r>
      <w:r w:rsidRPr="00E23770">
        <w:rPr>
          <w:rStyle w:val="Odwoanieprzypisudolnego"/>
          <w:rFonts w:ascii="Tahoma" w:hAnsi="Tahoma" w:cs="Tahoma"/>
          <w:sz w:val="24"/>
          <w:szCs w:val="24"/>
        </w:rPr>
        <w:footnoteReference w:id="4"/>
      </w:r>
      <w:r w:rsidRPr="00E23770">
        <w:rPr>
          <w:rFonts w:ascii="Tahoma" w:hAnsi="Tahoma" w:cs="Tahoma"/>
          <w:sz w:val="24"/>
          <w:szCs w:val="24"/>
        </w:rPr>
        <w:t>, ustawie z dnia 13 listopada 2003 r. o dochodach jednostek samorządu terytorialnego oraz ustawie z dnia 21 lutego 2014 r. o funduszu sołeckim</w:t>
      </w:r>
      <w:r w:rsidRPr="00E23770">
        <w:rPr>
          <w:rStyle w:val="Odwoanieprzypisudolnego"/>
          <w:rFonts w:ascii="Tahoma" w:hAnsi="Tahoma" w:cs="Tahoma"/>
          <w:sz w:val="24"/>
          <w:szCs w:val="24"/>
        </w:rPr>
        <w:footnoteReference w:id="5"/>
      </w:r>
      <w:r w:rsidRPr="00E23770">
        <w:rPr>
          <w:rFonts w:ascii="Tahoma" w:hAnsi="Tahoma" w:cs="Tahoma"/>
          <w:sz w:val="24"/>
          <w:szCs w:val="24"/>
        </w:rPr>
        <w:t xml:space="preserve">. </w:t>
      </w:r>
      <w:r w:rsidRPr="00E23770">
        <w:rPr>
          <w:rFonts w:ascii="Tahoma" w:eastAsia="Calibri" w:hAnsi="Tahoma" w:cs="Tahoma"/>
          <w:sz w:val="24"/>
          <w:szCs w:val="24"/>
        </w:rPr>
        <w:t>Wzmocnienie i większa elastyczność funduszu sołeckiego są jednym z głównych celów nowelizacji, bowiem jest to jedyny dotąd osadzonego w systemie samorządowym mechanizmu partycypacji społecznej w jednostkach pomocniczych gminy o charakterze finansowym, tworzący zrąb możliwości podejmowania przez społeczność lokalną oddolnych działań rozwojowych</w:t>
      </w:r>
    </w:p>
    <w:p w14:paraId="1AC4E753" w14:textId="77777777" w:rsidR="00BC37D5" w:rsidRPr="00E23770" w:rsidRDefault="00BC37D5" w:rsidP="00BC37D5">
      <w:pPr>
        <w:spacing w:line="276" w:lineRule="auto"/>
        <w:ind w:firstLine="708"/>
        <w:jc w:val="both"/>
        <w:rPr>
          <w:rFonts w:ascii="Tahoma" w:hAnsi="Tahoma" w:cs="Tahoma"/>
          <w:sz w:val="24"/>
          <w:szCs w:val="24"/>
        </w:rPr>
      </w:pPr>
    </w:p>
    <w:p w14:paraId="0EEB0A6F" w14:textId="70C76D80" w:rsidR="00BC37D5" w:rsidRPr="00E23770" w:rsidRDefault="00BC37D5" w:rsidP="00BC37D5">
      <w:pPr>
        <w:spacing w:line="276" w:lineRule="auto"/>
        <w:ind w:firstLine="708"/>
        <w:jc w:val="both"/>
        <w:rPr>
          <w:rFonts w:ascii="Tahoma" w:hAnsi="Tahoma" w:cs="Tahoma"/>
          <w:sz w:val="24"/>
          <w:szCs w:val="24"/>
        </w:rPr>
      </w:pPr>
      <w:r w:rsidRPr="00E23770">
        <w:rPr>
          <w:rFonts w:ascii="Tahoma" w:hAnsi="Tahoma" w:cs="Tahoma"/>
          <w:sz w:val="24"/>
          <w:szCs w:val="24"/>
        </w:rPr>
        <w:t xml:space="preserve">Wprowadzenie w życie projektowanych zmian doprowadzi także do uporządkowania stanu prawnego w kierunku większej paralelności pomiędzy statusem </w:t>
      </w:r>
      <w:r w:rsidRPr="00E23770">
        <w:rPr>
          <w:rFonts w:ascii="Tahoma" w:hAnsi="Tahoma" w:cs="Tahoma"/>
          <w:sz w:val="24"/>
          <w:szCs w:val="24"/>
        </w:rPr>
        <w:lastRenderedPageBreak/>
        <w:t xml:space="preserve">prawnym jednostek pomocniczych w obrębie miast, a jednostek pomocniczych na terenach wiejskich (sołectw) oraz umocnienia ich pozycję w systemie samorządu terytorialnego. </w:t>
      </w:r>
    </w:p>
    <w:p w14:paraId="2502937D" w14:textId="77777777" w:rsidR="00656C8E" w:rsidRDefault="00656C8E" w:rsidP="00BC37D5">
      <w:pPr>
        <w:spacing w:line="276" w:lineRule="auto"/>
        <w:jc w:val="both"/>
        <w:rPr>
          <w:rFonts w:ascii="Tahoma" w:eastAsia="Calibri" w:hAnsi="Tahoma" w:cs="Tahoma"/>
          <w:b/>
          <w:sz w:val="24"/>
          <w:szCs w:val="24"/>
        </w:rPr>
      </w:pPr>
    </w:p>
    <w:p w14:paraId="2633C164" w14:textId="77777777" w:rsidR="00BC37D5" w:rsidRPr="00E23770" w:rsidRDefault="00BC37D5" w:rsidP="00BC37D5">
      <w:pPr>
        <w:spacing w:line="276" w:lineRule="auto"/>
        <w:jc w:val="both"/>
        <w:rPr>
          <w:rFonts w:ascii="Tahoma" w:eastAsia="Calibri" w:hAnsi="Tahoma" w:cs="Tahoma"/>
          <w:b/>
          <w:sz w:val="24"/>
          <w:szCs w:val="24"/>
        </w:rPr>
      </w:pPr>
      <w:r w:rsidRPr="00E23770">
        <w:rPr>
          <w:rFonts w:ascii="Tahoma" w:eastAsia="Calibri" w:hAnsi="Tahoma" w:cs="Tahoma"/>
          <w:b/>
          <w:sz w:val="24"/>
          <w:szCs w:val="24"/>
        </w:rPr>
        <w:t>II. Rzeczywisty stan dziedziny, która ma być unormowana</w:t>
      </w:r>
    </w:p>
    <w:p w14:paraId="2A8EEA7A" w14:textId="77777777" w:rsidR="00BC37D5" w:rsidRPr="00E23770" w:rsidRDefault="00BC37D5" w:rsidP="00BC37D5">
      <w:pPr>
        <w:spacing w:line="276" w:lineRule="auto"/>
        <w:ind w:firstLine="708"/>
        <w:jc w:val="both"/>
        <w:rPr>
          <w:rFonts w:ascii="Tahoma" w:hAnsi="Tahoma" w:cs="Tahoma"/>
          <w:sz w:val="24"/>
          <w:szCs w:val="24"/>
        </w:rPr>
      </w:pPr>
    </w:p>
    <w:p w14:paraId="47C6194B" w14:textId="77777777" w:rsidR="00BC37D5" w:rsidRPr="00E23770" w:rsidRDefault="00BC37D5" w:rsidP="00BC37D5">
      <w:pPr>
        <w:spacing w:line="276" w:lineRule="auto"/>
        <w:ind w:firstLine="708"/>
        <w:jc w:val="both"/>
        <w:rPr>
          <w:rFonts w:ascii="Tahoma" w:hAnsi="Tahoma" w:cs="Tahoma"/>
          <w:sz w:val="24"/>
          <w:szCs w:val="24"/>
        </w:rPr>
      </w:pPr>
      <w:r w:rsidRPr="00E23770">
        <w:rPr>
          <w:rFonts w:ascii="Tahoma" w:hAnsi="Tahoma" w:cs="Tahoma"/>
          <w:sz w:val="24"/>
          <w:szCs w:val="24"/>
        </w:rPr>
        <w:t>U.s.g. status jednostki pomocniczej określa w sposób niejasny i niewyraźny. Trzeba zauważyć, iż regulacje dotyczące jednostek pomocniczych nie ulegały zmianom od początku funkcjonowania ustawy. Wobec zmieniającej się rzeczywistości – z jednej strony rozwoju społeczeństwa obywatelskiego oraz kapitału społecznego, a z drugiej – rosnącej złożoności funkcjonowania systemu samorządowego, w szczególności uwarunkowań prawnych związanych w wydatkowaniem środków publicznych, niektóre regulacje odnoszące się do jednostek pomocniczych stały się reliktem lub pozostają martwą literą. Wystarczy wymienić uprawnienie jednostek pomocniczych do prowadzenia gospodarki finansowej w ramach budżetu gminy określone w art. 51 ust.3 u.s.g. lub możliwość udzielenia przez rada gminy upoważnienia do załatwiania indywidualnych spraw z zakresu administracji publicznej może upoważnić organu wykonawczego jednostki pomocniczej (art.39 ust.4).</w:t>
      </w:r>
    </w:p>
    <w:p w14:paraId="15C53D52" w14:textId="77777777" w:rsidR="00BC37D5" w:rsidRPr="00E23770" w:rsidRDefault="00BC37D5" w:rsidP="00BC37D5">
      <w:pPr>
        <w:spacing w:line="276" w:lineRule="auto"/>
        <w:ind w:firstLine="708"/>
        <w:jc w:val="both"/>
        <w:rPr>
          <w:rFonts w:ascii="Tahoma" w:hAnsi="Tahoma" w:cs="Tahoma"/>
          <w:sz w:val="24"/>
          <w:szCs w:val="24"/>
        </w:rPr>
      </w:pPr>
    </w:p>
    <w:p w14:paraId="64DD8AFF" w14:textId="313B79CF" w:rsidR="00BC37D5" w:rsidRPr="00E23770" w:rsidRDefault="00BC37D5" w:rsidP="00E23770">
      <w:pPr>
        <w:spacing w:line="276" w:lineRule="auto"/>
        <w:ind w:firstLine="708"/>
        <w:jc w:val="both"/>
        <w:rPr>
          <w:rFonts w:ascii="Tahoma" w:hAnsi="Tahoma" w:cs="Tahoma"/>
          <w:sz w:val="24"/>
          <w:szCs w:val="24"/>
        </w:rPr>
      </w:pPr>
      <w:r w:rsidRPr="00E23770">
        <w:rPr>
          <w:rFonts w:ascii="Tahoma" w:hAnsi="Tahoma" w:cs="Tahoma"/>
          <w:sz w:val="24"/>
          <w:szCs w:val="24"/>
        </w:rPr>
        <w:t>Intencją projektodawców nie jest dążenie do utworzenia „subgminnej” jednostki samorządu terytorialnego lecz doprecyzowanie i zarazem wzmocnienie statusu jednostki pomocniczej z zachowaniem proporcji między urzeczywistnianiem konstytucyjnej zasady subsydiarności a konstytucyjną pozycji gminy, która jest podstawową jednostką samorządu terytorialnego (art. 164 ust. 1 Konstytucji RP).</w:t>
      </w:r>
    </w:p>
    <w:p w14:paraId="222A56AB" w14:textId="230EE04B" w:rsidR="00BC37D5" w:rsidRPr="00E23770" w:rsidRDefault="00BC37D5" w:rsidP="00BC37D5">
      <w:pPr>
        <w:spacing w:line="276" w:lineRule="auto"/>
        <w:ind w:firstLine="708"/>
        <w:jc w:val="both"/>
        <w:rPr>
          <w:rFonts w:ascii="Tahoma" w:hAnsi="Tahoma" w:cs="Tahoma"/>
          <w:sz w:val="24"/>
          <w:szCs w:val="24"/>
        </w:rPr>
      </w:pPr>
      <w:r w:rsidRPr="00E23770">
        <w:rPr>
          <w:rFonts w:ascii="Tahoma" w:hAnsi="Tahoma" w:cs="Tahoma"/>
          <w:sz w:val="24"/>
          <w:szCs w:val="24"/>
        </w:rPr>
        <w:t>Proponowane</w:t>
      </w:r>
      <w:r w:rsidR="00E23770">
        <w:rPr>
          <w:rFonts w:ascii="Tahoma" w:hAnsi="Tahoma" w:cs="Tahoma"/>
          <w:sz w:val="24"/>
          <w:szCs w:val="24"/>
        </w:rPr>
        <w:t xml:space="preserve"> zmiany mają na celu skuteczne,</w:t>
      </w:r>
      <w:r w:rsidRPr="00E23770">
        <w:rPr>
          <w:rFonts w:ascii="Tahoma" w:hAnsi="Tahoma" w:cs="Tahoma"/>
          <w:sz w:val="24"/>
          <w:szCs w:val="24"/>
        </w:rPr>
        <w:t xml:space="preserve"> bo zapewniające warunki zaangażowania mieszkańców, funkcjonowanie jednostek pomocniczych,  bez którego, w sposób oczywisty, pomocniczość tych jednostek  wobec gminy jest fikcją. </w:t>
      </w:r>
    </w:p>
    <w:p w14:paraId="4D4BA587" w14:textId="05BBEF80" w:rsidR="00BC37D5" w:rsidRPr="00E23770" w:rsidRDefault="00BC37D5" w:rsidP="00BC37D5">
      <w:pPr>
        <w:spacing w:line="276" w:lineRule="auto"/>
        <w:jc w:val="both"/>
        <w:rPr>
          <w:rFonts w:ascii="Tahoma" w:hAnsi="Tahoma" w:cs="Tahoma"/>
          <w:sz w:val="24"/>
          <w:szCs w:val="24"/>
        </w:rPr>
      </w:pPr>
      <w:r w:rsidRPr="00E23770">
        <w:rPr>
          <w:rFonts w:ascii="Tahoma" w:hAnsi="Tahoma" w:cs="Tahoma"/>
          <w:sz w:val="24"/>
          <w:szCs w:val="24"/>
        </w:rPr>
        <w:t>Doświadczenie programów odnowy wsi, prowadzonych od roku 1997, poczynając od woj. opolskiego, w różnych re</w:t>
      </w:r>
      <w:r w:rsidR="00E23770">
        <w:rPr>
          <w:rFonts w:ascii="Tahoma" w:hAnsi="Tahoma" w:cs="Tahoma"/>
          <w:sz w:val="24"/>
          <w:szCs w:val="24"/>
        </w:rPr>
        <w:t xml:space="preserve">gionach kraju, wykazało wysoką </w:t>
      </w:r>
      <w:r w:rsidRPr="00E23770">
        <w:rPr>
          <w:rFonts w:ascii="Tahoma" w:hAnsi="Tahoma" w:cs="Tahoma"/>
          <w:sz w:val="24"/>
          <w:szCs w:val="24"/>
        </w:rPr>
        <w:t xml:space="preserve">zdolność społeczności lokalnych do działań oddolnych owocującą satysfakcjonującą organizacją życia wspólnot i liczącym się dorobkiem materialnym. Przekonano się, iż postawienie społecznościom wiejskim do dyspozycji środków finansowych daje niejednokrotnie kilku - a nawet kilkunastokrotny mnożnik finansowy w efekcie zaangażowania pracy własnej i sprzętu oraz pozyskanych od mieszkańców i darczyńców zewnętrznych materiałów i środków finansowych. Stwierdzono, że najwyższa efektywność inicjatyw oddolnych ma miejsce w sytuacji, gdy społeczność lokalna dysponuje samodzielnie opracowaną strategią rozwoju. Z tych powodów dla wydatkowania środków unijnych dedykowanych społecznościom lokalnym z programów na rzecz rozwoju wsi i rolnictwa </w:t>
      </w:r>
      <w:r w:rsidRPr="00E23770">
        <w:rPr>
          <w:rFonts w:ascii="Tahoma" w:hAnsi="Tahoma" w:cs="Tahoma"/>
          <w:sz w:val="24"/>
          <w:szCs w:val="24"/>
        </w:rPr>
        <w:lastRenderedPageBreak/>
        <w:t>w ramach SPO 2004- 2006</w:t>
      </w:r>
      <w:r w:rsidRPr="00E23770">
        <w:rPr>
          <w:rStyle w:val="Odwoanieprzypisudolnego"/>
          <w:rFonts w:ascii="Tahoma" w:hAnsi="Tahoma" w:cs="Tahoma"/>
          <w:sz w:val="24"/>
          <w:szCs w:val="24"/>
        </w:rPr>
        <w:footnoteReference w:id="6"/>
      </w:r>
      <w:r w:rsidR="00E23770">
        <w:rPr>
          <w:rFonts w:ascii="Tahoma" w:hAnsi="Tahoma" w:cs="Tahoma"/>
          <w:sz w:val="24"/>
          <w:szCs w:val="24"/>
        </w:rPr>
        <w:t xml:space="preserve"> uwarunkowano w r</w:t>
      </w:r>
      <w:r w:rsidRPr="00E23770">
        <w:rPr>
          <w:rFonts w:ascii="Tahoma" w:hAnsi="Tahoma" w:cs="Tahoma"/>
          <w:sz w:val="24"/>
          <w:szCs w:val="24"/>
        </w:rPr>
        <w:t>ozporządzeniu Ministra Rolnictwa</w:t>
      </w:r>
      <w:r w:rsidRPr="00E23770">
        <w:rPr>
          <w:rStyle w:val="Odwoanieprzypisudolnego"/>
          <w:rFonts w:ascii="Tahoma" w:hAnsi="Tahoma" w:cs="Tahoma"/>
          <w:sz w:val="24"/>
          <w:szCs w:val="24"/>
        </w:rPr>
        <w:footnoteReference w:id="7"/>
      </w:r>
      <w:r w:rsidRPr="00E23770">
        <w:rPr>
          <w:rFonts w:ascii="Tahoma" w:hAnsi="Tahoma" w:cs="Tahoma"/>
          <w:sz w:val="24"/>
          <w:szCs w:val="24"/>
        </w:rPr>
        <w:t xml:space="preserve"> sporządzaniem przez społeczności wiejskie planów rozwoju miejscowości. To samo rozwiązanie ponowiono w Programie Rozwoju Obszarów Wiejskich  na lata</w:t>
      </w:r>
      <w:r w:rsidR="00E23770">
        <w:rPr>
          <w:rFonts w:ascii="Tahoma" w:hAnsi="Tahoma" w:cs="Tahoma"/>
          <w:sz w:val="24"/>
          <w:szCs w:val="24"/>
        </w:rPr>
        <w:t xml:space="preserve"> </w:t>
      </w:r>
      <w:r w:rsidRPr="00E23770">
        <w:rPr>
          <w:rFonts w:ascii="Tahoma" w:hAnsi="Tahoma" w:cs="Tahoma"/>
          <w:sz w:val="24"/>
          <w:szCs w:val="24"/>
        </w:rPr>
        <w:t>2007-2013.</w:t>
      </w:r>
    </w:p>
    <w:p w14:paraId="65509E77" w14:textId="15DFBF8B" w:rsidR="00BC37D5" w:rsidRPr="00E23770" w:rsidRDefault="00BC37D5" w:rsidP="00BC37D5">
      <w:pPr>
        <w:spacing w:line="276" w:lineRule="auto"/>
        <w:jc w:val="both"/>
        <w:rPr>
          <w:rFonts w:ascii="Tahoma" w:hAnsi="Tahoma" w:cs="Tahoma"/>
          <w:sz w:val="24"/>
          <w:szCs w:val="24"/>
        </w:rPr>
      </w:pPr>
      <w:r w:rsidRPr="00E23770">
        <w:rPr>
          <w:rFonts w:ascii="Tahoma" w:hAnsi="Tahoma" w:cs="Tahoma"/>
          <w:sz w:val="24"/>
          <w:szCs w:val="24"/>
        </w:rPr>
        <w:t>Zatem sprawdzone w praktyce rozwiązania, w tym również takie, które obowiązywały formalnie (plan rozwoju miejscowości) winny znaleźć odzwierciedlenie w regulacjach u.s.g. To podejście wzmacnia ewidentny sukces ustawy o funduszu sołeckim – obecnie stosuje to rozwiązanie 1551 (73,1% uprawnionych gmin), które na realizację przedsięwzięć z funduszu w roku 2018 zaplanowały 558 mln zł. Wyraźnie widać, iż aktualne doświadczenie i umiejętności wiejskiego przywództwa w zakresie planowania rozwoju i realizacji projektów, upoważniają wyposażenie sołectw w zdecydowanie większe możliwości samodzielnego realizowania przedsięwzięć. Zawarte w projekcie propozycje wychodzą temu naprzeciw, aby optymalnie wykorzystać potencjał rozwojowy sołectw.</w:t>
      </w:r>
    </w:p>
    <w:p w14:paraId="43C3FA42" w14:textId="77777777" w:rsidR="00E23770" w:rsidRPr="00E23770" w:rsidRDefault="00E23770" w:rsidP="00BC37D5">
      <w:pPr>
        <w:spacing w:line="276" w:lineRule="auto"/>
        <w:jc w:val="both"/>
        <w:rPr>
          <w:rFonts w:ascii="Tahoma" w:eastAsia="Calibri" w:hAnsi="Tahoma" w:cs="Tahoma"/>
          <w:b/>
          <w:sz w:val="24"/>
          <w:szCs w:val="24"/>
        </w:rPr>
      </w:pPr>
    </w:p>
    <w:p w14:paraId="5D5A83C2" w14:textId="77777777" w:rsidR="00BC37D5" w:rsidRPr="00E23770" w:rsidRDefault="00BC37D5" w:rsidP="00BC37D5">
      <w:pPr>
        <w:spacing w:line="276" w:lineRule="auto"/>
        <w:jc w:val="both"/>
        <w:rPr>
          <w:rFonts w:ascii="Tahoma" w:eastAsia="Calibri" w:hAnsi="Tahoma" w:cs="Tahoma"/>
          <w:b/>
          <w:sz w:val="24"/>
          <w:szCs w:val="24"/>
        </w:rPr>
      </w:pPr>
      <w:r w:rsidRPr="00E23770">
        <w:rPr>
          <w:rFonts w:ascii="Tahoma" w:eastAsia="Calibri" w:hAnsi="Tahoma" w:cs="Tahoma"/>
          <w:b/>
          <w:sz w:val="24"/>
          <w:szCs w:val="24"/>
        </w:rPr>
        <w:t xml:space="preserve">III. Różnica między dotychczasowym a projektowanym stanem prawnym </w:t>
      </w:r>
    </w:p>
    <w:p w14:paraId="12901925" w14:textId="77777777" w:rsidR="00BC37D5" w:rsidRPr="00E23770" w:rsidRDefault="00BC37D5" w:rsidP="00BC37D5">
      <w:pPr>
        <w:spacing w:line="276" w:lineRule="auto"/>
        <w:jc w:val="both"/>
        <w:rPr>
          <w:rFonts w:ascii="Tahoma" w:eastAsia="Calibri" w:hAnsi="Tahoma" w:cs="Tahoma"/>
          <w:sz w:val="24"/>
          <w:szCs w:val="24"/>
          <w:u w:val="single"/>
        </w:rPr>
      </w:pPr>
      <w:r w:rsidRPr="00E23770">
        <w:rPr>
          <w:rFonts w:ascii="Tahoma" w:eastAsia="Calibri" w:hAnsi="Tahoma" w:cs="Tahoma"/>
          <w:sz w:val="24"/>
          <w:szCs w:val="24"/>
          <w:u w:val="single"/>
        </w:rPr>
        <w:t>Nowelizacja ustawy o samorządzie gminnym</w:t>
      </w:r>
    </w:p>
    <w:p w14:paraId="3D216D65" w14:textId="77777777" w:rsidR="00BC37D5" w:rsidRPr="00E23770" w:rsidRDefault="00BC37D5" w:rsidP="00BC37D5">
      <w:pPr>
        <w:spacing w:line="276" w:lineRule="auto"/>
        <w:jc w:val="both"/>
        <w:rPr>
          <w:rFonts w:ascii="Tahoma" w:eastAsia="Calibri" w:hAnsi="Tahoma" w:cs="Tahoma"/>
          <w:sz w:val="24"/>
          <w:szCs w:val="24"/>
          <w:u w:val="single"/>
        </w:rPr>
      </w:pPr>
    </w:p>
    <w:p w14:paraId="466E8412" w14:textId="4634E2B4" w:rsidR="00BC37D5" w:rsidRPr="00E23770" w:rsidRDefault="00BC37D5" w:rsidP="00BC37D5">
      <w:pPr>
        <w:spacing w:line="276" w:lineRule="auto"/>
        <w:ind w:firstLine="360"/>
        <w:jc w:val="both"/>
        <w:rPr>
          <w:rFonts w:ascii="Tahoma" w:eastAsia="Calibri" w:hAnsi="Tahoma" w:cs="Tahoma"/>
          <w:sz w:val="24"/>
          <w:szCs w:val="24"/>
        </w:rPr>
      </w:pPr>
      <w:r w:rsidRPr="00E23770">
        <w:rPr>
          <w:rFonts w:ascii="Tahoma" w:eastAsia="Calibri" w:hAnsi="Tahoma" w:cs="Tahoma"/>
          <w:sz w:val="24"/>
          <w:szCs w:val="24"/>
        </w:rPr>
        <w:t>W ramach nowelizacji u.s.g. projekt przewiduje uwypuklenie znaczenia jednostek pomocniczych i roli jaką odgrywają w ustroju samorządu terytorialnego</w:t>
      </w:r>
      <w:r w:rsidR="0066466B">
        <w:rPr>
          <w:rFonts w:ascii="Tahoma" w:eastAsia="Calibri" w:hAnsi="Tahoma" w:cs="Tahoma"/>
          <w:sz w:val="24"/>
          <w:szCs w:val="24"/>
        </w:rPr>
        <w:t xml:space="preserve">, w powiazaniu ze </w:t>
      </w:r>
      <w:r w:rsidRPr="00E23770">
        <w:rPr>
          <w:rFonts w:ascii="Tahoma" w:eastAsia="Calibri" w:hAnsi="Tahoma" w:cs="Tahoma"/>
          <w:sz w:val="24"/>
          <w:szCs w:val="24"/>
        </w:rPr>
        <w:t>zwiększeniem odpowiedzialności gminy za ich funkcjonowanie i rozwój, także w aspekcie wspólnotowym. Nastąpi to poprzez zmiany w tej części ustawy, która określa zadania gminy i uprawnienia rady gminy:</w:t>
      </w:r>
    </w:p>
    <w:p w14:paraId="18CD9237" w14:textId="77777777" w:rsidR="00BC37D5" w:rsidRPr="00E23770" w:rsidRDefault="00BC37D5" w:rsidP="00BC37D5">
      <w:pPr>
        <w:spacing w:line="276" w:lineRule="auto"/>
        <w:ind w:left="360"/>
        <w:jc w:val="both"/>
        <w:rPr>
          <w:rFonts w:ascii="Tahoma" w:eastAsia="Calibri" w:hAnsi="Tahoma" w:cs="Tahoma"/>
          <w:sz w:val="24"/>
          <w:szCs w:val="24"/>
        </w:rPr>
      </w:pPr>
    </w:p>
    <w:p w14:paraId="216EFC22" w14:textId="29E2C63F" w:rsidR="00BC37D5" w:rsidRPr="00E23770" w:rsidRDefault="00BC37D5" w:rsidP="00BC37D5">
      <w:pPr>
        <w:pStyle w:val="Akapitzlist"/>
        <w:numPr>
          <w:ilvl w:val="0"/>
          <w:numId w:val="8"/>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Doprecyzowanie kryteriów wydzielania jednostek pomocniczych wskazujące, iż ma ono uwzględniać miejscowe więzy społeczne i funkcjonalne (zmiana art. 5 ust. 1 u.s.g), co też implikuje nowelizację ustawy o funduszu sołeckim polegającą na poszerzeniu</w:t>
      </w:r>
      <w:r w:rsidR="0066466B">
        <w:rPr>
          <w:rFonts w:ascii="Tahoma" w:eastAsia="Calibri" w:hAnsi="Tahoma" w:cs="Tahoma"/>
          <w:sz w:val="24"/>
          <w:szCs w:val="24"/>
          <w:lang w:eastAsia="en-US"/>
        </w:rPr>
        <w:t xml:space="preserve"> zadań możliwych do realizacji </w:t>
      </w:r>
      <w:r w:rsidRPr="00E23770">
        <w:rPr>
          <w:rFonts w:ascii="Tahoma" w:eastAsia="Calibri" w:hAnsi="Tahoma" w:cs="Tahoma"/>
          <w:sz w:val="24"/>
          <w:szCs w:val="24"/>
          <w:lang w:eastAsia="en-US"/>
        </w:rPr>
        <w:t>w ramach funduszu sołeckiego;</w:t>
      </w:r>
    </w:p>
    <w:p w14:paraId="39CB6803" w14:textId="77777777" w:rsidR="00BC37D5" w:rsidRPr="00E23770" w:rsidRDefault="00BC37D5" w:rsidP="00BC37D5">
      <w:pPr>
        <w:pStyle w:val="Akapitzlist"/>
        <w:spacing w:line="276" w:lineRule="auto"/>
        <w:jc w:val="both"/>
        <w:rPr>
          <w:rFonts w:ascii="Tahoma" w:eastAsia="Calibri" w:hAnsi="Tahoma" w:cs="Tahoma"/>
          <w:sz w:val="24"/>
          <w:szCs w:val="24"/>
          <w:lang w:eastAsia="en-US"/>
        </w:rPr>
      </w:pPr>
    </w:p>
    <w:p w14:paraId="4B6215C1" w14:textId="5813A0FD" w:rsidR="00BC37D5" w:rsidRPr="00E23770" w:rsidRDefault="00BC37D5" w:rsidP="00BC37D5">
      <w:pPr>
        <w:pStyle w:val="Akapitzlist"/>
        <w:numPr>
          <w:ilvl w:val="0"/>
          <w:numId w:val="8"/>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 xml:space="preserve">Wyodrębnienie kwestii </w:t>
      </w:r>
      <w:r w:rsidR="0066466B">
        <w:rPr>
          <w:rFonts w:ascii="Tahoma" w:eastAsia="Calibri" w:hAnsi="Tahoma" w:cs="Tahoma"/>
          <w:sz w:val="24"/>
          <w:szCs w:val="24"/>
          <w:lang w:eastAsia="en-US"/>
        </w:rPr>
        <w:t>warunków do działania i rozwoju</w:t>
      </w:r>
      <w:r w:rsidRPr="00E23770">
        <w:rPr>
          <w:rFonts w:ascii="Tahoma" w:eastAsia="Calibri" w:hAnsi="Tahoma" w:cs="Tahoma"/>
          <w:sz w:val="24"/>
          <w:szCs w:val="24"/>
          <w:lang w:eastAsia="en-US"/>
        </w:rPr>
        <w:t xml:space="preserve"> jednostek pomocniczych w katalogu zadań własnych gminy.</w:t>
      </w:r>
    </w:p>
    <w:p w14:paraId="0CE95EB7" w14:textId="4A187E80" w:rsidR="00BC37D5" w:rsidRPr="00E23770" w:rsidRDefault="00BC37D5" w:rsidP="00BC37D5">
      <w:pPr>
        <w:pStyle w:val="Akapitzlist"/>
        <w:spacing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lastRenderedPageBreak/>
        <w:t>Zgodnie z aktualnym brzmieniem art. 7 ust. 1 u.s.g. z</w:t>
      </w:r>
      <w:r w:rsidRPr="00E23770">
        <w:rPr>
          <w:rFonts w:ascii="Tahoma" w:hAnsi="Tahoma" w:cs="Tahoma"/>
          <w:sz w:val="24"/>
          <w:szCs w:val="24"/>
        </w:rPr>
        <w:t>aspokajanie zbiorowych potrzeb wspólnoty należy do zadań własnych gminy. W szczególności zadania własne obejmują sprawy „wspierania i upowszechniania idei samorządowej, w tym tworzenia warunków do działania i rozwoju jednostek pomocniczych i wdrażania programów pobudzania aktywności obywatelskiej”</w:t>
      </w:r>
      <w:r w:rsidRPr="00E23770">
        <w:rPr>
          <w:rFonts w:ascii="Tahoma" w:eastAsia="Calibri" w:hAnsi="Tahoma" w:cs="Tahoma"/>
          <w:sz w:val="24"/>
          <w:szCs w:val="24"/>
          <w:lang w:eastAsia="en-US"/>
        </w:rPr>
        <w:t xml:space="preserve"> (art. 7 ust. 1 pkt 17)</w:t>
      </w:r>
      <w:r w:rsidRPr="00E23770">
        <w:rPr>
          <w:rFonts w:ascii="Tahoma" w:hAnsi="Tahoma" w:cs="Tahoma"/>
          <w:sz w:val="24"/>
          <w:szCs w:val="24"/>
        </w:rPr>
        <w:t xml:space="preserve">. </w:t>
      </w:r>
      <w:r w:rsidR="00533F5E">
        <w:rPr>
          <w:rFonts w:ascii="Tahoma" w:hAnsi="Tahoma" w:cs="Tahoma"/>
          <w:sz w:val="24"/>
          <w:szCs w:val="24"/>
        </w:rPr>
        <w:t xml:space="preserve">W tym zapisie ma miejsce </w:t>
      </w:r>
      <w:r w:rsidRPr="00E23770">
        <w:rPr>
          <w:rFonts w:ascii="Tahoma" w:hAnsi="Tahoma" w:cs="Tahoma"/>
          <w:sz w:val="24"/>
          <w:szCs w:val="24"/>
        </w:rPr>
        <w:t>powiązanie kwestii o r</w:t>
      </w:r>
      <w:r w:rsidR="00533F5E">
        <w:rPr>
          <w:rFonts w:ascii="Tahoma" w:hAnsi="Tahoma" w:cs="Tahoma"/>
          <w:sz w:val="24"/>
          <w:szCs w:val="24"/>
        </w:rPr>
        <w:t xml:space="preserve">óżnym charakterze, tj. działań </w:t>
      </w:r>
      <w:r w:rsidRPr="00E23770">
        <w:rPr>
          <w:rFonts w:ascii="Tahoma" w:hAnsi="Tahoma" w:cs="Tahoma"/>
          <w:sz w:val="24"/>
          <w:szCs w:val="24"/>
        </w:rPr>
        <w:t>ukierunkowanych na kształtowanie świadomości obywatelskiej ogółu mieszkańców gminy („wspieranie i upowszechniania idei samorządowej”) - do czego środkiem bez wątpienia są „programy pobudz</w:t>
      </w:r>
      <w:r w:rsidR="0066466B">
        <w:rPr>
          <w:rFonts w:ascii="Tahoma" w:hAnsi="Tahoma" w:cs="Tahoma"/>
          <w:sz w:val="24"/>
          <w:szCs w:val="24"/>
        </w:rPr>
        <w:t>ania aktywności obywatelskiej”,</w:t>
      </w:r>
      <w:r w:rsidRPr="00E23770">
        <w:rPr>
          <w:rFonts w:ascii="Tahoma" w:hAnsi="Tahoma" w:cs="Tahoma"/>
          <w:sz w:val="24"/>
          <w:szCs w:val="24"/>
        </w:rPr>
        <w:t xml:space="preserve"> z działaniami dedykowanymi bezpo</w:t>
      </w:r>
      <w:r w:rsidR="0066466B">
        <w:rPr>
          <w:rFonts w:ascii="Tahoma" w:hAnsi="Tahoma" w:cs="Tahoma"/>
          <w:sz w:val="24"/>
          <w:szCs w:val="24"/>
        </w:rPr>
        <w:t xml:space="preserve">średnio jednostkom pomocniczym </w:t>
      </w:r>
      <w:r w:rsidRPr="00E23770">
        <w:rPr>
          <w:rFonts w:ascii="Tahoma" w:hAnsi="Tahoma" w:cs="Tahoma"/>
          <w:sz w:val="24"/>
          <w:szCs w:val="24"/>
        </w:rPr>
        <w:t>-</w:t>
      </w:r>
      <w:r w:rsidR="00533F5E">
        <w:rPr>
          <w:rFonts w:ascii="Tahoma" w:hAnsi="Tahoma" w:cs="Tahoma"/>
          <w:sz w:val="24"/>
          <w:szCs w:val="24"/>
        </w:rPr>
        <w:t xml:space="preserve"> </w:t>
      </w:r>
      <w:r w:rsidRPr="00E23770">
        <w:rPr>
          <w:rFonts w:ascii="Tahoma" w:hAnsi="Tahoma" w:cs="Tahoma"/>
          <w:sz w:val="24"/>
          <w:szCs w:val="24"/>
        </w:rPr>
        <w:t>„tworzenie warunków do działania i rozwoju jednostek pomocniczych</w:t>
      </w:r>
      <w:r w:rsidR="0066466B">
        <w:rPr>
          <w:rFonts w:ascii="Tahoma" w:hAnsi="Tahoma" w:cs="Tahoma"/>
          <w:sz w:val="24"/>
          <w:szCs w:val="24"/>
        </w:rPr>
        <w:t>”-</w:t>
      </w:r>
      <w:r w:rsidRPr="00E23770">
        <w:rPr>
          <w:rFonts w:ascii="Tahoma" w:hAnsi="Tahoma" w:cs="Tahoma"/>
          <w:sz w:val="24"/>
          <w:szCs w:val="24"/>
        </w:rPr>
        <w:t xml:space="preserve"> z natury w postaci rozwiązań organizacyjnych czy też projektów materialnych. Wydaje się celowe, aby dążąc do podniesienia rangi jednostek pomocniczych, działania wobec nich były wyodrębnionym zadaniem własnych gminy i nie stanowiły jedynie fragmentu działań z natury miękkich. Z tych względów </w:t>
      </w:r>
      <w:r w:rsidRPr="00E23770">
        <w:rPr>
          <w:rFonts w:ascii="Tahoma" w:eastAsia="Calibri" w:hAnsi="Tahoma" w:cs="Tahoma"/>
          <w:sz w:val="24"/>
          <w:szCs w:val="24"/>
          <w:lang w:eastAsia="en-US"/>
        </w:rPr>
        <w:t>projekt zawiera nowelizację wymienionego przepisu i dodanie po nim pkt 17a, który wskazuje na funkcjonowania organów jednostek pomocniczych i wzmacniania wspólnot lokalnych jako ważne aspekty tworzenia warunków do działania i rozwoju jednostek pomocniczych. Dodany pkt17b  jest konsekwencją tak zarysowanego dążenia do zwiększenia odpowiedzialności g</w:t>
      </w:r>
      <w:r w:rsidR="0066466B">
        <w:rPr>
          <w:rFonts w:ascii="Tahoma" w:eastAsia="Calibri" w:hAnsi="Tahoma" w:cs="Tahoma"/>
          <w:sz w:val="24"/>
          <w:szCs w:val="24"/>
          <w:lang w:eastAsia="en-US"/>
        </w:rPr>
        <w:t>miny za rozwój i funkcjonowanie</w:t>
      </w:r>
      <w:r w:rsidRPr="00E23770">
        <w:rPr>
          <w:rFonts w:ascii="Tahoma" w:eastAsia="Calibri" w:hAnsi="Tahoma" w:cs="Tahoma"/>
          <w:sz w:val="24"/>
          <w:szCs w:val="24"/>
          <w:lang w:eastAsia="en-US"/>
        </w:rPr>
        <w:t xml:space="preserve"> jednostek pomocniczych. Wobec drastycznych różnic wyposażenia jednostek pomocniczych, w szczególności sołectw, w infrastrukturę i inne elementy warunkujące jakość życia mieszkańców, punkt ten ustanawia nowe narzędzie  poprawy tego stanu rzeczy, tj. </w:t>
      </w:r>
      <w:r w:rsidRPr="00E23770">
        <w:rPr>
          <w:rFonts w:ascii="Tahoma" w:eastAsia="Calibri" w:hAnsi="Tahoma" w:cs="Tahoma"/>
          <w:b/>
          <w:sz w:val="24"/>
          <w:szCs w:val="24"/>
          <w:lang w:eastAsia="en-US"/>
        </w:rPr>
        <w:t>programy poprawy zaopatrzenia, usług i wyposażenia jednostek pomocniczych w infrastrukturę i inne ele</w:t>
      </w:r>
      <w:r w:rsidR="0066466B">
        <w:rPr>
          <w:rFonts w:ascii="Tahoma" w:eastAsia="Calibri" w:hAnsi="Tahoma" w:cs="Tahoma"/>
          <w:b/>
          <w:sz w:val="24"/>
          <w:szCs w:val="24"/>
          <w:lang w:eastAsia="en-US"/>
        </w:rPr>
        <w:t xml:space="preserve">menty warunkujące jakość życia </w:t>
      </w:r>
      <w:r w:rsidRPr="00E23770">
        <w:rPr>
          <w:rFonts w:ascii="Tahoma" w:eastAsia="Calibri" w:hAnsi="Tahoma" w:cs="Tahoma"/>
          <w:b/>
          <w:sz w:val="24"/>
          <w:szCs w:val="24"/>
          <w:lang w:eastAsia="en-US"/>
        </w:rPr>
        <w:t>mieszkańców</w:t>
      </w:r>
      <w:r w:rsidRPr="00E23770">
        <w:rPr>
          <w:rFonts w:ascii="Tahoma" w:eastAsia="Calibri" w:hAnsi="Tahoma" w:cs="Tahoma"/>
          <w:sz w:val="24"/>
          <w:szCs w:val="24"/>
          <w:lang w:eastAsia="en-US"/>
        </w:rPr>
        <w:t xml:space="preserve">. </w:t>
      </w:r>
    </w:p>
    <w:p w14:paraId="6FE33E89" w14:textId="77777777" w:rsidR="00BC37D5" w:rsidRPr="00E23770" w:rsidRDefault="00BC37D5" w:rsidP="00BC37D5">
      <w:pPr>
        <w:pStyle w:val="Akapitzlist"/>
        <w:spacing w:line="276" w:lineRule="auto"/>
        <w:jc w:val="both"/>
        <w:rPr>
          <w:rFonts w:ascii="Tahoma" w:eastAsia="Calibri" w:hAnsi="Tahoma" w:cs="Tahoma"/>
          <w:sz w:val="24"/>
          <w:szCs w:val="24"/>
          <w:lang w:eastAsia="en-US"/>
        </w:rPr>
      </w:pPr>
    </w:p>
    <w:p w14:paraId="7BE3067A" w14:textId="377240EC" w:rsidR="00BC37D5" w:rsidRPr="00E23770" w:rsidRDefault="00BC37D5" w:rsidP="00BC37D5">
      <w:pPr>
        <w:pStyle w:val="Akapitzlist"/>
        <w:widowControl w:val="0"/>
        <w:numPr>
          <w:ilvl w:val="0"/>
          <w:numId w:val="8"/>
        </w:numPr>
        <w:autoSpaceDE w:val="0"/>
        <w:autoSpaceDN w:val="0"/>
        <w:adjustRightInd w:val="0"/>
        <w:spacing w:after="0" w:line="276" w:lineRule="auto"/>
        <w:jc w:val="both"/>
        <w:rPr>
          <w:rFonts w:ascii="Tahoma" w:hAnsi="Tahoma" w:cs="Tahoma"/>
          <w:sz w:val="24"/>
          <w:szCs w:val="24"/>
        </w:rPr>
      </w:pPr>
      <w:r w:rsidRPr="00E23770">
        <w:rPr>
          <w:rFonts w:ascii="Tahoma" w:eastAsia="Calibri" w:hAnsi="Tahoma" w:cs="Tahoma"/>
          <w:sz w:val="24"/>
          <w:szCs w:val="24"/>
          <w:lang w:eastAsia="en-US"/>
        </w:rPr>
        <w:t>Ułatwienia w zakresie przekazywania przez gminę zadań do realizacji przez jednostki pomocnicze oraz składników mienia gminnego do zarządzania i korzystania przez te jednostki. Kwestie te będą regulowane uchwałami rady gminy, w których organ ten określi zakres przekazywanych zadań oraz wskaże składniki mienia podlegające przekazaniu, co dotąd stanowiło materię statutów jednostek pomocniczych. Ponadto projekt przewiduje określenie zakresu czynności dokonywanych samodzielnie przez jednostkę pomocniczą w stosunku do przekazywanego jej mienia (zmiana brzmienia art.</w:t>
      </w:r>
      <w:r w:rsidR="00CA579F">
        <w:rPr>
          <w:rFonts w:ascii="Tahoma" w:eastAsia="Calibri" w:hAnsi="Tahoma" w:cs="Tahoma"/>
          <w:sz w:val="24"/>
          <w:szCs w:val="24"/>
          <w:lang w:eastAsia="en-US"/>
        </w:rPr>
        <w:t xml:space="preserve"> </w:t>
      </w:r>
      <w:r w:rsidRPr="00E23770">
        <w:rPr>
          <w:rFonts w:ascii="Tahoma" w:eastAsia="Calibri" w:hAnsi="Tahoma" w:cs="Tahoma"/>
          <w:sz w:val="24"/>
          <w:szCs w:val="24"/>
          <w:lang w:eastAsia="en-US"/>
        </w:rPr>
        <w:t xml:space="preserve">18 ust. 2 pkt 7 u.s.g.). Rozwiązanie to stanowi istotne ułatwienia i pozwala na elastyczne kształtowanie zadań jednostek pomocniczych oraz wyposażanie ich w mienie zależnie od potrzeb i zmieniającego się jej potencjału rozwojowego i organizacyjnego. Ponadto, co istotne, jednostki pomocnicze będą mogły </w:t>
      </w:r>
      <w:r w:rsidRPr="00E23770">
        <w:rPr>
          <w:rFonts w:ascii="Tahoma" w:hAnsi="Tahoma" w:cs="Tahoma"/>
          <w:sz w:val="24"/>
          <w:szCs w:val="24"/>
        </w:rPr>
        <w:t xml:space="preserve">wnioskować o przekazanie im zadań do realizacji; </w:t>
      </w:r>
    </w:p>
    <w:p w14:paraId="4F7C6823" w14:textId="3462B723" w:rsidR="00BC37D5" w:rsidRPr="00E23770" w:rsidRDefault="00CA579F" w:rsidP="00BC37D5">
      <w:pPr>
        <w:pStyle w:val="Akapitzlist"/>
        <w:spacing w:line="276" w:lineRule="auto"/>
        <w:jc w:val="both"/>
        <w:rPr>
          <w:rFonts w:ascii="Tahoma" w:hAnsi="Tahoma" w:cs="Tahoma"/>
          <w:sz w:val="24"/>
          <w:szCs w:val="24"/>
        </w:rPr>
      </w:pPr>
      <w:r>
        <w:rPr>
          <w:rFonts w:ascii="Tahoma" w:hAnsi="Tahoma" w:cs="Tahoma"/>
          <w:sz w:val="24"/>
          <w:szCs w:val="24"/>
        </w:rPr>
        <w:lastRenderedPageBreak/>
        <w:t>P</w:t>
      </w:r>
      <w:r w:rsidR="00BC37D5" w:rsidRPr="00E23770">
        <w:rPr>
          <w:rFonts w:ascii="Tahoma" w:hAnsi="Tahoma" w:cs="Tahoma"/>
          <w:sz w:val="24"/>
          <w:szCs w:val="24"/>
        </w:rPr>
        <w:t xml:space="preserve">rojekt zakłada uchylenie </w:t>
      </w:r>
      <w:r w:rsidR="00BC37D5" w:rsidRPr="00A93684">
        <w:rPr>
          <w:rFonts w:ascii="Tahoma" w:hAnsi="Tahoma" w:cs="Tahoma"/>
          <w:sz w:val="24"/>
          <w:szCs w:val="24"/>
        </w:rPr>
        <w:t>art. 48 u.s.g.</w:t>
      </w:r>
      <w:r>
        <w:rPr>
          <w:rFonts w:ascii="Tahoma" w:hAnsi="Tahoma" w:cs="Tahoma"/>
          <w:sz w:val="24"/>
          <w:szCs w:val="24"/>
        </w:rPr>
        <w:t xml:space="preserve"> </w:t>
      </w:r>
      <w:r w:rsidR="00A93684">
        <w:rPr>
          <w:rFonts w:ascii="Tahoma" w:hAnsi="Tahoma" w:cs="Tahoma"/>
          <w:sz w:val="24"/>
          <w:szCs w:val="24"/>
        </w:rPr>
        <w:t>z</w:t>
      </w:r>
      <w:r>
        <w:rPr>
          <w:rFonts w:ascii="Tahoma" w:hAnsi="Tahoma" w:cs="Tahoma"/>
          <w:sz w:val="24"/>
          <w:szCs w:val="24"/>
        </w:rPr>
        <w:t xml:space="preserve"> uwagi na fakt, że większość zawartych w nim regulacji została aktualnie ujęta w art. 37c projektu. </w:t>
      </w:r>
    </w:p>
    <w:p w14:paraId="72B3DD41" w14:textId="77777777" w:rsidR="00BC37D5" w:rsidRPr="00E23770" w:rsidRDefault="00BC37D5" w:rsidP="00BC37D5">
      <w:pPr>
        <w:pStyle w:val="Akapitzlist"/>
        <w:spacing w:line="276" w:lineRule="auto"/>
        <w:jc w:val="both"/>
        <w:rPr>
          <w:rFonts w:ascii="Tahoma" w:hAnsi="Tahoma" w:cs="Tahoma"/>
          <w:sz w:val="24"/>
          <w:szCs w:val="24"/>
        </w:rPr>
      </w:pPr>
    </w:p>
    <w:p w14:paraId="793BFEF2" w14:textId="697B6618" w:rsidR="00BC37D5" w:rsidRPr="00E23770" w:rsidRDefault="00533F5E" w:rsidP="00533F5E">
      <w:pPr>
        <w:spacing w:line="276" w:lineRule="auto"/>
        <w:ind w:left="705" w:hanging="705"/>
        <w:jc w:val="both"/>
        <w:rPr>
          <w:rFonts w:ascii="Tahoma" w:eastAsia="Calibri" w:hAnsi="Tahoma" w:cs="Tahoma"/>
          <w:sz w:val="24"/>
          <w:szCs w:val="24"/>
        </w:rPr>
      </w:pPr>
      <w:r>
        <w:rPr>
          <w:rFonts w:ascii="Tahoma" w:eastAsia="Calibri" w:hAnsi="Tahoma" w:cs="Tahoma"/>
          <w:sz w:val="24"/>
          <w:szCs w:val="24"/>
        </w:rPr>
        <w:t>4.</w:t>
      </w:r>
      <w:r>
        <w:rPr>
          <w:rFonts w:ascii="Tahoma" w:eastAsia="Calibri" w:hAnsi="Tahoma" w:cs="Tahoma"/>
          <w:sz w:val="24"/>
          <w:szCs w:val="24"/>
        </w:rPr>
        <w:tab/>
      </w:r>
      <w:r w:rsidR="00BC37D5" w:rsidRPr="00E23770">
        <w:rPr>
          <w:rFonts w:ascii="Tahoma" w:eastAsia="Calibri" w:hAnsi="Tahoma" w:cs="Tahoma"/>
          <w:sz w:val="24"/>
          <w:szCs w:val="24"/>
        </w:rPr>
        <w:t xml:space="preserve">Wyodrębniono rozdział 3a „Jednostki pomocnicze”. Dotąd przepisy regulujące funkcjonowanie jednostek pomocniczych były rozproszone w tekście ustawy. Proponowana zmiana, prócz gestu docenienia przez ustawodawcę znaczenia jednostek pomocniczych ułatwi rozumienie i absorpcję przepisów ustawy przez obywateli. </w:t>
      </w:r>
    </w:p>
    <w:p w14:paraId="0DB07F2E" w14:textId="713CFDD1" w:rsidR="00BC37D5" w:rsidRPr="00E23770" w:rsidRDefault="00BC37D5" w:rsidP="00533F5E">
      <w:pPr>
        <w:spacing w:line="276" w:lineRule="auto"/>
        <w:ind w:left="705"/>
        <w:jc w:val="both"/>
        <w:rPr>
          <w:rFonts w:ascii="Tahoma" w:eastAsia="Calibri" w:hAnsi="Tahoma" w:cs="Tahoma"/>
          <w:sz w:val="24"/>
          <w:szCs w:val="24"/>
        </w:rPr>
      </w:pPr>
      <w:r w:rsidRPr="00E23770">
        <w:rPr>
          <w:rFonts w:ascii="Tahoma" w:eastAsia="Calibri" w:hAnsi="Tahoma" w:cs="Tahoma"/>
          <w:sz w:val="24"/>
          <w:szCs w:val="24"/>
        </w:rPr>
        <w:t>W związku z tym wyodrębnieniem projekt przewiduje uchylenie art. 38, którego treść stanowi dodany art. 3a oraz uchylenie art. 39, którego nowe brzmienie stanowi art. 33a. W Rozdziale tym zawarto kolejne rozwiązania wzmacniające jednostki pomocnicze i ich organy, przy czym koncentrują się one na sołectwie ze względu na ugruntowaną tradycję funkcjonowania, zdiagnozowany niedobór podmiotowości tych społeczności powiązany z ograniczeniem możliwości działania w ramach zasady subsydiarności</w:t>
      </w:r>
      <w:r w:rsidR="00533F5E" w:rsidRPr="00E4184D">
        <w:rPr>
          <w:rFonts w:ascii="Tahoma" w:eastAsia="Calibri" w:hAnsi="Tahoma" w:cs="Tahoma"/>
          <w:sz w:val="24"/>
          <w:szCs w:val="24"/>
        </w:rPr>
        <w:t>.</w:t>
      </w:r>
    </w:p>
    <w:p w14:paraId="470BC587" w14:textId="77777777" w:rsidR="00BC37D5" w:rsidRPr="00E23770" w:rsidRDefault="00BC37D5" w:rsidP="00BC37D5">
      <w:pPr>
        <w:pStyle w:val="Akapitzlist"/>
        <w:spacing w:line="276" w:lineRule="auto"/>
        <w:jc w:val="both"/>
        <w:rPr>
          <w:rFonts w:ascii="Tahoma" w:eastAsia="Calibri" w:hAnsi="Tahoma" w:cs="Tahoma"/>
          <w:sz w:val="24"/>
          <w:szCs w:val="24"/>
          <w:lang w:eastAsia="en-US"/>
        </w:rPr>
      </w:pPr>
    </w:p>
    <w:p w14:paraId="29A5A044" w14:textId="1955712C" w:rsidR="00BC37D5" w:rsidRPr="00E23770" w:rsidRDefault="00BC37D5" w:rsidP="00BC37D5">
      <w:pPr>
        <w:pStyle w:val="Akapitzlist"/>
        <w:numPr>
          <w:ilvl w:val="0"/>
          <w:numId w:val="9"/>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W zakresie statutów jednostek pomocniczych przewid</w:t>
      </w:r>
      <w:r w:rsidR="00533F5E">
        <w:rPr>
          <w:rFonts w:ascii="Tahoma" w:eastAsia="Calibri" w:hAnsi="Tahoma" w:cs="Tahoma"/>
          <w:sz w:val="24"/>
          <w:szCs w:val="24"/>
          <w:lang w:eastAsia="en-US"/>
        </w:rPr>
        <w:t>ziano (art. 35 ust. 1 projektu)</w:t>
      </w:r>
      <w:r w:rsidRPr="00E23770">
        <w:rPr>
          <w:rFonts w:ascii="Tahoma" w:eastAsia="Calibri" w:hAnsi="Tahoma" w:cs="Tahoma"/>
          <w:sz w:val="24"/>
          <w:szCs w:val="24"/>
          <w:lang w:eastAsia="en-US"/>
        </w:rPr>
        <w:t xml:space="preserve"> </w:t>
      </w:r>
      <w:r w:rsidR="00533F5E">
        <w:rPr>
          <w:rFonts w:ascii="Tahoma" w:eastAsia="Calibri" w:hAnsi="Tahoma" w:cs="Tahoma"/>
          <w:sz w:val="24"/>
          <w:szCs w:val="24"/>
          <w:lang w:eastAsia="en-US"/>
        </w:rPr>
        <w:t xml:space="preserve">ułatwienie w dokonywaniu zmian </w:t>
      </w:r>
      <w:r w:rsidRPr="00E23770">
        <w:rPr>
          <w:rFonts w:ascii="Tahoma" w:eastAsia="Calibri" w:hAnsi="Tahoma" w:cs="Tahoma"/>
          <w:sz w:val="24"/>
          <w:szCs w:val="24"/>
          <w:lang w:eastAsia="en-US"/>
        </w:rPr>
        <w:t>w sytuacji, gdy zmiany te wynikają z woli organu uchwało</w:t>
      </w:r>
      <w:r w:rsidR="00533F5E">
        <w:rPr>
          <w:rFonts w:ascii="Tahoma" w:eastAsia="Calibri" w:hAnsi="Tahoma" w:cs="Tahoma"/>
          <w:sz w:val="24"/>
          <w:szCs w:val="24"/>
          <w:lang w:eastAsia="en-US"/>
        </w:rPr>
        <w:t xml:space="preserve">dawczego jednostki pomocniczej </w:t>
      </w:r>
      <w:r w:rsidRPr="00E23770">
        <w:rPr>
          <w:rFonts w:ascii="Tahoma" w:eastAsia="Calibri" w:hAnsi="Tahoma" w:cs="Tahoma"/>
          <w:sz w:val="24"/>
          <w:szCs w:val="24"/>
          <w:lang w:eastAsia="en-US"/>
        </w:rPr>
        <w:t>oraz uregulowano kwestie odwołania organów jednostki pomocniczej oraz odwołania od wyników wyborów jej organów (w art. 35 ust.</w:t>
      </w:r>
      <w:r w:rsidR="00533F5E">
        <w:rPr>
          <w:rFonts w:ascii="Tahoma" w:eastAsia="Calibri" w:hAnsi="Tahoma" w:cs="Tahoma"/>
          <w:sz w:val="24"/>
          <w:szCs w:val="24"/>
          <w:lang w:eastAsia="en-US"/>
        </w:rPr>
        <w:t xml:space="preserve"> </w:t>
      </w:r>
      <w:r w:rsidRPr="00E23770">
        <w:rPr>
          <w:rFonts w:ascii="Tahoma" w:eastAsia="Calibri" w:hAnsi="Tahoma" w:cs="Tahoma"/>
          <w:sz w:val="24"/>
          <w:szCs w:val="24"/>
          <w:lang w:eastAsia="en-US"/>
        </w:rPr>
        <w:t>3 zmieniony pkt 2 i dodany pkt. 2a);</w:t>
      </w:r>
    </w:p>
    <w:p w14:paraId="52020A79" w14:textId="77777777" w:rsidR="00BC37D5" w:rsidRPr="00E23770" w:rsidRDefault="00BC37D5" w:rsidP="00BC37D5">
      <w:pPr>
        <w:pStyle w:val="Akapitzlist"/>
        <w:spacing w:line="276" w:lineRule="auto"/>
        <w:jc w:val="both"/>
        <w:rPr>
          <w:rFonts w:ascii="Tahoma" w:eastAsia="Calibri" w:hAnsi="Tahoma" w:cs="Tahoma"/>
          <w:sz w:val="24"/>
          <w:szCs w:val="24"/>
          <w:lang w:eastAsia="en-US"/>
        </w:rPr>
      </w:pPr>
    </w:p>
    <w:p w14:paraId="33589F85" w14:textId="0099F553" w:rsidR="00BC37D5" w:rsidRPr="00E23770" w:rsidRDefault="00BC37D5" w:rsidP="00BC37D5">
      <w:pPr>
        <w:pStyle w:val="Akapitzlist"/>
        <w:numPr>
          <w:ilvl w:val="0"/>
          <w:numId w:val="9"/>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Po raz pierwszy określono katalog uprawnień jednostek pomocniczych (art. 35a</w:t>
      </w:r>
      <w:r w:rsidR="0068197E">
        <w:rPr>
          <w:rFonts w:ascii="Tahoma" w:eastAsia="Calibri" w:hAnsi="Tahoma" w:cs="Tahoma"/>
          <w:sz w:val="24"/>
          <w:szCs w:val="24"/>
          <w:vertAlign w:val="superscript"/>
          <w:lang w:eastAsia="en-US"/>
        </w:rPr>
        <w:t>1</w:t>
      </w:r>
      <w:r w:rsidRPr="00E23770">
        <w:rPr>
          <w:rFonts w:ascii="Tahoma" w:eastAsia="Calibri" w:hAnsi="Tahoma" w:cs="Tahoma"/>
          <w:sz w:val="24"/>
          <w:szCs w:val="24"/>
          <w:lang w:eastAsia="en-US"/>
        </w:rPr>
        <w:t>).</w:t>
      </w:r>
    </w:p>
    <w:p w14:paraId="69EC89CE" w14:textId="77777777" w:rsidR="00BC37D5" w:rsidRPr="00E23770" w:rsidRDefault="00BC37D5" w:rsidP="00BC37D5">
      <w:pPr>
        <w:spacing w:line="276" w:lineRule="auto"/>
        <w:ind w:left="1080"/>
        <w:jc w:val="both"/>
        <w:rPr>
          <w:rFonts w:ascii="Tahoma" w:eastAsia="Calibri" w:hAnsi="Tahoma" w:cs="Tahoma"/>
          <w:sz w:val="24"/>
          <w:szCs w:val="24"/>
        </w:rPr>
      </w:pPr>
      <w:r w:rsidRPr="00E23770">
        <w:rPr>
          <w:rFonts w:ascii="Tahoma" w:eastAsia="Calibri" w:hAnsi="Tahoma" w:cs="Tahoma"/>
          <w:sz w:val="24"/>
          <w:szCs w:val="24"/>
        </w:rPr>
        <w:t xml:space="preserve">Uprawnienia te dotyczą możliwości kreowania rozwoju własnego i obejmują </w:t>
      </w:r>
      <w:r w:rsidRPr="00E23770">
        <w:rPr>
          <w:rFonts w:ascii="Tahoma" w:eastAsiaTheme="minorEastAsia" w:hAnsi="Tahoma" w:cs="Tahoma"/>
          <w:sz w:val="24"/>
          <w:szCs w:val="24"/>
        </w:rPr>
        <w:t xml:space="preserve">opracowywanie i wdrażania programy rozwoju społeczno – gospodarczego, w zakresie: </w:t>
      </w:r>
    </w:p>
    <w:p w14:paraId="326F9188" w14:textId="77777777" w:rsidR="00BC37D5" w:rsidRPr="00E23770" w:rsidRDefault="00BC37D5" w:rsidP="00BC37D5">
      <w:pPr>
        <w:spacing w:line="276" w:lineRule="auto"/>
        <w:ind w:left="1843" w:hanging="567"/>
        <w:contextualSpacing/>
        <w:jc w:val="both"/>
        <w:rPr>
          <w:rFonts w:ascii="Tahoma" w:eastAsiaTheme="minorEastAsia" w:hAnsi="Tahoma" w:cs="Tahoma"/>
          <w:sz w:val="24"/>
          <w:szCs w:val="24"/>
        </w:rPr>
      </w:pPr>
      <w:r w:rsidRPr="00E23770">
        <w:rPr>
          <w:rFonts w:ascii="Tahoma" w:eastAsiaTheme="minorEastAsia" w:hAnsi="Tahoma" w:cs="Tahoma"/>
          <w:sz w:val="24"/>
          <w:szCs w:val="24"/>
        </w:rPr>
        <w:t>a)</w:t>
      </w:r>
      <w:r w:rsidRPr="00E23770">
        <w:rPr>
          <w:rFonts w:ascii="Tahoma" w:eastAsiaTheme="minorEastAsia" w:hAnsi="Tahoma" w:cs="Tahoma"/>
          <w:sz w:val="24"/>
          <w:szCs w:val="24"/>
        </w:rPr>
        <w:tab/>
        <w:t>rozwoju infrastruktury i poprawy warunków życia mieszkańców,</w:t>
      </w:r>
    </w:p>
    <w:p w14:paraId="7D2EE53F" w14:textId="77777777" w:rsidR="00BC37D5" w:rsidRPr="00E23770" w:rsidRDefault="00BC37D5" w:rsidP="00BC37D5">
      <w:pPr>
        <w:spacing w:line="276" w:lineRule="auto"/>
        <w:ind w:left="1843" w:hanging="567"/>
        <w:contextualSpacing/>
        <w:jc w:val="both"/>
        <w:rPr>
          <w:rFonts w:ascii="Tahoma" w:eastAsiaTheme="minorEastAsia" w:hAnsi="Tahoma" w:cs="Tahoma"/>
          <w:sz w:val="24"/>
          <w:szCs w:val="24"/>
        </w:rPr>
      </w:pPr>
      <w:r w:rsidRPr="00E23770">
        <w:rPr>
          <w:rFonts w:ascii="Tahoma" w:eastAsiaTheme="minorEastAsia" w:hAnsi="Tahoma" w:cs="Tahoma"/>
          <w:sz w:val="24"/>
          <w:szCs w:val="24"/>
        </w:rPr>
        <w:t>b)</w:t>
      </w:r>
      <w:r w:rsidRPr="00E23770">
        <w:rPr>
          <w:rFonts w:ascii="Tahoma" w:eastAsiaTheme="minorEastAsia" w:hAnsi="Tahoma" w:cs="Tahoma"/>
          <w:sz w:val="24"/>
          <w:szCs w:val="24"/>
        </w:rPr>
        <w:tab/>
        <w:t xml:space="preserve">wzmacniania gospodarki lokalnej, </w:t>
      </w:r>
    </w:p>
    <w:p w14:paraId="0B1D8FBC" w14:textId="77777777" w:rsidR="00BC37D5" w:rsidRPr="00E23770" w:rsidRDefault="00BC37D5" w:rsidP="00BC37D5">
      <w:pPr>
        <w:spacing w:line="276" w:lineRule="auto"/>
        <w:ind w:left="1843" w:hanging="567"/>
        <w:contextualSpacing/>
        <w:jc w:val="both"/>
        <w:rPr>
          <w:rFonts w:ascii="Tahoma" w:eastAsiaTheme="minorEastAsia" w:hAnsi="Tahoma" w:cs="Tahoma"/>
          <w:sz w:val="24"/>
          <w:szCs w:val="24"/>
        </w:rPr>
      </w:pPr>
      <w:r w:rsidRPr="00E23770">
        <w:rPr>
          <w:rFonts w:ascii="Tahoma" w:eastAsiaTheme="minorEastAsia" w:hAnsi="Tahoma" w:cs="Tahoma"/>
          <w:sz w:val="24"/>
          <w:szCs w:val="24"/>
        </w:rPr>
        <w:t>c)</w:t>
      </w:r>
      <w:r w:rsidRPr="00E23770">
        <w:rPr>
          <w:rFonts w:ascii="Tahoma" w:eastAsiaTheme="minorEastAsia" w:hAnsi="Tahoma" w:cs="Tahoma"/>
          <w:sz w:val="24"/>
          <w:szCs w:val="24"/>
        </w:rPr>
        <w:tab/>
        <w:t xml:space="preserve">rewitalizacji, zagospodarowania obiektów i terenów publicznych, </w:t>
      </w:r>
    </w:p>
    <w:p w14:paraId="081FDDB7" w14:textId="77777777" w:rsidR="00BC37D5" w:rsidRPr="00E23770" w:rsidRDefault="00BC37D5" w:rsidP="00BC37D5">
      <w:pPr>
        <w:spacing w:line="276" w:lineRule="auto"/>
        <w:ind w:left="1843" w:hanging="567"/>
        <w:contextualSpacing/>
        <w:jc w:val="both"/>
        <w:rPr>
          <w:rFonts w:ascii="Tahoma" w:eastAsiaTheme="minorEastAsia" w:hAnsi="Tahoma" w:cs="Tahoma"/>
          <w:sz w:val="24"/>
          <w:szCs w:val="24"/>
        </w:rPr>
      </w:pPr>
      <w:r w:rsidRPr="00E23770">
        <w:rPr>
          <w:rFonts w:ascii="Tahoma" w:eastAsiaTheme="minorEastAsia" w:hAnsi="Tahoma" w:cs="Tahoma"/>
          <w:sz w:val="24"/>
          <w:szCs w:val="24"/>
        </w:rPr>
        <w:t>d)</w:t>
      </w:r>
      <w:r w:rsidRPr="00E23770">
        <w:rPr>
          <w:rFonts w:ascii="Tahoma" w:eastAsiaTheme="minorEastAsia" w:hAnsi="Tahoma" w:cs="Tahoma"/>
          <w:sz w:val="24"/>
          <w:szCs w:val="24"/>
        </w:rPr>
        <w:tab/>
        <w:t xml:space="preserve">umacniania tożsamości, kultywowania tradycji, </w:t>
      </w:r>
    </w:p>
    <w:p w14:paraId="498974B8" w14:textId="77777777" w:rsidR="00BC37D5" w:rsidRPr="00E23770" w:rsidRDefault="00BC37D5" w:rsidP="00BC37D5">
      <w:pPr>
        <w:spacing w:line="276" w:lineRule="auto"/>
        <w:ind w:left="1843" w:hanging="567"/>
        <w:contextualSpacing/>
        <w:jc w:val="both"/>
        <w:rPr>
          <w:rFonts w:ascii="Tahoma" w:eastAsiaTheme="minorEastAsia" w:hAnsi="Tahoma" w:cs="Tahoma"/>
          <w:sz w:val="24"/>
          <w:szCs w:val="24"/>
        </w:rPr>
      </w:pPr>
      <w:r w:rsidRPr="00E23770">
        <w:rPr>
          <w:rFonts w:ascii="Tahoma" w:eastAsiaTheme="minorEastAsia" w:hAnsi="Tahoma" w:cs="Tahoma"/>
          <w:sz w:val="24"/>
          <w:szCs w:val="24"/>
        </w:rPr>
        <w:t>e)</w:t>
      </w:r>
      <w:r w:rsidRPr="00E23770">
        <w:rPr>
          <w:rFonts w:ascii="Tahoma" w:eastAsiaTheme="minorEastAsia" w:hAnsi="Tahoma" w:cs="Tahoma"/>
          <w:sz w:val="24"/>
          <w:szCs w:val="24"/>
        </w:rPr>
        <w:tab/>
        <w:t>podnoszenia wiedzy, umiejętności i kompetencji cyfrowych społeczności lokalnej,</w:t>
      </w:r>
    </w:p>
    <w:p w14:paraId="394F9C5F" w14:textId="77777777" w:rsidR="00BC37D5" w:rsidRPr="00E23770" w:rsidRDefault="00BC37D5" w:rsidP="00BC37D5">
      <w:pPr>
        <w:spacing w:line="276" w:lineRule="auto"/>
        <w:ind w:left="1843" w:hanging="567"/>
        <w:contextualSpacing/>
        <w:jc w:val="both"/>
        <w:rPr>
          <w:rFonts w:ascii="Tahoma" w:eastAsiaTheme="minorEastAsia" w:hAnsi="Tahoma" w:cs="Tahoma"/>
          <w:sz w:val="24"/>
          <w:szCs w:val="24"/>
        </w:rPr>
      </w:pPr>
      <w:r w:rsidRPr="00E23770">
        <w:rPr>
          <w:rFonts w:ascii="Tahoma" w:eastAsiaTheme="minorEastAsia" w:hAnsi="Tahoma" w:cs="Tahoma"/>
          <w:sz w:val="24"/>
          <w:szCs w:val="24"/>
        </w:rPr>
        <w:t>f)      promocji,</w:t>
      </w:r>
    </w:p>
    <w:p w14:paraId="3E2EC712" w14:textId="77777777" w:rsidR="00BC37D5" w:rsidRPr="00E23770" w:rsidRDefault="00BC37D5" w:rsidP="00BC37D5">
      <w:pPr>
        <w:tabs>
          <w:tab w:val="left" w:pos="1276"/>
        </w:tabs>
        <w:spacing w:line="276" w:lineRule="auto"/>
        <w:ind w:left="1276" w:hanging="425"/>
        <w:contextualSpacing/>
        <w:jc w:val="both"/>
        <w:rPr>
          <w:rFonts w:ascii="Tahoma" w:eastAsiaTheme="minorEastAsia" w:hAnsi="Tahoma" w:cs="Tahoma"/>
          <w:sz w:val="24"/>
          <w:szCs w:val="24"/>
        </w:rPr>
      </w:pPr>
      <w:r w:rsidRPr="00E23770">
        <w:rPr>
          <w:rFonts w:ascii="Tahoma" w:eastAsia="Calibri" w:hAnsi="Tahoma" w:cs="Tahoma"/>
          <w:sz w:val="24"/>
          <w:szCs w:val="24"/>
        </w:rPr>
        <w:tab/>
        <w:t xml:space="preserve">Ponadto jednostki pomocnicze będą mogły </w:t>
      </w:r>
      <w:r w:rsidRPr="00E23770">
        <w:rPr>
          <w:rFonts w:ascii="Tahoma" w:eastAsiaTheme="minorEastAsia" w:hAnsi="Tahoma" w:cs="Tahoma"/>
          <w:sz w:val="24"/>
          <w:szCs w:val="24"/>
        </w:rPr>
        <w:t>uczestniczyć w opracowaniu realizacji programów, o którym mowa w art. 7 ust. 17a (</w:t>
      </w:r>
      <w:r w:rsidRPr="00E23770">
        <w:rPr>
          <w:rFonts w:ascii="Tahoma" w:eastAsia="Calibri" w:hAnsi="Tahoma" w:cs="Tahoma"/>
          <w:sz w:val="24"/>
          <w:szCs w:val="24"/>
        </w:rPr>
        <w:t>programów poprawy zaopatrzenia, usług i wyposażenia jednostek pomocniczych w infrastrukturę i inne elementy warunkujące jakość życia  mieszkańców)</w:t>
      </w:r>
      <w:r w:rsidRPr="00E23770">
        <w:rPr>
          <w:rFonts w:ascii="Tahoma" w:eastAsiaTheme="minorEastAsia" w:hAnsi="Tahoma" w:cs="Tahoma"/>
          <w:sz w:val="24"/>
          <w:szCs w:val="24"/>
        </w:rPr>
        <w:t xml:space="preserve">, a </w:t>
      </w:r>
      <w:r w:rsidRPr="00E23770">
        <w:rPr>
          <w:rFonts w:ascii="Tahoma" w:eastAsiaTheme="minorEastAsia" w:hAnsi="Tahoma" w:cs="Tahoma"/>
          <w:sz w:val="24"/>
          <w:szCs w:val="24"/>
        </w:rPr>
        <w:lastRenderedPageBreak/>
        <w:t>także wnioskować o przekazanie im zadań do realizacji oraz mienia do zarządzania i korzystania”;</w:t>
      </w:r>
    </w:p>
    <w:p w14:paraId="2397E039" w14:textId="77777777" w:rsidR="00BC37D5" w:rsidRPr="00E23770" w:rsidRDefault="00BC37D5" w:rsidP="00BC37D5">
      <w:pPr>
        <w:pStyle w:val="Akapitzlist"/>
        <w:spacing w:line="276" w:lineRule="auto"/>
        <w:ind w:left="1080"/>
        <w:jc w:val="both"/>
        <w:rPr>
          <w:rFonts w:ascii="Tahoma" w:eastAsia="Calibri" w:hAnsi="Tahoma" w:cs="Tahoma"/>
          <w:sz w:val="24"/>
          <w:szCs w:val="24"/>
          <w:lang w:eastAsia="en-US"/>
        </w:rPr>
      </w:pPr>
    </w:p>
    <w:p w14:paraId="1481A6A7" w14:textId="77777777" w:rsidR="00BC37D5" w:rsidRPr="00E23770" w:rsidRDefault="00BC37D5" w:rsidP="00BC37D5">
      <w:pPr>
        <w:pStyle w:val="Akapitzlist"/>
        <w:numPr>
          <w:ilvl w:val="0"/>
          <w:numId w:val="9"/>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 xml:space="preserve">Zmieniono dotychczasowego ukształtowanie organu wykonawczego sołectwa i przekształcono go w organ kolegialny analogicznie do rozwiązania istniejącego w u.s.g. dla zarządów osiedli. </w:t>
      </w:r>
    </w:p>
    <w:p w14:paraId="4CE31422" w14:textId="77777777" w:rsidR="00BC37D5" w:rsidRPr="00E23770" w:rsidRDefault="00BC37D5" w:rsidP="00BC37D5">
      <w:pPr>
        <w:pStyle w:val="Akapitzlist"/>
        <w:spacing w:line="276" w:lineRule="auto"/>
        <w:ind w:left="1080"/>
        <w:jc w:val="both"/>
        <w:rPr>
          <w:rFonts w:ascii="Tahoma" w:eastAsia="Calibri" w:hAnsi="Tahoma" w:cs="Tahoma"/>
          <w:sz w:val="24"/>
          <w:szCs w:val="24"/>
          <w:lang w:eastAsia="en-US"/>
        </w:rPr>
      </w:pPr>
      <w:r w:rsidRPr="00E23770">
        <w:rPr>
          <w:rFonts w:ascii="Tahoma" w:eastAsia="Calibri" w:hAnsi="Tahoma" w:cs="Tahoma"/>
          <w:sz w:val="24"/>
          <w:szCs w:val="24"/>
          <w:lang w:eastAsia="en-US"/>
        </w:rPr>
        <w:t xml:space="preserve">Organem </w:t>
      </w:r>
      <w:r w:rsidRPr="00E23770">
        <w:rPr>
          <w:rFonts w:ascii="Tahoma" w:hAnsi="Tahoma" w:cs="Tahoma"/>
          <w:sz w:val="24"/>
          <w:szCs w:val="24"/>
        </w:rPr>
        <w:t xml:space="preserve">wykonawczym w sołectwie będzie rada sołecka pod przewodnictwem sołtysa. Zmiana stanowi </w:t>
      </w:r>
      <w:r w:rsidRPr="00E23770">
        <w:rPr>
          <w:rFonts w:ascii="Tahoma" w:eastAsia="Calibri" w:hAnsi="Tahoma" w:cs="Tahoma"/>
          <w:sz w:val="24"/>
          <w:szCs w:val="24"/>
          <w:lang w:eastAsia="en-US"/>
        </w:rPr>
        <w:t>wzmocnienie statusu rady sołeckiej, która dotąd była ciałem doradczym. Ułatwi to organowi wykonawczemu sołectwa (z sołtysem stojącym na jego czele) podejmowanie zadań prorozwojowych sołectwa (art. 36 ust. 1 projektu). Należy zauważyć, iż w społeczności wiejskie postrzegają radę sołecką jako ciało wykonawcze, a nie doradcze. Potwierdza to codzienna praktyka podejmowania najróżniejszych inicjatyw wykonywanych właśnie w formule „sołtys i rada sołecka”. Praktyka ta wykazuje, iż funkcjonalnie rada sołecka pełni rolę organu wykonawczego i stan ten należy usankcjonować. Proponuje się zachować termin „rada sołecka” jako historycznie utrwalony, pomimo iż pojęcie „rada” odnosi się do organów uchwałodawczych.</w:t>
      </w:r>
    </w:p>
    <w:p w14:paraId="3E88306C" w14:textId="77777777" w:rsidR="00BC37D5" w:rsidRPr="00E23770" w:rsidRDefault="00BC37D5" w:rsidP="00BC37D5">
      <w:pPr>
        <w:pStyle w:val="Akapitzlist"/>
        <w:spacing w:line="276" w:lineRule="auto"/>
        <w:ind w:left="1080"/>
        <w:jc w:val="both"/>
        <w:rPr>
          <w:rFonts w:ascii="Tahoma" w:eastAsia="Calibri" w:hAnsi="Tahoma" w:cs="Tahoma"/>
          <w:sz w:val="24"/>
          <w:szCs w:val="24"/>
          <w:lang w:eastAsia="en-US"/>
        </w:rPr>
      </w:pPr>
    </w:p>
    <w:p w14:paraId="09B6716F" w14:textId="77777777" w:rsidR="00BC37D5" w:rsidRPr="00E23770" w:rsidRDefault="00BC37D5" w:rsidP="00BC37D5">
      <w:pPr>
        <w:pStyle w:val="Akapitzlist"/>
        <w:numPr>
          <w:ilvl w:val="0"/>
          <w:numId w:val="9"/>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 xml:space="preserve">Określono możliwość </w:t>
      </w:r>
      <w:r w:rsidRPr="00E23770">
        <w:rPr>
          <w:rFonts w:ascii="Tahoma" w:hAnsi="Tahoma" w:cs="Tahoma"/>
          <w:sz w:val="24"/>
          <w:szCs w:val="24"/>
        </w:rPr>
        <w:t>odwołania od wyników wyborów oraz głosowania nad odwołaniem w formie pisemnej skargi do rady gminy (art. 36 ust 2a);</w:t>
      </w:r>
    </w:p>
    <w:p w14:paraId="372A6CC4" w14:textId="77777777" w:rsidR="00BC37D5" w:rsidRPr="00E23770" w:rsidRDefault="00BC37D5" w:rsidP="00BC37D5">
      <w:pPr>
        <w:pStyle w:val="Akapitzlist"/>
        <w:spacing w:line="276" w:lineRule="auto"/>
        <w:ind w:left="1080"/>
        <w:jc w:val="both"/>
        <w:rPr>
          <w:rFonts w:ascii="Tahoma" w:eastAsia="Calibri" w:hAnsi="Tahoma" w:cs="Tahoma"/>
          <w:sz w:val="24"/>
          <w:szCs w:val="24"/>
          <w:lang w:eastAsia="en-US"/>
        </w:rPr>
      </w:pPr>
    </w:p>
    <w:p w14:paraId="719B72F1" w14:textId="77777777" w:rsidR="00BC37D5" w:rsidRPr="00E23770" w:rsidRDefault="00BC37D5" w:rsidP="00BC37D5">
      <w:pPr>
        <w:pStyle w:val="Akapitzlist"/>
        <w:numPr>
          <w:ilvl w:val="0"/>
          <w:numId w:val="9"/>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Wzmocniono pozycję przewodniczącego organu jednostki pomocniczej  w pracach rady gminy (art. 37a projektu);</w:t>
      </w:r>
    </w:p>
    <w:p w14:paraId="73957C49" w14:textId="77777777" w:rsidR="00BC37D5" w:rsidRPr="00E23770" w:rsidRDefault="00BC37D5" w:rsidP="00BC37D5">
      <w:pPr>
        <w:spacing w:line="276" w:lineRule="auto"/>
        <w:jc w:val="both"/>
        <w:rPr>
          <w:rFonts w:ascii="Tahoma" w:eastAsia="Calibri" w:hAnsi="Tahoma" w:cs="Tahoma"/>
          <w:sz w:val="24"/>
          <w:szCs w:val="24"/>
        </w:rPr>
      </w:pPr>
    </w:p>
    <w:p w14:paraId="48CDFC92" w14:textId="77777777" w:rsidR="00BC37D5" w:rsidRPr="00E23770" w:rsidRDefault="00BC37D5" w:rsidP="00BC37D5">
      <w:pPr>
        <w:pStyle w:val="Akapitzlist"/>
        <w:widowControl w:val="0"/>
        <w:numPr>
          <w:ilvl w:val="0"/>
          <w:numId w:val="9"/>
        </w:numPr>
        <w:autoSpaceDE w:val="0"/>
        <w:autoSpaceDN w:val="0"/>
        <w:adjustRightInd w:val="0"/>
        <w:spacing w:after="0" w:line="276" w:lineRule="auto"/>
        <w:jc w:val="both"/>
        <w:rPr>
          <w:rFonts w:ascii="Tahoma" w:hAnsi="Tahoma" w:cs="Tahoma"/>
          <w:sz w:val="24"/>
          <w:szCs w:val="24"/>
          <w:u w:val="single"/>
        </w:rPr>
      </w:pPr>
      <w:r w:rsidRPr="00E23770">
        <w:rPr>
          <w:rFonts w:ascii="Tahoma" w:eastAsia="Calibri" w:hAnsi="Tahoma" w:cs="Tahoma"/>
          <w:sz w:val="24"/>
          <w:szCs w:val="24"/>
          <w:lang w:eastAsia="en-US"/>
        </w:rPr>
        <w:t xml:space="preserve"> Ustanowiono obowiązek określenia przez radę gminy zasad na jakich przyznawane będą diety dla przewodniczącego organu wykonawczego jednostki pomocniczej (w tym sołtysa). Zasady przyznawania diet dla członków jej organu wykonawczego (w tym członków rady sołeckiej) mają być ustalane fakultatywnie. Ponadto członkom organu wykonawczego jednostki pomocniczej ma przysługiwać zwrot kosztów podróży służbowych związanych z pełnieniem funkcji oraz podnoszeniem wiedzy i kompetencji (art. 37b projektu);</w:t>
      </w:r>
    </w:p>
    <w:p w14:paraId="215F5737" w14:textId="77777777" w:rsidR="00BC37D5" w:rsidRPr="00E23770" w:rsidRDefault="00BC37D5" w:rsidP="00BC37D5">
      <w:pPr>
        <w:pStyle w:val="Akapitzlist"/>
        <w:spacing w:line="276" w:lineRule="auto"/>
        <w:ind w:left="1080"/>
        <w:jc w:val="both"/>
        <w:rPr>
          <w:rFonts w:ascii="Tahoma" w:hAnsi="Tahoma" w:cs="Tahoma"/>
          <w:sz w:val="24"/>
          <w:szCs w:val="24"/>
          <w:u w:val="single"/>
        </w:rPr>
      </w:pPr>
      <w:r w:rsidRPr="00E23770">
        <w:rPr>
          <w:rFonts w:ascii="Tahoma" w:eastAsia="Calibri" w:hAnsi="Tahoma" w:cs="Tahoma"/>
          <w:sz w:val="24"/>
          <w:szCs w:val="24"/>
          <w:lang w:eastAsia="en-US"/>
        </w:rPr>
        <w:t xml:space="preserve"> </w:t>
      </w:r>
    </w:p>
    <w:p w14:paraId="61A19B37" w14:textId="1332D9D0" w:rsidR="00BC37D5" w:rsidRPr="00E23770" w:rsidRDefault="00BC37D5" w:rsidP="00BC37D5">
      <w:pPr>
        <w:pStyle w:val="Akapitzlist"/>
        <w:numPr>
          <w:ilvl w:val="0"/>
          <w:numId w:val="9"/>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 xml:space="preserve"> Przyznano sołtysowi </w:t>
      </w:r>
      <w:r w:rsidR="00EC6EA1">
        <w:rPr>
          <w:rFonts w:ascii="Tahoma" w:eastAsia="Calibri" w:hAnsi="Tahoma" w:cs="Tahoma"/>
          <w:sz w:val="24"/>
          <w:szCs w:val="24"/>
          <w:lang w:eastAsia="en-US"/>
        </w:rPr>
        <w:t xml:space="preserve">uprawnienie, w oparciu o jego uzasadniony wniosek,  do </w:t>
      </w:r>
      <w:r w:rsidRPr="00E23770">
        <w:rPr>
          <w:rFonts w:ascii="Tahoma" w:eastAsia="Calibri" w:hAnsi="Tahoma" w:cs="Tahoma"/>
          <w:sz w:val="24"/>
          <w:szCs w:val="24"/>
          <w:lang w:eastAsia="en-US"/>
        </w:rPr>
        <w:t>wynagrodzeni</w:t>
      </w:r>
      <w:r w:rsidR="00EC6EA1">
        <w:rPr>
          <w:rFonts w:ascii="Tahoma" w:eastAsia="Calibri" w:hAnsi="Tahoma" w:cs="Tahoma"/>
          <w:sz w:val="24"/>
          <w:szCs w:val="24"/>
          <w:lang w:eastAsia="en-US"/>
        </w:rPr>
        <w:t>a</w:t>
      </w:r>
      <w:r w:rsidRPr="00E23770">
        <w:rPr>
          <w:rFonts w:ascii="Tahoma" w:eastAsia="Calibri" w:hAnsi="Tahoma" w:cs="Tahoma"/>
          <w:sz w:val="24"/>
          <w:szCs w:val="24"/>
          <w:lang w:eastAsia="en-US"/>
        </w:rPr>
        <w:t xml:space="preserve"> za wykonywanie pracy na rzecz gminy, która nie jest związana z pełnieniem funkcji przewodniczącego rady sołeckiej. Czynności z zakresu prawa pracy wobec sołtysa wykonywać będzie wójt (w art. 36 u.s.g. dodany ust. 4);</w:t>
      </w:r>
    </w:p>
    <w:p w14:paraId="0FCC7CB4" w14:textId="77777777" w:rsidR="00BC37D5" w:rsidRPr="00E23770" w:rsidRDefault="00BC37D5" w:rsidP="00BC37D5">
      <w:pPr>
        <w:spacing w:line="276" w:lineRule="auto"/>
        <w:jc w:val="both"/>
        <w:rPr>
          <w:rFonts w:ascii="Tahoma" w:eastAsia="Calibri" w:hAnsi="Tahoma" w:cs="Tahoma"/>
          <w:sz w:val="24"/>
          <w:szCs w:val="24"/>
        </w:rPr>
      </w:pPr>
    </w:p>
    <w:p w14:paraId="32D8B233" w14:textId="77777777" w:rsidR="00BC37D5" w:rsidRPr="00E23770" w:rsidRDefault="00BC37D5" w:rsidP="00BC37D5">
      <w:pPr>
        <w:pStyle w:val="Akapitzlist"/>
        <w:numPr>
          <w:ilvl w:val="0"/>
          <w:numId w:val="9"/>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lastRenderedPageBreak/>
        <w:t xml:space="preserve"> Uprawniono jednostki pomocnicze do pozyskiwania środków, które mają służyć ich rozwojowi społeczno – gospodarczemu </w:t>
      </w:r>
      <w:r w:rsidRPr="00E23770">
        <w:rPr>
          <w:rFonts w:ascii="Tahoma" w:hAnsi="Tahoma" w:cs="Tahoma"/>
          <w:sz w:val="24"/>
          <w:szCs w:val="24"/>
        </w:rPr>
        <w:t xml:space="preserve">i zaspokajaniu potrzeb mieszkańców, pochodzące w szczególności z: ofiarności publicznej, darowizn, spadków, zapisów, dochodów z gospodarowania mieniem jednostki pomocniczej, </w:t>
      </w:r>
      <w:r w:rsidRPr="00E23770">
        <w:rPr>
          <w:rFonts w:ascii="Tahoma" w:eastAsia="Calibri" w:hAnsi="Tahoma" w:cs="Tahoma"/>
          <w:sz w:val="24"/>
          <w:szCs w:val="24"/>
          <w:lang w:eastAsia="en-US"/>
        </w:rPr>
        <w:t>dotacji z budżetu gminy,</w:t>
      </w:r>
      <w:r w:rsidRPr="00E23770">
        <w:rPr>
          <w:rFonts w:ascii="Tahoma" w:hAnsi="Tahoma" w:cs="Tahoma"/>
          <w:sz w:val="24"/>
          <w:szCs w:val="24"/>
        </w:rPr>
        <w:t xml:space="preserve"> innych środków pozyskanych na rzecz jednostki pomocniczej.</w:t>
      </w:r>
    </w:p>
    <w:p w14:paraId="3E3919D5" w14:textId="77777777" w:rsidR="00BC37D5" w:rsidRPr="00E23770" w:rsidRDefault="00BC37D5" w:rsidP="00BC37D5">
      <w:pPr>
        <w:pStyle w:val="Akapitzlist"/>
        <w:jc w:val="both"/>
        <w:rPr>
          <w:rFonts w:ascii="Tahoma" w:eastAsia="Calibri" w:hAnsi="Tahoma" w:cs="Tahoma"/>
          <w:sz w:val="24"/>
          <w:szCs w:val="24"/>
          <w:lang w:eastAsia="en-US"/>
        </w:rPr>
      </w:pPr>
    </w:p>
    <w:p w14:paraId="2FA0C8E9" w14:textId="0755DEB7" w:rsidR="00BC37D5" w:rsidRPr="00E23770" w:rsidRDefault="00BC37D5" w:rsidP="00BC37D5">
      <w:pPr>
        <w:pStyle w:val="Akapitzlist"/>
        <w:numPr>
          <w:ilvl w:val="0"/>
          <w:numId w:val="9"/>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 xml:space="preserve"> Przewidziano zasady założenia rachunku bankowego, gromadzenia środków na rachunku bankowym (art. 37d  projektu);</w:t>
      </w:r>
    </w:p>
    <w:p w14:paraId="464865E4" w14:textId="77777777" w:rsidR="00BC37D5" w:rsidRPr="00E23770" w:rsidRDefault="00BC37D5" w:rsidP="00BC37D5">
      <w:pPr>
        <w:spacing w:line="276" w:lineRule="auto"/>
        <w:jc w:val="both"/>
        <w:rPr>
          <w:rFonts w:ascii="Tahoma" w:eastAsia="Calibri" w:hAnsi="Tahoma" w:cs="Tahoma"/>
          <w:sz w:val="24"/>
          <w:szCs w:val="24"/>
        </w:rPr>
      </w:pPr>
    </w:p>
    <w:p w14:paraId="6279AE19" w14:textId="167D004E" w:rsidR="00BC37D5" w:rsidRPr="00E23770" w:rsidRDefault="00BC37D5" w:rsidP="00BC37D5">
      <w:pPr>
        <w:pStyle w:val="Akapitzlist"/>
        <w:numPr>
          <w:ilvl w:val="0"/>
          <w:numId w:val="9"/>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 xml:space="preserve"> Wzmocniono zakres partycypacji społeczności wiejskich w rozwoju sołectw poprzez możliwość otrzymywania przez sołectwo </w:t>
      </w:r>
      <w:r w:rsidR="00533F5E">
        <w:rPr>
          <w:rFonts w:ascii="Tahoma" w:eastAsia="Calibri" w:hAnsi="Tahoma" w:cs="Tahoma"/>
          <w:sz w:val="24"/>
          <w:szCs w:val="24"/>
          <w:lang w:eastAsia="en-US"/>
        </w:rPr>
        <w:t xml:space="preserve">dotacji z </w:t>
      </w:r>
      <w:r w:rsidRPr="00E23770">
        <w:rPr>
          <w:rFonts w:ascii="Tahoma" w:eastAsia="Calibri" w:hAnsi="Tahoma" w:cs="Tahoma"/>
          <w:sz w:val="24"/>
          <w:szCs w:val="24"/>
          <w:lang w:eastAsia="en-US"/>
        </w:rPr>
        <w:t xml:space="preserve">budżetu gminy-  art. 39e projektu. Artykuł ten  ustala również zasady rozliczania dotacji. </w:t>
      </w:r>
    </w:p>
    <w:p w14:paraId="7118DFDA" w14:textId="77777777" w:rsidR="00BC37D5" w:rsidRPr="00E23770" w:rsidRDefault="00BC37D5" w:rsidP="00BC37D5">
      <w:pPr>
        <w:spacing w:line="276" w:lineRule="auto"/>
        <w:jc w:val="both"/>
        <w:rPr>
          <w:rFonts w:ascii="Tahoma" w:hAnsi="Tahoma" w:cs="Tahoma"/>
          <w:sz w:val="24"/>
          <w:szCs w:val="24"/>
        </w:rPr>
      </w:pPr>
    </w:p>
    <w:p w14:paraId="6250A82D" w14:textId="77777777" w:rsidR="00BC37D5" w:rsidRPr="00E23770" w:rsidRDefault="00BC37D5" w:rsidP="00BC37D5">
      <w:pPr>
        <w:spacing w:line="276" w:lineRule="auto"/>
        <w:jc w:val="both"/>
        <w:rPr>
          <w:rFonts w:ascii="Tahoma" w:hAnsi="Tahoma" w:cs="Tahoma"/>
          <w:sz w:val="24"/>
          <w:szCs w:val="24"/>
        </w:rPr>
      </w:pPr>
      <w:r w:rsidRPr="00E23770">
        <w:rPr>
          <w:rFonts w:ascii="Tahoma" w:hAnsi="Tahoma" w:cs="Tahoma"/>
          <w:sz w:val="24"/>
          <w:szCs w:val="24"/>
        </w:rPr>
        <w:t>W związku z powyższymi rozwiązaniami:</w:t>
      </w:r>
    </w:p>
    <w:p w14:paraId="4B50BB76" w14:textId="77777777" w:rsidR="00BC37D5" w:rsidRPr="00E23770" w:rsidRDefault="00BC37D5" w:rsidP="00BC37D5">
      <w:pPr>
        <w:pStyle w:val="Akapitzlist"/>
        <w:numPr>
          <w:ilvl w:val="0"/>
          <w:numId w:val="10"/>
        </w:numPr>
        <w:autoSpaceDE w:val="0"/>
        <w:autoSpaceDN w:val="0"/>
        <w:adjustRightInd w:val="0"/>
        <w:spacing w:after="0" w:line="276" w:lineRule="auto"/>
        <w:jc w:val="both"/>
        <w:rPr>
          <w:rFonts w:ascii="Tahoma" w:hAnsi="Tahoma" w:cs="Tahoma"/>
          <w:sz w:val="24"/>
          <w:szCs w:val="24"/>
        </w:rPr>
      </w:pPr>
      <w:r w:rsidRPr="00E23770">
        <w:rPr>
          <w:rFonts w:ascii="Tahoma" w:hAnsi="Tahoma" w:cs="Tahoma"/>
          <w:sz w:val="24"/>
          <w:szCs w:val="24"/>
        </w:rPr>
        <w:t>w ustawie z dnia 29 sierpnia 1997 r. - Prawo bankowe rozszerzono o sołectwa katalog podmiotów, dla których prowadzone są rachunki rozliczeniowe oraz rachunki lokat terminowych.</w:t>
      </w:r>
    </w:p>
    <w:p w14:paraId="73347408" w14:textId="77777777" w:rsidR="00BC37D5" w:rsidRPr="00E23770" w:rsidRDefault="00BC37D5" w:rsidP="00BC37D5">
      <w:pPr>
        <w:pStyle w:val="Akapitzlist"/>
        <w:numPr>
          <w:ilvl w:val="0"/>
          <w:numId w:val="10"/>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 xml:space="preserve">w ustawie </w:t>
      </w:r>
      <w:r w:rsidRPr="00E23770">
        <w:rPr>
          <w:rFonts w:ascii="Tahoma" w:hAnsi="Tahoma" w:cs="Tahoma"/>
          <w:sz w:val="24"/>
          <w:szCs w:val="24"/>
        </w:rPr>
        <w:t xml:space="preserve">z dnia 24 kwietnia 2003 r. </w:t>
      </w:r>
      <w:r w:rsidRPr="00E23770">
        <w:rPr>
          <w:rFonts w:ascii="Tahoma" w:eastAsia="Calibri" w:hAnsi="Tahoma" w:cs="Tahoma"/>
          <w:sz w:val="24"/>
          <w:szCs w:val="24"/>
          <w:lang w:eastAsia="en-US"/>
        </w:rPr>
        <w:t>o pożytku publicznym i woluntariacie zaproponowano włączenie jednostek pomocniczych w krąg podmiotów uprawnionych do realizacji inicjatywy lokalnej.</w:t>
      </w:r>
    </w:p>
    <w:p w14:paraId="3E5452C3" w14:textId="77777777" w:rsidR="00BC37D5" w:rsidRPr="00E23770" w:rsidRDefault="00BC37D5" w:rsidP="00BC37D5">
      <w:pPr>
        <w:pStyle w:val="Akapitzlist"/>
        <w:numPr>
          <w:ilvl w:val="0"/>
          <w:numId w:val="10"/>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 xml:space="preserve">w ustawie </w:t>
      </w:r>
      <w:r w:rsidRPr="00E23770">
        <w:rPr>
          <w:rFonts w:ascii="Tahoma" w:hAnsi="Tahoma" w:cs="Tahoma"/>
          <w:sz w:val="24"/>
          <w:szCs w:val="24"/>
        </w:rPr>
        <w:t>z 13 listopada 2003 r. o dochodach jednostek samorządu terytorialnego rozszerzono źródła dochodów własnych gminy o darowizny środków pieniężnych na rzecz gminy obciążone poleceniem, o którym mowa w art. 893 ustawy z dnia 23 kwietnia 1964 r. - Kodeks cywilny, zobowiązującym gminę do przeznaczenia tych środków na rzecz wskazanego funduszu sołeckiego.</w:t>
      </w:r>
    </w:p>
    <w:p w14:paraId="43F7E66B" w14:textId="77777777" w:rsidR="00BC37D5" w:rsidRPr="00E23770" w:rsidRDefault="00BC37D5" w:rsidP="00BC37D5">
      <w:pPr>
        <w:spacing w:line="276" w:lineRule="auto"/>
        <w:ind w:firstLine="360"/>
        <w:jc w:val="both"/>
        <w:rPr>
          <w:rFonts w:ascii="Tahoma" w:eastAsia="Calibri" w:hAnsi="Tahoma" w:cs="Tahoma"/>
          <w:sz w:val="24"/>
          <w:szCs w:val="24"/>
        </w:rPr>
      </w:pPr>
    </w:p>
    <w:p w14:paraId="184F8013" w14:textId="77777777" w:rsidR="00BC37D5" w:rsidRPr="00E23770" w:rsidRDefault="00BC37D5" w:rsidP="00BC37D5">
      <w:pPr>
        <w:spacing w:line="276" w:lineRule="auto"/>
        <w:jc w:val="both"/>
        <w:rPr>
          <w:rFonts w:ascii="Tahoma" w:eastAsia="Calibri" w:hAnsi="Tahoma" w:cs="Tahoma"/>
          <w:sz w:val="24"/>
          <w:szCs w:val="24"/>
        </w:rPr>
      </w:pPr>
      <w:r w:rsidRPr="00E23770">
        <w:rPr>
          <w:rFonts w:ascii="Tahoma" w:eastAsia="Calibri" w:hAnsi="Tahoma" w:cs="Tahoma"/>
          <w:sz w:val="24"/>
          <w:szCs w:val="24"/>
        </w:rPr>
        <w:t xml:space="preserve">W ramach nowelizacja ustawy </w:t>
      </w:r>
      <w:r w:rsidRPr="00E23770">
        <w:rPr>
          <w:rFonts w:ascii="Tahoma" w:hAnsi="Tahoma" w:cs="Tahoma"/>
          <w:sz w:val="24"/>
          <w:szCs w:val="24"/>
        </w:rPr>
        <w:t xml:space="preserve">z dnia 21 lutego 2014 r. </w:t>
      </w:r>
      <w:r w:rsidRPr="00E23770">
        <w:rPr>
          <w:rFonts w:ascii="Tahoma" w:eastAsia="Calibri" w:hAnsi="Tahoma" w:cs="Tahoma"/>
          <w:sz w:val="24"/>
          <w:szCs w:val="24"/>
        </w:rPr>
        <w:t>o funduszu sołeckim zaproponowano zmiany polegające na:</w:t>
      </w:r>
    </w:p>
    <w:p w14:paraId="3CF10D47" w14:textId="77777777" w:rsidR="00BC37D5" w:rsidRPr="00E23770" w:rsidRDefault="00BC37D5" w:rsidP="00BC37D5">
      <w:pPr>
        <w:spacing w:line="276" w:lineRule="auto"/>
        <w:ind w:left="360"/>
        <w:jc w:val="both"/>
        <w:rPr>
          <w:rFonts w:ascii="Tahoma" w:eastAsia="Calibri" w:hAnsi="Tahoma" w:cs="Tahoma"/>
          <w:sz w:val="24"/>
          <w:szCs w:val="24"/>
        </w:rPr>
      </w:pPr>
    </w:p>
    <w:p w14:paraId="0697355D" w14:textId="031B5186" w:rsidR="00BC37D5" w:rsidRPr="00E23770" w:rsidRDefault="00BC37D5" w:rsidP="00BC37D5">
      <w:pPr>
        <w:pStyle w:val="Akapitzlist"/>
        <w:numPr>
          <w:ilvl w:val="0"/>
          <w:numId w:val="7"/>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przyjęciu zasady powszechności funduszu sołeckiego. Zmiana art. 2 powoduje,</w:t>
      </w:r>
      <w:r w:rsidR="00533F5E">
        <w:rPr>
          <w:rFonts w:ascii="Tahoma" w:eastAsia="Calibri" w:hAnsi="Tahoma" w:cs="Tahoma"/>
          <w:sz w:val="24"/>
          <w:szCs w:val="24"/>
          <w:lang w:eastAsia="en-US"/>
        </w:rPr>
        <w:t xml:space="preserve"> iż rady gmin będą wyodrębniać </w:t>
      </w:r>
      <w:r w:rsidRPr="00E23770">
        <w:rPr>
          <w:rFonts w:ascii="Tahoma" w:eastAsia="Calibri" w:hAnsi="Tahoma" w:cs="Tahoma"/>
          <w:sz w:val="24"/>
          <w:szCs w:val="24"/>
          <w:lang w:eastAsia="en-US"/>
        </w:rPr>
        <w:t>w budżecie gminy środki stanowiące fundusz sołecki. Oznacza to rezygnację z prawa rady gminy do decydowania o utworzeniu bądź nie utworzeniu funduszu.   Tym samym jedynie od woli sołectw zależeć będzie korzystanie bądź nie korzystanie z możliwości danych u.f.s. Przyjęcie takiego  rozwiązanie pociąga za sobą konieczność uchylenia ust. 2-4 wymienionego artykułu.</w:t>
      </w:r>
    </w:p>
    <w:p w14:paraId="71E6D8B8" w14:textId="77777777" w:rsidR="00BC37D5" w:rsidRPr="00E23770" w:rsidRDefault="00BC37D5" w:rsidP="00BC37D5">
      <w:pPr>
        <w:pStyle w:val="Akapitzlist"/>
        <w:spacing w:line="276" w:lineRule="auto"/>
        <w:jc w:val="both"/>
        <w:rPr>
          <w:rFonts w:ascii="Tahoma" w:eastAsia="Calibri" w:hAnsi="Tahoma" w:cs="Tahoma"/>
          <w:sz w:val="24"/>
          <w:szCs w:val="24"/>
          <w:lang w:eastAsia="en-US"/>
        </w:rPr>
      </w:pPr>
    </w:p>
    <w:p w14:paraId="401503EE" w14:textId="77777777" w:rsidR="00BC37D5" w:rsidRPr="00E23770" w:rsidRDefault="00BC37D5" w:rsidP="00BC37D5">
      <w:pPr>
        <w:pStyle w:val="Akapitzlist"/>
        <w:numPr>
          <w:ilvl w:val="0"/>
          <w:numId w:val="7"/>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lastRenderedPageBreak/>
        <w:t xml:space="preserve">poszerzeniu zakresu przedsięwzięć finansowanych w ramach środków funduszu sołeckiego. Środki funduszu sołeckiego, prócz poprawy warunków życia mieszkańców, będą również przeznaczane na umacnianie tożsamości i kultywowanie tradycji społeczności lokalnych oraz podnoszenie wiedzy, umiejętności oraz kompetencji cyfrowych mieszkańców. </w:t>
      </w:r>
    </w:p>
    <w:p w14:paraId="01448952" w14:textId="77777777" w:rsidR="00BC37D5" w:rsidRPr="00E23770" w:rsidRDefault="00BC37D5" w:rsidP="00BC37D5">
      <w:pPr>
        <w:spacing w:line="276" w:lineRule="auto"/>
        <w:jc w:val="both"/>
        <w:rPr>
          <w:rFonts w:ascii="Tahoma" w:eastAsia="Calibri" w:hAnsi="Tahoma" w:cs="Tahoma"/>
          <w:sz w:val="24"/>
          <w:szCs w:val="24"/>
        </w:rPr>
      </w:pPr>
    </w:p>
    <w:p w14:paraId="3D54C9AF" w14:textId="77777777" w:rsidR="00BC37D5" w:rsidRPr="00E23770" w:rsidRDefault="00BC37D5" w:rsidP="00BC37D5">
      <w:pPr>
        <w:pStyle w:val="Akapitzlist"/>
        <w:numPr>
          <w:ilvl w:val="0"/>
          <w:numId w:val="7"/>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umożliwieniu gminie samodzielnego określania zasad zwiększania oraz  przyznawania środków funduszu sołeckiego. Rada gminy będzie mogła samodzielnego określać te zasady dzięki wyodrębnionej w tym celu części funduszu sołeckiego, która zwiększy fundusz ponad wartość wynikającą  z algorytmu określonego w ustawie o funduszu sołeckim;</w:t>
      </w:r>
    </w:p>
    <w:p w14:paraId="78CA0F92" w14:textId="48B19377" w:rsidR="00BC37D5" w:rsidRPr="00E23770" w:rsidRDefault="00BC37D5" w:rsidP="00BC37D5">
      <w:pPr>
        <w:spacing w:line="276" w:lineRule="auto"/>
        <w:jc w:val="both"/>
        <w:rPr>
          <w:rFonts w:ascii="Tahoma" w:eastAsia="Calibri" w:hAnsi="Tahoma" w:cs="Tahoma"/>
          <w:sz w:val="24"/>
          <w:szCs w:val="24"/>
        </w:rPr>
      </w:pPr>
    </w:p>
    <w:p w14:paraId="7AC446E7" w14:textId="77777777" w:rsidR="00BC37D5" w:rsidRPr="00E23770" w:rsidRDefault="00BC37D5" w:rsidP="00BC37D5">
      <w:pPr>
        <w:pStyle w:val="Akapitzlist"/>
        <w:widowControl w:val="0"/>
        <w:numPr>
          <w:ilvl w:val="0"/>
          <w:numId w:val="7"/>
        </w:numPr>
        <w:autoSpaceDE w:val="0"/>
        <w:autoSpaceDN w:val="0"/>
        <w:adjustRightInd w:val="0"/>
        <w:spacing w:after="0" w:line="276" w:lineRule="auto"/>
        <w:jc w:val="both"/>
        <w:rPr>
          <w:rFonts w:ascii="Tahoma" w:hAnsi="Tahoma" w:cs="Tahoma"/>
          <w:bCs/>
          <w:sz w:val="24"/>
          <w:szCs w:val="24"/>
        </w:rPr>
      </w:pPr>
      <w:r w:rsidRPr="00E23770">
        <w:rPr>
          <w:rFonts w:ascii="Tahoma" w:eastAsia="Calibri" w:hAnsi="Tahoma" w:cs="Tahoma"/>
          <w:sz w:val="24"/>
          <w:szCs w:val="24"/>
          <w:lang w:eastAsia="en-US"/>
        </w:rPr>
        <w:t>wprowadzeniu możliwości zwiększania funduszu sołeckiego o środki na realizację zadań przekazanych sołectwu oraz środki pozyskiwane przez sołectwo z zarzadzania mieniem komunalnym.</w:t>
      </w:r>
    </w:p>
    <w:p w14:paraId="56E0F74A" w14:textId="77777777" w:rsidR="00BC37D5" w:rsidRPr="00E23770" w:rsidRDefault="00BC37D5" w:rsidP="00BC37D5">
      <w:pPr>
        <w:pStyle w:val="Akapitzlist"/>
        <w:jc w:val="both"/>
        <w:rPr>
          <w:rFonts w:ascii="Tahoma" w:eastAsia="Calibri" w:hAnsi="Tahoma" w:cs="Tahoma"/>
          <w:sz w:val="24"/>
          <w:szCs w:val="24"/>
          <w:lang w:eastAsia="en-US"/>
        </w:rPr>
      </w:pPr>
    </w:p>
    <w:p w14:paraId="0F7BB6F7" w14:textId="544E1300" w:rsidR="00BC37D5" w:rsidRPr="00E23770" w:rsidRDefault="00BC37D5" w:rsidP="00BC37D5">
      <w:pPr>
        <w:pStyle w:val="Akapitzlist"/>
        <w:widowControl w:val="0"/>
        <w:numPr>
          <w:ilvl w:val="0"/>
          <w:numId w:val="7"/>
        </w:numPr>
        <w:autoSpaceDE w:val="0"/>
        <w:autoSpaceDN w:val="0"/>
        <w:adjustRightInd w:val="0"/>
        <w:spacing w:after="0" w:line="276" w:lineRule="auto"/>
        <w:jc w:val="both"/>
        <w:rPr>
          <w:rFonts w:ascii="Tahoma" w:hAnsi="Tahoma" w:cs="Tahoma"/>
          <w:bCs/>
          <w:sz w:val="24"/>
          <w:szCs w:val="24"/>
        </w:rPr>
      </w:pPr>
      <w:r w:rsidRPr="00E23770">
        <w:rPr>
          <w:rFonts w:ascii="Tahoma" w:eastAsia="Calibri" w:hAnsi="Tahoma" w:cs="Tahoma"/>
          <w:sz w:val="24"/>
          <w:szCs w:val="24"/>
          <w:lang w:eastAsia="en-US"/>
        </w:rPr>
        <w:t xml:space="preserve">urealnieniu (nowelizacja  art. 12 ust.1 pkt 6-10 u.f.s.) maksymalnego limitu wydatków z budżetu państwa na zwrot gminom części wydatków wykonanych w ramach funduszu sołeckiego do poziomu aktualnych potrzeb. Zaproponowane kwoty odnoszą się do już znanych i podanych przez MSWiA potrzeb co do wysokości zwrotu środków gminom części wydatków wykonanych w ramach funduszu sołeckiego w roku </w:t>
      </w:r>
      <w:r w:rsidR="00484274" w:rsidRPr="00E23770">
        <w:rPr>
          <w:rFonts w:ascii="Tahoma" w:eastAsia="Calibri" w:hAnsi="Tahoma" w:cs="Tahoma"/>
          <w:sz w:val="24"/>
          <w:szCs w:val="24"/>
          <w:lang w:eastAsia="en-US"/>
        </w:rPr>
        <w:t>2018</w:t>
      </w:r>
      <w:r w:rsidR="00484274">
        <w:rPr>
          <w:rFonts w:ascii="Tahoma" w:eastAsia="Calibri" w:hAnsi="Tahoma" w:cs="Tahoma"/>
          <w:sz w:val="24"/>
          <w:szCs w:val="24"/>
          <w:lang w:eastAsia="en-US"/>
        </w:rPr>
        <w:t xml:space="preserve"> i zaplanowanych na rok </w:t>
      </w:r>
      <w:r w:rsidRPr="00E23770">
        <w:rPr>
          <w:rFonts w:ascii="Tahoma" w:eastAsia="Calibri" w:hAnsi="Tahoma" w:cs="Tahoma"/>
          <w:sz w:val="24"/>
          <w:szCs w:val="24"/>
          <w:lang w:eastAsia="en-US"/>
        </w:rPr>
        <w:t>2019</w:t>
      </w:r>
      <w:r w:rsidR="00484274">
        <w:rPr>
          <w:rFonts w:ascii="Tahoma" w:eastAsia="Calibri" w:hAnsi="Tahoma" w:cs="Tahoma"/>
          <w:sz w:val="24"/>
          <w:szCs w:val="24"/>
          <w:lang w:eastAsia="en-US"/>
        </w:rPr>
        <w:t>. Aby w roku 2019</w:t>
      </w:r>
      <w:r w:rsidRPr="00E23770">
        <w:rPr>
          <w:rFonts w:ascii="Tahoma" w:eastAsia="Calibri" w:hAnsi="Tahoma" w:cs="Tahoma"/>
          <w:sz w:val="24"/>
          <w:szCs w:val="24"/>
          <w:lang w:eastAsia="en-US"/>
        </w:rPr>
        <w:t xml:space="preserve"> nie nastąpiła  korekta </w:t>
      </w:r>
      <w:r w:rsidR="00484274" w:rsidRPr="00E23770">
        <w:rPr>
          <w:rFonts w:ascii="Tahoma" w:eastAsia="Calibri" w:hAnsi="Tahoma" w:cs="Tahoma"/>
          <w:sz w:val="24"/>
          <w:szCs w:val="24"/>
          <w:lang w:eastAsia="en-US"/>
        </w:rPr>
        <w:t>budż</w:t>
      </w:r>
      <w:r w:rsidR="00484274">
        <w:rPr>
          <w:rFonts w:ascii="Tahoma" w:eastAsia="Calibri" w:hAnsi="Tahoma" w:cs="Tahoma"/>
          <w:sz w:val="24"/>
          <w:szCs w:val="24"/>
          <w:lang w:eastAsia="en-US"/>
        </w:rPr>
        <w:t>et</w:t>
      </w:r>
      <w:r w:rsidR="00484274" w:rsidRPr="00E23770">
        <w:rPr>
          <w:rFonts w:ascii="Tahoma" w:eastAsia="Calibri" w:hAnsi="Tahoma" w:cs="Tahoma"/>
          <w:sz w:val="24"/>
          <w:szCs w:val="24"/>
          <w:lang w:eastAsia="en-US"/>
        </w:rPr>
        <w:t xml:space="preserve"> </w:t>
      </w:r>
      <w:r w:rsidRPr="00E23770">
        <w:rPr>
          <w:rFonts w:ascii="Tahoma" w:eastAsia="Calibri" w:hAnsi="Tahoma" w:cs="Tahoma"/>
          <w:sz w:val="24"/>
          <w:szCs w:val="24"/>
          <w:lang w:eastAsia="en-US"/>
        </w:rPr>
        <w:t xml:space="preserve">państwa </w:t>
      </w:r>
      <w:r w:rsidR="00484274">
        <w:rPr>
          <w:rFonts w:ascii="Tahoma" w:eastAsia="Calibri" w:hAnsi="Tahoma" w:cs="Tahoma"/>
          <w:sz w:val="24"/>
          <w:szCs w:val="24"/>
          <w:lang w:eastAsia="en-US"/>
        </w:rPr>
        <w:t>musiałby zawierać na ten cel kwotę</w:t>
      </w:r>
      <w:r w:rsidR="00484274" w:rsidRPr="00E23770">
        <w:rPr>
          <w:rFonts w:ascii="Tahoma" w:eastAsia="Calibri" w:hAnsi="Tahoma" w:cs="Tahoma"/>
          <w:sz w:val="24"/>
          <w:szCs w:val="24"/>
          <w:lang w:eastAsia="en-US"/>
        </w:rPr>
        <w:t xml:space="preserve"> </w:t>
      </w:r>
      <w:r w:rsidRPr="00E23770">
        <w:rPr>
          <w:rFonts w:ascii="Tahoma" w:eastAsia="Calibri" w:hAnsi="Tahoma" w:cs="Tahoma"/>
          <w:sz w:val="24"/>
          <w:szCs w:val="24"/>
          <w:lang w:eastAsia="en-US"/>
        </w:rPr>
        <w:t xml:space="preserve">194 miliony zł. </w:t>
      </w:r>
      <w:r w:rsidR="00484274">
        <w:rPr>
          <w:rFonts w:ascii="Tahoma" w:eastAsia="Calibri" w:hAnsi="Tahoma" w:cs="Tahoma"/>
          <w:sz w:val="24"/>
          <w:szCs w:val="24"/>
          <w:lang w:eastAsia="en-US"/>
        </w:rPr>
        <w:t>Z</w:t>
      </w:r>
      <w:r w:rsidRPr="00E23770">
        <w:rPr>
          <w:rFonts w:ascii="Tahoma" w:eastAsia="Calibri" w:hAnsi="Tahoma" w:cs="Tahoma"/>
          <w:sz w:val="24"/>
          <w:szCs w:val="24"/>
          <w:lang w:eastAsia="en-US"/>
        </w:rPr>
        <w:t>agwarantowane jest jedynie 138,5 mln zł, co oznacza zwrot jedynie na poziomie 71,42%.</w:t>
      </w:r>
    </w:p>
    <w:p w14:paraId="1826D67C" w14:textId="4680696B" w:rsidR="00BC37D5" w:rsidRPr="00E23770" w:rsidRDefault="00484274" w:rsidP="00BC37D5">
      <w:pPr>
        <w:pStyle w:val="Akapitzlist"/>
        <w:spacing w:line="276" w:lineRule="auto"/>
        <w:jc w:val="both"/>
        <w:rPr>
          <w:rFonts w:ascii="Tahoma" w:hAnsi="Tahoma" w:cs="Tahoma"/>
          <w:bCs/>
          <w:sz w:val="24"/>
          <w:szCs w:val="24"/>
        </w:rPr>
      </w:pPr>
      <w:r>
        <w:rPr>
          <w:rFonts w:ascii="Tahoma" w:eastAsia="Calibri" w:hAnsi="Tahoma" w:cs="Tahoma"/>
          <w:sz w:val="24"/>
          <w:szCs w:val="24"/>
          <w:lang w:eastAsia="en-US"/>
        </w:rPr>
        <w:t>Założone w projekcie w</w:t>
      </w:r>
      <w:r w:rsidRPr="00E23770">
        <w:rPr>
          <w:rFonts w:ascii="Tahoma" w:eastAsia="Calibri" w:hAnsi="Tahoma" w:cs="Tahoma"/>
          <w:sz w:val="24"/>
          <w:szCs w:val="24"/>
          <w:lang w:eastAsia="en-US"/>
        </w:rPr>
        <w:t xml:space="preserve">zrosty </w:t>
      </w:r>
      <w:r w:rsidR="00BC37D5" w:rsidRPr="00E23770">
        <w:rPr>
          <w:rFonts w:ascii="Tahoma" w:eastAsia="Calibri" w:hAnsi="Tahoma" w:cs="Tahoma"/>
          <w:sz w:val="24"/>
          <w:szCs w:val="24"/>
          <w:lang w:eastAsia="en-US"/>
        </w:rPr>
        <w:t xml:space="preserve">w kolejnych latach wynikają </w:t>
      </w:r>
      <w:r>
        <w:rPr>
          <w:rFonts w:ascii="Tahoma" w:eastAsia="Calibri" w:hAnsi="Tahoma" w:cs="Tahoma"/>
          <w:sz w:val="24"/>
          <w:szCs w:val="24"/>
          <w:lang w:eastAsia="en-US"/>
        </w:rPr>
        <w:t xml:space="preserve">ponadto </w:t>
      </w:r>
      <w:r w:rsidR="00BC37D5" w:rsidRPr="00E23770">
        <w:rPr>
          <w:rFonts w:ascii="Tahoma" w:eastAsia="Calibri" w:hAnsi="Tahoma" w:cs="Tahoma"/>
          <w:sz w:val="24"/>
          <w:szCs w:val="24"/>
          <w:lang w:eastAsia="en-US"/>
        </w:rPr>
        <w:t xml:space="preserve">z: </w:t>
      </w:r>
    </w:p>
    <w:p w14:paraId="24FF01BB" w14:textId="77777777" w:rsidR="00BC37D5" w:rsidRPr="00E23770" w:rsidRDefault="00BC37D5" w:rsidP="00BC37D5">
      <w:pPr>
        <w:pStyle w:val="Akapitzlist"/>
        <w:spacing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 uwzględnienia skutków systematycznego wzrostu kwoty bazowej Kb</w:t>
      </w:r>
    </w:p>
    <w:p w14:paraId="65F21CA0" w14:textId="77777777" w:rsidR="00BC37D5" w:rsidRPr="00E23770" w:rsidRDefault="00BC37D5" w:rsidP="00BC37D5">
      <w:pPr>
        <w:pStyle w:val="Akapitzlist"/>
        <w:spacing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 xml:space="preserve">- uwzględnienia wzrostu liczby sołectw objętych funduszem w związku z wprowadzeniem zasady jego powszechności – z obecnych 70% sołectw docelowo do 100%. </w:t>
      </w:r>
    </w:p>
    <w:p w14:paraId="14412116" w14:textId="77777777" w:rsidR="00BC37D5" w:rsidRPr="00E23770" w:rsidRDefault="00BC37D5" w:rsidP="00BC37D5">
      <w:pPr>
        <w:pStyle w:val="Akapitzlist"/>
        <w:spacing w:line="276" w:lineRule="auto"/>
        <w:jc w:val="both"/>
        <w:rPr>
          <w:rFonts w:ascii="Tahoma" w:hAnsi="Tahoma" w:cs="Tahoma"/>
          <w:bCs/>
          <w:sz w:val="24"/>
          <w:szCs w:val="24"/>
        </w:rPr>
      </w:pPr>
      <w:r w:rsidRPr="00E23770">
        <w:rPr>
          <w:rFonts w:ascii="Tahoma" w:eastAsia="Calibri" w:hAnsi="Tahoma" w:cs="Tahoma"/>
          <w:sz w:val="24"/>
          <w:szCs w:val="24"/>
          <w:lang w:eastAsia="en-US"/>
        </w:rPr>
        <w:t>Kwota bazowa pomiędzy rokiem 2010 a rokiem 2018 wzrosła z 2312,09 zł do 3831,28 zł tj.  o 65,7%. Największy wzrost Kb miał miejsce w stosunku do roku 2018 i wyniósł 22,29% (związane z transferami do budżetów gmin środków  świadczenia wychowawczego w ramach Programu Rodzina 500+). Uwzględniając, iż była to sytuacja jednorazowa należy przyjąć wzrost Kb w wymiarze 4-5% rocznie.</w:t>
      </w:r>
    </w:p>
    <w:p w14:paraId="219EFF3E" w14:textId="77777777" w:rsidR="00BC37D5" w:rsidRPr="00E23770" w:rsidRDefault="00BC37D5" w:rsidP="00BC37D5">
      <w:pPr>
        <w:spacing w:line="276" w:lineRule="auto"/>
        <w:ind w:firstLine="360"/>
        <w:jc w:val="both"/>
        <w:rPr>
          <w:rFonts w:ascii="Tahoma" w:eastAsia="Calibri" w:hAnsi="Tahoma" w:cs="Tahoma"/>
          <w:sz w:val="24"/>
          <w:szCs w:val="24"/>
        </w:rPr>
      </w:pPr>
    </w:p>
    <w:p w14:paraId="6BB2B47A" w14:textId="77777777" w:rsidR="00BC37D5" w:rsidRPr="00E23770" w:rsidRDefault="00BC37D5" w:rsidP="00BC37D5">
      <w:pPr>
        <w:spacing w:line="276" w:lineRule="auto"/>
        <w:ind w:firstLine="360"/>
        <w:jc w:val="both"/>
        <w:rPr>
          <w:rFonts w:ascii="Tahoma" w:hAnsi="Tahoma" w:cs="Tahoma"/>
          <w:bCs/>
          <w:sz w:val="24"/>
          <w:szCs w:val="24"/>
        </w:rPr>
      </w:pPr>
      <w:r w:rsidRPr="00E23770">
        <w:rPr>
          <w:rFonts w:ascii="Tahoma" w:eastAsia="Calibri" w:hAnsi="Tahoma" w:cs="Tahoma"/>
          <w:sz w:val="24"/>
          <w:szCs w:val="24"/>
        </w:rPr>
        <w:t>Ponadto w art. 6 projektu zobowiązano gminy do dostosowania statutów gmin oraz statutów jednostek pomocniczych do przepisów projektowanej ustawy w terminie 6 miesięcy od dnia wejścia jej w życie.</w:t>
      </w:r>
    </w:p>
    <w:p w14:paraId="41C2AD0C" w14:textId="77777777" w:rsidR="00BC37D5" w:rsidRPr="00E23770" w:rsidRDefault="00BC37D5" w:rsidP="00BC37D5">
      <w:pPr>
        <w:spacing w:line="276" w:lineRule="auto"/>
        <w:ind w:firstLine="708"/>
        <w:jc w:val="both"/>
        <w:rPr>
          <w:rFonts w:ascii="Tahoma" w:eastAsia="Calibri" w:hAnsi="Tahoma" w:cs="Tahoma"/>
          <w:sz w:val="24"/>
          <w:szCs w:val="24"/>
        </w:rPr>
      </w:pPr>
    </w:p>
    <w:p w14:paraId="64758172" w14:textId="77777777" w:rsidR="00BC37D5" w:rsidRPr="00E23770" w:rsidRDefault="00BC37D5" w:rsidP="00BC37D5">
      <w:pPr>
        <w:spacing w:line="276" w:lineRule="auto"/>
        <w:jc w:val="both"/>
        <w:rPr>
          <w:rFonts w:ascii="Tahoma" w:eastAsia="Calibri" w:hAnsi="Tahoma" w:cs="Tahoma"/>
          <w:b/>
          <w:sz w:val="24"/>
          <w:szCs w:val="24"/>
        </w:rPr>
      </w:pPr>
      <w:r w:rsidRPr="00E23770">
        <w:rPr>
          <w:rFonts w:ascii="Tahoma" w:eastAsia="Calibri" w:hAnsi="Tahoma" w:cs="Tahoma"/>
          <w:b/>
          <w:sz w:val="24"/>
          <w:szCs w:val="24"/>
        </w:rPr>
        <w:t>IV. Przewidywane skutki społeczne, gospodarcze, finansowe i prawne</w:t>
      </w:r>
    </w:p>
    <w:p w14:paraId="0AF3D553" w14:textId="77777777" w:rsidR="00BC37D5" w:rsidRPr="00E23770" w:rsidRDefault="00BC37D5" w:rsidP="00BC37D5">
      <w:pPr>
        <w:spacing w:line="276" w:lineRule="auto"/>
        <w:ind w:firstLine="708"/>
        <w:jc w:val="both"/>
        <w:rPr>
          <w:rFonts w:ascii="Tahoma" w:eastAsia="Calibri" w:hAnsi="Tahoma" w:cs="Tahoma"/>
          <w:sz w:val="24"/>
          <w:szCs w:val="24"/>
        </w:rPr>
      </w:pPr>
    </w:p>
    <w:p w14:paraId="474B7BA3" w14:textId="77777777" w:rsidR="00BC37D5" w:rsidRPr="00E23770" w:rsidRDefault="00BC37D5" w:rsidP="00BC37D5">
      <w:pPr>
        <w:spacing w:line="276" w:lineRule="auto"/>
        <w:ind w:firstLine="708"/>
        <w:jc w:val="both"/>
        <w:rPr>
          <w:rFonts w:ascii="Tahoma" w:hAnsi="Tahoma" w:cs="Tahoma"/>
          <w:sz w:val="24"/>
          <w:szCs w:val="24"/>
        </w:rPr>
      </w:pPr>
      <w:r w:rsidRPr="00E23770">
        <w:rPr>
          <w:rFonts w:ascii="Tahoma" w:eastAsia="Calibri" w:hAnsi="Tahoma" w:cs="Tahoma"/>
          <w:sz w:val="24"/>
          <w:szCs w:val="24"/>
        </w:rPr>
        <w:t>Wejście w życie projektowanej ustawy wpłynie na demokratyzację życia społeczności lokalnych oraz wzmocnienie społeczeństwa obywatelskiego. Nowe możliwości na rzecz oddolnego kreowania i urzeczywistniania koncepcji rozwojowych, w powiazaniu ze w</w:t>
      </w:r>
      <w:r w:rsidRPr="00E23770">
        <w:rPr>
          <w:rFonts w:ascii="Tahoma" w:hAnsi="Tahoma" w:cs="Tahoma"/>
          <w:sz w:val="24"/>
          <w:szCs w:val="24"/>
        </w:rPr>
        <w:t xml:space="preserve">zmocnieniem mechanizmów zaangażowania gminy w rozwój jednostek pomocniczych, wpłyną na zmniejszenie dysproporcji w wyposażeniu jednostek pomocniczych w infrastrukturę, usługi i elementy istotne dla jakości życia mieszkańców. </w:t>
      </w:r>
    </w:p>
    <w:p w14:paraId="35D2F5AE" w14:textId="77777777" w:rsidR="00BC37D5" w:rsidRPr="00E23770" w:rsidRDefault="00BC37D5" w:rsidP="00BC37D5">
      <w:pPr>
        <w:spacing w:line="276" w:lineRule="auto"/>
        <w:jc w:val="both"/>
        <w:rPr>
          <w:rFonts w:ascii="Tahoma" w:hAnsi="Tahoma" w:cs="Tahoma"/>
          <w:sz w:val="24"/>
          <w:szCs w:val="24"/>
        </w:rPr>
      </w:pPr>
      <w:r w:rsidRPr="00E23770">
        <w:rPr>
          <w:rFonts w:ascii="Tahoma" w:hAnsi="Tahoma" w:cs="Tahoma"/>
          <w:sz w:val="24"/>
          <w:szCs w:val="24"/>
        </w:rPr>
        <w:t>Jednostki pomocnicze zostaną zaangażowane w szeroko rozumiany rozwój społeczno-gospodarczy gminy i rozwiazywanie podstawowych problemów społecznych np. przeciwdziałanie wykluczeniu cyfrowemu ogromnie ważne na obszarach wiejskich.</w:t>
      </w:r>
    </w:p>
    <w:p w14:paraId="7927E967" w14:textId="77777777" w:rsidR="00BC37D5" w:rsidRPr="00E23770" w:rsidRDefault="00BC37D5" w:rsidP="00BC37D5">
      <w:pPr>
        <w:spacing w:line="276" w:lineRule="auto"/>
        <w:jc w:val="both"/>
        <w:rPr>
          <w:rFonts w:ascii="Tahoma" w:eastAsia="Calibri" w:hAnsi="Tahoma" w:cs="Tahoma"/>
          <w:sz w:val="24"/>
          <w:szCs w:val="24"/>
        </w:rPr>
      </w:pPr>
      <w:r w:rsidRPr="00E23770">
        <w:rPr>
          <w:rFonts w:ascii="Tahoma" w:eastAsia="Calibri" w:hAnsi="Tahoma" w:cs="Tahoma"/>
          <w:sz w:val="24"/>
          <w:szCs w:val="24"/>
        </w:rPr>
        <w:t>Rozwiązania dedykowane organom wykonawczym jednostek pomocniczych umocnią ich pozycję względem gminy oraz w roli wiejskiego przywództwa predysponowanego do działań prorozwojowych. W sposób racjonalny i adekwatny do praktyki rozwiązany zostanie problem wynagrodzenia sołtysa.</w:t>
      </w:r>
    </w:p>
    <w:p w14:paraId="0B32026B" w14:textId="75E5715E" w:rsidR="00BC37D5" w:rsidRPr="00E23770" w:rsidRDefault="00BC37D5" w:rsidP="00BC37D5">
      <w:pPr>
        <w:spacing w:line="276" w:lineRule="auto"/>
        <w:jc w:val="both"/>
        <w:rPr>
          <w:rFonts w:ascii="Tahoma" w:eastAsia="Calibri" w:hAnsi="Tahoma" w:cs="Tahoma"/>
          <w:sz w:val="24"/>
          <w:szCs w:val="24"/>
        </w:rPr>
      </w:pPr>
      <w:r w:rsidRPr="00E23770">
        <w:rPr>
          <w:rFonts w:ascii="Tahoma" w:eastAsia="Calibri" w:hAnsi="Tahoma" w:cs="Tahoma"/>
          <w:sz w:val="24"/>
          <w:szCs w:val="24"/>
        </w:rPr>
        <w:t>W działaniach prorozwojowych jednostki pomocnicze będą dysponować większym wolumenem środków, co zwiększy ilość i skalę przedsięwzięć na rzecz mieszkańców. Również łatwiejsze będzie przejmowanie od  gminy zadań do realizacji.</w:t>
      </w:r>
      <w:r w:rsidR="006C1276">
        <w:rPr>
          <w:rFonts w:ascii="Tahoma" w:eastAsia="Calibri" w:hAnsi="Tahoma" w:cs="Tahoma"/>
          <w:sz w:val="24"/>
          <w:szCs w:val="24"/>
        </w:rPr>
        <w:t xml:space="preserve"> Będzie to wymagało zwiększonego zaangażowania osób wchodzących w skład zarządów jednostek pomocniczych. Z tego względu zaproponowano adekwatne rozwiązania dotyczące diet i zwrotu kosztów podróży służbowych wykonywanych w związku pełnieniem funkcji i podnoszeniem wiedzy i kompetencji.</w:t>
      </w:r>
    </w:p>
    <w:p w14:paraId="189368DD" w14:textId="77777777" w:rsidR="00BC37D5" w:rsidRPr="00E23770" w:rsidRDefault="00BC37D5" w:rsidP="00BC37D5">
      <w:pPr>
        <w:spacing w:line="276" w:lineRule="auto"/>
        <w:jc w:val="both"/>
        <w:rPr>
          <w:rFonts w:ascii="Tahoma" w:eastAsia="Calibri" w:hAnsi="Tahoma" w:cs="Tahoma"/>
          <w:b/>
          <w:sz w:val="24"/>
          <w:szCs w:val="24"/>
        </w:rPr>
      </w:pPr>
    </w:p>
    <w:p w14:paraId="6A2A9D48" w14:textId="77777777" w:rsidR="00BC37D5" w:rsidRPr="00E23770" w:rsidRDefault="00BC37D5" w:rsidP="00BC37D5">
      <w:pPr>
        <w:spacing w:line="276" w:lineRule="auto"/>
        <w:jc w:val="both"/>
        <w:rPr>
          <w:rFonts w:ascii="Tahoma" w:eastAsia="Calibri" w:hAnsi="Tahoma" w:cs="Tahoma"/>
          <w:b/>
          <w:sz w:val="24"/>
          <w:szCs w:val="24"/>
        </w:rPr>
      </w:pPr>
      <w:r w:rsidRPr="00E23770">
        <w:rPr>
          <w:rFonts w:ascii="Tahoma" w:eastAsia="Calibri" w:hAnsi="Tahoma" w:cs="Tahoma"/>
          <w:b/>
          <w:sz w:val="24"/>
          <w:szCs w:val="24"/>
        </w:rPr>
        <w:t xml:space="preserve">V. Źródła finansowania </w:t>
      </w:r>
    </w:p>
    <w:p w14:paraId="3CBC0792" w14:textId="6F058470" w:rsidR="009A4981" w:rsidRPr="00860023" w:rsidRDefault="009A4981" w:rsidP="009504F8">
      <w:pPr>
        <w:spacing w:after="0" w:line="276" w:lineRule="auto"/>
        <w:ind w:firstLine="708"/>
        <w:jc w:val="both"/>
        <w:rPr>
          <w:sz w:val="28"/>
          <w:szCs w:val="28"/>
        </w:rPr>
      </w:pPr>
      <w:r w:rsidRPr="00860023">
        <w:rPr>
          <w:sz w:val="28"/>
          <w:szCs w:val="28"/>
        </w:rPr>
        <w:t>Przyjęta w projekcie obligatoryjność:</w:t>
      </w:r>
    </w:p>
    <w:p w14:paraId="147B4655" w14:textId="0355DEA6" w:rsidR="009A4981" w:rsidRPr="00860023" w:rsidRDefault="009A4981" w:rsidP="00442952">
      <w:pPr>
        <w:spacing w:after="0" w:line="276" w:lineRule="auto"/>
        <w:jc w:val="both"/>
        <w:rPr>
          <w:sz w:val="28"/>
          <w:szCs w:val="28"/>
        </w:rPr>
      </w:pPr>
      <w:r w:rsidRPr="00860023">
        <w:rPr>
          <w:sz w:val="28"/>
          <w:szCs w:val="28"/>
        </w:rPr>
        <w:t>- diety dla przewodniczącego organu jp (proponowany art.37b ust.1 u</w:t>
      </w:r>
      <w:r>
        <w:rPr>
          <w:sz w:val="28"/>
          <w:szCs w:val="28"/>
        </w:rPr>
        <w:t>.</w:t>
      </w:r>
      <w:r w:rsidRPr="00860023">
        <w:rPr>
          <w:sz w:val="28"/>
          <w:szCs w:val="28"/>
        </w:rPr>
        <w:t>s</w:t>
      </w:r>
      <w:r>
        <w:rPr>
          <w:sz w:val="28"/>
          <w:szCs w:val="28"/>
        </w:rPr>
        <w:t>.</w:t>
      </w:r>
      <w:r w:rsidRPr="00860023">
        <w:rPr>
          <w:sz w:val="28"/>
          <w:szCs w:val="28"/>
        </w:rPr>
        <w:t>g</w:t>
      </w:r>
      <w:r>
        <w:rPr>
          <w:sz w:val="28"/>
          <w:szCs w:val="28"/>
        </w:rPr>
        <w:t>.</w:t>
      </w:r>
      <w:r w:rsidRPr="00860023">
        <w:rPr>
          <w:sz w:val="28"/>
          <w:szCs w:val="28"/>
        </w:rPr>
        <w:t>),</w:t>
      </w:r>
    </w:p>
    <w:p w14:paraId="5845D9A2" w14:textId="3DE5E9DE" w:rsidR="009A4981" w:rsidRPr="00860023" w:rsidRDefault="009A4981" w:rsidP="00442952">
      <w:pPr>
        <w:spacing w:after="0" w:line="276" w:lineRule="auto"/>
        <w:jc w:val="both"/>
        <w:rPr>
          <w:rFonts w:ascii="Tahoma" w:eastAsiaTheme="minorEastAsia" w:hAnsi="Tahoma" w:cs="Tahoma"/>
          <w:sz w:val="24"/>
          <w:szCs w:val="24"/>
          <w:lang w:eastAsia="pl-PL"/>
        </w:rPr>
      </w:pPr>
      <w:r w:rsidRPr="00860023">
        <w:rPr>
          <w:rFonts w:ascii="Tahoma" w:eastAsiaTheme="minorEastAsia" w:hAnsi="Tahoma" w:cs="Tahoma"/>
          <w:sz w:val="24"/>
          <w:szCs w:val="24"/>
          <w:lang w:eastAsia="pl-PL"/>
        </w:rPr>
        <w:t>- zwrotu przewodniczącemu oraz członkom organu wykonawczego jp kosztów podróży służbowej związanych z pełnieniem funkcji oraz podnoszeniem wiedzy i kompetencji (proponowany art. 37b ust.3 u</w:t>
      </w:r>
      <w:r>
        <w:rPr>
          <w:rFonts w:ascii="Tahoma" w:eastAsiaTheme="minorEastAsia" w:hAnsi="Tahoma" w:cs="Tahoma"/>
          <w:sz w:val="24"/>
          <w:szCs w:val="24"/>
          <w:lang w:eastAsia="pl-PL"/>
        </w:rPr>
        <w:t>.</w:t>
      </w:r>
      <w:r w:rsidRPr="00860023">
        <w:rPr>
          <w:rFonts w:ascii="Tahoma" w:eastAsiaTheme="minorEastAsia" w:hAnsi="Tahoma" w:cs="Tahoma"/>
          <w:sz w:val="24"/>
          <w:szCs w:val="24"/>
          <w:lang w:eastAsia="pl-PL"/>
        </w:rPr>
        <w:t>s</w:t>
      </w:r>
      <w:r>
        <w:rPr>
          <w:rFonts w:ascii="Tahoma" w:eastAsiaTheme="minorEastAsia" w:hAnsi="Tahoma" w:cs="Tahoma"/>
          <w:sz w:val="24"/>
          <w:szCs w:val="24"/>
          <w:lang w:eastAsia="pl-PL"/>
        </w:rPr>
        <w:t>.</w:t>
      </w:r>
      <w:r w:rsidRPr="00860023">
        <w:rPr>
          <w:rFonts w:ascii="Tahoma" w:eastAsiaTheme="minorEastAsia" w:hAnsi="Tahoma" w:cs="Tahoma"/>
          <w:sz w:val="24"/>
          <w:szCs w:val="24"/>
          <w:lang w:eastAsia="pl-PL"/>
        </w:rPr>
        <w:t>g</w:t>
      </w:r>
      <w:r>
        <w:rPr>
          <w:rFonts w:ascii="Tahoma" w:eastAsiaTheme="minorEastAsia" w:hAnsi="Tahoma" w:cs="Tahoma"/>
          <w:sz w:val="24"/>
          <w:szCs w:val="24"/>
          <w:lang w:eastAsia="pl-PL"/>
        </w:rPr>
        <w:t>.</w:t>
      </w:r>
      <w:r w:rsidRPr="00860023">
        <w:rPr>
          <w:rFonts w:ascii="Tahoma" w:eastAsiaTheme="minorEastAsia" w:hAnsi="Tahoma" w:cs="Tahoma"/>
          <w:sz w:val="24"/>
          <w:szCs w:val="24"/>
          <w:lang w:eastAsia="pl-PL"/>
        </w:rPr>
        <w:t>),</w:t>
      </w:r>
    </w:p>
    <w:p w14:paraId="5302A5B8" w14:textId="5ABB60E6" w:rsidR="00464461" w:rsidRDefault="009A4981" w:rsidP="00442952">
      <w:pPr>
        <w:spacing w:after="0" w:line="276" w:lineRule="auto"/>
        <w:jc w:val="both"/>
        <w:rPr>
          <w:rFonts w:ascii="Tahoma" w:eastAsiaTheme="minorEastAsia" w:hAnsi="Tahoma" w:cs="Tahoma"/>
          <w:sz w:val="24"/>
          <w:szCs w:val="24"/>
          <w:lang w:eastAsia="pl-PL"/>
        </w:rPr>
      </w:pPr>
      <w:r w:rsidRPr="00860023">
        <w:rPr>
          <w:rFonts w:ascii="Tahoma" w:eastAsiaTheme="minorEastAsia" w:hAnsi="Tahoma" w:cs="Tahoma"/>
          <w:sz w:val="24"/>
          <w:szCs w:val="24"/>
          <w:lang w:eastAsia="pl-PL"/>
        </w:rPr>
        <w:t>- wynagrodzeni</w:t>
      </w:r>
      <w:r w:rsidR="00464461">
        <w:rPr>
          <w:rFonts w:ascii="Tahoma" w:eastAsiaTheme="minorEastAsia" w:hAnsi="Tahoma" w:cs="Tahoma"/>
          <w:sz w:val="24"/>
          <w:szCs w:val="24"/>
          <w:lang w:eastAsia="pl-PL"/>
        </w:rPr>
        <w:t>a</w:t>
      </w:r>
      <w:r w:rsidRPr="00860023">
        <w:rPr>
          <w:rFonts w:ascii="Tahoma" w:eastAsiaTheme="minorEastAsia" w:hAnsi="Tahoma" w:cs="Tahoma"/>
          <w:sz w:val="24"/>
          <w:szCs w:val="24"/>
          <w:lang w:eastAsia="pl-PL"/>
        </w:rPr>
        <w:t xml:space="preserve"> dla sołtysa za wykonywanie na rzecz gminy pracy niezwiązanej z pełnieniem funkcji przewodniczącego organu wykonawczego sołectwa (proponowany art. 36 ust. 4 usg),</w:t>
      </w:r>
      <w:r>
        <w:rPr>
          <w:rFonts w:ascii="Tahoma" w:eastAsiaTheme="minorEastAsia" w:hAnsi="Tahoma" w:cs="Tahoma"/>
          <w:sz w:val="24"/>
          <w:szCs w:val="24"/>
          <w:lang w:eastAsia="pl-PL"/>
        </w:rPr>
        <w:t xml:space="preserve"> </w:t>
      </w:r>
    </w:p>
    <w:p w14:paraId="0ABB02E2" w14:textId="41B6BBB1" w:rsidR="009A4981" w:rsidRPr="00860023" w:rsidRDefault="008E727F" w:rsidP="00442952">
      <w:pPr>
        <w:spacing w:after="0" w:line="276" w:lineRule="auto"/>
        <w:jc w:val="both"/>
        <w:rPr>
          <w:rFonts w:ascii="Tahoma" w:eastAsiaTheme="minorEastAsia" w:hAnsi="Tahoma" w:cs="Tahoma"/>
          <w:sz w:val="24"/>
          <w:szCs w:val="24"/>
          <w:lang w:eastAsia="pl-PL"/>
        </w:rPr>
      </w:pPr>
      <w:r w:rsidRPr="00E23770">
        <w:rPr>
          <w:rFonts w:ascii="Tahoma" w:eastAsia="Calibri" w:hAnsi="Tahoma" w:cs="Tahoma"/>
          <w:sz w:val="24"/>
          <w:szCs w:val="24"/>
        </w:rPr>
        <w:t xml:space="preserve">pociąga za sobą obciążenia dla budżetów </w:t>
      </w:r>
      <w:r>
        <w:rPr>
          <w:rFonts w:ascii="Tahoma" w:eastAsia="Calibri" w:hAnsi="Tahoma" w:cs="Tahoma"/>
          <w:sz w:val="24"/>
          <w:szCs w:val="24"/>
        </w:rPr>
        <w:t>gmin</w:t>
      </w:r>
      <w:r w:rsidR="009A4981" w:rsidRPr="00860023">
        <w:rPr>
          <w:sz w:val="28"/>
          <w:szCs w:val="28"/>
        </w:rPr>
        <w:t>.</w:t>
      </w:r>
    </w:p>
    <w:p w14:paraId="436A4236" w14:textId="7E57B71A" w:rsidR="009A4981" w:rsidRPr="009504F8" w:rsidRDefault="009504F8" w:rsidP="009504F8">
      <w:pPr>
        <w:spacing w:line="276" w:lineRule="auto"/>
        <w:jc w:val="both"/>
        <w:rPr>
          <w:rFonts w:ascii="Tahoma" w:hAnsi="Tahoma" w:cs="Tahoma"/>
          <w:sz w:val="24"/>
          <w:szCs w:val="24"/>
        </w:rPr>
      </w:pPr>
      <w:r>
        <w:rPr>
          <w:rFonts w:ascii="Tahoma" w:hAnsi="Tahoma" w:cs="Tahoma"/>
          <w:sz w:val="24"/>
          <w:szCs w:val="24"/>
        </w:rPr>
        <w:lastRenderedPageBreak/>
        <w:t>W</w:t>
      </w:r>
      <w:r w:rsidRPr="009504F8">
        <w:rPr>
          <w:rFonts w:ascii="Tahoma" w:hAnsi="Tahoma" w:cs="Tahoma"/>
          <w:sz w:val="24"/>
          <w:szCs w:val="24"/>
        </w:rPr>
        <w:t xml:space="preserve"> obecnym stanie prawnym </w:t>
      </w:r>
      <w:r>
        <w:rPr>
          <w:rFonts w:ascii="Tahoma" w:hAnsi="Tahoma" w:cs="Tahoma"/>
          <w:sz w:val="24"/>
          <w:szCs w:val="24"/>
        </w:rPr>
        <w:t>d</w:t>
      </w:r>
      <w:r w:rsidR="0017611E" w:rsidRPr="009504F8">
        <w:rPr>
          <w:rFonts w:ascii="Tahoma" w:hAnsi="Tahoma" w:cs="Tahoma"/>
          <w:sz w:val="24"/>
          <w:szCs w:val="24"/>
        </w:rPr>
        <w:t xml:space="preserve">wa pierwsze z </w:t>
      </w:r>
      <w:r w:rsidR="009A4981" w:rsidRPr="009504F8">
        <w:rPr>
          <w:rFonts w:ascii="Tahoma" w:hAnsi="Tahoma" w:cs="Tahoma"/>
          <w:sz w:val="24"/>
          <w:szCs w:val="24"/>
        </w:rPr>
        <w:t>proponowanych rozwiązań</w:t>
      </w:r>
      <w:r w:rsidR="0017611E" w:rsidRPr="009504F8">
        <w:rPr>
          <w:rFonts w:ascii="Tahoma" w:hAnsi="Tahoma" w:cs="Tahoma"/>
          <w:sz w:val="24"/>
          <w:szCs w:val="24"/>
        </w:rPr>
        <w:t xml:space="preserve"> </w:t>
      </w:r>
      <w:r w:rsidR="009A4981" w:rsidRPr="009504F8">
        <w:rPr>
          <w:rFonts w:ascii="Tahoma" w:hAnsi="Tahoma" w:cs="Tahoma"/>
          <w:sz w:val="24"/>
          <w:szCs w:val="24"/>
        </w:rPr>
        <w:t>(art. 37b u.s.g.) mają charakter fakultatywny</w:t>
      </w:r>
      <w:r w:rsidR="0017611E" w:rsidRPr="009504F8">
        <w:rPr>
          <w:rFonts w:ascii="Tahoma" w:hAnsi="Tahoma" w:cs="Tahoma"/>
          <w:sz w:val="24"/>
          <w:szCs w:val="24"/>
        </w:rPr>
        <w:t>.</w:t>
      </w:r>
      <w:r w:rsidR="009A4981" w:rsidRPr="009504F8">
        <w:rPr>
          <w:rFonts w:ascii="Tahoma" w:hAnsi="Tahoma" w:cs="Tahoma"/>
          <w:sz w:val="24"/>
          <w:szCs w:val="24"/>
        </w:rPr>
        <w:t xml:space="preserve"> </w:t>
      </w:r>
      <w:r w:rsidR="0017611E" w:rsidRPr="009504F8">
        <w:rPr>
          <w:rFonts w:ascii="Tahoma" w:hAnsi="Tahoma" w:cs="Tahoma"/>
          <w:sz w:val="24"/>
          <w:szCs w:val="24"/>
        </w:rPr>
        <w:t xml:space="preserve">Nie są znane ich koszty, zatem  </w:t>
      </w:r>
      <w:r w:rsidR="009A4981" w:rsidRPr="009504F8">
        <w:rPr>
          <w:rFonts w:ascii="Tahoma" w:hAnsi="Tahoma" w:cs="Tahoma"/>
          <w:sz w:val="24"/>
          <w:szCs w:val="24"/>
        </w:rPr>
        <w:t xml:space="preserve">można jedynie szacować wzrost wydatków gmin. </w:t>
      </w:r>
    </w:p>
    <w:p w14:paraId="5E7AEE9A" w14:textId="7D6BEBA1" w:rsidR="009A4981" w:rsidRPr="009504F8" w:rsidRDefault="009A4981" w:rsidP="009504F8">
      <w:pPr>
        <w:spacing w:after="0" w:line="276" w:lineRule="auto"/>
        <w:jc w:val="both"/>
        <w:rPr>
          <w:rFonts w:ascii="Tahoma" w:hAnsi="Tahoma" w:cs="Tahoma"/>
          <w:sz w:val="24"/>
          <w:szCs w:val="24"/>
        </w:rPr>
      </w:pPr>
      <w:r w:rsidRPr="009504F8">
        <w:rPr>
          <w:rFonts w:ascii="Tahoma" w:hAnsi="Tahoma" w:cs="Tahoma"/>
          <w:sz w:val="24"/>
          <w:szCs w:val="24"/>
        </w:rPr>
        <w:t xml:space="preserve">W opinii Krajowego Stowarzyszenia Sołtysów obecnie nawet 90 % sołtysów otrzymuje diety, przeciętnie w wysokości 300 – 400 zł / miesiąc. </w:t>
      </w:r>
      <w:r w:rsidR="008E727F" w:rsidRPr="009504F8">
        <w:rPr>
          <w:rFonts w:ascii="Tahoma" w:hAnsi="Tahoma" w:cs="Tahoma"/>
          <w:sz w:val="24"/>
          <w:szCs w:val="24"/>
        </w:rPr>
        <w:t xml:space="preserve">Zakładając podobną powszechność rozwiązania wobec przewodniczących zarządów osiedli (w miastach wyodrębniono ok 5500 jednostek pomocniczych) </w:t>
      </w:r>
      <w:r w:rsidRPr="009504F8">
        <w:rPr>
          <w:rFonts w:ascii="Tahoma" w:hAnsi="Tahoma" w:cs="Tahoma"/>
          <w:sz w:val="24"/>
          <w:szCs w:val="24"/>
        </w:rPr>
        <w:t xml:space="preserve">obligatoryjność diety wywoła niewielki wzrost tej kategorii wydatków </w:t>
      </w:r>
      <w:r w:rsidR="008E727F" w:rsidRPr="009504F8">
        <w:rPr>
          <w:rFonts w:ascii="Tahoma" w:hAnsi="Tahoma" w:cs="Tahoma"/>
          <w:sz w:val="24"/>
          <w:szCs w:val="24"/>
        </w:rPr>
        <w:t>w budżetach</w:t>
      </w:r>
      <w:r w:rsidRPr="009504F8">
        <w:rPr>
          <w:rFonts w:ascii="Tahoma" w:hAnsi="Tahoma" w:cs="Tahoma"/>
          <w:sz w:val="24"/>
          <w:szCs w:val="24"/>
        </w:rPr>
        <w:t xml:space="preserve"> gmin – ok. 20 mln zł / rok.</w:t>
      </w:r>
    </w:p>
    <w:p w14:paraId="2D2073BF" w14:textId="3F14DD4C" w:rsidR="009A4981" w:rsidRPr="00860023" w:rsidRDefault="00E1582E" w:rsidP="009A4981">
      <w:pPr>
        <w:spacing w:line="276" w:lineRule="auto"/>
        <w:jc w:val="both"/>
        <w:rPr>
          <w:rFonts w:ascii="Tahoma" w:eastAsiaTheme="minorEastAsia" w:hAnsi="Tahoma" w:cs="Tahoma"/>
          <w:sz w:val="24"/>
          <w:szCs w:val="24"/>
          <w:lang w:eastAsia="pl-PL"/>
        </w:rPr>
      </w:pPr>
      <w:r>
        <w:rPr>
          <w:rFonts w:ascii="Tahoma" w:eastAsiaTheme="minorEastAsia" w:hAnsi="Tahoma" w:cs="Tahoma"/>
          <w:sz w:val="24"/>
          <w:szCs w:val="24"/>
          <w:lang w:eastAsia="pl-PL"/>
        </w:rPr>
        <w:t>Zasady</w:t>
      </w:r>
      <w:r w:rsidRPr="00860023">
        <w:rPr>
          <w:rFonts w:ascii="Tahoma" w:eastAsiaTheme="minorEastAsia" w:hAnsi="Tahoma" w:cs="Tahoma"/>
          <w:sz w:val="24"/>
          <w:szCs w:val="24"/>
          <w:lang w:eastAsia="pl-PL"/>
        </w:rPr>
        <w:t xml:space="preserve"> </w:t>
      </w:r>
      <w:r w:rsidR="009A4981" w:rsidRPr="00860023">
        <w:rPr>
          <w:rFonts w:ascii="Tahoma" w:eastAsiaTheme="minorEastAsia" w:hAnsi="Tahoma" w:cs="Tahoma"/>
          <w:sz w:val="24"/>
          <w:szCs w:val="24"/>
          <w:lang w:eastAsia="pl-PL"/>
        </w:rPr>
        <w:t>zwrotu członkom organu wykonawczego jp kosztów podróży służbowej (w projekcie doprecyzowano, iż podróż ta ma być związana z pełnieniem funkcji oraz podnoszeniem wiedzy i kompetencji), a tym samym powszechność korzystania z podróży służbowych obecnie reguluje rada gminy</w:t>
      </w:r>
      <w:r>
        <w:rPr>
          <w:rFonts w:ascii="Tahoma" w:eastAsiaTheme="minorEastAsia" w:hAnsi="Tahoma" w:cs="Tahoma"/>
          <w:sz w:val="24"/>
          <w:szCs w:val="24"/>
          <w:lang w:eastAsia="pl-PL"/>
        </w:rPr>
        <w:t>.</w:t>
      </w:r>
      <w:r w:rsidR="009A4981" w:rsidRPr="00860023">
        <w:rPr>
          <w:rFonts w:ascii="Tahoma" w:eastAsiaTheme="minorEastAsia" w:hAnsi="Tahoma" w:cs="Tahoma"/>
          <w:sz w:val="24"/>
          <w:szCs w:val="24"/>
          <w:lang w:eastAsia="pl-PL"/>
        </w:rPr>
        <w:t xml:space="preserve"> </w:t>
      </w:r>
      <w:r>
        <w:rPr>
          <w:rFonts w:ascii="Tahoma" w:eastAsiaTheme="minorEastAsia" w:hAnsi="Tahoma" w:cs="Tahoma"/>
          <w:sz w:val="24"/>
          <w:szCs w:val="24"/>
          <w:lang w:eastAsia="pl-PL"/>
        </w:rPr>
        <w:t xml:space="preserve">Zatem </w:t>
      </w:r>
      <w:r w:rsidR="009A4981" w:rsidRPr="00860023">
        <w:rPr>
          <w:rFonts w:ascii="Tahoma" w:eastAsiaTheme="minorEastAsia" w:hAnsi="Tahoma" w:cs="Tahoma"/>
          <w:sz w:val="24"/>
          <w:szCs w:val="24"/>
          <w:lang w:eastAsia="pl-PL"/>
        </w:rPr>
        <w:t xml:space="preserve">w pierwszym okresie </w:t>
      </w:r>
      <w:r>
        <w:rPr>
          <w:rFonts w:ascii="Tahoma" w:eastAsiaTheme="minorEastAsia" w:hAnsi="Tahoma" w:cs="Tahoma"/>
          <w:sz w:val="24"/>
          <w:szCs w:val="24"/>
          <w:lang w:eastAsia="pl-PL"/>
        </w:rPr>
        <w:t xml:space="preserve">obligatoryjność zwrotu kosztów podróży służbowych </w:t>
      </w:r>
      <w:r w:rsidR="009A4981" w:rsidRPr="00860023">
        <w:rPr>
          <w:rFonts w:ascii="Tahoma" w:eastAsiaTheme="minorEastAsia" w:hAnsi="Tahoma" w:cs="Tahoma"/>
          <w:sz w:val="24"/>
          <w:szCs w:val="24"/>
          <w:lang w:eastAsia="pl-PL"/>
        </w:rPr>
        <w:t xml:space="preserve">nie powinna powodować wzrostu wydatków. Dopiero </w:t>
      </w:r>
      <w:r w:rsidRPr="00860023">
        <w:rPr>
          <w:rFonts w:ascii="Tahoma" w:eastAsiaTheme="minorEastAsia" w:hAnsi="Tahoma" w:cs="Tahoma"/>
          <w:sz w:val="24"/>
          <w:szCs w:val="24"/>
          <w:lang w:eastAsia="pl-PL"/>
        </w:rPr>
        <w:t xml:space="preserve">w dalszej perspektywie </w:t>
      </w:r>
      <w:r w:rsidR="009A4981" w:rsidRPr="00860023">
        <w:rPr>
          <w:rFonts w:ascii="Tahoma" w:eastAsiaTheme="minorEastAsia" w:hAnsi="Tahoma" w:cs="Tahoma"/>
          <w:sz w:val="24"/>
          <w:szCs w:val="24"/>
          <w:lang w:eastAsia="pl-PL"/>
        </w:rPr>
        <w:t>upowszechnienie świadomości faktu</w:t>
      </w:r>
      <w:r w:rsidR="00E05889">
        <w:rPr>
          <w:rFonts w:ascii="Tahoma" w:eastAsiaTheme="minorEastAsia" w:hAnsi="Tahoma" w:cs="Tahoma"/>
          <w:sz w:val="24"/>
          <w:szCs w:val="24"/>
          <w:lang w:eastAsia="pl-PL"/>
        </w:rPr>
        <w:t>,</w:t>
      </w:r>
      <w:r w:rsidR="009A4981" w:rsidRPr="00860023">
        <w:rPr>
          <w:rFonts w:ascii="Tahoma" w:eastAsiaTheme="minorEastAsia" w:hAnsi="Tahoma" w:cs="Tahoma"/>
          <w:sz w:val="24"/>
          <w:szCs w:val="24"/>
          <w:lang w:eastAsia="pl-PL"/>
        </w:rPr>
        <w:t xml:space="preserve"> iż podróże służbowe przewodniczącego oraz członków organu wykonawczego są nieodłączną koniecznością wynikającą ze sprawowania funkcji</w:t>
      </w:r>
      <w:r w:rsidR="00E05889">
        <w:rPr>
          <w:rFonts w:ascii="Tahoma" w:eastAsiaTheme="minorEastAsia" w:hAnsi="Tahoma" w:cs="Tahoma"/>
          <w:sz w:val="24"/>
          <w:szCs w:val="24"/>
          <w:lang w:eastAsia="pl-PL"/>
        </w:rPr>
        <w:t>,</w:t>
      </w:r>
      <w:r w:rsidR="009A4981" w:rsidRPr="00860023">
        <w:rPr>
          <w:rFonts w:ascii="Tahoma" w:eastAsiaTheme="minorEastAsia" w:hAnsi="Tahoma" w:cs="Tahoma"/>
          <w:sz w:val="24"/>
          <w:szCs w:val="24"/>
          <w:lang w:eastAsia="pl-PL"/>
        </w:rPr>
        <w:t xml:space="preserve"> prz</w:t>
      </w:r>
      <w:r w:rsidR="00E05889">
        <w:rPr>
          <w:rFonts w:ascii="Tahoma" w:eastAsiaTheme="minorEastAsia" w:hAnsi="Tahoma" w:cs="Tahoma"/>
          <w:sz w:val="24"/>
          <w:szCs w:val="24"/>
          <w:lang w:eastAsia="pl-PL"/>
        </w:rPr>
        <w:t>yniesie</w:t>
      </w:r>
      <w:r w:rsidR="009A4981" w:rsidRPr="00860023">
        <w:rPr>
          <w:rFonts w:ascii="Tahoma" w:eastAsiaTheme="minorEastAsia" w:hAnsi="Tahoma" w:cs="Tahoma"/>
          <w:sz w:val="24"/>
          <w:szCs w:val="24"/>
          <w:lang w:eastAsia="pl-PL"/>
        </w:rPr>
        <w:t xml:space="preserve"> wzrost wydatków budżetowych gmin. </w:t>
      </w:r>
      <w:r>
        <w:rPr>
          <w:rFonts w:ascii="Tahoma" w:eastAsiaTheme="minorEastAsia" w:hAnsi="Tahoma" w:cs="Tahoma"/>
          <w:sz w:val="24"/>
          <w:szCs w:val="24"/>
          <w:lang w:eastAsia="pl-PL"/>
        </w:rPr>
        <w:t xml:space="preserve">Ze względu na brak </w:t>
      </w:r>
      <w:r w:rsidR="009A4981" w:rsidRPr="00860023">
        <w:rPr>
          <w:rFonts w:ascii="Tahoma" w:eastAsiaTheme="minorEastAsia" w:hAnsi="Tahoma" w:cs="Tahoma"/>
          <w:sz w:val="24"/>
          <w:szCs w:val="24"/>
          <w:lang w:eastAsia="pl-PL"/>
        </w:rPr>
        <w:t xml:space="preserve">danych wyjściowych </w:t>
      </w:r>
      <w:r>
        <w:rPr>
          <w:rFonts w:ascii="Tahoma" w:eastAsiaTheme="minorEastAsia" w:hAnsi="Tahoma" w:cs="Tahoma"/>
          <w:sz w:val="24"/>
          <w:szCs w:val="24"/>
          <w:lang w:eastAsia="pl-PL"/>
        </w:rPr>
        <w:t>przyj</w:t>
      </w:r>
      <w:r w:rsidR="006D4E87">
        <w:rPr>
          <w:rFonts w:ascii="Tahoma" w:eastAsiaTheme="minorEastAsia" w:hAnsi="Tahoma" w:cs="Tahoma"/>
          <w:sz w:val="24"/>
          <w:szCs w:val="24"/>
          <w:lang w:eastAsia="pl-PL"/>
        </w:rPr>
        <w:t>ęto</w:t>
      </w:r>
      <w:r>
        <w:rPr>
          <w:rFonts w:ascii="Tahoma" w:eastAsiaTheme="minorEastAsia" w:hAnsi="Tahoma" w:cs="Tahoma"/>
          <w:sz w:val="24"/>
          <w:szCs w:val="24"/>
          <w:lang w:eastAsia="pl-PL"/>
        </w:rPr>
        <w:t>, iż</w:t>
      </w:r>
      <w:r w:rsidR="009A4981" w:rsidRPr="00860023">
        <w:rPr>
          <w:rFonts w:ascii="Tahoma" w:eastAsiaTheme="minorEastAsia" w:hAnsi="Tahoma" w:cs="Tahoma"/>
          <w:sz w:val="24"/>
          <w:szCs w:val="24"/>
          <w:lang w:eastAsia="pl-PL"/>
        </w:rPr>
        <w:t xml:space="preserve"> wzrost</w:t>
      </w:r>
      <w:r>
        <w:rPr>
          <w:rFonts w:ascii="Tahoma" w:eastAsiaTheme="minorEastAsia" w:hAnsi="Tahoma" w:cs="Tahoma"/>
          <w:sz w:val="24"/>
          <w:szCs w:val="24"/>
          <w:lang w:eastAsia="pl-PL"/>
        </w:rPr>
        <w:t xml:space="preserve"> ten wyniesie </w:t>
      </w:r>
      <w:r w:rsidR="00E05889">
        <w:rPr>
          <w:rFonts w:ascii="Tahoma" w:eastAsiaTheme="minorEastAsia" w:hAnsi="Tahoma" w:cs="Tahoma"/>
          <w:sz w:val="24"/>
          <w:szCs w:val="24"/>
          <w:lang w:eastAsia="pl-PL"/>
        </w:rPr>
        <w:t xml:space="preserve">ok. 20 mln zł (równowartość diety </w:t>
      </w:r>
      <w:r w:rsidR="006D4E87">
        <w:rPr>
          <w:rFonts w:ascii="Tahoma" w:eastAsiaTheme="minorEastAsia" w:hAnsi="Tahoma" w:cs="Tahoma"/>
          <w:sz w:val="24"/>
          <w:szCs w:val="24"/>
          <w:lang w:eastAsia="pl-PL"/>
        </w:rPr>
        <w:t xml:space="preserve">sołtysów / </w:t>
      </w:r>
      <w:r w:rsidR="00E05889">
        <w:rPr>
          <w:rFonts w:ascii="Tahoma" w:eastAsiaTheme="minorEastAsia" w:hAnsi="Tahoma" w:cs="Tahoma"/>
          <w:sz w:val="24"/>
          <w:szCs w:val="24"/>
          <w:lang w:eastAsia="pl-PL"/>
        </w:rPr>
        <w:t>przewodnicząc</w:t>
      </w:r>
      <w:r w:rsidR="006D4E87">
        <w:rPr>
          <w:rFonts w:ascii="Tahoma" w:eastAsiaTheme="minorEastAsia" w:hAnsi="Tahoma" w:cs="Tahoma"/>
          <w:sz w:val="24"/>
          <w:szCs w:val="24"/>
          <w:lang w:eastAsia="pl-PL"/>
        </w:rPr>
        <w:t>ych</w:t>
      </w:r>
      <w:r w:rsidR="00E05889">
        <w:rPr>
          <w:rFonts w:ascii="Tahoma" w:eastAsiaTheme="minorEastAsia" w:hAnsi="Tahoma" w:cs="Tahoma"/>
          <w:sz w:val="24"/>
          <w:szCs w:val="24"/>
          <w:lang w:eastAsia="pl-PL"/>
        </w:rPr>
        <w:t xml:space="preserve"> zarząd</w:t>
      </w:r>
      <w:r w:rsidR="006D4E87">
        <w:rPr>
          <w:rFonts w:ascii="Tahoma" w:eastAsiaTheme="minorEastAsia" w:hAnsi="Tahoma" w:cs="Tahoma"/>
          <w:sz w:val="24"/>
          <w:szCs w:val="24"/>
          <w:lang w:eastAsia="pl-PL"/>
        </w:rPr>
        <w:t xml:space="preserve">ów osiedli </w:t>
      </w:r>
      <w:r w:rsidR="0017611E">
        <w:rPr>
          <w:rFonts w:ascii="Tahoma" w:eastAsiaTheme="minorEastAsia" w:hAnsi="Tahoma" w:cs="Tahoma"/>
          <w:sz w:val="24"/>
          <w:szCs w:val="24"/>
          <w:lang w:eastAsia="pl-PL"/>
        </w:rPr>
        <w:t xml:space="preserve">miesięcznie wypłacanej </w:t>
      </w:r>
      <w:r w:rsidR="006D4E87">
        <w:rPr>
          <w:rFonts w:ascii="Tahoma" w:eastAsiaTheme="minorEastAsia" w:hAnsi="Tahoma" w:cs="Tahoma"/>
          <w:sz w:val="24"/>
          <w:szCs w:val="24"/>
          <w:lang w:eastAsia="pl-PL"/>
        </w:rPr>
        <w:t>przez gminy w skali kraju</w:t>
      </w:r>
      <w:r w:rsidR="00E05889">
        <w:rPr>
          <w:rFonts w:ascii="Tahoma" w:eastAsiaTheme="minorEastAsia" w:hAnsi="Tahoma" w:cs="Tahoma"/>
          <w:sz w:val="24"/>
          <w:szCs w:val="24"/>
          <w:lang w:eastAsia="pl-PL"/>
        </w:rPr>
        <w:t>).</w:t>
      </w:r>
    </w:p>
    <w:p w14:paraId="51052C25" w14:textId="5C7A875F" w:rsidR="009A4981" w:rsidRPr="00860023" w:rsidRDefault="009A4981" w:rsidP="009A4981">
      <w:pPr>
        <w:spacing w:line="276" w:lineRule="auto"/>
        <w:jc w:val="both"/>
        <w:rPr>
          <w:rFonts w:ascii="Tahoma" w:eastAsiaTheme="minorEastAsia" w:hAnsi="Tahoma" w:cs="Tahoma"/>
          <w:sz w:val="24"/>
          <w:szCs w:val="24"/>
          <w:lang w:eastAsia="pl-PL"/>
        </w:rPr>
      </w:pPr>
      <w:r w:rsidRPr="00860023">
        <w:rPr>
          <w:rFonts w:ascii="Tahoma" w:eastAsiaTheme="minorEastAsia" w:hAnsi="Tahoma" w:cs="Tahoma"/>
          <w:sz w:val="24"/>
          <w:szCs w:val="24"/>
          <w:lang w:eastAsia="pl-PL"/>
        </w:rPr>
        <w:t xml:space="preserve">Kwestia wynagrodzenia sołtysa za wykonywanie na rzecz gminy pracy niezwiązanej z pełnieniem funkcji przewodniczącego organu wykonawczego sołectwa będzie uzależniona od złożenia przez niego uzasadnionego wniosku, a </w:t>
      </w:r>
      <w:r w:rsidR="0017611E">
        <w:rPr>
          <w:rFonts w:ascii="Tahoma" w:eastAsiaTheme="minorEastAsia" w:hAnsi="Tahoma" w:cs="Tahoma"/>
          <w:sz w:val="24"/>
          <w:szCs w:val="24"/>
          <w:lang w:eastAsia="pl-PL"/>
        </w:rPr>
        <w:t xml:space="preserve">zatem wyrażenia </w:t>
      </w:r>
      <w:r w:rsidRPr="00860023">
        <w:rPr>
          <w:rFonts w:ascii="Tahoma" w:eastAsiaTheme="minorEastAsia" w:hAnsi="Tahoma" w:cs="Tahoma"/>
          <w:sz w:val="24"/>
          <w:szCs w:val="24"/>
          <w:lang w:eastAsia="pl-PL"/>
        </w:rPr>
        <w:t>woli czy pracę o charakterze określanym w proponowanym przepisie będzie wykonywać społecznie, czy za ustalanym przez wójta wynagrodzeniem. Należy założyć, iż wnioskowanie o wynagrodzenie będzie praktyką o ograniczonej skali</w:t>
      </w:r>
      <w:r w:rsidR="0017611E">
        <w:rPr>
          <w:rFonts w:ascii="Tahoma" w:eastAsiaTheme="minorEastAsia" w:hAnsi="Tahoma" w:cs="Tahoma"/>
          <w:sz w:val="24"/>
          <w:szCs w:val="24"/>
          <w:lang w:eastAsia="pl-PL"/>
        </w:rPr>
        <w:t>,</w:t>
      </w:r>
      <w:r w:rsidRPr="00860023">
        <w:rPr>
          <w:rFonts w:ascii="Tahoma" w:eastAsiaTheme="minorEastAsia" w:hAnsi="Tahoma" w:cs="Tahoma"/>
          <w:sz w:val="24"/>
          <w:szCs w:val="24"/>
          <w:lang w:eastAsia="pl-PL"/>
        </w:rPr>
        <w:t xml:space="preserve"> limitowanej ewidentnymi przypadkami zaangażowania sołtysa ponad wymiar pracy społecznej. </w:t>
      </w:r>
      <w:r w:rsidR="009504F8">
        <w:rPr>
          <w:rFonts w:ascii="Tahoma" w:eastAsiaTheme="minorEastAsia" w:hAnsi="Tahoma" w:cs="Tahoma"/>
          <w:sz w:val="24"/>
          <w:szCs w:val="24"/>
          <w:lang w:eastAsia="pl-PL"/>
        </w:rPr>
        <w:t>Zgłaszane</w:t>
      </w:r>
      <w:r w:rsidRPr="00860023">
        <w:rPr>
          <w:rFonts w:ascii="Tahoma" w:eastAsiaTheme="minorEastAsia" w:hAnsi="Tahoma" w:cs="Tahoma"/>
          <w:sz w:val="24"/>
          <w:szCs w:val="24"/>
          <w:lang w:eastAsia="pl-PL"/>
        </w:rPr>
        <w:t xml:space="preserve"> dotąd </w:t>
      </w:r>
      <w:r w:rsidR="009504F8">
        <w:rPr>
          <w:rFonts w:ascii="Tahoma" w:eastAsiaTheme="minorEastAsia" w:hAnsi="Tahoma" w:cs="Tahoma"/>
          <w:sz w:val="24"/>
          <w:szCs w:val="24"/>
          <w:lang w:eastAsia="pl-PL"/>
        </w:rPr>
        <w:t xml:space="preserve">inne </w:t>
      </w:r>
      <w:r w:rsidRPr="00860023">
        <w:rPr>
          <w:rFonts w:ascii="Tahoma" w:eastAsiaTheme="minorEastAsia" w:hAnsi="Tahoma" w:cs="Tahoma"/>
          <w:sz w:val="24"/>
          <w:szCs w:val="24"/>
          <w:lang w:eastAsia="pl-PL"/>
        </w:rPr>
        <w:t xml:space="preserve">rozwiązania legislacyjne zakładały obligatoryjność wynagrodzenia </w:t>
      </w:r>
      <w:r w:rsidR="009504F8">
        <w:rPr>
          <w:rFonts w:ascii="Tahoma" w:eastAsiaTheme="minorEastAsia" w:hAnsi="Tahoma" w:cs="Tahoma"/>
          <w:sz w:val="24"/>
          <w:szCs w:val="24"/>
          <w:lang w:eastAsia="pl-PL"/>
        </w:rPr>
        <w:t xml:space="preserve">sołtysa oraz </w:t>
      </w:r>
      <w:r w:rsidRPr="00860023">
        <w:rPr>
          <w:rFonts w:ascii="Tahoma" w:eastAsiaTheme="minorEastAsia" w:hAnsi="Tahoma" w:cs="Tahoma"/>
          <w:sz w:val="24"/>
          <w:szCs w:val="24"/>
          <w:lang w:eastAsia="pl-PL"/>
        </w:rPr>
        <w:t xml:space="preserve">określały </w:t>
      </w:r>
      <w:r w:rsidR="009504F8">
        <w:rPr>
          <w:rFonts w:ascii="Tahoma" w:eastAsiaTheme="minorEastAsia" w:hAnsi="Tahoma" w:cs="Tahoma"/>
          <w:sz w:val="24"/>
          <w:szCs w:val="24"/>
          <w:lang w:eastAsia="pl-PL"/>
        </w:rPr>
        <w:t>jego wysokość</w:t>
      </w:r>
      <w:r w:rsidRPr="00860023">
        <w:rPr>
          <w:rFonts w:ascii="Tahoma" w:eastAsiaTheme="minorEastAsia" w:hAnsi="Tahoma" w:cs="Tahoma"/>
          <w:sz w:val="24"/>
          <w:szCs w:val="24"/>
          <w:lang w:eastAsia="pl-PL"/>
        </w:rPr>
        <w:t xml:space="preserve"> na poziomie 1000 zł</w:t>
      </w:r>
      <w:r w:rsidR="009504F8">
        <w:rPr>
          <w:rFonts w:ascii="Tahoma" w:eastAsiaTheme="minorEastAsia" w:hAnsi="Tahoma" w:cs="Tahoma"/>
          <w:sz w:val="24"/>
          <w:szCs w:val="24"/>
          <w:lang w:eastAsia="pl-PL"/>
        </w:rPr>
        <w:t xml:space="preserve"> miesięcznie</w:t>
      </w:r>
      <w:r w:rsidRPr="00860023">
        <w:rPr>
          <w:rFonts w:ascii="Tahoma" w:eastAsiaTheme="minorEastAsia" w:hAnsi="Tahoma" w:cs="Tahoma"/>
          <w:sz w:val="24"/>
          <w:szCs w:val="24"/>
          <w:lang w:eastAsia="pl-PL"/>
        </w:rPr>
        <w:t>. Przyjmując tę kwotę i skalę upowszechnienia rozwiązania obejmującą 5</w:t>
      </w:r>
      <w:r w:rsidR="006D4E87">
        <w:rPr>
          <w:rFonts w:ascii="Tahoma" w:eastAsiaTheme="minorEastAsia" w:hAnsi="Tahoma" w:cs="Tahoma"/>
          <w:sz w:val="24"/>
          <w:szCs w:val="24"/>
          <w:lang w:eastAsia="pl-PL"/>
        </w:rPr>
        <w:t xml:space="preserve"> </w:t>
      </w:r>
      <w:r w:rsidRPr="00860023">
        <w:rPr>
          <w:rFonts w:ascii="Tahoma" w:eastAsiaTheme="minorEastAsia" w:hAnsi="Tahoma" w:cs="Tahoma"/>
          <w:sz w:val="24"/>
          <w:szCs w:val="24"/>
          <w:lang w:eastAsia="pl-PL"/>
        </w:rPr>
        <w:t>-</w:t>
      </w:r>
      <w:r w:rsidR="006D4E87">
        <w:rPr>
          <w:rFonts w:ascii="Tahoma" w:eastAsiaTheme="minorEastAsia" w:hAnsi="Tahoma" w:cs="Tahoma"/>
          <w:sz w:val="24"/>
          <w:szCs w:val="24"/>
          <w:lang w:eastAsia="pl-PL"/>
        </w:rPr>
        <w:t xml:space="preserve"> </w:t>
      </w:r>
      <w:r w:rsidRPr="00860023">
        <w:rPr>
          <w:rFonts w:ascii="Tahoma" w:eastAsiaTheme="minorEastAsia" w:hAnsi="Tahoma" w:cs="Tahoma"/>
          <w:sz w:val="24"/>
          <w:szCs w:val="24"/>
          <w:lang w:eastAsia="pl-PL"/>
        </w:rPr>
        <w:t>10% sołtysów zakładany wzrost wydatków gmin z tego tytułu wyniesie od 2</w:t>
      </w:r>
      <w:r w:rsidR="00387570">
        <w:rPr>
          <w:rFonts w:ascii="Tahoma" w:eastAsiaTheme="minorEastAsia" w:hAnsi="Tahoma" w:cs="Tahoma"/>
          <w:sz w:val="24"/>
          <w:szCs w:val="24"/>
          <w:lang w:eastAsia="pl-PL"/>
        </w:rPr>
        <w:t>5</w:t>
      </w:r>
      <w:r w:rsidRPr="00860023">
        <w:rPr>
          <w:rFonts w:ascii="Tahoma" w:eastAsiaTheme="minorEastAsia" w:hAnsi="Tahoma" w:cs="Tahoma"/>
          <w:sz w:val="24"/>
          <w:szCs w:val="24"/>
          <w:lang w:eastAsia="pl-PL"/>
        </w:rPr>
        <w:t xml:space="preserve"> do </w:t>
      </w:r>
      <w:r w:rsidR="00387570">
        <w:rPr>
          <w:rFonts w:ascii="Tahoma" w:eastAsiaTheme="minorEastAsia" w:hAnsi="Tahoma" w:cs="Tahoma"/>
          <w:sz w:val="24"/>
          <w:szCs w:val="24"/>
          <w:lang w:eastAsia="pl-PL"/>
        </w:rPr>
        <w:t>50</w:t>
      </w:r>
      <w:r w:rsidRPr="00860023">
        <w:rPr>
          <w:rFonts w:ascii="Tahoma" w:eastAsiaTheme="minorEastAsia" w:hAnsi="Tahoma" w:cs="Tahoma"/>
          <w:sz w:val="24"/>
          <w:szCs w:val="24"/>
          <w:lang w:eastAsia="pl-PL"/>
        </w:rPr>
        <w:t xml:space="preserve"> mln zł.</w:t>
      </w:r>
    </w:p>
    <w:p w14:paraId="6EEDF1B6" w14:textId="45A0F985" w:rsidR="009A4981" w:rsidRPr="009504F8" w:rsidRDefault="009A4981" w:rsidP="009504F8">
      <w:pPr>
        <w:spacing w:line="276" w:lineRule="auto"/>
        <w:ind w:firstLine="708"/>
        <w:jc w:val="both"/>
        <w:rPr>
          <w:rFonts w:ascii="Tahoma" w:hAnsi="Tahoma" w:cs="Tahoma"/>
          <w:sz w:val="24"/>
          <w:szCs w:val="24"/>
        </w:rPr>
      </w:pPr>
      <w:r w:rsidRPr="009504F8">
        <w:rPr>
          <w:rFonts w:ascii="Tahoma" w:hAnsi="Tahoma" w:cs="Tahoma"/>
          <w:sz w:val="24"/>
          <w:szCs w:val="24"/>
        </w:rPr>
        <w:t xml:space="preserve">Założone w projekcie </w:t>
      </w:r>
      <w:r w:rsidR="006D4E87" w:rsidRPr="009504F8">
        <w:rPr>
          <w:rFonts w:ascii="Tahoma" w:hAnsi="Tahoma" w:cs="Tahoma"/>
          <w:sz w:val="24"/>
          <w:szCs w:val="24"/>
        </w:rPr>
        <w:t xml:space="preserve">wzmocnienie </w:t>
      </w:r>
      <w:r w:rsidRPr="009504F8">
        <w:rPr>
          <w:rFonts w:ascii="Tahoma" w:hAnsi="Tahoma" w:cs="Tahoma"/>
          <w:sz w:val="24"/>
          <w:szCs w:val="24"/>
        </w:rPr>
        <w:t>instrument</w:t>
      </w:r>
      <w:r w:rsidR="006D4E87" w:rsidRPr="009504F8">
        <w:rPr>
          <w:rFonts w:ascii="Tahoma" w:hAnsi="Tahoma" w:cs="Tahoma"/>
          <w:sz w:val="24"/>
          <w:szCs w:val="24"/>
        </w:rPr>
        <w:t>ów</w:t>
      </w:r>
      <w:r w:rsidRPr="009504F8">
        <w:rPr>
          <w:rFonts w:ascii="Tahoma" w:hAnsi="Tahoma" w:cs="Tahoma"/>
          <w:sz w:val="24"/>
          <w:szCs w:val="24"/>
        </w:rPr>
        <w:t xml:space="preserve"> wsparcia rozwoju społeczno –</w:t>
      </w:r>
      <w:r w:rsidR="006D4E87" w:rsidRPr="009504F8">
        <w:rPr>
          <w:rFonts w:ascii="Tahoma" w:hAnsi="Tahoma" w:cs="Tahoma"/>
          <w:sz w:val="24"/>
          <w:szCs w:val="24"/>
        </w:rPr>
        <w:t xml:space="preserve"> </w:t>
      </w:r>
      <w:r w:rsidRPr="009504F8">
        <w:rPr>
          <w:rFonts w:ascii="Tahoma" w:hAnsi="Tahoma" w:cs="Tahoma"/>
          <w:sz w:val="24"/>
          <w:szCs w:val="24"/>
        </w:rPr>
        <w:t>gospodarczego sołectwa</w:t>
      </w:r>
      <w:r w:rsidRPr="009504F8">
        <w:rPr>
          <w:rFonts w:ascii="Tahoma" w:eastAsiaTheme="minorEastAsia" w:hAnsi="Tahoma" w:cs="Tahoma"/>
          <w:sz w:val="24"/>
          <w:szCs w:val="24"/>
          <w:lang w:eastAsia="pl-PL"/>
        </w:rPr>
        <w:t xml:space="preserve"> i zaspokajania potrzeb społeczności lokalnej</w:t>
      </w:r>
      <w:r w:rsidRPr="009504F8">
        <w:rPr>
          <w:rFonts w:ascii="Tahoma" w:hAnsi="Tahoma" w:cs="Tahoma"/>
          <w:sz w:val="24"/>
          <w:szCs w:val="24"/>
        </w:rPr>
        <w:t xml:space="preserve"> również będą oznaczać wzrost wydatków gmin.</w:t>
      </w:r>
    </w:p>
    <w:p w14:paraId="395ED664" w14:textId="6D67F96B" w:rsidR="009A4981" w:rsidRPr="00860023" w:rsidRDefault="009504F8" w:rsidP="009A4981">
      <w:pPr>
        <w:spacing w:line="276" w:lineRule="auto"/>
        <w:jc w:val="both"/>
        <w:rPr>
          <w:sz w:val="28"/>
          <w:szCs w:val="28"/>
          <w:u w:val="single"/>
        </w:rPr>
      </w:pPr>
      <w:r>
        <w:rPr>
          <w:sz w:val="28"/>
          <w:szCs w:val="28"/>
        </w:rPr>
        <w:t>O</w:t>
      </w:r>
      <w:r w:rsidR="009A4981" w:rsidRPr="00AF4D9C">
        <w:rPr>
          <w:sz w:val="28"/>
          <w:szCs w:val="28"/>
        </w:rPr>
        <w:t>bligatoryjne</w:t>
      </w:r>
      <w:r w:rsidR="00387570">
        <w:rPr>
          <w:sz w:val="28"/>
          <w:szCs w:val="28"/>
        </w:rPr>
        <w:t xml:space="preserve"> </w:t>
      </w:r>
      <w:r w:rsidR="009A4981" w:rsidRPr="00860023">
        <w:rPr>
          <w:rFonts w:ascii="Tahoma" w:hAnsi="Tahoma" w:cs="Tahoma"/>
          <w:sz w:val="24"/>
          <w:szCs w:val="24"/>
        </w:rPr>
        <w:t>wyodrębnienie w budżecie gminy środków stanowiących fundusz sołecki (proponowany art. 2 ust 1 u</w:t>
      </w:r>
      <w:r w:rsidR="009A4981">
        <w:rPr>
          <w:rFonts w:ascii="Tahoma" w:hAnsi="Tahoma" w:cs="Tahoma"/>
          <w:sz w:val="24"/>
          <w:szCs w:val="24"/>
        </w:rPr>
        <w:t>.</w:t>
      </w:r>
      <w:r w:rsidR="009A4981" w:rsidRPr="00860023">
        <w:rPr>
          <w:rFonts w:ascii="Tahoma" w:hAnsi="Tahoma" w:cs="Tahoma"/>
          <w:sz w:val="24"/>
          <w:szCs w:val="24"/>
        </w:rPr>
        <w:t>f</w:t>
      </w:r>
      <w:r w:rsidR="009A4981">
        <w:rPr>
          <w:rFonts w:ascii="Tahoma" w:hAnsi="Tahoma" w:cs="Tahoma"/>
          <w:sz w:val="24"/>
          <w:szCs w:val="24"/>
        </w:rPr>
        <w:t>.</w:t>
      </w:r>
      <w:r w:rsidR="009A4981" w:rsidRPr="00860023">
        <w:rPr>
          <w:rFonts w:ascii="Tahoma" w:hAnsi="Tahoma" w:cs="Tahoma"/>
          <w:sz w:val="24"/>
          <w:szCs w:val="24"/>
        </w:rPr>
        <w:t>s</w:t>
      </w:r>
      <w:r w:rsidR="009A4981">
        <w:rPr>
          <w:rFonts w:ascii="Tahoma" w:hAnsi="Tahoma" w:cs="Tahoma"/>
          <w:sz w:val="24"/>
          <w:szCs w:val="24"/>
        </w:rPr>
        <w:t>.</w:t>
      </w:r>
      <w:r w:rsidR="009A4981" w:rsidRPr="00860023">
        <w:rPr>
          <w:rFonts w:ascii="Tahoma" w:hAnsi="Tahoma" w:cs="Tahoma"/>
          <w:sz w:val="24"/>
          <w:szCs w:val="24"/>
        </w:rPr>
        <w:t>) finalnie może zwiększyć wydatki gmin na ten fundusz o 28,7%, adekwatnie do liczby 624 gmin (dane z roku 2</w:t>
      </w:r>
      <w:r w:rsidR="00DF0271">
        <w:rPr>
          <w:rFonts w:ascii="Tahoma" w:hAnsi="Tahoma" w:cs="Tahoma"/>
          <w:sz w:val="24"/>
          <w:szCs w:val="24"/>
        </w:rPr>
        <w:t>01</w:t>
      </w:r>
      <w:r w:rsidR="009A4981" w:rsidRPr="00860023">
        <w:rPr>
          <w:rFonts w:ascii="Tahoma" w:hAnsi="Tahoma" w:cs="Tahoma"/>
          <w:sz w:val="24"/>
          <w:szCs w:val="24"/>
        </w:rPr>
        <w:t>7), które  funduszu sołeckiego dotąd nie utworzyły</w:t>
      </w:r>
      <w:r w:rsidR="009A4981">
        <w:rPr>
          <w:rFonts w:ascii="Tahoma" w:hAnsi="Tahoma" w:cs="Tahoma"/>
          <w:sz w:val="24"/>
          <w:szCs w:val="24"/>
        </w:rPr>
        <w:t>.</w:t>
      </w:r>
      <w:r w:rsidR="009A4981" w:rsidRPr="00860023">
        <w:rPr>
          <w:rFonts w:ascii="Tahoma" w:hAnsi="Tahoma" w:cs="Tahoma"/>
          <w:sz w:val="24"/>
          <w:szCs w:val="24"/>
        </w:rPr>
        <w:t xml:space="preserve"> Jednak wola sołectw</w:t>
      </w:r>
      <w:r w:rsidR="009A4981">
        <w:rPr>
          <w:rFonts w:ascii="Tahoma" w:hAnsi="Tahoma" w:cs="Tahoma"/>
          <w:sz w:val="24"/>
          <w:szCs w:val="24"/>
        </w:rPr>
        <w:t xml:space="preserve">, dotąd pozbawionych takiej możliwości, </w:t>
      </w:r>
      <w:r w:rsidR="009A4981" w:rsidRPr="00860023">
        <w:rPr>
          <w:rFonts w:ascii="Tahoma" w:hAnsi="Tahoma" w:cs="Tahoma"/>
          <w:sz w:val="24"/>
          <w:szCs w:val="24"/>
        </w:rPr>
        <w:t xml:space="preserve">do korzystania ze środków funduszu sołeckiego będzie narastać stopniowo i maksymalny wzrost wydatków nastąpi </w:t>
      </w:r>
      <w:r w:rsidR="009A4981">
        <w:rPr>
          <w:rFonts w:ascii="Tahoma" w:hAnsi="Tahoma" w:cs="Tahoma"/>
          <w:sz w:val="24"/>
          <w:szCs w:val="24"/>
        </w:rPr>
        <w:t xml:space="preserve">dopiero </w:t>
      </w:r>
      <w:r w:rsidR="009A4981" w:rsidRPr="00860023">
        <w:rPr>
          <w:rFonts w:ascii="Tahoma" w:hAnsi="Tahoma" w:cs="Tahoma"/>
          <w:sz w:val="24"/>
          <w:szCs w:val="24"/>
        </w:rPr>
        <w:t xml:space="preserve">po kilku latach. Według najnowszych, udostępnionych przez MSWiA danych, 71,3% uprawnionych gmin zaplanowało na rok </w:t>
      </w:r>
      <w:r w:rsidR="009A4981" w:rsidRPr="00860023">
        <w:rPr>
          <w:rFonts w:ascii="Tahoma" w:hAnsi="Tahoma" w:cs="Tahoma"/>
          <w:sz w:val="24"/>
          <w:szCs w:val="24"/>
        </w:rPr>
        <w:lastRenderedPageBreak/>
        <w:t>2108 wydatki na fundusz sołecki w wysokości 558 mln zł. Zatem uwzględniając, że jak co roku ich wykonanie będzie o ok. 10% niższe, należy przyjąć, iż maksymalne wydatki 100 % gmin wyniosłyby ok. 704 mln zł. Oznacza to, że obligatoryjność funduszu sołeckiego docelowo, po kilku latach, zwiększy wydatki ogółu gmin na ten cel o ok. 200 mln zł.</w:t>
      </w:r>
    </w:p>
    <w:p w14:paraId="50C0F7C6" w14:textId="1F99A724" w:rsidR="009A4981" w:rsidRPr="00860023" w:rsidRDefault="009A4981" w:rsidP="009A4981">
      <w:pPr>
        <w:spacing w:line="276" w:lineRule="auto"/>
        <w:ind w:firstLine="708"/>
        <w:jc w:val="both"/>
        <w:rPr>
          <w:rFonts w:ascii="Tahoma" w:eastAsiaTheme="minorEastAsia" w:hAnsi="Tahoma" w:cs="Tahoma"/>
          <w:sz w:val="24"/>
          <w:szCs w:val="24"/>
          <w:lang w:eastAsia="pl-PL"/>
        </w:rPr>
      </w:pPr>
      <w:r w:rsidRPr="00AF4D9C">
        <w:rPr>
          <w:rFonts w:ascii="Tahoma" w:eastAsiaTheme="minorEastAsia" w:hAnsi="Tahoma" w:cs="Tahoma"/>
          <w:sz w:val="24"/>
          <w:szCs w:val="24"/>
          <w:lang w:eastAsia="pl-PL"/>
        </w:rPr>
        <w:t>Przyjęte w projekcie</w:t>
      </w:r>
      <w:r w:rsidRPr="009504F8">
        <w:rPr>
          <w:rFonts w:ascii="Tahoma" w:eastAsiaTheme="minorEastAsia" w:hAnsi="Tahoma" w:cs="Tahoma"/>
          <w:sz w:val="24"/>
          <w:szCs w:val="24"/>
          <w:lang w:eastAsia="pl-PL"/>
        </w:rPr>
        <w:t xml:space="preserve"> </w:t>
      </w:r>
      <w:r w:rsidRPr="00860023">
        <w:rPr>
          <w:rFonts w:ascii="Tahoma" w:eastAsiaTheme="minorEastAsia" w:hAnsi="Tahoma" w:cs="Tahoma"/>
          <w:sz w:val="24"/>
          <w:szCs w:val="24"/>
          <w:lang w:eastAsia="pl-PL"/>
        </w:rPr>
        <w:t>dotacje z budżetu gminy na realizację przedsięwzięć służących rozwojowi społeczno – gospodarczemu sołectwa (proponowany art. 37e ust.1. u</w:t>
      </w:r>
      <w:r w:rsidR="009504F8">
        <w:rPr>
          <w:rFonts w:ascii="Tahoma" w:eastAsiaTheme="minorEastAsia" w:hAnsi="Tahoma" w:cs="Tahoma"/>
          <w:sz w:val="24"/>
          <w:szCs w:val="24"/>
          <w:lang w:eastAsia="pl-PL"/>
        </w:rPr>
        <w:t>.</w:t>
      </w:r>
      <w:r w:rsidRPr="00860023">
        <w:rPr>
          <w:rFonts w:ascii="Tahoma" w:eastAsiaTheme="minorEastAsia" w:hAnsi="Tahoma" w:cs="Tahoma"/>
          <w:sz w:val="24"/>
          <w:szCs w:val="24"/>
          <w:lang w:eastAsia="pl-PL"/>
        </w:rPr>
        <w:t>s</w:t>
      </w:r>
      <w:r w:rsidR="009504F8">
        <w:rPr>
          <w:rFonts w:ascii="Tahoma" w:eastAsiaTheme="minorEastAsia" w:hAnsi="Tahoma" w:cs="Tahoma"/>
          <w:sz w:val="24"/>
          <w:szCs w:val="24"/>
          <w:lang w:eastAsia="pl-PL"/>
        </w:rPr>
        <w:t>.</w:t>
      </w:r>
      <w:r w:rsidRPr="00860023">
        <w:rPr>
          <w:rFonts w:ascii="Tahoma" w:eastAsiaTheme="minorEastAsia" w:hAnsi="Tahoma" w:cs="Tahoma"/>
          <w:sz w:val="24"/>
          <w:szCs w:val="24"/>
          <w:lang w:eastAsia="pl-PL"/>
        </w:rPr>
        <w:t>g</w:t>
      </w:r>
      <w:r w:rsidR="009504F8">
        <w:rPr>
          <w:rFonts w:ascii="Tahoma" w:eastAsiaTheme="minorEastAsia" w:hAnsi="Tahoma" w:cs="Tahoma"/>
          <w:sz w:val="24"/>
          <w:szCs w:val="24"/>
          <w:lang w:eastAsia="pl-PL"/>
        </w:rPr>
        <w:t>.</w:t>
      </w:r>
      <w:r w:rsidRPr="00860023">
        <w:rPr>
          <w:rFonts w:ascii="Tahoma" w:eastAsiaTheme="minorEastAsia" w:hAnsi="Tahoma" w:cs="Tahoma"/>
          <w:sz w:val="24"/>
          <w:szCs w:val="24"/>
          <w:lang w:eastAsia="pl-PL"/>
        </w:rPr>
        <w:t>) będą miały charakter fakultatywny. Dopiero praktyka stosowania  tego rozwiązania pokaże realną skalę zaangażowania finansowego gmin na rzecz najbardziej dynamicznych sołectw dla których środki funduszu sołeckiego nie są wystarczające. Niemniej przyjmując, iż gminy mechanizmem tym obejmą 10% sołectw, a wymiar dotacji będzie w przedziale 1-2 krotnoś</w:t>
      </w:r>
      <w:r w:rsidR="00387570">
        <w:rPr>
          <w:rFonts w:ascii="Tahoma" w:eastAsiaTheme="minorEastAsia" w:hAnsi="Tahoma" w:cs="Tahoma"/>
          <w:sz w:val="24"/>
          <w:szCs w:val="24"/>
          <w:lang w:eastAsia="pl-PL"/>
        </w:rPr>
        <w:t>ć</w:t>
      </w:r>
      <w:r w:rsidRPr="00860023">
        <w:rPr>
          <w:rFonts w:ascii="Tahoma" w:eastAsiaTheme="minorEastAsia" w:hAnsi="Tahoma" w:cs="Tahoma"/>
          <w:sz w:val="24"/>
          <w:szCs w:val="24"/>
          <w:lang w:eastAsia="pl-PL"/>
        </w:rPr>
        <w:t xml:space="preserve"> środków funduszu sołeckiego, wydatki gmin z tego tytułu wyniosą od 50 do 100 mln zł rocznie</w:t>
      </w:r>
      <w:r>
        <w:rPr>
          <w:rFonts w:ascii="Tahoma" w:eastAsiaTheme="minorEastAsia" w:hAnsi="Tahoma" w:cs="Tahoma"/>
          <w:sz w:val="24"/>
          <w:szCs w:val="24"/>
          <w:lang w:eastAsia="pl-PL"/>
        </w:rPr>
        <w:t>.</w:t>
      </w:r>
    </w:p>
    <w:p w14:paraId="70C750C5" w14:textId="77777777" w:rsidR="009A4981" w:rsidRPr="00860023" w:rsidRDefault="009A4981" w:rsidP="009A4981">
      <w:pPr>
        <w:spacing w:line="276" w:lineRule="auto"/>
        <w:jc w:val="both"/>
        <w:rPr>
          <w:sz w:val="28"/>
          <w:szCs w:val="28"/>
        </w:rPr>
      </w:pPr>
      <w:r w:rsidRPr="00860023">
        <w:rPr>
          <w:rFonts w:ascii="Tahoma" w:eastAsiaTheme="minorEastAsia" w:hAnsi="Tahoma" w:cs="Tahoma"/>
          <w:sz w:val="24"/>
          <w:szCs w:val="24"/>
          <w:lang w:eastAsia="pl-PL"/>
        </w:rPr>
        <w:t>Uprawnienie sołectw do realizowania inicjatywy lokalnej, w pierwszym okresie  nie będzie oznaczać wzrostu wydatków gmin na inicjatywy lokalne. Dopiero upowszechnienie się tego nowego dla sołectw instrumentu wspierania aktywności obywatelskiej doprowadzi</w:t>
      </w:r>
      <w:r>
        <w:rPr>
          <w:rFonts w:ascii="Tahoma" w:eastAsiaTheme="minorEastAsia" w:hAnsi="Tahoma" w:cs="Tahoma"/>
          <w:sz w:val="24"/>
          <w:szCs w:val="24"/>
          <w:lang w:eastAsia="pl-PL"/>
        </w:rPr>
        <w:t xml:space="preserve"> do wzrostu wydatków na ten cel</w:t>
      </w:r>
      <w:r w:rsidRPr="00860023">
        <w:rPr>
          <w:rFonts w:ascii="Tahoma" w:eastAsiaTheme="minorEastAsia" w:hAnsi="Tahoma" w:cs="Tahoma"/>
          <w:sz w:val="24"/>
          <w:szCs w:val="24"/>
          <w:lang w:eastAsia="pl-PL"/>
        </w:rPr>
        <w:t xml:space="preserve"> o </w:t>
      </w:r>
      <w:r>
        <w:rPr>
          <w:rFonts w:ascii="Tahoma" w:eastAsiaTheme="minorEastAsia" w:hAnsi="Tahoma" w:cs="Tahoma"/>
          <w:sz w:val="24"/>
          <w:szCs w:val="24"/>
          <w:lang w:eastAsia="pl-PL"/>
        </w:rPr>
        <w:t>wymiar</w:t>
      </w:r>
      <w:r w:rsidRPr="00860023">
        <w:rPr>
          <w:rFonts w:ascii="Tahoma" w:eastAsiaTheme="minorEastAsia" w:hAnsi="Tahoma" w:cs="Tahoma"/>
          <w:sz w:val="24"/>
          <w:szCs w:val="24"/>
          <w:lang w:eastAsia="pl-PL"/>
        </w:rPr>
        <w:t xml:space="preserve"> nie możliwy do oszacowania</w:t>
      </w:r>
      <w:r w:rsidRPr="00AF4D9C">
        <w:rPr>
          <w:rFonts w:ascii="Tahoma" w:eastAsiaTheme="minorEastAsia" w:hAnsi="Tahoma" w:cs="Tahoma"/>
          <w:sz w:val="24"/>
          <w:szCs w:val="24"/>
          <w:lang w:eastAsia="pl-PL"/>
        </w:rPr>
        <w:t xml:space="preserve"> </w:t>
      </w:r>
      <w:r w:rsidRPr="00860023">
        <w:rPr>
          <w:rFonts w:ascii="Tahoma" w:eastAsiaTheme="minorEastAsia" w:hAnsi="Tahoma" w:cs="Tahoma"/>
          <w:sz w:val="24"/>
          <w:szCs w:val="24"/>
          <w:lang w:eastAsia="pl-PL"/>
        </w:rPr>
        <w:t>obecnie.</w:t>
      </w:r>
    </w:p>
    <w:p w14:paraId="120A1510" w14:textId="10D64FAD" w:rsidR="00442952" w:rsidRDefault="00387570" w:rsidP="00442952">
      <w:pPr>
        <w:spacing w:after="0" w:line="276" w:lineRule="auto"/>
        <w:ind w:firstLine="708"/>
        <w:jc w:val="both"/>
        <w:rPr>
          <w:rFonts w:ascii="Tahoma" w:hAnsi="Tahoma" w:cs="Tahoma"/>
          <w:sz w:val="24"/>
          <w:szCs w:val="24"/>
        </w:rPr>
      </w:pPr>
      <w:r>
        <w:rPr>
          <w:rFonts w:ascii="Tahoma" w:hAnsi="Tahoma" w:cs="Tahoma"/>
          <w:sz w:val="24"/>
          <w:szCs w:val="24"/>
        </w:rPr>
        <w:t>P</w:t>
      </w:r>
      <w:r w:rsidR="00442952">
        <w:rPr>
          <w:rFonts w:ascii="Tahoma" w:hAnsi="Tahoma" w:cs="Tahoma"/>
          <w:sz w:val="24"/>
          <w:szCs w:val="24"/>
        </w:rPr>
        <w:t xml:space="preserve">rzyjmując maksymalny oszacowany poziom niektórych składowych, osiągany po kilku latach funkcjonowania nowych rozwiązań, </w:t>
      </w:r>
      <w:r>
        <w:rPr>
          <w:rFonts w:ascii="Tahoma" w:hAnsi="Tahoma" w:cs="Tahoma"/>
          <w:sz w:val="24"/>
          <w:szCs w:val="24"/>
        </w:rPr>
        <w:t>projekt zakłada wzrost wydatków gmin na rozwój jednostek pomocniczych</w:t>
      </w:r>
      <w:r w:rsidRPr="00387570">
        <w:rPr>
          <w:rFonts w:ascii="Tahoma" w:hAnsi="Tahoma" w:cs="Tahoma"/>
          <w:sz w:val="24"/>
          <w:szCs w:val="24"/>
        </w:rPr>
        <w:t xml:space="preserve"> </w:t>
      </w:r>
      <w:r w:rsidR="00442952">
        <w:rPr>
          <w:rFonts w:ascii="Tahoma" w:hAnsi="Tahoma" w:cs="Tahoma"/>
          <w:sz w:val="24"/>
          <w:szCs w:val="24"/>
        </w:rPr>
        <w:t>oraz</w:t>
      </w:r>
      <w:r>
        <w:rPr>
          <w:rFonts w:ascii="Tahoma" w:hAnsi="Tahoma" w:cs="Tahoma"/>
          <w:sz w:val="24"/>
          <w:szCs w:val="24"/>
        </w:rPr>
        <w:t xml:space="preserve"> funkcjonowanie ich organów o ok. 490 mln zł rocznie</w:t>
      </w:r>
      <w:r w:rsidR="00442952">
        <w:rPr>
          <w:rFonts w:ascii="Tahoma" w:hAnsi="Tahoma" w:cs="Tahoma"/>
          <w:sz w:val="24"/>
          <w:szCs w:val="24"/>
        </w:rPr>
        <w:t>.</w:t>
      </w:r>
      <w:r w:rsidR="00BD1CC6">
        <w:rPr>
          <w:rFonts w:ascii="Tahoma" w:hAnsi="Tahoma" w:cs="Tahoma"/>
          <w:sz w:val="24"/>
          <w:szCs w:val="24"/>
        </w:rPr>
        <w:t xml:space="preserve"> </w:t>
      </w:r>
    </w:p>
    <w:p w14:paraId="2BDE4DF1" w14:textId="08BB4DEF" w:rsidR="00BC37D5" w:rsidRDefault="00387570" w:rsidP="00BC37D5">
      <w:pPr>
        <w:spacing w:line="276" w:lineRule="auto"/>
        <w:jc w:val="both"/>
        <w:rPr>
          <w:rFonts w:ascii="Tahoma" w:hAnsi="Tahoma" w:cs="Tahoma"/>
          <w:sz w:val="24"/>
          <w:szCs w:val="24"/>
        </w:rPr>
      </w:pPr>
      <w:r>
        <w:rPr>
          <w:rFonts w:ascii="Tahoma" w:hAnsi="Tahoma" w:cs="Tahoma"/>
          <w:sz w:val="24"/>
          <w:szCs w:val="24"/>
        </w:rPr>
        <w:t>Należy zauważyć</w:t>
      </w:r>
      <w:r w:rsidR="00600857">
        <w:rPr>
          <w:rFonts w:ascii="Tahoma" w:hAnsi="Tahoma" w:cs="Tahoma"/>
          <w:sz w:val="24"/>
          <w:szCs w:val="24"/>
        </w:rPr>
        <w:t xml:space="preserve">, iż wzrost wydatków </w:t>
      </w:r>
      <w:r w:rsidR="00442952">
        <w:rPr>
          <w:rFonts w:ascii="Tahoma" w:hAnsi="Tahoma" w:cs="Tahoma"/>
          <w:sz w:val="24"/>
          <w:szCs w:val="24"/>
        </w:rPr>
        <w:t>ściśle</w:t>
      </w:r>
      <w:r w:rsidR="00600857">
        <w:rPr>
          <w:rFonts w:ascii="Tahoma" w:hAnsi="Tahoma" w:cs="Tahoma"/>
          <w:sz w:val="24"/>
          <w:szCs w:val="24"/>
        </w:rPr>
        <w:t xml:space="preserve"> prorozwojowych czterokrotnie przewyższa wydatki o charakterze osobowym</w:t>
      </w:r>
      <w:r w:rsidR="00052432">
        <w:rPr>
          <w:rFonts w:ascii="Tahoma" w:hAnsi="Tahoma" w:cs="Tahoma"/>
          <w:sz w:val="24"/>
          <w:szCs w:val="24"/>
        </w:rPr>
        <w:t xml:space="preserve">, co dokładnie odpowiada podstawowemu założeniu projektu, jakim jest pełniejsze wykorzystanie potencjału jednostek pomocniczych. Cel ten może być osiągnięty wyłącznie poprzez zwiększenie zaangażowania gmin w mechanizmy prorozwojowe, czemu musi towarzyszyć proporcjonalnie wzmocnienie oraz zmotywowanie organów wykonawczych jednostek pomocniczych, </w:t>
      </w:r>
      <w:r w:rsidR="00442952">
        <w:rPr>
          <w:rFonts w:ascii="Tahoma" w:hAnsi="Tahoma" w:cs="Tahoma"/>
          <w:sz w:val="24"/>
          <w:szCs w:val="24"/>
        </w:rPr>
        <w:t>gdyż od nich</w:t>
      </w:r>
      <w:r w:rsidR="00052432">
        <w:rPr>
          <w:rFonts w:ascii="Tahoma" w:hAnsi="Tahoma" w:cs="Tahoma"/>
          <w:sz w:val="24"/>
          <w:szCs w:val="24"/>
        </w:rPr>
        <w:t xml:space="preserve"> w dużej mierze zależy efektywność </w:t>
      </w:r>
      <w:r w:rsidR="00442952">
        <w:rPr>
          <w:rFonts w:ascii="Tahoma" w:hAnsi="Tahoma" w:cs="Tahoma"/>
          <w:sz w:val="24"/>
          <w:szCs w:val="24"/>
        </w:rPr>
        <w:t xml:space="preserve">lokalnego </w:t>
      </w:r>
      <w:r w:rsidR="00052432">
        <w:rPr>
          <w:rFonts w:ascii="Tahoma" w:hAnsi="Tahoma" w:cs="Tahoma"/>
          <w:sz w:val="24"/>
          <w:szCs w:val="24"/>
        </w:rPr>
        <w:t>kapitału społecznego</w:t>
      </w:r>
      <w:r w:rsidR="00442952">
        <w:rPr>
          <w:rFonts w:ascii="Tahoma" w:hAnsi="Tahoma" w:cs="Tahoma"/>
          <w:sz w:val="24"/>
          <w:szCs w:val="24"/>
        </w:rPr>
        <w:t>.</w:t>
      </w:r>
      <w:r w:rsidR="00052432">
        <w:rPr>
          <w:rFonts w:ascii="Tahoma" w:hAnsi="Tahoma" w:cs="Tahoma"/>
          <w:sz w:val="24"/>
          <w:szCs w:val="24"/>
        </w:rPr>
        <w:t xml:space="preserve"> </w:t>
      </w:r>
    </w:p>
    <w:p w14:paraId="14A97223" w14:textId="77777777" w:rsidR="00442952" w:rsidRPr="00E23770" w:rsidRDefault="00442952" w:rsidP="00BC37D5">
      <w:pPr>
        <w:spacing w:line="276" w:lineRule="auto"/>
        <w:jc w:val="both"/>
        <w:rPr>
          <w:rFonts w:ascii="Tahoma" w:hAnsi="Tahoma" w:cs="Tahoma"/>
          <w:sz w:val="24"/>
          <w:szCs w:val="24"/>
        </w:rPr>
      </w:pPr>
    </w:p>
    <w:p w14:paraId="0A60D651" w14:textId="77777777" w:rsidR="00BC37D5" w:rsidRPr="00E23770" w:rsidRDefault="00BC37D5" w:rsidP="009A4981">
      <w:pPr>
        <w:spacing w:line="276" w:lineRule="auto"/>
        <w:ind w:firstLine="708"/>
        <w:jc w:val="both"/>
        <w:rPr>
          <w:rFonts w:ascii="Tahoma" w:eastAsia="Calibri" w:hAnsi="Tahoma" w:cs="Tahoma"/>
          <w:sz w:val="24"/>
          <w:szCs w:val="24"/>
        </w:rPr>
      </w:pPr>
      <w:r w:rsidRPr="00E23770">
        <w:rPr>
          <w:rFonts w:ascii="Tahoma" w:hAnsi="Tahoma" w:cs="Tahoma"/>
          <w:sz w:val="24"/>
          <w:szCs w:val="24"/>
        </w:rPr>
        <w:t>Projekt ustawy</w:t>
      </w:r>
      <w:r w:rsidRPr="00E23770">
        <w:rPr>
          <w:rFonts w:ascii="Tahoma" w:eastAsia="Calibri" w:hAnsi="Tahoma" w:cs="Tahoma"/>
          <w:sz w:val="24"/>
          <w:szCs w:val="24"/>
        </w:rPr>
        <w:t xml:space="preserve"> pociąga za sobą obciążenie dla budżetu państwa wynikające z urealnienia maksymalnego limitu wydatków z budżetu państwa na zwrot gminom części wydatków wykonanych w ramach funduszu sołeckiego. </w:t>
      </w:r>
    </w:p>
    <w:p w14:paraId="400AAB01" w14:textId="77777777" w:rsidR="00BC37D5" w:rsidRPr="00E23770" w:rsidRDefault="00BC37D5" w:rsidP="00BC37D5">
      <w:pPr>
        <w:spacing w:line="276" w:lineRule="auto"/>
        <w:jc w:val="both"/>
        <w:rPr>
          <w:rFonts w:ascii="Tahoma" w:eastAsia="Calibri" w:hAnsi="Tahoma" w:cs="Tahoma"/>
          <w:sz w:val="24"/>
          <w:szCs w:val="24"/>
        </w:rPr>
      </w:pPr>
      <w:r w:rsidRPr="00E23770">
        <w:rPr>
          <w:rFonts w:ascii="Tahoma" w:eastAsia="Calibri" w:hAnsi="Tahoma" w:cs="Tahoma"/>
          <w:sz w:val="24"/>
          <w:szCs w:val="24"/>
        </w:rPr>
        <w:t>W poszczególnych latach są to kwoty:</w:t>
      </w:r>
    </w:p>
    <w:p w14:paraId="1C8F06FE" w14:textId="0A39E23B" w:rsidR="00BC37D5" w:rsidRPr="00E23770" w:rsidRDefault="00BC37D5" w:rsidP="00BC37D5">
      <w:pPr>
        <w:spacing w:line="276" w:lineRule="auto"/>
        <w:rPr>
          <w:rFonts w:ascii="Tahoma" w:eastAsia="Calibri" w:hAnsi="Tahoma" w:cs="Tahoma"/>
          <w:sz w:val="24"/>
          <w:szCs w:val="24"/>
        </w:rPr>
      </w:pPr>
      <w:r w:rsidRPr="00E23770">
        <w:rPr>
          <w:rFonts w:ascii="Tahoma" w:eastAsia="Calibri" w:hAnsi="Tahoma" w:cs="Tahoma"/>
          <w:sz w:val="24"/>
          <w:szCs w:val="24"/>
        </w:rPr>
        <w:t>2020 – 83 000 tys. zł</w:t>
      </w:r>
    </w:p>
    <w:p w14:paraId="360C07EE" w14:textId="77777777" w:rsidR="00BC37D5" w:rsidRPr="00E23770" w:rsidRDefault="00BC37D5" w:rsidP="00BC37D5">
      <w:pPr>
        <w:spacing w:line="276" w:lineRule="auto"/>
        <w:rPr>
          <w:rFonts w:ascii="Tahoma" w:eastAsia="Calibri" w:hAnsi="Tahoma" w:cs="Tahoma"/>
          <w:sz w:val="24"/>
          <w:szCs w:val="24"/>
        </w:rPr>
      </w:pPr>
      <w:r w:rsidRPr="00E23770">
        <w:rPr>
          <w:rFonts w:ascii="Tahoma" w:eastAsia="Calibri" w:hAnsi="Tahoma" w:cs="Tahoma"/>
          <w:sz w:val="24"/>
          <w:szCs w:val="24"/>
        </w:rPr>
        <w:t>2021 – 99 500 tys. zł</w:t>
      </w:r>
    </w:p>
    <w:p w14:paraId="0698FE25" w14:textId="73BA2F32" w:rsidR="00BC37D5" w:rsidRPr="00E23770" w:rsidRDefault="00BC37D5" w:rsidP="00BC37D5">
      <w:pPr>
        <w:spacing w:line="276" w:lineRule="auto"/>
        <w:rPr>
          <w:rFonts w:ascii="Tahoma" w:eastAsia="Calibri" w:hAnsi="Tahoma" w:cs="Tahoma"/>
          <w:sz w:val="24"/>
          <w:szCs w:val="24"/>
        </w:rPr>
      </w:pPr>
      <w:r w:rsidRPr="00E23770">
        <w:rPr>
          <w:rFonts w:ascii="Tahoma" w:eastAsia="Calibri" w:hAnsi="Tahoma" w:cs="Tahoma"/>
          <w:sz w:val="24"/>
          <w:szCs w:val="24"/>
        </w:rPr>
        <w:t>2022 – 111 000 tys. zł</w:t>
      </w:r>
    </w:p>
    <w:p w14:paraId="365A8C43" w14:textId="6945199C" w:rsidR="00BC37D5" w:rsidRPr="00E23770" w:rsidRDefault="00BC37D5" w:rsidP="00BC37D5">
      <w:pPr>
        <w:spacing w:line="276" w:lineRule="auto"/>
        <w:rPr>
          <w:rFonts w:ascii="Tahoma" w:eastAsia="Calibri" w:hAnsi="Tahoma" w:cs="Tahoma"/>
          <w:sz w:val="24"/>
          <w:szCs w:val="24"/>
        </w:rPr>
      </w:pPr>
      <w:r w:rsidRPr="00E23770">
        <w:rPr>
          <w:rFonts w:ascii="Tahoma" w:eastAsia="Calibri" w:hAnsi="Tahoma" w:cs="Tahoma"/>
          <w:sz w:val="24"/>
          <w:szCs w:val="24"/>
        </w:rPr>
        <w:lastRenderedPageBreak/>
        <w:t>2023 – 122 500 tys. zł</w:t>
      </w:r>
    </w:p>
    <w:p w14:paraId="4AC3B05E" w14:textId="77777777" w:rsidR="00BC37D5" w:rsidRPr="00E23770" w:rsidRDefault="00BC37D5" w:rsidP="00BC37D5">
      <w:pPr>
        <w:spacing w:line="276" w:lineRule="auto"/>
        <w:jc w:val="both"/>
        <w:rPr>
          <w:rFonts w:ascii="Tahoma" w:eastAsia="Calibri" w:hAnsi="Tahoma" w:cs="Tahoma"/>
          <w:b/>
          <w:sz w:val="24"/>
          <w:szCs w:val="24"/>
        </w:rPr>
      </w:pPr>
    </w:p>
    <w:p w14:paraId="5051F1AB" w14:textId="77777777" w:rsidR="00BC37D5" w:rsidRPr="00E23770" w:rsidRDefault="00BC37D5" w:rsidP="00BC37D5">
      <w:pPr>
        <w:spacing w:line="276" w:lineRule="auto"/>
        <w:jc w:val="both"/>
        <w:rPr>
          <w:rFonts w:ascii="Tahoma" w:eastAsia="Calibri" w:hAnsi="Tahoma" w:cs="Tahoma"/>
          <w:sz w:val="24"/>
          <w:szCs w:val="24"/>
        </w:rPr>
      </w:pPr>
      <w:r w:rsidRPr="00E23770">
        <w:rPr>
          <w:rFonts w:ascii="Tahoma" w:eastAsia="Calibri" w:hAnsi="Tahoma" w:cs="Tahoma"/>
          <w:b/>
          <w:sz w:val="24"/>
          <w:szCs w:val="24"/>
        </w:rPr>
        <w:t xml:space="preserve">VI. Założenia projektów podstawowych aktów wykonawczych </w:t>
      </w:r>
    </w:p>
    <w:p w14:paraId="72B1200F" w14:textId="77777777" w:rsidR="00BC37D5" w:rsidRPr="00E23770" w:rsidRDefault="00BC37D5" w:rsidP="00BC37D5">
      <w:pPr>
        <w:spacing w:line="276" w:lineRule="auto"/>
        <w:jc w:val="both"/>
        <w:rPr>
          <w:rFonts w:ascii="Tahoma" w:eastAsia="Calibri" w:hAnsi="Tahoma" w:cs="Tahoma"/>
          <w:sz w:val="24"/>
          <w:szCs w:val="24"/>
        </w:rPr>
      </w:pPr>
      <w:r w:rsidRPr="00E23770">
        <w:rPr>
          <w:rFonts w:ascii="Tahoma" w:eastAsia="Calibri" w:hAnsi="Tahoma" w:cs="Tahoma"/>
          <w:sz w:val="24"/>
          <w:szCs w:val="24"/>
        </w:rPr>
        <w:t>Niniejsza nowelizacja nie wymaga wydania rozporządzeń.</w:t>
      </w:r>
    </w:p>
    <w:p w14:paraId="1027D1B8" w14:textId="77777777" w:rsidR="00BC37D5" w:rsidRPr="00E23770" w:rsidRDefault="00BC37D5" w:rsidP="00BC37D5">
      <w:pPr>
        <w:spacing w:line="276" w:lineRule="auto"/>
        <w:jc w:val="both"/>
        <w:rPr>
          <w:rFonts w:ascii="Tahoma" w:eastAsia="Calibri" w:hAnsi="Tahoma" w:cs="Tahoma"/>
          <w:sz w:val="24"/>
          <w:szCs w:val="24"/>
        </w:rPr>
      </w:pPr>
    </w:p>
    <w:p w14:paraId="62A53378" w14:textId="77777777" w:rsidR="00BC37D5" w:rsidRPr="00E23770" w:rsidRDefault="00BC37D5" w:rsidP="00BC37D5">
      <w:pPr>
        <w:spacing w:line="276" w:lineRule="auto"/>
        <w:jc w:val="both"/>
        <w:rPr>
          <w:rFonts w:ascii="Tahoma" w:eastAsia="Calibri" w:hAnsi="Tahoma" w:cs="Tahoma"/>
          <w:sz w:val="24"/>
          <w:szCs w:val="24"/>
        </w:rPr>
      </w:pPr>
      <w:r w:rsidRPr="00E23770">
        <w:rPr>
          <w:rFonts w:ascii="Tahoma" w:eastAsia="Calibri" w:hAnsi="Tahoma" w:cs="Tahoma"/>
          <w:b/>
          <w:sz w:val="24"/>
          <w:szCs w:val="24"/>
        </w:rPr>
        <w:t xml:space="preserve">VII. Konsultacje </w:t>
      </w:r>
    </w:p>
    <w:p w14:paraId="76B46233" w14:textId="77777777" w:rsidR="00BC37D5" w:rsidRPr="00E23770" w:rsidRDefault="00BC37D5" w:rsidP="00BC37D5">
      <w:pPr>
        <w:spacing w:line="276" w:lineRule="auto"/>
        <w:jc w:val="both"/>
        <w:rPr>
          <w:rFonts w:ascii="Tahoma" w:eastAsia="Calibri" w:hAnsi="Tahoma" w:cs="Tahoma"/>
          <w:sz w:val="24"/>
          <w:szCs w:val="24"/>
        </w:rPr>
      </w:pPr>
      <w:r w:rsidRPr="00E23770">
        <w:rPr>
          <w:rFonts w:ascii="Tahoma" w:eastAsia="Calibri" w:hAnsi="Tahoma" w:cs="Tahoma"/>
          <w:sz w:val="24"/>
          <w:szCs w:val="24"/>
        </w:rPr>
        <w:t>W stosunku do projektu nie przeprowadzono konsultacji. Zakłada się, iż zgodnie z art. 34 ust. 3 regulaminu Sejmu Marszałek Sejmu przed skierowaniem do pierwszego czytania skieruje projekt do konsultacji w trybie i na zasadach określonych w odrębnych ustawach.</w:t>
      </w:r>
    </w:p>
    <w:p w14:paraId="0128360B" w14:textId="77777777" w:rsidR="00BC37D5" w:rsidRPr="00E23770" w:rsidRDefault="00BC37D5" w:rsidP="00BC37D5">
      <w:pPr>
        <w:spacing w:line="276" w:lineRule="auto"/>
        <w:ind w:firstLine="567"/>
        <w:jc w:val="both"/>
        <w:rPr>
          <w:rFonts w:ascii="Tahoma" w:eastAsia="Calibri" w:hAnsi="Tahoma" w:cs="Tahoma"/>
          <w:sz w:val="24"/>
          <w:szCs w:val="24"/>
        </w:rPr>
      </w:pPr>
    </w:p>
    <w:p w14:paraId="7EADECAE" w14:textId="125E79E0" w:rsidR="00BC37D5" w:rsidRPr="00E23770" w:rsidRDefault="00BC37D5" w:rsidP="00BC37D5">
      <w:pPr>
        <w:spacing w:line="276" w:lineRule="auto"/>
        <w:jc w:val="both"/>
        <w:rPr>
          <w:rFonts w:ascii="Tahoma" w:eastAsia="Calibri" w:hAnsi="Tahoma" w:cs="Tahoma"/>
          <w:b/>
          <w:sz w:val="24"/>
          <w:szCs w:val="24"/>
        </w:rPr>
      </w:pPr>
      <w:r w:rsidRPr="00E23770">
        <w:rPr>
          <w:rFonts w:ascii="Tahoma" w:eastAsia="Calibri" w:hAnsi="Tahoma" w:cs="Tahoma"/>
          <w:b/>
          <w:sz w:val="24"/>
          <w:szCs w:val="24"/>
        </w:rPr>
        <w:t>VIII. Oświadczenie o zgodności projektu ustawy z prawem Unii Europejskiej albo oświadczenie, że przedmiot projektowanej regulacji nie jest objęty prawem Unii Europejskiej</w:t>
      </w:r>
    </w:p>
    <w:p w14:paraId="715DC140" w14:textId="77777777" w:rsidR="00BC37D5" w:rsidRPr="00E23770" w:rsidRDefault="00BC37D5" w:rsidP="00BC37D5">
      <w:pPr>
        <w:spacing w:line="276" w:lineRule="auto"/>
        <w:jc w:val="both"/>
        <w:rPr>
          <w:rFonts w:ascii="Tahoma" w:eastAsia="Calibri" w:hAnsi="Tahoma" w:cs="Tahoma"/>
          <w:sz w:val="24"/>
          <w:szCs w:val="24"/>
        </w:rPr>
      </w:pPr>
      <w:r w:rsidRPr="00E23770">
        <w:rPr>
          <w:rFonts w:ascii="Tahoma" w:eastAsia="Calibri" w:hAnsi="Tahoma" w:cs="Tahoma"/>
          <w:sz w:val="24"/>
          <w:szCs w:val="24"/>
        </w:rPr>
        <w:t>Przedmiot projektowanej regulacji nie jest objęty prawem Unii Europejskiej.</w:t>
      </w:r>
    </w:p>
    <w:p w14:paraId="43A5F3B6" w14:textId="77777777" w:rsidR="009A4981" w:rsidRPr="00F85350" w:rsidRDefault="009A4981" w:rsidP="00F85350">
      <w:pPr>
        <w:spacing w:after="0"/>
        <w:rPr>
          <w:rFonts w:ascii="Tahoma" w:hAnsi="Tahoma" w:cs="Tahoma"/>
          <w:sz w:val="24"/>
          <w:szCs w:val="24"/>
        </w:rPr>
      </w:pPr>
    </w:p>
    <w:sectPr w:rsidR="009A4981" w:rsidRPr="00F85350">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A5F33D" w14:textId="77777777" w:rsidR="00976BF5" w:rsidRDefault="00976BF5" w:rsidP="00AD11C5">
      <w:pPr>
        <w:spacing w:after="0" w:line="240" w:lineRule="auto"/>
      </w:pPr>
      <w:r>
        <w:separator/>
      </w:r>
    </w:p>
  </w:endnote>
  <w:endnote w:type="continuationSeparator" w:id="0">
    <w:p w14:paraId="32348564" w14:textId="77777777" w:rsidR="00976BF5" w:rsidRDefault="00976BF5" w:rsidP="00AD1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Narrow">
    <w:altName w:val="Arial Narrow"/>
    <w:panose1 w:val="00000000000000000000"/>
    <w:charset w:val="00"/>
    <w:family w:val="auto"/>
    <w:notTrueType/>
    <w:pitch w:val="default"/>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8467512"/>
      <w:docPartObj>
        <w:docPartGallery w:val="Page Numbers (Bottom of Page)"/>
        <w:docPartUnique/>
      </w:docPartObj>
    </w:sdtPr>
    <w:sdtEndPr/>
    <w:sdtContent>
      <w:p w14:paraId="099C8B68" w14:textId="71E72A4E" w:rsidR="009A4981" w:rsidRDefault="009A4981">
        <w:pPr>
          <w:pStyle w:val="Stopka"/>
          <w:jc w:val="right"/>
        </w:pPr>
        <w:r>
          <w:fldChar w:fldCharType="begin"/>
        </w:r>
        <w:r>
          <w:instrText>PAGE   \* MERGEFORMAT</w:instrText>
        </w:r>
        <w:r>
          <w:fldChar w:fldCharType="separate"/>
        </w:r>
        <w:r w:rsidR="00D41DFF">
          <w:rPr>
            <w:noProof/>
          </w:rPr>
          <w:t>12</w:t>
        </w:r>
        <w:r>
          <w:fldChar w:fldCharType="end"/>
        </w:r>
      </w:p>
    </w:sdtContent>
  </w:sdt>
  <w:p w14:paraId="6322AFC9" w14:textId="77777777" w:rsidR="009A4981" w:rsidRDefault="009A498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B31789" w14:textId="77777777" w:rsidR="00976BF5" w:rsidRDefault="00976BF5" w:rsidP="00AD11C5">
      <w:pPr>
        <w:spacing w:after="0" w:line="240" w:lineRule="auto"/>
      </w:pPr>
      <w:r>
        <w:separator/>
      </w:r>
    </w:p>
  </w:footnote>
  <w:footnote w:type="continuationSeparator" w:id="0">
    <w:p w14:paraId="71BB38E9" w14:textId="77777777" w:rsidR="00976BF5" w:rsidRDefault="00976BF5" w:rsidP="00AD11C5">
      <w:pPr>
        <w:spacing w:after="0" w:line="240" w:lineRule="auto"/>
      </w:pPr>
      <w:r>
        <w:continuationSeparator/>
      </w:r>
    </w:p>
  </w:footnote>
  <w:footnote w:id="1">
    <w:p w14:paraId="047227EE" w14:textId="77777777" w:rsidR="009A4981" w:rsidRDefault="009A4981" w:rsidP="00BC37D5">
      <w:pPr>
        <w:pStyle w:val="Tekstprzypisudolnego"/>
      </w:pPr>
      <w:r>
        <w:rPr>
          <w:rStyle w:val="Odwoanieprzypisudolnego"/>
        </w:rPr>
        <w:footnoteRef/>
      </w:r>
      <w:r>
        <w:t xml:space="preserve"> B. Dolnicki, </w:t>
      </w:r>
      <w:r w:rsidRPr="007C55CB">
        <w:rPr>
          <w:i/>
        </w:rPr>
        <w:t>Samorząd terytorialny</w:t>
      </w:r>
      <w:r>
        <w:t>, Warszawa 2012, s. 25.</w:t>
      </w:r>
    </w:p>
  </w:footnote>
  <w:footnote w:id="2">
    <w:p w14:paraId="2A727562" w14:textId="77777777" w:rsidR="009A4981" w:rsidRDefault="009A4981" w:rsidP="00BC37D5">
      <w:pPr>
        <w:pStyle w:val="Tekstprzypisudolnego"/>
      </w:pPr>
      <w:r>
        <w:rPr>
          <w:rStyle w:val="Odwoanieprzypisudolnego"/>
        </w:rPr>
        <w:footnoteRef/>
      </w:r>
      <w:r>
        <w:t xml:space="preserve"> E. Popławska, </w:t>
      </w:r>
      <w:r w:rsidRPr="00E53AE0">
        <w:rPr>
          <w:i/>
        </w:rPr>
        <w:t>Zasada subsydiarności w Traktatach z Maastricht i Amsterdamu</w:t>
      </w:r>
      <w:r>
        <w:t>, Warszawa 2000, s. 117.</w:t>
      </w:r>
    </w:p>
  </w:footnote>
  <w:footnote w:id="3">
    <w:p w14:paraId="040DF29E" w14:textId="459F12ED" w:rsidR="009A4981" w:rsidRPr="00E23770" w:rsidRDefault="009A4981" w:rsidP="00BC37D5">
      <w:pPr>
        <w:pStyle w:val="Tekstprzypisudolnego"/>
        <w:rPr>
          <w:rFonts w:ascii="Tahoma" w:hAnsi="Tahoma" w:cs="Tahoma"/>
          <w:sz w:val="18"/>
          <w:szCs w:val="18"/>
        </w:rPr>
      </w:pPr>
      <w:r>
        <w:rPr>
          <w:rStyle w:val="Odwoanieprzypisudolnego"/>
        </w:rPr>
        <w:footnoteRef/>
      </w:r>
      <w:r>
        <w:t xml:space="preserve"> </w:t>
      </w:r>
      <w:r w:rsidRPr="00D72324">
        <w:rPr>
          <w:szCs w:val="24"/>
        </w:rPr>
        <w:t>Dz</w:t>
      </w:r>
      <w:r w:rsidRPr="00E23770">
        <w:rPr>
          <w:rFonts w:ascii="Tahoma" w:hAnsi="Tahoma" w:cs="Tahoma"/>
          <w:sz w:val="18"/>
          <w:szCs w:val="18"/>
        </w:rPr>
        <w:t xml:space="preserve">. U. z 2017 r. </w:t>
      </w:r>
      <w:r w:rsidRPr="00E23770">
        <w:rPr>
          <w:rFonts w:ascii="Tahoma" w:hAnsi="Tahoma" w:cs="Tahoma"/>
          <w:bCs/>
          <w:color w:val="000000"/>
          <w:sz w:val="18"/>
          <w:szCs w:val="18"/>
        </w:rPr>
        <w:t xml:space="preserve">poz. 1876 </w:t>
      </w:r>
      <w:r w:rsidRPr="00E23770">
        <w:rPr>
          <w:rFonts w:ascii="Tahoma" w:hAnsi="Tahoma" w:cs="Tahoma"/>
          <w:sz w:val="18"/>
          <w:szCs w:val="18"/>
        </w:rPr>
        <w:t xml:space="preserve"> z późn. zm. </w:t>
      </w:r>
    </w:p>
  </w:footnote>
  <w:footnote w:id="4">
    <w:p w14:paraId="26214BDA" w14:textId="02A5E47E" w:rsidR="009A4981" w:rsidRPr="00E23770" w:rsidRDefault="009A4981" w:rsidP="00BC37D5">
      <w:pPr>
        <w:pStyle w:val="Tekstprzypisudolnego"/>
        <w:rPr>
          <w:rFonts w:ascii="Tahoma" w:hAnsi="Tahoma" w:cs="Tahoma"/>
          <w:sz w:val="18"/>
          <w:szCs w:val="18"/>
        </w:rPr>
      </w:pPr>
      <w:r w:rsidRPr="00E23770">
        <w:rPr>
          <w:rStyle w:val="Odwoanieprzypisudolnego"/>
          <w:rFonts w:ascii="Tahoma" w:hAnsi="Tahoma" w:cs="Tahoma"/>
          <w:sz w:val="18"/>
          <w:szCs w:val="18"/>
        </w:rPr>
        <w:footnoteRef/>
      </w:r>
      <w:r w:rsidRPr="00E23770">
        <w:rPr>
          <w:rFonts w:ascii="Tahoma" w:hAnsi="Tahoma" w:cs="Tahoma"/>
          <w:sz w:val="18"/>
          <w:szCs w:val="18"/>
        </w:rPr>
        <w:t xml:space="preserve"> Dz. U. z </w:t>
      </w:r>
      <w:r w:rsidRPr="00E23770">
        <w:rPr>
          <w:rFonts w:ascii="Tahoma" w:eastAsiaTheme="minorEastAsia" w:hAnsi="Tahoma" w:cs="Tahoma"/>
          <w:sz w:val="18"/>
          <w:szCs w:val="18"/>
          <w:lang w:eastAsia="pl-PL"/>
        </w:rPr>
        <w:t xml:space="preserve">2018 r. poz. 450 i 650 </w:t>
      </w:r>
      <w:r w:rsidRPr="00E23770">
        <w:rPr>
          <w:rFonts w:ascii="Tahoma" w:hAnsi="Tahoma" w:cs="Tahoma"/>
          <w:sz w:val="18"/>
          <w:szCs w:val="18"/>
        </w:rPr>
        <w:t>.</w:t>
      </w:r>
    </w:p>
  </w:footnote>
  <w:footnote w:id="5">
    <w:p w14:paraId="6667A35D" w14:textId="77777777" w:rsidR="009A4981" w:rsidRPr="00533F5E" w:rsidRDefault="009A4981" w:rsidP="00BC37D5">
      <w:pPr>
        <w:pStyle w:val="Tekstprzypisudolnego"/>
        <w:rPr>
          <w:rFonts w:ascii="Tahoma" w:hAnsi="Tahoma" w:cs="Tahoma"/>
          <w:sz w:val="18"/>
          <w:szCs w:val="18"/>
        </w:rPr>
      </w:pPr>
      <w:r w:rsidRPr="00E23770">
        <w:rPr>
          <w:rStyle w:val="Odwoanieprzypisudolnego"/>
          <w:rFonts w:ascii="Tahoma" w:hAnsi="Tahoma" w:cs="Tahoma"/>
          <w:sz w:val="18"/>
          <w:szCs w:val="18"/>
        </w:rPr>
        <w:footnoteRef/>
      </w:r>
      <w:r w:rsidRPr="00E23770">
        <w:rPr>
          <w:rFonts w:ascii="Tahoma" w:hAnsi="Tahoma" w:cs="Tahoma"/>
          <w:sz w:val="18"/>
          <w:szCs w:val="18"/>
        </w:rPr>
        <w:t xml:space="preserve"> Dz. </w:t>
      </w:r>
      <w:r w:rsidRPr="0066466B">
        <w:rPr>
          <w:rFonts w:ascii="Tahoma" w:hAnsi="Tahoma" w:cs="Tahoma"/>
          <w:sz w:val="18"/>
          <w:szCs w:val="18"/>
        </w:rPr>
        <w:t>U. poz. 301.</w:t>
      </w:r>
    </w:p>
  </w:footnote>
  <w:footnote w:id="6">
    <w:p w14:paraId="30F31754" w14:textId="23350466" w:rsidR="009A4981" w:rsidRPr="00E23770" w:rsidRDefault="009A4981" w:rsidP="00E23770">
      <w:pPr>
        <w:spacing w:line="240" w:lineRule="auto"/>
        <w:jc w:val="both"/>
        <w:rPr>
          <w:rFonts w:ascii="Tahoma" w:hAnsi="Tahoma" w:cs="Tahoma"/>
          <w:bCs/>
          <w:sz w:val="18"/>
          <w:szCs w:val="18"/>
        </w:rPr>
      </w:pPr>
      <w:r>
        <w:rPr>
          <w:rStyle w:val="Odwoanieprzypisudolnego"/>
        </w:rPr>
        <w:footnoteRef/>
      </w:r>
      <w:r>
        <w:t xml:space="preserve"> </w:t>
      </w:r>
      <w:r w:rsidRPr="00E23770">
        <w:rPr>
          <w:rFonts w:ascii="Tahoma" w:hAnsi="Tahoma" w:cs="Tahoma"/>
          <w:bCs/>
          <w:sz w:val="18"/>
          <w:szCs w:val="18"/>
        </w:rPr>
        <w:t xml:space="preserve">Sektorowy Program Operacyjny „Restrukturyzacja i modernizacja sektora </w:t>
      </w:r>
      <w:r w:rsidRPr="00E23770">
        <w:rPr>
          <w:rFonts w:ascii="Tahoma" w:hAnsi="Tahoma" w:cs="Tahoma"/>
          <w:sz w:val="18"/>
          <w:szCs w:val="18"/>
        </w:rPr>
        <w:t>ż</w:t>
      </w:r>
      <w:r w:rsidRPr="00E23770">
        <w:rPr>
          <w:rFonts w:ascii="Tahoma" w:hAnsi="Tahoma" w:cs="Tahoma"/>
          <w:bCs/>
          <w:sz w:val="18"/>
          <w:szCs w:val="18"/>
        </w:rPr>
        <w:t>ywno</w:t>
      </w:r>
      <w:r w:rsidRPr="00E23770">
        <w:rPr>
          <w:rFonts w:ascii="Tahoma" w:hAnsi="Tahoma" w:cs="Tahoma"/>
          <w:sz w:val="18"/>
          <w:szCs w:val="18"/>
        </w:rPr>
        <w:t>ś</w:t>
      </w:r>
      <w:r w:rsidRPr="00E23770">
        <w:rPr>
          <w:rFonts w:ascii="Tahoma" w:hAnsi="Tahoma" w:cs="Tahoma"/>
          <w:bCs/>
          <w:sz w:val="18"/>
          <w:szCs w:val="18"/>
        </w:rPr>
        <w:t>ciowego oraz rozwój obszarów wiejskich 2004</w:t>
      </w:r>
      <w:r>
        <w:rPr>
          <w:rFonts w:ascii="Tahoma" w:hAnsi="Tahoma" w:cs="Tahoma"/>
          <w:bCs/>
          <w:sz w:val="18"/>
          <w:szCs w:val="18"/>
        </w:rPr>
        <w:t xml:space="preserve"> </w:t>
      </w:r>
      <w:r w:rsidRPr="00E23770">
        <w:rPr>
          <w:rFonts w:ascii="Tahoma" w:hAnsi="Tahoma" w:cs="Tahoma"/>
          <w:bCs/>
          <w:sz w:val="18"/>
          <w:szCs w:val="18"/>
        </w:rPr>
        <w:t>– 2006” w zakresie działania 2.3. Odnowa wsi oraz zachowanie i ochrona dziedzictwa kulturowego”.</w:t>
      </w:r>
    </w:p>
  </w:footnote>
  <w:footnote w:id="7">
    <w:p w14:paraId="78D2C49C" w14:textId="60FEAD54" w:rsidR="009A4981" w:rsidRPr="007C54DA" w:rsidRDefault="009A4981" w:rsidP="00E23770">
      <w:pPr>
        <w:spacing w:line="240" w:lineRule="auto"/>
        <w:jc w:val="both"/>
        <w:rPr>
          <w:rFonts w:ascii="Helvetica-Narrow" w:hAnsi="Helvetica-Narrow" w:cs="Helvetica-Narrow"/>
          <w:szCs w:val="24"/>
        </w:rPr>
      </w:pPr>
      <w:r w:rsidRPr="00E23770">
        <w:rPr>
          <w:rStyle w:val="Odwoanieprzypisudolnego"/>
          <w:rFonts w:ascii="Tahoma" w:hAnsi="Tahoma" w:cs="Tahoma"/>
          <w:sz w:val="18"/>
          <w:szCs w:val="18"/>
        </w:rPr>
        <w:footnoteRef/>
      </w:r>
      <w:r w:rsidRPr="00E23770">
        <w:rPr>
          <w:rFonts w:ascii="Tahoma" w:hAnsi="Tahoma" w:cs="Tahoma"/>
          <w:sz w:val="18"/>
          <w:szCs w:val="18"/>
        </w:rPr>
        <w:t xml:space="preserve"> Rozporządzenie Ministra Rolnictwa i Rozwoju Wsi z dnia 17 grudnia 2004 r. (Dz. U z 2004 r. poz. 2846) w sprawie trybu składania i wzoru wniosku o dofinansowanie realizacji projektu w ramach Sektorowego Programu Operacyjnego „Restrukturyzacja i modernizacja sektora żywnościowego oraz rozwój obszarów wiejskich 2004 – 2006 w zakresie działania „Odnowa wsi oraz zachowanie i ochrona dziedzictwa kulturowego”.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FE37B2" w14:textId="6774DEE8" w:rsidR="009A4981" w:rsidRDefault="009A4981" w:rsidP="000336BA">
    <w:pPr>
      <w:pStyle w:val="Nagwek"/>
    </w:pPr>
  </w:p>
  <w:p w14:paraId="4E1E2D80" w14:textId="77777777" w:rsidR="009A4981" w:rsidRDefault="009A4981">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E322B"/>
    <w:multiLevelType w:val="hybridMultilevel"/>
    <w:tmpl w:val="8FA0627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54B0705"/>
    <w:multiLevelType w:val="hybridMultilevel"/>
    <w:tmpl w:val="E048C468"/>
    <w:lvl w:ilvl="0" w:tplc="E84EA0C2">
      <w:start w:val="5"/>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26A96415"/>
    <w:multiLevelType w:val="hybridMultilevel"/>
    <w:tmpl w:val="588EB9EA"/>
    <w:lvl w:ilvl="0" w:tplc="5CAEEAC0">
      <w:start w:val="1"/>
      <w:numFmt w:val="lowerLetter"/>
      <w:lvlText w:val="%1)"/>
      <w:lvlJc w:val="left"/>
      <w:pPr>
        <w:ind w:left="2062" w:hanging="360"/>
      </w:pPr>
      <w:rPr>
        <w:rFonts w:hint="default"/>
      </w:rPr>
    </w:lvl>
    <w:lvl w:ilvl="1" w:tplc="04150019" w:tentative="1">
      <w:start w:val="1"/>
      <w:numFmt w:val="lowerLetter"/>
      <w:lvlText w:val="%2."/>
      <w:lvlJc w:val="left"/>
      <w:pPr>
        <w:ind w:left="2782" w:hanging="360"/>
      </w:pPr>
    </w:lvl>
    <w:lvl w:ilvl="2" w:tplc="0415001B" w:tentative="1">
      <w:start w:val="1"/>
      <w:numFmt w:val="lowerRoman"/>
      <w:lvlText w:val="%3."/>
      <w:lvlJc w:val="right"/>
      <w:pPr>
        <w:ind w:left="3502" w:hanging="180"/>
      </w:pPr>
    </w:lvl>
    <w:lvl w:ilvl="3" w:tplc="0415000F" w:tentative="1">
      <w:start w:val="1"/>
      <w:numFmt w:val="decimal"/>
      <w:lvlText w:val="%4."/>
      <w:lvlJc w:val="left"/>
      <w:pPr>
        <w:ind w:left="4222" w:hanging="360"/>
      </w:pPr>
    </w:lvl>
    <w:lvl w:ilvl="4" w:tplc="04150019" w:tentative="1">
      <w:start w:val="1"/>
      <w:numFmt w:val="lowerLetter"/>
      <w:lvlText w:val="%5."/>
      <w:lvlJc w:val="left"/>
      <w:pPr>
        <w:ind w:left="4942" w:hanging="360"/>
      </w:pPr>
    </w:lvl>
    <w:lvl w:ilvl="5" w:tplc="0415001B" w:tentative="1">
      <w:start w:val="1"/>
      <w:numFmt w:val="lowerRoman"/>
      <w:lvlText w:val="%6."/>
      <w:lvlJc w:val="right"/>
      <w:pPr>
        <w:ind w:left="5662" w:hanging="180"/>
      </w:pPr>
    </w:lvl>
    <w:lvl w:ilvl="6" w:tplc="0415000F" w:tentative="1">
      <w:start w:val="1"/>
      <w:numFmt w:val="decimal"/>
      <w:lvlText w:val="%7."/>
      <w:lvlJc w:val="left"/>
      <w:pPr>
        <w:ind w:left="6382" w:hanging="360"/>
      </w:pPr>
    </w:lvl>
    <w:lvl w:ilvl="7" w:tplc="04150019" w:tentative="1">
      <w:start w:val="1"/>
      <w:numFmt w:val="lowerLetter"/>
      <w:lvlText w:val="%8."/>
      <w:lvlJc w:val="left"/>
      <w:pPr>
        <w:ind w:left="7102" w:hanging="360"/>
      </w:pPr>
    </w:lvl>
    <w:lvl w:ilvl="8" w:tplc="0415001B" w:tentative="1">
      <w:start w:val="1"/>
      <w:numFmt w:val="lowerRoman"/>
      <w:lvlText w:val="%9."/>
      <w:lvlJc w:val="right"/>
      <w:pPr>
        <w:ind w:left="7822" w:hanging="180"/>
      </w:pPr>
    </w:lvl>
  </w:abstractNum>
  <w:abstractNum w:abstractNumId="3" w15:restartNumberingAfterBreak="0">
    <w:nsid w:val="27354ACE"/>
    <w:multiLevelType w:val="hybridMultilevel"/>
    <w:tmpl w:val="659C96E2"/>
    <w:lvl w:ilvl="0" w:tplc="661CDB4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CF82A4E"/>
    <w:multiLevelType w:val="hybridMultilevel"/>
    <w:tmpl w:val="3F0888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BCA0D1C"/>
    <w:multiLevelType w:val="hybridMultilevel"/>
    <w:tmpl w:val="328C77C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679208E4"/>
    <w:multiLevelType w:val="hybridMultilevel"/>
    <w:tmpl w:val="F1ECACB4"/>
    <w:lvl w:ilvl="0" w:tplc="8BC6D2A0">
      <w:start w:val="1"/>
      <w:numFmt w:val="lowerLetter"/>
      <w:lvlText w:val="%1)"/>
      <w:lvlJc w:val="left"/>
      <w:pPr>
        <w:ind w:left="1776" w:hanging="360"/>
      </w:pPr>
      <w:rPr>
        <w:rFonts w:cs="Times New Roman" w:hint="default"/>
      </w:rPr>
    </w:lvl>
    <w:lvl w:ilvl="1" w:tplc="04150019" w:tentative="1">
      <w:start w:val="1"/>
      <w:numFmt w:val="lowerLetter"/>
      <w:lvlText w:val="%2."/>
      <w:lvlJc w:val="left"/>
      <w:pPr>
        <w:ind w:left="2496" w:hanging="360"/>
      </w:pPr>
      <w:rPr>
        <w:rFonts w:cs="Times New Roman"/>
      </w:rPr>
    </w:lvl>
    <w:lvl w:ilvl="2" w:tplc="0415001B" w:tentative="1">
      <w:start w:val="1"/>
      <w:numFmt w:val="lowerRoman"/>
      <w:lvlText w:val="%3."/>
      <w:lvlJc w:val="right"/>
      <w:pPr>
        <w:ind w:left="3216" w:hanging="180"/>
      </w:pPr>
      <w:rPr>
        <w:rFonts w:cs="Times New Roman"/>
      </w:rPr>
    </w:lvl>
    <w:lvl w:ilvl="3" w:tplc="0415000F" w:tentative="1">
      <w:start w:val="1"/>
      <w:numFmt w:val="decimal"/>
      <w:lvlText w:val="%4."/>
      <w:lvlJc w:val="left"/>
      <w:pPr>
        <w:ind w:left="3936" w:hanging="360"/>
      </w:pPr>
      <w:rPr>
        <w:rFonts w:cs="Times New Roman"/>
      </w:rPr>
    </w:lvl>
    <w:lvl w:ilvl="4" w:tplc="04150019" w:tentative="1">
      <w:start w:val="1"/>
      <w:numFmt w:val="lowerLetter"/>
      <w:lvlText w:val="%5."/>
      <w:lvlJc w:val="left"/>
      <w:pPr>
        <w:ind w:left="4656" w:hanging="360"/>
      </w:pPr>
      <w:rPr>
        <w:rFonts w:cs="Times New Roman"/>
      </w:rPr>
    </w:lvl>
    <w:lvl w:ilvl="5" w:tplc="0415001B" w:tentative="1">
      <w:start w:val="1"/>
      <w:numFmt w:val="lowerRoman"/>
      <w:lvlText w:val="%6."/>
      <w:lvlJc w:val="right"/>
      <w:pPr>
        <w:ind w:left="5376" w:hanging="180"/>
      </w:pPr>
      <w:rPr>
        <w:rFonts w:cs="Times New Roman"/>
      </w:rPr>
    </w:lvl>
    <w:lvl w:ilvl="6" w:tplc="0415000F" w:tentative="1">
      <w:start w:val="1"/>
      <w:numFmt w:val="decimal"/>
      <w:lvlText w:val="%7."/>
      <w:lvlJc w:val="left"/>
      <w:pPr>
        <w:ind w:left="6096" w:hanging="360"/>
      </w:pPr>
      <w:rPr>
        <w:rFonts w:cs="Times New Roman"/>
      </w:rPr>
    </w:lvl>
    <w:lvl w:ilvl="7" w:tplc="04150019" w:tentative="1">
      <w:start w:val="1"/>
      <w:numFmt w:val="lowerLetter"/>
      <w:lvlText w:val="%8."/>
      <w:lvlJc w:val="left"/>
      <w:pPr>
        <w:ind w:left="6816" w:hanging="360"/>
      </w:pPr>
      <w:rPr>
        <w:rFonts w:cs="Times New Roman"/>
      </w:rPr>
    </w:lvl>
    <w:lvl w:ilvl="8" w:tplc="0415001B" w:tentative="1">
      <w:start w:val="1"/>
      <w:numFmt w:val="lowerRoman"/>
      <w:lvlText w:val="%9."/>
      <w:lvlJc w:val="right"/>
      <w:pPr>
        <w:ind w:left="7536" w:hanging="180"/>
      </w:pPr>
      <w:rPr>
        <w:rFonts w:cs="Times New Roman"/>
      </w:rPr>
    </w:lvl>
  </w:abstractNum>
  <w:abstractNum w:abstractNumId="7" w15:restartNumberingAfterBreak="0">
    <w:nsid w:val="704310AF"/>
    <w:multiLevelType w:val="hybridMultilevel"/>
    <w:tmpl w:val="53E6F6B6"/>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73543DB9"/>
    <w:multiLevelType w:val="hybridMultilevel"/>
    <w:tmpl w:val="FB78CFF0"/>
    <w:lvl w:ilvl="0" w:tplc="D29E77CE">
      <w:start w:val="1"/>
      <w:numFmt w:val="lowerLetter"/>
      <w:lvlText w:val="%1)"/>
      <w:lvlJc w:val="left"/>
      <w:pPr>
        <w:ind w:left="928" w:hanging="360"/>
      </w:pPr>
      <w:rPr>
        <w:rFonts w:ascii="Tahoma" w:eastAsiaTheme="minorEastAsia" w:hAnsi="Tahoma" w:cs="Tahoma" w:hint="default"/>
        <w:b w:val="0"/>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9" w15:restartNumberingAfterBreak="0">
    <w:nsid w:val="751C0FF3"/>
    <w:multiLevelType w:val="hybridMultilevel"/>
    <w:tmpl w:val="BB68331C"/>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9"/>
  </w:num>
  <w:num w:numId="2">
    <w:abstractNumId w:val="8"/>
  </w:num>
  <w:num w:numId="3">
    <w:abstractNumId w:val="7"/>
  </w:num>
  <w:num w:numId="4">
    <w:abstractNumId w:val="5"/>
  </w:num>
  <w:num w:numId="5">
    <w:abstractNumId w:val="6"/>
  </w:num>
  <w:num w:numId="6">
    <w:abstractNumId w:val="2"/>
  </w:num>
  <w:num w:numId="7">
    <w:abstractNumId w:val="0"/>
  </w:num>
  <w:num w:numId="8">
    <w:abstractNumId w:val="3"/>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1C5"/>
    <w:rsid w:val="000011DF"/>
    <w:rsid w:val="00005641"/>
    <w:rsid w:val="00012880"/>
    <w:rsid w:val="0001567F"/>
    <w:rsid w:val="000336BA"/>
    <w:rsid w:val="00034705"/>
    <w:rsid w:val="00052432"/>
    <w:rsid w:val="00090FC0"/>
    <w:rsid w:val="000B7381"/>
    <w:rsid w:val="000E0DDA"/>
    <w:rsid w:val="0011325B"/>
    <w:rsid w:val="00121473"/>
    <w:rsid w:val="001223BA"/>
    <w:rsid w:val="0012417D"/>
    <w:rsid w:val="001275CA"/>
    <w:rsid w:val="00127BCA"/>
    <w:rsid w:val="0013176D"/>
    <w:rsid w:val="00155361"/>
    <w:rsid w:val="00173DA8"/>
    <w:rsid w:val="0017611E"/>
    <w:rsid w:val="001A5228"/>
    <w:rsid w:val="001A6A8B"/>
    <w:rsid w:val="001D32F5"/>
    <w:rsid w:val="001F2DE5"/>
    <w:rsid w:val="00204E5C"/>
    <w:rsid w:val="0021496B"/>
    <w:rsid w:val="00230FA9"/>
    <w:rsid w:val="00244016"/>
    <w:rsid w:val="002E55ED"/>
    <w:rsid w:val="003015B3"/>
    <w:rsid w:val="0030518A"/>
    <w:rsid w:val="00333959"/>
    <w:rsid w:val="00341D20"/>
    <w:rsid w:val="00386DD2"/>
    <w:rsid w:val="00387570"/>
    <w:rsid w:val="00387938"/>
    <w:rsid w:val="003A5497"/>
    <w:rsid w:val="003A7A4D"/>
    <w:rsid w:val="00420C70"/>
    <w:rsid w:val="00442952"/>
    <w:rsid w:val="00464461"/>
    <w:rsid w:val="00476765"/>
    <w:rsid w:val="00484274"/>
    <w:rsid w:val="00491CBC"/>
    <w:rsid w:val="004940F8"/>
    <w:rsid w:val="004C611F"/>
    <w:rsid w:val="004E377F"/>
    <w:rsid w:val="004E3E61"/>
    <w:rsid w:val="004E5CB0"/>
    <w:rsid w:val="004F5233"/>
    <w:rsid w:val="00502D7F"/>
    <w:rsid w:val="00533F5E"/>
    <w:rsid w:val="00542BA8"/>
    <w:rsid w:val="0056128F"/>
    <w:rsid w:val="00573D39"/>
    <w:rsid w:val="005A02FC"/>
    <w:rsid w:val="005A314D"/>
    <w:rsid w:val="005B45EA"/>
    <w:rsid w:val="005E5962"/>
    <w:rsid w:val="005F2491"/>
    <w:rsid w:val="00600857"/>
    <w:rsid w:val="006113C7"/>
    <w:rsid w:val="0061167F"/>
    <w:rsid w:val="006124B0"/>
    <w:rsid w:val="006513B4"/>
    <w:rsid w:val="00656C8E"/>
    <w:rsid w:val="0066466B"/>
    <w:rsid w:val="0068197E"/>
    <w:rsid w:val="006A6982"/>
    <w:rsid w:val="006C1276"/>
    <w:rsid w:val="006D4E87"/>
    <w:rsid w:val="00702325"/>
    <w:rsid w:val="007144AB"/>
    <w:rsid w:val="00731087"/>
    <w:rsid w:val="007C2754"/>
    <w:rsid w:val="007C4AC8"/>
    <w:rsid w:val="007F53D9"/>
    <w:rsid w:val="00814396"/>
    <w:rsid w:val="00817658"/>
    <w:rsid w:val="00844606"/>
    <w:rsid w:val="008615F1"/>
    <w:rsid w:val="00876BB4"/>
    <w:rsid w:val="008A12BF"/>
    <w:rsid w:val="008A52D0"/>
    <w:rsid w:val="008D5FB0"/>
    <w:rsid w:val="008E727F"/>
    <w:rsid w:val="00942324"/>
    <w:rsid w:val="009504F8"/>
    <w:rsid w:val="00971A59"/>
    <w:rsid w:val="00976BF5"/>
    <w:rsid w:val="009A4981"/>
    <w:rsid w:val="009C1D98"/>
    <w:rsid w:val="009D7B0F"/>
    <w:rsid w:val="009F7575"/>
    <w:rsid w:val="00A22BFB"/>
    <w:rsid w:val="00A334AA"/>
    <w:rsid w:val="00A45E06"/>
    <w:rsid w:val="00A46465"/>
    <w:rsid w:val="00A52C7D"/>
    <w:rsid w:val="00A74AB9"/>
    <w:rsid w:val="00A93684"/>
    <w:rsid w:val="00AD11C5"/>
    <w:rsid w:val="00B030B2"/>
    <w:rsid w:val="00B14861"/>
    <w:rsid w:val="00B426EA"/>
    <w:rsid w:val="00B84F82"/>
    <w:rsid w:val="00BA146A"/>
    <w:rsid w:val="00BA16D1"/>
    <w:rsid w:val="00BC37D5"/>
    <w:rsid w:val="00BC3900"/>
    <w:rsid w:val="00BD1CC6"/>
    <w:rsid w:val="00BD1D28"/>
    <w:rsid w:val="00BD720B"/>
    <w:rsid w:val="00C24986"/>
    <w:rsid w:val="00C310AB"/>
    <w:rsid w:val="00C46225"/>
    <w:rsid w:val="00C66743"/>
    <w:rsid w:val="00C86424"/>
    <w:rsid w:val="00C91101"/>
    <w:rsid w:val="00CA579F"/>
    <w:rsid w:val="00CB47E5"/>
    <w:rsid w:val="00CC17C6"/>
    <w:rsid w:val="00CD2030"/>
    <w:rsid w:val="00CE1415"/>
    <w:rsid w:val="00D111D7"/>
    <w:rsid w:val="00D41DFF"/>
    <w:rsid w:val="00D75373"/>
    <w:rsid w:val="00D854F3"/>
    <w:rsid w:val="00DD6513"/>
    <w:rsid w:val="00DE5118"/>
    <w:rsid w:val="00DF0271"/>
    <w:rsid w:val="00E05889"/>
    <w:rsid w:val="00E11AEE"/>
    <w:rsid w:val="00E1582E"/>
    <w:rsid w:val="00E23770"/>
    <w:rsid w:val="00E4184D"/>
    <w:rsid w:val="00E553A9"/>
    <w:rsid w:val="00E77EC6"/>
    <w:rsid w:val="00EC6EA1"/>
    <w:rsid w:val="00ED46EB"/>
    <w:rsid w:val="00ED7176"/>
    <w:rsid w:val="00EE7DB2"/>
    <w:rsid w:val="00F7036F"/>
    <w:rsid w:val="00F74590"/>
    <w:rsid w:val="00F85350"/>
    <w:rsid w:val="00F90A2B"/>
    <w:rsid w:val="00FC75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D012EA"/>
  <w15:docId w15:val="{542AC887-E708-4EA8-98B0-97D63CA7A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Tekst przypisu"/>
    <w:basedOn w:val="Normalny"/>
    <w:link w:val="TekstprzypisudolnegoZnak"/>
    <w:uiPriority w:val="99"/>
    <w:unhideWhenUsed/>
    <w:rsid w:val="00AD11C5"/>
    <w:pPr>
      <w:spacing w:after="0" w:line="240" w:lineRule="auto"/>
    </w:pPr>
    <w:rPr>
      <w:sz w:val="20"/>
      <w:szCs w:val="20"/>
    </w:rPr>
  </w:style>
  <w:style w:type="character" w:customStyle="1" w:styleId="TekstprzypisudolnegoZnak">
    <w:name w:val="Tekst przypisu dolnego Znak"/>
    <w:aliases w:val="Tekst przypisu Znak"/>
    <w:basedOn w:val="Domylnaczcionkaakapitu"/>
    <w:link w:val="Tekstprzypisudolnego"/>
    <w:uiPriority w:val="99"/>
    <w:rsid w:val="00AD11C5"/>
    <w:rPr>
      <w:sz w:val="20"/>
      <w:szCs w:val="20"/>
    </w:rPr>
  </w:style>
  <w:style w:type="character" w:styleId="Odwoanieprzypisudolnego">
    <w:name w:val="footnote reference"/>
    <w:aliases w:val="Odwołanie przypisu"/>
    <w:basedOn w:val="Domylnaczcionkaakapitu"/>
    <w:uiPriority w:val="99"/>
    <w:unhideWhenUsed/>
    <w:rsid w:val="00AD11C5"/>
    <w:rPr>
      <w:rFonts w:cs="Times New Roman"/>
      <w:vertAlign w:val="superscript"/>
    </w:rPr>
  </w:style>
  <w:style w:type="character" w:styleId="Odwoaniedokomentarza">
    <w:name w:val="annotation reference"/>
    <w:basedOn w:val="Domylnaczcionkaakapitu"/>
    <w:uiPriority w:val="99"/>
    <w:semiHidden/>
    <w:unhideWhenUsed/>
    <w:rsid w:val="00AD11C5"/>
    <w:rPr>
      <w:sz w:val="16"/>
      <w:szCs w:val="16"/>
    </w:rPr>
  </w:style>
  <w:style w:type="paragraph" w:styleId="Tekstkomentarza">
    <w:name w:val="annotation text"/>
    <w:basedOn w:val="Normalny"/>
    <w:link w:val="TekstkomentarzaZnak"/>
    <w:uiPriority w:val="99"/>
    <w:unhideWhenUsed/>
    <w:rsid w:val="00AD11C5"/>
    <w:pPr>
      <w:spacing w:line="240" w:lineRule="auto"/>
    </w:pPr>
    <w:rPr>
      <w:rFonts w:eastAsiaTheme="minorEastAsia" w:cs="Times New Roman"/>
      <w:sz w:val="20"/>
      <w:szCs w:val="20"/>
      <w:lang w:eastAsia="pl-PL"/>
    </w:rPr>
  </w:style>
  <w:style w:type="character" w:customStyle="1" w:styleId="TekstkomentarzaZnak">
    <w:name w:val="Tekst komentarza Znak"/>
    <w:basedOn w:val="Domylnaczcionkaakapitu"/>
    <w:link w:val="Tekstkomentarza"/>
    <w:uiPriority w:val="99"/>
    <w:rsid w:val="00AD11C5"/>
    <w:rPr>
      <w:rFonts w:eastAsiaTheme="minorEastAsia" w:cs="Times New Roman"/>
      <w:sz w:val="20"/>
      <w:szCs w:val="20"/>
      <w:lang w:eastAsia="pl-PL"/>
    </w:rPr>
  </w:style>
  <w:style w:type="paragraph" w:styleId="Nagwek">
    <w:name w:val="header"/>
    <w:basedOn w:val="Normalny"/>
    <w:link w:val="NagwekZnak"/>
    <w:uiPriority w:val="99"/>
    <w:unhideWhenUsed/>
    <w:rsid w:val="00AD11C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D11C5"/>
  </w:style>
  <w:style w:type="paragraph" w:styleId="Tekstdymka">
    <w:name w:val="Balloon Text"/>
    <w:basedOn w:val="Normalny"/>
    <w:link w:val="TekstdymkaZnak"/>
    <w:uiPriority w:val="99"/>
    <w:semiHidden/>
    <w:unhideWhenUsed/>
    <w:rsid w:val="00AD11C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D11C5"/>
    <w:rPr>
      <w:rFonts w:ascii="Segoe UI" w:hAnsi="Segoe UI" w:cs="Segoe UI"/>
      <w:sz w:val="18"/>
      <w:szCs w:val="18"/>
    </w:rPr>
  </w:style>
  <w:style w:type="paragraph" w:styleId="Stopka">
    <w:name w:val="footer"/>
    <w:basedOn w:val="Normalny"/>
    <w:link w:val="StopkaZnak"/>
    <w:uiPriority w:val="99"/>
    <w:unhideWhenUsed/>
    <w:rsid w:val="00CB47E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B47E5"/>
  </w:style>
  <w:style w:type="paragraph" w:styleId="Akapitzlist">
    <w:name w:val="List Paragraph"/>
    <w:basedOn w:val="Normalny"/>
    <w:uiPriority w:val="34"/>
    <w:qFormat/>
    <w:rsid w:val="0012417D"/>
    <w:pPr>
      <w:ind w:left="720"/>
      <w:contextualSpacing/>
    </w:pPr>
    <w:rPr>
      <w:rFonts w:eastAsiaTheme="minorEastAsia" w:cs="Times New Roman"/>
      <w:lang w:eastAsia="pl-PL"/>
    </w:rPr>
  </w:style>
  <w:style w:type="paragraph" w:styleId="Tematkomentarza">
    <w:name w:val="annotation subject"/>
    <w:basedOn w:val="Tekstkomentarza"/>
    <w:next w:val="Tekstkomentarza"/>
    <w:link w:val="TematkomentarzaZnak"/>
    <w:uiPriority w:val="99"/>
    <w:semiHidden/>
    <w:unhideWhenUsed/>
    <w:rsid w:val="008615F1"/>
    <w:rPr>
      <w:rFonts w:eastAsiaTheme="minorHAnsi" w:cstheme="minorBidi"/>
      <w:b/>
      <w:bCs/>
      <w:lang w:eastAsia="en-US"/>
    </w:rPr>
  </w:style>
  <w:style w:type="character" w:customStyle="1" w:styleId="TematkomentarzaZnak">
    <w:name w:val="Temat komentarza Znak"/>
    <w:basedOn w:val="TekstkomentarzaZnak"/>
    <w:link w:val="Tematkomentarza"/>
    <w:uiPriority w:val="99"/>
    <w:semiHidden/>
    <w:rsid w:val="008615F1"/>
    <w:rPr>
      <w:rFonts w:eastAsiaTheme="minorEastAsia" w:cs="Times New Roman"/>
      <w:b/>
      <w:bCs/>
      <w:sz w:val="20"/>
      <w:szCs w:val="20"/>
      <w:lang w:eastAsia="pl-PL"/>
    </w:rPr>
  </w:style>
  <w:style w:type="character" w:customStyle="1" w:styleId="tabulatory">
    <w:name w:val="tabulatory"/>
    <w:basedOn w:val="Domylnaczcionkaakapitu"/>
    <w:rsid w:val="00F90A2B"/>
  </w:style>
  <w:style w:type="character" w:styleId="Hipercze">
    <w:name w:val="Hyperlink"/>
    <w:basedOn w:val="Domylnaczcionkaakapitu"/>
    <w:uiPriority w:val="99"/>
    <w:semiHidden/>
    <w:unhideWhenUsed/>
    <w:rsid w:val="00121473"/>
    <w:rPr>
      <w:color w:val="0000FF"/>
      <w:u w:val="single"/>
    </w:rPr>
  </w:style>
  <w:style w:type="paragraph" w:styleId="Tekstprzypisukocowego">
    <w:name w:val="endnote text"/>
    <w:basedOn w:val="Normalny"/>
    <w:link w:val="TekstprzypisukocowegoZnak"/>
    <w:uiPriority w:val="99"/>
    <w:semiHidden/>
    <w:unhideWhenUsed/>
    <w:rsid w:val="00BD1CC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D1CC6"/>
    <w:rPr>
      <w:sz w:val="20"/>
      <w:szCs w:val="20"/>
    </w:rPr>
  </w:style>
  <w:style w:type="character" w:styleId="Odwoanieprzypisukocowego">
    <w:name w:val="endnote reference"/>
    <w:basedOn w:val="Domylnaczcionkaakapitu"/>
    <w:uiPriority w:val="99"/>
    <w:semiHidden/>
    <w:unhideWhenUsed/>
    <w:rsid w:val="00BD1C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904190">
      <w:bodyDiv w:val="1"/>
      <w:marLeft w:val="0"/>
      <w:marRight w:val="0"/>
      <w:marTop w:val="0"/>
      <w:marBottom w:val="0"/>
      <w:divBdr>
        <w:top w:val="none" w:sz="0" w:space="0" w:color="auto"/>
        <w:left w:val="none" w:sz="0" w:space="0" w:color="auto"/>
        <w:bottom w:val="none" w:sz="0" w:space="0" w:color="auto"/>
        <w:right w:val="none" w:sz="0" w:space="0" w:color="auto"/>
      </w:divBdr>
      <w:divsChild>
        <w:div w:id="2021620091">
          <w:marLeft w:val="0"/>
          <w:marRight w:val="0"/>
          <w:marTop w:val="0"/>
          <w:marBottom w:val="0"/>
          <w:divBdr>
            <w:top w:val="none" w:sz="0" w:space="0" w:color="auto"/>
            <w:left w:val="none" w:sz="0" w:space="0" w:color="auto"/>
            <w:bottom w:val="none" w:sz="0" w:space="0" w:color="auto"/>
            <w:right w:val="none" w:sz="0" w:space="0" w:color="auto"/>
          </w:divBdr>
          <w:divsChild>
            <w:div w:id="1014724147">
              <w:marLeft w:val="0"/>
              <w:marRight w:val="0"/>
              <w:marTop w:val="0"/>
              <w:marBottom w:val="0"/>
              <w:divBdr>
                <w:top w:val="none" w:sz="0" w:space="0" w:color="auto"/>
                <w:left w:val="none" w:sz="0" w:space="0" w:color="auto"/>
                <w:bottom w:val="none" w:sz="0" w:space="0" w:color="auto"/>
                <w:right w:val="none" w:sz="0" w:space="0" w:color="auto"/>
              </w:divBdr>
              <w:divsChild>
                <w:div w:id="2142574225">
                  <w:marLeft w:val="480"/>
                  <w:marRight w:val="0"/>
                  <w:marTop w:val="0"/>
                  <w:marBottom w:val="0"/>
                  <w:divBdr>
                    <w:top w:val="none" w:sz="0" w:space="0" w:color="auto"/>
                    <w:left w:val="none" w:sz="0" w:space="0" w:color="auto"/>
                    <w:bottom w:val="none" w:sz="0" w:space="0" w:color="auto"/>
                    <w:right w:val="none" w:sz="0" w:space="0" w:color="auto"/>
                  </w:divBdr>
                </w:div>
              </w:divsChild>
            </w:div>
            <w:div w:id="1303582834">
              <w:marLeft w:val="0"/>
              <w:marRight w:val="0"/>
              <w:marTop w:val="0"/>
              <w:marBottom w:val="0"/>
              <w:divBdr>
                <w:top w:val="none" w:sz="0" w:space="0" w:color="auto"/>
                <w:left w:val="none" w:sz="0" w:space="0" w:color="auto"/>
                <w:bottom w:val="none" w:sz="0" w:space="0" w:color="auto"/>
                <w:right w:val="none" w:sz="0" w:space="0" w:color="auto"/>
              </w:divBdr>
              <w:divsChild>
                <w:div w:id="528645107">
                  <w:marLeft w:val="480"/>
                  <w:marRight w:val="0"/>
                  <w:marTop w:val="0"/>
                  <w:marBottom w:val="0"/>
                  <w:divBdr>
                    <w:top w:val="none" w:sz="0" w:space="0" w:color="auto"/>
                    <w:left w:val="none" w:sz="0" w:space="0" w:color="auto"/>
                    <w:bottom w:val="none" w:sz="0" w:space="0" w:color="auto"/>
                    <w:right w:val="none" w:sz="0" w:space="0" w:color="auto"/>
                  </w:divBdr>
                </w:div>
              </w:divsChild>
            </w:div>
            <w:div w:id="1729302309">
              <w:marLeft w:val="0"/>
              <w:marRight w:val="0"/>
              <w:marTop w:val="0"/>
              <w:marBottom w:val="0"/>
              <w:divBdr>
                <w:top w:val="none" w:sz="0" w:space="0" w:color="auto"/>
                <w:left w:val="none" w:sz="0" w:space="0" w:color="auto"/>
                <w:bottom w:val="none" w:sz="0" w:space="0" w:color="auto"/>
                <w:right w:val="none" w:sz="0" w:space="0" w:color="auto"/>
              </w:divBdr>
              <w:divsChild>
                <w:div w:id="1384016929">
                  <w:marLeft w:val="480"/>
                  <w:marRight w:val="0"/>
                  <w:marTop w:val="0"/>
                  <w:marBottom w:val="0"/>
                  <w:divBdr>
                    <w:top w:val="none" w:sz="0" w:space="0" w:color="auto"/>
                    <w:left w:val="none" w:sz="0" w:space="0" w:color="auto"/>
                    <w:bottom w:val="none" w:sz="0" w:space="0" w:color="auto"/>
                    <w:right w:val="none" w:sz="0" w:space="0" w:color="auto"/>
                  </w:divBdr>
                </w:div>
              </w:divsChild>
            </w:div>
            <w:div w:id="602230972">
              <w:marLeft w:val="0"/>
              <w:marRight w:val="0"/>
              <w:marTop w:val="0"/>
              <w:marBottom w:val="0"/>
              <w:divBdr>
                <w:top w:val="none" w:sz="0" w:space="0" w:color="auto"/>
                <w:left w:val="none" w:sz="0" w:space="0" w:color="auto"/>
                <w:bottom w:val="none" w:sz="0" w:space="0" w:color="auto"/>
                <w:right w:val="none" w:sz="0" w:space="0" w:color="auto"/>
              </w:divBdr>
              <w:divsChild>
                <w:div w:id="2022778593">
                  <w:marLeft w:val="480"/>
                  <w:marRight w:val="0"/>
                  <w:marTop w:val="0"/>
                  <w:marBottom w:val="0"/>
                  <w:divBdr>
                    <w:top w:val="none" w:sz="0" w:space="0" w:color="auto"/>
                    <w:left w:val="none" w:sz="0" w:space="0" w:color="auto"/>
                    <w:bottom w:val="none" w:sz="0" w:space="0" w:color="auto"/>
                    <w:right w:val="none" w:sz="0" w:space="0" w:color="auto"/>
                  </w:divBdr>
                </w:div>
              </w:divsChild>
            </w:div>
            <w:div w:id="352925954">
              <w:marLeft w:val="0"/>
              <w:marRight w:val="0"/>
              <w:marTop w:val="0"/>
              <w:marBottom w:val="0"/>
              <w:divBdr>
                <w:top w:val="none" w:sz="0" w:space="0" w:color="auto"/>
                <w:left w:val="none" w:sz="0" w:space="0" w:color="auto"/>
                <w:bottom w:val="none" w:sz="0" w:space="0" w:color="auto"/>
                <w:right w:val="none" w:sz="0" w:space="0" w:color="auto"/>
              </w:divBdr>
              <w:divsChild>
                <w:div w:id="1240096051">
                  <w:marLeft w:val="480"/>
                  <w:marRight w:val="0"/>
                  <w:marTop w:val="0"/>
                  <w:marBottom w:val="0"/>
                  <w:divBdr>
                    <w:top w:val="none" w:sz="0" w:space="0" w:color="auto"/>
                    <w:left w:val="none" w:sz="0" w:space="0" w:color="auto"/>
                    <w:bottom w:val="none" w:sz="0" w:space="0" w:color="auto"/>
                    <w:right w:val="none" w:sz="0" w:space="0" w:color="auto"/>
                  </w:divBdr>
                </w:div>
              </w:divsChild>
            </w:div>
            <w:div w:id="1645892825">
              <w:marLeft w:val="0"/>
              <w:marRight w:val="0"/>
              <w:marTop w:val="0"/>
              <w:marBottom w:val="0"/>
              <w:divBdr>
                <w:top w:val="none" w:sz="0" w:space="0" w:color="auto"/>
                <w:left w:val="none" w:sz="0" w:space="0" w:color="auto"/>
                <w:bottom w:val="none" w:sz="0" w:space="0" w:color="auto"/>
                <w:right w:val="none" w:sz="0" w:space="0" w:color="auto"/>
              </w:divBdr>
              <w:divsChild>
                <w:div w:id="198444959">
                  <w:marLeft w:val="480"/>
                  <w:marRight w:val="0"/>
                  <w:marTop w:val="0"/>
                  <w:marBottom w:val="0"/>
                  <w:divBdr>
                    <w:top w:val="none" w:sz="0" w:space="0" w:color="auto"/>
                    <w:left w:val="none" w:sz="0" w:space="0" w:color="auto"/>
                    <w:bottom w:val="none" w:sz="0" w:space="0" w:color="auto"/>
                    <w:right w:val="none" w:sz="0" w:space="0" w:color="auto"/>
                  </w:divBdr>
                </w:div>
              </w:divsChild>
            </w:div>
            <w:div w:id="2119979900">
              <w:marLeft w:val="0"/>
              <w:marRight w:val="0"/>
              <w:marTop w:val="0"/>
              <w:marBottom w:val="0"/>
              <w:divBdr>
                <w:top w:val="none" w:sz="0" w:space="0" w:color="auto"/>
                <w:left w:val="none" w:sz="0" w:space="0" w:color="auto"/>
                <w:bottom w:val="none" w:sz="0" w:space="0" w:color="auto"/>
                <w:right w:val="none" w:sz="0" w:space="0" w:color="auto"/>
              </w:divBdr>
              <w:divsChild>
                <w:div w:id="620765179">
                  <w:marLeft w:val="480"/>
                  <w:marRight w:val="0"/>
                  <w:marTop w:val="0"/>
                  <w:marBottom w:val="0"/>
                  <w:divBdr>
                    <w:top w:val="none" w:sz="0" w:space="0" w:color="auto"/>
                    <w:left w:val="none" w:sz="0" w:space="0" w:color="auto"/>
                    <w:bottom w:val="none" w:sz="0" w:space="0" w:color="auto"/>
                    <w:right w:val="none" w:sz="0" w:space="0" w:color="auto"/>
                  </w:divBdr>
                </w:div>
              </w:divsChild>
            </w:div>
            <w:div w:id="1148130588">
              <w:marLeft w:val="0"/>
              <w:marRight w:val="0"/>
              <w:marTop w:val="0"/>
              <w:marBottom w:val="0"/>
              <w:divBdr>
                <w:top w:val="none" w:sz="0" w:space="0" w:color="auto"/>
                <w:left w:val="none" w:sz="0" w:space="0" w:color="auto"/>
                <w:bottom w:val="none" w:sz="0" w:space="0" w:color="auto"/>
                <w:right w:val="none" w:sz="0" w:space="0" w:color="auto"/>
              </w:divBdr>
              <w:divsChild>
                <w:div w:id="1281958633">
                  <w:marLeft w:val="480"/>
                  <w:marRight w:val="0"/>
                  <w:marTop w:val="0"/>
                  <w:marBottom w:val="0"/>
                  <w:divBdr>
                    <w:top w:val="none" w:sz="0" w:space="0" w:color="auto"/>
                    <w:left w:val="none" w:sz="0" w:space="0" w:color="auto"/>
                    <w:bottom w:val="none" w:sz="0" w:space="0" w:color="auto"/>
                    <w:right w:val="none" w:sz="0" w:space="0" w:color="auto"/>
                  </w:divBdr>
                </w:div>
              </w:divsChild>
            </w:div>
            <w:div w:id="974989115">
              <w:marLeft w:val="0"/>
              <w:marRight w:val="0"/>
              <w:marTop w:val="0"/>
              <w:marBottom w:val="0"/>
              <w:divBdr>
                <w:top w:val="none" w:sz="0" w:space="0" w:color="auto"/>
                <w:left w:val="none" w:sz="0" w:space="0" w:color="auto"/>
                <w:bottom w:val="none" w:sz="0" w:space="0" w:color="auto"/>
                <w:right w:val="none" w:sz="0" w:space="0" w:color="auto"/>
              </w:divBdr>
              <w:divsChild>
                <w:div w:id="1834025619">
                  <w:marLeft w:val="480"/>
                  <w:marRight w:val="0"/>
                  <w:marTop w:val="0"/>
                  <w:marBottom w:val="0"/>
                  <w:divBdr>
                    <w:top w:val="none" w:sz="0" w:space="0" w:color="auto"/>
                    <w:left w:val="none" w:sz="0" w:space="0" w:color="auto"/>
                    <w:bottom w:val="none" w:sz="0" w:space="0" w:color="auto"/>
                    <w:right w:val="none" w:sz="0" w:space="0" w:color="auto"/>
                  </w:divBdr>
                </w:div>
              </w:divsChild>
            </w:div>
            <w:div w:id="1663848944">
              <w:marLeft w:val="0"/>
              <w:marRight w:val="0"/>
              <w:marTop w:val="0"/>
              <w:marBottom w:val="0"/>
              <w:divBdr>
                <w:top w:val="none" w:sz="0" w:space="0" w:color="auto"/>
                <w:left w:val="none" w:sz="0" w:space="0" w:color="auto"/>
                <w:bottom w:val="none" w:sz="0" w:space="0" w:color="auto"/>
                <w:right w:val="none" w:sz="0" w:space="0" w:color="auto"/>
              </w:divBdr>
              <w:divsChild>
                <w:div w:id="38137305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41697344">
          <w:marLeft w:val="0"/>
          <w:marRight w:val="0"/>
          <w:marTop w:val="0"/>
          <w:marBottom w:val="0"/>
          <w:divBdr>
            <w:top w:val="none" w:sz="0" w:space="0" w:color="auto"/>
            <w:left w:val="none" w:sz="0" w:space="0" w:color="auto"/>
            <w:bottom w:val="none" w:sz="0" w:space="0" w:color="auto"/>
            <w:right w:val="none" w:sz="0" w:space="0" w:color="auto"/>
          </w:divBdr>
        </w:div>
        <w:div w:id="403333599">
          <w:marLeft w:val="0"/>
          <w:marRight w:val="0"/>
          <w:marTop w:val="0"/>
          <w:marBottom w:val="0"/>
          <w:divBdr>
            <w:top w:val="none" w:sz="0" w:space="0" w:color="auto"/>
            <w:left w:val="none" w:sz="0" w:space="0" w:color="auto"/>
            <w:bottom w:val="none" w:sz="0" w:space="0" w:color="auto"/>
            <w:right w:val="none" w:sz="0" w:space="0" w:color="auto"/>
          </w:divBdr>
        </w:div>
        <w:div w:id="1354578491">
          <w:marLeft w:val="0"/>
          <w:marRight w:val="0"/>
          <w:marTop w:val="0"/>
          <w:marBottom w:val="0"/>
          <w:divBdr>
            <w:top w:val="none" w:sz="0" w:space="0" w:color="auto"/>
            <w:left w:val="none" w:sz="0" w:space="0" w:color="auto"/>
            <w:bottom w:val="none" w:sz="0" w:space="0" w:color="auto"/>
            <w:right w:val="none" w:sz="0" w:space="0" w:color="auto"/>
          </w:divBdr>
        </w:div>
      </w:divsChild>
    </w:div>
    <w:div w:id="481654515">
      <w:bodyDiv w:val="1"/>
      <w:marLeft w:val="0"/>
      <w:marRight w:val="0"/>
      <w:marTop w:val="0"/>
      <w:marBottom w:val="0"/>
      <w:divBdr>
        <w:top w:val="none" w:sz="0" w:space="0" w:color="auto"/>
        <w:left w:val="none" w:sz="0" w:space="0" w:color="auto"/>
        <w:bottom w:val="none" w:sz="0" w:space="0" w:color="auto"/>
        <w:right w:val="none" w:sz="0" w:space="0" w:color="auto"/>
      </w:divBdr>
      <w:divsChild>
        <w:div w:id="1589582486">
          <w:marLeft w:val="0"/>
          <w:marRight w:val="0"/>
          <w:marTop w:val="0"/>
          <w:marBottom w:val="0"/>
          <w:divBdr>
            <w:top w:val="none" w:sz="0" w:space="0" w:color="auto"/>
            <w:left w:val="none" w:sz="0" w:space="0" w:color="auto"/>
            <w:bottom w:val="none" w:sz="0" w:space="0" w:color="auto"/>
            <w:right w:val="none" w:sz="0" w:space="0" w:color="auto"/>
          </w:divBdr>
          <w:divsChild>
            <w:div w:id="1674867986">
              <w:marLeft w:val="480"/>
              <w:marRight w:val="0"/>
              <w:marTop w:val="0"/>
              <w:marBottom w:val="0"/>
              <w:divBdr>
                <w:top w:val="none" w:sz="0" w:space="0" w:color="auto"/>
                <w:left w:val="none" w:sz="0" w:space="0" w:color="auto"/>
                <w:bottom w:val="none" w:sz="0" w:space="0" w:color="auto"/>
                <w:right w:val="none" w:sz="0" w:space="0" w:color="auto"/>
              </w:divBdr>
            </w:div>
          </w:divsChild>
        </w:div>
        <w:div w:id="1445230048">
          <w:marLeft w:val="0"/>
          <w:marRight w:val="0"/>
          <w:marTop w:val="0"/>
          <w:marBottom w:val="0"/>
          <w:divBdr>
            <w:top w:val="none" w:sz="0" w:space="0" w:color="auto"/>
            <w:left w:val="none" w:sz="0" w:space="0" w:color="auto"/>
            <w:bottom w:val="none" w:sz="0" w:space="0" w:color="auto"/>
            <w:right w:val="none" w:sz="0" w:space="0" w:color="auto"/>
          </w:divBdr>
          <w:divsChild>
            <w:div w:id="65878616">
              <w:marLeft w:val="480"/>
              <w:marRight w:val="0"/>
              <w:marTop w:val="0"/>
              <w:marBottom w:val="0"/>
              <w:divBdr>
                <w:top w:val="none" w:sz="0" w:space="0" w:color="auto"/>
                <w:left w:val="none" w:sz="0" w:space="0" w:color="auto"/>
                <w:bottom w:val="none" w:sz="0" w:space="0" w:color="auto"/>
                <w:right w:val="none" w:sz="0" w:space="0" w:color="auto"/>
              </w:divBdr>
            </w:div>
          </w:divsChild>
        </w:div>
        <w:div w:id="1890147964">
          <w:marLeft w:val="0"/>
          <w:marRight w:val="0"/>
          <w:marTop w:val="0"/>
          <w:marBottom w:val="0"/>
          <w:divBdr>
            <w:top w:val="none" w:sz="0" w:space="0" w:color="auto"/>
            <w:left w:val="none" w:sz="0" w:space="0" w:color="auto"/>
            <w:bottom w:val="none" w:sz="0" w:space="0" w:color="auto"/>
            <w:right w:val="none" w:sz="0" w:space="0" w:color="auto"/>
          </w:divBdr>
          <w:divsChild>
            <w:div w:id="1056513382">
              <w:marLeft w:val="480"/>
              <w:marRight w:val="0"/>
              <w:marTop w:val="0"/>
              <w:marBottom w:val="0"/>
              <w:divBdr>
                <w:top w:val="none" w:sz="0" w:space="0" w:color="auto"/>
                <w:left w:val="none" w:sz="0" w:space="0" w:color="auto"/>
                <w:bottom w:val="none" w:sz="0" w:space="0" w:color="auto"/>
                <w:right w:val="none" w:sz="0" w:space="0" w:color="auto"/>
              </w:divBdr>
            </w:div>
          </w:divsChild>
        </w:div>
        <w:div w:id="1202934273">
          <w:marLeft w:val="0"/>
          <w:marRight w:val="0"/>
          <w:marTop w:val="0"/>
          <w:marBottom w:val="0"/>
          <w:divBdr>
            <w:top w:val="none" w:sz="0" w:space="0" w:color="auto"/>
            <w:left w:val="none" w:sz="0" w:space="0" w:color="auto"/>
            <w:bottom w:val="none" w:sz="0" w:space="0" w:color="auto"/>
            <w:right w:val="none" w:sz="0" w:space="0" w:color="auto"/>
          </w:divBdr>
          <w:divsChild>
            <w:div w:id="1573738484">
              <w:marLeft w:val="480"/>
              <w:marRight w:val="0"/>
              <w:marTop w:val="0"/>
              <w:marBottom w:val="0"/>
              <w:divBdr>
                <w:top w:val="none" w:sz="0" w:space="0" w:color="auto"/>
                <w:left w:val="none" w:sz="0" w:space="0" w:color="auto"/>
                <w:bottom w:val="none" w:sz="0" w:space="0" w:color="auto"/>
                <w:right w:val="none" w:sz="0" w:space="0" w:color="auto"/>
              </w:divBdr>
            </w:div>
          </w:divsChild>
        </w:div>
        <w:div w:id="385690653">
          <w:marLeft w:val="0"/>
          <w:marRight w:val="0"/>
          <w:marTop w:val="0"/>
          <w:marBottom w:val="0"/>
          <w:divBdr>
            <w:top w:val="none" w:sz="0" w:space="0" w:color="auto"/>
            <w:left w:val="none" w:sz="0" w:space="0" w:color="auto"/>
            <w:bottom w:val="none" w:sz="0" w:space="0" w:color="auto"/>
            <w:right w:val="none" w:sz="0" w:space="0" w:color="auto"/>
          </w:divBdr>
          <w:divsChild>
            <w:div w:id="2135981199">
              <w:marLeft w:val="480"/>
              <w:marRight w:val="0"/>
              <w:marTop w:val="0"/>
              <w:marBottom w:val="0"/>
              <w:divBdr>
                <w:top w:val="none" w:sz="0" w:space="0" w:color="auto"/>
                <w:left w:val="none" w:sz="0" w:space="0" w:color="auto"/>
                <w:bottom w:val="none" w:sz="0" w:space="0" w:color="auto"/>
                <w:right w:val="none" w:sz="0" w:space="0" w:color="auto"/>
              </w:divBdr>
            </w:div>
          </w:divsChild>
        </w:div>
        <w:div w:id="591083894">
          <w:marLeft w:val="0"/>
          <w:marRight w:val="0"/>
          <w:marTop w:val="0"/>
          <w:marBottom w:val="0"/>
          <w:divBdr>
            <w:top w:val="none" w:sz="0" w:space="0" w:color="auto"/>
            <w:left w:val="none" w:sz="0" w:space="0" w:color="auto"/>
            <w:bottom w:val="none" w:sz="0" w:space="0" w:color="auto"/>
            <w:right w:val="none" w:sz="0" w:space="0" w:color="auto"/>
          </w:divBdr>
          <w:divsChild>
            <w:div w:id="2020113618">
              <w:marLeft w:val="480"/>
              <w:marRight w:val="0"/>
              <w:marTop w:val="0"/>
              <w:marBottom w:val="0"/>
              <w:divBdr>
                <w:top w:val="none" w:sz="0" w:space="0" w:color="auto"/>
                <w:left w:val="none" w:sz="0" w:space="0" w:color="auto"/>
                <w:bottom w:val="none" w:sz="0" w:space="0" w:color="auto"/>
                <w:right w:val="none" w:sz="0" w:space="0" w:color="auto"/>
              </w:divBdr>
            </w:div>
          </w:divsChild>
        </w:div>
        <w:div w:id="1679576288">
          <w:marLeft w:val="0"/>
          <w:marRight w:val="0"/>
          <w:marTop w:val="0"/>
          <w:marBottom w:val="0"/>
          <w:divBdr>
            <w:top w:val="none" w:sz="0" w:space="0" w:color="auto"/>
            <w:left w:val="none" w:sz="0" w:space="0" w:color="auto"/>
            <w:bottom w:val="none" w:sz="0" w:space="0" w:color="auto"/>
            <w:right w:val="none" w:sz="0" w:space="0" w:color="auto"/>
          </w:divBdr>
          <w:divsChild>
            <w:div w:id="1841654784">
              <w:marLeft w:val="480"/>
              <w:marRight w:val="0"/>
              <w:marTop w:val="0"/>
              <w:marBottom w:val="0"/>
              <w:divBdr>
                <w:top w:val="none" w:sz="0" w:space="0" w:color="auto"/>
                <w:left w:val="none" w:sz="0" w:space="0" w:color="auto"/>
                <w:bottom w:val="none" w:sz="0" w:space="0" w:color="auto"/>
                <w:right w:val="none" w:sz="0" w:space="0" w:color="auto"/>
              </w:divBdr>
            </w:div>
          </w:divsChild>
        </w:div>
        <w:div w:id="534579853">
          <w:marLeft w:val="0"/>
          <w:marRight w:val="0"/>
          <w:marTop w:val="0"/>
          <w:marBottom w:val="0"/>
          <w:divBdr>
            <w:top w:val="none" w:sz="0" w:space="0" w:color="auto"/>
            <w:left w:val="none" w:sz="0" w:space="0" w:color="auto"/>
            <w:bottom w:val="none" w:sz="0" w:space="0" w:color="auto"/>
            <w:right w:val="none" w:sz="0" w:space="0" w:color="auto"/>
          </w:divBdr>
          <w:divsChild>
            <w:div w:id="1309556321">
              <w:marLeft w:val="480"/>
              <w:marRight w:val="0"/>
              <w:marTop w:val="0"/>
              <w:marBottom w:val="0"/>
              <w:divBdr>
                <w:top w:val="none" w:sz="0" w:space="0" w:color="auto"/>
                <w:left w:val="none" w:sz="0" w:space="0" w:color="auto"/>
                <w:bottom w:val="none" w:sz="0" w:space="0" w:color="auto"/>
                <w:right w:val="none" w:sz="0" w:space="0" w:color="auto"/>
              </w:divBdr>
            </w:div>
          </w:divsChild>
        </w:div>
        <w:div w:id="1097405485">
          <w:marLeft w:val="0"/>
          <w:marRight w:val="0"/>
          <w:marTop w:val="0"/>
          <w:marBottom w:val="0"/>
          <w:divBdr>
            <w:top w:val="none" w:sz="0" w:space="0" w:color="auto"/>
            <w:left w:val="none" w:sz="0" w:space="0" w:color="auto"/>
            <w:bottom w:val="none" w:sz="0" w:space="0" w:color="auto"/>
            <w:right w:val="none" w:sz="0" w:space="0" w:color="auto"/>
          </w:divBdr>
          <w:divsChild>
            <w:div w:id="1600793915">
              <w:marLeft w:val="480"/>
              <w:marRight w:val="0"/>
              <w:marTop w:val="0"/>
              <w:marBottom w:val="0"/>
              <w:divBdr>
                <w:top w:val="none" w:sz="0" w:space="0" w:color="auto"/>
                <w:left w:val="none" w:sz="0" w:space="0" w:color="auto"/>
                <w:bottom w:val="none" w:sz="0" w:space="0" w:color="auto"/>
                <w:right w:val="none" w:sz="0" w:space="0" w:color="auto"/>
              </w:divBdr>
            </w:div>
          </w:divsChild>
        </w:div>
        <w:div w:id="2104454776">
          <w:marLeft w:val="0"/>
          <w:marRight w:val="0"/>
          <w:marTop w:val="0"/>
          <w:marBottom w:val="0"/>
          <w:divBdr>
            <w:top w:val="none" w:sz="0" w:space="0" w:color="auto"/>
            <w:left w:val="none" w:sz="0" w:space="0" w:color="auto"/>
            <w:bottom w:val="none" w:sz="0" w:space="0" w:color="auto"/>
            <w:right w:val="none" w:sz="0" w:space="0" w:color="auto"/>
          </w:divBdr>
          <w:divsChild>
            <w:div w:id="10127114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08238-A971-4B69-92E5-B6CE1EAC7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4131</Words>
  <Characters>24788</Characters>
  <Application>Microsoft Office Word</Application>
  <DocSecurity>0</DocSecurity>
  <Lines>206</Lines>
  <Paragraphs>57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Grażyna D. Grabowska</dc:creator>
  <cp:lastModifiedBy>Grzegorz Molesztak</cp:lastModifiedBy>
  <cp:revision>3</cp:revision>
  <cp:lastPrinted>2019-03-11T08:25:00Z</cp:lastPrinted>
  <dcterms:created xsi:type="dcterms:W3CDTF">2019-03-11T12:41:00Z</dcterms:created>
  <dcterms:modified xsi:type="dcterms:W3CDTF">2019-03-28T07:40:00Z</dcterms:modified>
</cp:coreProperties>
</file>