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C4D9F" w:rsidRPr="00AC4D9F" w:rsidRDefault="00AC4D9F" w:rsidP="00601C48">
      <w:pPr>
        <w:pStyle w:val="OZNRODZAKTUtznustawalubrozporzdzenieiorganwydajcy"/>
        <w:rPr>
          <w:rFonts w:ascii="Arial" w:hAnsi="Arial" w:cs="Arial"/>
        </w:rPr>
      </w:pPr>
      <w:bookmarkStart w:id="0" w:name="_GoBack"/>
      <w:bookmarkEnd w:id="0"/>
      <w:r w:rsidRPr="00AC4D9F">
        <w:rPr>
          <w:rFonts w:ascii="Arial" w:hAnsi="Arial" w:cs="Arial"/>
        </w:rPr>
        <w:t>Uzasadnienie</w:t>
      </w:r>
    </w:p>
    <w:p w:rsidR="00AC4D9F" w:rsidRPr="00AC4D9F" w:rsidRDefault="00AC4D9F" w:rsidP="00601C48">
      <w:pPr>
        <w:pStyle w:val="NIEARTTEKSTtekstnieartykuowanynppodstprawnarozplubpreambua"/>
        <w:spacing w:before="0" w:after="120"/>
        <w:rPr>
          <w:rFonts w:ascii="Arial" w:hAnsi="Arial"/>
          <w:szCs w:val="24"/>
        </w:rPr>
      </w:pPr>
    </w:p>
    <w:p w:rsidR="00AC4D9F" w:rsidRPr="00AC4D9F" w:rsidRDefault="00AC4D9F" w:rsidP="00601C48">
      <w:pPr>
        <w:pStyle w:val="PKTpunkt"/>
        <w:spacing w:after="120"/>
        <w:rPr>
          <w:rStyle w:val="Ppogrubienie"/>
          <w:rFonts w:ascii="Arial" w:hAnsi="Arial"/>
          <w:szCs w:val="24"/>
        </w:rPr>
      </w:pPr>
      <w:r w:rsidRPr="00AC4D9F">
        <w:rPr>
          <w:rStyle w:val="Ppogrubienie"/>
          <w:rFonts w:ascii="Arial" w:hAnsi="Arial"/>
          <w:szCs w:val="24"/>
        </w:rPr>
        <w:t>1.</w:t>
      </w:r>
      <w:r w:rsidRPr="00AC4D9F">
        <w:rPr>
          <w:rStyle w:val="Ppogrubienie"/>
          <w:rFonts w:ascii="Arial" w:hAnsi="Arial"/>
          <w:szCs w:val="24"/>
        </w:rPr>
        <w:tab/>
        <w:t>Potrzeba i cel uchwalenia ustawy</w:t>
      </w:r>
    </w:p>
    <w:p w:rsidR="000345E4" w:rsidRPr="009A1BF8" w:rsidRDefault="00A87C3C" w:rsidP="00601C48">
      <w:pPr>
        <w:autoSpaceDE w:val="0"/>
        <w:autoSpaceDN w:val="0"/>
        <w:adjustRightInd w:val="0"/>
        <w:spacing w:after="120" w:line="36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46060C">
        <w:rPr>
          <w:rFonts w:ascii="Arial" w:hAnsi="Arial"/>
          <w:sz w:val="24"/>
          <w:szCs w:val="24"/>
        </w:rPr>
        <w:t>Projektowana ustawa jest reakcją Komisji do Spraw Petycji Sejmu RP na petycję skierowaną do Sejmu RP przez osobę fizyczną – autor nie wyraził zgody na podanie danych osobowych. Komisja uznała, że problem wskazany w petycji, który w</w:t>
      </w:r>
      <w:r w:rsidR="00E67C6E">
        <w:rPr>
          <w:rFonts w:ascii="Arial" w:hAnsi="Arial" w:cs="Arial"/>
          <w:sz w:val="24"/>
          <w:szCs w:val="24"/>
        </w:rPr>
        <w:t> </w:t>
      </w:r>
      <w:r w:rsidR="003F1245" w:rsidRPr="009A1BF8">
        <w:rPr>
          <w:rFonts w:ascii="Arial" w:hAnsi="Arial" w:cs="Arial"/>
          <w:sz w:val="24"/>
          <w:szCs w:val="24"/>
        </w:rPr>
        <w:t>sposób szczególny wystąpił w Dąbrowie Górniczej,</w:t>
      </w:r>
      <w:r w:rsidRPr="0046060C">
        <w:rPr>
          <w:rFonts w:ascii="Arial" w:hAnsi="Arial"/>
          <w:sz w:val="24"/>
          <w:szCs w:val="24"/>
        </w:rPr>
        <w:t xml:space="preserve"> powinien zostać rozwiązany na drodze ustawowej. </w:t>
      </w:r>
      <w:r w:rsidR="00AC1465" w:rsidRPr="009A1BF8">
        <w:rPr>
          <w:rFonts w:ascii="Arial" w:hAnsi="Arial" w:cs="Arial"/>
          <w:sz w:val="24"/>
          <w:szCs w:val="24"/>
        </w:rPr>
        <w:t xml:space="preserve">Komisja uznała, że sposobem na rozwiązanie problemu nie może być propozycja zawarta w petycji, gdyż z uwagi na duży upływ czasu od </w:t>
      </w:r>
      <w:r w:rsidR="00601C48" w:rsidRPr="009A1BF8">
        <w:rPr>
          <w:rFonts w:ascii="Arial" w:hAnsi="Arial" w:cs="Arial"/>
          <w:sz w:val="24"/>
          <w:szCs w:val="24"/>
        </w:rPr>
        <w:t xml:space="preserve">dnia 22 sierpnia 2017 r. - </w:t>
      </w:r>
      <w:r w:rsidR="00AC1465" w:rsidRPr="009A1BF8">
        <w:rPr>
          <w:rFonts w:ascii="Arial" w:hAnsi="Arial" w:cs="Arial"/>
          <w:sz w:val="24"/>
          <w:szCs w:val="24"/>
        </w:rPr>
        <w:t>daty wejścia w życie ustawy z dnia 20 lipca 2017 r. o zmianie ustawy o gospodarce nieruchomościami oraz niektórych innych ustaw (Dz. U. z 2017 r. poz. 1509)</w:t>
      </w:r>
      <w:r w:rsidR="00601C48" w:rsidRPr="009A1BF8">
        <w:rPr>
          <w:rFonts w:ascii="Arial" w:hAnsi="Arial" w:cs="Arial"/>
          <w:sz w:val="24"/>
          <w:szCs w:val="24"/>
        </w:rPr>
        <w:t>,</w:t>
      </w:r>
      <w:r w:rsidR="00AC1465" w:rsidRPr="009A1BF8">
        <w:rPr>
          <w:rFonts w:ascii="Arial" w:hAnsi="Arial" w:cs="Arial"/>
          <w:sz w:val="24"/>
          <w:szCs w:val="24"/>
        </w:rPr>
        <w:t xml:space="preserve"> propozycja ta prowadziłaby do dużego chaosu prawnego.</w:t>
      </w:r>
      <w:r w:rsidRPr="0046060C">
        <w:rPr>
          <w:rFonts w:ascii="Arial" w:hAnsi="Arial"/>
          <w:sz w:val="24"/>
          <w:szCs w:val="24"/>
        </w:rPr>
        <w:t xml:space="preserve"> Po uzyskaniu odpowiedzi na dezyderat skierowany do Ministra Inwestycji i Rozwoju Komisja ustaliła zakres projektowanej ustawy</w:t>
      </w:r>
      <w:r w:rsidR="00AC1465" w:rsidRPr="009A1BF8">
        <w:rPr>
          <w:rFonts w:ascii="Arial" w:hAnsi="Arial" w:cs="Arial"/>
          <w:sz w:val="24"/>
          <w:szCs w:val="24"/>
        </w:rPr>
        <w:t>, uznając że stwarza on realne możliwości reakcji władz gminy w przypadkach, gdy stosowanie ustawy w aktualnym brzmieniu naruszałoby zasadę sprawiedliwości społecznej</w:t>
      </w:r>
    </w:p>
    <w:p w:rsidR="003F1245" w:rsidRPr="009A1BF8" w:rsidRDefault="00CF7C13" w:rsidP="00601C48">
      <w:pPr>
        <w:autoSpaceDE w:val="0"/>
        <w:autoSpaceDN w:val="0"/>
        <w:adjustRightInd w:val="0"/>
        <w:spacing w:after="120" w:line="36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9A1BF8">
        <w:rPr>
          <w:rFonts w:ascii="Arial" w:hAnsi="Arial" w:cs="Arial"/>
          <w:sz w:val="24"/>
          <w:szCs w:val="24"/>
        </w:rPr>
        <w:t xml:space="preserve">Celem projektowanej ustawy jest </w:t>
      </w:r>
      <w:r w:rsidR="00601C48" w:rsidRPr="009A1BF8">
        <w:rPr>
          <w:rFonts w:ascii="Arial" w:hAnsi="Arial" w:cs="Arial"/>
          <w:sz w:val="24"/>
          <w:szCs w:val="24"/>
        </w:rPr>
        <w:t xml:space="preserve">także </w:t>
      </w:r>
      <w:r w:rsidRPr="009A1BF8">
        <w:rPr>
          <w:rFonts w:ascii="Arial" w:hAnsi="Arial" w:cs="Arial"/>
          <w:sz w:val="24"/>
          <w:szCs w:val="24"/>
        </w:rPr>
        <w:t xml:space="preserve">stworzenie praktycznych możliwości jednakowego traktowania przez władze gminy </w:t>
      </w:r>
      <w:r w:rsidR="003F1245" w:rsidRPr="009A1BF8">
        <w:rPr>
          <w:rFonts w:ascii="Arial" w:hAnsi="Arial" w:cs="Arial"/>
          <w:sz w:val="24"/>
          <w:szCs w:val="24"/>
        </w:rPr>
        <w:t xml:space="preserve">właścicieli, których nieruchomości zostały podłączone do tych samych urządzeń infrastruktury technicznej lub którym stworzono warunki do korzystania z wybudowanej drogi </w:t>
      </w:r>
      <w:r w:rsidRPr="009A1BF8">
        <w:rPr>
          <w:rFonts w:ascii="Arial" w:hAnsi="Arial" w:cs="Arial"/>
          <w:sz w:val="24"/>
          <w:szCs w:val="24"/>
        </w:rPr>
        <w:t xml:space="preserve">bez względu na fakt, czy postępowanie w sprawie ustalenia opłaty adiacenckiej zostało wszczęte przed dniem </w:t>
      </w:r>
      <w:r w:rsidR="006920B6" w:rsidRPr="009A1BF8">
        <w:rPr>
          <w:rFonts w:ascii="Arial" w:hAnsi="Arial" w:cs="Arial"/>
          <w:sz w:val="24"/>
          <w:szCs w:val="24"/>
        </w:rPr>
        <w:t xml:space="preserve">22 sierpnia </w:t>
      </w:r>
      <w:r w:rsidRPr="009A1BF8">
        <w:rPr>
          <w:rFonts w:ascii="Arial" w:hAnsi="Arial" w:cs="Arial"/>
          <w:sz w:val="24"/>
          <w:szCs w:val="24"/>
        </w:rPr>
        <w:t>2017 r. czy też nie.</w:t>
      </w:r>
    </w:p>
    <w:p w:rsidR="00AC4D9F" w:rsidRPr="0046060C" w:rsidRDefault="00AC4D9F" w:rsidP="00601C48">
      <w:pPr>
        <w:pStyle w:val="PKTpunkt"/>
        <w:spacing w:after="120"/>
        <w:rPr>
          <w:rStyle w:val="Ppogrubienie"/>
          <w:rFonts w:ascii="Arial" w:hAnsi="Arial"/>
          <w:szCs w:val="24"/>
        </w:rPr>
      </w:pPr>
      <w:r w:rsidRPr="009A1BF8">
        <w:rPr>
          <w:rStyle w:val="Ppogrubienie"/>
          <w:rFonts w:ascii="Arial" w:hAnsi="Arial"/>
          <w:szCs w:val="24"/>
        </w:rPr>
        <w:t>2.</w:t>
      </w:r>
      <w:r w:rsidRPr="009A1BF8">
        <w:rPr>
          <w:rStyle w:val="Ppogrubienie"/>
          <w:rFonts w:ascii="Arial" w:hAnsi="Arial"/>
          <w:szCs w:val="24"/>
        </w:rPr>
        <w:tab/>
        <w:t>Rzeczywisty stan w dziedzinie, która ma być unormowana</w:t>
      </w:r>
    </w:p>
    <w:p w:rsidR="00025FA9" w:rsidRPr="009A1BF8" w:rsidRDefault="00D642D8" w:rsidP="00601C48">
      <w:pPr>
        <w:spacing w:after="120" w:line="36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9A1BF8">
        <w:rPr>
          <w:rFonts w:ascii="Arial" w:hAnsi="Arial" w:cs="Arial"/>
          <w:sz w:val="24"/>
          <w:szCs w:val="24"/>
        </w:rPr>
        <w:t>Zgodnie z art. 4 ust. 3 ustawy z dnia 20 l</w:t>
      </w:r>
      <w:r w:rsidR="00E67C6E">
        <w:rPr>
          <w:rFonts w:ascii="Arial" w:hAnsi="Arial" w:cs="Arial"/>
          <w:sz w:val="24"/>
          <w:szCs w:val="24"/>
        </w:rPr>
        <w:t>ipca 2017 r. o zmianie ustawy o g</w:t>
      </w:r>
      <w:r w:rsidRPr="009A1BF8">
        <w:rPr>
          <w:rFonts w:ascii="Arial" w:hAnsi="Arial" w:cs="Arial"/>
          <w:sz w:val="24"/>
          <w:szCs w:val="24"/>
        </w:rPr>
        <w:t>ospodarce nieruchomościami oraz niektórych innych ustaw</w:t>
      </w:r>
      <w:r w:rsidR="00C04A3F" w:rsidRPr="009A1BF8">
        <w:rPr>
          <w:rFonts w:ascii="Arial" w:hAnsi="Arial" w:cs="Arial"/>
          <w:sz w:val="24"/>
          <w:szCs w:val="24"/>
        </w:rPr>
        <w:t xml:space="preserve">, </w:t>
      </w:r>
      <w:r w:rsidRPr="009A1BF8">
        <w:rPr>
          <w:rFonts w:ascii="Arial" w:hAnsi="Arial" w:cs="Arial"/>
          <w:sz w:val="24"/>
          <w:szCs w:val="24"/>
        </w:rPr>
        <w:t>do postępowań</w:t>
      </w:r>
      <w:r w:rsidR="00162236">
        <w:rPr>
          <w:rFonts w:ascii="Arial" w:hAnsi="Arial" w:cs="Arial"/>
          <w:sz w:val="24"/>
          <w:szCs w:val="24"/>
        </w:rPr>
        <w:t>,</w:t>
      </w:r>
      <w:r w:rsidR="00E67C6E">
        <w:rPr>
          <w:rFonts w:ascii="Arial" w:hAnsi="Arial" w:cs="Arial"/>
          <w:sz w:val="24"/>
          <w:szCs w:val="24"/>
        </w:rPr>
        <w:t xml:space="preserve"> o </w:t>
      </w:r>
      <w:r w:rsidRPr="009A1BF8">
        <w:rPr>
          <w:rFonts w:ascii="Arial" w:hAnsi="Arial" w:cs="Arial"/>
          <w:sz w:val="24"/>
          <w:szCs w:val="24"/>
        </w:rPr>
        <w:t>których mowa w art. 98a ust. 1 i art. 145 ust. 2 ustawy o gospodarce nieruchomościami (dotyczących ustal</w:t>
      </w:r>
      <w:r w:rsidR="00601C48" w:rsidRPr="009A1BF8">
        <w:rPr>
          <w:rFonts w:ascii="Arial" w:hAnsi="Arial" w:cs="Arial"/>
          <w:sz w:val="24"/>
          <w:szCs w:val="24"/>
        </w:rPr>
        <w:t>a</w:t>
      </w:r>
      <w:r w:rsidRPr="009A1BF8">
        <w:rPr>
          <w:rFonts w:ascii="Arial" w:hAnsi="Arial" w:cs="Arial"/>
          <w:sz w:val="24"/>
          <w:szCs w:val="24"/>
        </w:rPr>
        <w:t xml:space="preserve">nia opłaty adiacenckiej), które zostały wszczęte i niezakończone  przed </w:t>
      </w:r>
      <w:r w:rsidR="006920B6" w:rsidRPr="009A1BF8">
        <w:rPr>
          <w:rFonts w:ascii="Arial" w:hAnsi="Arial" w:cs="Arial"/>
          <w:sz w:val="24"/>
          <w:szCs w:val="24"/>
        </w:rPr>
        <w:t xml:space="preserve">22 sierpnia </w:t>
      </w:r>
      <w:r w:rsidRPr="009A1BF8">
        <w:rPr>
          <w:rFonts w:ascii="Arial" w:hAnsi="Arial" w:cs="Arial"/>
          <w:sz w:val="24"/>
          <w:szCs w:val="24"/>
        </w:rPr>
        <w:t xml:space="preserve">2017 r., </w:t>
      </w:r>
      <w:r w:rsidR="007A3E8F" w:rsidRPr="009A1BF8">
        <w:rPr>
          <w:rFonts w:ascii="Arial" w:hAnsi="Arial" w:cs="Arial"/>
          <w:sz w:val="24"/>
          <w:szCs w:val="24"/>
        </w:rPr>
        <w:t>stosuje się przepisy dotychczasowe</w:t>
      </w:r>
      <w:r w:rsidRPr="009A1BF8">
        <w:rPr>
          <w:rFonts w:ascii="Arial" w:hAnsi="Arial" w:cs="Arial"/>
          <w:sz w:val="24"/>
          <w:szCs w:val="24"/>
        </w:rPr>
        <w:t>.</w:t>
      </w:r>
      <w:r w:rsidR="00E27984" w:rsidRPr="009A1BF8">
        <w:rPr>
          <w:rFonts w:ascii="Arial" w:hAnsi="Arial" w:cs="Arial"/>
          <w:sz w:val="24"/>
          <w:szCs w:val="24"/>
        </w:rPr>
        <w:t xml:space="preserve"> </w:t>
      </w:r>
      <w:r w:rsidR="00EF2FD7" w:rsidRPr="009A1BF8">
        <w:rPr>
          <w:rFonts w:ascii="Arial" w:hAnsi="Arial" w:cs="Arial"/>
          <w:sz w:val="24"/>
          <w:szCs w:val="24"/>
        </w:rPr>
        <w:t>Tak więc z punktu widzenia właścicieli nieruchomości, którzy mogą zostać zobowiązani do wniesienia opłaty adiacenckiej</w:t>
      </w:r>
      <w:r w:rsidR="00601C48" w:rsidRPr="009A1BF8">
        <w:rPr>
          <w:rFonts w:ascii="Arial" w:hAnsi="Arial" w:cs="Arial"/>
          <w:sz w:val="24"/>
          <w:szCs w:val="24"/>
        </w:rPr>
        <w:t>,</w:t>
      </w:r>
      <w:r w:rsidR="00EF2FD7" w:rsidRPr="009A1BF8">
        <w:rPr>
          <w:rFonts w:ascii="Arial" w:hAnsi="Arial" w:cs="Arial"/>
          <w:sz w:val="24"/>
          <w:szCs w:val="24"/>
        </w:rPr>
        <w:t xml:space="preserve"> zasadniczym kryterium </w:t>
      </w:r>
      <w:r w:rsidR="00A40273" w:rsidRPr="009A1BF8">
        <w:rPr>
          <w:rFonts w:ascii="Arial" w:hAnsi="Arial" w:cs="Arial"/>
          <w:sz w:val="24"/>
          <w:szCs w:val="24"/>
        </w:rPr>
        <w:t xml:space="preserve">przesądzającym o stosowanej procedurze </w:t>
      </w:r>
      <w:r w:rsidR="0089749E" w:rsidRPr="009A1BF8">
        <w:rPr>
          <w:rFonts w:ascii="Arial" w:hAnsi="Arial" w:cs="Arial"/>
          <w:sz w:val="24"/>
          <w:szCs w:val="24"/>
        </w:rPr>
        <w:t>są</w:t>
      </w:r>
      <w:r w:rsidR="00A40273" w:rsidRPr="009A1BF8">
        <w:rPr>
          <w:rFonts w:ascii="Arial" w:hAnsi="Arial" w:cs="Arial"/>
          <w:sz w:val="24"/>
          <w:szCs w:val="24"/>
        </w:rPr>
        <w:t xml:space="preserve"> (po nowelizacji ustawy) nie merytoryczne okoliczności sprawy lecz fakt, czy </w:t>
      </w:r>
      <w:r w:rsidR="0089749E" w:rsidRPr="009A1BF8">
        <w:rPr>
          <w:rFonts w:ascii="Arial" w:hAnsi="Arial" w:cs="Arial"/>
          <w:sz w:val="24"/>
          <w:szCs w:val="24"/>
        </w:rPr>
        <w:t>przed dniem</w:t>
      </w:r>
      <w:r w:rsidR="00A40273" w:rsidRPr="009A1BF8">
        <w:rPr>
          <w:rFonts w:ascii="Arial" w:hAnsi="Arial" w:cs="Arial"/>
          <w:sz w:val="24"/>
          <w:szCs w:val="24"/>
        </w:rPr>
        <w:t xml:space="preserve"> </w:t>
      </w:r>
      <w:r w:rsidR="006920B6" w:rsidRPr="009A1BF8">
        <w:rPr>
          <w:rFonts w:ascii="Arial" w:hAnsi="Arial" w:cs="Arial"/>
          <w:sz w:val="24"/>
          <w:szCs w:val="24"/>
        </w:rPr>
        <w:t>22 sierpnia</w:t>
      </w:r>
      <w:r w:rsidR="00A40273" w:rsidRPr="009A1BF8">
        <w:rPr>
          <w:rFonts w:ascii="Arial" w:hAnsi="Arial" w:cs="Arial"/>
          <w:sz w:val="24"/>
          <w:szCs w:val="24"/>
        </w:rPr>
        <w:t xml:space="preserve"> 2017 r. zostało wszczęte postępowanie w sprawie </w:t>
      </w:r>
      <w:r w:rsidR="00A40273" w:rsidRPr="009A1BF8">
        <w:rPr>
          <w:rFonts w:ascii="Arial" w:hAnsi="Arial" w:cs="Arial"/>
          <w:sz w:val="24"/>
          <w:szCs w:val="24"/>
        </w:rPr>
        <w:lastRenderedPageBreak/>
        <w:t>ustalenia opłaty adiacenckiej czy też nie. Może się zdarzyć</w:t>
      </w:r>
      <w:r w:rsidR="00550AF7" w:rsidRPr="009A1BF8">
        <w:rPr>
          <w:rFonts w:ascii="Arial" w:hAnsi="Arial" w:cs="Arial"/>
          <w:sz w:val="24"/>
          <w:szCs w:val="24"/>
        </w:rPr>
        <w:t>,</w:t>
      </w:r>
      <w:r w:rsidR="00A40273" w:rsidRPr="009A1BF8">
        <w:rPr>
          <w:rFonts w:ascii="Arial" w:hAnsi="Arial" w:cs="Arial"/>
          <w:sz w:val="24"/>
          <w:szCs w:val="24"/>
        </w:rPr>
        <w:t xml:space="preserve"> że wobec dwóch </w:t>
      </w:r>
      <w:r w:rsidR="003F1245" w:rsidRPr="009A1BF8">
        <w:rPr>
          <w:rFonts w:ascii="Arial" w:hAnsi="Arial" w:cs="Arial"/>
          <w:sz w:val="24"/>
          <w:szCs w:val="24"/>
        </w:rPr>
        <w:t>właścicieli</w:t>
      </w:r>
      <w:r w:rsidR="00A40273" w:rsidRPr="009A1BF8">
        <w:rPr>
          <w:rFonts w:ascii="Arial" w:hAnsi="Arial" w:cs="Arial"/>
          <w:sz w:val="24"/>
          <w:szCs w:val="24"/>
        </w:rPr>
        <w:t xml:space="preserve">, których nieruchomości zostały podłączone do tych samych urządzeń infrastruktury technicznej </w:t>
      </w:r>
      <w:r w:rsidR="00550AF7" w:rsidRPr="009A1BF8">
        <w:rPr>
          <w:rFonts w:ascii="Arial" w:hAnsi="Arial" w:cs="Arial"/>
          <w:sz w:val="24"/>
          <w:szCs w:val="24"/>
        </w:rPr>
        <w:t>lub którym stworzono warunki do korzystania z wybudowanej drogi będą stosowane różne procedury</w:t>
      </w:r>
      <w:r w:rsidR="003F1245" w:rsidRPr="009A1BF8">
        <w:rPr>
          <w:rFonts w:ascii="Arial" w:hAnsi="Arial" w:cs="Arial"/>
          <w:sz w:val="24"/>
          <w:szCs w:val="24"/>
        </w:rPr>
        <w:t>.</w:t>
      </w:r>
    </w:p>
    <w:p w:rsidR="00550AF7" w:rsidRPr="009A1BF8" w:rsidRDefault="00550AF7" w:rsidP="00601C48">
      <w:pPr>
        <w:spacing w:after="120" w:line="36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9A1BF8">
        <w:rPr>
          <w:rFonts w:ascii="Arial" w:hAnsi="Arial" w:cs="Arial"/>
          <w:sz w:val="24"/>
          <w:szCs w:val="24"/>
        </w:rPr>
        <w:t>To zróżnicowanie wynika z faktu, że o ile przed wskazaną</w:t>
      </w:r>
      <w:r w:rsidR="003F1245" w:rsidRPr="009A1BF8">
        <w:rPr>
          <w:rFonts w:ascii="Arial" w:hAnsi="Arial" w:cs="Arial"/>
          <w:sz w:val="24"/>
          <w:szCs w:val="24"/>
        </w:rPr>
        <w:t xml:space="preserve"> </w:t>
      </w:r>
      <w:r w:rsidRPr="009A1BF8">
        <w:rPr>
          <w:rFonts w:ascii="Arial" w:hAnsi="Arial" w:cs="Arial"/>
          <w:sz w:val="24"/>
          <w:szCs w:val="24"/>
        </w:rPr>
        <w:t>nowelizacją</w:t>
      </w:r>
      <w:r w:rsidR="003F1245" w:rsidRPr="009A1BF8">
        <w:rPr>
          <w:rFonts w:ascii="Arial" w:hAnsi="Arial" w:cs="Arial"/>
          <w:sz w:val="24"/>
          <w:szCs w:val="24"/>
        </w:rPr>
        <w:t xml:space="preserve"> </w:t>
      </w:r>
      <w:r w:rsidRPr="009A1BF8">
        <w:rPr>
          <w:rFonts w:ascii="Arial" w:hAnsi="Arial" w:cs="Arial"/>
          <w:sz w:val="24"/>
          <w:szCs w:val="24"/>
        </w:rPr>
        <w:t xml:space="preserve">ustawy </w:t>
      </w:r>
      <w:r w:rsidR="003F1245" w:rsidRPr="009A1BF8">
        <w:rPr>
          <w:rFonts w:ascii="Arial" w:hAnsi="Arial" w:cs="Arial"/>
          <w:sz w:val="24"/>
          <w:szCs w:val="24"/>
        </w:rPr>
        <w:t>wydanie decyzji o ustaleniu opłaty adiacenckiej mogło nastąpić w terminie do 3 lat od dnia stworzenia warunków do podłączenia nieruchomości do poszczególnych urządzeń infrastruktury technicznej albo od dnia stworzenia warunków do korzystania z wybudowanej drogi to po nowelizacji wystarczającym warunkiem jest</w:t>
      </w:r>
      <w:r w:rsidR="0089749E" w:rsidRPr="009A1BF8">
        <w:rPr>
          <w:rFonts w:ascii="Arial" w:hAnsi="Arial" w:cs="Arial"/>
          <w:sz w:val="24"/>
          <w:szCs w:val="24"/>
        </w:rPr>
        <w:t>,</w:t>
      </w:r>
      <w:r w:rsidR="003F1245" w:rsidRPr="009A1BF8">
        <w:rPr>
          <w:rFonts w:ascii="Arial" w:hAnsi="Arial" w:cs="Arial"/>
          <w:sz w:val="24"/>
          <w:szCs w:val="24"/>
        </w:rPr>
        <w:t xml:space="preserve"> aby wszczęcie postępowania w sprawie ustalenia opłaty adiacenckiej nastąpiło w tym terminie</w:t>
      </w:r>
      <w:r w:rsidR="006920B6" w:rsidRPr="009A1BF8">
        <w:rPr>
          <w:rFonts w:ascii="Arial" w:hAnsi="Arial" w:cs="Arial"/>
          <w:sz w:val="24"/>
          <w:szCs w:val="24"/>
        </w:rPr>
        <w:t>,</w:t>
      </w:r>
      <w:r w:rsidR="003F1245" w:rsidRPr="009A1BF8">
        <w:rPr>
          <w:rFonts w:ascii="Arial" w:hAnsi="Arial" w:cs="Arial"/>
          <w:sz w:val="24"/>
          <w:szCs w:val="24"/>
        </w:rPr>
        <w:t xml:space="preserve"> natomiast wydanie samej decyzji może nastąpić nawet wiele lat później.</w:t>
      </w:r>
    </w:p>
    <w:p w:rsidR="00062BE8" w:rsidRPr="009A1BF8" w:rsidRDefault="00A74472" w:rsidP="00601C48">
      <w:pPr>
        <w:spacing w:after="120" w:line="36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9A1BF8">
        <w:rPr>
          <w:rFonts w:ascii="Arial" w:hAnsi="Arial" w:cs="Arial"/>
          <w:sz w:val="24"/>
          <w:szCs w:val="24"/>
        </w:rPr>
        <w:t xml:space="preserve">Ta nowelizacja </w:t>
      </w:r>
      <w:r w:rsidR="00EC18DE" w:rsidRPr="009A1BF8">
        <w:rPr>
          <w:rFonts w:ascii="Arial" w:hAnsi="Arial" w:cs="Arial"/>
          <w:sz w:val="24"/>
          <w:szCs w:val="24"/>
        </w:rPr>
        <w:t>wykreowała</w:t>
      </w:r>
      <w:r w:rsidRPr="009A1BF8">
        <w:rPr>
          <w:rFonts w:ascii="Arial" w:hAnsi="Arial" w:cs="Arial"/>
          <w:sz w:val="24"/>
          <w:szCs w:val="24"/>
        </w:rPr>
        <w:t xml:space="preserve"> więc w swej istocie dodatkowy</w:t>
      </w:r>
      <w:r w:rsidR="00950625" w:rsidRPr="009A1BF8">
        <w:rPr>
          <w:rFonts w:ascii="Arial" w:hAnsi="Arial" w:cs="Arial"/>
          <w:sz w:val="24"/>
          <w:szCs w:val="24"/>
        </w:rPr>
        <w:t xml:space="preserve"> i w praktyce nielimitowany </w:t>
      </w:r>
      <w:r w:rsidRPr="009A1BF8">
        <w:rPr>
          <w:rFonts w:ascii="Arial" w:hAnsi="Arial" w:cs="Arial"/>
          <w:sz w:val="24"/>
          <w:szCs w:val="24"/>
        </w:rPr>
        <w:t>czas dla gmin</w:t>
      </w:r>
      <w:r w:rsidR="00950625" w:rsidRPr="009A1BF8">
        <w:rPr>
          <w:rFonts w:ascii="Arial" w:hAnsi="Arial" w:cs="Arial"/>
          <w:sz w:val="24"/>
          <w:szCs w:val="24"/>
        </w:rPr>
        <w:t xml:space="preserve"> na wydanie decyzji o ustaleniu opłaty adiace</w:t>
      </w:r>
      <w:r w:rsidR="00500365" w:rsidRPr="009A1BF8">
        <w:rPr>
          <w:rFonts w:ascii="Arial" w:hAnsi="Arial" w:cs="Arial"/>
          <w:sz w:val="24"/>
          <w:szCs w:val="24"/>
        </w:rPr>
        <w:t>nc</w:t>
      </w:r>
      <w:r w:rsidR="00950625" w:rsidRPr="009A1BF8">
        <w:rPr>
          <w:rFonts w:ascii="Arial" w:hAnsi="Arial" w:cs="Arial"/>
          <w:sz w:val="24"/>
          <w:szCs w:val="24"/>
        </w:rPr>
        <w:t>kiej</w:t>
      </w:r>
      <w:r w:rsidRPr="009A1BF8">
        <w:rPr>
          <w:rFonts w:ascii="Arial" w:hAnsi="Arial" w:cs="Arial"/>
          <w:sz w:val="24"/>
          <w:szCs w:val="24"/>
        </w:rPr>
        <w:t xml:space="preserve"> </w:t>
      </w:r>
      <w:r w:rsidR="00E67C6E">
        <w:rPr>
          <w:rFonts w:ascii="Arial" w:hAnsi="Arial" w:cs="Arial"/>
          <w:sz w:val="24"/>
          <w:szCs w:val="24"/>
        </w:rPr>
        <w:t>a </w:t>
      </w:r>
      <w:r w:rsidR="00601C48" w:rsidRPr="009A1BF8">
        <w:rPr>
          <w:rFonts w:ascii="Arial" w:hAnsi="Arial" w:cs="Arial"/>
          <w:sz w:val="24"/>
          <w:szCs w:val="24"/>
        </w:rPr>
        <w:t>niektórym</w:t>
      </w:r>
      <w:r w:rsidR="00AC1465" w:rsidRPr="009A1BF8">
        <w:rPr>
          <w:rFonts w:ascii="Arial" w:hAnsi="Arial" w:cs="Arial"/>
          <w:sz w:val="24"/>
          <w:szCs w:val="24"/>
        </w:rPr>
        <w:t xml:space="preserve"> </w:t>
      </w:r>
      <w:r w:rsidR="00601C48" w:rsidRPr="009A1BF8">
        <w:rPr>
          <w:rFonts w:ascii="Arial" w:hAnsi="Arial" w:cs="Arial"/>
          <w:sz w:val="24"/>
          <w:szCs w:val="24"/>
        </w:rPr>
        <w:t>właścicielom</w:t>
      </w:r>
      <w:r w:rsidRPr="009A1BF8">
        <w:rPr>
          <w:rFonts w:ascii="Arial" w:hAnsi="Arial" w:cs="Arial"/>
          <w:sz w:val="24"/>
          <w:szCs w:val="24"/>
        </w:rPr>
        <w:t xml:space="preserve"> nieruchomości </w:t>
      </w:r>
      <w:r w:rsidR="00EC18DE" w:rsidRPr="009A1BF8">
        <w:rPr>
          <w:rFonts w:ascii="Arial" w:hAnsi="Arial" w:cs="Arial"/>
          <w:sz w:val="24"/>
          <w:szCs w:val="24"/>
        </w:rPr>
        <w:t>stworzyła</w:t>
      </w:r>
      <w:r w:rsidRPr="009A1BF8">
        <w:rPr>
          <w:rFonts w:ascii="Arial" w:hAnsi="Arial" w:cs="Arial"/>
          <w:sz w:val="24"/>
          <w:szCs w:val="24"/>
        </w:rPr>
        <w:t xml:space="preserve"> perspektywę kolejnych lat </w:t>
      </w:r>
      <w:r w:rsidR="00E67C6E">
        <w:rPr>
          <w:rFonts w:ascii="Arial" w:hAnsi="Arial" w:cs="Arial"/>
          <w:sz w:val="24"/>
          <w:szCs w:val="24"/>
        </w:rPr>
        <w:t>życia w </w:t>
      </w:r>
      <w:r w:rsidRPr="009A1BF8">
        <w:rPr>
          <w:rFonts w:ascii="Arial" w:hAnsi="Arial" w:cs="Arial"/>
          <w:sz w:val="24"/>
          <w:szCs w:val="24"/>
        </w:rPr>
        <w:t xml:space="preserve">niepewności. </w:t>
      </w:r>
      <w:r w:rsidR="00EC18DE" w:rsidRPr="009A1BF8">
        <w:rPr>
          <w:rFonts w:ascii="Arial" w:hAnsi="Arial" w:cs="Arial"/>
          <w:sz w:val="24"/>
          <w:szCs w:val="24"/>
        </w:rPr>
        <w:t xml:space="preserve">Stanowi to dużą różnicę, bo </w:t>
      </w:r>
      <w:r w:rsidR="00601C48" w:rsidRPr="009A1BF8">
        <w:rPr>
          <w:rFonts w:ascii="Arial" w:hAnsi="Arial" w:cs="Arial"/>
          <w:sz w:val="24"/>
          <w:szCs w:val="24"/>
        </w:rPr>
        <w:t xml:space="preserve">tuż </w:t>
      </w:r>
      <w:r w:rsidR="00500365" w:rsidRPr="009A1BF8">
        <w:rPr>
          <w:rFonts w:ascii="Arial" w:hAnsi="Arial" w:cs="Arial"/>
          <w:sz w:val="24"/>
          <w:szCs w:val="24"/>
        </w:rPr>
        <w:t xml:space="preserve">przed nowelizacją </w:t>
      </w:r>
      <w:r w:rsidR="00EC18DE" w:rsidRPr="009A1BF8">
        <w:rPr>
          <w:rFonts w:ascii="Arial" w:hAnsi="Arial" w:cs="Arial"/>
          <w:sz w:val="24"/>
          <w:szCs w:val="24"/>
        </w:rPr>
        <w:t>wielu właścicieli nieruchomości</w:t>
      </w:r>
      <w:r w:rsidRPr="009A1BF8">
        <w:rPr>
          <w:rFonts w:ascii="Arial" w:hAnsi="Arial" w:cs="Arial"/>
          <w:sz w:val="24"/>
          <w:szCs w:val="24"/>
        </w:rPr>
        <w:t xml:space="preserve"> </w:t>
      </w:r>
      <w:r w:rsidR="00EC18DE" w:rsidRPr="009A1BF8">
        <w:rPr>
          <w:rFonts w:ascii="Arial" w:hAnsi="Arial" w:cs="Arial"/>
          <w:sz w:val="24"/>
          <w:szCs w:val="24"/>
        </w:rPr>
        <w:t xml:space="preserve">miało podstawy aby </w:t>
      </w:r>
      <w:r w:rsidRPr="009A1BF8">
        <w:rPr>
          <w:rFonts w:ascii="Arial" w:hAnsi="Arial" w:cs="Arial"/>
          <w:sz w:val="24"/>
          <w:szCs w:val="24"/>
        </w:rPr>
        <w:t>spodziewa</w:t>
      </w:r>
      <w:r w:rsidR="00EC18DE" w:rsidRPr="009A1BF8">
        <w:rPr>
          <w:rFonts w:ascii="Arial" w:hAnsi="Arial" w:cs="Arial"/>
          <w:sz w:val="24"/>
          <w:szCs w:val="24"/>
        </w:rPr>
        <w:t>ć</w:t>
      </w:r>
      <w:r w:rsidRPr="009A1BF8">
        <w:rPr>
          <w:rFonts w:ascii="Arial" w:hAnsi="Arial" w:cs="Arial"/>
          <w:sz w:val="24"/>
          <w:szCs w:val="24"/>
        </w:rPr>
        <w:t xml:space="preserve"> się, że </w:t>
      </w:r>
      <w:r w:rsidR="00E67C6E">
        <w:rPr>
          <w:rFonts w:ascii="Arial" w:hAnsi="Arial" w:cs="Arial"/>
          <w:sz w:val="24"/>
          <w:szCs w:val="24"/>
        </w:rPr>
        <w:t>nawet jeśli dostaną decyzję o </w:t>
      </w:r>
      <w:r w:rsidR="00AC1465" w:rsidRPr="009A1BF8">
        <w:rPr>
          <w:rFonts w:ascii="Arial" w:hAnsi="Arial" w:cs="Arial"/>
          <w:sz w:val="24"/>
          <w:szCs w:val="24"/>
        </w:rPr>
        <w:t xml:space="preserve">wszczęciu postępowania to </w:t>
      </w:r>
      <w:r w:rsidRPr="009A1BF8">
        <w:rPr>
          <w:rFonts w:ascii="Arial" w:hAnsi="Arial" w:cs="Arial"/>
          <w:sz w:val="24"/>
          <w:szCs w:val="24"/>
        </w:rPr>
        <w:t xml:space="preserve">w </w:t>
      </w:r>
      <w:r w:rsidR="00EC18DE" w:rsidRPr="009A1BF8">
        <w:rPr>
          <w:rFonts w:ascii="Arial" w:hAnsi="Arial" w:cs="Arial"/>
          <w:sz w:val="24"/>
          <w:szCs w:val="24"/>
        </w:rPr>
        <w:t xml:space="preserve">omawianym </w:t>
      </w:r>
      <w:r w:rsidRPr="009A1BF8">
        <w:rPr>
          <w:rFonts w:ascii="Arial" w:hAnsi="Arial" w:cs="Arial"/>
          <w:sz w:val="24"/>
          <w:szCs w:val="24"/>
        </w:rPr>
        <w:t>okresie 3 lat nie zostanie wydana decyzja o ustaleniu wysokości opłaty</w:t>
      </w:r>
      <w:r w:rsidR="00EC18DE" w:rsidRPr="009A1BF8">
        <w:rPr>
          <w:rFonts w:ascii="Arial" w:hAnsi="Arial" w:cs="Arial"/>
          <w:sz w:val="24"/>
          <w:szCs w:val="24"/>
        </w:rPr>
        <w:t xml:space="preserve"> – co z ich punktu widzenia oznaczałoby de facto zwolnienie z opłaty. </w:t>
      </w:r>
    </w:p>
    <w:p w:rsidR="00AC4D9F" w:rsidRPr="0046060C" w:rsidRDefault="00AC4D9F" w:rsidP="00601C48">
      <w:pPr>
        <w:pStyle w:val="PKTpunkt"/>
        <w:spacing w:after="120"/>
        <w:rPr>
          <w:rStyle w:val="Ppogrubienie"/>
          <w:rFonts w:ascii="Arial" w:hAnsi="Arial"/>
          <w:szCs w:val="24"/>
        </w:rPr>
      </w:pPr>
      <w:r w:rsidRPr="009A1BF8">
        <w:rPr>
          <w:rStyle w:val="Ppogrubienie"/>
          <w:rFonts w:ascii="Arial" w:hAnsi="Arial"/>
          <w:szCs w:val="24"/>
        </w:rPr>
        <w:t>3.</w:t>
      </w:r>
      <w:r w:rsidRPr="009A1BF8">
        <w:rPr>
          <w:rStyle w:val="Ppogrubienie"/>
          <w:rFonts w:ascii="Arial" w:hAnsi="Arial"/>
          <w:szCs w:val="24"/>
        </w:rPr>
        <w:tab/>
        <w:t>Różnica pomiędzy dotychczasowym a projektowanym stanem prawnym</w:t>
      </w:r>
    </w:p>
    <w:p w:rsidR="00E526CF" w:rsidRPr="009A1BF8" w:rsidRDefault="00E526CF" w:rsidP="00601C48">
      <w:pPr>
        <w:spacing w:after="120" w:line="360" w:lineRule="auto"/>
        <w:ind w:firstLine="510"/>
        <w:jc w:val="both"/>
        <w:rPr>
          <w:rFonts w:ascii="Arial" w:hAnsi="Arial" w:cs="Arial"/>
          <w:sz w:val="24"/>
          <w:szCs w:val="24"/>
        </w:rPr>
      </w:pPr>
      <w:r w:rsidRPr="009A1BF8">
        <w:rPr>
          <w:rFonts w:ascii="Arial" w:hAnsi="Arial" w:cs="Arial"/>
          <w:sz w:val="24"/>
          <w:szCs w:val="24"/>
        </w:rPr>
        <w:t>Projektowana ustawa stwarza możliwość umarzania w całości lub w części należności z tytułu opłaty adiacenckiej oraz odraczania terminu wniesienia opłaty adiacenckiej lub terminy wniesienia ratalnych op</w:t>
      </w:r>
      <w:r w:rsidR="00E67C6E">
        <w:rPr>
          <w:rFonts w:ascii="Arial" w:hAnsi="Arial" w:cs="Arial"/>
          <w:sz w:val="24"/>
          <w:szCs w:val="24"/>
        </w:rPr>
        <w:t>łat - na zasadach określonych w </w:t>
      </w:r>
      <w:r w:rsidRPr="009A1BF8">
        <w:rPr>
          <w:rFonts w:ascii="Arial" w:hAnsi="Arial" w:cs="Arial"/>
          <w:sz w:val="24"/>
          <w:szCs w:val="24"/>
        </w:rPr>
        <w:t>ustawie o finansach publicznych</w:t>
      </w:r>
      <w:r w:rsidR="004769E4" w:rsidRPr="009A1BF8">
        <w:rPr>
          <w:rFonts w:ascii="Arial" w:hAnsi="Arial" w:cs="Arial"/>
          <w:sz w:val="24"/>
          <w:szCs w:val="24"/>
        </w:rPr>
        <w:t xml:space="preserve"> (</w:t>
      </w:r>
      <w:r w:rsidR="00601C48" w:rsidRPr="009A1BF8">
        <w:rPr>
          <w:rFonts w:ascii="Arial" w:hAnsi="Arial" w:cs="Arial"/>
          <w:sz w:val="24"/>
          <w:szCs w:val="24"/>
        </w:rPr>
        <w:t xml:space="preserve">przede wszystkim w </w:t>
      </w:r>
      <w:r w:rsidR="004769E4" w:rsidRPr="009A1BF8">
        <w:rPr>
          <w:rFonts w:ascii="Arial" w:hAnsi="Arial" w:cs="Arial"/>
          <w:sz w:val="24"/>
          <w:szCs w:val="24"/>
        </w:rPr>
        <w:t>art. 59)</w:t>
      </w:r>
      <w:r w:rsidRPr="009A1BF8">
        <w:rPr>
          <w:rFonts w:ascii="Arial" w:hAnsi="Arial" w:cs="Arial"/>
          <w:sz w:val="24"/>
          <w:szCs w:val="24"/>
        </w:rPr>
        <w:t>, na wniosek właściciela nieruchomości.</w:t>
      </w:r>
      <w:r w:rsidR="004769E4" w:rsidRPr="009A1BF8">
        <w:rPr>
          <w:rFonts w:ascii="Arial" w:hAnsi="Arial" w:cs="Arial"/>
          <w:sz w:val="24"/>
          <w:szCs w:val="24"/>
        </w:rPr>
        <w:t xml:space="preserve"> W praktyce przepis ten pozwala władzom gmin na postępowanie zgodne z zasadą sprawiedliwości społecznej w sytuacjach zbliżonych do tej, która legła u podstaw wniesionej do Sejmu RP petycji, bez równoczesnego narażenia się na narzut naruszenia dyscypliny finansów publicznych.</w:t>
      </w:r>
    </w:p>
    <w:p w:rsidR="007F54DC" w:rsidRPr="0046060C" w:rsidRDefault="00AC4D9F" w:rsidP="00601C48">
      <w:pPr>
        <w:pStyle w:val="PKTpunkt"/>
        <w:spacing w:after="120"/>
        <w:rPr>
          <w:rStyle w:val="Ppogrubienie"/>
          <w:rFonts w:ascii="Arial" w:hAnsi="Arial"/>
          <w:szCs w:val="24"/>
        </w:rPr>
      </w:pPr>
      <w:r w:rsidRPr="009A1BF8">
        <w:rPr>
          <w:rStyle w:val="Ppogrubienie"/>
          <w:rFonts w:ascii="Arial" w:hAnsi="Arial"/>
          <w:szCs w:val="24"/>
        </w:rPr>
        <w:t>4.</w:t>
      </w:r>
      <w:r w:rsidRPr="009A1BF8">
        <w:rPr>
          <w:rStyle w:val="Ppogrubienie"/>
          <w:rFonts w:ascii="Arial" w:hAnsi="Arial"/>
          <w:szCs w:val="24"/>
        </w:rPr>
        <w:tab/>
        <w:t xml:space="preserve">Skutki projektowanej ustawy </w:t>
      </w:r>
    </w:p>
    <w:p w:rsidR="00EB4D87" w:rsidRPr="00FB689D" w:rsidRDefault="00E17970" w:rsidP="00601C48">
      <w:pPr>
        <w:pStyle w:val="PKTpunkt"/>
        <w:spacing w:after="120"/>
        <w:ind w:left="0" w:firstLine="708"/>
        <w:rPr>
          <w:rStyle w:val="Ppogrubienie"/>
          <w:rFonts w:ascii="Arial" w:hAnsi="Arial"/>
          <w:b w:val="0"/>
          <w:szCs w:val="24"/>
        </w:rPr>
      </w:pPr>
      <w:r w:rsidRPr="009A1BF8">
        <w:rPr>
          <w:rStyle w:val="Ppogrubienie"/>
          <w:rFonts w:ascii="Arial" w:hAnsi="Arial"/>
          <w:b w:val="0"/>
          <w:szCs w:val="24"/>
        </w:rPr>
        <w:t xml:space="preserve">Skutki społeczne i prawne projektowanej ustawy są bardzo ważne – ustawa </w:t>
      </w:r>
      <w:r w:rsidR="004769E4" w:rsidRPr="009A1BF8">
        <w:rPr>
          <w:rStyle w:val="Ppogrubienie"/>
          <w:rFonts w:ascii="Arial" w:hAnsi="Arial"/>
          <w:b w:val="0"/>
          <w:szCs w:val="24"/>
        </w:rPr>
        <w:t xml:space="preserve">pozwala na zastosowanie zasady sprawiedliwości społecznej w indywidualnych przypadkach, gdy zastosowanie omawianego przepisu ustawy byłoby w oczywisty </w:t>
      </w:r>
      <w:r w:rsidR="004769E4" w:rsidRPr="009A1BF8">
        <w:rPr>
          <w:rStyle w:val="Ppogrubienie"/>
          <w:rFonts w:ascii="Arial" w:hAnsi="Arial"/>
          <w:b w:val="0"/>
          <w:szCs w:val="24"/>
        </w:rPr>
        <w:lastRenderedPageBreak/>
        <w:t xml:space="preserve">sposób sprzeczne z tą ustawą a niepodejmowanie jakichkolwiek działań ze strony władz gminy mogłoby je narazić na zarzut </w:t>
      </w:r>
      <w:r w:rsidR="002B746F" w:rsidRPr="009A1BF8">
        <w:rPr>
          <w:rStyle w:val="Ppogrubienie"/>
          <w:rFonts w:ascii="Arial" w:hAnsi="Arial"/>
          <w:b w:val="0"/>
          <w:szCs w:val="24"/>
        </w:rPr>
        <w:t xml:space="preserve">naruszenia </w:t>
      </w:r>
      <w:r w:rsidR="004769E4" w:rsidRPr="009A1BF8">
        <w:rPr>
          <w:rStyle w:val="Ppogrubienie"/>
          <w:rFonts w:ascii="Arial" w:hAnsi="Arial"/>
          <w:b w:val="0"/>
          <w:szCs w:val="24"/>
        </w:rPr>
        <w:t>dyscypliny finansów publicznych.</w:t>
      </w:r>
      <w:r w:rsidR="00C04A3F" w:rsidRPr="009A1BF8">
        <w:rPr>
          <w:rStyle w:val="Ppogrubienie"/>
          <w:rFonts w:ascii="Arial" w:hAnsi="Arial"/>
          <w:b w:val="0"/>
          <w:szCs w:val="24"/>
        </w:rPr>
        <w:t xml:space="preserve"> Ustawa likwiduje też przeoczenie bardzo szczególnych sytuacji, jakie miało miejsce przy redagowaniu przepisu przejściowego, zawartego w art. 4 ust. 3 </w:t>
      </w:r>
      <w:r w:rsidR="00C04A3F" w:rsidRPr="009A1BF8">
        <w:rPr>
          <w:rFonts w:ascii="Arial" w:hAnsi="Arial"/>
          <w:szCs w:val="24"/>
        </w:rPr>
        <w:t>ustawy z dnia 20 lipca 2017 r. o zmianie ustawy o gospodarce nieruchomościami oraz niektórych innych ustaw.</w:t>
      </w:r>
    </w:p>
    <w:p w:rsidR="00C075B0" w:rsidRPr="00FB689D" w:rsidRDefault="00E17970" w:rsidP="00601C48">
      <w:pPr>
        <w:pStyle w:val="PKTpunkt"/>
        <w:spacing w:after="120"/>
        <w:ind w:left="0" w:firstLine="708"/>
        <w:rPr>
          <w:rStyle w:val="Ppogrubienie"/>
          <w:rFonts w:ascii="Arial" w:hAnsi="Arial"/>
          <w:b w:val="0"/>
          <w:szCs w:val="24"/>
        </w:rPr>
      </w:pPr>
      <w:r w:rsidRPr="00FB689D">
        <w:rPr>
          <w:rStyle w:val="Ppogrubienie"/>
          <w:rFonts w:ascii="Arial" w:hAnsi="Arial"/>
          <w:b w:val="0"/>
          <w:szCs w:val="24"/>
        </w:rPr>
        <w:t>Projektowana ustawa nie ma wpływu na finanse podmiotów gospodarczych, budżety gospodarstw domowych ani na funkcjonowanie gospodarki</w:t>
      </w:r>
      <w:r w:rsidR="00FB689D">
        <w:rPr>
          <w:rStyle w:val="Ppogrubienie"/>
          <w:rFonts w:ascii="Arial" w:hAnsi="Arial"/>
          <w:b w:val="0"/>
          <w:szCs w:val="24"/>
        </w:rPr>
        <w:t xml:space="preserve">, nie dotyczy też </w:t>
      </w:r>
      <w:r w:rsidR="00FB689D" w:rsidRPr="00FB689D">
        <w:rPr>
          <w:rFonts w:ascii="Arial" w:hAnsi="Arial"/>
          <w:color w:val="000000"/>
          <w:szCs w:val="24"/>
          <w:shd w:val="clear" w:color="auto" w:fill="FFFFFF"/>
        </w:rPr>
        <w:t>majątkowych praw i obowiązków przedsiębiorców lub praw i obowiązków przedsiębiorców wobec organów administracji publicznej, </w:t>
      </w:r>
    </w:p>
    <w:p w:rsidR="005A02E3" w:rsidRDefault="00EB4D87" w:rsidP="00601C48">
      <w:pPr>
        <w:pStyle w:val="PKTpunkt"/>
        <w:spacing w:after="120"/>
        <w:ind w:left="0" w:firstLine="708"/>
        <w:rPr>
          <w:rStyle w:val="Ppogrubienie"/>
          <w:rFonts w:ascii="Arial" w:hAnsi="Arial"/>
          <w:b w:val="0"/>
          <w:szCs w:val="24"/>
        </w:rPr>
      </w:pPr>
      <w:r w:rsidRPr="00FB689D">
        <w:rPr>
          <w:rStyle w:val="Ppogrubienie"/>
          <w:rFonts w:ascii="Arial" w:hAnsi="Arial"/>
          <w:b w:val="0"/>
          <w:szCs w:val="24"/>
        </w:rPr>
        <w:t>Wpływ projektowanej ustawy na finanse publiczne</w:t>
      </w:r>
      <w:r w:rsidR="004769E4" w:rsidRPr="00FB689D">
        <w:rPr>
          <w:rStyle w:val="Ppogrubienie"/>
          <w:rFonts w:ascii="Arial" w:hAnsi="Arial"/>
          <w:b w:val="0"/>
          <w:szCs w:val="24"/>
        </w:rPr>
        <w:t xml:space="preserve"> </w:t>
      </w:r>
      <w:r w:rsidRPr="00FB689D">
        <w:rPr>
          <w:rStyle w:val="Ppogrubienie"/>
          <w:rFonts w:ascii="Arial" w:hAnsi="Arial"/>
          <w:b w:val="0"/>
          <w:szCs w:val="24"/>
        </w:rPr>
        <w:t>jest trudny do oszacowania ze względu na dużą liczbę zmiennych czynników</w:t>
      </w:r>
      <w:r w:rsidR="004769E4" w:rsidRPr="00FB689D">
        <w:rPr>
          <w:rStyle w:val="Ppogrubienie"/>
          <w:rFonts w:ascii="Arial" w:hAnsi="Arial"/>
          <w:b w:val="0"/>
          <w:szCs w:val="24"/>
        </w:rPr>
        <w:t xml:space="preserve"> mających wpływ na postępowanie władz gmin. Można jednak szacować, że w skali globalnej (całego</w:t>
      </w:r>
      <w:r w:rsidR="004769E4" w:rsidRPr="009A1BF8">
        <w:rPr>
          <w:rStyle w:val="Ppogrubienie"/>
          <w:rFonts w:ascii="Arial" w:hAnsi="Arial"/>
          <w:b w:val="0"/>
          <w:szCs w:val="24"/>
        </w:rPr>
        <w:t xml:space="preserve"> kraju) będzie on minimalny</w:t>
      </w:r>
      <w:r w:rsidR="00C04A3F" w:rsidRPr="009A1BF8">
        <w:rPr>
          <w:rStyle w:val="Ppogrubienie"/>
          <w:rFonts w:ascii="Arial" w:hAnsi="Arial"/>
          <w:b w:val="0"/>
          <w:szCs w:val="24"/>
        </w:rPr>
        <w:t xml:space="preserve"> albo neutralny</w:t>
      </w:r>
      <w:r w:rsidR="004769E4" w:rsidRPr="009A1BF8">
        <w:rPr>
          <w:rStyle w:val="Ppogrubienie"/>
          <w:rFonts w:ascii="Arial" w:hAnsi="Arial"/>
          <w:b w:val="0"/>
          <w:szCs w:val="24"/>
        </w:rPr>
        <w:t xml:space="preserve">. W </w:t>
      </w:r>
      <w:r w:rsidR="00C04A3F" w:rsidRPr="009A1BF8">
        <w:rPr>
          <w:rStyle w:val="Ppogrubienie"/>
          <w:rFonts w:ascii="Arial" w:hAnsi="Arial"/>
          <w:b w:val="0"/>
          <w:szCs w:val="24"/>
        </w:rPr>
        <w:t xml:space="preserve">jednostkowych </w:t>
      </w:r>
      <w:r w:rsidR="004769E4" w:rsidRPr="009A1BF8">
        <w:rPr>
          <w:rStyle w:val="Ppogrubienie"/>
          <w:rFonts w:ascii="Arial" w:hAnsi="Arial"/>
          <w:b w:val="0"/>
          <w:szCs w:val="24"/>
        </w:rPr>
        <w:t>przypadk</w:t>
      </w:r>
      <w:r w:rsidR="00C04A3F" w:rsidRPr="009A1BF8">
        <w:rPr>
          <w:rStyle w:val="Ppogrubienie"/>
          <w:rFonts w:ascii="Arial" w:hAnsi="Arial"/>
          <w:b w:val="0"/>
          <w:szCs w:val="24"/>
        </w:rPr>
        <w:t>ach</w:t>
      </w:r>
      <w:r w:rsidR="004769E4" w:rsidRPr="009A1BF8">
        <w:rPr>
          <w:rStyle w:val="Ppogrubienie"/>
          <w:rFonts w:ascii="Arial" w:hAnsi="Arial"/>
          <w:b w:val="0"/>
          <w:szCs w:val="24"/>
        </w:rPr>
        <w:t xml:space="preserve"> </w:t>
      </w:r>
      <w:r w:rsidR="005A02E3" w:rsidRPr="009A1BF8">
        <w:rPr>
          <w:rStyle w:val="Ppogrubienie"/>
          <w:rFonts w:ascii="Arial" w:hAnsi="Arial"/>
          <w:b w:val="0"/>
          <w:szCs w:val="24"/>
        </w:rPr>
        <w:t xml:space="preserve">skutkiem może być </w:t>
      </w:r>
      <w:r w:rsidR="000D3260" w:rsidRPr="009A1BF8">
        <w:rPr>
          <w:rStyle w:val="Ppogrubienie"/>
          <w:rFonts w:ascii="Arial" w:hAnsi="Arial"/>
          <w:b w:val="0"/>
          <w:szCs w:val="24"/>
        </w:rPr>
        <w:t xml:space="preserve">niewielkie (bo opłaty adiacenckie mają nieznaczny udział w dochodach gmin) </w:t>
      </w:r>
      <w:r w:rsidR="005A02E3" w:rsidRPr="009A1BF8">
        <w:rPr>
          <w:rStyle w:val="Ppogrubienie"/>
          <w:rFonts w:ascii="Arial" w:hAnsi="Arial"/>
          <w:b w:val="0"/>
          <w:szCs w:val="24"/>
        </w:rPr>
        <w:t xml:space="preserve">zmniejszenie potencjalnych dochodów </w:t>
      </w:r>
      <w:r w:rsidR="00C04A3F" w:rsidRPr="009A1BF8">
        <w:rPr>
          <w:rStyle w:val="Ppogrubienie"/>
          <w:rFonts w:ascii="Arial" w:hAnsi="Arial"/>
          <w:b w:val="0"/>
          <w:szCs w:val="24"/>
        </w:rPr>
        <w:t xml:space="preserve">gmin w </w:t>
      </w:r>
      <w:r w:rsidR="005A02E3" w:rsidRPr="009A1BF8">
        <w:rPr>
          <w:rStyle w:val="Ppogrubienie"/>
          <w:rFonts w:ascii="Arial" w:hAnsi="Arial"/>
          <w:b w:val="0"/>
          <w:szCs w:val="24"/>
        </w:rPr>
        <w:t>najbliższych latach. Trzeba jednak także brać pod uwagę, że projektowana ustawa pozwala</w:t>
      </w:r>
      <w:r w:rsidR="00C04A3F" w:rsidRPr="009A1BF8">
        <w:rPr>
          <w:rStyle w:val="Ppogrubienie"/>
          <w:rFonts w:ascii="Arial" w:hAnsi="Arial"/>
          <w:b w:val="0"/>
          <w:szCs w:val="24"/>
        </w:rPr>
        <w:t xml:space="preserve"> </w:t>
      </w:r>
      <w:r w:rsidR="00E67C6E">
        <w:rPr>
          <w:rStyle w:val="Ppogrubienie"/>
          <w:rFonts w:ascii="Arial" w:hAnsi="Arial"/>
          <w:b w:val="0"/>
          <w:szCs w:val="24"/>
        </w:rPr>
        <w:t>na umorzenie opłaty także w </w:t>
      </w:r>
      <w:r w:rsidR="005A02E3" w:rsidRPr="009A1BF8">
        <w:rPr>
          <w:rStyle w:val="Ppogrubienie"/>
          <w:rFonts w:ascii="Arial" w:hAnsi="Arial"/>
          <w:b w:val="0"/>
          <w:szCs w:val="24"/>
        </w:rPr>
        <w:t>przypadkach, które mogłyby być przedmiotem postępowania sądowego a wygran</w:t>
      </w:r>
      <w:r w:rsidR="00C04A3F" w:rsidRPr="009A1BF8">
        <w:rPr>
          <w:rStyle w:val="Ppogrubienie"/>
          <w:rFonts w:ascii="Arial" w:hAnsi="Arial"/>
          <w:b w:val="0"/>
          <w:szCs w:val="24"/>
        </w:rPr>
        <w:t>a</w:t>
      </w:r>
      <w:r w:rsidR="005A02E3" w:rsidRPr="009A1BF8">
        <w:rPr>
          <w:rStyle w:val="Ppogrubienie"/>
          <w:rFonts w:ascii="Arial" w:hAnsi="Arial"/>
          <w:b w:val="0"/>
          <w:szCs w:val="24"/>
        </w:rPr>
        <w:t xml:space="preserve"> </w:t>
      </w:r>
      <w:r w:rsidR="00C04A3F" w:rsidRPr="009A1BF8">
        <w:rPr>
          <w:rStyle w:val="Ppogrubienie"/>
          <w:rFonts w:ascii="Arial" w:hAnsi="Arial"/>
          <w:b w:val="0"/>
          <w:szCs w:val="24"/>
        </w:rPr>
        <w:t>właściciela</w:t>
      </w:r>
      <w:r w:rsidR="005A02E3" w:rsidRPr="009A1BF8">
        <w:rPr>
          <w:rStyle w:val="Ppogrubienie"/>
          <w:rFonts w:ascii="Arial" w:hAnsi="Arial"/>
          <w:b w:val="0"/>
          <w:szCs w:val="24"/>
        </w:rPr>
        <w:t xml:space="preserve"> nieruchomości</w:t>
      </w:r>
      <w:r w:rsidR="00C04A3F" w:rsidRPr="009A1BF8">
        <w:rPr>
          <w:rStyle w:val="Ppogrubienie"/>
          <w:rFonts w:ascii="Arial" w:hAnsi="Arial"/>
          <w:b w:val="0"/>
          <w:szCs w:val="24"/>
        </w:rPr>
        <w:t xml:space="preserve"> wiązałaby się z dodatkowymi obciążeniami finansowymi dla gmin (zasądzany w takich okolicznościach zwrot kosztów postępowania)</w:t>
      </w:r>
      <w:r w:rsidR="009A1BF8">
        <w:rPr>
          <w:rStyle w:val="Ppogrubienie"/>
          <w:rFonts w:ascii="Arial" w:hAnsi="Arial"/>
          <w:b w:val="0"/>
          <w:szCs w:val="24"/>
        </w:rPr>
        <w:t>.</w:t>
      </w:r>
    </w:p>
    <w:p w:rsidR="00FB689D" w:rsidRPr="009A1BF8" w:rsidRDefault="00FB689D" w:rsidP="00601C48">
      <w:pPr>
        <w:pStyle w:val="PKTpunkt"/>
        <w:spacing w:after="120"/>
        <w:ind w:left="0" w:firstLine="708"/>
        <w:rPr>
          <w:rStyle w:val="Ppogrubienie"/>
          <w:rFonts w:ascii="Arial" w:hAnsi="Arial"/>
          <w:b w:val="0"/>
          <w:szCs w:val="24"/>
        </w:rPr>
      </w:pPr>
      <w:r>
        <w:rPr>
          <w:rStyle w:val="Ppogrubienie"/>
          <w:rFonts w:ascii="Arial" w:eastAsia="Calibri" w:hAnsi="Arial" w:cs="Times New Roman"/>
          <w:b w:val="0"/>
          <w:bCs w:val="0"/>
          <w:szCs w:val="24"/>
          <w:lang w:eastAsia="en-US"/>
        </w:rPr>
        <w:t>Projekt ustawy nie przewiduje wydawania aktów wykonawczych.</w:t>
      </w:r>
    </w:p>
    <w:p w:rsidR="00AC4D9F" w:rsidRPr="009A1BF8" w:rsidRDefault="00EB5121" w:rsidP="00601C48">
      <w:pPr>
        <w:pStyle w:val="PKTpunkt"/>
        <w:spacing w:after="120"/>
        <w:rPr>
          <w:rStyle w:val="Ppogrubienie"/>
          <w:rFonts w:ascii="Arial" w:hAnsi="Arial"/>
          <w:szCs w:val="24"/>
        </w:rPr>
      </w:pPr>
      <w:r w:rsidRPr="009A1BF8">
        <w:rPr>
          <w:rStyle w:val="Ppogrubienie"/>
          <w:rFonts w:ascii="Arial" w:hAnsi="Arial"/>
          <w:szCs w:val="24"/>
        </w:rPr>
        <w:t>5</w:t>
      </w:r>
      <w:r w:rsidR="00AC4D9F" w:rsidRPr="009A1BF8">
        <w:rPr>
          <w:rStyle w:val="Ppogrubienie"/>
          <w:rFonts w:ascii="Arial" w:hAnsi="Arial"/>
          <w:szCs w:val="24"/>
        </w:rPr>
        <w:t>.</w:t>
      </w:r>
      <w:r w:rsidR="00AC4D9F" w:rsidRPr="009A1BF8">
        <w:rPr>
          <w:rStyle w:val="Ppogrubienie"/>
          <w:rFonts w:ascii="Arial" w:hAnsi="Arial"/>
          <w:szCs w:val="24"/>
        </w:rPr>
        <w:tab/>
        <w:t>Oświadczenie o zgodności projektu ustawy z prawem Unii Europejskiej</w:t>
      </w:r>
    </w:p>
    <w:p w:rsidR="00880849" w:rsidRPr="009A1BF8" w:rsidRDefault="00AC4D9F" w:rsidP="00601C48">
      <w:pPr>
        <w:pStyle w:val="NIEARTTEKSTtekstnieartykuowanynppodstprawnarozplubpreambua"/>
        <w:spacing w:before="0" w:after="120"/>
        <w:ind w:firstLine="708"/>
        <w:rPr>
          <w:rFonts w:ascii="Arial" w:hAnsi="Arial"/>
          <w:szCs w:val="24"/>
        </w:rPr>
      </w:pPr>
      <w:r w:rsidRPr="009A1BF8">
        <w:rPr>
          <w:rFonts w:ascii="Arial" w:hAnsi="Arial"/>
          <w:szCs w:val="24"/>
        </w:rPr>
        <w:t>Przedmiot projektowanej regulacji nie jest objęty prawem Unii Europejskiej.</w:t>
      </w:r>
    </w:p>
    <w:sectPr w:rsidR="00880849" w:rsidRPr="009A1BF8" w:rsidSect="00F402D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E6239" w:rsidRDefault="00CE6239">
      <w:r>
        <w:separator/>
      </w:r>
    </w:p>
  </w:endnote>
  <w:endnote w:type="continuationSeparator" w:id="0">
    <w:p w:rsidR="00CE6239" w:rsidRDefault="00CE623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PMingLiU">
    <w:altName w:val="新細明體"/>
    <w:panose1 w:val="02010601000101010101"/>
    <w:charset w:val="88"/>
    <w:family w:val="auto"/>
    <w:notTrueType/>
    <w:pitch w:val="variable"/>
    <w:sig w:usb0="00000001" w:usb1="08080000" w:usb2="00000010" w:usb3="00000000" w:csb0="001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E6239" w:rsidRDefault="00CE6239">
      <w:r>
        <w:separator/>
      </w:r>
    </w:p>
  </w:footnote>
  <w:footnote w:type="continuationSeparator" w:id="0">
    <w:p w:rsidR="00CE6239" w:rsidRDefault="00CE623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758685C"/>
    <w:multiLevelType w:val="multilevel"/>
    <w:tmpl w:val="18027F7E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 w15:restartNumberingAfterBreak="0">
    <w:nsid w:val="092A433C"/>
    <w:multiLevelType w:val="hybridMultilevel"/>
    <w:tmpl w:val="687246DE"/>
    <w:lvl w:ilvl="0" w:tplc="0888A22E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9C457ED"/>
    <w:multiLevelType w:val="hybridMultilevel"/>
    <w:tmpl w:val="FE6867EA"/>
    <w:lvl w:ilvl="0" w:tplc="6D00FBE4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9" w:hanging="360"/>
      </w:pPr>
    </w:lvl>
    <w:lvl w:ilvl="2" w:tplc="0415001B" w:tentative="1">
      <w:start w:val="1"/>
      <w:numFmt w:val="lowerRoman"/>
      <w:lvlText w:val="%3."/>
      <w:lvlJc w:val="right"/>
      <w:pPr>
        <w:ind w:left="2509" w:hanging="180"/>
      </w:pPr>
    </w:lvl>
    <w:lvl w:ilvl="3" w:tplc="0415000F" w:tentative="1">
      <w:start w:val="1"/>
      <w:numFmt w:val="decimal"/>
      <w:lvlText w:val="%4."/>
      <w:lvlJc w:val="left"/>
      <w:pPr>
        <w:ind w:left="3229" w:hanging="360"/>
      </w:pPr>
    </w:lvl>
    <w:lvl w:ilvl="4" w:tplc="04150019" w:tentative="1">
      <w:start w:val="1"/>
      <w:numFmt w:val="lowerLetter"/>
      <w:lvlText w:val="%5."/>
      <w:lvlJc w:val="left"/>
      <w:pPr>
        <w:ind w:left="3949" w:hanging="360"/>
      </w:pPr>
    </w:lvl>
    <w:lvl w:ilvl="5" w:tplc="0415001B" w:tentative="1">
      <w:start w:val="1"/>
      <w:numFmt w:val="lowerRoman"/>
      <w:lvlText w:val="%6."/>
      <w:lvlJc w:val="right"/>
      <w:pPr>
        <w:ind w:left="4669" w:hanging="180"/>
      </w:pPr>
    </w:lvl>
    <w:lvl w:ilvl="6" w:tplc="0415000F" w:tentative="1">
      <w:start w:val="1"/>
      <w:numFmt w:val="decimal"/>
      <w:lvlText w:val="%7."/>
      <w:lvlJc w:val="left"/>
      <w:pPr>
        <w:ind w:left="5389" w:hanging="360"/>
      </w:pPr>
    </w:lvl>
    <w:lvl w:ilvl="7" w:tplc="04150019" w:tentative="1">
      <w:start w:val="1"/>
      <w:numFmt w:val="lowerLetter"/>
      <w:lvlText w:val="%8."/>
      <w:lvlJc w:val="left"/>
      <w:pPr>
        <w:ind w:left="6109" w:hanging="360"/>
      </w:pPr>
    </w:lvl>
    <w:lvl w:ilvl="8" w:tplc="0415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2381323F"/>
    <w:multiLevelType w:val="hybridMultilevel"/>
    <w:tmpl w:val="D63400DA"/>
    <w:lvl w:ilvl="0" w:tplc="0415000F">
      <w:start w:val="1"/>
      <w:numFmt w:val="decimal"/>
      <w:lvlText w:val="%1.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29F37A93"/>
    <w:multiLevelType w:val="hybridMultilevel"/>
    <w:tmpl w:val="408249D6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" w15:restartNumberingAfterBreak="0">
    <w:nsid w:val="3FAC7A7E"/>
    <w:multiLevelType w:val="hybridMultilevel"/>
    <w:tmpl w:val="E8384CD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3AB400C"/>
    <w:multiLevelType w:val="hybridMultilevel"/>
    <w:tmpl w:val="F718FF7E"/>
    <w:lvl w:ilvl="0" w:tplc="4C38554A">
      <w:start w:val="1"/>
      <w:numFmt w:val="decimal"/>
      <w:lvlText w:val="%1."/>
      <w:lvlJc w:val="left"/>
      <w:pPr>
        <w:ind w:left="644" w:hanging="360"/>
      </w:pPr>
      <w:rPr>
        <w:rFonts w:ascii="Arial" w:eastAsia="MS Mincho" w:hAnsi="Arial" w:cs="Arial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 w15:restartNumberingAfterBreak="0">
    <w:nsid w:val="49BC64CB"/>
    <w:multiLevelType w:val="hybridMultilevel"/>
    <w:tmpl w:val="FBF6A0B8"/>
    <w:lvl w:ilvl="0" w:tplc="0415000F">
      <w:start w:val="1"/>
      <w:numFmt w:val="decimal"/>
      <w:lvlText w:val="%1."/>
      <w:lvlJc w:val="left"/>
      <w:pPr>
        <w:ind w:left="54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26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198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70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42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14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486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58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300" w:hanging="180"/>
      </w:pPr>
      <w:rPr>
        <w:rFonts w:cs="Times New Roman"/>
      </w:rPr>
    </w:lvl>
  </w:abstractNum>
  <w:abstractNum w:abstractNumId="8" w15:restartNumberingAfterBreak="0">
    <w:nsid w:val="5218379A"/>
    <w:multiLevelType w:val="hybridMultilevel"/>
    <w:tmpl w:val="A298096E"/>
    <w:lvl w:ilvl="0" w:tplc="040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9" w15:restartNumberingAfterBreak="0">
    <w:nsid w:val="59101561"/>
    <w:multiLevelType w:val="hybridMultilevel"/>
    <w:tmpl w:val="BDE21F0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0F5375E"/>
    <w:multiLevelType w:val="multilevel"/>
    <w:tmpl w:val="E652974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1" w15:restartNumberingAfterBreak="0">
    <w:nsid w:val="7B023CC7"/>
    <w:multiLevelType w:val="multilevel"/>
    <w:tmpl w:val="94FCF67A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>
    <w:abstractNumId w:val="7"/>
  </w:num>
  <w:num w:numId="2">
    <w:abstractNumId w:val="4"/>
  </w:num>
  <w:num w:numId="3">
    <w:abstractNumId w:val="8"/>
  </w:num>
  <w:num w:numId="4">
    <w:abstractNumId w:val="0"/>
  </w:num>
  <w:num w:numId="5">
    <w:abstractNumId w:val="10"/>
  </w:num>
  <w:num w:numId="6">
    <w:abstractNumId w:val="11"/>
  </w:num>
  <w:num w:numId="7">
    <w:abstractNumId w:val="3"/>
  </w:num>
  <w:num w:numId="8">
    <w:abstractNumId w:val="1"/>
  </w:num>
  <w:num w:numId="9">
    <w:abstractNumId w:val="9"/>
  </w:num>
  <w:num w:numId="10">
    <w:abstractNumId w:val="5"/>
  </w:num>
  <w:num w:numId="11">
    <w:abstractNumId w:val="6"/>
  </w:num>
  <w:num w:numId="1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1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7C8F"/>
    <w:rsid w:val="00004936"/>
    <w:rsid w:val="00007C8F"/>
    <w:rsid w:val="000154E2"/>
    <w:rsid w:val="00021A36"/>
    <w:rsid w:val="00024B86"/>
    <w:rsid w:val="00025FA9"/>
    <w:rsid w:val="000345E4"/>
    <w:rsid w:val="000621D8"/>
    <w:rsid w:val="00062BE8"/>
    <w:rsid w:val="00071599"/>
    <w:rsid w:val="00084E72"/>
    <w:rsid w:val="000C6C0B"/>
    <w:rsid w:val="000D3260"/>
    <w:rsid w:val="000F2CE5"/>
    <w:rsid w:val="00102575"/>
    <w:rsid w:val="00135443"/>
    <w:rsid w:val="001456ED"/>
    <w:rsid w:val="00162236"/>
    <w:rsid w:val="00162ADB"/>
    <w:rsid w:val="001827AB"/>
    <w:rsid w:val="001843D6"/>
    <w:rsid w:val="001902E8"/>
    <w:rsid w:val="0019518A"/>
    <w:rsid w:val="00195BF0"/>
    <w:rsid w:val="00197593"/>
    <w:rsid w:val="001B6219"/>
    <w:rsid w:val="001D0690"/>
    <w:rsid w:val="001D6D7F"/>
    <w:rsid w:val="001E2F40"/>
    <w:rsid w:val="001F6926"/>
    <w:rsid w:val="00200798"/>
    <w:rsid w:val="00204D15"/>
    <w:rsid w:val="00205DB6"/>
    <w:rsid w:val="0022079C"/>
    <w:rsid w:val="00221AAA"/>
    <w:rsid w:val="00226DC4"/>
    <w:rsid w:val="0023193C"/>
    <w:rsid w:val="00241424"/>
    <w:rsid w:val="00262C1D"/>
    <w:rsid w:val="00270C3B"/>
    <w:rsid w:val="00284A52"/>
    <w:rsid w:val="002B6561"/>
    <w:rsid w:val="002B746F"/>
    <w:rsid w:val="002D367F"/>
    <w:rsid w:val="002E488E"/>
    <w:rsid w:val="002F06C5"/>
    <w:rsid w:val="002F5C5F"/>
    <w:rsid w:val="003031C3"/>
    <w:rsid w:val="00304911"/>
    <w:rsid w:val="00312212"/>
    <w:rsid w:val="0031455B"/>
    <w:rsid w:val="00314D3C"/>
    <w:rsid w:val="003301E1"/>
    <w:rsid w:val="00360277"/>
    <w:rsid w:val="00372BDB"/>
    <w:rsid w:val="00387813"/>
    <w:rsid w:val="00391ADD"/>
    <w:rsid w:val="00392D86"/>
    <w:rsid w:val="0039424C"/>
    <w:rsid w:val="003946A5"/>
    <w:rsid w:val="0039704C"/>
    <w:rsid w:val="003A0ADA"/>
    <w:rsid w:val="003A1635"/>
    <w:rsid w:val="003B2B6C"/>
    <w:rsid w:val="003D19DD"/>
    <w:rsid w:val="003F1245"/>
    <w:rsid w:val="003F1CF4"/>
    <w:rsid w:val="004178D0"/>
    <w:rsid w:val="00445511"/>
    <w:rsid w:val="00456A43"/>
    <w:rsid w:val="004572A2"/>
    <w:rsid w:val="0046060C"/>
    <w:rsid w:val="00467FA8"/>
    <w:rsid w:val="00471182"/>
    <w:rsid w:val="00475BD0"/>
    <w:rsid w:val="004769E4"/>
    <w:rsid w:val="00476B19"/>
    <w:rsid w:val="00486C59"/>
    <w:rsid w:val="004A285E"/>
    <w:rsid w:val="004B432C"/>
    <w:rsid w:val="004C206A"/>
    <w:rsid w:val="004D127B"/>
    <w:rsid w:val="00500365"/>
    <w:rsid w:val="00510D43"/>
    <w:rsid w:val="00521B93"/>
    <w:rsid w:val="005310B4"/>
    <w:rsid w:val="00532AAA"/>
    <w:rsid w:val="00535A03"/>
    <w:rsid w:val="005420EE"/>
    <w:rsid w:val="00550AF7"/>
    <w:rsid w:val="005539E7"/>
    <w:rsid w:val="005635CD"/>
    <w:rsid w:val="005734DA"/>
    <w:rsid w:val="00590C55"/>
    <w:rsid w:val="00596806"/>
    <w:rsid w:val="005A02E3"/>
    <w:rsid w:val="005A4819"/>
    <w:rsid w:val="005A725C"/>
    <w:rsid w:val="005C6209"/>
    <w:rsid w:val="005F13A1"/>
    <w:rsid w:val="006009D7"/>
    <w:rsid w:val="00601C48"/>
    <w:rsid w:val="00612710"/>
    <w:rsid w:val="006158D5"/>
    <w:rsid w:val="00620EA8"/>
    <w:rsid w:val="006248D8"/>
    <w:rsid w:val="0066364B"/>
    <w:rsid w:val="006920B6"/>
    <w:rsid w:val="00694686"/>
    <w:rsid w:val="006B555C"/>
    <w:rsid w:val="006C19FE"/>
    <w:rsid w:val="006C2E72"/>
    <w:rsid w:val="006E2F2C"/>
    <w:rsid w:val="006F2E11"/>
    <w:rsid w:val="007255F8"/>
    <w:rsid w:val="00733780"/>
    <w:rsid w:val="00753BA1"/>
    <w:rsid w:val="00755F4E"/>
    <w:rsid w:val="00797802"/>
    <w:rsid w:val="007A3E8F"/>
    <w:rsid w:val="007C2054"/>
    <w:rsid w:val="007D0615"/>
    <w:rsid w:val="007D694A"/>
    <w:rsid w:val="007E58E2"/>
    <w:rsid w:val="007F197F"/>
    <w:rsid w:val="007F28E7"/>
    <w:rsid w:val="007F54DC"/>
    <w:rsid w:val="00804120"/>
    <w:rsid w:val="008144C3"/>
    <w:rsid w:val="0084532E"/>
    <w:rsid w:val="00862400"/>
    <w:rsid w:val="00880849"/>
    <w:rsid w:val="008959C1"/>
    <w:rsid w:val="0089749E"/>
    <w:rsid w:val="008A5969"/>
    <w:rsid w:val="008A5DAB"/>
    <w:rsid w:val="008A7E2F"/>
    <w:rsid w:val="008D72D1"/>
    <w:rsid w:val="008E32BC"/>
    <w:rsid w:val="008E78DB"/>
    <w:rsid w:val="008F5F6F"/>
    <w:rsid w:val="009075D3"/>
    <w:rsid w:val="00910A19"/>
    <w:rsid w:val="00931143"/>
    <w:rsid w:val="00943992"/>
    <w:rsid w:val="00950625"/>
    <w:rsid w:val="00952664"/>
    <w:rsid w:val="0096308B"/>
    <w:rsid w:val="009745F5"/>
    <w:rsid w:val="009768BF"/>
    <w:rsid w:val="009837E3"/>
    <w:rsid w:val="00993AAA"/>
    <w:rsid w:val="009A05D2"/>
    <w:rsid w:val="009A1BF8"/>
    <w:rsid w:val="009C680D"/>
    <w:rsid w:val="009D16ED"/>
    <w:rsid w:val="009D7CFA"/>
    <w:rsid w:val="009E40ED"/>
    <w:rsid w:val="009F24E1"/>
    <w:rsid w:val="009F4035"/>
    <w:rsid w:val="00A31423"/>
    <w:rsid w:val="00A40273"/>
    <w:rsid w:val="00A54A53"/>
    <w:rsid w:val="00A64140"/>
    <w:rsid w:val="00A70833"/>
    <w:rsid w:val="00A74472"/>
    <w:rsid w:val="00A87C3C"/>
    <w:rsid w:val="00A9423E"/>
    <w:rsid w:val="00A948F3"/>
    <w:rsid w:val="00AC1465"/>
    <w:rsid w:val="00AC4D9F"/>
    <w:rsid w:val="00AC676D"/>
    <w:rsid w:val="00AD0A94"/>
    <w:rsid w:val="00AE07E2"/>
    <w:rsid w:val="00AF4664"/>
    <w:rsid w:val="00B30EB8"/>
    <w:rsid w:val="00B57EE0"/>
    <w:rsid w:val="00B73189"/>
    <w:rsid w:val="00BA67E2"/>
    <w:rsid w:val="00BB11F6"/>
    <w:rsid w:val="00BB153E"/>
    <w:rsid w:val="00BC1E17"/>
    <w:rsid w:val="00BC331B"/>
    <w:rsid w:val="00BC4F95"/>
    <w:rsid w:val="00BF68ED"/>
    <w:rsid w:val="00C04A3F"/>
    <w:rsid w:val="00C075B0"/>
    <w:rsid w:val="00C159D6"/>
    <w:rsid w:val="00C31AA7"/>
    <w:rsid w:val="00C43853"/>
    <w:rsid w:val="00C8077E"/>
    <w:rsid w:val="00C85019"/>
    <w:rsid w:val="00CA2184"/>
    <w:rsid w:val="00CA28B2"/>
    <w:rsid w:val="00CC0606"/>
    <w:rsid w:val="00CC6403"/>
    <w:rsid w:val="00CD6DEE"/>
    <w:rsid w:val="00CE6239"/>
    <w:rsid w:val="00CF7C13"/>
    <w:rsid w:val="00D16ED8"/>
    <w:rsid w:val="00D201D6"/>
    <w:rsid w:val="00D2038A"/>
    <w:rsid w:val="00D642D8"/>
    <w:rsid w:val="00D869C9"/>
    <w:rsid w:val="00D87431"/>
    <w:rsid w:val="00D9730C"/>
    <w:rsid w:val="00DC0016"/>
    <w:rsid w:val="00DD72D1"/>
    <w:rsid w:val="00DE33AD"/>
    <w:rsid w:val="00DF0AD0"/>
    <w:rsid w:val="00DF5157"/>
    <w:rsid w:val="00DF7342"/>
    <w:rsid w:val="00E17970"/>
    <w:rsid w:val="00E27984"/>
    <w:rsid w:val="00E40099"/>
    <w:rsid w:val="00E464D2"/>
    <w:rsid w:val="00E526CF"/>
    <w:rsid w:val="00E61F66"/>
    <w:rsid w:val="00E67C6E"/>
    <w:rsid w:val="00E80775"/>
    <w:rsid w:val="00E834D6"/>
    <w:rsid w:val="00E8733D"/>
    <w:rsid w:val="00EA2FEC"/>
    <w:rsid w:val="00EB4D87"/>
    <w:rsid w:val="00EB5121"/>
    <w:rsid w:val="00EC04EF"/>
    <w:rsid w:val="00EC18DE"/>
    <w:rsid w:val="00EC28B2"/>
    <w:rsid w:val="00EC4F2F"/>
    <w:rsid w:val="00EC4F74"/>
    <w:rsid w:val="00EE112B"/>
    <w:rsid w:val="00EF2FD7"/>
    <w:rsid w:val="00F11E72"/>
    <w:rsid w:val="00F14542"/>
    <w:rsid w:val="00F3794D"/>
    <w:rsid w:val="00F402D6"/>
    <w:rsid w:val="00F41D2E"/>
    <w:rsid w:val="00F71F3D"/>
    <w:rsid w:val="00F95AFC"/>
    <w:rsid w:val="00FB5180"/>
    <w:rsid w:val="00FB689D"/>
    <w:rsid w:val="00FC183C"/>
    <w:rsid w:val="00FC41FB"/>
    <w:rsid w:val="00FC4CCD"/>
    <w:rsid w:val="00FD70FD"/>
    <w:rsid w:val="00FE19C5"/>
    <w:rsid w:val="00FF31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1AEBE3E0-ABF6-425B-B67A-CF0FAA1E13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22" w:qFormat="1"/>
    <w:lsdException w:name="Emphasis" w:locked="1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F402D6"/>
    <w:pPr>
      <w:spacing w:after="200" w:line="276" w:lineRule="auto"/>
    </w:pPr>
    <w:rPr>
      <w:sz w:val="22"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DF5157"/>
    <w:pPr>
      <w:ind w:left="720"/>
      <w:contextualSpacing/>
    </w:pPr>
  </w:style>
  <w:style w:type="paragraph" w:customStyle="1" w:styleId="tekst">
    <w:name w:val="tekst"/>
    <w:basedOn w:val="Normalny"/>
    <w:uiPriority w:val="99"/>
    <w:rsid w:val="00532AAA"/>
    <w:pPr>
      <w:overflowPunct w:val="0"/>
      <w:autoSpaceDE w:val="0"/>
      <w:autoSpaceDN w:val="0"/>
      <w:adjustRightInd w:val="0"/>
      <w:spacing w:after="80" w:line="240" w:lineRule="auto"/>
      <w:jc w:val="both"/>
      <w:textAlignment w:val="baseline"/>
    </w:pPr>
    <w:rPr>
      <w:rFonts w:ascii="Times New Roman" w:eastAsia="Times New Roman" w:hAnsi="Times New Roman"/>
      <w:sz w:val="24"/>
      <w:szCs w:val="20"/>
      <w:lang w:eastAsia="pl-PL"/>
    </w:rPr>
  </w:style>
  <w:style w:type="paragraph" w:customStyle="1" w:styleId="tyt">
    <w:name w:val="tyt"/>
    <w:basedOn w:val="Normalny"/>
    <w:uiPriority w:val="99"/>
    <w:rsid w:val="00532AAA"/>
    <w:pPr>
      <w:keepNext/>
      <w:overflowPunct w:val="0"/>
      <w:autoSpaceDE w:val="0"/>
      <w:autoSpaceDN w:val="0"/>
      <w:adjustRightInd w:val="0"/>
      <w:spacing w:before="60" w:after="60" w:line="240" w:lineRule="auto"/>
      <w:jc w:val="center"/>
      <w:textAlignment w:val="baseline"/>
    </w:pPr>
    <w:rPr>
      <w:rFonts w:ascii="Times New Roman" w:eastAsia="Times New Roman" w:hAnsi="Times New Roman"/>
      <w:b/>
      <w:sz w:val="24"/>
      <w:szCs w:val="20"/>
      <w:lang w:eastAsia="pl-PL"/>
    </w:rPr>
  </w:style>
  <w:style w:type="paragraph" w:customStyle="1" w:styleId="Default">
    <w:name w:val="Default"/>
    <w:uiPriority w:val="99"/>
    <w:rsid w:val="00532AAA"/>
    <w:pPr>
      <w:autoSpaceDE w:val="0"/>
      <w:autoSpaceDN w:val="0"/>
      <w:adjustRightInd w:val="0"/>
    </w:pPr>
    <w:rPr>
      <w:rFonts w:ascii="Times New Roman" w:eastAsia="PMingLiU" w:hAnsi="Times New Roman"/>
      <w:color w:val="000000"/>
      <w:sz w:val="24"/>
      <w:szCs w:val="24"/>
      <w:lang w:val="en-GB" w:eastAsia="zh-CN"/>
    </w:rPr>
  </w:style>
  <w:style w:type="character" w:styleId="Odwoanieprzypisudolnego">
    <w:name w:val="footnote reference"/>
    <w:basedOn w:val="Domylnaczcionkaakapitu"/>
    <w:rsid w:val="00532AAA"/>
    <w:rPr>
      <w:rFonts w:cs="Times New Roman"/>
      <w:vertAlign w:val="superscript"/>
    </w:rPr>
  </w:style>
  <w:style w:type="paragraph" w:styleId="NormalnyWeb">
    <w:name w:val="Normal (Web)"/>
    <w:basedOn w:val="Normalny"/>
    <w:uiPriority w:val="99"/>
    <w:semiHidden/>
    <w:rsid w:val="00071599"/>
    <w:pPr>
      <w:spacing w:after="120" w:line="240" w:lineRule="auto"/>
    </w:pPr>
    <w:rPr>
      <w:rFonts w:ascii="Times New Roman" w:eastAsia="Times New Roman" w:hAnsi="Times New Roman"/>
      <w:sz w:val="24"/>
      <w:szCs w:val="24"/>
      <w:lang w:eastAsia="pl-PL"/>
    </w:rPr>
  </w:style>
  <w:style w:type="paragraph" w:styleId="Tekstpodstawowy">
    <w:name w:val="Body Text"/>
    <w:basedOn w:val="Normalny"/>
    <w:link w:val="TekstpodstawowyZnak"/>
    <w:uiPriority w:val="99"/>
    <w:semiHidden/>
    <w:rsid w:val="00071599"/>
    <w:pPr>
      <w:spacing w:after="0" w:line="240" w:lineRule="auto"/>
      <w:jc w:val="both"/>
    </w:pPr>
    <w:rPr>
      <w:rFonts w:ascii="Times New Roman" w:eastAsia="Times New Roman" w:hAnsi="Times New Roman"/>
      <w:sz w:val="28"/>
      <w:szCs w:val="20"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locked/>
    <w:rsid w:val="00071599"/>
    <w:rPr>
      <w:rFonts w:eastAsia="Times New Roman" w:cs="Times New Roman"/>
      <w:sz w:val="28"/>
      <w:lang w:val="pl-PL" w:eastAsia="pl-PL" w:bidi="ar-SA"/>
    </w:rPr>
  </w:style>
  <w:style w:type="paragraph" w:styleId="Tekstprzypisudolnego">
    <w:name w:val="footnote text"/>
    <w:basedOn w:val="Normalny"/>
    <w:link w:val="TekstprzypisudolnegoZnak"/>
    <w:uiPriority w:val="99"/>
    <w:rsid w:val="00BC1E17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locked/>
    <w:rsid w:val="00BC1E17"/>
    <w:rPr>
      <w:rFonts w:ascii="Calibri" w:hAnsi="Calibri" w:cs="Times New Roman"/>
      <w:lang w:val="pl-PL" w:eastAsia="en-US" w:bidi="ar-SA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CA2184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CA2184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CA2184"/>
    <w:rPr>
      <w:lang w:eastAsia="en-US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CA2184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CA2184"/>
    <w:rPr>
      <w:b/>
      <w:bCs/>
      <w:lang w:eastAsia="en-US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CA218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A2184"/>
    <w:rPr>
      <w:rFonts w:ascii="Tahoma" w:hAnsi="Tahoma" w:cs="Tahoma"/>
      <w:sz w:val="16"/>
      <w:szCs w:val="16"/>
      <w:lang w:eastAsia="en-US"/>
    </w:rPr>
  </w:style>
  <w:style w:type="character" w:customStyle="1" w:styleId="apple-converted-space">
    <w:name w:val="apple-converted-space"/>
    <w:basedOn w:val="Domylnaczcionkaakapitu"/>
    <w:rsid w:val="00880849"/>
  </w:style>
  <w:style w:type="character" w:styleId="Pogrubienie">
    <w:name w:val="Strong"/>
    <w:basedOn w:val="Domylnaczcionkaakapitu"/>
    <w:uiPriority w:val="22"/>
    <w:qFormat/>
    <w:locked/>
    <w:rsid w:val="00880849"/>
    <w:rPr>
      <w:b/>
      <w:bCs/>
    </w:rPr>
  </w:style>
  <w:style w:type="character" w:styleId="Hipercze">
    <w:name w:val="Hyperlink"/>
    <w:basedOn w:val="Domylnaczcionkaakapitu"/>
    <w:uiPriority w:val="99"/>
    <w:unhideWhenUsed/>
    <w:rsid w:val="00880849"/>
    <w:rPr>
      <w:color w:val="0000FF" w:themeColor="hyperlink"/>
      <w:u w:val="single"/>
    </w:rPr>
  </w:style>
  <w:style w:type="paragraph" w:customStyle="1" w:styleId="ARTartustawynprozporzdzenia">
    <w:name w:val="ART(§) – art. ustawy (§ np. rozporządzenia)"/>
    <w:link w:val="ARTartustawynprozporzdzeniaZnak"/>
    <w:uiPriority w:val="14"/>
    <w:qFormat/>
    <w:rsid w:val="00AC4D9F"/>
    <w:pPr>
      <w:suppressAutoHyphens/>
      <w:autoSpaceDE w:val="0"/>
      <w:autoSpaceDN w:val="0"/>
      <w:adjustRightInd w:val="0"/>
      <w:spacing w:before="120" w:line="360" w:lineRule="auto"/>
      <w:ind w:firstLine="510"/>
      <w:jc w:val="both"/>
    </w:pPr>
    <w:rPr>
      <w:rFonts w:ascii="Times" w:eastAsiaTheme="minorEastAsia" w:hAnsi="Times" w:cs="Arial"/>
      <w:sz w:val="24"/>
    </w:rPr>
  </w:style>
  <w:style w:type="character" w:customStyle="1" w:styleId="ARTartustawynprozporzdzeniaZnak">
    <w:name w:val="ART(§) – art. ustawy (§ np. rozporządzenia) Znak"/>
    <w:basedOn w:val="Domylnaczcionkaakapitu"/>
    <w:link w:val="ARTartustawynprozporzdzenia"/>
    <w:uiPriority w:val="14"/>
    <w:locked/>
    <w:rsid w:val="00AC4D9F"/>
    <w:rPr>
      <w:rFonts w:ascii="Times" w:eastAsiaTheme="minorEastAsia" w:hAnsi="Times" w:cs="Arial"/>
      <w:sz w:val="24"/>
    </w:rPr>
  </w:style>
  <w:style w:type="paragraph" w:customStyle="1" w:styleId="OZNRODZAKTUtznustawalubrozporzdzenieiorganwydajcy">
    <w:name w:val="OZN_RODZ_AKTU – tzn. ustawa lub rozporządzenie i organ wydający"/>
    <w:next w:val="Normalny"/>
    <w:link w:val="OZNRODZAKTUtznustawalubrozporzdzenieiorganwydajcyZnak"/>
    <w:uiPriority w:val="5"/>
    <w:qFormat/>
    <w:rsid w:val="00AC4D9F"/>
    <w:pPr>
      <w:keepNext/>
      <w:suppressAutoHyphens/>
      <w:spacing w:after="120" w:line="360" w:lineRule="auto"/>
      <w:jc w:val="center"/>
    </w:pPr>
    <w:rPr>
      <w:rFonts w:ascii="Times" w:eastAsia="Times New Roman" w:hAnsi="Times"/>
      <w:b/>
      <w:bCs/>
      <w:caps/>
      <w:spacing w:val="54"/>
      <w:kern w:val="24"/>
      <w:sz w:val="24"/>
      <w:szCs w:val="24"/>
    </w:rPr>
  </w:style>
  <w:style w:type="character" w:customStyle="1" w:styleId="OZNRODZAKTUtznustawalubrozporzdzenieiorganwydajcyZnak">
    <w:name w:val="OZN_RODZ_AKTU – tzn. ustawa lub rozporządzenie i organ wydający Znak"/>
    <w:link w:val="OZNRODZAKTUtznustawalubrozporzdzenieiorganwydajcy"/>
    <w:uiPriority w:val="5"/>
    <w:rsid w:val="00AC4D9F"/>
    <w:rPr>
      <w:rFonts w:ascii="Times" w:eastAsia="Times New Roman" w:hAnsi="Times"/>
      <w:b/>
      <w:bCs/>
      <w:caps/>
      <w:spacing w:val="54"/>
      <w:kern w:val="24"/>
      <w:sz w:val="24"/>
      <w:szCs w:val="24"/>
    </w:rPr>
  </w:style>
  <w:style w:type="paragraph" w:customStyle="1" w:styleId="PKTpunkt">
    <w:name w:val="PKT – punkt"/>
    <w:basedOn w:val="Normalny"/>
    <w:link w:val="PKTpunktZnak"/>
    <w:uiPriority w:val="16"/>
    <w:qFormat/>
    <w:rsid w:val="00AC4D9F"/>
    <w:pPr>
      <w:suppressAutoHyphens/>
      <w:autoSpaceDE w:val="0"/>
      <w:autoSpaceDN w:val="0"/>
      <w:adjustRightInd w:val="0"/>
      <w:spacing w:after="0" w:line="360" w:lineRule="auto"/>
      <w:ind w:left="510" w:hanging="510"/>
      <w:jc w:val="both"/>
    </w:pPr>
    <w:rPr>
      <w:rFonts w:ascii="Times" w:eastAsiaTheme="minorEastAsia" w:hAnsi="Times" w:cs="Arial"/>
      <w:bCs/>
      <w:sz w:val="24"/>
      <w:szCs w:val="20"/>
      <w:lang w:eastAsia="pl-PL"/>
    </w:rPr>
  </w:style>
  <w:style w:type="character" w:customStyle="1" w:styleId="PKTpunktZnak">
    <w:name w:val="PKT – punkt Znak"/>
    <w:basedOn w:val="Domylnaczcionkaakapitu"/>
    <w:link w:val="PKTpunkt"/>
    <w:uiPriority w:val="16"/>
    <w:locked/>
    <w:rsid w:val="00AC4D9F"/>
    <w:rPr>
      <w:rFonts w:ascii="Times" w:eastAsiaTheme="minorEastAsia" w:hAnsi="Times" w:cs="Arial"/>
      <w:bCs/>
      <w:sz w:val="24"/>
    </w:rPr>
  </w:style>
  <w:style w:type="character" w:customStyle="1" w:styleId="Ppogrubienie">
    <w:name w:val="_P_ – pogrubienie"/>
    <w:basedOn w:val="Domylnaczcionkaakapitu"/>
    <w:uiPriority w:val="1"/>
    <w:qFormat/>
    <w:rsid w:val="00AC4D9F"/>
    <w:rPr>
      <w:b/>
    </w:rPr>
  </w:style>
  <w:style w:type="paragraph" w:customStyle="1" w:styleId="NIEARTTEKSTtekstnieartykuowanynppodstprawnarozplubpreambua">
    <w:name w:val="NIEART_TEKST – tekst nieartykułowany (np. podst. prawna rozp. lub preambuła)"/>
    <w:basedOn w:val="ARTartustawynprozporzdzenia"/>
    <w:next w:val="ARTartustawynprozporzdzenia"/>
    <w:uiPriority w:val="7"/>
    <w:qFormat/>
    <w:rsid w:val="00AC4D9F"/>
    <w:rPr>
      <w:bCs/>
    </w:rPr>
  </w:style>
  <w:style w:type="character" w:customStyle="1" w:styleId="FontStyle61">
    <w:name w:val="Font Style61"/>
    <w:basedOn w:val="Domylnaczcionkaakapitu"/>
    <w:uiPriority w:val="99"/>
    <w:rsid w:val="00EC28B2"/>
    <w:rPr>
      <w:rFonts w:ascii="Arial" w:hAnsi="Arial" w:cs="Arial"/>
      <w:color w:val="000000"/>
      <w:sz w:val="18"/>
      <w:szCs w:val="18"/>
    </w:rPr>
  </w:style>
  <w:style w:type="character" w:styleId="Uwydatnienie">
    <w:name w:val="Emphasis"/>
    <w:basedOn w:val="Domylnaczcionkaakapitu"/>
    <w:uiPriority w:val="20"/>
    <w:qFormat/>
    <w:locked/>
    <w:rsid w:val="00EC28B2"/>
    <w:rPr>
      <w:i/>
      <w:iCs/>
    </w:rPr>
  </w:style>
  <w:style w:type="paragraph" w:customStyle="1" w:styleId="Style31">
    <w:name w:val="Style31"/>
    <w:basedOn w:val="Normalny"/>
    <w:uiPriority w:val="99"/>
    <w:rsid w:val="005C6209"/>
    <w:pPr>
      <w:widowControl w:val="0"/>
      <w:autoSpaceDE w:val="0"/>
      <w:autoSpaceDN w:val="0"/>
      <w:adjustRightInd w:val="0"/>
      <w:spacing w:after="0" w:line="324" w:lineRule="exact"/>
      <w:jc w:val="both"/>
    </w:pPr>
    <w:rPr>
      <w:rFonts w:ascii="Times New Roman" w:eastAsiaTheme="minorEastAsia" w:hAnsi="Times New Roman"/>
      <w:sz w:val="24"/>
      <w:szCs w:val="24"/>
      <w:lang w:eastAsia="pl-PL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F71F3D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F71F3D"/>
    <w:rPr>
      <w:lang w:eastAsia="en-US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F71F3D"/>
    <w:rPr>
      <w:vertAlign w:val="superscript"/>
    </w:rPr>
  </w:style>
  <w:style w:type="paragraph" w:customStyle="1" w:styleId="akapit">
    <w:name w:val="akapit"/>
    <w:rsid w:val="009A1BF8"/>
    <w:pPr>
      <w:overflowPunct w:val="0"/>
      <w:autoSpaceDE w:val="0"/>
      <w:autoSpaceDN w:val="0"/>
      <w:adjustRightInd w:val="0"/>
      <w:spacing w:before="60" w:after="60"/>
      <w:ind w:firstLine="851"/>
      <w:jc w:val="both"/>
      <w:textAlignment w:val="baseline"/>
    </w:pPr>
    <w:rPr>
      <w:rFonts w:ascii="Times New Roman" w:eastAsia="Times New Roman" w:hAnsi="Times New Roman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69648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573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350713">
          <w:blockQuote w:val="1"/>
          <w:marLeft w:val="240"/>
          <w:marRight w:val="240"/>
          <w:marTop w:val="100"/>
          <w:marBottom w:val="100"/>
          <w:divBdr>
            <w:top w:val="single" w:sz="6" w:space="0" w:color="DDDDDD"/>
            <w:left w:val="single" w:sz="6" w:space="24" w:color="DDDDDD"/>
            <w:bottom w:val="single" w:sz="6" w:space="0" w:color="DDDDDD"/>
            <w:right w:val="single" w:sz="6" w:space="11" w:color="DDDDDD"/>
          </w:divBdr>
        </w:div>
        <w:div w:id="932930982">
          <w:blockQuote w:val="1"/>
          <w:marLeft w:val="240"/>
          <w:marRight w:val="240"/>
          <w:marTop w:val="100"/>
          <w:marBottom w:val="100"/>
          <w:divBdr>
            <w:top w:val="single" w:sz="6" w:space="0" w:color="DDDDDD"/>
            <w:left w:val="single" w:sz="6" w:space="24" w:color="DDDDDD"/>
            <w:bottom w:val="single" w:sz="6" w:space="0" w:color="DDDDDD"/>
            <w:right w:val="single" w:sz="6" w:space="11" w:color="DDDDDD"/>
          </w:divBdr>
        </w:div>
      </w:divsChild>
    </w:div>
    <w:div w:id="1404713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4334538">
          <w:blockQuote w:val="1"/>
          <w:marLeft w:val="240"/>
          <w:marRight w:val="240"/>
          <w:marTop w:val="100"/>
          <w:marBottom w:val="100"/>
          <w:divBdr>
            <w:top w:val="single" w:sz="6" w:space="0" w:color="DDDDDD"/>
            <w:left w:val="single" w:sz="6" w:space="24" w:color="DDDDDD"/>
            <w:bottom w:val="single" w:sz="6" w:space="0" w:color="DDDDDD"/>
            <w:right w:val="single" w:sz="6" w:space="11" w:color="DDDDDD"/>
          </w:divBdr>
        </w:div>
        <w:div w:id="1437021934">
          <w:blockQuote w:val="1"/>
          <w:marLeft w:val="240"/>
          <w:marRight w:val="240"/>
          <w:marTop w:val="100"/>
          <w:marBottom w:val="100"/>
          <w:divBdr>
            <w:top w:val="single" w:sz="6" w:space="0" w:color="DDDDDD"/>
            <w:left w:val="single" w:sz="6" w:space="24" w:color="DDDDDD"/>
            <w:bottom w:val="single" w:sz="6" w:space="0" w:color="DDDDDD"/>
            <w:right w:val="single" w:sz="6" w:space="11" w:color="DDDDDD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4C5EC45-DE81-4B2A-A6C0-EA2391408F7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3</Pages>
  <Words>891</Words>
  <Characters>5348</Characters>
  <Application>Microsoft Office Word</Application>
  <DocSecurity>0</DocSecurity>
  <Lines>44</Lines>
  <Paragraphs>12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CESE-CDR</Company>
  <LinksUpToDate>false</LinksUpToDate>
  <CharactersWithSpaces>6227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Kaziemierz</dc:creator>
  <cp:lastModifiedBy>Grzegorz Molesztak</cp:lastModifiedBy>
  <cp:revision>4</cp:revision>
  <cp:lastPrinted>2019-03-13T10:40:00Z</cp:lastPrinted>
  <dcterms:created xsi:type="dcterms:W3CDTF">2019-03-07T12:53:00Z</dcterms:created>
  <dcterms:modified xsi:type="dcterms:W3CDTF">2019-03-19T07:51:00Z</dcterms:modified>
</cp:coreProperties>
</file>