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229" w:rsidRPr="00FF7229" w:rsidRDefault="00FF7229" w:rsidP="00FF7229">
      <w:pPr>
        <w:pStyle w:val="OZNRODZAKTUtznustawalubrozporzdzenieiorganwydajcy"/>
        <w:rPr>
          <w:rFonts w:ascii="Times New Roman" w:hAnsi="Times New Roman"/>
        </w:rPr>
      </w:pPr>
      <w:bookmarkStart w:id="0" w:name="_GoBack"/>
      <w:bookmarkEnd w:id="0"/>
      <w:r w:rsidRPr="00FF7229">
        <w:rPr>
          <w:rFonts w:ascii="Times New Roman" w:hAnsi="Times New Roman"/>
        </w:rPr>
        <w:t>Uzasadnienie</w:t>
      </w:r>
    </w:p>
    <w:p w:rsidR="00FF7229" w:rsidRPr="00FF7229" w:rsidRDefault="00FF7229" w:rsidP="00FF7229">
      <w:pPr>
        <w:pStyle w:val="NIEARTTEKSTtekstnieartykuowanynppodstprawnarozplubpreambua"/>
        <w:spacing w:before="0" w:after="120"/>
        <w:rPr>
          <w:rFonts w:ascii="Times New Roman" w:hAnsi="Times New Roman" w:cs="Times New Roman"/>
          <w:szCs w:val="24"/>
        </w:rPr>
      </w:pPr>
    </w:p>
    <w:p w:rsidR="00FF7229" w:rsidRPr="00FF7229" w:rsidRDefault="00FF7229" w:rsidP="00FF7229">
      <w:pPr>
        <w:rPr>
          <w:rFonts w:ascii="Times New Roman" w:hAnsi="Times New Roman"/>
          <w:sz w:val="24"/>
          <w:szCs w:val="24"/>
          <w:lang w:eastAsia="pl-PL"/>
        </w:rPr>
      </w:pPr>
    </w:p>
    <w:p w:rsidR="00FF7229" w:rsidRPr="00FF7229" w:rsidRDefault="00FF7229" w:rsidP="00FF7229">
      <w:pPr>
        <w:pStyle w:val="PKTpunkt"/>
        <w:spacing w:after="120"/>
        <w:rPr>
          <w:rStyle w:val="Ppogrubienie"/>
          <w:rFonts w:ascii="Times New Roman" w:hAnsi="Times New Roman" w:cs="Times New Roman"/>
          <w:szCs w:val="24"/>
        </w:rPr>
      </w:pPr>
      <w:r w:rsidRPr="00FF7229">
        <w:rPr>
          <w:rStyle w:val="Ppogrubienie"/>
          <w:rFonts w:ascii="Times New Roman" w:hAnsi="Times New Roman" w:cs="Times New Roman"/>
          <w:szCs w:val="24"/>
        </w:rPr>
        <w:t>1.</w:t>
      </w:r>
      <w:r w:rsidRPr="00FF7229">
        <w:rPr>
          <w:rStyle w:val="Ppogrubienie"/>
          <w:rFonts w:ascii="Times New Roman" w:hAnsi="Times New Roman" w:cs="Times New Roman"/>
          <w:szCs w:val="24"/>
        </w:rPr>
        <w:tab/>
        <w:t>Potrzeba i cel uchwalenia ustawy</w:t>
      </w:r>
    </w:p>
    <w:p w:rsidR="00FF7229" w:rsidRPr="00933115" w:rsidRDefault="00FF7229" w:rsidP="00FF7229">
      <w:pPr>
        <w:pStyle w:val="Default"/>
        <w:spacing w:after="120" w:line="360" w:lineRule="auto"/>
        <w:ind w:firstLine="708"/>
        <w:jc w:val="both"/>
        <w:rPr>
          <w:lang w:val="pl-PL"/>
        </w:rPr>
      </w:pPr>
      <w:r w:rsidRPr="00FF7229">
        <w:rPr>
          <w:lang w:val="pl-PL"/>
        </w:rPr>
        <w:t xml:space="preserve">Projektowana ustawa jest reakcją Komisji do Spraw Petycji Sejmu RP na dwie petycje </w:t>
      </w:r>
      <w:r w:rsidRPr="00933115">
        <w:rPr>
          <w:lang w:val="pl-PL"/>
        </w:rPr>
        <w:t>skierowane do Sejmu RP. Autorem pierwszej jest p. Maciej Róg, autorem drugiej p. Sebastian Adamowicz. Komisja uznała petycje za zasadne.</w:t>
      </w:r>
    </w:p>
    <w:p w:rsidR="00FF7229" w:rsidRPr="00933115" w:rsidRDefault="00FF7229" w:rsidP="00FF7229">
      <w:pPr>
        <w:spacing w:after="120" w:line="360" w:lineRule="auto"/>
        <w:ind w:firstLine="708"/>
        <w:jc w:val="both"/>
        <w:rPr>
          <w:rFonts w:ascii="Times New Roman" w:eastAsia="Times New Roman" w:hAnsi="Times New Roman"/>
          <w:bCs/>
          <w:sz w:val="24"/>
          <w:szCs w:val="24"/>
          <w:lang w:eastAsia="pl-PL"/>
        </w:rPr>
      </w:pPr>
      <w:r w:rsidRPr="00933115">
        <w:rPr>
          <w:rFonts w:ascii="Times New Roman" w:hAnsi="Times New Roman"/>
          <w:sz w:val="24"/>
          <w:szCs w:val="24"/>
          <w:lang w:eastAsia="pl-PL"/>
        </w:rPr>
        <w:t xml:space="preserve">Zasadniczym celem projektowanej ustawy jest stworzenie podstawy do wydania aktu normatywnego, określającego w sposób szczegółowy </w:t>
      </w:r>
      <w:r w:rsidRPr="00933115">
        <w:rPr>
          <w:rFonts w:ascii="Times New Roman" w:eastAsia="Times New Roman" w:hAnsi="Times New Roman"/>
          <w:bCs/>
          <w:sz w:val="24"/>
          <w:szCs w:val="24"/>
          <w:lang w:eastAsia="pl-PL"/>
        </w:rPr>
        <w:t xml:space="preserve">wymogi, jakie musi spełniać </w:t>
      </w:r>
      <w:r w:rsidR="00933115" w:rsidRPr="00933115">
        <w:rPr>
          <w:rFonts w:ascii="Times New Roman" w:eastAsia="Times New Roman" w:hAnsi="Times New Roman"/>
          <w:bCs/>
          <w:sz w:val="24"/>
          <w:szCs w:val="24"/>
          <w:lang w:eastAsia="pl-PL"/>
        </w:rPr>
        <w:t xml:space="preserve">każdy </w:t>
      </w:r>
      <w:r w:rsidRPr="00933115">
        <w:rPr>
          <w:rFonts w:ascii="Times New Roman" w:eastAsia="Times New Roman" w:hAnsi="Times New Roman"/>
          <w:bCs/>
          <w:sz w:val="24"/>
          <w:szCs w:val="24"/>
          <w:lang w:eastAsia="pl-PL"/>
        </w:rPr>
        <w:t>lokal wyborczy</w:t>
      </w:r>
      <w:r w:rsidR="00933115" w:rsidRPr="00933115">
        <w:rPr>
          <w:rFonts w:ascii="Times New Roman" w:eastAsia="Times New Roman" w:hAnsi="Times New Roman"/>
          <w:bCs/>
          <w:sz w:val="24"/>
          <w:szCs w:val="24"/>
          <w:lang w:eastAsia="pl-PL"/>
        </w:rPr>
        <w:t xml:space="preserve"> (z wyłączeniem lokali w obwodach głosowania tworzonych w</w:t>
      </w:r>
      <w:r w:rsidR="00933115" w:rsidRPr="00933115">
        <w:rPr>
          <w:rFonts w:ascii="Times New Roman" w:hAnsi="Times New Roman"/>
          <w:sz w:val="24"/>
          <w:szCs w:val="24"/>
        </w:rPr>
        <w:t xml:space="preserve"> zakładach leczniczych, domach pomocy społecznej, zakładach karny</w:t>
      </w:r>
      <w:r w:rsidR="00566378">
        <w:rPr>
          <w:rFonts w:ascii="Times New Roman" w:hAnsi="Times New Roman"/>
          <w:sz w:val="24"/>
          <w:szCs w:val="24"/>
        </w:rPr>
        <w:t>ch i aresztach śledczych oraz w </w:t>
      </w:r>
      <w:r w:rsidR="00933115" w:rsidRPr="00933115">
        <w:rPr>
          <w:rFonts w:ascii="Times New Roman" w:hAnsi="Times New Roman"/>
          <w:sz w:val="24"/>
          <w:szCs w:val="24"/>
        </w:rPr>
        <w:t>oddziałach zewnętrznych takich zakładów i aresztów</w:t>
      </w:r>
      <w:r w:rsidR="00933115">
        <w:rPr>
          <w:rFonts w:ascii="Times New Roman" w:hAnsi="Times New Roman"/>
          <w:sz w:val="24"/>
          <w:szCs w:val="24"/>
        </w:rPr>
        <w:t>, na polskich statkach morskich oraz za granicą</w:t>
      </w:r>
      <w:r w:rsidR="00933115" w:rsidRPr="00933115">
        <w:rPr>
          <w:rFonts w:ascii="Times New Roman" w:hAnsi="Times New Roman"/>
          <w:sz w:val="24"/>
          <w:szCs w:val="24"/>
        </w:rPr>
        <w:t>)</w:t>
      </w:r>
      <w:r w:rsidRPr="00933115">
        <w:rPr>
          <w:rFonts w:ascii="Times New Roman" w:eastAsia="Times New Roman" w:hAnsi="Times New Roman"/>
          <w:bCs/>
          <w:sz w:val="24"/>
          <w:szCs w:val="24"/>
          <w:lang w:eastAsia="pl-PL"/>
        </w:rPr>
        <w:t xml:space="preserve">, w tym </w:t>
      </w:r>
      <w:r w:rsidR="00933115" w:rsidRPr="00933115">
        <w:rPr>
          <w:rFonts w:ascii="Times New Roman" w:eastAsia="Times New Roman" w:hAnsi="Times New Roman"/>
          <w:bCs/>
          <w:sz w:val="24"/>
          <w:szCs w:val="24"/>
          <w:lang w:eastAsia="pl-PL"/>
        </w:rPr>
        <w:t xml:space="preserve">jego </w:t>
      </w:r>
      <w:r w:rsidRPr="00933115">
        <w:rPr>
          <w:rFonts w:ascii="Times New Roman" w:eastAsia="Times New Roman" w:hAnsi="Times New Roman"/>
          <w:bCs/>
          <w:sz w:val="24"/>
          <w:szCs w:val="24"/>
          <w:lang w:eastAsia="pl-PL"/>
        </w:rPr>
        <w:t>niezbędne wyposażenie oraz wymagania dotyczące miejsc zapewniających tajność głosowania</w:t>
      </w:r>
      <w:r w:rsidR="00933115">
        <w:rPr>
          <w:rFonts w:ascii="Times New Roman" w:eastAsia="Times New Roman" w:hAnsi="Times New Roman"/>
          <w:bCs/>
          <w:sz w:val="24"/>
          <w:szCs w:val="24"/>
          <w:lang w:eastAsia="pl-PL"/>
        </w:rPr>
        <w:t xml:space="preserve"> -</w:t>
      </w:r>
      <w:r w:rsidRPr="00933115">
        <w:rPr>
          <w:rFonts w:ascii="Times New Roman" w:eastAsia="Times New Roman" w:hAnsi="Times New Roman"/>
          <w:bCs/>
          <w:sz w:val="24"/>
          <w:szCs w:val="24"/>
          <w:lang w:eastAsia="pl-PL"/>
        </w:rPr>
        <w:t xml:space="preserve"> </w:t>
      </w:r>
      <w:r w:rsidR="00933115" w:rsidRPr="00FF7229">
        <w:rPr>
          <w:rFonts w:ascii="Times New Roman" w:hAnsi="Times New Roman"/>
          <w:sz w:val="24"/>
          <w:szCs w:val="24"/>
          <w:lang w:eastAsia="pl-PL"/>
        </w:rPr>
        <w:t>a nie tak jest obecnie</w:t>
      </w:r>
      <w:r w:rsidR="00933115">
        <w:rPr>
          <w:rFonts w:ascii="Times New Roman" w:hAnsi="Times New Roman"/>
          <w:sz w:val="24"/>
          <w:szCs w:val="24"/>
          <w:lang w:eastAsia="pl-PL"/>
        </w:rPr>
        <w:t xml:space="preserve">, gdy delegacja ustawowa umożliwia tylko wydanie rozporządzenia </w:t>
      </w:r>
      <w:r w:rsidR="00933115" w:rsidRPr="00FF7229">
        <w:rPr>
          <w:rFonts w:ascii="Times New Roman" w:hAnsi="Times New Roman"/>
          <w:sz w:val="24"/>
          <w:szCs w:val="24"/>
          <w:lang w:eastAsia="pl-PL"/>
        </w:rPr>
        <w:t xml:space="preserve"> </w:t>
      </w:r>
      <w:r w:rsidR="00933115">
        <w:rPr>
          <w:rFonts w:ascii="Times New Roman" w:hAnsi="Times New Roman"/>
          <w:sz w:val="24"/>
          <w:szCs w:val="24"/>
          <w:lang w:eastAsia="pl-PL"/>
        </w:rPr>
        <w:t xml:space="preserve">określającego </w:t>
      </w:r>
      <w:r w:rsidR="00933115" w:rsidRPr="00FF7229">
        <w:rPr>
          <w:rFonts w:ascii="Times New Roman" w:hAnsi="Times New Roman"/>
          <w:sz w:val="24"/>
          <w:szCs w:val="24"/>
          <w:lang w:eastAsia="pl-PL"/>
        </w:rPr>
        <w:t>minimalne warunki techniczne, jakim powinien odpowiadać lokal, który ma być uznany za dostosowany do potrzeb osób niepełnosprawnych.</w:t>
      </w:r>
    </w:p>
    <w:p w:rsidR="00FF7229" w:rsidRPr="00FF7229" w:rsidRDefault="00FF7229" w:rsidP="00FF7229">
      <w:pPr>
        <w:spacing w:after="120" w:line="360" w:lineRule="auto"/>
        <w:ind w:firstLine="708"/>
        <w:jc w:val="both"/>
        <w:rPr>
          <w:rFonts w:ascii="Times New Roman" w:hAnsi="Times New Roman"/>
          <w:sz w:val="24"/>
          <w:szCs w:val="24"/>
        </w:rPr>
      </w:pPr>
      <w:r w:rsidRPr="00FF7229">
        <w:rPr>
          <w:rFonts w:ascii="Times New Roman" w:hAnsi="Times New Roman"/>
          <w:sz w:val="24"/>
          <w:szCs w:val="24"/>
          <w:lang w:eastAsia="pl-PL"/>
        </w:rPr>
        <w:t>Dodatkowym celem projektowanej ustawy jest dostosowanie zawartej w niej terminologii do aktualnego stanu prawnego wynikającego z us</w:t>
      </w:r>
      <w:r w:rsidR="00566378">
        <w:rPr>
          <w:rFonts w:ascii="Times New Roman" w:hAnsi="Times New Roman"/>
          <w:sz w:val="24"/>
          <w:szCs w:val="24"/>
          <w:lang w:eastAsia="pl-PL"/>
        </w:rPr>
        <w:t>tawy z dnia 8 grudnia 2017 r. o </w:t>
      </w:r>
      <w:r w:rsidRPr="00FF7229">
        <w:rPr>
          <w:rFonts w:ascii="Times New Roman" w:hAnsi="Times New Roman"/>
          <w:sz w:val="24"/>
          <w:szCs w:val="24"/>
          <w:lang w:eastAsia="pl-PL"/>
        </w:rPr>
        <w:t xml:space="preserve">Sądzie Najwyższym </w:t>
      </w:r>
      <w:r w:rsidRPr="00FF7229">
        <w:rPr>
          <w:rFonts w:ascii="Times New Roman" w:hAnsi="Times New Roman"/>
          <w:sz w:val="24"/>
          <w:szCs w:val="24"/>
        </w:rPr>
        <w:t>Dz. U. z 2018 r. poz. 5, 650, 771, 847, 848 i 1045). W tym zakresie projektowana ustawa ma charakter porządkujący.</w:t>
      </w:r>
    </w:p>
    <w:p w:rsidR="00FF7229" w:rsidRPr="00FF7229" w:rsidRDefault="00FF7229" w:rsidP="00FF7229">
      <w:pPr>
        <w:spacing w:after="120" w:line="360" w:lineRule="auto"/>
        <w:ind w:firstLine="708"/>
        <w:jc w:val="both"/>
        <w:rPr>
          <w:rFonts w:ascii="Times New Roman" w:hAnsi="Times New Roman"/>
          <w:sz w:val="24"/>
          <w:szCs w:val="24"/>
          <w:lang w:eastAsia="pl-PL"/>
        </w:rPr>
      </w:pPr>
    </w:p>
    <w:p w:rsidR="00FF7229" w:rsidRPr="00FF7229" w:rsidRDefault="00FF7229" w:rsidP="00FF7229">
      <w:pPr>
        <w:spacing w:after="120" w:line="360" w:lineRule="auto"/>
        <w:jc w:val="both"/>
        <w:rPr>
          <w:rStyle w:val="Ppogrubienie"/>
          <w:rFonts w:ascii="Times New Roman" w:hAnsi="Times New Roman"/>
          <w:sz w:val="24"/>
          <w:szCs w:val="24"/>
        </w:rPr>
      </w:pPr>
      <w:r w:rsidRPr="00FF7229">
        <w:rPr>
          <w:rFonts w:ascii="Times New Roman" w:hAnsi="Times New Roman"/>
          <w:sz w:val="24"/>
          <w:szCs w:val="24"/>
        </w:rPr>
        <w:t xml:space="preserve"> </w:t>
      </w:r>
      <w:r w:rsidRPr="00FF7229">
        <w:rPr>
          <w:rStyle w:val="Ppogrubienie"/>
          <w:rFonts w:ascii="Times New Roman" w:hAnsi="Times New Roman"/>
          <w:sz w:val="24"/>
          <w:szCs w:val="24"/>
        </w:rPr>
        <w:t>2.</w:t>
      </w:r>
      <w:r w:rsidRPr="00FF7229">
        <w:rPr>
          <w:rStyle w:val="Ppogrubienie"/>
          <w:rFonts w:ascii="Times New Roman" w:hAnsi="Times New Roman"/>
          <w:sz w:val="24"/>
          <w:szCs w:val="24"/>
        </w:rPr>
        <w:tab/>
        <w:t>Rzeczywisty stan w dziedzinie, która ma być unormowana oraz różnica pomiędzy dotychczasowym a projektowanym stanem prawnym</w:t>
      </w:r>
    </w:p>
    <w:p w:rsidR="00FF7229" w:rsidRPr="00FF7229" w:rsidRDefault="00FF7229" w:rsidP="00A82EF7">
      <w:pPr>
        <w:autoSpaceDE w:val="0"/>
        <w:autoSpaceDN w:val="0"/>
        <w:adjustRightInd w:val="0"/>
        <w:spacing w:after="120" w:line="360" w:lineRule="auto"/>
        <w:ind w:firstLine="708"/>
        <w:jc w:val="both"/>
        <w:rPr>
          <w:rFonts w:ascii="Times New Roman" w:hAnsi="Times New Roman"/>
          <w:sz w:val="24"/>
          <w:szCs w:val="24"/>
        </w:rPr>
      </w:pPr>
      <w:r w:rsidRPr="00FF7229">
        <w:rPr>
          <w:rFonts w:ascii="Times New Roman" w:hAnsi="Times New Roman"/>
          <w:sz w:val="24"/>
          <w:szCs w:val="24"/>
        </w:rPr>
        <w:t xml:space="preserve">Art. 186 § 2 ustawy z dnia 5 stycznia 2011 r. – Kodeks wyborczy (Dz. U. z 2018 r. poz. 754, 1000 i 1349 oraz z 2019 r. poz. 273) stanowi, że „minister właściwy do spraw budownictwa, planowania i zagospodarowania przestrzennego oraz mieszkalnictwa, po zasięgnięciu opinii ministra właściwego do spraw zabezpieczenia społecznego oraz Państwowej Komisji Wyborczej, określi, w drodze rozporządzenia, warunki techniczne, jakim powinien odpowiadać lokal obwodowej komisji wyborczej, tak aby został dostosowany do potrzeb wyborców niepełnosprawnych”. Zgodnie z art. 186 § 1 ustawy, w każdej gminie musi </w:t>
      </w:r>
      <w:r w:rsidRPr="00FF7229">
        <w:rPr>
          <w:rFonts w:ascii="Times New Roman" w:hAnsi="Times New Roman"/>
          <w:sz w:val="24"/>
          <w:szCs w:val="24"/>
        </w:rPr>
        <w:lastRenderedPageBreak/>
        <w:t>znajdować się co najmniej 50%, lokali dostosowanych do po</w:t>
      </w:r>
      <w:r w:rsidR="00566378">
        <w:rPr>
          <w:rFonts w:ascii="Times New Roman" w:hAnsi="Times New Roman"/>
          <w:sz w:val="24"/>
          <w:szCs w:val="24"/>
        </w:rPr>
        <w:t>trzeb osób niepełnosprawnych, a </w:t>
      </w:r>
      <w:r w:rsidRPr="00FF7229">
        <w:rPr>
          <w:rFonts w:ascii="Times New Roman" w:hAnsi="Times New Roman"/>
          <w:sz w:val="24"/>
          <w:szCs w:val="24"/>
        </w:rPr>
        <w:t>jak wynika z danych Państwowej Komisji Wyborczej podczas ostatnich wyborów samorządowych w skali całego kraju było takich lokali ok. 53%. Tak więc aktualne przepisy pozwalają na bardzo szczegółowe określenie warunków technicznych i wyposażenia ok. połowy lokali wyborczych, podczas gdy druga połowa nie podlega już jakimkolwiek regulacjom. Z punktu widzenia wyborców tak duże zróżnicowanie, które ma praktyczny wpływ na warunki w jakich oddają głosy, nie jest uzasadnione.</w:t>
      </w:r>
    </w:p>
    <w:p w:rsidR="00554D03" w:rsidRDefault="00FF7229" w:rsidP="00A82EF7">
      <w:pPr>
        <w:autoSpaceDE w:val="0"/>
        <w:autoSpaceDN w:val="0"/>
        <w:adjustRightInd w:val="0"/>
        <w:spacing w:after="120" w:line="360" w:lineRule="auto"/>
        <w:ind w:firstLine="708"/>
        <w:jc w:val="both"/>
        <w:rPr>
          <w:rFonts w:ascii="Times New Roman" w:hAnsi="Times New Roman"/>
          <w:sz w:val="24"/>
          <w:szCs w:val="24"/>
        </w:rPr>
      </w:pPr>
      <w:r w:rsidRPr="00FF7229">
        <w:rPr>
          <w:rFonts w:ascii="Times New Roman" w:hAnsi="Times New Roman"/>
          <w:sz w:val="24"/>
          <w:szCs w:val="24"/>
        </w:rPr>
        <w:t xml:space="preserve">Zgodnie z projektowaną ustawą </w:t>
      </w:r>
      <w:r w:rsidR="00CA3FC0">
        <w:rPr>
          <w:rFonts w:ascii="Times New Roman" w:hAnsi="Times New Roman"/>
          <w:sz w:val="24"/>
          <w:szCs w:val="24"/>
        </w:rPr>
        <w:t>normy zawarte w art. § 1 zmienianej ustawy zostałyby zachowane, jednakże w innym miejscu – w tej części ustawy, w której znajdują się przepisy dotyczące lokali wyborczych. Dlatego projekt przewid</w:t>
      </w:r>
      <w:r w:rsidR="00566378">
        <w:rPr>
          <w:rFonts w:ascii="Times New Roman" w:hAnsi="Times New Roman"/>
          <w:sz w:val="24"/>
          <w:szCs w:val="24"/>
        </w:rPr>
        <w:t>uje uchylenie art. 186 ustawy i </w:t>
      </w:r>
      <w:r w:rsidR="00CA3FC0">
        <w:rPr>
          <w:rFonts w:ascii="Times New Roman" w:hAnsi="Times New Roman"/>
          <w:sz w:val="24"/>
          <w:szCs w:val="24"/>
        </w:rPr>
        <w:t>równoczesne dodanie art. 39b</w:t>
      </w:r>
      <w:r w:rsidR="00554D03">
        <w:rPr>
          <w:rFonts w:ascii="Times New Roman" w:hAnsi="Times New Roman"/>
          <w:sz w:val="24"/>
          <w:szCs w:val="24"/>
        </w:rPr>
        <w:t xml:space="preserve">, którego przepisy zawarte w §1 i §2 są </w:t>
      </w:r>
      <w:r w:rsidR="000D7BAF">
        <w:rPr>
          <w:rFonts w:ascii="Times New Roman" w:hAnsi="Times New Roman"/>
          <w:sz w:val="24"/>
          <w:szCs w:val="24"/>
        </w:rPr>
        <w:t xml:space="preserve">zasadniczo zbieżne </w:t>
      </w:r>
      <w:r w:rsidR="00566378">
        <w:rPr>
          <w:rFonts w:ascii="Times New Roman" w:hAnsi="Times New Roman"/>
          <w:sz w:val="24"/>
          <w:szCs w:val="24"/>
        </w:rPr>
        <w:t>z </w:t>
      </w:r>
      <w:r w:rsidR="00554D03">
        <w:rPr>
          <w:rFonts w:ascii="Times New Roman" w:hAnsi="Times New Roman"/>
          <w:sz w:val="24"/>
          <w:szCs w:val="24"/>
        </w:rPr>
        <w:t>dotychczasowym przepisem zawartym w art. 186 §1</w:t>
      </w:r>
      <w:r w:rsidR="00CA3FC0">
        <w:rPr>
          <w:rFonts w:ascii="Times New Roman" w:hAnsi="Times New Roman"/>
          <w:sz w:val="24"/>
          <w:szCs w:val="24"/>
        </w:rPr>
        <w:t xml:space="preserve">.  </w:t>
      </w:r>
    </w:p>
    <w:p w:rsidR="00554D03" w:rsidRPr="00FF7229" w:rsidRDefault="00554D03" w:rsidP="00554D03">
      <w:pPr>
        <w:autoSpaceDE w:val="0"/>
        <w:autoSpaceDN w:val="0"/>
        <w:adjustRightInd w:val="0"/>
        <w:spacing w:after="120" w:line="360" w:lineRule="auto"/>
        <w:ind w:firstLine="708"/>
        <w:jc w:val="both"/>
        <w:rPr>
          <w:rFonts w:ascii="Times New Roman" w:eastAsia="Times New Roman" w:hAnsi="Times New Roman"/>
          <w:bCs/>
          <w:sz w:val="24"/>
          <w:szCs w:val="20"/>
          <w:lang w:eastAsia="pl-PL"/>
        </w:rPr>
      </w:pPr>
      <w:r>
        <w:rPr>
          <w:rFonts w:ascii="Times New Roman" w:hAnsi="Times New Roman"/>
          <w:sz w:val="24"/>
          <w:szCs w:val="24"/>
        </w:rPr>
        <w:t>Z</w:t>
      </w:r>
      <w:r w:rsidR="00FF7229" w:rsidRPr="00FF7229">
        <w:rPr>
          <w:rFonts w:ascii="Times New Roman" w:hAnsi="Times New Roman"/>
          <w:sz w:val="24"/>
          <w:szCs w:val="24"/>
        </w:rPr>
        <w:t xml:space="preserve">akres delegacji </w:t>
      </w:r>
      <w:r>
        <w:rPr>
          <w:rFonts w:ascii="Times New Roman" w:hAnsi="Times New Roman"/>
          <w:sz w:val="24"/>
          <w:szCs w:val="24"/>
        </w:rPr>
        <w:t xml:space="preserve">do wydania rozporządzenia (umieszczonej w dodawanym art. 39b §3). zostałby </w:t>
      </w:r>
      <w:r w:rsidR="00727E2F">
        <w:rPr>
          <w:rFonts w:ascii="Times New Roman" w:hAnsi="Times New Roman"/>
          <w:sz w:val="24"/>
          <w:szCs w:val="24"/>
        </w:rPr>
        <w:t xml:space="preserve">od dnia 1 stycznia 2020 r., </w:t>
      </w:r>
      <w:r>
        <w:rPr>
          <w:rFonts w:ascii="Times New Roman" w:hAnsi="Times New Roman"/>
          <w:sz w:val="24"/>
          <w:szCs w:val="24"/>
        </w:rPr>
        <w:t xml:space="preserve">zmodyfikowany. </w:t>
      </w:r>
      <w:r w:rsidRPr="00FF7229">
        <w:rPr>
          <w:rFonts w:ascii="Times New Roman" w:eastAsia="Times New Roman" w:hAnsi="Times New Roman"/>
          <w:sz w:val="24"/>
          <w:szCs w:val="20"/>
          <w:lang w:eastAsia="pl-PL"/>
        </w:rPr>
        <w:t>Minister właściwy do spraw budownictwa, planowania i zagospodarowania przestrzennego oraz mieszkalnictwa, po zasięgnięciu opinii ministra właściwego do spraw zabezpieczenia społecznego oraz Państwowej Komisji Wyborczej, określ</w:t>
      </w:r>
      <w:r>
        <w:rPr>
          <w:rFonts w:ascii="Times New Roman" w:eastAsia="Times New Roman" w:hAnsi="Times New Roman"/>
          <w:sz w:val="24"/>
          <w:szCs w:val="20"/>
          <w:lang w:eastAsia="pl-PL"/>
        </w:rPr>
        <w:t>ałby</w:t>
      </w:r>
      <w:r w:rsidRPr="00FF7229">
        <w:rPr>
          <w:rFonts w:ascii="Times New Roman" w:eastAsia="Times New Roman" w:hAnsi="Times New Roman"/>
          <w:sz w:val="24"/>
          <w:szCs w:val="20"/>
          <w:lang w:eastAsia="pl-PL"/>
        </w:rPr>
        <w:t xml:space="preserve"> w drodze rozporządzenia</w:t>
      </w:r>
      <w:r>
        <w:rPr>
          <w:rFonts w:ascii="Times New Roman" w:eastAsia="Times New Roman" w:hAnsi="Times New Roman"/>
          <w:sz w:val="24"/>
          <w:szCs w:val="20"/>
          <w:lang w:eastAsia="pl-PL"/>
        </w:rPr>
        <w:t xml:space="preserve"> nie tylko, tak jak dotychczas, </w:t>
      </w:r>
      <w:r w:rsidRPr="00FF7229">
        <w:rPr>
          <w:rFonts w:ascii="Times New Roman" w:eastAsia="Times New Roman" w:hAnsi="Times New Roman"/>
          <w:bCs/>
          <w:sz w:val="24"/>
          <w:szCs w:val="20"/>
          <w:lang w:eastAsia="pl-PL"/>
        </w:rPr>
        <w:t>wymogi techniczne, jakim powinien odpowiadać lokal wyborczy dostosowany do potrzeb wyborców niepełnosprawnych</w:t>
      </w:r>
      <w:r>
        <w:rPr>
          <w:rFonts w:ascii="Times New Roman" w:eastAsia="Times New Roman" w:hAnsi="Times New Roman"/>
          <w:bCs/>
          <w:sz w:val="24"/>
          <w:szCs w:val="20"/>
          <w:lang w:eastAsia="pl-PL"/>
        </w:rPr>
        <w:t>,</w:t>
      </w:r>
      <w:r>
        <w:rPr>
          <w:rFonts w:ascii="Times New Roman" w:eastAsia="Times New Roman" w:hAnsi="Times New Roman"/>
          <w:sz w:val="24"/>
          <w:szCs w:val="20"/>
          <w:lang w:eastAsia="pl-PL"/>
        </w:rPr>
        <w:t xml:space="preserve"> ale także </w:t>
      </w:r>
      <w:r w:rsidRPr="00FF7229">
        <w:rPr>
          <w:rFonts w:ascii="Times New Roman" w:eastAsia="Times New Roman" w:hAnsi="Times New Roman"/>
          <w:bCs/>
          <w:sz w:val="24"/>
          <w:szCs w:val="20"/>
          <w:lang w:eastAsia="pl-PL"/>
        </w:rPr>
        <w:t xml:space="preserve">wymogi, jakie musi spełniać </w:t>
      </w:r>
      <w:r>
        <w:rPr>
          <w:rFonts w:ascii="Times New Roman" w:eastAsia="Times New Roman" w:hAnsi="Times New Roman"/>
          <w:bCs/>
          <w:sz w:val="24"/>
          <w:szCs w:val="20"/>
          <w:lang w:eastAsia="pl-PL"/>
        </w:rPr>
        <w:t xml:space="preserve">każdy </w:t>
      </w:r>
      <w:r w:rsidRPr="00FF7229">
        <w:rPr>
          <w:rFonts w:ascii="Times New Roman" w:eastAsia="Times New Roman" w:hAnsi="Times New Roman"/>
          <w:bCs/>
          <w:sz w:val="24"/>
          <w:szCs w:val="20"/>
          <w:lang w:eastAsia="pl-PL"/>
        </w:rPr>
        <w:t xml:space="preserve">lokal wyborczy </w:t>
      </w:r>
      <w:r>
        <w:rPr>
          <w:rFonts w:ascii="Times New Roman" w:eastAsia="Times New Roman" w:hAnsi="Times New Roman"/>
          <w:bCs/>
          <w:sz w:val="24"/>
          <w:szCs w:val="20"/>
          <w:lang w:eastAsia="pl-PL"/>
        </w:rPr>
        <w:t>(</w:t>
      </w:r>
      <w:r w:rsidRPr="00FF7229">
        <w:rPr>
          <w:rFonts w:ascii="Times New Roman" w:eastAsia="Times New Roman" w:hAnsi="Times New Roman"/>
          <w:bCs/>
          <w:sz w:val="24"/>
          <w:szCs w:val="20"/>
          <w:lang w:eastAsia="pl-PL"/>
        </w:rPr>
        <w:t>z wyłączeniem lokali w obwodach głosowania, o których mowa w art. 12 § 4</w:t>
      </w:r>
      <w:r w:rsidR="000B6A3A">
        <w:rPr>
          <w:rFonts w:ascii="Times New Roman" w:eastAsia="Times New Roman" w:hAnsi="Times New Roman"/>
          <w:bCs/>
          <w:sz w:val="24"/>
          <w:szCs w:val="20"/>
          <w:lang w:eastAsia="pl-PL"/>
        </w:rPr>
        <w:t xml:space="preserve"> i 7</w:t>
      </w:r>
      <w:r w:rsidRPr="00FF7229">
        <w:rPr>
          <w:rFonts w:ascii="Times New Roman" w:eastAsia="Times New Roman" w:hAnsi="Times New Roman"/>
          <w:bCs/>
          <w:sz w:val="24"/>
          <w:szCs w:val="20"/>
          <w:lang w:eastAsia="pl-PL"/>
        </w:rPr>
        <w:t>, art. 14 § 1 i art. 15 § 1</w:t>
      </w:r>
      <w:r w:rsidR="00727E2F">
        <w:rPr>
          <w:rFonts w:ascii="Times New Roman" w:eastAsia="Times New Roman" w:hAnsi="Times New Roman"/>
          <w:bCs/>
          <w:sz w:val="24"/>
          <w:szCs w:val="20"/>
          <w:lang w:eastAsia="pl-PL"/>
        </w:rPr>
        <w:t xml:space="preserve"> - </w:t>
      </w:r>
      <w:r w:rsidR="00727E2F" w:rsidRPr="00933115">
        <w:rPr>
          <w:rFonts w:ascii="Times New Roman" w:eastAsia="Times New Roman" w:hAnsi="Times New Roman"/>
          <w:bCs/>
          <w:sz w:val="24"/>
          <w:szCs w:val="24"/>
          <w:lang w:eastAsia="pl-PL"/>
        </w:rPr>
        <w:t>lokali w obwodach głosowania tworzonych w</w:t>
      </w:r>
      <w:r w:rsidR="00727E2F" w:rsidRPr="00933115">
        <w:rPr>
          <w:rFonts w:ascii="Times New Roman" w:hAnsi="Times New Roman"/>
          <w:sz w:val="24"/>
          <w:szCs w:val="24"/>
        </w:rPr>
        <w:t xml:space="preserve"> zakładach leczniczych, domach pomocy społecznej, zakładach karnych i aresztach śledczych oraz w oddziałach zewnętrznych takich zakładów i aresztów</w:t>
      </w:r>
      <w:r w:rsidR="00727E2F">
        <w:rPr>
          <w:rFonts w:ascii="Times New Roman" w:hAnsi="Times New Roman"/>
          <w:sz w:val="24"/>
          <w:szCs w:val="24"/>
        </w:rPr>
        <w:t>, na polskich statkach morskich oraz za granicą</w:t>
      </w:r>
      <w:r>
        <w:rPr>
          <w:rFonts w:ascii="Times New Roman" w:eastAsia="Times New Roman" w:hAnsi="Times New Roman"/>
          <w:bCs/>
          <w:sz w:val="24"/>
          <w:szCs w:val="20"/>
          <w:lang w:eastAsia="pl-PL"/>
        </w:rPr>
        <w:t>)</w:t>
      </w:r>
      <w:r w:rsidR="00727E2F">
        <w:rPr>
          <w:rFonts w:ascii="Times New Roman" w:eastAsia="Times New Roman" w:hAnsi="Times New Roman"/>
          <w:bCs/>
          <w:sz w:val="24"/>
          <w:szCs w:val="20"/>
          <w:lang w:eastAsia="pl-PL"/>
        </w:rPr>
        <w:t>,</w:t>
      </w:r>
      <w:r w:rsidR="00566378">
        <w:rPr>
          <w:rFonts w:ascii="Times New Roman" w:eastAsia="Times New Roman" w:hAnsi="Times New Roman"/>
          <w:bCs/>
          <w:sz w:val="24"/>
          <w:szCs w:val="20"/>
          <w:lang w:eastAsia="pl-PL"/>
        </w:rPr>
        <w:t xml:space="preserve"> w </w:t>
      </w:r>
      <w:r w:rsidRPr="00FF7229">
        <w:rPr>
          <w:rFonts w:ascii="Times New Roman" w:eastAsia="Times New Roman" w:hAnsi="Times New Roman"/>
          <w:bCs/>
          <w:sz w:val="24"/>
          <w:szCs w:val="20"/>
          <w:lang w:eastAsia="pl-PL"/>
        </w:rPr>
        <w:t xml:space="preserve">tym niezbędne wyposażenie </w:t>
      </w:r>
      <w:r>
        <w:rPr>
          <w:rFonts w:ascii="Times New Roman" w:eastAsia="Times New Roman" w:hAnsi="Times New Roman"/>
          <w:bCs/>
          <w:sz w:val="24"/>
          <w:szCs w:val="20"/>
          <w:lang w:eastAsia="pl-PL"/>
        </w:rPr>
        <w:t xml:space="preserve">takiego </w:t>
      </w:r>
      <w:r w:rsidRPr="00FF7229">
        <w:rPr>
          <w:rFonts w:ascii="Times New Roman" w:eastAsia="Times New Roman" w:hAnsi="Times New Roman"/>
          <w:bCs/>
          <w:sz w:val="24"/>
          <w:szCs w:val="20"/>
          <w:lang w:eastAsia="pl-PL"/>
        </w:rPr>
        <w:t>lokalu oraz wymagania dotyczące miejsc zapewniających tajność głosowania</w:t>
      </w:r>
      <w:r>
        <w:rPr>
          <w:rFonts w:ascii="Times New Roman" w:eastAsia="Times New Roman" w:hAnsi="Times New Roman"/>
          <w:bCs/>
          <w:sz w:val="24"/>
          <w:szCs w:val="20"/>
          <w:lang w:eastAsia="pl-PL"/>
        </w:rPr>
        <w:t xml:space="preserve">. W rozporządzeniu będzie możliwe </w:t>
      </w:r>
      <w:r w:rsidRPr="00FF7229">
        <w:rPr>
          <w:rFonts w:ascii="Times New Roman" w:eastAsia="Times New Roman" w:hAnsi="Times New Roman"/>
          <w:bCs/>
          <w:sz w:val="24"/>
          <w:szCs w:val="20"/>
          <w:lang w:eastAsia="pl-PL"/>
        </w:rPr>
        <w:t xml:space="preserve"> zróżnicowania tych wymogów w zależności od wielkości obwodu głosowania</w:t>
      </w:r>
      <w:r w:rsidR="0062454E">
        <w:rPr>
          <w:rFonts w:ascii="Times New Roman" w:eastAsia="Times New Roman" w:hAnsi="Times New Roman"/>
          <w:bCs/>
          <w:sz w:val="24"/>
          <w:szCs w:val="20"/>
          <w:lang w:eastAsia="pl-PL"/>
        </w:rPr>
        <w:t xml:space="preserve">. Zasadniczym celem omawianego rozporządzenia powinno być </w:t>
      </w:r>
      <w:r w:rsidRPr="00FF7229">
        <w:rPr>
          <w:rFonts w:ascii="Times New Roman" w:eastAsia="Times New Roman" w:hAnsi="Times New Roman"/>
          <w:bCs/>
          <w:sz w:val="24"/>
          <w:szCs w:val="20"/>
          <w:lang w:eastAsia="pl-PL"/>
        </w:rPr>
        <w:t>zapewnienia wyborcom dogodnych warunków do oddania głosu i sprawnego przeprowadzenia głosowania.</w:t>
      </w:r>
    </w:p>
    <w:p w:rsidR="00FF7229" w:rsidRPr="00FF7229" w:rsidRDefault="00FF7229" w:rsidP="00A82EF7">
      <w:pPr>
        <w:autoSpaceDE w:val="0"/>
        <w:autoSpaceDN w:val="0"/>
        <w:adjustRightInd w:val="0"/>
        <w:spacing w:after="120" w:line="360" w:lineRule="auto"/>
        <w:ind w:firstLine="708"/>
        <w:jc w:val="both"/>
        <w:rPr>
          <w:rFonts w:ascii="Times New Roman" w:hAnsi="Times New Roman"/>
          <w:sz w:val="24"/>
          <w:szCs w:val="24"/>
        </w:rPr>
      </w:pPr>
      <w:r w:rsidRPr="00FF7229">
        <w:rPr>
          <w:rFonts w:ascii="Times New Roman" w:hAnsi="Times New Roman"/>
          <w:sz w:val="24"/>
          <w:szCs w:val="24"/>
        </w:rPr>
        <w:t xml:space="preserve">Jest zrozumiałe, że zapewnianie, aby wszystkie lokale wyborcze były pozbawione jakichkolwiek barier architektonicznych wymaga czasu. Równocześnie jednak wydaje się, że istnieją pewne standardy, które mogą być wdrożone we wszystkich lokalach wyborczych bardzo niewielkim kosztem i które mogą bardzo ułatwić głosowanie osobom mającym nawet niewielkie ograniczenia w swobodnym poruszaniu się, osobom mniej sprawnym manualnie, </w:t>
      </w:r>
      <w:r w:rsidRPr="00FF7229">
        <w:rPr>
          <w:rFonts w:ascii="Times New Roman" w:hAnsi="Times New Roman"/>
          <w:sz w:val="24"/>
          <w:szCs w:val="24"/>
        </w:rPr>
        <w:lastRenderedPageBreak/>
        <w:t>mającym problemy ze wzrokiem. Przykładami takich r</w:t>
      </w:r>
      <w:r w:rsidR="00566378">
        <w:rPr>
          <w:rFonts w:ascii="Times New Roman" w:hAnsi="Times New Roman"/>
          <w:sz w:val="24"/>
          <w:szCs w:val="24"/>
        </w:rPr>
        <w:t xml:space="preserve">ozwiązań może być zapewnienie w </w:t>
      </w:r>
      <w:r w:rsidRPr="00FF7229">
        <w:rPr>
          <w:rFonts w:ascii="Times New Roman" w:hAnsi="Times New Roman"/>
          <w:sz w:val="24"/>
          <w:szCs w:val="24"/>
        </w:rPr>
        <w:t>każdym lokalu możliwości oddania głosu zarówno na siedząco jak i stojąco, zapewnienie miejsca na które można odłożyć podczas wypełniania kart do głosowania przedmioty osobiste jak np. torebka czy kule, określenie rozmiaru stolika w sposób dostosowany do rozmiaru karty do głosowania, możliwość wypożyczenia lupy, zapewnienie odpowiedniego oświetlenia stolika w kabinie wyborczej, określenie sposobu odizolowania kabin do głosowania od siebie i od ciągów komunikacyjnych w lokalu wyborczym tak aby zapewnić rzeczywistą tajność głosowania, określenie sposobu organizacji ciągów komunikacyjnych aby wyborcom zapewnić odpowiednią ochronę w zakresie danych osobowych.</w:t>
      </w:r>
    </w:p>
    <w:p w:rsidR="00FF7229" w:rsidRPr="00FF7229" w:rsidRDefault="00FF7229" w:rsidP="00A82EF7">
      <w:pPr>
        <w:autoSpaceDE w:val="0"/>
        <w:autoSpaceDN w:val="0"/>
        <w:adjustRightInd w:val="0"/>
        <w:spacing w:after="120" w:line="360" w:lineRule="auto"/>
        <w:ind w:firstLine="708"/>
        <w:jc w:val="both"/>
        <w:rPr>
          <w:rFonts w:ascii="Times New Roman" w:hAnsi="Times New Roman"/>
          <w:sz w:val="24"/>
          <w:szCs w:val="24"/>
        </w:rPr>
      </w:pPr>
      <w:r w:rsidRPr="00FF7229">
        <w:rPr>
          <w:rFonts w:ascii="Times New Roman" w:hAnsi="Times New Roman"/>
          <w:sz w:val="24"/>
          <w:szCs w:val="24"/>
        </w:rPr>
        <w:t>Opracowanie takiego rozporządzenia wymaga przeprowadzenia szeregu konsult</w:t>
      </w:r>
      <w:r w:rsidR="00566378">
        <w:rPr>
          <w:rFonts w:ascii="Times New Roman" w:hAnsi="Times New Roman"/>
          <w:sz w:val="24"/>
          <w:szCs w:val="24"/>
        </w:rPr>
        <w:t>acji i </w:t>
      </w:r>
      <w:r w:rsidRPr="00FF7229">
        <w:rPr>
          <w:rFonts w:ascii="Times New Roman" w:hAnsi="Times New Roman"/>
          <w:sz w:val="24"/>
          <w:szCs w:val="24"/>
        </w:rPr>
        <w:t>analiz dotychczasowych doświadczeń związanych z wyborami, dlatego projekt przewiduje długie vacatio legis. Przyjęcie ustawy pozwoliłoby jednak na rozszerzenie dobrych wzorców, występujących w wielu gminach w Polsce, na cały kraj. W ten sposób stworzone by zostały dla wszystkich wyborców w Polsce podobne warunki oddawania głosu.</w:t>
      </w:r>
    </w:p>
    <w:p w:rsidR="00FF7229" w:rsidRPr="00FF7229" w:rsidRDefault="00FF7229" w:rsidP="00FF7229">
      <w:pPr>
        <w:autoSpaceDE w:val="0"/>
        <w:autoSpaceDN w:val="0"/>
        <w:adjustRightInd w:val="0"/>
        <w:spacing w:after="120" w:line="360" w:lineRule="auto"/>
        <w:ind w:firstLine="510"/>
        <w:jc w:val="both"/>
        <w:rPr>
          <w:rFonts w:ascii="Times New Roman" w:hAnsi="Times New Roman"/>
          <w:sz w:val="24"/>
          <w:szCs w:val="24"/>
        </w:rPr>
      </w:pPr>
      <w:r w:rsidRPr="00FF7229">
        <w:rPr>
          <w:rFonts w:ascii="Times New Roman" w:hAnsi="Times New Roman"/>
          <w:sz w:val="24"/>
          <w:szCs w:val="24"/>
        </w:rPr>
        <w:t>W art. 250 § 2, art. 282 § 2, art. 324 § 1 i art. 367 § 2 ustawy występuje wskazanie Izby Pracy, Ubezpieczeń Społecznych i Spraw Publicznych Sądu Najwyższego, co nie odzwierciedla aktualnego stanu prawnego – takiej Izby ju</w:t>
      </w:r>
      <w:r w:rsidR="00566378">
        <w:rPr>
          <w:rFonts w:ascii="Times New Roman" w:hAnsi="Times New Roman"/>
          <w:sz w:val="24"/>
          <w:szCs w:val="24"/>
        </w:rPr>
        <w:t>ż nie ma, a zadania określone w </w:t>
      </w:r>
      <w:r w:rsidRPr="00FF7229">
        <w:rPr>
          <w:rFonts w:ascii="Times New Roman" w:hAnsi="Times New Roman"/>
          <w:sz w:val="24"/>
          <w:szCs w:val="24"/>
        </w:rPr>
        <w:t>ustawie – Kodeks wyborczy wykonuje Izba Kontroli Nadzwyczajnej i Spraw Publicznych. Dlatego wskazane zapisy zostałyby dostosowane do now</w:t>
      </w:r>
      <w:r w:rsidR="00566378">
        <w:rPr>
          <w:rFonts w:ascii="Times New Roman" w:hAnsi="Times New Roman"/>
          <w:sz w:val="24"/>
          <w:szCs w:val="24"/>
        </w:rPr>
        <w:t>ej struktury Sądu Najwyższego a </w:t>
      </w:r>
      <w:r w:rsidRPr="00FF7229">
        <w:rPr>
          <w:rFonts w:ascii="Times New Roman" w:hAnsi="Times New Roman"/>
          <w:sz w:val="24"/>
          <w:szCs w:val="24"/>
        </w:rPr>
        <w:t>poprzez brak wskazania w nowelizowanej ustawie konkretnej Izby Sądu Najwyższego miałyby bardziej uniwersalny charakter, niezależny od bieżącej struktury organizacyjnej tego sądu.</w:t>
      </w:r>
    </w:p>
    <w:p w:rsidR="00FF7229" w:rsidRPr="00FF7229" w:rsidRDefault="00FF7229" w:rsidP="00FF7229">
      <w:pPr>
        <w:autoSpaceDE w:val="0"/>
        <w:autoSpaceDN w:val="0"/>
        <w:adjustRightInd w:val="0"/>
        <w:spacing w:after="120" w:line="360" w:lineRule="auto"/>
        <w:ind w:firstLine="510"/>
        <w:jc w:val="both"/>
        <w:rPr>
          <w:rFonts w:ascii="Times New Roman" w:hAnsi="Times New Roman"/>
          <w:sz w:val="24"/>
          <w:szCs w:val="24"/>
        </w:rPr>
      </w:pPr>
    </w:p>
    <w:p w:rsidR="00FF7229" w:rsidRPr="00FF7229" w:rsidRDefault="00FF7229" w:rsidP="00FF7229">
      <w:pPr>
        <w:pStyle w:val="PKTpunkt"/>
        <w:spacing w:after="120"/>
        <w:rPr>
          <w:rStyle w:val="Ppogrubienie"/>
          <w:rFonts w:ascii="Times New Roman" w:hAnsi="Times New Roman" w:cs="Times New Roman"/>
          <w:szCs w:val="24"/>
        </w:rPr>
      </w:pPr>
      <w:r w:rsidRPr="00FF7229">
        <w:rPr>
          <w:rStyle w:val="Ppogrubienie"/>
          <w:rFonts w:ascii="Times New Roman" w:hAnsi="Times New Roman" w:cs="Times New Roman"/>
          <w:szCs w:val="24"/>
        </w:rPr>
        <w:t>3.</w:t>
      </w:r>
      <w:r w:rsidRPr="00FF7229">
        <w:rPr>
          <w:rStyle w:val="Ppogrubienie"/>
          <w:rFonts w:ascii="Times New Roman" w:hAnsi="Times New Roman" w:cs="Times New Roman"/>
          <w:szCs w:val="24"/>
        </w:rPr>
        <w:tab/>
        <w:t xml:space="preserve">Skutki projektowanej ustawy </w:t>
      </w:r>
    </w:p>
    <w:p w:rsidR="00FF7229" w:rsidRPr="00A82EF7" w:rsidRDefault="00FF7229" w:rsidP="00FF7229">
      <w:pPr>
        <w:pStyle w:val="PKTpunkt"/>
        <w:spacing w:after="120"/>
        <w:ind w:left="0" w:firstLine="708"/>
        <w:rPr>
          <w:rStyle w:val="Ppogrubienie"/>
          <w:rFonts w:ascii="Times New Roman" w:eastAsia="Calibri" w:hAnsi="Times New Roman" w:cs="Times New Roman"/>
          <w:b w:val="0"/>
          <w:bCs w:val="0"/>
          <w:szCs w:val="24"/>
          <w:lang w:eastAsia="en-US"/>
        </w:rPr>
      </w:pPr>
      <w:r w:rsidRPr="00A82EF7">
        <w:rPr>
          <w:rStyle w:val="Ppogrubienie"/>
          <w:rFonts w:ascii="Times New Roman" w:eastAsia="Calibri" w:hAnsi="Times New Roman" w:cs="Times New Roman"/>
          <w:b w:val="0"/>
          <w:bCs w:val="0"/>
          <w:szCs w:val="24"/>
          <w:lang w:eastAsia="en-US"/>
        </w:rPr>
        <w:t>Zasadniczym skutkiem społecznym i prawnym projektowanej ustawy będzie zapewnienie podobnych standardów lokali wyborczych w całym kraju co doprowadzi do poprawy warunków głosowania w tych lokalach, które nie spełniają wszystkich wymogów, pozwalających na uznanie lokalu za dostosowany do potrzeb osób niepełnosprawnych.</w:t>
      </w:r>
    </w:p>
    <w:p w:rsidR="00FF7229" w:rsidRPr="00A82EF7" w:rsidRDefault="00FF7229" w:rsidP="00FF7229">
      <w:pPr>
        <w:pStyle w:val="PKTpunkt"/>
        <w:spacing w:after="120"/>
        <w:ind w:left="0" w:firstLine="708"/>
        <w:rPr>
          <w:rStyle w:val="Ppogrubienie"/>
          <w:rFonts w:ascii="Times New Roman" w:eastAsia="Calibri" w:hAnsi="Times New Roman" w:cs="Times New Roman"/>
          <w:b w:val="0"/>
          <w:bCs w:val="0"/>
          <w:szCs w:val="24"/>
          <w:lang w:eastAsia="en-US"/>
        </w:rPr>
      </w:pPr>
      <w:r w:rsidRPr="00A82EF7">
        <w:rPr>
          <w:rStyle w:val="Ppogrubienie"/>
          <w:rFonts w:ascii="Times New Roman" w:eastAsia="Calibri" w:hAnsi="Times New Roman" w:cs="Times New Roman"/>
          <w:b w:val="0"/>
          <w:bCs w:val="0"/>
          <w:szCs w:val="24"/>
          <w:lang w:eastAsia="en-US"/>
        </w:rPr>
        <w:t>Dodatkowym skutkiem projektowanej ustawy, w zakresie zmian o charakterze porządkującym,  będzie poprawa spójności i przejrzystości systemu prawnego.</w:t>
      </w:r>
    </w:p>
    <w:p w:rsidR="00FF7229" w:rsidRPr="00FF7229" w:rsidRDefault="00FF7229" w:rsidP="00FF7229">
      <w:pPr>
        <w:pStyle w:val="PKTpunkt"/>
        <w:spacing w:after="120"/>
        <w:ind w:left="0" w:firstLine="708"/>
        <w:rPr>
          <w:rStyle w:val="Ppogrubienie"/>
          <w:rFonts w:ascii="Times New Roman" w:eastAsia="Calibri" w:hAnsi="Times New Roman" w:cs="Times New Roman"/>
          <w:b w:val="0"/>
          <w:bCs w:val="0"/>
          <w:szCs w:val="24"/>
          <w:lang w:eastAsia="en-US"/>
        </w:rPr>
      </w:pPr>
      <w:r w:rsidRPr="00A82EF7">
        <w:rPr>
          <w:rStyle w:val="Ppogrubienie"/>
          <w:rFonts w:ascii="Times New Roman" w:eastAsia="Calibri" w:hAnsi="Times New Roman" w:cs="Times New Roman"/>
          <w:b w:val="0"/>
          <w:bCs w:val="0"/>
          <w:szCs w:val="24"/>
          <w:lang w:eastAsia="en-US"/>
        </w:rPr>
        <w:t xml:space="preserve">Ze względu na swój charakter i ograniczony zasięg ustawa nie wywoła skutków gospodarczych, w tym skutków dla </w:t>
      </w:r>
      <w:r w:rsidRPr="00A82EF7">
        <w:rPr>
          <w:rStyle w:val="Ppogrubienie"/>
          <w:rFonts w:ascii="Times New Roman" w:hAnsi="Times New Roman" w:cs="Times New Roman"/>
          <w:b w:val="0"/>
          <w:szCs w:val="24"/>
        </w:rPr>
        <w:t xml:space="preserve">mikroprzedsiębiorców oraz małych i średnich </w:t>
      </w:r>
      <w:r w:rsidRPr="00A82EF7">
        <w:rPr>
          <w:rStyle w:val="Ppogrubienie"/>
          <w:rFonts w:ascii="Times New Roman" w:hAnsi="Times New Roman" w:cs="Times New Roman"/>
          <w:b w:val="0"/>
          <w:szCs w:val="24"/>
        </w:rPr>
        <w:lastRenderedPageBreak/>
        <w:t xml:space="preserve">przedsiębiorstw. Ocena </w:t>
      </w:r>
      <w:r w:rsidRPr="00A82EF7">
        <w:rPr>
          <w:rStyle w:val="Ppogrubienie"/>
          <w:rFonts w:ascii="Times New Roman" w:eastAsia="Calibri" w:hAnsi="Times New Roman" w:cs="Times New Roman"/>
          <w:b w:val="0"/>
          <w:bCs w:val="0"/>
          <w:szCs w:val="24"/>
          <w:lang w:eastAsia="en-US"/>
        </w:rPr>
        <w:t xml:space="preserve">skutków finansowych dla sektora finansów publicznych jest trudna, ponieważ będą one zależały od szczegółowej treści rozporządzenia, o którym mowa w art. 1 pkt 1. Pewne rozwiązania (np. określenie minimalnej powierzchni udostępnionej na potrzeby lokalu wyborczego, sposób zorganizowania ciągów komunikacyjnych w lokalu, odległość pomiędzy miejscami przeznaczonymi do głosowania i sposób ich odseparowania otoczenia, minimalna wielkość stolika w kabinie wyborczej, sposób rozmieszczenia ogłoszeń w lokalu wyborczym, zapewnienie dojazdu do lokalu wyborczego, postawienie obok stolika do wypełniania karty do głosowania nie jednego lecz dwóch krzeseł  – to przykładowe rozwiązania nie wymagające nakładów finansowych a jedynie inwencji i empatii na etapie tworzenia rozporządzenia a następnie ścisłego przestrzegania przepisów., W przypadku innych rozwiązań, których wprowadzenie można rozważać (jak np. udostępnienie w każdym lokalu wyborczym lupy, stworzenie możliwości głosowania w pozycji siedzącej i stojącej, może wystąpić potrzeba poniesienia niewielkich wydatków na wyposażenie części lokali wyborczych. </w:t>
      </w:r>
      <w:r w:rsidRPr="00FF7229">
        <w:rPr>
          <w:rFonts w:ascii="Times New Roman" w:hAnsi="Times New Roman" w:cs="Times New Roman"/>
          <w:szCs w:val="24"/>
        </w:rPr>
        <w:t>Przykładowo – koszt dostarczenia do każdego lokalu wyborczego dwóch lup może wynieść ok. 500 tys. złotych. Łączny koszt wykon</w:t>
      </w:r>
      <w:r w:rsidR="00566378">
        <w:rPr>
          <w:rFonts w:ascii="Times New Roman" w:hAnsi="Times New Roman" w:cs="Times New Roman"/>
          <w:szCs w:val="24"/>
        </w:rPr>
        <w:t>ania stanowiska do głosowania w </w:t>
      </w:r>
      <w:r w:rsidRPr="00FF7229">
        <w:rPr>
          <w:rFonts w:ascii="Times New Roman" w:hAnsi="Times New Roman" w:cs="Times New Roman"/>
          <w:szCs w:val="24"/>
        </w:rPr>
        <w:t>pozycji stojącej, dla każdego lokalu wyborczego (które</w:t>
      </w:r>
      <w:r w:rsidR="00566378">
        <w:rPr>
          <w:rFonts w:ascii="Times New Roman" w:hAnsi="Times New Roman" w:cs="Times New Roman"/>
          <w:szCs w:val="24"/>
        </w:rPr>
        <w:t xml:space="preserve"> po wyborach może być używane n</w:t>
      </w:r>
      <w:r w:rsidRPr="00FF7229">
        <w:rPr>
          <w:rFonts w:ascii="Times New Roman" w:hAnsi="Times New Roman" w:cs="Times New Roman"/>
          <w:szCs w:val="24"/>
        </w:rPr>
        <w:t>p. jako mównica) to ok. 5 mln. zł. Biorąc jednak pod uwagę fakt, że podstawowym wyposażeniem lokali wyborczych są kabiny wyborcze, stoliki komisji i urna oraz fakt że większość lokali znajduje się w szkołach, które dysp</w:t>
      </w:r>
      <w:r w:rsidR="00566378">
        <w:rPr>
          <w:rFonts w:ascii="Times New Roman" w:hAnsi="Times New Roman" w:cs="Times New Roman"/>
          <w:szCs w:val="24"/>
        </w:rPr>
        <w:t>onują potrzebnym wyposażeniem i </w:t>
      </w:r>
      <w:r w:rsidRPr="00FF7229">
        <w:rPr>
          <w:rFonts w:ascii="Times New Roman" w:hAnsi="Times New Roman" w:cs="Times New Roman"/>
          <w:szCs w:val="24"/>
        </w:rPr>
        <w:t xml:space="preserve">porównując to z całościowymi kosztami wyborów należy uznać, że ewentualne dodatkowe nakłady finansowe byłyby nieznaczne. </w:t>
      </w:r>
    </w:p>
    <w:p w:rsidR="00FF7229" w:rsidRPr="00FF7229" w:rsidRDefault="00FF7229" w:rsidP="00FF7229">
      <w:pPr>
        <w:pStyle w:val="PKTpunkt"/>
        <w:spacing w:after="120"/>
        <w:rPr>
          <w:rStyle w:val="Ppogrubienie"/>
          <w:rFonts w:ascii="Times New Roman" w:hAnsi="Times New Roman" w:cs="Times New Roman"/>
          <w:szCs w:val="24"/>
        </w:rPr>
      </w:pPr>
      <w:r w:rsidRPr="00FF7229">
        <w:rPr>
          <w:rStyle w:val="Ppogrubienie"/>
          <w:rFonts w:ascii="Times New Roman" w:hAnsi="Times New Roman" w:cs="Times New Roman"/>
          <w:szCs w:val="24"/>
        </w:rPr>
        <w:t>4. Oświadczenie o zgodności projektu ustawy z prawem Unii Europejskiej</w:t>
      </w:r>
    </w:p>
    <w:p w:rsidR="00FF7229" w:rsidRPr="00FF7229" w:rsidRDefault="00FF7229" w:rsidP="00FF7229">
      <w:pPr>
        <w:spacing w:after="120" w:line="360" w:lineRule="auto"/>
        <w:ind w:firstLine="708"/>
        <w:jc w:val="both"/>
        <w:rPr>
          <w:rFonts w:ascii="Times New Roman" w:hAnsi="Times New Roman"/>
          <w:sz w:val="24"/>
          <w:szCs w:val="24"/>
        </w:rPr>
      </w:pPr>
      <w:r w:rsidRPr="00FF7229">
        <w:rPr>
          <w:rFonts w:ascii="Times New Roman" w:hAnsi="Times New Roman"/>
          <w:sz w:val="24"/>
          <w:szCs w:val="24"/>
        </w:rPr>
        <w:t xml:space="preserve">Przedmiot projektowanej regulacji nie jest objęty prawem Unii Europejskiej. </w:t>
      </w:r>
    </w:p>
    <w:p w:rsidR="00FF7229" w:rsidRPr="00FF7229" w:rsidRDefault="00FF7229" w:rsidP="00FF7229">
      <w:pPr>
        <w:spacing w:after="0" w:line="360" w:lineRule="auto"/>
        <w:ind w:firstLine="708"/>
        <w:jc w:val="both"/>
        <w:rPr>
          <w:rFonts w:ascii="Times New Roman" w:hAnsi="Times New Roman"/>
          <w:sz w:val="24"/>
          <w:szCs w:val="24"/>
        </w:rPr>
      </w:pPr>
    </w:p>
    <w:p w:rsidR="00D408E9" w:rsidRPr="00FF7229" w:rsidRDefault="00D408E9" w:rsidP="00870575">
      <w:pPr>
        <w:spacing w:after="160" w:line="259" w:lineRule="auto"/>
        <w:rPr>
          <w:rFonts w:ascii="Times New Roman" w:eastAsiaTheme="minorEastAsia" w:hAnsi="Times New Roman"/>
          <w:sz w:val="24"/>
          <w:szCs w:val="24"/>
          <w:lang w:eastAsia="pl-PL"/>
        </w:rPr>
      </w:pPr>
    </w:p>
    <w:sectPr w:rsidR="00D408E9" w:rsidRPr="00FF7229" w:rsidSect="000848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FA2C5F"/>
    <w:multiLevelType w:val="hybridMultilevel"/>
    <w:tmpl w:val="60A067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2"/>
  </w:compat>
  <w:rsids>
    <w:rsidRoot w:val="00870575"/>
    <w:rsid w:val="000848B7"/>
    <w:rsid w:val="000B6A3A"/>
    <w:rsid w:val="000D7BAF"/>
    <w:rsid w:val="00164887"/>
    <w:rsid w:val="00450DA3"/>
    <w:rsid w:val="00554D03"/>
    <w:rsid w:val="00566378"/>
    <w:rsid w:val="0062454E"/>
    <w:rsid w:val="00727E2F"/>
    <w:rsid w:val="00870575"/>
    <w:rsid w:val="00933115"/>
    <w:rsid w:val="009C407E"/>
    <w:rsid w:val="00A82EF7"/>
    <w:rsid w:val="00CA3FC0"/>
    <w:rsid w:val="00D33450"/>
    <w:rsid w:val="00D408E9"/>
    <w:rsid w:val="00DD73BA"/>
    <w:rsid w:val="00E14860"/>
    <w:rsid w:val="00E83B87"/>
    <w:rsid w:val="00F33FB2"/>
    <w:rsid w:val="00FF2883"/>
    <w:rsid w:val="00FF72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77B32-CAE4-447F-8085-0DA3C3C6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0575"/>
    <w:pPr>
      <w:spacing w:after="200" w:line="276" w:lineRule="auto"/>
    </w:pPr>
    <w:rPr>
      <w:rFonts w:ascii="Calibri" w:eastAsia="Calibri" w:hAnsi="Calibri" w:cs="Times New Roman"/>
    </w:rPr>
  </w:style>
  <w:style w:type="paragraph" w:styleId="Nagwek2">
    <w:name w:val="heading 2"/>
    <w:basedOn w:val="Normalny"/>
    <w:link w:val="Nagwek2Znak"/>
    <w:uiPriority w:val="9"/>
    <w:qFormat/>
    <w:rsid w:val="00870575"/>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870575"/>
    <w:rPr>
      <w:rFonts w:ascii="Times New Roman" w:eastAsia="Times New Roman" w:hAnsi="Times New Roman" w:cs="Times New Roman"/>
      <w:b/>
      <w:bCs/>
      <w:sz w:val="36"/>
      <w:szCs w:val="36"/>
      <w:lang w:eastAsia="pl-PL"/>
    </w:rPr>
  </w:style>
  <w:style w:type="paragraph" w:customStyle="1" w:styleId="tekst">
    <w:name w:val="tekst"/>
    <w:basedOn w:val="Normalny"/>
    <w:uiPriority w:val="99"/>
    <w:rsid w:val="00870575"/>
    <w:pPr>
      <w:overflowPunct w:val="0"/>
      <w:autoSpaceDE w:val="0"/>
      <w:autoSpaceDN w:val="0"/>
      <w:adjustRightInd w:val="0"/>
      <w:spacing w:after="80" w:line="240" w:lineRule="auto"/>
      <w:jc w:val="both"/>
      <w:textAlignment w:val="baseline"/>
    </w:pPr>
    <w:rPr>
      <w:rFonts w:ascii="Times New Roman" w:eastAsia="Times New Roman" w:hAnsi="Times New Roman"/>
      <w:sz w:val="24"/>
      <w:szCs w:val="20"/>
      <w:lang w:eastAsia="pl-PL"/>
    </w:rPr>
  </w:style>
  <w:style w:type="paragraph" w:customStyle="1" w:styleId="tyt">
    <w:name w:val="tyt"/>
    <w:basedOn w:val="Normalny"/>
    <w:uiPriority w:val="99"/>
    <w:rsid w:val="00870575"/>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sz w:val="24"/>
      <w:szCs w:val="20"/>
      <w:lang w:eastAsia="pl-PL"/>
    </w:rPr>
  </w:style>
  <w:style w:type="character" w:customStyle="1" w:styleId="luchili">
    <w:name w:val="luc_hili"/>
    <w:basedOn w:val="Domylnaczcionkaakapitu"/>
    <w:rsid w:val="00870575"/>
  </w:style>
  <w:style w:type="paragraph" w:customStyle="1" w:styleId="ARTartustawynprozporzdzenia">
    <w:name w:val="ART(§) – art. ustawy (§ np. rozporządzenia)"/>
    <w:uiPriority w:val="11"/>
    <w:qFormat/>
    <w:rsid w:val="0087057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870575"/>
    <w:rPr>
      <w:b/>
    </w:rPr>
  </w:style>
  <w:style w:type="paragraph" w:customStyle="1" w:styleId="OZNRODZAKTUtznustawalubrozporzdzenieiorganwydajcy">
    <w:name w:val="OZN_RODZ_AKTU – tzn. ustawa lub rozporządzenie i organ wydający"/>
    <w:next w:val="Normalny"/>
    <w:link w:val="OZNRODZAKTUtznustawalubrozporzdzenieiorganwydajcyZnak"/>
    <w:uiPriority w:val="5"/>
    <w:qFormat/>
    <w:rsid w:val="0087057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TYTUAKTUprzedmiotregulacjiustawylubrozporzdzenia">
    <w:name w:val="TYTUŁ_AKTU – przedmiot regulacji ustawy lub rozporządzenia"/>
    <w:next w:val="ARTartustawynprozporzdzenia"/>
    <w:qFormat/>
    <w:rsid w:val="0087057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2"/>
    <w:qFormat/>
    <w:rsid w:val="00870575"/>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PKTpunkt">
    <w:name w:val="PKT – punkt"/>
    <w:link w:val="PKTpunktZnak"/>
    <w:uiPriority w:val="16"/>
    <w:qFormat/>
    <w:rsid w:val="00870575"/>
    <w:pPr>
      <w:spacing w:after="0" w:line="360" w:lineRule="auto"/>
      <w:ind w:left="510" w:hanging="510"/>
      <w:jc w:val="both"/>
    </w:pPr>
    <w:rPr>
      <w:rFonts w:ascii="Times" w:eastAsiaTheme="minorEastAsia" w:hAnsi="Times" w:cs="Arial"/>
      <w:bCs/>
      <w:sz w:val="24"/>
      <w:szCs w:val="20"/>
      <w:lang w:eastAsia="pl-PL"/>
    </w:rPr>
  </w:style>
  <w:style w:type="paragraph" w:styleId="Akapitzlist">
    <w:name w:val="List Paragraph"/>
    <w:basedOn w:val="Normalny"/>
    <w:uiPriority w:val="34"/>
    <w:qFormat/>
    <w:rsid w:val="00870575"/>
    <w:pPr>
      <w:ind w:left="720"/>
      <w:contextualSpacing/>
    </w:pPr>
  </w:style>
  <w:style w:type="paragraph" w:customStyle="1" w:styleId="Default">
    <w:name w:val="Default"/>
    <w:uiPriority w:val="99"/>
    <w:rsid w:val="00870575"/>
    <w:pPr>
      <w:autoSpaceDE w:val="0"/>
      <w:autoSpaceDN w:val="0"/>
      <w:adjustRightInd w:val="0"/>
      <w:spacing w:after="0" w:line="240" w:lineRule="auto"/>
    </w:pPr>
    <w:rPr>
      <w:rFonts w:ascii="Times New Roman" w:eastAsia="PMingLiU" w:hAnsi="Times New Roman" w:cs="Times New Roman"/>
      <w:color w:val="000000"/>
      <w:sz w:val="24"/>
      <w:szCs w:val="24"/>
      <w:lang w:val="en-GB" w:eastAsia="zh-CN"/>
    </w:rPr>
  </w:style>
  <w:style w:type="character" w:customStyle="1" w:styleId="OZNRODZAKTUtznustawalubrozporzdzenieiorganwydajcyZnak">
    <w:name w:val="OZN_RODZ_AKTU – tzn. ustawa lub rozporządzenie i organ wydający Znak"/>
    <w:link w:val="OZNRODZAKTUtznustawalubrozporzdzenieiorganwydajcy"/>
    <w:uiPriority w:val="5"/>
    <w:rsid w:val="00870575"/>
    <w:rPr>
      <w:rFonts w:ascii="Times" w:eastAsia="Times New Roman" w:hAnsi="Times" w:cs="Times New Roman"/>
      <w:b/>
      <w:bCs/>
      <w:caps/>
      <w:spacing w:val="54"/>
      <w:kern w:val="24"/>
      <w:sz w:val="24"/>
      <w:szCs w:val="24"/>
      <w:lang w:eastAsia="pl-PL"/>
    </w:rPr>
  </w:style>
  <w:style w:type="character" w:customStyle="1" w:styleId="PKTpunktZnak">
    <w:name w:val="PKT – punkt Znak"/>
    <w:basedOn w:val="Domylnaczcionkaakapitu"/>
    <w:link w:val="PKTpunkt"/>
    <w:uiPriority w:val="16"/>
    <w:locked/>
    <w:rsid w:val="00870575"/>
    <w:rPr>
      <w:rFonts w:ascii="Times" w:eastAsiaTheme="minorEastAsia" w:hAnsi="Times" w:cs="Arial"/>
      <w:bCs/>
      <w:sz w:val="24"/>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870575"/>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FF288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288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1292</Words>
  <Characters>7757</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Przemysław Sadłoń</dc:creator>
  <cp:lastModifiedBy>Grzegorz Molesztak</cp:lastModifiedBy>
  <cp:revision>6</cp:revision>
  <cp:lastPrinted>2019-03-13T11:04:00Z</cp:lastPrinted>
  <dcterms:created xsi:type="dcterms:W3CDTF">2019-03-11T10:34:00Z</dcterms:created>
  <dcterms:modified xsi:type="dcterms:W3CDTF">2019-03-19T08:16:00Z</dcterms:modified>
</cp:coreProperties>
</file>