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E79" w:rsidRPr="00AF27CD" w:rsidRDefault="00A93E79" w:rsidP="00422EA7">
      <w:pPr>
        <w:tabs>
          <w:tab w:val="left" w:pos="2127"/>
          <w:tab w:val="left" w:pos="7230"/>
        </w:tabs>
        <w:spacing w:before="120" w:line="360" w:lineRule="auto"/>
        <w:jc w:val="center"/>
      </w:pPr>
      <w:bookmarkStart w:id="0" w:name="_GoBack"/>
      <w:bookmarkEnd w:id="0"/>
      <w:r w:rsidRPr="00AF27CD">
        <w:t>UZASADNIENIE</w:t>
      </w:r>
    </w:p>
    <w:p w:rsidR="00A93E79" w:rsidRPr="00AF27CD" w:rsidRDefault="00A93E79" w:rsidP="00CC3571">
      <w:pPr>
        <w:pStyle w:val="Akapitzlist"/>
        <w:numPr>
          <w:ilvl w:val="0"/>
          <w:numId w:val="20"/>
        </w:numPr>
        <w:tabs>
          <w:tab w:val="left" w:pos="426"/>
        </w:tabs>
        <w:spacing w:before="120" w:after="0" w:line="360" w:lineRule="auto"/>
        <w:ind w:left="0" w:firstLine="0"/>
        <w:rPr>
          <w:b/>
        </w:rPr>
      </w:pPr>
      <w:r w:rsidRPr="00AF27CD">
        <w:rPr>
          <w:b/>
        </w:rPr>
        <w:t>Wstęp</w:t>
      </w:r>
    </w:p>
    <w:p w:rsidR="00A93E79" w:rsidRPr="00AF27CD" w:rsidRDefault="00A93E79" w:rsidP="00CC3571">
      <w:pPr>
        <w:spacing w:before="120" w:line="360" w:lineRule="auto"/>
        <w:jc w:val="both"/>
      </w:pPr>
      <w:r w:rsidRPr="00AF27CD">
        <w:t>Przedstawiany projekt ma na celu zastąpienie nowym</w:t>
      </w:r>
      <w:r w:rsidR="00422EA7" w:rsidRPr="00AF27CD">
        <w:t xml:space="preserve"> aktem prawnym ustawy z dnia 22</w:t>
      </w:r>
      <w:r w:rsidR="00EC6774">
        <w:t> </w:t>
      </w:r>
      <w:r w:rsidRPr="00AF27CD">
        <w:t>czerwca 2001 r. o wykonywaniu działalności gospod</w:t>
      </w:r>
      <w:r w:rsidR="00422EA7" w:rsidRPr="00AF27CD">
        <w:t>arczej w zakresie wytwarzania i</w:t>
      </w:r>
      <w:r w:rsidR="00EC6774">
        <w:t> </w:t>
      </w:r>
      <w:r w:rsidRPr="00AF27CD">
        <w:t>obrotu materiałami wybuchowymi, bronią, amunicj</w:t>
      </w:r>
      <w:r w:rsidR="00422EA7" w:rsidRPr="00AF27CD">
        <w:t>ą oraz wyrobami i technologią o</w:t>
      </w:r>
      <w:r w:rsidR="00EC6774">
        <w:t> </w:t>
      </w:r>
      <w:r w:rsidRPr="00AF27CD">
        <w:t xml:space="preserve">przeznaczeniu wojskowym lub policyjnym, zwanej dalej </w:t>
      </w:r>
      <w:r w:rsidR="00F337D5" w:rsidRPr="00AF27CD">
        <w:t>„</w:t>
      </w:r>
      <w:r w:rsidRPr="00AF27CD">
        <w:t>u</w:t>
      </w:r>
      <w:r w:rsidR="004A55B6">
        <w:t>stawą z dnia 22 czerwca 2001 r.</w:t>
      </w:r>
      <w:r w:rsidR="00F337D5" w:rsidRPr="00AF27CD">
        <w:t>”.</w:t>
      </w:r>
    </w:p>
    <w:p w:rsidR="00A93E79" w:rsidRPr="00AF27CD" w:rsidRDefault="00A93E79" w:rsidP="00422EA7">
      <w:pPr>
        <w:pStyle w:val="ROZDZODDZPRZEDMprzedmiotregulacjirozdziauluboddziau"/>
        <w:jc w:val="both"/>
        <w:rPr>
          <w:rFonts w:ascii="Times New Roman" w:hAnsi="Times New Roman"/>
        </w:rPr>
      </w:pPr>
      <w:r w:rsidRPr="00AF27CD">
        <w:rPr>
          <w:rFonts w:ascii="Times New Roman" w:hAnsi="Times New Roman"/>
        </w:rPr>
        <w:t>Ustawa z dnia 22 czerwca 2001 r. weszła</w:t>
      </w:r>
      <w:r w:rsidR="004A55B6">
        <w:rPr>
          <w:rFonts w:ascii="Times New Roman" w:hAnsi="Times New Roman"/>
        </w:rPr>
        <w:t xml:space="preserve"> w życie w dniu 1 lipca 2001 r.</w:t>
      </w:r>
      <w:r w:rsidRPr="00AF27CD">
        <w:rPr>
          <w:rFonts w:ascii="Times New Roman" w:hAnsi="Times New Roman"/>
        </w:rPr>
        <w:t xml:space="preserve"> jako ustawa szczególna do ustawy z dnia 19 listopada 1999 r. – Prawo działalności gospodarczej</w:t>
      </w:r>
      <w:r w:rsidR="00872FAB" w:rsidRPr="00AF27CD">
        <w:rPr>
          <w:rFonts w:ascii="Times New Roman" w:hAnsi="Times New Roman"/>
        </w:rPr>
        <w:t xml:space="preserve"> </w:t>
      </w:r>
      <w:r w:rsidRPr="00AF27CD">
        <w:rPr>
          <w:rFonts w:ascii="Times New Roman" w:hAnsi="Times New Roman"/>
        </w:rPr>
        <w:t>– która w swojej treści zawierała obowiązek posiadania koncesji na wykonywanie działalności gospodarczej w zakresie wytwarzania i obrotu materiałami wybuchowymi, bronią, amunicją oraz wyrobami i technologią o</w:t>
      </w:r>
      <w:r w:rsidR="00EC6774">
        <w:rPr>
          <w:rFonts w:ascii="Times New Roman" w:hAnsi="Times New Roman"/>
        </w:rPr>
        <w:t> </w:t>
      </w:r>
      <w:r w:rsidRPr="00AF27CD">
        <w:rPr>
          <w:rFonts w:ascii="Times New Roman" w:hAnsi="Times New Roman"/>
        </w:rPr>
        <w:t>przeznaczeniu wojskowym lub policyjnym.</w:t>
      </w:r>
    </w:p>
    <w:p w:rsidR="00A93E79" w:rsidRPr="00AF27CD" w:rsidRDefault="00A93E79" w:rsidP="00422EA7">
      <w:pPr>
        <w:spacing w:before="120" w:line="360" w:lineRule="auto"/>
        <w:jc w:val="both"/>
      </w:pPr>
      <w:r w:rsidRPr="00AF27CD">
        <w:t>Poza koniecznością stworzenia przepisów określających zasady wykonywania działalności wymagającej uzyskania koncesji, ustawa z dnia 22 czerwca 2001 r. wprowadziła do polskiego porządku prawnego wymogi określone w prawie Unii Europejskiej, przyjęte w związku z akcesją Rzeczypospolitej Polskiej do UE, co nastąpiło w dniu 1 maja 2004 r. Podstawowym aktem prawa europejskiego, który został wdrożony do ustawy jeszcze przed akcesją, była dyrektywa Rady z dnia 18 czerwca 1991 r. w sprawie kontroli nabywania i posiadania broni 91/477/EWG (Dz. Urz. WE L 256 z 13.09.1991</w:t>
      </w:r>
      <w:r w:rsidR="00E6262C">
        <w:t>, str. 51</w:t>
      </w:r>
      <w:r w:rsidR="00F94029">
        <w:t>)</w:t>
      </w:r>
      <w:r w:rsidR="00E6262C">
        <w:t>, zwana dalej „dyrektywą 91/477/EWG”</w:t>
      </w:r>
      <w:r w:rsidRPr="00AF27CD">
        <w:t>.</w:t>
      </w:r>
    </w:p>
    <w:p w:rsidR="00A93E79" w:rsidRPr="00AF27CD" w:rsidRDefault="00A93E79" w:rsidP="00422EA7">
      <w:pPr>
        <w:spacing w:before="120" w:line="360" w:lineRule="auto"/>
        <w:jc w:val="both"/>
      </w:pPr>
      <w:r w:rsidRPr="00AF27CD">
        <w:t>Od dnia wejścia w życie ustawy z dnia 22 czerwca 2001 r. miały miejsce znaczące zmiany w jej otoczeniu prawnym, zarówno w prawie krajowym, jak i europejskim.</w:t>
      </w:r>
    </w:p>
    <w:p w:rsidR="00A93E79" w:rsidRPr="00AF27CD" w:rsidRDefault="00A93E79" w:rsidP="00422EA7">
      <w:pPr>
        <w:spacing w:before="120" w:line="360" w:lineRule="auto"/>
        <w:jc w:val="both"/>
      </w:pPr>
      <w:r w:rsidRPr="00AF27CD">
        <w:t>Ustawę z dnia 19 listopada 1999 r. – Prawo działalności gospodarczej zastąpiła ustawa z dnia 2 lipca 2004 r. o swobodzie działalności gospodarczej, która również z uwagi na koniecznoś</w:t>
      </w:r>
      <w:r w:rsidR="00872FAB" w:rsidRPr="00AF27CD">
        <w:t>ć przebudowy i reformy prawno-</w:t>
      </w:r>
      <w:r w:rsidRPr="00AF27CD">
        <w:t>instytucjonalnego otoczenia przedsiębiorców oraz wykonywanej przez nich działalności</w:t>
      </w:r>
      <w:r w:rsidR="00AF27CD" w:rsidRPr="00AF27CD">
        <w:t xml:space="preserve"> gospodarczej zawartych w</w:t>
      </w:r>
      <w:r w:rsidR="00EC6774">
        <w:t> </w:t>
      </w:r>
      <w:r w:rsidRPr="00AF27CD">
        <w:t>dokumentach rządowych – „Planie na Rz</w:t>
      </w:r>
      <w:r w:rsidR="00AF27CD" w:rsidRPr="00AF27CD">
        <w:t>ecz Odpowiedzialnego Rozwoju” i</w:t>
      </w:r>
      <w:r w:rsidR="00EC6774">
        <w:t> </w:t>
      </w:r>
      <w:r w:rsidRPr="00AF27CD">
        <w:t>„Strategii na Rzecz Odpowiedzialnego Rozwoju” – zosta</w:t>
      </w:r>
      <w:r w:rsidR="00872FAB" w:rsidRPr="00AF27CD">
        <w:t>ł</w:t>
      </w:r>
      <w:r w:rsidR="00DE4CB3" w:rsidRPr="00AF27CD">
        <w:t>a</w:t>
      </w:r>
      <w:r w:rsidRPr="00AF27CD">
        <w:t xml:space="preserve"> zastąpiona nową ustawą – Prawo przedsiębiorców.</w:t>
      </w:r>
    </w:p>
    <w:p w:rsidR="00A93E79" w:rsidRPr="00AF27CD" w:rsidRDefault="00A93E79" w:rsidP="00422EA7">
      <w:pPr>
        <w:spacing w:before="120" w:line="360" w:lineRule="auto"/>
        <w:jc w:val="both"/>
      </w:pPr>
      <w:r w:rsidRPr="00AF27CD">
        <w:lastRenderedPageBreak/>
        <w:t>W obszarze prawa europejskiego także nastąpiły dynamiczne zmiany. D</w:t>
      </w:r>
      <w:r w:rsidRPr="00AF27CD">
        <w:rPr>
          <w:noProof/>
        </w:rPr>
        <w:t xml:space="preserve">yrektywa </w:t>
      </w:r>
      <w:r w:rsidRPr="00AF27CD">
        <w:t xml:space="preserve">Parlamentu Europejskiego i Rady 2008/51/WE z dnia 21 maja 2008 r. </w:t>
      </w:r>
      <w:r w:rsidR="00674361" w:rsidRPr="00AF27CD">
        <w:t xml:space="preserve">(Dz. Urz. UE L 179/5 z </w:t>
      </w:r>
      <w:r w:rsidR="00E6262C">
        <w:t>0</w:t>
      </w:r>
      <w:r w:rsidR="00674361" w:rsidRPr="00AF27CD">
        <w:t>8.</w:t>
      </w:r>
      <w:r w:rsidR="00E6262C">
        <w:t>0</w:t>
      </w:r>
      <w:r w:rsidR="00674361" w:rsidRPr="00AF27CD">
        <w:t>7.2008</w:t>
      </w:r>
      <w:r w:rsidR="00E6262C">
        <w:t>, str. 5</w:t>
      </w:r>
      <w:r w:rsidR="00674361" w:rsidRPr="00AF27CD">
        <w:t xml:space="preserve">) </w:t>
      </w:r>
      <w:r w:rsidRPr="00AF27CD">
        <w:t>zmieniła dyrektywę 91/477/EWG</w:t>
      </w:r>
      <w:r w:rsidR="00674361" w:rsidRPr="00AF27CD">
        <w:t>.</w:t>
      </w:r>
      <w:r w:rsidRPr="00AF27CD">
        <w:t xml:space="preserve"> Należy mieć na uwadze, że oba </w:t>
      </w:r>
      <w:r w:rsidR="001D2325" w:rsidRPr="00AF27CD">
        <w:t>ww.</w:t>
      </w:r>
      <w:r w:rsidRPr="00AF27CD">
        <w:t xml:space="preserve"> akty prawa europejskiego zostały wdrożone do prawa polskiego w całości. </w:t>
      </w:r>
    </w:p>
    <w:p w:rsidR="00A93E79" w:rsidRPr="00AF27CD" w:rsidRDefault="00BF5630" w:rsidP="00422EA7">
      <w:pPr>
        <w:spacing w:before="120" w:line="360" w:lineRule="auto"/>
        <w:jc w:val="both"/>
      </w:pPr>
      <w:r w:rsidRPr="00AF27CD">
        <w:t>W listopadzie 2015 r.</w:t>
      </w:r>
      <w:r w:rsidR="00A93E79" w:rsidRPr="00AF27CD">
        <w:t xml:space="preserve"> Komisja Europejska podjęła prace nad nowelizacją </w:t>
      </w:r>
      <w:r w:rsidR="00EC1F4E" w:rsidRPr="00AF27CD">
        <w:t>ww.</w:t>
      </w:r>
      <w:r w:rsidR="00A93E79" w:rsidRPr="00AF27CD">
        <w:t xml:space="preserve"> dyrektyw z nadrzędnym celem uszczelnienia systemu kontroli przepływu broni w Państwach Członkowskich Wspólnoty Europejskiej. Ostatnia nowelizacja zbiegła się z cykliczną ewaluacją funkcjonowania dyrektywy</w:t>
      </w:r>
      <w:r w:rsidR="004A55B6">
        <w:t>,</w:t>
      </w:r>
      <w:r w:rsidRPr="00AF27CD">
        <w:t xml:space="preserve"> jak również z tragicznymi zamachami terrorystycznymi w Paryżu i Brukseli</w:t>
      </w:r>
      <w:r w:rsidR="00A93E79" w:rsidRPr="00AF27CD">
        <w:t xml:space="preserve"> </w:t>
      </w:r>
      <w:r w:rsidRPr="00AF27CD">
        <w:t>(marzec 2016 r.)</w:t>
      </w:r>
      <w:r w:rsidR="00F337D5" w:rsidRPr="00AF27CD">
        <w:t>,</w:t>
      </w:r>
      <w:r w:rsidRPr="00AF27CD">
        <w:t xml:space="preserve"> </w:t>
      </w:r>
      <w:r w:rsidR="00A93E79" w:rsidRPr="00AF27CD">
        <w:t>w wyniku któr</w:t>
      </w:r>
      <w:r w:rsidRPr="00AF27CD">
        <w:t>ych</w:t>
      </w:r>
      <w:r w:rsidR="00A93E79" w:rsidRPr="00AF27CD">
        <w:t xml:space="preserve"> wskazane zostały obszary wymagające poprawy przepisów. Projekt nowelizacji został przyjęty przez Parlament Europejski w marcu 2017 r</w:t>
      </w:r>
      <w:r w:rsidR="003C19E1" w:rsidRPr="00AF27CD">
        <w:t>.,</w:t>
      </w:r>
      <w:r w:rsidR="003C19E1" w:rsidRPr="00AF27CD">
        <w:rPr>
          <w:noProof/>
        </w:rPr>
        <w:t xml:space="preserve"> a sa</w:t>
      </w:r>
      <w:r w:rsidR="00AF27CD" w:rsidRPr="00AF27CD">
        <w:rPr>
          <w:noProof/>
        </w:rPr>
        <w:t>ma dyrektywa 2017/853 z dnia 17</w:t>
      </w:r>
      <w:r w:rsidR="00EC6774">
        <w:rPr>
          <w:noProof/>
        </w:rPr>
        <w:t> </w:t>
      </w:r>
      <w:r w:rsidR="003C19E1" w:rsidRPr="00AF27CD">
        <w:rPr>
          <w:noProof/>
        </w:rPr>
        <w:t>maja 2017 r.</w:t>
      </w:r>
      <w:r w:rsidR="00E6262C">
        <w:rPr>
          <w:noProof/>
        </w:rPr>
        <w:t>, zwana dalej „</w:t>
      </w:r>
      <w:r w:rsidR="004A55B6">
        <w:rPr>
          <w:noProof/>
        </w:rPr>
        <w:t>dyrektywą 2017/853”,</w:t>
      </w:r>
      <w:r w:rsidR="00E6262C">
        <w:rPr>
          <w:noProof/>
        </w:rPr>
        <w:t xml:space="preserve"> została opublikowana w dniu 24</w:t>
      </w:r>
      <w:r w:rsidR="00EC6774">
        <w:rPr>
          <w:noProof/>
        </w:rPr>
        <w:t> </w:t>
      </w:r>
      <w:r w:rsidR="003C19E1" w:rsidRPr="00AF27CD">
        <w:rPr>
          <w:noProof/>
        </w:rPr>
        <w:t>maja 2017 r.</w:t>
      </w:r>
      <w:r w:rsidR="00422EA7" w:rsidRPr="00AF27CD">
        <w:rPr>
          <w:noProof/>
        </w:rPr>
        <w:t xml:space="preserve"> </w:t>
      </w:r>
      <w:r w:rsidR="003C19E1" w:rsidRPr="00AF27CD">
        <w:rPr>
          <w:noProof/>
        </w:rPr>
        <w:t>(Dz. Urz. UE</w:t>
      </w:r>
      <w:r w:rsidR="00422EA7" w:rsidRPr="00AF27CD">
        <w:rPr>
          <w:noProof/>
        </w:rPr>
        <w:t xml:space="preserve"> </w:t>
      </w:r>
      <w:r w:rsidR="00AF27CD" w:rsidRPr="00AF27CD">
        <w:rPr>
          <w:noProof/>
        </w:rPr>
        <w:t>L 137</w:t>
      </w:r>
      <w:r w:rsidR="00E6262C">
        <w:rPr>
          <w:noProof/>
        </w:rPr>
        <w:t xml:space="preserve"> </w:t>
      </w:r>
      <w:r w:rsidR="0094308C">
        <w:rPr>
          <w:noProof/>
        </w:rPr>
        <w:t xml:space="preserve">z </w:t>
      </w:r>
      <w:r w:rsidR="003C19E1" w:rsidRPr="00AF27CD">
        <w:rPr>
          <w:noProof/>
        </w:rPr>
        <w:t>24.05.2017</w:t>
      </w:r>
      <w:r w:rsidR="00E6262C">
        <w:rPr>
          <w:noProof/>
        </w:rPr>
        <w:t>, str. 22</w:t>
      </w:r>
      <w:r w:rsidR="003C19E1" w:rsidRPr="00AF27CD">
        <w:rPr>
          <w:noProof/>
        </w:rPr>
        <w:t>).</w:t>
      </w:r>
      <w:r w:rsidR="00633B1C" w:rsidRPr="00AF27CD">
        <w:rPr>
          <w:noProof/>
        </w:rPr>
        <w:t xml:space="preserve"> Państwa Członkowskie UE powinny implementować jej przepisy do dnia 14 września 2018 r.</w:t>
      </w:r>
    </w:p>
    <w:p w:rsidR="00A93E79" w:rsidRPr="00AF27CD" w:rsidRDefault="00A93E79" w:rsidP="00422EA7">
      <w:pPr>
        <w:spacing w:before="120" w:line="360" w:lineRule="auto"/>
        <w:jc w:val="both"/>
      </w:pPr>
      <w:r w:rsidRPr="00AF27CD">
        <w:t>Ponadto weszło w życie rozporządzenie Parlamentu Europejskiego i Rady (UE) nr</w:t>
      </w:r>
      <w:r w:rsidR="00EC6774">
        <w:t> </w:t>
      </w:r>
      <w:r w:rsidRPr="00AF27CD">
        <w:t>258/2012 z</w:t>
      </w:r>
      <w:r w:rsidR="00422EA7" w:rsidRPr="00AF27CD">
        <w:t xml:space="preserve"> </w:t>
      </w:r>
      <w:r w:rsidRPr="00AF27CD">
        <w:t>dnia 14</w:t>
      </w:r>
      <w:r w:rsidR="00422EA7" w:rsidRPr="00AF27CD">
        <w:t xml:space="preserve"> </w:t>
      </w:r>
      <w:r w:rsidRPr="00AF27CD">
        <w:t>marca 2012</w:t>
      </w:r>
      <w:r w:rsidR="00422EA7" w:rsidRPr="00AF27CD">
        <w:t xml:space="preserve"> </w:t>
      </w:r>
      <w:r w:rsidRPr="00AF27CD">
        <w:t xml:space="preserve">r. wdrażające art. 10 Protokołu NZ przeciwko nielegalnemu wytwarzaniu i obrotowi bronią palną, jej częściami i komponentami oraz amunicją, </w:t>
      </w:r>
      <w:r w:rsidRPr="00AF27CD">
        <w:rPr>
          <w:bCs/>
        </w:rPr>
        <w:t>uzupełniającego Konwencję Narodów Zjednoczonych przeciwko międzynarodowej przestępczości zorganizowanej (protokół NZ w sprawie broni palnej), oraz ustanawiające</w:t>
      </w:r>
      <w:r w:rsidR="008F5822" w:rsidRPr="00AF27CD">
        <w:rPr>
          <w:bCs/>
        </w:rPr>
        <w:t>go</w:t>
      </w:r>
      <w:r w:rsidRPr="00AF27CD">
        <w:rPr>
          <w:bCs/>
        </w:rPr>
        <w:t xml:space="preserve"> zezwolenia na wywóz i środki dotyczące przywozu i tranzytu dla broni palnej, jej części i komponentów oraz amunicji </w:t>
      </w:r>
      <w:r w:rsidRPr="00AF27CD">
        <w:t>(Dz. Urz. UE L 94 z 30.</w:t>
      </w:r>
      <w:r w:rsidR="00E6262C">
        <w:t>0</w:t>
      </w:r>
      <w:r w:rsidRPr="00AF27CD">
        <w:t>3.2012</w:t>
      </w:r>
      <w:r w:rsidR="00E6262C">
        <w:t>, str. 1</w:t>
      </w:r>
      <w:r w:rsidRPr="00AF27CD">
        <w:t xml:space="preserve">), zwane dalej </w:t>
      </w:r>
      <w:r w:rsidR="00E6262C">
        <w:t>„</w:t>
      </w:r>
      <w:r w:rsidRPr="00AF27CD">
        <w:t xml:space="preserve">rozporządzeniem </w:t>
      </w:r>
      <w:r w:rsidR="00E6262C">
        <w:t xml:space="preserve">UE </w:t>
      </w:r>
      <w:r w:rsidRPr="00AF27CD">
        <w:t>258/2012</w:t>
      </w:r>
      <w:r w:rsidR="00E6262C">
        <w:t>”</w:t>
      </w:r>
      <w:r w:rsidRPr="00AF27CD">
        <w:t>.</w:t>
      </w:r>
    </w:p>
    <w:p w:rsidR="00C24B3F" w:rsidRPr="00AF27CD" w:rsidRDefault="00A93E79" w:rsidP="00422EA7">
      <w:pPr>
        <w:spacing w:before="120" w:line="360" w:lineRule="auto"/>
        <w:jc w:val="both"/>
      </w:pPr>
      <w:r w:rsidRPr="00AF27CD">
        <w:t xml:space="preserve">Istotne znaczenie dla działalności reglamentowanej ma również rozporządzenie wykonawcze Komisji Europejskiej (UE) 2015/2403 ustanawiające wspólne wytyczne dotyczące norm i technik pozbawiania broni cech użytkowych w celu zagwarantowania, że broń pozbawiona cech użytkowych trwale nie nadaje się do użytku (Dz. Urz. UE L </w:t>
      </w:r>
      <w:r w:rsidR="00641A01">
        <w:t xml:space="preserve">333 </w:t>
      </w:r>
      <w:r w:rsidR="00E6262C">
        <w:t>z</w:t>
      </w:r>
      <w:r w:rsidR="00EC6774">
        <w:t> </w:t>
      </w:r>
      <w:r w:rsidR="00E6262C">
        <w:t>0</w:t>
      </w:r>
      <w:r w:rsidRPr="00AF27CD">
        <w:t>9.12.2015</w:t>
      </w:r>
      <w:r w:rsidR="00E6262C">
        <w:t>, str. 6</w:t>
      </w:r>
      <w:r w:rsidR="00761694">
        <w:t>7</w:t>
      </w:r>
      <w:r w:rsidR="00293485" w:rsidRPr="00AF27CD">
        <w:t>)</w:t>
      </w:r>
      <w:r w:rsidRPr="00AF27CD">
        <w:t xml:space="preserve">, zwane dalej </w:t>
      </w:r>
      <w:r w:rsidR="00E6262C">
        <w:t>„</w:t>
      </w:r>
      <w:r w:rsidRPr="00AF27CD">
        <w:t>rozporządzeniem 2015/2403</w:t>
      </w:r>
      <w:r w:rsidR="00E6262C">
        <w:t>”</w:t>
      </w:r>
      <w:r w:rsidRPr="00AF27CD">
        <w:t>.</w:t>
      </w:r>
      <w:r w:rsidR="00C24B3F" w:rsidRPr="00AF27CD">
        <w:t xml:space="preserve"> Także to rozporządzenie podlegało modyfikacji i zostało zmienione rozporządzeniem wykonawczym Komisji (UE) 2018/337 z dnia 5 marca 2018 r. (Dz. Urz. UE L </w:t>
      </w:r>
      <w:r w:rsidR="00E6262C">
        <w:t>202 z</w:t>
      </w:r>
      <w:r w:rsidR="00EC6774">
        <w:t> </w:t>
      </w:r>
      <w:r w:rsidR="00E6262C">
        <w:t>05.03.2018, str. 56</w:t>
      </w:r>
      <w:r w:rsidR="00C24B3F" w:rsidRPr="00AF27CD">
        <w:t>).</w:t>
      </w:r>
    </w:p>
    <w:p w:rsidR="00A93E79" w:rsidRPr="00AF27CD" w:rsidRDefault="00F337D5" w:rsidP="00422EA7">
      <w:pPr>
        <w:spacing w:before="120" w:line="360" w:lineRule="auto"/>
        <w:jc w:val="both"/>
      </w:pPr>
      <w:r w:rsidRPr="00AF27CD">
        <w:t>N</w:t>
      </w:r>
      <w:r w:rsidR="00A93E79" w:rsidRPr="00AF27CD">
        <w:t>ajbardziej istotny wpływ</w:t>
      </w:r>
      <w:r w:rsidRPr="00AF27CD">
        <w:t xml:space="preserve"> prawo unijne</w:t>
      </w:r>
      <w:r w:rsidR="00A93E79" w:rsidRPr="00AF27CD">
        <w:t xml:space="preserve"> wywarło na o</w:t>
      </w:r>
      <w:r w:rsidR="00AF27CD" w:rsidRPr="00AF27CD">
        <w:t>bszar związany z wytwarzaniem i</w:t>
      </w:r>
      <w:r w:rsidR="00EC6774">
        <w:t> </w:t>
      </w:r>
      <w:r w:rsidR="00A93E79" w:rsidRPr="00AF27CD">
        <w:t>obrotem materiałami wybuchowymi, bronią i amunicją przeznaczoną na rynek cywilny. Jednak zakres reglamentacji przyjęty w</w:t>
      </w:r>
      <w:r w:rsidR="00AF27CD" w:rsidRPr="00AF27CD">
        <w:t xml:space="preserve"> Polsce jest znacznie szerszy i</w:t>
      </w:r>
      <w:r w:rsidR="00EC6774">
        <w:t> </w:t>
      </w:r>
      <w:r w:rsidR="00A93E79" w:rsidRPr="00AF27CD">
        <w:t xml:space="preserve">obejmuje również materiały wybuchowe, broń </w:t>
      </w:r>
      <w:r w:rsidR="007C719C" w:rsidRPr="00AF27CD">
        <w:t>i amunicję używaną przez w</w:t>
      </w:r>
      <w:r w:rsidR="00A93E79" w:rsidRPr="00AF27CD">
        <w:t>ojsko, Policję i inne państwowe formacje uzbrojone, a także wyroby posiadające przeznaczenie wojskowe i policyjne oraz technologię do produkcji tych wyrobów.</w:t>
      </w:r>
    </w:p>
    <w:p w:rsidR="00A93E79" w:rsidRPr="00AF27CD" w:rsidRDefault="00A93E79" w:rsidP="00422EA7">
      <w:pPr>
        <w:spacing w:before="120" w:line="360" w:lineRule="auto"/>
        <w:jc w:val="both"/>
      </w:pPr>
      <w:r w:rsidRPr="00AF27CD">
        <w:t>Ponieważ zakres zmian, jakie należałoby wprowadzić do ustawy z dnia 22 czerwca 2001 r. w związku ze zmianami wynikającymi z prawa kra</w:t>
      </w:r>
      <w:r w:rsidR="00AF27CD" w:rsidRPr="00AF27CD">
        <w:t>jowego i europejskiego</w:t>
      </w:r>
      <w:r w:rsidR="00241948">
        <w:t>,</w:t>
      </w:r>
      <w:r w:rsidR="00AF27CD" w:rsidRPr="00AF27CD">
        <w:t xml:space="preserve"> w</w:t>
      </w:r>
      <w:r w:rsidR="00EC6774">
        <w:t> </w:t>
      </w:r>
      <w:r w:rsidRPr="00AF27CD">
        <w:t>zasadniczy sposób wpływa na jej dotychczasowy kształt, a obszerność nowelizacji znacznie przekraczałaby objętość ustawy zmienianej, uzasadnion</w:t>
      </w:r>
      <w:r w:rsidR="00F337D5" w:rsidRPr="00AF27CD">
        <w:t>e</w:t>
      </w:r>
      <w:r w:rsidRPr="00AF27CD">
        <w:t xml:space="preserve"> jest, aby </w:t>
      </w:r>
      <w:r w:rsidR="00F337D5" w:rsidRPr="00AF27CD">
        <w:t xml:space="preserve">został </w:t>
      </w:r>
      <w:r w:rsidRPr="00AF27CD">
        <w:t>przygotowany tekst nowej ustawy, spójny z innymi aktami prawa, wzbogacony doświadczeniami wynikającymi ze stosowania ustawy. Niebagatelny wpływ na kształt projektu mają również zmiany wynikające ze zmiany podejścia do tworzenia aktów prawnych towarzyszących ustawom. Do ustawy z dnia 22 czerwc</w:t>
      </w:r>
      <w:r w:rsidR="00AF27CD" w:rsidRPr="00AF27CD">
        <w:t>a 2001 r. wydano w</w:t>
      </w:r>
      <w:r w:rsidR="00EC6774">
        <w:t> </w:t>
      </w:r>
      <w:r w:rsidR="00422EA7" w:rsidRPr="00AF27CD">
        <w:t>latach 2001–</w:t>
      </w:r>
      <w:r w:rsidRPr="00AF27CD">
        <w:t>2003 szereg rozporządzeń wykonawczych, które w części podlegały nowelizacji, jednak zawierały przepisy określające obowiązki przedsiębiorców, które zgodnie z obecnie obowiązującymi zasadami techniki legislacyjnej powinny mieć rangę przepisów włączonych do obszaru ustawy.</w:t>
      </w:r>
    </w:p>
    <w:p w:rsidR="00A93E79" w:rsidRPr="00AF27CD" w:rsidRDefault="00A93E79" w:rsidP="00422EA7">
      <w:pPr>
        <w:spacing w:before="120" w:line="360" w:lineRule="auto"/>
        <w:jc w:val="both"/>
      </w:pPr>
      <w:r w:rsidRPr="00AF27CD">
        <w:t>Projekt nowej ustawy nie przewiduje wymiany dotychczas udzielonych koncesji, ponieważ nie zmienia się, w odróżnieniu od</w:t>
      </w:r>
      <w:r w:rsidR="008F5822" w:rsidRPr="00AF27CD">
        <w:t xml:space="preserve"> rozwiązań wprowadzonych </w:t>
      </w:r>
      <w:r w:rsidRPr="00AF27CD">
        <w:t>ustaw</w:t>
      </w:r>
      <w:r w:rsidR="008F5822" w:rsidRPr="00AF27CD">
        <w:t>ą</w:t>
      </w:r>
      <w:r w:rsidRPr="00AF27CD">
        <w:t xml:space="preserve"> z dnia 22 czerwca 2001 r., obszar objęty reglamentacją. </w:t>
      </w:r>
    </w:p>
    <w:p w:rsidR="00A93E79" w:rsidRPr="00AF27CD" w:rsidRDefault="00A93E79" w:rsidP="00422EA7">
      <w:pPr>
        <w:spacing w:before="120" w:line="360" w:lineRule="auto"/>
        <w:jc w:val="both"/>
      </w:pPr>
      <w:r w:rsidRPr="00AF27CD">
        <w:t xml:space="preserve">Na podstawie przepisów </w:t>
      </w:r>
      <w:r w:rsidR="00EC1F4E" w:rsidRPr="00AF27CD">
        <w:t>w</w:t>
      </w:r>
      <w:r w:rsidR="00881841" w:rsidRPr="00AF27CD">
        <w:t>w</w:t>
      </w:r>
      <w:r w:rsidR="00E407C7" w:rsidRPr="00AF27CD">
        <w:t>.</w:t>
      </w:r>
      <w:r w:rsidR="00422EA7" w:rsidRPr="00AF27CD">
        <w:t xml:space="preserve"> ustawy w latach 2003–</w:t>
      </w:r>
      <w:r w:rsidRPr="00AF27CD">
        <w:t>201</w:t>
      </w:r>
      <w:r w:rsidR="004F75DB" w:rsidRPr="00AF27CD">
        <w:t>8</w:t>
      </w:r>
      <w:r w:rsidRPr="00AF27CD">
        <w:t xml:space="preserve"> organ koncesyjny (minister właściwy do spraw wewnętrznych) udzielił 1</w:t>
      </w:r>
      <w:r w:rsidR="004F75DB" w:rsidRPr="00AF27CD">
        <w:t>682</w:t>
      </w:r>
      <w:r w:rsidRPr="00AF27CD">
        <w:t xml:space="preserve"> koncesji na wykonywanie działa</w:t>
      </w:r>
      <w:r w:rsidR="00F337D5" w:rsidRPr="00AF27CD">
        <w:t xml:space="preserve">lności we wszystkich zakresach </w:t>
      </w:r>
      <w:r w:rsidRPr="00AF27CD">
        <w:t xml:space="preserve">określonych w </w:t>
      </w:r>
      <w:r w:rsidR="00881841" w:rsidRPr="00AF27CD">
        <w:t>tej</w:t>
      </w:r>
      <w:r w:rsidRPr="00AF27CD">
        <w:t xml:space="preserve"> ustawie. W tym okresie z obrotu prawnego wycofano ok. </w:t>
      </w:r>
      <w:r w:rsidR="004F75DB" w:rsidRPr="00AF27CD">
        <w:t>400</w:t>
      </w:r>
      <w:r w:rsidRPr="00AF27CD">
        <w:t xml:space="preserve"> koncesji na skutek np. cofnięcia z uwagi na zaprzestanie wykonywania działalności, cofnięcia na skutek s</w:t>
      </w:r>
      <w:r w:rsidR="00AF27CD" w:rsidRPr="00AF27CD">
        <w:t>twierdzonych nieprawidłowości w</w:t>
      </w:r>
      <w:r w:rsidR="00EC6774">
        <w:t> </w:t>
      </w:r>
      <w:r w:rsidRPr="00AF27CD">
        <w:t xml:space="preserve">wykonywaniu działalności, stwierdzenia wygaśnięcia w związku z likwidacją przedsiębiorstwa osoby prawnej lub śmiercią przedsiębiorcy będącego osobą fizyczną. Koncesje </w:t>
      </w:r>
      <w:r w:rsidR="00F337D5" w:rsidRPr="00AF27CD">
        <w:t xml:space="preserve">są udzielane </w:t>
      </w:r>
      <w:r w:rsidRPr="00AF27CD">
        <w:t>zarówno osobom fizycznym, jak i przedsiębiorcom innym niż osoba fizyczna, bez ograniczenia co do liczby udzielonych koncesji, jak i formy prawnej działalności. Działalność w zakresie określonym ustawą z dnia 22 czerwca 2001 r. jest wykonywana przez niewielką grupę przedsiębiorców. Świadczy o tym liczba koncesji udzielanych w danym roku: np. w 2008 r</w:t>
      </w:r>
      <w:r w:rsidR="00AF27CD" w:rsidRPr="00AF27CD">
        <w:t>. udzielono 45 koncesji, w</w:t>
      </w:r>
      <w:r w:rsidR="00EC6774">
        <w:t> </w:t>
      </w:r>
      <w:r w:rsidR="00AF27CD" w:rsidRPr="00AF27CD">
        <w:t>2011</w:t>
      </w:r>
      <w:r w:rsidR="00EC6774">
        <w:t> </w:t>
      </w:r>
      <w:r w:rsidRPr="00AF27CD">
        <w:t>r. – 43, w 2015 r. – 86,</w:t>
      </w:r>
      <w:r w:rsidR="00422EA7" w:rsidRPr="00AF27CD">
        <w:t xml:space="preserve"> w 2016 r. – </w:t>
      </w:r>
      <w:r w:rsidRPr="00AF27CD">
        <w:t>119</w:t>
      </w:r>
      <w:r w:rsidR="004F75DB" w:rsidRPr="00AF27CD">
        <w:t>,</w:t>
      </w:r>
      <w:r w:rsidR="00422EA7" w:rsidRPr="00AF27CD">
        <w:t xml:space="preserve"> </w:t>
      </w:r>
      <w:r w:rsidR="004F75DB" w:rsidRPr="00AF27CD">
        <w:t>w 2017 r. – 105</w:t>
      </w:r>
      <w:r w:rsidR="00E6262C">
        <w:t>,</w:t>
      </w:r>
      <w:r w:rsidR="004F75DB" w:rsidRPr="00AF27CD">
        <w:t xml:space="preserve"> a w 2018 r. – 117.</w:t>
      </w:r>
    </w:p>
    <w:p w:rsidR="00A93E79" w:rsidRPr="00AF27CD" w:rsidRDefault="00A93E79" w:rsidP="00422EA7">
      <w:pPr>
        <w:spacing w:before="120" w:line="360" w:lineRule="auto"/>
        <w:jc w:val="both"/>
      </w:pPr>
      <w:r w:rsidRPr="00AF27CD">
        <w:t>Nie ulega jednak wątpliwości, że działalność ta dotyczy kluczowego dla bezpieczeństwa i porządku publicznego obszaru, jak r</w:t>
      </w:r>
      <w:r w:rsidR="00AF27CD" w:rsidRPr="00AF27CD">
        <w:t>ównież ma bezpośredni związek z</w:t>
      </w:r>
      <w:r w:rsidR="00EC6774">
        <w:t> </w:t>
      </w:r>
      <w:r w:rsidRPr="00AF27CD">
        <w:t>realizacją obowiązków wynikających np</w:t>
      </w:r>
      <w:r w:rsidR="00AF27CD" w:rsidRPr="00AF27CD">
        <w:t>. z faktu uczestnictwa w NATO i</w:t>
      </w:r>
      <w:r w:rsidR="00EC6774">
        <w:t> </w:t>
      </w:r>
      <w:r w:rsidR="008F5822" w:rsidRPr="00AF27CD">
        <w:t xml:space="preserve">wynikających z tego </w:t>
      </w:r>
      <w:r w:rsidRPr="00AF27CD">
        <w:t xml:space="preserve">zobowiązań sojuszniczych. Poza wytwarzaniem i sprzedażą na rynek cywilny materiałów wybuchowych, broni i amunicji, przedsiębiorcy posiadający koncesję ministra właściwego do spraw wewnętrznych </w:t>
      </w:r>
      <w:r w:rsidR="00413B1C" w:rsidRPr="00AF27CD">
        <w:t>przez</w:t>
      </w:r>
      <w:r w:rsidR="00AF27CD">
        <w:t xml:space="preserve"> dostawy wyrobów o</w:t>
      </w:r>
      <w:r w:rsidR="00EC6774">
        <w:t> </w:t>
      </w:r>
      <w:r w:rsidRPr="00AF27CD">
        <w:t>przeznaczeniu wojskowym lub policyjny</w:t>
      </w:r>
      <w:r w:rsidR="003C19E1" w:rsidRPr="00AF27CD">
        <w:t>m</w:t>
      </w:r>
      <w:r w:rsidRPr="00AF27CD">
        <w:t xml:space="preserve"> mają wpływ na jakość uzbrojenia</w:t>
      </w:r>
      <w:r w:rsidR="00AF27CD">
        <w:t xml:space="preserve"> i</w:t>
      </w:r>
      <w:r w:rsidR="00EC6774">
        <w:t> </w:t>
      </w:r>
      <w:r w:rsidRPr="00AF27CD">
        <w:t xml:space="preserve">wyposażenia </w:t>
      </w:r>
      <w:r w:rsidR="007C719C" w:rsidRPr="00AF27CD">
        <w:t>w</w:t>
      </w:r>
      <w:r w:rsidRPr="00AF27CD">
        <w:t>ojska, Policji i pozostałych państwowych formacji uzbrojonych.</w:t>
      </w:r>
    </w:p>
    <w:p w:rsidR="00A93E79" w:rsidRPr="00AF27CD" w:rsidRDefault="00A93E79" w:rsidP="00422EA7">
      <w:pPr>
        <w:spacing w:before="120" w:line="360" w:lineRule="auto"/>
        <w:jc w:val="both"/>
      </w:pPr>
      <w:r w:rsidRPr="00AF27CD">
        <w:t>Posiadanie koncesji ministra właściwego do spraw wewnętrznych na wykonywanie działalności gospodarczej w zakresie obrotu szeroko pojętym uzbrojeniem jest ponadto dokumentem wymaganym przy dokonywaniu transakcji z zagranicą na zasadach określonych w ustawie z dnia 29 listopada 2000 r. o obrocie z zagranicą towarami, technologiami i usługami o znaczeniu strategiczny</w:t>
      </w:r>
      <w:r w:rsidR="00AF27CD">
        <w:t>m dla bezpieczeństwa państwa, a</w:t>
      </w:r>
      <w:r w:rsidR="00EC6774">
        <w:t> </w:t>
      </w:r>
      <w:r w:rsidRPr="00AF27CD">
        <w:t>także dla utrzymania międzynarodowego pokoju i bezpieczeństwa</w:t>
      </w:r>
      <w:r w:rsidR="001165DD" w:rsidRPr="00AF27CD">
        <w:t>.</w:t>
      </w:r>
    </w:p>
    <w:p w:rsidR="00A93E79" w:rsidRPr="00AF27CD" w:rsidRDefault="00A93E79" w:rsidP="00CC3571">
      <w:pPr>
        <w:pStyle w:val="Akapitzlist"/>
        <w:numPr>
          <w:ilvl w:val="0"/>
          <w:numId w:val="20"/>
        </w:numPr>
        <w:tabs>
          <w:tab w:val="left" w:pos="426"/>
        </w:tabs>
        <w:spacing w:before="120" w:after="0" w:line="360" w:lineRule="auto"/>
        <w:ind w:left="0" w:firstLine="0"/>
        <w:rPr>
          <w:b/>
        </w:rPr>
      </w:pPr>
      <w:r w:rsidRPr="00AF27CD">
        <w:rPr>
          <w:b/>
        </w:rPr>
        <w:t>Główne obszary zmian</w:t>
      </w:r>
    </w:p>
    <w:p w:rsidR="00A93E79" w:rsidRPr="00AF27CD" w:rsidRDefault="00A93E79" w:rsidP="00CC3571">
      <w:pPr>
        <w:spacing w:before="120" w:line="360" w:lineRule="auto"/>
        <w:jc w:val="both"/>
        <w:rPr>
          <w:noProof/>
        </w:rPr>
      </w:pPr>
      <w:r w:rsidRPr="00AF27CD">
        <w:rPr>
          <w:noProof/>
        </w:rPr>
        <w:t xml:space="preserve">Ustawa z dnia 22 czerwca 2001 r. zawiera rozwiązania, które w toku jej funkcjonowania okazały się zasadne i skuteczne. Zaledwie w kilkunastu przypadkach rozstrzygnięcia dokonywane przez organ koncesyjny były przedmiotem orzekania sądów administracyjnych. Orzeczenia w zakresie objętym </w:t>
      </w:r>
      <w:r w:rsidR="001D2325" w:rsidRPr="00AF27CD">
        <w:rPr>
          <w:noProof/>
        </w:rPr>
        <w:t>ww.</w:t>
      </w:r>
      <w:r w:rsidRPr="00AF27CD">
        <w:rPr>
          <w:noProof/>
        </w:rPr>
        <w:t xml:space="preserve"> ustawą są więc nieliczne i brak jest rozstrzygnięć, które miałyby wpływ na mechanizmy koncesjonowania działalności opisane w ustawie. Dlatego też projekt nowej ustawy nie zawiera rozwiązań w sposób znaczący zmieniających dotychczasowe przepisy w zakresie warunków, jakie powinien spełnić przedsiębiorca ubiegający się o udzielenie koncesji, zasad wykonywania działalności</w:t>
      </w:r>
      <w:r w:rsidR="00422EA7" w:rsidRPr="00AF27CD">
        <w:rPr>
          <w:noProof/>
        </w:rPr>
        <w:t xml:space="preserve"> </w:t>
      </w:r>
      <w:r w:rsidRPr="00AF27CD">
        <w:rPr>
          <w:noProof/>
        </w:rPr>
        <w:t>w zakresie wytwarzania i obrotu, przemieszczania broni palnej i amunicji, okoliczności uzasadniających cofnięcie koncesji i kontroli sposo</w:t>
      </w:r>
      <w:r w:rsidR="00641A01">
        <w:rPr>
          <w:noProof/>
        </w:rPr>
        <w:t>bu wykonywania działalności regla</w:t>
      </w:r>
      <w:r w:rsidRPr="00AF27CD">
        <w:rPr>
          <w:noProof/>
        </w:rPr>
        <w:t>mentowanej.</w:t>
      </w:r>
    </w:p>
    <w:p w:rsidR="00A93E79" w:rsidRPr="00AF27CD" w:rsidRDefault="00A93E79" w:rsidP="00422EA7">
      <w:pPr>
        <w:spacing w:before="120" w:line="360" w:lineRule="auto"/>
        <w:jc w:val="both"/>
        <w:rPr>
          <w:noProof/>
        </w:rPr>
      </w:pPr>
      <w:r w:rsidRPr="00AF27CD">
        <w:rPr>
          <w:noProof/>
        </w:rPr>
        <w:t>Projekt nowej ustawy wprowadza nowe obowiązki wynikające wprost z prawa europejskiego, które będą miały zasadniczy wpływ na działalność przedsiębiorców wykonujących działalność gospodarczą w zakresie wytw</w:t>
      </w:r>
      <w:r w:rsidR="00AF27CD">
        <w:rPr>
          <w:noProof/>
        </w:rPr>
        <w:t>arzania i obrotu bronią palną i</w:t>
      </w:r>
      <w:r w:rsidR="00EC6774">
        <w:rPr>
          <w:noProof/>
        </w:rPr>
        <w:t> </w:t>
      </w:r>
      <w:r w:rsidRPr="00AF27CD">
        <w:rPr>
          <w:noProof/>
        </w:rPr>
        <w:t>amunicją do tej broni.</w:t>
      </w:r>
    </w:p>
    <w:p w:rsidR="00A93E79" w:rsidRPr="00AF27CD" w:rsidRDefault="00422EA7" w:rsidP="00E6262C">
      <w:pPr>
        <w:keepNext/>
        <w:spacing w:before="120" w:line="360" w:lineRule="auto"/>
        <w:ind w:left="284" w:hanging="284"/>
        <w:jc w:val="both"/>
        <w:rPr>
          <w:b/>
          <w:noProof/>
        </w:rPr>
      </w:pPr>
      <w:r w:rsidRPr="00AF27CD">
        <w:rPr>
          <w:b/>
          <w:noProof/>
        </w:rPr>
        <w:t>–</w:t>
      </w:r>
      <w:r w:rsidR="00AF27CD">
        <w:rPr>
          <w:b/>
          <w:noProof/>
        </w:rPr>
        <w:tab/>
      </w:r>
      <w:r w:rsidR="00A93E79" w:rsidRPr="00AF27CD">
        <w:rPr>
          <w:b/>
          <w:noProof/>
        </w:rPr>
        <w:t>System śledzenia broni</w:t>
      </w:r>
    </w:p>
    <w:p w:rsidR="00A93E79" w:rsidRPr="00AF27CD" w:rsidRDefault="00A93E79" w:rsidP="00AF27CD">
      <w:pPr>
        <w:spacing w:line="360" w:lineRule="auto"/>
        <w:ind w:left="284"/>
        <w:jc w:val="both"/>
      </w:pPr>
      <w:r w:rsidRPr="00AF27CD">
        <w:rPr>
          <w:noProof/>
        </w:rPr>
        <w:t xml:space="preserve">Dyrektywa </w:t>
      </w:r>
      <w:r w:rsidRPr="00AF27CD">
        <w:t>Parlamentu Europejskiego i Rady 2008/51/WE z dnia 21 maja 2008 r. zmieniająca dyrektywę Rady 91/477/EWG</w:t>
      </w:r>
      <w:r w:rsidR="00AF27CD">
        <w:t xml:space="preserve"> w sprawie kontroli nabywania i</w:t>
      </w:r>
      <w:r w:rsidR="00EC6774">
        <w:t> </w:t>
      </w:r>
      <w:r w:rsidRPr="00AF27CD">
        <w:t xml:space="preserve">posiadania broni (Dz. Urz. UE L 179 z </w:t>
      </w:r>
      <w:r w:rsidR="00E6262C">
        <w:t>0</w:t>
      </w:r>
      <w:r w:rsidRPr="00AF27CD">
        <w:t>8.</w:t>
      </w:r>
      <w:r w:rsidR="00E6262C">
        <w:t>0</w:t>
      </w:r>
      <w:r w:rsidRPr="00AF27CD">
        <w:t>7.2008</w:t>
      </w:r>
      <w:r w:rsidR="00E6262C">
        <w:t>, str. 5</w:t>
      </w:r>
      <w:r w:rsidRPr="00AF27CD">
        <w:t xml:space="preserve">) wprowadziła obowiązek stworzenia przez Państwa Członkowskie systemu śledzenia historii każdej jednostki broni palnej od jej wytworzenia lub importu, </w:t>
      </w:r>
      <w:r w:rsidR="00413B1C" w:rsidRPr="00AF27CD">
        <w:t>przez</w:t>
      </w:r>
      <w:r w:rsidRPr="00AF27CD">
        <w:t xml:space="preserve"> kolejnych posiadaczy, aż do faktycznego jej zniszczenia. Dodatkowo dyrektyw</w:t>
      </w:r>
      <w:r w:rsidR="000B17E7" w:rsidRPr="00AF27CD">
        <w:t xml:space="preserve">a 2017/853 </w:t>
      </w:r>
      <w:r w:rsidRPr="00AF27CD">
        <w:t xml:space="preserve">włącza do systemu śledzenia broni również broń posiadaną przez przedsiębiorców wykonujących działalność w zakresie wytwarzania i obrotu bronią palną. </w:t>
      </w:r>
      <w:r w:rsidRPr="00AF27CD">
        <w:rPr>
          <w:noProof/>
        </w:rPr>
        <w:t>Celem</w:t>
      </w:r>
      <w:r w:rsidRPr="00AF27CD">
        <w:t xml:space="preserve"> takiego działania jest zapewnienie, że broń palna oraz każdy istotny komponent broni palnej, zdefiniowane w ww. dyrektywie, wprowadzone na rynek zostały oznakowane</w:t>
      </w:r>
      <w:r w:rsidR="00E6262C">
        <w:t xml:space="preserve"> i</w:t>
      </w:r>
      <w:r w:rsidR="00EC6774">
        <w:t> </w:t>
      </w:r>
      <w:r w:rsidRPr="00AF27CD">
        <w:t xml:space="preserve">zarejestrowane w sposób umożliwiający systematyczne śledzenie historii losów tej broni palnej i jej komponentów od wytwórcy do nabywcy, gwarantując upoważnionym organom dostęp do systemów rejestracji danych obejmujących każdą jednostkę broni palnej objętej dyrektywą </w:t>
      </w:r>
      <w:r w:rsidR="00413B1C" w:rsidRPr="00AF27CD">
        <w:t>przez</w:t>
      </w:r>
      <w:r w:rsidR="00AF27CD">
        <w:t xml:space="preserve"> utworzenie i</w:t>
      </w:r>
      <w:r w:rsidR="00E6262C">
        <w:t xml:space="preserve"> </w:t>
      </w:r>
      <w:r w:rsidRPr="00AF27CD">
        <w:t xml:space="preserve">prowadzenie skomputeryzowanego, scentralizowanego systemu </w:t>
      </w:r>
      <w:r w:rsidR="00AF27CD">
        <w:t>rejestracji danych o</w:t>
      </w:r>
      <w:r w:rsidR="00E6262C">
        <w:t xml:space="preserve"> </w:t>
      </w:r>
      <w:r w:rsidRPr="00AF27CD">
        <w:t>broni palnej, przechowującego przez okres 30 la</w:t>
      </w:r>
      <w:r w:rsidR="00AF27CD">
        <w:t>t od jej zniszczenia zapisane w</w:t>
      </w:r>
      <w:r w:rsidR="00E6262C">
        <w:t xml:space="preserve"> </w:t>
      </w:r>
      <w:r w:rsidRPr="00AF27CD">
        <w:t>systemie informacje identyfikujące jednoznacznie daną broń palną i jej aktualnego posiadacza. Celem tego działania jest ograniczenie nielegalnego wytwarzania lub nielegalnego obrotu bronią palną oraz udzielanie właściwym organom Państw Członkowskich pomocy w wykrywaniu, badaniu i analizowaniu procesów nielegalnego wytwarzania broni i n</w:t>
      </w:r>
      <w:r w:rsidR="001D2325" w:rsidRPr="00AF27CD">
        <w:t>ielegalnego obrotu bronią palną.</w:t>
      </w:r>
    </w:p>
    <w:p w:rsidR="00A93E79" w:rsidRPr="00AF27CD" w:rsidRDefault="00422EA7" w:rsidP="00AF27CD">
      <w:pPr>
        <w:spacing w:before="120" w:line="360" w:lineRule="auto"/>
        <w:ind w:left="284" w:hanging="284"/>
        <w:jc w:val="both"/>
        <w:rPr>
          <w:b/>
        </w:rPr>
      </w:pPr>
      <w:r w:rsidRPr="00AF27CD">
        <w:rPr>
          <w:b/>
        </w:rPr>
        <w:t>–</w:t>
      </w:r>
      <w:r w:rsidR="00AF27CD">
        <w:rPr>
          <w:b/>
        </w:rPr>
        <w:tab/>
      </w:r>
      <w:r w:rsidR="00A93E79" w:rsidRPr="00AF27CD">
        <w:rPr>
          <w:b/>
        </w:rPr>
        <w:t>Wywóz broni</w:t>
      </w:r>
    </w:p>
    <w:p w:rsidR="00A93E79" w:rsidRPr="00AF27CD" w:rsidRDefault="00A93E79" w:rsidP="00AF27CD">
      <w:pPr>
        <w:spacing w:line="360" w:lineRule="auto"/>
        <w:ind w:left="284"/>
        <w:jc w:val="both"/>
        <w:rPr>
          <w:rFonts w:eastAsia="TimesNewRoman"/>
        </w:rPr>
      </w:pPr>
      <w:r w:rsidRPr="00AF27CD">
        <w:rPr>
          <w:bCs/>
        </w:rPr>
        <w:t xml:space="preserve">Kolejnym aktem prawa europejskiego wymagającym osadzenia w polskim ustawodawstwie jest </w:t>
      </w:r>
      <w:r w:rsidRPr="00AF27CD">
        <w:rPr>
          <w:rStyle w:val="Pogrubienie"/>
          <w:b w:val="0"/>
        </w:rPr>
        <w:t>rozporządzenie</w:t>
      </w:r>
      <w:r w:rsidRPr="00AF27CD">
        <w:rPr>
          <w:rStyle w:val="Pogrubienie"/>
        </w:rPr>
        <w:t xml:space="preserve"> </w:t>
      </w:r>
      <w:r w:rsidRPr="00AF27CD">
        <w:t xml:space="preserve">UE nr 258/2012. </w:t>
      </w:r>
      <w:r w:rsidRPr="00AF27CD">
        <w:rPr>
          <w:bCs/>
        </w:rPr>
        <w:t>Mając na uwadze, że w</w:t>
      </w:r>
      <w:r w:rsidRPr="00AF27CD">
        <w:rPr>
          <w:rFonts w:eastAsia="TimesNewRoman"/>
        </w:rPr>
        <w:t xml:space="preserve">ydanie przepisów krajowych w celu implementacji rozporządzeń unijnych jest dopuszczalne na zasadach wyjątkowych w ściśle określonych przypadkach, zmienione i nowe przepisy wprowadzone do </w:t>
      </w:r>
      <w:r w:rsidR="00F337D5" w:rsidRPr="00AF27CD">
        <w:rPr>
          <w:rFonts w:eastAsia="TimesNewRoman"/>
        </w:rPr>
        <w:t xml:space="preserve">projektowanej </w:t>
      </w:r>
      <w:r w:rsidRPr="00AF27CD">
        <w:rPr>
          <w:rFonts w:eastAsia="TimesNewRoman"/>
        </w:rPr>
        <w:t>usta</w:t>
      </w:r>
      <w:r w:rsidR="00AF27CD">
        <w:rPr>
          <w:rFonts w:eastAsia="TimesNewRoman"/>
        </w:rPr>
        <w:t>wy są nakierowane na zgodność z</w:t>
      </w:r>
      <w:r w:rsidR="00EC6774">
        <w:rPr>
          <w:rFonts w:eastAsia="TimesNewRoman"/>
        </w:rPr>
        <w:t> </w:t>
      </w:r>
      <w:r w:rsidRPr="00AF27CD">
        <w:rPr>
          <w:rFonts w:eastAsia="TimesNewRoman"/>
        </w:rPr>
        <w:t xml:space="preserve">przepisami </w:t>
      </w:r>
      <w:r w:rsidRPr="00AF27CD">
        <w:rPr>
          <w:rStyle w:val="Pogrubienie"/>
          <w:b w:val="0"/>
        </w:rPr>
        <w:t xml:space="preserve">rozporządzenia </w:t>
      </w:r>
      <w:r w:rsidRPr="00AF27CD">
        <w:t>UE nr 258/2012</w:t>
      </w:r>
      <w:r w:rsidRPr="00AF27CD">
        <w:rPr>
          <w:rFonts w:eastAsia="TimesNewRoman"/>
        </w:rPr>
        <w:t xml:space="preserve">, nie zmieniają definicji tego rozporządzenia </w:t>
      </w:r>
      <w:r w:rsidRPr="00AF27CD">
        <w:t>i są:</w:t>
      </w:r>
    </w:p>
    <w:p w:rsidR="00A93E79" w:rsidRPr="00AF27CD" w:rsidRDefault="00A93E79" w:rsidP="00AF27CD">
      <w:pPr>
        <w:pStyle w:val="Akapitzlist"/>
        <w:numPr>
          <w:ilvl w:val="0"/>
          <w:numId w:val="1"/>
        </w:numPr>
        <w:autoSpaceDE w:val="0"/>
        <w:autoSpaceDN w:val="0"/>
        <w:adjustRightInd w:val="0"/>
        <w:spacing w:after="0" w:line="360" w:lineRule="auto"/>
        <w:ind w:left="709" w:hanging="425"/>
        <w:rPr>
          <w:rFonts w:eastAsia="TimesNewRoman"/>
        </w:rPr>
      </w:pPr>
      <w:r w:rsidRPr="00AF27CD">
        <w:rPr>
          <w:rFonts w:eastAsia="TimesNewRoman"/>
        </w:rPr>
        <w:t xml:space="preserve">niezbędne dla zapewnienia stosowania i pełnej skuteczności rozporządzenia </w:t>
      </w:r>
      <w:r w:rsidR="00413B1C" w:rsidRPr="00AF27CD">
        <w:rPr>
          <w:rFonts w:eastAsia="TimesNewRoman"/>
        </w:rPr>
        <w:t>przez</w:t>
      </w:r>
      <w:r w:rsidRPr="00AF27CD">
        <w:rPr>
          <w:rFonts w:eastAsia="TimesNewRoman"/>
        </w:rPr>
        <w:t xml:space="preserve"> określenie właściwych organów krajowych i związanych z tym kwestii natury proceduralnej, finansowej i organizacyjnej; </w:t>
      </w:r>
    </w:p>
    <w:p w:rsidR="00A93E79" w:rsidRPr="00AF27CD" w:rsidRDefault="00A93E79" w:rsidP="00AF27CD">
      <w:pPr>
        <w:pStyle w:val="Akapitzlist"/>
        <w:numPr>
          <w:ilvl w:val="0"/>
          <w:numId w:val="1"/>
        </w:numPr>
        <w:autoSpaceDE w:val="0"/>
        <w:autoSpaceDN w:val="0"/>
        <w:adjustRightInd w:val="0"/>
        <w:spacing w:before="120" w:after="0" w:line="360" w:lineRule="auto"/>
        <w:ind w:left="709" w:hanging="425"/>
        <w:rPr>
          <w:rFonts w:eastAsia="TimesNewRoman"/>
        </w:rPr>
      </w:pPr>
      <w:r w:rsidRPr="00AF27CD">
        <w:rPr>
          <w:rFonts w:eastAsia="TimesNewRoman"/>
        </w:rPr>
        <w:t xml:space="preserve">zgodne z przepisami </w:t>
      </w:r>
      <w:r w:rsidRPr="00AF27CD">
        <w:rPr>
          <w:rStyle w:val="Pogrubienie"/>
          <w:b w:val="0"/>
        </w:rPr>
        <w:t>rozporządzenia</w:t>
      </w:r>
      <w:r w:rsidRPr="00AF27CD">
        <w:rPr>
          <w:rStyle w:val="Pogrubienie"/>
        </w:rPr>
        <w:t xml:space="preserve"> </w:t>
      </w:r>
      <w:r w:rsidRPr="00AF27CD">
        <w:t xml:space="preserve">UE nr 258/2012, które </w:t>
      </w:r>
      <w:r w:rsidRPr="00AF27CD">
        <w:rPr>
          <w:rFonts w:eastAsia="TimesNewRoman"/>
        </w:rPr>
        <w:t xml:space="preserve">przewidują wydanie określonych przepisów krajowych bezpośrednio i pośrednio z niego wynikających; </w:t>
      </w:r>
    </w:p>
    <w:p w:rsidR="00A93E79" w:rsidRPr="00AF27CD" w:rsidRDefault="00A93E79" w:rsidP="00AF27CD">
      <w:pPr>
        <w:pStyle w:val="Akapitzlist"/>
        <w:numPr>
          <w:ilvl w:val="0"/>
          <w:numId w:val="1"/>
        </w:numPr>
        <w:autoSpaceDE w:val="0"/>
        <w:autoSpaceDN w:val="0"/>
        <w:adjustRightInd w:val="0"/>
        <w:spacing w:before="120" w:after="0" w:line="360" w:lineRule="auto"/>
        <w:ind w:left="709" w:hanging="425"/>
        <w:rPr>
          <w:rFonts w:eastAsia="TimesNewRoman"/>
        </w:rPr>
      </w:pPr>
      <w:r w:rsidRPr="00AF27CD">
        <w:rPr>
          <w:rFonts w:eastAsia="TimesNewRoman"/>
        </w:rPr>
        <w:t>konieczne w związku z dyspozycją wprowadzenia do krajowego porządku prawnego sankcji (w tym sankcji cywilnoprawnych, administracyjnych lub karnych) za naruszenie przepisów rozporządzenia;</w:t>
      </w:r>
    </w:p>
    <w:p w:rsidR="00A93E79" w:rsidRPr="00AF27CD" w:rsidRDefault="00A93E79" w:rsidP="00AF27CD">
      <w:pPr>
        <w:pStyle w:val="Akapitzlist"/>
        <w:numPr>
          <w:ilvl w:val="0"/>
          <w:numId w:val="1"/>
        </w:numPr>
        <w:autoSpaceDE w:val="0"/>
        <w:autoSpaceDN w:val="0"/>
        <w:adjustRightInd w:val="0"/>
        <w:spacing w:before="120" w:after="0" w:line="360" w:lineRule="auto"/>
        <w:ind w:left="709" w:hanging="425"/>
        <w:rPr>
          <w:bCs/>
        </w:rPr>
      </w:pPr>
      <w:r w:rsidRPr="00AF27CD">
        <w:rPr>
          <w:rFonts w:eastAsia="TimesNewRoman"/>
        </w:rPr>
        <w:t xml:space="preserve">powtórzeniem treści niektórych przepisów </w:t>
      </w:r>
      <w:r w:rsidRPr="00AF27CD">
        <w:rPr>
          <w:rStyle w:val="Pogrubienie"/>
          <w:b w:val="0"/>
        </w:rPr>
        <w:t>rozporządzenia</w:t>
      </w:r>
      <w:r w:rsidRPr="00AF27CD">
        <w:rPr>
          <w:rStyle w:val="Pogrubienie"/>
        </w:rPr>
        <w:t xml:space="preserve"> </w:t>
      </w:r>
      <w:r w:rsidRPr="00AF27CD">
        <w:t xml:space="preserve">UE nr 258/2012 </w:t>
      </w:r>
      <w:r w:rsidR="00AF27CD">
        <w:rPr>
          <w:rFonts w:eastAsia="TimesNewRoman"/>
        </w:rPr>
        <w:t>z</w:t>
      </w:r>
      <w:r w:rsidR="00EC6774">
        <w:rPr>
          <w:rFonts w:eastAsia="TimesNewRoman"/>
        </w:rPr>
        <w:t> </w:t>
      </w:r>
      <w:r w:rsidR="004150F3" w:rsidRPr="00AF27CD">
        <w:rPr>
          <w:rFonts w:eastAsia="TimesNewRoman"/>
        </w:rPr>
        <w:t>przyczyn natury techniczno–</w:t>
      </w:r>
      <w:r w:rsidRPr="00AF27CD">
        <w:rPr>
          <w:rFonts w:eastAsia="TimesNewRoman"/>
        </w:rPr>
        <w:t>legislacyjn</w:t>
      </w:r>
      <w:r w:rsidR="00641A01">
        <w:rPr>
          <w:rFonts w:eastAsia="TimesNewRoman"/>
        </w:rPr>
        <w:t xml:space="preserve">ej </w:t>
      </w:r>
      <w:r w:rsidRPr="00AF27CD">
        <w:rPr>
          <w:rFonts w:eastAsia="TimesNewRoman"/>
        </w:rPr>
        <w:t>lub organizacyjn</w:t>
      </w:r>
      <w:r w:rsidR="00641A01">
        <w:rPr>
          <w:rFonts w:eastAsia="TimesNewRoman"/>
        </w:rPr>
        <w:t>ej albo</w:t>
      </w:r>
      <w:r w:rsidRPr="00AF27CD">
        <w:rPr>
          <w:rFonts w:eastAsia="TimesNewRoman"/>
        </w:rPr>
        <w:t xml:space="preserve"> gdy brak powtórzenia przepisów rozporządzenia uczyn</w:t>
      </w:r>
      <w:r w:rsidR="00AF27CD">
        <w:rPr>
          <w:rFonts w:eastAsia="TimesNewRoman"/>
        </w:rPr>
        <w:t>iłby te akty niezrozumiałymi, a</w:t>
      </w:r>
      <w:r w:rsidR="00EC6774">
        <w:rPr>
          <w:rFonts w:eastAsia="TimesNewRoman"/>
        </w:rPr>
        <w:t> </w:t>
      </w:r>
      <w:r w:rsidRPr="00AF27CD">
        <w:rPr>
          <w:rFonts w:eastAsia="TimesNewRoman"/>
        </w:rPr>
        <w:t>odesłanie lub nawiązanie w inny sposób do treści rozporządzenia nie jest możliwe lub nie prowadziłoby do właściwych efektów legislacyjnych.</w:t>
      </w:r>
    </w:p>
    <w:p w:rsidR="00A93E79" w:rsidRPr="00AF27CD" w:rsidRDefault="00A93E79" w:rsidP="00AF27CD">
      <w:pPr>
        <w:spacing w:before="120" w:line="360" w:lineRule="auto"/>
        <w:ind w:left="284"/>
        <w:jc w:val="both"/>
      </w:pPr>
      <w:r w:rsidRPr="00AF27CD">
        <w:rPr>
          <w:rFonts w:eastAsia="TimesNewRoman"/>
        </w:rPr>
        <w:t>Głównym</w:t>
      </w:r>
      <w:r w:rsidRPr="00AF27CD">
        <w:t xml:space="preserve"> celem przepisów zarówno </w:t>
      </w:r>
      <w:r w:rsidRPr="00AF27CD">
        <w:rPr>
          <w:rStyle w:val="Pogrubienie"/>
          <w:b w:val="0"/>
        </w:rPr>
        <w:t>rozporządzenia</w:t>
      </w:r>
      <w:r w:rsidRPr="00AF27CD">
        <w:rPr>
          <w:rStyle w:val="Pogrubienie"/>
        </w:rPr>
        <w:t xml:space="preserve"> </w:t>
      </w:r>
      <w:r w:rsidR="00AF27CD">
        <w:t>UE nr 258/2012, jak i</w:t>
      </w:r>
      <w:r w:rsidR="00EC6774">
        <w:t> </w:t>
      </w:r>
      <w:r w:rsidRPr="00AF27CD">
        <w:rPr>
          <w:bCs/>
        </w:rPr>
        <w:t>dyrektywy</w:t>
      </w:r>
      <w:r w:rsidRPr="00AF27CD">
        <w:t xml:space="preserve"> Rady 91/477/EWG jest maksymalne ograniczenie nielegalnego wytwarzania lub obrotu bronią palną, które oznacza:</w:t>
      </w:r>
      <w:r w:rsidR="00422EA7" w:rsidRPr="00AF27CD">
        <w:t xml:space="preserve"> </w:t>
      </w:r>
    </w:p>
    <w:p w:rsidR="00A93E79" w:rsidRPr="00AF27CD" w:rsidRDefault="00A93E79" w:rsidP="00AF27CD">
      <w:pPr>
        <w:pStyle w:val="Akapitzlist"/>
        <w:numPr>
          <w:ilvl w:val="0"/>
          <w:numId w:val="2"/>
        </w:numPr>
        <w:autoSpaceDE w:val="0"/>
        <w:autoSpaceDN w:val="0"/>
        <w:adjustRightInd w:val="0"/>
        <w:spacing w:after="0" w:line="360" w:lineRule="auto"/>
        <w:ind w:left="709" w:hanging="425"/>
      </w:pPr>
      <w:r w:rsidRPr="00AF27CD">
        <w:t xml:space="preserve">zgodnie z przepisami dyrektywy 91/477/EWG: nabycie, sprzedaż, dostawę, przemieszczenie lub przekazanie broni palnej, istotnych komponentów tej broni lub amunicji z </w:t>
      </w:r>
      <w:r w:rsidR="00E6262C">
        <w:t xml:space="preserve">terytorium </w:t>
      </w:r>
      <w:r w:rsidRPr="00AF27CD">
        <w:t>lub przez terytorium jednego państwa członkowskiego na terytorium innego państwa członkowskiego, jeżeli żadne z zainteresowanych państw członkowskich nie wydało na to zezwolenia zgodnie z przepisami niniejszej dyrektywy lub jeżeli zmontowana broń palna nie jest oznakowana zgodnie z art. 4 ust. 1 dyrektywy;</w:t>
      </w:r>
    </w:p>
    <w:p w:rsidR="00A93E79" w:rsidRPr="00AF27CD" w:rsidRDefault="00A93E79" w:rsidP="00AF27CD">
      <w:pPr>
        <w:pStyle w:val="Akapitzlist"/>
        <w:numPr>
          <w:ilvl w:val="0"/>
          <w:numId w:val="2"/>
        </w:numPr>
        <w:autoSpaceDE w:val="0"/>
        <w:autoSpaceDN w:val="0"/>
        <w:adjustRightInd w:val="0"/>
        <w:spacing w:before="120" w:after="0" w:line="360" w:lineRule="auto"/>
        <w:ind w:left="709" w:hanging="425"/>
      </w:pPr>
      <w:r w:rsidRPr="00AF27CD">
        <w:t xml:space="preserve">zgodnie z przepisami </w:t>
      </w:r>
      <w:r w:rsidRPr="00AF27CD">
        <w:rPr>
          <w:rStyle w:val="Pogrubienie"/>
          <w:b w:val="0"/>
        </w:rPr>
        <w:t>rozporządzenia</w:t>
      </w:r>
      <w:r w:rsidRPr="00AF27CD">
        <w:rPr>
          <w:rStyle w:val="Pogrubienie"/>
        </w:rPr>
        <w:t xml:space="preserve"> </w:t>
      </w:r>
      <w:r w:rsidRPr="00AF27CD">
        <w:t xml:space="preserve">UE nr 258/2012: przywóz, wywóz, sprzedaż, dostawę, przemieszczanie lub przekazanie broni palnej, jej istotnych komponentów lub amunicji lub jej komponentów, jeżeli komponenty te są również objęte wymogiem uzyskania zezwolenia w danym państwie członkowskim, z terytorium lub przez terytorium jednego z państw członkowskich do państwa trzeciego, jeżeli zachodzi którykolwiek z poniższych warunków: </w:t>
      </w:r>
    </w:p>
    <w:p w:rsidR="00A93E79" w:rsidRPr="00AF27CD" w:rsidRDefault="00A93E79" w:rsidP="00AF27CD">
      <w:pPr>
        <w:pStyle w:val="CM4"/>
        <w:numPr>
          <w:ilvl w:val="1"/>
          <w:numId w:val="3"/>
        </w:numPr>
        <w:spacing w:line="360" w:lineRule="auto"/>
        <w:ind w:left="1134" w:hanging="425"/>
        <w:jc w:val="both"/>
        <w:rPr>
          <w:rFonts w:ascii="Times New Roman" w:hAnsi="Times New Roman"/>
        </w:rPr>
      </w:pPr>
      <w:r w:rsidRPr="00AF27CD">
        <w:rPr>
          <w:rFonts w:ascii="Times New Roman" w:hAnsi="Times New Roman"/>
        </w:rPr>
        <w:t>dane państwo członkowskie nie udziela zezwolenia na taką operację zgodnie z przepis</w:t>
      </w:r>
      <w:r w:rsidR="00641A01">
        <w:rPr>
          <w:rFonts w:ascii="Times New Roman" w:hAnsi="Times New Roman"/>
        </w:rPr>
        <w:t>ami niniejszego rozporządzenia,</w:t>
      </w:r>
    </w:p>
    <w:p w:rsidR="00A93E79" w:rsidRPr="00AF27CD" w:rsidRDefault="00A93E79" w:rsidP="00AF27CD">
      <w:pPr>
        <w:pStyle w:val="Akapitzlist"/>
        <w:numPr>
          <w:ilvl w:val="1"/>
          <w:numId w:val="3"/>
        </w:numPr>
        <w:autoSpaceDE w:val="0"/>
        <w:autoSpaceDN w:val="0"/>
        <w:adjustRightInd w:val="0"/>
        <w:spacing w:after="0" w:line="360" w:lineRule="auto"/>
        <w:ind w:left="1134" w:hanging="425"/>
      </w:pPr>
      <w:r w:rsidRPr="00AF27CD">
        <w:t>broń palna nie jest oznakowana zgodnie z art. 4 u</w:t>
      </w:r>
      <w:r w:rsidR="00641A01">
        <w:t>st. 1 i 2 dyrektywy 91/477/EWG,</w:t>
      </w:r>
    </w:p>
    <w:p w:rsidR="005420BE" w:rsidRPr="00AF27CD" w:rsidRDefault="00A93E79" w:rsidP="00AF27CD">
      <w:pPr>
        <w:pStyle w:val="Akapitzlist"/>
        <w:numPr>
          <w:ilvl w:val="1"/>
          <w:numId w:val="3"/>
        </w:numPr>
        <w:spacing w:after="0" w:line="360" w:lineRule="auto"/>
        <w:ind w:left="1134" w:hanging="425"/>
        <w:rPr>
          <w:bCs/>
        </w:rPr>
      </w:pPr>
      <w:r w:rsidRPr="00AF27CD">
        <w:t>na przywożonej broni palnej nie umieszczono w chwili przywozu co najmniej prostego oznakowania pozwalającego na identyfikację pierwotnego państwa przywozu w Unii Europejskiej lub jeżeli na broni palnej nie umieszczono takiego niepowtarzalnego oznakowania pozwalającego na identyfikację przywożonej broni palnej</w:t>
      </w:r>
      <w:r w:rsidRPr="00AF27CD">
        <w:rPr>
          <w:bCs/>
        </w:rPr>
        <w:t>.</w:t>
      </w:r>
    </w:p>
    <w:p w:rsidR="00A93E79" w:rsidRPr="00AF27CD" w:rsidRDefault="00A93E79" w:rsidP="00AF27CD">
      <w:pPr>
        <w:spacing w:before="120" w:line="360" w:lineRule="auto"/>
        <w:ind w:left="284"/>
        <w:jc w:val="both"/>
        <w:rPr>
          <w:bCs/>
        </w:rPr>
      </w:pPr>
      <w:r w:rsidRPr="00AF27CD">
        <w:rPr>
          <w:rFonts w:eastAsia="TimesNewRoman"/>
        </w:rPr>
        <w:t>Wyznaczonymi</w:t>
      </w:r>
      <w:r w:rsidRPr="00AF27CD">
        <w:rPr>
          <w:bCs/>
        </w:rPr>
        <w:t xml:space="preserve"> środkami umożliwiającymi osiągnięcie </w:t>
      </w:r>
      <w:r w:rsidR="009D1E48" w:rsidRPr="00AF27CD">
        <w:rPr>
          <w:bCs/>
        </w:rPr>
        <w:t xml:space="preserve">ww. </w:t>
      </w:r>
      <w:r w:rsidRPr="00AF27CD">
        <w:rPr>
          <w:bCs/>
        </w:rPr>
        <w:t>zamierzonego celu są:</w:t>
      </w:r>
    </w:p>
    <w:p w:rsidR="00A93E79" w:rsidRPr="00AF27CD" w:rsidRDefault="00A93E79" w:rsidP="00AF27CD">
      <w:pPr>
        <w:pStyle w:val="Akapitzlist"/>
        <w:numPr>
          <w:ilvl w:val="2"/>
          <w:numId w:val="3"/>
        </w:numPr>
        <w:spacing w:after="0" w:line="360" w:lineRule="auto"/>
        <w:ind w:left="709" w:hanging="425"/>
        <w:rPr>
          <w:bCs/>
        </w:rPr>
      </w:pPr>
      <w:r w:rsidRPr="00AF27CD">
        <w:rPr>
          <w:bCs/>
        </w:rPr>
        <w:t>jednolite oznakowanie broni palnej oraz istotnych komponentów broni palnej, zgodnie z przepisami art. 4 ust. 1 i 2 dyrektywy</w:t>
      </w:r>
      <w:r w:rsidRPr="00AF27CD">
        <w:t xml:space="preserve"> 91/477/EWG, do których odwołują się przepisy </w:t>
      </w:r>
      <w:r w:rsidRPr="00AF27CD">
        <w:rPr>
          <w:rStyle w:val="Pogrubienie"/>
          <w:b w:val="0"/>
        </w:rPr>
        <w:t>rozporządzenia</w:t>
      </w:r>
      <w:r w:rsidRPr="00AF27CD">
        <w:rPr>
          <w:rStyle w:val="Pogrubienie"/>
        </w:rPr>
        <w:t xml:space="preserve"> </w:t>
      </w:r>
      <w:r w:rsidRPr="00AF27CD">
        <w:t xml:space="preserve">UE nr 258/2012; </w:t>
      </w:r>
    </w:p>
    <w:p w:rsidR="00A93E79" w:rsidRPr="00AF27CD" w:rsidRDefault="00A93E79" w:rsidP="00AF27CD">
      <w:pPr>
        <w:pStyle w:val="Akapitzlist"/>
        <w:numPr>
          <w:ilvl w:val="2"/>
          <w:numId w:val="3"/>
        </w:numPr>
        <w:spacing w:before="120" w:after="0" w:line="360" w:lineRule="auto"/>
        <w:ind w:left="709" w:hanging="425"/>
        <w:rPr>
          <w:bCs/>
          <w:u w:val="single"/>
        </w:rPr>
      </w:pPr>
      <w:r w:rsidRPr="00AF27CD">
        <w:t>systematyczne śledzenie historii broni palnej,</w:t>
      </w:r>
      <w:r w:rsidRPr="00AF27CD">
        <w:rPr>
          <w:bCs/>
        </w:rPr>
        <w:t xml:space="preserve"> </w:t>
      </w:r>
      <w:r w:rsidRPr="00AF27CD">
        <w:t>istotnych komponentów broni palnej od producenta do nabywcy</w:t>
      </w:r>
      <w:r w:rsidRPr="00AF27CD">
        <w:rPr>
          <w:bCs/>
        </w:rPr>
        <w:t xml:space="preserve"> zgodnie z przepisami </w:t>
      </w:r>
      <w:r w:rsidRPr="00AF27CD">
        <w:rPr>
          <w:rStyle w:val="Pogrubienie"/>
          <w:b w:val="0"/>
        </w:rPr>
        <w:t>rozporządzenia</w:t>
      </w:r>
      <w:r w:rsidRPr="00AF27CD">
        <w:rPr>
          <w:rStyle w:val="Pogrubienie"/>
        </w:rPr>
        <w:t xml:space="preserve"> </w:t>
      </w:r>
      <w:r w:rsidR="009D1E48">
        <w:t>UE nr</w:t>
      </w:r>
      <w:r w:rsidR="00EC6774">
        <w:t> </w:t>
      </w:r>
      <w:r w:rsidRPr="00AF27CD">
        <w:t>258/2012, środkami określonymi w przepisach</w:t>
      </w:r>
      <w:r w:rsidRPr="00AF27CD">
        <w:rPr>
          <w:bCs/>
        </w:rPr>
        <w:t xml:space="preserve"> dyrektywy</w:t>
      </w:r>
      <w:r w:rsidRPr="00AF27CD">
        <w:t xml:space="preserve"> 91/477/EWG</w:t>
      </w:r>
      <w:r w:rsidRPr="00AF27CD">
        <w:rPr>
          <w:bCs/>
        </w:rPr>
        <w:t>,</w:t>
      </w:r>
    </w:p>
    <w:p w:rsidR="00A93E79" w:rsidRPr="00AF27CD" w:rsidRDefault="00A93E79" w:rsidP="00AF27CD">
      <w:pPr>
        <w:pStyle w:val="Akapitzlist"/>
        <w:numPr>
          <w:ilvl w:val="2"/>
          <w:numId w:val="3"/>
        </w:numPr>
        <w:spacing w:before="120" w:after="0" w:line="360" w:lineRule="auto"/>
        <w:ind w:left="709" w:hanging="425"/>
        <w:rPr>
          <w:bCs/>
          <w:u w:val="single"/>
        </w:rPr>
      </w:pPr>
      <w:r w:rsidRPr="00AF27CD">
        <w:t>ustalenie organów właściwych do wykonania:</w:t>
      </w:r>
    </w:p>
    <w:p w:rsidR="00A93E79" w:rsidRPr="00AF27CD" w:rsidRDefault="00A93E79" w:rsidP="00AF27CD">
      <w:pPr>
        <w:pStyle w:val="Akapitzlist"/>
        <w:numPr>
          <w:ilvl w:val="0"/>
          <w:numId w:val="5"/>
        </w:numPr>
        <w:spacing w:after="0" w:line="360" w:lineRule="auto"/>
        <w:ind w:left="1134" w:hanging="425"/>
        <w:rPr>
          <w:bCs/>
        </w:rPr>
      </w:pPr>
      <w:r w:rsidRPr="00AF27CD">
        <w:t xml:space="preserve">art. 7 </w:t>
      </w:r>
      <w:r w:rsidRPr="00AF27CD">
        <w:rPr>
          <w:rStyle w:val="Pogrubienie"/>
          <w:b w:val="0"/>
        </w:rPr>
        <w:t>rozporządzenia</w:t>
      </w:r>
      <w:r w:rsidRPr="00AF27CD">
        <w:rPr>
          <w:rStyle w:val="Pogrubienie"/>
        </w:rPr>
        <w:t xml:space="preserve"> </w:t>
      </w:r>
      <w:r w:rsidRPr="00AF27CD">
        <w:t>UE 258/2012 – wydawanie zezwoleń na wywóz broni palnej, jej części oraz istotnych komponentów albo amunicji do krajów trzecich</w:t>
      </w:r>
      <w:r w:rsidR="00641A01">
        <w:t>,</w:t>
      </w:r>
    </w:p>
    <w:p w:rsidR="00A93E79" w:rsidRPr="00AF27CD" w:rsidRDefault="00A93E79" w:rsidP="00AF27CD">
      <w:pPr>
        <w:pStyle w:val="Akapitzlist"/>
        <w:numPr>
          <w:ilvl w:val="0"/>
          <w:numId w:val="5"/>
        </w:numPr>
        <w:spacing w:before="120" w:after="0" w:line="360" w:lineRule="auto"/>
        <w:ind w:left="1134" w:hanging="425"/>
        <w:rPr>
          <w:bCs/>
        </w:rPr>
      </w:pPr>
      <w:r w:rsidRPr="00AF27CD">
        <w:t xml:space="preserve"> art. 9 </w:t>
      </w:r>
      <w:r w:rsidRPr="00AF27CD">
        <w:rPr>
          <w:rStyle w:val="Pogrubienie"/>
          <w:b w:val="0"/>
        </w:rPr>
        <w:t xml:space="preserve">rozporządzenia </w:t>
      </w:r>
      <w:r w:rsidRPr="00AF27CD">
        <w:t>UE 258/2012 – realizowanie procedur uproszczonych na wywóz czasowy lub powrotny broni palnej, jej części oraz istotnych komponentów a</w:t>
      </w:r>
      <w:r w:rsidR="00641A01">
        <w:t>lbo amunicji do krajów trzecich,</w:t>
      </w:r>
    </w:p>
    <w:p w:rsidR="00A93E79" w:rsidRPr="00AF27CD" w:rsidRDefault="00A93E79" w:rsidP="00AF27CD">
      <w:pPr>
        <w:pStyle w:val="Akapitzlist"/>
        <w:numPr>
          <w:ilvl w:val="0"/>
          <w:numId w:val="5"/>
        </w:numPr>
        <w:spacing w:before="120" w:after="0" w:line="360" w:lineRule="auto"/>
        <w:ind w:left="1134" w:hanging="425"/>
        <w:rPr>
          <w:bCs/>
        </w:rPr>
      </w:pPr>
      <w:r w:rsidRPr="00AF27CD">
        <w:t xml:space="preserve">art. 11 </w:t>
      </w:r>
      <w:r w:rsidRPr="00AF27CD">
        <w:rPr>
          <w:rStyle w:val="Pogrubienie"/>
          <w:b w:val="0"/>
        </w:rPr>
        <w:t>rozporządzenia</w:t>
      </w:r>
      <w:r w:rsidRPr="00AF27CD">
        <w:rPr>
          <w:rStyle w:val="Pogrubienie"/>
        </w:rPr>
        <w:t xml:space="preserve"> </w:t>
      </w:r>
      <w:r w:rsidRPr="00AF27CD">
        <w:t>UE 258/2012 – odmawianie, unieważnianie, zawieszanie, zmienianie, cofanie zezwoleń na wywóz broni palnej, jej części oraz istotnych komponentów a</w:t>
      </w:r>
      <w:r w:rsidR="00641A01">
        <w:t>lbo amunicji do krajów trzecich,</w:t>
      </w:r>
    </w:p>
    <w:p w:rsidR="00A93E79" w:rsidRPr="00AF27CD" w:rsidRDefault="00A93E79" w:rsidP="00AF27CD">
      <w:pPr>
        <w:pStyle w:val="Akapitzlist"/>
        <w:numPr>
          <w:ilvl w:val="0"/>
          <w:numId w:val="5"/>
        </w:numPr>
        <w:spacing w:before="120" w:after="0" w:line="360" w:lineRule="auto"/>
        <w:ind w:left="1134" w:hanging="425"/>
        <w:rPr>
          <w:bCs/>
        </w:rPr>
      </w:pPr>
      <w:r w:rsidRPr="00AF27CD">
        <w:t xml:space="preserve">art. 17 </w:t>
      </w:r>
      <w:r w:rsidRPr="00AF27CD">
        <w:rPr>
          <w:rStyle w:val="Pogrubienie"/>
          <w:b w:val="0"/>
        </w:rPr>
        <w:t xml:space="preserve">rozporządzenia </w:t>
      </w:r>
      <w:r w:rsidRPr="00AF27CD">
        <w:t>UE 258/2012 – r</w:t>
      </w:r>
      <w:r w:rsidR="00AF27CD">
        <w:t>ealizacja formalności celnych w</w:t>
      </w:r>
      <w:r w:rsidR="00EC6774">
        <w:t> </w:t>
      </w:r>
      <w:r w:rsidRPr="00AF27CD">
        <w:t>związku z wywozem broni palnej, jej części oraz istotnych komponentów albo amunicji do krajów trzecich.</w:t>
      </w:r>
    </w:p>
    <w:p w:rsidR="00A93E79" w:rsidRPr="00AF27CD" w:rsidRDefault="00422EA7" w:rsidP="00AF27CD">
      <w:pPr>
        <w:spacing w:before="120" w:line="360" w:lineRule="auto"/>
        <w:ind w:left="284" w:hanging="284"/>
        <w:jc w:val="both"/>
        <w:rPr>
          <w:b/>
        </w:rPr>
      </w:pPr>
      <w:r w:rsidRPr="00AF27CD">
        <w:rPr>
          <w:b/>
        </w:rPr>
        <w:t>–</w:t>
      </w:r>
      <w:r w:rsidR="00AF27CD">
        <w:rPr>
          <w:b/>
        </w:rPr>
        <w:tab/>
      </w:r>
      <w:r w:rsidR="00A93E79" w:rsidRPr="00AF27CD">
        <w:rPr>
          <w:b/>
        </w:rPr>
        <w:t>Pozbawianie cech użytkowych broni palnej</w:t>
      </w:r>
    </w:p>
    <w:p w:rsidR="00A93E79" w:rsidRPr="00AF27CD" w:rsidRDefault="00A93E79" w:rsidP="00AF27CD">
      <w:pPr>
        <w:autoSpaceDE w:val="0"/>
        <w:autoSpaceDN w:val="0"/>
        <w:adjustRightInd w:val="0"/>
        <w:spacing w:line="360" w:lineRule="auto"/>
        <w:ind w:left="284"/>
        <w:jc w:val="both"/>
        <w:rPr>
          <w:bCs/>
        </w:rPr>
      </w:pPr>
      <w:r w:rsidRPr="00AF27CD">
        <w:t xml:space="preserve">Rozporządzenie 2015/2403 </w:t>
      </w:r>
      <w:r w:rsidR="0021074F" w:rsidRPr="00AF27CD">
        <w:t>(zmienione następnie rozporządzeniem z dnia 5 marca 2018 r.</w:t>
      </w:r>
      <w:r w:rsidR="00422EA7" w:rsidRPr="00AF27CD">
        <w:t xml:space="preserve"> </w:t>
      </w:r>
      <w:r w:rsidR="009D1E48">
        <w:t xml:space="preserve">nr </w:t>
      </w:r>
      <w:r w:rsidR="0021074F" w:rsidRPr="00AF27CD">
        <w:t xml:space="preserve">2018/337) </w:t>
      </w:r>
      <w:r w:rsidRPr="00AF27CD">
        <w:t>ustanowiło wspólne wytyczne dotyczące norm i technik pozbawiania broni palnej cech użytkowych w celu zagwarantowania, że broń pozbawiona cech użytkowych trwale nie nadaje się do użytku. Dodatkowo</w:t>
      </w:r>
      <w:r w:rsidRPr="00AF27CD">
        <w:rPr>
          <w:bCs/>
        </w:rPr>
        <w:t xml:space="preserve"> przepisy tego rozporządzenia precyzyjnie określają sposób przeprowadzania </w:t>
      </w:r>
      <w:r w:rsidR="008F5822" w:rsidRPr="00AF27CD">
        <w:rPr>
          <w:bCs/>
        </w:rPr>
        <w:t>określonych czynności, w wyniku</w:t>
      </w:r>
      <w:r w:rsidRPr="00AF27CD">
        <w:rPr>
          <w:bCs/>
        </w:rPr>
        <w:t xml:space="preserve"> których broń traci swoje cechy użytkowe, jest więc uzasadnione wyraźne odesłanie w </w:t>
      </w:r>
      <w:r w:rsidR="00F337D5" w:rsidRPr="00AF27CD">
        <w:rPr>
          <w:bCs/>
        </w:rPr>
        <w:t xml:space="preserve">projektowanej </w:t>
      </w:r>
      <w:r w:rsidRPr="00AF27CD">
        <w:rPr>
          <w:bCs/>
        </w:rPr>
        <w:t>ustawie do jego przepisów, w celu zapewnienia, że przedsiębiorcy wyk</w:t>
      </w:r>
      <w:r w:rsidR="00AF27CD">
        <w:rPr>
          <w:bCs/>
        </w:rPr>
        <w:t>onujący działalność opisaną w</w:t>
      </w:r>
      <w:r w:rsidR="00EC6774">
        <w:rPr>
          <w:bCs/>
        </w:rPr>
        <w:t xml:space="preserve"> </w:t>
      </w:r>
      <w:r w:rsidRPr="00AF27CD">
        <w:rPr>
          <w:bCs/>
        </w:rPr>
        <w:t>rozporządzeniu będą stosowali się ściśle do zawartych w nim procedur, oraz zapewnienia, że broń taka będzie rejestrowana przez uprawnione organy w systemie rejestracji broni palnej, a prawidłowe wykonanie pozbawienia cech użytkowych będzie miało potwie</w:t>
      </w:r>
      <w:r w:rsidR="00422EA7" w:rsidRPr="00AF27CD">
        <w:rPr>
          <w:bCs/>
        </w:rPr>
        <w:t>rdzenie w stosownym dokumencie –</w:t>
      </w:r>
      <w:r w:rsidRPr="00AF27CD">
        <w:rPr>
          <w:bCs/>
        </w:rPr>
        <w:t xml:space="preserve"> świadectwie dla broni palnej pozbawionej cech użytkowych. Konsekwencją tej zmiany jest włączenie tej broni do systemu rejestracji broni palnej podlegającej śledzeniu jej historii oraz wskazanie</w:t>
      </w:r>
      <w:r w:rsidR="00EC6774">
        <w:rPr>
          <w:bCs/>
        </w:rPr>
        <w:t xml:space="preserve"> w </w:t>
      </w:r>
      <w:r w:rsidR="00F96DC6" w:rsidRPr="00AF27CD">
        <w:rPr>
          <w:bCs/>
        </w:rPr>
        <w:t>akcie wykonawczym do ustawy</w:t>
      </w:r>
      <w:r w:rsidR="00422EA7" w:rsidRPr="00AF27CD">
        <w:rPr>
          <w:bCs/>
        </w:rPr>
        <w:t xml:space="preserve"> </w:t>
      </w:r>
      <w:r w:rsidR="009D1E48">
        <w:rPr>
          <w:bCs/>
        </w:rPr>
        <w:t>podmiotów</w:t>
      </w:r>
      <w:r w:rsidR="009D1E48" w:rsidRPr="00AF27CD">
        <w:rPr>
          <w:bCs/>
        </w:rPr>
        <w:t xml:space="preserve"> </w:t>
      </w:r>
      <w:r w:rsidRPr="00AF27CD">
        <w:rPr>
          <w:bCs/>
        </w:rPr>
        <w:t>uprawnion</w:t>
      </w:r>
      <w:r w:rsidR="00F96DC6" w:rsidRPr="00AF27CD">
        <w:rPr>
          <w:bCs/>
        </w:rPr>
        <w:t>ych</w:t>
      </w:r>
      <w:r w:rsidRPr="00AF27CD">
        <w:rPr>
          <w:bCs/>
        </w:rPr>
        <w:t xml:space="preserve"> do oceny prawidłowości pozbawienia cech użytkowych i wydawania świadectw pozbawienia broni cech użytkowych.</w:t>
      </w:r>
    </w:p>
    <w:p w:rsidR="00A93E79" w:rsidRPr="00AF27CD" w:rsidRDefault="00422EA7" w:rsidP="00AF27CD">
      <w:pPr>
        <w:spacing w:before="120" w:line="360" w:lineRule="auto"/>
        <w:ind w:left="284" w:hanging="284"/>
        <w:jc w:val="both"/>
        <w:rPr>
          <w:b/>
          <w:bCs/>
        </w:rPr>
      </w:pPr>
      <w:r w:rsidRPr="00AF27CD">
        <w:rPr>
          <w:b/>
          <w:bCs/>
        </w:rPr>
        <w:t>–</w:t>
      </w:r>
      <w:r w:rsidR="00AF27CD">
        <w:rPr>
          <w:b/>
          <w:bCs/>
        </w:rPr>
        <w:tab/>
      </w:r>
      <w:r w:rsidR="00A93E79" w:rsidRPr="00AF27CD">
        <w:rPr>
          <w:b/>
          <w:bCs/>
        </w:rPr>
        <w:t>Realizacja wniosków pokontrolnych NIK</w:t>
      </w:r>
    </w:p>
    <w:p w:rsidR="00A93E79" w:rsidRPr="00AF27CD" w:rsidRDefault="00A93E79" w:rsidP="00AF27CD">
      <w:pPr>
        <w:pStyle w:val="Stopka"/>
        <w:tabs>
          <w:tab w:val="clear" w:pos="4536"/>
          <w:tab w:val="clear" w:pos="9072"/>
        </w:tabs>
        <w:spacing w:line="360" w:lineRule="auto"/>
        <w:ind w:left="284"/>
        <w:jc w:val="both"/>
      </w:pPr>
      <w:r w:rsidRPr="00AF27CD">
        <w:rPr>
          <w:bCs/>
        </w:rPr>
        <w:t>Projekt ustawy zawiera ponadto przepisy, których wprowadzenie stało się niezbędne w związku z Informacją z dnia 22 kwietnia 2015 r. o wynikach kontroli Najwyższej Izby Kontroli P/14/073 „Zapewnienie bezpi</w:t>
      </w:r>
      <w:r w:rsidR="00AF27CD">
        <w:rPr>
          <w:bCs/>
        </w:rPr>
        <w:t>eczeństwa obywateli w związku z</w:t>
      </w:r>
      <w:r w:rsidR="00EC6774">
        <w:rPr>
          <w:bCs/>
        </w:rPr>
        <w:t> </w:t>
      </w:r>
      <w:r w:rsidRPr="00AF27CD">
        <w:rPr>
          <w:bCs/>
        </w:rPr>
        <w:t xml:space="preserve">wytwarzaniem, transportem, przechowywaniem i stosowaniem materiałów wybuchowych do użytku cywilnego”. Informacja ta zawiera, jako zalecenia pokontrolne, wnioski </w:t>
      </w:r>
      <w:r w:rsidRPr="00AF27CD">
        <w:rPr>
          <w:bCs/>
          <w:i/>
        </w:rPr>
        <w:t xml:space="preserve">de lege ferenda, </w:t>
      </w:r>
      <w:r w:rsidRPr="00AF27CD">
        <w:rPr>
          <w:bCs/>
        </w:rPr>
        <w:t xml:space="preserve">sformułowane przez Najwyższą Izbę Kontroli, co prawda w odniesieniu do działalności dotyczącej </w:t>
      </w:r>
      <w:r w:rsidR="001D2325" w:rsidRPr="00AF27CD">
        <w:rPr>
          <w:bCs/>
        </w:rPr>
        <w:t>tych</w:t>
      </w:r>
      <w:r w:rsidRPr="00AF27CD">
        <w:rPr>
          <w:bCs/>
        </w:rPr>
        <w:t xml:space="preserve"> materiałów wybuchowych, mające jednak znaczenie uniwersalne dla całej sfery działalności reglamentowanej, objętej </w:t>
      </w:r>
      <w:r w:rsidR="00F337D5" w:rsidRPr="00AF27CD">
        <w:rPr>
          <w:bCs/>
        </w:rPr>
        <w:t xml:space="preserve">projektowaną </w:t>
      </w:r>
      <w:r w:rsidRPr="00AF27CD">
        <w:rPr>
          <w:bCs/>
        </w:rPr>
        <w:t>ustawą.</w:t>
      </w:r>
      <w:r w:rsidRPr="00AF27CD">
        <w:t xml:space="preserve"> </w:t>
      </w:r>
    </w:p>
    <w:p w:rsidR="00A93E79" w:rsidRPr="00AF27CD" w:rsidRDefault="00A93E79" w:rsidP="00AF27CD">
      <w:pPr>
        <w:pStyle w:val="Stopka"/>
        <w:tabs>
          <w:tab w:val="clear" w:pos="4536"/>
          <w:tab w:val="clear" w:pos="9072"/>
        </w:tabs>
        <w:spacing w:before="120" w:line="360" w:lineRule="auto"/>
        <w:ind w:left="284"/>
        <w:jc w:val="both"/>
      </w:pPr>
      <w:r w:rsidRPr="00AF27CD">
        <w:t xml:space="preserve">NIK </w:t>
      </w:r>
      <w:r w:rsidRPr="00AF27CD">
        <w:rPr>
          <w:bCs/>
        </w:rPr>
        <w:t>wskazuje</w:t>
      </w:r>
      <w:r w:rsidRPr="00AF27CD">
        <w:t xml:space="preserve"> m.in. na konieczność wprowadzenia do ustawy </w:t>
      </w:r>
      <w:r w:rsidR="00217572" w:rsidRPr="00AF27CD">
        <w:t xml:space="preserve">z dnia 22 czerwca 2001 r. </w:t>
      </w:r>
      <w:r w:rsidRPr="00AF27CD">
        <w:t>regulacji</w:t>
      </w:r>
      <w:r w:rsidR="007A032B" w:rsidRPr="00AF27CD">
        <w:t>,</w:t>
      </w:r>
      <w:r w:rsidR="00422EA7" w:rsidRPr="00AF27CD">
        <w:t xml:space="preserve"> </w:t>
      </w:r>
      <w:r w:rsidRPr="00AF27CD">
        <w:t>zgodnie z którą możliwe będzie nieżądanie przez organ koncesyjny od przedsiębiorców ubiegających się o udzielenie koncesji na o</w:t>
      </w:r>
      <w:r w:rsidR="00241948">
        <w:t>brót bez prawa do magazynowania</w:t>
      </w:r>
      <w:r w:rsidRPr="00AF27CD">
        <w:t xml:space="preserve"> zaświadczeń, o których mowa w art. 12 ust. 2 pkt 10 ustawy (dotyczących lokalu, w którym </w:t>
      </w:r>
      <w:r w:rsidR="009D1E48" w:rsidRPr="00AF27CD">
        <w:t xml:space="preserve">ma być </w:t>
      </w:r>
      <w:r w:rsidRPr="00AF27CD">
        <w:t>prowadzona działalność). Ponadto niezbędne jest określenie, jak długo ważna jest opinia wydana przez Policję, dotycząca osób ubiegających się o dopuszczenie do czynno</w:t>
      </w:r>
      <w:r w:rsidR="00AF27CD">
        <w:t>ści związanych z wytwarzaniem i</w:t>
      </w:r>
      <w:r w:rsidR="00EC6774">
        <w:t> </w:t>
      </w:r>
      <w:r w:rsidRPr="00AF27CD">
        <w:t xml:space="preserve">obrotem materiałami wybuchowymi. Niezbędne jest również ujednolicenie informacji o sprzedaży, sporządzanych na podstawie </w:t>
      </w:r>
      <w:r w:rsidRPr="00AF27CD">
        <w:rPr>
          <w:i/>
        </w:rPr>
        <w:t>rozporządzenia Ministr</w:t>
      </w:r>
      <w:r w:rsidR="001D2325" w:rsidRPr="00AF27CD">
        <w:rPr>
          <w:i/>
        </w:rPr>
        <w:t>ów</w:t>
      </w:r>
      <w:r w:rsidRPr="00AF27CD">
        <w:rPr>
          <w:i/>
        </w:rPr>
        <w:t xml:space="preserve"> Gospodarki i Spraw Wewnętrznych z dnia 6 marca 2013 r. w sprawie sprzedaży materiałów wybuchowych, broni, amunicji, wyrobów o przeznaczeniu wojskowym lub policyjnym oraz kontroli przestrzegania tych warunków</w:t>
      </w:r>
      <w:r w:rsidRPr="00AF27CD">
        <w:t xml:space="preserve"> w taki sposób, aby możliwa była szybka weryfikacja prawidłowości dokonanych transakcji przez organy do tego upoważnione. Przepisy projektu ustawy </w:t>
      </w:r>
      <w:r w:rsidR="009D1E48">
        <w:t>realizują</w:t>
      </w:r>
      <w:r w:rsidR="009D1E48" w:rsidRPr="00AF27CD">
        <w:t xml:space="preserve"> </w:t>
      </w:r>
      <w:r w:rsidRPr="00AF27CD">
        <w:t>zalecenia wskazane w wystąpieniu pokontrolnym NIK.</w:t>
      </w:r>
    </w:p>
    <w:p w:rsidR="009217FA" w:rsidRPr="00AF27CD" w:rsidRDefault="00422EA7" w:rsidP="00AF27CD">
      <w:pPr>
        <w:spacing w:before="120" w:line="360" w:lineRule="auto"/>
        <w:ind w:left="284" w:hanging="284"/>
        <w:jc w:val="both"/>
        <w:rPr>
          <w:b/>
        </w:rPr>
      </w:pPr>
      <w:r w:rsidRPr="00AF27CD">
        <w:rPr>
          <w:b/>
        </w:rPr>
        <w:t>–</w:t>
      </w:r>
      <w:r w:rsidR="00AF27CD">
        <w:rPr>
          <w:b/>
        </w:rPr>
        <w:tab/>
      </w:r>
      <w:r w:rsidR="009217FA" w:rsidRPr="00AF27CD">
        <w:rPr>
          <w:b/>
        </w:rPr>
        <w:t>Dyrektywa Parlamentu Europejskiego i Rady (UE) 2017/853 z dnia 17 maja 2017 r. zmieniająca dyrektywę Rady 91/477/EWG w sprawie kontroli nabywania i posiadania broni (Dz. Urz. UE L 137 z 24.05.2017</w:t>
      </w:r>
      <w:r w:rsidR="009D1E48">
        <w:rPr>
          <w:b/>
        </w:rPr>
        <w:t>, str. 22</w:t>
      </w:r>
      <w:r w:rsidR="00B24E17">
        <w:rPr>
          <w:b/>
        </w:rPr>
        <w:t>)</w:t>
      </w:r>
    </w:p>
    <w:p w:rsidR="00A93E79" w:rsidRPr="00AF27CD" w:rsidRDefault="00A93E79" w:rsidP="00AF27CD">
      <w:pPr>
        <w:pStyle w:val="Stopka"/>
        <w:tabs>
          <w:tab w:val="clear" w:pos="4536"/>
          <w:tab w:val="clear" w:pos="9072"/>
        </w:tabs>
        <w:spacing w:line="360" w:lineRule="auto"/>
        <w:ind w:left="284"/>
        <w:jc w:val="both"/>
      </w:pPr>
      <w:r w:rsidRPr="00AF27CD">
        <w:rPr>
          <w:bCs/>
        </w:rPr>
        <w:t>Konsekwencją</w:t>
      </w:r>
      <w:r w:rsidRPr="00AF27CD">
        <w:t xml:space="preserve"> </w:t>
      </w:r>
      <w:r w:rsidR="00F0061F" w:rsidRPr="00AF27CD">
        <w:t>zawartych w dyrektywie 2017/853</w:t>
      </w:r>
      <w:r w:rsidRPr="00AF27CD">
        <w:t xml:space="preserve"> przepisów zmieniających dyrektywę 91/477</w:t>
      </w:r>
      <w:r w:rsidR="009D1E48">
        <w:t>/</w:t>
      </w:r>
      <w:r w:rsidRPr="00AF27CD">
        <w:t xml:space="preserve">EWG jest objęcie obowiązkiem uzyskania koncesji na wykonywanie działalności gospodarczej wszystkich rusznikarzy, którym powierzana jest strzelecka broń palna lub jej istotne komponenty w celu dokonania przeróbki, naprawy albo remontu, jak również wytwarzanie przez nich istotnych komponentów niezbędnych do przerobienia, naprawy lub remontu tej broni. Poza zasięgiem obowiązywania nowych przepisów pozostaną działania niekomercyjne, prywatne, polegające na zmianach w kolbach lub przyrządach celowniczych lub konserwacja, dokonywane przez posiadacza broni. Takie brzmienie przepisów prawa europejskiego powoduje, że rusznikarze, którzy z uwagi na fakt, że ich działania nie obejmowały ingerencji w istotne części broni, nie byli dotychczas zobowiązani do uzyskania koncesji, </w:t>
      </w:r>
      <w:r w:rsidR="00F5574D" w:rsidRPr="00AF27CD">
        <w:t xml:space="preserve">pod rządami nowej ustawy </w:t>
      </w:r>
      <w:r w:rsidRPr="00AF27CD">
        <w:t>w przypadku przyjmowania broni do napraw</w:t>
      </w:r>
      <w:r w:rsidR="0050373A">
        <w:t>y, konser</w:t>
      </w:r>
      <w:r w:rsidR="0031481E">
        <w:t>wacji, zdobienia</w:t>
      </w:r>
      <w:r w:rsidR="0050373A">
        <w:t xml:space="preserve"> itp.</w:t>
      </w:r>
      <w:r w:rsidRPr="00AF27CD">
        <w:t xml:space="preserve"> zostaną objęci wymogiem uzyskania koncesji, będą prowadzić ewidencję przyjętej bron</w:t>
      </w:r>
      <w:r w:rsidR="00AF27CD">
        <w:t xml:space="preserve">i, która </w:t>
      </w:r>
      <w:r w:rsidR="009D1E48">
        <w:t xml:space="preserve">będzie </w:t>
      </w:r>
      <w:r w:rsidR="00AF27CD">
        <w:t>przechowywana w</w:t>
      </w:r>
      <w:r w:rsidR="00EC6774">
        <w:t> </w:t>
      </w:r>
      <w:r w:rsidRPr="00AF27CD">
        <w:t>odpowiednich, przystosowanych pomieszczeniach zabezpieczonych przed dostępem osób nieuprawnionych, zaś sami rusznikarze będą musieli spełnić warunki do uzyskania koncesji. Działanie takie ma na celu el</w:t>
      </w:r>
      <w:r w:rsidR="00AF27CD">
        <w:t>iminację szarej strefy usług, w</w:t>
      </w:r>
      <w:r w:rsidR="00EC6774">
        <w:t> </w:t>
      </w:r>
      <w:r w:rsidRPr="00AF27CD">
        <w:t xml:space="preserve">ramach której broń </w:t>
      </w:r>
      <w:r w:rsidR="009D1E48" w:rsidRPr="00AF27CD">
        <w:t xml:space="preserve">była </w:t>
      </w:r>
      <w:r w:rsidRPr="00AF27CD">
        <w:t>pozostawiana do faktycznej dyspozycji osób, których kwalifikacje oraz stosunek do obowiązującego porządku prawnego nie został</w:t>
      </w:r>
      <w:r w:rsidR="002C14CA">
        <w:t>y</w:t>
      </w:r>
      <w:r w:rsidRPr="00AF27CD">
        <w:t xml:space="preserve"> zweryfikowan</w:t>
      </w:r>
      <w:r w:rsidR="002C14CA">
        <w:t>e</w:t>
      </w:r>
      <w:r w:rsidRPr="00AF27CD">
        <w:t>, jak również które nie były zobowiązane do żądania dokumentów potwierdzających legalne posiadanie broni przez zlecającego usługę, zaś sposób przechowywania broni nie podlegał żadnym regulacjom.</w:t>
      </w:r>
    </w:p>
    <w:p w:rsidR="00A93E79" w:rsidRPr="00AF27CD" w:rsidRDefault="00422EA7" w:rsidP="00AF27CD">
      <w:pPr>
        <w:spacing w:before="120" w:line="360" w:lineRule="auto"/>
        <w:ind w:left="284" w:hanging="284"/>
        <w:jc w:val="both"/>
        <w:rPr>
          <w:b/>
        </w:rPr>
      </w:pPr>
      <w:r w:rsidRPr="00AF27CD">
        <w:t>–</w:t>
      </w:r>
      <w:r w:rsidR="00AF27CD">
        <w:tab/>
      </w:r>
      <w:r w:rsidR="00A93E79" w:rsidRPr="00AF27CD">
        <w:rPr>
          <w:b/>
        </w:rPr>
        <w:t>częściowe wdrożenie dyrektywy Parlamentu Eu</w:t>
      </w:r>
      <w:r w:rsidR="00AF27CD">
        <w:rPr>
          <w:b/>
        </w:rPr>
        <w:t>ropejskiego i Rady 2014/28/UE z</w:t>
      </w:r>
      <w:r w:rsidR="00EC6774">
        <w:rPr>
          <w:b/>
        </w:rPr>
        <w:t> </w:t>
      </w:r>
      <w:r w:rsidR="00A93E79" w:rsidRPr="00AF27CD">
        <w:rPr>
          <w:b/>
        </w:rPr>
        <w:t>dnia 26 lutego 2014 r. w sprawie harmonizacji ustawodawstw państw członkowskich odnoszących się do udostępniania na rynku i kontroli materiałów wybuchowych przeznaczonych do użytku cywilnego (Dz. Urz. UE L 96 z 29.</w:t>
      </w:r>
      <w:r w:rsidR="0050373A">
        <w:rPr>
          <w:b/>
        </w:rPr>
        <w:t>0</w:t>
      </w:r>
      <w:r w:rsidR="00A93E79" w:rsidRPr="00AF27CD">
        <w:rPr>
          <w:b/>
        </w:rPr>
        <w:t>3.2014</w:t>
      </w:r>
      <w:r w:rsidR="009D1E48">
        <w:rPr>
          <w:b/>
        </w:rPr>
        <w:t>, str. 1</w:t>
      </w:r>
      <w:r w:rsidR="00A93E79" w:rsidRPr="00AF27CD">
        <w:rPr>
          <w:b/>
        </w:rPr>
        <w:t>) – w odniesieniu do przemieszczania amunicji</w:t>
      </w:r>
      <w:r w:rsidR="009D1E48">
        <w:rPr>
          <w:b/>
        </w:rPr>
        <w:t xml:space="preserve"> </w:t>
      </w:r>
      <w:r w:rsidR="00407F8D">
        <w:rPr>
          <w:b/>
        </w:rPr>
        <w:t xml:space="preserve">– </w:t>
      </w:r>
      <w:r w:rsidR="009D1E48">
        <w:rPr>
          <w:b/>
        </w:rPr>
        <w:t>zwan</w:t>
      </w:r>
      <w:r w:rsidR="00183398">
        <w:rPr>
          <w:b/>
        </w:rPr>
        <w:t>ej</w:t>
      </w:r>
      <w:r w:rsidR="009D1E48">
        <w:rPr>
          <w:b/>
        </w:rPr>
        <w:t xml:space="preserve"> dalej „dyrektywą 2014/28/UE”</w:t>
      </w:r>
    </w:p>
    <w:p w:rsidR="00A93E79" w:rsidRPr="00AF27CD" w:rsidRDefault="003E00B0" w:rsidP="00AF27CD">
      <w:pPr>
        <w:pStyle w:val="Stopka"/>
        <w:tabs>
          <w:tab w:val="clear" w:pos="4536"/>
          <w:tab w:val="clear" w:pos="9072"/>
        </w:tabs>
        <w:spacing w:line="360" w:lineRule="auto"/>
        <w:ind w:left="284"/>
        <w:jc w:val="both"/>
      </w:pPr>
      <w:r w:rsidRPr="00AF27CD">
        <w:t>Projektowaną</w:t>
      </w:r>
      <w:r w:rsidR="00A93E79" w:rsidRPr="00AF27CD">
        <w:t xml:space="preserve"> ustawą dokonuje się zmian w usta</w:t>
      </w:r>
      <w:r w:rsidR="00AF27CD">
        <w:t>wie z dnia 21 czerwca 2002 r. o</w:t>
      </w:r>
      <w:r w:rsidR="00EC6774">
        <w:t> </w:t>
      </w:r>
      <w:r w:rsidR="00A93E79" w:rsidRPr="00AF27CD">
        <w:t>materiałach wybuchowych przeznaczonych do użytku cywilnego. Zmiany polegają na przeniesieniu do nowej ustawy prze</w:t>
      </w:r>
      <w:r w:rsidR="00AF27CD">
        <w:t>pisów dotyczących amunicji, a</w:t>
      </w:r>
      <w:r w:rsidR="00EC6774">
        <w:t> </w:t>
      </w:r>
      <w:r w:rsidR="00AF27CD">
        <w:t>w</w:t>
      </w:r>
      <w:r w:rsidR="00EC6774">
        <w:t> </w:t>
      </w:r>
      <w:r w:rsidR="00A93E79" w:rsidRPr="00AF27CD">
        <w:t>szczególności jej definicji i zasad przemieszczania na obszarze UE. Ma to swoje uzasadnienie w tym, że ustawa o wykonywaniu działalności gospodarczej w zakresie wytwarzania i obrotu m.in. amunicją powinna definiować amunicję oraz określać zasady jej przemieszczania na obszarze UE i wywóz do krajów trzecich – poza obszar UE</w:t>
      </w:r>
      <w:r w:rsidR="0050373A">
        <w:t>,</w:t>
      </w:r>
      <w:r w:rsidR="00A93E79" w:rsidRPr="00AF27CD">
        <w:t xml:space="preserve"> analogiczn</w:t>
      </w:r>
      <w:r w:rsidR="0050373A">
        <w:t>ie</w:t>
      </w:r>
      <w:r w:rsidR="00A93E79" w:rsidRPr="00AF27CD">
        <w:t xml:space="preserve"> jak ma to miejsce w przypadku broni.</w:t>
      </w:r>
      <w:r w:rsidR="00422EA7" w:rsidRPr="00AF27CD">
        <w:t xml:space="preserve"> </w:t>
      </w:r>
      <w:r w:rsidR="00A93E79" w:rsidRPr="00AF27CD">
        <w:t xml:space="preserve">Przepisy w tym zakresie powinny być określone w jednym akcie prawnym i nie mogą być mylące dla przedsiębiorcy. Do ustawy o materiałach wybuchowych przeznaczonych do użytku cywilnego </w:t>
      </w:r>
      <w:r w:rsidRPr="00AF27CD">
        <w:t xml:space="preserve">zostaną </w:t>
      </w:r>
      <w:r w:rsidR="00A93E79" w:rsidRPr="00AF27CD">
        <w:t>przeniesione natomiast przepis</w:t>
      </w:r>
      <w:r w:rsidR="00AF27CD">
        <w:t>y regulujące kwestie związane z</w:t>
      </w:r>
      <w:r w:rsidR="00EC6774">
        <w:t> </w:t>
      </w:r>
      <w:r w:rsidR="00A93E79" w:rsidRPr="00AF27CD">
        <w:t>materiałami wybuchowymi do użytku cywilnego, niemające związku z ich wytwarzaniem i obrotem, dotyczące obowiązków importerów i dystrybutorów.</w:t>
      </w:r>
    </w:p>
    <w:p w:rsidR="00A93E79" w:rsidRPr="00AF27CD" w:rsidRDefault="00A93E79" w:rsidP="00CC3571">
      <w:pPr>
        <w:pStyle w:val="Akapitzlist"/>
        <w:numPr>
          <w:ilvl w:val="0"/>
          <w:numId w:val="20"/>
        </w:numPr>
        <w:tabs>
          <w:tab w:val="left" w:pos="426"/>
        </w:tabs>
        <w:spacing w:before="120" w:after="0" w:line="360" w:lineRule="auto"/>
        <w:ind w:left="0" w:firstLine="0"/>
        <w:rPr>
          <w:b/>
        </w:rPr>
      </w:pPr>
      <w:r w:rsidRPr="00AF27CD">
        <w:rPr>
          <w:b/>
        </w:rPr>
        <w:t>Dział I – Przepisy ogólne (Art. 1</w:t>
      </w:r>
      <w:r w:rsidR="00422EA7" w:rsidRPr="00AF27CD">
        <w:rPr>
          <w:b/>
        </w:rPr>
        <w:t>–</w:t>
      </w:r>
      <w:r w:rsidRPr="00AF27CD">
        <w:rPr>
          <w:b/>
        </w:rPr>
        <w:t>6)</w:t>
      </w:r>
    </w:p>
    <w:p w:rsidR="00A93E79" w:rsidRPr="00AF27CD" w:rsidRDefault="00A93E79" w:rsidP="00CC3571">
      <w:pPr>
        <w:spacing w:before="120" w:line="360" w:lineRule="auto"/>
        <w:jc w:val="both"/>
        <w:rPr>
          <w:bCs/>
        </w:rPr>
      </w:pPr>
      <w:r w:rsidRPr="00AF27CD">
        <w:rPr>
          <w:bCs/>
        </w:rPr>
        <w:t>Podstawowe znaczenie dla nowej ustawy ma słownik użytych w niej pojęć, na których kształt mają wpływ definicje zawarte w prawie e</w:t>
      </w:r>
      <w:r w:rsidR="00AF27CD">
        <w:rPr>
          <w:bCs/>
        </w:rPr>
        <w:t>uropejskim, a w szczególności w</w:t>
      </w:r>
      <w:r w:rsidR="00EC6774">
        <w:rPr>
          <w:bCs/>
        </w:rPr>
        <w:t> </w:t>
      </w:r>
      <w:r w:rsidRPr="00AF27CD">
        <w:rPr>
          <w:bCs/>
        </w:rPr>
        <w:t xml:space="preserve">rozporządzeniu </w:t>
      </w:r>
      <w:r w:rsidR="009D1E48">
        <w:rPr>
          <w:bCs/>
        </w:rPr>
        <w:t xml:space="preserve">UE </w:t>
      </w:r>
      <w:r w:rsidRPr="00AF27CD">
        <w:rPr>
          <w:bCs/>
        </w:rPr>
        <w:t>258/2012.</w:t>
      </w:r>
      <w:r w:rsidR="00422EA7" w:rsidRPr="00AF27CD">
        <w:rPr>
          <w:bCs/>
        </w:rPr>
        <w:t xml:space="preserve"> </w:t>
      </w:r>
      <w:r w:rsidRPr="00AF27CD">
        <w:rPr>
          <w:bCs/>
        </w:rPr>
        <w:t>Definicje zawarte w tym rozporządzeniu należy stosować wprost i brak jest co prawda obowiązku włączania ich do tekstu ustawy krajowej, należy jednak mieć na uwadze, że przedsiębiorca dzia</w:t>
      </w:r>
      <w:r w:rsidR="00AF27CD">
        <w:rPr>
          <w:bCs/>
        </w:rPr>
        <w:t>łający w obszarze wytwarzania i</w:t>
      </w:r>
      <w:r w:rsidR="009D1E48">
        <w:rPr>
          <w:bCs/>
        </w:rPr>
        <w:t xml:space="preserve"> </w:t>
      </w:r>
      <w:r w:rsidRPr="00AF27CD">
        <w:rPr>
          <w:bCs/>
        </w:rPr>
        <w:t>obrotu bronią właśnie w niniejszej ustawie powinien uzyskać pełną informację</w:t>
      </w:r>
      <w:r w:rsidR="009D1E48">
        <w:rPr>
          <w:bCs/>
        </w:rPr>
        <w:t>,</w:t>
      </w:r>
      <w:r w:rsidRPr="00AF27CD">
        <w:rPr>
          <w:bCs/>
        </w:rPr>
        <w:t xml:space="preserve"> co należy rozumieć przez pojęcia takie jak np. broń i amunicja, bez sięgania do aktów prawa europejskiego. </w:t>
      </w:r>
    </w:p>
    <w:p w:rsidR="0016257A" w:rsidRPr="00AF27CD" w:rsidRDefault="00A93E79" w:rsidP="00422EA7">
      <w:pPr>
        <w:spacing w:before="120" w:line="360" w:lineRule="auto"/>
        <w:jc w:val="both"/>
        <w:rPr>
          <w:bCs/>
        </w:rPr>
      </w:pPr>
      <w:r w:rsidRPr="00AF27CD">
        <w:rPr>
          <w:bCs/>
        </w:rPr>
        <w:t>Projekt nowej ustawy</w:t>
      </w:r>
      <w:r w:rsidR="00947A2E" w:rsidRPr="00AF27CD">
        <w:rPr>
          <w:bCs/>
        </w:rPr>
        <w:t>,</w:t>
      </w:r>
      <w:r w:rsidR="001A6352" w:rsidRPr="00AF27CD">
        <w:rPr>
          <w:bCs/>
        </w:rPr>
        <w:t xml:space="preserve"> określając</w:t>
      </w:r>
      <w:r w:rsidR="00807BFE" w:rsidRPr="00AF27CD">
        <w:rPr>
          <w:bCs/>
        </w:rPr>
        <w:t xml:space="preserve"> jej</w:t>
      </w:r>
      <w:r w:rsidR="00422EA7" w:rsidRPr="00AF27CD">
        <w:rPr>
          <w:bCs/>
        </w:rPr>
        <w:t xml:space="preserve"> </w:t>
      </w:r>
      <w:r w:rsidR="001A6352" w:rsidRPr="00AF27CD">
        <w:rPr>
          <w:bCs/>
        </w:rPr>
        <w:t>zakres przedmiotowy</w:t>
      </w:r>
      <w:r w:rsidR="004F75DB" w:rsidRPr="00AF27CD">
        <w:rPr>
          <w:bCs/>
        </w:rPr>
        <w:t xml:space="preserve">, </w:t>
      </w:r>
      <w:r w:rsidR="0016257A" w:rsidRPr="00AF27CD">
        <w:rPr>
          <w:bCs/>
        </w:rPr>
        <w:t xml:space="preserve">został uzupełniony (art. 1 pkt 2) o </w:t>
      </w:r>
      <w:r w:rsidR="00807BFE" w:rsidRPr="00AF27CD">
        <w:rPr>
          <w:bCs/>
        </w:rPr>
        <w:t xml:space="preserve">przepisy mające związek z </w:t>
      </w:r>
      <w:r w:rsidR="0016257A" w:rsidRPr="00AF27CD">
        <w:rPr>
          <w:bCs/>
        </w:rPr>
        <w:t>oczyszczanie</w:t>
      </w:r>
      <w:r w:rsidR="00807BFE" w:rsidRPr="00AF27CD">
        <w:rPr>
          <w:bCs/>
        </w:rPr>
        <w:t>m</w:t>
      </w:r>
      <w:r w:rsidR="0016257A" w:rsidRPr="00AF27CD">
        <w:rPr>
          <w:bCs/>
        </w:rPr>
        <w:t xml:space="preserve"> terenów z materiałów wybuchowych i niebezpiecznych, o którym mowa w Dziale V</w:t>
      </w:r>
      <w:r w:rsidR="00807BFE" w:rsidRPr="00AF27CD">
        <w:rPr>
          <w:bCs/>
        </w:rPr>
        <w:t>I projektu,</w:t>
      </w:r>
      <w:r w:rsidR="00AF27CD">
        <w:rPr>
          <w:bCs/>
        </w:rPr>
        <w:t xml:space="preserve"> a które zostały przeniesione z</w:t>
      </w:r>
      <w:r w:rsidR="00EC6774">
        <w:rPr>
          <w:bCs/>
        </w:rPr>
        <w:t> </w:t>
      </w:r>
      <w:r w:rsidR="00807BFE" w:rsidRPr="00AF27CD">
        <w:rPr>
          <w:bCs/>
        </w:rPr>
        <w:t>ustawy z dnia 22 czerwca 2001 r.</w:t>
      </w:r>
    </w:p>
    <w:p w:rsidR="00A93E79" w:rsidRPr="00AF27CD" w:rsidRDefault="0016257A" w:rsidP="00422EA7">
      <w:pPr>
        <w:spacing w:before="120" w:line="360" w:lineRule="auto"/>
        <w:jc w:val="both"/>
      </w:pPr>
      <w:r w:rsidRPr="00AF27CD">
        <w:rPr>
          <w:bCs/>
        </w:rPr>
        <w:t>B</w:t>
      </w:r>
      <w:r w:rsidR="00A93E79" w:rsidRPr="00AF27CD">
        <w:rPr>
          <w:bCs/>
        </w:rPr>
        <w:t xml:space="preserve">ez zmian </w:t>
      </w:r>
      <w:r w:rsidRPr="00AF27CD">
        <w:rPr>
          <w:bCs/>
        </w:rPr>
        <w:t>pozostaje definicja</w:t>
      </w:r>
      <w:r w:rsidR="00422EA7" w:rsidRPr="00AF27CD">
        <w:rPr>
          <w:bCs/>
        </w:rPr>
        <w:t xml:space="preserve"> </w:t>
      </w:r>
      <w:r w:rsidRPr="00AF27CD">
        <w:rPr>
          <w:bCs/>
        </w:rPr>
        <w:t xml:space="preserve">„obrotu” (art. 2 ust. 2), natomiast </w:t>
      </w:r>
      <w:r w:rsidR="00A93E79" w:rsidRPr="00AF27CD">
        <w:rPr>
          <w:bCs/>
        </w:rPr>
        <w:t>doprecyzowan</w:t>
      </w:r>
      <w:r w:rsidRPr="00AF27CD">
        <w:rPr>
          <w:bCs/>
        </w:rPr>
        <w:t>o</w:t>
      </w:r>
      <w:r w:rsidRPr="00AF27CD">
        <w:t xml:space="preserve"> pojęcie „wytwarzanie” (art. 2 ust. 1), co </w:t>
      </w:r>
      <w:r w:rsidR="00A93E79" w:rsidRPr="00AF27CD">
        <w:t>ma na celu wyraźne podkreślenie, że działalność wytwórcza nie sprowadza się wyłącznie do wytworzenia nowych towarów koncesjonowanych (materiałów wybuchow</w:t>
      </w:r>
      <w:r w:rsidR="00AF27CD">
        <w:t>ych, broni, amunicji, wyrobów o</w:t>
      </w:r>
      <w:r w:rsidR="00EC6774">
        <w:t> </w:t>
      </w:r>
      <w:r w:rsidR="00A93E79" w:rsidRPr="00AF27CD">
        <w:t xml:space="preserve">przeznaczeniu wojskowym lub policyjnym). Do tego pojęcia należy również włączyć działalność polegającą na naprawie, konserwacji, przerabianiu, modernizacji, demontażu, montażu, instalacji, serwisowaniu itp. </w:t>
      </w:r>
    </w:p>
    <w:p w:rsidR="00A93E79" w:rsidRPr="00AF27CD" w:rsidRDefault="00A93E79" w:rsidP="00422EA7">
      <w:pPr>
        <w:spacing w:before="120" w:line="360" w:lineRule="auto"/>
        <w:jc w:val="both"/>
      </w:pPr>
      <w:r w:rsidRPr="00AF27CD">
        <w:t>Sama mnogość potencjalnych czynności wskazuje na konieczność zastąpienia ich enumeratywnego wyliczenia zapisem bardziej pojemnym i uniwersalnym, ponieważ wszystkie ww. działania, jakim podlegać mogą towary koncesjonowane</w:t>
      </w:r>
      <w:r w:rsidR="0050373A">
        <w:t>,</w:t>
      </w:r>
      <w:r w:rsidRPr="00AF27CD">
        <w:t xml:space="preserve"> powinny być objęte przepisami ustawy. Racjonalne jest </w:t>
      </w:r>
      <w:r w:rsidR="009D1E48">
        <w:t>zatem</w:t>
      </w:r>
      <w:r w:rsidR="009D1E48" w:rsidRPr="00AF27CD">
        <w:t xml:space="preserve"> </w:t>
      </w:r>
      <w:r w:rsidRPr="00AF27CD">
        <w:t>podkreślenie, że jeżeli ustawodawca uznał za konieczne objęcie obowiązkiem uzyskania koncesji wykonywanie działalności polegającej na wytwarzaniu nowego egzemplarza broni lub wyrobu o przeznaczeniu wojskowym lub policyjnym, to ich naprawa, remont i modernizacja</w:t>
      </w:r>
      <w:r w:rsidR="00E2081B" w:rsidRPr="00AF27CD">
        <w:t>, czyli zmiana lub przywracanie pierwotnych właściwości,</w:t>
      </w:r>
      <w:r w:rsidR="00422EA7" w:rsidRPr="00AF27CD">
        <w:t xml:space="preserve"> </w:t>
      </w:r>
      <w:r w:rsidRPr="00AF27CD">
        <w:t>również powinna podlegać koncesjonowaniu, bo dotyczy tego samego wyrobu, a celem takiego dzia</w:t>
      </w:r>
      <w:r w:rsidR="00AF27CD">
        <w:t>łania jest uzyskanie produktu o</w:t>
      </w:r>
      <w:r w:rsidR="00EC6774">
        <w:t> </w:t>
      </w:r>
      <w:r w:rsidRPr="00AF27CD">
        <w:t>pożądanych właściwościach. Przedsiębiorca wykonujący taką działalność również powinien posiadać odpowiednią koncesję, czyli być osobą pozytywnie zweryfikowaną w toku opiniowania i posiadać odpowiednie kwalifikacje oraz spełniać inne warunki określone w ustawie.</w:t>
      </w:r>
    </w:p>
    <w:p w:rsidR="00A93E79" w:rsidRPr="00AF27CD" w:rsidRDefault="00A93E79" w:rsidP="00422EA7">
      <w:pPr>
        <w:spacing w:before="120" w:line="360" w:lineRule="auto"/>
        <w:jc w:val="both"/>
      </w:pPr>
      <w:r w:rsidRPr="00AF27CD">
        <w:t xml:space="preserve">W nowej ustawie bez zmian pozostają pojęcia: „materiały wybuchowe” oraz „wyroby </w:t>
      </w:r>
      <w:r w:rsidR="00AF27CD">
        <w:t>o</w:t>
      </w:r>
      <w:r w:rsidR="00EC6774">
        <w:t> </w:t>
      </w:r>
      <w:r w:rsidRPr="00AF27CD">
        <w:t>przeznaczeniu wojskowym lub policyjnym”</w:t>
      </w:r>
      <w:r w:rsidR="00EC5C6B" w:rsidRPr="00AF27CD">
        <w:t>.</w:t>
      </w:r>
      <w:r w:rsidRPr="00AF27CD">
        <w:t xml:space="preserve"> „</w:t>
      </w:r>
      <w:r w:rsidR="00EC5C6B" w:rsidRPr="00AF27CD">
        <w:t>T</w:t>
      </w:r>
      <w:r w:rsidRPr="00AF27CD">
        <w:t>echnologia o przeznac</w:t>
      </w:r>
      <w:r w:rsidR="00EC5C6B" w:rsidRPr="00AF27CD">
        <w:t>zeniu wojskowym lub policyjnym” została zdefiniowana jako dane technologiczne, czyli zespół informacji.</w:t>
      </w:r>
    </w:p>
    <w:p w:rsidR="00A93E79" w:rsidRPr="00AF27CD" w:rsidRDefault="00A93E79" w:rsidP="00422EA7">
      <w:pPr>
        <w:spacing w:before="120" w:line="360" w:lineRule="auto"/>
        <w:jc w:val="both"/>
      </w:pPr>
      <w:r w:rsidRPr="00AF27CD">
        <w:t xml:space="preserve">Podstawowa zmiana </w:t>
      </w:r>
      <w:r w:rsidR="009D1E48" w:rsidRPr="00AF27CD">
        <w:t xml:space="preserve">jest </w:t>
      </w:r>
      <w:r w:rsidRPr="00AF27CD">
        <w:t xml:space="preserve">związana z </w:t>
      </w:r>
      <w:r w:rsidRPr="00AF27CD">
        <w:rPr>
          <w:bCs/>
        </w:rPr>
        <w:t xml:space="preserve">wprowadzeniem zawartych w </w:t>
      </w:r>
      <w:r w:rsidRPr="00AF27CD">
        <w:t xml:space="preserve">rozporządzeniu UE 258/2012 </w:t>
      </w:r>
      <w:r w:rsidRPr="00AF27CD">
        <w:rPr>
          <w:bCs/>
        </w:rPr>
        <w:t>definicji: „broń palna” i</w:t>
      </w:r>
      <w:r w:rsidR="00E407C7" w:rsidRPr="00AF27CD">
        <w:rPr>
          <w:bCs/>
        </w:rPr>
        <w:t xml:space="preserve"> jej „istotne k</w:t>
      </w:r>
      <w:r w:rsidR="00422EA7" w:rsidRPr="00AF27CD">
        <w:rPr>
          <w:bCs/>
        </w:rPr>
        <w:t>omponenty” oraz „</w:t>
      </w:r>
      <w:r w:rsidRPr="00AF27CD">
        <w:rPr>
          <w:bCs/>
        </w:rPr>
        <w:t>amunicja”. Ponieważ ustawa odnosi się do wszystkich rodzajów broni i amunicji, nie zaś wyłącznie do broni i amunicji cywilnej</w:t>
      </w:r>
      <w:r w:rsidR="009D1E48">
        <w:rPr>
          <w:bCs/>
        </w:rPr>
        <w:t>,</w:t>
      </w:r>
      <w:r w:rsidRPr="00AF27CD">
        <w:rPr>
          <w:bCs/>
        </w:rPr>
        <w:t xml:space="preserve"> należało skonstruować nowe pojęcia w taki sposób, aby zawierały one odniesienie wprost do przepisów rozporządzenia UE 258/2012 </w:t>
      </w:r>
      <w:r w:rsidR="00F60F28" w:rsidRPr="00AF27CD">
        <w:rPr>
          <w:bCs/>
        </w:rPr>
        <w:t>oraz określały</w:t>
      </w:r>
      <w:r w:rsidRPr="00AF27CD">
        <w:rPr>
          <w:bCs/>
        </w:rPr>
        <w:t xml:space="preserve"> broń i amunicję wykorzystywaną poza sektorem cywilnym. Broń palną, którą można posiadać na podstawie indywidualnych pozwoleń na broń, tj. broń, której dotyczy rozporządzenie </w:t>
      </w:r>
      <w:r w:rsidR="009D1E48">
        <w:rPr>
          <w:bCs/>
        </w:rPr>
        <w:t xml:space="preserve">UE </w:t>
      </w:r>
      <w:r w:rsidRPr="00AF27CD">
        <w:rPr>
          <w:bCs/>
        </w:rPr>
        <w:t>258/2012</w:t>
      </w:r>
      <w:r w:rsidR="00EC5C6B" w:rsidRPr="00AF27CD">
        <w:rPr>
          <w:bCs/>
        </w:rPr>
        <w:t xml:space="preserve"> oraz dyrektywa </w:t>
      </w:r>
      <w:r w:rsidR="00EC5C6B" w:rsidRPr="00AF27CD">
        <w:t>91/477/EWG (ze zmianami)</w:t>
      </w:r>
      <w:r w:rsidR="00EC5C6B" w:rsidRPr="00AF27CD">
        <w:rPr>
          <w:bCs/>
        </w:rPr>
        <w:t xml:space="preserve"> </w:t>
      </w:r>
      <w:r w:rsidR="00AF27CD">
        <w:rPr>
          <w:bCs/>
        </w:rPr>
        <w:t>w</w:t>
      </w:r>
      <w:r w:rsidR="00EC6774">
        <w:rPr>
          <w:bCs/>
        </w:rPr>
        <w:t> </w:t>
      </w:r>
      <w:r w:rsidR="00EC5C6B" w:rsidRPr="00AF27CD">
        <w:rPr>
          <w:bCs/>
        </w:rPr>
        <w:t>sprawie kontroli naby</w:t>
      </w:r>
      <w:r w:rsidR="00E407C7" w:rsidRPr="00AF27CD">
        <w:rPr>
          <w:bCs/>
        </w:rPr>
        <w:t>wania i posiadania broni</w:t>
      </w:r>
      <w:r w:rsidRPr="00AF27CD">
        <w:rPr>
          <w:bCs/>
        </w:rPr>
        <w:t xml:space="preserve">, na potrzeby </w:t>
      </w:r>
      <w:r w:rsidR="00947A2E" w:rsidRPr="00AF27CD">
        <w:rPr>
          <w:bCs/>
        </w:rPr>
        <w:t>projektowanej</w:t>
      </w:r>
      <w:r w:rsidRPr="00AF27CD">
        <w:rPr>
          <w:bCs/>
        </w:rPr>
        <w:t xml:space="preserve"> ustawy nazwano „strzelecką bronią palną”. Taka sama zasada została zastosowana przy konstrukcji nowej definicji pojęcia „amunicja”, która uwzględnia amunicję mającą zastosowanie zarówno w sektorze cywilnym, jak i wojskowym. </w:t>
      </w:r>
      <w:r w:rsidRPr="00AF27CD">
        <w:t>Broń palna, której dotyczy dyrektywa</w:t>
      </w:r>
      <w:r w:rsidR="009D1E48">
        <w:t>,</w:t>
      </w:r>
      <w:r w:rsidRPr="00AF27CD">
        <w:t xml:space="preserve"> została sklasyfikowana (wyszczególniona) w Części II Załącznika I dyrektywy</w:t>
      </w:r>
      <w:r w:rsidR="002707FD" w:rsidRPr="00AF27CD">
        <w:t xml:space="preserve"> 91/477</w:t>
      </w:r>
      <w:r w:rsidR="009D1E48">
        <w:t>/EWG</w:t>
      </w:r>
      <w:r w:rsidR="002707FD" w:rsidRPr="00AF27CD">
        <w:t>, zmienionej dyrektywą 2017/853</w:t>
      </w:r>
      <w:r w:rsidRPr="00AF27CD">
        <w:t>. W wyniku analizy powyższych zapisów, przeprowadzonej z udziałem ekspertów (MSWiA, Centralnego Laboratorium Kryminalistycznego Policji, Wojskowej Akademii Technicznej, Wojskowego Instytutu Technicznego Uzbrojenia, Inspektoratu Uzbrojenia</w:t>
      </w:r>
      <w:r w:rsidR="002707FD" w:rsidRPr="00AF27CD">
        <w:t xml:space="preserve"> MON</w:t>
      </w:r>
      <w:r w:rsidR="00EC6774">
        <w:t>) w </w:t>
      </w:r>
      <w:r w:rsidRPr="00AF27CD">
        <w:t xml:space="preserve">dziedzinie techniki uzbrojenia, stwierdzono, że broń sklasyfikowana w Części II Załącznika I oraz opisana w dyrektywie określeniem </w:t>
      </w:r>
      <w:r w:rsidRPr="00AF27CD">
        <w:rPr>
          <w:i/>
        </w:rPr>
        <w:t>„broń palna”</w:t>
      </w:r>
      <w:r w:rsidRPr="00AF27CD">
        <w:t xml:space="preserve"> mieści </w:t>
      </w:r>
      <w:r w:rsidR="00EC6774">
        <w:t>się w </w:t>
      </w:r>
      <w:r w:rsidR="00AF27CD">
        <w:t>funkcjonującym w Polsce i</w:t>
      </w:r>
      <w:r w:rsidR="00EC6774">
        <w:t xml:space="preserve"> </w:t>
      </w:r>
      <w:r w:rsidRPr="00AF27CD">
        <w:t>właściwym merytorycznie (technicznie) pojęciu „strzelecka broń palna”.</w:t>
      </w:r>
    </w:p>
    <w:p w:rsidR="00A93E79" w:rsidRPr="00AF27CD" w:rsidRDefault="00A93E79" w:rsidP="00422EA7">
      <w:pPr>
        <w:spacing w:before="120" w:line="360" w:lineRule="auto"/>
        <w:jc w:val="both"/>
      </w:pPr>
      <w:r w:rsidRPr="00AF27CD">
        <w:t>Z uwagi na to, iż ustawa reguluje wykonywanie dz</w:t>
      </w:r>
      <w:r w:rsidR="00EC6774">
        <w:t>iałalności gospodarczej m.in. </w:t>
      </w:r>
      <w:r w:rsidR="00AF27CD">
        <w:t>w</w:t>
      </w:r>
      <w:r w:rsidR="00EC6774">
        <w:t> </w:t>
      </w:r>
      <w:r w:rsidRPr="00AF27CD">
        <w:t>zakresie wytwarzania i obrotu bronią i amunicją, przy czym dotyczy ona również broni i amunicji, które nie są objęte dyrektywą, a jednocześnie jest to specyficzna działalność gospodarcza, wprowadzono słownik pojęciowy zawierający definicje zgodne z przepisami prawa europejskiego, a jednocześnie właściwe pod względem technicznym</w:t>
      </w:r>
      <w:r w:rsidR="002707FD" w:rsidRPr="00AF27CD">
        <w:t>. Wprowadzony słownik pojęciowy</w:t>
      </w:r>
      <w:r w:rsidR="00EC6774">
        <w:t xml:space="preserve"> pozwoli organom i </w:t>
      </w:r>
      <w:r w:rsidRPr="00AF27CD">
        <w:t>przedsiębiorc</w:t>
      </w:r>
      <w:r w:rsidR="0050373A">
        <w:t>om stosującym ustawę w praktyce</w:t>
      </w:r>
      <w:r w:rsidRPr="00AF27CD">
        <w:t xml:space="preserve"> uniknąć błędów interpretacyjnych.</w:t>
      </w:r>
    </w:p>
    <w:p w:rsidR="00257F82" w:rsidRPr="00AF27CD" w:rsidRDefault="00A93E79" w:rsidP="00422EA7">
      <w:pPr>
        <w:spacing w:before="120" w:line="360" w:lineRule="auto"/>
        <w:jc w:val="both"/>
      </w:pPr>
      <w:r w:rsidRPr="00AF27CD">
        <w:t>Wprowadzone w ustawie pojęcie „broń palna” jest pojęciem szerokim, obejmującym każdą broń, w której do miotania pocisku lub substancji drażniących, innych substancji aktywnych, nabojów pirotechnicznych lub d</w:t>
      </w:r>
      <w:r w:rsidR="00AF27CD">
        <w:t>o wytwarzania efektów dźwiękowo</w:t>
      </w:r>
      <w:r w:rsidR="00AF27CD">
        <w:noBreakHyphen/>
      </w:r>
      <w:r w:rsidR="0050373A">
        <w:t>wizualnych</w:t>
      </w:r>
      <w:r w:rsidRPr="00AF27CD">
        <w:t xml:space="preserve"> </w:t>
      </w:r>
      <w:r w:rsidR="009D1E48" w:rsidRPr="00AF27CD">
        <w:t xml:space="preserve">jest </w:t>
      </w:r>
      <w:r w:rsidRPr="00AF27CD">
        <w:t xml:space="preserve">wykorzystywana energia produktów </w:t>
      </w:r>
      <w:r w:rsidR="00043950" w:rsidRPr="00AF27CD">
        <w:t xml:space="preserve">powstałych w wyniku reakcji chemicznej </w:t>
      </w:r>
      <w:r w:rsidR="00257F82" w:rsidRPr="00AF27CD">
        <w:t>ładunku miotającego. Jednocześnie definiowane jest pojęcie ładunku</w:t>
      </w:r>
      <w:r w:rsidR="0078647C" w:rsidRPr="00AF27CD">
        <w:t xml:space="preserve"> miotającego</w:t>
      </w:r>
      <w:r w:rsidR="00422EA7" w:rsidRPr="00AF27CD">
        <w:t xml:space="preserve"> </w:t>
      </w:r>
      <w:r w:rsidR="00257F82" w:rsidRPr="00AF27CD">
        <w:t>–</w:t>
      </w:r>
      <w:r w:rsidR="0078647C" w:rsidRPr="00AF27CD">
        <w:t xml:space="preserve"> przez który należy rozumieć</w:t>
      </w:r>
      <w:r w:rsidR="00422EA7" w:rsidRPr="00AF27CD">
        <w:t xml:space="preserve"> </w:t>
      </w:r>
      <w:r w:rsidR="00257F82" w:rsidRPr="00AF27CD">
        <w:t>określon</w:t>
      </w:r>
      <w:r w:rsidR="0078647C" w:rsidRPr="00AF27CD">
        <w:t>ą</w:t>
      </w:r>
      <w:r w:rsidR="00257F82" w:rsidRPr="00AF27CD">
        <w:t xml:space="preserve"> ilość materiału wybuchowego lub kombinacji materiałów wybuchowych, które w wyniku reakcji chemicznej wytwarzają produkty </w:t>
      </w:r>
      <w:r w:rsidR="008624B9" w:rsidRPr="00AF27CD">
        <w:t>gazowe</w:t>
      </w:r>
      <w:r w:rsidR="00257F82" w:rsidRPr="00AF27CD">
        <w:t xml:space="preserve"> zdolne do miotania pocisku lub chemicznego środka obezwładniającego lub do wytwarzani</w:t>
      </w:r>
      <w:r w:rsidR="00B14EE0" w:rsidRPr="00AF27CD">
        <w:t>a efektów dźwiękowo-wizualnych.</w:t>
      </w:r>
    </w:p>
    <w:p w:rsidR="00E2081B" w:rsidRPr="00AF27CD" w:rsidRDefault="00E2081B" w:rsidP="00422EA7">
      <w:pPr>
        <w:spacing w:before="120" w:line="360" w:lineRule="auto"/>
        <w:jc w:val="both"/>
        <w:rPr>
          <w:i/>
        </w:rPr>
      </w:pPr>
      <w:r w:rsidRPr="00AF27CD">
        <w:t>W ramach opiniowania projektu ustawy zostały przeprowadzone konsultacje publiczne z ekspertami w zakresie techniki uzbrojenia oraz przedsiębiorcami wykonującymi działalność gospodarczą w zakresie wytwarzania i obrotu materiałami wybuchowymi, bronią, amunicją oraz wyrobami i technologią o przeznaczeniu wojskowym lub policyjnym. W wyniku przeprowadzonych konsultacji ustalono, że w definicji strzeleckiej broni palnej,</w:t>
      </w:r>
      <w:r w:rsidR="00422EA7" w:rsidRPr="00AF27CD">
        <w:t xml:space="preserve"> </w:t>
      </w:r>
      <w:r w:rsidR="00EC5C6B" w:rsidRPr="00AF27CD">
        <w:t xml:space="preserve">zawartej w dyrektywie, </w:t>
      </w:r>
      <w:r w:rsidRPr="00AF27CD">
        <w:t xml:space="preserve">wyrazy „śrut, kula, pocisk” należy zastąpić jednym wyrazem „pocisk”. Wyrażenie „śrut, kula, pocisk” (ang. </w:t>
      </w:r>
      <w:r w:rsidRPr="00AF27CD">
        <w:rPr>
          <w:i/>
        </w:rPr>
        <w:t>shot, bullet, projectile</w:t>
      </w:r>
      <w:r w:rsidRPr="00AF27CD">
        <w:t>) zostało zaczerpnięte z zawartej w dyrektywie 91/477/EWG definicji broni palnej (odpowiadającej ustawowej definicji strzeleckiej broni palnej). W nomenklaturze technicznej dotyczącej zagadnień związanych z bronią i</w:t>
      </w:r>
      <w:r w:rsidR="00AF27CD">
        <w:t xml:space="preserve"> amunicją, zarówno „śrut” jak i</w:t>
      </w:r>
      <w:r w:rsidR="00EC6774">
        <w:t> </w:t>
      </w:r>
      <w:r w:rsidRPr="00AF27CD">
        <w:t>„kula” są rodzajami pocisku</w:t>
      </w:r>
      <w:r w:rsidR="0050373A">
        <w:t>,</w:t>
      </w:r>
      <w:r w:rsidRPr="00AF27CD">
        <w:t xml:space="preserve"> czyli obiektu, który jest wyrzucany (miotany) siłą gwałtownie spalających się gazów lub innym sposobem, podczas strzału z broni. Takie znaczenie pojęcia „pocisk” (ang. </w:t>
      </w:r>
      <w:r w:rsidRPr="00AF27CD">
        <w:rPr>
          <w:i/>
        </w:rPr>
        <w:t>projectile</w:t>
      </w:r>
      <w:r w:rsidRPr="00AF27CD">
        <w:t>) potwierdza również wyjaśnie</w:t>
      </w:r>
      <w:r w:rsidR="0031481E">
        <w:t>nie przedstawione w dokumencie „</w:t>
      </w:r>
      <w:r w:rsidRPr="00AF27CD">
        <w:t xml:space="preserve">European Firearm Experts (EFE) </w:t>
      </w:r>
      <w:r w:rsidR="00AF27CD">
        <w:t>Group Glossary of</w:t>
      </w:r>
      <w:r w:rsidR="00EC6774">
        <w:t> </w:t>
      </w:r>
      <w:r w:rsidRPr="00AF27CD">
        <w:t>Firearms Terminology October 2015”, zaw</w:t>
      </w:r>
      <w:r w:rsidR="00AF27CD">
        <w:t>ierającym wyjaśnienia użytych w</w:t>
      </w:r>
      <w:r w:rsidR="00EC6774">
        <w:t> </w:t>
      </w:r>
      <w:r w:rsidRPr="00AF27CD">
        <w:t>dyrektywie terminów technicznych</w:t>
      </w:r>
      <w:r w:rsidR="0050373A">
        <w:t>,</w:t>
      </w:r>
      <w:r w:rsidRPr="00AF27CD">
        <w:t xml:space="preserve"> tj.: </w:t>
      </w:r>
      <w:r w:rsidRPr="00AF27CD">
        <w:rPr>
          <w:i/>
        </w:rPr>
        <w:t>„Projectile - a</w:t>
      </w:r>
      <w:r w:rsidR="00AF27CD">
        <w:rPr>
          <w:i/>
        </w:rPr>
        <w:t>n object (bullet, shot, slug or</w:t>
      </w:r>
      <w:r w:rsidR="00EC6774">
        <w:rPr>
          <w:i/>
        </w:rPr>
        <w:t> </w:t>
      </w:r>
      <w:r w:rsidRPr="00AF27CD">
        <w:rPr>
          <w:i/>
        </w:rPr>
        <w:t>pellet) which is discharged by the force of rapidly burning gases or by other means when a gun is fired”.</w:t>
      </w:r>
    </w:p>
    <w:p w:rsidR="008105D8" w:rsidRPr="00AF27CD" w:rsidRDefault="008105D8" w:rsidP="00422EA7">
      <w:pPr>
        <w:spacing w:before="120" w:line="360" w:lineRule="auto"/>
        <w:jc w:val="both"/>
      </w:pPr>
      <w:r w:rsidRPr="00AF27CD">
        <w:t>Dyrektywa 91/477/EWG</w:t>
      </w:r>
      <w:r w:rsidR="009D1E48">
        <w:t>,</w:t>
      </w:r>
      <w:r w:rsidR="00BA247F" w:rsidRPr="00AF27CD">
        <w:t xml:space="preserve"> definiując broń palną</w:t>
      </w:r>
      <w:r w:rsidR="009D1E48">
        <w:t>,</w:t>
      </w:r>
      <w:r w:rsidR="00BA247F" w:rsidRPr="00AF27CD">
        <w:t xml:space="preserve"> posługuje się pojęciem</w:t>
      </w:r>
      <w:r w:rsidR="00422EA7" w:rsidRPr="00AF27CD">
        <w:t xml:space="preserve"> </w:t>
      </w:r>
      <w:r w:rsidR="00BA247F" w:rsidRPr="00AF27CD">
        <w:t>„palnego materiału miotającego”</w:t>
      </w:r>
      <w:r w:rsidR="000C5A53">
        <w:t>,</w:t>
      </w:r>
      <w:r w:rsidR="00422EA7" w:rsidRPr="00AF27CD">
        <w:t xml:space="preserve"> </w:t>
      </w:r>
      <w:r w:rsidR="00BA247F" w:rsidRPr="00AF27CD">
        <w:t xml:space="preserve">jako substancji wykorzystywanej do miotania pocisku. </w:t>
      </w:r>
      <w:r w:rsidR="0009363A" w:rsidRPr="00AF27CD">
        <w:t>Us</w:t>
      </w:r>
      <w:r w:rsidR="00AF27CD">
        <w:t>tawa z dnia 21</w:t>
      </w:r>
      <w:r w:rsidR="00EC6774">
        <w:t xml:space="preserve"> </w:t>
      </w:r>
      <w:r w:rsidR="0009363A" w:rsidRPr="00AF27CD">
        <w:t>maja 1999 r. o broni i amunicji</w:t>
      </w:r>
      <w:r w:rsidR="00947A2E" w:rsidRPr="00AF27CD">
        <w:t>,</w:t>
      </w:r>
      <w:r w:rsidR="0009363A" w:rsidRPr="00AF27CD">
        <w:t xml:space="preserve"> definiując broń palną</w:t>
      </w:r>
      <w:r w:rsidR="00947A2E" w:rsidRPr="00AF27CD">
        <w:t>,</w:t>
      </w:r>
      <w:r w:rsidR="0009363A" w:rsidRPr="00AF27CD">
        <w:t xml:space="preserve"> posługuje się pojęciem „materiału miotającego”. </w:t>
      </w:r>
      <w:r w:rsidR="00BA247F" w:rsidRPr="00AF27CD">
        <w:t>Taka konstrukcja przepis</w:t>
      </w:r>
      <w:r w:rsidR="0009363A" w:rsidRPr="00AF27CD">
        <w:t>ów powoduje konieczność interpretacji, coraz liczniejszych w miarę upływu czasu, na potrzeby zarówno osób posiadających lub zamierzających nabyć broń,</w:t>
      </w:r>
      <w:r w:rsidR="00AF27CD">
        <w:t xml:space="preserve"> przedsiębiorców działających w</w:t>
      </w:r>
      <w:r w:rsidR="00EC6774">
        <w:t> </w:t>
      </w:r>
      <w:r w:rsidR="0009363A" w:rsidRPr="00AF27CD">
        <w:t>obszarze wytwarzania i handlu bronią</w:t>
      </w:r>
      <w:r w:rsidR="0078647C" w:rsidRPr="00AF27CD">
        <w:t>,</w:t>
      </w:r>
      <w:r w:rsidR="0009363A" w:rsidRPr="00AF27CD">
        <w:t xml:space="preserve"> a także organów prowadzących postępowania związane z prawem do posiadania broni. Należało więc na potrzeby projektu ustawy</w:t>
      </w:r>
      <w:r w:rsidR="00422EA7" w:rsidRPr="00AF27CD">
        <w:t xml:space="preserve"> </w:t>
      </w:r>
      <w:r w:rsidR="0009363A" w:rsidRPr="00AF27CD">
        <w:t>stworzyć nową definicję broni palnej z precyzyjnym określeniem substancji wykorzystywanej do miotania pocisku. Nowa definicja zawarta w projekcie u</w:t>
      </w:r>
      <w:r w:rsidR="00EA7D53" w:rsidRPr="00AF27CD">
        <w:t>stawy jest spójna z naukową terminologią i klasyfikacją</w:t>
      </w:r>
      <w:r w:rsidR="0009363A" w:rsidRPr="00AF27CD">
        <w:t xml:space="preserve"> odnoszącą się do rod</w:t>
      </w:r>
      <w:r w:rsidR="00EA7D53" w:rsidRPr="00AF27CD">
        <w:t xml:space="preserve">zajów materiałów wybuchowych i odnosi się do zasady działania i funkcjonalności broni palnej. </w:t>
      </w:r>
    </w:p>
    <w:p w:rsidR="00A93E79" w:rsidRPr="00AF27CD" w:rsidRDefault="00A93E79" w:rsidP="00422EA7">
      <w:pPr>
        <w:spacing w:before="120" w:line="360" w:lineRule="auto"/>
        <w:jc w:val="both"/>
      </w:pPr>
      <w:r w:rsidRPr="00AF27CD">
        <w:t xml:space="preserve">Pojęcie „broń palna” użyte w </w:t>
      </w:r>
      <w:r w:rsidR="00947A2E" w:rsidRPr="00AF27CD">
        <w:t xml:space="preserve">projektowanej </w:t>
      </w:r>
      <w:r w:rsidRPr="00AF27CD">
        <w:t xml:space="preserve">ustawie obejmuje zatem strzelecką broń palną, której dotyczy dyrektywa, a także </w:t>
      </w:r>
      <w:r w:rsidR="002707FD" w:rsidRPr="00AF27CD">
        <w:t>mając</w:t>
      </w:r>
      <w:r w:rsidR="00263324" w:rsidRPr="00AF27CD">
        <w:t>ą</w:t>
      </w:r>
      <w:r w:rsidR="002707FD" w:rsidRPr="00AF27CD">
        <w:t xml:space="preserve"> zastosowanie w wojsku </w:t>
      </w:r>
      <w:r w:rsidRPr="00AF27CD">
        <w:t>artyleryjską oraz rakietową broń palną, co wyeliminuje stosowane d</w:t>
      </w:r>
      <w:r w:rsidR="00AF27CD">
        <w:t>otychczas (w ustawie z dnia 22</w:t>
      </w:r>
      <w:r w:rsidR="00EC6774">
        <w:t> </w:t>
      </w:r>
      <w:r w:rsidRPr="00AF27CD">
        <w:t xml:space="preserve">czerwca 2001 r.) w odniesieniu do artyleryjskiej i rakietowej broni palnej pojęcie </w:t>
      </w:r>
      <w:r w:rsidRPr="00AF27CD">
        <w:rPr>
          <w:i/>
        </w:rPr>
        <w:t>„broń inna niż broń palna”</w:t>
      </w:r>
      <w:r w:rsidRPr="00AF27CD">
        <w:t>, będące w sprzeczności z funkcjonującym w Polsce nazewnictwem naukowo-technicznym stosowanym m.in. przez instytuty badawcze zajmujące się profesjonalnie bronią.</w:t>
      </w:r>
    </w:p>
    <w:p w:rsidR="00A93E79" w:rsidRPr="00AF27CD" w:rsidRDefault="00A93E79" w:rsidP="00422EA7">
      <w:pPr>
        <w:spacing w:before="120" w:line="360" w:lineRule="auto"/>
        <w:jc w:val="both"/>
      </w:pPr>
      <w:r w:rsidRPr="00AF27CD">
        <w:t xml:space="preserve">Pojęcie „strzelecka broń palna” oznacza </w:t>
      </w:r>
      <w:r w:rsidRPr="00AF27CD">
        <w:rPr>
          <w:i/>
        </w:rPr>
        <w:t>„broń palną”</w:t>
      </w:r>
      <w:r w:rsidRPr="00AF27CD">
        <w:t xml:space="preserve"> w rozumieniu dyrektywy. Na potrzeby ustawy, zgodnie ze znaczeniem definicji zawartej w dyrektywie, dopełnionej klasyfikacją w Części II Załącznika I dyrektywy, zostało ono doprecyzowane przez dodanie stwierdzenia „o kalibrze mniejszym niż 20 mm”, co oznacza, że broń spełniająca ustawową definicję „broni palnej”, wyposażona w lufę o kalibrze równym 20 mm bądź większym, </w:t>
      </w:r>
      <w:r w:rsidR="00947A2E" w:rsidRPr="00AF27CD">
        <w:t xml:space="preserve">jest </w:t>
      </w:r>
      <w:r w:rsidRPr="00AF27CD">
        <w:t>zaliczana do artyleryjskiej broni palnej.</w:t>
      </w:r>
      <w:r w:rsidR="0014482B" w:rsidRPr="00AF27CD">
        <w:t xml:space="preserve"> W zakres</w:t>
      </w:r>
      <w:r w:rsidR="00422EA7" w:rsidRPr="00AF27CD">
        <w:t xml:space="preserve"> </w:t>
      </w:r>
      <w:r w:rsidR="0014482B" w:rsidRPr="00AF27CD">
        <w:t xml:space="preserve">pojęcia „strzelecka broń palna” wchodzą również granatniki i broń sygnałowa. </w:t>
      </w:r>
    </w:p>
    <w:p w:rsidR="00C014B5" w:rsidRPr="00AF27CD" w:rsidRDefault="00E324F6" w:rsidP="00422EA7">
      <w:pPr>
        <w:spacing w:before="120" w:line="360" w:lineRule="auto"/>
        <w:jc w:val="both"/>
      </w:pPr>
      <w:r w:rsidRPr="00AF27CD">
        <w:t>Prace nad projektem ustawy, jak również doświadczenie wynikające z praktycznego stosowania ustawy z dnia 22 czerwca 2001 r.</w:t>
      </w:r>
      <w:r w:rsidR="000C5A53">
        <w:t>,</w:t>
      </w:r>
      <w:r w:rsidRPr="00AF27CD">
        <w:t xml:space="preserve"> pokazały potrzebę określenia istotnych komponentów artyleryjskiej broni palnej, które wytworzone jako odrębne komponenty lub będące przedmiotem obrotu jako odrębne komponenty </w:t>
      </w:r>
      <w:r w:rsidR="00422EA7" w:rsidRPr="00AF27CD">
        <w:t>–</w:t>
      </w:r>
      <w:r w:rsidRPr="00AF27CD">
        <w:t xml:space="preserve"> niewmontowane w broń, powinny być zaewidencjonowane odrębnie. Komponenty te nie były określone na gruncie obowiązującej ustawy z dnia 22 czerwca 2001 r., a różnią się od istotnych komponentów strzeleckiej broni palnej. Komponenty artyleryjskiej broni palnej zostały zdefiniowane w art. 3 ust. 1 pkt </w:t>
      </w:r>
      <w:r w:rsidR="00C014B5" w:rsidRPr="00AF27CD">
        <w:t>5.</w:t>
      </w:r>
      <w:r w:rsidR="00E57F46" w:rsidRPr="00AF27CD">
        <w:t xml:space="preserve"> Do istotnych komponentów stosuje się przepisy dotyczące strzeleckiej broni palnej, a do istotnych komponentów artyleryjskiej broni palnej stosuje się przepisy dotyczące </w:t>
      </w:r>
      <w:r w:rsidR="00C014B5" w:rsidRPr="00AF27CD">
        <w:t>broni palnej innej niż strzelecka broń palna.</w:t>
      </w:r>
    </w:p>
    <w:p w:rsidR="00A93E79" w:rsidRPr="00AF27CD" w:rsidRDefault="00A93E79" w:rsidP="00422EA7">
      <w:pPr>
        <w:spacing w:before="120" w:line="360" w:lineRule="auto"/>
        <w:jc w:val="both"/>
        <w:rPr>
          <w:rFonts w:eastAsiaTheme="minorEastAsia"/>
          <w:bCs/>
        </w:rPr>
      </w:pPr>
      <w:r w:rsidRPr="00AF27CD">
        <w:rPr>
          <w:bCs/>
        </w:rPr>
        <w:t>Ustawa dodatkowo określa pojęcie „kaliber”</w:t>
      </w:r>
      <w:r w:rsidR="00DF6232" w:rsidRPr="00AF27CD">
        <w:rPr>
          <w:bCs/>
        </w:rPr>
        <w:t xml:space="preserve"> (art. 3 ust. 1 pkt 6)</w:t>
      </w:r>
      <w:r w:rsidR="00422EA7" w:rsidRPr="00AF27CD">
        <w:rPr>
          <w:bCs/>
        </w:rPr>
        <w:t xml:space="preserve"> </w:t>
      </w:r>
      <w:r w:rsidRPr="00AF27CD">
        <w:rPr>
          <w:bCs/>
        </w:rPr>
        <w:t xml:space="preserve">jako </w:t>
      </w:r>
      <w:r w:rsidRPr="00AF27CD">
        <w:rPr>
          <w:rFonts w:eastAsiaTheme="minorEastAsia"/>
          <w:bCs/>
        </w:rPr>
        <w:t xml:space="preserve">parametr broni określony </w:t>
      </w:r>
      <w:r w:rsidR="0050373A">
        <w:rPr>
          <w:rFonts w:eastAsiaTheme="minorEastAsia"/>
          <w:bCs/>
        </w:rPr>
        <w:t xml:space="preserve">– </w:t>
      </w:r>
      <w:r w:rsidRPr="00AF27CD">
        <w:rPr>
          <w:rFonts w:eastAsiaTheme="minorEastAsia"/>
          <w:bCs/>
        </w:rPr>
        <w:t>wyrażoną w milimetrach, calach albo wagomiarowo</w:t>
      </w:r>
      <w:r w:rsidR="00422EA7" w:rsidRPr="00AF27CD">
        <w:rPr>
          <w:rFonts w:eastAsiaTheme="minorEastAsia"/>
          <w:bCs/>
        </w:rPr>
        <w:t xml:space="preserve"> –</w:t>
      </w:r>
      <w:r w:rsidR="00AF27CD">
        <w:rPr>
          <w:rFonts w:eastAsiaTheme="minorEastAsia"/>
          <w:bCs/>
        </w:rPr>
        <w:t xml:space="preserve"> wartością zawartą w</w:t>
      </w:r>
      <w:r w:rsidR="00EC6774">
        <w:rPr>
          <w:rFonts w:eastAsiaTheme="minorEastAsia"/>
          <w:bCs/>
        </w:rPr>
        <w:t> </w:t>
      </w:r>
      <w:r w:rsidRPr="00AF27CD">
        <w:rPr>
          <w:rFonts w:eastAsiaTheme="minorEastAsia"/>
          <w:bCs/>
        </w:rPr>
        <w:t>oznaczeniu naboju scalonego przeznaczonego dla danej broni, a w przypadku broni rozdzielnego ładowania – wyrażoną w milimetrach najmniejszą średnicę przewodu lufy.</w:t>
      </w:r>
      <w:r w:rsidR="00422EA7" w:rsidRPr="00AF27CD">
        <w:rPr>
          <w:rFonts w:eastAsiaTheme="minorEastAsia"/>
          <w:bCs/>
        </w:rPr>
        <w:t xml:space="preserve"> </w:t>
      </w:r>
      <w:r w:rsidRPr="00AF27CD">
        <w:rPr>
          <w:rFonts w:eastAsiaTheme="minorEastAsia"/>
          <w:bCs/>
        </w:rPr>
        <w:t>Zdefiniowanie tego pojęcia jest niezbędne z uwagi na dotychczasowe problemy związane z jego interpretacją i stosowaniem oraz z uwagi na fakt, że kaliber broni jest istotnym elementem identyfikującym broń na potrzeby jej ewidencjonowania.</w:t>
      </w:r>
    </w:p>
    <w:p w:rsidR="00A93E79" w:rsidRPr="00AF27CD" w:rsidRDefault="00A93E79" w:rsidP="00422EA7">
      <w:pPr>
        <w:spacing w:before="120" w:line="360" w:lineRule="auto"/>
        <w:jc w:val="both"/>
        <w:rPr>
          <w:bCs/>
        </w:rPr>
      </w:pPr>
      <w:r w:rsidRPr="00AF27CD">
        <w:rPr>
          <w:bCs/>
        </w:rPr>
        <w:t>Pojęcie „odzysku”</w:t>
      </w:r>
      <w:r w:rsidR="00947A2E" w:rsidRPr="00AF27CD">
        <w:rPr>
          <w:bCs/>
        </w:rPr>
        <w:t>,</w:t>
      </w:r>
      <w:r w:rsidRPr="00AF27CD">
        <w:rPr>
          <w:bCs/>
        </w:rPr>
        <w:t xml:space="preserve"> pierwotnie powiązane z przepisami o odpadach, zawarte w ustawie z dnia 22</w:t>
      </w:r>
      <w:r w:rsidR="00422EA7" w:rsidRPr="00AF27CD">
        <w:rPr>
          <w:bCs/>
        </w:rPr>
        <w:t xml:space="preserve"> </w:t>
      </w:r>
      <w:r w:rsidRPr="00AF27CD">
        <w:rPr>
          <w:bCs/>
        </w:rPr>
        <w:t>czerwca 2001 r.</w:t>
      </w:r>
      <w:r w:rsidR="00947A2E" w:rsidRPr="00AF27CD">
        <w:rPr>
          <w:bCs/>
        </w:rPr>
        <w:t>,</w:t>
      </w:r>
      <w:r w:rsidRPr="00AF27CD">
        <w:rPr>
          <w:bCs/>
        </w:rPr>
        <w:t xml:space="preserve"> zostało zastąpione na potrzeby ustawy szerszym pojęciem „zniszczenie”, które uwzględnia odzysk i unieszkodliwianie w rozumieniu przepisów nowej ustawy z dnia 14 grudnia 2012</w:t>
      </w:r>
      <w:r w:rsidR="00422EA7" w:rsidRPr="00AF27CD">
        <w:rPr>
          <w:bCs/>
        </w:rPr>
        <w:t xml:space="preserve"> </w:t>
      </w:r>
      <w:r w:rsidR="001D2325" w:rsidRPr="00AF27CD">
        <w:rPr>
          <w:bCs/>
        </w:rPr>
        <w:t>r. o odpadach</w:t>
      </w:r>
      <w:r w:rsidRPr="00AF27CD">
        <w:rPr>
          <w:bCs/>
        </w:rPr>
        <w:t xml:space="preserve">. </w:t>
      </w:r>
      <w:r w:rsidR="008E27F8" w:rsidRPr="00AF27CD">
        <w:rPr>
          <w:bCs/>
        </w:rPr>
        <w:t>Ponieważ ustawa z dnia 14 grudnia 2012 r.</w:t>
      </w:r>
      <w:r w:rsidR="00422EA7" w:rsidRPr="00AF27CD">
        <w:rPr>
          <w:bCs/>
        </w:rPr>
        <w:t xml:space="preserve"> </w:t>
      </w:r>
      <w:r w:rsidR="008E27F8" w:rsidRPr="00AF27CD">
        <w:rPr>
          <w:bCs/>
        </w:rPr>
        <w:t>o odpadach wyłącza ze swojego zakresu materiały wybuchowe, w pojęciu zniszczenia zostały wskazane odrębne czynności w postaci niszczenia, unieszkodliwienia lub utylizacji mające zastosowanie w przypadku neutralizacji materiałów wybuchowych.</w:t>
      </w:r>
      <w:r w:rsidR="00422EA7" w:rsidRPr="00AF27CD">
        <w:rPr>
          <w:bCs/>
        </w:rPr>
        <w:t xml:space="preserve"> </w:t>
      </w:r>
    </w:p>
    <w:p w:rsidR="0069254C" w:rsidRPr="00AF27CD" w:rsidRDefault="00A93E79" w:rsidP="00422EA7">
      <w:pPr>
        <w:spacing w:before="120" w:line="360" w:lineRule="auto"/>
        <w:jc w:val="both"/>
        <w:rPr>
          <w:bCs/>
        </w:rPr>
      </w:pPr>
      <w:r w:rsidRPr="00AF27CD">
        <w:rPr>
          <w:bCs/>
        </w:rPr>
        <w:t>Projekt ustawy w art. 4 w</w:t>
      </w:r>
      <w:r w:rsidR="00DF6232" w:rsidRPr="00AF27CD">
        <w:rPr>
          <w:bCs/>
        </w:rPr>
        <w:t xml:space="preserve">prowadza zasadę, </w:t>
      </w:r>
      <w:r w:rsidRPr="00AF27CD">
        <w:rPr>
          <w:bCs/>
        </w:rPr>
        <w:t xml:space="preserve">że przepisy dotyczące reglamentacji nie </w:t>
      </w:r>
      <w:r w:rsidRPr="00AF27CD">
        <w:t>dotyczą</w:t>
      </w:r>
      <w:r w:rsidRPr="00AF27CD">
        <w:rPr>
          <w:bCs/>
        </w:rPr>
        <w:t xml:space="preserve"> broni historycznej – broni palnej rozdzielnego ładowania, przystosowanej do strzelania wyłącznie przy wykorzystaniu prochu czarnego (dymnego), wytworzonej prze</w:t>
      </w:r>
      <w:r w:rsidR="001D2325" w:rsidRPr="00AF27CD">
        <w:rPr>
          <w:bCs/>
        </w:rPr>
        <w:t>d</w:t>
      </w:r>
      <w:r w:rsidRPr="00AF27CD">
        <w:rPr>
          <w:bCs/>
        </w:rPr>
        <w:t xml:space="preserve"> </w:t>
      </w:r>
      <w:r w:rsidR="00C56B33" w:rsidRPr="00AF27CD">
        <w:rPr>
          <w:bCs/>
        </w:rPr>
        <w:t>1900</w:t>
      </w:r>
      <w:r w:rsidRPr="00AF27CD">
        <w:rPr>
          <w:bCs/>
        </w:rPr>
        <w:t xml:space="preserve"> r. Taka cezura czasowa wyni</w:t>
      </w:r>
      <w:r w:rsidR="00422EA7" w:rsidRPr="00AF27CD">
        <w:rPr>
          <w:bCs/>
        </w:rPr>
        <w:t>ka z wynalezienia w latach 1884–</w:t>
      </w:r>
      <w:r w:rsidRPr="00AF27CD">
        <w:rPr>
          <w:bCs/>
        </w:rPr>
        <w:t xml:space="preserve">1886 prochu bezdymnego, którego stosowanie pozwoliło na rozwój i powstanie wielu rodzajów nowoczesnej broni. Planowany przepis dotyczy wyłącznie broni historycznej, </w:t>
      </w:r>
      <w:r w:rsidR="0002568D" w:rsidRPr="00AF27CD">
        <w:rPr>
          <w:bCs/>
        </w:rPr>
        <w:t xml:space="preserve">uznanej za zabytkową, </w:t>
      </w:r>
      <w:r w:rsidRPr="00AF27CD">
        <w:rPr>
          <w:bCs/>
        </w:rPr>
        <w:t>nie zaś jej reprodukcji wykonywanych współcześnie.</w:t>
      </w:r>
    </w:p>
    <w:p w:rsidR="0069254C" w:rsidRPr="00AF27CD" w:rsidRDefault="0069254C" w:rsidP="00422EA7">
      <w:pPr>
        <w:spacing w:before="120" w:line="360" w:lineRule="auto"/>
        <w:jc w:val="both"/>
        <w:rPr>
          <w:bCs/>
        </w:rPr>
      </w:pPr>
      <w:r w:rsidRPr="00AF27CD">
        <w:rPr>
          <w:bCs/>
        </w:rPr>
        <w:t>Zgodnie z załącznikiem 1 pkt III lit. b dyrektywy</w:t>
      </w:r>
      <w:r w:rsidR="0002568D" w:rsidRPr="00AF27CD">
        <w:rPr>
          <w:bCs/>
        </w:rPr>
        <w:t xml:space="preserve"> 91/477</w:t>
      </w:r>
      <w:r w:rsidR="000C5A53">
        <w:rPr>
          <w:bCs/>
        </w:rPr>
        <w:t>/EWG</w:t>
      </w:r>
      <w:r w:rsidRPr="00AF27CD">
        <w:rPr>
          <w:bCs/>
        </w:rPr>
        <w:t>, za broń nie uznaje się broni „uznanej za broń zabytkową”.</w:t>
      </w:r>
      <w:r w:rsidRPr="00AF27CD">
        <w:t xml:space="preserve"> Racjonalna wykładnia tego przepisu nakazuje stwierdzić, że nie chodzi tu o broń uznaną za zabytek w rozumieniu prawa krajowego, ale o każdą broń dawną, która z uwagi na zastosowaną technologię i sposób działania na tyle odbiega od współczesnej broni, że jej reglamentacja jest niecelowa.</w:t>
      </w:r>
      <w:r w:rsidR="0002568D" w:rsidRPr="00AF27CD">
        <w:t xml:space="preserve"> </w:t>
      </w:r>
      <w:r w:rsidRPr="00AF27CD">
        <w:t>W przypadku przyjęcia odmiennej interpretacji należałoby stosować dyrektywę do wszystkich egzemplarzy starodawnej broni palnej (nawet wytworzonej setki lat temu), jeżeli tylko nie została w drodze decyzji administracyjnej uznana za zabytek w rozumieniu prawa polskiego.</w:t>
      </w:r>
    </w:p>
    <w:p w:rsidR="000A740F" w:rsidRPr="00AF27CD" w:rsidRDefault="00A93E79" w:rsidP="00422EA7">
      <w:pPr>
        <w:spacing w:before="120" w:line="360" w:lineRule="auto"/>
        <w:jc w:val="both"/>
      </w:pPr>
      <w:r w:rsidRPr="00AF27CD">
        <w:rPr>
          <w:bCs/>
        </w:rPr>
        <w:t xml:space="preserve">Z zakresu działania ustawy </w:t>
      </w:r>
      <w:r w:rsidR="000C5A53" w:rsidRPr="00AF27CD">
        <w:rPr>
          <w:bCs/>
        </w:rPr>
        <w:t xml:space="preserve">zostały </w:t>
      </w:r>
      <w:r w:rsidRPr="00AF27CD">
        <w:rPr>
          <w:bCs/>
        </w:rPr>
        <w:t xml:space="preserve">wyłączone również </w:t>
      </w:r>
      <w:r w:rsidRPr="00AF27CD">
        <w:rPr>
          <w:rFonts w:eastAsiaTheme="minorEastAsia"/>
          <w:bCs/>
        </w:rPr>
        <w:t>replik</w:t>
      </w:r>
      <w:r w:rsidRPr="00AF27CD">
        <w:t>i</w:t>
      </w:r>
      <w:r w:rsidRPr="00AF27CD">
        <w:rPr>
          <w:rFonts w:eastAsiaTheme="minorEastAsia"/>
          <w:bCs/>
        </w:rPr>
        <w:t xml:space="preserve"> broni niezdoln</w:t>
      </w:r>
      <w:r w:rsidRPr="00AF27CD">
        <w:t>e</w:t>
      </w:r>
      <w:r w:rsidRPr="00AF27CD">
        <w:rPr>
          <w:rFonts w:eastAsiaTheme="minorEastAsia"/>
          <w:bCs/>
        </w:rPr>
        <w:t xml:space="preserve"> do miotania pocisków albo sporządzon</w:t>
      </w:r>
      <w:r w:rsidRPr="00AF27CD">
        <w:t>e</w:t>
      </w:r>
      <w:r w:rsidRPr="00AF27CD">
        <w:rPr>
          <w:rFonts w:eastAsiaTheme="minorEastAsia"/>
          <w:bCs/>
        </w:rPr>
        <w:t xml:space="preserve"> z części broni przekroj</w:t>
      </w:r>
      <w:r w:rsidRPr="00AF27CD">
        <w:t>e</w:t>
      </w:r>
      <w:r w:rsidRPr="00AF27CD">
        <w:rPr>
          <w:rFonts w:eastAsiaTheme="minorEastAsia"/>
          <w:bCs/>
        </w:rPr>
        <w:t xml:space="preserve"> broni służąc</w:t>
      </w:r>
      <w:r w:rsidRPr="00AF27CD">
        <w:t>e</w:t>
      </w:r>
      <w:r w:rsidRPr="00AF27CD">
        <w:rPr>
          <w:rFonts w:eastAsiaTheme="minorEastAsia"/>
          <w:bCs/>
        </w:rPr>
        <w:t xml:space="preserve"> do prezentacji sposobu działania mechanizmów broni – jeżeli nie zawierają istotnych komponentów, które można wykorzystać zgodnie z ich przeznaczeniem w broni palnej. Pojęcie repliki użyte w </w:t>
      </w:r>
      <w:r w:rsidR="000C5A53">
        <w:rPr>
          <w:rFonts w:eastAsiaTheme="minorEastAsia"/>
          <w:bCs/>
        </w:rPr>
        <w:t xml:space="preserve">projekcie </w:t>
      </w:r>
      <w:r w:rsidRPr="00AF27CD">
        <w:rPr>
          <w:rFonts w:eastAsiaTheme="minorEastAsia"/>
          <w:bCs/>
        </w:rPr>
        <w:t>niniejszej ustaw</w:t>
      </w:r>
      <w:r w:rsidR="000C5A53">
        <w:rPr>
          <w:rFonts w:eastAsiaTheme="minorEastAsia"/>
          <w:bCs/>
        </w:rPr>
        <w:t>y</w:t>
      </w:r>
      <w:r w:rsidRPr="00AF27CD">
        <w:rPr>
          <w:rFonts w:eastAsiaTheme="minorEastAsia"/>
          <w:bCs/>
        </w:rPr>
        <w:t xml:space="preserve"> bezpośrednio odnosi się do definicji zawartej w przepisach dyrektywy</w:t>
      </w:r>
      <w:r w:rsidR="00F0061F" w:rsidRPr="00AF27CD">
        <w:rPr>
          <w:rFonts w:eastAsiaTheme="minorEastAsia"/>
          <w:bCs/>
        </w:rPr>
        <w:t xml:space="preserve"> 2017/853,</w:t>
      </w:r>
      <w:r w:rsidR="00422EA7" w:rsidRPr="00AF27CD">
        <w:rPr>
          <w:rFonts w:eastAsiaTheme="minorEastAsia"/>
          <w:bCs/>
        </w:rPr>
        <w:t xml:space="preserve"> </w:t>
      </w:r>
      <w:r w:rsidRPr="00AF27CD">
        <w:rPr>
          <w:rFonts w:eastAsiaTheme="minorEastAsia"/>
          <w:bCs/>
        </w:rPr>
        <w:t xml:space="preserve">zmieniającej dyrektywę </w:t>
      </w:r>
      <w:r w:rsidR="00DF6232" w:rsidRPr="00AF27CD">
        <w:rPr>
          <w:rFonts w:eastAsiaTheme="minorEastAsia"/>
          <w:bCs/>
        </w:rPr>
        <w:t>91/</w:t>
      </w:r>
      <w:r w:rsidRPr="00AF27CD">
        <w:rPr>
          <w:rFonts w:eastAsiaTheme="minorEastAsia"/>
          <w:bCs/>
        </w:rPr>
        <w:t>477</w:t>
      </w:r>
      <w:r w:rsidR="000C5A53">
        <w:rPr>
          <w:rFonts w:eastAsiaTheme="minorEastAsia"/>
          <w:bCs/>
        </w:rPr>
        <w:t>/EWG</w:t>
      </w:r>
      <w:r w:rsidRPr="00AF27CD">
        <w:rPr>
          <w:rFonts w:eastAsiaTheme="minorEastAsia"/>
          <w:bCs/>
        </w:rPr>
        <w:t>, zgodnie z którą p</w:t>
      </w:r>
      <w:r w:rsidRPr="00AF27CD">
        <w:rPr>
          <w:bCs/>
          <w:iCs/>
        </w:rPr>
        <w:t>rzedmioty, mające wygląd broni palnej („replika”), lecz</w:t>
      </w:r>
      <w:r w:rsidR="008F2B43">
        <w:rPr>
          <w:bCs/>
          <w:iCs/>
        </w:rPr>
        <w:t xml:space="preserve"> które zostały wytworzone w</w:t>
      </w:r>
      <w:r w:rsidR="00EC6774">
        <w:rPr>
          <w:bCs/>
          <w:iCs/>
        </w:rPr>
        <w:t xml:space="preserve"> </w:t>
      </w:r>
      <w:r w:rsidRPr="00AF27CD">
        <w:rPr>
          <w:bCs/>
          <w:iCs/>
        </w:rPr>
        <w:t xml:space="preserve">sposób uniemożliwiający ich przerobienie tak, aby </w:t>
      </w:r>
      <w:r w:rsidR="008F2B43">
        <w:rPr>
          <w:bCs/>
          <w:iCs/>
        </w:rPr>
        <w:t>miotały śrut, kulę lub pocisk w</w:t>
      </w:r>
      <w:r w:rsidR="00EC6774">
        <w:rPr>
          <w:bCs/>
          <w:iCs/>
        </w:rPr>
        <w:t xml:space="preserve"> </w:t>
      </w:r>
      <w:r w:rsidRPr="00AF27CD">
        <w:rPr>
          <w:bCs/>
          <w:iCs/>
        </w:rPr>
        <w:t>wyniku działania palnego materiału miotającego, nie powinny być objęte zakresem stosowania dyrek</w:t>
      </w:r>
      <w:r w:rsidR="00DF6232" w:rsidRPr="00AF27CD">
        <w:rPr>
          <w:bCs/>
          <w:iCs/>
        </w:rPr>
        <w:t>tywy</w:t>
      </w:r>
      <w:r w:rsidRPr="00AF27CD">
        <w:rPr>
          <w:bCs/>
          <w:iCs/>
        </w:rPr>
        <w:t xml:space="preserve"> 91/477/EWG.</w:t>
      </w:r>
      <w:r w:rsidR="000A740F" w:rsidRPr="00AF27CD">
        <w:t xml:space="preserve"> </w:t>
      </w:r>
    </w:p>
    <w:p w:rsidR="000A740F" w:rsidRPr="00AF27CD" w:rsidRDefault="001A6352" w:rsidP="00422EA7">
      <w:pPr>
        <w:spacing w:before="120" w:line="360" w:lineRule="auto"/>
        <w:jc w:val="both"/>
      </w:pPr>
      <w:r w:rsidRPr="00AF27CD">
        <w:t>M</w:t>
      </w:r>
      <w:r w:rsidR="000A740F" w:rsidRPr="00AF27CD">
        <w:t xml:space="preserve">ając na uwadze konieczność ochrony zabytków rzemiosła i sztuki użytkowej, których </w:t>
      </w:r>
      <w:r w:rsidR="000C5A53">
        <w:t>liczba</w:t>
      </w:r>
      <w:r w:rsidR="000C5A53" w:rsidRPr="00AF27CD">
        <w:t xml:space="preserve"> </w:t>
      </w:r>
      <w:r w:rsidR="000A740F" w:rsidRPr="00AF27CD">
        <w:t xml:space="preserve">na skutek strat poniesionych w czasie działań wojennych jest </w:t>
      </w:r>
      <w:r w:rsidR="00857170" w:rsidRPr="00AF27CD">
        <w:t xml:space="preserve">w naszym kraju </w:t>
      </w:r>
      <w:r w:rsidR="000A740F" w:rsidRPr="00AF27CD">
        <w:t>znikoma, projekt ustawy wyłącza z zakresu jej stosowania broń palną wpisaną na Listę Skarbów Dziedzictwa Narodowego albo do rejestru zabytków lub ujętą w wojewódzkiej ewidencji zabytków albo wpisaną do inwentarza muz</w:t>
      </w:r>
      <w:r w:rsidR="008F2B43">
        <w:t>eum, o których mowa w ustawie z</w:t>
      </w:r>
      <w:r w:rsidR="00EC6774">
        <w:t> </w:t>
      </w:r>
      <w:r w:rsidR="000A740F" w:rsidRPr="00AF27CD">
        <w:t>dnia 23 lipca 2003 r. o ochronie zabytków i opiece nad zabytkami</w:t>
      </w:r>
      <w:r w:rsidR="00B320B4" w:rsidRPr="00AF27CD">
        <w:t>, albo wpisaną do inwentarzy muzealiów, o których mowa w art. 21 ust. 1 i 1a ustawy z dnia 21 listopada 1996 r. o muzeach</w:t>
      </w:r>
      <w:r w:rsidR="000A740F" w:rsidRPr="00AF27CD">
        <w:t>. Broń taka nie będzie więc podlegać obowiązkowi znakowania</w:t>
      </w:r>
      <w:r w:rsidR="00B748A8" w:rsidRPr="00AF27CD">
        <w:t xml:space="preserve"> oraz nie będą jej dotyczyć przepisy o pozbawianiu broni palnej cech użytkowych.</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Za u</w:t>
      </w:r>
      <w:r w:rsidR="0050373A">
        <w:rPr>
          <w:rFonts w:ascii="Times New Roman" w:hAnsi="Times New Roman" w:cs="Times New Roman"/>
          <w:szCs w:val="24"/>
        </w:rPr>
        <w:t>stawą z dnia 22 czerwca 2001 r.</w:t>
      </w:r>
      <w:r w:rsidR="00813718" w:rsidRPr="00AF27CD">
        <w:rPr>
          <w:rFonts w:ascii="Times New Roman" w:hAnsi="Times New Roman" w:cs="Times New Roman"/>
          <w:szCs w:val="24"/>
        </w:rPr>
        <w:t xml:space="preserve"> został</w:t>
      </w:r>
      <w:r w:rsidR="00422EA7" w:rsidRPr="00AF27CD">
        <w:rPr>
          <w:rFonts w:ascii="Times New Roman" w:hAnsi="Times New Roman" w:cs="Times New Roman"/>
          <w:szCs w:val="24"/>
        </w:rPr>
        <w:t xml:space="preserve"> </w:t>
      </w:r>
      <w:r w:rsidRPr="00AF27CD">
        <w:rPr>
          <w:rFonts w:ascii="Times New Roman" w:hAnsi="Times New Roman" w:cs="Times New Roman"/>
          <w:szCs w:val="24"/>
        </w:rPr>
        <w:t>powtórzony przepis</w:t>
      </w:r>
      <w:r w:rsidR="00813718" w:rsidRPr="00AF27CD">
        <w:rPr>
          <w:rFonts w:ascii="Times New Roman" w:hAnsi="Times New Roman" w:cs="Times New Roman"/>
          <w:szCs w:val="24"/>
        </w:rPr>
        <w:t>,</w:t>
      </w:r>
      <w:r w:rsidR="008F2B43">
        <w:rPr>
          <w:rFonts w:ascii="Times New Roman" w:hAnsi="Times New Roman" w:cs="Times New Roman"/>
          <w:szCs w:val="24"/>
        </w:rPr>
        <w:t xml:space="preserve"> zgodnie z</w:t>
      </w:r>
      <w:r w:rsidR="00EC6774">
        <w:rPr>
          <w:rFonts w:ascii="Times New Roman" w:hAnsi="Times New Roman" w:cs="Times New Roman"/>
          <w:szCs w:val="24"/>
        </w:rPr>
        <w:t xml:space="preserve"> </w:t>
      </w:r>
      <w:r w:rsidRPr="00AF27CD">
        <w:rPr>
          <w:rFonts w:ascii="Times New Roman" w:hAnsi="Times New Roman" w:cs="Times New Roman"/>
          <w:szCs w:val="24"/>
        </w:rPr>
        <w:t>którym wykonywanie działalności gospodarczej w zakresie wytwarzania i obrotu materiałami wybuchowymi, bronią, amunicj</w:t>
      </w:r>
      <w:r w:rsidR="008F2B43">
        <w:rPr>
          <w:rFonts w:ascii="Times New Roman" w:hAnsi="Times New Roman" w:cs="Times New Roman"/>
          <w:szCs w:val="24"/>
        </w:rPr>
        <w:t>ą oraz wyrobami i technologią o</w:t>
      </w:r>
      <w:r w:rsidR="00EC6774">
        <w:rPr>
          <w:rFonts w:ascii="Times New Roman" w:hAnsi="Times New Roman" w:cs="Times New Roman"/>
          <w:szCs w:val="24"/>
        </w:rPr>
        <w:t xml:space="preserve"> </w:t>
      </w:r>
      <w:r w:rsidRPr="00AF27CD">
        <w:rPr>
          <w:rFonts w:ascii="Times New Roman" w:hAnsi="Times New Roman" w:cs="Times New Roman"/>
          <w:szCs w:val="24"/>
        </w:rPr>
        <w:t>przeznaczeniu wojskowym lub policyjnym jest dozwolone wyłącznie po spełnieniu warunków określonych w ustawie (art. 5) oraz wymóg</w:t>
      </w:r>
      <w:r w:rsidR="008F2B43">
        <w:rPr>
          <w:rFonts w:ascii="Times New Roman" w:hAnsi="Times New Roman" w:cs="Times New Roman"/>
          <w:szCs w:val="24"/>
        </w:rPr>
        <w:t>, aby działalność gospodarcza w</w:t>
      </w:r>
      <w:r w:rsidR="00EC6774">
        <w:rPr>
          <w:rFonts w:ascii="Times New Roman" w:hAnsi="Times New Roman" w:cs="Times New Roman"/>
          <w:szCs w:val="24"/>
        </w:rPr>
        <w:t xml:space="preserve"> </w:t>
      </w:r>
      <w:r w:rsidR="001D2325" w:rsidRPr="00AF27CD">
        <w:rPr>
          <w:rFonts w:ascii="Times New Roman" w:hAnsi="Times New Roman" w:cs="Times New Roman"/>
          <w:szCs w:val="24"/>
        </w:rPr>
        <w:t>tym</w:t>
      </w:r>
      <w:r w:rsidRPr="00AF27CD">
        <w:rPr>
          <w:rFonts w:ascii="Times New Roman" w:hAnsi="Times New Roman" w:cs="Times New Roman"/>
          <w:szCs w:val="24"/>
        </w:rPr>
        <w:t xml:space="preserve"> zakresie </w:t>
      </w:r>
      <w:r w:rsidR="000C5A53" w:rsidRPr="00AF27CD">
        <w:rPr>
          <w:rFonts w:ascii="Times New Roman" w:hAnsi="Times New Roman" w:cs="Times New Roman"/>
          <w:szCs w:val="24"/>
        </w:rPr>
        <w:t xml:space="preserve">była </w:t>
      </w:r>
      <w:r w:rsidRPr="00AF27CD">
        <w:rPr>
          <w:rFonts w:ascii="Times New Roman" w:hAnsi="Times New Roman" w:cs="Times New Roman"/>
          <w:szCs w:val="24"/>
        </w:rPr>
        <w:t>prowadzona w sposób zapewniający ochronę życia i zdrowia ludzi, mienia oraz środowiska (art. 6).</w:t>
      </w:r>
    </w:p>
    <w:p w:rsidR="00A93E79" w:rsidRPr="00AF27CD" w:rsidRDefault="00A93E79" w:rsidP="00CC3571">
      <w:pPr>
        <w:pStyle w:val="Akapitzlist"/>
        <w:numPr>
          <w:ilvl w:val="0"/>
          <w:numId w:val="20"/>
        </w:numPr>
        <w:tabs>
          <w:tab w:val="left" w:pos="426"/>
        </w:tabs>
        <w:spacing w:before="120" w:after="0" w:line="360" w:lineRule="auto"/>
        <w:ind w:left="0" w:firstLine="0"/>
        <w:rPr>
          <w:b/>
          <w:bCs/>
        </w:rPr>
      </w:pPr>
      <w:r w:rsidRPr="00AF27CD">
        <w:rPr>
          <w:b/>
          <w:bCs/>
        </w:rPr>
        <w:t>Dział II – zasady koncesjonowania działalności gospodarczej w zakresie wytwarzania i obrotu materiałami wybuchowymi, bronią</w:t>
      </w:r>
      <w:r w:rsidR="00DF6232" w:rsidRPr="00AF27CD">
        <w:rPr>
          <w:b/>
          <w:bCs/>
        </w:rPr>
        <w:t>,</w:t>
      </w:r>
      <w:r w:rsidR="00422EA7" w:rsidRPr="00AF27CD">
        <w:rPr>
          <w:b/>
          <w:bCs/>
        </w:rPr>
        <w:t xml:space="preserve"> </w:t>
      </w:r>
      <w:r w:rsidRPr="00AF27CD">
        <w:rPr>
          <w:b/>
          <w:bCs/>
        </w:rPr>
        <w:t>amun</w:t>
      </w:r>
      <w:r w:rsidR="00DF6232" w:rsidRPr="00AF27CD">
        <w:rPr>
          <w:b/>
          <w:bCs/>
        </w:rPr>
        <w:t>icją oraz wyrobami i technologią</w:t>
      </w:r>
      <w:r w:rsidRPr="00AF27CD">
        <w:rPr>
          <w:b/>
          <w:bCs/>
        </w:rPr>
        <w:t xml:space="preserve"> o przeznaczeniu w</w:t>
      </w:r>
      <w:r w:rsidR="00422EA7" w:rsidRPr="00AF27CD">
        <w:rPr>
          <w:b/>
          <w:bCs/>
        </w:rPr>
        <w:t>ojskowym lub policyjnym (art. 7–</w:t>
      </w:r>
      <w:r w:rsidRPr="00AF27CD">
        <w:rPr>
          <w:b/>
          <w:bCs/>
        </w:rPr>
        <w:t>2</w:t>
      </w:r>
      <w:r w:rsidR="00055919" w:rsidRPr="00AF27CD">
        <w:rPr>
          <w:b/>
          <w:bCs/>
        </w:rPr>
        <w:t>6</w:t>
      </w:r>
      <w:r w:rsidR="004D1BCC">
        <w:rPr>
          <w:b/>
          <w:bCs/>
        </w:rPr>
        <w:t>)</w:t>
      </w:r>
    </w:p>
    <w:p w:rsidR="00A93E79" w:rsidRPr="00AF27CD" w:rsidRDefault="00A93E79" w:rsidP="00CC3571">
      <w:pPr>
        <w:spacing w:before="120" w:line="360" w:lineRule="auto"/>
        <w:jc w:val="both"/>
        <w:rPr>
          <w:bCs/>
        </w:rPr>
      </w:pPr>
      <w:r w:rsidRPr="00AF27CD">
        <w:rPr>
          <w:bCs/>
        </w:rPr>
        <w:t xml:space="preserve">W dziale tym </w:t>
      </w:r>
      <w:r w:rsidR="000C5A53" w:rsidRPr="00AF27CD">
        <w:rPr>
          <w:bCs/>
        </w:rPr>
        <w:t xml:space="preserve">są </w:t>
      </w:r>
      <w:r w:rsidRPr="00AF27CD">
        <w:rPr>
          <w:bCs/>
        </w:rPr>
        <w:t>zawarte ogólne przepisy określające, analogicznie jak w ustawie z dnia 22</w:t>
      </w:r>
      <w:r w:rsidR="00422EA7" w:rsidRPr="00AF27CD">
        <w:rPr>
          <w:bCs/>
        </w:rPr>
        <w:t xml:space="preserve"> </w:t>
      </w:r>
      <w:r w:rsidRPr="00AF27CD">
        <w:rPr>
          <w:bCs/>
        </w:rPr>
        <w:t>czerwca 2001 r., zakres działalności gospodarczej podlegającej koncesjonowaniu. Nie ulega zmianie zakres wyłączeń z obowią</w:t>
      </w:r>
      <w:r w:rsidR="00CC3571">
        <w:rPr>
          <w:bCs/>
        </w:rPr>
        <w:t>zku uzyskania koncesji, który w</w:t>
      </w:r>
      <w:r w:rsidR="00EC6774">
        <w:rPr>
          <w:bCs/>
        </w:rPr>
        <w:t> </w:t>
      </w:r>
      <w:r w:rsidR="00813718" w:rsidRPr="00AF27CD">
        <w:rPr>
          <w:bCs/>
        </w:rPr>
        <w:t xml:space="preserve">projektowanej </w:t>
      </w:r>
      <w:r w:rsidRPr="00AF27CD">
        <w:rPr>
          <w:bCs/>
        </w:rPr>
        <w:t>ustawie został przeredagowany (art. 7 ust.</w:t>
      </w:r>
      <w:r w:rsidR="00422EA7" w:rsidRPr="00AF27CD">
        <w:rPr>
          <w:bCs/>
        </w:rPr>
        <w:t xml:space="preserve"> </w:t>
      </w:r>
      <w:r w:rsidRPr="00AF27CD">
        <w:rPr>
          <w:bCs/>
        </w:rPr>
        <w:t xml:space="preserve">2). Wyłączenie odnosi się do obrotu wyrobami pirotechnicznymi, o których mowa w odpowiednich artykułach ustawy z dnia 21 czerwca 2002 r. o materiałach wybuchowych </w:t>
      </w:r>
      <w:r w:rsidR="000C5A53">
        <w:rPr>
          <w:bCs/>
        </w:rPr>
        <w:t xml:space="preserve">przeznaczonych </w:t>
      </w:r>
      <w:r w:rsidRPr="00AF27CD">
        <w:rPr>
          <w:bCs/>
        </w:rPr>
        <w:t>do użytku cywilnego</w:t>
      </w:r>
      <w:r w:rsidR="000C5A53">
        <w:rPr>
          <w:bCs/>
        </w:rPr>
        <w:t>,</w:t>
      </w:r>
      <w:r w:rsidRPr="00AF27CD">
        <w:rPr>
          <w:bCs/>
        </w:rPr>
        <w:t xml:space="preserve"> oraz bronią palną i wyrobami o przeznaczeniu wojskowym lub policyjnym, o ile zostały pozbawione w sposób trwały i nieodwracalny cech użytkowych zgodnie z przepisami ustawy. W jedną jednostkę redakcyjną została włączona broń pozbawiona cech użytkowych zgodnie z przepisami ustawy z dnia 21</w:t>
      </w:r>
      <w:r w:rsidR="00EC6774">
        <w:rPr>
          <w:bCs/>
        </w:rPr>
        <w:t> </w:t>
      </w:r>
      <w:r w:rsidRPr="00AF27CD">
        <w:rPr>
          <w:bCs/>
        </w:rPr>
        <w:t xml:space="preserve">maja 1999 r. o broni i amunicji oraz broń dotychczas określana jako </w:t>
      </w:r>
      <w:r w:rsidRPr="00AF27CD">
        <w:rPr>
          <w:bCs/>
          <w:i/>
        </w:rPr>
        <w:t>inna niż broń palna</w:t>
      </w:r>
      <w:r w:rsidRPr="00AF27CD">
        <w:rPr>
          <w:bCs/>
        </w:rPr>
        <w:t xml:space="preserve"> (wojskowa) oraz</w:t>
      </w:r>
      <w:r w:rsidR="00CC3571">
        <w:rPr>
          <w:bCs/>
        </w:rPr>
        <w:t xml:space="preserve"> wyroby o</w:t>
      </w:r>
      <w:r w:rsidR="00EC6774">
        <w:rPr>
          <w:bCs/>
        </w:rPr>
        <w:t xml:space="preserve"> </w:t>
      </w:r>
      <w:r w:rsidRPr="00AF27CD">
        <w:rPr>
          <w:bCs/>
        </w:rPr>
        <w:t>przeznaczeniu wojskowym lub policyjnym.</w:t>
      </w:r>
    </w:p>
    <w:p w:rsidR="00813718" w:rsidRPr="00AF27CD" w:rsidRDefault="00A93E79" w:rsidP="00422EA7">
      <w:pPr>
        <w:tabs>
          <w:tab w:val="left" w:pos="567"/>
        </w:tabs>
        <w:spacing w:before="120" w:line="360" w:lineRule="auto"/>
        <w:jc w:val="both"/>
      </w:pPr>
      <w:r w:rsidRPr="00AF27CD">
        <w:rPr>
          <w:bCs/>
        </w:rPr>
        <w:t xml:space="preserve">Na podstawie upoważnienia ustawowego zostanie wydane rozporządzenie Rady Ministrów zawierające klasyfikację (wykaz) rodzajów </w:t>
      </w:r>
      <w:r w:rsidR="00475C68" w:rsidRPr="00AF27CD">
        <w:rPr>
          <w:bCs/>
        </w:rPr>
        <w:t xml:space="preserve">materiałów wybuchowych, </w:t>
      </w:r>
      <w:r w:rsidRPr="00AF27CD">
        <w:rPr>
          <w:bCs/>
        </w:rPr>
        <w:t xml:space="preserve">broni, amunicji oraz wyrobów i technologii o przeznaczeniu wojskowym lub policyjnym, których wytwarzanie i obrót </w:t>
      </w:r>
      <w:r w:rsidR="00813718" w:rsidRPr="00AF27CD">
        <w:rPr>
          <w:bCs/>
        </w:rPr>
        <w:t xml:space="preserve">są </w:t>
      </w:r>
      <w:r w:rsidRPr="00AF27CD">
        <w:rPr>
          <w:bCs/>
        </w:rPr>
        <w:t>objęte</w:t>
      </w:r>
      <w:r w:rsidR="00422EA7" w:rsidRPr="00AF27CD">
        <w:rPr>
          <w:bCs/>
        </w:rPr>
        <w:t xml:space="preserve"> </w:t>
      </w:r>
      <w:r w:rsidRPr="00AF27CD">
        <w:rPr>
          <w:bCs/>
        </w:rPr>
        <w:t>koncesjonowaniem, które zastąpi dotychczasowe, z uwzględnieniem aktualnego stanu wiedzy i potrzeb reglamentacji.</w:t>
      </w:r>
      <w:r w:rsidR="00475C68" w:rsidRPr="00AF27CD">
        <w:t xml:space="preserve"> </w:t>
      </w:r>
      <w:r w:rsidR="00DF6232" w:rsidRPr="00AF27CD">
        <w:t>Analizując wnioski ze stosowania dotychczasowej ustawy, w</w:t>
      </w:r>
      <w:r w:rsidR="00422EA7" w:rsidRPr="00AF27CD">
        <w:t xml:space="preserve"> </w:t>
      </w:r>
      <w:r w:rsidR="00475C68" w:rsidRPr="00AF27CD">
        <w:t xml:space="preserve">toku </w:t>
      </w:r>
      <w:r w:rsidR="00B27804" w:rsidRPr="00AF27CD">
        <w:t xml:space="preserve">prac </w:t>
      </w:r>
      <w:r w:rsidR="00475C68" w:rsidRPr="00AF27CD">
        <w:t xml:space="preserve">nad projektem nowego rozporządzenia dotyczącego klasyfikacji rodzajów broni i amunicji oraz wyrobów </w:t>
      </w:r>
      <w:r w:rsidR="00CC3571">
        <w:t>i</w:t>
      </w:r>
      <w:r w:rsidR="00EC6774">
        <w:t> </w:t>
      </w:r>
      <w:r w:rsidR="00475C68" w:rsidRPr="00AF27CD">
        <w:t>technologii o przeznaczeniu wojskowym lub policyjnym</w:t>
      </w:r>
      <w:r w:rsidR="002C14CA">
        <w:t>,</w:t>
      </w:r>
      <w:r w:rsidR="00475C68" w:rsidRPr="00AF27CD">
        <w:t xml:space="preserve"> </w:t>
      </w:r>
      <w:r w:rsidR="00DF6232" w:rsidRPr="00AF27CD">
        <w:t>zidentyfikowano uzasadnioną potrzebę</w:t>
      </w:r>
      <w:r w:rsidR="00475C68" w:rsidRPr="00AF27CD">
        <w:t xml:space="preserve"> sklasyfikowania również materiałów wybuchowych, które na gruncie obowiązującej ustawy nie są objęte klasyfikacją ani wykazem, a do koncesji są wpisywane według klasyfikacji ADR lub UN. Dodanie klasyfikacji materiałów wybuchowych będzie miało charakter porządkujący. Przede wszystkim wyroby wypełnione materiałem wybuchowym, takie jak </w:t>
      </w:r>
      <w:r w:rsidR="00CC3571">
        <w:t>środki minersko</w:t>
      </w:r>
      <w:r w:rsidR="00242870">
        <w:t>-</w:t>
      </w:r>
      <w:r w:rsidR="00CC3571">
        <w:t>zaporowe (np.</w:t>
      </w:r>
      <w:r w:rsidR="00EC6774">
        <w:t> </w:t>
      </w:r>
      <w:r w:rsidR="00475C68" w:rsidRPr="00AF27CD">
        <w:t>zapalniki do min, ładunki rozminowywania), a także środki pozoracji pola walki (np.</w:t>
      </w:r>
      <w:r w:rsidR="00422EA7" w:rsidRPr="00AF27CD">
        <w:t xml:space="preserve"> </w:t>
      </w:r>
      <w:r w:rsidR="00242870">
        <w:t>ładunki pozoracyjne</w:t>
      </w:r>
      <w:r w:rsidR="00475C68" w:rsidRPr="00AF27CD">
        <w:t xml:space="preserve"> i błyskowo-dymne), dotychczas ujęte</w:t>
      </w:r>
      <w:r w:rsidR="00CA32BE" w:rsidRPr="00AF27CD">
        <w:t xml:space="preserve"> jako amunicja</w:t>
      </w:r>
      <w:r w:rsidR="00422EA7" w:rsidRPr="00AF27CD">
        <w:t xml:space="preserve"> </w:t>
      </w:r>
      <w:r w:rsidR="00CC3571">
        <w:t>w</w:t>
      </w:r>
      <w:r w:rsidR="00EC6774">
        <w:t> </w:t>
      </w:r>
      <w:r w:rsidR="00475C68" w:rsidRPr="00AF27CD">
        <w:t>wykazie rodzajów broni i amunicji, będącym załącznikiem do rozporządzenia Rady Ministrów</w:t>
      </w:r>
      <w:r w:rsidR="00422EA7" w:rsidRPr="00AF27CD">
        <w:t xml:space="preserve"> </w:t>
      </w:r>
      <w:r w:rsidR="00475C68" w:rsidRPr="00AF27CD">
        <w:t>z dnia 3 grudnia 2001 r. w sprawie rodzajów broni i amunicji oraz wykazu wyrobów i technologii o przeznaczeniu wojskowym lub policyjnym, na których wytwarzanie lu</w:t>
      </w:r>
      <w:r w:rsidR="00932F37" w:rsidRPr="00AF27CD">
        <w:t>b obrót jest wymagana koncesja</w:t>
      </w:r>
      <w:r w:rsidR="00475C68" w:rsidRPr="00AF27CD">
        <w:t>, znajdą się w wykazie materiałów wybuchowych, co będzie korespondowało z klasyfikacją ADR. W istocie wymienione wyżej</w:t>
      </w:r>
      <w:r w:rsidR="00422EA7" w:rsidRPr="00AF27CD">
        <w:t xml:space="preserve"> </w:t>
      </w:r>
      <w:r w:rsidR="00475C68" w:rsidRPr="00AF27CD">
        <w:t>wyroby wypełnione materiałem wybuch</w:t>
      </w:r>
      <w:r w:rsidR="00CC3571">
        <w:t>owym nie są amunicją, a umowa o</w:t>
      </w:r>
      <w:r w:rsidR="00EC6774">
        <w:t> </w:t>
      </w:r>
      <w:r w:rsidR="00475C68" w:rsidRPr="00AF27CD">
        <w:t>przewozie towarów niebezpiecznych</w:t>
      </w:r>
      <w:r w:rsidR="00CA32BE" w:rsidRPr="00AF27CD">
        <w:t xml:space="preserve"> (ADR)</w:t>
      </w:r>
      <w:r w:rsidR="00422EA7" w:rsidRPr="00AF27CD">
        <w:t xml:space="preserve"> </w:t>
      </w:r>
      <w:r w:rsidR="00475C68" w:rsidRPr="00AF27CD">
        <w:t>kwalifikuje je jako materiały wybuchowe. Rozbieżności w powyższym zakresie powodują problemy dla przedsiębiorców m.in. na gruncie przepisów ustawy z dnia 21</w:t>
      </w:r>
      <w:r w:rsidR="00422EA7" w:rsidRPr="00AF27CD">
        <w:t xml:space="preserve"> </w:t>
      </w:r>
      <w:r w:rsidR="00475C68" w:rsidRPr="00AF27CD">
        <w:t>czerwca 2002</w:t>
      </w:r>
      <w:r w:rsidR="00422EA7" w:rsidRPr="00AF27CD">
        <w:t xml:space="preserve"> </w:t>
      </w:r>
      <w:r w:rsidR="00475C68" w:rsidRPr="00AF27CD">
        <w:t>r. o</w:t>
      </w:r>
      <w:r w:rsidR="00EC6774">
        <w:t> </w:t>
      </w:r>
      <w:r w:rsidR="00475C68" w:rsidRPr="00AF27CD">
        <w:t>materiałach wybuchowych przeznaczonych do użytku cywilnego, szczególnie przy przemieszczaniu materiałów wybuchowych prz</w:t>
      </w:r>
      <w:r w:rsidR="00813718" w:rsidRPr="00AF27CD">
        <w:t>eznaczonych do użytku cywilnego</w:t>
      </w:r>
      <w:r w:rsidR="00CC3571">
        <w:t xml:space="preserve"> w</w:t>
      </w:r>
      <w:r w:rsidR="00EC6774">
        <w:t> </w:t>
      </w:r>
      <w:r w:rsidR="00475C68" w:rsidRPr="00AF27CD">
        <w:t xml:space="preserve">przypadku, </w:t>
      </w:r>
      <w:r w:rsidR="00B27804" w:rsidRPr="00AF27CD">
        <w:t>gdy</w:t>
      </w:r>
      <w:r w:rsidR="00475C68" w:rsidRPr="00AF27CD">
        <w:t xml:space="preserve"> od przedsiębiorcy </w:t>
      </w:r>
      <w:r w:rsidR="00813718" w:rsidRPr="00AF27CD">
        <w:t xml:space="preserve">jest </w:t>
      </w:r>
      <w:r w:rsidR="00475C68" w:rsidRPr="00AF27CD">
        <w:t xml:space="preserve">wymagana koncesja na wytwarzanie albo obrót materiałami wybuchowymi. </w:t>
      </w:r>
    </w:p>
    <w:p w:rsidR="00475C68" w:rsidRPr="00AF27CD" w:rsidRDefault="00475C68" w:rsidP="00422EA7">
      <w:pPr>
        <w:tabs>
          <w:tab w:val="left" w:pos="567"/>
        </w:tabs>
        <w:spacing w:before="120" w:line="360" w:lineRule="auto"/>
        <w:jc w:val="both"/>
      </w:pPr>
      <w:r w:rsidRPr="00AF27CD">
        <w:t>Przedsiębiorca, który obraca na terytorium R</w:t>
      </w:r>
      <w:r w:rsidR="00813718" w:rsidRPr="00AF27CD">
        <w:t xml:space="preserve">zeczypospolitej </w:t>
      </w:r>
      <w:r w:rsidRPr="00AF27CD">
        <w:t>P</w:t>
      </w:r>
      <w:r w:rsidR="00813718" w:rsidRPr="00AF27CD">
        <w:t xml:space="preserve">olskiej </w:t>
      </w:r>
      <w:r w:rsidRPr="00AF27CD">
        <w:t>np. zapalnikami do min na podstawie koncesji udzielonej w zakresie obrotu amunicją</w:t>
      </w:r>
      <w:r w:rsidR="000C5A53">
        <w:t>,</w:t>
      </w:r>
      <w:r w:rsidRPr="00AF27CD">
        <w:t xml:space="preserve"> nie spełnia warunku ww. ustawy i nie może uzyskać zgody ministra właściwego do spraw gospodarki na przemieszczanie materiałów wybuchowych przeznaczon</w:t>
      </w:r>
      <w:r w:rsidR="00813718" w:rsidRPr="00AF27CD">
        <w:t>ych do użytku cywilnego, pomimo</w:t>
      </w:r>
      <w:r w:rsidRPr="00AF27CD">
        <w:t xml:space="preserve"> iż są to niewątpliwie materiały wybuchowe i za takie są uważane na gruncie umowy o przewozie towarów niebezpiecznych (ADR), stosowanej w obrębie Unii Europejskiej.</w:t>
      </w:r>
      <w:r w:rsidR="00AB049D" w:rsidRPr="00AF27CD">
        <w:t xml:space="preserve"> Należy podkreślić, że</w:t>
      </w:r>
      <w:r w:rsidR="00813718" w:rsidRPr="00AF27CD">
        <w:t xml:space="preserve"> </w:t>
      </w:r>
      <w:r w:rsidR="00AB049D" w:rsidRPr="00AF27CD">
        <w:t xml:space="preserve">klasyfikacja, o której </w:t>
      </w:r>
      <w:r w:rsidR="00242870">
        <w:t xml:space="preserve">mowa </w:t>
      </w:r>
      <w:r w:rsidR="00AB049D" w:rsidRPr="00AF27CD">
        <w:t>powyżej, jest odrębna od wykazu uzbrojenia wydanego na podstawie ustawy z dnia 29 listopada 2000 r. o obrocie z zagranicą towarami, technologiami i</w:t>
      </w:r>
      <w:r w:rsidR="00422EA7" w:rsidRPr="00AF27CD">
        <w:t xml:space="preserve"> </w:t>
      </w:r>
      <w:r w:rsidR="00AB049D" w:rsidRPr="00AF27CD">
        <w:t>usługami o znaczeniu strategicznym dla bezpieczeństwa państwa, a także dla utrzy</w:t>
      </w:r>
      <w:r w:rsidR="00CC3571">
        <w:t>mania międzynarodowego pokoju i</w:t>
      </w:r>
      <w:r w:rsidR="00EC6774">
        <w:t> </w:t>
      </w:r>
      <w:r w:rsidR="00AB049D" w:rsidRPr="00AF27CD">
        <w:t>bezpieczeństwa, który to wykaz funkcjonuje na potrzeb</w:t>
      </w:r>
      <w:r w:rsidR="00CC3571">
        <w:t>y kontroli obrotu z zagranicą i</w:t>
      </w:r>
      <w:r w:rsidR="00EC6774">
        <w:t> </w:t>
      </w:r>
      <w:r w:rsidR="00AB049D" w:rsidRPr="00AF27CD">
        <w:t>jego zakres wynika z szerszego kontekstu, który wpisuje się w obrót międzynarodowy oraz umowy i konwencje, których uczestnikiem jest Rzeczpospolita Polska</w:t>
      </w:r>
      <w:r w:rsidR="00DF4337" w:rsidRPr="00AF27CD">
        <w:t xml:space="preserve"> realizująca zobowiązania w nich zawarte.</w:t>
      </w:r>
      <w:r w:rsidR="00AB049D" w:rsidRPr="00AF27CD">
        <w:t xml:space="preserve"> Klasyfikacja jest natomiast wskazaniem towarów, których wytwarzanie i obrót podlega reglamentacji na obszarze </w:t>
      </w:r>
      <w:r w:rsidR="00DF4337" w:rsidRPr="00AF27CD">
        <w:t>kraju.</w:t>
      </w:r>
    </w:p>
    <w:p w:rsidR="00A93E79" w:rsidRPr="00AF27CD" w:rsidRDefault="00A93E79" w:rsidP="00422EA7">
      <w:pPr>
        <w:spacing w:before="120" w:line="360" w:lineRule="auto"/>
        <w:jc w:val="both"/>
        <w:rPr>
          <w:bCs/>
        </w:rPr>
      </w:pPr>
      <w:r w:rsidRPr="00AF27CD">
        <w:rPr>
          <w:bCs/>
        </w:rPr>
        <w:t xml:space="preserve">Bez zmiany pozostaje dotychczasowy organ koncesyjny – minister właściwy do spraw wewnętrznych, jak również czas, na jaki </w:t>
      </w:r>
      <w:r w:rsidR="000C5A53" w:rsidRPr="00AF27CD">
        <w:rPr>
          <w:bCs/>
        </w:rPr>
        <w:t xml:space="preserve">może być </w:t>
      </w:r>
      <w:r w:rsidRPr="00AF27CD">
        <w:rPr>
          <w:bCs/>
        </w:rPr>
        <w:t>udzielona koncesja (od 5 do 50 lat)</w:t>
      </w:r>
      <w:r w:rsidR="00125573">
        <w:rPr>
          <w:bCs/>
        </w:rPr>
        <w:t xml:space="preserve">, </w:t>
      </w:r>
      <w:r w:rsidRPr="00AF27CD">
        <w:rPr>
          <w:bCs/>
        </w:rPr>
        <w:t>oraz obowiązek uzyskania przez organ koncesyjny, pr</w:t>
      </w:r>
      <w:r w:rsidR="00CC3571">
        <w:rPr>
          <w:bCs/>
        </w:rPr>
        <w:t>zed wydaniem decyzji o</w:t>
      </w:r>
      <w:r w:rsidR="00EC6774">
        <w:rPr>
          <w:bCs/>
        </w:rPr>
        <w:t> </w:t>
      </w:r>
      <w:r w:rsidRPr="00AF27CD">
        <w:rPr>
          <w:bCs/>
        </w:rPr>
        <w:t xml:space="preserve">udzieleniu koncesji, opinii wskazanych </w:t>
      </w:r>
      <w:r w:rsidR="00422EA7" w:rsidRPr="00AF27CD">
        <w:rPr>
          <w:bCs/>
        </w:rPr>
        <w:t>w ustawie organów (art. 8–</w:t>
      </w:r>
      <w:r w:rsidRPr="00AF27CD">
        <w:rPr>
          <w:bCs/>
        </w:rPr>
        <w:t xml:space="preserve">9). Do projektu ustawy wprowadza się nowy przepis (art. 9 ust. 2), zgodnie z którym organy opiniujące wniosek </w:t>
      </w:r>
      <w:r w:rsidR="00CA32BE" w:rsidRPr="00AF27CD">
        <w:rPr>
          <w:bCs/>
        </w:rPr>
        <w:t xml:space="preserve">o udzielenie lub zmianę koncesji </w:t>
      </w:r>
      <w:r w:rsidRPr="00AF27CD">
        <w:rPr>
          <w:bCs/>
        </w:rPr>
        <w:t>są obowiązane do niezwłocznego przekazania organowi koncesyjnemu informacji, które mogą mieć wpływ na zmianę dotychczas wydanej przez nie opinii. Mając na uwadze, że każdy z organów opiniujących posiada własne procedury i zasoby informacyjne, na podstawie których dokonuje stosownych sprawdzeń</w:t>
      </w:r>
      <w:r w:rsidR="000C690C">
        <w:rPr>
          <w:bCs/>
        </w:rPr>
        <w:t>,</w:t>
      </w:r>
      <w:r w:rsidRPr="00AF27CD">
        <w:rPr>
          <w:bCs/>
        </w:rPr>
        <w:t xml:space="preserve"> zasadnym jest, aby po powzięciu informacji, która może mieć wpływ na zmianę uprzednio wydanej opinii, informacja taka została przekazana organowi koncesyjnemu, co umożliwi mu np. wznowienie postępowania w uzasadnionych przypadkach.</w:t>
      </w:r>
    </w:p>
    <w:p w:rsidR="007F3066" w:rsidRPr="00AF27CD" w:rsidRDefault="00A93E79" w:rsidP="00422EA7">
      <w:pPr>
        <w:spacing w:before="120" w:line="360" w:lineRule="auto"/>
        <w:jc w:val="both"/>
        <w:rPr>
          <w:bCs/>
        </w:rPr>
      </w:pPr>
      <w:r w:rsidRPr="00AF27CD">
        <w:rPr>
          <w:bCs/>
        </w:rPr>
        <w:t>Przepisy dotyczące warunków (art. 10), jakie musi spełnić przedsiębiorca ubiegający się o udzielenie koncesji</w:t>
      </w:r>
      <w:r w:rsidR="00FB0D1F">
        <w:rPr>
          <w:bCs/>
        </w:rPr>
        <w:t>,</w:t>
      </w:r>
      <w:r w:rsidRPr="00AF27CD">
        <w:rPr>
          <w:bCs/>
        </w:rPr>
        <w:t xml:space="preserve"> nie ulegają zmianie. Powtórzone zostały dotychczas obowiązujące </w:t>
      </w:r>
      <w:r w:rsidR="00813718" w:rsidRPr="00AF27CD">
        <w:rPr>
          <w:bCs/>
        </w:rPr>
        <w:t>przepisy</w:t>
      </w:r>
      <w:r w:rsidRPr="00AF27CD">
        <w:rPr>
          <w:bCs/>
        </w:rPr>
        <w:t>, określające minimalny poziom wykształcenia, przygotowanie zawodowe, niekaralność i brak objęcia toczącym się postępowaniem w sprawach o umyślne przestępstwo lub umyślne przestępstwo</w:t>
      </w:r>
      <w:r w:rsidR="00D60915" w:rsidRPr="00AF27CD">
        <w:rPr>
          <w:bCs/>
        </w:rPr>
        <w:t xml:space="preserve"> </w:t>
      </w:r>
      <w:r w:rsidRPr="00AF27CD">
        <w:rPr>
          <w:bCs/>
        </w:rPr>
        <w:t xml:space="preserve">skarbowe, jak również brak zaburzeń psychicznych i istotnych zaburzeń funkcjonowania psychologicznego. </w:t>
      </w:r>
      <w:r w:rsidR="00C5563C" w:rsidRPr="00AF27CD">
        <w:rPr>
          <w:bCs/>
        </w:rPr>
        <w:t xml:space="preserve">W toku uzgodnień projektu ustawy </w:t>
      </w:r>
      <w:r w:rsidR="000C5A53" w:rsidRPr="00AF27CD">
        <w:rPr>
          <w:bCs/>
        </w:rPr>
        <w:t xml:space="preserve">został </w:t>
      </w:r>
      <w:r w:rsidR="00C5563C" w:rsidRPr="00AF27CD">
        <w:rPr>
          <w:bCs/>
        </w:rPr>
        <w:t xml:space="preserve">zgłoszony </w:t>
      </w:r>
      <w:r w:rsidR="00D00814" w:rsidRPr="00AF27CD">
        <w:rPr>
          <w:bCs/>
        </w:rPr>
        <w:t>i przyjęty</w:t>
      </w:r>
      <w:r w:rsidR="00C5563C" w:rsidRPr="00AF27CD">
        <w:rPr>
          <w:bCs/>
        </w:rPr>
        <w:t xml:space="preserve"> postulat obniżenia wieku osoby, która może ubiegać się o koncesję lub posiadającej uprawnienie do kierowania działalnością koncesjonowaną</w:t>
      </w:r>
      <w:r w:rsidR="007F3066" w:rsidRPr="00AF27CD">
        <w:rPr>
          <w:bCs/>
        </w:rPr>
        <w:t xml:space="preserve"> z 25 lat do 21 lat, czyli</w:t>
      </w:r>
      <w:r w:rsidR="00CC3571">
        <w:rPr>
          <w:bCs/>
        </w:rPr>
        <w:t xml:space="preserve"> ujednolicenie w tym zakresie z</w:t>
      </w:r>
      <w:r w:rsidR="00EC6774">
        <w:rPr>
          <w:bCs/>
        </w:rPr>
        <w:t> </w:t>
      </w:r>
      <w:r w:rsidR="007F3066" w:rsidRPr="00AF27CD">
        <w:rPr>
          <w:bCs/>
        </w:rPr>
        <w:t>aktualnie obowiązującym</w:t>
      </w:r>
      <w:r w:rsidR="00422EA7" w:rsidRPr="00AF27CD">
        <w:rPr>
          <w:bCs/>
        </w:rPr>
        <w:t xml:space="preserve"> </w:t>
      </w:r>
      <w:r w:rsidR="007F3066" w:rsidRPr="00AF27CD">
        <w:rPr>
          <w:bCs/>
        </w:rPr>
        <w:t xml:space="preserve">wymogiem dla rusznikarzy – 21 lat. </w:t>
      </w:r>
    </w:p>
    <w:p w:rsidR="00A93E79" w:rsidRPr="00AF27CD" w:rsidRDefault="00A93E79" w:rsidP="00422EA7">
      <w:pPr>
        <w:spacing w:before="120" w:line="360" w:lineRule="auto"/>
        <w:jc w:val="both"/>
        <w:rPr>
          <w:bCs/>
        </w:rPr>
      </w:pPr>
      <w:r w:rsidRPr="00AF27CD">
        <w:rPr>
          <w:bCs/>
        </w:rPr>
        <w:t xml:space="preserve">Przepisy te odnoszą się do przedsiębiorców </w:t>
      </w:r>
      <w:r w:rsidR="00422EA7" w:rsidRPr="00AF27CD">
        <w:rPr>
          <w:bCs/>
        </w:rPr>
        <w:t>–</w:t>
      </w:r>
      <w:r w:rsidRPr="00AF27CD">
        <w:rPr>
          <w:bCs/>
        </w:rPr>
        <w:t xml:space="preserve"> osób fizycznych oraz odpowiednio do członków organu zarządzającego, wspólników i akcjonariuszy</w:t>
      </w:r>
      <w:r w:rsidR="00CA32BE" w:rsidRPr="00AF27CD">
        <w:rPr>
          <w:bCs/>
        </w:rPr>
        <w:t xml:space="preserve">, prokurentów oraz </w:t>
      </w:r>
      <w:r w:rsidRPr="00AF27CD">
        <w:rPr>
          <w:bCs/>
        </w:rPr>
        <w:t>pełnomocników uprawnionych do kierowania działalnością objętą zakresem koncesji.</w:t>
      </w:r>
    </w:p>
    <w:p w:rsidR="00215552" w:rsidRPr="00AF27CD" w:rsidRDefault="00A93E79" w:rsidP="00422EA7">
      <w:pPr>
        <w:spacing w:before="120" w:line="360" w:lineRule="auto"/>
        <w:jc w:val="both"/>
      </w:pPr>
      <w:r w:rsidRPr="00AF27CD">
        <w:t>Utrzymana</w:t>
      </w:r>
      <w:r w:rsidRPr="00AF27CD">
        <w:rPr>
          <w:bCs/>
        </w:rPr>
        <w:t xml:space="preserve"> została dotychczasowa zasada</w:t>
      </w:r>
      <w:r w:rsidR="00CA32BE" w:rsidRPr="00AF27CD">
        <w:rPr>
          <w:bCs/>
        </w:rPr>
        <w:t>,</w:t>
      </w:r>
      <w:r w:rsidR="00422EA7" w:rsidRPr="00AF27CD">
        <w:rPr>
          <w:bCs/>
        </w:rPr>
        <w:t xml:space="preserve"> </w:t>
      </w:r>
      <w:r w:rsidRPr="00AF27CD">
        <w:rPr>
          <w:bCs/>
        </w:rPr>
        <w:t>zgodnie z którą przedsiębiorca inny niż osoba fizyczna musi ustanowić do kierowania działalnością objętą zakresem koncesji co najmniej dwie osoby, w tym obligatoryjnie jedna z nich musi być członkiem organu zarządzającego.</w:t>
      </w:r>
      <w:r w:rsidR="004D15D6" w:rsidRPr="00AF27CD">
        <w:rPr>
          <w:bCs/>
        </w:rPr>
        <w:t xml:space="preserve"> Zasada ta obowiązuje nie tylko w przypadku ubiegania się o koncesję. Każdy </w:t>
      </w:r>
      <w:r w:rsidR="00215552" w:rsidRPr="00AF27CD">
        <w:rPr>
          <w:bCs/>
        </w:rPr>
        <w:t xml:space="preserve">koncesjonowany </w:t>
      </w:r>
      <w:r w:rsidR="004D15D6" w:rsidRPr="00AF27CD">
        <w:rPr>
          <w:bCs/>
        </w:rPr>
        <w:t>przedsiębiorca inny niż osoba fizyczna powinien nieprzerwanie spełniać wyżej wskazany warunek.</w:t>
      </w:r>
      <w:r w:rsidR="00215552" w:rsidRPr="00AF27CD">
        <w:rPr>
          <w:bCs/>
        </w:rPr>
        <w:t xml:space="preserve"> </w:t>
      </w:r>
      <w:r w:rsidR="00215552" w:rsidRPr="00AF27CD">
        <w:t>Projektowana ustawa przewiduje, że przesłanki z</w:t>
      </w:r>
      <w:r w:rsidR="00EC6774">
        <w:t> </w:t>
      </w:r>
      <w:r w:rsidR="00215552" w:rsidRPr="00AF27CD">
        <w:t>art. 10 ust. 1 pkt 2 muszą</w:t>
      </w:r>
      <w:r w:rsidR="00D60915" w:rsidRPr="00AF27CD">
        <w:t xml:space="preserve"> </w:t>
      </w:r>
      <w:r w:rsidR="00215552" w:rsidRPr="00AF27CD">
        <w:t>być spełnione przez cały okres prowad</w:t>
      </w:r>
      <w:r w:rsidR="009A43EF" w:rsidRPr="00AF27CD">
        <w:t xml:space="preserve">zenia działalności gospodarczej, a realizacji tej zasady </w:t>
      </w:r>
      <w:r w:rsidR="000C5A53" w:rsidRPr="00AF27CD">
        <w:t xml:space="preserve">ma </w:t>
      </w:r>
      <w:r w:rsidR="009A43EF" w:rsidRPr="00AF27CD">
        <w:t>służyć a</w:t>
      </w:r>
      <w:r w:rsidR="00215552" w:rsidRPr="00AF27CD">
        <w:t>rt. 2</w:t>
      </w:r>
      <w:r w:rsidR="00D60915" w:rsidRPr="00AF27CD">
        <w:t>4</w:t>
      </w:r>
      <w:r w:rsidR="00215552" w:rsidRPr="00AF27CD">
        <w:t xml:space="preserve"> ust. 1 pkt 4</w:t>
      </w:r>
      <w:r w:rsidR="009A43EF" w:rsidRPr="00AF27CD">
        <w:t xml:space="preserve">, który wskazuje </w:t>
      </w:r>
      <w:r w:rsidR="00215552" w:rsidRPr="00AF27CD">
        <w:t xml:space="preserve">jako obligatoryjną przesłankę cofnięcia koncesji </w:t>
      </w:r>
      <w:r w:rsidR="000C5A53">
        <w:t xml:space="preserve">w przypadku </w:t>
      </w:r>
      <w:r w:rsidR="00215552" w:rsidRPr="00AF27CD">
        <w:t>niespełnieni</w:t>
      </w:r>
      <w:r w:rsidR="000C5A53">
        <w:t>a</w:t>
      </w:r>
      <w:r w:rsidR="00215552" w:rsidRPr="00AF27CD">
        <w:t xml:space="preserve"> </w:t>
      </w:r>
      <w:r w:rsidR="00EC6774">
        <w:t>warunku dot. </w:t>
      </w:r>
      <w:r w:rsidR="009A43EF" w:rsidRPr="00AF27CD">
        <w:t>posiadania odpowiedniej reprezentacji osób uprawnionych do kierowania działalnością koncesjonowaną, w tym niespełnienie</w:t>
      </w:r>
      <w:r w:rsidR="00215552" w:rsidRPr="00AF27CD">
        <w:t xml:space="preserve"> </w:t>
      </w:r>
      <w:r w:rsidR="009A43EF" w:rsidRPr="00AF27CD">
        <w:t>go</w:t>
      </w:r>
      <w:r w:rsidR="00215552" w:rsidRPr="00AF27CD">
        <w:t xml:space="preserve"> w terminie 6 miesięcy od stosownego wezwania organu koncesyjnego. Dodatkowo, zgodnie z art. 2</w:t>
      </w:r>
      <w:r w:rsidR="00D60915" w:rsidRPr="00AF27CD">
        <w:t>7</w:t>
      </w:r>
      <w:r w:rsidR="00215552" w:rsidRPr="00AF27CD">
        <w:t xml:space="preserve"> ust. 1 pkt 3 lit. d</w:t>
      </w:r>
      <w:r w:rsidR="00FB0D1F">
        <w:t>,</w:t>
      </w:r>
      <w:r w:rsidR="00422EA7" w:rsidRPr="00AF27CD">
        <w:t xml:space="preserve"> </w:t>
      </w:r>
      <w:r w:rsidR="00215552" w:rsidRPr="00AF27CD">
        <w:t xml:space="preserve">przedsiębiorca ma obowiązek zawiadomić organ koncesyjny o wszelkich zmianach personalnych, w tym </w:t>
      </w:r>
      <w:r w:rsidR="000C5A53">
        <w:t xml:space="preserve">dotyczących </w:t>
      </w:r>
      <w:r w:rsidR="00215552" w:rsidRPr="00AF27CD">
        <w:t>osób uprawnionych do kierowania działalnością koncesjonowaną</w:t>
      </w:r>
      <w:r w:rsidR="000C5A53">
        <w:t>,</w:t>
      </w:r>
      <w:r w:rsidR="00215552" w:rsidRPr="00AF27CD">
        <w:t xml:space="preserve"> oraz złożyć wniosek o zmianę koncesji</w:t>
      </w:r>
      <w:r w:rsidR="009A43EF" w:rsidRPr="00AF27CD">
        <w:t xml:space="preserve"> w tym zakresie.</w:t>
      </w:r>
    </w:p>
    <w:p w:rsidR="00A93E79" w:rsidRPr="00AF27CD" w:rsidRDefault="00A93E79" w:rsidP="00422EA7">
      <w:pPr>
        <w:spacing w:before="120" w:line="360" w:lineRule="auto"/>
        <w:jc w:val="both"/>
      </w:pPr>
      <w:r w:rsidRPr="00AF27CD">
        <w:t xml:space="preserve">Realizując wnioski </w:t>
      </w:r>
      <w:r w:rsidRPr="00AF27CD">
        <w:rPr>
          <w:i/>
        </w:rPr>
        <w:t>de lege ferenda</w:t>
      </w:r>
      <w:r w:rsidRPr="00AF27CD">
        <w:t xml:space="preserve"> NIK</w:t>
      </w:r>
      <w:r w:rsidR="00CA32BE" w:rsidRPr="00AF27CD">
        <w:t>,</w:t>
      </w:r>
      <w:r w:rsidR="00422EA7" w:rsidRPr="00AF27CD">
        <w:t xml:space="preserve"> </w:t>
      </w:r>
      <w:r w:rsidRPr="00AF27CD">
        <w:t xml:space="preserve">w </w:t>
      </w:r>
      <w:r w:rsidR="000C5A53">
        <w:t>projektowane</w:t>
      </w:r>
      <w:r w:rsidR="000C5A53" w:rsidRPr="00AF27CD">
        <w:t xml:space="preserve">j </w:t>
      </w:r>
      <w:r w:rsidRPr="00AF27CD">
        <w:t xml:space="preserve">ustawie wyraźne wskazano, że obrót bez prawa magazynowania nie wymaga przedstawienia opinii i zaświadczeń dotyczących lokalu, w którym </w:t>
      </w:r>
      <w:r w:rsidR="000C5A53" w:rsidRPr="00AF27CD">
        <w:t xml:space="preserve">jest </w:t>
      </w:r>
      <w:r w:rsidRPr="00AF27CD">
        <w:t xml:space="preserve">wykonywana działalność reglamentowana, ponieważ w takich przypadkach przedsiębiorca nie ma prawa do magazynowania towarów koncesjonowanych, </w:t>
      </w:r>
      <w:r w:rsidR="000C5A53">
        <w:t xml:space="preserve">zatem </w:t>
      </w:r>
      <w:r w:rsidRPr="00AF27CD">
        <w:t>zbędne jest potwierdzanie prawidłowości przyjętego sposobu ich zabezpieczenia (art. 10 ust. 3 pkt 2).</w:t>
      </w:r>
    </w:p>
    <w:p w:rsidR="00821F8E" w:rsidRPr="00AF27CD" w:rsidRDefault="00A93E79" w:rsidP="00422EA7">
      <w:pPr>
        <w:spacing w:before="120" w:line="360" w:lineRule="auto"/>
        <w:jc w:val="both"/>
      </w:pPr>
      <w:r w:rsidRPr="00AF27CD">
        <w:t>Ponadto dodaje się nowy przepis (art. 10 ust. 2) dotyczący zapewnienia przez przedsiębiorcę spełnienia wymagań technicznych i organizacyjnych niezbędnych do prowadzenia ewidencji w systemie teleinformatycznym – Systemie Rejestracji Broni (SRB), o którym mowa w odrębnym rozdziale.</w:t>
      </w:r>
      <w:r w:rsidR="00821F8E" w:rsidRPr="00AF27CD">
        <w:t xml:space="preserve"> </w:t>
      </w:r>
    </w:p>
    <w:p w:rsidR="00821F8E" w:rsidRPr="00AF27CD" w:rsidRDefault="00821F8E" w:rsidP="00422EA7">
      <w:pPr>
        <w:spacing w:before="120" w:line="360" w:lineRule="auto"/>
        <w:jc w:val="both"/>
      </w:pPr>
      <w:r w:rsidRPr="00AF27CD">
        <w:t xml:space="preserve">W nowych przepisach </w:t>
      </w:r>
      <w:r w:rsidR="00CA32BE" w:rsidRPr="00AF27CD">
        <w:t>sformułowano</w:t>
      </w:r>
      <w:r w:rsidRPr="00AF27CD">
        <w:t xml:space="preserve"> obniżon</w:t>
      </w:r>
      <w:r w:rsidR="00CA32BE" w:rsidRPr="00AF27CD">
        <w:t>e</w:t>
      </w:r>
      <w:r w:rsidRPr="00AF27CD">
        <w:t xml:space="preserve"> wymog</w:t>
      </w:r>
      <w:r w:rsidR="00CA32BE" w:rsidRPr="00AF27CD">
        <w:t>i</w:t>
      </w:r>
      <w:r w:rsidRPr="00AF27CD">
        <w:t xml:space="preserve"> dla przedsiębiorców wytwarzających i obracających reprodukcjami broni czarnoprochowej </w:t>
      </w:r>
      <w:r w:rsidR="00CA32BE" w:rsidRPr="00AF27CD">
        <w:t xml:space="preserve">oraz </w:t>
      </w:r>
      <w:r w:rsidRPr="00AF27CD">
        <w:t xml:space="preserve">zastosowano standardy analogiczne jak przy działalności rusznikarskiej, która </w:t>
      </w:r>
      <w:r w:rsidRPr="00AF27CD">
        <w:rPr>
          <w:i/>
        </w:rPr>
        <w:t>de facto</w:t>
      </w:r>
      <w:r w:rsidRPr="00AF27CD">
        <w:t xml:space="preserve"> jest wykonywana przez rzemieślników prowadzących warsztaty rusznikarskie, a więc przedsiębiorców indywidualnych. Z założenia wytwórcy i sprzedawcy reprodukcji broni czarnoprochowej </w:t>
      </w:r>
      <w:r w:rsidR="00CA32BE" w:rsidRPr="00AF27CD">
        <w:t>są</w:t>
      </w:r>
      <w:r w:rsidRPr="00AF27CD">
        <w:t xml:space="preserve"> również drobnymi przedsiębiorcami, gdyż jest to działalność rękodzielnicza, wymagająca dużych nakładó</w:t>
      </w:r>
      <w:r w:rsidR="00CC3571">
        <w:t xml:space="preserve">w czasu. </w:t>
      </w:r>
      <w:r w:rsidR="000C5A53">
        <w:t xml:space="preserve">Projektodawca </w:t>
      </w:r>
      <w:r w:rsidR="00CC3571">
        <w:t>wychodzi z</w:t>
      </w:r>
      <w:r w:rsidR="00EC6774">
        <w:t> </w:t>
      </w:r>
      <w:r w:rsidRPr="00AF27CD">
        <w:t>założenia, iż wytwarzanie reprodukcji broni czarnoprochowej i obrót nimi nie będą się odbywały na masową skalę, stąd wprowadzono przywileje</w:t>
      </w:r>
      <w:r w:rsidR="00CA32BE" w:rsidRPr="00AF27CD">
        <w:t xml:space="preserve"> w stosunku </w:t>
      </w:r>
      <w:r w:rsidR="000C5A53">
        <w:t xml:space="preserve">do </w:t>
      </w:r>
      <w:r w:rsidRPr="00AF27CD">
        <w:t>przedsiębiorców wykonujących taką działal</w:t>
      </w:r>
      <w:r w:rsidR="00CC3571">
        <w:t>ność w postaci zwolnienia ich z</w:t>
      </w:r>
      <w:r w:rsidR="00EC6774">
        <w:t xml:space="preserve"> </w:t>
      </w:r>
      <w:r w:rsidRPr="00AF27CD">
        <w:t xml:space="preserve">obowiązku </w:t>
      </w:r>
      <w:r w:rsidR="002776C0" w:rsidRPr="00AF27CD">
        <w:t>uzyskania</w:t>
      </w:r>
      <w:r w:rsidR="00422EA7" w:rsidRPr="00AF27CD">
        <w:t xml:space="preserve"> </w:t>
      </w:r>
      <w:r w:rsidRPr="00AF27CD">
        <w:t>opinii o spełnieniu warunków technicznych i organizacyjnych oraz przedstawienia zaświadczeń państwowego powia</w:t>
      </w:r>
      <w:r w:rsidR="00CC3571">
        <w:t>towego inspektora sanitarnego i</w:t>
      </w:r>
      <w:r w:rsidR="00EC6774">
        <w:t> </w:t>
      </w:r>
      <w:r w:rsidRPr="00AF27CD">
        <w:t>inspektora ochrony środowiska stwierdzających, że obiekt produkcyjno</w:t>
      </w:r>
      <w:r w:rsidR="00932F37" w:rsidRPr="00AF27CD">
        <w:t>-</w:t>
      </w:r>
      <w:r w:rsidRPr="00AF27CD">
        <w:t xml:space="preserve">magazynowy, w którym </w:t>
      </w:r>
      <w:r w:rsidR="00813718" w:rsidRPr="00AF27CD">
        <w:t xml:space="preserve">jest </w:t>
      </w:r>
      <w:r w:rsidRPr="00AF27CD">
        <w:t>wykonywana działalność gospodarcz</w:t>
      </w:r>
      <w:r w:rsidR="00CC3571">
        <w:t>a</w:t>
      </w:r>
      <w:r w:rsidR="000C5A53">
        <w:t>,</w:t>
      </w:r>
      <w:r w:rsidR="00CC3571">
        <w:t xml:space="preserve"> spełnia wymagania określone w</w:t>
      </w:r>
      <w:r w:rsidR="00EC6774">
        <w:t> </w:t>
      </w:r>
      <w:r w:rsidRPr="00AF27CD">
        <w:t>przepisach sanitarnych i w przepisach o ochronie środowiska. W kontekście powyższego doprecyzowano przepisy wprowadzające te zwolnienia w ten sposób, i</w:t>
      </w:r>
      <w:r w:rsidR="00EC6774">
        <w:t>ż z </w:t>
      </w:r>
      <w:r w:rsidRPr="00AF27CD">
        <w:t>obowiązku spełnienia wymagań technicznych i organizacyjnych zapewniających prawidłowe wykonywanie działalności gospodarczej objętej koncesją zwolnion</w:t>
      </w:r>
      <w:r w:rsidR="00422EA7" w:rsidRPr="00AF27CD">
        <w:t>o jedynie mikroprzedsiebiorców –</w:t>
      </w:r>
      <w:r w:rsidRPr="00AF27CD">
        <w:t xml:space="preserve"> wykonujących działalność gospodarczą w</w:t>
      </w:r>
      <w:r w:rsidR="00422EA7" w:rsidRPr="00AF27CD">
        <w:t xml:space="preserve"> </w:t>
      </w:r>
      <w:r w:rsidRPr="00AF27CD">
        <w:t>zakresie wytwarzania i</w:t>
      </w:r>
      <w:r w:rsidR="00422EA7" w:rsidRPr="00AF27CD">
        <w:t xml:space="preserve"> </w:t>
      </w:r>
      <w:r w:rsidRPr="00AF27CD">
        <w:t xml:space="preserve">obrotu reprodukcjami broni czarnoprochowej i analogicznie tylko tych przedsiębiorców zwolniono z obowiązku złożenia wyżej opisanych zaświadczeń. Powyższa regulacja zabezpieczy przed ewentualną sytuacją masowej produkcji reprodukcji broni czarnoprochowej przez duże przedsiębiorstwa bez stwierdzenia </w:t>
      </w:r>
      <w:r w:rsidR="001D2325" w:rsidRPr="00AF27CD">
        <w:t>spełniania wymogów techniczno-</w:t>
      </w:r>
      <w:r w:rsidRPr="00AF27CD">
        <w:t>organizacyjnych oraz sanitarnych i z zakresu ochrony śr</w:t>
      </w:r>
      <w:r w:rsidR="001D2325" w:rsidRPr="00AF27CD">
        <w:t>odowiska w obiekcie produkcyjno-</w:t>
      </w:r>
      <w:r w:rsidRPr="00AF27CD">
        <w:t>magazynowym, co mogłoby stanowić zagrożenie bezpieczeństwa. Fabryki zajmujące się masową produkcją reprodukcji broni czarnoprochowej funkcjonują w krajach Unii Europejskiej (Włochy).</w:t>
      </w:r>
    </w:p>
    <w:p w:rsidR="00A93E79" w:rsidRPr="00AF27CD" w:rsidRDefault="00A93E79" w:rsidP="00422EA7">
      <w:pPr>
        <w:pStyle w:val="ARTartustawynprozporzdzenia"/>
        <w:ind w:firstLine="0"/>
        <w:rPr>
          <w:rFonts w:ascii="Times New Roman" w:eastAsiaTheme="minorEastAsia" w:hAnsi="Times New Roman" w:cs="Times New Roman"/>
          <w:szCs w:val="24"/>
        </w:rPr>
      </w:pPr>
      <w:r w:rsidRPr="00AF27CD">
        <w:rPr>
          <w:rFonts w:ascii="Times New Roman" w:hAnsi="Times New Roman" w:cs="Times New Roman"/>
          <w:bCs/>
          <w:szCs w:val="24"/>
        </w:rPr>
        <w:t xml:space="preserve">Doprecyzowany został (art. 11) zakres szkolenia </w:t>
      </w:r>
      <w:r w:rsidRPr="00AF27CD">
        <w:rPr>
          <w:rFonts w:ascii="Times New Roman" w:eastAsiaTheme="minorEastAsia" w:hAnsi="Times New Roman" w:cs="Times New Roman"/>
          <w:szCs w:val="24"/>
        </w:rPr>
        <w:t xml:space="preserve">w upoważnionej instytucji, potwierdzającego posiadanie przygotowania zawodowego do wykonywania lub kierowania działalnością gospodarczą w zakresie wytwarzania i obrotu materiałami wybuchowymi, bronią, amunicją oraz wyrobami i technologią o przeznaczeniu wojskowym lub policyjnym. Zmianie ulega też </w:t>
      </w:r>
      <w:r w:rsidR="000C5A53">
        <w:rPr>
          <w:rFonts w:ascii="Times New Roman" w:eastAsiaTheme="minorEastAsia" w:hAnsi="Times New Roman" w:cs="Times New Roman"/>
          <w:szCs w:val="24"/>
        </w:rPr>
        <w:t>upoważnienie ustawowe</w:t>
      </w:r>
      <w:r w:rsidRPr="00AF27CD">
        <w:rPr>
          <w:rFonts w:ascii="Times New Roman" w:eastAsiaTheme="minorEastAsia" w:hAnsi="Times New Roman" w:cs="Times New Roman"/>
          <w:szCs w:val="24"/>
        </w:rPr>
        <w:t xml:space="preserve"> do wydania rozporządzenia w sprawie szkoleń, zaś intencją tej zmiany jest zróżnicowanie czasu trwania szkolenia w zależności od zakresu planowanej działalności, ze szczególnym naciskiem na wydłużenie szkolenia w zakresie wytwarzania towarów objętych reglamentacją oraz uwzględnienie w zakresie tego szkolenia zagadnień dotyczących systemu oceny jakości produkcji, badań produktu i certyfikacji.</w:t>
      </w:r>
    </w:p>
    <w:p w:rsidR="00A93E79" w:rsidRPr="00AF27CD" w:rsidRDefault="00A93E79" w:rsidP="00422EA7">
      <w:pPr>
        <w:pStyle w:val="ARTartustawynprozporzdzenia"/>
        <w:ind w:firstLine="0"/>
        <w:rPr>
          <w:rFonts w:ascii="Times New Roman" w:eastAsiaTheme="minorEastAsia" w:hAnsi="Times New Roman" w:cs="Times New Roman"/>
          <w:szCs w:val="24"/>
        </w:rPr>
      </w:pPr>
      <w:r w:rsidRPr="00AF27CD">
        <w:rPr>
          <w:rFonts w:ascii="Times New Roman" w:hAnsi="Times New Roman" w:cs="Times New Roman"/>
          <w:szCs w:val="24"/>
        </w:rPr>
        <w:t xml:space="preserve">Nie ulega zmianie zakres badań lekarskich i psychologicznych obligatoryjny dla osób uprawnionych do kierowania działalnością koncesjonowaną </w:t>
      </w:r>
      <w:r w:rsidR="00477435" w:rsidRPr="00AF27CD">
        <w:rPr>
          <w:rFonts w:ascii="Times New Roman" w:hAnsi="Times New Roman" w:cs="Times New Roman"/>
          <w:szCs w:val="24"/>
        </w:rPr>
        <w:t xml:space="preserve">oraz pracowników </w:t>
      </w:r>
      <w:r w:rsidR="00CC3571">
        <w:rPr>
          <w:rFonts w:ascii="Times New Roman" w:hAnsi="Times New Roman" w:cs="Times New Roman"/>
          <w:szCs w:val="24"/>
        </w:rPr>
        <w:t>(art.</w:t>
      </w:r>
      <w:r w:rsidR="00EC6774">
        <w:rPr>
          <w:rFonts w:ascii="Times New Roman" w:hAnsi="Times New Roman" w:cs="Times New Roman"/>
          <w:szCs w:val="24"/>
        </w:rPr>
        <w:t> </w:t>
      </w:r>
      <w:r w:rsidRPr="00AF27CD">
        <w:rPr>
          <w:rFonts w:ascii="Times New Roman" w:hAnsi="Times New Roman" w:cs="Times New Roman"/>
          <w:szCs w:val="24"/>
        </w:rPr>
        <w:t>12). Minister właściwy do spraw zdrowia, w porozumieniu z ministrem właściwym do spraw wewnętrznych</w:t>
      </w:r>
      <w:r w:rsidR="000C5A53">
        <w:rPr>
          <w:rFonts w:ascii="Times New Roman" w:hAnsi="Times New Roman" w:cs="Times New Roman"/>
          <w:szCs w:val="24"/>
        </w:rPr>
        <w:t>,</w:t>
      </w:r>
      <w:r w:rsidRPr="00AF27CD">
        <w:rPr>
          <w:rFonts w:ascii="Times New Roman" w:hAnsi="Times New Roman" w:cs="Times New Roman"/>
          <w:szCs w:val="24"/>
        </w:rPr>
        <w:t xml:space="preserve"> określi, w drodze rozporządzenia, wzory orzeczenia lekarskiego i psychologicznego, uwzględniając potrzebę zapewnienia jednolitości stosowanych wzorów, rozróżnienie ich od orzeczeń wydawanych </w:t>
      </w:r>
      <w:r w:rsidR="00CC3571">
        <w:rPr>
          <w:rFonts w:ascii="Times New Roman" w:hAnsi="Times New Roman" w:cs="Times New Roman"/>
          <w:szCs w:val="24"/>
        </w:rPr>
        <w:t>w postępowaniu o</w:t>
      </w:r>
      <w:r w:rsidR="00EC6774">
        <w:rPr>
          <w:rFonts w:ascii="Times New Roman" w:hAnsi="Times New Roman" w:cs="Times New Roman"/>
          <w:szCs w:val="24"/>
        </w:rPr>
        <w:t> </w:t>
      </w:r>
      <w:r w:rsidRPr="00AF27CD">
        <w:rPr>
          <w:rFonts w:ascii="Times New Roman" w:hAnsi="Times New Roman" w:cs="Times New Roman"/>
          <w:szCs w:val="24"/>
        </w:rPr>
        <w:t>udzielenie pozwolenia na broń</w:t>
      </w:r>
      <w:r w:rsidR="00813718" w:rsidRPr="00AF27CD">
        <w:rPr>
          <w:rFonts w:ascii="Times New Roman" w:hAnsi="Times New Roman" w:cs="Times New Roman"/>
          <w:szCs w:val="24"/>
        </w:rPr>
        <w:t>.</w:t>
      </w:r>
      <w:r w:rsidRPr="00AF27CD">
        <w:rPr>
          <w:rFonts w:ascii="Times New Roman" w:hAnsi="Times New Roman" w:cs="Times New Roman"/>
          <w:szCs w:val="24"/>
        </w:rPr>
        <w:t xml:space="preserve"> </w:t>
      </w:r>
      <w:r w:rsidR="005E4294" w:rsidRPr="00AF27CD">
        <w:rPr>
          <w:rFonts w:ascii="Times New Roman" w:hAnsi="Times New Roman" w:cs="Times New Roman"/>
          <w:szCs w:val="24"/>
        </w:rPr>
        <w:t>Uprawnienie do wydawania orzeczeń lekarskich ma każdy lekarz specjalista w dziedzinie psychiatrii albo lek</w:t>
      </w:r>
      <w:r w:rsidR="00CC3571">
        <w:rPr>
          <w:rFonts w:ascii="Times New Roman" w:hAnsi="Times New Roman" w:cs="Times New Roman"/>
          <w:szCs w:val="24"/>
        </w:rPr>
        <w:t>arz posiadający specjalizacj</w:t>
      </w:r>
      <w:r w:rsidR="00C2719A">
        <w:rPr>
          <w:rFonts w:ascii="Times New Roman" w:hAnsi="Times New Roman" w:cs="Times New Roman"/>
          <w:szCs w:val="24"/>
        </w:rPr>
        <w:t>ę</w:t>
      </w:r>
      <w:r w:rsidR="00CC3571">
        <w:rPr>
          <w:rFonts w:ascii="Times New Roman" w:hAnsi="Times New Roman" w:cs="Times New Roman"/>
          <w:szCs w:val="24"/>
        </w:rPr>
        <w:t xml:space="preserve"> I</w:t>
      </w:r>
      <w:r w:rsidR="00EC6774">
        <w:rPr>
          <w:rFonts w:ascii="Times New Roman" w:hAnsi="Times New Roman" w:cs="Times New Roman"/>
          <w:szCs w:val="24"/>
        </w:rPr>
        <w:t> </w:t>
      </w:r>
      <w:r w:rsidR="005E4294" w:rsidRPr="00AF27CD">
        <w:rPr>
          <w:rFonts w:ascii="Times New Roman" w:hAnsi="Times New Roman" w:cs="Times New Roman"/>
          <w:szCs w:val="24"/>
        </w:rPr>
        <w:t>stopnia w dziedzinie psychiatrii</w:t>
      </w:r>
      <w:r w:rsidR="000C5A53">
        <w:rPr>
          <w:rFonts w:ascii="Times New Roman" w:hAnsi="Times New Roman" w:cs="Times New Roman"/>
          <w:szCs w:val="24"/>
        </w:rPr>
        <w:t>.</w:t>
      </w:r>
      <w:r w:rsidR="005E4294" w:rsidRPr="00AF27CD">
        <w:rPr>
          <w:rFonts w:ascii="Times New Roman" w:hAnsi="Times New Roman" w:cs="Times New Roman"/>
          <w:szCs w:val="24"/>
        </w:rPr>
        <w:t xml:space="preserve"> </w:t>
      </w:r>
      <w:r w:rsidR="000C5A53" w:rsidRPr="00AF27CD">
        <w:rPr>
          <w:rFonts w:ascii="Times New Roman" w:hAnsi="Times New Roman" w:cs="Times New Roman"/>
          <w:szCs w:val="24"/>
        </w:rPr>
        <w:t xml:space="preserve">Orzeczenia </w:t>
      </w:r>
      <w:r w:rsidR="005E4294" w:rsidRPr="00AF27CD">
        <w:rPr>
          <w:rFonts w:ascii="Times New Roman" w:hAnsi="Times New Roman" w:cs="Times New Roman"/>
          <w:szCs w:val="24"/>
        </w:rPr>
        <w:t>psychologiczne może wydawać psycholog wpisany do rejestru psychologów upoważnionych, prowadzonego przez komendantów wojewódzki</w:t>
      </w:r>
      <w:r w:rsidR="001A6352" w:rsidRPr="00AF27CD">
        <w:rPr>
          <w:rFonts w:ascii="Times New Roman" w:hAnsi="Times New Roman" w:cs="Times New Roman"/>
          <w:szCs w:val="24"/>
        </w:rPr>
        <w:t>ch Policji na podstawie art. 15</w:t>
      </w:r>
      <w:r w:rsidR="005E4294" w:rsidRPr="00AF27CD">
        <w:rPr>
          <w:rFonts w:ascii="Times New Roman" w:hAnsi="Times New Roman" w:cs="Times New Roman"/>
          <w:szCs w:val="24"/>
        </w:rPr>
        <w:t>c ust. 2 ustawy z dnia 21 maja 1999 r. o broni i amunicji.</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Nie ulega zmianie obowiązek uzyskania opinii o spełnieniu warunków organizacyjnych do prowadzenia działalności koncesjonowanej z prawem do magazynowania towarów, wydanej przez uprawnioną instytucję (art. 1</w:t>
      </w:r>
      <w:r w:rsidR="00D60915" w:rsidRPr="00AF27CD">
        <w:rPr>
          <w:rFonts w:ascii="Times New Roman" w:hAnsi="Times New Roman" w:cs="Times New Roman"/>
          <w:szCs w:val="24"/>
        </w:rPr>
        <w:t>6</w:t>
      </w:r>
      <w:r w:rsidRPr="00AF27CD">
        <w:rPr>
          <w:rFonts w:ascii="Times New Roman" w:hAnsi="Times New Roman" w:cs="Times New Roman"/>
          <w:szCs w:val="24"/>
        </w:rPr>
        <w:t>). Z uwagi na fakt, że działalność przedsiębiorców jest bardzo zróżnicowana, pod względem charakteru i skali produkcji, a także</w:t>
      </w:r>
      <w:r w:rsidR="002776C0" w:rsidRPr="00AF27CD">
        <w:rPr>
          <w:rFonts w:ascii="Times New Roman" w:hAnsi="Times New Roman" w:cs="Times New Roman"/>
          <w:szCs w:val="24"/>
        </w:rPr>
        <w:t xml:space="preserve"> </w:t>
      </w:r>
      <w:r w:rsidR="000D46EC" w:rsidRPr="00AF27CD">
        <w:rPr>
          <w:rFonts w:ascii="Times New Roman" w:hAnsi="Times New Roman" w:cs="Times New Roman"/>
          <w:szCs w:val="24"/>
        </w:rPr>
        <w:t xml:space="preserve">specyfiki </w:t>
      </w:r>
      <w:r w:rsidR="00A74BAE" w:rsidRPr="00AF27CD">
        <w:rPr>
          <w:rFonts w:ascii="Times New Roman" w:hAnsi="Times New Roman" w:cs="Times New Roman"/>
          <w:szCs w:val="24"/>
        </w:rPr>
        <w:t xml:space="preserve">wytwarzanych towarów, </w:t>
      </w:r>
      <w:r w:rsidRPr="00AF27CD">
        <w:rPr>
          <w:rFonts w:ascii="Times New Roman" w:hAnsi="Times New Roman" w:cs="Times New Roman"/>
          <w:szCs w:val="24"/>
        </w:rPr>
        <w:t xml:space="preserve">nie jest możliwe określenie taryfikatora opłat za wydanie takiej opinii. </w:t>
      </w:r>
      <w:r w:rsidR="00F46EA5" w:rsidRPr="00AF27CD">
        <w:rPr>
          <w:rFonts w:ascii="Times New Roman" w:hAnsi="Times New Roman" w:cs="Times New Roman"/>
          <w:szCs w:val="24"/>
        </w:rPr>
        <w:t>Opłata b</w:t>
      </w:r>
      <w:r w:rsidRPr="00AF27CD">
        <w:rPr>
          <w:rFonts w:ascii="Times New Roman" w:hAnsi="Times New Roman" w:cs="Times New Roman"/>
          <w:szCs w:val="24"/>
        </w:rPr>
        <w:t xml:space="preserve">ędzie uzależniona </w:t>
      </w:r>
      <w:r w:rsidR="00CC3571">
        <w:rPr>
          <w:rFonts w:ascii="Times New Roman" w:hAnsi="Times New Roman" w:cs="Times New Roman"/>
          <w:szCs w:val="24"/>
        </w:rPr>
        <w:t>od czynności przeprowadzanych w</w:t>
      </w:r>
      <w:r w:rsidR="00EC6774">
        <w:rPr>
          <w:rFonts w:ascii="Times New Roman" w:hAnsi="Times New Roman" w:cs="Times New Roman"/>
          <w:szCs w:val="24"/>
        </w:rPr>
        <w:t xml:space="preserve"> </w:t>
      </w:r>
      <w:r w:rsidRPr="00AF27CD">
        <w:rPr>
          <w:rFonts w:ascii="Times New Roman" w:hAnsi="Times New Roman" w:cs="Times New Roman"/>
          <w:szCs w:val="24"/>
        </w:rPr>
        <w:t>trakcie opiniowania i związanego z tym nakładu pracy instytucji opiniującej.</w:t>
      </w:r>
      <w:r w:rsidR="00C5264B" w:rsidRPr="00AF27CD">
        <w:rPr>
          <w:rFonts w:ascii="Times New Roman" w:hAnsi="Times New Roman" w:cs="Times New Roman"/>
          <w:szCs w:val="24"/>
        </w:rPr>
        <w:t xml:space="preserve"> Do projektu </w:t>
      </w:r>
      <w:r w:rsidR="000C5A53" w:rsidRPr="00AF27CD">
        <w:rPr>
          <w:rFonts w:ascii="Times New Roman" w:hAnsi="Times New Roman" w:cs="Times New Roman"/>
          <w:szCs w:val="24"/>
        </w:rPr>
        <w:t xml:space="preserve">został </w:t>
      </w:r>
      <w:r w:rsidR="00C5264B" w:rsidRPr="00AF27CD">
        <w:rPr>
          <w:rFonts w:ascii="Times New Roman" w:hAnsi="Times New Roman" w:cs="Times New Roman"/>
          <w:szCs w:val="24"/>
        </w:rPr>
        <w:t xml:space="preserve">wprowadzony nowy przepis nakładający obowiązek uzyskania nowej opinii w przypadku, gdy w obiekcie produkcyjnym lub magazynowym </w:t>
      </w:r>
      <w:r w:rsidR="000C5A53" w:rsidRPr="00AF27CD">
        <w:rPr>
          <w:rFonts w:ascii="Times New Roman" w:hAnsi="Times New Roman" w:cs="Times New Roman"/>
          <w:szCs w:val="24"/>
        </w:rPr>
        <w:t xml:space="preserve">zostaną </w:t>
      </w:r>
      <w:r w:rsidR="00C5264B" w:rsidRPr="00AF27CD">
        <w:rPr>
          <w:rFonts w:ascii="Times New Roman" w:hAnsi="Times New Roman" w:cs="Times New Roman"/>
          <w:szCs w:val="24"/>
        </w:rPr>
        <w:t xml:space="preserve">wprowadzone zmiany, które mogą mieć wpływ na stan faktyczny, na podstawie którego została wydana pierwotna opinia. Chodzi tu głównie o zmianę dotychczas stosowanej technologii w przypadku wytwarzania, </w:t>
      </w:r>
      <w:r w:rsidR="00747048" w:rsidRPr="00AF27CD">
        <w:rPr>
          <w:rFonts w:ascii="Times New Roman" w:hAnsi="Times New Roman" w:cs="Times New Roman"/>
          <w:szCs w:val="24"/>
        </w:rPr>
        <w:t>zmianę lokalizacji maszyn i urządzeń, zmniejszenie lub zwiększenie dotychczasowej powierzchni przeznaczonej d</w:t>
      </w:r>
      <w:r w:rsidR="000D46EC" w:rsidRPr="00AF27CD">
        <w:rPr>
          <w:rFonts w:ascii="Times New Roman" w:hAnsi="Times New Roman" w:cs="Times New Roman"/>
          <w:szCs w:val="24"/>
        </w:rPr>
        <w:t xml:space="preserve">o wytwarzania lub magazynowania, zmianę </w:t>
      </w:r>
      <w:r w:rsidR="00747048" w:rsidRPr="00AF27CD">
        <w:rPr>
          <w:rFonts w:ascii="Times New Roman" w:hAnsi="Times New Roman" w:cs="Times New Roman"/>
          <w:szCs w:val="24"/>
        </w:rPr>
        <w:t>parku maszynowego. Należy mieć na uwadze, iż z pozoru niewielka zmiana polegająca na zmianie dot</w:t>
      </w:r>
      <w:r w:rsidR="00C2719A">
        <w:rPr>
          <w:rFonts w:ascii="Times New Roman" w:hAnsi="Times New Roman" w:cs="Times New Roman"/>
          <w:szCs w:val="24"/>
        </w:rPr>
        <w:t>ychczas użytkowanej powierzchni</w:t>
      </w:r>
      <w:r w:rsidR="00747048" w:rsidRPr="00AF27CD">
        <w:rPr>
          <w:rFonts w:ascii="Times New Roman" w:hAnsi="Times New Roman" w:cs="Times New Roman"/>
          <w:szCs w:val="24"/>
        </w:rPr>
        <w:t xml:space="preserve"> </w:t>
      </w:r>
      <w:r w:rsidR="000C5A53" w:rsidRPr="00AF27CD">
        <w:rPr>
          <w:rFonts w:ascii="Times New Roman" w:hAnsi="Times New Roman" w:cs="Times New Roman"/>
          <w:szCs w:val="24"/>
        </w:rPr>
        <w:t xml:space="preserve">może </w:t>
      </w:r>
      <w:r w:rsidR="00747048" w:rsidRPr="00AF27CD">
        <w:rPr>
          <w:rFonts w:ascii="Times New Roman" w:hAnsi="Times New Roman" w:cs="Times New Roman"/>
          <w:szCs w:val="24"/>
        </w:rPr>
        <w:t xml:space="preserve">spowodować skutki w postaci odcięcia od dróg ewakuacyjnych, </w:t>
      </w:r>
      <w:r w:rsidR="004638FB" w:rsidRPr="00AF27CD">
        <w:rPr>
          <w:rFonts w:ascii="Times New Roman" w:hAnsi="Times New Roman" w:cs="Times New Roman"/>
          <w:szCs w:val="24"/>
        </w:rPr>
        <w:t>ź</w:t>
      </w:r>
      <w:r w:rsidR="00747048" w:rsidRPr="00AF27CD">
        <w:rPr>
          <w:rFonts w:ascii="Times New Roman" w:hAnsi="Times New Roman" w:cs="Times New Roman"/>
          <w:szCs w:val="24"/>
        </w:rPr>
        <w:t xml:space="preserve">ródeł </w:t>
      </w:r>
      <w:r w:rsidR="004638FB" w:rsidRPr="00AF27CD">
        <w:rPr>
          <w:rFonts w:ascii="Times New Roman" w:hAnsi="Times New Roman" w:cs="Times New Roman"/>
          <w:szCs w:val="24"/>
        </w:rPr>
        <w:t xml:space="preserve">poboru </w:t>
      </w:r>
      <w:r w:rsidR="00747048" w:rsidRPr="00AF27CD">
        <w:rPr>
          <w:rFonts w:ascii="Times New Roman" w:hAnsi="Times New Roman" w:cs="Times New Roman"/>
          <w:szCs w:val="24"/>
        </w:rPr>
        <w:t xml:space="preserve">wody, </w:t>
      </w:r>
      <w:r w:rsidR="004638FB" w:rsidRPr="00AF27CD">
        <w:rPr>
          <w:rFonts w:ascii="Times New Roman" w:hAnsi="Times New Roman" w:cs="Times New Roman"/>
          <w:szCs w:val="24"/>
        </w:rPr>
        <w:t xml:space="preserve">co bezpośrednio wpłynie </w:t>
      </w:r>
      <w:r w:rsidR="00D37389" w:rsidRPr="00AF27CD">
        <w:rPr>
          <w:rFonts w:ascii="Times New Roman" w:hAnsi="Times New Roman" w:cs="Times New Roman"/>
          <w:szCs w:val="24"/>
        </w:rPr>
        <w:t xml:space="preserve">np. </w:t>
      </w:r>
      <w:r w:rsidR="004638FB" w:rsidRPr="00AF27CD">
        <w:rPr>
          <w:rFonts w:ascii="Times New Roman" w:hAnsi="Times New Roman" w:cs="Times New Roman"/>
          <w:szCs w:val="24"/>
        </w:rPr>
        <w:t>na wzros</w:t>
      </w:r>
      <w:r w:rsidR="00671D82" w:rsidRPr="00AF27CD">
        <w:rPr>
          <w:rFonts w:ascii="Times New Roman" w:hAnsi="Times New Roman" w:cs="Times New Roman"/>
          <w:szCs w:val="24"/>
        </w:rPr>
        <w:t xml:space="preserve">t zagrożenia przeciwpożarowego, jak również </w:t>
      </w:r>
      <w:r w:rsidR="00125573">
        <w:rPr>
          <w:rFonts w:ascii="Times New Roman" w:hAnsi="Times New Roman" w:cs="Times New Roman"/>
          <w:szCs w:val="24"/>
        </w:rPr>
        <w:t xml:space="preserve">może </w:t>
      </w:r>
      <w:r w:rsidR="00671D82" w:rsidRPr="00AF27CD">
        <w:rPr>
          <w:rFonts w:ascii="Times New Roman" w:hAnsi="Times New Roman" w:cs="Times New Roman"/>
          <w:szCs w:val="24"/>
        </w:rPr>
        <w:t>n</w:t>
      </w:r>
      <w:r w:rsidR="000D46EC" w:rsidRPr="00AF27CD">
        <w:rPr>
          <w:rFonts w:ascii="Times New Roman" w:hAnsi="Times New Roman" w:cs="Times New Roman"/>
          <w:szCs w:val="24"/>
        </w:rPr>
        <w:t>egatywnie wpłynąć na organizację</w:t>
      </w:r>
      <w:r w:rsidR="00671D82" w:rsidRPr="00AF27CD">
        <w:rPr>
          <w:rFonts w:ascii="Times New Roman" w:hAnsi="Times New Roman" w:cs="Times New Roman"/>
          <w:szCs w:val="24"/>
        </w:rPr>
        <w:t xml:space="preserve"> procesu produkcji.</w:t>
      </w:r>
    </w:p>
    <w:p w:rsidR="0002459E" w:rsidRPr="00AF27CD" w:rsidRDefault="00A93E79" w:rsidP="00422EA7">
      <w:pPr>
        <w:spacing w:before="120" w:line="360" w:lineRule="auto"/>
        <w:jc w:val="both"/>
      </w:pPr>
      <w:r w:rsidRPr="00AF27CD">
        <w:t xml:space="preserve">Nie ulega zmianie zestaw </w:t>
      </w:r>
      <w:r w:rsidR="00B846F3" w:rsidRPr="00AF27CD">
        <w:t>informacji (</w:t>
      </w:r>
      <w:r w:rsidR="00C2719A">
        <w:t>art.</w:t>
      </w:r>
      <w:r w:rsidR="00B846F3" w:rsidRPr="00AF27CD">
        <w:t xml:space="preserve"> </w:t>
      </w:r>
      <w:r w:rsidRPr="00AF27CD">
        <w:t>1</w:t>
      </w:r>
      <w:r w:rsidR="00D60915" w:rsidRPr="00AF27CD">
        <w:t>7</w:t>
      </w:r>
      <w:r w:rsidRPr="00AF27CD">
        <w:t>), które przedsiębiorca zawiera we wniosku o udzielenie koncesji, jak również rodzaj dokumentów dołączanych do wniosku. Nowym elementem jest oświadczenie p</w:t>
      </w:r>
      <w:r w:rsidR="00CC3571">
        <w:t>rzedsiębiorcy o braku decyzji o</w:t>
      </w:r>
      <w:r w:rsidR="00EC6774">
        <w:t> </w:t>
      </w:r>
      <w:r w:rsidRPr="00AF27CD">
        <w:t>niedopuszczalności wykonywania praw z udziałó</w:t>
      </w:r>
      <w:r w:rsidR="00CC3571">
        <w:t>w lub akcji, co wynika wprost z</w:t>
      </w:r>
      <w:r w:rsidR="00EC6774">
        <w:t> </w:t>
      </w:r>
      <w:r w:rsidRPr="00AF27CD">
        <w:t>przepisów ustawy z dnia 24 lipca 2015 r. o kontroli niektórych inwestycji.</w:t>
      </w:r>
      <w:r w:rsidR="0002459E" w:rsidRPr="00AF27CD">
        <w:t xml:space="preserve"> Art.</w:t>
      </w:r>
      <w:r w:rsidR="00422EA7" w:rsidRPr="00AF27CD">
        <w:t xml:space="preserve"> </w:t>
      </w:r>
      <w:r w:rsidR="0002459E" w:rsidRPr="00AF27CD">
        <w:t>1</w:t>
      </w:r>
      <w:r w:rsidR="00D60915" w:rsidRPr="00AF27CD">
        <w:t>7</w:t>
      </w:r>
      <w:r w:rsidR="0002459E" w:rsidRPr="00AF27CD">
        <w:t xml:space="preserve"> projektu określa</w:t>
      </w:r>
      <w:r w:rsidR="00C2719A">
        <w:t>,</w:t>
      </w:r>
      <w:r w:rsidR="0002459E" w:rsidRPr="00AF27CD">
        <w:t xml:space="preserve"> co zawiera wniosek o udzielenie lub zmianę koncesji</w:t>
      </w:r>
      <w:r w:rsidR="00125573">
        <w:t>,</w:t>
      </w:r>
      <w:r w:rsidR="0002459E" w:rsidRPr="00AF27CD">
        <w:t xml:space="preserve"> oraz jakie dokumenty należy do niego dołączyć. Nowy formularz wniosku, który będzie załącznikiem do rozporządzenia</w:t>
      </w:r>
      <w:r w:rsidR="00C2719A">
        <w:t>,</w:t>
      </w:r>
      <w:r w:rsidR="0002459E" w:rsidRPr="00AF27CD">
        <w:t xml:space="preserve"> umożliwi złożenie bezpośrednio na formularzu szeregu oświadczeń dotychczas dołączanych do wniosku jako odrębne dokumenty.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Nowym warunkiem wpisanym do projektu ustawy jest wymóg, potwierdzany stosownym oświadczeniem, spełniani</w:t>
      </w:r>
      <w:r w:rsidR="00F46EA5" w:rsidRPr="00AF27CD">
        <w:rPr>
          <w:rFonts w:ascii="Times New Roman" w:hAnsi="Times New Roman" w:cs="Times New Roman"/>
          <w:szCs w:val="24"/>
        </w:rPr>
        <w:t>a</w:t>
      </w:r>
      <w:r w:rsidRPr="00AF27CD">
        <w:rPr>
          <w:rFonts w:ascii="Times New Roman" w:hAnsi="Times New Roman" w:cs="Times New Roman"/>
          <w:szCs w:val="24"/>
        </w:rPr>
        <w:t xml:space="preserve"> wymagań technicznych i organizacyjnych umożliwiających prowadzenie ewidencji w Systemie Rejestracji Broni, o którym mowa w dziale </w:t>
      </w:r>
      <w:r w:rsidR="00BF79C5">
        <w:rPr>
          <w:rFonts w:ascii="Times New Roman" w:hAnsi="Times New Roman" w:cs="Times New Roman"/>
          <w:szCs w:val="24"/>
        </w:rPr>
        <w:t>IV</w:t>
      </w:r>
      <w:r w:rsidRPr="00AF27CD">
        <w:rPr>
          <w:rFonts w:ascii="Times New Roman" w:hAnsi="Times New Roman" w:cs="Times New Roman"/>
          <w:szCs w:val="24"/>
        </w:rPr>
        <w:t xml:space="preserve"> </w:t>
      </w:r>
      <w:r w:rsidR="00A74BAE" w:rsidRPr="00AF27CD">
        <w:rPr>
          <w:rFonts w:ascii="Times New Roman" w:hAnsi="Times New Roman" w:cs="Times New Roman"/>
          <w:szCs w:val="24"/>
        </w:rPr>
        <w:t>(art. 1</w:t>
      </w:r>
      <w:r w:rsidR="00D60915" w:rsidRPr="00AF27CD">
        <w:rPr>
          <w:rFonts w:ascii="Times New Roman" w:hAnsi="Times New Roman" w:cs="Times New Roman"/>
          <w:szCs w:val="24"/>
        </w:rPr>
        <w:t>7</w:t>
      </w:r>
      <w:r w:rsidR="00A74BAE" w:rsidRPr="00AF27CD">
        <w:rPr>
          <w:rFonts w:ascii="Times New Roman" w:hAnsi="Times New Roman" w:cs="Times New Roman"/>
          <w:szCs w:val="24"/>
        </w:rPr>
        <w:t xml:space="preserve"> ust. 2 pkt 2</w:t>
      </w:r>
      <w:r w:rsidR="00BF79C5">
        <w:rPr>
          <w:rFonts w:ascii="Times New Roman" w:hAnsi="Times New Roman" w:cs="Times New Roman"/>
          <w:szCs w:val="24"/>
        </w:rPr>
        <w:t xml:space="preserve"> przez odesłanie do art. 10 ust. 2</w:t>
      </w:r>
      <w:r w:rsidR="00A74BAE" w:rsidRPr="00AF27CD">
        <w:rPr>
          <w:rFonts w:ascii="Times New Roman" w:hAnsi="Times New Roman" w:cs="Times New Roman"/>
          <w:szCs w:val="24"/>
        </w:rPr>
        <w:t>)</w:t>
      </w:r>
      <w:r w:rsidRPr="00AF27CD">
        <w:rPr>
          <w:rFonts w:ascii="Times New Roman" w:hAnsi="Times New Roman" w:cs="Times New Roman"/>
          <w:szCs w:val="24"/>
        </w:rPr>
        <w:t>.</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Projekt nowej </w:t>
      </w:r>
      <w:r w:rsidR="00C2719A">
        <w:rPr>
          <w:rFonts w:ascii="Times New Roman" w:hAnsi="Times New Roman" w:cs="Times New Roman"/>
          <w:szCs w:val="24"/>
        </w:rPr>
        <w:t>ustawy zakłada, że analogicznie</w:t>
      </w:r>
      <w:r w:rsidRPr="00AF27CD">
        <w:rPr>
          <w:rFonts w:ascii="Times New Roman" w:hAnsi="Times New Roman" w:cs="Times New Roman"/>
          <w:szCs w:val="24"/>
        </w:rPr>
        <w:t xml:space="preserve"> jak w</w:t>
      </w:r>
      <w:r w:rsidR="00CC3571">
        <w:rPr>
          <w:rFonts w:ascii="Times New Roman" w:hAnsi="Times New Roman" w:cs="Times New Roman"/>
          <w:szCs w:val="24"/>
        </w:rPr>
        <w:t xml:space="preserve"> ustawie z dnia 22 czerwca 2001</w:t>
      </w:r>
      <w:r w:rsidR="00EC6774">
        <w:rPr>
          <w:rFonts w:ascii="Times New Roman" w:hAnsi="Times New Roman" w:cs="Times New Roman"/>
          <w:szCs w:val="24"/>
        </w:rPr>
        <w:t> </w:t>
      </w:r>
      <w:r w:rsidR="00C2719A">
        <w:rPr>
          <w:rFonts w:ascii="Times New Roman" w:hAnsi="Times New Roman" w:cs="Times New Roman"/>
          <w:szCs w:val="24"/>
        </w:rPr>
        <w:t>r.</w:t>
      </w:r>
      <w:r w:rsidRPr="00AF27CD">
        <w:rPr>
          <w:rFonts w:ascii="Times New Roman" w:hAnsi="Times New Roman" w:cs="Times New Roman"/>
          <w:szCs w:val="24"/>
        </w:rPr>
        <w:t xml:space="preserve"> dokumenty składane przy wniosku o udzielenie i zmianę koncesji powinny być sporządzone w określonej formie, jako oryginały lub urzędowo poświadczone kopie. Wymóg ten jest niezbędny z uwagi na konieczność zapewnienia bezpieczeństwa obrotu gospodarczego.</w:t>
      </w:r>
      <w:r w:rsidR="00422EA7" w:rsidRPr="00AF27CD">
        <w:rPr>
          <w:rFonts w:ascii="Times New Roman" w:hAnsi="Times New Roman" w:cs="Times New Roman"/>
          <w:szCs w:val="24"/>
        </w:rPr>
        <w:t xml:space="preserve">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Należy mieć na uwadze, że działalność gospodarcza</w:t>
      </w:r>
      <w:r w:rsidR="00A74BAE" w:rsidRPr="00AF27CD">
        <w:rPr>
          <w:rFonts w:ascii="Times New Roman" w:hAnsi="Times New Roman" w:cs="Times New Roman"/>
          <w:szCs w:val="24"/>
        </w:rPr>
        <w:t xml:space="preserve"> w zakresie objętym </w:t>
      </w:r>
      <w:r w:rsidR="00BF79C5">
        <w:rPr>
          <w:rFonts w:ascii="Times New Roman" w:hAnsi="Times New Roman" w:cs="Times New Roman"/>
          <w:szCs w:val="24"/>
        </w:rPr>
        <w:t xml:space="preserve">projektowaną </w:t>
      </w:r>
      <w:r w:rsidR="00A74BAE" w:rsidRPr="00AF27CD">
        <w:rPr>
          <w:rFonts w:ascii="Times New Roman" w:hAnsi="Times New Roman" w:cs="Times New Roman"/>
          <w:szCs w:val="24"/>
        </w:rPr>
        <w:t>ustawą</w:t>
      </w:r>
      <w:r w:rsidRPr="00AF27CD">
        <w:rPr>
          <w:rFonts w:ascii="Times New Roman" w:hAnsi="Times New Roman" w:cs="Times New Roman"/>
          <w:szCs w:val="24"/>
        </w:rPr>
        <w:t xml:space="preserve"> bezpośrednio wpływa na poziom bezpieczeństw</w:t>
      </w:r>
      <w:r w:rsidR="00CC3571">
        <w:rPr>
          <w:rFonts w:ascii="Times New Roman" w:hAnsi="Times New Roman" w:cs="Times New Roman"/>
          <w:szCs w:val="24"/>
        </w:rPr>
        <w:t>a państwa oraz bezpieczeństwa i</w:t>
      </w:r>
      <w:r w:rsidR="00EC6774">
        <w:rPr>
          <w:rFonts w:ascii="Times New Roman" w:hAnsi="Times New Roman" w:cs="Times New Roman"/>
          <w:szCs w:val="24"/>
        </w:rPr>
        <w:t> </w:t>
      </w:r>
      <w:r w:rsidRPr="00AF27CD">
        <w:rPr>
          <w:rFonts w:ascii="Times New Roman" w:hAnsi="Times New Roman" w:cs="Times New Roman"/>
          <w:szCs w:val="24"/>
        </w:rPr>
        <w:t xml:space="preserve">porządku publicznego, ponieważ na podstawie uprawnień wynikających z koncesji przedsiębiorcy zyskują pełny i nieograniczony dostęp do materiałów wybuchowych, broni, amunicji oraz uzbrojenia wojskowego. Stają się wytwórcami i dystrybutorami </w:t>
      </w:r>
      <w:r w:rsidR="001D2325" w:rsidRPr="00AF27CD">
        <w:rPr>
          <w:rFonts w:ascii="Times New Roman" w:hAnsi="Times New Roman" w:cs="Times New Roman"/>
          <w:szCs w:val="24"/>
        </w:rPr>
        <w:t>ww.</w:t>
      </w:r>
      <w:r w:rsidRPr="00AF27CD">
        <w:rPr>
          <w:rFonts w:ascii="Times New Roman" w:hAnsi="Times New Roman" w:cs="Times New Roman"/>
          <w:szCs w:val="24"/>
        </w:rPr>
        <w:t xml:space="preserve"> towarów, które są przeznaczone </w:t>
      </w:r>
      <w:r w:rsidR="00A74BAE" w:rsidRPr="00AF27CD">
        <w:rPr>
          <w:rFonts w:ascii="Times New Roman" w:hAnsi="Times New Roman" w:cs="Times New Roman"/>
          <w:szCs w:val="24"/>
        </w:rPr>
        <w:t xml:space="preserve">odpowiednio </w:t>
      </w:r>
      <w:r w:rsidRPr="00AF27CD">
        <w:rPr>
          <w:rFonts w:ascii="Times New Roman" w:hAnsi="Times New Roman" w:cs="Times New Roman"/>
          <w:szCs w:val="24"/>
        </w:rPr>
        <w:t>zarówno na rynek cywilny, jak również do stosowania przez siły zbrojne, państwowe formacje u</w:t>
      </w:r>
      <w:r w:rsidR="004F2DA3" w:rsidRPr="00AF27CD">
        <w:rPr>
          <w:rFonts w:ascii="Times New Roman" w:hAnsi="Times New Roman" w:cs="Times New Roman"/>
          <w:szCs w:val="24"/>
        </w:rPr>
        <w:t>zbrojone</w:t>
      </w:r>
      <w:r w:rsidRPr="00AF27CD">
        <w:rPr>
          <w:rFonts w:ascii="Times New Roman" w:hAnsi="Times New Roman" w:cs="Times New Roman"/>
          <w:szCs w:val="24"/>
        </w:rPr>
        <w:t xml:space="preserve"> i Policję. Przedsiębiorcy posiadający koncesję stają się również uczestnikami obrotu międzynarodowego</w:t>
      </w:r>
      <w:r w:rsidR="00BF79C5">
        <w:rPr>
          <w:rFonts w:ascii="Times New Roman" w:hAnsi="Times New Roman" w:cs="Times New Roman"/>
          <w:szCs w:val="24"/>
        </w:rPr>
        <w:t>,</w:t>
      </w:r>
      <w:r w:rsidRPr="00AF27CD">
        <w:rPr>
          <w:rFonts w:ascii="Times New Roman" w:hAnsi="Times New Roman" w:cs="Times New Roman"/>
          <w:szCs w:val="24"/>
        </w:rPr>
        <w:t xml:space="preserve"> prowadząc obrót z krajami zarówn</w:t>
      </w:r>
      <w:r w:rsidR="00CC3571">
        <w:rPr>
          <w:rFonts w:ascii="Times New Roman" w:hAnsi="Times New Roman" w:cs="Times New Roman"/>
          <w:szCs w:val="24"/>
        </w:rPr>
        <w:t>o Wspólnoty Europejskiej, jak i</w:t>
      </w:r>
      <w:r w:rsidR="00EC6774">
        <w:rPr>
          <w:rFonts w:ascii="Times New Roman" w:hAnsi="Times New Roman" w:cs="Times New Roman"/>
          <w:szCs w:val="24"/>
        </w:rPr>
        <w:t> </w:t>
      </w:r>
      <w:r w:rsidRPr="00AF27CD">
        <w:rPr>
          <w:rFonts w:ascii="Times New Roman" w:hAnsi="Times New Roman" w:cs="Times New Roman"/>
          <w:szCs w:val="24"/>
        </w:rPr>
        <w:t xml:space="preserve">krajami trzecimi.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Koncesja ministra właściwego do spraw wewnętrznych jest swoistym pasz</w:t>
      </w:r>
      <w:r w:rsidR="00EC6774">
        <w:rPr>
          <w:rFonts w:ascii="Times New Roman" w:hAnsi="Times New Roman" w:cs="Times New Roman"/>
          <w:szCs w:val="24"/>
        </w:rPr>
        <w:t>portem i </w:t>
      </w:r>
      <w:r w:rsidRPr="00AF27CD">
        <w:rPr>
          <w:rFonts w:ascii="Times New Roman" w:hAnsi="Times New Roman" w:cs="Times New Roman"/>
          <w:szCs w:val="24"/>
        </w:rPr>
        <w:t>przepustką do działania w obszarze szczególnie wrażliwym ze względu na bezpieczeństwo państwa</w:t>
      </w:r>
      <w:r w:rsidR="004F2DA3" w:rsidRPr="00AF27CD">
        <w:rPr>
          <w:rFonts w:ascii="Times New Roman" w:hAnsi="Times New Roman" w:cs="Times New Roman"/>
          <w:szCs w:val="24"/>
        </w:rPr>
        <w:t>,</w:t>
      </w:r>
      <w:r w:rsidR="00422EA7" w:rsidRPr="00AF27CD">
        <w:rPr>
          <w:rFonts w:ascii="Times New Roman" w:hAnsi="Times New Roman" w:cs="Times New Roman"/>
          <w:szCs w:val="24"/>
        </w:rPr>
        <w:t xml:space="preserve"> </w:t>
      </w:r>
      <w:r w:rsidR="004F2DA3" w:rsidRPr="00AF27CD">
        <w:rPr>
          <w:rFonts w:ascii="Times New Roman" w:hAnsi="Times New Roman" w:cs="Times New Roman"/>
          <w:szCs w:val="24"/>
        </w:rPr>
        <w:t>porządek publiczny</w:t>
      </w:r>
      <w:r w:rsidR="00CC3571">
        <w:rPr>
          <w:rFonts w:ascii="Times New Roman" w:hAnsi="Times New Roman" w:cs="Times New Roman"/>
          <w:szCs w:val="24"/>
        </w:rPr>
        <w:t xml:space="preserve"> oraz zobowiązania wynikające z</w:t>
      </w:r>
      <w:r w:rsidR="00EC6774">
        <w:rPr>
          <w:rFonts w:ascii="Times New Roman" w:hAnsi="Times New Roman" w:cs="Times New Roman"/>
          <w:szCs w:val="24"/>
        </w:rPr>
        <w:t> </w:t>
      </w:r>
      <w:r w:rsidR="004F2DA3" w:rsidRPr="00AF27CD">
        <w:rPr>
          <w:rFonts w:ascii="Times New Roman" w:hAnsi="Times New Roman" w:cs="Times New Roman"/>
          <w:szCs w:val="24"/>
        </w:rPr>
        <w:t>traktatów i umów międzynarodowych.</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W toku postępowania w sprawach o udzielenie koncesji badana jest wiarygodność, rzetelność zawodowa i kwalifikacje do wykonywania działalności. Forma składanych dokumentów (oryginały lub urzędowo poświadczone kopie) daje pewność, że zostały one wydane przez uprawnione instytucje i dotyczą konkretnej osoby lub podmiotu.</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Ma to szczególne znaczenie w przypadku osób, które są cudzoziemcami, a jednocześnie przedsiębiorcami, członkami organu zarządzającego przedsiębiorstwa, wspólnikami bądź udziałowcami. W takim przypadku składane są dokumenty z kraju pochodzenia osoby, rejestracji podmiotu, opatrzone tłumaczeniami przysięgłymi i legalnością sporządzonego dokumentu potwierdzoną </w:t>
      </w:r>
      <w:r w:rsidRPr="00AF27CD">
        <w:rPr>
          <w:rFonts w:ascii="Times New Roman" w:hAnsi="Times New Roman" w:cs="Times New Roman"/>
          <w:i/>
          <w:szCs w:val="24"/>
        </w:rPr>
        <w:t>apostille.</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W przypadku przedstawiania kopii </w:t>
      </w:r>
      <w:r w:rsidR="00C2719A">
        <w:rPr>
          <w:rFonts w:ascii="Times New Roman" w:hAnsi="Times New Roman" w:cs="Times New Roman"/>
          <w:szCs w:val="24"/>
        </w:rPr>
        <w:t>może pojawić się wątpliwość</w:t>
      </w:r>
      <w:r w:rsidRPr="00AF27CD">
        <w:rPr>
          <w:rFonts w:ascii="Times New Roman" w:hAnsi="Times New Roman" w:cs="Times New Roman"/>
          <w:szCs w:val="24"/>
        </w:rPr>
        <w:t xml:space="preserve"> co do prawdziwości danego dokumentu. Analogiczna zasada odnosi się do dokumentów sporządzanych na obszarze R</w:t>
      </w:r>
      <w:r w:rsidR="00813718" w:rsidRPr="00AF27CD">
        <w:rPr>
          <w:rFonts w:ascii="Times New Roman" w:hAnsi="Times New Roman" w:cs="Times New Roman"/>
          <w:szCs w:val="24"/>
        </w:rPr>
        <w:t xml:space="preserve">zeczypospolitej </w:t>
      </w:r>
      <w:r w:rsidRPr="00AF27CD">
        <w:rPr>
          <w:rFonts w:ascii="Times New Roman" w:hAnsi="Times New Roman" w:cs="Times New Roman"/>
          <w:szCs w:val="24"/>
        </w:rPr>
        <w:t>P</w:t>
      </w:r>
      <w:r w:rsidR="00813718" w:rsidRPr="00AF27CD">
        <w:rPr>
          <w:rFonts w:ascii="Times New Roman" w:hAnsi="Times New Roman" w:cs="Times New Roman"/>
          <w:szCs w:val="24"/>
        </w:rPr>
        <w:t>olskiej</w:t>
      </w:r>
      <w:r w:rsidRPr="00AF27CD">
        <w:rPr>
          <w:rFonts w:ascii="Times New Roman" w:hAnsi="Times New Roman" w:cs="Times New Roman"/>
          <w:szCs w:val="24"/>
        </w:rPr>
        <w:t>.</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Organ koncesyjny</w:t>
      </w:r>
      <w:r w:rsidR="00BF79C5">
        <w:rPr>
          <w:rFonts w:ascii="Times New Roman" w:hAnsi="Times New Roman" w:cs="Times New Roman"/>
          <w:szCs w:val="24"/>
        </w:rPr>
        <w:t>,</w:t>
      </w:r>
      <w:r w:rsidRPr="00AF27CD">
        <w:rPr>
          <w:rFonts w:ascii="Times New Roman" w:hAnsi="Times New Roman" w:cs="Times New Roman"/>
          <w:szCs w:val="24"/>
        </w:rPr>
        <w:t xml:space="preserve"> prowadząc postępowania</w:t>
      </w:r>
      <w:r w:rsidR="00BF79C5">
        <w:rPr>
          <w:rFonts w:ascii="Times New Roman" w:hAnsi="Times New Roman" w:cs="Times New Roman"/>
          <w:szCs w:val="24"/>
        </w:rPr>
        <w:t>,</w:t>
      </w:r>
      <w:r w:rsidRPr="00AF27CD">
        <w:rPr>
          <w:rFonts w:ascii="Times New Roman" w:hAnsi="Times New Roman" w:cs="Times New Roman"/>
          <w:szCs w:val="24"/>
        </w:rPr>
        <w:t xml:space="preserve"> musi mieć pewność, że zebrał właściwe dla postępowania dokumenty i że nie budzą one najmniejszych wątpliwości. Dodatkowo każdy wniosek o udzielenie koncesji </w:t>
      </w:r>
      <w:r w:rsidR="00813718" w:rsidRPr="00AF27CD">
        <w:rPr>
          <w:rFonts w:ascii="Times New Roman" w:hAnsi="Times New Roman" w:cs="Times New Roman"/>
          <w:szCs w:val="24"/>
        </w:rPr>
        <w:t xml:space="preserve">jest </w:t>
      </w:r>
      <w:r w:rsidRPr="00AF27CD">
        <w:rPr>
          <w:rFonts w:ascii="Times New Roman" w:hAnsi="Times New Roman" w:cs="Times New Roman"/>
          <w:szCs w:val="24"/>
        </w:rPr>
        <w:t xml:space="preserve">opiniowany przez ministra właściwego do spraw gospodarki, Szefa Służby Kontrwywiadu Wojskowego, Szefa Agencji Bezpieczeństwa Wewnętrznego i właściwego </w:t>
      </w:r>
      <w:r w:rsidR="001D2325" w:rsidRPr="00AF27CD">
        <w:rPr>
          <w:rFonts w:ascii="Times New Roman" w:hAnsi="Times New Roman" w:cs="Times New Roman"/>
          <w:szCs w:val="24"/>
        </w:rPr>
        <w:t>k</w:t>
      </w:r>
      <w:r w:rsidRPr="00AF27CD">
        <w:rPr>
          <w:rFonts w:ascii="Times New Roman" w:hAnsi="Times New Roman" w:cs="Times New Roman"/>
          <w:szCs w:val="24"/>
        </w:rPr>
        <w:t xml:space="preserve">omendanta </w:t>
      </w:r>
      <w:r w:rsidR="001D2325" w:rsidRPr="00AF27CD">
        <w:rPr>
          <w:rFonts w:ascii="Times New Roman" w:hAnsi="Times New Roman" w:cs="Times New Roman"/>
          <w:szCs w:val="24"/>
        </w:rPr>
        <w:t>w</w:t>
      </w:r>
      <w:r w:rsidRPr="00AF27CD">
        <w:rPr>
          <w:rFonts w:ascii="Times New Roman" w:hAnsi="Times New Roman" w:cs="Times New Roman"/>
          <w:szCs w:val="24"/>
        </w:rPr>
        <w:t>ojewódzkiego Policji</w:t>
      </w:r>
      <w:r w:rsidR="004F2DA3" w:rsidRPr="00AF27CD">
        <w:rPr>
          <w:rFonts w:ascii="Times New Roman" w:hAnsi="Times New Roman" w:cs="Times New Roman"/>
          <w:szCs w:val="24"/>
        </w:rPr>
        <w:t>. O</w:t>
      </w:r>
      <w:r w:rsidRPr="00AF27CD">
        <w:rPr>
          <w:rFonts w:ascii="Times New Roman" w:hAnsi="Times New Roman" w:cs="Times New Roman"/>
          <w:szCs w:val="24"/>
        </w:rPr>
        <w:t>rgany te muszą mieć pewność, że kopie wniosków i dołączonych do niego dokumentów (przesyłane przez organ koncesyjny do zaopiniowania) zostały sporządzone dla właściwej osoby i we właściwy sposób.</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Kwestia wykorzystania w postępowaniu administracyjnym dokumentów sporządzonych w nakazanej przez </w:t>
      </w:r>
      <w:r w:rsidR="001D2325" w:rsidRPr="00AF27CD">
        <w:rPr>
          <w:rFonts w:ascii="Times New Roman" w:hAnsi="Times New Roman" w:cs="Times New Roman"/>
          <w:szCs w:val="24"/>
        </w:rPr>
        <w:t>ww.</w:t>
      </w:r>
      <w:r w:rsidRPr="00AF27CD">
        <w:rPr>
          <w:rFonts w:ascii="Times New Roman" w:hAnsi="Times New Roman" w:cs="Times New Roman"/>
          <w:szCs w:val="24"/>
        </w:rPr>
        <w:t xml:space="preserve"> ustawę formie była również przedmiotem analizy w trakcie kontroli przeprowadzonej przez NIK w 2014 r. Jednym z wniosków </w:t>
      </w:r>
      <w:r w:rsidRPr="00AF27CD">
        <w:rPr>
          <w:rFonts w:ascii="Times New Roman" w:hAnsi="Times New Roman" w:cs="Times New Roman"/>
          <w:i/>
          <w:szCs w:val="24"/>
        </w:rPr>
        <w:t>de lege lata</w:t>
      </w:r>
      <w:r w:rsidRPr="00AF27CD">
        <w:rPr>
          <w:rFonts w:ascii="Times New Roman" w:hAnsi="Times New Roman" w:cs="Times New Roman"/>
          <w:szCs w:val="24"/>
        </w:rPr>
        <w:t xml:space="preserve"> zawartych w informacji o tej kontroli było</w:t>
      </w:r>
      <w:r w:rsidR="00CC3571">
        <w:rPr>
          <w:rFonts w:ascii="Times New Roman" w:hAnsi="Times New Roman" w:cs="Times New Roman"/>
          <w:szCs w:val="24"/>
        </w:rPr>
        <w:t xml:space="preserve"> bezwzględne posługiwanie się w</w:t>
      </w:r>
      <w:r w:rsidR="00EC6774">
        <w:rPr>
          <w:rFonts w:ascii="Times New Roman" w:hAnsi="Times New Roman" w:cs="Times New Roman"/>
          <w:szCs w:val="24"/>
        </w:rPr>
        <w:t> </w:t>
      </w:r>
      <w:r w:rsidRPr="00AF27CD">
        <w:rPr>
          <w:rFonts w:ascii="Times New Roman" w:hAnsi="Times New Roman" w:cs="Times New Roman"/>
          <w:szCs w:val="24"/>
        </w:rPr>
        <w:t>postępowaniach dokumentami sporządzonymi w formie oryginałów lub urzędowo poświadczonych kopii. Każde postępowanie w sprawie udzielenia koncesji na wykonywanie działalności gospodarczej w zakresie wytwarzania i obrotu materiałami wybuchowymi, bronią, amunicją oraz wyrobami i technologią o przeznaczeniu wojskowym lub policyjnym</w:t>
      </w:r>
      <w:r w:rsidR="004F2DA3" w:rsidRPr="00AF27CD">
        <w:rPr>
          <w:rFonts w:ascii="Times New Roman" w:hAnsi="Times New Roman" w:cs="Times New Roman"/>
          <w:szCs w:val="24"/>
        </w:rPr>
        <w:t>,</w:t>
      </w:r>
      <w:r w:rsidRPr="00AF27CD">
        <w:rPr>
          <w:rFonts w:ascii="Times New Roman" w:hAnsi="Times New Roman" w:cs="Times New Roman"/>
          <w:szCs w:val="24"/>
        </w:rPr>
        <w:t xml:space="preserve"> skutkujące udzieleniem koncesji w tym obszarze</w:t>
      </w:r>
      <w:r w:rsidR="004F2DA3" w:rsidRPr="00AF27CD">
        <w:rPr>
          <w:rFonts w:ascii="Times New Roman" w:hAnsi="Times New Roman" w:cs="Times New Roman"/>
          <w:szCs w:val="24"/>
        </w:rPr>
        <w:t xml:space="preserve">, </w:t>
      </w:r>
      <w:r w:rsidRPr="00AF27CD">
        <w:rPr>
          <w:rFonts w:ascii="Times New Roman" w:hAnsi="Times New Roman" w:cs="Times New Roman"/>
          <w:szCs w:val="24"/>
        </w:rPr>
        <w:t>ma wpływ na obronność, bezpieczeństwo państwa lu</w:t>
      </w:r>
      <w:r w:rsidR="000D46EC" w:rsidRPr="00AF27CD">
        <w:rPr>
          <w:rFonts w:ascii="Times New Roman" w:hAnsi="Times New Roman" w:cs="Times New Roman"/>
          <w:szCs w:val="24"/>
        </w:rPr>
        <w:t>b inny ważny interes publiczny, należy je prowadzić w sposób rzetelny i z należytą starannością.</w:t>
      </w:r>
    </w:p>
    <w:p w:rsidR="00A93E79" w:rsidRPr="00AF27CD" w:rsidRDefault="002704F2"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w:t>
      </w:r>
      <w:r w:rsidR="00A93E79" w:rsidRPr="00AF27CD">
        <w:rPr>
          <w:rFonts w:ascii="Times New Roman" w:hAnsi="Times New Roman" w:cs="Times New Roman"/>
          <w:szCs w:val="24"/>
        </w:rPr>
        <w:t>rzepis</w:t>
      </w:r>
      <w:r w:rsidRPr="00AF27CD">
        <w:rPr>
          <w:rFonts w:ascii="Times New Roman" w:hAnsi="Times New Roman" w:cs="Times New Roman"/>
          <w:szCs w:val="24"/>
        </w:rPr>
        <w:t>y</w:t>
      </w:r>
      <w:r w:rsidR="00A93E79" w:rsidRPr="00AF27CD">
        <w:rPr>
          <w:rFonts w:ascii="Times New Roman" w:hAnsi="Times New Roman" w:cs="Times New Roman"/>
          <w:szCs w:val="24"/>
        </w:rPr>
        <w:t xml:space="preserve"> art. 1</w:t>
      </w:r>
      <w:r w:rsidR="009A0EBD" w:rsidRPr="00AF27CD">
        <w:rPr>
          <w:rFonts w:ascii="Times New Roman" w:hAnsi="Times New Roman" w:cs="Times New Roman"/>
          <w:szCs w:val="24"/>
        </w:rPr>
        <w:t>8</w:t>
      </w:r>
      <w:r w:rsidRPr="00AF27CD">
        <w:rPr>
          <w:rFonts w:ascii="Times New Roman" w:hAnsi="Times New Roman" w:cs="Times New Roman"/>
          <w:szCs w:val="24"/>
        </w:rPr>
        <w:t>–</w:t>
      </w:r>
      <w:r w:rsidR="00633B1C" w:rsidRPr="00AF27CD">
        <w:rPr>
          <w:rFonts w:ascii="Times New Roman" w:hAnsi="Times New Roman" w:cs="Times New Roman"/>
          <w:szCs w:val="24"/>
        </w:rPr>
        <w:t>20</w:t>
      </w:r>
      <w:r w:rsidRPr="00AF27CD">
        <w:rPr>
          <w:rFonts w:ascii="Times New Roman" w:hAnsi="Times New Roman" w:cs="Times New Roman"/>
          <w:szCs w:val="24"/>
        </w:rPr>
        <w:t xml:space="preserve"> to grupa przepisów</w:t>
      </w:r>
      <w:r w:rsidR="00A93E79" w:rsidRPr="00AF27CD">
        <w:rPr>
          <w:rFonts w:ascii="Times New Roman" w:hAnsi="Times New Roman" w:cs="Times New Roman"/>
          <w:szCs w:val="24"/>
        </w:rPr>
        <w:t xml:space="preserve">, które należy włączyć do ustawy </w:t>
      </w:r>
      <w:r w:rsidR="00CC3571">
        <w:rPr>
          <w:rFonts w:ascii="Times New Roman" w:hAnsi="Times New Roman" w:cs="Times New Roman"/>
          <w:szCs w:val="24"/>
        </w:rPr>
        <w:t>w związku z</w:t>
      </w:r>
      <w:r w:rsidR="00EC6774">
        <w:rPr>
          <w:rFonts w:ascii="Times New Roman" w:hAnsi="Times New Roman" w:cs="Times New Roman"/>
          <w:szCs w:val="24"/>
        </w:rPr>
        <w:t> </w:t>
      </w:r>
      <w:r w:rsidR="00A93E79" w:rsidRPr="00AF27CD">
        <w:rPr>
          <w:rFonts w:ascii="Times New Roman" w:hAnsi="Times New Roman" w:cs="Times New Roman"/>
          <w:szCs w:val="24"/>
        </w:rPr>
        <w:t>wejściem w życie ustawy</w:t>
      </w:r>
      <w:r w:rsidR="00422EA7" w:rsidRPr="00AF27CD">
        <w:rPr>
          <w:rFonts w:ascii="Times New Roman" w:hAnsi="Times New Roman" w:cs="Times New Roman"/>
          <w:szCs w:val="24"/>
        </w:rPr>
        <w:t xml:space="preserve"> </w:t>
      </w:r>
      <w:r w:rsidR="001A6352" w:rsidRPr="00AF27CD">
        <w:rPr>
          <w:rFonts w:ascii="Times New Roman" w:hAnsi="Times New Roman" w:cs="Times New Roman"/>
          <w:szCs w:val="24"/>
        </w:rPr>
        <w:t>–</w:t>
      </w:r>
      <w:r w:rsidR="00422EA7" w:rsidRPr="00AF27CD">
        <w:rPr>
          <w:rFonts w:ascii="Times New Roman" w:hAnsi="Times New Roman" w:cs="Times New Roman"/>
          <w:szCs w:val="24"/>
        </w:rPr>
        <w:t xml:space="preserve"> </w:t>
      </w:r>
      <w:r w:rsidR="00A93E79" w:rsidRPr="00AF27CD">
        <w:rPr>
          <w:rFonts w:ascii="Times New Roman" w:hAnsi="Times New Roman" w:cs="Times New Roman"/>
          <w:szCs w:val="24"/>
        </w:rPr>
        <w:t>Prawo przedsiębiorców. Przepisy, które powinny być włączone do niniejszej ustawy</w:t>
      </w:r>
      <w:r w:rsidR="00C2719A">
        <w:rPr>
          <w:rFonts w:ascii="Times New Roman" w:hAnsi="Times New Roman" w:cs="Times New Roman"/>
          <w:szCs w:val="24"/>
        </w:rPr>
        <w:t>,</w:t>
      </w:r>
      <w:r w:rsidR="00A93E79" w:rsidRPr="00AF27CD">
        <w:rPr>
          <w:rFonts w:ascii="Times New Roman" w:hAnsi="Times New Roman" w:cs="Times New Roman"/>
          <w:szCs w:val="24"/>
        </w:rPr>
        <w:t xml:space="preserve"> </w:t>
      </w:r>
      <w:r w:rsidRPr="00AF27CD">
        <w:rPr>
          <w:rFonts w:ascii="Times New Roman" w:hAnsi="Times New Roman" w:cs="Times New Roman"/>
          <w:szCs w:val="24"/>
        </w:rPr>
        <w:t xml:space="preserve">zostały </w:t>
      </w:r>
      <w:r w:rsidR="004F2DA3" w:rsidRPr="00AF27CD">
        <w:rPr>
          <w:rFonts w:ascii="Times New Roman" w:hAnsi="Times New Roman" w:cs="Times New Roman"/>
          <w:szCs w:val="24"/>
        </w:rPr>
        <w:t>sformułowane</w:t>
      </w:r>
      <w:r w:rsidR="00422EA7" w:rsidRPr="00AF27CD">
        <w:rPr>
          <w:rFonts w:ascii="Times New Roman" w:hAnsi="Times New Roman" w:cs="Times New Roman"/>
          <w:szCs w:val="24"/>
        </w:rPr>
        <w:t xml:space="preserve"> </w:t>
      </w:r>
      <w:r w:rsidR="00A93E79" w:rsidRPr="00AF27CD">
        <w:rPr>
          <w:rFonts w:ascii="Times New Roman" w:hAnsi="Times New Roman" w:cs="Times New Roman"/>
          <w:szCs w:val="24"/>
        </w:rPr>
        <w:t xml:space="preserve">w trakcie uzgodnień międzyresortowych przepisów wprowadzających ustawę </w:t>
      </w:r>
      <w:r w:rsidR="00BF79C5">
        <w:rPr>
          <w:rFonts w:ascii="Times New Roman" w:hAnsi="Times New Roman" w:cs="Times New Roman"/>
          <w:szCs w:val="24"/>
        </w:rPr>
        <w:t xml:space="preserve">– </w:t>
      </w:r>
      <w:r w:rsidR="00A93E79" w:rsidRPr="00AF27CD">
        <w:rPr>
          <w:rFonts w:ascii="Times New Roman" w:hAnsi="Times New Roman" w:cs="Times New Roman"/>
          <w:szCs w:val="24"/>
        </w:rPr>
        <w:t xml:space="preserve">Prawo </w:t>
      </w:r>
      <w:r w:rsidRPr="00AF27CD">
        <w:rPr>
          <w:rFonts w:ascii="Times New Roman" w:hAnsi="Times New Roman" w:cs="Times New Roman"/>
          <w:szCs w:val="24"/>
        </w:rPr>
        <w:t>p</w:t>
      </w:r>
      <w:r w:rsidR="00A93E79" w:rsidRPr="00AF27CD">
        <w:rPr>
          <w:rFonts w:ascii="Times New Roman" w:hAnsi="Times New Roman" w:cs="Times New Roman"/>
          <w:szCs w:val="24"/>
        </w:rPr>
        <w:t>rzedsiębiorców</w:t>
      </w:r>
      <w:r w:rsidR="00BF79C5">
        <w:rPr>
          <w:rFonts w:ascii="Times New Roman" w:hAnsi="Times New Roman" w:cs="Times New Roman"/>
          <w:szCs w:val="24"/>
        </w:rPr>
        <w:t xml:space="preserve">. Dlatego zasadne jest </w:t>
      </w:r>
      <w:r w:rsidR="00A93E79" w:rsidRPr="00AF27CD">
        <w:rPr>
          <w:rFonts w:ascii="Times New Roman" w:hAnsi="Times New Roman" w:cs="Times New Roman"/>
          <w:szCs w:val="24"/>
        </w:rPr>
        <w:t>włączenie ich do nowej ustawy. Przepisy te dotyczą możliwości wezwania przedsiębiorcy ubiegającego się o udzielenie lub zmianę koncesji przez organ koncesyjny do uzupełnienia brakującej dokumentacji pod rygorem pozostawienia wniosku bez rozp</w:t>
      </w:r>
      <w:r w:rsidRPr="00AF27CD">
        <w:rPr>
          <w:rFonts w:ascii="Times New Roman" w:hAnsi="Times New Roman" w:cs="Times New Roman"/>
          <w:szCs w:val="24"/>
        </w:rPr>
        <w:t>atrzenia</w:t>
      </w:r>
      <w:r w:rsidR="00A93E79" w:rsidRPr="00AF27CD">
        <w:rPr>
          <w:rFonts w:ascii="Times New Roman" w:hAnsi="Times New Roman" w:cs="Times New Roman"/>
          <w:szCs w:val="24"/>
        </w:rPr>
        <w:t xml:space="preserve">, co w postępowaniach o udzielenie koncesji ma obecnie zastosowanie na mocy przepisów (art. 64) ustawy z dnia 14 czerwca 1960 r. </w:t>
      </w:r>
      <w:r w:rsidR="00422EA7" w:rsidRPr="00AF27CD">
        <w:rPr>
          <w:rFonts w:ascii="Times New Roman" w:hAnsi="Times New Roman" w:cs="Times New Roman"/>
          <w:szCs w:val="24"/>
        </w:rPr>
        <w:t>–</w:t>
      </w:r>
      <w:r w:rsidRPr="00AF27CD">
        <w:rPr>
          <w:rFonts w:ascii="Times New Roman" w:hAnsi="Times New Roman" w:cs="Times New Roman"/>
          <w:szCs w:val="24"/>
        </w:rPr>
        <w:t xml:space="preserve"> </w:t>
      </w:r>
      <w:r w:rsidR="00A93E79" w:rsidRPr="00AF27CD">
        <w:rPr>
          <w:rFonts w:ascii="Times New Roman" w:hAnsi="Times New Roman" w:cs="Times New Roman"/>
          <w:szCs w:val="24"/>
        </w:rPr>
        <w:t>Kodek</w:t>
      </w:r>
      <w:r w:rsidR="00932F37" w:rsidRPr="00AF27CD">
        <w:rPr>
          <w:rFonts w:ascii="Times New Roman" w:hAnsi="Times New Roman" w:cs="Times New Roman"/>
          <w:szCs w:val="24"/>
        </w:rPr>
        <w:t>s postępowania administracyjnego</w:t>
      </w:r>
      <w:r w:rsidR="00A93E79" w:rsidRPr="00AF27CD">
        <w:rPr>
          <w:rFonts w:ascii="Times New Roman" w:hAnsi="Times New Roman" w:cs="Times New Roman"/>
          <w:szCs w:val="24"/>
        </w:rPr>
        <w:t xml:space="preserve">.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Kolejną konsekwencją zmian wynikających z ustawy </w:t>
      </w:r>
      <w:r w:rsidR="00BF79C5">
        <w:rPr>
          <w:rFonts w:ascii="Times New Roman" w:hAnsi="Times New Roman" w:cs="Times New Roman"/>
          <w:szCs w:val="24"/>
        </w:rPr>
        <w:t xml:space="preserve">– </w:t>
      </w:r>
      <w:r w:rsidRPr="00AF27CD">
        <w:rPr>
          <w:rFonts w:ascii="Times New Roman" w:hAnsi="Times New Roman" w:cs="Times New Roman"/>
          <w:szCs w:val="24"/>
        </w:rPr>
        <w:t>Prawo przedsiębiorc</w:t>
      </w:r>
      <w:r w:rsidR="0094412E" w:rsidRPr="00AF27CD">
        <w:rPr>
          <w:rFonts w:ascii="Times New Roman" w:hAnsi="Times New Roman" w:cs="Times New Roman"/>
          <w:szCs w:val="24"/>
        </w:rPr>
        <w:t>ów</w:t>
      </w:r>
      <w:r w:rsidRPr="00AF27CD">
        <w:rPr>
          <w:rFonts w:ascii="Times New Roman" w:hAnsi="Times New Roman" w:cs="Times New Roman"/>
          <w:szCs w:val="24"/>
        </w:rPr>
        <w:t xml:space="preserve"> jest włączenie do </w:t>
      </w:r>
      <w:r w:rsidR="00BF79C5">
        <w:rPr>
          <w:rFonts w:ascii="Times New Roman" w:hAnsi="Times New Roman" w:cs="Times New Roman"/>
          <w:szCs w:val="24"/>
        </w:rPr>
        <w:t xml:space="preserve">projektowanej </w:t>
      </w:r>
      <w:r w:rsidRPr="00AF27CD">
        <w:rPr>
          <w:rFonts w:ascii="Times New Roman" w:hAnsi="Times New Roman" w:cs="Times New Roman"/>
          <w:szCs w:val="24"/>
        </w:rPr>
        <w:t>ustawy przepisów określających zasady udzielania promesy, dotychczas określonych w ustawie z dnia 2 lipca 2004 r. o swobodzie działalności gospodarczej. Dodać należy, że przedsiębiorcy bardzo rzadko ubiegają się o promesę (przyrzeczenie wydania</w:t>
      </w:r>
      <w:r w:rsidR="00422EA7" w:rsidRPr="00AF27CD">
        <w:rPr>
          <w:rFonts w:ascii="Times New Roman" w:hAnsi="Times New Roman" w:cs="Times New Roman"/>
          <w:szCs w:val="24"/>
        </w:rPr>
        <w:t xml:space="preserve"> koncesji). W latach 2001–</w:t>
      </w:r>
      <w:r w:rsidR="000D46EC" w:rsidRPr="00AF27CD">
        <w:rPr>
          <w:rFonts w:ascii="Times New Roman" w:hAnsi="Times New Roman" w:cs="Times New Roman"/>
          <w:szCs w:val="24"/>
        </w:rPr>
        <w:t>2017</w:t>
      </w:r>
      <w:r w:rsidRPr="00AF27CD">
        <w:rPr>
          <w:rFonts w:ascii="Times New Roman" w:hAnsi="Times New Roman" w:cs="Times New Roman"/>
          <w:szCs w:val="24"/>
        </w:rPr>
        <w:t xml:space="preserve"> były to jednostkowe przypadki (mniej niż 10). Promesa nie uprawnia do wykonywania działalności</w:t>
      </w:r>
      <w:r w:rsidR="00BF79C5">
        <w:rPr>
          <w:rFonts w:ascii="Times New Roman" w:hAnsi="Times New Roman" w:cs="Times New Roman"/>
          <w:szCs w:val="24"/>
        </w:rPr>
        <w:t>.</w:t>
      </w:r>
      <w:r w:rsidRPr="00AF27CD">
        <w:rPr>
          <w:rFonts w:ascii="Times New Roman" w:hAnsi="Times New Roman" w:cs="Times New Roman"/>
          <w:szCs w:val="24"/>
        </w:rPr>
        <w:t xml:space="preserve"> </w:t>
      </w:r>
      <w:r w:rsidR="00BF79C5">
        <w:rPr>
          <w:rFonts w:ascii="Times New Roman" w:hAnsi="Times New Roman" w:cs="Times New Roman"/>
          <w:szCs w:val="24"/>
        </w:rPr>
        <w:t>O</w:t>
      </w:r>
      <w:r w:rsidRPr="00AF27CD">
        <w:rPr>
          <w:rFonts w:ascii="Times New Roman" w:hAnsi="Times New Roman" w:cs="Times New Roman"/>
          <w:szCs w:val="24"/>
        </w:rPr>
        <w:t xml:space="preserve"> jej udzielenie ubiegali się przedsiębiorcy, którzy </w:t>
      </w:r>
      <w:r w:rsidR="00517C27" w:rsidRPr="00AF27CD">
        <w:rPr>
          <w:rFonts w:ascii="Times New Roman" w:hAnsi="Times New Roman" w:cs="Times New Roman"/>
          <w:szCs w:val="24"/>
        </w:rPr>
        <w:t xml:space="preserve">najczęściej </w:t>
      </w:r>
      <w:r w:rsidRPr="00AF27CD">
        <w:rPr>
          <w:rFonts w:ascii="Times New Roman" w:hAnsi="Times New Roman" w:cs="Times New Roman"/>
          <w:szCs w:val="24"/>
        </w:rPr>
        <w:t>nie dysponowali w momencie składania wniosku odpowiednim lokalem do wykonywania działalności koncesjonowanej. Organ koncesyjny będzie mó</w:t>
      </w:r>
      <w:r w:rsidR="00EC6774">
        <w:rPr>
          <w:rFonts w:ascii="Times New Roman" w:hAnsi="Times New Roman" w:cs="Times New Roman"/>
          <w:szCs w:val="24"/>
        </w:rPr>
        <w:t>gł odmówić udzielenia promesy w </w:t>
      </w:r>
      <w:r w:rsidRPr="00AF27CD">
        <w:rPr>
          <w:rFonts w:ascii="Times New Roman" w:hAnsi="Times New Roman" w:cs="Times New Roman"/>
          <w:szCs w:val="24"/>
        </w:rPr>
        <w:t>przypadkach identycznych jak przy udzieleniu koncesji.</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Bez zmiany pozostaje zakres danych, które zawiera koncesja, ustawa nie określ</w:t>
      </w:r>
      <w:r w:rsidR="00BF79C5">
        <w:rPr>
          <w:rFonts w:ascii="Times New Roman" w:hAnsi="Times New Roman" w:cs="Times New Roman"/>
          <w:szCs w:val="24"/>
        </w:rPr>
        <w:t>i</w:t>
      </w:r>
      <w:r w:rsidRPr="00AF27CD">
        <w:rPr>
          <w:rFonts w:ascii="Times New Roman" w:hAnsi="Times New Roman" w:cs="Times New Roman"/>
          <w:szCs w:val="24"/>
        </w:rPr>
        <w:t xml:space="preserve"> także wzoru druku, na jakim jest sporządzana (art. 2</w:t>
      </w:r>
      <w:r w:rsidR="009A0EBD" w:rsidRPr="00AF27CD">
        <w:rPr>
          <w:rFonts w:ascii="Times New Roman" w:hAnsi="Times New Roman" w:cs="Times New Roman"/>
          <w:szCs w:val="24"/>
        </w:rPr>
        <w:t>1</w:t>
      </w:r>
      <w:r w:rsidRPr="00AF27CD">
        <w:rPr>
          <w:rFonts w:ascii="Times New Roman" w:hAnsi="Times New Roman" w:cs="Times New Roman"/>
          <w:szCs w:val="24"/>
        </w:rPr>
        <w:t>).</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Projekt ustawy zakłada niższy poziom wymogów stawianych przedsiębiorcom prowadzącym działalność w niewielkim wymiarze – mikroprzedsiębiorcom. Wyłączenia, określone w projekcie ustawy, </w:t>
      </w:r>
      <w:r w:rsidR="00BF79C5" w:rsidRPr="00AF27CD">
        <w:rPr>
          <w:rFonts w:ascii="Times New Roman" w:hAnsi="Times New Roman" w:cs="Times New Roman"/>
          <w:szCs w:val="24"/>
        </w:rPr>
        <w:t xml:space="preserve">mają </w:t>
      </w:r>
      <w:r w:rsidRPr="00AF27CD">
        <w:rPr>
          <w:rFonts w:ascii="Times New Roman" w:hAnsi="Times New Roman" w:cs="Times New Roman"/>
          <w:szCs w:val="24"/>
        </w:rPr>
        <w:t xml:space="preserve">dotyczyć rusznikarzy oraz osób wykonujących działalność gospodarczą w zakresie wytwarzania i obrotu reprodukcjami strzeleckiej broni palnej odwzorowującej broń palną rozdzielnego ładowania, wytworzoną przed </w:t>
      </w:r>
      <w:r w:rsidR="00C56B33" w:rsidRPr="00AF27CD">
        <w:rPr>
          <w:rFonts w:ascii="Times New Roman" w:hAnsi="Times New Roman" w:cs="Times New Roman"/>
          <w:szCs w:val="24"/>
        </w:rPr>
        <w:t>1900</w:t>
      </w:r>
      <w:r w:rsidRPr="00AF27CD">
        <w:rPr>
          <w:rFonts w:ascii="Times New Roman" w:hAnsi="Times New Roman" w:cs="Times New Roman"/>
          <w:szCs w:val="24"/>
        </w:rPr>
        <w:t xml:space="preserve"> r</w:t>
      </w:r>
      <w:r w:rsidR="00C2719A">
        <w:rPr>
          <w:rFonts w:ascii="Times New Roman" w:hAnsi="Times New Roman" w:cs="Times New Roman"/>
          <w:szCs w:val="24"/>
        </w:rPr>
        <w:t>.</w:t>
      </w:r>
      <w:r w:rsidRPr="00AF27CD">
        <w:rPr>
          <w:rFonts w:ascii="Times New Roman" w:hAnsi="Times New Roman" w:cs="Times New Roman"/>
          <w:szCs w:val="24"/>
        </w:rPr>
        <w:t>, przystosowaną do strzelania wyłącznie przy wykorzystaniu prochu czarnego. W odniesieniu do rusznikarzy projekt ustawy zakłada, że nie będzie ich nadal obejmował wymóg związany z wiekiem i wykształceniem, nie będą miały zastosowania w przypadku usług r</w:t>
      </w:r>
      <w:r w:rsidR="00CC3571">
        <w:rPr>
          <w:rFonts w:ascii="Times New Roman" w:hAnsi="Times New Roman" w:cs="Times New Roman"/>
          <w:szCs w:val="24"/>
        </w:rPr>
        <w:t>usznikarskich wymogi związane z</w:t>
      </w:r>
      <w:r w:rsidR="00EC6774">
        <w:rPr>
          <w:rFonts w:ascii="Times New Roman" w:hAnsi="Times New Roman" w:cs="Times New Roman"/>
          <w:szCs w:val="24"/>
        </w:rPr>
        <w:t> </w:t>
      </w:r>
      <w:r w:rsidRPr="00AF27CD">
        <w:rPr>
          <w:rFonts w:ascii="Times New Roman" w:hAnsi="Times New Roman" w:cs="Times New Roman"/>
          <w:szCs w:val="24"/>
        </w:rPr>
        <w:t xml:space="preserve">utworzeniem i stosowaniem systemu oceny jakości produkcji oraz planu postępowania na wypadek zagrożeń. W przypadku osób wykonujących działalność gospodarczą w zakresie wytwarzania i obrotu reprodukcjami broni czarnoprochowej, </w:t>
      </w:r>
      <w:r w:rsidR="004F2DA3" w:rsidRPr="00AF27CD">
        <w:rPr>
          <w:rFonts w:ascii="Times New Roman" w:hAnsi="Times New Roman" w:cs="Times New Roman"/>
          <w:szCs w:val="24"/>
        </w:rPr>
        <w:t>obok</w:t>
      </w:r>
      <w:r w:rsidRPr="00AF27CD">
        <w:rPr>
          <w:rFonts w:ascii="Times New Roman" w:hAnsi="Times New Roman" w:cs="Times New Roman"/>
          <w:szCs w:val="24"/>
        </w:rPr>
        <w:t xml:space="preserve"> </w:t>
      </w:r>
      <w:r w:rsidR="00EC1F4E" w:rsidRPr="00AF27CD">
        <w:rPr>
          <w:rFonts w:ascii="Times New Roman" w:hAnsi="Times New Roman" w:cs="Times New Roman"/>
          <w:szCs w:val="24"/>
        </w:rPr>
        <w:t>ww.</w:t>
      </w:r>
      <w:r w:rsidRPr="00AF27CD">
        <w:rPr>
          <w:rFonts w:ascii="Times New Roman" w:hAnsi="Times New Roman" w:cs="Times New Roman"/>
          <w:szCs w:val="24"/>
        </w:rPr>
        <w:t xml:space="preserve"> wyłączeń, planowane jest dodatkowo odstąpienie od żądania przedstawienia zaświadczeń państwowego powiatowego inspektora sanitarnego oraz wojewódzkiego inspektora ochrony środowiska, jak również opinii o spełnieniu warunków technicznych i organizacyjnych, zapewniających prawidłowe wykonywanie działalności objętej koncesją wydawanej przez instytucje określone w przepisach wykonawczych do ustawy.</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Natomiast niezbędne będzie przedstawienie zaświadczenia komendanta powiatowego Państwowej Straży Pożarnej o spełnieniu wymagań określonych w przepisach przeciwpożarowych, z uwagi na specyfikę działalności, związaną z używaniem materiału wybuch</w:t>
      </w:r>
      <w:r w:rsidR="004F2DA3" w:rsidRPr="00AF27CD">
        <w:rPr>
          <w:rFonts w:ascii="Times New Roman" w:hAnsi="Times New Roman" w:cs="Times New Roman"/>
          <w:szCs w:val="24"/>
        </w:rPr>
        <w:t>owego w postaci prochu czarnego i towarzyszące temu zagrożenia</w:t>
      </w:r>
      <w:r w:rsidR="00D21973" w:rsidRPr="00AF27CD">
        <w:rPr>
          <w:rFonts w:ascii="Times New Roman" w:hAnsi="Times New Roman" w:cs="Times New Roman"/>
          <w:szCs w:val="24"/>
        </w:rPr>
        <w:t>.</w:t>
      </w:r>
    </w:p>
    <w:p w:rsidR="00A93E79" w:rsidRPr="00AF27CD" w:rsidRDefault="00E90F92" w:rsidP="00422EA7">
      <w:pPr>
        <w:spacing w:before="120" w:line="360" w:lineRule="auto"/>
        <w:jc w:val="both"/>
        <w:rPr>
          <w:kern w:val="2"/>
        </w:rPr>
      </w:pPr>
      <w:r w:rsidRPr="00AF27CD">
        <w:t>Historyczna</w:t>
      </w:r>
      <w:r w:rsidR="00A93E79" w:rsidRPr="00AF27CD">
        <w:t xml:space="preserve"> broń palna, zdefiniowana jako broń palna rozdzielnego ładowania wytworzona przed 1</w:t>
      </w:r>
      <w:r w:rsidR="00C56B33" w:rsidRPr="00AF27CD">
        <w:t>900</w:t>
      </w:r>
      <w:r w:rsidR="00A93E79" w:rsidRPr="00AF27CD">
        <w:t xml:space="preserve"> r</w:t>
      </w:r>
      <w:r w:rsidR="00C2719A">
        <w:t>.</w:t>
      </w:r>
      <w:r w:rsidR="00A93E79" w:rsidRPr="00AF27CD">
        <w:t>, a także funkcjonalne rep</w:t>
      </w:r>
      <w:r w:rsidR="008926E1" w:rsidRPr="00AF27CD">
        <w:t>rodukcje</w:t>
      </w:r>
      <w:r w:rsidR="00A93E79" w:rsidRPr="00AF27CD">
        <w:t xml:space="preserve"> takiej broni, </w:t>
      </w:r>
      <w:r w:rsidR="00BF79C5" w:rsidRPr="00AF27CD">
        <w:t xml:space="preserve">jest </w:t>
      </w:r>
      <w:r w:rsidR="00A93E79" w:rsidRPr="00AF27CD">
        <w:t xml:space="preserve">zwolniona z obowiązku uzyskania na jej posiadanie </w:t>
      </w:r>
      <w:r w:rsidR="00CC3571">
        <w:t>pozwolenia na broń (art. 11 pkt</w:t>
      </w:r>
      <w:r w:rsidR="00EC6774">
        <w:t xml:space="preserve"> </w:t>
      </w:r>
      <w:r w:rsidR="00A93E79" w:rsidRPr="00AF27CD">
        <w:t>11 ustawy z dnia 21 m</w:t>
      </w:r>
      <w:r w:rsidR="00C2719A">
        <w:t>aja 1999 r. o broni i amunicji)</w:t>
      </w:r>
      <w:r w:rsidR="00A93E79" w:rsidRPr="00AF27CD">
        <w:t>. Oznacza to, że ustawodawca uznał ją za na tyle mało zagrażającą bezpieczeństwu oraz porządkowi publicznemu, że dopuścił powszechny i niczym, poza pełnoletniością, niereg</w:t>
      </w:r>
      <w:r w:rsidR="00C40E5E" w:rsidRPr="00AF27CD">
        <w:t>lamentowany</w:t>
      </w:r>
      <w:r w:rsidR="00A93E79" w:rsidRPr="00AF27CD">
        <w:t xml:space="preserve"> dostęp do takiej broni.</w:t>
      </w:r>
      <w:r w:rsidR="00C40E5E" w:rsidRPr="00AF27CD">
        <w:t xml:space="preserve"> P</w:t>
      </w:r>
      <w:r w:rsidR="00A93E79" w:rsidRPr="00AF27CD">
        <w:rPr>
          <w:kern w:val="2"/>
        </w:rPr>
        <w:t>odstaw</w:t>
      </w:r>
      <w:r w:rsidR="00C40E5E" w:rsidRPr="00AF27CD">
        <w:rPr>
          <w:kern w:val="2"/>
        </w:rPr>
        <w:t>ą</w:t>
      </w:r>
      <w:r w:rsidR="00A93E79" w:rsidRPr="00AF27CD">
        <w:rPr>
          <w:kern w:val="2"/>
        </w:rPr>
        <w:t xml:space="preserve"> takiego rozwiązania był fakt, że broń taka </w:t>
      </w:r>
      <w:r w:rsidR="00C40E5E" w:rsidRPr="00AF27CD">
        <w:rPr>
          <w:kern w:val="2"/>
        </w:rPr>
        <w:t>posiada</w:t>
      </w:r>
      <w:r w:rsidR="00A93E79" w:rsidRPr="00AF27CD">
        <w:rPr>
          <w:kern w:val="2"/>
        </w:rPr>
        <w:t xml:space="preserve"> tylko formalne znamiona broni palnej, ale jej cechy użytkowe, funkcjonalność, jak i budowa techniczna, odróżniają ją zdecydowanie od broni współczesnej. Podkreślić należy również, że choć broń taka jest powszechnie dostępna (dla osób pełnoletnich) już od 2004 r</w:t>
      </w:r>
      <w:r w:rsidR="00C2719A">
        <w:rPr>
          <w:kern w:val="2"/>
        </w:rPr>
        <w:t>.</w:t>
      </w:r>
      <w:r w:rsidR="00A93E79" w:rsidRPr="00AF27CD">
        <w:rPr>
          <w:kern w:val="2"/>
        </w:rPr>
        <w:t>, nie zdarzyły się żadne poważniejsze wypadki</w:t>
      </w:r>
      <w:r w:rsidR="00422EA7" w:rsidRPr="00AF27CD">
        <w:rPr>
          <w:kern w:val="2"/>
        </w:rPr>
        <w:t xml:space="preserve"> </w:t>
      </w:r>
      <w:r w:rsidR="00C40E5E" w:rsidRPr="00AF27CD">
        <w:rPr>
          <w:kern w:val="2"/>
        </w:rPr>
        <w:t>związane z</w:t>
      </w:r>
      <w:r w:rsidR="00422EA7" w:rsidRPr="00AF27CD">
        <w:rPr>
          <w:kern w:val="2"/>
        </w:rPr>
        <w:t xml:space="preserve"> </w:t>
      </w:r>
      <w:r w:rsidR="00A93E79" w:rsidRPr="00AF27CD">
        <w:rPr>
          <w:kern w:val="2"/>
        </w:rPr>
        <w:t>jej u</w:t>
      </w:r>
      <w:r w:rsidR="00C40E5E" w:rsidRPr="00AF27CD">
        <w:rPr>
          <w:kern w:val="2"/>
        </w:rPr>
        <w:t>życiem</w:t>
      </w:r>
      <w:r w:rsidR="00A93E79" w:rsidRPr="00AF27CD">
        <w:rPr>
          <w:kern w:val="2"/>
        </w:rPr>
        <w:t xml:space="preserve">, </w:t>
      </w:r>
      <w:r w:rsidR="00517C27" w:rsidRPr="00AF27CD">
        <w:rPr>
          <w:kern w:val="2"/>
        </w:rPr>
        <w:t xml:space="preserve">dawna broń palna </w:t>
      </w:r>
      <w:r w:rsidR="00A93E79" w:rsidRPr="00AF27CD">
        <w:rPr>
          <w:kern w:val="2"/>
        </w:rPr>
        <w:t xml:space="preserve">nie jest też </w:t>
      </w:r>
      <w:r w:rsidR="00C40E5E" w:rsidRPr="00AF27CD">
        <w:rPr>
          <w:kern w:val="2"/>
        </w:rPr>
        <w:t xml:space="preserve">wykorzystywana </w:t>
      </w:r>
      <w:r w:rsidR="00A93E79" w:rsidRPr="00AF27CD">
        <w:rPr>
          <w:kern w:val="2"/>
        </w:rPr>
        <w:t>w cela</w:t>
      </w:r>
      <w:r w:rsidR="00CC3571">
        <w:rPr>
          <w:kern w:val="2"/>
        </w:rPr>
        <w:t>ch przestępczych (przestępstw z</w:t>
      </w:r>
      <w:r w:rsidR="00EC6774">
        <w:rPr>
          <w:kern w:val="2"/>
        </w:rPr>
        <w:t xml:space="preserve"> </w:t>
      </w:r>
      <w:r w:rsidR="00A93E79" w:rsidRPr="00AF27CD">
        <w:rPr>
          <w:kern w:val="2"/>
        </w:rPr>
        <w:t>jej użyciem nie odnotowuje się w zasadzie zupełnie).</w:t>
      </w:r>
    </w:p>
    <w:p w:rsidR="00A93E79" w:rsidRPr="00AF27CD" w:rsidRDefault="00A93E79" w:rsidP="00422EA7">
      <w:pPr>
        <w:spacing w:before="120" w:line="360" w:lineRule="auto"/>
        <w:jc w:val="both"/>
        <w:rPr>
          <w:kern w:val="2"/>
        </w:rPr>
      </w:pPr>
      <w:r w:rsidRPr="00AF27CD">
        <w:rPr>
          <w:kern w:val="2"/>
        </w:rPr>
        <w:t>Z drugiej strony dawna broń palna jest przedmiotem wzmożonego zainteresowania grup osób zajmujących się wszelkiego rodzaju działa</w:t>
      </w:r>
      <w:r w:rsidR="00CC3571">
        <w:rPr>
          <w:kern w:val="2"/>
        </w:rPr>
        <w:t>niami o charakterze historyczno</w:t>
      </w:r>
      <w:r w:rsidR="00CC3571">
        <w:rPr>
          <w:kern w:val="2"/>
        </w:rPr>
        <w:noBreakHyphen/>
      </w:r>
      <w:r w:rsidRPr="00AF27CD">
        <w:rPr>
          <w:kern w:val="2"/>
        </w:rPr>
        <w:t>patriotycznym, w t</w:t>
      </w:r>
      <w:r w:rsidR="00C40E5E" w:rsidRPr="00AF27CD">
        <w:rPr>
          <w:kern w:val="2"/>
        </w:rPr>
        <w:t>ym w szczególności rekonstrukcjami</w:t>
      </w:r>
      <w:r w:rsidRPr="00AF27CD">
        <w:rPr>
          <w:kern w:val="2"/>
        </w:rPr>
        <w:t xml:space="preserve"> historyczn</w:t>
      </w:r>
      <w:r w:rsidR="00C40E5E" w:rsidRPr="00AF27CD">
        <w:rPr>
          <w:kern w:val="2"/>
        </w:rPr>
        <w:t>ymi</w:t>
      </w:r>
      <w:r w:rsidRPr="00AF27CD">
        <w:rPr>
          <w:kern w:val="2"/>
        </w:rPr>
        <w:t>. Charakterystyczną cechą polskiej tradycji dawnego oręża j</w:t>
      </w:r>
      <w:r w:rsidR="00422EA7" w:rsidRPr="00AF27CD">
        <w:rPr>
          <w:kern w:val="2"/>
        </w:rPr>
        <w:t>est osadzenie jej w realiach XV–</w:t>
      </w:r>
      <w:r w:rsidRPr="00AF27CD">
        <w:rPr>
          <w:kern w:val="2"/>
        </w:rPr>
        <w:t>XVIII wiecznych, z wyjściem w wiek XIX przede wszystkim w odniesieniu do epoki napoleońskiej i Powstania Listopadowego, ostatniej wielkiej kampanii wojennej w historii, prowadzonej przy użyciu broni skałkowej. Jednocześnie odtwarzanie historycznego uzbrojenia dawnego Wojska Polskiego w zakresie br</w:t>
      </w:r>
      <w:r w:rsidR="00CC3571">
        <w:rPr>
          <w:kern w:val="2"/>
        </w:rPr>
        <w:t>oni palnej w</w:t>
      </w:r>
      <w:r w:rsidR="00EC6774">
        <w:rPr>
          <w:kern w:val="2"/>
        </w:rPr>
        <w:t> </w:t>
      </w:r>
      <w:r w:rsidRPr="00AF27CD">
        <w:rPr>
          <w:kern w:val="2"/>
        </w:rPr>
        <w:t>zdecydowanej mierze musi być dokonywane siłami krajowych warsztatów rzemieślniczych – gdyż zasadniczy trzon produkcji europejskich fabryk wytwarzających rep</w:t>
      </w:r>
      <w:r w:rsidR="00C40E5E" w:rsidRPr="00AF27CD">
        <w:rPr>
          <w:kern w:val="2"/>
        </w:rPr>
        <w:t>rodukcj</w:t>
      </w:r>
      <w:r w:rsidR="008E5666" w:rsidRPr="00AF27CD">
        <w:rPr>
          <w:kern w:val="2"/>
        </w:rPr>
        <w:t>e</w:t>
      </w:r>
      <w:r w:rsidRPr="00AF27CD">
        <w:rPr>
          <w:kern w:val="2"/>
        </w:rPr>
        <w:t xml:space="preserve"> broni dawnej jest zogniskowany na broni nowszej, przede wszystkim kapiszonowej, w tym wielostrzałowej (rewolwery, karabinki rewolwerowe) bądź wręcz odtylcowej (karabiny Sharp, Spencer, Remington itp.). W innych krajach ruch rekonstrukcy</w:t>
      </w:r>
      <w:r w:rsidR="00517C27" w:rsidRPr="00AF27CD">
        <w:rPr>
          <w:kern w:val="2"/>
        </w:rPr>
        <w:t>jny jest</w:t>
      </w:r>
      <w:r w:rsidRPr="00AF27CD">
        <w:rPr>
          <w:kern w:val="2"/>
        </w:rPr>
        <w:t xml:space="preserve"> bowiem w </w:t>
      </w:r>
      <w:r w:rsidR="00517C27" w:rsidRPr="00AF27CD">
        <w:rPr>
          <w:kern w:val="2"/>
        </w:rPr>
        <w:t>większym stopniu</w:t>
      </w:r>
      <w:r w:rsidRPr="00AF27CD">
        <w:rPr>
          <w:kern w:val="2"/>
        </w:rPr>
        <w:t xml:space="preserve"> związany z późniejszymi wydarzeniami historycznymi: Wiosną Ludów</w:t>
      </w:r>
      <w:r w:rsidR="00CC3571">
        <w:rPr>
          <w:kern w:val="2"/>
        </w:rPr>
        <w:t>, amerykańską Wojną Secesyjną i</w:t>
      </w:r>
      <w:r w:rsidR="00EC6774">
        <w:rPr>
          <w:kern w:val="2"/>
        </w:rPr>
        <w:t> </w:t>
      </w:r>
      <w:r w:rsidR="00C2719A">
        <w:rPr>
          <w:kern w:val="2"/>
        </w:rPr>
        <w:t>podbojem tzw. Dzikiego Zachodu</w:t>
      </w:r>
      <w:r w:rsidRPr="00AF27CD">
        <w:rPr>
          <w:kern w:val="2"/>
        </w:rPr>
        <w:t xml:space="preserve"> czy kampaniami </w:t>
      </w:r>
      <w:r w:rsidR="00C2719A">
        <w:rPr>
          <w:kern w:val="2"/>
        </w:rPr>
        <w:t>kolonialnymi drugiej połowy XIX </w:t>
      </w:r>
      <w:r w:rsidRPr="00AF27CD">
        <w:rPr>
          <w:kern w:val="2"/>
        </w:rPr>
        <w:t>w.</w:t>
      </w:r>
    </w:p>
    <w:p w:rsidR="00A93E79" w:rsidRPr="00AF27CD" w:rsidRDefault="00A93E79" w:rsidP="00422EA7">
      <w:pPr>
        <w:spacing w:before="120" w:line="360" w:lineRule="auto"/>
        <w:jc w:val="both"/>
        <w:rPr>
          <w:kern w:val="2"/>
        </w:rPr>
      </w:pPr>
      <w:r w:rsidRPr="00AF27CD">
        <w:rPr>
          <w:kern w:val="2"/>
        </w:rPr>
        <w:t xml:space="preserve">Polscy rzemieślnicy-artyści wytwarzający broń dawną skupiają się na czasach bardziej odległych, okresie charakteryzującym się z jednej strony bogatą ornamentyką (a co za tym idzie wysoką pracochłonnością i kosztami) broni, a z drugiej </w:t>
      </w:r>
      <w:r w:rsidR="00422EA7" w:rsidRPr="00AF27CD">
        <w:rPr>
          <w:kern w:val="2"/>
        </w:rPr>
        <w:t>–</w:t>
      </w:r>
      <w:r w:rsidR="002704F2" w:rsidRPr="00AF27CD">
        <w:rPr>
          <w:kern w:val="2"/>
        </w:rPr>
        <w:t xml:space="preserve"> </w:t>
      </w:r>
      <w:r w:rsidRPr="00AF27CD">
        <w:rPr>
          <w:kern w:val="2"/>
        </w:rPr>
        <w:t>jej jednostkową produkcją. Zakłady te są w większości jednoosobowe, czasami rzemieślnicy kształcą ucznia (uczniów). W takiej sytuacji uzyskanie przez nich koncesji na wyrób broni staje się znacznym obciążeniem</w:t>
      </w:r>
      <w:r w:rsidR="00CC3571">
        <w:rPr>
          <w:kern w:val="2"/>
        </w:rPr>
        <w:t xml:space="preserve"> finansowym, przede wszystkim z</w:t>
      </w:r>
      <w:r w:rsidR="00EC6774">
        <w:rPr>
          <w:kern w:val="2"/>
        </w:rPr>
        <w:t xml:space="preserve"> </w:t>
      </w:r>
      <w:r w:rsidRPr="00AF27CD">
        <w:rPr>
          <w:kern w:val="2"/>
        </w:rPr>
        <w:t xml:space="preserve">powodów biznesowych (koszt samej koncesji, </w:t>
      </w:r>
      <w:r w:rsidR="00C2719A">
        <w:rPr>
          <w:kern w:val="2"/>
        </w:rPr>
        <w:t>koszt utrzymania magazynu broni</w:t>
      </w:r>
      <w:r w:rsidRPr="00AF27CD">
        <w:rPr>
          <w:kern w:val="2"/>
        </w:rPr>
        <w:t xml:space="preserve"> czy spełnienia wymogów związanych z utworzeniem wewnęt</w:t>
      </w:r>
      <w:r w:rsidR="00CC3571">
        <w:rPr>
          <w:kern w:val="2"/>
        </w:rPr>
        <w:t>rznego systemu kontroli), jak i</w:t>
      </w:r>
      <w:r w:rsidR="00EC6774">
        <w:rPr>
          <w:kern w:val="2"/>
        </w:rPr>
        <w:t xml:space="preserve"> </w:t>
      </w:r>
      <w:r w:rsidRPr="00AF27CD">
        <w:rPr>
          <w:kern w:val="2"/>
        </w:rPr>
        <w:t>– biorąc pod uwagę niewielką skalę takich działań, wręcz ich „niszowość” – nadmiernie obciążającym pod względem formalno-urzędniczym.</w:t>
      </w:r>
    </w:p>
    <w:p w:rsidR="00A93E79" w:rsidRPr="00AF27CD" w:rsidRDefault="00A93E79" w:rsidP="00422EA7">
      <w:pPr>
        <w:spacing w:before="120" w:line="360" w:lineRule="auto"/>
        <w:jc w:val="both"/>
        <w:rPr>
          <w:kern w:val="2"/>
        </w:rPr>
      </w:pPr>
      <w:r w:rsidRPr="00AF27CD">
        <w:rPr>
          <w:kern w:val="2"/>
        </w:rPr>
        <w:t>Wydaje się więc zasadnym, aby zwolnić takie osoby z niektórych obowiązków wymaganych do uzyskania koncesji na wy</w:t>
      </w:r>
      <w:r w:rsidR="00D72D7B" w:rsidRPr="00AF27CD">
        <w:rPr>
          <w:kern w:val="2"/>
        </w:rPr>
        <w:t>twarzanie broni</w:t>
      </w:r>
      <w:r w:rsidRPr="00AF27CD">
        <w:rPr>
          <w:kern w:val="2"/>
        </w:rPr>
        <w:t>. W celu zac</w:t>
      </w:r>
      <w:r w:rsidR="00C2719A">
        <w:rPr>
          <w:kern w:val="2"/>
        </w:rPr>
        <w:t>howania racjonalności regulacji</w:t>
      </w:r>
      <w:r w:rsidRPr="00AF27CD">
        <w:rPr>
          <w:kern w:val="2"/>
        </w:rPr>
        <w:t xml:space="preserve"> proponuje się zwolnienie z niektórych wymogów, ściśle określonych ustawą</w:t>
      </w:r>
      <w:r w:rsidR="00D72D7B" w:rsidRPr="00AF27CD">
        <w:rPr>
          <w:kern w:val="2"/>
        </w:rPr>
        <w:t>,</w:t>
      </w:r>
      <w:r w:rsidR="00422EA7" w:rsidRPr="00AF27CD">
        <w:rPr>
          <w:kern w:val="2"/>
        </w:rPr>
        <w:t xml:space="preserve"> </w:t>
      </w:r>
      <w:r w:rsidRPr="00AF27CD">
        <w:rPr>
          <w:kern w:val="2"/>
        </w:rPr>
        <w:t xml:space="preserve">działalności polegającej na wytwarzaniu i obrocie wyłącznie reprodukcjami broni czarnoprochowej. </w:t>
      </w:r>
      <w:r w:rsidR="002704F2" w:rsidRPr="00AF27CD">
        <w:rPr>
          <w:kern w:val="2"/>
        </w:rPr>
        <w:t>W</w:t>
      </w:r>
      <w:r w:rsidRPr="00AF27CD">
        <w:rPr>
          <w:kern w:val="2"/>
        </w:rPr>
        <w:t xml:space="preserve"> praktyce ograniczy t</w:t>
      </w:r>
      <w:r w:rsidR="002704F2" w:rsidRPr="00AF27CD">
        <w:rPr>
          <w:kern w:val="2"/>
        </w:rPr>
        <w:t>o</w:t>
      </w:r>
      <w:r w:rsidRPr="00AF27CD">
        <w:rPr>
          <w:kern w:val="2"/>
        </w:rPr>
        <w:t xml:space="preserve"> regulacje wyłącznie do broni naprawdę archaicznej, niemożliwej np. do przerobienia na broń zdolną do wystrzeliwania współczesn</w:t>
      </w:r>
      <w:r w:rsidR="007812B8" w:rsidRPr="00AF27CD">
        <w:rPr>
          <w:kern w:val="2"/>
        </w:rPr>
        <w:t xml:space="preserve">ej amunicji </w:t>
      </w:r>
      <w:r w:rsidR="002704F2" w:rsidRPr="00AF27CD">
        <w:rPr>
          <w:kern w:val="2"/>
        </w:rPr>
        <w:t>d</w:t>
      </w:r>
      <w:r w:rsidRPr="00AF27CD">
        <w:rPr>
          <w:kern w:val="2"/>
        </w:rPr>
        <w:t xml:space="preserve">o broni palnej. </w:t>
      </w:r>
    </w:p>
    <w:p w:rsidR="009E70DD"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Katalog przesłanek uzasadniających odmowę udzielenia koncesji (art. 2</w:t>
      </w:r>
      <w:r w:rsidR="009A0EBD" w:rsidRPr="00AF27CD">
        <w:rPr>
          <w:rFonts w:ascii="Times New Roman" w:hAnsi="Times New Roman" w:cs="Times New Roman"/>
          <w:szCs w:val="24"/>
        </w:rPr>
        <w:t>2</w:t>
      </w:r>
      <w:r w:rsidRPr="00AF27CD">
        <w:rPr>
          <w:rFonts w:ascii="Times New Roman" w:hAnsi="Times New Roman" w:cs="Times New Roman"/>
          <w:szCs w:val="24"/>
        </w:rPr>
        <w:t>) został przeredagowany w celu uzyskania większej przejrzystości i uniknięcia wątpliwości interpretacyjnych. Zawarte w ustawie z dnia 22 czerwca 2001 r. przesłanki</w:t>
      </w:r>
      <w:r w:rsidR="00517C27" w:rsidRPr="00AF27CD">
        <w:rPr>
          <w:rFonts w:ascii="Times New Roman" w:hAnsi="Times New Roman" w:cs="Times New Roman"/>
          <w:szCs w:val="24"/>
        </w:rPr>
        <w:t xml:space="preserve"> uzupełniono</w:t>
      </w:r>
      <w:r w:rsidRPr="00AF27CD">
        <w:rPr>
          <w:rFonts w:ascii="Times New Roman" w:hAnsi="Times New Roman" w:cs="Times New Roman"/>
          <w:szCs w:val="24"/>
        </w:rPr>
        <w:t xml:space="preserve"> o przypadek, gdy wydano decyzję o stwierdzeniu niedopuszczalności wykonywania praw z udziałów albo akcji przedsiębiorcy, na podst</w:t>
      </w:r>
      <w:r w:rsidR="00EC6774">
        <w:rPr>
          <w:rFonts w:ascii="Times New Roman" w:hAnsi="Times New Roman" w:cs="Times New Roman"/>
          <w:szCs w:val="24"/>
        </w:rPr>
        <w:t>awie przepisów ustawy z dnia 24 </w:t>
      </w:r>
      <w:r w:rsidRPr="00AF27CD">
        <w:rPr>
          <w:rFonts w:ascii="Times New Roman" w:hAnsi="Times New Roman" w:cs="Times New Roman"/>
          <w:szCs w:val="24"/>
        </w:rPr>
        <w:t>lipca 2015 r. o kontroli niektórych inwestycji, jeżeli</w:t>
      </w:r>
      <w:r w:rsidR="009E70DD" w:rsidRPr="00AF27CD">
        <w:rPr>
          <w:rFonts w:ascii="Times New Roman" w:hAnsi="Times New Roman" w:cs="Times New Roman"/>
          <w:szCs w:val="24"/>
        </w:rPr>
        <w:t xml:space="preserve"> jest to w interesie publicznym.</w:t>
      </w:r>
      <w:r w:rsidR="005F203F" w:rsidRPr="00AF27CD">
        <w:rPr>
          <w:rFonts w:ascii="Times New Roman" w:hAnsi="Times New Roman" w:cs="Times New Roman"/>
          <w:szCs w:val="24"/>
        </w:rPr>
        <w:t xml:space="preserve"> Przepisy </w:t>
      </w:r>
      <w:r w:rsidR="002704F2" w:rsidRPr="00AF27CD">
        <w:rPr>
          <w:rFonts w:ascii="Times New Roman" w:hAnsi="Times New Roman" w:cs="Times New Roman"/>
          <w:szCs w:val="24"/>
        </w:rPr>
        <w:t xml:space="preserve">zostały </w:t>
      </w:r>
      <w:r w:rsidR="005F203F" w:rsidRPr="00AF27CD">
        <w:rPr>
          <w:rFonts w:ascii="Times New Roman" w:hAnsi="Times New Roman" w:cs="Times New Roman"/>
          <w:szCs w:val="24"/>
        </w:rPr>
        <w:t>uzupełnione o nową regulację, zgodnie z którą odmowa udzielenia koncesji następuje w przypadkach, gdy do</w:t>
      </w:r>
      <w:r w:rsidR="00422EA7" w:rsidRPr="00AF27CD">
        <w:rPr>
          <w:rFonts w:ascii="Times New Roman" w:hAnsi="Times New Roman" w:cs="Times New Roman"/>
          <w:szCs w:val="24"/>
        </w:rPr>
        <w:t xml:space="preserve"> </w:t>
      </w:r>
      <w:r w:rsidR="005F203F" w:rsidRPr="00AF27CD">
        <w:rPr>
          <w:rFonts w:ascii="Times New Roman" w:hAnsi="Times New Roman" w:cs="Times New Roman"/>
          <w:szCs w:val="24"/>
        </w:rPr>
        <w:t xml:space="preserve">składu wspólników, udziałowców, akcjonariuszy, członków organu zarządzającego, prokurentów lub pełnomocników uprawnionych do kierowania działalnością koncesjonowaną zostanie wskazana osoba, której jako przedsiębiorcy indywidualnemu została cofnięta koncesja w zakresie objętym </w:t>
      </w:r>
      <w:r w:rsidR="002704F2" w:rsidRPr="00AF27CD">
        <w:rPr>
          <w:rFonts w:ascii="Times New Roman" w:hAnsi="Times New Roman" w:cs="Times New Roman"/>
          <w:szCs w:val="24"/>
        </w:rPr>
        <w:t>projektowaną</w:t>
      </w:r>
      <w:r w:rsidR="005F203F" w:rsidRPr="00AF27CD">
        <w:rPr>
          <w:rFonts w:ascii="Times New Roman" w:hAnsi="Times New Roman" w:cs="Times New Roman"/>
          <w:szCs w:val="24"/>
        </w:rPr>
        <w:t xml:space="preserve"> ustawą. Jest to działanie ukierunkowane na eliminację możliwości obchodzenia prawa poprzez osoby, którym cofnięto koncesję z powodu stwierdzonych nieprawidłowości. Zdarza się, że osoby takie zawiązują spółkę prawa handlowego, powołują fundację lub inny podmiot, w którym </w:t>
      </w:r>
      <w:r w:rsidR="00C2719A" w:rsidRPr="00AF27CD">
        <w:rPr>
          <w:rFonts w:ascii="Times New Roman" w:hAnsi="Times New Roman" w:cs="Times New Roman"/>
          <w:szCs w:val="24"/>
        </w:rPr>
        <w:t xml:space="preserve">mają </w:t>
      </w:r>
      <w:r w:rsidR="005F203F" w:rsidRPr="00AF27CD">
        <w:rPr>
          <w:rFonts w:ascii="Times New Roman" w:hAnsi="Times New Roman" w:cs="Times New Roman"/>
          <w:szCs w:val="24"/>
        </w:rPr>
        <w:t xml:space="preserve">pełnić role wspólników, udziałowców, akcjonariuszy, członków organu zarządzającego, prokurentów lub pełnomocników uprawnionych do kierowania działalnością koncesjonowaną. Skoro ich działalność jako przedsiębiorców indywidualnych została negatywnie oceniona przez wydanie decyzji cofającej udzieloną im koncesję, brak </w:t>
      </w:r>
      <w:r w:rsidR="00633B1C" w:rsidRPr="00AF27CD">
        <w:rPr>
          <w:rFonts w:ascii="Times New Roman" w:hAnsi="Times New Roman" w:cs="Times New Roman"/>
          <w:szCs w:val="24"/>
        </w:rPr>
        <w:t xml:space="preserve">jest </w:t>
      </w:r>
      <w:r w:rsidR="005F203F" w:rsidRPr="00AF27CD">
        <w:rPr>
          <w:rFonts w:ascii="Times New Roman" w:hAnsi="Times New Roman" w:cs="Times New Roman"/>
          <w:szCs w:val="24"/>
        </w:rPr>
        <w:t>przesłanek</w:t>
      </w:r>
      <w:r w:rsidR="002704F2" w:rsidRPr="00AF27CD">
        <w:rPr>
          <w:rFonts w:ascii="Times New Roman" w:hAnsi="Times New Roman" w:cs="Times New Roman"/>
          <w:szCs w:val="24"/>
        </w:rPr>
        <w:t>,</w:t>
      </w:r>
      <w:r w:rsidR="005F203F" w:rsidRPr="00AF27CD">
        <w:rPr>
          <w:rFonts w:ascii="Times New Roman" w:hAnsi="Times New Roman" w:cs="Times New Roman"/>
          <w:szCs w:val="24"/>
        </w:rPr>
        <w:t xml:space="preserve"> które uzasadniałyby możliwoś</w:t>
      </w:r>
      <w:r w:rsidR="002704F2" w:rsidRPr="00AF27CD">
        <w:rPr>
          <w:rFonts w:ascii="Times New Roman" w:hAnsi="Times New Roman" w:cs="Times New Roman"/>
          <w:szCs w:val="24"/>
        </w:rPr>
        <w:t>ć</w:t>
      </w:r>
      <w:r w:rsidR="005F203F" w:rsidRPr="00AF27CD">
        <w:rPr>
          <w:rFonts w:ascii="Times New Roman" w:hAnsi="Times New Roman" w:cs="Times New Roman"/>
          <w:szCs w:val="24"/>
        </w:rPr>
        <w:t xml:space="preserve"> ubiegania się o koncesję w ramach innego podmiotu.</w:t>
      </w:r>
    </w:p>
    <w:p w:rsidR="005B5BF7" w:rsidRPr="00AF27CD" w:rsidRDefault="005B5BF7"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Nowy art. 23 wprowadzony do projektu ma za zadanie umożliwienie organowi koncesyjnemu występowanie, w uzasadnionych przypadkach,</w:t>
      </w:r>
      <w:r w:rsidR="00422EA7" w:rsidRPr="00AF27CD">
        <w:rPr>
          <w:rFonts w:ascii="Times New Roman" w:hAnsi="Times New Roman" w:cs="Times New Roman"/>
          <w:szCs w:val="24"/>
        </w:rPr>
        <w:t xml:space="preserve"> </w:t>
      </w:r>
      <w:r w:rsidRPr="00AF27CD">
        <w:rPr>
          <w:rFonts w:ascii="Times New Roman" w:hAnsi="Times New Roman" w:cs="Times New Roman"/>
          <w:szCs w:val="24"/>
        </w:rPr>
        <w:t>do innych organów niż opiniujące wnioski o udzielenie, zmianę lub cofnięcie koncesji</w:t>
      </w:r>
      <w:r w:rsidR="00BF79C5">
        <w:rPr>
          <w:rFonts w:ascii="Times New Roman" w:hAnsi="Times New Roman" w:cs="Times New Roman"/>
          <w:szCs w:val="24"/>
        </w:rPr>
        <w:t>,</w:t>
      </w:r>
      <w:r w:rsidRPr="00AF27CD">
        <w:rPr>
          <w:rFonts w:ascii="Times New Roman" w:hAnsi="Times New Roman" w:cs="Times New Roman"/>
          <w:szCs w:val="24"/>
        </w:rPr>
        <w:t xml:space="preserve"> o udzielenie informacji, które mogą być pomocne w toczącym się postępowaniu. Obecnie informacje takie organ koncesyjny uzyskuje na zasadzie dobrej współpracy pomiędzy organami państwowymi, wydaje się jednak, że taka praktyka powinna być jednoznacznie osadzona w przepisach ustawy. Zgodnie z art. 7 i </w:t>
      </w:r>
      <w:r w:rsidR="00C2719A">
        <w:rPr>
          <w:rFonts w:ascii="Times New Roman" w:hAnsi="Times New Roman" w:cs="Times New Roman"/>
          <w:szCs w:val="24"/>
        </w:rPr>
        <w:t xml:space="preserve">art. </w:t>
      </w:r>
      <w:r w:rsidRPr="00AF27CD">
        <w:rPr>
          <w:rFonts w:ascii="Times New Roman" w:hAnsi="Times New Roman" w:cs="Times New Roman"/>
          <w:szCs w:val="24"/>
        </w:rPr>
        <w:t xml:space="preserve">77 § 1 </w:t>
      </w:r>
      <w:r w:rsidR="002704F2" w:rsidRPr="00AF27CD">
        <w:rPr>
          <w:rFonts w:ascii="Times New Roman" w:hAnsi="Times New Roman" w:cs="Times New Roman"/>
          <w:szCs w:val="24"/>
        </w:rPr>
        <w:t>K</w:t>
      </w:r>
      <w:r w:rsidRPr="00AF27CD">
        <w:rPr>
          <w:rFonts w:ascii="Times New Roman" w:hAnsi="Times New Roman" w:cs="Times New Roman"/>
          <w:szCs w:val="24"/>
        </w:rPr>
        <w:t>odeksu postępowania administracyjnego organ administracji publicznej powinien podjąć wszelkie czynności niezbędne do wyjaśnienia stanu faktycznego oraz do załatwienia sprawy, mając na uwadze interes społeczny i słuszny interes obywat</w:t>
      </w:r>
      <w:r w:rsidR="00CC3571">
        <w:rPr>
          <w:rFonts w:ascii="Times New Roman" w:hAnsi="Times New Roman" w:cs="Times New Roman"/>
          <w:szCs w:val="24"/>
        </w:rPr>
        <w:t xml:space="preserve">eli, a także </w:t>
      </w:r>
      <w:r w:rsidR="00BF79C5">
        <w:rPr>
          <w:rFonts w:ascii="Times New Roman" w:hAnsi="Times New Roman" w:cs="Times New Roman"/>
          <w:szCs w:val="24"/>
        </w:rPr>
        <w:t xml:space="preserve">jest </w:t>
      </w:r>
      <w:r w:rsidR="00CC3571">
        <w:rPr>
          <w:rFonts w:ascii="Times New Roman" w:hAnsi="Times New Roman" w:cs="Times New Roman"/>
          <w:szCs w:val="24"/>
        </w:rPr>
        <w:t>obowiązany w</w:t>
      </w:r>
      <w:r w:rsidR="00EC6774">
        <w:rPr>
          <w:rFonts w:ascii="Times New Roman" w:hAnsi="Times New Roman" w:cs="Times New Roman"/>
          <w:szCs w:val="24"/>
        </w:rPr>
        <w:t xml:space="preserve"> </w:t>
      </w:r>
      <w:r w:rsidRPr="00AF27CD">
        <w:rPr>
          <w:rFonts w:ascii="Times New Roman" w:hAnsi="Times New Roman" w:cs="Times New Roman"/>
          <w:szCs w:val="24"/>
        </w:rPr>
        <w:t>sposób wyczerpujący zebrać i rozpatrzyć cały materiał dowodowy. Materiał taki obejmuje wszystkie jego części składowe i wszystkie środki dowodowe. Organ koncesyjny powinien więc zachować aktywną postawę, która polega na wykorzystaniu dowodów znanych z urzędu, jak również na poszu</w:t>
      </w:r>
      <w:r w:rsidR="00CC3571">
        <w:rPr>
          <w:rFonts w:ascii="Times New Roman" w:hAnsi="Times New Roman" w:cs="Times New Roman"/>
          <w:szCs w:val="24"/>
        </w:rPr>
        <w:t>kiwaniu nowych dowodów z</w:t>
      </w:r>
      <w:r w:rsidR="00EC6774">
        <w:rPr>
          <w:rFonts w:ascii="Times New Roman" w:hAnsi="Times New Roman" w:cs="Times New Roman"/>
          <w:szCs w:val="24"/>
        </w:rPr>
        <w:t xml:space="preserve"> </w:t>
      </w:r>
      <w:r w:rsidRPr="00AF27CD">
        <w:rPr>
          <w:rFonts w:ascii="Times New Roman" w:hAnsi="Times New Roman" w:cs="Times New Roman"/>
          <w:szCs w:val="24"/>
        </w:rPr>
        <w:t>wykorzystaniem dostępnych źródeł. Mając na uwadze specyfikę materii podlegającej koncesjonowaniu, która ma wpływ na poziom bezpieczeństwa państwa, wszelkie działania zmierzające do ustalenia stanu faktycznego odnoszącego się do koncesjonariusza, jak i wykonywanej przez niego działalności powinny być sumiennie przeprowadzone.</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Zmianom, głównie redakcyjnym i porządkującym</w:t>
      </w:r>
      <w:r w:rsidR="00924543" w:rsidRPr="00AF27CD">
        <w:rPr>
          <w:rFonts w:ascii="Times New Roman" w:hAnsi="Times New Roman" w:cs="Times New Roman"/>
          <w:szCs w:val="24"/>
        </w:rPr>
        <w:t>,</w:t>
      </w:r>
      <w:r w:rsidRPr="00AF27CD">
        <w:rPr>
          <w:rFonts w:ascii="Times New Roman" w:hAnsi="Times New Roman" w:cs="Times New Roman"/>
          <w:szCs w:val="24"/>
        </w:rPr>
        <w:t xml:space="preserve"> uległ zbiór przepisów określających okoliczności, w których organ koncesyjny cofa koncesję, zarówno w odniesieniu do przesłanek obligatoryjnych, jak i fakultatywnych (art. 2</w:t>
      </w:r>
      <w:r w:rsidR="009A0EBD" w:rsidRPr="00AF27CD">
        <w:rPr>
          <w:rFonts w:ascii="Times New Roman" w:hAnsi="Times New Roman" w:cs="Times New Roman"/>
          <w:szCs w:val="24"/>
        </w:rPr>
        <w:t>4</w:t>
      </w:r>
      <w:r w:rsidRPr="00AF27CD">
        <w:rPr>
          <w:rFonts w:ascii="Times New Roman" w:hAnsi="Times New Roman" w:cs="Times New Roman"/>
          <w:szCs w:val="24"/>
        </w:rPr>
        <w:t xml:space="preserve">).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Organ koncesyj</w:t>
      </w:r>
      <w:r w:rsidR="00C2719A">
        <w:rPr>
          <w:rFonts w:ascii="Times New Roman" w:hAnsi="Times New Roman" w:cs="Times New Roman"/>
          <w:szCs w:val="24"/>
        </w:rPr>
        <w:t>ny obligatoryjnie cofa koncesję</w:t>
      </w:r>
      <w:r w:rsidR="005B5BF7" w:rsidRPr="00AF27CD">
        <w:rPr>
          <w:rFonts w:ascii="Times New Roman" w:hAnsi="Times New Roman" w:cs="Times New Roman"/>
          <w:szCs w:val="24"/>
        </w:rPr>
        <w:t xml:space="preserve"> albo zmienia jej zakres,</w:t>
      </w:r>
      <w:r w:rsidRPr="00AF27CD">
        <w:rPr>
          <w:rFonts w:ascii="Times New Roman" w:hAnsi="Times New Roman" w:cs="Times New Roman"/>
          <w:szCs w:val="24"/>
        </w:rPr>
        <w:t xml:space="preserve"> gdy</w:t>
      </w:r>
      <w:r w:rsidRPr="00AF27CD">
        <w:rPr>
          <w:rFonts w:ascii="Times New Roman" w:hAnsi="Times New Roman" w:cs="Times New Roman"/>
          <w:bCs w:val="0"/>
          <w:szCs w:val="24"/>
        </w:rPr>
        <w:t xml:space="preserve"> </w:t>
      </w:r>
      <w:r w:rsidRPr="00AF27CD">
        <w:rPr>
          <w:rFonts w:ascii="Times New Roman" w:hAnsi="Times New Roman" w:cs="Times New Roman"/>
          <w:szCs w:val="24"/>
        </w:rPr>
        <w:t xml:space="preserve">jest to uzasadnione ze względu na zagrożenie obronności lub bezpieczeństwa państwa albo porządku publicznego, gdy wydano prawomocne orzeczenie zakazujące przedsiębiorcy wykonywania działalności gospodarczej objętej koncesją, gdy przedsiębiorca nie podjął wykonywania koncesjonowanej działalności gospodarczej w terminie 6 miesięcy lub zaprzestał wykonywania działalności gospodarczej objętej koncesją, gdy przedsiębiorca przestał spełniać wskazane w tym przepisie warunki </w:t>
      </w:r>
      <w:r w:rsidR="008926E1" w:rsidRPr="00AF27CD">
        <w:rPr>
          <w:rFonts w:ascii="Times New Roman" w:hAnsi="Times New Roman" w:cs="Times New Roman"/>
          <w:szCs w:val="24"/>
        </w:rPr>
        <w:t xml:space="preserve">odnoszące się do braku </w:t>
      </w:r>
      <w:r w:rsidRPr="00AF27CD">
        <w:rPr>
          <w:rFonts w:ascii="Times New Roman" w:hAnsi="Times New Roman" w:cs="Times New Roman"/>
          <w:szCs w:val="24"/>
        </w:rPr>
        <w:t>karalnoś</w:t>
      </w:r>
      <w:r w:rsidR="008926E1" w:rsidRPr="00AF27CD">
        <w:rPr>
          <w:rFonts w:ascii="Times New Roman" w:hAnsi="Times New Roman" w:cs="Times New Roman"/>
          <w:szCs w:val="24"/>
        </w:rPr>
        <w:t>ci</w:t>
      </w:r>
      <w:r w:rsidRPr="00AF27CD">
        <w:rPr>
          <w:rFonts w:ascii="Times New Roman" w:hAnsi="Times New Roman" w:cs="Times New Roman"/>
          <w:szCs w:val="24"/>
        </w:rPr>
        <w:t xml:space="preserve"> za przestępstwa z winy umyślnej, gdy przedsiębiorca uniemożliwia przeprowadzenie kontroli przez uprawnione organy, gdy przedsiębiorca w wyznaczonym terminie nie usunął stanu faktycznego lub prawnego niezgo</w:t>
      </w:r>
      <w:r w:rsidR="00CC3571">
        <w:rPr>
          <w:rFonts w:ascii="Times New Roman" w:hAnsi="Times New Roman" w:cs="Times New Roman"/>
          <w:szCs w:val="24"/>
        </w:rPr>
        <w:t>dnego z warunkami określonymi w</w:t>
      </w:r>
      <w:r w:rsidR="00EC6774">
        <w:rPr>
          <w:rFonts w:ascii="Times New Roman" w:hAnsi="Times New Roman" w:cs="Times New Roman"/>
          <w:szCs w:val="24"/>
        </w:rPr>
        <w:t> </w:t>
      </w:r>
      <w:r w:rsidRPr="00AF27CD">
        <w:rPr>
          <w:rFonts w:ascii="Times New Roman" w:hAnsi="Times New Roman" w:cs="Times New Roman"/>
          <w:szCs w:val="24"/>
        </w:rPr>
        <w:t>koncesji lub z przepisami regulującymi działalność gospodarczą objętą koncesją, jak również gdy przedsiębiorca rażąco narusza warunki określone w koncesji lub inne warunki wykonywania koncesjonowanej działalności gospodarczej określone przepisami prawa.</w:t>
      </w:r>
      <w:r w:rsidR="009E70DD" w:rsidRPr="00AF27CD">
        <w:rPr>
          <w:rFonts w:ascii="Times New Roman" w:hAnsi="Times New Roman" w:cs="Times New Roman"/>
          <w:szCs w:val="24"/>
        </w:rPr>
        <w:t xml:space="preserve"> Zgodnie z projektem obligatoryjne cofnięcie koncesji nastąpi, gdy przedsiębiorca inny niż osoba fizyczna przestanie spełniać warunek posiadania w swej reprezentacji</w:t>
      </w:r>
      <w:r w:rsidR="00422EA7" w:rsidRPr="00AF27CD">
        <w:rPr>
          <w:rFonts w:ascii="Times New Roman" w:hAnsi="Times New Roman" w:cs="Times New Roman"/>
          <w:szCs w:val="24"/>
        </w:rPr>
        <w:t xml:space="preserve"> </w:t>
      </w:r>
      <w:r w:rsidR="009E70DD" w:rsidRPr="00AF27CD">
        <w:rPr>
          <w:rFonts w:ascii="Times New Roman" w:hAnsi="Times New Roman" w:cs="Times New Roman"/>
          <w:szCs w:val="24"/>
        </w:rPr>
        <w:t>co najmniej dwóch osób uprawnionych do kierowania działalnością określoną w koncesji, w tym co najmniej jednego członka organu zarządzającego.</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Organ koncesyjny może (przesłanka fakultatywna) cofnąć koncesję</w:t>
      </w:r>
      <w:r w:rsidR="00422EA7" w:rsidRPr="00AF27CD">
        <w:rPr>
          <w:rFonts w:ascii="Times New Roman" w:hAnsi="Times New Roman" w:cs="Times New Roman"/>
          <w:szCs w:val="24"/>
        </w:rPr>
        <w:t xml:space="preserve"> </w:t>
      </w:r>
      <w:r w:rsidR="005B5BF7" w:rsidRPr="00AF27CD">
        <w:rPr>
          <w:rFonts w:ascii="Times New Roman" w:hAnsi="Times New Roman" w:cs="Times New Roman"/>
          <w:szCs w:val="24"/>
        </w:rPr>
        <w:t xml:space="preserve">albo zmienić jej zakres </w:t>
      </w:r>
      <w:r w:rsidRPr="00AF27CD">
        <w:rPr>
          <w:rFonts w:ascii="Times New Roman" w:hAnsi="Times New Roman" w:cs="Times New Roman"/>
          <w:szCs w:val="24"/>
        </w:rPr>
        <w:t>w razie ogłoszenia upadłości lub likwidacji przedsiębiorcy, gdy przedsiębiorca przestał spełniać warunek określony w tym przepisie (</w:t>
      </w:r>
      <w:r w:rsidR="00456D57" w:rsidRPr="00AF27CD">
        <w:rPr>
          <w:rFonts w:ascii="Times New Roman" w:hAnsi="Times New Roman" w:cs="Times New Roman"/>
          <w:szCs w:val="24"/>
        </w:rPr>
        <w:t xml:space="preserve">zaistniał </w:t>
      </w:r>
      <w:r w:rsidRPr="00AF27CD">
        <w:rPr>
          <w:rFonts w:ascii="Times New Roman" w:hAnsi="Times New Roman" w:cs="Times New Roman"/>
          <w:szCs w:val="24"/>
        </w:rPr>
        <w:t>fakt prowadzenia przeciwko osobie postępowań w sprawach o przestępstwa lub wykroczenia), gdy przedsiębiorca nie zawiadomił organu koncesyjnego w terminie o zmianach określonych w odpowiednich przepisach, gdy przedsiębiorca nie zawiadomił organu koncesyjnego w terminie określonym w ustawie o podjęciu wykonywania działalności gospodarczej objętej zakresem udzielonej koncesji, gdy przedsiębiorca będący osobą fizyczną i osoby uprawnione do kierowania działalnością określoną w koncesji nie przedstawili w terminie 30 dni od utraty ważności aktu</w:t>
      </w:r>
      <w:r w:rsidR="00EC6774">
        <w:rPr>
          <w:rFonts w:ascii="Times New Roman" w:hAnsi="Times New Roman" w:cs="Times New Roman"/>
          <w:szCs w:val="24"/>
        </w:rPr>
        <w:t>alnego orzeczenia lekarskiego i </w:t>
      </w:r>
      <w:r w:rsidRPr="00AF27CD">
        <w:rPr>
          <w:rFonts w:ascii="Times New Roman" w:hAnsi="Times New Roman" w:cs="Times New Roman"/>
          <w:szCs w:val="24"/>
        </w:rPr>
        <w:t>psychologicznego, gdy przedsiębiorca utrudnia przeprowadzenie kontroli przez uprawnione organy</w:t>
      </w:r>
      <w:r w:rsidR="0081159A" w:rsidRPr="00AF27CD">
        <w:rPr>
          <w:rFonts w:ascii="Times New Roman" w:hAnsi="Times New Roman" w:cs="Times New Roman"/>
          <w:szCs w:val="24"/>
        </w:rPr>
        <w:t xml:space="preserve">, </w:t>
      </w:r>
      <w:r w:rsidRPr="00AF27CD">
        <w:rPr>
          <w:rFonts w:ascii="Times New Roman" w:hAnsi="Times New Roman" w:cs="Times New Roman"/>
          <w:szCs w:val="24"/>
        </w:rPr>
        <w:t>gdy względem przedsiębiorcy wydano decyzję o stwierdzeniu niedopuszczalności wykony</w:t>
      </w:r>
      <w:r w:rsidR="0081159A" w:rsidRPr="00AF27CD">
        <w:rPr>
          <w:rFonts w:ascii="Times New Roman" w:hAnsi="Times New Roman" w:cs="Times New Roman"/>
          <w:szCs w:val="24"/>
        </w:rPr>
        <w:t>wania praw z udziałów lub akcji oraz gdy przedsiębiorca nie wdrożył w terminie systemu oceny jakości produkcji lub zaprzestał jego stosowania.</w:t>
      </w:r>
    </w:p>
    <w:p w:rsidR="008E5666" w:rsidRPr="00AF27CD" w:rsidRDefault="00A93E79" w:rsidP="00422EA7">
      <w:pPr>
        <w:shd w:val="clear" w:color="auto" w:fill="FFFFFF"/>
        <w:autoSpaceDE w:val="0"/>
        <w:autoSpaceDN w:val="0"/>
        <w:adjustRightInd w:val="0"/>
        <w:spacing w:before="120" w:line="360" w:lineRule="auto"/>
        <w:jc w:val="both"/>
      </w:pPr>
      <w:r w:rsidRPr="00AF27CD">
        <w:t>Powodem doprecyzowania tych przepisów jest doświadczenie zebrane w toku 16 lat funkcjonowania ustawy i obserwacja sposobu realizowania</w:t>
      </w:r>
      <w:r w:rsidR="00DC37F0" w:rsidRPr="00AF27CD">
        <w:t xml:space="preserve"> przez przedsiębiorców</w:t>
      </w:r>
      <w:r w:rsidRPr="00AF27CD">
        <w:t xml:space="preserve"> obowiązku informacyjnego zawartego dotychczas w art. 15 ustawy z dnia 22 czerwca 2001 r. Na podstawie wpływającej korespondencji, wniosków o zmianę koncesji oraz informacji własnych organ ko</w:t>
      </w:r>
      <w:r w:rsidR="00422EA7" w:rsidRPr="00AF27CD">
        <w:t>ncesyjny stwierdza corocznie 50–</w:t>
      </w:r>
      <w:r w:rsidRPr="00AF27CD">
        <w:t xml:space="preserve">80 przypadków niewywiązywania się przedsiębiorców z obowiązków informacyjnych, czego skutkiem jest składanie do właściwych miejscowo dla siedziby przedsiębiorcy jednostek </w:t>
      </w:r>
      <w:r w:rsidR="00125573">
        <w:t>P</w:t>
      </w:r>
      <w:r w:rsidRPr="00AF27CD">
        <w:t xml:space="preserve">rokuratury zawiadomień o podejrzeniu możliwości popełnienia przestępstwa. </w:t>
      </w:r>
    </w:p>
    <w:p w:rsidR="00E82D95" w:rsidRPr="00AF27CD" w:rsidRDefault="00E82D95" w:rsidP="00422EA7">
      <w:pPr>
        <w:tabs>
          <w:tab w:val="num" w:pos="0"/>
          <w:tab w:val="left" w:pos="567"/>
        </w:tabs>
        <w:spacing w:before="120" w:line="360" w:lineRule="auto"/>
        <w:jc w:val="both"/>
      </w:pPr>
      <w:r w:rsidRPr="00AF27CD">
        <w:t>Zgodnie z art. 15 ust. 1 pkt 3 aktualnie obowiązującej u</w:t>
      </w:r>
      <w:r w:rsidR="00BF2F40" w:rsidRPr="00AF27CD">
        <w:t>stawy z dnia 22 czerwca 2001 r.</w:t>
      </w:r>
      <w:r w:rsidRPr="00AF27CD">
        <w:rPr>
          <w:iCs/>
        </w:rPr>
        <w:t>,</w:t>
      </w:r>
      <w:r w:rsidRPr="00AF27CD">
        <w:t xml:space="preserve"> każdy przedsiębiorca wykonujący działalność gospodarczą objętą zakresem koncesji </w:t>
      </w:r>
      <w:r w:rsidR="00BF79C5" w:rsidRPr="00AF27CD">
        <w:t xml:space="preserve">jest </w:t>
      </w:r>
      <w:r w:rsidRPr="00AF27CD">
        <w:t xml:space="preserve">obowiązany zawiadomić organ koncesyjny w terminie 14 dni o zmianach stanu faktycznego i prawnego w zakresie danych zawartych </w:t>
      </w:r>
      <w:r w:rsidR="00CC3571">
        <w:t>we wniosku o wydanie koncesji i</w:t>
      </w:r>
      <w:r w:rsidR="00EC6774">
        <w:t> </w:t>
      </w:r>
      <w:r w:rsidRPr="00AF27CD">
        <w:t xml:space="preserve">w dokumentach stanowiących załączniki do tego wniosku, powstałych po dniu wydania koncesji. </w:t>
      </w:r>
    </w:p>
    <w:p w:rsidR="00E82D95" w:rsidRPr="00AF27CD" w:rsidRDefault="00E82D95" w:rsidP="00422EA7">
      <w:pPr>
        <w:tabs>
          <w:tab w:val="num" w:pos="0"/>
        </w:tabs>
        <w:spacing w:before="120" w:line="360" w:lineRule="auto"/>
        <w:jc w:val="both"/>
      </w:pPr>
      <w:r w:rsidRPr="00AF27CD">
        <w:t>Brak zawiadomienia organu koncesyjnego o zmianach</w:t>
      </w:r>
      <w:r w:rsidR="00422EA7" w:rsidRPr="00AF27CD">
        <w:t xml:space="preserve"> </w:t>
      </w:r>
      <w:r w:rsidRPr="00AF27CD">
        <w:t>stanowi naruszenie art. 15 ust. 1 pkt 2 i 3 ustawy z dnia 22 czerwca 2001 r.</w:t>
      </w:r>
      <w:r w:rsidR="00422EA7" w:rsidRPr="00AF27CD">
        <w:t xml:space="preserve"> </w:t>
      </w:r>
      <w:r w:rsidRPr="00AF27CD">
        <w:t>Art. 38 ust. 1</w:t>
      </w:r>
      <w:r w:rsidR="00BF79C5">
        <w:t xml:space="preserve"> tej</w:t>
      </w:r>
      <w:r w:rsidRPr="00AF27CD">
        <w:t xml:space="preserve"> </w:t>
      </w:r>
      <w:r w:rsidR="00CE4B34" w:rsidRPr="00AF27CD">
        <w:t xml:space="preserve">ustawy </w:t>
      </w:r>
      <w:r w:rsidRPr="00AF27CD">
        <w:t>stanowi, że kto wbrew obowiązkom określonym w art. 15 ust. 1 pkt 2 lub 3 ustawy nie dokonuje zawiadomień określonych w tych przepisach</w:t>
      </w:r>
      <w:r w:rsidR="00F97562">
        <w:t>,</w:t>
      </w:r>
      <w:r w:rsidRPr="00AF27CD">
        <w:t xml:space="preserve"> podlega grzywnie, karze ograniczenia wolności albo pozbawienia wolności do lat 2.</w:t>
      </w:r>
    </w:p>
    <w:p w:rsidR="00D410C5" w:rsidRPr="00AF27CD" w:rsidRDefault="00E82D95" w:rsidP="00422EA7">
      <w:pPr>
        <w:spacing w:before="120" w:line="360" w:lineRule="auto"/>
        <w:jc w:val="both"/>
      </w:pPr>
      <w:r w:rsidRPr="00AF27CD">
        <w:t xml:space="preserve">W związku z powyższym Minister Spraw Wewnętrznych i Administracji, działając zgodnie z dyspozycją art. 304 § 2 Kodeksu postępowania karnego, zawiadamia właściwe organy </w:t>
      </w:r>
      <w:r w:rsidR="00125573">
        <w:t>P</w:t>
      </w:r>
      <w:r w:rsidRPr="00AF27CD">
        <w:t xml:space="preserve">rokuratury o uzasadnionym podejrzeniu popełnienia przestępstwa określonego w art. 38 ust. 1 ustawy. </w:t>
      </w:r>
      <w:r w:rsidR="00A93E79" w:rsidRPr="00AF27CD">
        <w:t xml:space="preserve">Brak zawiadomień dotyczy kwestii bardzo istotnych dla bezpieczeństwa obrotu gospodarczego, takich jak zmiana firmy przedsiębiorcy, zmiana siedziby, zmiana reprezentacji i osób uprawnionych do kierowania działalnością koncesjonowaną, a nawet zakresu wykonywanej działalności. W wyniku takich zaniedbań zdarza się, że przedsiębiorca </w:t>
      </w:r>
      <w:r w:rsidR="00BF79C5" w:rsidRPr="00AF27CD">
        <w:t xml:space="preserve">jest </w:t>
      </w:r>
      <w:r w:rsidR="00A93E79" w:rsidRPr="00AF27CD">
        <w:t>reprezentowa</w:t>
      </w:r>
      <w:r w:rsidR="0081159A" w:rsidRPr="00AF27CD">
        <w:t>ny przez osoby, w stosunku</w:t>
      </w:r>
      <w:r w:rsidR="00A93E79" w:rsidRPr="00AF27CD">
        <w:t xml:space="preserve"> do których nie zostało przeprowa</w:t>
      </w:r>
      <w:r w:rsidR="00CC3571">
        <w:t>dzone postępowanie opiniujące i</w:t>
      </w:r>
      <w:r w:rsidR="00EC6774">
        <w:t> </w:t>
      </w:r>
      <w:r w:rsidR="00A93E79" w:rsidRPr="00AF27CD">
        <w:t>które nie udokumentowały spełnienia warunków niezbędnych do wykonywania działalności. Dlatego też możliwość cofnięcia konce</w:t>
      </w:r>
      <w:r w:rsidR="00CC3571">
        <w:t>sji (przesłanka fakultatywna) w</w:t>
      </w:r>
      <w:r w:rsidR="00EC6774">
        <w:t> </w:t>
      </w:r>
      <w:r w:rsidR="00A93E79" w:rsidRPr="00AF27CD">
        <w:t>przypadku stwierdzenia takich okoliczności jest narzędziem, które może zdyscyplinować przedsiębiorców, a jednocześnie wyeliminować tych, którzy uporczywie lekceważą obowiązki nałożone ustawą.</w:t>
      </w:r>
      <w:r w:rsidR="00D410C5" w:rsidRPr="00AF27CD">
        <w:t xml:space="preserve"> </w:t>
      </w:r>
    </w:p>
    <w:p w:rsidR="00A93E79" w:rsidRPr="00AF27CD" w:rsidRDefault="00D410C5"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W projekcie ustawy zrezygnowano z powtórzenia przepisu dotychcza</w:t>
      </w:r>
      <w:r w:rsidR="00CC3571">
        <w:rPr>
          <w:rFonts w:ascii="Times New Roman" w:hAnsi="Times New Roman" w:cs="Times New Roman"/>
          <w:szCs w:val="24"/>
        </w:rPr>
        <w:t>s określonego w</w:t>
      </w:r>
      <w:r w:rsidR="00EC6774">
        <w:rPr>
          <w:rFonts w:ascii="Times New Roman" w:hAnsi="Times New Roman" w:cs="Times New Roman"/>
          <w:szCs w:val="24"/>
        </w:rPr>
        <w:t> </w:t>
      </w:r>
      <w:r w:rsidRPr="00AF27CD">
        <w:rPr>
          <w:rFonts w:ascii="Times New Roman" w:hAnsi="Times New Roman" w:cs="Times New Roman"/>
          <w:szCs w:val="24"/>
        </w:rPr>
        <w:t>art. 38 ustawy z dnia 22 czerwca</w:t>
      </w:r>
      <w:r w:rsidR="00BF2F40" w:rsidRPr="00AF27CD">
        <w:rPr>
          <w:rFonts w:ascii="Times New Roman" w:hAnsi="Times New Roman" w:cs="Times New Roman"/>
          <w:szCs w:val="24"/>
        </w:rPr>
        <w:t xml:space="preserve"> 2001 r.</w:t>
      </w:r>
      <w:r w:rsidRPr="00AF27CD">
        <w:rPr>
          <w:rFonts w:ascii="Times New Roman" w:hAnsi="Times New Roman" w:cs="Times New Roman"/>
          <w:szCs w:val="24"/>
        </w:rPr>
        <w:t xml:space="preserve"> Jako główną przyczynę depenalizacji braku realizacji obowiązków informacyjnych zawartych w art. 15 ust. 1 pkt 2 lub 3</w:t>
      </w:r>
      <w:r w:rsidR="009A0EBD" w:rsidRPr="00AF27CD">
        <w:rPr>
          <w:rFonts w:ascii="Times New Roman" w:hAnsi="Times New Roman" w:cs="Times New Roman"/>
          <w:szCs w:val="24"/>
        </w:rPr>
        <w:t xml:space="preserve"> aktualnie obowiązującej ustawy</w:t>
      </w:r>
      <w:r w:rsidR="00422EA7" w:rsidRPr="00AF27CD">
        <w:rPr>
          <w:rFonts w:ascii="Times New Roman" w:hAnsi="Times New Roman" w:cs="Times New Roman"/>
          <w:szCs w:val="24"/>
        </w:rPr>
        <w:t xml:space="preserve"> </w:t>
      </w:r>
      <w:r w:rsidRPr="00AF27CD">
        <w:rPr>
          <w:rFonts w:ascii="Times New Roman" w:hAnsi="Times New Roman" w:cs="Times New Roman"/>
          <w:szCs w:val="24"/>
        </w:rPr>
        <w:t>należy wskazać brak zasadności karania jak za przestępstwo za czyn, który</w:t>
      </w:r>
      <w:r w:rsidR="00BF79C5">
        <w:rPr>
          <w:rFonts w:ascii="Times New Roman" w:hAnsi="Times New Roman" w:cs="Times New Roman"/>
          <w:szCs w:val="24"/>
        </w:rPr>
        <w:t>,</w:t>
      </w:r>
      <w:r w:rsidRPr="00AF27CD">
        <w:rPr>
          <w:rFonts w:ascii="Times New Roman" w:hAnsi="Times New Roman" w:cs="Times New Roman"/>
          <w:szCs w:val="24"/>
        </w:rPr>
        <w:t xml:space="preserve"> jak wynika z praktyki</w:t>
      </w:r>
      <w:r w:rsidR="00BF79C5">
        <w:rPr>
          <w:rFonts w:ascii="Times New Roman" w:hAnsi="Times New Roman" w:cs="Times New Roman"/>
          <w:szCs w:val="24"/>
        </w:rPr>
        <w:t>,</w:t>
      </w:r>
      <w:r w:rsidRPr="00AF27CD">
        <w:rPr>
          <w:rFonts w:ascii="Times New Roman" w:hAnsi="Times New Roman" w:cs="Times New Roman"/>
          <w:szCs w:val="24"/>
        </w:rPr>
        <w:t xml:space="preserve"> ma charakter uchybienia o charakterze proceduralnym. Za wystarczające należy uznać przewidziane w </w:t>
      </w:r>
      <w:r w:rsidR="00924543" w:rsidRPr="00AF27CD">
        <w:rPr>
          <w:rFonts w:ascii="Times New Roman" w:hAnsi="Times New Roman" w:cs="Times New Roman"/>
          <w:szCs w:val="24"/>
        </w:rPr>
        <w:t xml:space="preserve">projekcie </w:t>
      </w:r>
      <w:r w:rsidRPr="00AF27CD">
        <w:rPr>
          <w:rFonts w:ascii="Times New Roman" w:hAnsi="Times New Roman" w:cs="Times New Roman"/>
          <w:szCs w:val="24"/>
        </w:rPr>
        <w:t>ustaw</w:t>
      </w:r>
      <w:r w:rsidR="00924543" w:rsidRPr="00AF27CD">
        <w:rPr>
          <w:rFonts w:ascii="Times New Roman" w:hAnsi="Times New Roman" w:cs="Times New Roman"/>
          <w:szCs w:val="24"/>
        </w:rPr>
        <w:t>y</w:t>
      </w:r>
      <w:r w:rsidRPr="00AF27CD">
        <w:rPr>
          <w:rFonts w:ascii="Times New Roman" w:hAnsi="Times New Roman" w:cs="Times New Roman"/>
          <w:szCs w:val="24"/>
        </w:rPr>
        <w:t xml:space="preserve"> rozwiązanie, zgodnie z którym</w:t>
      </w:r>
      <w:r w:rsidR="00422EA7" w:rsidRPr="00AF27CD">
        <w:rPr>
          <w:rFonts w:ascii="Times New Roman" w:hAnsi="Times New Roman" w:cs="Times New Roman"/>
          <w:szCs w:val="24"/>
        </w:rPr>
        <w:t xml:space="preserve"> </w:t>
      </w:r>
      <w:r w:rsidRPr="00AF27CD">
        <w:rPr>
          <w:rFonts w:ascii="Times New Roman" w:hAnsi="Times New Roman" w:cs="Times New Roman"/>
          <w:szCs w:val="24"/>
        </w:rPr>
        <w:t>brak zawiadomienia jest fakultatywną przesłanką cofnięcia koncesji, co należy uznać za potencjalnie faktycznie bardziej dotkliwą sankcję dla przedsiębiorcy. Należy rów</w:t>
      </w:r>
      <w:r w:rsidR="009A47B7">
        <w:rPr>
          <w:rFonts w:ascii="Times New Roman" w:hAnsi="Times New Roman" w:cs="Times New Roman"/>
          <w:szCs w:val="24"/>
        </w:rPr>
        <w:t>nież mieć na uwadze, że organy P</w:t>
      </w:r>
      <w:r w:rsidRPr="00AF27CD">
        <w:rPr>
          <w:rFonts w:ascii="Times New Roman" w:hAnsi="Times New Roman" w:cs="Times New Roman"/>
          <w:szCs w:val="24"/>
        </w:rPr>
        <w:t>rokuratury</w:t>
      </w:r>
      <w:r w:rsidR="00CC3571">
        <w:rPr>
          <w:rFonts w:ascii="Times New Roman" w:hAnsi="Times New Roman" w:cs="Times New Roman"/>
          <w:szCs w:val="24"/>
        </w:rPr>
        <w:t xml:space="preserve"> w latach 2012–</w:t>
      </w:r>
      <w:r w:rsidR="009A0EBD" w:rsidRPr="00AF27CD">
        <w:rPr>
          <w:rFonts w:ascii="Times New Roman" w:hAnsi="Times New Roman" w:cs="Times New Roman"/>
          <w:szCs w:val="24"/>
        </w:rPr>
        <w:t>2017</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tylko w kilku </w:t>
      </w:r>
      <w:r w:rsidR="008A5E9A" w:rsidRPr="00AF27CD">
        <w:rPr>
          <w:rFonts w:ascii="Times New Roman" w:hAnsi="Times New Roman" w:cs="Times New Roman"/>
          <w:szCs w:val="24"/>
        </w:rPr>
        <w:t xml:space="preserve">(na ok. 200) </w:t>
      </w:r>
      <w:r w:rsidRPr="00AF27CD">
        <w:rPr>
          <w:rFonts w:ascii="Times New Roman" w:hAnsi="Times New Roman" w:cs="Times New Roman"/>
          <w:szCs w:val="24"/>
        </w:rPr>
        <w:t xml:space="preserve">przypadkach </w:t>
      </w:r>
      <w:r w:rsidR="008A5E9A" w:rsidRPr="00AF27CD">
        <w:rPr>
          <w:rFonts w:ascii="Times New Roman" w:hAnsi="Times New Roman" w:cs="Times New Roman"/>
          <w:szCs w:val="24"/>
        </w:rPr>
        <w:t xml:space="preserve">zawiadomień składanych przez organ koncesyjny </w:t>
      </w:r>
      <w:r w:rsidRPr="00AF27CD">
        <w:rPr>
          <w:rFonts w:ascii="Times New Roman" w:hAnsi="Times New Roman" w:cs="Times New Roman"/>
          <w:szCs w:val="24"/>
        </w:rPr>
        <w:t>sformułowały akt oska</w:t>
      </w:r>
      <w:r w:rsidR="00CC3571">
        <w:rPr>
          <w:rFonts w:ascii="Times New Roman" w:hAnsi="Times New Roman" w:cs="Times New Roman"/>
          <w:szCs w:val="24"/>
        </w:rPr>
        <w:t>rżenia, a postępowania sądowe i</w:t>
      </w:r>
      <w:r w:rsidR="00EC6774">
        <w:rPr>
          <w:rFonts w:ascii="Times New Roman" w:hAnsi="Times New Roman" w:cs="Times New Roman"/>
          <w:szCs w:val="24"/>
        </w:rPr>
        <w:t> </w:t>
      </w:r>
      <w:r w:rsidRPr="00AF27CD">
        <w:rPr>
          <w:rFonts w:ascii="Times New Roman" w:hAnsi="Times New Roman" w:cs="Times New Roman"/>
          <w:szCs w:val="24"/>
        </w:rPr>
        <w:t>prokuratorskie kończyły się rozstrzygnięci</w:t>
      </w:r>
      <w:r w:rsidR="00BF2F40" w:rsidRPr="00AF27CD">
        <w:rPr>
          <w:rFonts w:ascii="Times New Roman" w:hAnsi="Times New Roman" w:cs="Times New Roman"/>
          <w:szCs w:val="24"/>
        </w:rPr>
        <w:t>ami</w:t>
      </w:r>
      <w:r w:rsidRPr="00AF27CD">
        <w:rPr>
          <w:rFonts w:ascii="Times New Roman" w:hAnsi="Times New Roman" w:cs="Times New Roman"/>
          <w:szCs w:val="24"/>
        </w:rPr>
        <w:t xml:space="preserve">, </w:t>
      </w:r>
      <w:r w:rsidR="00BF2F40" w:rsidRPr="00AF27CD">
        <w:rPr>
          <w:rFonts w:ascii="Times New Roman" w:hAnsi="Times New Roman" w:cs="Times New Roman"/>
          <w:szCs w:val="24"/>
        </w:rPr>
        <w:t>w</w:t>
      </w:r>
      <w:r w:rsidRPr="00AF27CD">
        <w:rPr>
          <w:rFonts w:ascii="Times New Roman" w:hAnsi="Times New Roman" w:cs="Times New Roman"/>
          <w:szCs w:val="24"/>
        </w:rPr>
        <w:t xml:space="preserve"> których </w:t>
      </w:r>
      <w:r w:rsidR="00BF79C5" w:rsidRPr="00AF27CD">
        <w:rPr>
          <w:rFonts w:ascii="Times New Roman" w:hAnsi="Times New Roman" w:cs="Times New Roman"/>
          <w:szCs w:val="24"/>
        </w:rPr>
        <w:t xml:space="preserve">był </w:t>
      </w:r>
      <w:r w:rsidRPr="00AF27CD">
        <w:rPr>
          <w:rFonts w:ascii="Times New Roman" w:hAnsi="Times New Roman" w:cs="Times New Roman"/>
          <w:szCs w:val="24"/>
        </w:rPr>
        <w:t>stwierdzany brak znamion czynu zabronionego lub brak zawiadom</w:t>
      </w:r>
      <w:r w:rsidR="00CC3571">
        <w:rPr>
          <w:rFonts w:ascii="Times New Roman" w:hAnsi="Times New Roman" w:cs="Times New Roman"/>
          <w:szCs w:val="24"/>
        </w:rPr>
        <w:t>ienia kwalifikowano jako czyn o</w:t>
      </w:r>
      <w:r w:rsidR="00EC6774">
        <w:rPr>
          <w:rFonts w:ascii="Times New Roman" w:hAnsi="Times New Roman" w:cs="Times New Roman"/>
          <w:szCs w:val="24"/>
        </w:rPr>
        <w:t> </w:t>
      </w:r>
      <w:r w:rsidRPr="00AF27CD">
        <w:rPr>
          <w:rFonts w:ascii="Times New Roman" w:hAnsi="Times New Roman" w:cs="Times New Roman"/>
          <w:szCs w:val="24"/>
        </w:rPr>
        <w:t>znikomej szkodliwości społecznej.</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Doprecyzowano terminy, w jakich przedsiębiorca musi zbyć towary koncesjonowane </w:t>
      </w:r>
      <w:r w:rsidR="00CC3571">
        <w:rPr>
          <w:rFonts w:ascii="Times New Roman" w:hAnsi="Times New Roman" w:cs="Times New Roman"/>
          <w:szCs w:val="24"/>
        </w:rPr>
        <w:t>w</w:t>
      </w:r>
      <w:r w:rsidR="00EC6774">
        <w:rPr>
          <w:rFonts w:ascii="Times New Roman" w:hAnsi="Times New Roman" w:cs="Times New Roman"/>
          <w:szCs w:val="24"/>
        </w:rPr>
        <w:t> </w:t>
      </w:r>
      <w:r w:rsidRPr="00AF27CD">
        <w:rPr>
          <w:rFonts w:ascii="Times New Roman" w:hAnsi="Times New Roman" w:cs="Times New Roman"/>
          <w:szCs w:val="24"/>
        </w:rPr>
        <w:t>przypadku wydania decyzji o cofnięciu koncesji. Termin zbycia nie może być krótszy niż miesiąc i dłuższy niż trzy miesiące od dnia, kiedy dec</w:t>
      </w:r>
      <w:r w:rsidR="00EC6774">
        <w:rPr>
          <w:rFonts w:ascii="Times New Roman" w:hAnsi="Times New Roman" w:cs="Times New Roman"/>
          <w:szCs w:val="24"/>
        </w:rPr>
        <w:t>yzja stała się ostateczna (art. </w:t>
      </w:r>
      <w:r w:rsidRPr="00AF27CD">
        <w:rPr>
          <w:rFonts w:ascii="Times New Roman" w:hAnsi="Times New Roman" w:cs="Times New Roman"/>
          <w:szCs w:val="24"/>
        </w:rPr>
        <w:t>2</w:t>
      </w:r>
      <w:r w:rsidR="009A0EBD" w:rsidRPr="00AF27CD">
        <w:rPr>
          <w:rFonts w:ascii="Times New Roman" w:hAnsi="Times New Roman" w:cs="Times New Roman"/>
          <w:szCs w:val="24"/>
        </w:rPr>
        <w:t>5</w:t>
      </w:r>
      <w:r w:rsidRPr="00AF27CD">
        <w:rPr>
          <w:rFonts w:ascii="Times New Roman" w:hAnsi="Times New Roman" w:cs="Times New Roman"/>
          <w:szCs w:val="24"/>
        </w:rPr>
        <w:t>).</w:t>
      </w:r>
      <w:r w:rsidR="00E82D95" w:rsidRPr="00AF27CD">
        <w:rPr>
          <w:rFonts w:ascii="Times New Roman" w:hAnsi="Times New Roman" w:cs="Times New Roman"/>
          <w:szCs w:val="24"/>
        </w:rPr>
        <w:t xml:space="preserve"> </w:t>
      </w:r>
    </w:p>
    <w:p w:rsidR="00E82D95" w:rsidRPr="00AF27CD" w:rsidRDefault="00E82D95"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Projekt ustawy zawiera również nowy przepis</w:t>
      </w:r>
      <w:r w:rsidR="00986D36" w:rsidRPr="00AF27CD">
        <w:rPr>
          <w:rFonts w:ascii="Times New Roman" w:hAnsi="Times New Roman" w:cs="Times New Roman"/>
          <w:szCs w:val="24"/>
        </w:rPr>
        <w:t xml:space="preserve"> (art. 2</w:t>
      </w:r>
      <w:r w:rsidR="009A0EBD" w:rsidRPr="00AF27CD">
        <w:rPr>
          <w:rFonts w:ascii="Times New Roman" w:hAnsi="Times New Roman" w:cs="Times New Roman"/>
          <w:szCs w:val="24"/>
        </w:rPr>
        <w:t>6</w:t>
      </w:r>
      <w:r w:rsidR="00986D36" w:rsidRPr="00AF27CD">
        <w:rPr>
          <w:rFonts w:ascii="Times New Roman" w:hAnsi="Times New Roman" w:cs="Times New Roman"/>
          <w:szCs w:val="24"/>
        </w:rPr>
        <w:t>)</w:t>
      </w:r>
      <w:r w:rsidRPr="00AF27CD">
        <w:rPr>
          <w:rFonts w:ascii="Times New Roman" w:hAnsi="Times New Roman" w:cs="Times New Roman"/>
          <w:szCs w:val="24"/>
        </w:rPr>
        <w:t>, któ</w:t>
      </w:r>
      <w:r w:rsidR="008B64E1" w:rsidRPr="00AF27CD">
        <w:rPr>
          <w:rFonts w:ascii="Times New Roman" w:hAnsi="Times New Roman" w:cs="Times New Roman"/>
          <w:szCs w:val="24"/>
        </w:rPr>
        <w:t xml:space="preserve">rego wprowadzenie było jednym z wniosków </w:t>
      </w:r>
      <w:r w:rsidR="008B64E1" w:rsidRPr="00AF27CD">
        <w:rPr>
          <w:rFonts w:ascii="Times New Roman" w:hAnsi="Times New Roman" w:cs="Times New Roman"/>
          <w:i/>
          <w:szCs w:val="24"/>
        </w:rPr>
        <w:t xml:space="preserve">de lege ferenda </w:t>
      </w:r>
      <w:r w:rsidR="008B64E1" w:rsidRPr="00AF27CD">
        <w:rPr>
          <w:rFonts w:ascii="Times New Roman" w:hAnsi="Times New Roman" w:cs="Times New Roman"/>
          <w:szCs w:val="24"/>
        </w:rPr>
        <w:t xml:space="preserve">z kontroli NIK, a który </w:t>
      </w:r>
      <w:r w:rsidR="00BF79C5" w:rsidRPr="00AF27CD">
        <w:rPr>
          <w:rFonts w:ascii="Times New Roman" w:hAnsi="Times New Roman" w:cs="Times New Roman"/>
          <w:szCs w:val="24"/>
        </w:rPr>
        <w:t xml:space="preserve">ma </w:t>
      </w:r>
      <w:r w:rsidR="008B64E1" w:rsidRPr="00AF27CD">
        <w:rPr>
          <w:rFonts w:ascii="Times New Roman" w:hAnsi="Times New Roman" w:cs="Times New Roman"/>
          <w:szCs w:val="24"/>
        </w:rPr>
        <w:t xml:space="preserve">umożliwić organowi opiniującemu, jak również organowi koncesyjnemu wydanie </w:t>
      </w:r>
      <w:r w:rsidR="00BF2F40" w:rsidRPr="00AF27CD">
        <w:rPr>
          <w:rFonts w:ascii="Times New Roman" w:hAnsi="Times New Roman" w:cs="Times New Roman"/>
          <w:szCs w:val="24"/>
        </w:rPr>
        <w:t xml:space="preserve">odpowiednio </w:t>
      </w:r>
      <w:r w:rsidR="008B64E1" w:rsidRPr="00AF27CD">
        <w:rPr>
          <w:rFonts w:ascii="Times New Roman" w:hAnsi="Times New Roman" w:cs="Times New Roman"/>
          <w:szCs w:val="24"/>
        </w:rPr>
        <w:t>postanowienia lub decyzji</w:t>
      </w:r>
      <w:r w:rsidR="00422EA7" w:rsidRPr="00AF27CD">
        <w:rPr>
          <w:rFonts w:ascii="Times New Roman" w:hAnsi="Times New Roman" w:cs="Times New Roman"/>
          <w:szCs w:val="24"/>
        </w:rPr>
        <w:t xml:space="preserve"> </w:t>
      </w:r>
      <w:r w:rsidR="008B64E1" w:rsidRPr="00AF27CD">
        <w:rPr>
          <w:rFonts w:ascii="Times New Roman" w:hAnsi="Times New Roman" w:cs="Times New Roman"/>
          <w:szCs w:val="24"/>
        </w:rPr>
        <w:t>bez uzasadnienia faktycznego w przypadkach, gdy wymagają</w:t>
      </w:r>
      <w:r w:rsidR="00422EA7" w:rsidRPr="00AF27CD">
        <w:rPr>
          <w:rFonts w:ascii="Times New Roman" w:hAnsi="Times New Roman" w:cs="Times New Roman"/>
          <w:szCs w:val="24"/>
        </w:rPr>
        <w:t xml:space="preserve"> </w:t>
      </w:r>
      <w:r w:rsidR="008B64E1" w:rsidRPr="00AF27CD">
        <w:rPr>
          <w:rFonts w:ascii="Times New Roman" w:hAnsi="Times New Roman" w:cs="Times New Roman"/>
          <w:szCs w:val="24"/>
        </w:rPr>
        <w:t xml:space="preserve">tego względy obronności lub bezpieczeństwa państwa. </w:t>
      </w:r>
      <w:r w:rsidR="00102C2E" w:rsidRPr="00AF27CD">
        <w:rPr>
          <w:rFonts w:ascii="Times New Roman" w:hAnsi="Times New Roman" w:cs="Times New Roman"/>
          <w:szCs w:val="24"/>
        </w:rPr>
        <w:t>Należy mieć na uwadze, że przepis ten jest zgo</w:t>
      </w:r>
      <w:r w:rsidR="00F97562">
        <w:rPr>
          <w:rFonts w:ascii="Times New Roman" w:hAnsi="Times New Roman" w:cs="Times New Roman"/>
          <w:szCs w:val="24"/>
        </w:rPr>
        <w:t>dny z art. 107 § 5 Kodeksu postę</w:t>
      </w:r>
      <w:r w:rsidR="00102C2E" w:rsidRPr="00AF27CD">
        <w:rPr>
          <w:rFonts w:ascii="Times New Roman" w:hAnsi="Times New Roman" w:cs="Times New Roman"/>
          <w:szCs w:val="24"/>
        </w:rPr>
        <w:t>powania administracyjnego</w:t>
      </w:r>
      <w:r w:rsidR="00D410C5" w:rsidRPr="00AF27CD">
        <w:rPr>
          <w:rFonts w:ascii="Times New Roman" w:hAnsi="Times New Roman" w:cs="Times New Roman"/>
          <w:szCs w:val="24"/>
        </w:rPr>
        <w:t>, który w takich przypadkach dopuszcza możliwość pominięcia uzasadnienia.</w:t>
      </w:r>
    </w:p>
    <w:p w:rsidR="004E5CAA" w:rsidRPr="00AF27CD" w:rsidRDefault="002A6931"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Wyjaśnienia wymaga sytuacja przedsiębiorcy, który znajduje się w stanie likwidacji lub toczy się wobec niego postępowanie upadłościowe. Stan taki jest przesłanką do odmowy udzielenia koncesji, gdyż przedsiębiorca o takim statusie </w:t>
      </w:r>
      <w:r w:rsidR="00BF79C5" w:rsidRPr="00AF27CD">
        <w:rPr>
          <w:rFonts w:ascii="Times New Roman" w:hAnsi="Times New Roman" w:cs="Times New Roman"/>
          <w:szCs w:val="24"/>
        </w:rPr>
        <w:t xml:space="preserve">jest </w:t>
      </w:r>
      <w:r w:rsidR="00456D57" w:rsidRPr="00AF27CD">
        <w:rPr>
          <w:rFonts w:ascii="Times New Roman" w:hAnsi="Times New Roman" w:cs="Times New Roman"/>
          <w:szCs w:val="24"/>
        </w:rPr>
        <w:t xml:space="preserve">zainteresowany </w:t>
      </w:r>
      <w:r w:rsidRPr="00AF27CD">
        <w:rPr>
          <w:rFonts w:ascii="Times New Roman" w:hAnsi="Times New Roman" w:cs="Times New Roman"/>
          <w:szCs w:val="24"/>
        </w:rPr>
        <w:t xml:space="preserve">głównie </w:t>
      </w:r>
      <w:r w:rsidR="00456D57" w:rsidRPr="00AF27CD">
        <w:rPr>
          <w:rFonts w:ascii="Times New Roman" w:hAnsi="Times New Roman" w:cs="Times New Roman"/>
          <w:szCs w:val="24"/>
        </w:rPr>
        <w:t>likwidacją</w:t>
      </w:r>
      <w:r w:rsidRPr="00AF27CD">
        <w:rPr>
          <w:rFonts w:ascii="Times New Roman" w:hAnsi="Times New Roman" w:cs="Times New Roman"/>
          <w:szCs w:val="24"/>
        </w:rPr>
        <w:t xml:space="preserve"> przedsiębiorstwa, prowadzenie</w:t>
      </w:r>
      <w:r w:rsidR="00456D57" w:rsidRPr="00AF27CD">
        <w:rPr>
          <w:rFonts w:ascii="Times New Roman" w:hAnsi="Times New Roman" w:cs="Times New Roman"/>
          <w:szCs w:val="24"/>
        </w:rPr>
        <w:t>m</w:t>
      </w:r>
      <w:r w:rsidRPr="00AF27CD">
        <w:rPr>
          <w:rFonts w:ascii="Times New Roman" w:hAnsi="Times New Roman" w:cs="Times New Roman"/>
          <w:szCs w:val="24"/>
        </w:rPr>
        <w:t xml:space="preserve"> działań mających na celu spłatę wierzytelności i nie jest nastawiony na rozwój działalności, szczególnie w nowym koncesjonowanym obszarze.</w:t>
      </w:r>
      <w:r w:rsidR="004E5CAA" w:rsidRPr="00AF27CD">
        <w:rPr>
          <w:rFonts w:ascii="Times New Roman" w:hAnsi="Times New Roman" w:cs="Times New Roman"/>
          <w:szCs w:val="24"/>
        </w:rPr>
        <w:t xml:space="preserve"> Stan likwidacji i postępowanie upadłościowe jest z kolei przesłanką fakultatywną do cofnięcia koncesji, którą to decyzję organ koncesyjny podejmuje po skrupulatnym przeanalizowaniu dotychczasowej działalności przedsiębiorcy, jak również woli syndyka masy upa</w:t>
      </w:r>
      <w:r w:rsidR="00CC3571">
        <w:rPr>
          <w:rFonts w:ascii="Times New Roman" w:hAnsi="Times New Roman" w:cs="Times New Roman"/>
          <w:szCs w:val="24"/>
        </w:rPr>
        <w:t>dłości co do celów związanych z</w:t>
      </w:r>
      <w:r w:rsidR="00EC6774">
        <w:rPr>
          <w:rFonts w:ascii="Times New Roman" w:hAnsi="Times New Roman" w:cs="Times New Roman"/>
          <w:szCs w:val="24"/>
        </w:rPr>
        <w:t> </w:t>
      </w:r>
      <w:r w:rsidR="004E5CAA" w:rsidRPr="00AF27CD">
        <w:rPr>
          <w:rFonts w:ascii="Times New Roman" w:hAnsi="Times New Roman" w:cs="Times New Roman"/>
          <w:szCs w:val="24"/>
        </w:rPr>
        <w:t>dalszymi losami przedsiębiorstwa. Zdarza się, że celem działań syndyka jest wyłącznie zaspokojenie roszczeń poprzez sprzedaż majątku upadłego, jak również zachowanie majątku i sprzedanie go wraz z roszczeniami</w:t>
      </w:r>
      <w:r w:rsidR="00422EA7" w:rsidRPr="00AF27CD">
        <w:rPr>
          <w:rFonts w:ascii="Times New Roman" w:hAnsi="Times New Roman" w:cs="Times New Roman"/>
          <w:szCs w:val="24"/>
        </w:rPr>
        <w:t xml:space="preserve"> </w:t>
      </w:r>
      <w:r w:rsidR="004E5CAA" w:rsidRPr="00AF27CD">
        <w:rPr>
          <w:rFonts w:ascii="Times New Roman" w:hAnsi="Times New Roman" w:cs="Times New Roman"/>
          <w:szCs w:val="24"/>
        </w:rPr>
        <w:t xml:space="preserve">innemu podmiotowi zdolnemu do sfinansowania transakcji i prowadzenia dalszej działalności. </w:t>
      </w:r>
    </w:p>
    <w:p w:rsidR="00A93E79" w:rsidRPr="00AF27CD" w:rsidRDefault="00A93E79" w:rsidP="00CC3571">
      <w:pPr>
        <w:pStyle w:val="Akapitzlist"/>
        <w:numPr>
          <w:ilvl w:val="0"/>
          <w:numId w:val="20"/>
        </w:numPr>
        <w:tabs>
          <w:tab w:val="left" w:pos="426"/>
        </w:tabs>
        <w:spacing w:before="120" w:after="0" w:line="360" w:lineRule="auto"/>
        <w:ind w:left="0" w:firstLine="0"/>
        <w:rPr>
          <w:b/>
        </w:rPr>
      </w:pPr>
      <w:r w:rsidRPr="00CC3571">
        <w:rPr>
          <w:b/>
          <w:bCs/>
        </w:rPr>
        <w:t>Dział</w:t>
      </w:r>
      <w:r w:rsidRPr="00AF27CD">
        <w:rPr>
          <w:b/>
        </w:rPr>
        <w:t xml:space="preserve"> III </w:t>
      </w:r>
      <w:r w:rsidR="00422EA7" w:rsidRPr="00AF27CD">
        <w:rPr>
          <w:b/>
        </w:rPr>
        <w:t>–</w:t>
      </w:r>
      <w:r w:rsidRPr="00AF27CD">
        <w:rPr>
          <w:b/>
        </w:rPr>
        <w:t xml:space="preserve"> Wykonywanie działalności gospod</w:t>
      </w:r>
      <w:r w:rsidR="00CC3571">
        <w:rPr>
          <w:b/>
        </w:rPr>
        <w:t>arczej w zakresie wytwarzania i</w:t>
      </w:r>
      <w:r w:rsidR="00EC6774">
        <w:rPr>
          <w:b/>
        </w:rPr>
        <w:t> </w:t>
      </w:r>
      <w:r w:rsidRPr="00AF27CD">
        <w:rPr>
          <w:b/>
        </w:rPr>
        <w:t>obrotu materiałami wybuchowymi, b</w:t>
      </w:r>
      <w:r w:rsidR="00CC3571">
        <w:rPr>
          <w:b/>
        </w:rPr>
        <w:t>ronią, amunicją oraz wyrobami i</w:t>
      </w:r>
      <w:r w:rsidR="00EC6774">
        <w:rPr>
          <w:b/>
        </w:rPr>
        <w:t> </w:t>
      </w:r>
      <w:r w:rsidRPr="00AF27CD">
        <w:rPr>
          <w:b/>
        </w:rPr>
        <w:t>technologią o przeznaczeniu wojskowym lub policyjnym</w:t>
      </w:r>
      <w:r w:rsidR="00A3674C" w:rsidRPr="00AF27CD">
        <w:rPr>
          <w:b/>
        </w:rPr>
        <w:t xml:space="preserve"> (art. 2</w:t>
      </w:r>
      <w:r w:rsidR="00260A1C" w:rsidRPr="00AF27CD">
        <w:rPr>
          <w:b/>
        </w:rPr>
        <w:t>7</w:t>
      </w:r>
      <w:r w:rsidR="00422EA7" w:rsidRPr="00AF27CD">
        <w:rPr>
          <w:b/>
        </w:rPr>
        <w:t>–</w:t>
      </w:r>
      <w:r w:rsidR="004150F3" w:rsidRPr="00AF27CD">
        <w:rPr>
          <w:b/>
        </w:rPr>
        <w:t>10</w:t>
      </w:r>
      <w:r w:rsidR="000A0F00" w:rsidRPr="00AF27CD">
        <w:rPr>
          <w:b/>
        </w:rPr>
        <w:t>1</w:t>
      </w:r>
      <w:r w:rsidR="00260A1C" w:rsidRPr="00AF27CD">
        <w:rPr>
          <w:b/>
        </w:rPr>
        <w:t>)</w:t>
      </w:r>
    </w:p>
    <w:p w:rsidR="00A93E79" w:rsidRPr="00AF27CD" w:rsidRDefault="00A93E79" w:rsidP="00422EA7">
      <w:pPr>
        <w:shd w:val="clear" w:color="auto" w:fill="FFFFFF"/>
        <w:autoSpaceDE w:val="0"/>
        <w:autoSpaceDN w:val="0"/>
        <w:adjustRightInd w:val="0"/>
        <w:spacing w:before="120" w:line="360" w:lineRule="auto"/>
        <w:jc w:val="both"/>
      </w:pPr>
      <w:r w:rsidRPr="00AF27CD">
        <w:rPr>
          <w:b/>
        </w:rPr>
        <w:t>Rozdział I</w:t>
      </w:r>
      <w:r w:rsidR="0081159A" w:rsidRPr="00AF27CD">
        <w:rPr>
          <w:b/>
        </w:rPr>
        <w:t xml:space="preserve"> (art. 2</w:t>
      </w:r>
      <w:r w:rsidR="00260A1C" w:rsidRPr="00AF27CD">
        <w:rPr>
          <w:b/>
        </w:rPr>
        <w:t>7</w:t>
      </w:r>
      <w:r w:rsidR="00422EA7" w:rsidRPr="00AF27CD">
        <w:rPr>
          <w:b/>
        </w:rPr>
        <w:t>–</w:t>
      </w:r>
      <w:r w:rsidR="0081159A" w:rsidRPr="00AF27CD">
        <w:rPr>
          <w:b/>
        </w:rPr>
        <w:t>3</w:t>
      </w:r>
      <w:r w:rsidR="00260A1C" w:rsidRPr="00AF27CD">
        <w:rPr>
          <w:b/>
        </w:rPr>
        <w:t>7</w:t>
      </w:r>
      <w:r w:rsidR="0081159A" w:rsidRPr="00AF27CD">
        <w:rPr>
          <w:b/>
        </w:rPr>
        <w:t>)</w:t>
      </w:r>
      <w:r w:rsidRPr="00AF27CD">
        <w:rPr>
          <w:b/>
        </w:rPr>
        <w:t xml:space="preserve"> </w:t>
      </w:r>
      <w:r w:rsidRPr="00AF27CD">
        <w:t xml:space="preserve">tego </w:t>
      </w:r>
      <w:r w:rsidR="00BF79C5">
        <w:t>d</w:t>
      </w:r>
      <w:r w:rsidRPr="00AF27CD">
        <w:t xml:space="preserve">ziału określa przepisy ogólne dotyczące obowiązków wszystkich (niezależnie od </w:t>
      </w:r>
      <w:r w:rsidR="0081159A" w:rsidRPr="00AF27CD">
        <w:t xml:space="preserve">zakresu </w:t>
      </w:r>
      <w:r w:rsidRPr="00AF27CD">
        <w:t>wykonywanej działalności) przedsiębiorców i ma charakter porządkujący w odniesieniu do ustawy z dnia 22 czerwca 2001</w:t>
      </w:r>
      <w:r w:rsidR="00BF79C5">
        <w:t xml:space="preserve"> </w:t>
      </w:r>
      <w:r w:rsidRPr="00AF27CD">
        <w:t xml:space="preserve">r., zbierając rozproszone dotąd przepisy w jednym rozdziale z jednoczesnym doprecyzowaniem </w:t>
      </w:r>
      <w:r w:rsidR="004E5CAA" w:rsidRPr="00AF27CD">
        <w:t xml:space="preserve">obowiązków </w:t>
      </w:r>
      <w:r w:rsidRPr="00AF27CD">
        <w:t xml:space="preserve">informacyjnych ze strony koncesjonariusza. Wskazanie tych </w:t>
      </w:r>
      <w:r w:rsidR="004E5CAA" w:rsidRPr="00AF27CD">
        <w:t>obowiązków</w:t>
      </w:r>
      <w:r w:rsidR="00422EA7" w:rsidRPr="00AF27CD">
        <w:t xml:space="preserve"> </w:t>
      </w:r>
      <w:r w:rsidR="00A3674C" w:rsidRPr="00AF27CD">
        <w:t>(art. 2</w:t>
      </w:r>
      <w:r w:rsidR="00260A1C" w:rsidRPr="00AF27CD">
        <w:t>7</w:t>
      </w:r>
      <w:r w:rsidR="00A3674C" w:rsidRPr="00AF27CD">
        <w:t xml:space="preserve">) </w:t>
      </w:r>
      <w:r w:rsidRPr="00AF27CD">
        <w:t>jest istotne, ponieważ brak ich spełnienia ma skutek w postac</w:t>
      </w:r>
      <w:r w:rsidR="00A3674C" w:rsidRPr="00AF27CD">
        <w:t>i możliwości cofnięcia koncesji.</w:t>
      </w:r>
    </w:p>
    <w:p w:rsidR="00A93E79" w:rsidRPr="00AF27CD" w:rsidRDefault="00A93E79" w:rsidP="00422EA7">
      <w:pPr>
        <w:shd w:val="clear" w:color="auto" w:fill="FFFFFF"/>
        <w:autoSpaceDE w:val="0"/>
        <w:autoSpaceDN w:val="0"/>
        <w:adjustRightInd w:val="0"/>
        <w:spacing w:before="120" w:line="360" w:lineRule="auto"/>
        <w:jc w:val="both"/>
      </w:pPr>
      <w:r w:rsidRPr="00AF27CD">
        <w:t xml:space="preserve">Wskazane zostały terminy do podjęcia działalności na podstawie koncesji, złożenia obligatoryjnych zawiadomień o podjęciu działalności, a także o jej zaprzestaniu. Enumeratywnie </w:t>
      </w:r>
      <w:r w:rsidR="00BF79C5" w:rsidRPr="00AF27CD">
        <w:t xml:space="preserve">zostały </w:t>
      </w:r>
      <w:r w:rsidRPr="00AF27CD">
        <w:t>wymienione okoliczności, których skutkiem powinno być złożenie przez przedsiębiorcę zawiadomienia do organu koncesyjnego o zmianach stanu faktycznego i prawnego.</w:t>
      </w:r>
    </w:p>
    <w:p w:rsidR="00DA35B2" w:rsidRPr="00AF27CD" w:rsidRDefault="00A93E79" w:rsidP="00422EA7">
      <w:pPr>
        <w:spacing w:before="120" w:line="360" w:lineRule="auto"/>
        <w:jc w:val="both"/>
      </w:pPr>
      <w:r w:rsidRPr="00AF27CD">
        <w:t xml:space="preserve">Przepisy tego </w:t>
      </w:r>
      <w:r w:rsidR="00BF79C5">
        <w:t>r</w:t>
      </w:r>
      <w:r w:rsidRPr="00AF27CD">
        <w:t xml:space="preserve">ozdziału (art. </w:t>
      </w:r>
      <w:r w:rsidR="000A0F00" w:rsidRPr="00AF27CD">
        <w:t>28</w:t>
      </w:r>
      <w:r w:rsidRPr="00AF27CD">
        <w:t xml:space="preserve"> i następne) określają ponadto wymogi, jakie musi spełniać pracownik zatrudniony bezpośrednio przy wytwarzani</w:t>
      </w:r>
      <w:r w:rsidR="008E5666" w:rsidRPr="00AF27CD">
        <w:t>u</w:t>
      </w:r>
      <w:r w:rsidRPr="00AF27CD">
        <w:t xml:space="preserve"> lub obrocie, które są powtórzeniem przepisów ustawy z dnia 22 czerwca 2001</w:t>
      </w:r>
      <w:r w:rsidR="00F36AF4" w:rsidRPr="00AF27CD">
        <w:t xml:space="preserve"> </w:t>
      </w:r>
      <w:r w:rsidRPr="00AF27CD">
        <w:t>r. Nowy przepis nakłada na przedsiębiorcę zatrudniającego pracowników obowiązek weryfikowania przy zatrudnianiu i w trakcie zatrudnienia, czy praco</w:t>
      </w:r>
      <w:r w:rsidR="00CC3571">
        <w:t>wnik spełnia wymogi określone w</w:t>
      </w:r>
      <w:r w:rsidR="00EC6774">
        <w:t> </w:t>
      </w:r>
      <w:r w:rsidRPr="00AF27CD">
        <w:t xml:space="preserve">ustawie, </w:t>
      </w:r>
      <w:r w:rsidR="00413B1C" w:rsidRPr="00AF27CD">
        <w:t>przez</w:t>
      </w:r>
      <w:r w:rsidRPr="00AF27CD">
        <w:t xml:space="preserve"> odbieranie od pra</w:t>
      </w:r>
      <w:r w:rsidR="00E90F92" w:rsidRPr="00AF27CD">
        <w:t>cowników stosownych oświadczeń.</w:t>
      </w:r>
      <w:r w:rsidRPr="00AF27CD">
        <w:t xml:space="preserve"> Przedsiębiorca występuje również do właściwego organu Policji o opinię o zatrudnionym pracowniku przy zatrudn</w:t>
      </w:r>
      <w:r w:rsidR="00F33B3C" w:rsidRPr="00AF27CD">
        <w:t>ieniu i powtarza to wystąpienie</w:t>
      </w:r>
      <w:r w:rsidRPr="00AF27CD">
        <w:t xml:space="preserve"> co 5 lat.</w:t>
      </w:r>
      <w:r w:rsidR="00DA35B2" w:rsidRPr="00AF27CD">
        <w:t xml:space="preserve"> W zakresie wymogów dla pracowników zatrudnionych bezpośrednio przy wytwarzaniu materiałów wybuchowych, broni, amunicji oraz wyrobów o przeznaczeniu wojskowym lub policyjnym zastosowano odesłanie do definicji pracownika młodocianego z </w:t>
      </w:r>
      <w:r w:rsidR="00924543" w:rsidRPr="00AF27CD">
        <w:t>K</w:t>
      </w:r>
      <w:r w:rsidR="00DA35B2" w:rsidRPr="00AF27CD">
        <w:t xml:space="preserve">odeksu pracy (zamiast określania granicy wieku), gdyż granica ta na gruncie </w:t>
      </w:r>
      <w:r w:rsidR="00924543" w:rsidRPr="00AF27CD">
        <w:t>K</w:t>
      </w:r>
      <w:r w:rsidR="00DA35B2" w:rsidRPr="00AF27CD">
        <w:t>odeksu pracy obecnie wynosi 15 lat.</w:t>
      </w:r>
    </w:p>
    <w:p w:rsidR="00456D57" w:rsidRPr="00AF27CD" w:rsidRDefault="00456D57" w:rsidP="00422EA7">
      <w:pPr>
        <w:spacing w:before="120" w:line="360" w:lineRule="auto"/>
        <w:jc w:val="both"/>
      </w:pPr>
      <w:r w:rsidRPr="00AF27CD">
        <w:t xml:space="preserve">Mając na uwadze postulaty zgłoszone w toku uzgodnień przez </w:t>
      </w:r>
      <w:r w:rsidR="00804179" w:rsidRPr="00AF27CD">
        <w:t xml:space="preserve">przedsiębiorców koncesjonowanych, związane z problemami z pozyskaniem nowych pracowników, projekt ustawy obniża dotychczasowy wiek dla pracownika zatrudnionego bezpośrednio przy wytwarzaniu lub obrocie z 21 lat do 18. </w:t>
      </w:r>
    </w:p>
    <w:p w:rsidR="00A93E79" w:rsidRPr="00AF27CD" w:rsidRDefault="00A93E79" w:rsidP="00422EA7">
      <w:pPr>
        <w:shd w:val="clear" w:color="auto" w:fill="FFFFFF"/>
        <w:autoSpaceDE w:val="0"/>
        <w:autoSpaceDN w:val="0"/>
        <w:adjustRightInd w:val="0"/>
        <w:spacing w:before="120" w:line="360" w:lineRule="auto"/>
        <w:jc w:val="both"/>
      </w:pPr>
      <w:r w:rsidRPr="00AF27CD">
        <w:t>Projekt nowej ustawy powtarza rozwiązania</w:t>
      </w:r>
      <w:r w:rsidR="003775AE" w:rsidRPr="00AF27CD">
        <w:t>,</w:t>
      </w:r>
      <w:r w:rsidRPr="00AF27CD">
        <w:t xml:space="preserve"> zgodnie z którymi zarówno przedsiębiorcy (osoby uprawnione do kierowania działalnością), jak i zatrudniani przez nich pracownicy, mają obowiązek przedstawiania raz na 5 lat aktualnych orzeczeń lekarskich i psychologicznych. Orzeczenia dotyczące przedsiębiorców </w:t>
      </w:r>
      <w:r w:rsidR="00924543" w:rsidRPr="00AF27CD">
        <w:t>m</w:t>
      </w:r>
      <w:r w:rsidRPr="00AF27CD">
        <w:t>ają być</w:t>
      </w:r>
      <w:r w:rsidR="00924543" w:rsidRPr="00AF27CD">
        <w:t xml:space="preserve"> przesyłane </w:t>
      </w:r>
      <w:r w:rsidRPr="00AF27CD">
        <w:t>do organu koncesyjnego, a w przyp</w:t>
      </w:r>
      <w:r w:rsidR="00422EA7" w:rsidRPr="00AF27CD">
        <w:t>adku zatrudnionych pracowników –</w:t>
      </w:r>
      <w:r w:rsidRPr="00AF27CD">
        <w:t xml:space="preserve"> doręczane pracodawcy.</w:t>
      </w:r>
    </w:p>
    <w:p w:rsidR="00AC3268" w:rsidRPr="00AF27CD" w:rsidRDefault="00353CEA" w:rsidP="00422EA7">
      <w:pPr>
        <w:shd w:val="clear" w:color="auto" w:fill="FFFFFF"/>
        <w:autoSpaceDE w:val="0"/>
        <w:autoSpaceDN w:val="0"/>
        <w:adjustRightInd w:val="0"/>
        <w:spacing w:before="120" w:line="360" w:lineRule="auto"/>
        <w:jc w:val="both"/>
      </w:pPr>
      <w:r w:rsidRPr="00AF27CD">
        <w:t>Obowiązki nałożone na pracodawców należy rozumie</w:t>
      </w:r>
      <w:r w:rsidR="00511D71" w:rsidRPr="00AF27CD">
        <w:t>ć</w:t>
      </w:r>
      <w:r w:rsidRPr="00AF27CD">
        <w:t xml:space="preserve"> w ten sposó</w:t>
      </w:r>
      <w:r w:rsidR="00E52095" w:rsidRPr="00AF27CD">
        <w:t>b, że pracownik, który nie przedstawił wymaganych ustaw</w:t>
      </w:r>
      <w:r w:rsidR="00C67557" w:rsidRPr="00AF27CD">
        <w:t>ą</w:t>
      </w:r>
      <w:r w:rsidR="00E52095" w:rsidRPr="00AF27CD">
        <w:t xml:space="preserve"> dokumentów i oświadczeń</w:t>
      </w:r>
      <w:r w:rsidR="007B7616">
        <w:t>,</w:t>
      </w:r>
      <w:r w:rsidR="00E52095" w:rsidRPr="00AF27CD">
        <w:t xml:space="preserve"> nie może być dopuszczony do pracy, czego skutkiem może być rozwiązanie stosunku pracy.</w:t>
      </w:r>
    </w:p>
    <w:p w:rsidR="0034419F" w:rsidRPr="00AF27CD" w:rsidRDefault="00A93E79" w:rsidP="00422EA7">
      <w:pPr>
        <w:shd w:val="clear" w:color="auto" w:fill="FFFFFF"/>
        <w:autoSpaceDE w:val="0"/>
        <w:autoSpaceDN w:val="0"/>
        <w:adjustRightInd w:val="0"/>
        <w:spacing w:before="120" w:line="360" w:lineRule="auto"/>
        <w:jc w:val="both"/>
        <w:rPr>
          <w:rFonts w:eastAsiaTheme="minorEastAsia"/>
        </w:rPr>
      </w:pPr>
      <w:r w:rsidRPr="00AF27CD">
        <w:t>Bez zmian pozostaje obowiązek przechowywania m</w:t>
      </w:r>
      <w:r w:rsidRPr="00AF27CD">
        <w:rPr>
          <w:rFonts w:eastAsiaTheme="minorEastAsia"/>
        </w:rPr>
        <w:t>ateriałów wybuchowych, broni, amunicji oraz wyrobów i technologii o przeznacze</w:t>
      </w:r>
      <w:r w:rsidR="00CC3571">
        <w:rPr>
          <w:rFonts w:eastAsiaTheme="minorEastAsia"/>
        </w:rPr>
        <w:t>niu wojskowym lub policyjnym w</w:t>
      </w:r>
      <w:r w:rsidR="00EC6774">
        <w:rPr>
          <w:rFonts w:eastAsiaTheme="minorEastAsia"/>
        </w:rPr>
        <w:t> </w:t>
      </w:r>
      <w:r w:rsidRPr="00AF27CD">
        <w:rPr>
          <w:rFonts w:eastAsiaTheme="minorEastAsia"/>
        </w:rPr>
        <w:t>odpowiednio usytuowanych, przystosowanych i zabezpieczonych</w:t>
      </w:r>
      <w:r w:rsidR="0034419F" w:rsidRPr="00AF27CD">
        <w:rPr>
          <w:rFonts w:eastAsiaTheme="minorEastAsia"/>
        </w:rPr>
        <w:t xml:space="preserve"> przed dostępem osób nieupoważnionych</w:t>
      </w:r>
      <w:r w:rsidRPr="00AF27CD">
        <w:rPr>
          <w:rFonts w:eastAsiaTheme="minorEastAsia"/>
        </w:rPr>
        <w:t xml:space="preserve"> pomieszczeniach, w warunkach zapewniających ochronę życia i zdrowia ludzkiego, mienia oraz środowiska; szczegółowe warunki określi rozporządzenie (art. 3</w:t>
      </w:r>
      <w:r w:rsidR="000A0F00" w:rsidRPr="00AF27CD">
        <w:rPr>
          <w:rFonts w:eastAsiaTheme="minorEastAsia"/>
        </w:rPr>
        <w:t>3</w:t>
      </w:r>
      <w:r w:rsidRPr="00AF27CD">
        <w:rPr>
          <w:rFonts w:eastAsiaTheme="minorEastAsia"/>
        </w:rPr>
        <w:t>).</w:t>
      </w:r>
    </w:p>
    <w:p w:rsidR="00A93E79" w:rsidRPr="00AF27CD" w:rsidRDefault="00A93E79" w:rsidP="00422EA7">
      <w:pPr>
        <w:shd w:val="clear" w:color="auto" w:fill="FFFFFF"/>
        <w:autoSpaceDE w:val="0"/>
        <w:autoSpaceDN w:val="0"/>
        <w:adjustRightInd w:val="0"/>
        <w:spacing w:before="120" w:line="360" w:lineRule="auto"/>
        <w:jc w:val="both"/>
      </w:pPr>
      <w:r w:rsidRPr="00AF27CD">
        <w:t>Ustawa</w:t>
      </w:r>
      <w:r w:rsidR="00BF79C5">
        <w:t>,</w:t>
      </w:r>
      <w:r w:rsidRPr="00AF27CD">
        <w:t xml:space="preserve"> mając na uwadze zapewnienie identyfikowalności stron i przedmiotu wszelkich umów</w:t>
      </w:r>
      <w:r w:rsidR="007B7616">
        <w:t>,</w:t>
      </w:r>
      <w:r w:rsidRPr="00AF27CD">
        <w:t xml:space="preserve"> wprowadz</w:t>
      </w:r>
      <w:r w:rsidR="00BF79C5">
        <w:t>i</w:t>
      </w:r>
      <w:r w:rsidRPr="00AF27CD">
        <w:t xml:space="preserve"> nowy przepis (art. 3</w:t>
      </w:r>
      <w:r w:rsidR="000A0F00" w:rsidRPr="00AF27CD">
        <w:t>4</w:t>
      </w:r>
      <w:r w:rsidRPr="00AF27CD">
        <w:t>) stanowiący, że wszelka umowa dotycząca materiałów wybuchowych, broni, w tym strzeleckiej broni palnej, istotnych komponentów, amunicji oraz wyrobów i technologii o przeznaczeniu wojskowym lub policyjnym wymaga potwierdzenia na piśmie</w:t>
      </w:r>
      <w:r w:rsidR="00E52095" w:rsidRPr="00AF27CD">
        <w:t xml:space="preserve"> lub w sposób odpowiedni dla umowy sporządzonej w formie elektronicznej</w:t>
      </w:r>
      <w:r w:rsidRPr="00AF27CD">
        <w:t>, w któr</w:t>
      </w:r>
      <w:r w:rsidR="00E52095" w:rsidRPr="00AF27CD">
        <w:t>ej</w:t>
      </w:r>
      <w:r w:rsidRPr="00AF27CD">
        <w:t xml:space="preserve"> należy wskazać wszystkie istotne postanowienia umowy.</w:t>
      </w:r>
      <w:r w:rsidR="000A6448" w:rsidRPr="00AF27CD">
        <w:t xml:space="preserve"> </w:t>
      </w:r>
    </w:p>
    <w:p w:rsidR="000A6448" w:rsidRPr="00AF27CD" w:rsidRDefault="000A6448" w:rsidP="00422EA7">
      <w:pPr>
        <w:shd w:val="clear" w:color="auto" w:fill="FFFFFF"/>
        <w:autoSpaceDE w:val="0"/>
        <w:autoSpaceDN w:val="0"/>
        <w:adjustRightInd w:val="0"/>
        <w:spacing w:before="120" w:line="360" w:lineRule="auto"/>
        <w:jc w:val="both"/>
      </w:pPr>
      <w:r w:rsidRPr="00AF27CD">
        <w:t>Intencją projektodawcy było użycie wyrażenia „potwierdzona na piśmie” w rozumieniu np. art. 77 § 3 albo art. 511 Kodeksu cywilnego, tzn.</w:t>
      </w:r>
      <w:r w:rsidR="00CC3571">
        <w:t xml:space="preserve"> jakiegokolwiek potwierdzenia w</w:t>
      </w:r>
      <w:r w:rsidR="00EC6774">
        <w:t> </w:t>
      </w:r>
      <w:r w:rsidRPr="00AF27CD">
        <w:t>postaci pisemnej. W szczególności przepis ten nie przewiduje wymogu formy pisemnej pod rygorem nieważności, w rozumieniu art. 78 Kodeksu cywilnego. Brak potwierdzenia umowy na piśmie nie wpływa na jej ważność, ale może zostać uznany za nieprawidłowe wykonywanie przez przedsiębiorcę koncesjonowanej działalności gospodarczej. Co do zasady obowiązek potwierdzenia będzie spoczywał na przedsiębiorcy. Nie przewiduje się odrębnego trybu „weryfikacji” potwierdzenia, jednakże fakt sporządzania potwierdzeń na piśmie może być przedmiotem kontroli działalności przedsiębiorcy.</w:t>
      </w:r>
    </w:p>
    <w:p w:rsidR="00A93E79" w:rsidRPr="00AF27CD" w:rsidRDefault="00315342" w:rsidP="00422EA7">
      <w:pPr>
        <w:shd w:val="clear" w:color="auto" w:fill="FFFFFF"/>
        <w:autoSpaceDE w:val="0"/>
        <w:autoSpaceDN w:val="0"/>
        <w:adjustRightInd w:val="0"/>
        <w:spacing w:before="120" w:line="360" w:lineRule="auto"/>
        <w:jc w:val="both"/>
        <w:rPr>
          <w:bCs/>
          <w:iCs/>
        </w:rPr>
      </w:pPr>
      <w:r w:rsidRPr="00AF27CD">
        <w:rPr>
          <w:bCs/>
          <w:iCs/>
        </w:rPr>
        <w:t>Ostatnia z</w:t>
      </w:r>
      <w:r w:rsidR="00A93E79" w:rsidRPr="00AF27CD">
        <w:rPr>
          <w:bCs/>
          <w:iCs/>
        </w:rPr>
        <w:t xml:space="preserve">miana dyrektywy 91/477/EWG zakłada, że </w:t>
      </w:r>
      <w:r w:rsidR="00A63A67">
        <w:rPr>
          <w:bCs/>
          <w:iCs/>
        </w:rPr>
        <w:t>…</w:t>
      </w:r>
      <w:r w:rsidR="00F913F9" w:rsidRPr="00F913F9">
        <w:rPr>
          <w:i/>
        </w:rPr>
        <w:t>„</w:t>
      </w:r>
      <w:r w:rsidR="00A93E79" w:rsidRPr="00AF27CD">
        <w:rPr>
          <w:bCs/>
          <w:i/>
          <w:iCs/>
        </w:rPr>
        <w:t xml:space="preserve">sprzedawcy i pośrednicy powinni mieć możliwość odmowy przeprowadzenia wszelkich podejrzanych transakcji zakupu amunicji scalonej lub gotowych do osadzenia spłonek, jako komponentów amunicji. Transakcja może zostać uznana za podejrzaną, jeżeli, na przykład, dotyczy ilości nietypowych dla przewidywanego użycia do celów prywatnych, jeśli nabywca wydaje się niezaznajomiony z użyciem amunicji lub jeśli nalega na uiszczenie zapłaty gotówką, a jednocześnie nie chce okazać swojego </w:t>
      </w:r>
      <w:r w:rsidR="00CC3571">
        <w:rPr>
          <w:bCs/>
          <w:i/>
          <w:iCs/>
        </w:rPr>
        <w:t>dowodu tożsamości. Sprzedawcy i</w:t>
      </w:r>
      <w:r w:rsidR="00EC6774">
        <w:rPr>
          <w:bCs/>
          <w:i/>
          <w:iCs/>
        </w:rPr>
        <w:t> </w:t>
      </w:r>
      <w:r w:rsidR="00A93E79" w:rsidRPr="00AF27CD">
        <w:rPr>
          <w:bCs/>
          <w:i/>
          <w:iCs/>
        </w:rPr>
        <w:t>pośrednicy powinni mieć również możliwość zgłaszania takich podejrzanych transakcji właściwym organom</w:t>
      </w:r>
      <w:r w:rsidR="0091743E">
        <w:rPr>
          <w:bCs/>
          <w:i/>
          <w:iCs/>
        </w:rPr>
        <w:t>”</w:t>
      </w:r>
      <w:r w:rsidR="002F71F3" w:rsidRPr="00AF27CD">
        <w:rPr>
          <w:bCs/>
          <w:i/>
          <w:iCs/>
        </w:rPr>
        <w:t xml:space="preserve"> </w:t>
      </w:r>
      <w:r w:rsidR="00F33B3C" w:rsidRPr="00AF27CD">
        <w:rPr>
          <w:bCs/>
          <w:iCs/>
        </w:rPr>
        <w:t>(art. 4 ust. 4)</w:t>
      </w:r>
      <w:r w:rsidR="00A93E79" w:rsidRPr="00AF27CD">
        <w:rPr>
          <w:bCs/>
          <w:iCs/>
        </w:rPr>
        <w:t>.</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hAnsi="Times New Roman" w:cs="Times New Roman"/>
          <w:bCs/>
          <w:iCs/>
          <w:szCs w:val="24"/>
        </w:rPr>
        <w:t xml:space="preserve">Przepisy projektu ustawy przewidują (art. </w:t>
      </w:r>
      <w:r w:rsidR="00511D71" w:rsidRPr="00AF27CD">
        <w:rPr>
          <w:rFonts w:ascii="Times New Roman" w:hAnsi="Times New Roman" w:cs="Times New Roman"/>
          <w:bCs/>
          <w:iCs/>
          <w:szCs w:val="24"/>
        </w:rPr>
        <w:t>3</w:t>
      </w:r>
      <w:r w:rsidR="000A0F00" w:rsidRPr="00AF27CD">
        <w:rPr>
          <w:rFonts w:ascii="Times New Roman" w:hAnsi="Times New Roman" w:cs="Times New Roman"/>
          <w:bCs/>
          <w:iCs/>
          <w:szCs w:val="24"/>
        </w:rPr>
        <w:t>5</w:t>
      </w:r>
      <w:r w:rsidRPr="00AF27CD">
        <w:rPr>
          <w:rFonts w:ascii="Times New Roman" w:hAnsi="Times New Roman" w:cs="Times New Roman"/>
          <w:bCs/>
          <w:iCs/>
          <w:szCs w:val="24"/>
        </w:rPr>
        <w:t xml:space="preserve">) </w:t>
      </w:r>
      <w:r w:rsidR="00924543" w:rsidRPr="00AF27CD">
        <w:rPr>
          <w:rFonts w:ascii="Times New Roman" w:hAnsi="Times New Roman" w:cs="Times New Roman"/>
          <w:bCs/>
          <w:iCs/>
          <w:szCs w:val="24"/>
        </w:rPr>
        <w:t>obowiązek</w:t>
      </w:r>
      <w:r w:rsidRPr="00AF27CD">
        <w:rPr>
          <w:rFonts w:ascii="Times New Roman" w:hAnsi="Times New Roman" w:cs="Times New Roman"/>
          <w:bCs/>
          <w:iCs/>
          <w:szCs w:val="24"/>
        </w:rPr>
        <w:t xml:space="preserve"> zgłoszenia </w:t>
      </w:r>
      <w:r w:rsidRPr="00AF27CD">
        <w:rPr>
          <w:rFonts w:ascii="Times New Roman" w:eastAsiaTheme="minorEastAsia" w:hAnsi="Times New Roman" w:cs="Times New Roman"/>
          <w:szCs w:val="24"/>
        </w:rPr>
        <w:t xml:space="preserve">Komendantowi Głównemu Policji transakcji </w:t>
      </w:r>
      <w:r w:rsidR="000A6448" w:rsidRPr="00AF27CD">
        <w:rPr>
          <w:rFonts w:ascii="Times New Roman" w:eastAsiaTheme="minorEastAsia" w:hAnsi="Times New Roman" w:cs="Times New Roman"/>
          <w:szCs w:val="24"/>
        </w:rPr>
        <w:t xml:space="preserve">oraz odmów ich dokonania, </w:t>
      </w:r>
      <w:r w:rsidR="00CC3571">
        <w:rPr>
          <w:rFonts w:ascii="Times New Roman" w:eastAsiaTheme="minorEastAsia" w:hAnsi="Times New Roman" w:cs="Times New Roman"/>
          <w:szCs w:val="24"/>
        </w:rPr>
        <w:t>dotyczących wytwarzania i</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obrotu materiałami wybuchowymi, bronią, amunicj</w:t>
      </w:r>
      <w:r w:rsidR="00CC3571">
        <w:rPr>
          <w:rFonts w:ascii="Times New Roman" w:eastAsiaTheme="minorEastAsia" w:hAnsi="Times New Roman" w:cs="Times New Roman"/>
          <w:szCs w:val="24"/>
        </w:rPr>
        <w:t>ą oraz wyrobami i technologią o</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przeznaczeniu wojskowym lub policyjnym, które pomimo ich zgodności z prawem wzbud</w:t>
      </w:r>
      <w:r w:rsidR="007B7616">
        <w:rPr>
          <w:rFonts w:ascii="Times New Roman" w:eastAsiaTheme="minorEastAsia" w:hAnsi="Times New Roman" w:cs="Times New Roman"/>
          <w:szCs w:val="24"/>
        </w:rPr>
        <w:t>zają wątpliwości przedsiębiorcy</w:t>
      </w:r>
      <w:r w:rsidRPr="00AF27CD">
        <w:rPr>
          <w:rFonts w:ascii="Times New Roman" w:eastAsiaTheme="minorEastAsia" w:hAnsi="Times New Roman" w:cs="Times New Roman"/>
          <w:szCs w:val="24"/>
        </w:rPr>
        <w:t xml:space="preserve"> co do możliwości stwarzania zagrożenia dla bezpieczeństwa państwa oraz bezpieczeństwa i porządku publicznego. </w:t>
      </w:r>
      <w:r w:rsidRPr="00AF27CD">
        <w:rPr>
          <w:rFonts w:ascii="Times New Roman" w:eastAsiaTheme="minorEastAsia" w:hAnsi="Times New Roman" w:cs="Times New Roman"/>
          <w:bCs/>
          <w:szCs w:val="24"/>
        </w:rPr>
        <w:t xml:space="preserve">Komendant Główny Policji podaje do publicznej wiadomości, w tym </w:t>
      </w:r>
      <w:r w:rsidR="00413B1C" w:rsidRPr="00AF27CD">
        <w:rPr>
          <w:rFonts w:ascii="Times New Roman" w:eastAsiaTheme="minorEastAsia" w:hAnsi="Times New Roman" w:cs="Times New Roman"/>
          <w:bCs/>
          <w:szCs w:val="24"/>
        </w:rPr>
        <w:t>przez</w:t>
      </w:r>
      <w:r w:rsidRPr="00AF27CD">
        <w:rPr>
          <w:rFonts w:ascii="Times New Roman" w:eastAsiaTheme="minorEastAsia" w:hAnsi="Times New Roman" w:cs="Times New Roman"/>
          <w:bCs/>
          <w:szCs w:val="24"/>
        </w:rPr>
        <w:t xml:space="preserve"> podanie w Biuletynie Informacji Publicznej, numer telefonu oraz adres poczty elektronicznej, na które można zgłaszać </w:t>
      </w:r>
      <w:r w:rsidR="00EC5C1F" w:rsidRPr="00AF27CD">
        <w:rPr>
          <w:rFonts w:ascii="Times New Roman" w:eastAsiaTheme="minorEastAsia" w:hAnsi="Times New Roman" w:cs="Times New Roman"/>
          <w:bCs/>
          <w:szCs w:val="24"/>
        </w:rPr>
        <w:t>tego rodzaju transakcje</w:t>
      </w:r>
      <w:r w:rsidRPr="00AF27CD">
        <w:rPr>
          <w:rFonts w:ascii="Times New Roman" w:eastAsiaTheme="minorEastAsia" w:hAnsi="Times New Roman" w:cs="Times New Roman"/>
          <w:bCs/>
          <w:szCs w:val="24"/>
        </w:rPr>
        <w:t xml:space="preserve">. Jest to rozwiązanie analogiczne, co do sposobu zgłaszania o podejrzanych transakcjach, </w:t>
      </w:r>
      <w:r w:rsidR="006B268E">
        <w:rPr>
          <w:rFonts w:ascii="Times New Roman" w:eastAsiaTheme="minorEastAsia" w:hAnsi="Times New Roman" w:cs="Times New Roman"/>
          <w:bCs/>
          <w:szCs w:val="24"/>
        </w:rPr>
        <w:t xml:space="preserve">do </w:t>
      </w:r>
      <w:r w:rsidRPr="00AF27CD">
        <w:rPr>
          <w:rFonts w:ascii="Times New Roman" w:eastAsiaTheme="minorEastAsia" w:hAnsi="Times New Roman" w:cs="Times New Roman"/>
          <w:bCs/>
          <w:szCs w:val="24"/>
        </w:rPr>
        <w:t>określonego w ustawie z</w:t>
      </w:r>
      <w:r w:rsidRPr="00AF27CD">
        <w:rPr>
          <w:rFonts w:ascii="Times New Roman" w:hAnsi="Times New Roman" w:cs="Times New Roman"/>
          <w:szCs w:val="24"/>
        </w:rPr>
        <w:t xml:space="preserve"> dnia 13 kwietnia 2016 r. o bezpieczeństwie obrotu prekursorami materiałów wybuchowych. Zgłaszanie</w:t>
      </w:r>
      <w:r w:rsidRPr="00AF27CD">
        <w:rPr>
          <w:rFonts w:ascii="Times New Roman" w:eastAsiaTheme="minorEastAsia" w:hAnsi="Times New Roman" w:cs="Times New Roman"/>
          <w:bCs/>
          <w:szCs w:val="24"/>
        </w:rPr>
        <w:t xml:space="preserve"> transakcji </w:t>
      </w:r>
      <w:r w:rsidR="00EC5C1F" w:rsidRPr="00AF27CD">
        <w:rPr>
          <w:rFonts w:ascii="Times New Roman" w:eastAsiaTheme="minorEastAsia" w:hAnsi="Times New Roman" w:cs="Times New Roman"/>
          <w:bCs/>
          <w:szCs w:val="24"/>
        </w:rPr>
        <w:t>budzących wątpliwości</w:t>
      </w:r>
      <w:r w:rsidR="000A6448" w:rsidRPr="00AF27CD">
        <w:rPr>
          <w:rFonts w:ascii="Times New Roman" w:eastAsiaTheme="minorEastAsia" w:hAnsi="Times New Roman" w:cs="Times New Roman"/>
          <w:bCs/>
          <w:szCs w:val="24"/>
        </w:rPr>
        <w:t xml:space="preserve">, jak również odmów zawarcia </w:t>
      </w:r>
      <w:r w:rsidR="00EC5C1F" w:rsidRPr="00AF27CD">
        <w:rPr>
          <w:rFonts w:ascii="Times New Roman" w:eastAsiaTheme="minorEastAsia" w:hAnsi="Times New Roman" w:cs="Times New Roman"/>
          <w:bCs/>
          <w:szCs w:val="24"/>
        </w:rPr>
        <w:t>takich transakcji</w:t>
      </w:r>
      <w:r w:rsidR="000A6448"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dotyczących strzeleckiej broni palnej i istotnych komponentów</w:t>
      </w:r>
      <w:r w:rsidR="007B7616">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w:t>
      </w:r>
      <w:r w:rsidR="008E5666" w:rsidRPr="00AF27CD">
        <w:rPr>
          <w:rFonts w:ascii="Times New Roman" w:eastAsiaTheme="minorEastAsia" w:hAnsi="Times New Roman" w:cs="Times New Roman"/>
          <w:bCs/>
          <w:szCs w:val="24"/>
        </w:rPr>
        <w:t xml:space="preserve">może </w:t>
      </w:r>
      <w:r w:rsidRPr="00AF27CD">
        <w:rPr>
          <w:rFonts w:ascii="Times New Roman" w:eastAsiaTheme="minorEastAsia" w:hAnsi="Times New Roman" w:cs="Times New Roman"/>
          <w:bCs/>
          <w:szCs w:val="24"/>
        </w:rPr>
        <w:t>odbywa</w:t>
      </w:r>
      <w:r w:rsidR="008E5666" w:rsidRPr="00AF27CD">
        <w:rPr>
          <w:rFonts w:ascii="Times New Roman" w:eastAsiaTheme="minorEastAsia" w:hAnsi="Times New Roman" w:cs="Times New Roman"/>
          <w:bCs/>
          <w:szCs w:val="24"/>
        </w:rPr>
        <w:t>ć</w:t>
      </w:r>
      <w:r w:rsidRPr="00AF27CD">
        <w:rPr>
          <w:rFonts w:ascii="Times New Roman" w:eastAsiaTheme="minorEastAsia" w:hAnsi="Times New Roman" w:cs="Times New Roman"/>
          <w:bCs/>
          <w:szCs w:val="24"/>
        </w:rPr>
        <w:t xml:space="preserve"> się za pośrednictwem SRB. </w:t>
      </w:r>
    </w:p>
    <w:p w:rsidR="000A0F00" w:rsidRPr="00AF27CD" w:rsidRDefault="000A0F00"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Do projektu ustawy wprowadzono przepisy (art. 36) określające zasady zawieszenia działalności koncesjonowanej.</w:t>
      </w:r>
      <w:r w:rsidRPr="00AF27CD">
        <w:rPr>
          <w:rFonts w:ascii="Times New Roman" w:eastAsiaTheme="minorEastAsia" w:hAnsi="Times New Roman" w:cs="Times New Roman"/>
          <w:szCs w:val="24"/>
        </w:rPr>
        <w:t xml:space="preserve"> Przedsiębiorca wykon</w:t>
      </w:r>
      <w:r w:rsidR="00CC3571">
        <w:rPr>
          <w:rFonts w:ascii="Times New Roman" w:eastAsiaTheme="minorEastAsia" w:hAnsi="Times New Roman" w:cs="Times New Roman"/>
          <w:szCs w:val="24"/>
        </w:rPr>
        <w:t>ujący działalność gospodarczą w</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 xml:space="preserve">zakresie wytwarzania i obrotu materiałami wybuchowymi, bronią, amunicją oraz wyrobami i technologią o przeznaczeniu wojskowym lub policyjnym będzie mógł zawiesić wykonywanie działalności gospodarczej na okres nie dłuższy niż 3 lata. </w:t>
      </w:r>
      <w:r w:rsidRPr="00AF27CD">
        <w:rPr>
          <w:rFonts w:ascii="Times New Roman" w:eastAsiaTheme="minorEastAsia" w:hAnsi="Times New Roman" w:cs="Times New Roman"/>
          <w:bCs/>
          <w:szCs w:val="24"/>
        </w:rPr>
        <w:t xml:space="preserve">Zawieszenie wykonywania działalności gospodarczej na okres dłuższy niż 6 miesięcy </w:t>
      </w:r>
      <w:r w:rsidR="006B268E" w:rsidRPr="00AF27CD">
        <w:rPr>
          <w:rFonts w:ascii="Times New Roman" w:eastAsiaTheme="minorEastAsia" w:hAnsi="Times New Roman" w:cs="Times New Roman"/>
          <w:bCs/>
          <w:szCs w:val="24"/>
        </w:rPr>
        <w:t xml:space="preserve">jest </w:t>
      </w:r>
      <w:r w:rsidRPr="00AF27CD">
        <w:rPr>
          <w:rFonts w:ascii="Times New Roman" w:eastAsiaTheme="minorEastAsia" w:hAnsi="Times New Roman" w:cs="Times New Roman"/>
          <w:bCs/>
          <w:szCs w:val="24"/>
        </w:rPr>
        <w:t xml:space="preserve">możliwe w przypadku zbycia wszystkich towarów koncesjonowanych. Taka konstrukcja przepisów </w:t>
      </w:r>
      <w:r w:rsidR="006B268E" w:rsidRPr="00AF27CD">
        <w:rPr>
          <w:rFonts w:ascii="Times New Roman" w:eastAsiaTheme="minorEastAsia" w:hAnsi="Times New Roman" w:cs="Times New Roman"/>
          <w:bCs/>
          <w:szCs w:val="24"/>
        </w:rPr>
        <w:t xml:space="preserve">ma </w:t>
      </w:r>
      <w:r w:rsidRPr="00AF27CD">
        <w:rPr>
          <w:rFonts w:ascii="Times New Roman" w:eastAsiaTheme="minorEastAsia" w:hAnsi="Times New Roman" w:cs="Times New Roman"/>
          <w:bCs/>
          <w:szCs w:val="24"/>
        </w:rPr>
        <w:t>służyć zapewnieniu bezpieczeństwa przechowywania towarów koncesjonowanych. Należy również mieć na uwadze, że upływ czasu może mieć wpływ</w:t>
      </w:r>
      <w:r w:rsidR="00422EA7"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 xml:space="preserve">na jakość niektórych towarów, ich przydatność do użycia, spełnienie wymagań zawartych w przepisach stosowanych w wojsku, jak również na warunki udzielanej gwarancji. Praktyka organu koncesyjnego wskazuje, że przedsiębiorcy bardzo rzadko zawieszali działalność na mocy </w:t>
      </w:r>
      <w:r w:rsidR="00CC3571">
        <w:rPr>
          <w:rFonts w:ascii="Times New Roman" w:eastAsiaTheme="minorEastAsia" w:hAnsi="Times New Roman" w:cs="Times New Roman"/>
          <w:bCs/>
          <w:szCs w:val="24"/>
        </w:rPr>
        <w:t>przepisów ustawy o</w:t>
      </w:r>
      <w:r w:rsidR="00EC6774">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 xml:space="preserve">swobodzie działalności gospodarczej i dotyczyło to wyłącznie działalności wykonywanej przez osoby fizyczne. Co więcej działalność po okresie zawieszenia </w:t>
      </w:r>
      <w:r w:rsidR="006B268E" w:rsidRPr="00AF27CD">
        <w:rPr>
          <w:rFonts w:ascii="Times New Roman" w:eastAsiaTheme="minorEastAsia" w:hAnsi="Times New Roman" w:cs="Times New Roman"/>
          <w:bCs/>
          <w:szCs w:val="24"/>
        </w:rPr>
        <w:t xml:space="preserve">jest </w:t>
      </w:r>
      <w:r w:rsidRPr="00AF27CD">
        <w:rPr>
          <w:rFonts w:ascii="Times New Roman" w:eastAsiaTheme="minorEastAsia" w:hAnsi="Times New Roman" w:cs="Times New Roman"/>
          <w:bCs/>
          <w:szCs w:val="24"/>
        </w:rPr>
        <w:t>podejmowana przez nielicznych przedsiębiorców, a zawieszenie najczęściej ma skutek w postaci zaprzestania wykonywania działalności.</w:t>
      </w:r>
    </w:p>
    <w:p w:rsidR="000A0F00" w:rsidRPr="00AF27CD" w:rsidRDefault="000A0F00" w:rsidP="00422EA7">
      <w:pPr>
        <w:shd w:val="clear" w:color="auto" w:fill="FFFFFF"/>
        <w:autoSpaceDE w:val="0"/>
        <w:autoSpaceDN w:val="0"/>
        <w:adjustRightInd w:val="0"/>
        <w:spacing w:before="120" w:line="360" w:lineRule="auto"/>
        <w:jc w:val="both"/>
      </w:pPr>
      <w:r w:rsidRPr="00AF27CD">
        <w:t xml:space="preserve">Projekt ustawy zawiera również wskazanie obowiązków przedsiębiorcy w przypadku wydania ostatecznej decyzji cofającej koncesję, co jest równoznaczne z zaprzestaniem wykonywania działalności (art. 37). Zgodnie z wypracowaną dotychczas praktyką organu koncesyjnego obowiązki związane z zaprzestaniem wykonywania działalności każdorazowo określa decyzja o udzieleniu lub zmianie koncesji, </w:t>
      </w:r>
      <w:r w:rsidR="006B268E">
        <w:t>dlatego zasadne jest</w:t>
      </w:r>
      <w:r w:rsidRPr="00AF27CD">
        <w:t xml:space="preserve"> więc wprowadzenie ich do ustawy, z możliwością określenia w koncesji warunków indywidualnych dla konkretnego przedsiębiorcy.</w:t>
      </w:r>
    </w:p>
    <w:p w:rsidR="000A0F00" w:rsidRPr="00AF27CD" w:rsidRDefault="000A0F00" w:rsidP="00422EA7">
      <w:pPr>
        <w:shd w:val="clear" w:color="auto" w:fill="FFFFFF"/>
        <w:tabs>
          <w:tab w:val="left" w:pos="567"/>
        </w:tabs>
        <w:autoSpaceDE w:val="0"/>
        <w:autoSpaceDN w:val="0"/>
        <w:adjustRightInd w:val="0"/>
        <w:spacing w:before="120" w:line="360" w:lineRule="auto"/>
        <w:jc w:val="both"/>
      </w:pPr>
      <w:r w:rsidRPr="00AF27CD">
        <w:t>Kolejna zmiana w stosunku do przepisów ustawy z dnia 22 czerwca 2001 r. polega na wskazaniu ministra właściwego do spraw wewnętrznych, jako organu właściwego do przechowywania ewidencji przesyłanych przez przedsiębiorców po zakończeniu wykonywa</w:t>
      </w:r>
      <w:r w:rsidR="00976D8E" w:rsidRPr="00AF27CD">
        <w:t xml:space="preserve">nia działalności gospodarczej, </w:t>
      </w:r>
      <w:r w:rsidRPr="00AF27CD">
        <w:t xml:space="preserve">w miejsce ministra właściwego do spraw gospodarki. Jest to uzasadnione potencjalną możliwością wszczęcia </w:t>
      </w:r>
      <w:r w:rsidR="00CC3571">
        <w:t>postępowań w</w:t>
      </w:r>
      <w:r w:rsidR="00EC6774">
        <w:t> </w:t>
      </w:r>
      <w:r w:rsidRPr="00AF27CD">
        <w:t>sprawach mających związek z zakończoną działalnością koncesjonowaną, do których prowadzenia minister właściwy do spraw go</w:t>
      </w:r>
      <w:r w:rsidR="00CC3571">
        <w:t>spodarki nie posiada narzędzi i</w:t>
      </w:r>
      <w:r w:rsidR="00EC6774">
        <w:t> </w:t>
      </w:r>
      <w:r w:rsidRPr="00AF27CD">
        <w:t>kompetencji. Przepis zawiera ponadto obowiązek odpowiedniego przygotowania przekazywanej prz</w:t>
      </w:r>
      <w:r w:rsidR="00661E6B" w:rsidRPr="00AF27CD">
        <w:t>ez przedsiębiorców dokumentacji (art. 37 ust. 1 pkt 3 i ust. 2).</w:t>
      </w:r>
    </w:p>
    <w:p w:rsidR="00A93E79" w:rsidRPr="00AF27CD" w:rsidRDefault="00A93E79" w:rsidP="00422EA7">
      <w:pPr>
        <w:shd w:val="clear" w:color="auto" w:fill="FFFFFF"/>
        <w:autoSpaceDE w:val="0"/>
        <w:autoSpaceDN w:val="0"/>
        <w:adjustRightInd w:val="0"/>
        <w:spacing w:before="120" w:line="360" w:lineRule="auto"/>
        <w:jc w:val="both"/>
      </w:pPr>
      <w:r w:rsidRPr="00AF27CD">
        <w:rPr>
          <w:rFonts w:eastAsiaTheme="minorEastAsia"/>
          <w:b/>
        </w:rPr>
        <w:t>Rozdział 2</w:t>
      </w:r>
      <w:r w:rsidR="00F33B3C" w:rsidRPr="00AF27CD">
        <w:rPr>
          <w:rFonts w:eastAsiaTheme="minorEastAsia"/>
          <w:b/>
        </w:rPr>
        <w:t xml:space="preserve"> (art. 3</w:t>
      </w:r>
      <w:r w:rsidR="00511D71" w:rsidRPr="00AF27CD">
        <w:rPr>
          <w:rFonts w:eastAsiaTheme="minorEastAsia"/>
          <w:b/>
        </w:rPr>
        <w:t>8</w:t>
      </w:r>
      <w:r w:rsidR="00422EA7" w:rsidRPr="00AF27CD">
        <w:rPr>
          <w:rFonts w:eastAsiaTheme="minorEastAsia"/>
          <w:b/>
        </w:rPr>
        <w:t>–</w:t>
      </w:r>
      <w:r w:rsidR="00924543" w:rsidRPr="00AF27CD">
        <w:rPr>
          <w:rFonts w:eastAsiaTheme="minorEastAsia"/>
          <w:b/>
        </w:rPr>
        <w:t>54</w:t>
      </w:r>
      <w:r w:rsidR="00F33B3C" w:rsidRPr="00AF27CD">
        <w:rPr>
          <w:rFonts w:eastAsiaTheme="minorEastAsia"/>
          <w:b/>
        </w:rPr>
        <w:t>)</w:t>
      </w:r>
      <w:r w:rsidRPr="00AF27CD">
        <w:rPr>
          <w:rFonts w:eastAsiaTheme="minorEastAsia"/>
        </w:rPr>
        <w:t xml:space="preserve"> określa zasady w</w:t>
      </w:r>
      <w:r w:rsidRPr="00AF27CD">
        <w:t>ykonywa</w:t>
      </w:r>
      <w:r w:rsidR="00CC3571">
        <w:t>nia działalności gospodarczej w</w:t>
      </w:r>
      <w:r w:rsidR="00EC6774">
        <w:t> </w:t>
      </w:r>
      <w:r w:rsidRPr="00AF27CD">
        <w:t>zakresie wytwarzania materiałów wybuchowyc</w:t>
      </w:r>
      <w:r w:rsidR="00E81F1A" w:rsidRPr="00AF27CD">
        <w:t xml:space="preserve">h, broni, amunicji oraz wyrobów </w:t>
      </w:r>
      <w:r w:rsidR="00CC3571">
        <w:t>o</w:t>
      </w:r>
      <w:r w:rsidR="00EC6774">
        <w:t> </w:t>
      </w:r>
      <w:r w:rsidRPr="00AF27CD">
        <w:t>przeznaczeniu wojskowym</w:t>
      </w:r>
      <w:r w:rsidR="00B875BC" w:rsidRPr="00AF27CD">
        <w:t xml:space="preserve"> lub policyjnym</w:t>
      </w:r>
      <w:r w:rsidRPr="00AF27CD">
        <w:t>.</w:t>
      </w:r>
    </w:p>
    <w:p w:rsidR="00A93E79" w:rsidRPr="00AF27CD" w:rsidRDefault="00A93E79" w:rsidP="00422EA7">
      <w:pPr>
        <w:pStyle w:val="ROZDZODDZPRZEDMprzedmiotregulacjirozdziauluboddziau"/>
        <w:jc w:val="both"/>
        <w:rPr>
          <w:rFonts w:ascii="Times New Roman" w:hAnsi="Times New Roman"/>
          <w:b w:val="0"/>
        </w:rPr>
      </w:pPr>
      <w:r w:rsidRPr="00AF27CD">
        <w:rPr>
          <w:rFonts w:ascii="Times New Roman" w:hAnsi="Times New Roman"/>
        </w:rPr>
        <w:t xml:space="preserve">Oddział 1 </w:t>
      </w:r>
      <w:r w:rsidR="00422EA7" w:rsidRPr="00AF27CD">
        <w:rPr>
          <w:rFonts w:ascii="Times New Roman" w:hAnsi="Times New Roman"/>
        </w:rPr>
        <w:t>(art. 38–</w:t>
      </w:r>
      <w:r w:rsidR="00924543" w:rsidRPr="00AF27CD">
        <w:rPr>
          <w:rFonts w:ascii="Times New Roman" w:hAnsi="Times New Roman"/>
        </w:rPr>
        <w:t xml:space="preserve">47) </w:t>
      </w:r>
      <w:r w:rsidR="00422EA7" w:rsidRPr="00AF27CD">
        <w:rPr>
          <w:rFonts w:ascii="Times New Roman" w:hAnsi="Times New Roman"/>
        </w:rPr>
        <w:t>–</w:t>
      </w:r>
      <w:r w:rsidRPr="00AF27CD">
        <w:rPr>
          <w:rFonts w:ascii="Times New Roman" w:hAnsi="Times New Roman"/>
        </w:rPr>
        <w:t xml:space="preserve"> </w:t>
      </w:r>
      <w:r w:rsidRPr="00AF27CD">
        <w:rPr>
          <w:rFonts w:ascii="Times New Roman" w:hAnsi="Times New Roman"/>
          <w:b w:val="0"/>
        </w:rPr>
        <w:t>Wytwarzanie materiałów wybuchowych, broni, amu</w:t>
      </w:r>
      <w:r w:rsidR="00AF14BC" w:rsidRPr="00AF27CD">
        <w:rPr>
          <w:rFonts w:ascii="Times New Roman" w:hAnsi="Times New Roman"/>
          <w:b w:val="0"/>
        </w:rPr>
        <w:t>nicji oraz wyrobów</w:t>
      </w:r>
      <w:r w:rsidRPr="00AF27CD">
        <w:rPr>
          <w:rFonts w:ascii="Times New Roman" w:hAnsi="Times New Roman"/>
          <w:b w:val="0"/>
        </w:rPr>
        <w:t xml:space="preserve"> o przeznaczeniu wojskowym lub policyjnym</w:t>
      </w:r>
    </w:p>
    <w:p w:rsidR="00A958F9" w:rsidRPr="00AF27CD" w:rsidRDefault="006F23AE"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Dotychczasowe przepisy zawarte w art. 18 ust. 1 i </w:t>
      </w:r>
      <w:r w:rsidR="00CC3571">
        <w:rPr>
          <w:rFonts w:ascii="Times New Roman" w:hAnsi="Times New Roman" w:cs="Times New Roman"/>
          <w:szCs w:val="24"/>
        </w:rPr>
        <w:t>2 ustawy z dnia 22 czerwca 2001</w:t>
      </w:r>
      <w:r w:rsidR="00EC6774">
        <w:rPr>
          <w:rFonts w:ascii="Times New Roman" w:hAnsi="Times New Roman" w:cs="Times New Roman"/>
          <w:szCs w:val="24"/>
        </w:rPr>
        <w:t> </w:t>
      </w:r>
      <w:r w:rsidRPr="00AF27CD">
        <w:rPr>
          <w:rFonts w:ascii="Times New Roman" w:hAnsi="Times New Roman" w:cs="Times New Roman"/>
          <w:szCs w:val="24"/>
        </w:rPr>
        <w:t>r.</w:t>
      </w:r>
      <w:r w:rsidR="00422EA7" w:rsidRPr="00AF27CD">
        <w:rPr>
          <w:rFonts w:ascii="Times New Roman" w:hAnsi="Times New Roman" w:cs="Times New Roman"/>
          <w:szCs w:val="24"/>
        </w:rPr>
        <w:t xml:space="preserve"> </w:t>
      </w:r>
      <w:r w:rsidRPr="00AF27CD">
        <w:rPr>
          <w:rFonts w:ascii="Times New Roman" w:hAnsi="Times New Roman" w:cs="Times New Roman"/>
          <w:szCs w:val="24"/>
        </w:rPr>
        <w:t>zostały</w:t>
      </w:r>
      <w:r w:rsidR="006B268E">
        <w:rPr>
          <w:rFonts w:ascii="Times New Roman" w:hAnsi="Times New Roman" w:cs="Times New Roman"/>
          <w:szCs w:val="24"/>
        </w:rPr>
        <w:t>,</w:t>
      </w:r>
      <w:r w:rsidRPr="00AF27CD">
        <w:rPr>
          <w:rFonts w:ascii="Times New Roman" w:hAnsi="Times New Roman" w:cs="Times New Roman"/>
          <w:szCs w:val="24"/>
        </w:rPr>
        <w:t xml:space="preserve"> po przeredagowaniu</w:t>
      </w:r>
      <w:r w:rsidR="006B268E">
        <w:rPr>
          <w:rFonts w:ascii="Times New Roman" w:hAnsi="Times New Roman" w:cs="Times New Roman"/>
          <w:szCs w:val="24"/>
        </w:rPr>
        <w:t>,</w:t>
      </w:r>
      <w:r w:rsidRPr="00AF27CD">
        <w:rPr>
          <w:rFonts w:ascii="Times New Roman" w:hAnsi="Times New Roman" w:cs="Times New Roman"/>
          <w:szCs w:val="24"/>
        </w:rPr>
        <w:t xml:space="preserve"> umieszczone w art. 38 ust. 1 i 2 projektu. Ponadto</w:t>
      </w:r>
      <w:r w:rsidR="00A25597">
        <w:rPr>
          <w:rFonts w:ascii="Times New Roman" w:hAnsi="Times New Roman" w:cs="Times New Roman"/>
          <w:szCs w:val="24"/>
        </w:rPr>
        <w:t>, w </w:t>
      </w:r>
      <w:r w:rsidR="002E4224" w:rsidRPr="00AF27CD">
        <w:rPr>
          <w:rFonts w:ascii="Times New Roman" w:hAnsi="Times New Roman" w:cs="Times New Roman"/>
          <w:szCs w:val="24"/>
        </w:rPr>
        <w:t>wyniku uzgodnień</w:t>
      </w:r>
      <w:r w:rsidR="00422EA7" w:rsidRPr="00AF27CD">
        <w:rPr>
          <w:rFonts w:ascii="Times New Roman" w:hAnsi="Times New Roman" w:cs="Times New Roman"/>
          <w:szCs w:val="24"/>
        </w:rPr>
        <w:t xml:space="preserve"> </w:t>
      </w:r>
      <w:r w:rsidR="002E4224" w:rsidRPr="00AF27CD">
        <w:rPr>
          <w:rFonts w:ascii="Times New Roman" w:hAnsi="Times New Roman" w:cs="Times New Roman"/>
          <w:szCs w:val="24"/>
        </w:rPr>
        <w:t>w trakcie prac Komisji Prawniczej,</w:t>
      </w:r>
      <w:r w:rsidRPr="00AF27CD">
        <w:rPr>
          <w:rFonts w:ascii="Times New Roman" w:hAnsi="Times New Roman" w:cs="Times New Roman"/>
          <w:szCs w:val="24"/>
        </w:rPr>
        <w:t xml:space="preserve"> dodano nowy ust. 3</w:t>
      </w:r>
      <w:r w:rsidR="002E4224" w:rsidRPr="00AF27CD">
        <w:rPr>
          <w:rFonts w:ascii="Times New Roman" w:hAnsi="Times New Roman" w:cs="Times New Roman"/>
          <w:szCs w:val="24"/>
        </w:rPr>
        <w:t>,</w:t>
      </w:r>
      <w:r w:rsidRPr="00AF27CD">
        <w:rPr>
          <w:rFonts w:ascii="Times New Roman" w:hAnsi="Times New Roman" w:cs="Times New Roman"/>
          <w:szCs w:val="24"/>
        </w:rPr>
        <w:t xml:space="preserve"> w którym </w:t>
      </w:r>
      <w:r w:rsidR="002E4224" w:rsidRPr="00AF27CD">
        <w:rPr>
          <w:rFonts w:ascii="Times New Roman" w:hAnsi="Times New Roman" w:cs="Times New Roman"/>
          <w:szCs w:val="24"/>
        </w:rPr>
        <w:t>wyjaśniono</w:t>
      </w:r>
      <w:r w:rsidRPr="00AF27CD">
        <w:rPr>
          <w:rFonts w:ascii="Times New Roman" w:hAnsi="Times New Roman" w:cs="Times New Roman"/>
          <w:szCs w:val="24"/>
        </w:rPr>
        <w:t xml:space="preserve"> określenie </w:t>
      </w:r>
      <w:r w:rsidR="00A25597">
        <w:rPr>
          <w:rFonts w:ascii="Times New Roman" w:hAnsi="Times New Roman" w:cs="Times New Roman"/>
          <w:szCs w:val="24"/>
        </w:rPr>
        <w:t>„</w:t>
      </w:r>
      <w:r w:rsidRPr="00AF27CD">
        <w:rPr>
          <w:rFonts w:ascii="Times New Roman" w:hAnsi="Times New Roman" w:cs="Times New Roman"/>
          <w:szCs w:val="24"/>
        </w:rPr>
        <w:t>projektowany okres używania”. Celem regulacji jest zapewnienie spójności z art. 55 projektu, a co za tym idzie wyraźne wskazanie, że materiały wybuchowe, broń</w:t>
      </w:r>
      <w:r w:rsidR="00277B24" w:rsidRPr="00AF27CD">
        <w:rPr>
          <w:rFonts w:ascii="Times New Roman" w:hAnsi="Times New Roman" w:cs="Times New Roman"/>
          <w:szCs w:val="24"/>
        </w:rPr>
        <w:t>,</w:t>
      </w:r>
      <w:r w:rsidRPr="00AF27CD">
        <w:rPr>
          <w:rFonts w:ascii="Times New Roman" w:hAnsi="Times New Roman" w:cs="Times New Roman"/>
          <w:szCs w:val="24"/>
        </w:rPr>
        <w:t xml:space="preserve"> amunicja</w:t>
      </w:r>
      <w:r w:rsidR="00277B24" w:rsidRPr="00AF27CD">
        <w:rPr>
          <w:rFonts w:ascii="Times New Roman" w:hAnsi="Times New Roman" w:cs="Times New Roman"/>
          <w:szCs w:val="24"/>
        </w:rPr>
        <w:t xml:space="preserve"> oraz wyroby o przeznaczeniu wojskowym lub policyjnym są </w:t>
      </w:r>
      <w:r w:rsidRPr="00AF27CD">
        <w:rPr>
          <w:rFonts w:ascii="Times New Roman" w:hAnsi="Times New Roman" w:cs="Times New Roman"/>
          <w:szCs w:val="24"/>
        </w:rPr>
        <w:t xml:space="preserve">projektowane i wytwarzane w taki sposób, aby w założonym okresie </w:t>
      </w:r>
      <w:r w:rsidR="00BE5A33" w:rsidRPr="00AF27CD">
        <w:rPr>
          <w:rFonts w:ascii="Times New Roman" w:hAnsi="Times New Roman" w:cs="Times New Roman"/>
          <w:szCs w:val="24"/>
        </w:rPr>
        <w:t xml:space="preserve">użytkowania posiadały cechy i właściwości umożliwiające ich </w:t>
      </w:r>
      <w:r w:rsidR="00CC3571">
        <w:rPr>
          <w:rFonts w:ascii="Times New Roman" w:hAnsi="Times New Roman" w:cs="Times New Roman"/>
          <w:szCs w:val="24"/>
        </w:rPr>
        <w:t>użycie zgodnie z</w:t>
      </w:r>
      <w:r w:rsidR="00EC6774">
        <w:rPr>
          <w:rFonts w:ascii="Times New Roman" w:hAnsi="Times New Roman" w:cs="Times New Roman"/>
          <w:szCs w:val="24"/>
        </w:rPr>
        <w:t> </w:t>
      </w:r>
      <w:r w:rsidR="00BE5A33" w:rsidRPr="00AF27CD">
        <w:rPr>
          <w:rFonts w:ascii="Times New Roman" w:hAnsi="Times New Roman" w:cs="Times New Roman"/>
          <w:szCs w:val="24"/>
        </w:rPr>
        <w:t xml:space="preserve">przeznaczeniem, z zachowaniem niezawodności i bezpieczeństwa dla użytkownika. Tak sformułowany przepis nie jest przeszkodą, aby przedmiotem obrotu były towary koncesjonowane, w przypadku których projektowany okres używania już upłynął. Towary takie mogą być atrakcyjne dla potencjalnych nabywców, z uwagi na niską cenę i możliwość ich przetworzenia, np. poprzez pozbawienie cech użytkowych lub odzysk. </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hAnsi="Times New Roman" w:cs="Times New Roman"/>
          <w:szCs w:val="24"/>
        </w:rPr>
        <w:t>Projekt ustawy przejmuje rozwiązania zawarte w ustawie z dnia 22 czerwca 2001</w:t>
      </w:r>
      <w:r w:rsidR="00BA2642" w:rsidRPr="00AF27CD">
        <w:rPr>
          <w:rFonts w:ascii="Times New Roman" w:hAnsi="Times New Roman" w:cs="Times New Roman"/>
          <w:szCs w:val="24"/>
        </w:rPr>
        <w:t xml:space="preserve"> </w:t>
      </w:r>
      <w:r w:rsidRPr="00AF27CD">
        <w:rPr>
          <w:rFonts w:ascii="Times New Roman" w:hAnsi="Times New Roman" w:cs="Times New Roman"/>
          <w:szCs w:val="24"/>
        </w:rPr>
        <w:t xml:space="preserve">r., </w:t>
      </w:r>
      <w:r w:rsidR="00F33B3C" w:rsidRPr="00AF27CD">
        <w:rPr>
          <w:rFonts w:ascii="Times New Roman" w:hAnsi="Times New Roman" w:cs="Times New Roman"/>
          <w:szCs w:val="24"/>
        </w:rPr>
        <w:t>wiążące wykonywanie</w:t>
      </w:r>
      <w:r w:rsidRPr="00AF27CD">
        <w:rPr>
          <w:rFonts w:ascii="Times New Roman" w:hAnsi="Times New Roman" w:cs="Times New Roman"/>
          <w:szCs w:val="24"/>
        </w:rPr>
        <w:t xml:space="preserve"> działalności w zakresie wytwarzania z </w:t>
      </w:r>
      <w:r w:rsidRPr="00AF27CD">
        <w:rPr>
          <w:rFonts w:ascii="Times New Roman" w:eastAsiaTheme="minorEastAsia" w:hAnsi="Times New Roman" w:cs="Times New Roman"/>
          <w:bCs/>
          <w:szCs w:val="24"/>
        </w:rPr>
        <w:t>ustaw</w:t>
      </w:r>
      <w:r w:rsidRPr="00AF27CD">
        <w:rPr>
          <w:rFonts w:ascii="Times New Roman" w:hAnsi="Times New Roman" w:cs="Times New Roman"/>
          <w:szCs w:val="24"/>
        </w:rPr>
        <w:t>ą</w:t>
      </w:r>
      <w:r w:rsidR="00CC3571">
        <w:rPr>
          <w:rFonts w:ascii="Times New Roman" w:eastAsiaTheme="minorEastAsia" w:hAnsi="Times New Roman" w:cs="Times New Roman"/>
          <w:bCs/>
          <w:szCs w:val="24"/>
        </w:rPr>
        <w:t xml:space="preserve"> z dnia 17</w:t>
      </w:r>
      <w:r w:rsidR="00EC6774">
        <w:rPr>
          <w:rFonts w:ascii="Times New Roman" w:eastAsiaTheme="minorEastAsia" w:hAnsi="Times New Roman" w:cs="Times New Roman"/>
          <w:bCs/>
          <w:szCs w:val="24"/>
        </w:rPr>
        <w:t> </w:t>
      </w:r>
      <w:r w:rsidRPr="00AF27CD">
        <w:rPr>
          <w:rFonts w:ascii="Times New Roman" w:eastAsiaTheme="minorEastAsia" w:hAnsi="Times New Roman" w:cs="Times New Roman"/>
          <w:bCs/>
          <w:szCs w:val="24"/>
        </w:rPr>
        <w:t xml:space="preserve">listopada 2006 r. o systemie oceny zgodności na potrzeby </w:t>
      </w:r>
      <w:r w:rsidR="000A6448" w:rsidRPr="00AF27CD">
        <w:rPr>
          <w:rFonts w:ascii="Times New Roman" w:eastAsiaTheme="minorEastAsia" w:hAnsi="Times New Roman" w:cs="Times New Roman"/>
          <w:bCs/>
          <w:szCs w:val="24"/>
        </w:rPr>
        <w:t xml:space="preserve">wyrobów przeznaczonych na potrzeby </w:t>
      </w:r>
      <w:r w:rsidRPr="00AF27CD">
        <w:rPr>
          <w:rFonts w:ascii="Times New Roman" w:eastAsiaTheme="minorEastAsia" w:hAnsi="Times New Roman" w:cs="Times New Roman"/>
          <w:bCs/>
          <w:szCs w:val="24"/>
        </w:rPr>
        <w:t xml:space="preserve">obronności i bezpieczeństwa państwa </w:t>
      </w:r>
      <w:r w:rsidR="00CC3571">
        <w:rPr>
          <w:rFonts w:ascii="Times New Roman" w:hAnsi="Times New Roman" w:cs="Times New Roman"/>
          <w:szCs w:val="24"/>
        </w:rPr>
        <w:t>oraz obowiązek utworzenia i</w:t>
      </w:r>
      <w:r w:rsidR="00EC6774">
        <w:rPr>
          <w:rFonts w:ascii="Times New Roman" w:hAnsi="Times New Roman" w:cs="Times New Roman"/>
          <w:szCs w:val="24"/>
        </w:rPr>
        <w:t> </w:t>
      </w:r>
      <w:r w:rsidRPr="00AF27CD">
        <w:rPr>
          <w:rFonts w:ascii="Times New Roman" w:hAnsi="Times New Roman" w:cs="Times New Roman"/>
          <w:szCs w:val="24"/>
        </w:rPr>
        <w:t>stosowania systemu oceny jakości produkcji (art. 4</w:t>
      </w:r>
      <w:r w:rsidR="00511D71" w:rsidRPr="00AF27CD">
        <w:rPr>
          <w:rFonts w:ascii="Times New Roman" w:hAnsi="Times New Roman" w:cs="Times New Roman"/>
          <w:szCs w:val="24"/>
        </w:rPr>
        <w:t>1</w:t>
      </w:r>
      <w:r w:rsidRPr="00AF27CD">
        <w:rPr>
          <w:rFonts w:ascii="Times New Roman" w:hAnsi="Times New Roman" w:cs="Times New Roman"/>
          <w:szCs w:val="24"/>
        </w:rPr>
        <w:t xml:space="preserve">). Celem tych przepisów jest zapewnienie, aby wytworzone materiały wybuchowe, </w:t>
      </w:r>
      <w:r w:rsidRPr="00AF27CD">
        <w:rPr>
          <w:rFonts w:ascii="Times New Roman" w:eastAsiaTheme="minorEastAsia" w:hAnsi="Times New Roman" w:cs="Times New Roman"/>
          <w:szCs w:val="24"/>
        </w:rPr>
        <w:t>bro</w:t>
      </w:r>
      <w:r w:rsidRPr="00AF27CD">
        <w:rPr>
          <w:rFonts w:ascii="Times New Roman" w:hAnsi="Times New Roman" w:cs="Times New Roman"/>
          <w:szCs w:val="24"/>
        </w:rPr>
        <w:t>ń, amunicja</w:t>
      </w:r>
      <w:r w:rsidRPr="00AF27CD">
        <w:rPr>
          <w:rFonts w:ascii="Times New Roman" w:eastAsiaTheme="minorEastAsia" w:hAnsi="Times New Roman" w:cs="Times New Roman"/>
          <w:szCs w:val="24"/>
        </w:rPr>
        <w:t xml:space="preserve"> oraz wyrob</w:t>
      </w:r>
      <w:r w:rsidRPr="00AF27CD">
        <w:rPr>
          <w:rFonts w:ascii="Times New Roman" w:hAnsi="Times New Roman" w:cs="Times New Roman"/>
          <w:szCs w:val="24"/>
        </w:rPr>
        <w:t>y</w:t>
      </w:r>
      <w:r w:rsidR="00CC3571">
        <w:rPr>
          <w:rFonts w:ascii="Times New Roman" w:eastAsiaTheme="minorEastAsia" w:hAnsi="Times New Roman" w:cs="Times New Roman"/>
          <w:szCs w:val="24"/>
        </w:rPr>
        <w:t xml:space="preserve"> o</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przezna</w:t>
      </w:r>
      <w:r w:rsidRPr="00AF27CD">
        <w:rPr>
          <w:rFonts w:ascii="Times New Roman" w:hAnsi="Times New Roman" w:cs="Times New Roman"/>
          <w:szCs w:val="24"/>
        </w:rPr>
        <w:t>czeniu wojskowym lub policyjnym były bezpieczne dla użytkownika, zgodne z wymaganiami odpowiednich norm i przepisów branżowych, aby działały we właściwy sposób, zachowując zgodność ze wzorem (prototypem). Celom tym ma służyć obowiązek nałożony na przedsiębiorc</w:t>
      </w:r>
      <w:r w:rsidR="00CC3571">
        <w:rPr>
          <w:rFonts w:ascii="Times New Roman" w:hAnsi="Times New Roman" w:cs="Times New Roman"/>
          <w:szCs w:val="24"/>
        </w:rPr>
        <w:t>ów, z wyłączeniem rusznikarzy i</w:t>
      </w:r>
      <w:r w:rsidR="00EC6774">
        <w:rPr>
          <w:rFonts w:ascii="Times New Roman" w:hAnsi="Times New Roman" w:cs="Times New Roman"/>
          <w:szCs w:val="24"/>
        </w:rPr>
        <w:t> </w:t>
      </w:r>
      <w:r w:rsidRPr="00AF27CD">
        <w:rPr>
          <w:rFonts w:ascii="Times New Roman" w:hAnsi="Times New Roman" w:cs="Times New Roman"/>
          <w:szCs w:val="24"/>
        </w:rPr>
        <w:t xml:space="preserve">przedsiębiorców wytwarzających reprodukcje broni czarnoprochowej, </w:t>
      </w:r>
      <w:r w:rsidR="00CC3571">
        <w:rPr>
          <w:rFonts w:ascii="Times New Roman" w:eastAsiaTheme="minorEastAsia" w:hAnsi="Times New Roman" w:cs="Times New Roman"/>
          <w:szCs w:val="24"/>
        </w:rPr>
        <w:t>utworzenia i</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stosowania systemu oceny jakości produkcji.</w:t>
      </w:r>
      <w:r w:rsidR="00422EA7" w:rsidRPr="00AF27CD">
        <w:rPr>
          <w:rFonts w:ascii="Times New Roman" w:eastAsiaTheme="minorEastAsia" w:hAnsi="Times New Roman" w:cs="Times New Roman"/>
          <w:szCs w:val="24"/>
        </w:rPr>
        <w:t xml:space="preserve"> </w:t>
      </w:r>
      <w:r w:rsidRPr="00AF27CD">
        <w:rPr>
          <w:rFonts w:ascii="Times New Roman" w:eastAsiaTheme="minorEastAsia" w:hAnsi="Times New Roman" w:cs="Times New Roman"/>
          <w:bCs/>
          <w:szCs w:val="24"/>
        </w:rPr>
        <w:t>W ramach tego systemu należy określić w szczególności: zadania organów przedsiębiorstwa, podstawowe zadania na stanowiskach pracy w zakresie kontroli i zarządzania produkcją, procedury kontroli wewnętrznej i kontroli produktu końcowego, zasady doboru i szkoleń pracowników oraz archiwizacji danych.</w:t>
      </w:r>
      <w:r w:rsidR="00422EA7"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 xml:space="preserve">System oceny jakości produkcji podlega zaopiniowaniu pod względem zgodności z wymaganiami określonymi powyżej, a opinię zgodności wydają upoważnione jednostki. Mając na względzie potencjał naukowo-badawczy, dający gwarancję należytego wykonywania zleconych czynności oraz doświadczenie, zasadnym jest, aby upoważnionymi jednostkami były te same jednostki i instytuty, które wydają opinie o spełnieniu warunków technicznych i organizacyjnych dla przedsiębiorców ubiegających się o udzielenie koncesji. </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Instytuty te</w:t>
      </w:r>
      <w:r w:rsidR="006B268E">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opiniując obiekty magazynowe i produkcyjne</w:t>
      </w:r>
      <w:r w:rsidR="006B268E">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dokonują oceny zdolności produkcyjnych przedsiębiorcy</w:t>
      </w:r>
      <w:r w:rsidR="000950DA" w:rsidRPr="00AF27CD">
        <w:rPr>
          <w:rFonts w:ascii="Times New Roman" w:eastAsiaTheme="minorEastAsia" w:hAnsi="Times New Roman" w:cs="Times New Roman"/>
          <w:bCs/>
          <w:szCs w:val="24"/>
        </w:rPr>
        <w:t xml:space="preserve"> przed udzieleniem koncesji</w:t>
      </w:r>
      <w:r w:rsidRPr="00AF27CD">
        <w:rPr>
          <w:rFonts w:ascii="Times New Roman" w:eastAsiaTheme="minorEastAsia" w:hAnsi="Times New Roman" w:cs="Times New Roman"/>
          <w:bCs/>
          <w:szCs w:val="24"/>
        </w:rPr>
        <w:t xml:space="preserve">. Opinia dotycząca </w:t>
      </w:r>
      <w:r w:rsidR="000950DA" w:rsidRPr="00AF27CD">
        <w:rPr>
          <w:rFonts w:ascii="Times New Roman" w:eastAsiaTheme="minorEastAsia" w:hAnsi="Times New Roman" w:cs="Times New Roman"/>
          <w:bCs/>
          <w:szCs w:val="24"/>
        </w:rPr>
        <w:t>s</w:t>
      </w:r>
      <w:r w:rsidRPr="00AF27CD">
        <w:rPr>
          <w:rFonts w:ascii="Times New Roman" w:eastAsiaTheme="minorEastAsia" w:hAnsi="Times New Roman" w:cs="Times New Roman"/>
          <w:bCs/>
          <w:szCs w:val="24"/>
        </w:rPr>
        <w:t xml:space="preserve">ystemu </w:t>
      </w:r>
      <w:r w:rsidR="000950DA" w:rsidRPr="00AF27CD">
        <w:rPr>
          <w:rFonts w:ascii="Times New Roman" w:eastAsiaTheme="minorEastAsia" w:hAnsi="Times New Roman" w:cs="Times New Roman"/>
          <w:bCs/>
          <w:szCs w:val="24"/>
        </w:rPr>
        <w:t>o</w:t>
      </w:r>
      <w:r w:rsidRPr="00AF27CD">
        <w:rPr>
          <w:rFonts w:ascii="Times New Roman" w:eastAsiaTheme="minorEastAsia" w:hAnsi="Times New Roman" w:cs="Times New Roman"/>
          <w:bCs/>
          <w:szCs w:val="24"/>
        </w:rPr>
        <w:t xml:space="preserve">ceny </w:t>
      </w:r>
      <w:r w:rsidR="000950DA" w:rsidRPr="00AF27CD">
        <w:rPr>
          <w:rFonts w:ascii="Times New Roman" w:eastAsiaTheme="minorEastAsia" w:hAnsi="Times New Roman" w:cs="Times New Roman"/>
          <w:bCs/>
          <w:szCs w:val="24"/>
        </w:rPr>
        <w:t>j</w:t>
      </w:r>
      <w:r w:rsidRPr="00AF27CD">
        <w:rPr>
          <w:rFonts w:ascii="Times New Roman" w:eastAsiaTheme="minorEastAsia" w:hAnsi="Times New Roman" w:cs="Times New Roman"/>
          <w:bCs/>
          <w:szCs w:val="24"/>
        </w:rPr>
        <w:t>akości będzie rozwinięciem już wykonanych zadań i czynności</w:t>
      </w:r>
      <w:r w:rsidR="000950DA" w:rsidRPr="00AF27CD">
        <w:rPr>
          <w:rFonts w:ascii="Times New Roman" w:eastAsiaTheme="minorEastAsia" w:hAnsi="Times New Roman" w:cs="Times New Roman"/>
          <w:bCs/>
          <w:szCs w:val="24"/>
        </w:rPr>
        <w:t xml:space="preserve"> i </w:t>
      </w:r>
      <w:r w:rsidR="006B268E">
        <w:rPr>
          <w:rFonts w:ascii="Times New Roman" w:eastAsiaTheme="minorEastAsia" w:hAnsi="Times New Roman" w:cs="Times New Roman"/>
          <w:bCs/>
          <w:szCs w:val="24"/>
        </w:rPr>
        <w:t xml:space="preserve">będzie </w:t>
      </w:r>
      <w:r w:rsidR="000950DA" w:rsidRPr="00AF27CD">
        <w:rPr>
          <w:rFonts w:ascii="Times New Roman" w:eastAsiaTheme="minorEastAsia" w:hAnsi="Times New Roman" w:cs="Times New Roman"/>
          <w:bCs/>
          <w:szCs w:val="24"/>
        </w:rPr>
        <w:t>dotyczyć sposobu i jakości działalności wykonywanej po udzieleniu koncesji</w:t>
      </w:r>
      <w:r w:rsidRPr="00AF27CD">
        <w:rPr>
          <w:rFonts w:ascii="Times New Roman" w:eastAsiaTheme="minorEastAsia" w:hAnsi="Times New Roman" w:cs="Times New Roman"/>
          <w:bCs/>
          <w:szCs w:val="24"/>
        </w:rPr>
        <w:t>.</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Przed wystąpieniem o wydanie opinii zgodności przedsiębiorca może zwrócić się do upoważnionej jednostki o określenie szczegółowych wymagań dotyczących systemu oceny jakości produkcji.</w:t>
      </w:r>
      <w:r w:rsidR="00422EA7"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 xml:space="preserve">Opinia ma być </w:t>
      </w:r>
      <w:r w:rsidR="006B268E" w:rsidRPr="00AF27CD">
        <w:rPr>
          <w:rFonts w:ascii="Times New Roman" w:eastAsiaTheme="minorEastAsia" w:hAnsi="Times New Roman" w:cs="Times New Roman"/>
          <w:bCs/>
          <w:szCs w:val="24"/>
        </w:rPr>
        <w:t xml:space="preserve">wydawana </w:t>
      </w:r>
      <w:r w:rsidRPr="00AF27CD">
        <w:rPr>
          <w:rFonts w:ascii="Times New Roman" w:eastAsiaTheme="minorEastAsia" w:hAnsi="Times New Roman" w:cs="Times New Roman"/>
          <w:bCs/>
          <w:szCs w:val="24"/>
        </w:rPr>
        <w:t xml:space="preserve">na zlecenie i koszt ubiegającego się o nią przedsiębiorcy. System oceny jakości </w:t>
      </w:r>
      <w:r w:rsidR="00CC3571">
        <w:rPr>
          <w:rFonts w:ascii="Times New Roman" w:eastAsiaTheme="minorEastAsia" w:hAnsi="Times New Roman" w:cs="Times New Roman"/>
          <w:bCs/>
          <w:szCs w:val="24"/>
        </w:rPr>
        <w:t>produkcji nie będzie wymagany w</w:t>
      </w:r>
      <w:r w:rsidR="00EC6774">
        <w:rPr>
          <w:rFonts w:ascii="Times New Roman" w:eastAsiaTheme="minorEastAsia" w:hAnsi="Times New Roman" w:cs="Times New Roman"/>
          <w:bCs/>
          <w:szCs w:val="24"/>
        </w:rPr>
        <w:t> </w:t>
      </w:r>
      <w:r w:rsidRPr="00AF27CD">
        <w:rPr>
          <w:rFonts w:ascii="Times New Roman" w:eastAsiaTheme="minorEastAsia" w:hAnsi="Times New Roman" w:cs="Times New Roman"/>
          <w:bCs/>
          <w:szCs w:val="24"/>
        </w:rPr>
        <w:t xml:space="preserve">przypadku działalności </w:t>
      </w:r>
      <w:r w:rsidR="000950DA" w:rsidRPr="00AF27CD">
        <w:rPr>
          <w:rFonts w:ascii="Times New Roman" w:eastAsiaTheme="minorEastAsia" w:hAnsi="Times New Roman" w:cs="Times New Roman"/>
          <w:bCs/>
          <w:szCs w:val="24"/>
        </w:rPr>
        <w:t xml:space="preserve">w zakresie wytwarzania, </w:t>
      </w:r>
      <w:r w:rsidRPr="00AF27CD">
        <w:rPr>
          <w:rFonts w:ascii="Times New Roman" w:eastAsiaTheme="minorEastAsia" w:hAnsi="Times New Roman" w:cs="Times New Roman"/>
          <w:bCs/>
          <w:szCs w:val="24"/>
        </w:rPr>
        <w:t>wykonywanej przez mikroprzedsiębiorcó</w:t>
      </w:r>
      <w:r w:rsidR="00BA2642" w:rsidRPr="00AF27CD">
        <w:rPr>
          <w:rFonts w:ascii="Times New Roman" w:eastAsiaTheme="minorEastAsia" w:hAnsi="Times New Roman" w:cs="Times New Roman"/>
          <w:bCs/>
          <w:szCs w:val="24"/>
        </w:rPr>
        <w:t>w.</w:t>
      </w:r>
    </w:p>
    <w:p w:rsidR="006A3561" w:rsidRPr="00AF27CD" w:rsidRDefault="006A3561"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 xml:space="preserve">Mając na uwadze, że przedsiębiorcy działający w obszarze wytwarzania i obrotu wyrobami przeznaczonymi na potrzeby obronności i bezpieczeństwa państwa z zasady – jako dostawcy towarów dla wojska, Policji i innych państwowych formacji uzbrojonych </w:t>
      </w:r>
      <w:r w:rsidR="00C67557" w:rsidRPr="00AF27CD">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posiadają</w:t>
      </w:r>
      <w:r w:rsidR="00C67557" w:rsidRPr="00AF27CD">
        <w:rPr>
          <w:rFonts w:ascii="Times New Roman" w:eastAsiaTheme="minorEastAsia" w:hAnsi="Times New Roman" w:cs="Times New Roman"/>
          <w:bCs/>
          <w:szCs w:val="24"/>
        </w:rPr>
        <w:t xml:space="preserve"> wymagane przez odbiorców</w:t>
      </w:r>
      <w:r w:rsidR="00422EA7"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certyfikaty wydane przez uprawnione jednostki certyfikujące</w:t>
      </w:r>
      <w:r w:rsidR="00155890" w:rsidRPr="00AF27CD">
        <w:rPr>
          <w:rFonts w:ascii="Times New Roman" w:eastAsiaTheme="minorEastAsia" w:hAnsi="Times New Roman" w:cs="Times New Roman"/>
          <w:bCs/>
          <w:szCs w:val="24"/>
        </w:rPr>
        <w:t>, w projekcie zawarto przepis</w:t>
      </w:r>
      <w:r w:rsidR="00924543" w:rsidRPr="00AF27CD">
        <w:rPr>
          <w:rFonts w:ascii="Times New Roman" w:eastAsiaTheme="minorEastAsia" w:hAnsi="Times New Roman" w:cs="Times New Roman"/>
          <w:bCs/>
          <w:szCs w:val="24"/>
        </w:rPr>
        <w:t>,</w:t>
      </w:r>
      <w:r w:rsidR="00155890" w:rsidRPr="00AF27CD">
        <w:rPr>
          <w:rFonts w:ascii="Times New Roman" w:eastAsiaTheme="minorEastAsia" w:hAnsi="Times New Roman" w:cs="Times New Roman"/>
          <w:bCs/>
          <w:szCs w:val="24"/>
        </w:rPr>
        <w:t xml:space="preserve"> zgodnie z którym posiadanie aktualnego certyfikatu w zakresie objętym koncesją uznaje się za posiadanie i stosowanie systemu oceny jakości produkcji.</w:t>
      </w:r>
    </w:p>
    <w:p w:rsidR="00A83F90" w:rsidRPr="00AF27CD" w:rsidRDefault="002E4224"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 xml:space="preserve">Przepisy dotyczące </w:t>
      </w:r>
      <w:r w:rsidR="00B35C06" w:rsidRPr="00AF27CD">
        <w:rPr>
          <w:rFonts w:ascii="Times New Roman" w:eastAsiaTheme="minorEastAsia" w:hAnsi="Times New Roman" w:cs="Times New Roman"/>
          <w:bCs/>
          <w:szCs w:val="24"/>
        </w:rPr>
        <w:t>planu postępowania na wypadek</w:t>
      </w:r>
      <w:r w:rsidR="00422EA7" w:rsidRPr="00AF27CD">
        <w:rPr>
          <w:rFonts w:ascii="Times New Roman" w:eastAsiaTheme="minorEastAsia" w:hAnsi="Times New Roman" w:cs="Times New Roman"/>
          <w:bCs/>
          <w:szCs w:val="24"/>
        </w:rPr>
        <w:t xml:space="preserve"> </w:t>
      </w:r>
      <w:r w:rsidR="00B35C06" w:rsidRPr="00AF27CD">
        <w:rPr>
          <w:rFonts w:ascii="Times New Roman" w:eastAsiaTheme="minorEastAsia" w:hAnsi="Times New Roman" w:cs="Times New Roman"/>
          <w:bCs/>
          <w:szCs w:val="24"/>
        </w:rPr>
        <w:t xml:space="preserve">zagrożenia życia lub zdrowia ludzkiego, mienia oraz środowiska naturalnego </w:t>
      </w:r>
      <w:r w:rsidRPr="00AF27CD">
        <w:rPr>
          <w:rFonts w:ascii="Times New Roman" w:eastAsiaTheme="minorEastAsia" w:hAnsi="Times New Roman" w:cs="Times New Roman"/>
          <w:bCs/>
          <w:szCs w:val="24"/>
        </w:rPr>
        <w:t>(art. 42</w:t>
      </w:r>
      <w:r w:rsidR="00B35C06" w:rsidRPr="00AF27CD">
        <w:rPr>
          <w:rFonts w:ascii="Times New Roman" w:eastAsiaTheme="minorEastAsia" w:hAnsi="Times New Roman" w:cs="Times New Roman"/>
          <w:bCs/>
          <w:szCs w:val="24"/>
        </w:rPr>
        <w:t xml:space="preserve"> projektu</w:t>
      </w:r>
      <w:r w:rsidRPr="00AF27CD">
        <w:rPr>
          <w:rFonts w:ascii="Times New Roman" w:eastAsiaTheme="minorEastAsia" w:hAnsi="Times New Roman" w:cs="Times New Roman"/>
          <w:bCs/>
          <w:szCs w:val="24"/>
        </w:rPr>
        <w:t>), w stosunku d</w:t>
      </w:r>
      <w:r w:rsidR="002F71F3" w:rsidRPr="00AF27CD">
        <w:rPr>
          <w:rFonts w:ascii="Times New Roman" w:eastAsiaTheme="minorEastAsia" w:hAnsi="Times New Roman" w:cs="Times New Roman"/>
          <w:bCs/>
          <w:szCs w:val="24"/>
        </w:rPr>
        <w:t>o ustawy z dnia 22 czerwca 2001</w:t>
      </w:r>
      <w:r w:rsidR="00422EA7"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r. (art. 2</w:t>
      </w:r>
      <w:r w:rsidR="00B35C06" w:rsidRPr="00AF27CD">
        <w:rPr>
          <w:rFonts w:ascii="Times New Roman" w:eastAsiaTheme="minorEastAsia" w:hAnsi="Times New Roman" w:cs="Times New Roman"/>
          <w:bCs/>
          <w:szCs w:val="24"/>
        </w:rPr>
        <w:t>1</w:t>
      </w:r>
      <w:r w:rsidRPr="00AF27CD">
        <w:rPr>
          <w:rFonts w:ascii="Times New Roman" w:eastAsiaTheme="minorEastAsia" w:hAnsi="Times New Roman" w:cs="Times New Roman"/>
          <w:bCs/>
          <w:szCs w:val="24"/>
        </w:rPr>
        <w:t>)</w:t>
      </w:r>
      <w:r w:rsidR="00A63A67">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zostały uzupełnione </w:t>
      </w:r>
      <w:r w:rsidR="00B35C06" w:rsidRPr="00AF27CD">
        <w:rPr>
          <w:rFonts w:ascii="Times New Roman" w:eastAsiaTheme="minorEastAsia" w:hAnsi="Times New Roman" w:cs="Times New Roman"/>
          <w:bCs/>
          <w:szCs w:val="24"/>
        </w:rPr>
        <w:t xml:space="preserve">i doprecyzowane </w:t>
      </w:r>
      <w:r w:rsidRPr="00AF27CD">
        <w:rPr>
          <w:rFonts w:ascii="Times New Roman" w:eastAsiaTheme="minorEastAsia" w:hAnsi="Times New Roman" w:cs="Times New Roman"/>
          <w:bCs/>
          <w:szCs w:val="24"/>
        </w:rPr>
        <w:t>przez w</w:t>
      </w:r>
      <w:r w:rsidR="00B35C06" w:rsidRPr="00AF27CD">
        <w:rPr>
          <w:rFonts w:ascii="Times New Roman" w:eastAsiaTheme="minorEastAsia" w:hAnsi="Times New Roman" w:cs="Times New Roman"/>
          <w:bCs/>
          <w:szCs w:val="24"/>
        </w:rPr>
        <w:t>skazanie elementów, jakie taki plan powinien zawierać</w:t>
      </w:r>
      <w:r w:rsidR="00277B24" w:rsidRPr="00AF27CD">
        <w:rPr>
          <w:rFonts w:ascii="Times New Roman" w:eastAsiaTheme="minorEastAsia" w:hAnsi="Times New Roman" w:cs="Times New Roman"/>
          <w:bCs/>
          <w:szCs w:val="24"/>
        </w:rPr>
        <w:t>, dodatkowo</w:t>
      </w:r>
      <w:r w:rsidR="00B35C06" w:rsidRPr="00AF27CD">
        <w:rPr>
          <w:rFonts w:ascii="Times New Roman" w:eastAsiaTheme="minorEastAsia" w:hAnsi="Times New Roman" w:cs="Times New Roman"/>
          <w:bCs/>
          <w:szCs w:val="24"/>
        </w:rPr>
        <w:t xml:space="preserve"> wprowadzono obowiązek uzgodnienia planu z właściwymi organami Państwowej Straży Pożarnej lub w przypadku obiektów wojskowych – właściwym szefem delegatury Wojskowej Ochrony Przeciwpożarowej. Ponieważ obiekty produkcyjne, w których </w:t>
      </w:r>
      <w:r w:rsidR="006B268E" w:rsidRPr="00AF27CD">
        <w:rPr>
          <w:rFonts w:ascii="Times New Roman" w:eastAsiaTheme="minorEastAsia" w:hAnsi="Times New Roman" w:cs="Times New Roman"/>
          <w:bCs/>
          <w:szCs w:val="24"/>
        </w:rPr>
        <w:t xml:space="preserve">są </w:t>
      </w:r>
      <w:r w:rsidR="00B35C06" w:rsidRPr="00AF27CD">
        <w:rPr>
          <w:rFonts w:ascii="Times New Roman" w:eastAsiaTheme="minorEastAsia" w:hAnsi="Times New Roman" w:cs="Times New Roman"/>
          <w:bCs/>
          <w:szCs w:val="24"/>
        </w:rPr>
        <w:t>wytwarzane materiały wybuchowe, broń</w:t>
      </w:r>
      <w:r w:rsidR="00A83F90" w:rsidRPr="00AF27CD">
        <w:rPr>
          <w:rFonts w:ascii="Times New Roman" w:eastAsiaTheme="minorEastAsia" w:hAnsi="Times New Roman" w:cs="Times New Roman"/>
          <w:bCs/>
          <w:szCs w:val="24"/>
        </w:rPr>
        <w:t>,</w:t>
      </w:r>
      <w:r w:rsidR="00B35C06" w:rsidRPr="00AF27CD">
        <w:rPr>
          <w:rFonts w:ascii="Times New Roman" w:eastAsiaTheme="minorEastAsia" w:hAnsi="Times New Roman" w:cs="Times New Roman"/>
          <w:bCs/>
          <w:szCs w:val="24"/>
        </w:rPr>
        <w:t xml:space="preserve"> amunicja oraz wyroby o przeznaczeniu wojskowym lub policyjnym</w:t>
      </w:r>
      <w:r w:rsidR="00A63A67">
        <w:rPr>
          <w:rFonts w:ascii="Times New Roman" w:eastAsiaTheme="minorEastAsia" w:hAnsi="Times New Roman" w:cs="Times New Roman"/>
          <w:bCs/>
          <w:szCs w:val="24"/>
        </w:rPr>
        <w:t>,</w:t>
      </w:r>
      <w:r w:rsidR="00B35C06" w:rsidRPr="00AF27CD">
        <w:rPr>
          <w:rFonts w:ascii="Times New Roman" w:eastAsiaTheme="minorEastAsia" w:hAnsi="Times New Roman" w:cs="Times New Roman"/>
          <w:bCs/>
          <w:szCs w:val="24"/>
        </w:rPr>
        <w:t xml:space="preserve"> mogą być celem działań o charakterze terrorystycznym</w:t>
      </w:r>
      <w:r w:rsidR="00A83F90" w:rsidRPr="00AF27CD">
        <w:rPr>
          <w:rFonts w:ascii="Times New Roman" w:eastAsiaTheme="minorEastAsia" w:hAnsi="Times New Roman" w:cs="Times New Roman"/>
          <w:bCs/>
          <w:szCs w:val="24"/>
        </w:rPr>
        <w:t>,</w:t>
      </w:r>
      <w:r w:rsidR="00422EA7" w:rsidRPr="00AF27CD">
        <w:rPr>
          <w:rFonts w:ascii="Times New Roman" w:eastAsiaTheme="minorEastAsia" w:hAnsi="Times New Roman" w:cs="Times New Roman"/>
          <w:bCs/>
          <w:szCs w:val="24"/>
        </w:rPr>
        <w:t xml:space="preserve"> </w:t>
      </w:r>
      <w:r w:rsidR="00A83F90" w:rsidRPr="00AF27CD">
        <w:rPr>
          <w:rFonts w:ascii="Times New Roman" w:eastAsiaTheme="minorEastAsia" w:hAnsi="Times New Roman" w:cs="Times New Roman"/>
          <w:bCs/>
          <w:szCs w:val="24"/>
        </w:rPr>
        <w:t>plan postępowania powinien być ponadto uzgodniony</w:t>
      </w:r>
      <w:r w:rsidR="00277B24" w:rsidRPr="00AF27CD">
        <w:rPr>
          <w:rFonts w:ascii="Times New Roman" w:eastAsiaTheme="minorEastAsia" w:hAnsi="Times New Roman" w:cs="Times New Roman"/>
          <w:bCs/>
          <w:szCs w:val="24"/>
        </w:rPr>
        <w:t xml:space="preserve"> odpowiednio </w:t>
      </w:r>
      <w:r w:rsidR="00A83F90" w:rsidRPr="00AF27CD">
        <w:rPr>
          <w:rFonts w:ascii="Times New Roman" w:eastAsiaTheme="minorEastAsia" w:hAnsi="Times New Roman" w:cs="Times New Roman"/>
          <w:bCs/>
          <w:szCs w:val="24"/>
        </w:rPr>
        <w:t>z właściwym organem Policji, właściwym terytorialnie dyrektorem delegatury Agencji Bezpieczeństwa Wewnętrznego lub Szefem ABW, a w przypadku obiektów wojskowych – właściwym miejscowo komendantem oddziału Żandarmerii Wojskowej lub Szefem Służby Kontrwywiadu Wojskowego. Z uwagi na zaangażowanie w proces uzgodnień planu postępowania wielu organów i agencji jest uzasadnione, aby rozporządzenie w sprawie trybu opracowania planu, określenia szczegółowego zakresu i wymagań</w:t>
      </w:r>
      <w:r w:rsidR="006B268E">
        <w:rPr>
          <w:rFonts w:ascii="Times New Roman" w:eastAsiaTheme="minorEastAsia" w:hAnsi="Times New Roman" w:cs="Times New Roman"/>
          <w:bCs/>
          <w:szCs w:val="24"/>
        </w:rPr>
        <w:t>,</w:t>
      </w:r>
      <w:r w:rsidR="00422EA7" w:rsidRPr="00AF27CD">
        <w:rPr>
          <w:rFonts w:ascii="Times New Roman" w:eastAsiaTheme="minorEastAsia" w:hAnsi="Times New Roman" w:cs="Times New Roman"/>
          <w:bCs/>
          <w:szCs w:val="24"/>
        </w:rPr>
        <w:t xml:space="preserve"> </w:t>
      </w:r>
      <w:r w:rsidR="00A83F90" w:rsidRPr="00AF27CD">
        <w:rPr>
          <w:rFonts w:ascii="Times New Roman" w:eastAsiaTheme="minorEastAsia" w:hAnsi="Times New Roman" w:cs="Times New Roman"/>
          <w:bCs/>
          <w:szCs w:val="24"/>
        </w:rPr>
        <w:t>jaki</w:t>
      </w:r>
      <w:r w:rsidR="006B268E">
        <w:rPr>
          <w:rFonts w:ascii="Times New Roman" w:eastAsiaTheme="minorEastAsia" w:hAnsi="Times New Roman" w:cs="Times New Roman"/>
          <w:bCs/>
          <w:szCs w:val="24"/>
        </w:rPr>
        <w:t>m</w:t>
      </w:r>
      <w:r w:rsidR="00A83F90" w:rsidRPr="00AF27CD">
        <w:rPr>
          <w:rFonts w:ascii="Times New Roman" w:eastAsiaTheme="minorEastAsia" w:hAnsi="Times New Roman" w:cs="Times New Roman"/>
          <w:bCs/>
          <w:szCs w:val="24"/>
        </w:rPr>
        <w:t xml:space="preserve"> powinien odpowiadać plan</w:t>
      </w:r>
      <w:r w:rsidR="006B268E">
        <w:rPr>
          <w:rFonts w:ascii="Times New Roman" w:eastAsiaTheme="minorEastAsia" w:hAnsi="Times New Roman" w:cs="Times New Roman"/>
          <w:bCs/>
          <w:szCs w:val="24"/>
        </w:rPr>
        <w:t>,</w:t>
      </w:r>
      <w:r w:rsidR="00A83F90" w:rsidRPr="00AF27CD">
        <w:rPr>
          <w:rFonts w:ascii="Times New Roman" w:eastAsiaTheme="minorEastAsia" w:hAnsi="Times New Roman" w:cs="Times New Roman"/>
          <w:bCs/>
          <w:szCs w:val="24"/>
        </w:rPr>
        <w:t xml:space="preserve"> oraz dokumentów dołączanych do planu</w:t>
      </w:r>
      <w:r w:rsidR="006B268E">
        <w:rPr>
          <w:rFonts w:ascii="Times New Roman" w:eastAsiaTheme="minorEastAsia" w:hAnsi="Times New Roman" w:cs="Times New Roman"/>
          <w:bCs/>
          <w:szCs w:val="24"/>
        </w:rPr>
        <w:t>,</w:t>
      </w:r>
      <w:r w:rsidR="00A83F90" w:rsidRPr="00AF27CD">
        <w:rPr>
          <w:rFonts w:ascii="Times New Roman" w:eastAsiaTheme="minorEastAsia" w:hAnsi="Times New Roman" w:cs="Times New Roman"/>
          <w:bCs/>
          <w:szCs w:val="24"/>
        </w:rPr>
        <w:t xml:space="preserve"> zostało wydane przez Radę Ministrów, co pozwoli na koordynację działań i kompleksowe opracowan</w:t>
      </w:r>
      <w:r w:rsidR="00407473">
        <w:rPr>
          <w:rFonts w:ascii="Times New Roman" w:eastAsiaTheme="minorEastAsia" w:hAnsi="Times New Roman" w:cs="Times New Roman"/>
          <w:bCs/>
          <w:szCs w:val="24"/>
        </w:rPr>
        <w:t>i</w:t>
      </w:r>
      <w:r w:rsidR="00A83F90" w:rsidRPr="00AF27CD">
        <w:rPr>
          <w:rFonts w:ascii="Times New Roman" w:eastAsiaTheme="minorEastAsia" w:hAnsi="Times New Roman" w:cs="Times New Roman"/>
          <w:bCs/>
          <w:szCs w:val="24"/>
        </w:rPr>
        <w:t>e</w:t>
      </w:r>
      <w:r w:rsidR="00422EA7" w:rsidRPr="00AF27CD">
        <w:rPr>
          <w:rFonts w:ascii="Times New Roman" w:eastAsiaTheme="minorEastAsia" w:hAnsi="Times New Roman" w:cs="Times New Roman"/>
          <w:bCs/>
          <w:szCs w:val="24"/>
        </w:rPr>
        <w:t xml:space="preserve"> </w:t>
      </w:r>
      <w:r w:rsidR="00A83F90" w:rsidRPr="00AF27CD">
        <w:rPr>
          <w:rFonts w:ascii="Times New Roman" w:eastAsiaTheme="minorEastAsia" w:hAnsi="Times New Roman" w:cs="Times New Roman"/>
          <w:bCs/>
          <w:szCs w:val="24"/>
        </w:rPr>
        <w:t>szczegółowych wymagań.</w:t>
      </w:r>
    </w:p>
    <w:p w:rsidR="00A93E79" w:rsidRPr="00AF27CD" w:rsidRDefault="00A93E79" w:rsidP="00422EA7">
      <w:pPr>
        <w:pStyle w:val="ARTartustawynprozporzdzenia"/>
        <w:ind w:firstLine="0"/>
        <w:rPr>
          <w:rFonts w:ascii="Times New Roman" w:eastAsiaTheme="minorEastAsia" w:hAnsi="Times New Roman" w:cs="Times New Roman"/>
          <w:szCs w:val="24"/>
        </w:rPr>
      </w:pPr>
      <w:r w:rsidRPr="00AF27CD">
        <w:rPr>
          <w:rFonts w:ascii="Times New Roman" w:eastAsiaTheme="minorEastAsia" w:hAnsi="Times New Roman" w:cs="Times New Roman"/>
          <w:bCs/>
          <w:szCs w:val="24"/>
        </w:rPr>
        <w:t xml:space="preserve">Przedsiębiorcy wykonujący działalność gospodarczą w zakresie wytwarzania </w:t>
      </w:r>
      <w:r w:rsidRPr="00AF27CD">
        <w:rPr>
          <w:rFonts w:ascii="Times New Roman" w:hAnsi="Times New Roman" w:cs="Times New Roman"/>
          <w:szCs w:val="24"/>
        </w:rPr>
        <w:t>m</w:t>
      </w:r>
      <w:r w:rsidRPr="00AF27CD">
        <w:rPr>
          <w:rFonts w:ascii="Times New Roman" w:eastAsiaTheme="minorEastAsia" w:hAnsi="Times New Roman" w:cs="Times New Roman"/>
          <w:szCs w:val="24"/>
        </w:rPr>
        <w:t>ateriałów wybuchowych, broni (z wyłączeniem rusznikarzy oraz przedsiębiorców wytwarzających reprodukcje broni czarnoproc</w:t>
      </w:r>
      <w:r w:rsidR="00CC3571">
        <w:rPr>
          <w:rFonts w:ascii="Times New Roman" w:eastAsiaTheme="minorEastAsia" w:hAnsi="Times New Roman" w:cs="Times New Roman"/>
          <w:szCs w:val="24"/>
        </w:rPr>
        <w:t>howej), amunicji oraz wyrobów o</w:t>
      </w:r>
      <w:r w:rsidR="00EC6774">
        <w:rPr>
          <w:rFonts w:ascii="Times New Roman" w:eastAsiaTheme="minorEastAsia" w:hAnsi="Times New Roman" w:cs="Times New Roman"/>
          <w:szCs w:val="24"/>
        </w:rPr>
        <w:t> </w:t>
      </w:r>
      <w:r w:rsidRPr="00AF27CD">
        <w:rPr>
          <w:rFonts w:ascii="Times New Roman" w:eastAsiaTheme="minorEastAsia" w:hAnsi="Times New Roman" w:cs="Times New Roman"/>
          <w:szCs w:val="24"/>
        </w:rPr>
        <w:t xml:space="preserve">przeznaczeniu wojskowym lub policyjnym </w:t>
      </w:r>
      <w:r w:rsidR="00924543" w:rsidRPr="00AF27CD">
        <w:rPr>
          <w:rFonts w:ascii="Times New Roman" w:eastAsiaTheme="minorEastAsia" w:hAnsi="Times New Roman" w:cs="Times New Roman"/>
          <w:szCs w:val="24"/>
        </w:rPr>
        <w:t xml:space="preserve">są </w:t>
      </w:r>
      <w:r w:rsidRPr="00AF27CD">
        <w:rPr>
          <w:rFonts w:ascii="Times New Roman" w:eastAsiaTheme="minorEastAsia" w:hAnsi="Times New Roman" w:cs="Times New Roman"/>
          <w:szCs w:val="24"/>
        </w:rPr>
        <w:t>obowiązani do opracowania</w:t>
      </w:r>
      <w:r w:rsidR="002E1B3C" w:rsidRPr="00AF27CD">
        <w:rPr>
          <w:rFonts w:ascii="Times New Roman" w:eastAsiaTheme="minorEastAsia" w:hAnsi="Times New Roman" w:cs="Times New Roman"/>
          <w:szCs w:val="24"/>
        </w:rPr>
        <w:t xml:space="preserve">, stosowania </w:t>
      </w:r>
      <w:r w:rsidRPr="00AF27CD">
        <w:rPr>
          <w:rFonts w:ascii="Times New Roman" w:eastAsiaTheme="minorEastAsia" w:hAnsi="Times New Roman" w:cs="Times New Roman"/>
          <w:szCs w:val="24"/>
        </w:rPr>
        <w:t>i aktualizowania planu postępowania na wypadek zagrożenia życia lub zdrowia ludzi, mienia oraz środowiska</w:t>
      </w:r>
      <w:r w:rsidR="00E71B72" w:rsidRPr="00AF27CD">
        <w:rPr>
          <w:rFonts w:ascii="Times New Roman" w:eastAsiaTheme="minorEastAsia" w:hAnsi="Times New Roman" w:cs="Times New Roman"/>
          <w:szCs w:val="24"/>
        </w:rPr>
        <w:t xml:space="preserve"> (art. 4</w:t>
      </w:r>
      <w:r w:rsidR="00422EA7" w:rsidRPr="00AF27CD">
        <w:rPr>
          <w:rFonts w:ascii="Times New Roman" w:eastAsiaTheme="minorEastAsia" w:hAnsi="Times New Roman" w:cs="Times New Roman"/>
          <w:szCs w:val="24"/>
        </w:rPr>
        <w:t>2</w:t>
      </w:r>
      <w:r w:rsidR="006B268E">
        <w:rPr>
          <w:rFonts w:ascii="Times New Roman" w:eastAsiaTheme="minorEastAsia" w:hAnsi="Times New Roman" w:cs="Times New Roman"/>
          <w:szCs w:val="24"/>
        </w:rPr>
        <w:t xml:space="preserve"> i art. </w:t>
      </w:r>
      <w:r w:rsidR="002E1B3C" w:rsidRPr="00AF27CD">
        <w:rPr>
          <w:rFonts w:ascii="Times New Roman" w:eastAsiaTheme="minorEastAsia" w:hAnsi="Times New Roman" w:cs="Times New Roman"/>
          <w:szCs w:val="24"/>
        </w:rPr>
        <w:t>43</w:t>
      </w:r>
      <w:r w:rsidR="00E71B72" w:rsidRPr="00AF27CD">
        <w:rPr>
          <w:rFonts w:ascii="Times New Roman" w:eastAsiaTheme="minorEastAsia" w:hAnsi="Times New Roman" w:cs="Times New Roman"/>
          <w:szCs w:val="24"/>
        </w:rPr>
        <w:t>)</w:t>
      </w:r>
      <w:r w:rsidRPr="00AF27CD">
        <w:rPr>
          <w:rFonts w:ascii="Times New Roman" w:eastAsiaTheme="minorEastAsia" w:hAnsi="Times New Roman" w:cs="Times New Roman"/>
          <w:szCs w:val="24"/>
        </w:rPr>
        <w:t>.</w:t>
      </w:r>
      <w:r w:rsidR="00422EA7" w:rsidRPr="00AF27CD">
        <w:rPr>
          <w:rFonts w:ascii="Times New Roman" w:eastAsiaTheme="minorEastAsia" w:hAnsi="Times New Roman" w:cs="Times New Roman"/>
          <w:szCs w:val="24"/>
        </w:rPr>
        <w:t xml:space="preserve"> </w:t>
      </w:r>
    </w:p>
    <w:p w:rsidR="00A93E79" w:rsidRPr="00AF27CD" w:rsidRDefault="00924543" w:rsidP="00422EA7">
      <w:pPr>
        <w:pStyle w:val="ARTartustawynprozporzdzenia"/>
        <w:ind w:firstLine="0"/>
        <w:rPr>
          <w:rFonts w:ascii="Times New Roman" w:eastAsiaTheme="minorEastAsia" w:hAnsi="Times New Roman" w:cs="Times New Roman"/>
          <w:szCs w:val="24"/>
        </w:rPr>
      </w:pPr>
      <w:r w:rsidRPr="00AF27CD">
        <w:rPr>
          <w:rFonts w:ascii="Times New Roman" w:eastAsiaTheme="minorEastAsia" w:hAnsi="Times New Roman" w:cs="Times New Roman"/>
          <w:szCs w:val="24"/>
        </w:rPr>
        <w:t>Projekt u</w:t>
      </w:r>
      <w:r w:rsidR="00A93E79" w:rsidRPr="00AF27CD">
        <w:rPr>
          <w:rFonts w:ascii="Times New Roman" w:eastAsiaTheme="minorEastAsia" w:hAnsi="Times New Roman" w:cs="Times New Roman"/>
          <w:szCs w:val="24"/>
        </w:rPr>
        <w:t>staw</w:t>
      </w:r>
      <w:r w:rsidRPr="00AF27CD">
        <w:rPr>
          <w:rFonts w:ascii="Times New Roman" w:eastAsiaTheme="minorEastAsia" w:hAnsi="Times New Roman" w:cs="Times New Roman"/>
          <w:szCs w:val="24"/>
        </w:rPr>
        <w:t>y</w:t>
      </w:r>
      <w:r w:rsidR="00A93E79" w:rsidRPr="00AF27CD">
        <w:rPr>
          <w:rFonts w:ascii="Times New Roman" w:eastAsiaTheme="minorEastAsia" w:hAnsi="Times New Roman" w:cs="Times New Roman"/>
          <w:szCs w:val="24"/>
        </w:rPr>
        <w:t xml:space="preserve"> zawiera przepisy (art. 4</w:t>
      </w:r>
      <w:r w:rsidR="00511D71" w:rsidRPr="00AF27CD">
        <w:rPr>
          <w:rFonts w:ascii="Times New Roman" w:eastAsiaTheme="minorEastAsia" w:hAnsi="Times New Roman" w:cs="Times New Roman"/>
          <w:szCs w:val="24"/>
        </w:rPr>
        <w:t>4</w:t>
      </w:r>
      <w:r w:rsidR="00A93E79" w:rsidRPr="00AF27CD">
        <w:rPr>
          <w:rFonts w:ascii="Times New Roman" w:eastAsiaTheme="minorEastAsia" w:hAnsi="Times New Roman" w:cs="Times New Roman"/>
          <w:szCs w:val="24"/>
        </w:rPr>
        <w:t xml:space="preserve">), które w sposób bardziej szczegółowy określają wymagane dyrektywą 91/477/EWG zasady </w:t>
      </w:r>
      <w:r w:rsidR="00847B90" w:rsidRPr="00AF27CD">
        <w:rPr>
          <w:rFonts w:ascii="Times New Roman" w:eastAsiaTheme="minorEastAsia" w:hAnsi="Times New Roman" w:cs="Times New Roman"/>
          <w:szCs w:val="24"/>
        </w:rPr>
        <w:t>o</w:t>
      </w:r>
      <w:r w:rsidR="00A93E79" w:rsidRPr="00AF27CD">
        <w:rPr>
          <w:rFonts w:ascii="Times New Roman" w:eastAsiaTheme="minorEastAsia" w:hAnsi="Times New Roman" w:cs="Times New Roman"/>
          <w:szCs w:val="24"/>
        </w:rPr>
        <w:t>znakowania broni palnej, w tym strzeleckiej broni palnej i jej istotnych komponentów. P</w:t>
      </w:r>
      <w:r w:rsidR="00CC3571">
        <w:rPr>
          <w:rFonts w:ascii="Times New Roman" w:eastAsiaTheme="minorEastAsia" w:hAnsi="Times New Roman" w:cs="Times New Roman"/>
          <w:szCs w:val="24"/>
        </w:rPr>
        <w:t>rzepisy określają oznakowanie i</w:t>
      </w:r>
      <w:r w:rsidR="00EC6774">
        <w:rPr>
          <w:rFonts w:ascii="Times New Roman" w:eastAsiaTheme="minorEastAsia" w:hAnsi="Times New Roman" w:cs="Times New Roman"/>
          <w:szCs w:val="24"/>
        </w:rPr>
        <w:t> </w:t>
      </w:r>
      <w:r w:rsidR="00A93E79" w:rsidRPr="00AF27CD">
        <w:rPr>
          <w:rFonts w:ascii="Times New Roman" w:eastAsiaTheme="minorEastAsia" w:hAnsi="Times New Roman" w:cs="Times New Roman"/>
          <w:szCs w:val="24"/>
        </w:rPr>
        <w:t xml:space="preserve">jego elementy oraz miejsce (obszar broni) jego umieszczenia zgodnie z wymogami zawartymi w dyrektywie 91/477/EWG i w dyrektywach zmieniających. </w:t>
      </w:r>
      <w:r w:rsidRPr="00AF27CD">
        <w:rPr>
          <w:rFonts w:ascii="Times New Roman" w:eastAsiaTheme="minorEastAsia" w:hAnsi="Times New Roman" w:cs="Times New Roman"/>
          <w:szCs w:val="24"/>
        </w:rPr>
        <w:t>Projekt u</w:t>
      </w:r>
      <w:r w:rsidR="00A93E79" w:rsidRPr="00AF27CD">
        <w:rPr>
          <w:rFonts w:ascii="Times New Roman" w:eastAsiaTheme="minorEastAsia" w:hAnsi="Times New Roman" w:cs="Times New Roman"/>
          <w:szCs w:val="24"/>
        </w:rPr>
        <w:t>staw</w:t>
      </w:r>
      <w:r w:rsidRPr="00AF27CD">
        <w:rPr>
          <w:rFonts w:ascii="Times New Roman" w:eastAsiaTheme="minorEastAsia" w:hAnsi="Times New Roman" w:cs="Times New Roman"/>
          <w:szCs w:val="24"/>
        </w:rPr>
        <w:t>y</w:t>
      </w:r>
      <w:r w:rsidR="00A93E79" w:rsidRPr="00AF27CD">
        <w:rPr>
          <w:rFonts w:ascii="Times New Roman" w:eastAsiaTheme="minorEastAsia" w:hAnsi="Times New Roman" w:cs="Times New Roman"/>
          <w:szCs w:val="24"/>
        </w:rPr>
        <w:t xml:space="preserve"> określa sposób znakowania plastycznych materiałów wybuchowych (art. 4</w:t>
      </w:r>
      <w:r w:rsidR="00511D71" w:rsidRPr="00AF27CD">
        <w:rPr>
          <w:rFonts w:ascii="Times New Roman" w:eastAsiaTheme="minorEastAsia" w:hAnsi="Times New Roman" w:cs="Times New Roman"/>
          <w:szCs w:val="24"/>
        </w:rPr>
        <w:t>5</w:t>
      </w:r>
      <w:r w:rsidR="00CC3571">
        <w:rPr>
          <w:rFonts w:ascii="Times New Roman" w:eastAsiaTheme="minorEastAsia" w:hAnsi="Times New Roman" w:cs="Times New Roman"/>
          <w:szCs w:val="24"/>
        </w:rPr>
        <w:t>) i</w:t>
      </w:r>
      <w:r w:rsidR="00EC6774">
        <w:rPr>
          <w:rFonts w:ascii="Times New Roman" w:eastAsiaTheme="minorEastAsia" w:hAnsi="Times New Roman" w:cs="Times New Roman"/>
          <w:szCs w:val="24"/>
        </w:rPr>
        <w:t> </w:t>
      </w:r>
      <w:r w:rsidR="002E1B3C" w:rsidRPr="00AF27CD">
        <w:rPr>
          <w:rFonts w:ascii="Times New Roman" w:eastAsiaTheme="minorEastAsia" w:hAnsi="Times New Roman" w:cs="Times New Roman"/>
          <w:szCs w:val="24"/>
        </w:rPr>
        <w:t xml:space="preserve">oznakowania </w:t>
      </w:r>
      <w:r w:rsidR="00511D71" w:rsidRPr="00AF27CD">
        <w:rPr>
          <w:rFonts w:ascii="Times New Roman" w:eastAsiaTheme="minorEastAsia" w:hAnsi="Times New Roman" w:cs="Times New Roman"/>
          <w:szCs w:val="24"/>
        </w:rPr>
        <w:t xml:space="preserve">podstawowego jednostkowego opakowania </w:t>
      </w:r>
      <w:r w:rsidR="00A93E79" w:rsidRPr="00AF27CD">
        <w:rPr>
          <w:rFonts w:ascii="Times New Roman" w:eastAsiaTheme="minorEastAsia" w:hAnsi="Times New Roman" w:cs="Times New Roman"/>
          <w:szCs w:val="24"/>
        </w:rPr>
        <w:t>amunicji (art. 4</w:t>
      </w:r>
      <w:r w:rsidR="00511D71" w:rsidRPr="00AF27CD">
        <w:rPr>
          <w:rFonts w:ascii="Times New Roman" w:eastAsiaTheme="minorEastAsia" w:hAnsi="Times New Roman" w:cs="Times New Roman"/>
          <w:szCs w:val="24"/>
        </w:rPr>
        <w:t>6</w:t>
      </w:r>
      <w:r w:rsidR="00A93E79" w:rsidRPr="00AF27CD">
        <w:rPr>
          <w:rFonts w:ascii="Times New Roman" w:eastAsiaTheme="minorEastAsia" w:hAnsi="Times New Roman" w:cs="Times New Roman"/>
          <w:szCs w:val="24"/>
        </w:rPr>
        <w:t xml:space="preserve">) bez zmiany w odniesieniu do przepisów ustawy z dnia 22 czerwca 2001 r. </w:t>
      </w:r>
      <w:r w:rsidRPr="00AF27CD">
        <w:rPr>
          <w:rFonts w:ascii="Times New Roman" w:eastAsiaTheme="minorEastAsia" w:hAnsi="Times New Roman" w:cs="Times New Roman"/>
          <w:szCs w:val="24"/>
        </w:rPr>
        <w:t>N</w:t>
      </w:r>
      <w:r w:rsidR="00B875BC" w:rsidRPr="00AF27CD">
        <w:rPr>
          <w:rFonts w:ascii="Times New Roman" w:eastAsiaTheme="minorEastAsia" w:hAnsi="Times New Roman" w:cs="Times New Roman"/>
          <w:szCs w:val="24"/>
        </w:rPr>
        <w:t>ależy wskazać, że opisane w tym przepisie (art. 45) znakowanie plastycznego materiału wybuchowego nie jest równoznaczne z oznakowaniem opakowania zawierającego konfekcjonowany materiał wybuchowy. Znakowanie to trwałe połączenie plastycznego materiału wybuchowego w trakcie procesu produkcyjnego przez nasycenie go specjalną substancją znakującą, która pozwoli na identyfikację źródła pochodzenia tego materiału.</w:t>
      </w:r>
    </w:p>
    <w:p w:rsidR="00D70C37" w:rsidRPr="00AF27CD" w:rsidRDefault="00B875BC" w:rsidP="00422EA7">
      <w:pPr>
        <w:pStyle w:val="ARTartustawynprozporzdzenia"/>
        <w:ind w:firstLine="0"/>
        <w:rPr>
          <w:rFonts w:ascii="Times New Roman" w:hAnsi="Times New Roman" w:cs="Times New Roman"/>
          <w:szCs w:val="24"/>
        </w:rPr>
      </w:pPr>
      <w:r w:rsidRPr="00AF27CD">
        <w:rPr>
          <w:rFonts w:ascii="Times New Roman" w:eastAsiaTheme="minorEastAsia" w:hAnsi="Times New Roman" w:cs="Times New Roman"/>
          <w:bCs/>
          <w:szCs w:val="24"/>
        </w:rPr>
        <w:t>Sposób</w:t>
      </w:r>
      <w:r w:rsidRPr="00AF27CD">
        <w:rPr>
          <w:rFonts w:ascii="Times New Roman" w:eastAsiaTheme="minorEastAsia" w:hAnsi="Times New Roman" w:cs="Times New Roman"/>
          <w:szCs w:val="24"/>
        </w:rPr>
        <w:t xml:space="preserve"> </w:t>
      </w:r>
      <w:r w:rsidR="00847B90" w:rsidRPr="00AF27CD">
        <w:rPr>
          <w:rFonts w:ascii="Times New Roman" w:eastAsiaTheme="minorEastAsia" w:hAnsi="Times New Roman" w:cs="Times New Roman"/>
          <w:szCs w:val="24"/>
        </w:rPr>
        <w:t>o</w:t>
      </w:r>
      <w:r w:rsidRPr="00AF27CD">
        <w:rPr>
          <w:rFonts w:ascii="Times New Roman" w:eastAsiaTheme="minorEastAsia" w:hAnsi="Times New Roman" w:cs="Times New Roman"/>
          <w:szCs w:val="24"/>
        </w:rPr>
        <w:t xml:space="preserve">znakowania materiałów wybuchowych do użytku cywilnego określa </w:t>
      </w:r>
      <w:r w:rsidR="004150F3" w:rsidRPr="00AF27CD">
        <w:rPr>
          <w:rFonts w:ascii="Times New Roman" w:eastAsiaTheme="minorEastAsia" w:hAnsi="Times New Roman" w:cs="Times New Roman"/>
          <w:szCs w:val="24"/>
        </w:rPr>
        <w:t>art. 62</w:t>
      </w:r>
      <w:r w:rsidR="00D70C37" w:rsidRPr="00AF27CD">
        <w:rPr>
          <w:rFonts w:ascii="Times New Roman" w:eastAsiaTheme="minorEastAsia" w:hAnsi="Times New Roman" w:cs="Times New Roman"/>
          <w:szCs w:val="24"/>
        </w:rPr>
        <w:t xml:space="preserve">v ustawy </w:t>
      </w:r>
      <w:r w:rsidR="00D70C37" w:rsidRPr="00AF27CD">
        <w:rPr>
          <w:rFonts w:ascii="Times New Roman" w:hAnsi="Times New Roman" w:cs="Times New Roman"/>
          <w:szCs w:val="24"/>
        </w:rPr>
        <w:t>z</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dnia 21</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czerwca 2002</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r. o</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 xml:space="preserve">materiałach wybuchowych przeznaczonych do użytku cywilnego, a przepis ten obejmuje również sposób </w:t>
      </w:r>
      <w:r w:rsidR="00847B90" w:rsidRPr="00AF27CD">
        <w:rPr>
          <w:rFonts w:ascii="Times New Roman" w:hAnsi="Times New Roman" w:cs="Times New Roman"/>
          <w:szCs w:val="24"/>
        </w:rPr>
        <w:t>o</w:t>
      </w:r>
      <w:r w:rsidR="00D70C37" w:rsidRPr="00AF27CD">
        <w:rPr>
          <w:rFonts w:ascii="Times New Roman" w:hAnsi="Times New Roman" w:cs="Times New Roman"/>
          <w:szCs w:val="24"/>
        </w:rPr>
        <w:t>znakowania materiałów wybuchowych przeznaczonych do użytku cywilnego transportowanych i</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dostarczanych bez opakowania lub na ciężarówkach z</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zamontowanymi pompami w</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celu bezpośredniego wyładowania do otworu strzałowego. Zasadą jest, że w przypadku gdy umieszczenie oznakowania, numeru lub zna</w:t>
      </w:r>
      <w:r w:rsidR="00407473">
        <w:rPr>
          <w:rFonts w:ascii="Times New Roman" w:hAnsi="Times New Roman" w:cs="Times New Roman"/>
          <w:szCs w:val="24"/>
        </w:rPr>
        <w:t>ków</w:t>
      </w:r>
      <w:r w:rsidR="00D70C37" w:rsidRPr="00AF27CD">
        <w:rPr>
          <w:rFonts w:ascii="Times New Roman" w:hAnsi="Times New Roman" w:cs="Times New Roman"/>
          <w:szCs w:val="24"/>
        </w:rPr>
        <w:t xml:space="preserve"> nie jest możliwe ze względu na wielkość, kształt lub charakter materiału wybuchowego przeznaczonego do użytku cywilnego, numery lub znaki nanosi się</w:t>
      </w:r>
      <w:r w:rsidR="00422EA7" w:rsidRPr="00AF27CD">
        <w:rPr>
          <w:rFonts w:ascii="Times New Roman" w:hAnsi="Times New Roman" w:cs="Times New Roman"/>
          <w:szCs w:val="24"/>
        </w:rPr>
        <w:t xml:space="preserve"> </w:t>
      </w:r>
      <w:r w:rsidR="00D70C37" w:rsidRPr="00AF27CD">
        <w:rPr>
          <w:rFonts w:ascii="Times New Roman" w:hAnsi="Times New Roman" w:cs="Times New Roman"/>
          <w:szCs w:val="24"/>
        </w:rPr>
        <w:t>na opakowaniu jednostkowym lub na dokumentach towarzyszących.</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Tak</w:t>
      </w:r>
      <w:r w:rsidRPr="00AF27CD">
        <w:rPr>
          <w:rFonts w:ascii="Times New Roman" w:eastAsiaTheme="minorEastAsia" w:hAnsi="Times New Roman" w:cs="Times New Roman"/>
          <w:szCs w:val="24"/>
        </w:rPr>
        <w:t xml:space="preserve"> jak w ustawie z dnia 22 czerwca 2001 r. niniejszy projekt zawiera przepisy nakładające na przedsiębiorcę obowiązek ewidencjonowania </w:t>
      </w:r>
      <w:r w:rsidRPr="00AF27CD">
        <w:rPr>
          <w:rFonts w:ascii="Times New Roman" w:eastAsiaTheme="minorEastAsia" w:hAnsi="Times New Roman" w:cs="Times New Roman"/>
          <w:bCs/>
          <w:szCs w:val="24"/>
        </w:rPr>
        <w:t>materiałów wybuchowych, broni, amunicji oraz wyrobów o przeznaczeniu wojskowym lub policyjnym wytworzonych, jak również obejmuje tym obowiązkiem takie działania, jak przyjęcie do remontu, naprawy, przerobienia, oznakowania, pozbawienia cech użytkowych lub zniszczenia</w:t>
      </w:r>
      <w:r w:rsidR="00511D71" w:rsidRPr="00AF27CD">
        <w:rPr>
          <w:rFonts w:ascii="Times New Roman" w:eastAsiaTheme="minorEastAsia" w:hAnsi="Times New Roman" w:cs="Times New Roman"/>
          <w:bCs/>
          <w:szCs w:val="24"/>
        </w:rPr>
        <w:t xml:space="preserve"> (art. 47)</w:t>
      </w:r>
      <w:r w:rsidRPr="00AF27CD">
        <w:rPr>
          <w:rFonts w:ascii="Times New Roman" w:eastAsiaTheme="minorEastAsia" w:hAnsi="Times New Roman" w:cs="Times New Roman"/>
          <w:bCs/>
          <w:szCs w:val="24"/>
        </w:rPr>
        <w:t>. Działania te muszą mieć podstawę w postaci pisemnego potwierdzenia zawarcia umowy pomiędzy przedsiębiorcami uprawnionymi do wykonywania działalności gospodarczej na podstawie koncesji, ze wskazaniem wszystkich istotnych postanowień umowy.</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Ewidencja będzie miała wymagane ustawą formy. W przypadku strzeleckiej broni palnej i jej komponentów ewidencja będzie pro</w:t>
      </w:r>
      <w:r w:rsidR="00CC3571">
        <w:rPr>
          <w:rFonts w:ascii="Times New Roman" w:eastAsiaTheme="minorEastAsia" w:hAnsi="Times New Roman" w:cs="Times New Roman"/>
          <w:bCs/>
          <w:szCs w:val="24"/>
        </w:rPr>
        <w:t>wadzona przez przedsiębiorców w</w:t>
      </w:r>
      <w:r w:rsidR="00EC6774">
        <w:rPr>
          <w:rFonts w:ascii="Times New Roman" w:eastAsiaTheme="minorEastAsia" w:hAnsi="Times New Roman" w:cs="Times New Roman"/>
          <w:bCs/>
          <w:szCs w:val="24"/>
        </w:rPr>
        <w:t> </w:t>
      </w:r>
      <w:r w:rsidRPr="00AF27CD">
        <w:rPr>
          <w:rFonts w:ascii="Times New Roman" w:eastAsiaTheme="minorEastAsia" w:hAnsi="Times New Roman" w:cs="Times New Roman"/>
          <w:bCs/>
          <w:szCs w:val="24"/>
        </w:rPr>
        <w:t xml:space="preserve">Systemie Rejestracji Broni (SRB), natomiast w przypadku materiałów wybuchowych oraz broni palnej innej niż strzelecka, amunicji, wyrobów i technologii o przeznaczeniu wojskowym lub policyjnym </w:t>
      </w:r>
      <w:r w:rsidR="00422EA7" w:rsidRPr="00AF27CD">
        <w:rPr>
          <w:rFonts w:ascii="Times New Roman" w:eastAsiaTheme="minorEastAsia" w:hAnsi="Times New Roman" w:cs="Times New Roman"/>
          <w:bCs/>
          <w:szCs w:val="24"/>
        </w:rPr>
        <w:t>–</w:t>
      </w:r>
      <w:r w:rsidR="000950DA"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w sposób i z zakresem danych, które określi rozporządzenie.</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Prowadzenie ewidencji w SRB jest istotnym ułatwieniem dla przedsiębiorców, którzy zaprzestali wykonywania działalności gospodarczej. Ewidencja prowadzona w systemie będzie w nim automatycznie archiwizowana, bez konieczności przesyłania</w:t>
      </w:r>
      <w:r w:rsidR="00FE08A4" w:rsidRPr="00AF27CD">
        <w:rPr>
          <w:rFonts w:ascii="Times New Roman" w:eastAsiaTheme="minorEastAsia" w:hAnsi="Times New Roman" w:cs="Times New Roman"/>
          <w:bCs/>
          <w:szCs w:val="24"/>
        </w:rPr>
        <w:t xml:space="preserve"> jej </w:t>
      </w:r>
      <w:r w:rsidRPr="00AF27CD">
        <w:rPr>
          <w:rFonts w:ascii="Times New Roman" w:eastAsiaTheme="minorEastAsia" w:hAnsi="Times New Roman" w:cs="Times New Roman"/>
          <w:bCs/>
          <w:szCs w:val="24"/>
        </w:rPr>
        <w:t>do organu koncesyjnego, co wpłynie na redukcję kosztów zarówno po stronie przedsiębiorcy, jak i organu administracji.</w:t>
      </w:r>
    </w:p>
    <w:p w:rsidR="00475C68" w:rsidRPr="00AF27CD" w:rsidRDefault="00475C68" w:rsidP="00422EA7">
      <w:pPr>
        <w:spacing w:before="120" w:line="360" w:lineRule="auto"/>
        <w:jc w:val="both"/>
      </w:pPr>
      <w:r w:rsidRPr="00AF27CD">
        <w:t>Projekt ustawy zawiera przepis upoważniający do wydania rozporządzenia w sprawie ewidencjonowania wytworzonych oraz przyjętych do remontu, naprawy, przerobienia, oznakowania, pozbawienia cech użytkowych lub zniszczenia materiałów wybuchowych, broni, amunicji oraz wyrobów o przeznaczeniu wojskowym lub pol</w:t>
      </w:r>
      <w:r w:rsidR="00407473">
        <w:t>icyjnym, jak również określającego</w:t>
      </w:r>
      <w:r w:rsidRPr="00AF27CD">
        <w:t xml:space="preserve"> obowiązki przedsiębiorcy dotyczące ewidencjonowania wytworzonych oraz przyjętych do remontu, naprawy, przerobienia, oznakowania, pozbawienia cech użytkowych lub zniszczenia towarów koncesjonowanych. Rozporządzenie określi sposób prowadzenia i zakres danych dokumentacji oraz sposób ewidencjonowania. </w:t>
      </w:r>
      <w:r w:rsidR="0006089E" w:rsidRPr="00AF27CD">
        <w:t>P</w:t>
      </w:r>
      <w:r w:rsidRPr="00AF27CD">
        <w:t>ozw</w:t>
      </w:r>
      <w:r w:rsidR="0006089E" w:rsidRPr="00AF27CD">
        <w:t>oli to</w:t>
      </w:r>
      <w:r w:rsidRPr="00AF27CD">
        <w:t xml:space="preserve"> na większą elastyczność przy tworzeniu rozporządzenia, </w:t>
      </w:r>
      <w:r w:rsidR="0006089E" w:rsidRPr="00AF27CD">
        <w:t xml:space="preserve">gdyż </w:t>
      </w:r>
      <w:r w:rsidRPr="00AF27CD">
        <w:t xml:space="preserve">nie </w:t>
      </w:r>
      <w:r w:rsidR="0006089E" w:rsidRPr="00AF27CD">
        <w:t>ma</w:t>
      </w:r>
      <w:r w:rsidRPr="00AF27CD">
        <w:t xml:space="preserve"> potrzeby określania wzorów konkretnych ewidencji</w:t>
      </w:r>
      <w:r w:rsidR="0006089E" w:rsidRPr="00AF27CD">
        <w:t xml:space="preserve">. Przepisy </w:t>
      </w:r>
      <w:r w:rsidRPr="00AF27CD">
        <w:t>wskazują</w:t>
      </w:r>
      <w:r w:rsidR="0006089E" w:rsidRPr="00AF27CD">
        <w:t xml:space="preserve">, </w:t>
      </w:r>
      <w:r w:rsidRPr="00AF27CD">
        <w:t xml:space="preserve">jakie zasady obowiązują przy ewidencjonowaniu i jaka dokumentacja temu towarzyszy. Powyższe koresponduje z potrzebą zachowania </w:t>
      </w:r>
      <w:r w:rsidRPr="004F17DF">
        <w:rPr>
          <w:i/>
        </w:rPr>
        <w:t>status quo</w:t>
      </w:r>
      <w:r w:rsidRPr="00AF27CD">
        <w:t xml:space="preserve"> w regulowanym obszarze. Zauważyć należy, </w:t>
      </w:r>
      <w:r w:rsidR="0006089E" w:rsidRPr="00AF27CD">
        <w:t>że w o</w:t>
      </w:r>
      <w:r w:rsidRPr="00AF27CD">
        <w:t>bowiązując</w:t>
      </w:r>
      <w:r w:rsidR="0006089E" w:rsidRPr="00AF27CD">
        <w:t>ym</w:t>
      </w:r>
      <w:r w:rsidRPr="00AF27CD">
        <w:t xml:space="preserve"> rozporządzeni</w:t>
      </w:r>
      <w:r w:rsidR="0006089E" w:rsidRPr="00AF27CD">
        <w:t>u</w:t>
      </w:r>
      <w:r w:rsidRPr="00AF27CD">
        <w:t xml:space="preserve"> określając</w:t>
      </w:r>
      <w:r w:rsidR="0006089E" w:rsidRPr="00AF27CD">
        <w:t>ym</w:t>
      </w:r>
      <w:r w:rsidRPr="00AF27CD">
        <w:t xml:space="preserve"> sposób prowadzenia ewidencji nie </w:t>
      </w:r>
      <w:r w:rsidR="0006089E" w:rsidRPr="00AF27CD">
        <w:t xml:space="preserve">ma wzorów </w:t>
      </w:r>
      <w:r w:rsidRPr="00AF27CD">
        <w:t>ewidencji. Przedsiębiorcy</w:t>
      </w:r>
      <w:r w:rsidR="0006089E" w:rsidRPr="00AF27CD">
        <w:t>,</w:t>
      </w:r>
      <w:r w:rsidRPr="00AF27CD">
        <w:t xml:space="preserve"> po wejściu w życie nowych przepisów</w:t>
      </w:r>
      <w:r w:rsidR="0006089E" w:rsidRPr="00AF27CD">
        <w:t>,</w:t>
      </w:r>
      <w:r w:rsidRPr="00AF27CD">
        <w:t xml:space="preserve"> będą mogli kontynuować prowadzenie ksiąg ewidencyjnych założonych pod rządami poprzednich regulacji. W projektowanych regulacjach pojawia się obowiązek ewidencjonowania towarów koncesjonowanych przyjętych do remontu, naprawy, przerobienia, oznakowania, pozbawienia cech użytkowych lub zniszczenia</w:t>
      </w:r>
      <w:r w:rsidR="0006089E" w:rsidRPr="00AF27CD">
        <w:t>,</w:t>
      </w:r>
      <w:r w:rsidRPr="00AF27CD">
        <w:t xml:space="preserve"> co jest konsekwencją szczegółowego określenia tych wszystkich procesów wchodzących w zakres pojęcia „wytwarzanie” </w:t>
      </w:r>
      <w:r w:rsidR="006B268E">
        <w:t xml:space="preserve">. </w:t>
      </w:r>
      <w:r w:rsidR="006B268E" w:rsidRPr="00AF27CD">
        <w:t>Będzie</w:t>
      </w:r>
      <w:r w:rsidR="006B268E">
        <w:t xml:space="preserve"> to</w:t>
      </w:r>
      <w:r w:rsidR="006B268E" w:rsidRPr="00AF27CD">
        <w:t xml:space="preserve"> </w:t>
      </w:r>
      <w:r w:rsidR="0006089E" w:rsidRPr="00AF27CD">
        <w:t xml:space="preserve">miało znaczenie </w:t>
      </w:r>
      <w:r w:rsidRPr="00AF27CD">
        <w:t xml:space="preserve">w odniesieniu do </w:t>
      </w:r>
      <w:r w:rsidR="0006089E" w:rsidRPr="00AF27CD">
        <w:t xml:space="preserve">ewidencjonowania zdarzeń dotyczących </w:t>
      </w:r>
      <w:r w:rsidRPr="00AF27CD">
        <w:t>strzeleckiej broni palnej w Systemie Śledzenia Broni</w:t>
      </w:r>
      <w:r w:rsidR="00422EA7" w:rsidRPr="00AF27CD">
        <w:t xml:space="preserve"> </w:t>
      </w:r>
      <w:r w:rsidRPr="00AF27CD">
        <w:t xml:space="preserve">i jest związane z potrzebą skorelowania sposobu ewidencjonowania towarów koncesjonowanych ze sposobem ewidencjonowania zastępczego dla strzeleckiej broni palnej, w przypadku braku możliwości jej ewidencjonowania w SRB. </w:t>
      </w:r>
    </w:p>
    <w:p w:rsidR="00A93E79" w:rsidRPr="00AF27CD" w:rsidRDefault="00422EA7" w:rsidP="00422EA7">
      <w:pPr>
        <w:pStyle w:val="ROZDZODDZPRZEDMprzedmiotregulacjirozdziauluboddziau"/>
        <w:jc w:val="both"/>
        <w:rPr>
          <w:rFonts w:ascii="Times New Roman" w:hAnsi="Times New Roman"/>
        </w:rPr>
      </w:pPr>
      <w:r w:rsidRPr="00AF27CD">
        <w:rPr>
          <w:rFonts w:ascii="Times New Roman" w:hAnsi="Times New Roman"/>
        </w:rPr>
        <w:t>Oddział 2 –</w:t>
      </w:r>
      <w:r w:rsidR="00A93E79" w:rsidRPr="00AF27CD">
        <w:rPr>
          <w:rFonts w:ascii="Times New Roman" w:hAnsi="Times New Roman"/>
        </w:rPr>
        <w:t xml:space="preserve"> </w:t>
      </w:r>
      <w:r w:rsidR="00A93E79" w:rsidRPr="00AF27CD">
        <w:rPr>
          <w:rFonts w:ascii="Times New Roman" w:hAnsi="Times New Roman"/>
          <w:b w:val="0"/>
        </w:rPr>
        <w:t xml:space="preserve">Pozbawianie cech użytkowych broni palnej i wyrobów o przeznaczeniu wojskowym lub policyjnym </w:t>
      </w:r>
      <w:r w:rsidR="00A93E79" w:rsidRPr="00AF27CD">
        <w:rPr>
          <w:rFonts w:ascii="Times New Roman" w:hAnsi="Times New Roman"/>
        </w:rPr>
        <w:t>(art. 4</w:t>
      </w:r>
      <w:r w:rsidR="00511D71" w:rsidRPr="00AF27CD">
        <w:rPr>
          <w:rFonts w:ascii="Times New Roman" w:hAnsi="Times New Roman"/>
        </w:rPr>
        <w:t>8</w:t>
      </w:r>
      <w:r w:rsidRPr="00AF27CD">
        <w:rPr>
          <w:rFonts w:ascii="Times New Roman" w:hAnsi="Times New Roman"/>
        </w:rPr>
        <w:t>–</w:t>
      </w:r>
      <w:r w:rsidR="00A93E79" w:rsidRPr="00AF27CD">
        <w:rPr>
          <w:rFonts w:ascii="Times New Roman" w:hAnsi="Times New Roman"/>
        </w:rPr>
        <w:t>5</w:t>
      </w:r>
      <w:r w:rsidR="00511D71" w:rsidRPr="00AF27CD">
        <w:rPr>
          <w:rFonts w:ascii="Times New Roman" w:hAnsi="Times New Roman"/>
        </w:rPr>
        <w:t>4</w:t>
      </w:r>
      <w:r w:rsidR="00A93E79" w:rsidRPr="00AF27CD">
        <w:rPr>
          <w:rFonts w:ascii="Times New Roman" w:hAnsi="Times New Roman"/>
        </w:rPr>
        <w:t>)</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Projekt ustawy zawiera zgrupowane przepisy dotyczące pozbawiania cech użytkowych broni palnej i wyrobów o przeznaczeniu wojskowym lub policyjnym. Dotychczas przepisy dotyczące pozbawiania broni palnej (do użytku cywilnego) cech użytkowych są zawarte w ustawie z dnia 21 maja 1999 r. o broni i amunicji, a innej broni palnej (wojskowej) oraz wyrobów o przeznaczeniu wojskowym lub p</w:t>
      </w:r>
      <w:r w:rsidR="00CC3571">
        <w:rPr>
          <w:rFonts w:ascii="Times New Roman" w:eastAsiaTheme="minorEastAsia" w:hAnsi="Times New Roman" w:cs="Times New Roman"/>
          <w:bCs/>
          <w:szCs w:val="24"/>
        </w:rPr>
        <w:t>olicyjnym w ustawie z</w:t>
      </w:r>
      <w:r w:rsidR="00EC6774">
        <w:rPr>
          <w:rFonts w:ascii="Times New Roman" w:eastAsiaTheme="minorEastAsia" w:hAnsi="Times New Roman" w:cs="Times New Roman"/>
          <w:bCs/>
          <w:szCs w:val="24"/>
        </w:rPr>
        <w:t> </w:t>
      </w:r>
      <w:r w:rsidRPr="00AF27CD">
        <w:rPr>
          <w:rFonts w:ascii="Times New Roman" w:eastAsiaTheme="minorEastAsia" w:hAnsi="Times New Roman" w:cs="Times New Roman"/>
          <w:bCs/>
          <w:szCs w:val="24"/>
        </w:rPr>
        <w:t>dnia 22 czerwca 2001 r. Ponieważ pozbawianie broni palnej cech użytkowych może być wykonywane wyłącznie przez przedsiębiorców posiadających koncesję na wytwarzanie danego rodzaju broni, mate</w:t>
      </w:r>
      <w:r w:rsidR="00CC3571">
        <w:rPr>
          <w:rFonts w:ascii="Times New Roman" w:eastAsiaTheme="minorEastAsia" w:hAnsi="Times New Roman" w:cs="Times New Roman"/>
          <w:bCs/>
          <w:szCs w:val="24"/>
        </w:rPr>
        <w:t>ria ta powinna być regulowana w</w:t>
      </w:r>
      <w:r w:rsidR="00EC6774">
        <w:rPr>
          <w:rFonts w:ascii="Times New Roman" w:eastAsiaTheme="minorEastAsia" w:hAnsi="Times New Roman" w:cs="Times New Roman"/>
          <w:bCs/>
          <w:szCs w:val="24"/>
        </w:rPr>
        <w:t> </w:t>
      </w:r>
      <w:r w:rsidR="0028758A" w:rsidRPr="00AF27CD">
        <w:rPr>
          <w:rFonts w:ascii="Times New Roman" w:eastAsiaTheme="minorEastAsia" w:hAnsi="Times New Roman" w:cs="Times New Roman"/>
          <w:bCs/>
          <w:szCs w:val="24"/>
        </w:rPr>
        <w:t xml:space="preserve">projektowanej </w:t>
      </w:r>
      <w:r w:rsidRPr="00AF27CD">
        <w:rPr>
          <w:rFonts w:ascii="Times New Roman" w:eastAsiaTheme="minorEastAsia" w:hAnsi="Times New Roman" w:cs="Times New Roman"/>
          <w:bCs/>
          <w:szCs w:val="24"/>
        </w:rPr>
        <w:t xml:space="preserve">ustawie, aby zapewnić przejrzystość przepisów i ułatwić stosowanie się do określonych w nich wymogów. </w:t>
      </w:r>
    </w:p>
    <w:p w:rsidR="00A93E79" w:rsidRPr="00AF27CD" w:rsidRDefault="00A93E79" w:rsidP="00422EA7">
      <w:pPr>
        <w:spacing w:before="120" w:line="360" w:lineRule="auto"/>
        <w:jc w:val="both"/>
      </w:pPr>
      <w:r w:rsidRPr="00AF27CD">
        <w:rPr>
          <w:rFonts w:eastAsiaTheme="minorEastAsia"/>
          <w:bCs/>
        </w:rPr>
        <w:t xml:space="preserve">W przypadku strzeleckiej broni palnej kwestie sposobu pozbawiania cech użytkowych reguluje obowiązujące wprost </w:t>
      </w:r>
      <w:r w:rsidRPr="00AF27CD">
        <w:t>rozporządzenie</w:t>
      </w:r>
      <w:r w:rsidR="00934464">
        <w:t xml:space="preserve"> 2015/2403</w:t>
      </w:r>
      <w:r w:rsidRPr="00AF27CD">
        <w:t>. Rozporządzenie określa czynności, jakie należy przeprowadzić w zależności</w:t>
      </w:r>
      <w:r w:rsidR="00422EA7" w:rsidRPr="00AF27CD">
        <w:t xml:space="preserve"> </w:t>
      </w:r>
      <w:r w:rsidR="00CC3571">
        <w:t>od typu i</w:t>
      </w:r>
      <w:r w:rsidR="00EC6774">
        <w:t xml:space="preserve"> </w:t>
      </w:r>
      <w:r w:rsidRPr="00AF27CD">
        <w:t>rodzaju broni</w:t>
      </w:r>
      <w:r w:rsidR="00C91106">
        <w:t>,</w:t>
      </w:r>
      <w:r w:rsidRPr="00AF27CD">
        <w:t xml:space="preserve"> oraz wzór i zakres danych wpisywanych do świadectwa pozbawienia cech użytkowych. </w:t>
      </w:r>
    </w:p>
    <w:p w:rsidR="00A93E79" w:rsidRPr="00AF27CD" w:rsidRDefault="00A93E79" w:rsidP="00422EA7">
      <w:pPr>
        <w:pStyle w:val="Bezodstpw"/>
        <w:spacing w:before="120" w:line="360" w:lineRule="auto"/>
        <w:jc w:val="both"/>
        <w:rPr>
          <w:rFonts w:ascii="Times New Roman" w:hAnsi="Times New Roman"/>
          <w:sz w:val="24"/>
          <w:szCs w:val="24"/>
        </w:rPr>
      </w:pPr>
      <w:r w:rsidRPr="00AF27CD">
        <w:rPr>
          <w:rFonts w:ascii="Times New Roman" w:hAnsi="Times New Roman"/>
          <w:sz w:val="24"/>
          <w:szCs w:val="24"/>
        </w:rPr>
        <w:t xml:space="preserve">Od dnia 8 kwietnia 2016 r. – dzień stosowania ww. rozporządzenia w UE, na skutek braku odpowiednich przepisów nie wykonuje się </w:t>
      </w:r>
      <w:r w:rsidR="00BD1AB3" w:rsidRPr="00AF27CD">
        <w:rPr>
          <w:rFonts w:ascii="Times New Roman" w:hAnsi="Times New Roman"/>
          <w:sz w:val="24"/>
          <w:szCs w:val="24"/>
        </w:rPr>
        <w:t xml:space="preserve">w Polsce </w:t>
      </w:r>
      <w:r w:rsidR="00CC3571">
        <w:rPr>
          <w:rFonts w:ascii="Times New Roman" w:hAnsi="Times New Roman"/>
          <w:sz w:val="24"/>
          <w:szCs w:val="24"/>
        </w:rPr>
        <w:t>czynności związanych z</w:t>
      </w:r>
      <w:r w:rsidR="00EC6774">
        <w:rPr>
          <w:rFonts w:ascii="Times New Roman" w:hAnsi="Times New Roman"/>
          <w:sz w:val="24"/>
          <w:szCs w:val="24"/>
        </w:rPr>
        <w:t> </w:t>
      </w:r>
      <w:r w:rsidRPr="00AF27CD">
        <w:rPr>
          <w:rFonts w:ascii="Times New Roman" w:hAnsi="Times New Roman"/>
          <w:sz w:val="24"/>
          <w:szCs w:val="24"/>
        </w:rPr>
        <w:t xml:space="preserve">potwierdzaniem prawidłowości pozbawienia strzeleckiej broni palnej cech użytkowych. Taki stan może powodować straty w obrocie gospodarczym, stwarza niekorzystne luki w przepisach dotyczących broni palnej oraz powoduje ograniczenia dla osób, które z różnych powodów chcą nabyć taką broń albo zamiast zlecić pozbawienie cech użytkowych broni palnej, do której mają wyłącznie prawo własności, </w:t>
      </w:r>
      <w:r w:rsidR="006B268E" w:rsidRPr="00AF27CD">
        <w:rPr>
          <w:rFonts w:ascii="Times New Roman" w:hAnsi="Times New Roman"/>
          <w:sz w:val="24"/>
          <w:szCs w:val="24"/>
        </w:rPr>
        <w:t xml:space="preserve">są </w:t>
      </w:r>
      <w:r w:rsidRPr="00AF27CD">
        <w:rPr>
          <w:rFonts w:ascii="Times New Roman" w:hAnsi="Times New Roman"/>
          <w:sz w:val="24"/>
          <w:szCs w:val="24"/>
        </w:rPr>
        <w:t>zmuszeni do utrzymywania jej w płatnym depozycie Policji</w:t>
      </w:r>
      <w:r w:rsidR="009545EE" w:rsidRPr="00AF27CD">
        <w:rPr>
          <w:rFonts w:ascii="Times New Roman" w:hAnsi="Times New Roman"/>
          <w:sz w:val="24"/>
          <w:szCs w:val="24"/>
        </w:rPr>
        <w:t xml:space="preserve"> lub nawet do jej zniszczenia.</w:t>
      </w:r>
      <w:r w:rsidR="00422EA7" w:rsidRPr="00AF27CD">
        <w:rPr>
          <w:rFonts w:ascii="Times New Roman" w:hAnsi="Times New Roman"/>
          <w:sz w:val="24"/>
          <w:szCs w:val="24"/>
        </w:rPr>
        <w:t xml:space="preserve"> </w:t>
      </w:r>
      <w:r w:rsidRPr="00AF27CD">
        <w:rPr>
          <w:rFonts w:ascii="Times New Roman" w:hAnsi="Times New Roman"/>
          <w:sz w:val="24"/>
          <w:szCs w:val="24"/>
        </w:rPr>
        <w:t>B</w:t>
      </w:r>
      <w:r w:rsidRPr="00AF27CD">
        <w:rPr>
          <w:rFonts w:ascii="Times New Roman" w:eastAsia="Times New Roman" w:hAnsi="Times New Roman"/>
          <w:sz w:val="24"/>
          <w:szCs w:val="24"/>
          <w:lang w:eastAsia="pl-PL"/>
        </w:rPr>
        <w:t>roń palna pozbawiona cech użytkowych – jest to strzelecka broń palna, która została pozbawiona cech użytkowych zgodnie</w:t>
      </w:r>
      <w:r w:rsidR="00EC6774">
        <w:rPr>
          <w:rFonts w:ascii="Times New Roman" w:eastAsia="Times New Roman" w:hAnsi="Times New Roman"/>
          <w:sz w:val="24"/>
          <w:szCs w:val="24"/>
          <w:lang w:eastAsia="pl-PL"/>
        </w:rPr>
        <w:t xml:space="preserve"> z przepisami rozporządzenia </w:t>
      </w:r>
      <w:r w:rsidRPr="00AF27CD">
        <w:rPr>
          <w:rFonts w:ascii="Times New Roman" w:eastAsia="Times New Roman" w:hAnsi="Times New Roman"/>
          <w:sz w:val="24"/>
          <w:szCs w:val="24"/>
          <w:lang w:eastAsia="pl-PL"/>
        </w:rPr>
        <w:t>2015/2403 przez uprawnionego przedsiębiorcę, któ</w:t>
      </w:r>
      <w:r w:rsidR="00422EA7" w:rsidRPr="00AF27CD">
        <w:rPr>
          <w:rFonts w:ascii="Times New Roman" w:eastAsia="Times New Roman" w:hAnsi="Times New Roman"/>
          <w:sz w:val="24"/>
          <w:szCs w:val="24"/>
          <w:lang w:eastAsia="pl-PL"/>
        </w:rPr>
        <w:t>remu podmiot uprawniony wydał „</w:t>
      </w:r>
      <w:r w:rsidRPr="00AF27CD">
        <w:rPr>
          <w:rFonts w:ascii="Times New Roman" w:eastAsia="Times New Roman" w:hAnsi="Times New Roman"/>
          <w:sz w:val="24"/>
          <w:szCs w:val="24"/>
          <w:lang w:eastAsia="pl-PL"/>
        </w:rPr>
        <w:t>Świadectwo dla broni palnej pozbawionej cech użytkowych”</w:t>
      </w:r>
      <w:r w:rsidR="0006089E" w:rsidRPr="00AF27CD">
        <w:rPr>
          <w:rFonts w:ascii="Times New Roman" w:eastAsia="Times New Roman" w:hAnsi="Times New Roman"/>
          <w:sz w:val="24"/>
          <w:szCs w:val="24"/>
          <w:lang w:eastAsia="pl-PL"/>
        </w:rPr>
        <w:t>,</w:t>
      </w:r>
      <w:r w:rsidRPr="00AF27CD">
        <w:rPr>
          <w:rFonts w:ascii="Times New Roman" w:eastAsia="Times New Roman" w:hAnsi="Times New Roman"/>
          <w:sz w:val="24"/>
          <w:szCs w:val="24"/>
          <w:lang w:eastAsia="pl-PL"/>
        </w:rPr>
        <w:t xml:space="preserve"> przypisane do tej broni, potwierdzające, że podmiot uprawniony zgodnie z przepisami tego rozporządzenia zweryfikował poprawność pozbawienia</w:t>
      </w:r>
      <w:r w:rsidR="00EC6774">
        <w:rPr>
          <w:rFonts w:ascii="Times New Roman" w:eastAsia="Times New Roman" w:hAnsi="Times New Roman"/>
          <w:sz w:val="24"/>
          <w:szCs w:val="24"/>
          <w:lang w:eastAsia="pl-PL"/>
        </w:rPr>
        <w:t xml:space="preserve"> cech użytkowych broni palnej i </w:t>
      </w:r>
      <w:r w:rsidRPr="00AF27CD">
        <w:rPr>
          <w:rFonts w:ascii="Times New Roman" w:eastAsia="Times New Roman" w:hAnsi="Times New Roman"/>
          <w:sz w:val="24"/>
          <w:szCs w:val="24"/>
          <w:lang w:eastAsia="pl-PL"/>
        </w:rPr>
        <w:t xml:space="preserve">jej </w:t>
      </w:r>
      <w:r w:rsidR="009545EE" w:rsidRPr="00AF27CD">
        <w:rPr>
          <w:rFonts w:ascii="Times New Roman" w:eastAsia="Times New Roman" w:hAnsi="Times New Roman"/>
          <w:sz w:val="24"/>
          <w:szCs w:val="24"/>
          <w:lang w:eastAsia="pl-PL"/>
        </w:rPr>
        <w:t xml:space="preserve">istotnych </w:t>
      </w:r>
      <w:r w:rsidRPr="00AF27CD">
        <w:rPr>
          <w:rFonts w:ascii="Times New Roman" w:eastAsia="Times New Roman" w:hAnsi="Times New Roman"/>
          <w:sz w:val="24"/>
          <w:szCs w:val="24"/>
          <w:lang w:eastAsia="pl-PL"/>
        </w:rPr>
        <w:t>komponentów i oznakował broń palną oraz jej komponenty oznakowaniem broni palnej pozbawionej cech użytkowych.</w:t>
      </w:r>
      <w:r w:rsidR="00422EA7" w:rsidRPr="00AF27CD">
        <w:rPr>
          <w:rFonts w:ascii="Times New Roman" w:eastAsia="Times New Roman" w:hAnsi="Times New Roman"/>
          <w:sz w:val="24"/>
          <w:szCs w:val="24"/>
          <w:lang w:eastAsia="pl-PL"/>
        </w:rPr>
        <w:t xml:space="preserve"> </w:t>
      </w:r>
    </w:p>
    <w:p w:rsidR="00A93E79" w:rsidRPr="00AF27CD" w:rsidRDefault="009545EE" w:rsidP="00422EA7">
      <w:pPr>
        <w:pStyle w:val="Bezodstpw"/>
        <w:spacing w:before="120" w:line="360" w:lineRule="auto"/>
        <w:jc w:val="both"/>
        <w:rPr>
          <w:rFonts w:ascii="Times New Roman" w:eastAsia="Times New Roman" w:hAnsi="Times New Roman"/>
          <w:sz w:val="24"/>
          <w:szCs w:val="24"/>
          <w:lang w:eastAsia="pl-PL"/>
        </w:rPr>
      </w:pPr>
      <w:r w:rsidRPr="00AF27CD">
        <w:rPr>
          <w:rFonts w:ascii="Times New Roman" w:hAnsi="Times New Roman"/>
          <w:sz w:val="24"/>
          <w:szCs w:val="24"/>
        </w:rPr>
        <w:t>P</w:t>
      </w:r>
      <w:r w:rsidR="00A93E79" w:rsidRPr="00AF27CD">
        <w:rPr>
          <w:rFonts w:ascii="Times New Roman" w:hAnsi="Times New Roman"/>
          <w:sz w:val="24"/>
          <w:szCs w:val="24"/>
        </w:rPr>
        <w:t xml:space="preserve">rzedsiębiorcą </w:t>
      </w:r>
      <w:r w:rsidRPr="00AF27CD">
        <w:rPr>
          <w:rFonts w:ascii="Times New Roman" w:hAnsi="Times New Roman"/>
          <w:sz w:val="24"/>
          <w:szCs w:val="24"/>
        </w:rPr>
        <w:t xml:space="preserve">uprawnionym </w:t>
      </w:r>
      <w:r w:rsidR="00A93E79" w:rsidRPr="00AF27CD">
        <w:rPr>
          <w:rFonts w:ascii="Times New Roman" w:hAnsi="Times New Roman"/>
          <w:sz w:val="24"/>
          <w:szCs w:val="24"/>
        </w:rPr>
        <w:t xml:space="preserve">do pozbawiania cech użytkowych danego rodzaju strzeleckiej broni palnej i jej komponentów jest przedsiębiorca, któremu została udzielona koncesja na wykonywanie działalności gospodarczej w </w:t>
      </w:r>
      <w:r w:rsidR="00A93E79" w:rsidRPr="00AF27CD">
        <w:rPr>
          <w:rFonts w:ascii="Times New Roman" w:eastAsia="Times New Roman" w:hAnsi="Times New Roman"/>
          <w:sz w:val="24"/>
          <w:szCs w:val="24"/>
          <w:lang w:eastAsia="pl-PL"/>
        </w:rPr>
        <w:t>zakresie wytwarzania danego rodzaju strzeleckiej broni palnej.</w:t>
      </w:r>
    </w:p>
    <w:p w:rsidR="002C1935"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Mając na uwadze, że Centralne Laboratorium Kryminalistyczne Policji (CLKP) do dnia 8 kwietnia 2016 r. </w:t>
      </w:r>
      <w:r w:rsidR="002C1935" w:rsidRPr="00AF27CD">
        <w:rPr>
          <w:rFonts w:ascii="Times New Roman" w:hAnsi="Times New Roman" w:cs="Times New Roman"/>
          <w:szCs w:val="24"/>
        </w:rPr>
        <w:t xml:space="preserve">jako jedyna instytucja </w:t>
      </w:r>
      <w:r w:rsidRPr="00AF27CD">
        <w:rPr>
          <w:rFonts w:ascii="Times New Roman" w:hAnsi="Times New Roman" w:cs="Times New Roman"/>
          <w:szCs w:val="24"/>
        </w:rPr>
        <w:t>pełniło rolę „podmiotu uprawnionego”, należ</w:t>
      </w:r>
      <w:r w:rsidR="002C1935" w:rsidRPr="00AF27CD">
        <w:rPr>
          <w:rFonts w:ascii="Times New Roman" w:hAnsi="Times New Roman" w:cs="Times New Roman"/>
          <w:szCs w:val="24"/>
        </w:rPr>
        <w:t xml:space="preserve">ało rozważyć i zbadać możliwość poszerzenia listy tych podmiotów. </w:t>
      </w:r>
    </w:p>
    <w:p w:rsidR="002C1935" w:rsidRPr="00AF27CD" w:rsidRDefault="002C1935" w:rsidP="00422EA7">
      <w:pPr>
        <w:spacing w:before="120" w:line="360" w:lineRule="auto"/>
        <w:jc w:val="both"/>
      </w:pPr>
      <w:r w:rsidRPr="00AF27CD">
        <w:t>Po konsultacjach z instytutami posiadającymi potencjał i możliwości do realizacji tego zadania do projektu ustawy wprowadzono zmiany umożliwiające dopuszczenie do pozbawiania strzeleckiej broni palnej cech użytkowych oraz</w:t>
      </w:r>
      <w:r w:rsidR="00422EA7" w:rsidRPr="00AF27CD">
        <w:t xml:space="preserve"> </w:t>
      </w:r>
      <w:r w:rsidR="00395D84">
        <w:t>weryfikowania i</w:t>
      </w:r>
      <w:r w:rsidR="00EC6774">
        <w:t> </w:t>
      </w:r>
      <w:r w:rsidRPr="00AF27CD">
        <w:t xml:space="preserve">poświadczania prawidłowości pozbawienia broni cech użytkowych, a także oznakowywania broni pozbawionej cech użytkowych, szerszego katalogu podmiotów. Do potencjalnie zainteresowanych podmiotów </w:t>
      </w:r>
      <w:r w:rsidR="006B268E" w:rsidRPr="00AF27CD">
        <w:t xml:space="preserve">zostały </w:t>
      </w:r>
      <w:r w:rsidRPr="00AF27CD">
        <w:t>skierowane zapytania odnośnie ich możliwości w zakresie przyjęcia na siebie obowiązków podmiotu uprawnionego do pozbawiania, weryfikowania i poświadczania prawidłowości pozbawienia oraz oznakowywania strzeleckiej broni palnej cech użytkowych. Zainteresowanie wyraził Wojskowy Instytut Techniczny Uzbrojenia</w:t>
      </w:r>
      <w:r w:rsidR="00422EA7" w:rsidRPr="00AF27CD">
        <w:t xml:space="preserve"> </w:t>
      </w:r>
      <w:r w:rsidRPr="00AF27CD">
        <w:t>(WITU)</w:t>
      </w:r>
      <w:r w:rsidR="00422EA7" w:rsidRPr="00AF27CD">
        <w:t xml:space="preserve"> </w:t>
      </w:r>
      <w:r w:rsidRPr="00AF27CD">
        <w:t>i Instytut Mechaniki Precyzyjnej (IMP). Istnienie na rynku większej</w:t>
      </w:r>
      <w:r w:rsidR="00EB68E7" w:rsidRPr="00AF27CD">
        <w:t xml:space="preserve"> liczby</w:t>
      </w:r>
      <w:r w:rsidRPr="00AF27CD">
        <w:t xml:space="preserve"> podmiotów uprawnionych stwarza sytuację korzystniejszą dla posiadaczy broni, choćby z uwagi na większą konkurencyjność opłat. Konsekwencją tych zmian jest określenie zakresu danych wprowadzanych do Systemu Rejestracji Broni</w:t>
      </w:r>
      <w:r w:rsidR="009545EE" w:rsidRPr="00AF27CD">
        <w:t xml:space="preserve"> (SRB)</w:t>
      </w:r>
      <w:r w:rsidR="00422EA7" w:rsidRPr="00AF27CD">
        <w:t xml:space="preserve"> </w:t>
      </w:r>
      <w:r w:rsidRPr="00AF27CD">
        <w:t>przez podmioty uprawnione do weryfikacji i poświadczenia, że strzelecka broń palna została pozbawiona cech użytkowych</w:t>
      </w:r>
      <w:r w:rsidR="004F17DF">
        <w:t>,</w:t>
      </w:r>
      <w:r w:rsidRPr="00AF27CD">
        <w:t xml:space="preserve"> oraz ozn</w:t>
      </w:r>
      <w:r w:rsidR="00EB68E7" w:rsidRPr="00AF27CD">
        <w:t>a</w:t>
      </w:r>
      <w:r w:rsidRPr="00AF27CD">
        <w:t xml:space="preserve">kowania strzeleckiej broni palnej pozbawionej cech użytkowych, a na podmioty uprawnione nałożono obowiązek wprowadzania do SRB danych dot. pozbawiania strzeleckiej broni palnej w zakresie przewidzianym w przepisach </w:t>
      </w:r>
      <w:r w:rsidR="00395D84">
        <w:t>rozdziału dla przedsiębiorcy, w</w:t>
      </w:r>
      <w:r w:rsidR="00EC6774">
        <w:t> </w:t>
      </w:r>
      <w:r w:rsidRPr="00AF27CD">
        <w:t xml:space="preserve">przypadku gdy podmioty te same dokonały pozbawienia strzeleckiej broni palnej cech użytkowych. </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hAnsi="Times New Roman" w:cs="Times New Roman"/>
          <w:szCs w:val="24"/>
        </w:rPr>
        <w:t>Podmiot uprawniony powinien być identyfikowalny w UE</w:t>
      </w:r>
      <w:r w:rsidR="009545EE" w:rsidRPr="00AF27CD">
        <w:rPr>
          <w:rFonts w:ascii="Times New Roman" w:hAnsi="Times New Roman" w:cs="Times New Roman"/>
          <w:szCs w:val="24"/>
        </w:rPr>
        <w:t xml:space="preserve"> </w:t>
      </w:r>
      <w:r w:rsidR="00413B1C" w:rsidRPr="00AF27CD">
        <w:rPr>
          <w:rFonts w:ascii="Times New Roman" w:hAnsi="Times New Roman" w:cs="Times New Roman"/>
          <w:szCs w:val="24"/>
        </w:rPr>
        <w:t>przez</w:t>
      </w:r>
      <w:r w:rsidR="009545EE" w:rsidRPr="00AF27CD">
        <w:rPr>
          <w:rFonts w:ascii="Times New Roman" w:hAnsi="Times New Roman" w:cs="Times New Roman"/>
          <w:szCs w:val="24"/>
        </w:rPr>
        <w:t xml:space="preserve"> unikatowy wzór </w:t>
      </w:r>
      <w:r w:rsidR="00C67557" w:rsidRPr="00AF27CD">
        <w:rPr>
          <w:rFonts w:ascii="Times New Roman" w:hAnsi="Times New Roman" w:cs="Times New Roman"/>
          <w:szCs w:val="24"/>
        </w:rPr>
        <w:t xml:space="preserve">stosowanego </w:t>
      </w:r>
      <w:r w:rsidR="007206AD" w:rsidRPr="00AF27CD">
        <w:rPr>
          <w:rFonts w:ascii="Times New Roman" w:hAnsi="Times New Roman" w:cs="Times New Roman"/>
          <w:szCs w:val="24"/>
        </w:rPr>
        <w:t>o</w:t>
      </w:r>
      <w:r w:rsidR="009545EE" w:rsidRPr="00AF27CD">
        <w:rPr>
          <w:rFonts w:ascii="Times New Roman" w:hAnsi="Times New Roman" w:cs="Times New Roman"/>
          <w:szCs w:val="24"/>
        </w:rPr>
        <w:t>znakowania</w:t>
      </w:r>
      <w:r w:rsidR="00422EA7" w:rsidRPr="00AF27CD">
        <w:rPr>
          <w:rFonts w:ascii="Times New Roman" w:hAnsi="Times New Roman" w:cs="Times New Roman"/>
          <w:szCs w:val="24"/>
        </w:rPr>
        <w:t xml:space="preserve"> </w:t>
      </w:r>
      <w:r w:rsidRPr="00AF27CD">
        <w:rPr>
          <w:rFonts w:ascii="Times New Roman" w:hAnsi="Times New Roman" w:cs="Times New Roman"/>
          <w:szCs w:val="24"/>
        </w:rPr>
        <w:t>i jest on odpowiedzialny zarówno w R</w:t>
      </w:r>
      <w:r w:rsidR="006B268E">
        <w:rPr>
          <w:rFonts w:ascii="Times New Roman" w:hAnsi="Times New Roman" w:cs="Times New Roman"/>
          <w:szCs w:val="24"/>
        </w:rPr>
        <w:t xml:space="preserve">zeczypospolitej </w:t>
      </w:r>
      <w:r w:rsidRPr="00AF27CD">
        <w:rPr>
          <w:rFonts w:ascii="Times New Roman" w:hAnsi="Times New Roman" w:cs="Times New Roman"/>
          <w:szCs w:val="24"/>
        </w:rPr>
        <w:t>P</w:t>
      </w:r>
      <w:r w:rsidR="006B268E">
        <w:rPr>
          <w:rFonts w:ascii="Times New Roman" w:hAnsi="Times New Roman" w:cs="Times New Roman"/>
          <w:szCs w:val="24"/>
        </w:rPr>
        <w:t>olskiej,</w:t>
      </w:r>
      <w:r w:rsidRPr="00AF27CD">
        <w:rPr>
          <w:rFonts w:ascii="Times New Roman" w:hAnsi="Times New Roman" w:cs="Times New Roman"/>
          <w:szCs w:val="24"/>
        </w:rPr>
        <w:t xml:space="preserve"> jak i w całej UE</w:t>
      </w:r>
      <w:r w:rsidR="006B268E">
        <w:rPr>
          <w:rFonts w:ascii="Times New Roman" w:hAnsi="Times New Roman" w:cs="Times New Roman"/>
          <w:szCs w:val="24"/>
        </w:rPr>
        <w:t>,</w:t>
      </w:r>
      <w:r w:rsidRPr="00AF27CD">
        <w:rPr>
          <w:rFonts w:ascii="Times New Roman" w:hAnsi="Times New Roman" w:cs="Times New Roman"/>
          <w:szCs w:val="24"/>
        </w:rPr>
        <w:t xml:space="preserve"> za to, że strzelecka broń palna pozbawiona cech użytkowych w Polsce i zweryfikowana przez polski podmiot uprawniony z dołączonym Świadectwem dla broni palnej pozbawionej cech użytkowych będzie uznawana za taką i może być przedmiotem obrotu pomiędzy wszystkimi państwami członkowskimi. Ponieważ sposób pozbawiania cech użytkowych </w:t>
      </w:r>
      <w:r w:rsidR="00EB68E7" w:rsidRPr="00AF27CD">
        <w:rPr>
          <w:rFonts w:ascii="Times New Roman" w:hAnsi="Times New Roman" w:cs="Times New Roman"/>
          <w:szCs w:val="24"/>
        </w:rPr>
        <w:t xml:space="preserve">jest </w:t>
      </w:r>
      <w:r w:rsidRPr="00AF27CD">
        <w:rPr>
          <w:rFonts w:ascii="Times New Roman" w:hAnsi="Times New Roman" w:cs="Times New Roman"/>
          <w:szCs w:val="24"/>
        </w:rPr>
        <w:t xml:space="preserve">określony w rozporządzeniu 2015/2403, </w:t>
      </w:r>
      <w:r w:rsidR="00EB68E7" w:rsidRPr="00AF27CD">
        <w:rPr>
          <w:rFonts w:ascii="Times New Roman" w:hAnsi="Times New Roman" w:cs="Times New Roman"/>
          <w:szCs w:val="24"/>
        </w:rPr>
        <w:t>m</w:t>
      </w:r>
      <w:r w:rsidRPr="00AF27CD">
        <w:rPr>
          <w:rFonts w:ascii="Times New Roman" w:eastAsiaTheme="minorEastAsia" w:hAnsi="Times New Roman" w:cs="Times New Roman"/>
          <w:szCs w:val="24"/>
        </w:rPr>
        <w:t xml:space="preserve">inister właściwy do spraw wewnętrznych </w:t>
      </w:r>
      <w:r w:rsidR="009545EE" w:rsidRPr="00AF27CD">
        <w:rPr>
          <w:rFonts w:ascii="Times New Roman" w:eastAsiaTheme="minorEastAsia" w:hAnsi="Times New Roman" w:cs="Times New Roman"/>
          <w:szCs w:val="24"/>
        </w:rPr>
        <w:t xml:space="preserve">w porozumieniu z Ministrem Obrony Narodowej </w:t>
      </w:r>
      <w:r w:rsidRPr="00AF27CD">
        <w:rPr>
          <w:rFonts w:ascii="Times New Roman" w:eastAsiaTheme="minorEastAsia" w:hAnsi="Times New Roman" w:cs="Times New Roman"/>
          <w:szCs w:val="24"/>
        </w:rPr>
        <w:t>o</w:t>
      </w:r>
      <w:r w:rsidR="00395D84">
        <w:rPr>
          <w:rFonts w:ascii="Times New Roman" w:eastAsiaTheme="minorEastAsia" w:hAnsi="Times New Roman" w:cs="Times New Roman"/>
          <w:szCs w:val="24"/>
        </w:rPr>
        <w:t>kreśli, w</w:t>
      </w:r>
      <w:r w:rsidR="00EC6774">
        <w:rPr>
          <w:rFonts w:ascii="Times New Roman" w:eastAsiaTheme="minorEastAsia" w:hAnsi="Times New Roman" w:cs="Times New Roman"/>
          <w:szCs w:val="24"/>
        </w:rPr>
        <w:t xml:space="preserve"> </w:t>
      </w:r>
      <w:r w:rsidR="00EB68E7" w:rsidRPr="00AF27CD">
        <w:rPr>
          <w:rFonts w:ascii="Times New Roman" w:eastAsiaTheme="minorEastAsia" w:hAnsi="Times New Roman" w:cs="Times New Roman"/>
          <w:szCs w:val="24"/>
        </w:rPr>
        <w:t>drodze rozporządzenia</w:t>
      </w:r>
      <w:r w:rsidR="009545EE" w:rsidRPr="00AF27CD">
        <w:rPr>
          <w:rFonts w:ascii="Times New Roman" w:eastAsiaTheme="minorEastAsia" w:hAnsi="Times New Roman" w:cs="Times New Roman"/>
          <w:bCs/>
          <w:szCs w:val="24"/>
        </w:rPr>
        <w:t>,</w:t>
      </w:r>
      <w:r w:rsidR="00422EA7" w:rsidRPr="00AF27CD">
        <w:rPr>
          <w:rFonts w:ascii="Times New Roman" w:eastAsiaTheme="minorEastAsia" w:hAnsi="Times New Roman" w:cs="Times New Roman"/>
          <w:bCs/>
          <w:szCs w:val="24"/>
        </w:rPr>
        <w:t xml:space="preserve"> </w:t>
      </w:r>
      <w:r w:rsidR="00D1535E" w:rsidRPr="00AF27CD">
        <w:rPr>
          <w:rFonts w:ascii="Times New Roman" w:eastAsiaTheme="minorEastAsia" w:hAnsi="Times New Roman" w:cs="Times New Roman"/>
          <w:bCs/>
          <w:szCs w:val="24"/>
        </w:rPr>
        <w:t xml:space="preserve">podmioty uprawnione, </w:t>
      </w:r>
      <w:r w:rsidR="00EC6774">
        <w:rPr>
          <w:rFonts w:ascii="Times New Roman" w:eastAsiaTheme="minorEastAsia" w:hAnsi="Times New Roman" w:cs="Times New Roman"/>
          <w:bCs/>
          <w:szCs w:val="24"/>
        </w:rPr>
        <w:t>tryb i </w:t>
      </w:r>
      <w:r w:rsidRPr="00AF27CD">
        <w:rPr>
          <w:rFonts w:ascii="Times New Roman" w:eastAsiaTheme="minorEastAsia" w:hAnsi="Times New Roman" w:cs="Times New Roman"/>
          <w:bCs/>
          <w:szCs w:val="24"/>
        </w:rPr>
        <w:t xml:space="preserve">formę potwierdzania pozbawienia strzeleckiej broni palnej cech użytkowych, tryb postępowania ze strzelecką bronią palną przekazaną w celu pozbawienia cech użytkowych, tryb postępowania ze strzelecką bronią palną przekazaną w celu przeprowadzenia weryfikacji zgodności pozbawienia broni cech użytkowych ze specyfikacjami technicznymi, jak również </w:t>
      </w:r>
      <w:r w:rsidR="00EB68E7" w:rsidRPr="00AF27CD">
        <w:rPr>
          <w:rFonts w:ascii="Times New Roman" w:eastAsiaTheme="minorEastAsia" w:hAnsi="Times New Roman" w:cs="Times New Roman"/>
          <w:bCs/>
          <w:szCs w:val="24"/>
        </w:rPr>
        <w:t>wysokość</w:t>
      </w:r>
      <w:r w:rsidRPr="00AF27CD">
        <w:rPr>
          <w:rFonts w:ascii="Times New Roman" w:eastAsiaTheme="minorEastAsia" w:hAnsi="Times New Roman" w:cs="Times New Roman"/>
          <w:bCs/>
          <w:szCs w:val="24"/>
        </w:rPr>
        <w:t xml:space="preserve"> opłaty za weryfikację zgodności pozbawienia strzeleckiej broni cech użytkowych.</w:t>
      </w:r>
      <w:r w:rsidR="00C67557" w:rsidRPr="00AF27CD">
        <w:rPr>
          <w:rFonts w:ascii="Times New Roman" w:eastAsiaTheme="minorEastAsia" w:hAnsi="Times New Roman" w:cs="Times New Roman"/>
          <w:bCs/>
          <w:szCs w:val="24"/>
        </w:rPr>
        <w:t xml:space="preserve"> Rozporządzenie 2015/2403 zakłada, że podmiot uprawniony do weryfikowania pozbawienia broni cech użytkowych może również dokonywać czynności pozbawiania, pod warunkiem precyzyjnego rozdzielenia zadań i osób wykonujących</w:t>
      </w:r>
      <w:r w:rsidR="00BA02D8" w:rsidRPr="00AF27CD">
        <w:rPr>
          <w:rFonts w:ascii="Times New Roman" w:eastAsiaTheme="minorEastAsia" w:hAnsi="Times New Roman" w:cs="Times New Roman"/>
          <w:bCs/>
          <w:szCs w:val="24"/>
        </w:rPr>
        <w:t xml:space="preserve"> obie czynności. Planowane rozporządzenie również powinno zawierać przepisy wdrażające tę zasadę.</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bCs/>
          <w:szCs w:val="24"/>
        </w:rPr>
        <w:t xml:space="preserve">W odniesieniu do broni palnej innej niż broń strzelecka (wojskowej) oraz wyrobów </w:t>
      </w:r>
      <w:r w:rsidR="00395D84">
        <w:rPr>
          <w:rFonts w:ascii="Times New Roman" w:eastAsiaTheme="minorEastAsia" w:hAnsi="Times New Roman" w:cs="Times New Roman"/>
          <w:bCs/>
          <w:szCs w:val="24"/>
        </w:rPr>
        <w:t>o</w:t>
      </w:r>
      <w:r w:rsidR="00EC6774">
        <w:rPr>
          <w:rFonts w:ascii="Times New Roman" w:eastAsiaTheme="minorEastAsia" w:hAnsi="Times New Roman" w:cs="Times New Roman"/>
          <w:bCs/>
          <w:szCs w:val="24"/>
        </w:rPr>
        <w:t> </w:t>
      </w:r>
      <w:r w:rsidRPr="00AF27CD">
        <w:rPr>
          <w:rFonts w:ascii="Times New Roman" w:eastAsiaTheme="minorEastAsia" w:hAnsi="Times New Roman" w:cs="Times New Roman"/>
          <w:bCs/>
          <w:szCs w:val="24"/>
        </w:rPr>
        <w:t>przeznaczeniu wojskowym lub policyjnym do</w:t>
      </w:r>
      <w:r w:rsidR="00EB68E7" w:rsidRPr="00AF27CD">
        <w:rPr>
          <w:rFonts w:ascii="Times New Roman" w:eastAsiaTheme="minorEastAsia" w:hAnsi="Times New Roman" w:cs="Times New Roman"/>
          <w:bCs/>
          <w:szCs w:val="24"/>
        </w:rPr>
        <w:t xml:space="preserve"> projektowanej </w:t>
      </w:r>
      <w:r w:rsidRPr="00AF27CD">
        <w:rPr>
          <w:rFonts w:ascii="Times New Roman" w:eastAsiaTheme="minorEastAsia" w:hAnsi="Times New Roman" w:cs="Times New Roman"/>
          <w:bCs/>
          <w:szCs w:val="24"/>
        </w:rPr>
        <w:t xml:space="preserve">ustawy </w:t>
      </w:r>
      <w:r w:rsidR="00EB68E7" w:rsidRPr="00AF27CD">
        <w:rPr>
          <w:rFonts w:ascii="Times New Roman" w:eastAsiaTheme="minorEastAsia" w:hAnsi="Times New Roman" w:cs="Times New Roman"/>
          <w:bCs/>
          <w:szCs w:val="24"/>
        </w:rPr>
        <w:t xml:space="preserve">zostały </w:t>
      </w:r>
      <w:r w:rsidRPr="00AF27CD">
        <w:rPr>
          <w:rFonts w:ascii="Times New Roman" w:eastAsiaTheme="minorEastAsia" w:hAnsi="Times New Roman" w:cs="Times New Roman"/>
          <w:bCs/>
          <w:szCs w:val="24"/>
        </w:rPr>
        <w:t>przeniesione przepisy ustawy z dnia 22 czerwca 2001 r.</w:t>
      </w:r>
      <w:r w:rsidR="00155890" w:rsidRPr="00AF27CD">
        <w:rPr>
          <w:rFonts w:ascii="Times New Roman" w:eastAsiaTheme="minorEastAsia" w:hAnsi="Times New Roman" w:cs="Times New Roman"/>
          <w:bCs/>
          <w:szCs w:val="24"/>
        </w:rPr>
        <w:t xml:space="preserve"> oraz dodano przepis</w:t>
      </w:r>
      <w:r w:rsidR="00EB68E7" w:rsidRPr="00AF27CD">
        <w:rPr>
          <w:rFonts w:ascii="Times New Roman" w:eastAsiaTheme="minorEastAsia" w:hAnsi="Times New Roman" w:cs="Times New Roman"/>
          <w:bCs/>
          <w:szCs w:val="24"/>
        </w:rPr>
        <w:t>,</w:t>
      </w:r>
      <w:r w:rsidR="00155890" w:rsidRPr="00AF27CD">
        <w:rPr>
          <w:rFonts w:ascii="Times New Roman" w:eastAsiaTheme="minorEastAsia" w:hAnsi="Times New Roman" w:cs="Times New Roman"/>
          <w:bCs/>
          <w:szCs w:val="24"/>
        </w:rPr>
        <w:t xml:space="preserve"> na mocy którego pozbawienie innej broni i wyrobów będzie potwierdzane </w:t>
      </w:r>
      <w:r w:rsidR="00EB68E7" w:rsidRPr="00AF27CD">
        <w:rPr>
          <w:rFonts w:ascii="Times New Roman" w:eastAsiaTheme="minorEastAsia" w:hAnsi="Times New Roman" w:cs="Times New Roman"/>
          <w:bCs/>
          <w:szCs w:val="24"/>
        </w:rPr>
        <w:t>ś</w:t>
      </w:r>
      <w:r w:rsidR="00155890" w:rsidRPr="00AF27CD">
        <w:rPr>
          <w:rFonts w:ascii="Times New Roman" w:eastAsiaTheme="minorEastAsia" w:hAnsi="Times New Roman" w:cs="Times New Roman"/>
          <w:bCs/>
          <w:szCs w:val="24"/>
        </w:rPr>
        <w:t>wiadectw</w:t>
      </w:r>
      <w:r w:rsidR="00EB68E7" w:rsidRPr="00AF27CD">
        <w:rPr>
          <w:rFonts w:ascii="Times New Roman" w:eastAsiaTheme="minorEastAsia" w:hAnsi="Times New Roman" w:cs="Times New Roman"/>
          <w:bCs/>
          <w:szCs w:val="24"/>
        </w:rPr>
        <w:t>em</w:t>
      </w:r>
      <w:r w:rsidR="00155890" w:rsidRPr="00AF27CD">
        <w:rPr>
          <w:rFonts w:ascii="Times New Roman" w:eastAsiaTheme="minorEastAsia" w:hAnsi="Times New Roman" w:cs="Times New Roman"/>
          <w:bCs/>
          <w:szCs w:val="24"/>
        </w:rPr>
        <w:t xml:space="preserve"> pozbawienia cech użytkowych</w:t>
      </w:r>
      <w:r w:rsidR="00A33C15" w:rsidRPr="00AF27CD">
        <w:rPr>
          <w:rFonts w:ascii="Times New Roman" w:eastAsiaTheme="minorEastAsia" w:hAnsi="Times New Roman" w:cs="Times New Roman"/>
          <w:bCs/>
          <w:szCs w:val="24"/>
        </w:rPr>
        <w:t xml:space="preserve"> wydan</w:t>
      </w:r>
      <w:r w:rsidR="00EB68E7" w:rsidRPr="00AF27CD">
        <w:rPr>
          <w:rFonts w:ascii="Times New Roman" w:eastAsiaTheme="minorEastAsia" w:hAnsi="Times New Roman" w:cs="Times New Roman"/>
          <w:bCs/>
          <w:szCs w:val="24"/>
        </w:rPr>
        <w:t>ym</w:t>
      </w:r>
      <w:r w:rsidR="00A33C15" w:rsidRPr="00AF27CD">
        <w:rPr>
          <w:rFonts w:ascii="Times New Roman" w:eastAsiaTheme="minorEastAsia" w:hAnsi="Times New Roman" w:cs="Times New Roman"/>
          <w:bCs/>
          <w:szCs w:val="24"/>
        </w:rPr>
        <w:t xml:space="preserve"> przez uprawnioną instytucję</w:t>
      </w:r>
      <w:r w:rsidR="00155890" w:rsidRPr="00AF27CD">
        <w:rPr>
          <w:rFonts w:ascii="Times New Roman" w:eastAsiaTheme="minorEastAsia" w:hAnsi="Times New Roman" w:cs="Times New Roman"/>
          <w:bCs/>
          <w:szCs w:val="24"/>
        </w:rPr>
        <w:t>.</w:t>
      </w:r>
    </w:p>
    <w:p w:rsidR="00A93E79" w:rsidRPr="00AF27CD" w:rsidRDefault="00A93E79" w:rsidP="00422EA7">
      <w:pPr>
        <w:pStyle w:val="ROZDZODDZPRZEDMprzedmiotregulacjirozdziauluboddziau"/>
        <w:jc w:val="both"/>
        <w:rPr>
          <w:rFonts w:ascii="Times New Roman" w:hAnsi="Times New Roman"/>
          <w:b w:val="0"/>
        </w:rPr>
      </w:pPr>
      <w:r w:rsidRPr="00AF27CD">
        <w:rPr>
          <w:rFonts w:ascii="Times New Roman" w:hAnsi="Times New Roman"/>
        </w:rPr>
        <w:t xml:space="preserve">Rozdział 3 </w:t>
      </w:r>
      <w:r w:rsidR="006A3350" w:rsidRPr="00AF27CD">
        <w:rPr>
          <w:rFonts w:ascii="Times New Roman" w:hAnsi="Times New Roman"/>
        </w:rPr>
        <w:t>(art. 5</w:t>
      </w:r>
      <w:r w:rsidR="00511D71" w:rsidRPr="00AF27CD">
        <w:rPr>
          <w:rFonts w:ascii="Times New Roman" w:hAnsi="Times New Roman"/>
        </w:rPr>
        <w:t>5</w:t>
      </w:r>
      <w:r w:rsidR="00422EA7" w:rsidRPr="00AF27CD">
        <w:rPr>
          <w:rFonts w:ascii="Times New Roman" w:hAnsi="Times New Roman"/>
        </w:rPr>
        <w:t>–</w:t>
      </w:r>
      <w:r w:rsidR="004150F3" w:rsidRPr="00AF27CD">
        <w:rPr>
          <w:rFonts w:ascii="Times New Roman" w:hAnsi="Times New Roman"/>
        </w:rPr>
        <w:t>10</w:t>
      </w:r>
      <w:r w:rsidR="002E1B3C" w:rsidRPr="00AF27CD">
        <w:rPr>
          <w:rFonts w:ascii="Times New Roman" w:hAnsi="Times New Roman"/>
        </w:rPr>
        <w:t>1</w:t>
      </w:r>
      <w:r w:rsidR="006A3350" w:rsidRPr="00AF27CD">
        <w:rPr>
          <w:rFonts w:ascii="Times New Roman" w:hAnsi="Times New Roman"/>
        </w:rPr>
        <w:t xml:space="preserve">) </w:t>
      </w:r>
      <w:r w:rsidRPr="00AF27CD">
        <w:rPr>
          <w:rFonts w:ascii="Times New Roman" w:hAnsi="Times New Roman"/>
          <w:b w:val="0"/>
        </w:rPr>
        <w:t>określa zasady wykonywania dzi</w:t>
      </w:r>
      <w:r w:rsidR="00395D84">
        <w:rPr>
          <w:rFonts w:ascii="Times New Roman" w:hAnsi="Times New Roman"/>
          <w:b w:val="0"/>
        </w:rPr>
        <w:t>ałalności gospodarczej w</w:t>
      </w:r>
      <w:r w:rsidR="00EC6774">
        <w:rPr>
          <w:rFonts w:ascii="Times New Roman" w:hAnsi="Times New Roman"/>
          <w:b w:val="0"/>
        </w:rPr>
        <w:t> </w:t>
      </w:r>
      <w:r w:rsidRPr="00AF27CD">
        <w:rPr>
          <w:rFonts w:ascii="Times New Roman" w:hAnsi="Times New Roman"/>
          <w:b w:val="0"/>
        </w:rPr>
        <w:t>zakresie obrotu materiałami wybuchowymi, b</w:t>
      </w:r>
      <w:r w:rsidR="00395D84">
        <w:rPr>
          <w:rFonts w:ascii="Times New Roman" w:hAnsi="Times New Roman"/>
          <w:b w:val="0"/>
        </w:rPr>
        <w:t>ronią, amunicją oraz wyrobami i</w:t>
      </w:r>
      <w:r w:rsidR="00EC6774">
        <w:rPr>
          <w:rFonts w:ascii="Times New Roman" w:hAnsi="Times New Roman"/>
          <w:b w:val="0"/>
        </w:rPr>
        <w:t> </w:t>
      </w:r>
      <w:r w:rsidRPr="00AF27CD">
        <w:rPr>
          <w:rFonts w:ascii="Times New Roman" w:hAnsi="Times New Roman"/>
          <w:b w:val="0"/>
        </w:rPr>
        <w:t>technologią o przeznaczeniu wojskowym lub policyjnym.</w:t>
      </w:r>
    </w:p>
    <w:p w:rsidR="00A93E79" w:rsidRPr="00AF27CD" w:rsidRDefault="00A93E79" w:rsidP="00422EA7">
      <w:pPr>
        <w:pStyle w:val="ROZDZODDZPRZEDMprzedmiotregulacjirozdziauluboddziau"/>
        <w:jc w:val="both"/>
        <w:rPr>
          <w:rFonts w:ascii="Times New Roman" w:hAnsi="Times New Roman"/>
        </w:rPr>
      </w:pPr>
      <w:r w:rsidRPr="00AF27CD">
        <w:rPr>
          <w:rFonts w:ascii="Times New Roman" w:hAnsi="Times New Roman"/>
        </w:rPr>
        <w:t xml:space="preserve">Oddział I </w:t>
      </w:r>
      <w:r w:rsidRPr="00AF27CD">
        <w:rPr>
          <w:rFonts w:ascii="Times New Roman" w:hAnsi="Times New Roman"/>
          <w:b w:val="0"/>
        </w:rPr>
        <w:t>Obrót materiałami wybuchowymi, b</w:t>
      </w:r>
      <w:r w:rsidR="00395D84">
        <w:rPr>
          <w:rFonts w:ascii="Times New Roman" w:hAnsi="Times New Roman"/>
          <w:b w:val="0"/>
        </w:rPr>
        <w:t>ronią, amunicją oraz wyrobami i</w:t>
      </w:r>
      <w:r w:rsidR="00EC6774">
        <w:rPr>
          <w:rFonts w:ascii="Times New Roman" w:hAnsi="Times New Roman"/>
          <w:b w:val="0"/>
        </w:rPr>
        <w:t> </w:t>
      </w:r>
      <w:r w:rsidRPr="00AF27CD">
        <w:rPr>
          <w:rFonts w:ascii="Times New Roman" w:hAnsi="Times New Roman"/>
          <w:b w:val="0"/>
        </w:rPr>
        <w:t xml:space="preserve">technologią o przeznaczeniu wojskowym lub policyjnym </w:t>
      </w:r>
      <w:r w:rsidRPr="00AF27CD">
        <w:rPr>
          <w:rFonts w:ascii="Times New Roman" w:hAnsi="Times New Roman"/>
        </w:rPr>
        <w:t>(art. 5</w:t>
      </w:r>
      <w:r w:rsidR="00511D71" w:rsidRPr="00AF27CD">
        <w:rPr>
          <w:rFonts w:ascii="Times New Roman" w:hAnsi="Times New Roman"/>
        </w:rPr>
        <w:t>5</w:t>
      </w:r>
      <w:r w:rsidR="00422EA7" w:rsidRPr="00AF27CD">
        <w:rPr>
          <w:rFonts w:ascii="Times New Roman" w:hAnsi="Times New Roman"/>
        </w:rPr>
        <w:t>–</w:t>
      </w:r>
      <w:r w:rsidR="00511D71" w:rsidRPr="00AF27CD">
        <w:rPr>
          <w:rFonts w:ascii="Times New Roman" w:hAnsi="Times New Roman"/>
        </w:rPr>
        <w:t>6</w:t>
      </w:r>
      <w:r w:rsidR="004150F3" w:rsidRPr="00AF27CD">
        <w:rPr>
          <w:rFonts w:ascii="Times New Roman" w:hAnsi="Times New Roman"/>
        </w:rPr>
        <w:t>8</w:t>
      </w:r>
      <w:r w:rsidRPr="00AF27CD">
        <w:rPr>
          <w:rFonts w:ascii="Times New Roman" w:hAnsi="Times New Roman"/>
        </w:rPr>
        <w:t>)</w:t>
      </w:r>
    </w:p>
    <w:p w:rsidR="002A4DE3"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Przepisy zawarte w tej części projektu ustawy w odniesieniu do działalności w zakresie obrotu powtarzają regulacje zawarte w ustawie z dnia 22 czerwca 2001 r. </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eastAsiaTheme="minorEastAsia" w:hAnsi="Times New Roman" w:cs="Times New Roman"/>
          <w:szCs w:val="24"/>
        </w:rPr>
        <w:t>Powtórzone zostały również przepisy określające obowiązki przedsiębiorcy w zakresie obrotu.</w:t>
      </w:r>
      <w:r w:rsidR="00BA02D8" w:rsidRPr="00AF27CD">
        <w:rPr>
          <w:rFonts w:ascii="Times New Roman" w:eastAsiaTheme="minorEastAsia" w:hAnsi="Times New Roman" w:cs="Times New Roman"/>
          <w:szCs w:val="24"/>
        </w:rPr>
        <w:t xml:space="preserve"> </w:t>
      </w:r>
      <w:r w:rsidRPr="00AF27CD">
        <w:rPr>
          <w:rFonts w:ascii="Times New Roman" w:hAnsi="Times New Roman" w:cs="Times New Roman"/>
          <w:szCs w:val="24"/>
        </w:rPr>
        <w:t>Ta część ustawy zawiera przepisy dotyczące obowiązku prawidłowego oznakowania broni (art. 5</w:t>
      </w:r>
      <w:r w:rsidR="009F1CA8" w:rsidRPr="00AF27CD">
        <w:rPr>
          <w:rFonts w:ascii="Times New Roman" w:hAnsi="Times New Roman" w:cs="Times New Roman"/>
          <w:szCs w:val="24"/>
        </w:rPr>
        <w:t>6</w:t>
      </w:r>
      <w:r w:rsidRPr="00AF27CD">
        <w:rPr>
          <w:rFonts w:ascii="Times New Roman" w:hAnsi="Times New Roman" w:cs="Times New Roman"/>
          <w:szCs w:val="24"/>
        </w:rPr>
        <w:t>), w tym strzeleckiej broni palnej i jej istotnych komponentów, wprowadzanej do obrotu, które to przepisy mają szczególne znaczenie</w:t>
      </w:r>
      <w:r w:rsidR="00395D84">
        <w:rPr>
          <w:rFonts w:ascii="Times New Roman" w:hAnsi="Times New Roman" w:cs="Times New Roman"/>
          <w:szCs w:val="24"/>
        </w:rPr>
        <w:t xml:space="preserve"> w</w:t>
      </w:r>
      <w:r w:rsidR="00EC6774">
        <w:rPr>
          <w:rFonts w:ascii="Times New Roman" w:hAnsi="Times New Roman" w:cs="Times New Roman"/>
          <w:szCs w:val="24"/>
        </w:rPr>
        <w:t> </w:t>
      </w:r>
      <w:r w:rsidRPr="00AF27CD">
        <w:rPr>
          <w:rFonts w:ascii="Times New Roman" w:hAnsi="Times New Roman" w:cs="Times New Roman"/>
          <w:szCs w:val="24"/>
        </w:rPr>
        <w:t xml:space="preserve">przypadku broni importowanej lub przekazywanej z zapasów </w:t>
      </w:r>
      <w:r w:rsidR="009F1CA8" w:rsidRPr="00AF27CD">
        <w:rPr>
          <w:rFonts w:ascii="Times New Roman" w:hAnsi="Times New Roman" w:cs="Times New Roman"/>
          <w:szCs w:val="24"/>
        </w:rPr>
        <w:t>państwowych formacji uzbrojonych</w:t>
      </w:r>
      <w:r w:rsidRPr="00AF27CD">
        <w:rPr>
          <w:rFonts w:ascii="Times New Roman" w:hAnsi="Times New Roman" w:cs="Times New Roman"/>
          <w:szCs w:val="24"/>
        </w:rPr>
        <w:t>. Oznakowanie niepełne wymaga uzupełnienia, które może być dokonane przez przedsiębiorcę posiadającego koncesję na wytwarzanie danego rodzaju broni</w:t>
      </w:r>
      <w:r w:rsidR="00395D84">
        <w:rPr>
          <w:rFonts w:ascii="Times New Roman" w:hAnsi="Times New Roman" w:cs="Times New Roman"/>
          <w:szCs w:val="24"/>
        </w:rPr>
        <w:t xml:space="preserve"> (art.</w:t>
      </w:r>
      <w:r w:rsidR="00EC6774">
        <w:rPr>
          <w:rFonts w:ascii="Times New Roman" w:hAnsi="Times New Roman" w:cs="Times New Roman"/>
          <w:szCs w:val="24"/>
        </w:rPr>
        <w:t> </w:t>
      </w:r>
      <w:r w:rsidR="002E3FD4" w:rsidRPr="00AF27CD">
        <w:rPr>
          <w:rFonts w:ascii="Times New Roman" w:hAnsi="Times New Roman" w:cs="Times New Roman"/>
          <w:szCs w:val="24"/>
        </w:rPr>
        <w:t>57)</w:t>
      </w:r>
      <w:r w:rsidRPr="00AF27CD">
        <w:rPr>
          <w:rFonts w:ascii="Times New Roman" w:hAnsi="Times New Roman" w:cs="Times New Roman"/>
          <w:szCs w:val="24"/>
        </w:rPr>
        <w:t xml:space="preserve">. </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Modyfikacji uległ dotychczasowy przepis art. 32 ustawy z dnia 22 czerwca 2001 r., zgodnie z którym koncesja </w:t>
      </w:r>
      <w:r w:rsidR="00EB68E7" w:rsidRPr="00AF27CD">
        <w:rPr>
          <w:rFonts w:ascii="Times New Roman" w:hAnsi="Times New Roman" w:cs="Times New Roman"/>
          <w:szCs w:val="24"/>
        </w:rPr>
        <w:t xml:space="preserve">wydana przez </w:t>
      </w:r>
      <w:r w:rsidRPr="00AF27CD">
        <w:rPr>
          <w:rFonts w:ascii="Times New Roman" w:hAnsi="Times New Roman" w:cs="Times New Roman"/>
          <w:szCs w:val="24"/>
        </w:rPr>
        <w:t>ministra właściwego do spraw wewnętrznych jest dokumentem uprawniający</w:t>
      </w:r>
      <w:r w:rsidR="00EB68E7" w:rsidRPr="00AF27CD">
        <w:rPr>
          <w:rFonts w:ascii="Times New Roman" w:hAnsi="Times New Roman" w:cs="Times New Roman"/>
          <w:szCs w:val="24"/>
        </w:rPr>
        <w:t>m</w:t>
      </w:r>
      <w:r w:rsidRPr="00AF27CD">
        <w:rPr>
          <w:rFonts w:ascii="Times New Roman" w:hAnsi="Times New Roman" w:cs="Times New Roman"/>
          <w:szCs w:val="24"/>
        </w:rPr>
        <w:t xml:space="preserve"> do wprowadzenia lub wyprowadzenia z terytorium R</w:t>
      </w:r>
      <w:r w:rsidR="006B268E">
        <w:rPr>
          <w:rFonts w:ascii="Times New Roman" w:hAnsi="Times New Roman" w:cs="Times New Roman"/>
          <w:szCs w:val="24"/>
        </w:rPr>
        <w:t xml:space="preserve">zeczypospolitej </w:t>
      </w:r>
      <w:r w:rsidRPr="00AF27CD">
        <w:rPr>
          <w:rFonts w:ascii="Times New Roman" w:hAnsi="Times New Roman" w:cs="Times New Roman"/>
          <w:szCs w:val="24"/>
        </w:rPr>
        <w:t>P</w:t>
      </w:r>
      <w:r w:rsidR="006B268E">
        <w:rPr>
          <w:rFonts w:ascii="Times New Roman" w:hAnsi="Times New Roman" w:cs="Times New Roman"/>
          <w:szCs w:val="24"/>
        </w:rPr>
        <w:t>olskiej</w:t>
      </w:r>
      <w:r w:rsidRPr="00AF27CD">
        <w:rPr>
          <w:rFonts w:ascii="Times New Roman" w:hAnsi="Times New Roman" w:cs="Times New Roman"/>
          <w:szCs w:val="24"/>
        </w:rPr>
        <w:t xml:space="preserve"> materiałów wybuchowych oraz broni, na kt</w:t>
      </w:r>
      <w:r w:rsidR="00A63A67">
        <w:rPr>
          <w:rFonts w:ascii="Times New Roman" w:hAnsi="Times New Roman" w:cs="Times New Roman"/>
          <w:szCs w:val="24"/>
        </w:rPr>
        <w:t>óre nie jest wymagane zezwolenie</w:t>
      </w:r>
      <w:r w:rsidRPr="00AF27CD">
        <w:rPr>
          <w:rFonts w:ascii="Times New Roman" w:hAnsi="Times New Roman" w:cs="Times New Roman"/>
          <w:szCs w:val="24"/>
        </w:rPr>
        <w:t xml:space="preserve"> ministra właściwego do spraw gospodarki. </w:t>
      </w:r>
      <w:r w:rsidR="00EB68E7" w:rsidRPr="00AF27CD">
        <w:rPr>
          <w:rFonts w:ascii="Times New Roman" w:hAnsi="Times New Roman" w:cs="Times New Roman"/>
          <w:szCs w:val="24"/>
        </w:rPr>
        <w:t>Projektowana u</w:t>
      </w:r>
      <w:r w:rsidRPr="00AF27CD">
        <w:rPr>
          <w:rFonts w:ascii="Times New Roman" w:hAnsi="Times New Roman" w:cs="Times New Roman"/>
          <w:szCs w:val="24"/>
        </w:rPr>
        <w:t xml:space="preserve">stawa </w:t>
      </w:r>
      <w:r w:rsidR="0076478A" w:rsidRPr="00AF27CD">
        <w:rPr>
          <w:rFonts w:ascii="Times New Roman" w:hAnsi="Times New Roman" w:cs="Times New Roman"/>
          <w:szCs w:val="24"/>
        </w:rPr>
        <w:t xml:space="preserve">uzupełnia </w:t>
      </w:r>
      <w:r w:rsidRPr="00AF27CD">
        <w:rPr>
          <w:rFonts w:ascii="Times New Roman" w:hAnsi="Times New Roman" w:cs="Times New Roman"/>
          <w:szCs w:val="24"/>
        </w:rPr>
        <w:t>zakres przedmiotowy tego przepisu (art. 5</w:t>
      </w:r>
      <w:r w:rsidR="009F1CA8" w:rsidRPr="00AF27CD">
        <w:rPr>
          <w:rFonts w:ascii="Times New Roman" w:hAnsi="Times New Roman" w:cs="Times New Roman"/>
          <w:szCs w:val="24"/>
        </w:rPr>
        <w:t>8</w:t>
      </w:r>
      <w:r w:rsidR="00A63A67">
        <w:rPr>
          <w:rFonts w:ascii="Times New Roman" w:hAnsi="Times New Roman" w:cs="Times New Roman"/>
          <w:szCs w:val="24"/>
        </w:rPr>
        <w:t>)</w:t>
      </w:r>
      <w:r w:rsidRPr="00AF27CD">
        <w:rPr>
          <w:rFonts w:ascii="Times New Roman" w:hAnsi="Times New Roman" w:cs="Times New Roman"/>
          <w:szCs w:val="24"/>
        </w:rPr>
        <w:t xml:space="preserve"> </w:t>
      </w:r>
      <w:r w:rsidR="00413B1C" w:rsidRPr="00AF27CD">
        <w:rPr>
          <w:rFonts w:ascii="Times New Roman" w:hAnsi="Times New Roman" w:cs="Times New Roman"/>
          <w:szCs w:val="24"/>
        </w:rPr>
        <w:t>przez</w:t>
      </w:r>
      <w:r w:rsidR="0076478A" w:rsidRPr="00AF27CD">
        <w:rPr>
          <w:rFonts w:ascii="Times New Roman" w:hAnsi="Times New Roman" w:cs="Times New Roman"/>
          <w:szCs w:val="24"/>
        </w:rPr>
        <w:t xml:space="preserve"> dodanie amunicji. Należy mieć na uwadze, że</w:t>
      </w:r>
      <w:r w:rsidR="00422EA7" w:rsidRPr="00AF27CD">
        <w:rPr>
          <w:rFonts w:ascii="Times New Roman" w:hAnsi="Times New Roman" w:cs="Times New Roman"/>
          <w:szCs w:val="24"/>
        </w:rPr>
        <w:t xml:space="preserve"> </w:t>
      </w:r>
      <w:r w:rsidR="0076478A" w:rsidRPr="00AF27CD">
        <w:rPr>
          <w:rFonts w:ascii="Times New Roman" w:hAnsi="Times New Roman" w:cs="Times New Roman"/>
          <w:szCs w:val="24"/>
        </w:rPr>
        <w:t>p</w:t>
      </w:r>
      <w:r w:rsidRPr="00AF27CD">
        <w:rPr>
          <w:rFonts w:ascii="Times New Roman" w:hAnsi="Times New Roman" w:cs="Times New Roman"/>
          <w:szCs w:val="24"/>
        </w:rPr>
        <w:t xml:space="preserve">rzemieszczanie strzeleckiej broni palnej i amunicji do tej broni na obszarze UE obecnie </w:t>
      </w:r>
      <w:r w:rsidR="00A63A67" w:rsidRPr="00AF27CD">
        <w:rPr>
          <w:rFonts w:ascii="Times New Roman" w:hAnsi="Times New Roman" w:cs="Times New Roman"/>
          <w:szCs w:val="24"/>
        </w:rPr>
        <w:t xml:space="preserve">jest </w:t>
      </w:r>
      <w:r w:rsidRPr="00AF27CD">
        <w:rPr>
          <w:rFonts w:ascii="Times New Roman" w:hAnsi="Times New Roman" w:cs="Times New Roman"/>
          <w:szCs w:val="24"/>
        </w:rPr>
        <w:t xml:space="preserve">regulowane w całości </w:t>
      </w:r>
      <w:r w:rsidR="00413B1C" w:rsidRPr="00AF27CD">
        <w:rPr>
          <w:rFonts w:ascii="Times New Roman" w:hAnsi="Times New Roman" w:cs="Times New Roman"/>
          <w:szCs w:val="24"/>
        </w:rPr>
        <w:t>przez</w:t>
      </w:r>
      <w:r w:rsidR="00EC6774">
        <w:rPr>
          <w:rFonts w:ascii="Times New Roman" w:hAnsi="Times New Roman" w:cs="Times New Roman"/>
          <w:szCs w:val="24"/>
        </w:rPr>
        <w:t xml:space="preserve"> system zgód przewozowych i </w:t>
      </w:r>
      <w:r w:rsidRPr="00AF27CD">
        <w:rPr>
          <w:rFonts w:ascii="Times New Roman" w:hAnsi="Times New Roman" w:cs="Times New Roman"/>
          <w:szCs w:val="24"/>
        </w:rPr>
        <w:t xml:space="preserve">uprzednich zgód przewozowych, które w prawie polskim funkcjonują od daty akcesji Polski do Wspólnoty Europejskiej i które są dokumentami pozwalającymi </w:t>
      </w:r>
      <w:r w:rsidR="0076478A" w:rsidRPr="00AF27CD">
        <w:rPr>
          <w:rFonts w:ascii="Times New Roman" w:hAnsi="Times New Roman" w:cs="Times New Roman"/>
          <w:szCs w:val="24"/>
        </w:rPr>
        <w:t xml:space="preserve">koncesjonowanemu </w:t>
      </w:r>
      <w:r w:rsidRPr="00AF27CD">
        <w:rPr>
          <w:rFonts w:ascii="Times New Roman" w:hAnsi="Times New Roman" w:cs="Times New Roman"/>
          <w:szCs w:val="24"/>
        </w:rPr>
        <w:t xml:space="preserve">przedsiębiorcy na swobodny transfer tych towarów, po uzyskaniu poświadczenia zgód. Przemieszczania materiałów wybuchowych do użytku cywilnego można dokonywać wyłącznie na podstawie zezwoleń wydawanych przez ministra właściwego do spraw gospodarki. Wywóz strzeleckiej broni palnej i amunicji do tej broni oraz ich komponentów </w:t>
      </w:r>
      <w:r w:rsidR="0076478A" w:rsidRPr="00AF27CD">
        <w:rPr>
          <w:rFonts w:ascii="Times New Roman" w:hAnsi="Times New Roman" w:cs="Times New Roman"/>
          <w:szCs w:val="24"/>
        </w:rPr>
        <w:t xml:space="preserve">do krajów trzecich </w:t>
      </w:r>
      <w:r w:rsidRPr="00AF27CD">
        <w:rPr>
          <w:rFonts w:ascii="Times New Roman" w:hAnsi="Times New Roman" w:cs="Times New Roman"/>
          <w:szCs w:val="24"/>
        </w:rPr>
        <w:t xml:space="preserve">może odbywać się wyłącznie na podstawie zezwoleń, o których mowa w rozporządzeniu </w:t>
      </w:r>
      <w:r w:rsidR="006B268E">
        <w:rPr>
          <w:rFonts w:ascii="Times New Roman" w:hAnsi="Times New Roman" w:cs="Times New Roman"/>
          <w:szCs w:val="24"/>
        </w:rPr>
        <w:t xml:space="preserve">UE </w:t>
      </w:r>
      <w:r w:rsidRPr="00AF27CD">
        <w:rPr>
          <w:rFonts w:ascii="Times New Roman" w:hAnsi="Times New Roman" w:cs="Times New Roman"/>
          <w:szCs w:val="24"/>
        </w:rPr>
        <w:t xml:space="preserve">258/2012. Materiały wybuchowe, broń wojskowa oraz wyroby i technologia o przeznaczeniu wojskowym lub policyjnym podlegają zezwoleniom ministra właściwego do spraw gospodarki. Poza </w:t>
      </w:r>
      <w:r w:rsidR="00EC1F4E" w:rsidRPr="00AF27CD">
        <w:rPr>
          <w:rFonts w:ascii="Times New Roman" w:hAnsi="Times New Roman" w:cs="Times New Roman"/>
          <w:szCs w:val="24"/>
        </w:rPr>
        <w:t>ww.</w:t>
      </w:r>
      <w:r w:rsidRPr="00AF27CD">
        <w:rPr>
          <w:rFonts w:ascii="Times New Roman" w:hAnsi="Times New Roman" w:cs="Times New Roman"/>
          <w:szCs w:val="24"/>
        </w:rPr>
        <w:t xml:space="preserve"> sys</w:t>
      </w:r>
      <w:r w:rsidR="00395D84">
        <w:rPr>
          <w:rFonts w:ascii="Times New Roman" w:hAnsi="Times New Roman" w:cs="Times New Roman"/>
          <w:szCs w:val="24"/>
        </w:rPr>
        <w:t>temem zgód i</w:t>
      </w:r>
      <w:r w:rsidR="00EC6774">
        <w:rPr>
          <w:rFonts w:ascii="Times New Roman" w:hAnsi="Times New Roman" w:cs="Times New Roman"/>
          <w:szCs w:val="24"/>
        </w:rPr>
        <w:t xml:space="preserve"> </w:t>
      </w:r>
      <w:r w:rsidR="0078647C" w:rsidRPr="00AF27CD">
        <w:rPr>
          <w:rFonts w:ascii="Times New Roman" w:hAnsi="Times New Roman" w:cs="Times New Roman"/>
          <w:szCs w:val="24"/>
        </w:rPr>
        <w:t>zezwoleń pozostaje</w:t>
      </w:r>
      <w:r w:rsidRPr="00AF27CD">
        <w:rPr>
          <w:rFonts w:ascii="Times New Roman" w:hAnsi="Times New Roman" w:cs="Times New Roman"/>
          <w:szCs w:val="24"/>
        </w:rPr>
        <w:t xml:space="preserve"> więc broń i</w:t>
      </w:r>
      <w:r w:rsidR="00EC6774">
        <w:rPr>
          <w:rFonts w:ascii="Times New Roman" w:hAnsi="Times New Roman" w:cs="Times New Roman"/>
          <w:szCs w:val="24"/>
        </w:rPr>
        <w:t>nna niż strzelecka broń palna i </w:t>
      </w:r>
      <w:r w:rsidRPr="00AF27CD">
        <w:rPr>
          <w:rFonts w:ascii="Times New Roman" w:hAnsi="Times New Roman" w:cs="Times New Roman"/>
          <w:szCs w:val="24"/>
        </w:rPr>
        <w:t>amunicja do tej broni, która nie podlega wspólnotowemu obowiązkowi kontr</w:t>
      </w:r>
      <w:r w:rsidR="00395D84">
        <w:rPr>
          <w:rFonts w:ascii="Times New Roman" w:hAnsi="Times New Roman" w:cs="Times New Roman"/>
          <w:szCs w:val="24"/>
        </w:rPr>
        <w:t xml:space="preserve">oli transferów, </w:t>
      </w:r>
      <w:r w:rsidR="006B268E">
        <w:rPr>
          <w:rFonts w:ascii="Times New Roman" w:hAnsi="Times New Roman" w:cs="Times New Roman"/>
          <w:szCs w:val="24"/>
        </w:rPr>
        <w:t xml:space="preserve">dlatego </w:t>
      </w:r>
      <w:r w:rsidR="00395D84">
        <w:rPr>
          <w:rFonts w:ascii="Times New Roman" w:hAnsi="Times New Roman" w:cs="Times New Roman"/>
          <w:szCs w:val="24"/>
        </w:rPr>
        <w:t>jej wwóz i</w:t>
      </w:r>
      <w:r w:rsidR="00EC6774">
        <w:rPr>
          <w:rFonts w:ascii="Times New Roman" w:hAnsi="Times New Roman" w:cs="Times New Roman"/>
          <w:szCs w:val="24"/>
        </w:rPr>
        <w:t xml:space="preserve"> </w:t>
      </w:r>
      <w:r w:rsidRPr="00AF27CD">
        <w:rPr>
          <w:rFonts w:ascii="Times New Roman" w:hAnsi="Times New Roman" w:cs="Times New Roman"/>
          <w:szCs w:val="24"/>
        </w:rPr>
        <w:t>wywóz będzie możliwy na podstawie koncesji posiadanej przez przedsiębiorcę.</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hAnsi="Times New Roman" w:cs="Times New Roman"/>
          <w:szCs w:val="24"/>
        </w:rPr>
        <w:t xml:space="preserve">Do najważniejszych obowiązków określonych w tym oddziale (art. </w:t>
      </w:r>
      <w:r w:rsidR="009F1CA8" w:rsidRPr="00AF27CD">
        <w:rPr>
          <w:rFonts w:ascii="Times New Roman" w:hAnsi="Times New Roman" w:cs="Times New Roman"/>
          <w:szCs w:val="24"/>
        </w:rPr>
        <w:t>59</w:t>
      </w:r>
      <w:r w:rsidRPr="00AF27CD">
        <w:rPr>
          <w:rFonts w:ascii="Times New Roman" w:hAnsi="Times New Roman" w:cs="Times New Roman"/>
          <w:szCs w:val="24"/>
        </w:rPr>
        <w:t xml:space="preserve">) należy obowiązek prowadzenia ewidencji </w:t>
      </w:r>
      <w:r w:rsidRPr="00AF27CD">
        <w:rPr>
          <w:rFonts w:ascii="Times New Roman" w:eastAsiaTheme="minorEastAsia" w:hAnsi="Times New Roman" w:cs="Times New Roman"/>
          <w:bCs/>
          <w:szCs w:val="24"/>
        </w:rPr>
        <w:t xml:space="preserve">przeznaczonych do obrotu materiałów wybuchowych, broni, amunicji oraz wyrobów i technologii o przeznaczeniu wojskowym lub policyjnym, ewidencji transakcji zawartych w tym zakresie oraz ewidencji przyjętych na przechowanie materiałów wybuchowych, broni, amunicji oraz wyrobów i technologii o przeznaczeniu wojskowym lub policyjnym, a także wykaz transakcji zawartych w zakresie pośrednictwa. </w:t>
      </w:r>
      <w:r w:rsidR="006B268E">
        <w:rPr>
          <w:rFonts w:ascii="Times New Roman" w:eastAsiaTheme="minorEastAsia" w:hAnsi="Times New Roman" w:cs="Times New Roman"/>
          <w:bCs/>
          <w:szCs w:val="24"/>
        </w:rPr>
        <w:t>Uregulowania</w:t>
      </w:r>
      <w:r w:rsidR="006B268E" w:rsidRPr="00AF27CD">
        <w:rPr>
          <w:rFonts w:ascii="Times New Roman" w:eastAsiaTheme="minorEastAsia" w:hAnsi="Times New Roman" w:cs="Times New Roman"/>
          <w:bCs/>
          <w:szCs w:val="24"/>
        </w:rPr>
        <w:t xml:space="preserve"> </w:t>
      </w:r>
      <w:r w:rsidRPr="00AF27CD">
        <w:rPr>
          <w:rFonts w:ascii="Times New Roman" w:eastAsiaTheme="minorEastAsia" w:hAnsi="Times New Roman" w:cs="Times New Roman"/>
          <w:bCs/>
          <w:szCs w:val="24"/>
        </w:rPr>
        <w:t xml:space="preserve">odpowiednim przepisem wymagają okoliczności, w jakich przedsiębiorca może przyjąć na przechowanie towary koncesjonowane będące własnością innego przedsiębiorcy. Należy do nich zaliczyć wyłącznie nagłe i nieprzewidywalne zdarzenia losowe, które uniemożliwiają magazynowanie w dotychczasowych obiektach, jak również przechowywanie towarów koncesjonowanych innego przedsiębiorcy, który zaprzestał wykonywania działalności gospodarczej i nie zdołał ich zbyć. </w:t>
      </w:r>
    </w:p>
    <w:p w:rsidR="002A4DE3" w:rsidRPr="00AF27CD" w:rsidRDefault="00EB68E7" w:rsidP="00422EA7">
      <w:pPr>
        <w:pStyle w:val="ARTartustawynprozporzdzenia"/>
        <w:ind w:firstLine="0"/>
        <w:rPr>
          <w:rFonts w:ascii="Times New Roman" w:eastAsiaTheme="minorEastAsia" w:hAnsi="Times New Roman" w:cs="Times New Roman"/>
          <w:szCs w:val="24"/>
        </w:rPr>
      </w:pPr>
      <w:r w:rsidRPr="00AF27CD">
        <w:rPr>
          <w:rFonts w:ascii="Times New Roman" w:eastAsia="Calibri" w:hAnsi="Times New Roman" w:cs="Times New Roman"/>
          <w:szCs w:val="24"/>
        </w:rPr>
        <w:t>Przepis a</w:t>
      </w:r>
      <w:r w:rsidR="005E0BD7" w:rsidRPr="00AF27CD">
        <w:rPr>
          <w:rFonts w:ascii="Times New Roman" w:eastAsia="Calibri" w:hAnsi="Times New Roman" w:cs="Times New Roman"/>
          <w:szCs w:val="24"/>
        </w:rPr>
        <w:t>rt. 6</w:t>
      </w:r>
      <w:r w:rsidR="00A77A00" w:rsidRPr="00AF27CD">
        <w:rPr>
          <w:rFonts w:ascii="Times New Roman" w:eastAsia="Calibri" w:hAnsi="Times New Roman" w:cs="Times New Roman"/>
          <w:szCs w:val="24"/>
        </w:rPr>
        <w:t>0</w:t>
      </w:r>
      <w:r w:rsidR="005E0BD7" w:rsidRPr="00AF27CD">
        <w:rPr>
          <w:rFonts w:ascii="Times New Roman" w:eastAsia="Calibri" w:hAnsi="Times New Roman" w:cs="Times New Roman"/>
          <w:szCs w:val="24"/>
        </w:rPr>
        <w:t xml:space="preserve"> projektu jest powtórzeniem przepisu zawa</w:t>
      </w:r>
      <w:r w:rsidR="00395D84">
        <w:rPr>
          <w:rFonts w:ascii="Times New Roman" w:eastAsia="Calibri" w:hAnsi="Times New Roman" w:cs="Times New Roman"/>
          <w:szCs w:val="24"/>
        </w:rPr>
        <w:t>rtego w art. 30 ust. 1 ustawy z</w:t>
      </w:r>
      <w:r w:rsidR="00EC6774">
        <w:rPr>
          <w:rFonts w:ascii="Times New Roman" w:eastAsia="Calibri" w:hAnsi="Times New Roman" w:cs="Times New Roman"/>
          <w:szCs w:val="24"/>
        </w:rPr>
        <w:t> </w:t>
      </w:r>
      <w:r w:rsidR="005E0BD7" w:rsidRPr="00AF27CD">
        <w:rPr>
          <w:rFonts w:ascii="Times New Roman" w:eastAsia="Calibri" w:hAnsi="Times New Roman" w:cs="Times New Roman"/>
          <w:szCs w:val="24"/>
        </w:rPr>
        <w:t>dnia 22 czerwca 2001 r.</w:t>
      </w:r>
      <w:r w:rsidR="002A4DE3" w:rsidRPr="00AF27CD">
        <w:rPr>
          <w:rFonts w:ascii="Times New Roman" w:eastAsia="Calibri" w:hAnsi="Times New Roman" w:cs="Times New Roman"/>
          <w:szCs w:val="24"/>
        </w:rPr>
        <w:t>, zgodnie z którym o</w:t>
      </w:r>
      <w:r w:rsidR="002A4DE3" w:rsidRPr="00AF27CD">
        <w:rPr>
          <w:rFonts w:ascii="Times New Roman" w:eastAsiaTheme="minorEastAsia" w:hAnsi="Times New Roman" w:cs="Times New Roman"/>
          <w:szCs w:val="24"/>
        </w:rPr>
        <w:t>brotu materiałami wybuchowymi, bronią, amunicją oraz wyrobami i technologią o przeznaczeniu wojskowym lub policyjnym dokonuje się na podstawie dokumentu uprawniaj</w:t>
      </w:r>
      <w:r w:rsidR="00395D84">
        <w:rPr>
          <w:rFonts w:ascii="Times New Roman" w:eastAsiaTheme="minorEastAsia" w:hAnsi="Times New Roman" w:cs="Times New Roman"/>
          <w:szCs w:val="24"/>
        </w:rPr>
        <w:t>ącego do nabycia. W</w:t>
      </w:r>
      <w:r w:rsidR="00EC6774">
        <w:rPr>
          <w:rFonts w:ascii="Times New Roman" w:eastAsiaTheme="minorEastAsia" w:hAnsi="Times New Roman" w:cs="Times New Roman"/>
          <w:szCs w:val="24"/>
        </w:rPr>
        <w:t xml:space="preserve"> </w:t>
      </w:r>
      <w:r w:rsidR="002A4DE3" w:rsidRPr="00AF27CD">
        <w:rPr>
          <w:rFonts w:ascii="Times New Roman" w:eastAsiaTheme="minorEastAsia" w:hAnsi="Times New Roman" w:cs="Times New Roman"/>
          <w:szCs w:val="24"/>
        </w:rPr>
        <w:t>przypadku podmiotów zasilanych z budżetu państwa dokumentem takim będzie umowa na dostawę towarów koncesjonowanych, zawarta na podstawie Prawa zamówień publicznych, a podpisana przez osobę uprawnio</w:t>
      </w:r>
      <w:r w:rsidR="00EC6774">
        <w:rPr>
          <w:rFonts w:ascii="Times New Roman" w:eastAsiaTheme="minorEastAsia" w:hAnsi="Times New Roman" w:cs="Times New Roman"/>
          <w:szCs w:val="24"/>
        </w:rPr>
        <w:t>ną do zawierania takich umów. W </w:t>
      </w:r>
      <w:r w:rsidR="002A4DE3" w:rsidRPr="00AF27CD">
        <w:rPr>
          <w:rFonts w:ascii="Times New Roman" w:eastAsiaTheme="minorEastAsia" w:hAnsi="Times New Roman" w:cs="Times New Roman"/>
          <w:szCs w:val="24"/>
        </w:rPr>
        <w:t>przypadku broni</w:t>
      </w:r>
      <w:r w:rsidR="00422EA7" w:rsidRPr="00AF27CD">
        <w:rPr>
          <w:rFonts w:ascii="Times New Roman" w:eastAsiaTheme="minorEastAsia" w:hAnsi="Times New Roman" w:cs="Times New Roman"/>
          <w:szCs w:val="24"/>
        </w:rPr>
        <w:t xml:space="preserve"> </w:t>
      </w:r>
      <w:r w:rsidR="002A4DE3" w:rsidRPr="00AF27CD">
        <w:rPr>
          <w:rFonts w:ascii="Times New Roman" w:eastAsiaTheme="minorEastAsia" w:hAnsi="Times New Roman" w:cs="Times New Roman"/>
          <w:szCs w:val="24"/>
        </w:rPr>
        <w:t xml:space="preserve">i amunicji sprzedawanej odbiorcom cywilnym, dokumenty uprawniające do zakupu określa ustawa o broni i amunicji. </w:t>
      </w:r>
    </w:p>
    <w:p w:rsidR="00A93E79" w:rsidRPr="00AF27CD" w:rsidRDefault="00A93E79" w:rsidP="00395D84">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Kolejna grupa przepisów w tym Oddziale dotyczy określenia katalogu podmiotów uprawnionych do nabycia materiałów wybuchow</w:t>
      </w:r>
      <w:r w:rsidR="00395D84">
        <w:rPr>
          <w:rFonts w:ascii="Times New Roman" w:hAnsi="Times New Roman" w:cs="Times New Roman"/>
          <w:szCs w:val="24"/>
        </w:rPr>
        <w:t>ych, broni, amunicji, wyrobów i</w:t>
      </w:r>
      <w:r w:rsidR="00EC6774">
        <w:rPr>
          <w:rFonts w:ascii="Times New Roman" w:hAnsi="Times New Roman" w:cs="Times New Roman"/>
          <w:szCs w:val="24"/>
        </w:rPr>
        <w:t> </w:t>
      </w:r>
      <w:r w:rsidRPr="00AF27CD">
        <w:rPr>
          <w:rFonts w:ascii="Times New Roman" w:hAnsi="Times New Roman" w:cs="Times New Roman"/>
          <w:szCs w:val="24"/>
        </w:rPr>
        <w:t>technologii o przeznaczeniu wojskowym lub policyjnym (art. 6</w:t>
      </w:r>
      <w:r w:rsidR="00A77A00" w:rsidRPr="00AF27CD">
        <w:rPr>
          <w:rFonts w:ascii="Times New Roman" w:hAnsi="Times New Roman" w:cs="Times New Roman"/>
          <w:szCs w:val="24"/>
        </w:rPr>
        <w:t>1</w:t>
      </w:r>
      <w:r w:rsidR="00FF6B01" w:rsidRPr="00AF27CD">
        <w:rPr>
          <w:rFonts w:ascii="Times New Roman" w:hAnsi="Times New Roman" w:cs="Times New Roman"/>
          <w:szCs w:val="24"/>
        </w:rPr>
        <w:t>)</w:t>
      </w:r>
      <w:r w:rsidR="00A256CF" w:rsidRPr="00AF27CD">
        <w:rPr>
          <w:rFonts w:ascii="Times New Roman" w:hAnsi="Times New Roman" w:cs="Times New Roman"/>
          <w:szCs w:val="24"/>
        </w:rPr>
        <w:t>. U</w:t>
      </w:r>
      <w:r w:rsidR="00FF6B01" w:rsidRPr="00AF27CD">
        <w:rPr>
          <w:rFonts w:ascii="Times New Roman" w:hAnsi="Times New Roman" w:cs="Times New Roman"/>
          <w:szCs w:val="24"/>
        </w:rPr>
        <w:t>jednolicono zasady nabywania przez Służbę Celno-Skarbową materiałów wybuchowych, broni, amunicji, wyrobów i technologii o przeznaczeniu wojskowym lub policyjnym, znosząc możliwość nabywania na podstawie dokumentu wystawionego przez uprawniony organ Policji. Pozostawiono natomiast, jak w przypadku innych służb, np. Straży Granicznej, możliwość dokonania zakupu po okazaniu dokumentu uprawniającego do nabycia wystawionego przez właściwy organ. Zabieg taki zapewnia spójne rozwiązania systemowe.</w:t>
      </w:r>
      <w:r w:rsidR="00A256CF" w:rsidRPr="00AF27CD">
        <w:rPr>
          <w:rFonts w:ascii="Times New Roman" w:hAnsi="Times New Roman" w:cs="Times New Roman"/>
          <w:szCs w:val="24"/>
        </w:rPr>
        <w:t xml:space="preserve"> </w:t>
      </w:r>
      <w:r w:rsidRPr="00AF27CD">
        <w:rPr>
          <w:rFonts w:ascii="Times New Roman" w:hAnsi="Times New Roman" w:cs="Times New Roman"/>
          <w:szCs w:val="24"/>
        </w:rPr>
        <w:t>Przepisy w tym zakresie nie ule</w:t>
      </w:r>
      <w:r w:rsidR="00395D84">
        <w:rPr>
          <w:rFonts w:ascii="Times New Roman" w:hAnsi="Times New Roman" w:cs="Times New Roman"/>
          <w:szCs w:val="24"/>
        </w:rPr>
        <w:t>gają zmianie i są analogiczne z</w:t>
      </w:r>
      <w:r w:rsidR="00EC6774">
        <w:rPr>
          <w:rFonts w:ascii="Times New Roman" w:hAnsi="Times New Roman" w:cs="Times New Roman"/>
          <w:szCs w:val="24"/>
        </w:rPr>
        <w:t> </w:t>
      </w:r>
      <w:r w:rsidRPr="00AF27CD">
        <w:rPr>
          <w:rFonts w:ascii="Times New Roman" w:hAnsi="Times New Roman" w:cs="Times New Roman"/>
          <w:szCs w:val="24"/>
        </w:rPr>
        <w:t xml:space="preserve">dotychczasowymi, zawartymi w ustawie z dnia 22 czerwca 2001 r. Zmiany </w:t>
      </w:r>
      <w:r w:rsidR="00A256CF" w:rsidRPr="00AF27CD">
        <w:rPr>
          <w:rFonts w:ascii="Times New Roman" w:hAnsi="Times New Roman" w:cs="Times New Roman"/>
          <w:szCs w:val="24"/>
        </w:rPr>
        <w:t xml:space="preserve">są </w:t>
      </w:r>
      <w:r w:rsidRPr="00AF27CD">
        <w:rPr>
          <w:rFonts w:ascii="Times New Roman" w:hAnsi="Times New Roman" w:cs="Times New Roman"/>
          <w:szCs w:val="24"/>
        </w:rPr>
        <w:t>konsekwencją wejścia w życie przepisów ustawy z dnia 16 listopada 2016 r. – Przepisy wprowadzające ustawę o Krajowej Administracji</w:t>
      </w:r>
      <w:r w:rsidR="00395D84">
        <w:rPr>
          <w:rFonts w:ascii="Times New Roman" w:hAnsi="Times New Roman" w:cs="Times New Roman"/>
          <w:szCs w:val="24"/>
        </w:rPr>
        <w:t xml:space="preserve"> Skarbowej. Zmiany redakcyjne w</w:t>
      </w:r>
      <w:r w:rsidR="00EC6774">
        <w:rPr>
          <w:rFonts w:ascii="Times New Roman" w:hAnsi="Times New Roman" w:cs="Times New Roman"/>
          <w:szCs w:val="24"/>
        </w:rPr>
        <w:t> </w:t>
      </w:r>
      <w:r w:rsidRPr="00AF27CD">
        <w:rPr>
          <w:rFonts w:ascii="Times New Roman" w:hAnsi="Times New Roman" w:cs="Times New Roman"/>
          <w:szCs w:val="24"/>
        </w:rPr>
        <w:t>przepisach dotyczący</w:t>
      </w:r>
      <w:r w:rsidR="00A256CF" w:rsidRPr="00AF27CD">
        <w:rPr>
          <w:rFonts w:ascii="Times New Roman" w:hAnsi="Times New Roman" w:cs="Times New Roman"/>
          <w:szCs w:val="24"/>
        </w:rPr>
        <w:t>ch</w:t>
      </w:r>
      <w:r w:rsidRPr="00AF27CD">
        <w:rPr>
          <w:rFonts w:ascii="Times New Roman" w:hAnsi="Times New Roman" w:cs="Times New Roman"/>
          <w:szCs w:val="24"/>
        </w:rPr>
        <w:t xml:space="preserve"> katalogu podmiotów uprawnionych do nabycia broni wynikają z doprecyzowania pojęcia „broń palna” </w:t>
      </w:r>
      <w:r w:rsidR="00413B1C" w:rsidRPr="00AF27CD">
        <w:rPr>
          <w:rFonts w:ascii="Times New Roman" w:hAnsi="Times New Roman" w:cs="Times New Roman"/>
          <w:szCs w:val="24"/>
        </w:rPr>
        <w:t>przez</w:t>
      </w:r>
      <w:r w:rsidRPr="00AF27CD">
        <w:rPr>
          <w:rFonts w:ascii="Times New Roman" w:hAnsi="Times New Roman" w:cs="Times New Roman"/>
          <w:szCs w:val="24"/>
        </w:rPr>
        <w:t xml:space="preserve"> włączenie w jego zakres „strzeleckiej broni palnej”.</w:t>
      </w:r>
    </w:p>
    <w:p w:rsidR="00F052B1" w:rsidRPr="00AF27CD" w:rsidRDefault="000279A7" w:rsidP="00422EA7">
      <w:pPr>
        <w:pStyle w:val="USTustnpkodeksu"/>
        <w:spacing w:before="120"/>
        <w:ind w:firstLine="0"/>
        <w:rPr>
          <w:rFonts w:ascii="Times New Roman" w:hAnsi="Times New Roman" w:cs="Times New Roman"/>
          <w:szCs w:val="24"/>
        </w:rPr>
      </w:pPr>
      <w:r w:rsidRPr="00AF27CD">
        <w:rPr>
          <w:rFonts w:ascii="Times New Roman" w:eastAsia="Calibri" w:hAnsi="Times New Roman" w:cs="Times New Roman"/>
          <w:szCs w:val="24"/>
        </w:rPr>
        <w:t xml:space="preserve">Nowe brzmienie przepisu dot. uprawnienia do nabycia materiałów wybuchowych </w:t>
      </w:r>
      <w:r w:rsidRPr="00AF27CD">
        <w:rPr>
          <w:rFonts w:ascii="Times New Roman" w:hAnsi="Times New Roman" w:cs="Times New Roman"/>
          <w:szCs w:val="24"/>
        </w:rPr>
        <w:t>umożliwia ich nabywanie szkołom wyższym</w:t>
      </w:r>
      <w:r w:rsidR="002E3FD4" w:rsidRPr="00AF27CD">
        <w:rPr>
          <w:rFonts w:ascii="Times New Roman" w:hAnsi="Times New Roman" w:cs="Times New Roman"/>
          <w:szCs w:val="24"/>
        </w:rPr>
        <w:t>, o których mowa w ustawie z dnia 20 lipca 2018 r.</w:t>
      </w:r>
      <w:r w:rsidR="00422EA7" w:rsidRPr="00AF27CD">
        <w:rPr>
          <w:rFonts w:ascii="Times New Roman" w:hAnsi="Times New Roman" w:cs="Times New Roman"/>
          <w:szCs w:val="24"/>
        </w:rPr>
        <w:t xml:space="preserve"> </w:t>
      </w:r>
      <w:r w:rsidR="006B268E">
        <w:rPr>
          <w:rFonts w:ascii="Times New Roman" w:hAnsi="Times New Roman" w:cs="Times New Roman"/>
          <w:szCs w:val="24"/>
        </w:rPr>
        <w:t xml:space="preserve">– </w:t>
      </w:r>
      <w:r w:rsidR="002E3FD4" w:rsidRPr="00AF27CD">
        <w:rPr>
          <w:rFonts w:ascii="Times New Roman" w:hAnsi="Times New Roman" w:cs="Times New Roman"/>
          <w:szCs w:val="24"/>
        </w:rPr>
        <w:t>Prawo o szkolnictwie wyższym</w:t>
      </w:r>
      <w:r w:rsidRPr="00AF27CD">
        <w:rPr>
          <w:rFonts w:ascii="Times New Roman" w:hAnsi="Times New Roman" w:cs="Times New Roman"/>
          <w:szCs w:val="24"/>
        </w:rPr>
        <w:t>, którym zosta</w:t>
      </w:r>
      <w:r w:rsidR="00A256CF" w:rsidRPr="00AF27CD">
        <w:rPr>
          <w:rFonts w:ascii="Times New Roman" w:hAnsi="Times New Roman" w:cs="Times New Roman"/>
          <w:szCs w:val="24"/>
        </w:rPr>
        <w:t>ła</w:t>
      </w:r>
      <w:r w:rsidRPr="00AF27CD">
        <w:rPr>
          <w:rFonts w:ascii="Times New Roman" w:hAnsi="Times New Roman" w:cs="Times New Roman"/>
          <w:szCs w:val="24"/>
        </w:rPr>
        <w:t xml:space="preserve"> udzielona koncesja albo pozwolenie na nabywanie, przechowywanie lub używanie takich materiałów. </w:t>
      </w:r>
    </w:p>
    <w:p w:rsidR="00F052B1" w:rsidRPr="00AF27CD" w:rsidRDefault="00F052B1"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W projekcie ustawy dodano nowy przepis (art.</w:t>
      </w:r>
      <w:r w:rsidR="004150F3" w:rsidRPr="00AF27CD">
        <w:rPr>
          <w:rFonts w:ascii="Times New Roman" w:hAnsi="Times New Roman" w:cs="Times New Roman"/>
          <w:szCs w:val="24"/>
        </w:rPr>
        <w:t xml:space="preserve"> 6</w:t>
      </w:r>
      <w:r w:rsidR="00A77A00" w:rsidRPr="00AF27CD">
        <w:rPr>
          <w:rFonts w:ascii="Times New Roman" w:hAnsi="Times New Roman" w:cs="Times New Roman"/>
          <w:szCs w:val="24"/>
        </w:rPr>
        <w:t>2</w:t>
      </w:r>
      <w:r w:rsidRPr="00AF27CD">
        <w:rPr>
          <w:rFonts w:ascii="Times New Roman" w:hAnsi="Times New Roman" w:cs="Times New Roman"/>
          <w:szCs w:val="24"/>
        </w:rPr>
        <w:t>)</w:t>
      </w:r>
      <w:r w:rsidR="00EB68E7" w:rsidRPr="00AF27CD">
        <w:rPr>
          <w:rFonts w:ascii="Times New Roman" w:hAnsi="Times New Roman" w:cs="Times New Roman"/>
          <w:szCs w:val="24"/>
        </w:rPr>
        <w:t>,</w:t>
      </w:r>
      <w:r w:rsidRPr="00AF27CD">
        <w:rPr>
          <w:rFonts w:ascii="Times New Roman" w:hAnsi="Times New Roman" w:cs="Times New Roman"/>
          <w:szCs w:val="24"/>
        </w:rPr>
        <w:t xml:space="preserve"> zgodnie z którym przedsiębiorca dokonujący sprzedaży materiałów wybuchowych, broni, amunicji oraz wyrobów i</w:t>
      </w:r>
      <w:r w:rsidR="00EC6774">
        <w:rPr>
          <w:rFonts w:ascii="Times New Roman" w:hAnsi="Times New Roman" w:cs="Times New Roman"/>
          <w:szCs w:val="24"/>
        </w:rPr>
        <w:t> </w:t>
      </w:r>
      <w:r w:rsidRPr="00AF27CD">
        <w:rPr>
          <w:rFonts w:ascii="Times New Roman" w:hAnsi="Times New Roman" w:cs="Times New Roman"/>
          <w:szCs w:val="24"/>
        </w:rPr>
        <w:t>technologii o</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przeznaczeniu wojskowym lub policyjnym jest obowiązany poinformować kupującego o warunkach i ograniczeniach, w tym dotyczących dalszej sprzedaży, które zostały określone przez właściwe organy innego państwa, odnoszących się do towarów koncesjonowanych na terytorium Rzeczypospolitej Polskiej, nabywanych przez tego przedsiębiorcę za granicą. Istotą tego przepisu jest zapewnienie, aby każdy kolejny nabywca towaru sprowadzonego z zagranicy uzyskał </w:t>
      </w:r>
      <w:r w:rsidR="00A77A00" w:rsidRPr="00AF27CD">
        <w:rPr>
          <w:rFonts w:ascii="Times New Roman" w:hAnsi="Times New Roman" w:cs="Times New Roman"/>
          <w:szCs w:val="24"/>
        </w:rPr>
        <w:t xml:space="preserve">udokumentowaną </w:t>
      </w:r>
      <w:r w:rsidRPr="00AF27CD">
        <w:rPr>
          <w:rFonts w:ascii="Times New Roman" w:hAnsi="Times New Roman" w:cs="Times New Roman"/>
          <w:szCs w:val="24"/>
        </w:rPr>
        <w:t>informację o ograniczeniach i warunkach nakładanych na dalsze zbycie w łańcuchu nabywców, które wynikają z umowy zawartej przez przedsiębiorcę wprowadzającego po raz pierwszy towar z zagranicy.</w:t>
      </w:r>
    </w:p>
    <w:p w:rsidR="000920A4"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Kolejna grupa przepisów (art. 6</w:t>
      </w:r>
      <w:r w:rsidR="00A77A00" w:rsidRPr="00AF27CD">
        <w:rPr>
          <w:rFonts w:ascii="Times New Roman" w:hAnsi="Times New Roman" w:cs="Times New Roman"/>
          <w:szCs w:val="24"/>
        </w:rPr>
        <w:t>3</w:t>
      </w:r>
      <w:r w:rsidRPr="00AF27CD">
        <w:rPr>
          <w:rFonts w:ascii="Times New Roman" w:hAnsi="Times New Roman" w:cs="Times New Roman"/>
          <w:szCs w:val="24"/>
        </w:rPr>
        <w:t>) określa obowiązki</w:t>
      </w:r>
      <w:r w:rsidR="00395D84">
        <w:rPr>
          <w:rFonts w:ascii="Times New Roman" w:hAnsi="Times New Roman" w:cs="Times New Roman"/>
          <w:szCs w:val="24"/>
        </w:rPr>
        <w:t xml:space="preserve"> informacyjne przedsiębiorców w</w:t>
      </w:r>
      <w:r w:rsidR="00EC6774">
        <w:rPr>
          <w:rFonts w:ascii="Times New Roman" w:hAnsi="Times New Roman" w:cs="Times New Roman"/>
          <w:szCs w:val="24"/>
        </w:rPr>
        <w:t> </w:t>
      </w:r>
      <w:r w:rsidRPr="00AF27CD">
        <w:rPr>
          <w:rFonts w:ascii="Times New Roman" w:hAnsi="Times New Roman" w:cs="Times New Roman"/>
          <w:szCs w:val="24"/>
        </w:rPr>
        <w:t>związku z dokonaniem sprzedaży materiałów wybuchowych i broni, ze wskazaniem organów, do których należy złożyć zawiadomienie o</w:t>
      </w:r>
      <w:r w:rsidR="00395D84">
        <w:rPr>
          <w:rFonts w:ascii="Times New Roman" w:hAnsi="Times New Roman" w:cs="Times New Roman"/>
          <w:szCs w:val="24"/>
        </w:rPr>
        <w:t xml:space="preserve"> dokonanej sprzedaży (Policja i</w:t>
      </w:r>
      <w:r w:rsidR="00EC6774">
        <w:rPr>
          <w:rFonts w:ascii="Times New Roman" w:hAnsi="Times New Roman" w:cs="Times New Roman"/>
          <w:szCs w:val="24"/>
        </w:rPr>
        <w:t> </w:t>
      </w:r>
      <w:r w:rsidRPr="00AF27CD">
        <w:rPr>
          <w:rFonts w:ascii="Times New Roman" w:hAnsi="Times New Roman" w:cs="Times New Roman"/>
          <w:szCs w:val="24"/>
        </w:rPr>
        <w:t>organy wojskowe) oraz szczegółowe dane, jakie powinno zawierać zawiadomienie. Przedsiębiorcy będą zobowiązani do przesyłania informacji o dokonanej sprzedaży</w:t>
      </w:r>
      <w:r w:rsidR="00E32C93" w:rsidRPr="00AF27CD">
        <w:rPr>
          <w:rFonts w:ascii="Times New Roman" w:hAnsi="Times New Roman" w:cs="Times New Roman"/>
          <w:szCs w:val="24"/>
        </w:rPr>
        <w:t xml:space="preserve"> </w:t>
      </w:r>
      <w:r w:rsidR="008B51C9" w:rsidRPr="00AF27CD">
        <w:rPr>
          <w:rFonts w:ascii="Times New Roman" w:hAnsi="Times New Roman" w:cs="Times New Roman"/>
          <w:szCs w:val="24"/>
        </w:rPr>
        <w:t>materiałów wybuchowych</w:t>
      </w:r>
      <w:r w:rsidR="000920A4" w:rsidRPr="00AF27CD">
        <w:rPr>
          <w:rFonts w:ascii="Times New Roman" w:hAnsi="Times New Roman" w:cs="Times New Roman"/>
          <w:szCs w:val="24"/>
        </w:rPr>
        <w:t xml:space="preserve"> oraz </w:t>
      </w:r>
      <w:r w:rsidR="008B51C9" w:rsidRPr="00AF27CD">
        <w:rPr>
          <w:rFonts w:ascii="Times New Roman" w:hAnsi="Times New Roman" w:cs="Times New Roman"/>
          <w:szCs w:val="24"/>
        </w:rPr>
        <w:t>broni palnej innej niż strzelecka broń palna</w:t>
      </w:r>
      <w:r w:rsidR="00C15DA1" w:rsidRPr="00AF27CD">
        <w:rPr>
          <w:rFonts w:ascii="Times New Roman" w:hAnsi="Times New Roman" w:cs="Times New Roman"/>
          <w:szCs w:val="24"/>
        </w:rPr>
        <w:t>, na posiadanie której jest wymagane pozwolenie</w:t>
      </w:r>
      <w:r w:rsidR="000920A4" w:rsidRPr="00AF27CD">
        <w:rPr>
          <w:rFonts w:ascii="Times New Roman" w:hAnsi="Times New Roman" w:cs="Times New Roman"/>
          <w:szCs w:val="24"/>
        </w:rPr>
        <w:t xml:space="preserve">. Obowiązek zawiadamiania o sprzedaży strzeleckiej broni palnej lub jej komponentów </w:t>
      </w:r>
      <w:r w:rsidR="002E3FD4" w:rsidRPr="00AF27CD">
        <w:rPr>
          <w:rFonts w:ascii="Times New Roman" w:hAnsi="Times New Roman" w:cs="Times New Roman"/>
          <w:szCs w:val="24"/>
        </w:rPr>
        <w:t xml:space="preserve">będzie realizowany automatycznie po uruchomieniu SRB. Do czasu uruchomienia systemu informatycznego lub </w:t>
      </w:r>
      <w:r w:rsidR="000920A4" w:rsidRPr="00AF27CD">
        <w:rPr>
          <w:rFonts w:ascii="Times New Roman" w:hAnsi="Times New Roman" w:cs="Times New Roman"/>
          <w:szCs w:val="24"/>
        </w:rPr>
        <w:t>w przypadku przejściowego braku możliwości prowadzenia ewiden</w:t>
      </w:r>
      <w:r w:rsidR="00395D84">
        <w:rPr>
          <w:rFonts w:ascii="Times New Roman" w:hAnsi="Times New Roman" w:cs="Times New Roman"/>
          <w:szCs w:val="24"/>
        </w:rPr>
        <w:t>cji w SRB, o którym mowa w</w:t>
      </w:r>
      <w:r w:rsidR="00EC6774">
        <w:rPr>
          <w:rFonts w:ascii="Times New Roman" w:hAnsi="Times New Roman" w:cs="Times New Roman"/>
          <w:szCs w:val="24"/>
        </w:rPr>
        <w:t> </w:t>
      </w:r>
      <w:r w:rsidR="00395D84">
        <w:rPr>
          <w:rFonts w:ascii="Times New Roman" w:hAnsi="Times New Roman" w:cs="Times New Roman"/>
          <w:szCs w:val="24"/>
        </w:rPr>
        <w:t>art.</w:t>
      </w:r>
      <w:r w:rsidR="00EC6774">
        <w:rPr>
          <w:rFonts w:ascii="Times New Roman" w:hAnsi="Times New Roman" w:cs="Times New Roman"/>
          <w:szCs w:val="24"/>
        </w:rPr>
        <w:t> </w:t>
      </w:r>
      <w:r w:rsidR="000920A4" w:rsidRPr="00AF27CD">
        <w:rPr>
          <w:rFonts w:ascii="Times New Roman" w:hAnsi="Times New Roman" w:cs="Times New Roman"/>
          <w:szCs w:val="24"/>
        </w:rPr>
        <w:t>1</w:t>
      </w:r>
      <w:r w:rsidR="00EC2FA5" w:rsidRPr="00AF27CD">
        <w:rPr>
          <w:rFonts w:ascii="Times New Roman" w:hAnsi="Times New Roman" w:cs="Times New Roman"/>
          <w:szCs w:val="24"/>
        </w:rPr>
        <w:t>1</w:t>
      </w:r>
      <w:r w:rsidR="002E3FD4" w:rsidRPr="00AF27CD">
        <w:rPr>
          <w:rFonts w:ascii="Times New Roman" w:hAnsi="Times New Roman" w:cs="Times New Roman"/>
          <w:szCs w:val="24"/>
        </w:rPr>
        <w:t>9</w:t>
      </w:r>
      <w:r w:rsidR="000920A4" w:rsidRPr="00AF27CD">
        <w:rPr>
          <w:rFonts w:ascii="Times New Roman" w:hAnsi="Times New Roman" w:cs="Times New Roman"/>
          <w:szCs w:val="24"/>
        </w:rPr>
        <w:t xml:space="preserve"> ust. 1</w:t>
      </w:r>
      <w:r w:rsidR="00422EA7" w:rsidRPr="00AF27CD">
        <w:rPr>
          <w:rFonts w:ascii="Times New Roman" w:hAnsi="Times New Roman" w:cs="Times New Roman"/>
          <w:szCs w:val="24"/>
        </w:rPr>
        <w:t xml:space="preserve"> </w:t>
      </w:r>
      <w:r w:rsidR="000920A4" w:rsidRPr="00AF27CD">
        <w:rPr>
          <w:rFonts w:ascii="Times New Roman" w:hAnsi="Times New Roman" w:cs="Times New Roman"/>
          <w:szCs w:val="24"/>
        </w:rPr>
        <w:t>projektu ustawy</w:t>
      </w:r>
      <w:r w:rsidR="00EB68E7" w:rsidRPr="00AF27CD">
        <w:rPr>
          <w:rFonts w:ascii="Times New Roman" w:hAnsi="Times New Roman" w:cs="Times New Roman"/>
          <w:szCs w:val="24"/>
        </w:rPr>
        <w:t>,</w:t>
      </w:r>
      <w:r w:rsidR="001A7186" w:rsidRPr="00AF27CD">
        <w:rPr>
          <w:rFonts w:ascii="Times New Roman" w:hAnsi="Times New Roman" w:cs="Times New Roman"/>
          <w:szCs w:val="24"/>
        </w:rPr>
        <w:t xml:space="preserve"> informacje o dokona</w:t>
      </w:r>
      <w:r w:rsidR="00395D84">
        <w:rPr>
          <w:rFonts w:ascii="Times New Roman" w:hAnsi="Times New Roman" w:cs="Times New Roman"/>
          <w:szCs w:val="24"/>
        </w:rPr>
        <w:t>niu sprzedaży będą przesyłane w</w:t>
      </w:r>
      <w:r w:rsidR="00EC6774">
        <w:rPr>
          <w:rFonts w:ascii="Times New Roman" w:hAnsi="Times New Roman" w:cs="Times New Roman"/>
          <w:szCs w:val="24"/>
        </w:rPr>
        <w:t> </w:t>
      </w:r>
      <w:r w:rsidR="001A7186" w:rsidRPr="00AF27CD">
        <w:rPr>
          <w:rFonts w:ascii="Times New Roman" w:hAnsi="Times New Roman" w:cs="Times New Roman"/>
          <w:szCs w:val="24"/>
        </w:rPr>
        <w:t>terminach i na formularzach określonych odpowiednio w ustawie i w rozporządzeniu</w:t>
      </w:r>
      <w:r w:rsidR="00EB68E7" w:rsidRPr="00AF27CD">
        <w:rPr>
          <w:rFonts w:ascii="Times New Roman" w:hAnsi="Times New Roman" w:cs="Times New Roman"/>
          <w:szCs w:val="24"/>
        </w:rPr>
        <w:t xml:space="preserve"> (art. 64)</w:t>
      </w:r>
      <w:r w:rsidR="001A7186" w:rsidRPr="00AF27CD">
        <w:rPr>
          <w:rFonts w:ascii="Times New Roman" w:hAnsi="Times New Roman" w:cs="Times New Roman"/>
          <w:szCs w:val="24"/>
        </w:rPr>
        <w:t>.</w:t>
      </w:r>
      <w:r w:rsidR="00422EA7" w:rsidRPr="00AF27CD">
        <w:rPr>
          <w:rFonts w:ascii="Times New Roman" w:hAnsi="Times New Roman" w:cs="Times New Roman"/>
          <w:szCs w:val="24"/>
        </w:rPr>
        <w:t xml:space="preserve"> </w:t>
      </w:r>
      <w:r w:rsidR="000920A4" w:rsidRPr="00AF27CD">
        <w:rPr>
          <w:rFonts w:ascii="Times New Roman" w:hAnsi="Times New Roman" w:cs="Times New Roman"/>
          <w:szCs w:val="24"/>
        </w:rPr>
        <w:t xml:space="preserve">SRB </w:t>
      </w:r>
      <w:r w:rsidR="00413B1C" w:rsidRPr="00AF27CD">
        <w:rPr>
          <w:rFonts w:ascii="Times New Roman" w:hAnsi="Times New Roman" w:cs="Times New Roman"/>
          <w:szCs w:val="24"/>
        </w:rPr>
        <w:t>przez</w:t>
      </w:r>
      <w:r w:rsidR="000920A4" w:rsidRPr="00AF27CD">
        <w:rPr>
          <w:rFonts w:ascii="Times New Roman" w:hAnsi="Times New Roman" w:cs="Times New Roman"/>
          <w:szCs w:val="24"/>
        </w:rPr>
        <w:t xml:space="preserve"> prowadzoną w nim ewidencję sprzedaży automatycznie utworzy informacje o transakcji.</w:t>
      </w:r>
    </w:p>
    <w:p w:rsidR="00A93E79" w:rsidRPr="00AF27CD" w:rsidRDefault="00E32C93"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Dodatkowym ułatwieniem będzie rezygnacja z zawiadamiania o dokonanej sprzedaży </w:t>
      </w:r>
      <w:r w:rsidR="000920A4" w:rsidRPr="00AF27CD">
        <w:rPr>
          <w:rFonts w:ascii="Times New Roman" w:hAnsi="Times New Roman" w:cs="Times New Roman"/>
          <w:szCs w:val="24"/>
        </w:rPr>
        <w:t xml:space="preserve">amunicji, </w:t>
      </w:r>
      <w:r w:rsidR="00A93E79" w:rsidRPr="00AF27CD">
        <w:rPr>
          <w:rFonts w:ascii="Times New Roman" w:hAnsi="Times New Roman" w:cs="Times New Roman"/>
          <w:szCs w:val="24"/>
        </w:rPr>
        <w:t>wyrobów i technologii o przeznaczeniu wojskowym lub policyjnym</w:t>
      </w:r>
      <w:r w:rsidRPr="00AF27CD">
        <w:rPr>
          <w:rFonts w:ascii="Times New Roman" w:hAnsi="Times New Roman" w:cs="Times New Roman"/>
          <w:szCs w:val="24"/>
        </w:rPr>
        <w:t>.</w:t>
      </w:r>
      <w:r w:rsidR="00A93E79" w:rsidRPr="00AF27CD">
        <w:rPr>
          <w:rFonts w:ascii="Times New Roman" w:hAnsi="Times New Roman" w:cs="Times New Roman"/>
          <w:szCs w:val="24"/>
        </w:rPr>
        <w:t xml:space="preserve"> </w:t>
      </w:r>
      <w:r w:rsidR="00395D84">
        <w:rPr>
          <w:rFonts w:ascii="Times New Roman" w:hAnsi="Times New Roman" w:cs="Times New Roman"/>
          <w:szCs w:val="24"/>
        </w:rPr>
        <w:t>W</w:t>
      </w:r>
      <w:r w:rsidR="00EC6774">
        <w:rPr>
          <w:rFonts w:ascii="Times New Roman" w:hAnsi="Times New Roman" w:cs="Times New Roman"/>
          <w:szCs w:val="24"/>
        </w:rPr>
        <w:t> </w:t>
      </w:r>
      <w:r w:rsidR="000920A4" w:rsidRPr="00AF27CD">
        <w:rPr>
          <w:rFonts w:ascii="Times New Roman" w:hAnsi="Times New Roman" w:cs="Times New Roman"/>
          <w:szCs w:val="24"/>
        </w:rPr>
        <w:t>aktualnym stanie prawnym przedsiębiorcy raportują o il</w:t>
      </w:r>
      <w:r w:rsidR="00395D84">
        <w:rPr>
          <w:rFonts w:ascii="Times New Roman" w:hAnsi="Times New Roman" w:cs="Times New Roman"/>
          <w:szCs w:val="24"/>
        </w:rPr>
        <w:t>ości sprzedanej amunicji w</w:t>
      </w:r>
      <w:r w:rsidR="00EC6774">
        <w:rPr>
          <w:rFonts w:ascii="Times New Roman" w:hAnsi="Times New Roman" w:cs="Times New Roman"/>
          <w:szCs w:val="24"/>
        </w:rPr>
        <w:t> </w:t>
      </w:r>
      <w:r w:rsidR="000920A4" w:rsidRPr="00AF27CD">
        <w:rPr>
          <w:rFonts w:ascii="Times New Roman" w:hAnsi="Times New Roman" w:cs="Times New Roman"/>
          <w:szCs w:val="24"/>
        </w:rPr>
        <w:t>cyklu kwartalnym, bez powiązania z nabywcą. Takie informacje nie mają żadnego znaczenia prewencyjnego,</w:t>
      </w:r>
      <w:r w:rsidR="006B268E">
        <w:rPr>
          <w:rFonts w:ascii="Times New Roman" w:hAnsi="Times New Roman" w:cs="Times New Roman"/>
          <w:szCs w:val="24"/>
        </w:rPr>
        <w:t xml:space="preserve"> dlatego</w:t>
      </w:r>
      <w:r w:rsidR="000920A4" w:rsidRPr="00AF27CD">
        <w:rPr>
          <w:rFonts w:ascii="Times New Roman" w:hAnsi="Times New Roman" w:cs="Times New Roman"/>
          <w:szCs w:val="24"/>
        </w:rPr>
        <w:t xml:space="preserve"> należy z nich zrezygnować. Eliminacja </w:t>
      </w:r>
      <w:r w:rsidR="00A93E79" w:rsidRPr="00AF27CD">
        <w:rPr>
          <w:rFonts w:ascii="Times New Roman" w:hAnsi="Times New Roman" w:cs="Times New Roman"/>
          <w:szCs w:val="24"/>
        </w:rPr>
        <w:t xml:space="preserve">części obowiązków nałożonych na przedsiębiorców ma na celu zmniejszenie ich </w:t>
      </w:r>
      <w:r w:rsidR="00EB68E7" w:rsidRPr="00AF27CD">
        <w:rPr>
          <w:rFonts w:ascii="Times New Roman" w:hAnsi="Times New Roman" w:cs="Times New Roman"/>
          <w:szCs w:val="24"/>
        </w:rPr>
        <w:t>liczby</w:t>
      </w:r>
      <w:r w:rsidR="00A93E79" w:rsidRPr="00AF27CD">
        <w:rPr>
          <w:rFonts w:ascii="Times New Roman" w:hAnsi="Times New Roman" w:cs="Times New Roman"/>
          <w:szCs w:val="24"/>
        </w:rPr>
        <w:t xml:space="preserve"> </w:t>
      </w:r>
      <w:r w:rsidR="00395D84">
        <w:rPr>
          <w:rFonts w:ascii="Times New Roman" w:hAnsi="Times New Roman" w:cs="Times New Roman"/>
          <w:szCs w:val="24"/>
        </w:rPr>
        <w:t>i</w:t>
      </w:r>
      <w:r w:rsidR="00EC6774">
        <w:rPr>
          <w:rFonts w:ascii="Times New Roman" w:hAnsi="Times New Roman" w:cs="Times New Roman"/>
          <w:szCs w:val="24"/>
        </w:rPr>
        <w:t> </w:t>
      </w:r>
      <w:r w:rsidR="00A93E79" w:rsidRPr="00AF27CD">
        <w:rPr>
          <w:rFonts w:ascii="Times New Roman" w:hAnsi="Times New Roman" w:cs="Times New Roman"/>
          <w:szCs w:val="24"/>
        </w:rPr>
        <w:t>zakresu oraz uwzględnienie braku celowości rejestracji każdej transakcji dotyczącej wyrobów i technologii o przeznaczeniu wojskowym lub policyjnym. Sprzedaż wyrobów i technologii o przeznaczeniu wojskowym lub policyjnym może być dokonana między przedsiębiorcami zgodnie z zakresem posiadanej przez nich koncesji, zaś finalnym odbiorcą wyrobów i technologii mogą być wyłącznie państwowe formacje uzbrojone, które</w:t>
      </w:r>
      <w:r w:rsidR="00EB68E7" w:rsidRPr="00AF27CD">
        <w:rPr>
          <w:rFonts w:ascii="Times New Roman" w:hAnsi="Times New Roman" w:cs="Times New Roman"/>
          <w:szCs w:val="24"/>
        </w:rPr>
        <w:t>,</w:t>
      </w:r>
      <w:r w:rsidR="00A93E79" w:rsidRPr="00AF27CD">
        <w:rPr>
          <w:rFonts w:ascii="Times New Roman" w:hAnsi="Times New Roman" w:cs="Times New Roman"/>
          <w:szCs w:val="24"/>
        </w:rPr>
        <w:t xml:space="preserve"> składając stosowne zamówienie</w:t>
      </w:r>
      <w:r w:rsidR="00EB68E7" w:rsidRPr="00AF27CD">
        <w:rPr>
          <w:rFonts w:ascii="Times New Roman" w:hAnsi="Times New Roman" w:cs="Times New Roman"/>
          <w:szCs w:val="24"/>
        </w:rPr>
        <w:t>,</w:t>
      </w:r>
      <w:r w:rsidR="00395D84">
        <w:rPr>
          <w:rFonts w:ascii="Times New Roman" w:hAnsi="Times New Roman" w:cs="Times New Roman"/>
          <w:szCs w:val="24"/>
        </w:rPr>
        <w:t xml:space="preserve"> nie muszą być informowane o</w:t>
      </w:r>
      <w:r w:rsidR="00EC6774">
        <w:rPr>
          <w:rFonts w:ascii="Times New Roman" w:hAnsi="Times New Roman" w:cs="Times New Roman"/>
          <w:szCs w:val="24"/>
        </w:rPr>
        <w:t> </w:t>
      </w:r>
      <w:r w:rsidR="00A93E79" w:rsidRPr="00AF27CD">
        <w:rPr>
          <w:rFonts w:ascii="Times New Roman" w:hAnsi="Times New Roman" w:cs="Times New Roman"/>
          <w:szCs w:val="24"/>
        </w:rPr>
        <w:t>dokonanym przez siebie zakupie. Przedsiębiorcy nie będą – w odróżnieniu od</w:t>
      </w:r>
      <w:r w:rsidR="00422EA7" w:rsidRPr="00AF27CD">
        <w:rPr>
          <w:rFonts w:ascii="Times New Roman" w:hAnsi="Times New Roman" w:cs="Times New Roman"/>
          <w:szCs w:val="24"/>
        </w:rPr>
        <w:t xml:space="preserve"> obowiązującego stanu prawnego –</w:t>
      </w:r>
      <w:r w:rsidR="00A93E79" w:rsidRPr="00AF27CD">
        <w:rPr>
          <w:rFonts w:ascii="Times New Roman" w:hAnsi="Times New Roman" w:cs="Times New Roman"/>
          <w:szCs w:val="24"/>
        </w:rPr>
        <w:t xml:space="preserve"> informować o dokonanej sprzedaży: Sił Zbrojnych Rzeczypospolitej</w:t>
      </w:r>
      <w:r w:rsidR="006B268E">
        <w:rPr>
          <w:rFonts w:ascii="Times New Roman" w:hAnsi="Times New Roman" w:cs="Times New Roman"/>
          <w:szCs w:val="24"/>
        </w:rPr>
        <w:t xml:space="preserve"> Polskiej</w:t>
      </w:r>
      <w:r w:rsidR="00A93E79" w:rsidRPr="00AF27CD">
        <w:rPr>
          <w:rFonts w:ascii="Times New Roman" w:hAnsi="Times New Roman" w:cs="Times New Roman"/>
          <w:szCs w:val="24"/>
        </w:rPr>
        <w:t xml:space="preserve">, służb, straży państwowych oraz innych podmiotów, które realizują zamówienia zgodnie z ustawą </w:t>
      </w:r>
      <w:r w:rsidR="006B268E">
        <w:rPr>
          <w:rFonts w:ascii="Times New Roman" w:hAnsi="Times New Roman" w:cs="Times New Roman"/>
          <w:szCs w:val="24"/>
        </w:rPr>
        <w:t xml:space="preserve">– </w:t>
      </w:r>
      <w:r w:rsidR="00A93E79" w:rsidRPr="00AF27CD">
        <w:rPr>
          <w:rFonts w:ascii="Times New Roman" w:hAnsi="Times New Roman" w:cs="Times New Roman"/>
          <w:szCs w:val="24"/>
        </w:rPr>
        <w:t>Prawo zamówień publicznych</w:t>
      </w:r>
      <w:r w:rsidR="00EB68E7" w:rsidRPr="00AF27CD">
        <w:rPr>
          <w:rFonts w:ascii="Times New Roman" w:hAnsi="Times New Roman" w:cs="Times New Roman"/>
          <w:szCs w:val="24"/>
        </w:rPr>
        <w:t xml:space="preserve">, </w:t>
      </w:r>
      <w:r w:rsidR="00A93E79" w:rsidRPr="00AF27CD">
        <w:rPr>
          <w:rFonts w:ascii="Times New Roman" w:hAnsi="Times New Roman" w:cs="Times New Roman"/>
          <w:szCs w:val="24"/>
        </w:rPr>
        <w:t xml:space="preserve">w ramach przydzielonego na te cele budżetu przez instytucje zwierzchnie i nadzorujące udzielanie </w:t>
      </w:r>
      <w:r w:rsidR="005F4E0D">
        <w:rPr>
          <w:rFonts w:ascii="Times New Roman" w:hAnsi="Times New Roman" w:cs="Times New Roman"/>
          <w:szCs w:val="24"/>
        </w:rPr>
        <w:t xml:space="preserve">takich </w:t>
      </w:r>
      <w:r w:rsidR="00A93E79" w:rsidRPr="00AF27CD">
        <w:rPr>
          <w:rFonts w:ascii="Times New Roman" w:hAnsi="Times New Roman" w:cs="Times New Roman"/>
          <w:szCs w:val="24"/>
        </w:rPr>
        <w:t>zamówień. Podmioty te mają informację o dokonanych zakupach, które są realizowane na ich zamówienie, nie ma więc uzasadnienia przesyłanie dodatkowych informacji potwierdzających realizację zamówienia.</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Sprzedaż amunicji jest możliwa wyłącznie </w:t>
      </w:r>
      <w:r w:rsidR="005F4E0D">
        <w:rPr>
          <w:rFonts w:ascii="Times New Roman" w:hAnsi="Times New Roman" w:cs="Times New Roman"/>
          <w:szCs w:val="24"/>
        </w:rPr>
        <w:t>osobom</w:t>
      </w:r>
      <w:r w:rsidR="00395D84">
        <w:rPr>
          <w:rFonts w:ascii="Times New Roman" w:hAnsi="Times New Roman" w:cs="Times New Roman"/>
          <w:szCs w:val="24"/>
        </w:rPr>
        <w:t xml:space="preserve"> i </w:t>
      </w:r>
      <w:r w:rsidR="005F4E0D">
        <w:rPr>
          <w:rFonts w:ascii="Times New Roman" w:hAnsi="Times New Roman" w:cs="Times New Roman"/>
          <w:szCs w:val="24"/>
        </w:rPr>
        <w:t xml:space="preserve">podmiotom określonym </w:t>
      </w:r>
      <w:r w:rsidR="00395D84">
        <w:rPr>
          <w:rFonts w:ascii="Times New Roman" w:hAnsi="Times New Roman" w:cs="Times New Roman"/>
          <w:szCs w:val="24"/>
        </w:rPr>
        <w:t xml:space="preserve">w </w:t>
      </w:r>
      <w:r w:rsidRPr="00AF27CD">
        <w:rPr>
          <w:rFonts w:ascii="Times New Roman" w:hAnsi="Times New Roman" w:cs="Times New Roman"/>
          <w:szCs w:val="24"/>
        </w:rPr>
        <w:t xml:space="preserve">ustawie i nie podlega ograniczeniom ilościowym. </w:t>
      </w:r>
      <w:r w:rsidR="005F4E0D">
        <w:rPr>
          <w:rFonts w:ascii="Times New Roman" w:hAnsi="Times New Roman" w:cs="Times New Roman"/>
          <w:szCs w:val="24"/>
        </w:rPr>
        <w:t>Nie ma</w:t>
      </w:r>
      <w:r w:rsidR="005F4E0D" w:rsidRPr="00AF27CD">
        <w:rPr>
          <w:rFonts w:ascii="Times New Roman" w:hAnsi="Times New Roman" w:cs="Times New Roman"/>
          <w:szCs w:val="24"/>
        </w:rPr>
        <w:t xml:space="preserve"> </w:t>
      </w:r>
      <w:r w:rsidRPr="00AF27CD">
        <w:rPr>
          <w:rFonts w:ascii="Times New Roman" w:hAnsi="Times New Roman" w:cs="Times New Roman"/>
          <w:szCs w:val="24"/>
        </w:rPr>
        <w:t xml:space="preserve">więc uzasadnienia dla utrzymywania obowiązku informowania o dokonanych transakcjach </w:t>
      </w:r>
      <w:r w:rsidR="00395D84">
        <w:rPr>
          <w:rFonts w:ascii="Times New Roman" w:hAnsi="Times New Roman" w:cs="Times New Roman"/>
          <w:szCs w:val="24"/>
        </w:rPr>
        <w:t xml:space="preserve">w tym zakresie, zwłaszcza że </w:t>
      </w:r>
      <w:r w:rsidR="005F4E0D">
        <w:rPr>
          <w:rFonts w:ascii="Times New Roman" w:hAnsi="Times New Roman" w:cs="Times New Roman"/>
          <w:szCs w:val="24"/>
        </w:rPr>
        <w:t xml:space="preserve">dotychczas </w:t>
      </w:r>
      <w:r w:rsidR="00395D84">
        <w:rPr>
          <w:rFonts w:ascii="Times New Roman" w:hAnsi="Times New Roman" w:cs="Times New Roman"/>
          <w:szCs w:val="24"/>
        </w:rPr>
        <w:t>w</w:t>
      </w:r>
      <w:r w:rsidR="00EC6774">
        <w:rPr>
          <w:rFonts w:ascii="Times New Roman" w:hAnsi="Times New Roman" w:cs="Times New Roman"/>
          <w:szCs w:val="24"/>
        </w:rPr>
        <w:t xml:space="preserve"> </w:t>
      </w:r>
      <w:r w:rsidRPr="00AF27CD">
        <w:rPr>
          <w:rFonts w:ascii="Times New Roman" w:hAnsi="Times New Roman" w:cs="Times New Roman"/>
          <w:szCs w:val="24"/>
        </w:rPr>
        <w:t xml:space="preserve">przypadku sprzedaży amunicji składa </w:t>
      </w:r>
      <w:r w:rsidR="00395D84">
        <w:rPr>
          <w:rFonts w:ascii="Times New Roman" w:hAnsi="Times New Roman" w:cs="Times New Roman"/>
          <w:szCs w:val="24"/>
        </w:rPr>
        <w:t>się zawiadomienia o sprzedaży w</w:t>
      </w:r>
      <w:r w:rsidR="00EC6774">
        <w:rPr>
          <w:rFonts w:ascii="Times New Roman" w:hAnsi="Times New Roman" w:cs="Times New Roman"/>
          <w:szCs w:val="24"/>
        </w:rPr>
        <w:t> </w:t>
      </w:r>
      <w:r w:rsidRPr="00AF27CD">
        <w:rPr>
          <w:rFonts w:ascii="Times New Roman" w:hAnsi="Times New Roman" w:cs="Times New Roman"/>
          <w:szCs w:val="24"/>
        </w:rPr>
        <w:t>formie zbiorczych zestawień w cyklu kwartalnym.</w:t>
      </w:r>
      <w:r w:rsidR="00395D84">
        <w:rPr>
          <w:rFonts w:ascii="Times New Roman" w:hAnsi="Times New Roman" w:cs="Times New Roman"/>
          <w:szCs w:val="24"/>
        </w:rPr>
        <w:t xml:space="preserve"> Wskazać należy, że w związku z</w:t>
      </w:r>
      <w:r w:rsidR="00EC6774">
        <w:rPr>
          <w:rFonts w:ascii="Times New Roman" w:hAnsi="Times New Roman" w:cs="Times New Roman"/>
          <w:szCs w:val="24"/>
        </w:rPr>
        <w:t> </w:t>
      </w:r>
      <w:r w:rsidRPr="00AF27CD">
        <w:rPr>
          <w:rFonts w:ascii="Times New Roman" w:hAnsi="Times New Roman" w:cs="Times New Roman"/>
          <w:szCs w:val="24"/>
        </w:rPr>
        <w:t xml:space="preserve">wprowadzeniem Systemu Rejestracji Broni (SRB) zawiadomienia o sprzedaży strzeleckiej broni palnej będą generowane przez przedsiębiorców w tym systemie, bez konieczności ich dublowania w formie pisemnej. Jedynie zawiadomienia o sprzedaży strzeleckiej broni palnej i jej istotnych komponentów stosowane zastępczo w razie braku możliwości ewidencjonowania sprzedaży strzeleckiej broni palnej i </w:t>
      </w:r>
      <w:r w:rsidR="00047DAD">
        <w:rPr>
          <w:rFonts w:ascii="Times New Roman" w:hAnsi="Times New Roman" w:cs="Times New Roman"/>
          <w:szCs w:val="24"/>
        </w:rPr>
        <w:t>jej istotnych komponentów w SRB</w:t>
      </w:r>
      <w:r w:rsidRPr="00AF27CD">
        <w:rPr>
          <w:rFonts w:ascii="Times New Roman" w:hAnsi="Times New Roman" w:cs="Times New Roman"/>
          <w:szCs w:val="24"/>
        </w:rPr>
        <w:t xml:space="preserve"> muszą być sporządzane w formie pisemnej oraz wprowadzane do SRB po ustaniu przyczyny uniemożliwiającej jego działanie. </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W przypadku sprzedaży wyrobów o przeznaczeniu wojskowym lub policyjnym istotne znaczenie dla praktyki organu koncesyjnego, a także dla wydawanych interpretacji przepisów ustawy z dnia 22 czerwca 2001 r. miał wyrok Naczelnego Sądu Administracyjnego z dnia 28 lutego 2013 r. II GSK 1617/11 odnoszący się w swej treści do pojęcia wyrobów i technologii o przezna</w:t>
      </w:r>
      <w:r w:rsidR="00EB68E7" w:rsidRPr="00AF27CD">
        <w:rPr>
          <w:rFonts w:ascii="Times New Roman" w:hAnsi="Times New Roman" w:cs="Times New Roman"/>
          <w:szCs w:val="24"/>
        </w:rPr>
        <w:t>czeniu wojskowym lub policyjnym:</w:t>
      </w:r>
    </w:p>
    <w:p w:rsidR="00A93E79" w:rsidRPr="00AF27CD" w:rsidRDefault="00A93E79" w:rsidP="00422EA7">
      <w:pPr>
        <w:autoSpaceDE w:val="0"/>
        <w:autoSpaceDN w:val="0"/>
        <w:adjustRightInd w:val="0"/>
        <w:spacing w:before="120" w:line="360" w:lineRule="auto"/>
        <w:jc w:val="both"/>
        <w:rPr>
          <w:i/>
        </w:rPr>
      </w:pPr>
      <w:r w:rsidRPr="00AF27CD">
        <w:rPr>
          <w:i/>
        </w:rPr>
        <w:t xml:space="preserve">„Art. 3 ust. 2 pkt 4 ustawy z dnia 22 czerwca 2001 r. stanowi, że: </w:t>
      </w:r>
      <w:r w:rsidR="00A63A67">
        <w:rPr>
          <w:i/>
        </w:rPr>
        <w:t>„</w:t>
      </w:r>
      <w:r w:rsidRPr="00AF27CD">
        <w:rPr>
          <w:i/>
        </w:rPr>
        <w:t>W rozumieniu ustawy wyroby i technologie o przeznaczeniu wojskowym lub policyjnym są to wyroby zaprojektowane dla celów wojskowych lub policyjn</w:t>
      </w:r>
      <w:r w:rsidR="00395D84">
        <w:rPr>
          <w:i/>
        </w:rPr>
        <w:t>ych oraz technologie związane z</w:t>
      </w:r>
      <w:r w:rsidR="00EC6774">
        <w:rPr>
          <w:i/>
        </w:rPr>
        <w:t> </w:t>
      </w:r>
      <w:r w:rsidRPr="00AF27CD">
        <w:rPr>
          <w:i/>
        </w:rPr>
        <w:t xml:space="preserve">produkcją lub używaniem tych wyrobów." Zatem, </w:t>
      </w:r>
      <w:r w:rsidR="00395D84">
        <w:rPr>
          <w:i/>
        </w:rPr>
        <w:t>nacisk położony został na cel w</w:t>
      </w:r>
      <w:r w:rsidR="00EC6774">
        <w:rPr>
          <w:i/>
        </w:rPr>
        <w:t> </w:t>
      </w:r>
      <w:r w:rsidRPr="00AF27CD">
        <w:rPr>
          <w:i/>
        </w:rPr>
        <w:t>jakim wyroby zostały zaprojektowane. Koncesjonowaniem na mocy omawianej ustawy objęta jest tylko ta działalność w zakresie wytwarzania i obrotu, która dotyczy wyrobów (technologii) specjalnie zaprojektowanych do celów wojskowych lub policyjnych i z tego powodu uznanych za wyroby o pr</w:t>
      </w:r>
      <w:r w:rsidR="00395D84">
        <w:rPr>
          <w:i/>
        </w:rPr>
        <w:t>zeznaczeniu wojskowym. Wyroby i</w:t>
      </w:r>
      <w:r w:rsidR="00EC6774">
        <w:rPr>
          <w:i/>
        </w:rPr>
        <w:t> </w:t>
      </w:r>
      <w:r w:rsidRPr="00AF27CD">
        <w:rPr>
          <w:i/>
        </w:rPr>
        <w:t>technologie, które nie były projektowane dla celó</w:t>
      </w:r>
      <w:r w:rsidR="00395D84">
        <w:rPr>
          <w:i/>
        </w:rPr>
        <w:t>w wojskowych lub policyjnych, z</w:t>
      </w:r>
      <w:r w:rsidR="00EC6774">
        <w:rPr>
          <w:i/>
        </w:rPr>
        <w:t> </w:t>
      </w:r>
      <w:r w:rsidRPr="00AF27CD">
        <w:rPr>
          <w:i/>
        </w:rPr>
        <w:t>samego założenia nie są wyrobami o przeznaczeniu wojskowym lub policyjnym.</w:t>
      </w:r>
    </w:p>
    <w:p w:rsidR="00A93E79" w:rsidRPr="00AF27CD" w:rsidRDefault="00A93E79" w:rsidP="00422EA7">
      <w:pPr>
        <w:autoSpaceDE w:val="0"/>
        <w:autoSpaceDN w:val="0"/>
        <w:adjustRightInd w:val="0"/>
        <w:spacing w:before="120" w:line="360" w:lineRule="auto"/>
        <w:jc w:val="both"/>
        <w:rPr>
          <w:i/>
        </w:rPr>
      </w:pPr>
      <w:r w:rsidRPr="00AF27CD">
        <w:rPr>
          <w:i/>
        </w:rPr>
        <w:t>Rozporządzenie Rady Ministrów, o którym mowa w art. 6 ust. 3 ustawy dotyczy tylko tego zakresu wyrobów, o którym mowa w wyżej wskazanej definicji. Zatem Rada Ministrów w drodze rozporządzenia doprecyzowała ustawę określając katalog wyrobów, które jeżeli projektowane są dla celów wojskowych lub policyjnych, są wyrobami o przeznaczeniu wojskowym lub policyjnym, a wytwarzanie i obrót nimi wymaga koncesji. Zauważyć należy, że przeważająca liczba wyrobów i technologii określonych w rozporządzeniu jest projektowana właśnie dla celów wojskowych lub policyjnych i nie ma żadnego zastosowania poza poli</w:t>
      </w:r>
      <w:r w:rsidR="00395D84">
        <w:rPr>
          <w:i/>
        </w:rPr>
        <w:t>cją i wojskiem. Jednak wyroby i</w:t>
      </w:r>
      <w:r w:rsidR="00EC6774">
        <w:rPr>
          <w:i/>
        </w:rPr>
        <w:t> </w:t>
      </w:r>
      <w:r w:rsidRPr="00AF27CD">
        <w:rPr>
          <w:i/>
        </w:rPr>
        <w:t>technologie związane z teleinformatyką i kryptografią mogą mieć zastosowanie nie tylko w wojskowości i policji, bowiem konieczność zachowania poufności przekazywanych informacji dotyczyć może różnych dziedzin, a w szczególności biznesu. Zgodnie z ustawą tylko wyroby i technologie projektowane dla wojska i policji są uznawane za wyroby o przeznaczeniu wojskowym lub po</w:t>
      </w:r>
      <w:r w:rsidR="00395D84">
        <w:rPr>
          <w:i/>
        </w:rPr>
        <w:t>licyjnym, których wytwarzanie i</w:t>
      </w:r>
      <w:r w:rsidR="00EC6774">
        <w:rPr>
          <w:i/>
        </w:rPr>
        <w:t> </w:t>
      </w:r>
      <w:r w:rsidRPr="00AF27CD">
        <w:rPr>
          <w:i/>
        </w:rPr>
        <w:t>obrót objęte są koncesjonowaniem. (…) Zauważyć należy, że zgodnie z art. 22 Konstytucji RP ograniczenie wolności działalności gospodarczej jest dopuszczalne tylko w drodze ustawy i tylko ze względu na ważny interes publiczny. Jest oczywiste, że takim ograniczeniem jest konieczność uzyskania koncesji na określoną działalność gospodarczą. Zarówno konieczność jak i zakres konce</w:t>
      </w:r>
      <w:r w:rsidR="00395D84">
        <w:rPr>
          <w:i/>
        </w:rPr>
        <w:t>sjonowania musi zatem wynikać z</w:t>
      </w:r>
      <w:r w:rsidR="00EC6774">
        <w:rPr>
          <w:i/>
        </w:rPr>
        <w:t> </w:t>
      </w:r>
      <w:r w:rsidRPr="00AF27CD">
        <w:rPr>
          <w:i/>
        </w:rPr>
        <w:t>ustawy. Ustawa o swobodzie działalności gospodarczej określa zakres koncesjonowanej działalności w art. 46 ust. 1. Z art. 46 ust. 1 pkt 2 ustawy wynika, że koncesją objęte jest m.in. wytwarzanie i obrót wyrobami i technologią o przeznaczeniu wojskowym. Art. 46 ust. 2 cytowanej ustawy stanowi, że szczegółowy zakres i warunki wykonywania działalności gospodarczej podlegającej koncesjonowaniu określają odrębne ustawy. Taką ustawą jest ustawa z dnia 22 czerwca 2001 r. Ustawa ustalając definicje używanych dalej pojęć określa zasadniczy przedmiotowy zakres swego oddziaływania (art. 3 ust. 1 i 2), a dopiero potem (art. 6 ust. 1) ustala szczegółowy zakres ustanowionych ograniczeń oraz daje delegację Radzie Ministrów (art. 6 ust. 3) do sporządzenia wykazu wyrobów o przeznaczeniu wojskowym lub policyjnym. Mając na względzie, że ponieważ ograniczenie swobody działalności gospodarczej musi wynikać z ustawy, błędna jest taka wykładnia ustawy, która pomija zakres ustanowionych nią ograniczeń i uznaje, że jest on niefortunny i zbędny. Zauważyć należy, że precyzyjne określenie zakresu działalności koncesjonowanej jest niezbędne, gdyż prowadzenie działalności koncesjonowanej bez koncesji, zgodnie z art. 36 ust. 1 ustawy z dnia 22 czerwca 2001 r. zagrożone jest karą pozbawienia wolności do lat 10”.</w:t>
      </w:r>
    </w:p>
    <w:p w:rsidR="00A93E79" w:rsidRPr="00AF27CD" w:rsidRDefault="000279A7" w:rsidP="00422EA7">
      <w:pPr>
        <w:autoSpaceDE w:val="0"/>
        <w:autoSpaceDN w:val="0"/>
        <w:adjustRightInd w:val="0"/>
        <w:spacing w:before="120" w:line="360" w:lineRule="auto"/>
        <w:jc w:val="both"/>
      </w:pPr>
      <w:r w:rsidRPr="00AF27CD">
        <w:t>Wykładnia NSA pozwala</w:t>
      </w:r>
      <w:r w:rsidR="00A93E79" w:rsidRPr="00AF27CD">
        <w:t xml:space="preserve"> na stwierdzenie, że istnieje grupa wyrobów, która może mieć zastosowanie nie tylko w wojsku, ale i </w:t>
      </w:r>
      <w:r w:rsidR="005F4E0D">
        <w:t xml:space="preserve">w </w:t>
      </w:r>
      <w:r w:rsidR="00A93E79" w:rsidRPr="00AF27CD">
        <w:t xml:space="preserve">sektorze cywilnym. Ocena, czy dany towar istotnie wymaga objęcia koncesjonowaniem i reglamentacją sprzedaży, może być </w:t>
      </w:r>
      <w:r w:rsidR="005F4E0D">
        <w:t>zatem</w:t>
      </w:r>
      <w:r w:rsidR="005F4E0D" w:rsidRPr="00AF27CD">
        <w:t xml:space="preserve"> </w:t>
      </w:r>
      <w:r w:rsidR="00A93E79" w:rsidRPr="00AF27CD">
        <w:t>dokonana wyłącznie po zbadaniu, na czyje potrzeby dany wyrób został zaprojektowany i wytworzony.</w:t>
      </w:r>
    </w:p>
    <w:p w:rsidR="00A93E79" w:rsidRPr="00AF27CD" w:rsidRDefault="00A93E79" w:rsidP="00422EA7">
      <w:pPr>
        <w:pStyle w:val="ARTartustawynprozporzdzenia"/>
        <w:ind w:firstLine="0"/>
        <w:rPr>
          <w:rFonts w:ascii="Times New Roman" w:eastAsiaTheme="minorEastAsia" w:hAnsi="Times New Roman" w:cs="Times New Roman"/>
          <w:szCs w:val="24"/>
        </w:rPr>
      </w:pPr>
      <w:r w:rsidRPr="00AF27CD">
        <w:rPr>
          <w:rFonts w:ascii="Times New Roman" w:hAnsi="Times New Roman" w:cs="Times New Roman"/>
          <w:szCs w:val="24"/>
        </w:rPr>
        <w:t xml:space="preserve">Projekt ustawy (w art. </w:t>
      </w:r>
      <w:r w:rsidR="009F1CA8" w:rsidRPr="00AF27CD">
        <w:rPr>
          <w:rFonts w:ascii="Times New Roman" w:hAnsi="Times New Roman" w:cs="Times New Roman"/>
          <w:szCs w:val="24"/>
        </w:rPr>
        <w:t>6</w:t>
      </w:r>
      <w:r w:rsidR="004150F3" w:rsidRPr="00AF27CD">
        <w:rPr>
          <w:rFonts w:ascii="Times New Roman" w:hAnsi="Times New Roman" w:cs="Times New Roman"/>
          <w:szCs w:val="24"/>
        </w:rPr>
        <w:t>5</w:t>
      </w:r>
      <w:r w:rsidRPr="00AF27CD">
        <w:rPr>
          <w:rFonts w:ascii="Times New Roman" w:hAnsi="Times New Roman" w:cs="Times New Roman"/>
          <w:szCs w:val="24"/>
        </w:rPr>
        <w:t xml:space="preserve">) powtarza </w:t>
      </w:r>
      <w:r w:rsidR="005F4E0D">
        <w:rPr>
          <w:rFonts w:ascii="Times New Roman" w:hAnsi="Times New Roman" w:cs="Times New Roman"/>
          <w:szCs w:val="24"/>
        </w:rPr>
        <w:t xml:space="preserve">dotychczasowe </w:t>
      </w:r>
      <w:r w:rsidRPr="00AF27CD">
        <w:rPr>
          <w:rFonts w:ascii="Times New Roman" w:hAnsi="Times New Roman" w:cs="Times New Roman"/>
          <w:szCs w:val="24"/>
        </w:rPr>
        <w:t>przepisy</w:t>
      </w:r>
      <w:r w:rsidRPr="00AF27CD">
        <w:rPr>
          <w:rFonts w:ascii="Times New Roman" w:eastAsiaTheme="minorEastAsia" w:hAnsi="Times New Roman" w:cs="Times New Roman"/>
          <w:szCs w:val="24"/>
        </w:rPr>
        <w:t xml:space="preserve"> zakazujące nabywania materiałów wybuchowych, broni, w tym strzeleckiej broni palnej, </w:t>
      </w:r>
      <w:r w:rsidR="00047DAD">
        <w:rPr>
          <w:rFonts w:ascii="Times New Roman" w:eastAsiaTheme="minorEastAsia" w:hAnsi="Times New Roman" w:cs="Times New Roman"/>
          <w:szCs w:val="24"/>
        </w:rPr>
        <w:t>istotnych komponentów, amunicji</w:t>
      </w:r>
      <w:r w:rsidRPr="00AF27CD">
        <w:rPr>
          <w:rFonts w:ascii="Times New Roman" w:eastAsiaTheme="minorEastAsia" w:hAnsi="Times New Roman" w:cs="Times New Roman"/>
          <w:szCs w:val="24"/>
        </w:rPr>
        <w:t xml:space="preserve"> oraz wyrobów i technologii o przeznaczeniu wojskowym lub policyjnym od przedsiębiorców nieposiadających koncesji na obrót tymi towarami. </w:t>
      </w:r>
    </w:p>
    <w:p w:rsidR="00A93E79" w:rsidRPr="00AF27CD" w:rsidRDefault="00A93E79" w:rsidP="00422EA7">
      <w:pPr>
        <w:pStyle w:val="ARTartustawynprozporzdzenia"/>
        <w:ind w:firstLine="0"/>
        <w:rPr>
          <w:rFonts w:ascii="Times New Roman" w:eastAsiaTheme="minorEastAsia" w:hAnsi="Times New Roman" w:cs="Times New Roman"/>
          <w:bCs/>
          <w:szCs w:val="24"/>
        </w:rPr>
      </w:pPr>
      <w:r w:rsidRPr="00AF27CD">
        <w:rPr>
          <w:rFonts w:ascii="Times New Roman" w:eastAsiaTheme="minorEastAsia" w:hAnsi="Times New Roman" w:cs="Times New Roman"/>
          <w:szCs w:val="24"/>
        </w:rPr>
        <w:t>Wy</w:t>
      </w:r>
      <w:r w:rsidRPr="00AF27CD">
        <w:rPr>
          <w:rFonts w:ascii="Times New Roman" w:eastAsiaTheme="minorEastAsia" w:hAnsi="Times New Roman" w:cs="Times New Roman"/>
          <w:bCs/>
          <w:szCs w:val="24"/>
        </w:rPr>
        <w:t>roby pirotechniczne, o których mowa</w:t>
      </w:r>
      <w:r w:rsidR="00422EA7" w:rsidRPr="00AF27CD">
        <w:rPr>
          <w:rFonts w:ascii="Times New Roman" w:eastAsiaTheme="minorEastAsia" w:hAnsi="Times New Roman" w:cs="Times New Roman"/>
          <w:bCs/>
          <w:szCs w:val="24"/>
        </w:rPr>
        <w:t xml:space="preserve"> w art. 62c ust. 1 pkt 1 lit. a–</w:t>
      </w:r>
      <w:r w:rsidRPr="00AF27CD">
        <w:rPr>
          <w:rFonts w:ascii="Times New Roman" w:eastAsiaTheme="minorEastAsia" w:hAnsi="Times New Roman" w:cs="Times New Roman"/>
          <w:bCs/>
          <w:szCs w:val="24"/>
        </w:rPr>
        <w:t xml:space="preserve">c, pkt 2 lit. a oraz pkt 3 lit. a ustawy z dnia 21 czerwca 2002 r. o materiałach wybuchowych </w:t>
      </w:r>
      <w:r w:rsidR="0057608C">
        <w:rPr>
          <w:rFonts w:ascii="Times New Roman" w:eastAsiaTheme="minorEastAsia" w:hAnsi="Times New Roman" w:cs="Times New Roman"/>
          <w:bCs/>
          <w:szCs w:val="24"/>
        </w:rPr>
        <w:t xml:space="preserve">przeznaczonych </w:t>
      </w:r>
      <w:r w:rsidRPr="00AF27CD">
        <w:rPr>
          <w:rFonts w:ascii="Times New Roman" w:eastAsiaTheme="minorEastAsia" w:hAnsi="Times New Roman" w:cs="Times New Roman"/>
          <w:bCs/>
          <w:szCs w:val="24"/>
        </w:rPr>
        <w:t>do użytku cywilnego</w:t>
      </w:r>
      <w:r w:rsidR="00047DAD">
        <w:rPr>
          <w:rFonts w:ascii="Times New Roman" w:eastAsiaTheme="minorEastAsia" w:hAnsi="Times New Roman" w:cs="Times New Roman"/>
          <w:bCs/>
          <w:szCs w:val="24"/>
        </w:rPr>
        <w:t>,</w:t>
      </w:r>
      <w:r w:rsidRPr="00AF27CD">
        <w:rPr>
          <w:rFonts w:ascii="Times New Roman" w:eastAsiaTheme="minorEastAsia" w:hAnsi="Times New Roman" w:cs="Times New Roman"/>
          <w:bCs/>
          <w:szCs w:val="24"/>
        </w:rPr>
        <w:t xml:space="preserve"> oraz broń, na posiadanie której nie jest wymagane pozwolenie na broń, mogą być sprzedawane wyłącznie osobom pełnoletnim, po okazaniu dokumentu stwierdzającego tożsamość.</w:t>
      </w:r>
    </w:p>
    <w:p w:rsidR="00A93E79" w:rsidRPr="00AF27CD" w:rsidRDefault="00A93E79" w:rsidP="00422EA7">
      <w:pPr>
        <w:suppressAutoHyphens/>
        <w:autoSpaceDE w:val="0"/>
        <w:autoSpaceDN w:val="0"/>
        <w:adjustRightInd w:val="0"/>
        <w:spacing w:before="120" w:line="360" w:lineRule="auto"/>
        <w:jc w:val="both"/>
        <w:rPr>
          <w:rFonts w:eastAsiaTheme="minorEastAsia"/>
          <w:bCs/>
        </w:rPr>
      </w:pPr>
      <w:r w:rsidRPr="00AF27CD">
        <w:rPr>
          <w:rFonts w:eastAsiaTheme="minorEastAsia"/>
          <w:bCs/>
        </w:rPr>
        <w:t>W projekcie (w art. 6</w:t>
      </w:r>
      <w:r w:rsidR="004150F3" w:rsidRPr="00AF27CD">
        <w:rPr>
          <w:rFonts w:eastAsiaTheme="minorEastAsia"/>
          <w:bCs/>
        </w:rPr>
        <w:t>6</w:t>
      </w:r>
      <w:r w:rsidRPr="00AF27CD">
        <w:rPr>
          <w:rFonts w:eastAsiaTheme="minorEastAsia"/>
          <w:bCs/>
        </w:rPr>
        <w:t xml:space="preserve">) ustawy </w:t>
      </w:r>
      <w:r w:rsidRPr="00AF27CD">
        <w:rPr>
          <w:rFonts w:eastAsiaTheme="minorEastAsia"/>
        </w:rPr>
        <w:t>doprecyzowano przepis zezwalający na przeprowadzanie transakcji dotyczących obrotu bronią i amunicją za pośrednictwem sieci teleinformatycznej. Strony transakcji</w:t>
      </w:r>
      <w:r w:rsidRPr="00AF27CD">
        <w:rPr>
          <w:rFonts w:eastAsiaTheme="minorEastAsia"/>
          <w:bCs/>
        </w:rPr>
        <w:t xml:space="preserve"> posługują się w pełni identyfikowalnym zakończeniem sieci o stałym adresie IP oraz </w:t>
      </w:r>
      <w:r w:rsidRPr="00AF27CD">
        <w:rPr>
          <w:rFonts w:eastAsiaTheme="minorEastAsia"/>
        </w:rPr>
        <w:t xml:space="preserve">opatrują dokumenty dotyczące obrotu bronią i amunicją kwalifikowanym podpisem elektronicznym. W celu zapewnienia, że broń i amunicja zostanie sprzedana uprawnionej osobie, nabywca ma </w:t>
      </w:r>
      <w:r w:rsidRPr="00AF27CD">
        <w:rPr>
          <w:rFonts w:eastAsiaTheme="minorEastAsia"/>
          <w:bCs/>
        </w:rPr>
        <w:t>obowiązek przedstawienia przedsiębiorcy sprzedającemu dokumentu uprawniającego do nabycia broni i amunicji do tej broni, zaś przedsiębiorca sprzedający ma obowiązek zweryfikowania tych dokumentów oraz tożsamości nabywcy.</w:t>
      </w:r>
    </w:p>
    <w:p w:rsidR="001A7186" w:rsidRPr="00AF27CD" w:rsidRDefault="001A7186" w:rsidP="00422EA7">
      <w:pPr>
        <w:suppressAutoHyphens/>
        <w:autoSpaceDE w:val="0"/>
        <w:autoSpaceDN w:val="0"/>
        <w:adjustRightInd w:val="0"/>
        <w:spacing w:before="120" w:line="360" w:lineRule="auto"/>
        <w:jc w:val="both"/>
        <w:rPr>
          <w:rFonts w:eastAsiaTheme="minorEastAsia"/>
          <w:bCs/>
        </w:rPr>
      </w:pPr>
      <w:r w:rsidRPr="00AF27CD">
        <w:rPr>
          <w:rFonts w:eastAsiaTheme="minorEastAsia"/>
          <w:bCs/>
        </w:rPr>
        <w:t>Projekt ustawy zakłada, że umowa dotycząca przechowania towarów koncesjonowanych może być zawarta między przedsiębiorcami koncesjonowanymi wyłącznie w określonych w ustawie przypadkach (art. 67 ust. 1). Wyjątek od tej zasady został określony w art. 67 ust. 3 i dotyczy umów przechowania towarów koncesjonowanych przekazanych Agencji Mienia Wojskowego do zago</w:t>
      </w:r>
      <w:r w:rsidR="00EB5994" w:rsidRPr="00AF27CD">
        <w:rPr>
          <w:rFonts w:eastAsiaTheme="minorEastAsia"/>
          <w:bCs/>
        </w:rPr>
        <w:t>s</w:t>
      </w:r>
      <w:r w:rsidRPr="00AF27CD">
        <w:rPr>
          <w:rFonts w:eastAsiaTheme="minorEastAsia"/>
          <w:bCs/>
        </w:rPr>
        <w:t>podarowania na podstawie odrębnych przepisów</w:t>
      </w:r>
      <w:r w:rsidR="00A77DE3" w:rsidRPr="00AF27CD">
        <w:rPr>
          <w:rFonts w:eastAsiaTheme="minorEastAsia"/>
          <w:bCs/>
        </w:rPr>
        <w:t xml:space="preserve">, a umożliwić ma racjonalne gospodarowanie mieniem powierzonym temu podmiotowi. </w:t>
      </w:r>
    </w:p>
    <w:p w:rsidR="00A93E79" w:rsidRPr="00AF27CD" w:rsidRDefault="00EB68E7" w:rsidP="00422EA7">
      <w:pPr>
        <w:suppressAutoHyphens/>
        <w:autoSpaceDE w:val="0"/>
        <w:autoSpaceDN w:val="0"/>
        <w:adjustRightInd w:val="0"/>
        <w:spacing w:before="120" w:line="360" w:lineRule="auto"/>
        <w:jc w:val="both"/>
        <w:rPr>
          <w:rFonts w:eastAsiaTheme="minorEastAsia"/>
          <w:bCs/>
        </w:rPr>
      </w:pPr>
      <w:r w:rsidRPr="00AF27CD">
        <w:rPr>
          <w:rFonts w:eastAsiaTheme="minorEastAsia"/>
          <w:bCs/>
        </w:rPr>
        <w:t>Projekt u</w:t>
      </w:r>
      <w:r w:rsidR="00A93E79" w:rsidRPr="00AF27CD">
        <w:rPr>
          <w:rFonts w:eastAsiaTheme="minorEastAsia"/>
          <w:bCs/>
        </w:rPr>
        <w:t>staw</w:t>
      </w:r>
      <w:r w:rsidRPr="00AF27CD">
        <w:rPr>
          <w:rFonts w:eastAsiaTheme="minorEastAsia"/>
          <w:bCs/>
        </w:rPr>
        <w:t>y</w:t>
      </w:r>
      <w:r w:rsidR="00A93E79" w:rsidRPr="00AF27CD">
        <w:rPr>
          <w:rFonts w:eastAsiaTheme="minorEastAsia"/>
          <w:bCs/>
        </w:rPr>
        <w:t xml:space="preserve"> formułuje (w art. 6</w:t>
      </w:r>
      <w:r w:rsidR="004150F3" w:rsidRPr="00AF27CD">
        <w:rPr>
          <w:rFonts w:eastAsiaTheme="minorEastAsia"/>
          <w:bCs/>
        </w:rPr>
        <w:t>8</w:t>
      </w:r>
      <w:r w:rsidR="00A93E79" w:rsidRPr="00AF27CD">
        <w:rPr>
          <w:rFonts w:eastAsiaTheme="minorEastAsia"/>
          <w:bCs/>
        </w:rPr>
        <w:t>) dla przedsięb</w:t>
      </w:r>
      <w:r w:rsidR="00395D84">
        <w:rPr>
          <w:rFonts w:eastAsiaTheme="minorEastAsia"/>
          <w:bCs/>
        </w:rPr>
        <w:t>iorcy wyraźny zakaz oddawania w</w:t>
      </w:r>
      <w:r w:rsidR="00EC6774">
        <w:rPr>
          <w:rFonts w:eastAsiaTheme="minorEastAsia"/>
          <w:bCs/>
        </w:rPr>
        <w:t> </w:t>
      </w:r>
      <w:r w:rsidR="00A93E79" w:rsidRPr="00AF27CD">
        <w:rPr>
          <w:rFonts w:eastAsiaTheme="minorEastAsia"/>
          <w:bCs/>
        </w:rPr>
        <w:t>najem lub użyczenie materiałów wybuchowych,</w:t>
      </w:r>
      <w:r w:rsidR="00395D84">
        <w:rPr>
          <w:rFonts w:eastAsiaTheme="minorEastAsia"/>
          <w:bCs/>
        </w:rPr>
        <w:t xml:space="preserve"> broni, amunicji oraz wyrobów i</w:t>
      </w:r>
      <w:r w:rsidR="00EC6774">
        <w:rPr>
          <w:rFonts w:eastAsiaTheme="minorEastAsia"/>
          <w:bCs/>
        </w:rPr>
        <w:t> </w:t>
      </w:r>
      <w:r w:rsidR="00A93E79" w:rsidRPr="00AF27CD">
        <w:rPr>
          <w:rFonts w:eastAsiaTheme="minorEastAsia"/>
          <w:bCs/>
        </w:rPr>
        <w:t xml:space="preserve">technologii o przeznaczeniu wojskowym lub policyjnym, co ma uzasadnienie związane z koniecznością zapewnienia bezpieczeństwa i porządku publicznego oraz kontroli nad dostępem do towarów reglamentowanych. Użyczenie broni w aktualnie obowiązujących przepisach </w:t>
      </w:r>
      <w:r w:rsidR="0057608C" w:rsidRPr="00AF27CD">
        <w:rPr>
          <w:rFonts w:eastAsiaTheme="minorEastAsia"/>
          <w:bCs/>
        </w:rPr>
        <w:t xml:space="preserve">jest </w:t>
      </w:r>
      <w:r w:rsidR="00A93E79" w:rsidRPr="00AF27CD">
        <w:rPr>
          <w:rFonts w:eastAsiaTheme="minorEastAsia"/>
          <w:bCs/>
        </w:rPr>
        <w:t xml:space="preserve">stosowane w przypadku broni posiadanej na podstawie pozwolenia na broń wydanego w celach łowieckich lub sportowych, między właścicielami tych rodzajów broni, jak stanowi art. 28 ustawy o broni i amunicji. </w:t>
      </w:r>
      <w:r w:rsidR="0057608C">
        <w:rPr>
          <w:rFonts w:eastAsiaTheme="minorEastAsia"/>
          <w:bCs/>
        </w:rPr>
        <w:t xml:space="preserve">Jednak uwzględniając </w:t>
      </w:r>
      <w:r w:rsidR="00C168C8" w:rsidRPr="00AF27CD">
        <w:rPr>
          <w:rFonts w:eastAsiaTheme="minorEastAsia"/>
          <w:bCs/>
        </w:rPr>
        <w:t>uwagi zgłoszone przez przedsiębiorców w toku uzgodnień niniejszego projektu</w:t>
      </w:r>
      <w:r w:rsidR="00047DAD">
        <w:rPr>
          <w:rFonts w:eastAsiaTheme="minorEastAsia"/>
          <w:bCs/>
        </w:rPr>
        <w:t>,</w:t>
      </w:r>
      <w:r w:rsidR="00C168C8" w:rsidRPr="00AF27CD">
        <w:rPr>
          <w:rFonts w:eastAsiaTheme="minorEastAsia"/>
          <w:bCs/>
        </w:rPr>
        <w:t xml:space="preserve"> wprowadzono ściśle określone wyjątki od ww</w:t>
      </w:r>
      <w:r w:rsidRPr="00AF27CD">
        <w:rPr>
          <w:rFonts w:eastAsiaTheme="minorEastAsia"/>
          <w:bCs/>
        </w:rPr>
        <w:t>.</w:t>
      </w:r>
      <w:r w:rsidR="00395D84">
        <w:rPr>
          <w:rFonts w:eastAsiaTheme="minorEastAsia"/>
          <w:bCs/>
        </w:rPr>
        <w:t xml:space="preserve"> zasady. Użyczenie i</w:t>
      </w:r>
      <w:r w:rsidR="00EC6774">
        <w:rPr>
          <w:rFonts w:eastAsiaTheme="minorEastAsia"/>
          <w:bCs/>
        </w:rPr>
        <w:t> </w:t>
      </w:r>
      <w:r w:rsidR="00C168C8" w:rsidRPr="00AF27CD">
        <w:rPr>
          <w:rFonts w:eastAsiaTheme="minorEastAsia"/>
          <w:bCs/>
        </w:rPr>
        <w:t xml:space="preserve">najem </w:t>
      </w:r>
      <w:r w:rsidR="00F86D85" w:rsidRPr="00AF27CD">
        <w:rPr>
          <w:rFonts w:eastAsiaTheme="minorEastAsia"/>
          <w:bCs/>
        </w:rPr>
        <w:t xml:space="preserve">określonych w tym przepisie towarów koncesjonowanych </w:t>
      </w:r>
      <w:r w:rsidR="00C168C8" w:rsidRPr="00AF27CD">
        <w:rPr>
          <w:rFonts w:eastAsiaTheme="minorEastAsia"/>
          <w:bCs/>
        </w:rPr>
        <w:t xml:space="preserve">mogą mieć zastosowanie w przypadku umów zawieranych między przedsiębiorcami </w:t>
      </w:r>
      <w:r w:rsidR="00F86D85" w:rsidRPr="00AF27CD">
        <w:rPr>
          <w:rFonts w:eastAsiaTheme="minorEastAsia"/>
          <w:bCs/>
        </w:rPr>
        <w:t xml:space="preserve">posiadającymi </w:t>
      </w:r>
      <w:r w:rsidR="00C168C8" w:rsidRPr="00AF27CD">
        <w:rPr>
          <w:rFonts w:eastAsiaTheme="minorEastAsia"/>
          <w:bCs/>
        </w:rPr>
        <w:t>koncesj</w:t>
      </w:r>
      <w:r w:rsidR="00F86D85" w:rsidRPr="00AF27CD">
        <w:rPr>
          <w:rFonts w:eastAsiaTheme="minorEastAsia"/>
          <w:bCs/>
        </w:rPr>
        <w:t>e w tym samym zakresie dla p</w:t>
      </w:r>
      <w:r w:rsidR="00395D84">
        <w:rPr>
          <w:rFonts w:eastAsiaTheme="minorEastAsia"/>
          <w:bCs/>
        </w:rPr>
        <w:t>rzeprowadzenia prób, testów i</w:t>
      </w:r>
      <w:r w:rsidR="00EC6774">
        <w:rPr>
          <w:rFonts w:eastAsiaTheme="minorEastAsia"/>
          <w:bCs/>
        </w:rPr>
        <w:t xml:space="preserve"> </w:t>
      </w:r>
      <w:r w:rsidR="00395D84">
        <w:rPr>
          <w:rFonts w:eastAsiaTheme="minorEastAsia"/>
          <w:bCs/>
        </w:rPr>
        <w:t>w</w:t>
      </w:r>
      <w:r w:rsidR="00EC6774">
        <w:rPr>
          <w:rFonts w:eastAsiaTheme="minorEastAsia"/>
          <w:bCs/>
        </w:rPr>
        <w:t xml:space="preserve"> </w:t>
      </w:r>
      <w:r w:rsidR="00F86D85" w:rsidRPr="00AF27CD">
        <w:rPr>
          <w:rFonts w:eastAsiaTheme="minorEastAsia"/>
          <w:bCs/>
        </w:rPr>
        <w:t>celach wystawowych, towary te mogą być przedmiotem najmu i użyczenia dla państwowych formacji uzbrojonych w celu przeprowadzenia prób i testów</w:t>
      </w:r>
      <w:r w:rsidR="009F1CA8" w:rsidRPr="00AF27CD">
        <w:rPr>
          <w:rFonts w:eastAsiaTheme="minorEastAsia"/>
          <w:bCs/>
        </w:rPr>
        <w:t>,</w:t>
      </w:r>
      <w:r w:rsidR="00F86D85" w:rsidRPr="00AF27CD">
        <w:rPr>
          <w:rFonts w:eastAsiaTheme="minorEastAsia"/>
          <w:bCs/>
        </w:rPr>
        <w:t xml:space="preserve"> np. przed podjęciem decyzji o zakupie. W przypadku osób fizycznych posiadających pozwolenia na broń</w:t>
      </w:r>
      <w:r w:rsidR="0057608C">
        <w:rPr>
          <w:rFonts w:eastAsiaTheme="minorEastAsia"/>
          <w:bCs/>
        </w:rPr>
        <w:t>,</w:t>
      </w:r>
      <w:r w:rsidR="00F86D85" w:rsidRPr="00AF27CD">
        <w:rPr>
          <w:rFonts w:eastAsiaTheme="minorEastAsia"/>
          <w:bCs/>
        </w:rPr>
        <w:t xml:space="preserve"> przedsiębiorca koncesjonowany, który sprzedał takiej osobie broń</w:t>
      </w:r>
      <w:r w:rsidRPr="00AF27CD">
        <w:rPr>
          <w:rFonts w:eastAsiaTheme="minorEastAsia"/>
          <w:bCs/>
        </w:rPr>
        <w:t>,</w:t>
      </w:r>
      <w:r w:rsidR="00F86D85" w:rsidRPr="00AF27CD">
        <w:rPr>
          <w:rFonts w:eastAsiaTheme="minorEastAsia"/>
          <w:bCs/>
        </w:rPr>
        <w:t xml:space="preserve"> będzie mógł wynająć lub użyczyć broń zastępczą na czas naprawy zakupionej broni, która okazała się niesprawna.</w:t>
      </w:r>
    </w:p>
    <w:p w:rsidR="00A93E79" w:rsidRPr="00AF27CD" w:rsidRDefault="006875FC" w:rsidP="00422EA7">
      <w:pPr>
        <w:pStyle w:val="ROZDZODDZPRZEDMprzedmiotregulacjirozdziauluboddziau"/>
        <w:jc w:val="both"/>
        <w:rPr>
          <w:rFonts w:ascii="Times New Roman" w:hAnsi="Times New Roman"/>
          <w:b w:val="0"/>
        </w:rPr>
      </w:pPr>
      <w:r w:rsidRPr="00AF27CD">
        <w:rPr>
          <w:rFonts w:ascii="Times New Roman" w:hAnsi="Times New Roman"/>
          <w:bCs w:val="0"/>
        </w:rPr>
        <w:t>O</w:t>
      </w:r>
      <w:r w:rsidR="00A93E79" w:rsidRPr="00AF27CD">
        <w:rPr>
          <w:rFonts w:ascii="Times New Roman" w:hAnsi="Times New Roman"/>
          <w:bCs w:val="0"/>
        </w:rPr>
        <w:t>ddział 2</w:t>
      </w:r>
      <w:r w:rsidR="00A93E79" w:rsidRPr="00AF27CD">
        <w:rPr>
          <w:rFonts w:ascii="Times New Roman" w:hAnsi="Times New Roman"/>
          <w:b w:val="0"/>
          <w:bCs w:val="0"/>
        </w:rPr>
        <w:t xml:space="preserve"> </w:t>
      </w:r>
      <w:r w:rsidR="001445C1" w:rsidRPr="00AF27CD">
        <w:rPr>
          <w:rFonts w:ascii="Times New Roman" w:hAnsi="Times New Roman"/>
          <w:bCs w:val="0"/>
        </w:rPr>
        <w:t>(art. 6</w:t>
      </w:r>
      <w:r w:rsidR="004150F3" w:rsidRPr="00AF27CD">
        <w:rPr>
          <w:rFonts w:ascii="Times New Roman" w:hAnsi="Times New Roman"/>
          <w:bCs w:val="0"/>
        </w:rPr>
        <w:t>9</w:t>
      </w:r>
      <w:r w:rsidR="00422EA7" w:rsidRPr="00AF27CD">
        <w:rPr>
          <w:rFonts w:ascii="Times New Roman" w:hAnsi="Times New Roman"/>
          <w:bCs w:val="0"/>
        </w:rPr>
        <w:t>–</w:t>
      </w:r>
      <w:r w:rsidR="001445C1" w:rsidRPr="00AF27CD">
        <w:rPr>
          <w:rFonts w:ascii="Times New Roman" w:hAnsi="Times New Roman"/>
          <w:bCs w:val="0"/>
        </w:rPr>
        <w:t>8</w:t>
      </w:r>
      <w:r w:rsidR="004150F3" w:rsidRPr="00AF27CD">
        <w:rPr>
          <w:rFonts w:ascii="Times New Roman" w:hAnsi="Times New Roman"/>
          <w:bCs w:val="0"/>
        </w:rPr>
        <w:t>2</w:t>
      </w:r>
      <w:r w:rsidR="001445C1" w:rsidRPr="00AF27CD">
        <w:rPr>
          <w:rFonts w:ascii="Times New Roman" w:hAnsi="Times New Roman"/>
          <w:bCs w:val="0"/>
        </w:rPr>
        <w:t>)</w:t>
      </w:r>
      <w:r w:rsidR="001445C1" w:rsidRPr="00AF27CD">
        <w:rPr>
          <w:rFonts w:ascii="Times New Roman" w:hAnsi="Times New Roman"/>
          <w:b w:val="0"/>
          <w:bCs w:val="0"/>
        </w:rPr>
        <w:t xml:space="preserve"> </w:t>
      </w:r>
      <w:r w:rsidR="00A93E79" w:rsidRPr="00AF27CD">
        <w:rPr>
          <w:rFonts w:ascii="Times New Roman" w:hAnsi="Times New Roman"/>
          <w:b w:val="0"/>
          <w:bCs w:val="0"/>
        </w:rPr>
        <w:t>zawiera przepisy określające zasady p</w:t>
      </w:r>
      <w:r w:rsidR="00A93E79" w:rsidRPr="00AF27CD">
        <w:rPr>
          <w:rFonts w:ascii="Times New Roman" w:hAnsi="Times New Roman"/>
          <w:b w:val="0"/>
        </w:rPr>
        <w:t>rzemieszczania przez przedsiębiorców strzeleckiej broni palnej, istotnych komponentów i amunicji do strzeleckiej broni palnej.</w:t>
      </w:r>
    </w:p>
    <w:p w:rsidR="0093660F"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Przepisy te zostały przeniesione w całości z usta</w:t>
      </w:r>
      <w:r w:rsidR="00395D84">
        <w:rPr>
          <w:rFonts w:ascii="Times New Roman" w:hAnsi="Times New Roman" w:cs="Times New Roman"/>
          <w:szCs w:val="24"/>
        </w:rPr>
        <w:t>wy z dnia 22 czerwca 2001 r., z</w:t>
      </w:r>
      <w:r w:rsidR="00EC6774">
        <w:rPr>
          <w:rFonts w:ascii="Times New Roman" w:hAnsi="Times New Roman" w:cs="Times New Roman"/>
          <w:szCs w:val="24"/>
        </w:rPr>
        <w:t> </w:t>
      </w:r>
      <w:r w:rsidRPr="00AF27CD">
        <w:rPr>
          <w:rFonts w:ascii="Times New Roman" w:hAnsi="Times New Roman" w:cs="Times New Roman"/>
          <w:szCs w:val="24"/>
        </w:rPr>
        <w:t>wprowadzeniem w miejsce pojęcia „broń palna” po</w:t>
      </w:r>
      <w:r w:rsidR="00395D84">
        <w:rPr>
          <w:rFonts w:ascii="Times New Roman" w:hAnsi="Times New Roman" w:cs="Times New Roman"/>
          <w:szCs w:val="24"/>
        </w:rPr>
        <w:t>jęcia „strzelecka broń palna” w</w:t>
      </w:r>
      <w:r w:rsidR="00EC6774">
        <w:rPr>
          <w:rFonts w:ascii="Times New Roman" w:hAnsi="Times New Roman" w:cs="Times New Roman"/>
          <w:szCs w:val="24"/>
        </w:rPr>
        <w:t> </w:t>
      </w:r>
      <w:r w:rsidRPr="00AF27CD">
        <w:rPr>
          <w:rFonts w:ascii="Times New Roman" w:hAnsi="Times New Roman" w:cs="Times New Roman"/>
          <w:szCs w:val="24"/>
        </w:rPr>
        <w:t>rozumieniu</w:t>
      </w:r>
      <w:r w:rsidR="006875FC" w:rsidRPr="00AF27CD">
        <w:rPr>
          <w:rFonts w:ascii="Times New Roman" w:hAnsi="Times New Roman" w:cs="Times New Roman"/>
          <w:szCs w:val="24"/>
        </w:rPr>
        <w:t xml:space="preserve"> projektowanej</w:t>
      </w:r>
      <w:r w:rsidRPr="00AF27CD">
        <w:rPr>
          <w:rFonts w:ascii="Times New Roman" w:hAnsi="Times New Roman" w:cs="Times New Roman"/>
          <w:szCs w:val="24"/>
        </w:rPr>
        <w:t xml:space="preserve"> ustawy oraz objęci</w:t>
      </w:r>
      <w:r w:rsidR="006875FC" w:rsidRPr="00AF27CD">
        <w:rPr>
          <w:rFonts w:ascii="Times New Roman" w:hAnsi="Times New Roman" w:cs="Times New Roman"/>
          <w:szCs w:val="24"/>
        </w:rPr>
        <w:t>em</w:t>
      </w:r>
      <w:r w:rsidRPr="00AF27CD">
        <w:rPr>
          <w:rFonts w:ascii="Times New Roman" w:hAnsi="Times New Roman" w:cs="Times New Roman"/>
          <w:szCs w:val="24"/>
        </w:rPr>
        <w:t xml:space="preserve"> kontrolą również</w:t>
      </w:r>
      <w:r w:rsidR="006875FC" w:rsidRPr="00AF27CD">
        <w:rPr>
          <w:rFonts w:ascii="Times New Roman" w:hAnsi="Times New Roman" w:cs="Times New Roman"/>
          <w:szCs w:val="24"/>
        </w:rPr>
        <w:t xml:space="preserve"> przemieszczania</w:t>
      </w:r>
      <w:r w:rsidRPr="00AF27CD">
        <w:rPr>
          <w:rFonts w:ascii="Times New Roman" w:hAnsi="Times New Roman" w:cs="Times New Roman"/>
          <w:szCs w:val="24"/>
        </w:rPr>
        <w:t xml:space="preserve"> </w:t>
      </w:r>
      <w:r w:rsidR="005F49F6" w:rsidRPr="00AF27CD">
        <w:rPr>
          <w:rFonts w:ascii="Times New Roman" w:hAnsi="Times New Roman" w:cs="Times New Roman"/>
          <w:szCs w:val="24"/>
        </w:rPr>
        <w:t xml:space="preserve">istotnych </w:t>
      </w:r>
      <w:r w:rsidRPr="00AF27CD">
        <w:rPr>
          <w:rFonts w:ascii="Times New Roman" w:hAnsi="Times New Roman" w:cs="Times New Roman"/>
          <w:szCs w:val="24"/>
        </w:rPr>
        <w:t xml:space="preserve">komponentów </w:t>
      </w:r>
      <w:r w:rsidR="001445C1" w:rsidRPr="00AF27CD">
        <w:rPr>
          <w:rFonts w:ascii="Times New Roman" w:hAnsi="Times New Roman" w:cs="Times New Roman"/>
          <w:szCs w:val="24"/>
        </w:rPr>
        <w:t>oraz</w:t>
      </w:r>
      <w:r w:rsidR="00422EA7" w:rsidRPr="00AF27CD">
        <w:rPr>
          <w:rFonts w:ascii="Times New Roman" w:hAnsi="Times New Roman" w:cs="Times New Roman"/>
          <w:szCs w:val="24"/>
        </w:rPr>
        <w:t xml:space="preserve"> </w:t>
      </w:r>
      <w:r w:rsidRPr="00AF27CD">
        <w:rPr>
          <w:rFonts w:ascii="Times New Roman" w:hAnsi="Times New Roman" w:cs="Times New Roman"/>
          <w:szCs w:val="24"/>
        </w:rPr>
        <w:t>amunicji</w:t>
      </w:r>
      <w:r w:rsidR="009F1CA8" w:rsidRPr="00AF27CD">
        <w:rPr>
          <w:rFonts w:ascii="Times New Roman" w:hAnsi="Times New Roman" w:cs="Times New Roman"/>
          <w:szCs w:val="24"/>
        </w:rPr>
        <w:t xml:space="preserve">. </w:t>
      </w:r>
      <w:r w:rsidR="000D0595" w:rsidRPr="00AF27CD">
        <w:rPr>
          <w:rFonts w:ascii="Times New Roman" w:hAnsi="Times New Roman" w:cs="Times New Roman"/>
          <w:szCs w:val="24"/>
        </w:rPr>
        <w:t>Zgodnie z art. 10 dyrektywy 91/477</w:t>
      </w:r>
      <w:r w:rsidR="0057608C">
        <w:rPr>
          <w:rFonts w:ascii="Times New Roman" w:hAnsi="Times New Roman" w:cs="Times New Roman"/>
          <w:szCs w:val="24"/>
        </w:rPr>
        <w:t>/</w:t>
      </w:r>
      <w:r w:rsidR="000D0595" w:rsidRPr="00AF27CD">
        <w:rPr>
          <w:rFonts w:ascii="Times New Roman" w:hAnsi="Times New Roman" w:cs="Times New Roman"/>
          <w:szCs w:val="24"/>
        </w:rPr>
        <w:t>EWG zasady dotyczące nabywania i posiadania amunicji muszą być takie same</w:t>
      </w:r>
      <w:r w:rsidR="00422EA7" w:rsidRPr="00AF27CD">
        <w:rPr>
          <w:rFonts w:ascii="Times New Roman" w:hAnsi="Times New Roman" w:cs="Times New Roman"/>
          <w:szCs w:val="24"/>
        </w:rPr>
        <w:t xml:space="preserve"> </w:t>
      </w:r>
      <w:r w:rsidR="000D0595" w:rsidRPr="00AF27CD">
        <w:rPr>
          <w:rFonts w:ascii="Times New Roman" w:hAnsi="Times New Roman" w:cs="Times New Roman"/>
          <w:szCs w:val="24"/>
        </w:rPr>
        <w:t xml:space="preserve">jak zasady posiadania broni palnej, do której </w:t>
      </w:r>
      <w:r w:rsidR="0057608C" w:rsidRPr="00AF27CD">
        <w:rPr>
          <w:rFonts w:ascii="Times New Roman" w:hAnsi="Times New Roman" w:cs="Times New Roman"/>
          <w:szCs w:val="24"/>
        </w:rPr>
        <w:t xml:space="preserve">jest </w:t>
      </w:r>
      <w:r w:rsidR="000D0595" w:rsidRPr="00AF27CD">
        <w:rPr>
          <w:rFonts w:ascii="Times New Roman" w:hAnsi="Times New Roman" w:cs="Times New Roman"/>
          <w:szCs w:val="24"/>
        </w:rPr>
        <w:t>przeznaczona ta amunicja. W związku z tym do przemieszczania amunicji do strzeleckiej</w:t>
      </w:r>
      <w:r w:rsidR="00DF61C8" w:rsidRPr="00AF27CD">
        <w:rPr>
          <w:rFonts w:ascii="Times New Roman" w:hAnsi="Times New Roman" w:cs="Times New Roman"/>
          <w:szCs w:val="24"/>
        </w:rPr>
        <w:t xml:space="preserve"> broni palnej </w:t>
      </w:r>
      <w:r w:rsidR="000D0595" w:rsidRPr="00AF27CD">
        <w:rPr>
          <w:rFonts w:ascii="Times New Roman" w:hAnsi="Times New Roman" w:cs="Times New Roman"/>
          <w:szCs w:val="24"/>
        </w:rPr>
        <w:t>należy stosować zasady analogiczne</w:t>
      </w:r>
      <w:r w:rsidR="00422EA7" w:rsidRPr="00AF27CD">
        <w:rPr>
          <w:rFonts w:ascii="Times New Roman" w:hAnsi="Times New Roman" w:cs="Times New Roman"/>
          <w:szCs w:val="24"/>
        </w:rPr>
        <w:t xml:space="preserve"> </w:t>
      </w:r>
      <w:r w:rsidR="000D0595" w:rsidRPr="00AF27CD">
        <w:rPr>
          <w:rFonts w:ascii="Times New Roman" w:hAnsi="Times New Roman" w:cs="Times New Roman"/>
          <w:szCs w:val="24"/>
        </w:rPr>
        <w:t>jak w przypadku przemieszczania tego rodzaju broni.</w:t>
      </w:r>
      <w:r w:rsidR="00FD25B1" w:rsidRPr="00AF27CD">
        <w:rPr>
          <w:rFonts w:ascii="Times New Roman" w:hAnsi="Times New Roman" w:cs="Times New Roman"/>
          <w:szCs w:val="24"/>
        </w:rPr>
        <w:t xml:space="preserve"> Dyrektywa 2014/28/UE odnosząca się do </w:t>
      </w:r>
      <w:r w:rsidR="0093660F" w:rsidRPr="00AF27CD">
        <w:rPr>
          <w:rFonts w:ascii="Times New Roman" w:hAnsi="Times New Roman" w:cs="Times New Roman"/>
          <w:szCs w:val="24"/>
        </w:rPr>
        <w:t>materiałów wybuchowych</w:t>
      </w:r>
      <w:r w:rsidR="0057608C">
        <w:rPr>
          <w:rFonts w:ascii="Times New Roman" w:hAnsi="Times New Roman" w:cs="Times New Roman"/>
          <w:szCs w:val="24"/>
        </w:rPr>
        <w:t xml:space="preserve"> przeznaczonych</w:t>
      </w:r>
      <w:r w:rsidR="0093660F" w:rsidRPr="00AF27CD">
        <w:rPr>
          <w:rFonts w:ascii="Times New Roman" w:hAnsi="Times New Roman" w:cs="Times New Roman"/>
          <w:szCs w:val="24"/>
        </w:rPr>
        <w:t xml:space="preserve"> do użytku cywilnego w art. 12 określa zasady przemieszczania amunicji, które są analogiczne jak w przypadku przemieszczania broni, o której mowa w dyrektywie 91/477</w:t>
      </w:r>
      <w:r w:rsidR="0057608C">
        <w:rPr>
          <w:rFonts w:ascii="Times New Roman" w:hAnsi="Times New Roman" w:cs="Times New Roman"/>
          <w:szCs w:val="24"/>
        </w:rPr>
        <w:t>/EWG</w:t>
      </w:r>
      <w:r w:rsidR="0093660F" w:rsidRPr="00AF27CD">
        <w:rPr>
          <w:rFonts w:ascii="Times New Roman" w:hAnsi="Times New Roman" w:cs="Times New Roman"/>
          <w:szCs w:val="24"/>
        </w:rPr>
        <w:t>. Art. 2 dyrektywy 2014/28/UE zawiera definicję pojęcia „amunicja”</w:t>
      </w:r>
      <w:r w:rsidR="006875FC" w:rsidRPr="00AF27CD">
        <w:rPr>
          <w:rFonts w:ascii="Times New Roman" w:hAnsi="Times New Roman" w:cs="Times New Roman"/>
          <w:szCs w:val="24"/>
        </w:rPr>
        <w:t>,</w:t>
      </w:r>
      <w:r w:rsidR="0093660F" w:rsidRPr="00AF27CD">
        <w:rPr>
          <w:rFonts w:ascii="Times New Roman" w:hAnsi="Times New Roman" w:cs="Times New Roman"/>
          <w:szCs w:val="24"/>
        </w:rPr>
        <w:t xml:space="preserve"> do której zalicza również amunicję stosowaną w broni artyleryjskiej.</w:t>
      </w:r>
    </w:p>
    <w:p w:rsidR="0093660F" w:rsidRPr="00AF27CD" w:rsidRDefault="002D0A1E"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Według wiedzy projektodawcy</w:t>
      </w:r>
      <w:r w:rsidR="006875FC" w:rsidRPr="00AF27CD">
        <w:rPr>
          <w:rFonts w:ascii="Times New Roman" w:hAnsi="Times New Roman" w:cs="Times New Roman"/>
          <w:szCs w:val="24"/>
        </w:rPr>
        <w:t>,</w:t>
      </w:r>
      <w:r w:rsidRPr="00AF27CD">
        <w:rPr>
          <w:rFonts w:ascii="Times New Roman" w:hAnsi="Times New Roman" w:cs="Times New Roman"/>
          <w:szCs w:val="24"/>
        </w:rPr>
        <w:t xml:space="preserve"> jedynym rodzajem amunicji artyleryjskiej, która może być przeznaczona do użytku cywilnego, jest amunicja stosowana do wywoływania kontrolowanego zejścia lawin. Szczegółowa analiza dokumentów dotyczących przemieszczania amunicji wykazała, że nie było przypadków przemieszczania tego rodzaju amunicji. Ponadto, </w:t>
      </w:r>
      <w:r w:rsidR="0093660F" w:rsidRPr="00AF27CD">
        <w:rPr>
          <w:rFonts w:ascii="Times New Roman" w:hAnsi="Times New Roman" w:cs="Times New Roman"/>
          <w:szCs w:val="24"/>
        </w:rPr>
        <w:t xml:space="preserve">mając na uwadze przepis </w:t>
      </w:r>
      <w:r w:rsidR="00395D84">
        <w:rPr>
          <w:rFonts w:ascii="Times New Roman" w:hAnsi="Times New Roman" w:cs="Times New Roman"/>
          <w:szCs w:val="24"/>
        </w:rPr>
        <w:t>art. 10 ust. 4 ustawy o broni i</w:t>
      </w:r>
      <w:r w:rsidR="00EC6774">
        <w:rPr>
          <w:rFonts w:ascii="Times New Roman" w:hAnsi="Times New Roman" w:cs="Times New Roman"/>
          <w:szCs w:val="24"/>
        </w:rPr>
        <w:t> </w:t>
      </w:r>
      <w:r w:rsidR="0093660F" w:rsidRPr="00AF27CD">
        <w:rPr>
          <w:rFonts w:ascii="Times New Roman" w:hAnsi="Times New Roman" w:cs="Times New Roman"/>
          <w:szCs w:val="24"/>
        </w:rPr>
        <w:t>amunicji</w:t>
      </w:r>
      <w:r w:rsidR="0057608C">
        <w:rPr>
          <w:rFonts w:ascii="Times New Roman" w:hAnsi="Times New Roman" w:cs="Times New Roman"/>
          <w:szCs w:val="24"/>
        </w:rPr>
        <w:t>,</w:t>
      </w:r>
      <w:r w:rsidR="0093660F" w:rsidRPr="00AF27CD">
        <w:rPr>
          <w:rFonts w:ascii="Times New Roman" w:hAnsi="Times New Roman" w:cs="Times New Roman"/>
          <w:szCs w:val="24"/>
        </w:rPr>
        <w:t xml:space="preserve"> </w:t>
      </w:r>
      <w:r w:rsidR="00A63A67" w:rsidRPr="00AF27CD">
        <w:rPr>
          <w:rFonts w:ascii="Times New Roman" w:hAnsi="Times New Roman" w:cs="Times New Roman"/>
          <w:szCs w:val="24"/>
        </w:rPr>
        <w:t xml:space="preserve">należy </w:t>
      </w:r>
      <w:r w:rsidR="0093660F" w:rsidRPr="00AF27CD">
        <w:rPr>
          <w:rFonts w:ascii="Times New Roman" w:hAnsi="Times New Roman" w:cs="Times New Roman"/>
          <w:szCs w:val="24"/>
        </w:rPr>
        <w:t>stwierdzić, że pod rządami tej ustawy nie ma żadnej możliwości uzyskania w Polsce pozwolenia na posiadanie broni artyleryjskiej do użytku cywilnego, tak więc włączenie amunicji artyleryjskiej, która występuje wyłącznie w kal</w:t>
      </w:r>
      <w:r w:rsidR="00BD4522" w:rsidRPr="00AF27CD">
        <w:rPr>
          <w:rFonts w:ascii="Times New Roman" w:hAnsi="Times New Roman" w:cs="Times New Roman"/>
          <w:szCs w:val="24"/>
        </w:rPr>
        <w:t xml:space="preserve">ibrze większym lub równym 20 mm, </w:t>
      </w:r>
      <w:r w:rsidR="0093660F" w:rsidRPr="00AF27CD">
        <w:rPr>
          <w:rFonts w:ascii="Times New Roman" w:hAnsi="Times New Roman" w:cs="Times New Roman"/>
          <w:szCs w:val="24"/>
        </w:rPr>
        <w:t xml:space="preserve">do </w:t>
      </w:r>
      <w:r w:rsidR="00BD4522" w:rsidRPr="00AF27CD">
        <w:rPr>
          <w:rFonts w:ascii="Times New Roman" w:hAnsi="Times New Roman" w:cs="Times New Roman"/>
          <w:szCs w:val="24"/>
        </w:rPr>
        <w:t>zasad przemieszczania na podstawie zgód przewozowych i uprzednich zgód przewozowych nie znajduje uzasadnienia.</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Zgody przewozowe i uprzednie zgody przewozowe, odpowiednio poświadczone, to dokumenty, które muszą towarzyszyć każdemu przemieszczeniu broni i amunicji w UE. W Polsce dokumenty te są poświadczane przez właściwych miejscowo dla siedziby przedsiębiorcy komendantów wojewódzkich Policji i są stosowane od 2004 r. Obowiązek stosowania zgód wynika wprost z przepisów dyrektywy 91/477/EWG. Przepisy ustawy nie zmieniają stanu prawnego określonego w aktualnie obowiązujących przepisach ustawy z dnia 22 czerwca 2001 r.</w:t>
      </w:r>
    </w:p>
    <w:p w:rsidR="00A93E79" w:rsidRPr="00AF27CD" w:rsidRDefault="0057608C"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Została </w:t>
      </w:r>
      <w:r>
        <w:rPr>
          <w:rFonts w:ascii="Times New Roman" w:hAnsi="Times New Roman" w:cs="Times New Roman"/>
          <w:szCs w:val="24"/>
        </w:rPr>
        <w:t>u</w:t>
      </w:r>
      <w:r w:rsidRPr="00AF27CD">
        <w:rPr>
          <w:rFonts w:ascii="Times New Roman" w:hAnsi="Times New Roman" w:cs="Times New Roman"/>
          <w:szCs w:val="24"/>
        </w:rPr>
        <w:t xml:space="preserve">trzymana </w:t>
      </w:r>
      <w:r w:rsidR="00A93E79" w:rsidRPr="00AF27CD">
        <w:rPr>
          <w:rFonts w:ascii="Times New Roman" w:hAnsi="Times New Roman" w:cs="Times New Roman"/>
          <w:szCs w:val="24"/>
        </w:rPr>
        <w:t>zasada</w:t>
      </w:r>
      <w:r w:rsidR="006875FC" w:rsidRPr="00AF27CD">
        <w:rPr>
          <w:rFonts w:ascii="Times New Roman" w:hAnsi="Times New Roman" w:cs="Times New Roman"/>
          <w:szCs w:val="24"/>
        </w:rPr>
        <w:t>,</w:t>
      </w:r>
      <w:r w:rsidR="00A93E79" w:rsidRPr="00AF27CD">
        <w:rPr>
          <w:rFonts w:ascii="Times New Roman" w:hAnsi="Times New Roman" w:cs="Times New Roman"/>
          <w:szCs w:val="24"/>
        </w:rPr>
        <w:t xml:space="preserve"> pochodząca wprost z przepisów dyrektywy 91/477/EWG, zgodnie z którą organ koncesyjny może, w drodze decyzji administracyjnej, zwolnić przedsiębiorcę dokonującego przemieszczenia strzeleckiej broni palnej i istotnych komponentów z terytorium Rzeczypospolitej Polskiej, jako państwa początkowego transakcji</w:t>
      </w:r>
      <w:r w:rsidR="006875FC" w:rsidRPr="00AF27CD">
        <w:rPr>
          <w:rFonts w:ascii="Times New Roman" w:hAnsi="Times New Roman" w:cs="Times New Roman"/>
          <w:szCs w:val="24"/>
        </w:rPr>
        <w:t>,</w:t>
      </w:r>
      <w:r w:rsidR="00A93E79" w:rsidRPr="00AF27CD">
        <w:rPr>
          <w:rFonts w:ascii="Times New Roman" w:hAnsi="Times New Roman" w:cs="Times New Roman"/>
          <w:szCs w:val="24"/>
        </w:rPr>
        <w:t xml:space="preserve"> z obowiązku każdorazowego poświadczania zgód przewozowych przez komendanta wojewódzkiego Policji, jeżeli</w:t>
      </w:r>
      <w:r w:rsidR="006875FC" w:rsidRPr="00AF27CD">
        <w:rPr>
          <w:rFonts w:ascii="Times New Roman" w:hAnsi="Times New Roman" w:cs="Times New Roman"/>
          <w:szCs w:val="24"/>
        </w:rPr>
        <w:t xml:space="preserve"> przedsiębiorca</w:t>
      </w:r>
      <w:r w:rsidR="00422EA7" w:rsidRPr="00AF27CD">
        <w:rPr>
          <w:rFonts w:ascii="Times New Roman" w:hAnsi="Times New Roman" w:cs="Times New Roman"/>
          <w:szCs w:val="24"/>
        </w:rPr>
        <w:t xml:space="preserve"> </w:t>
      </w:r>
      <w:r w:rsidR="00A93E79" w:rsidRPr="00AF27CD">
        <w:rPr>
          <w:rFonts w:ascii="Times New Roman" w:hAnsi="Times New Roman" w:cs="Times New Roman"/>
          <w:szCs w:val="24"/>
        </w:rPr>
        <w:t>udokumentuje stosowanie przez co najmniej 3 lata wewnętrznego systemu kontroli i zarządzania obrotem towarami strategicznymi, o którym mowa w ustawi</w:t>
      </w:r>
      <w:r w:rsidR="00395D84">
        <w:rPr>
          <w:rFonts w:ascii="Times New Roman" w:hAnsi="Times New Roman" w:cs="Times New Roman"/>
          <w:szCs w:val="24"/>
        </w:rPr>
        <w:t>e z dnia 29 listopada 2000 r. o</w:t>
      </w:r>
      <w:r w:rsidR="00EC6774">
        <w:rPr>
          <w:rFonts w:ascii="Times New Roman" w:hAnsi="Times New Roman" w:cs="Times New Roman"/>
          <w:szCs w:val="24"/>
        </w:rPr>
        <w:t> </w:t>
      </w:r>
      <w:r w:rsidR="00A93E79" w:rsidRPr="00AF27CD">
        <w:rPr>
          <w:rFonts w:ascii="Times New Roman" w:hAnsi="Times New Roman" w:cs="Times New Roman"/>
          <w:szCs w:val="24"/>
        </w:rPr>
        <w:t>obrocie z zagranicą towarami, technologiami i usługami o znaczeniu strategicznym dla bezpieczeństwa państwa, a także dla utrzy</w:t>
      </w:r>
      <w:r w:rsidR="00395D84">
        <w:rPr>
          <w:rFonts w:ascii="Times New Roman" w:hAnsi="Times New Roman" w:cs="Times New Roman"/>
          <w:szCs w:val="24"/>
        </w:rPr>
        <w:t>mania międzynarodowego pokoju i</w:t>
      </w:r>
      <w:r w:rsidR="00EC6774">
        <w:rPr>
          <w:rFonts w:ascii="Times New Roman" w:hAnsi="Times New Roman" w:cs="Times New Roman"/>
          <w:szCs w:val="24"/>
        </w:rPr>
        <w:t> </w:t>
      </w:r>
      <w:r w:rsidR="00A93E79" w:rsidRPr="00AF27CD">
        <w:rPr>
          <w:rFonts w:ascii="Times New Roman" w:hAnsi="Times New Roman" w:cs="Times New Roman"/>
          <w:szCs w:val="24"/>
        </w:rPr>
        <w:t>bezpieczeństwa. Jak pokazuje doświadczenie organu koncesyjnego</w:t>
      </w:r>
      <w:r w:rsidR="006875FC" w:rsidRPr="00AF27CD">
        <w:rPr>
          <w:rFonts w:ascii="Times New Roman" w:hAnsi="Times New Roman" w:cs="Times New Roman"/>
          <w:szCs w:val="24"/>
        </w:rPr>
        <w:t>,</w:t>
      </w:r>
      <w:r w:rsidR="00A93E79" w:rsidRPr="00AF27CD">
        <w:rPr>
          <w:rFonts w:ascii="Times New Roman" w:hAnsi="Times New Roman" w:cs="Times New Roman"/>
          <w:szCs w:val="24"/>
        </w:rPr>
        <w:t xml:space="preserve"> przedsiębiorcy bardzo rzadko korzystają z tej możliwości; od 2004 r. wydano tylko </w:t>
      </w:r>
      <w:r w:rsidR="005105F9" w:rsidRPr="00AF27CD">
        <w:rPr>
          <w:rFonts w:ascii="Times New Roman" w:hAnsi="Times New Roman" w:cs="Times New Roman"/>
          <w:szCs w:val="24"/>
        </w:rPr>
        <w:t>8</w:t>
      </w:r>
      <w:r w:rsidR="00A93E79" w:rsidRPr="00AF27CD">
        <w:rPr>
          <w:rFonts w:ascii="Times New Roman" w:hAnsi="Times New Roman" w:cs="Times New Roman"/>
          <w:szCs w:val="24"/>
        </w:rPr>
        <w:t xml:space="preserve"> taki</w:t>
      </w:r>
      <w:r w:rsidR="005105F9" w:rsidRPr="00AF27CD">
        <w:rPr>
          <w:rFonts w:ascii="Times New Roman" w:hAnsi="Times New Roman" w:cs="Times New Roman"/>
          <w:szCs w:val="24"/>
        </w:rPr>
        <w:t>ch decyzji</w:t>
      </w:r>
      <w:r w:rsidR="00A93E79" w:rsidRPr="00AF27CD">
        <w:rPr>
          <w:rFonts w:ascii="Times New Roman" w:hAnsi="Times New Roman" w:cs="Times New Roman"/>
          <w:szCs w:val="24"/>
        </w:rPr>
        <w:t xml:space="preserve">, co dowodzi, że mechanizm poświadczania zgód przewozowych przez organy Policji nie jest obciążeniem dla przedsiębiorców. </w:t>
      </w:r>
      <w:r w:rsidR="00EF3BFF" w:rsidRPr="00AF27CD">
        <w:rPr>
          <w:rFonts w:ascii="Times New Roman" w:hAnsi="Times New Roman" w:cs="Times New Roman"/>
          <w:szCs w:val="24"/>
        </w:rPr>
        <w:t>Wykaz informac</w:t>
      </w:r>
      <w:r w:rsidR="00395D84">
        <w:rPr>
          <w:rFonts w:ascii="Times New Roman" w:hAnsi="Times New Roman" w:cs="Times New Roman"/>
          <w:szCs w:val="24"/>
        </w:rPr>
        <w:t>ji, jakie powinny być zawarte w</w:t>
      </w:r>
      <w:r w:rsidR="00EC6774">
        <w:rPr>
          <w:rFonts w:ascii="Times New Roman" w:hAnsi="Times New Roman" w:cs="Times New Roman"/>
          <w:szCs w:val="24"/>
        </w:rPr>
        <w:t> </w:t>
      </w:r>
      <w:r w:rsidR="00EF3BFF" w:rsidRPr="00AF27CD">
        <w:rPr>
          <w:rFonts w:ascii="Times New Roman" w:hAnsi="Times New Roman" w:cs="Times New Roman"/>
          <w:szCs w:val="24"/>
        </w:rPr>
        <w:t>zgodzie przewozowej oraz w uprzedniej zgodzie p</w:t>
      </w:r>
      <w:r w:rsidR="00395D84">
        <w:rPr>
          <w:rFonts w:ascii="Times New Roman" w:hAnsi="Times New Roman" w:cs="Times New Roman"/>
          <w:szCs w:val="24"/>
        </w:rPr>
        <w:t>rzewozowej</w:t>
      </w:r>
      <w:r>
        <w:rPr>
          <w:rFonts w:ascii="Times New Roman" w:hAnsi="Times New Roman" w:cs="Times New Roman"/>
          <w:szCs w:val="24"/>
        </w:rPr>
        <w:t>,</w:t>
      </w:r>
      <w:r w:rsidR="00395D84">
        <w:rPr>
          <w:rFonts w:ascii="Times New Roman" w:hAnsi="Times New Roman" w:cs="Times New Roman"/>
          <w:szCs w:val="24"/>
        </w:rPr>
        <w:t xml:space="preserve"> został uzupełniony o</w:t>
      </w:r>
      <w:r w:rsidR="00EC6774">
        <w:rPr>
          <w:rFonts w:ascii="Times New Roman" w:hAnsi="Times New Roman" w:cs="Times New Roman"/>
          <w:szCs w:val="24"/>
        </w:rPr>
        <w:t> </w:t>
      </w:r>
      <w:r w:rsidR="00EF3BFF" w:rsidRPr="00AF27CD">
        <w:rPr>
          <w:rFonts w:ascii="Times New Roman" w:hAnsi="Times New Roman" w:cs="Times New Roman"/>
          <w:szCs w:val="24"/>
        </w:rPr>
        <w:t>oświadczenie składane przez przedsiębiorcę, że nie są mu znane specjalne warunki lub ograniczenia dotyczące dalszej sprzedaży towarów wymienionych w dokumencie. Ma to swoje uzasadnienie w politykach kontroli obrotu stosowanych przez Państwa Członkowskie UE.</w:t>
      </w:r>
      <w:r w:rsidR="000F4DFD" w:rsidRPr="00AF27CD">
        <w:rPr>
          <w:rFonts w:ascii="Times New Roman" w:hAnsi="Times New Roman" w:cs="Times New Roman"/>
          <w:szCs w:val="24"/>
        </w:rPr>
        <w:t xml:space="preserve"> Broń i amunicja, która została zakupiona przez polskiego przedsiębiorcę w UE może być przedmiotem wywozu do krajów trzecich. Producent takiej broni i amunicji, jak również jej pierwszy importer na obszar UE</w:t>
      </w:r>
      <w:r w:rsidR="006875FC" w:rsidRPr="00AF27CD">
        <w:rPr>
          <w:rFonts w:ascii="Times New Roman" w:hAnsi="Times New Roman" w:cs="Times New Roman"/>
          <w:szCs w:val="24"/>
        </w:rPr>
        <w:t>,</w:t>
      </w:r>
      <w:r w:rsidR="000F4DFD" w:rsidRPr="00AF27CD">
        <w:rPr>
          <w:rFonts w:ascii="Times New Roman" w:hAnsi="Times New Roman" w:cs="Times New Roman"/>
          <w:szCs w:val="24"/>
        </w:rPr>
        <w:t xml:space="preserve"> mo</w:t>
      </w:r>
      <w:r w:rsidR="006875FC" w:rsidRPr="00AF27CD">
        <w:rPr>
          <w:rFonts w:ascii="Times New Roman" w:hAnsi="Times New Roman" w:cs="Times New Roman"/>
          <w:szCs w:val="24"/>
        </w:rPr>
        <w:t>gą</w:t>
      </w:r>
      <w:r w:rsidR="000F4DFD" w:rsidRPr="00AF27CD">
        <w:rPr>
          <w:rFonts w:ascii="Times New Roman" w:hAnsi="Times New Roman" w:cs="Times New Roman"/>
          <w:szCs w:val="24"/>
        </w:rPr>
        <w:t xml:space="preserve"> określić kraje/odbiorców, do których towary takie nie mogą być dostarczane. Dlatego też niezbędne jest, aby polski przedsiębiorca dokonujący przemieszczania broni miał świadomość istnienia warunków i ograniczeń w obrocie bronią i amunicją poza obszarem Polski.</w:t>
      </w:r>
    </w:p>
    <w:p w:rsidR="00865D33" w:rsidRDefault="00A93E79" w:rsidP="00422EA7">
      <w:pPr>
        <w:spacing w:before="120" w:line="360" w:lineRule="auto"/>
        <w:jc w:val="both"/>
      </w:pPr>
      <w:r w:rsidRPr="00AF27CD">
        <w:rPr>
          <w:b/>
        </w:rPr>
        <w:t>Oddział 3 (art. 8</w:t>
      </w:r>
      <w:r w:rsidR="004150F3" w:rsidRPr="00AF27CD">
        <w:rPr>
          <w:b/>
        </w:rPr>
        <w:t>3</w:t>
      </w:r>
      <w:r w:rsidR="00422EA7" w:rsidRPr="00AF27CD">
        <w:rPr>
          <w:b/>
        </w:rPr>
        <w:t>–</w:t>
      </w:r>
      <w:r w:rsidR="004150F3" w:rsidRPr="00AF27CD">
        <w:rPr>
          <w:b/>
        </w:rPr>
        <w:t>10</w:t>
      </w:r>
      <w:r w:rsidR="006875FC" w:rsidRPr="00AF27CD">
        <w:rPr>
          <w:b/>
        </w:rPr>
        <w:t>1</w:t>
      </w:r>
      <w:r w:rsidRPr="00AF27CD">
        <w:rPr>
          <w:b/>
        </w:rPr>
        <w:t xml:space="preserve">) </w:t>
      </w:r>
      <w:r w:rsidRPr="00AF27CD">
        <w:t>zawiera przepisy regulujące wywóz i tranzyt strzeleckiej broni palnej, istotnych komponentów oraz amunicji do strzeleckiej broni palnej, wdrażające rozporządzenie UE nr</w:t>
      </w:r>
      <w:r w:rsidR="00422EA7" w:rsidRPr="00AF27CD">
        <w:t xml:space="preserve"> </w:t>
      </w:r>
      <w:r w:rsidRPr="00AF27CD">
        <w:t>258/2012</w:t>
      </w:r>
      <w:r w:rsidRPr="00AF27CD">
        <w:rPr>
          <w:bCs/>
        </w:rPr>
        <w:t>, którego celem jest ustanowienie systemu zezwoleń na wywóz do krajów trzecich (poza obszar UE) i środków</w:t>
      </w:r>
      <w:r w:rsidR="00EC6774">
        <w:rPr>
          <w:bCs/>
        </w:rPr>
        <w:t xml:space="preserve"> dotyczących przywozu i </w:t>
      </w:r>
      <w:r w:rsidRPr="00AF27CD">
        <w:rPr>
          <w:bCs/>
        </w:rPr>
        <w:t xml:space="preserve">tranzytu dla strzeleckiej broni palnej, jej części i komponentów oraz amunicji. </w:t>
      </w:r>
      <w:r w:rsidR="00B270CB" w:rsidRPr="00AF27CD">
        <w:rPr>
          <w:bCs/>
        </w:rPr>
        <w:t>W</w:t>
      </w:r>
      <w:r w:rsidR="00EC6774">
        <w:t> </w:t>
      </w:r>
      <w:r w:rsidR="00821F8E" w:rsidRPr="00AF27CD">
        <w:t xml:space="preserve">tytule oddziału zastosowano nomenklaturę przyjętą w rozporządzeniu </w:t>
      </w:r>
      <w:r w:rsidR="00395D84">
        <w:t>UE</w:t>
      </w:r>
      <w:r w:rsidR="00EC6774">
        <w:t> </w:t>
      </w:r>
      <w:r w:rsidR="00395D84">
        <w:t>nr</w:t>
      </w:r>
      <w:r w:rsidR="00EC6774">
        <w:t> </w:t>
      </w:r>
      <w:r w:rsidR="00821F8E" w:rsidRPr="00AF27CD">
        <w:t>258/2012</w:t>
      </w:r>
      <w:r w:rsidR="00865D33">
        <w:t>.</w:t>
      </w:r>
    </w:p>
    <w:p w:rsidR="00821F8E" w:rsidRPr="00AF27CD" w:rsidRDefault="00821F8E" w:rsidP="00422EA7">
      <w:pPr>
        <w:spacing w:before="120" w:line="360" w:lineRule="auto"/>
        <w:jc w:val="both"/>
      </w:pPr>
      <w:r w:rsidRPr="00AF27CD">
        <w:t xml:space="preserve">W istocie w przepisach oddziału jest mowa o broni, która w ustawie </w:t>
      </w:r>
      <w:r w:rsidR="00865D33">
        <w:t>będzie</w:t>
      </w:r>
      <w:r w:rsidR="00865D33" w:rsidRPr="00AF27CD">
        <w:t xml:space="preserve"> </w:t>
      </w:r>
      <w:r w:rsidRPr="00AF27CD">
        <w:t>określona jako strzelecka broń palna, jednakże z uwagi na to, iż rozporządzenie 258/2012 posługuje się nomenklaturą sprzed zmiany dyrektywy 91/477/EWG</w:t>
      </w:r>
      <w:r w:rsidR="00865D33">
        <w:t xml:space="preserve"> </w:t>
      </w:r>
      <w:r w:rsidR="00422EA7" w:rsidRPr="00AF27CD">
        <w:t>–</w:t>
      </w:r>
      <w:r w:rsidRPr="00AF27CD">
        <w:t xml:space="preserve"> dyrektywą 2017/853 i nie zostało do chwili obecnej zmienione w celu dostosowania do tej dyrektywy, a w szczególności nadal posługuje się kategorią istotnych części broni palnej, które nie funkcjonują już na gruncie dyrektywy </w:t>
      </w:r>
      <w:r w:rsidR="00865D33">
        <w:t>2017/853</w:t>
      </w:r>
      <w:r w:rsidRPr="00AF27CD">
        <w:t>.</w:t>
      </w:r>
      <w:r w:rsidR="001445C1" w:rsidRPr="00AF27CD">
        <w:t xml:space="preserve"> N</w:t>
      </w:r>
      <w:r w:rsidRPr="00AF27CD">
        <w:t xml:space="preserve">omenklatura użyta w tytule </w:t>
      </w:r>
      <w:r w:rsidR="00865D33">
        <w:t>o</w:t>
      </w:r>
      <w:r w:rsidRPr="00AF27CD">
        <w:t xml:space="preserve">ddziału powinna być zbieżna z nomenklaturą obowiązującego rozporządzenia </w:t>
      </w:r>
      <w:r w:rsidR="00865D33">
        <w:t xml:space="preserve">UE </w:t>
      </w:r>
      <w:r w:rsidRPr="00AF27CD">
        <w:t>258/2012.</w:t>
      </w:r>
    </w:p>
    <w:p w:rsidR="00A93E79" w:rsidRPr="00AF27CD" w:rsidRDefault="00A93E79" w:rsidP="00422EA7">
      <w:pPr>
        <w:spacing w:before="120" w:line="360" w:lineRule="auto"/>
        <w:jc w:val="both"/>
      </w:pPr>
      <w:r w:rsidRPr="00AF27CD">
        <w:rPr>
          <w:bCs/>
        </w:rPr>
        <w:t xml:space="preserve">Przepisy tego rozporządzenia należy stosować wprost, bez konieczności implementacji, jednak z uwagi na ułatwienie, jakim będzie zebranie w jednym akcie prawnym wszystkich przepisów określających obowiązki przedsiębiorcy koncesjonowanego, niektóre z nich włączono do ustawy. Rozporządzenie </w:t>
      </w:r>
      <w:r w:rsidR="00865D33">
        <w:rPr>
          <w:bCs/>
        </w:rPr>
        <w:t xml:space="preserve">UE </w:t>
      </w:r>
      <w:r w:rsidRPr="00AF27CD">
        <w:rPr>
          <w:bCs/>
        </w:rPr>
        <w:t xml:space="preserve">258/2012 nakazuje, aby Państwa Członkowskie umożliwiły realizację jego przepisów </w:t>
      </w:r>
      <w:r w:rsidR="00413B1C" w:rsidRPr="00AF27CD">
        <w:rPr>
          <w:bCs/>
        </w:rPr>
        <w:t>przez</w:t>
      </w:r>
      <w:r w:rsidR="00395D84">
        <w:rPr>
          <w:bCs/>
        </w:rPr>
        <w:t xml:space="preserve"> wskazanie w</w:t>
      </w:r>
      <w:r w:rsidR="00EC6774">
        <w:rPr>
          <w:bCs/>
        </w:rPr>
        <w:t> </w:t>
      </w:r>
      <w:r w:rsidRPr="00AF27CD">
        <w:rPr>
          <w:bCs/>
        </w:rPr>
        <w:t>ustawodawstwie krajowym kompetencji dla organów wykonujących jego przepisy oraz określenie sankcji prawnych za niestosowanie się do rygorów określon</w:t>
      </w:r>
      <w:r w:rsidR="00395D84">
        <w:rPr>
          <w:bCs/>
        </w:rPr>
        <w:t>ych w</w:t>
      </w:r>
      <w:r w:rsidR="00EC6774">
        <w:rPr>
          <w:bCs/>
        </w:rPr>
        <w:t> </w:t>
      </w:r>
      <w:r w:rsidRPr="00AF27CD">
        <w:rPr>
          <w:bCs/>
        </w:rPr>
        <w:t xml:space="preserve">rozporządzeniu. Wzór zezwolenia określa załącznik do rozporządzenia </w:t>
      </w:r>
      <w:r w:rsidR="00865D33">
        <w:rPr>
          <w:bCs/>
        </w:rPr>
        <w:t xml:space="preserve">UE </w:t>
      </w:r>
      <w:r w:rsidRPr="00AF27CD">
        <w:rPr>
          <w:bCs/>
        </w:rPr>
        <w:t>258/2012.</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Krajowymi organami właściwymi do wykonania</w:t>
      </w:r>
      <w:r w:rsidR="00395D84">
        <w:rPr>
          <w:rFonts w:ascii="Times New Roman" w:hAnsi="Times New Roman" w:cs="Times New Roman"/>
          <w:szCs w:val="24"/>
        </w:rPr>
        <w:t xml:space="preserve"> przepisów rozporządzenia UE </w:t>
      </w:r>
      <w:r w:rsidRPr="00AF27CD">
        <w:rPr>
          <w:rFonts w:ascii="Times New Roman" w:hAnsi="Times New Roman" w:cs="Times New Roman"/>
          <w:szCs w:val="24"/>
        </w:rPr>
        <w:t xml:space="preserve">258/2012 dla przedsiębiorców wykonujących koncesjonowaną działalność gospodarczą będą minister właściwy do spraw gospodarki i minister właściwy do spraw finansów publicznych w zakresie wpisanym w ustawie. W rozdziale tym wprowadzono konieczne z punktu widzenia ustawodawcy przepisy umożliwiające wykonywanie przepisów </w:t>
      </w:r>
      <w:r w:rsidRPr="00AF27CD">
        <w:rPr>
          <w:rStyle w:val="Pogrubienie"/>
          <w:rFonts w:ascii="Times New Roman" w:hAnsi="Times New Roman" w:cs="Times New Roman"/>
          <w:b w:val="0"/>
          <w:szCs w:val="24"/>
        </w:rPr>
        <w:t>rozporządzenia</w:t>
      </w:r>
      <w:r w:rsidRPr="00AF27CD">
        <w:rPr>
          <w:rStyle w:val="Pogrubienie"/>
          <w:rFonts w:ascii="Times New Roman" w:hAnsi="Times New Roman" w:cs="Times New Roman"/>
          <w:szCs w:val="24"/>
        </w:rPr>
        <w:t xml:space="preserve"> </w:t>
      </w:r>
      <w:r w:rsidRPr="00AF27CD">
        <w:rPr>
          <w:rFonts w:ascii="Times New Roman" w:hAnsi="Times New Roman" w:cs="Times New Roman"/>
          <w:szCs w:val="24"/>
        </w:rPr>
        <w:t>UE 258/2012 przez ministra w</w:t>
      </w:r>
      <w:r w:rsidR="00EC6774">
        <w:rPr>
          <w:rFonts w:ascii="Times New Roman" w:hAnsi="Times New Roman" w:cs="Times New Roman"/>
          <w:szCs w:val="24"/>
        </w:rPr>
        <w:t>łaściwego do spraw gospodarki i </w:t>
      </w:r>
      <w:r w:rsidRPr="00AF27CD">
        <w:rPr>
          <w:rFonts w:ascii="Times New Roman" w:hAnsi="Times New Roman" w:cs="Times New Roman"/>
          <w:szCs w:val="24"/>
        </w:rPr>
        <w:t>przedsiębiorców prowadzących działalność gospoda</w:t>
      </w:r>
      <w:r w:rsidR="00EC6774">
        <w:rPr>
          <w:rFonts w:ascii="Times New Roman" w:hAnsi="Times New Roman" w:cs="Times New Roman"/>
          <w:szCs w:val="24"/>
        </w:rPr>
        <w:t>rczą na warunkach określonych w </w:t>
      </w:r>
      <w:r w:rsidRPr="00AF27CD">
        <w:rPr>
          <w:rFonts w:ascii="Times New Roman" w:hAnsi="Times New Roman" w:cs="Times New Roman"/>
          <w:szCs w:val="24"/>
        </w:rPr>
        <w:t xml:space="preserve">zmienianej ustawie, tj.: przywołano definicje z </w:t>
      </w:r>
      <w:r w:rsidRPr="00AF27CD">
        <w:rPr>
          <w:rStyle w:val="Pogrubienie"/>
          <w:rFonts w:ascii="Times New Roman" w:hAnsi="Times New Roman" w:cs="Times New Roman"/>
          <w:b w:val="0"/>
          <w:szCs w:val="24"/>
        </w:rPr>
        <w:t xml:space="preserve">rozporządzenia </w:t>
      </w:r>
      <w:r w:rsidR="00395D84">
        <w:rPr>
          <w:rFonts w:ascii="Times New Roman" w:hAnsi="Times New Roman" w:cs="Times New Roman"/>
          <w:szCs w:val="24"/>
        </w:rPr>
        <w:t xml:space="preserve">UE </w:t>
      </w:r>
      <w:r w:rsidRPr="00AF27CD">
        <w:rPr>
          <w:rFonts w:ascii="Times New Roman" w:hAnsi="Times New Roman" w:cs="Times New Roman"/>
          <w:szCs w:val="24"/>
        </w:rPr>
        <w:t xml:space="preserve">258/2012 mające zastosowanie wyłącznie w przepisach tego rozdziału oraz wymienione zostały informacje, które powinien przedsiębiorca </w:t>
      </w:r>
      <w:r w:rsidR="001200A9" w:rsidRPr="00AF27CD">
        <w:rPr>
          <w:rFonts w:ascii="Times New Roman" w:hAnsi="Times New Roman" w:cs="Times New Roman"/>
          <w:szCs w:val="24"/>
        </w:rPr>
        <w:t xml:space="preserve">– </w:t>
      </w:r>
      <w:r w:rsidRPr="00AF27CD">
        <w:rPr>
          <w:rFonts w:ascii="Times New Roman" w:hAnsi="Times New Roman" w:cs="Times New Roman"/>
          <w:szCs w:val="24"/>
        </w:rPr>
        <w:t>eksporter zamieścić we wniosku o</w:t>
      </w:r>
      <w:r w:rsidR="001200A9">
        <w:rPr>
          <w:rFonts w:ascii="Times New Roman" w:hAnsi="Times New Roman" w:cs="Times New Roman"/>
          <w:szCs w:val="24"/>
        </w:rPr>
        <w:t> </w:t>
      </w:r>
      <w:r w:rsidRPr="00AF27CD">
        <w:rPr>
          <w:rFonts w:ascii="Times New Roman" w:hAnsi="Times New Roman" w:cs="Times New Roman"/>
          <w:szCs w:val="24"/>
        </w:rPr>
        <w:t xml:space="preserve">wydanie zezwolenia na wywóz oraz dokumenty, które przedsiębiorca jest obowiązany załączyć do tego wniosku. Przepisy tego oddziału określają maksymalny czas rozpatrywania wniosku, zgodny z terminami wskazanymi w rozporządzeniu </w:t>
      </w:r>
      <w:r w:rsidR="001200A9">
        <w:rPr>
          <w:rFonts w:ascii="Times New Roman" w:hAnsi="Times New Roman" w:cs="Times New Roman"/>
          <w:szCs w:val="24"/>
        </w:rPr>
        <w:t>UE</w:t>
      </w:r>
      <w:r w:rsidR="00865D33">
        <w:rPr>
          <w:rFonts w:ascii="Times New Roman" w:hAnsi="Times New Roman" w:cs="Times New Roman"/>
          <w:szCs w:val="24"/>
        </w:rPr>
        <w:t xml:space="preserve"> </w:t>
      </w:r>
      <w:r w:rsidRPr="00AF27CD">
        <w:rPr>
          <w:rFonts w:ascii="Times New Roman" w:hAnsi="Times New Roman" w:cs="Times New Roman"/>
          <w:szCs w:val="24"/>
        </w:rPr>
        <w:t xml:space="preserve">258/2012. Minister właściwy do spraw gospodarki, przed wydaniem zezwolenia na wywóz, może wystąpić do ministra właściwego do spraw wewnętrznych, ministra właściwego do spraw zagranicznych, Szefa Agencji Bezpieczeństwa Wewnętrznego oraz Szefa Agencji Wywiadu o wyrażenie opinii odnośnie </w:t>
      </w:r>
      <w:r w:rsidR="001200A9">
        <w:rPr>
          <w:rFonts w:ascii="Times New Roman" w:hAnsi="Times New Roman" w:cs="Times New Roman"/>
          <w:szCs w:val="24"/>
        </w:rPr>
        <w:t xml:space="preserve">do </w:t>
      </w:r>
      <w:r w:rsidRPr="00AF27CD">
        <w:rPr>
          <w:rFonts w:ascii="Times New Roman" w:hAnsi="Times New Roman" w:cs="Times New Roman"/>
          <w:szCs w:val="24"/>
        </w:rPr>
        <w:t>występowania okoliczności uzasadniających odmowę wydania zezwolenia na wywóz.</w:t>
      </w:r>
    </w:p>
    <w:p w:rsidR="00A93E79" w:rsidRPr="00AF27CD" w:rsidRDefault="0032733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Do projektu ustawy wprowadzono dodatkowo przepisy </w:t>
      </w:r>
      <w:r w:rsidR="007315EC" w:rsidRPr="00AF27CD">
        <w:rPr>
          <w:rFonts w:ascii="Times New Roman" w:hAnsi="Times New Roman" w:cs="Times New Roman"/>
          <w:szCs w:val="24"/>
        </w:rPr>
        <w:t>określając</w:t>
      </w:r>
      <w:r w:rsidRPr="00AF27CD">
        <w:rPr>
          <w:rFonts w:ascii="Times New Roman" w:hAnsi="Times New Roman" w:cs="Times New Roman"/>
          <w:szCs w:val="24"/>
        </w:rPr>
        <w:t>e</w:t>
      </w:r>
      <w:r w:rsidR="00395D84">
        <w:rPr>
          <w:rFonts w:ascii="Times New Roman" w:hAnsi="Times New Roman" w:cs="Times New Roman"/>
          <w:szCs w:val="24"/>
        </w:rPr>
        <w:t xml:space="preserve"> środki dot.</w:t>
      </w:r>
      <w:r w:rsidR="00EC6774">
        <w:rPr>
          <w:rFonts w:ascii="Times New Roman" w:hAnsi="Times New Roman" w:cs="Times New Roman"/>
          <w:szCs w:val="24"/>
        </w:rPr>
        <w:t> </w:t>
      </w:r>
      <w:r w:rsidR="007315EC" w:rsidRPr="00AF27CD">
        <w:rPr>
          <w:rFonts w:ascii="Times New Roman" w:hAnsi="Times New Roman" w:cs="Times New Roman"/>
          <w:szCs w:val="24"/>
        </w:rPr>
        <w:t xml:space="preserve">przywozu broni palnej części i istotnych komponentów oraz amunicji do broni palnej spoza obszaru celnego </w:t>
      </w:r>
      <w:r w:rsidR="00865D33">
        <w:rPr>
          <w:rFonts w:ascii="Times New Roman" w:hAnsi="Times New Roman" w:cs="Times New Roman"/>
          <w:szCs w:val="24"/>
        </w:rPr>
        <w:t xml:space="preserve">UE </w:t>
      </w:r>
      <w:r w:rsidR="00BB70BB" w:rsidRPr="00AF27CD">
        <w:rPr>
          <w:rFonts w:ascii="Times New Roman" w:hAnsi="Times New Roman" w:cs="Times New Roman"/>
          <w:szCs w:val="24"/>
        </w:rPr>
        <w:t>(art. 9</w:t>
      </w:r>
      <w:r w:rsidR="004150F3" w:rsidRPr="00AF27CD">
        <w:rPr>
          <w:rFonts w:ascii="Times New Roman" w:hAnsi="Times New Roman" w:cs="Times New Roman"/>
          <w:szCs w:val="24"/>
        </w:rPr>
        <w:t>4</w:t>
      </w:r>
      <w:r w:rsidR="00BB70BB" w:rsidRPr="00AF27CD">
        <w:rPr>
          <w:rFonts w:ascii="Times New Roman" w:hAnsi="Times New Roman" w:cs="Times New Roman"/>
          <w:szCs w:val="24"/>
        </w:rPr>
        <w:t>)</w:t>
      </w:r>
      <w:r w:rsidR="00395D84">
        <w:rPr>
          <w:rFonts w:ascii="Times New Roman" w:hAnsi="Times New Roman" w:cs="Times New Roman"/>
          <w:szCs w:val="24"/>
        </w:rPr>
        <w:t>. Zrezygnowano z</w:t>
      </w:r>
      <w:r w:rsidR="00EC6774">
        <w:rPr>
          <w:rFonts w:ascii="Times New Roman" w:hAnsi="Times New Roman" w:cs="Times New Roman"/>
          <w:szCs w:val="24"/>
        </w:rPr>
        <w:t xml:space="preserve"> </w:t>
      </w:r>
      <w:r w:rsidR="007315EC" w:rsidRPr="00AF27CD">
        <w:rPr>
          <w:rFonts w:ascii="Times New Roman" w:hAnsi="Times New Roman" w:cs="Times New Roman"/>
          <w:szCs w:val="24"/>
        </w:rPr>
        <w:t>obligatoryjnej kontroli przywozu, jednakże na mocy wprowadzonej regulacji minister właściwy do spraw gospodarki</w:t>
      </w:r>
      <w:r w:rsidR="00865D33">
        <w:rPr>
          <w:rFonts w:ascii="Times New Roman" w:hAnsi="Times New Roman" w:cs="Times New Roman"/>
          <w:szCs w:val="24"/>
        </w:rPr>
        <w:t>,</w:t>
      </w:r>
      <w:r w:rsidR="000F4DFD" w:rsidRPr="00AF27CD">
        <w:rPr>
          <w:rFonts w:ascii="Times New Roman" w:hAnsi="Times New Roman" w:cs="Times New Roman"/>
          <w:szCs w:val="24"/>
        </w:rPr>
        <w:t xml:space="preserve"> na wniosek przedsiębiorcy</w:t>
      </w:r>
      <w:r w:rsidR="00865D33">
        <w:rPr>
          <w:rFonts w:ascii="Times New Roman" w:hAnsi="Times New Roman" w:cs="Times New Roman"/>
          <w:szCs w:val="24"/>
        </w:rPr>
        <w:t>,</w:t>
      </w:r>
      <w:r w:rsidR="00422EA7" w:rsidRPr="00AF27CD">
        <w:rPr>
          <w:rFonts w:ascii="Times New Roman" w:hAnsi="Times New Roman" w:cs="Times New Roman"/>
          <w:szCs w:val="24"/>
        </w:rPr>
        <w:t xml:space="preserve"> </w:t>
      </w:r>
      <w:r w:rsidR="007315EC" w:rsidRPr="00AF27CD">
        <w:rPr>
          <w:rFonts w:ascii="Times New Roman" w:hAnsi="Times New Roman" w:cs="Times New Roman"/>
          <w:szCs w:val="24"/>
        </w:rPr>
        <w:t xml:space="preserve">będzie </w:t>
      </w:r>
      <w:r w:rsidR="000F4DFD" w:rsidRPr="00AF27CD">
        <w:rPr>
          <w:rFonts w:ascii="Times New Roman" w:hAnsi="Times New Roman" w:cs="Times New Roman"/>
          <w:szCs w:val="24"/>
        </w:rPr>
        <w:t xml:space="preserve">wydawał certyfikat importowy lub poświadczenia oświadczenia końcowego użytkownika. </w:t>
      </w:r>
      <w:r w:rsidR="007315EC" w:rsidRPr="00AF27CD">
        <w:rPr>
          <w:rFonts w:ascii="Times New Roman" w:hAnsi="Times New Roman" w:cs="Times New Roman"/>
          <w:szCs w:val="24"/>
        </w:rPr>
        <w:t xml:space="preserve">W toku stosowania rozporządzenia </w:t>
      </w:r>
      <w:r w:rsidR="00865D33">
        <w:rPr>
          <w:rFonts w:ascii="Times New Roman" w:hAnsi="Times New Roman" w:cs="Times New Roman"/>
          <w:szCs w:val="24"/>
        </w:rPr>
        <w:t xml:space="preserve">UE </w:t>
      </w:r>
      <w:r w:rsidR="007315EC" w:rsidRPr="00AF27CD">
        <w:rPr>
          <w:rFonts w:ascii="Times New Roman" w:hAnsi="Times New Roman" w:cs="Times New Roman"/>
          <w:szCs w:val="24"/>
        </w:rPr>
        <w:t xml:space="preserve">258/2012 przez organ koncesyjny pojawiły się </w:t>
      </w:r>
      <w:r w:rsidR="00EB5994" w:rsidRPr="00AF27CD">
        <w:rPr>
          <w:rFonts w:ascii="Times New Roman" w:hAnsi="Times New Roman" w:cs="Times New Roman"/>
          <w:szCs w:val="24"/>
        </w:rPr>
        <w:t>informacje</w:t>
      </w:r>
      <w:r w:rsidR="007315EC" w:rsidRPr="00AF27CD">
        <w:rPr>
          <w:rFonts w:ascii="Times New Roman" w:hAnsi="Times New Roman" w:cs="Times New Roman"/>
          <w:szCs w:val="24"/>
        </w:rPr>
        <w:t xml:space="preserve"> ze strony przedsiębiorców o braku regulacji, która pozwalałaby im uzyskać dokument potwierdzający ich wiarygodność jako nabywcy broni palnej, części i istotnych komponentów oraz amunicji do broni palnej, wymagany przez państwo trzecie zbywcy tych towarów. Przedsiębiorcy wyrażali oczekiwanie, iż kwestia powyższa zostanie uregulowana, gdyż brak tej regulacji i </w:t>
      </w:r>
      <w:r w:rsidR="002525E3" w:rsidRPr="00AF27CD">
        <w:rPr>
          <w:rFonts w:ascii="Times New Roman" w:hAnsi="Times New Roman" w:cs="Times New Roman"/>
          <w:szCs w:val="24"/>
        </w:rPr>
        <w:t xml:space="preserve">brak </w:t>
      </w:r>
      <w:r w:rsidR="007315EC" w:rsidRPr="00AF27CD">
        <w:rPr>
          <w:rFonts w:ascii="Times New Roman" w:hAnsi="Times New Roman" w:cs="Times New Roman"/>
          <w:szCs w:val="24"/>
        </w:rPr>
        <w:t>możliwoś</w:t>
      </w:r>
      <w:r w:rsidR="002525E3" w:rsidRPr="00AF27CD">
        <w:rPr>
          <w:rFonts w:ascii="Times New Roman" w:hAnsi="Times New Roman" w:cs="Times New Roman"/>
          <w:szCs w:val="24"/>
        </w:rPr>
        <w:t>ci</w:t>
      </w:r>
      <w:r w:rsidR="007315EC" w:rsidRPr="00AF27CD">
        <w:rPr>
          <w:rFonts w:ascii="Times New Roman" w:hAnsi="Times New Roman" w:cs="Times New Roman"/>
          <w:szCs w:val="24"/>
        </w:rPr>
        <w:t xml:space="preserve"> pozyskania stosownego dokumentu niejednokrotnie blokuje im nabyci</w:t>
      </w:r>
      <w:r w:rsidR="002525E3" w:rsidRPr="00AF27CD">
        <w:rPr>
          <w:rFonts w:ascii="Times New Roman" w:hAnsi="Times New Roman" w:cs="Times New Roman"/>
          <w:szCs w:val="24"/>
        </w:rPr>
        <w:t>e</w:t>
      </w:r>
      <w:r w:rsidR="007315EC" w:rsidRPr="00AF27CD">
        <w:rPr>
          <w:rFonts w:ascii="Times New Roman" w:hAnsi="Times New Roman" w:cs="Times New Roman"/>
          <w:szCs w:val="24"/>
        </w:rPr>
        <w:t xml:space="preserve"> towarów w państwie spoza obszaru celnego UE.</w:t>
      </w:r>
      <w:r w:rsidR="000F4DFD" w:rsidRPr="00AF27CD">
        <w:rPr>
          <w:rFonts w:ascii="Times New Roman" w:hAnsi="Times New Roman" w:cs="Times New Roman"/>
          <w:szCs w:val="24"/>
        </w:rPr>
        <w:t xml:space="preserve"> </w:t>
      </w:r>
      <w:r w:rsidR="0008546A" w:rsidRPr="00AF27CD">
        <w:rPr>
          <w:rFonts w:ascii="Times New Roman" w:hAnsi="Times New Roman" w:cs="Times New Roman"/>
          <w:szCs w:val="24"/>
        </w:rPr>
        <w:t>Organy kontroli obrotu w krajach trzecich nie uznają wydawanych zaświadczeń o aktualności koncesji posiadanej przez polskiego przedsiębiorcę, jej zakresie i wynikającym z niej uprawnieniu do wykonywania działalności na obszarze R</w:t>
      </w:r>
      <w:r w:rsidR="00865D33">
        <w:rPr>
          <w:rFonts w:ascii="Times New Roman" w:hAnsi="Times New Roman" w:cs="Times New Roman"/>
          <w:szCs w:val="24"/>
        </w:rPr>
        <w:t xml:space="preserve">zeczypospolitej </w:t>
      </w:r>
      <w:r w:rsidR="0008546A" w:rsidRPr="00AF27CD">
        <w:rPr>
          <w:rFonts w:ascii="Times New Roman" w:hAnsi="Times New Roman" w:cs="Times New Roman"/>
          <w:szCs w:val="24"/>
        </w:rPr>
        <w:t>P</w:t>
      </w:r>
      <w:r w:rsidR="00865D33">
        <w:rPr>
          <w:rFonts w:ascii="Times New Roman" w:hAnsi="Times New Roman" w:cs="Times New Roman"/>
          <w:szCs w:val="24"/>
        </w:rPr>
        <w:t>olskiej</w:t>
      </w:r>
      <w:r w:rsidR="002525E3" w:rsidRPr="00AF27CD">
        <w:rPr>
          <w:rFonts w:ascii="Times New Roman" w:hAnsi="Times New Roman" w:cs="Times New Roman"/>
          <w:szCs w:val="24"/>
        </w:rPr>
        <w:t>, a żądają konkretnych dokumentów, którymi są: certyfikat importowy</w:t>
      </w:r>
      <w:r w:rsidR="00EB5994" w:rsidRPr="00AF27CD">
        <w:rPr>
          <w:rFonts w:ascii="Times New Roman" w:hAnsi="Times New Roman" w:cs="Times New Roman"/>
          <w:szCs w:val="24"/>
        </w:rPr>
        <w:t xml:space="preserve">, </w:t>
      </w:r>
      <w:r w:rsidR="002525E3" w:rsidRPr="00AF27CD">
        <w:rPr>
          <w:rFonts w:ascii="Times New Roman" w:hAnsi="Times New Roman" w:cs="Times New Roman"/>
          <w:szCs w:val="24"/>
        </w:rPr>
        <w:t xml:space="preserve">poświadczenie </w:t>
      </w:r>
      <w:r w:rsidR="006745EC" w:rsidRPr="00AF27CD">
        <w:rPr>
          <w:rFonts w:ascii="Times New Roman" w:hAnsi="Times New Roman" w:cs="Times New Roman"/>
          <w:szCs w:val="24"/>
        </w:rPr>
        <w:t xml:space="preserve">oświadczenia </w:t>
      </w:r>
      <w:r w:rsidR="00EB5994" w:rsidRPr="00AF27CD">
        <w:rPr>
          <w:rFonts w:ascii="Times New Roman" w:hAnsi="Times New Roman" w:cs="Times New Roman"/>
          <w:szCs w:val="24"/>
        </w:rPr>
        <w:t>końcowego użytkownika oraz certyfikat weryfikacji dostawy.</w:t>
      </w:r>
    </w:p>
    <w:p w:rsidR="00BD4522" w:rsidRPr="00AF27CD" w:rsidRDefault="0062182D"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Rozporządzenie</w:t>
      </w:r>
      <w:r w:rsidR="00865D33">
        <w:rPr>
          <w:rFonts w:ascii="Times New Roman" w:hAnsi="Times New Roman" w:cs="Times New Roman"/>
          <w:szCs w:val="24"/>
        </w:rPr>
        <w:t xml:space="preserve"> UE</w:t>
      </w:r>
      <w:r w:rsidRPr="00AF27CD">
        <w:rPr>
          <w:rFonts w:ascii="Times New Roman" w:hAnsi="Times New Roman" w:cs="Times New Roman"/>
          <w:szCs w:val="24"/>
        </w:rPr>
        <w:t xml:space="preserve"> 258</w:t>
      </w:r>
      <w:r w:rsidR="006875FC" w:rsidRPr="00AF27CD">
        <w:rPr>
          <w:rFonts w:ascii="Times New Roman" w:hAnsi="Times New Roman" w:cs="Times New Roman"/>
          <w:szCs w:val="24"/>
        </w:rPr>
        <w:t>/2012</w:t>
      </w:r>
      <w:r w:rsidRPr="00AF27CD">
        <w:rPr>
          <w:rFonts w:ascii="Times New Roman" w:hAnsi="Times New Roman" w:cs="Times New Roman"/>
          <w:szCs w:val="24"/>
        </w:rPr>
        <w:t xml:space="preserve"> reguluje wyłącznie kwestie związane z procedurą wydawania zezwolenia na wywóz. Licencja na przywóz lub zezwolenie na przywóz są wymienione w art. 8 rozporządzenia bez sprecyzowania</w:t>
      </w:r>
      <w:r w:rsidR="00395D84">
        <w:rPr>
          <w:rFonts w:ascii="Times New Roman" w:hAnsi="Times New Roman" w:cs="Times New Roman"/>
          <w:szCs w:val="24"/>
        </w:rPr>
        <w:t xml:space="preserve"> procedury ich wydawania oraz w</w:t>
      </w:r>
      <w:r w:rsidR="00EC6774">
        <w:rPr>
          <w:rFonts w:ascii="Times New Roman" w:hAnsi="Times New Roman" w:cs="Times New Roman"/>
          <w:szCs w:val="24"/>
        </w:rPr>
        <w:t xml:space="preserve"> </w:t>
      </w:r>
      <w:r w:rsidRPr="00AF27CD">
        <w:rPr>
          <w:rFonts w:ascii="Times New Roman" w:hAnsi="Times New Roman" w:cs="Times New Roman"/>
          <w:szCs w:val="24"/>
        </w:rPr>
        <w:t xml:space="preserve">odniesieniu </w:t>
      </w:r>
      <w:r w:rsidR="005105F9" w:rsidRPr="00AF27CD">
        <w:rPr>
          <w:rFonts w:ascii="Times New Roman" w:hAnsi="Times New Roman" w:cs="Times New Roman"/>
          <w:szCs w:val="24"/>
        </w:rPr>
        <w:t xml:space="preserve">wyłącznie </w:t>
      </w:r>
      <w:r w:rsidRPr="00AF27CD">
        <w:rPr>
          <w:rFonts w:ascii="Times New Roman" w:hAnsi="Times New Roman" w:cs="Times New Roman"/>
          <w:szCs w:val="24"/>
        </w:rPr>
        <w:t>do dokumentów wystawianych przez państwo trzecie przywozu. Dokumenty te mogą być żądane przez kraje trzecie wysyłające broń palną na potwierdzenie wiarygodności i uprawnienia d</w:t>
      </w:r>
      <w:r w:rsidR="00422EA7" w:rsidRPr="00AF27CD">
        <w:rPr>
          <w:rFonts w:ascii="Times New Roman" w:hAnsi="Times New Roman" w:cs="Times New Roman"/>
          <w:szCs w:val="24"/>
        </w:rPr>
        <w:t xml:space="preserve">o obrotu bronią palną odbiorcy – </w:t>
      </w:r>
      <w:r w:rsidRPr="00AF27CD">
        <w:rPr>
          <w:rFonts w:ascii="Times New Roman" w:hAnsi="Times New Roman" w:cs="Times New Roman"/>
          <w:szCs w:val="24"/>
        </w:rPr>
        <w:t xml:space="preserve">przedsiębiorcy polskiego, gdy nie jest wystarczająca np. uwierzytelniona kopia koncesji. </w:t>
      </w:r>
      <w:r w:rsidR="00865D33">
        <w:rPr>
          <w:rFonts w:ascii="Times New Roman" w:hAnsi="Times New Roman" w:cs="Times New Roman"/>
          <w:szCs w:val="24"/>
        </w:rPr>
        <w:t>Dlatego n</w:t>
      </w:r>
      <w:r w:rsidRPr="00AF27CD">
        <w:rPr>
          <w:rFonts w:ascii="Times New Roman" w:hAnsi="Times New Roman" w:cs="Times New Roman"/>
          <w:szCs w:val="24"/>
        </w:rPr>
        <w:t xml:space="preserve">ależy wprowadzić możliwość wydawania takich dokumentów. Są to dokumenty </w:t>
      </w:r>
      <w:r w:rsidR="00BD4522" w:rsidRPr="00AF27CD">
        <w:rPr>
          <w:rFonts w:ascii="Times New Roman" w:hAnsi="Times New Roman" w:cs="Times New Roman"/>
          <w:szCs w:val="24"/>
        </w:rPr>
        <w:t xml:space="preserve">zbieżne z tymi, </w:t>
      </w:r>
      <w:r w:rsidRPr="00AF27CD">
        <w:rPr>
          <w:rFonts w:ascii="Times New Roman" w:hAnsi="Times New Roman" w:cs="Times New Roman"/>
          <w:szCs w:val="24"/>
        </w:rPr>
        <w:t>o których mowa w art. 22 ustawy z dnia 29 listopada 2000 r. o obrocie z zagranicą towarami, technologiami i usługami o znaczeniu strategicznym dla bezpieczeństwa państwa, a także dla utrzy</w:t>
      </w:r>
      <w:r w:rsidR="00395D84">
        <w:rPr>
          <w:rFonts w:ascii="Times New Roman" w:hAnsi="Times New Roman" w:cs="Times New Roman"/>
          <w:szCs w:val="24"/>
        </w:rPr>
        <w:t>mania międzynarodowego pokoju i</w:t>
      </w:r>
      <w:r w:rsidR="00EC6774">
        <w:rPr>
          <w:rFonts w:ascii="Times New Roman" w:hAnsi="Times New Roman" w:cs="Times New Roman"/>
          <w:szCs w:val="24"/>
        </w:rPr>
        <w:t> </w:t>
      </w:r>
      <w:r w:rsidRPr="00AF27CD">
        <w:rPr>
          <w:rFonts w:ascii="Times New Roman" w:hAnsi="Times New Roman" w:cs="Times New Roman"/>
          <w:szCs w:val="24"/>
        </w:rPr>
        <w:t>bezpieczeństwa, dlatego też przepis</w:t>
      </w:r>
      <w:r w:rsidR="00BD4522" w:rsidRPr="00AF27CD">
        <w:rPr>
          <w:rFonts w:ascii="Times New Roman" w:hAnsi="Times New Roman" w:cs="Times New Roman"/>
          <w:szCs w:val="24"/>
        </w:rPr>
        <w:t>y</w:t>
      </w:r>
      <w:r w:rsidRPr="00AF27CD">
        <w:rPr>
          <w:rFonts w:ascii="Times New Roman" w:hAnsi="Times New Roman" w:cs="Times New Roman"/>
          <w:szCs w:val="24"/>
        </w:rPr>
        <w:t xml:space="preserve"> art. 9</w:t>
      </w:r>
      <w:r w:rsidR="005105F9" w:rsidRPr="00AF27CD">
        <w:rPr>
          <w:rFonts w:ascii="Times New Roman" w:hAnsi="Times New Roman" w:cs="Times New Roman"/>
          <w:szCs w:val="24"/>
        </w:rPr>
        <w:t>3</w:t>
      </w:r>
      <w:r w:rsidR="00422EA7" w:rsidRPr="00AF27CD">
        <w:rPr>
          <w:rFonts w:ascii="Times New Roman" w:hAnsi="Times New Roman" w:cs="Times New Roman"/>
          <w:szCs w:val="24"/>
        </w:rPr>
        <w:t>–</w:t>
      </w:r>
      <w:r w:rsidR="00087FA3" w:rsidRPr="00AF27CD">
        <w:rPr>
          <w:rFonts w:ascii="Times New Roman" w:hAnsi="Times New Roman" w:cs="Times New Roman"/>
          <w:szCs w:val="24"/>
        </w:rPr>
        <w:t>10</w:t>
      </w:r>
      <w:r w:rsidR="00EB5994" w:rsidRPr="00AF27CD">
        <w:rPr>
          <w:rFonts w:ascii="Times New Roman" w:hAnsi="Times New Roman" w:cs="Times New Roman"/>
          <w:szCs w:val="24"/>
        </w:rPr>
        <w:t>1</w:t>
      </w:r>
      <w:r w:rsidR="00BD4522" w:rsidRPr="00AF27CD">
        <w:rPr>
          <w:rFonts w:ascii="Times New Roman" w:hAnsi="Times New Roman" w:cs="Times New Roman"/>
          <w:szCs w:val="24"/>
        </w:rPr>
        <w:t xml:space="preserve"> zostały skonstruowane podobnie, jak w tej ustawie.</w:t>
      </w:r>
    </w:p>
    <w:p w:rsidR="00A93E79" w:rsidRPr="00AF27CD" w:rsidRDefault="00865D33" w:rsidP="00865D33">
      <w:pPr>
        <w:pStyle w:val="ROZDZODDZPRZEDMprzedmiotregulacjirozdziauluboddziau"/>
        <w:tabs>
          <w:tab w:val="left" w:pos="426"/>
        </w:tabs>
        <w:jc w:val="both"/>
        <w:rPr>
          <w:rFonts w:ascii="Times New Roman" w:hAnsi="Times New Roman"/>
        </w:rPr>
      </w:pPr>
      <w:r>
        <w:rPr>
          <w:rFonts w:ascii="Times New Roman" w:hAnsi="Times New Roman"/>
        </w:rPr>
        <w:t>6.</w:t>
      </w:r>
      <w:r>
        <w:rPr>
          <w:rFonts w:ascii="Times New Roman" w:hAnsi="Times New Roman"/>
        </w:rPr>
        <w:tab/>
      </w:r>
      <w:r w:rsidR="00422EA7" w:rsidRPr="00AF27CD">
        <w:rPr>
          <w:rFonts w:ascii="Times New Roman" w:hAnsi="Times New Roman"/>
        </w:rPr>
        <w:t>Dział IV –</w:t>
      </w:r>
      <w:r w:rsidR="00A93E79" w:rsidRPr="00AF27CD">
        <w:rPr>
          <w:rFonts w:ascii="Times New Roman" w:hAnsi="Times New Roman"/>
        </w:rPr>
        <w:t xml:space="preserve"> </w:t>
      </w:r>
      <w:r w:rsidR="00BD4522" w:rsidRPr="00AF27CD">
        <w:rPr>
          <w:rFonts w:ascii="Times New Roman" w:hAnsi="Times New Roman"/>
        </w:rPr>
        <w:t>System</w:t>
      </w:r>
      <w:r w:rsidR="00A93E79" w:rsidRPr="00AF27CD">
        <w:rPr>
          <w:rFonts w:ascii="Times New Roman" w:hAnsi="Times New Roman"/>
        </w:rPr>
        <w:t xml:space="preserve"> Rejestracji Broni (SRB) – art. </w:t>
      </w:r>
      <w:r w:rsidR="004150F3" w:rsidRPr="00AF27CD">
        <w:rPr>
          <w:rFonts w:ascii="Times New Roman" w:hAnsi="Times New Roman"/>
        </w:rPr>
        <w:t>10</w:t>
      </w:r>
      <w:r w:rsidR="00EB5994" w:rsidRPr="00AF27CD">
        <w:rPr>
          <w:rFonts w:ascii="Times New Roman" w:hAnsi="Times New Roman"/>
        </w:rPr>
        <w:t>2</w:t>
      </w:r>
      <w:r w:rsidR="00422EA7" w:rsidRPr="00AF27CD">
        <w:rPr>
          <w:rFonts w:ascii="Times New Roman" w:hAnsi="Times New Roman"/>
        </w:rPr>
        <w:t>–</w:t>
      </w:r>
      <w:r w:rsidR="00A93E79" w:rsidRPr="00AF27CD">
        <w:rPr>
          <w:rFonts w:ascii="Times New Roman" w:hAnsi="Times New Roman"/>
        </w:rPr>
        <w:t>1</w:t>
      </w:r>
      <w:r w:rsidR="004150F3" w:rsidRPr="00AF27CD">
        <w:rPr>
          <w:rFonts w:ascii="Times New Roman" w:hAnsi="Times New Roman"/>
        </w:rPr>
        <w:t>2</w:t>
      </w:r>
      <w:r w:rsidR="00EB5994" w:rsidRPr="00AF27CD">
        <w:rPr>
          <w:rFonts w:ascii="Times New Roman" w:hAnsi="Times New Roman"/>
        </w:rPr>
        <w:t>1</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Przepisy tego Działu wynikają wprost z przepisów prawa europejskiego – dyrektywy 91/477/EWG (ze zmianami). Na potrzeby uzasadnienia </w:t>
      </w:r>
      <w:r w:rsidR="00BB70BB" w:rsidRPr="00AF27CD">
        <w:rPr>
          <w:rFonts w:ascii="Times New Roman" w:hAnsi="Times New Roman" w:cs="Times New Roman"/>
          <w:szCs w:val="24"/>
        </w:rPr>
        <w:t xml:space="preserve">projektu </w:t>
      </w:r>
      <w:r w:rsidRPr="00AF27CD">
        <w:rPr>
          <w:rFonts w:ascii="Times New Roman" w:hAnsi="Times New Roman" w:cs="Times New Roman"/>
          <w:szCs w:val="24"/>
        </w:rPr>
        <w:t xml:space="preserve">ustawy przygotowano przedstawiony poniżej wyciąg z ujednoliconych przepisów dyrektywy, obejmujący również tekst nowej dyrektywy </w:t>
      </w:r>
      <w:r w:rsidR="00F0061F" w:rsidRPr="00AF27CD">
        <w:rPr>
          <w:rFonts w:ascii="Times New Roman" w:hAnsi="Times New Roman" w:cs="Times New Roman"/>
          <w:szCs w:val="24"/>
        </w:rPr>
        <w:t>2017/853</w:t>
      </w:r>
      <w:r w:rsidRPr="00AF27CD">
        <w:rPr>
          <w:rFonts w:ascii="Times New Roman" w:hAnsi="Times New Roman" w:cs="Times New Roman"/>
          <w:szCs w:val="24"/>
        </w:rPr>
        <w:t>, odnoszących się bezpośrednio do systemu rejestracji broni:</w:t>
      </w:r>
    </w:p>
    <w:p w:rsidR="00A93E79" w:rsidRPr="00AF27CD" w:rsidRDefault="00A93E79" w:rsidP="00422EA7">
      <w:pPr>
        <w:shd w:val="clear" w:color="auto" w:fill="FFFFFF"/>
        <w:autoSpaceDE w:val="0"/>
        <w:autoSpaceDN w:val="0"/>
        <w:adjustRightInd w:val="0"/>
        <w:spacing w:before="120" w:line="360" w:lineRule="auto"/>
        <w:jc w:val="both"/>
        <w:rPr>
          <w:bCs/>
          <w:i/>
          <w:iCs/>
        </w:rPr>
      </w:pPr>
      <w:r w:rsidRPr="00AF27CD">
        <w:rPr>
          <w:b/>
        </w:rPr>
        <w:t>Ujednolicone motywy</w:t>
      </w:r>
      <w:r w:rsidR="00422EA7" w:rsidRPr="00AF27CD">
        <w:rPr>
          <w:i/>
        </w:rPr>
        <w:t xml:space="preserve"> –</w:t>
      </w:r>
      <w:r w:rsidRPr="00AF27CD">
        <w:rPr>
          <w:i/>
        </w:rPr>
        <w:t xml:space="preserve"> </w:t>
      </w:r>
      <w:r w:rsidR="001200A9">
        <w:rPr>
          <w:i/>
        </w:rPr>
        <w:t>d</w:t>
      </w:r>
      <w:r w:rsidRPr="00AF27CD">
        <w:rPr>
          <w:i/>
        </w:rPr>
        <w:t>yrektywa Rady 91/477/EWG wprowadziła środek wspomagający tworzenie rynku wewnętrznego. Wpro</w:t>
      </w:r>
      <w:r w:rsidR="00395D84">
        <w:rPr>
          <w:i/>
        </w:rPr>
        <w:t>wadziła ona równowagę między, z</w:t>
      </w:r>
      <w:r w:rsidR="00EC6774">
        <w:rPr>
          <w:i/>
        </w:rPr>
        <w:t> </w:t>
      </w:r>
      <w:r w:rsidRPr="00AF27CD">
        <w:rPr>
          <w:i/>
        </w:rPr>
        <w:t>jednej strony, zobowiązaniem do zagwaran</w:t>
      </w:r>
      <w:r w:rsidR="00395D84">
        <w:rPr>
          <w:i/>
        </w:rPr>
        <w:t>towania pewnej swobody obrotu w</w:t>
      </w:r>
      <w:r w:rsidR="00EC6774">
        <w:rPr>
          <w:i/>
        </w:rPr>
        <w:t> </w:t>
      </w:r>
      <w:r w:rsidRPr="00AF27CD">
        <w:rPr>
          <w:i/>
        </w:rPr>
        <w:t xml:space="preserve">odniesieniu do określonej broni palnej i jej istotnych komponentów na terytorium Unii, a z drugiej strony – koniecznością kontroli tej swobody </w:t>
      </w:r>
      <w:r w:rsidR="00413B1C" w:rsidRPr="00AF27CD">
        <w:rPr>
          <w:i/>
        </w:rPr>
        <w:t>przez</w:t>
      </w:r>
      <w:r w:rsidRPr="00AF27CD">
        <w:rPr>
          <w:i/>
        </w:rPr>
        <w:t xml:space="preserve"> niektóre zabezpieczenia o charakterze ochronnym, przewidziane dla tego typu produktów.</w:t>
      </w:r>
      <w:r w:rsidR="00422EA7" w:rsidRPr="00AF27CD">
        <w:rPr>
          <w:i/>
        </w:rPr>
        <w:t xml:space="preserve"> </w:t>
      </w:r>
    </w:p>
    <w:p w:rsidR="00A93E79" w:rsidRPr="00AF27CD" w:rsidRDefault="00A93E79" w:rsidP="00422EA7">
      <w:pPr>
        <w:shd w:val="clear" w:color="auto" w:fill="FFFFFF"/>
        <w:tabs>
          <w:tab w:val="left" w:pos="567"/>
        </w:tabs>
        <w:autoSpaceDE w:val="0"/>
        <w:autoSpaceDN w:val="0"/>
        <w:adjustRightInd w:val="0"/>
        <w:spacing w:before="120" w:line="360" w:lineRule="auto"/>
        <w:jc w:val="both"/>
        <w:rPr>
          <w:bCs/>
          <w:i/>
          <w:iCs/>
        </w:rPr>
      </w:pPr>
      <w:r w:rsidRPr="00AF27CD">
        <w:rPr>
          <w:bCs/>
          <w:i/>
          <w:iCs/>
        </w:rPr>
        <w:t>Aby zwiększyć możliwość śledzenia wszelkiej broni palnej oraz istotnych komponentów, a także ułatwić ich swobodny przepływ, wszystkie istotne komponenty broni palnej powinny być oznaczone czytelnym, stałym i</w:t>
      </w:r>
      <w:r w:rsidR="00395D84">
        <w:rPr>
          <w:bCs/>
          <w:i/>
          <w:iCs/>
        </w:rPr>
        <w:t xml:space="preserve"> niepowtarzalnym oznakowaniem i</w:t>
      </w:r>
      <w:r w:rsidR="00EC6774">
        <w:rPr>
          <w:bCs/>
          <w:i/>
          <w:iCs/>
        </w:rPr>
        <w:t> </w:t>
      </w:r>
      <w:r w:rsidRPr="00AF27CD">
        <w:rPr>
          <w:bCs/>
          <w:i/>
          <w:iCs/>
        </w:rPr>
        <w:t xml:space="preserve">zarejestrowane w systemach rejestracji danych w państwach członkowskich. Dokumentacja przechowywana w systemach rejestrowania danych powinna zawierać wszystkie informacje umożliwiające powiązanie broni palnej z jej właścicielem </w:t>
      </w:r>
      <w:r w:rsidR="00395D84">
        <w:rPr>
          <w:bCs/>
          <w:i/>
          <w:iCs/>
        </w:rPr>
        <w:t>i</w:t>
      </w:r>
      <w:r w:rsidR="00EC6774">
        <w:rPr>
          <w:bCs/>
          <w:i/>
          <w:iCs/>
        </w:rPr>
        <w:t> </w:t>
      </w:r>
      <w:r w:rsidRPr="00AF27CD">
        <w:rPr>
          <w:bCs/>
          <w:i/>
          <w:iCs/>
        </w:rPr>
        <w:t>powinna obejmować nazwę producenta lub markę, kraj lub miejsce wytworzenia, typ, markę, model, numer seryjny broni palnej lub wszelkie niepowtarzalne oznakowanie umieszczone na szkielecie lub komorze zamkowej broni palnej. Istotne elementy inne niż szkielet lub komora zamkowa należy rejestrować w</w:t>
      </w:r>
      <w:r w:rsidR="00395D84">
        <w:rPr>
          <w:bCs/>
          <w:i/>
          <w:iCs/>
        </w:rPr>
        <w:t xml:space="preserve"> systemach rejestracji danych w</w:t>
      </w:r>
      <w:r w:rsidR="00EC6774">
        <w:rPr>
          <w:bCs/>
          <w:i/>
          <w:iCs/>
        </w:rPr>
        <w:t> </w:t>
      </w:r>
      <w:r w:rsidRPr="00AF27CD">
        <w:rPr>
          <w:bCs/>
          <w:i/>
          <w:iCs/>
        </w:rPr>
        <w:t>zapisach odnoszących się do broni palnej, na której mają być one zamontowane.</w:t>
      </w:r>
    </w:p>
    <w:p w:rsidR="00A93E79" w:rsidRPr="00AF27CD" w:rsidRDefault="00A93E79" w:rsidP="00422EA7">
      <w:pPr>
        <w:shd w:val="clear" w:color="auto" w:fill="FFFFFF"/>
        <w:tabs>
          <w:tab w:val="left" w:pos="567"/>
        </w:tabs>
        <w:autoSpaceDE w:val="0"/>
        <w:autoSpaceDN w:val="0"/>
        <w:adjustRightInd w:val="0"/>
        <w:spacing w:before="120" w:line="360" w:lineRule="auto"/>
        <w:jc w:val="both"/>
        <w:rPr>
          <w:b/>
        </w:rPr>
      </w:pPr>
      <w:r w:rsidRPr="00AF27CD">
        <w:rPr>
          <w:i/>
        </w:rPr>
        <w:t>Aby zapobiec łatwemu usuwaniu oznaczeń broni palnej oraz sprecyzować, na których elementach takie oznaczenia powinny być umieszczane, należy przyjąć wspólne przepisy UE dotyczące oznakowania. Ze względu na niebezpieczny charakter i trwałość broni palnej i jej istotnych komponentów, w celu zapewnienia, aby właściwe organy miały możliwość śledzenia broni palnej do celów postępowań administracyjnych i karnych oraz w świetle krajowego prawa procesowego, ni</w:t>
      </w:r>
      <w:r w:rsidR="00395D84">
        <w:rPr>
          <w:i/>
        </w:rPr>
        <w:t>ezbędne jest, by dokumentacja w</w:t>
      </w:r>
      <w:r w:rsidR="00EC6774">
        <w:rPr>
          <w:i/>
        </w:rPr>
        <w:t> </w:t>
      </w:r>
      <w:r w:rsidRPr="00AF27CD">
        <w:rPr>
          <w:i/>
        </w:rPr>
        <w:t>systemie rejestracji danych była przechowywana przez okres 30 lat po zniszczeniu broni palnej i jej istotnych komponentów. Dostęp do tej dokumentacji i wszystkich powiązanych danych osobowych powinien być ogra</w:t>
      </w:r>
      <w:r w:rsidR="00395D84">
        <w:rPr>
          <w:i/>
        </w:rPr>
        <w:t>niczony do właściwych organów i</w:t>
      </w:r>
      <w:r w:rsidR="00EC6774">
        <w:rPr>
          <w:i/>
        </w:rPr>
        <w:t> </w:t>
      </w:r>
      <w:r w:rsidRPr="00AF27CD">
        <w:rPr>
          <w:i/>
        </w:rPr>
        <w:t xml:space="preserve">dozwolony do celów wydawania lub cofania pozwoleń, w tym ewentualnego nakładania kar administracyjnych, tylko w ciągu maksymalnie 10 lat po zniszczeniu danej broni palnej i nie dłużej niż 30 </w:t>
      </w:r>
      <w:r w:rsidR="001200A9">
        <w:rPr>
          <w:i/>
        </w:rPr>
        <w:t>lat po zniszczeniu, w przypadku</w:t>
      </w:r>
      <w:r w:rsidRPr="00AF27CD">
        <w:rPr>
          <w:i/>
        </w:rPr>
        <w:t xml:space="preserve"> gdy dostęp taki jest konieczny</w:t>
      </w:r>
      <w:r w:rsidR="00422EA7" w:rsidRPr="00AF27CD">
        <w:rPr>
          <w:i/>
        </w:rPr>
        <w:t xml:space="preserve"> </w:t>
      </w:r>
      <w:r w:rsidRPr="00AF27CD">
        <w:rPr>
          <w:i/>
        </w:rPr>
        <w:t>w celu egzekwowania prawa karnego.</w:t>
      </w:r>
      <w:r w:rsidR="00422EA7" w:rsidRPr="00AF27CD">
        <w:rPr>
          <w:i/>
        </w:rPr>
        <w:t xml:space="preserve"> </w:t>
      </w:r>
      <w:r w:rsidRPr="00AF27CD">
        <w:rPr>
          <w:i/>
        </w:rPr>
        <w:t xml:space="preserve">Dla skutecznego funkcjonowania systemu rejestracji danych ważna jest skuteczna wymiana informacji pomiędzy sprzedawcami i pośrednikami a właściwymi organami. </w:t>
      </w:r>
      <w:r w:rsidR="001200A9">
        <w:rPr>
          <w:i/>
        </w:rPr>
        <w:t>Sprzedawcy i pośrednicy powinni</w:t>
      </w:r>
      <w:r w:rsidRPr="00AF27CD">
        <w:rPr>
          <w:i/>
        </w:rPr>
        <w:t xml:space="preserve"> zatem przedstawiać informacje właściwym organom bez zbędnej zwłoki. Aby to ułatwić, właściwe organy krajowe powinny ustanowić połączenia elektroniczne dla sprzedawców i pośredników, co może obejmować przedłożenie pocztą elektroniczną lub bezpośrednio za pośrednictwem bazy danych lub innego rejestru.</w:t>
      </w:r>
    </w:p>
    <w:p w:rsidR="00A93E79" w:rsidRPr="00AF27CD" w:rsidRDefault="00A93E79" w:rsidP="00422EA7">
      <w:pPr>
        <w:shd w:val="clear" w:color="auto" w:fill="FFFFFF"/>
        <w:tabs>
          <w:tab w:val="left" w:pos="567"/>
        </w:tabs>
        <w:autoSpaceDE w:val="0"/>
        <w:autoSpaceDN w:val="0"/>
        <w:adjustRightInd w:val="0"/>
        <w:spacing w:before="120" w:line="360" w:lineRule="auto"/>
        <w:jc w:val="both"/>
        <w:rPr>
          <w:i/>
        </w:rPr>
      </w:pPr>
      <w:r w:rsidRPr="00AF27CD">
        <w:rPr>
          <w:b/>
          <w:bCs/>
          <w:iCs/>
        </w:rPr>
        <w:t>Ujednolicone</w:t>
      </w:r>
      <w:r w:rsidR="00422EA7" w:rsidRPr="00AF27CD">
        <w:rPr>
          <w:b/>
        </w:rPr>
        <w:t xml:space="preserve"> przepisy –</w:t>
      </w:r>
      <w:r w:rsidRPr="00AF27CD">
        <w:rPr>
          <w:b/>
        </w:rPr>
        <w:t xml:space="preserve"> art. 4.</w:t>
      </w:r>
      <w:r w:rsidR="00422EA7" w:rsidRPr="00AF27CD">
        <w:t xml:space="preserve"> </w:t>
      </w:r>
      <w:r w:rsidRPr="00AF27CD">
        <w:rPr>
          <w:i/>
        </w:rPr>
        <w:t xml:space="preserve">Państwa członkowskie zapewniają utworzenie najpóźniej do dnia 31 grudnia 2014 r. i prowadzenie skomputeryzowanego, scentralizowanego lub zdecentralizowanego systemu rejestracji danych, gwarantującego upoważnionym organom dostęp do systemów rejestracji danych obejmujących każdą sztukę broni palnej objętej niniejszą dyrektywą. </w:t>
      </w:r>
    </w:p>
    <w:p w:rsidR="00A93E79" w:rsidRPr="00AF27CD" w:rsidRDefault="00A93E79" w:rsidP="00422EA7">
      <w:pPr>
        <w:shd w:val="clear" w:color="auto" w:fill="FFFFFF"/>
        <w:autoSpaceDE w:val="0"/>
        <w:autoSpaceDN w:val="0"/>
        <w:adjustRightInd w:val="0"/>
        <w:spacing w:before="120" w:line="360" w:lineRule="auto"/>
        <w:jc w:val="both"/>
        <w:rPr>
          <w:i/>
        </w:rPr>
      </w:pPr>
      <w:r w:rsidRPr="00AF27CD">
        <w:rPr>
          <w:i/>
        </w:rPr>
        <w:t xml:space="preserve">W takim systemie rejestracji danych zapisuje się wszystkie informacje dotyczące broni palnej konieczne w celu śledzenia i identyfikacji tej broni palnej, w tym: </w:t>
      </w:r>
    </w:p>
    <w:p w:rsidR="00A93E79" w:rsidRPr="00AF27CD" w:rsidRDefault="00A93E79" w:rsidP="00395D84">
      <w:pPr>
        <w:pStyle w:val="Text1"/>
        <w:numPr>
          <w:ilvl w:val="0"/>
          <w:numId w:val="29"/>
        </w:numPr>
        <w:spacing w:before="0" w:after="0"/>
        <w:ind w:left="426" w:hanging="426"/>
        <w:jc w:val="both"/>
        <w:rPr>
          <w:i/>
          <w:szCs w:val="24"/>
        </w:rPr>
      </w:pPr>
      <w:r w:rsidRPr="00AF27CD">
        <w:rPr>
          <w:i/>
          <w:szCs w:val="24"/>
        </w:rPr>
        <w:t>typ, markę, model, kaliber i numer seryjny każdej sztuki broni palnej oraz oznakowanie umieszczone na szkielecie lub komorze zamkowej, jako niepowtarzalne oznakowanie (…), które służy, jako niepowtarzalny identyfikator każdej sztuki broni palnej,</w:t>
      </w:r>
    </w:p>
    <w:p w:rsidR="00A93E79" w:rsidRPr="00AF27CD" w:rsidRDefault="00A93E79" w:rsidP="00395D84">
      <w:pPr>
        <w:pStyle w:val="Text1"/>
        <w:numPr>
          <w:ilvl w:val="0"/>
          <w:numId w:val="29"/>
        </w:numPr>
        <w:spacing w:before="0" w:after="0"/>
        <w:ind w:left="426" w:hanging="426"/>
        <w:jc w:val="both"/>
        <w:rPr>
          <w:i/>
          <w:szCs w:val="24"/>
        </w:rPr>
      </w:pPr>
      <w:r w:rsidRPr="00AF27CD">
        <w:rPr>
          <w:i/>
          <w:szCs w:val="24"/>
        </w:rPr>
        <w:t>numer seryjny lub niepowtarzalne oznakowanie umieszczone na istotnych komponentach, jeżeli różnią się od oznakowania na szkielecie lub komorze zamkowej każdej sztuki broni palnej,</w:t>
      </w:r>
    </w:p>
    <w:p w:rsidR="00A93E79" w:rsidRPr="00AF27CD" w:rsidRDefault="00A93E79" w:rsidP="00395D84">
      <w:pPr>
        <w:pStyle w:val="Text1"/>
        <w:numPr>
          <w:ilvl w:val="0"/>
          <w:numId w:val="29"/>
        </w:numPr>
        <w:spacing w:before="0" w:after="0"/>
        <w:ind w:left="426" w:hanging="426"/>
        <w:jc w:val="both"/>
        <w:rPr>
          <w:i/>
          <w:strike/>
          <w:szCs w:val="24"/>
        </w:rPr>
      </w:pPr>
      <w:r w:rsidRPr="00AF27CD">
        <w:rPr>
          <w:i/>
          <w:szCs w:val="24"/>
        </w:rPr>
        <w:t>nazwy (nazwiska) i adresy dostawców oraz osób nabywających lub posiadających broń palną oraz odpowiednie daty,</w:t>
      </w:r>
    </w:p>
    <w:p w:rsidR="00A93E79" w:rsidRPr="00AF27CD" w:rsidRDefault="00A93E79" w:rsidP="00395D84">
      <w:pPr>
        <w:pStyle w:val="Text1"/>
        <w:numPr>
          <w:ilvl w:val="0"/>
          <w:numId w:val="29"/>
        </w:numPr>
        <w:spacing w:before="0" w:after="0"/>
        <w:ind w:left="426" w:hanging="426"/>
        <w:jc w:val="both"/>
        <w:rPr>
          <w:bCs/>
          <w:i/>
          <w:iCs/>
          <w:szCs w:val="24"/>
        </w:rPr>
      </w:pPr>
      <w:r w:rsidRPr="00AF27CD">
        <w:rPr>
          <w:i/>
          <w:szCs w:val="24"/>
        </w:rPr>
        <w:t>wszelkie przeróbki lub modyfikacje broni palnej powodujące zmianę jej kategorii lub podkategorii, w tym autoryzowane pozbawienie cech użytkowych lub zniszczenie broni palnej oraz ich daty.</w:t>
      </w:r>
    </w:p>
    <w:p w:rsidR="00A93E79" w:rsidRPr="00AF27CD" w:rsidRDefault="00A93E79" w:rsidP="00422EA7">
      <w:pPr>
        <w:shd w:val="clear" w:color="auto" w:fill="FFFFFF"/>
        <w:autoSpaceDE w:val="0"/>
        <w:autoSpaceDN w:val="0"/>
        <w:adjustRightInd w:val="0"/>
        <w:spacing w:before="120" w:line="360" w:lineRule="auto"/>
        <w:jc w:val="both"/>
        <w:rPr>
          <w:i/>
        </w:rPr>
      </w:pPr>
      <w:r w:rsidRPr="00AF27CD">
        <w:rPr>
          <w:i/>
        </w:rPr>
        <w:t xml:space="preserve">Państwa członkowskie zapewniają, że dane dotyczące broni palnej i istotnych komponentów, w tym związanych z nim danych </w:t>
      </w:r>
      <w:r w:rsidR="00395D84">
        <w:rPr>
          <w:i/>
        </w:rPr>
        <w:t>osobowych, będą przechowywane w</w:t>
      </w:r>
      <w:r w:rsidR="00EC6774">
        <w:rPr>
          <w:i/>
        </w:rPr>
        <w:t> </w:t>
      </w:r>
      <w:r w:rsidRPr="00AF27CD">
        <w:rPr>
          <w:i/>
        </w:rPr>
        <w:t>systemach zbiorów danych przez organy właściwe, przez okres 30 lat po zniszczeniu broni palnej lub zasadniczych elementów, o których mow</w:t>
      </w:r>
      <w:r w:rsidR="00395D84">
        <w:rPr>
          <w:i/>
        </w:rPr>
        <w:t>a. Dostęp do tej dokumentacji i</w:t>
      </w:r>
      <w:r w:rsidR="00EC6774">
        <w:rPr>
          <w:i/>
        </w:rPr>
        <w:t> </w:t>
      </w:r>
      <w:r w:rsidRPr="00AF27CD">
        <w:rPr>
          <w:i/>
        </w:rPr>
        <w:t xml:space="preserve">powiązanych danych osobowych mają: </w:t>
      </w:r>
    </w:p>
    <w:p w:rsidR="00A93E79" w:rsidRPr="00AF27CD" w:rsidRDefault="00395D84" w:rsidP="00395D84">
      <w:pPr>
        <w:pStyle w:val="Text1"/>
        <w:tabs>
          <w:tab w:val="left" w:pos="2552"/>
        </w:tabs>
        <w:spacing w:before="0" w:after="0"/>
        <w:ind w:left="426" w:hanging="426"/>
        <w:jc w:val="both"/>
        <w:rPr>
          <w:i/>
          <w:szCs w:val="24"/>
        </w:rPr>
      </w:pPr>
      <w:r>
        <w:rPr>
          <w:i/>
          <w:szCs w:val="24"/>
        </w:rPr>
        <w:t>a)</w:t>
      </w:r>
      <w:r>
        <w:rPr>
          <w:i/>
          <w:szCs w:val="24"/>
        </w:rPr>
        <w:tab/>
      </w:r>
      <w:r w:rsidR="00A93E79" w:rsidRPr="00AF27CD">
        <w:rPr>
          <w:i/>
          <w:szCs w:val="24"/>
        </w:rPr>
        <w:t>organy właściwe do celów udzielenia lub cofnięcia pozwoleń, (…) lub o</w:t>
      </w:r>
      <w:r w:rsidR="001200A9">
        <w:rPr>
          <w:i/>
          <w:szCs w:val="24"/>
        </w:rPr>
        <w:t>r</w:t>
      </w:r>
      <w:r w:rsidR="00A93E79" w:rsidRPr="00AF27CD">
        <w:rPr>
          <w:i/>
          <w:szCs w:val="24"/>
        </w:rPr>
        <w:t>gany właściwe do prowadzenia postępowania celnego do 10 lat po zniszczeniu broni palnej lub istotnych komponentów, oraz</w:t>
      </w:r>
    </w:p>
    <w:p w:rsidR="00A93E79" w:rsidRPr="00AF27CD" w:rsidRDefault="00471B4C" w:rsidP="00395D84">
      <w:pPr>
        <w:pStyle w:val="Text1"/>
        <w:tabs>
          <w:tab w:val="left" w:pos="567"/>
          <w:tab w:val="left" w:pos="2552"/>
        </w:tabs>
        <w:spacing w:before="0" w:after="0"/>
        <w:ind w:left="426" w:hanging="426"/>
        <w:jc w:val="both"/>
        <w:rPr>
          <w:i/>
          <w:szCs w:val="24"/>
        </w:rPr>
      </w:pPr>
      <w:r w:rsidRPr="00AF27CD">
        <w:rPr>
          <w:i/>
          <w:szCs w:val="24"/>
        </w:rPr>
        <w:t>b)</w:t>
      </w:r>
      <w:r w:rsidRPr="00AF27CD">
        <w:rPr>
          <w:i/>
          <w:szCs w:val="24"/>
        </w:rPr>
        <w:tab/>
      </w:r>
      <w:r w:rsidR="00A93E79" w:rsidRPr="00AF27CD">
        <w:rPr>
          <w:i/>
          <w:szCs w:val="24"/>
        </w:rPr>
        <w:t xml:space="preserve">organy właściwe do celów zapobiegania przestępczości, prowadzenia postępowań przygotowawczych, wykrywania i ścigania czynów zabronionych i wykonywania kar do 30 lat po zniszczeniu broni palnej lub istotnych komponentów. </w:t>
      </w:r>
    </w:p>
    <w:p w:rsidR="00A93E79" w:rsidRPr="00AF27CD" w:rsidRDefault="00A93E79" w:rsidP="00422EA7">
      <w:pPr>
        <w:shd w:val="clear" w:color="auto" w:fill="FFFFFF"/>
        <w:autoSpaceDE w:val="0"/>
        <w:autoSpaceDN w:val="0"/>
        <w:adjustRightInd w:val="0"/>
        <w:spacing w:before="120" w:line="360" w:lineRule="auto"/>
        <w:jc w:val="both"/>
        <w:rPr>
          <w:i/>
        </w:rPr>
      </w:pPr>
      <w:r w:rsidRPr="00AF27CD">
        <w:rPr>
          <w:i/>
        </w:rPr>
        <w:t xml:space="preserve">Państwa członkowskie zapewniają, </w:t>
      </w:r>
      <w:r w:rsidR="001200A9">
        <w:rPr>
          <w:i/>
        </w:rPr>
        <w:t>że</w:t>
      </w:r>
      <w:r w:rsidRPr="00AF27CD">
        <w:rPr>
          <w:i/>
        </w:rPr>
        <w:t xml:space="preserve"> dane osobowe są usuwane z systemu rejestracji danych po upływie okresów określonych w powyższym ustępie. Powyższe pozostaje bez uszczerbku dla przypadków, gdy konkretne dane osobowe zostały przekazane organowi właściwemu do celów zapobiegania przestępczości, prowadzenia postępowań przygotowawczych, wykrywania i ścigania czynów zabronionych i wykonywania kar i są wykorzystywane w związku z tymi czynnościami, lub innym organom w podobnym celu przewidzianym w prawie krajowym. W takich przypadkach przetwarzanie tych danych przez właściwe organy reguluje prawo krajowe państw członkowskich, z zachowaniem pełnej zgodności z prawem Unii, w szczególności przepi</w:t>
      </w:r>
      <w:r w:rsidR="001200A9">
        <w:rPr>
          <w:i/>
        </w:rPr>
        <w:t>sów dotyczących ochrony danych.</w:t>
      </w:r>
    </w:p>
    <w:p w:rsidR="00A93E79" w:rsidRPr="00AF27CD" w:rsidRDefault="00A93E79" w:rsidP="00422EA7">
      <w:pPr>
        <w:shd w:val="clear" w:color="auto" w:fill="FFFFFF"/>
        <w:tabs>
          <w:tab w:val="left" w:pos="567"/>
        </w:tabs>
        <w:autoSpaceDE w:val="0"/>
        <w:autoSpaceDN w:val="0"/>
        <w:adjustRightInd w:val="0"/>
        <w:spacing w:before="120" w:line="360" w:lineRule="auto"/>
        <w:jc w:val="both"/>
        <w:rPr>
          <w:i/>
        </w:rPr>
      </w:pPr>
      <w:r w:rsidRPr="00AF27CD">
        <w:rPr>
          <w:i/>
        </w:rPr>
        <w:t>W okresie prowadzenia działalności sprzedawcy i pośrednicy mają obowiązek prowadzenia ewidencji, w której zapisuje się każdą sztukę broni palnej i każdy istotny komponent broni palnej objęte niniejszą dyrektywą, które otrzymali lub zbyli, zawierającej szczegółowe dane umożliwiające identyfikację i śledzenie tej broni palnej lub tych istotnych komponentów, w szczególności typ, markę, model, kaliber i numer seryjny oraz nazwy (nazwiska) i adresy dostawców i osób nabywających broń.</w:t>
      </w:r>
    </w:p>
    <w:p w:rsidR="00A93E79" w:rsidRPr="00AF27CD" w:rsidRDefault="00A93E79" w:rsidP="00422EA7">
      <w:pPr>
        <w:shd w:val="clear" w:color="auto" w:fill="FFFFFF"/>
        <w:autoSpaceDE w:val="0"/>
        <w:autoSpaceDN w:val="0"/>
        <w:adjustRightInd w:val="0"/>
        <w:spacing w:before="120" w:line="360" w:lineRule="auto"/>
        <w:jc w:val="both"/>
        <w:rPr>
          <w:i/>
        </w:rPr>
      </w:pPr>
      <w:r w:rsidRPr="00AF27CD">
        <w:rPr>
          <w:i/>
        </w:rPr>
        <w:t>Po zakończeniu prowadzenia działalności sprzedawcy i pośrednicy przekazują tę ewidencję krajowym organom odpowiedzialnym za system rejestracji (…).</w:t>
      </w:r>
    </w:p>
    <w:p w:rsidR="00A93E79" w:rsidRPr="00AF27CD" w:rsidRDefault="00A93E79" w:rsidP="00422EA7">
      <w:pPr>
        <w:shd w:val="clear" w:color="auto" w:fill="FFFFFF"/>
        <w:autoSpaceDE w:val="0"/>
        <w:autoSpaceDN w:val="0"/>
        <w:adjustRightInd w:val="0"/>
        <w:spacing w:before="120" w:line="360" w:lineRule="auto"/>
        <w:jc w:val="both"/>
        <w:rPr>
          <w:i/>
        </w:rPr>
      </w:pPr>
      <w:r w:rsidRPr="00AF27CD">
        <w:rPr>
          <w:i/>
        </w:rPr>
        <w:t>Sprzedawcy i pośrednicy mający siedzibę na jego terytorium bez zbędnej zwłoki zgłaszają właściwym organom krajowym transakcje dotyczące broni palnej lub istotnych komponentów. Państwa członkowsk</w:t>
      </w:r>
      <w:r w:rsidR="00395D84">
        <w:rPr>
          <w:i/>
        </w:rPr>
        <w:t>ie zapewniają, aby sprzedawcy i</w:t>
      </w:r>
      <w:r w:rsidR="00EC6774">
        <w:rPr>
          <w:i/>
        </w:rPr>
        <w:t> </w:t>
      </w:r>
      <w:r w:rsidRPr="00AF27CD">
        <w:rPr>
          <w:i/>
        </w:rPr>
        <w:t>pośrednicy posiadali połączenie elektroniczne z odpowiednimi organami krajowymi do celów takiego zgłaszania oraz aktualizowania systemu rejestracji danych natychmiast po otrzymaniu informacji dotyczących takich transakcji.</w:t>
      </w:r>
    </w:p>
    <w:p w:rsidR="00A93E79" w:rsidRPr="00AF27CD" w:rsidRDefault="00A93E79" w:rsidP="00422EA7">
      <w:pPr>
        <w:spacing w:before="120" w:line="360" w:lineRule="auto"/>
        <w:jc w:val="both"/>
        <w:rPr>
          <w:i/>
        </w:rPr>
      </w:pPr>
      <w:r w:rsidRPr="00AF27CD">
        <w:rPr>
          <w:i/>
        </w:rPr>
        <w:t>Państwa członkowskie zapewniają, że każda broń palna może być powiązane z ic</w:t>
      </w:r>
      <w:r w:rsidR="001200A9">
        <w:rPr>
          <w:i/>
        </w:rPr>
        <w:t>h właścicielem w każdej chwili.</w:t>
      </w:r>
    </w:p>
    <w:p w:rsidR="00A93E79" w:rsidRPr="00AF27CD" w:rsidRDefault="00A93E79" w:rsidP="00422EA7">
      <w:pPr>
        <w:spacing w:before="120" w:line="360" w:lineRule="auto"/>
        <w:jc w:val="both"/>
      </w:pPr>
      <w:r w:rsidRPr="00AF27CD">
        <w:t xml:space="preserve">Obecnie w Polsce funkcjonują dwa systemy informatyczne, w których </w:t>
      </w:r>
      <w:r w:rsidR="006875FC" w:rsidRPr="00AF27CD">
        <w:t xml:space="preserve">są </w:t>
      </w:r>
      <w:r w:rsidRPr="00AF27CD">
        <w:t>rejestrowane dane związane z bronią palną przeznaczoną do użytku cywilnego: Krajowy System Informacyjny Policji obejmujący rejestr „BROŃ” – administrowany przez Komendanta Głównego Policji oraz System Ewidencji Broni Prywatnej Kadry „H</w:t>
      </w:r>
      <w:r w:rsidR="006D747E" w:rsidRPr="00AF27CD">
        <w:t>EFAJSTOS</w:t>
      </w:r>
      <w:r w:rsidRPr="00AF27CD">
        <w:t xml:space="preserve"> II” – administrowany przez Komendanta Głównego Żandarmerii Wojskowej, objęty klauzulą niejawności „zastrzeżone”. </w:t>
      </w:r>
      <w:r w:rsidR="00865D33">
        <w:t>Informacja o broni</w:t>
      </w:r>
      <w:r w:rsidRPr="00AF27CD">
        <w:t xml:space="preserve"> pojawia się </w:t>
      </w:r>
      <w:r w:rsidR="00865D33">
        <w:t xml:space="preserve">w tych systemach </w:t>
      </w:r>
      <w:r w:rsidR="00A7541B">
        <w:t>w </w:t>
      </w:r>
      <w:r w:rsidRPr="00AF27CD">
        <w:t>momencie rejestracji</w:t>
      </w:r>
      <w:r w:rsidR="00865D33">
        <w:t xml:space="preserve"> broni</w:t>
      </w:r>
      <w:r w:rsidRPr="00AF27CD">
        <w:t xml:space="preserve"> dla indywidualnego posiadacza, nie uwzględniają one historii broni od jej wytworzenia.</w:t>
      </w:r>
    </w:p>
    <w:p w:rsidR="00A93E79" w:rsidRPr="00AF27CD" w:rsidRDefault="00A93E79" w:rsidP="00422EA7">
      <w:pPr>
        <w:spacing w:before="120" w:line="360" w:lineRule="auto"/>
        <w:jc w:val="both"/>
      </w:pPr>
      <w:r w:rsidRPr="00AF27CD">
        <w:t xml:space="preserve">Systemy te są ukierunkowane na identyfikację osób posiadających broń, natomiast obowiązek wynikający z przepisu </w:t>
      </w:r>
      <w:r w:rsidR="006875FC" w:rsidRPr="00AF27CD">
        <w:t>d</w:t>
      </w:r>
      <w:r w:rsidRPr="00AF27CD">
        <w:t xml:space="preserve">yrektywy 91/477/EWG dotyczy utworzenia systemu informatycznego przeznaczonego do gromadzenia i przechowywania danych o każdej jednostce broni palnej, umożliwiającego śledzenie historii konkretnej jednostki broni palnej w powiązaniu z jej właścicielem, tj.: od momentu jej wytworzenia lub wprowadzenia do obrotu na </w:t>
      </w:r>
      <w:r w:rsidR="00865D33">
        <w:t>terytorium</w:t>
      </w:r>
      <w:r w:rsidR="00865D33" w:rsidRPr="00AF27CD">
        <w:t xml:space="preserve"> R</w:t>
      </w:r>
      <w:r w:rsidR="00865D33">
        <w:t xml:space="preserve">zeczypospolitej </w:t>
      </w:r>
      <w:r w:rsidRPr="00AF27CD">
        <w:t>P</w:t>
      </w:r>
      <w:r w:rsidR="00865D33">
        <w:t>olskiej</w:t>
      </w:r>
      <w:r w:rsidRPr="00AF27CD">
        <w:t xml:space="preserve"> </w:t>
      </w:r>
      <w:r w:rsidR="00413B1C" w:rsidRPr="00AF27CD">
        <w:t>przez</w:t>
      </w:r>
      <w:r w:rsidR="00395D84">
        <w:t xml:space="preserve"> kolejne transakcje związane z</w:t>
      </w:r>
      <w:r w:rsidR="00EC6774">
        <w:t xml:space="preserve"> </w:t>
      </w:r>
      <w:r w:rsidRPr="00AF27CD">
        <w:t xml:space="preserve">przeniesieniem jej własności. </w:t>
      </w:r>
    </w:p>
    <w:p w:rsidR="00A93E79" w:rsidRPr="00AF27CD" w:rsidRDefault="00A93E79" w:rsidP="00422EA7">
      <w:pPr>
        <w:spacing w:before="120" w:line="360" w:lineRule="auto"/>
        <w:jc w:val="both"/>
      </w:pPr>
      <w:r w:rsidRPr="00AF27CD">
        <w:t>Aktualnie upoważnione organy mogą uzyskać informacje dotyczące danych określonego egzemplarza broni palnej oraz osoby</w:t>
      </w:r>
      <w:r w:rsidR="006875FC" w:rsidRPr="00AF27CD">
        <w:t xml:space="preserve"> uprawnionej do jego posiadania</w:t>
      </w:r>
      <w:r w:rsidRPr="00AF27CD">
        <w:t xml:space="preserve"> po zwróceniu się do Policji albo Żandarmerii Wojskowej o udzielenie informacji.</w:t>
      </w:r>
    </w:p>
    <w:p w:rsidR="00A93E79" w:rsidRPr="00AF27CD" w:rsidRDefault="00A93E79" w:rsidP="00422EA7">
      <w:pPr>
        <w:spacing w:before="120" w:line="360" w:lineRule="auto"/>
        <w:jc w:val="both"/>
      </w:pPr>
      <w:r w:rsidRPr="00AF27CD">
        <w:t>Ustawa z dnia 22 czerwca 2001 r. nakłada na przedsiębiorców obowiązek prowadzenia ewidencji broni palnej</w:t>
      </w:r>
      <w:r w:rsidR="00BE4B43">
        <w:t xml:space="preserve"> i </w:t>
      </w:r>
      <w:r w:rsidRPr="00AF27CD">
        <w:t xml:space="preserve">jej istotnych części przez cały okres prowadzenia działalności gospodarczej. Przedsiębiorca </w:t>
      </w:r>
      <w:r w:rsidR="006875FC" w:rsidRPr="00AF27CD">
        <w:t xml:space="preserve">jest </w:t>
      </w:r>
      <w:r w:rsidRPr="00AF27CD">
        <w:t>zobowiązany</w:t>
      </w:r>
      <w:r w:rsidR="00422EA7" w:rsidRPr="00AF27CD">
        <w:t xml:space="preserve"> </w:t>
      </w:r>
      <w:r w:rsidRPr="00AF27CD">
        <w:t>do prowadzenia ksiąg ewidencyjnych zawierających ponumerowane karty, przesznurowane i opieczętowane przez przedsiębiorcę, oddzielnie dla każdego rodzaju broni oraz istotnych części broni, zgodnie z przepisami:</w:t>
      </w:r>
      <w:r w:rsidR="00422EA7" w:rsidRPr="00AF27CD">
        <w:t xml:space="preserve"> </w:t>
      </w:r>
    </w:p>
    <w:p w:rsidR="00A93E79" w:rsidRPr="00AF27CD" w:rsidRDefault="00104A5F" w:rsidP="00395D84">
      <w:pPr>
        <w:spacing w:line="360" w:lineRule="auto"/>
        <w:ind w:left="426" w:hanging="426"/>
        <w:jc w:val="both"/>
      </w:pPr>
      <w:r w:rsidRPr="00AF27CD">
        <w:t>1)</w:t>
      </w:r>
      <w:r w:rsidRPr="00AF27CD">
        <w:tab/>
      </w:r>
      <w:r w:rsidR="00A93E79" w:rsidRPr="00AF27CD">
        <w:t>rozporządzenia Ministra Gospodarki z dnia 22 sierpnia 2012 r. w sprawie sposobu ewidencjonowania wytworzonych materiałów wybuchowych, broni, amunicji oraz wyrobów i technologii o przeznaczeniu wojskowym lub policyjnym;</w:t>
      </w:r>
    </w:p>
    <w:p w:rsidR="00A93E79" w:rsidRPr="00AF27CD" w:rsidRDefault="00104A5F" w:rsidP="00395D84">
      <w:pPr>
        <w:spacing w:line="360" w:lineRule="auto"/>
        <w:ind w:left="426" w:hanging="426"/>
        <w:jc w:val="both"/>
      </w:pPr>
      <w:r w:rsidRPr="00AF27CD">
        <w:t>2)</w:t>
      </w:r>
      <w:r w:rsidRPr="00AF27CD">
        <w:tab/>
      </w:r>
      <w:r w:rsidR="00A93E79" w:rsidRPr="00AF27CD">
        <w:t>rozporządzenia Ministra Gospodarki z dnia 22 sierpnia 2012 r. w sprawie sposobu ewidencjonowania wprowadzonych do obrotu materiałów wybuchowych, broni, amunicji oraz wyrobów i technologii o przeznaczeniu wojskowym lub policyjnym;</w:t>
      </w:r>
    </w:p>
    <w:p w:rsidR="00A93E79" w:rsidRPr="00AF27CD" w:rsidRDefault="00104A5F" w:rsidP="00395D84">
      <w:pPr>
        <w:spacing w:line="360" w:lineRule="auto"/>
        <w:ind w:left="426" w:hanging="426"/>
        <w:jc w:val="both"/>
      </w:pPr>
      <w:r w:rsidRPr="00AF27CD">
        <w:t>3)</w:t>
      </w:r>
      <w:r w:rsidRPr="00AF27CD">
        <w:tab/>
      </w:r>
      <w:r w:rsidR="00A93E79" w:rsidRPr="00AF27CD">
        <w:t>rozporządzenia Ministra Gospodarki i Ministra Spraw Wewnętrznych z</w:t>
      </w:r>
      <w:r w:rsidR="00395D84">
        <w:t xml:space="preserve"> dnia 6</w:t>
      </w:r>
      <w:r w:rsidR="00A7541B">
        <w:t> </w:t>
      </w:r>
      <w:r w:rsidR="00A93E79" w:rsidRPr="00AF27CD">
        <w:t>marca 2013 r. w sprawie sprzedaży materiałów wybuchowych, broni, amunicji, wyrobów i technologii o przeznaczeniu wojskowym lub policyjnym oraz kontroli przestrzegania warunków sprzedaży.</w:t>
      </w:r>
    </w:p>
    <w:p w:rsidR="00A93E79" w:rsidRPr="00AF27CD" w:rsidRDefault="00A93E79" w:rsidP="00422EA7">
      <w:pPr>
        <w:tabs>
          <w:tab w:val="left" w:pos="567"/>
        </w:tabs>
        <w:spacing w:before="120" w:line="360" w:lineRule="auto"/>
        <w:jc w:val="both"/>
      </w:pPr>
      <w:r w:rsidRPr="00AF27CD">
        <w:t xml:space="preserve">Dokumentację związaną z ewidencją przeznaczonej do obrotu broni palnej i jej istotnych części oraz ewidencją zawartych transakcji przechowuje się w siedzibie przedsiębiorcy przez okres co najmniej 20 lat od ostatniego zapisu. </w:t>
      </w:r>
    </w:p>
    <w:p w:rsidR="00A93E79" w:rsidRPr="00AF27CD" w:rsidRDefault="00A93E79" w:rsidP="00422EA7">
      <w:pPr>
        <w:spacing w:before="120" w:line="360" w:lineRule="auto"/>
        <w:jc w:val="both"/>
      </w:pPr>
      <w:r w:rsidRPr="00AF27CD">
        <w:t>Zgodnie z art. 15 ust. 1 ww. ustawy, po zakończeniu prowadzenia działalności gospodarczej w zakresie, o którym mowa w art. 6 ust. 1 ustawy, przedsiębiorca ma obowiązek przekazać ewidencję ministrowi właściw</w:t>
      </w:r>
      <w:r w:rsidR="00395D84">
        <w:t>emu do spraw gospodarki. Tryb i</w:t>
      </w:r>
      <w:r w:rsidR="00A7541B">
        <w:t> </w:t>
      </w:r>
      <w:r w:rsidRPr="00AF27CD">
        <w:t>warunki przekazywania ewidencji określa rozporządzenie Ministra Gospodarki z dnia 18 lutego 2013 r. w sprawie trybu i szczegółowych warunków przekazywania ewidencji związanej z wykonywaniem działalności gospodarczej w zakresie wytwarzania i obrotu materiałami wybuchowymi, bronią, amunicj</w:t>
      </w:r>
      <w:r w:rsidR="00A7541B">
        <w:t>ą oraz wyrobami i technologią o </w:t>
      </w:r>
      <w:r w:rsidRPr="00AF27CD">
        <w:t xml:space="preserve">przeznaczeniu wojskowym lub policyjnym. </w:t>
      </w:r>
    </w:p>
    <w:p w:rsidR="00A93E79" w:rsidRPr="00AF27CD" w:rsidRDefault="00A93E79" w:rsidP="00422EA7">
      <w:pPr>
        <w:spacing w:before="120" w:line="360" w:lineRule="auto"/>
        <w:jc w:val="both"/>
      </w:pPr>
      <w:r w:rsidRPr="00AF27CD">
        <w:t xml:space="preserve">Zgodnie z </w:t>
      </w:r>
      <w:r w:rsidRPr="000E36DB">
        <w:rPr>
          <w:i/>
        </w:rPr>
        <w:t>art. 15 ust. 2 ww. ustawy</w:t>
      </w:r>
      <w:r w:rsidRPr="00AF27CD">
        <w:t xml:space="preserve">, minister właściwy do spraw gospodarki jest obowiązany do przechowywania ewidencji przez okres nie krótszy niż 20 lat. </w:t>
      </w:r>
    </w:p>
    <w:p w:rsidR="00A93E79" w:rsidRPr="00AF27CD" w:rsidRDefault="00A93E79" w:rsidP="00422EA7">
      <w:pPr>
        <w:spacing w:before="120" w:line="360" w:lineRule="auto"/>
        <w:jc w:val="both"/>
      </w:pPr>
      <w:r w:rsidRPr="00AF27CD">
        <w:t xml:space="preserve">Część przedsiębiorców prowadzi ewidencje w formie elektronicznej, jednak z uwagi na fakt, że ewidencje te zostały wytworzone przez przedsiębiorców lub na ich indywidualne zamówienie, nie ma możliwości przeniesienia zapisanych w nich danych do systemów centralnych. </w:t>
      </w:r>
    </w:p>
    <w:p w:rsidR="00A93E79" w:rsidRPr="00AF27CD" w:rsidRDefault="00A93E79" w:rsidP="00422EA7">
      <w:pPr>
        <w:spacing w:before="120" w:line="360" w:lineRule="auto"/>
        <w:jc w:val="both"/>
      </w:pPr>
      <w:r w:rsidRPr="00AF27CD">
        <w:t xml:space="preserve">Zgodnie z </w:t>
      </w:r>
      <w:r w:rsidRPr="000E36DB">
        <w:rPr>
          <w:i/>
        </w:rPr>
        <w:t>art. 30 ust. 3 ww. ustawy</w:t>
      </w:r>
      <w:r w:rsidRPr="00AF27CD">
        <w:t xml:space="preserve"> na przedsiębiorcy spoczywa także obowiązek </w:t>
      </w:r>
      <w:r w:rsidR="00BE4B43">
        <w:t>po</w:t>
      </w:r>
      <w:r w:rsidRPr="00AF27CD">
        <w:t>informowania o sprzedaży broni palnej organu, który wydał dokument uprawniający do jej zakupu. Tryb, formę i zakres przekazywania prz</w:t>
      </w:r>
      <w:r w:rsidR="00A7541B">
        <w:t>ez przedsiębiorców informacji o </w:t>
      </w:r>
      <w:r w:rsidRPr="00AF27CD">
        <w:t>dokonanej transakcji reguluje ww. rozporządzenie Ministra Gospodarki i Ministra Spraw Wewnętrznych z dnia 6 marca 2013 r. Obowiązek ten jest realizowany główni</w:t>
      </w:r>
      <w:r w:rsidR="00395D84">
        <w:t>e drogą pocztową, pomimo że ww.</w:t>
      </w:r>
      <w:r w:rsidR="00EC6774">
        <w:t xml:space="preserve"> </w:t>
      </w:r>
      <w:r w:rsidRPr="00AF27CD">
        <w:t>rozporządzenie przewiduje możliwość przesyłania tych informacji drogą elektroniczną.</w:t>
      </w:r>
    </w:p>
    <w:p w:rsidR="00A93E79" w:rsidRPr="00AF27CD" w:rsidRDefault="00A93E79" w:rsidP="00422EA7">
      <w:pPr>
        <w:spacing w:before="120" w:line="360" w:lineRule="auto"/>
        <w:jc w:val="both"/>
      </w:pPr>
      <w:r w:rsidRPr="00AF27CD">
        <w:t>Organ koncesyjny posiada system „</w:t>
      </w:r>
      <w:r w:rsidR="005F49F6" w:rsidRPr="00AF27CD">
        <w:t xml:space="preserve">E- </w:t>
      </w:r>
      <w:r w:rsidRPr="00AF27CD">
        <w:t>Koncesje” – bazę danych o przedsiębiorcach posiadających koncesję na wykonywanie działalności gospodarczej obejmującej swoim zakresem również wytwarzanie lub obrót bronią i amunicją, który powinien zostać włączony do systemu rejestracji broni, jako podstawowe narzędzie kontrolne do nadawania przedsiębiorcom uprawnień i umożliwienia autoryzowanego dostępu do tego systemu, w celu wprowadzania danych o broni, zgodnie z zakresem udzielonej koncesji.</w:t>
      </w:r>
    </w:p>
    <w:p w:rsidR="00A93E79" w:rsidRPr="00AF27CD" w:rsidRDefault="00A93E79" w:rsidP="00422EA7">
      <w:pPr>
        <w:spacing w:before="120" w:line="360" w:lineRule="auto"/>
        <w:jc w:val="both"/>
      </w:pPr>
      <w:r w:rsidRPr="00AF27CD">
        <w:t>Aktualnie system rejestracji broni palnej i je</w:t>
      </w:r>
      <w:r w:rsidR="00395D84">
        <w:t>j istotnych części składa się z</w:t>
      </w:r>
      <w:r w:rsidR="00A7541B">
        <w:t> </w:t>
      </w:r>
      <w:r w:rsidRPr="00AF27CD">
        <w:t xml:space="preserve">rozproszonych baz danych, które podlegają kontroli przez ustawowo uprawnione organy. </w:t>
      </w:r>
    </w:p>
    <w:p w:rsidR="00A93E79" w:rsidRPr="00AF27CD" w:rsidRDefault="00A93E79" w:rsidP="00422EA7">
      <w:pPr>
        <w:spacing w:before="120" w:line="360" w:lineRule="auto"/>
        <w:jc w:val="both"/>
      </w:pPr>
      <w:r w:rsidRPr="00AF27CD">
        <w:t xml:space="preserve">Po sprzedaniu broni palnej oraz istotnych jej części, traktowanych na podstawie przepisów na równi z bronią palną, do której zostały przeznaczone, przedsiębiorca ma obowiązek </w:t>
      </w:r>
      <w:r w:rsidR="00BE4B43" w:rsidRPr="00AF27CD">
        <w:t>poinformowa</w:t>
      </w:r>
      <w:r w:rsidR="00BE4B43">
        <w:t xml:space="preserve">ć </w:t>
      </w:r>
      <w:r w:rsidRPr="00AF27CD">
        <w:t>o przeprowadzonej transakcji</w:t>
      </w:r>
      <w:r w:rsidR="00BE4B43">
        <w:t>,</w:t>
      </w:r>
      <w:r w:rsidRPr="00AF27CD">
        <w:t xml:space="preserve"> łącznie z danymi określającymi sprzedaną broń palną, właściwego komendanta wojewódzkiego Policji albo właściwy oddział Żandarmerii Wojskowej odpowiednio ze względu na miejsce stałego pobytu osoby albo podmiotu albo na miejsce stałego pobytu żołnierza zawodowego. </w:t>
      </w:r>
    </w:p>
    <w:p w:rsidR="00A93E79" w:rsidRPr="00AF27CD" w:rsidRDefault="00A93E79" w:rsidP="00422EA7">
      <w:pPr>
        <w:spacing w:before="120" w:line="360" w:lineRule="auto"/>
        <w:jc w:val="both"/>
      </w:pPr>
      <w:r w:rsidRPr="00AF27CD">
        <w:t>Nabywca broni ma obowiązek stawić się w ciągu 5 dni od jej nabycia we właściwym organie Policji albo Żandarmerii Wojskowej w celu jej rejestracji. Organ właściwy rejestruje dane jej nabywcy oraz kolej</w:t>
      </w:r>
      <w:r w:rsidR="00395D84">
        <w:t>nych jej nabywców odpowiednio w</w:t>
      </w:r>
      <w:r w:rsidR="00A7541B">
        <w:t> </w:t>
      </w:r>
      <w:r w:rsidRPr="00AF27CD">
        <w:t>skomputeryzowanym rejestrze „BROŃ” albo w skomputeryzowanym rejestrze systemu „HEFAJSTOS II”. Oba te osobne rejestry umożliwiają odszukanie danej jednostki broni palnej w związku z jej nabyciem i posiadaniem.</w:t>
      </w:r>
      <w:r w:rsidR="00422EA7" w:rsidRPr="00AF27CD">
        <w:t xml:space="preserve"> </w:t>
      </w:r>
    </w:p>
    <w:p w:rsidR="00A93E79" w:rsidRPr="00AF27CD" w:rsidRDefault="00A93E79" w:rsidP="00422EA7">
      <w:pPr>
        <w:spacing w:before="120" w:line="360" w:lineRule="auto"/>
        <w:jc w:val="both"/>
      </w:pPr>
      <w:r w:rsidRPr="00AF27CD">
        <w:t xml:space="preserve">Ponieważ systemy, o których mowa powyżej, nie są i nie mogą być ze sobą skomunikowane (są administrowane przez odrębne organy, </w:t>
      </w:r>
      <w:r w:rsidR="00BE4B43">
        <w:t xml:space="preserve">a </w:t>
      </w:r>
      <w:r w:rsidRPr="00AF27CD">
        <w:t>jeden z nich jest zbiorem informacji niejawnych) powstała potrzeba stworzenia systemu, który będzie rejestrował legalnie posiadaną broń z możliwością jej przyporządkowania do aktualnego posiadacza i zapewni śledzenie jej historii od momentu wytworzenia</w:t>
      </w:r>
      <w:r w:rsidR="00BB70BB" w:rsidRPr="00AF27CD">
        <w:t xml:space="preserve"> lub wprowadzenia na terytorium R</w:t>
      </w:r>
      <w:r w:rsidR="00BE4B43">
        <w:t xml:space="preserve">zeczypospolitej </w:t>
      </w:r>
      <w:r w:rsidR="00BB70BB" w:rsidRPr="00AF27CD">
        <w:t>P</w:t>
      </w:r>
      <w:r w:rsidR="00BE4B43">
        <w:t>olskiej</w:t>
      </w:r>
      <w:r w:rsidRPr="00AF27CD">
        <w:t>.</w:t>
      </w:r>
    </w:p>
    <w:p w:rsidR="00A93E79" w:rsidRPr="00AF27CD" w:rsidRDefault="00A93E79" w:rsidP="00422EA7">
      <w:pPr>
        <w:spacing w:before="120" w:line="360" w:lineRule="auto"/>
        <w:jc w:val="both"/>
      </w:pPr>
      <w:r w:rsidRPr="00AF27CD">
        <w:t xml:space="preserve">System Rejestracji Broni (SRB) będzie rejestrował broń znajdującą się w posiadaniu przedsiębiorców, jak i osób posiadających ją na podstawie pozwoleń na broń. Wszyscy przedsiębiorcy prowadzący działalność w zakresie wytwarzania i obrotu strzelecką bronią palną zostaną zobowiązani do prowadzenia swoich ewidencji w SRB. System zakłada powiązanie z rejestrem wydanych zaświadczeń uprawniających do nabycia broni, co umożliwi przedsiębiorcom weryfikację legalności przedstawianego zaświadczenia oraz z rejestrem koncesji, który wskaże przedsiębiorców uprawnionych do działań w systemie. </w:t>
      </w:r>
      <w:r w:rsidR="00416BDC" w:rsidRPr="00AF27CD">
        <w:t>Administratorem systemu będzie</w:t>
      </w:r>
      <w:r w:rsidR="00D35602" w:rsidRPr="00AF27CD">
        <w:t xml:space="preserve"> </w:t>
      </w:r>
      <w:r w:rsidR="00416BDC" w:rsidRPr="00AF27CD">
        <w:t>minister właściwy do spraw wewnętrznych</w:t>
      </w:r>
      <w:r w:rsidRPr="00AF27CD">
        <w:t xml:space="preserve">. </w:t>
      </w:r>
    </w:p>
    <w:p w:rsidR="00A93E79" w:rsidRPr="00AF27CD" w:rsidRDefault="00D35602" w:rsidP="00422EA7">
      <w:pPr>
        <w:spacing w:before="120" w:line="360" w:lineRule="auto"/>
        <w:jc w:val="both"/>
      </w:pPr>
      <w:r w:rsidRPr="00AF27CD">
        <w:t>Projektowana u</w:t>
      </w:r>
      <w:r w:rsidR="00A93E79" w:rsidRPr="00AF27CD">
        <w:t>stawa określa sposób uzyskania przez przedsiębiorcę dostępu do SRB oraz szczegółowy zakres danych, jakie jest zobow</w:t>
      </w:r>
      <w:r w:rsidR="00395D84">
        <w:t>iązany wprowadzać do systemu. W</w:t>
      </w:r>
      <w:r w:rsidR="00A7541B">
        <w:t> </w:t>
      </w:r>
      <w:r w:rsidR="00A93E79" w:rsidRPr="00AF27CD">
        <w:t>celu ułatwienia prawidłowej identyfikacji kategorii i typu strzeleckiej broni palnej, ustawa będzie zawierać załącznik z wykazem, który obejmie rodzaje broni sklasyfikowane w dyrektywie 91/477/EWG, wraz ze słownikiem broni.</w:t>
      </w:r>
    </w:p>
    <w:p w:rsidR="00A93E79" w:rsidRPr="00AF27CD" w:rsidRDefault="00A93E79" w:rsidP="00422EA7">
      <w:pPr>
        <w:spacing w:before="120" w:line="360" w:lineRule="auto"/>
        <w:jc w:val="both"/>
      </w:pPr>
      <w:r w:rsidRPr="00AF27CD">
        <w:t xml:space="preserve">Dodać należy, że w trakcie prac związanych z tworzeniem nowej dyrektywy </w:t>
      </w:r>
      <w:r w:rsidR="00BE4B43" w:rsidRPr="00AF27CD">
        <w:t xml:space="preserve">podjęto </w:t>
      </w:r>
      <w:r w:rsidRPr="00AF27CD">
        <w:t>skuteczne działania, których efektem jest dostosowanie siatki pojęciowej załącznika do polskiego słownictwa bronioznawczego.</w:t>
      </w:r>
    </w:p>
    <w:p w:rsidR="00A93E79" w:rsidRPr="00AF27CD" w:rsidRDefault="00A93E79" w:rsidP="00422EA7">
      <w:pPr>
        <w:spacing w:before="120" w:line="360" w:lineRule="auto"/>
        <w:jc w:val="both"/>
      </w:pPr>
      <w:r w:rsidRPr="00AF27CD">
        <w:t>SRB wyeliminuje konieczność sporządzania przez przedsiębiorców odrębnych zawiadomień o dokonanej sprzedaży, jak również konieczność przesyłania właściwemu organowi całości ewidencji po zakończeniu działalności gospodarczej.</w:t>
      </w:r>
    </w:p>
    <w:p w:rsidR="00A93E79" w:rsidRPr="00AF27CD" w:rsidRDefault="00A93E79" w:rsidP="00422EA7">
      <w:pPr>
        <w:spacing w:before="120" w:line="360" w:lineRule="auto"/>
        <w:jc w:val="both"/>
      </w:pPr>
      <w:r w:rsidRPr="00AF27CD">
        <w:t xml:space="preserve">Aby zapewnić rzetelność i aktualność wprowadzanych danych przepisy </w:t>
      </w:r>
      <w:r w:rsidR="00D35602" w:rsidRPr="00AF27CD">
        <w:t xml:space="preserve">projektu </w:t>
      </w:r>
      <w:r w:rsidRPr="00AF27CD">
        <w:t xml:space="preserve">ustawy stanowią, że dane do SRB należy wprowadzać </w:t>
      </w:r>
      <w:r w:rsidR="00395D84">
        <w:t>niezwłocznie, nie później niż w</w:t>
      </w:r>
      <w:r w:rsidR="00A7541B">
        <w:t> </w:t>
      </w:r>
      <w:r w:rsidRPr="00AF27CD">
        <w:t>kolejnym dniu roboczym następującym po dniu, w którym dokonano czynności wymienionych w przepisach.</w:t>
      </w:r>
    </w:p>
    <w:p w:rsidR="00A93E79" w:rsidRPr="00AF27CD" w:rsidRDefault="00D35602" w:rsidP="00422EA7">
      <w:pPr>
        <w:spacing w:before="120" w:line="360" w:lineRule="auto"/>
        <w:jc w:val="both"/>
      </w:pPr>
      <w:r w:rsidRPr="00AF27CD">
        <w:t>Projekt</w:t>
      </w:r>
      <w:r w:rsidR="00A93E79" w:rsidRPr="00AF27CD">
        <w:t xml:space="preserve"> szczegółowo określa obowiązki i uprawnienia organów właściwych do umieszczania danych w SRB, a w szczególności ich zakres i rodzaj.</w:t>
      </w:r>
    </w:p>
    <w:p w:rsidR="00A93E79" w:rsidRPr="00AF27CD" w:rsidRDefault="00A93E79" w:rsidP="00422EA7">
      <w:pPr>
        <w:spacing w:before="120" w:line="360" w:lineRule="auto"/>
        <w:jc w:val="both"/>
      </w:pPr>
      <w:r w:rsidRPr="00AF27CD">
        <w:t>Przedsiębiorca będący osob</w:t>
      </w:r>
      <w:r w:rsidR="00AD4ACF" w:rsidRPr="00AF27CD">
        <w:t>ą</w:t>
      </w:r>
      <w:r w:rsidRPr="00AF27CD">
        <w:t xml:space="preserve"> fizyczną i osoby uprawnione do kierowania działalnością określoną w koncesji wprowadzają dane do SRB samodzielnie lub przez upow</w:t>
      </w:r>
      <w:r w:rsidR="005E12FC" w:rsidRPr="00AF27CD">
        <w:t xml:space="preserve">ażnionych pisemnie pracowników </w:t>
      </w:r>
      <w:r w:rsidRPr="00AF27CD">
        <w:t>spełniających warunki określone w ustawie oraz prowadzi określony ustawą rejestr pracowników upoważnionych. W przypadku zmiany danych zawartych w rejestrze upoważnionych pracowników wymagane jest poinformowanie administratora systemu. Jest to jeden z elementów systemu bezpieczeństwa SRB, polegający na konieczności uzyskania uwierzytelnienia do działania w systemie. W przypadku gdy z przyczyn</w:t>
      </w:r>
      <w:r w:rsidR="005E12FC" w:rsidRPr="00AF27CD">
        <w:t xml:space="preserve"> niezależnych od przedsiębiorcy</w:t>
      </w:r>
      <w:r w:rsidRPr="00AF27CD">
        <w:t xml:space="preserve"> nie może on prowadzić ewidencji w SRB, za zgodą organu koncesyjnego</w:t>
      </w:r>
      <w:r w:rsidR="005E12FC" w:rsidRPr="00AF27CD">
        <w:t>,</w:t>
      </w:r>
      <w:r w:rsidRPr="00AF27CD">
        <w:t xml:space="preserve"> kontynuuje ewidencjonowanie i zawiadamia o sprzedaży w określonej w ustawie formie pisemnej, a niezwłocznie po ustaniu przeszkód wprowadza te dane do SRB.</w:t>
      </w:r>
    </w:p>
    <w:p w:rsidR="00A93E79" w:rsidRPr="00AF27CD" w:rsidRDefault="00A93E79" w:rsidP="00422EA7">
      <w:pPr>
        <w:spacing w:before="120" w:line="360" w:lineRule="auto"/>
        <w:jc w:val="both"/>
      </w:pPr>
      <w:r w:rsidRPr="00AF27CD">
        <w:t>System Rejestracji Broni (strzeleckiej broni palnej) będzie zawierał dane o broni legalnie posiadanej na terytorium Rzeczypospolitej Polskiej. W SRB przetwarzane będą dane o każdej jednostce strzeleckiej broni palnej oraz o każdym istotnym komponencie, które znajdują się w posiadaniu przedsiębiorców w związku z ich wytworzeniem albo nabyciem, przyjęciem do naprawy, remontu, przerobienia, oznakowania, pozbawienia cech użytkowych, zniszczenia, na przechowanie lub w k</w:t>
      </w:r>
      <w:r w:rsidR="00395D84">
        <w:t>omis, oraz które znajdują się w</w:t>
      </w:r>
      <w:r w:rsidR="00A7541B">
        <w:t> </w:t>
      </w:r>
      <w:r w:rsidRPr="00AF27CD">
        <w:t>posiadaniu osób lub podmiotów uprawnionych na podstawie przepisów ustawy z dnia 21</w:t>
      </w:r>
      <w:r w:rsidR="00422EA7" w:rsidRPr="00AF27CD">
        <w:t xml:space="preserve"> </w:t>
      </w:r>
      <w:r w:rsidRPr="00AF27CD">
        <w:t>maja 1999 r. o broni i amunicji. Przetwarzanie da</w:t>
      </w:r>
      <w:r w:rsidR="00395D84">
        <w:t>nych w SRB odbywać się będzie w</w:t>
      </w:r>
      <w:r w:rsidR="00A7541B">
        <w:t> </w:t>
      </w:r>
      <w:r w:rsidRPr="00AF27CD">
        <w:t>formie:</w:t>
      </w:r>
    </w:p>
    <w:p w:rsidR="00A93E79" w:rsidRPr="00AF27CD" w:rsidRDefault="00A93E79" w:rsidP="00395D84">
      <w:pPr>
        <w:pStyle w:val="PKTpunkt"/>
        <w:ind w:left="426" w:hanging="426"/>
        <w:rPr>
          <w:rFonts w:ascii="Times New Roman" w:hAnsi="Times New Roman" w:cs="Times New Roman"/>
          <w:szCs w:val="24"/>
        </w:rPr>
      </w:pPr>
      <w:r w:rsidRPr="00AF27CD">
        <w:rPr>
          <w:rFonts w:ascii="Times New Roman" w:hAnsi="Times New Roman" w:cs="Times New Roman"/>
          <w:szCs w:val="24"/>
        </w:rPr>
        <w:t>1)</w:t>
      </w:r>
      <w:r w:rsidRPr="00AF27CD">
        <w:rPr>
          <w:rFonts w:ascii="Times New Roman" w:hAnsi="Times New Roman" w:cs="Times New Roman"/>
          <w:szCs w:val="24"/>
        </w:rPr>
        <w:tab/>
        <w:t>ewidencji strzeleckiej broni palnej i istotnych komponentów;</w:t>
      </w:r>
    </w:p>
    <w:p w:rsidR="00A93E79" w:rsidRPr="00AF27CD" w:rsidRDefault="00A93E79" w:rsidP="00395D84">
      <w:pPr>
        <w:pStyle w:val="PKTpunkt"/>
        <w:ind w:left="426" w:hanging="426"/>
        <w:rPr>
          <w:rFonts w:ascii="Times New Roman" w:hAnsi="Times New Roman" w:cs="Times New Roman"/>
          <w:szCs w:val="24"/>
        </w:rPr>
      </w:pPr>
      <w:r w:rsidRPr="00AF27CD">
        <w:rPr>
          <w:rFonts w:ascii="Times New Roman" w:hAnsi="Times New Roman" w:cs="Times New Roman"/>
          <w:szCs w:val="24"/>
        </w:rPr>
        <w:t>2)</w:t>
      </w:r>
      <w:r w:rsidRPr="00AF27CD">
        <w:rPr>
          <w:rFonts w:ascii="Times New Roman" w:hAnsi="Times New Roman" w:cs="Times New Roman"/>
          <w:szCs w:val="24"/>
        </w:rPr>
        <w:tab/>
        <w:t>wykazu zaświadczeń uprawniających do nabycia strzeleckiej broni palnej;</w:t>
      </w:r>
    </w:p>
    <w:p w:rsidR="00A93E79" w:rsidRPr="00AF27CD" w:rsidRDefault="00A93E79" w:rsidP="00395D84">
      <w:pPr>
        <w:pStyle w:val="PKTpunkt"/>
        <w:ind w:left="426" w:hanging="426"/>
        <w:rPr>
          <w:rFonts w:ascii="Times New Roman" w:hAnsi="Times New Roman" w:cs="Times New Roman"/>
          <w:szCs w:val="24"/>
        </w:rPr>
      </w:pPr>
      <w:r w:rsidRPr="00AF27CD">
        <w:rPr>
          <w:rFonts w:ascii="Times New Roman" w:hAnsi="Times New Roman" w:cs="Times New Roman"/>
          <w:szCs w:val="24"/>
        </w:rPr>
        <w:t>3)</w:t>
      </w:r>
      <w:r w:rsidRPr="00AF27CD">
        <w:rPr>
          <w:rFonts w:ascii="Times New Roman" w:hAnsi="Times New Roman" w:cs="Times New Roman"/>
          <w:szCs w:val="24"/>
        </w:rPr>
        <w:tab/>
        <w:t>rejestru świadectw pozbawienia strzeleckiej broni palnej cech użytkowych;</w:t>
      </w:r>
    </w:p>
    <w:p w:rsidR="00A93E79" w:rsidRPr="00AF27CD" w:rsidRDefault="00A93E79" w:rsidP="00395D84">
      <w:pPr>
        <w:pStyle w:val="PKTpunkt"/>
        <w:ind w:left="426" w:hanging="426"/>
        <w:rPr>
          <w:rFonts w:ascii="Times New Roman" w:hAnsi="Times New Roman" w:cs="Times New Roman"/>
          <w:szCs w:val="24"/>
        </w:rPr>
      </w:pPr>
      <w:r w:rsidRPr="00AF27CD">
        <w:rPr>
          <w:rFonts w:ascii="Times New Roman" w:hAnsi="Times New Roman" w:cs="Times New Roman"/>
          <w:szCs w:val="24"/>
        </w:rPr>
        <w:t>4)</w:t>
      </w:r>
      <w:r w:rsidRPr="00AF27CD">
        <w:rPr>
          <w:rFonts w:ascii="Times New Roman" w:hAnsi="Times New Roman" w:cs="Times New Roman"/>
          <w:szCs w:val="24"/>
        </w:rPr>
        <w:tab/>
        <w:t>rejestru koncesji udzielonych w zakresie wytwarzania lub obrotu strzelecką bronią palną.</w:t>
      </w:r>
    </w:p>
    <w:p w:rsidR="00A93E79" w:rsidRPr="00AF27CD" w:rsidRDefault="00A93E79" w:rsidP="00422EA7">
      <w:pPr>
        <w:spacing w:before="120" w:line="360" w:lineRule="auto"/>
        <w:jc w:val="both"/>
      </w:pPr>
      <w:r w:rsidRPr="00AF27CD">
        <w:t xml:space="preserve">System SRB umożliwi wygenerowanie ewidencji przedsiębiorcy, który wykonuje działalność </w:t>
      </w:r>
      <w:r w:rsidR="00941D08" w:rsidRPr="00AF27CD">
        <w:t xml:space="preserve">w </w:t>
      </w:r>
      <w:r w:rsidRPr="00AF27CD">
        <w:t>zakresie wytwarzania i obrotu strzelecką bronią palną lub istotnymi komponentami. Ponieważ ewidencje te będą częścią SRB, nie będzie miał zastosowania obowiązek przekazywania ich ministrowi właściwemu do spraw wewnętrznych po zakończeniu działalności gospodarczej.</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Przepisy tego rozdziału określają sposób uzyskania przez przedsiębiorcę dostępu do SRB oraz sposób przetwarzania i rodzaj przetwarzanych danych. Przetwarzanie danych w ewidencji strzeleckiej broni palnej i istotnych komponentów </w:t>
      </w:r>
      <w:r w:rsidR="00593986" w:rsidRPr="00AF27CD">
        <w:rPr>
          <w:rFonts w:ascii="Times New Roman" w:hAnsi="Times New Roman" w:cs="Times New Roman"/>
          <w:szCs w:val="24"/>
        </w:rPr>
        <w:t xml:space="preserve">będzie się </w:t>
      </w:r>
      <w:r w:rsidRPr="00AF27CD">
        <w:rPr>
          <w:rFonts w:ascii="Times New Roman" w:hAnsi="Times New Roman" w:cs="Times New Roman"/>
          <w:szCs w:val="24"/>
        </w:rPr>
        <w:t>odbyw</w:t>
      </w:r>
      <w:r w:rsidR="00593986" w:rsidRPr="00AF27CD">
        <w:rPr>
          <w:rFonts w:ascii="Times New Roman" w:hAnsi="Times New Roman" w:cs="Times New Roman"/>
          <w:szCs w:val="24"/>
        </w:rPr>
        <w:t>ać</w:t>
      </w:r>
      <w:r w:rsidRPr="00AF27CD">
        <w:rPr>
          <w:rFonts w:ascii="Times New Roman" w:hAnsi="Times New Roman" w:cs="Times New Roman"/>
          <w:szCs w:val="24"/>
        </w:rPr>
        <w:t xml:space="preserve"> </w:t>
      </w:r>
      <w:r w:rsidR="00395D84">
        <w:rPr>
          <w:rFonts w:ascii="Times New Roman" w:hAnsi="Times New Roman" w:cs="Times New Roman"/>
          <w:szCs w:val="24"/>
        </w:rPr>
        <w:t>z</w:t>
      </w:r>
      <w:r w:rsidR="00A7541B">
        <w:rPr>
          <w:rFonts w:ascii="Times New Roman" w:hAnsi="Times New Roman" w:cs="Times New Roman"/>
          <w:szCs w:val="24"/>
        </w:rPr>
        <w:t> </w:t>
      </w:r>
      <w:r w:rsidR="00BD4522" w:rsidRPr="00AF27CD">
        <w:rPr>
          <w:rFonts w:ascii="Times New Roman" w:hAnsi="Times New Roman" w:cs="Times New Roman"/>
          <w:szCs w:val="24"/>
        </w:rPr>
        <w:t>wykorzystaniem z</w:t>
      </w:r>
      <w:r w:rsidRPr="00AF27CD">
        <w:rPr>
          <w:rFonts w:ascii="Times New Roman" w:hAnsi="Times New Roman" w:cs="Times New Roman"/>
          <w:szCs w:val="24"/>
        </w:rPr>
        <w:t>bioru danych identyfikujących jednostkę strzeleckiej broni palnej lub istotny komponent (profil broni) oraz przypisanego do niego uporządkowanego chronologicznie zbioru danych, dotyczących czynności dokonywanych z daną jednostką strzeleckiej broni palnej lub istotnym komponentem (historia broni). Określone zostały podmioty uprawnione do zakładania profilu broni oraz dane określające broń. Taki profil broni jest punktem początkowym systemu i powstaje w momencie wprowadzania po raz pierwszy danych o konkretnej jednostce br</w:t>
      </w:r>
      <w:r w:rsidR="00395D84">
        <w:rPr>
          <w:rFonts w:ascii="Times New Roman" w:hAnsi="Times New Roman" w:cs="Times New Roman"/>
          <w:szCs w:val="24"/>
        </w:rPr>
        <w:t>oni lub istotnym komponencie. W</w:t>
      </w:r>
      <w:r w:rsidR="00A7541B">
        <w:rPr>
          <w:rFonts w:ascii="Times New Roman" w:hAnsi="Times New Roman" w:cs="Times New Roman"/>
          <w:szCs w:val="24"/>
        </w:rPr>
        <w:t> </w:t>
      </w:r>
      <w:r w:rsidRPr="00AF27CD">
        <w:rPr>
          <w:rFonts w:ascii="Times New Roman" w:hAnsi="Times New Roman" w:cs="Times New Roman"/>
          <w:szCs w:val="24"/>
        </w:rPr>
        <w:t xml:space="preserve">zależności od rodzaju dokonywanych czynności zobowiązane do tego podmioty wprowadzają do SRB przy profilu broni </w:t>
      </w:r>
      <w:r w:rsidR="00422EA7" w:rsidRPr="00AF27CD">
        <w:rPr>
          <w:rFonts w:ascii="Times New Roman" w:hAnsi="Times New Roman" w:cs="Times New Roman"/>
          <w:szCs w:val="24"/>
        </w:rPr>
        <w:t>–</w:t>
      </w:r>
      <w:r w:rsidRPr="00AF27CD">
        <w:rPr>
          <w:rFonts w:ascii="Times New Roman" w:hAnsi="Times New Roman" w:cs="Times New Roman"/>
          <w:szCs w:val="24"/>
        </w:rPr>
        <w:t xml:space="preserve"> określone w </w:t>
      </w:r>
      <w:r w:rsidR="005E12FC" w:rsidRPr="00AF27CD">
        <w:rPr>
          <w:rFonts w:ascii="Times New Roman" w:hAnsi="Times New Roman" w:cs="Times New Roman"/>
          <w:szCs w:val="24"/>
        </w:rPr>
        <w:t xml:space="preserve">projektowanej </w:t>
      </w:r>
      <w:r w:rsidRPr="00AF27CD">
        <w:rPr>
          <w:rFonts w:ascii="Times New Roman" w:hAnsi="Times New Roman" w:cs="Times New Roman"/>
          <w:szCs w:val="24"/>
        </w:rPr>
        <w:t>ustawie szczegółowe dane dotyczące np. wytworzenia strzeleckiej broni palnej, w tym naprawy, remontu, przeróbki, pozbawienia cech użytkowych lub zniszczenia posiadanej broni lub istotnego komponentu, nabycia strzeleckiej broni palnej</w:t>
      </w:r>
      <w:r w:rsidR="00395D84">
        <w:rPr>
          <w:rFonts w:ascii="Times New Roman" w:hAnsi="Times New Roman" w:cs="Times New Roman"/>
          <w:szCs w:val="24"/>
        </w:rPr>
        <w:t xml:space="preserve"> i kraju nabycia, dane zbywcy i</w:t>
      </w:r>
      <w:r w:rsidR="00A7541B">
        <w:rPr>
          <w:rFonts w:ascii="Times New Roman" w:hAnsi="Times New Roman" w:cs="Times New Roman"/>
          <w:szCs w:val="24"/>
        </w:rPr>
        <w:t> </w:t>
      </w:r>
      <w:r w:rsidRPr="00AF27CD">
        <w:rPr>
          <w:rFonts w:ascii="Times New Roman" w:hAnsi="Times New Roman" w:cs="Times New Roman"/>
          <w:szCs w:val="24"/>
        </w:rPr>
        <w:t>datę nabycia, dane identyfikujące d</w:t>
      </w:r>
      <w:r w:rsidR="0062182D" w:rsidRPr="00AF27CD">
        <w:rPr>
          <w:rFonts w:ascii="Times New Roman" w:hAnsi="Times New Roman" w:cs="Times New Roman"/>
          <w:szCs w:val="24"/>
        </w:rPr>
        <w:t>okument uprawniający do nabycia, jak również informacje o ograniczeniach w dalszej odsprzedaży broni w przypadku jej przemieszczania lub wywozu do krajów trzecich.</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SRB </w:t>
      </w:r>
      <w:r w:rsidR="005E12FC" w:rsidRPr="00AF27CD">
        <w:rPr>
          <w:rFonts w:ascii="Times New Roman" w:hAnsi="Times New Roman" w:cs="Times New Roman"/>
          <w:szCs w:val="24"/>
        </w:rPr>
        <w:t xml:space="preserve">będzie </w:t>
      </w:r>
      <w:r w:rsidRPr="00AF27CD">
        <w:rPr>
          <w:rFonts w:ascii="Times New Roman" w:hAnsi="Times New Roman" w:cs="Times New Roman"/>
          <w:szCs w:val="24"/>
        </w:rPr>
        <w:t>zasilany również w szczegółowo określone ustawą dane wprowadzane przez organy uprawnione do wydawania pozwoleń na bro</w:t>
      </w:r>
      <w:r w:rsidR="00395D84">
        <w:rPr>
          <w:rFonts w:ascii="Times New Roman" w:hAnsi="Times New Roman" w:cs="Times New Roman"/>
          <w:szCs w:val="24"/>
        </w:rPr>
        <w:t>ń, uzupełniające profil broni o</w:t>
      </w:r>
      <w:r w:rsidR="00A7541B">
        <w:rPr>
          <w:rFonts w:ascii="Times New Roman" w:hAnsi="Times New Roman" w:cs="Times New Roman"/>
          <w:szCs w:val="24"/>
        </w:rPr>
        <w:t> </w:t>
      </w:r>
      <w:r w:rsidRPr="00AF27CD">
        <w:rPr>
          <w:rFonts w:ascii="Times New Roman" w:hAnsi="Times New Roman" w:cs="Times New Roman"/>
          <w:szCs w:val="24"/>
        </w:rPr>
        <w:t>jej historię: kolejnych właścicieli, utracie, pozbawieniu broni cech użytkowych, użyczeniu, miejscu przechowywania broni.</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Profil broni zawierać będzie również informacje o naprawach, remontach i przeróbkach strzeleckiej broni palnej mających związek ze zmianą jej kategorii, podkategorii lub kalibru oraz o zmianie (uzupełnieniu) jej oznakowania. Historia broni związana nierozłącznie z jej profilem obejmuje również przechowanie lub komis.</w:t>
      </w:r>
    </w:p>
    <w:p w:rsidR="00DE23FE"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Przepisy </w:t>
      </w:r>
      <w:r w:rsidR="00593986" w:rsidRPr="00AF27CD">
        <w:rPr>
          <w:rFonts w:ascii="Times New Roman" w:hAnsi="Times New Roman" w:cs="Times New Roman"/>
          <w:szCs w:val="24"/>
        </w:rPr>
        <w:t xml:space="preserve">projektowanej </w:t>
      </w:r>
      <w:r w:rsidRPr="00AF27CD">
        <w:rPr>
          <w:rFonts w:ascii="Times New Roman" w:hAnsi="Times New Roman" w:cs="Times New Roman"/>
          <w:szCs w:val="24"/>
        </w:rPr>
        <w:t xml:space="preserve">ustawy określają zakres danych, jakie będą wprowadzać do SRB organy właściwe do wydawania pozwoleń na broń oraz zaświadczeń uprawniających do nabycia broni. Przepisy </w:t>
      </w:r>
      <w:r w:rsidR="005E12FC" w:rsidRPr="00AF27CD">
        <w:rPr>
          <w:rFonts w:ascii="Times New Roman" w:hAnsi="Times New Roman" w:cs="Times New Roman"/>
          <w:szCs w:val="24"/>
        </w:rPr>
        <w:t xml:space="preserve">projektowanej </w:t>
      </w:r>
      <w:r w:rsidRPr="00AF27CD">
        <w:rPr>
          <w:rFonts w:ascii="Times New Roman" w:hAnsi="Times New Roman" w:cs="Times New Roman"/>
          <w:szCs w:val="24"/>
        </w:rPr>
        <w:t>ustawy określają również dane identyfikujące przedsiębiorców uprawnionyc</w:t>
      </w:r>
      <w:r w:rsidR="00395D84">
        <w:rPr>
          <w:rFonts w:ascii="Times New Roman" w:hAnsi="Times New Roman" w:cs="Times New Roman"/>
          <w:szCs w:val="24"/>
        </w:rPr>
        <w:t>h do wykonywania działalności w</w:t>
      </w:r>
      <w:r w:rsidR="00A7541B">
        <w:rPr>
          <w:rFonts w:ascii="Times New Roman" w:hAnsi="Times New Roman" w:cs="Times New Roman"/>
          <w:szCs w:val="24"/>
        </w:rPr>
        <w:t> </w:t>
      </w:r>
      <w:r w:rsidRPr="00AF27CD">
        <w:rPr>
          <w:rFonts w:ascii="Times New Roman" w:hAnsi="Times New Roman" w:cs="Times New Roman"/>
          <w:szCs w:val="24"/>
        </w:rPr>
        <w:t xml:space="preserve">zakresie wytwarzania lub obrotu strzelecką bronią palną, które będzie wprowadzał organ koncesyjny. Kolejna grupa przepisów określa obowiązki przedsiębiorców, co do osób uprawnionych do wprowadzania danych do SRB, które </w:t>
      </w:r>
      <w:r w:rsidR="002675F1" w:rsidRPr="00AF27CD">
        <w:rPr>
          <w:rFonts w:ascii="Times New Roman" w:hAnsi="Times New Roman" w:cs="Times New Roman"/>
          <w:szCs w:val="24"/>
        </w:rPr>
        <w:t xml:space="preserve">mają </w:t>
      </w:r>
      <w:r w:rsidRPr="00AF27CD">
        <w:rPr>
          <w:rFonts w:ascii="Times New Roman" w:hAnsi="Times New Roman" w:cs="Times New Roman"/>
          <w:szCs w:val="24"/>
        </w:rPr>
        <w:t xml:space="preserve">spełniać warunki określone w ustawie oraz obowiązek prowadzenia rejestru tych osób. </w:t>
      </w:r>
      <w:r w:rsidR="002675F1" w:rsidRPr="00AF27CD">
        <w:rPr>
          <w:rFonts w:ascii="Times New Roman" w:hAnsi="Times New Roman" w:cs="Times New Roman"/>
          <w:szCs w:val="24"/>
        </w:rPr>
        <w:t>Projektowana u</w:t>
      </w:r>
      <w:r w:rsidRPr="00AF27CD">
        <w:rPr>
          <w:rFonts w:ascii="Times New Roman" w:hAnsi="Times New Roman" w:cs="Times New Roman"/>
          <w:szCs w:val="24"/>
        </w:rPr>
        <w:t>stawa zawiera ponadto wykaz podmiotów uprawnionych do dostępu do SRB ora</w:t>
      </w:r>
      <w:r w:rsidR="00AD4ACF" w:rsidRPr="00AF27CD">
        <w:rPr>
          <w:rFonts w:ascii="Times New Roman" w:hAnsi="Times New Roman" w:cs="Times New Roman"/>
          <w:szCs w:val="24"/>
        </w:rPr>
        <w:t>z zakres ich działań w systemie</w:t>
      </w:r>
      <w:r w:rsidR="00DE23FE" w:rsidRPr="00AF27CD">
        <w:rPr>
          <w:rFonts w:ascii="Times New Roman" w:hAnsi="Times New Roman" w:cs="Times New Roman"/>
          <w:szCs w:val="24"/>
        </w:rPr>
        <w:t>.</w:t>
      </w:r>
    </w:p>
    <w:p w:rsidR="00C55D9E" w:rsidRPr="00AF27CD" w:rsidRDefault="00941D08"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Art. 1</w:t>
      </w:r>
      <w:r w:rsidR="004150F3" w:rsidRPr="00AF27CD">
        <w:rPr>
          <w:rFonts w:ascii="Times New Roman" w:hAnsi="Times New Roman" w:cs="Times New Roman"/>
          <w:szCs w:val="24"/>
        </w:rPr>
        <w:t>2</w:t>
      </w:r>
      <w:r w:rsidR="00EB5994" w:rsidRPr="00AF27CD">
        <w:rPr>
          <w:rFonts w:ascii="Times New Roman" w:hAnsi="Times New Roman" w:cs="Times New Roman"/>
          <w:szCs w:val="24"/>
        </w:rPr>
        <w:t>1</w:t>
      </w:r>
      <w:r w:rsidR="00CA1D26" w:rsidRPr="00AF27CD">
        <w:rPr>
          <w:rFonts w:ascii="Times New Roman" w:hAnsi="Times New Roman" w:cs="Times New Roman"/>
          <w:szCs w:val="24"/>
        </w:rPr>
        <w:t xml:space="preserve"> </w:t>
      </w:r>
      <w:r w:rsidR="002675F1" w:rsidRPr="00AF27CD">
        <w:rPr>
          <w:rFonts w:ascii="Times New Roman" w:hAnsi="Times New Roman" w:cs="Times New Roman"/>
          <w:szCs w:val="24"/>
        </w:rPr>
        <w:t xml:space="preserve">projektowanej </w:t>
      </w:r>
      <w:r w:rsidR="00CA1D26" w:rsidRPr="00AF27CD">
        <w:rPr>
          <w:rFonts w:ascii="Times New Roman" w:hAnsi="Times New Roman" w:cs="Times New Roman"/>
          <w:szCs w:val="24"/>
        </w:rPr>
        <w:t>ustawy określa podmioty uprawnione do dostępu do SRB</w:t>
      </w:r>
      <w:r w:rsidR="00C55D9E" w:rsidRPr="00AF27CD">
        <w:rPr>
          <w:rFonts w:ascii="Times New Roman" w:hAnsi="Times New Roman" w:cs="Times New Roman"/>
          <w:szCs w:val="24"/>
        </w:rPr>
        <w:t xml:space="preserve"> oraz zakres ich uprawnień w systemie. Poza przedsiębiorcami, organem koncesyjnym, organami Policji i Żandarmerii Wojskowej, podmiotami uprawnionymi do poświadczania pozbawienia strzeleckiej broni palnej cech użytkowych, ministrem właściwym do spraw gospodarki oraz administratorem systemu enumeratywnie wskazano służby i agencje uprawnione do dostępu w związku z realizowanymi czynnościami służbowymi, określonymi w odpowiednich ustawach.</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Poza SRB pozostaje działalność gospodarcza wykonywana na podstawie koncesji ministra właściwego do spraw wewnętrznych udzielonej w zakresie obrotu w formie pośrednictwa polegającego na negocjowaniu, doradztwie handlowym, pomocy w</w:t>
      </w:r>
      <w:r w:rsidR="00A7541B">
        <w:rPr>
          <w:rFonts w:ascii="Times New Roman" w:hAnsi="Times New Roman" w:cs="Times New Roman"/>
          <w:szCs w:val="24"/>
        </w:rPr>
        <w:t> </w:t>
      </w:r>
      <w:r w:rsidRPr="00AF27CD">
        <w:rPr>
          <w:rFonts w:ascii="Times New Roman" w:hAnsi="Times New Roman" w:cs="Times New Roman"/>
          <w:szCs w:val="24"/>
        </w:rPr>
        <w:t>zawieraniu umów oraz organizowaniu przemieszczania broni i amunicji</w:t>
      </w:r>
      <w:r w:rsidR="00DE23FE" w:rsidRPr="00AF27CD">
        <w:rPr>
          <w:rFonts w:ascii="Times New Roman" w:hAnsi="Times New Roman" w:cs="Times New Roman"/>
          <w:szCs w:val="24"/>
        </w:rPr>
        <w:t>, czyli w tych przypadkach, gdy przedsiębiorca nie staje się właścicielem broni i nie ma prawa do dysponowania bronią.</w:t>
      </w:r>
    </w:p>
    <w:p w:rsidR="00A93E79" w:rsidRPr="00AF27CD" w:rsidRDefault="00BE4B43" w:rsidP="000E36DB">
      <w:pPr>
        <w:pStyle w:val="TYTDZPRZEDMprzedmiotregulacjitytuulubdziau"/>
        <w:tabs>
          <w:tab w:val="left" w:pos="426"/>
        </w:tabs>
        <w:jc w:val="both"/>
        <w:rPr>
          <w:rFonts w:ascii="Times New Roman" w:hAnsi="Times New Roman"/>
          <w:szCs w:val="24"/>
        </w:rPr>
      </w:pPr>
      <w:r>
        <w:rPr>
          <w:rFonts w:ascii="Times New Roman" w:hAnsi="Times New Roman"/>
          <w:szCs w:val="24"/>
        </w:rPr>
        <w:t>7.</w:t>
      </w:r>
      <w:r>
        <w:rPr>
          <w:rFonts w:ascii="Times New Roman" w:hAnsi="Times New Roman"/>
          <w:szCs w:val="24"/>
        </w:rPr>
        <w:tab/>
      </w:r>
      <w:r w:rsidR="00A93E79" w:rsidRPr="00AF27CD">
        <w:rPr>
          <w:rFonts w:ascii="Times New Roman" w:hAnsi="Times New Roman"/>
          <w:szCs w:val="24"/>
        </w:rPr>
        <w:t>Dział V</w:t>
      </w:r>
      <w:r w:rsidR="00A93E79" w:rsidRPr="00AF27CD">
        <w:rPr>
          <w:rFonts w:ascii="Times New Roman" w:hAnsi="Times New Roman"/>
          <w:b w:val="0"/>
          <w:szCs w:val="24"/>
        </w:rPr>
        <w:t xml:space="preserve"> </w:t>
      </w:r>
      <w:r w:rsidR="00A93E79" w:rsidRPr="00AF27CD">
        <w:rPr>
          <w:rFonts w:ascii="Times New Roman" w:hAnsi="Times New Roman"/>
          <w:szCs w:val="24"/>
        </w:rPr>
        <w:t>– Kontrola działalności</w:t>
      </w:r>
      <w:r w:rsidR="00A93E79" w:rsidRPr="00AF27CD">
        <w:rPr>
          <w:rFonts w:ascii="Times New Roman" w:hAnsi="Times New Roman"/>
          <w:b w:val="0"/>
          <w:szCs w:val="24"/>
        </w:rPr>
        <w:t xml:space="preserve"> </w:t>
      </w:r>
      <w:r w:rsidR="00A93E79" w:rsidRPr="00AF27CD">
        <w:rPr>
          <w:rFonts w:ascii="Times New Roman" w:hAnsi="Times New Roman"/>
          <w:szCs w:val="24"/>
        </w:rPr>
        <w:t>gospodarczej w zakresie wytwarzania i obrotu materiałami wybuchowymi, bronią, amunicj</w:t>
      </w:r>
      <w:r w:rsidR="00395D84">
        <w:rPr>
          <w:rFonts w:ascii="Times New Roman" w:hAnsi="Times New Roman"/>
          <w:szCs w:val="24"/>
        </w:rPr>
        <w:t>ą oraz wyrobami i technologią o</w:t>
      </w:r>
      <w:r w:rsidR="00A7541B">
        <w:rPr>
          <w:rFonts w:ascii="Times New Roman" w:hAnsi="Times New Roman"/>
          <w:szCs w:val="24"/>
        </w:rPr>
        <w:t> </w:t>
      </w:r>
      <w:r w:rsidR="00A93E79" w:rsidRPr="00AF27CD">
        <w:rPr>
          <w:rFonts w:ascii="Times New Roman" w:hAnsi="Times New Roman"/>
          <w:szCs w:val="24"/>
        </w:rPr>
        <w:t>przeznaczeniu wojskowym lub policyjnym (art. 1</w:t>
      </w:r>
      <w:r w:rsidR="004150F3" w:rsidRPr="00AF27CD">
        <w:rPr>
          <w:rFonts w:ascii="Times New Roman" w:hAnsi="Times New Roman"/>
          <w:szCs w:val="24"/>
        </w:rPr>
        <w:t>2</w:t>
      </w:r>
      <w:r w:rsidR="00EB5994" w:rsidRPr="00AF27CD">
        <w:rPr>
          <w:rFonts w:ascii="Times New Roman" w:hAnsi="Times New Roman"/>
          <w:szCs w:val="24"/>
        </w:rPr>
        <w:t>2</w:t>
      </w:r>
      <w:r w:rsidR="00422EA7" w:rsidRPr="00AF27CD">
        <w:rPr>
          <w:rFonts w:ascii="Times New Roman" w:hAnsi="Times New Roman"/>
          <w:szCs w:val="24"/>
        </w:rPr>
        <w:t>–</w:t>
      </w:r>
      <w:r w:rsidR="00A93E79" w:rsidRPr="00AF27CD">
        <w:rPr>
          <w:rFonts w:ascii="Times New Roman" w:hAnsi="Times New Roman"/>
          <w:szCs w:val="24"/>
        </w:rPr>
        <w:t>12</w:t>
      </w:r>
      <w:r w:rsidR="00EB5994" w:rsidRPr="00AF27CD">
        <w:rPr>
          <w:rFonts w:ascii="Times New Roman" w:hAnsi="Times New Roman"/>
          <w:szCs w:val="24"/>
        </w:rPr>
        <w:t>9</w:t>
      </w:r>
      <w:r w:rsidR="00A93E79" w:rsidRPr="00AF27CD">
        <w:rPr>
          <w:rFonts w:ascii="Times New Roman" w:hAnsi="Times New Roman"/>
          <w:szCs w:val="24"/>
        </w:rPr>
        <w:t>)</w:t>
      </w:r>
    </w:p>
    <w:p w:rsidR="00F44569" w:rsidRPr="00AF27CD" w:rsidRDefault="00F4456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Do kontroli działalności gospodarczej w zakresie wytwarzania i obrotu materiałami wybuchowymi, bronią, amunicją oraz wyrobami i technologią o przeznaczeniu wojskowym lub policyjnym, stosuje się przepisy rozdziału 5 ustawy </w:t>
      </w:r>
      <w:r w:rsidR="00187207" w:rsidRPr="00AF27CD">
        <w:rPr>
          <w:rFonts w:ascii="Times New Roman" w:hAnsi="Times New Roman" w:cs="Times New Roman"/>
          <w:szCs w:val="24"/>
        </w:rPr>
        <w:t>z</w:t>
      </w:r>
      <w:r w:rsidR="00422EA7" w:rsidRPr="00AF27CD">
        <w:rPr>
          <w:rFonts w:ascii="Times New Roman" w:hAnsi="Times New Roman" w:cs="Times New Roman"/>
          <w:szCs w:val="24"/>
        </w:rPr>
        <w:t xml:space="preserve"> </w:t>
      </w:r>
      <w:r w:rsidR="00187207" w:rsidRPr="00AF27CD">
        <w:rPr>
          <w:rFonts w:ascii="Times New Roman" w:hAnsi="Times New Roman" w:cs="Times New Roman"/>
          <w:szCs w:val="24"/>
        </w:rPr>
        <w:t>dnia 6 marca 2018 r. – Prawo przedsiębiorców</w:t>
      </w:r>
      <w:r w:rsidRPr="00AF27CD">
        <w:rPr>
          <w:rFonts w:ascii="Times New Roman" w:hAnsi="Times New Roman" w:cs="Times New Roman"/>
          <w:szCs w:val="24"/>
        </w:rPr>
        <w:t xml:space="preserve">. Kontrolę sprawują: organ koncesyjny, minister właściwy do spraw gospodarki, komendanci wojewódzcy Policji oraz inne organy państwowe, w zakresie określonym </w:t>
      </w:r>
      <w:r w:rsidR="002675F1" w:rsidRPr="00AF27CD">
        <w:rPr>
          <w:rFonts w:ascii="Times New Roman" w:hAnsi="Times New Roman" w:cs="Times New Roman"/>
          <w:szCs w:val="24"/>
        </w:rPr>
        <w:t>projektowan</w:t>
      </w:r>
      <w:r w:rsidR="00BE4B43">
        <w:rPr>
          <w:rFonts w:ascii="Times New Roman" w:hAnsi="Times New Roman" w:cs="Times New Roman"/>
          <w:szCs w:val="24"/>
        </w:rPr>
        <w:t>ą</w:t>
      </w:r>
      <w:r w:rsidR="002675F1" w:rsidRPr="00AF27CD">
        <w:rPr>
          <w:rFonts w:ascii="Times New Roman" w:hAnsi="Times New Roman" w:cs="Times New Roman"/>
          <w:szCs w:val="24"/>
        </w:rPr>
        <w:t xml:space="preserve"> </w:t>
      </w:r>
      <w:r w:rsidRPr="00AF27CD">
        <w:rPr>
          <w:rFonts w:ascii="Times New Roman" w:hAnsi="Times New Roman" w:cs="Times New Roman"/>
          <w:szCs w:val="24"/>
        </w:rPr>
        <w:t>ustawą lub innymi przepisami odrębnymi.</w:t>
      </w:r>
      <w:r w:rsidR="00422EA7" w:rsidRPr="00AF27CD">
        <w:rPr>
          <w:rFonts w:ascii="Times New Roman" w:hAnsi="Times New Roman" w:cs="Times New Roman"/>
          <w:szCs w:val="24"/>
        </w:rPr>
        <w:t xml:space="preserve"> </w:t>
      </w:r>
    </w:p>
    <w:p w:rsidR="00F44569" w:rsidRPr="00AF27CD" w:rsidRDefault="00F44569" w:rsidP="00422EA7">
      <w:pPr>
        <w:pStyle w:val="ARTartustawynprozporzdzenia"/>
        <w:ind w:firstLine="0"/>
        <w:rPr>
          <w:rFonts w:ascii="Times New Roman" w:hAnsi="Times New Roman" w:cs="Times New Roman"/>
          <w:bCs/>
          <w:szCs w:val="24"/>
        </w:rPr>
      </w:pPr>
      <w:r w:rsidRPr="00AF27CD">
        <w:rPr>
          <w:rFonts w:ascii="Times New Roman" w:hAnsi="Times New Roman" w:cs="Times New Roman"/>
          <w:szCs w:val="24"/>
        </w:rPr>
        <w:t xml:space="preserve">Po konsultacjach przeprowadzonych z Komendą Główną Policji rozszerzono zakres kontroli przeprowadzanej przez komendantów wojewódzkich Policji </w:t>
      </w:r>
      <w:r w:rsidRPr="00AF27CD">
        <w:rPr>
          <w:rFonts w:ascii="Times New Roman" w:hAnsi="Times New Roman" w:cs="Times New Roman"/>
          <w:bCs/>
          <w:szCs w:val="24"/>
        </w:rPr>
        <w:t>o wytwarzanie materiałów wybuchowych, broni, amunicji oraz wyrobów o przeznaczeniu wojskowym lub po</w:t>
      </w:r>
      <w:r w:rsidR="002675F1" w:rsidRPr="00AF27CD">
        <w:rPr>
          <w:rFonts w:ascii="Times New Roman" w:hAnsi="Times New Roman" w:cs="Times New Roman"/>
          <w:bCs/>
          <w:szCs w:val="24"/>
        </w:rPr>
        <w:t>licyjnym. W związku z powyższym</w:t>
      </w:r>
      <w:r w:rsidRPr="00AF27CD">
        <w:rPr>
          <w:rFonts w:ascii="Times New Roman" w:hAnsi="Times New Roman" w:cs="Times New Roman"/>
          <w:bCs/>
          <w:szCs w:val="24"/>
        </w:rPr>
        <w:t xml:space="preserve"> komendanci wojewódzcy Policji uzyskają możliwość przeprowadzania kontroli koncesjonowanych przedsiębiorców w pełnym zakresie, tj. </w:t>
      </w:r>
      <w:r w:rsidRPr="00AF27CD">
        <w:rPr>
          <w:rFonts w:ascii="Times New Roman" w:hAnsi="Times New Roman" w:cs="Times New Roman"/>
          <w:szCs w:val="24"/>
        </w:rPr>
        <w:t>wytwarzania i obrotu materiałami wybuchowymi, bronią, amunicją oraz wyrobami i technologią o przeznaczeniu wojskowym lub policyjnym</w:t>
      </w:r>
      <w:r w:rsidRPr="00AF27CD">
        <w:rPr>
          <w:rFonts w:ascii="Times New Roman" w:hAnsi="Times New Roman" w:cs="Times New Roman"/>
          <w:bCs/>
          <w:szCs w:val="24"/>
        </w:rPr>
        <w:t xml:space="preserve">. Należy zauważyć, iż działalność gospodarcza w zakresie wytwarzania i obrotu materiałami koncesjonowanymi jest ze sobą nierozerwalnie związana (np. przedsiębiorcy prowadzą wspólne księgi ewidencyjne dla materiałów wytworzonych i przeznaczonych do obrotu). Tak więc zasadne jest, aby Policja posiadała możliwość przeprowadzenia czynności kontrolnych w pełnym zakresie. </w:t>
      </w:r>
    </w:p>
    <w:p w:rsidR="00F44569" w:rsidRPr="00AF27CD" w:rsidRDefault="00F44569" w:rsidP="00422EA7">
      <w:pPr>
        <w:pStyle w:val="ARTartustawynprozporzdzenia"/>
        <w:ind w:firstLine="0"/>
        <w:rPr>
          <w:rFonts w:ascii="Times New Roman" w:hAnsi="Times New Roman" w:cs="Times New Roman"/>
          <w:bCs/>
          <w:szCs w:val="24"/>
        </w:rPr>
      </w:pPr>
      <w:r w:rsidRPr="00AF27CD">
        <w:rPr>
          <w:rFonts w:ascii="Times New Roman" w:hAnsi="Times New Roman" w:cs="Times New Roman"/>
          <w:bCs/>
          <w:szCs w:val="24"/>
        </w:rPr>
        <w:t>Ponadto, po konsultacjach przeprowadzonych z ówczesnym Ministerstwem Rozwoju</w:t>
      </w:r>
      <w:r w:rsidR="002675F1" w:rsidRPr="00AF27CD">
        <w:rPr>
          <w:rFonts w:ascii="Times New Roman" w:hAnsi="Times New Roman" w:cs="Times New Roman"/>
          <w:bCs/>
          <w:szCs w:val="24"/>
        </w:rPr>
        <w:t>,</w:t>
      </w:r>
      <w:r w:rsidRPr="00AF27CD">
        <w:rPr>
          <w:rFonts w:ascii="Times New Roman" w:hAnsi="Times New Roman" w:cs="Times New Roman"/>
          <w:bCs/>
          <w:szCs w:val="24"/>
        </w:rPr>
        <w:t xml:space="preserve"> zmianie uległ, w porównaniu z dotychczasowymi przepisami ustawy z dnia 22 czerwca 2001 r.</w:t>
      </w:r>
      <w:r w:rsidR="002675F1" w:rsidRPr="00AF27CD">
        <w:rPr>
          <w:rFonts w:ascii="Times New Roman" w:hAnsi="Times New Roman" w:cs="Times New Roman"/>
          <w:bCs/>
          <w:szCs w:val="24"/>
        </w:rPr>
        <w:t>,</w:t>
      </w:r>
      <w:r w:rsidRPr="00AF27CD">
        <w:rPr>
          <w:rFonts w:ascii="Times New Roman" w:hAnsi="Times New Roman" w:cs="Times New Roman"/>
          <w:bCs/>
          <w:szCs w:val="24"/>
        </w:rPr>
        <w:t xml:space="preserve"> zakres kontroli przeprowadzanej przez ministra właściwego do spraw gospodarki. Zgodnie z projektem ustawy minister właściwy do spraw gospodarki </w:t>
      </w:r>
      <w:r w:rsidR="00941D08" w:rsidRPr="00AF27CD">
        <w:rPr>
          <w:rFonts w:ascii="Times New Roman" w:hAnsi="Times New Roman" w:cs="Times New Roman"/>
          <w:bCs/>
          <w:szCs w:val="24"/>
        </w:rPr>
        <w:t xml:space="preserve">będzie </w:t>
      </w:r>
      <w:r w:rsidRPr="00AF27CD">
        <w:rPr>
          <w:rFonts w:ascii="Times New Roman" w:hAnsi="Times New Roman" w:cs="Times New Roman"/>
          <w:bCs/>
          <w:szCs w:val="24"/>
        </w:rPr>
        <w:t>przeprowadza</w:t>
      </w:r>
      <w:r w:rsidR="00941D08" w:rsidRPr="00AF27CD">
        <w:rPr>
          <w:rFonts w:ascii="Times New Roman" w:hAnsi="Times New Roman" w:cs="Times New Roman"/>
          <w:bCs/>
          <w:szCs w:val="24"/>
        </w:rPr>
        <w:t>ł</w:t>
      </w:r>
      <w:r w:rsidR="002675F1" w:rsidRPr="00AF27CD">
        <w:rPr>
          <w:rFonts w:ascii="Times New Roman" w:hAnsi="Times New Roman" w:cs="Times New Roman"/>
          <w:bCs/>
          <w:szCs w:val="24"/>
        </w:rPr>
        <w:t xml:space="preserve">, </w:t>
      </w:r>
      <w:r w:rsidR="006E5E35" w:rsidRPr="00AF27CD">
        <w:rPr>
          <w:rFonts w:ascii="Times New Roman" w:hAnsi="Times New Roman" w:cs="Times New Roman"/>
          <w:szCs w:val="24"/>
        </w:rPr>
        <w:t>w zakresie sposobu i zgodności z przepisami ustawy</w:t>
      </w:r>
      <w:r w:rsidR="002675F1" w:rsidRPr="00AF27CD">
        <w:rPr>
          <w:rFonts w:ascii="Times New Roman" w:hAnsi="Times New Roman" w:cs="Times New Roman"/>
          <w:szCs w:val="24"/>
        </w:rPr>
        <w:t xml:space="preserve">, </w:t>
      </w:r>
      <w:r w:rsidR="002675F1" w:rsidRPr="00AF27CD">
        <w:rPr>
          <w:rFonts w:ascii="Times New Roman" w:hAnsi="Times New Roman" w:cs="Times New Roman"/>
          <w:bCs/>
          <w:szCs w:val="24"/>
        </w:rPr>
        <w:t>kontrole</w:t>
      </w:r>
      <w:r w:rsidR="00422EA7" w:rsidRPr="00AF27CD">
        <w:rPr>
          <w:rFonts w:ascii="Times New Roman" w:hAnsi="Times New Roman" w:cs="Times New Roman"/>
          <w:szCs w:val="24"/>
        </w:rPr>
        <w:t xml:space="preserve"> </w:t>
      </w:r>
      <w:r w:rsidR="006E5E35" w:rsidRPr="00AF27CD">
        <w:rPr>
          <w:rFonts w:ascii="Times New Roman" w:hAnsi="Times New Roman" w:cs="Times New Roman"/>
          <w:szCs w:val="24"/>
        </w:rPr>
        <w:t>realizacji transakcji dokonanych na podstawie zezwoleń,</w:t>
      </w:r>
      <w:r w:rsidR="00422EA7" w:rsidRPr="00AF27CD">
        <w:rPr>
          <w:rFonts w:ascii="Times New Roman" w:hAnsi="Times New Roman" w:cs="Times New Roman"/>
          <w:szCs w:val="24"/>
        </w:rPr>
        <w:t xml:space="preserve"> </w:t>
      </w:r>
      <w:r w:rsidR="006E5E35" w:rsidRPr="00AF27CD">
        <w:rPr>
          <w:rFonts w:ascii="Times New Roman" w:hAnsi="Times New Roman" w:cs="Times New Roman"/>
          <w:szCs w:val="24"/>
        </w:rPr>
        <w:t>certyfikatów importowych oraz poświadczonych oświadczeń końcowego użytkownika</w:t>
      </w:r>
      <w:r w:rsidRPr="00AF27CD">
        <w:rPr>
          <w:rFonts w:ascii="Times New Roman" w:hAnsi="Times New Roman" w:cs="Times New Roman"/>
          <w:szCs w:val="24"/>
        </w:rPr>
        <w:t>. Powyższa zmiana wynika z</w:t>
      </w:r>
      <w:r w:rsidR="00A7541B">
        <w:rPr>
          <w:rFonts w:ascii="Times New Roman" w:hAnsi="Times New Roman" w:cs="Times New Roman"/>
          <w:szCs w:val="24"/>
        </w:rPr>
        <w:t> </w:t>
      </w:r>
      <w:r w:rsidRPr="00AF27CD">
        <w:rPr>
          <w:rFonts w:ascii="Times New Roman" w:hAnsi="Times New Roman" w:cs="Times New Roman"/>
          <w:szCs w:val="24"/>
        </w:rPr>
        <w:t xml:space="preserve">potrzeby wyznaczenia </w:t>
      </w:r>
      <w:r w:rsidRPr="00AF27CD">
        <w:rPr>
          <w:rFonts w:ascii="Times New Roman" w:eastAsia="Calibri" w:hAnsi="Times New Roman" w:cs="Times New Roman"/>
          <w:szCs w:val="24"/>
        </w:rPr>
        <w:t xml:space="preserve">ministrowi właściwemu ds. gospodarki zakresu działań kontrolnych, które dokładnie odpowiadałyby jego zadaniom z tytułu udzielania zezwoleń na </w:t>
      </w:r>
      <w:r w:rsidRPr="00AF27CD">
        <w:rPr>
          <w:rFonts w:ascii="Times New Roman" w:hAnsi="Times New Roman" w:cs="Times New Roman"/>
          <w:szCs w:val="24"/>
        </w:rPr>
        <w:t>wywóz broni palnej, części, isto</w:t>
      </w:r>
      <w:r w:rsidR="006E5E35" w:rsidRPr="00AF27CD">
        <w:rPr>
          <w:rFonts w:ascii="Times New Roman" w:hAnsi="Times New Roman" w:cs="Times New Roman"/>
          <w:szCs w:val="24"/>
        </w:rPr>
        <w:t>tnych komponentów oraz amunicji, jak również certyfikatów importowych i poświadczeń</w:t>
      </w:r>
      <w:r w:rsidR="00422EA7" w:rsidRPr="00AF27CD">
        <w:rPr>
          <w:rFonts w:ascii="Times New Roman" w:hAnsi="Times New Roman" w:cs="Times New Roman"/>
          <w:szCs w:val="24"/>
        </w:rPr>
        <w:t xml:space="preserve"> </w:t>
      </w:r>
      <w:r w:rsidR="006E5E35" w:rsidRPr="00AF27CD">
        <w:rPr>
          <w:rFonts w:ascii="Times New Roman" w:hAnsi="Times New Roman" w:cs="Times New Roman"/>
          <w:szCs w:val="24"/>
        </w:rPr>
        <w:t xml:space="preserve">oświadczeń końcowego użytkownika. </w:t>
      </w:r>
    </w:p>
    <w:p w:rsidR="00F44569" w:rsidRPr="00AF27CD" w:rsidRDefault="00F4456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Tak jak dotychczas, zgodnie z przepisami ustawy z dnia 22 czerwca 2001 r.</w:t>
      </w:r>
      <w:r w:rsidR="002675F1" w:rsidRPr="00AF27CD">
        <w:rPr>
          <w:rFonts w:ascii="Times New Roman" w:hAnsi="Times New Roman" w:cs="Times New Roman"/>
          <w:szCs w:val="24"/>
        </w:rPr>
        <w:t>,</w:t>
      </w:r>
      <w:r w:rsidRPr="00AF27CD">
        <w:rPr>
          <w:rFonts w:ascii="Times New Roman" w:hAnsi="Times New Roman" w:cs="Times New Roman"/>
          <w:szCs w:val="24"/>
        </w:rPr>
        <w:t xml:space="preserve"> do przeprowadzenia kontroli organ koncesyjny będzi</w:t>
      </w:r>
      <w:r w:rsidR="002675F1" w:rsidRPr="00AF27CD">
        <w:rPr>
          <w:rFonts w:ascii="Times New Roman" w:hAnsi="Times New Roman" w:cs="Times New Roman"/>
          <w:szCs w:val="24"/>
        </w:rPr>
        <w:t>e mógł powołać zespół kontrolny</w:t>
      </w:r>
      <w:r w:rsidRPr="00AF27CD">
        <w:rPr>
          <w:rFonts w:ascii="Times New Roman" w:hAnsi="Times New Roman" w:cs="Times New Roman"/>
          <w:szCs w:val="24"/>
        </w:rPr>
        <w:t xml:space="preserve"> działający na podstawie upoważnienia. </w:t>
      </w:r>
      <w:r w:rsidR="002675F1" w:rsidRPr="00AF27CD">
        <w:rPr>
          <w:rFonts w:ascii="Times New Roman" w:hAnsi="Times New Roman" w:cs="Times New Roman"/>
          <w:szCs w:val="24"/>
        </w:rPr>
        <w:t>Do projektowanej u</w:t>
      </w:r>
      <w:r w:rsidRPr="00AF27CD">
        <w:rPr>
          <w:rFonts w:ascii="Times New Roman" w:hAnsi="Times New Roman" w:cs="Times New Roman"/>
          <w:szCs w:val="24"/>
        </w:rPr>
        <w:t>staw</w:t>
      </w:r>
      <w:r w:rsidR="002675F1" w:rsidRPr="00AF27CD">
        <w:rPr>
          <w:rFonts w:ascii="Times New Roman" w:hAnsi="Times New Roman" w:cs="Times New Roman"/>
          <w:szCs w:val="24"/>
        </w:rPr>
        <w:t>y</w:t>
      </w:r>
      <w:r w:rsidRPr="00AF27CD">
        <w:rPr>
          <w:rFonts w:ascii="Times New Roman" w:hAnsi="Times New Roman" w:cs="Times New Roman"/>
          <w:szCs w:val="24"/>
        </w:rPr>
        <w:t xml:space="preserve"> przen</w:t>
      </w:r>
      <w:r w:rsidR="002675F1" w:rsidRPr="00AF27CD">
        <w:rPr>
          <w:rFonts w:ascii="Times New Roman" w:hAnsi="Times New Roman" w:cs="Times New Roman"/>
          <w:szCs w:val="24"/>
        </w:rPr>
        <w:t>iesiono</w:t>
      </w:r>
      <w:r w:rsidR="00395D84">
        <w:rPr>
          <w:rFonts w:ascii="Times New Roman" w:hAnsi="Times New Roman" w:cs="Times New Roman"/>
          <w:szCs w:val="24"/>
        </w:rPr>
        <w:t xml:space="preserve"> w</w:t>
      </w:r>
      <w:r w:rsidR="00A7541B">
        <w:rPr>
          <w:rFonts w:ascii="Times New Roman" w:hAnsi="Times New Roman" w:cs="Times New Roman"/>
          <w:szCs w:val="24"/>
        </w:rPr>
        <w:t> </w:t>
      </w:r>
      <w:r w:rsidRPr="00AF27CD">
        <w:rPr>
          <w:rFonts w:ascii="Times New Roman" w:hAnsi="Times New Roman" w:cs="Times New Roman"/>
          <w:szCs w:val="24"/>
        </w:rPr>
        <w:t>całości przepisy ustawy z dnia 22 czerwca 2001 r. w tym zakresie. Uprawnienie do powołania zespołu kontrolnego zyskuje,</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jako nowe </w:t>
      </w:r>
      <w:r w:rsidR="00104A5F" w:rsidRPr="00AF27CD">
        <w:rPr>
          <w:rFonts w:ascii="Times New Roman" w:hAnsi="Times New Roman" w:cs="Times New Roman"/>
          <w:szCs w:val="24"/>
        </w:rPr>
        <w:t>–</w:t>
      </w:r>
      <w:r w:rsidRPr="00AF27CD">
        <w:rPr>
          <w:rFonts w:ascii="Times New Roman" w:hAnsi="Times New Roman" w:cs="Times New Roman"/>
          <w:szCs w:val="24"/>
        </w:rPr>
        <w:t xml:space="preserve"> minister</w:t>
      </w:r>
      <w:r w:rsidR="00104A5F" w:rsidRPr="00AF27CD">
        <w:rPr>
          <w:rFonts w:ascii="Times New Roman" w:hAnsi="Times New Roman" w:cs="Times New Roman"/>
          <w:szCs w:val="24"/>
        </w:rPr>
        <w:t xml:space="preserve"> w</w:t>
      </w:r>
      <w:r w:rsidRPr="00AF27CD">
        <w:rPr>
          <w:rFonts w:ascii="Times New Roman" w:hAnsi="Times New Roman" w:cs="Times New Roman"/>
          <w:szCs w:val="24"/>
        </w:rPr>
        <w:t xml:space="preserve">łaściwy do spraw gospodarki. </w:t>
      </w:r>
    </w:p>
    <w:p w:rsidR="00F44569" w:rsidRPr="00AF27CD" w:rsidRDefault="00F4456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Na podstawie art. 1</w:t>
      </w:r>
      <w:r w:rsidR="008436F8" w:rsidRPr="00AF27CD">
        <w:rPr>
          <w:rFonts w:ascii="Times New Roman" w:hAnsi="Times New Roman" w:cs="Times New Roman"/>
          <w:szCs w:val="24"/>
        </w:rPr>
        <w:t>2</w:t>
      </w:r>
      <w:r w:rsidR="00EB5994" w:rsidRPr="00AF27CD">
        <w:rPr>
          <w:rFonts w:ascii="Times New Roman" w:hAnsi="Times New Roman" w:cs="Times New Roman"/>
          <w:szCs w:val="24"/>
        </w:rPr>
        <w:t>5</w:t>
      </w:r>
      <w:r w:rsidRPr="00AF27CD">
        <w:rPr>
          <w:rFonts w:ascii="Times New Roman" w:hAnsi="Times New Roman" w:cs="Times New Roman"/>
          <w:szCs w:val="24"/>
        </w:rPr>
        <w:t xml:space="preserve"> organ koncesyjny zysk</w:t>
      </w:r>
      <w:r w:rsidR="00773AC5" w:rsidRPr="00AF27CD">
        <w:rPr>
          <w:rFonts w:ascii="Times New Roman" w:hAnsi="Times New Roman" w:cs="Times New Roman"/>
          <w:szCs w:val="24"/>
        </w:rPr>
        <w:t>uje</w:t>
      </w:r>
      <w:r w:rsidRPr="00AF27CD">
        <w:rPr>
          <w:rFonts w:ascii="Times New Roman" w:hAnsi="Times New Roman" w:cs="Times New Roman"/>
          <w:szCs w:val="24"/>
        </w:rPr>
        <w:t xml:space="preserve"> możliwość upoważnienia Komendanta Głównego Policji do kontroli działalności gospodarczej w</w:t>
      </w:r>
      <w:r w:rsidR="00422EA7" w:rsidRPr="00AF27CD">
        <w:rPr>
          <w:rFonts w:ascii="Times New Roman" w:hAnsi="Times New Roman" w:cs="Times New Roman"/>
          <w:szCs w:val="24"/>
        </w:rPr>
        <w:t xml:space="preserve"> </w:t>
      </w:r>
      <w:r w:rsidRPr="00AF27CD">
        <w:rPr>
          <w:rFonts w:ascii="Times New Roman" w:hAnsi="Times New Roman" w:cs="Times New Roman"/>
          <w:szCs w:val="24"/>
        </w:rPr>
        <w:t>zakresie wytwarzania i</w:t>
      </w:r>
      <w:r w:rsidR="00A7541B">
        <w:rPr>
          <w:rFonts w:ascii="Times New Roman" w:hAnsi="Times New Roman" w:cs="Times New Roman"/>
          <w:szCs w:val="24"/>
        </w:rPr>
        <w:t> </w:t>
      </w:r>
      <w:r w:rsidRPr="00AF27CD">
        <w:rPr>
          <w:rFonts w:ascii="Times New Roman" w:hAnsi="Times New Roman" w:cs="Times New Roman"/>
          <w:szCs w:val="24"/>
        </w:rPr>
        <w:t>obrotu materiałami wybuchowymi, bronią, amunicją oraz wyrobami i</w:t>
      </w:r>
      <w:r w:rsidR="00422EA7" w:rsidRPr="00AF27CD">
        <w:rPr>
          <w:rFonts w:ascii="Times New Roman" w:hAnsi="Times New Roman" w:cs="Times New Roman"/>
          <w:szCs w:val="24"/>
        </w:rPr>
        <w:t xml:space="preserve"> </w:t>
      </w:r>
      <w:r w:rsidRPr="00AF27CD">
        <w:rPr>
          <w:rFonts w:ascii="Times New Roman" w:hAnsi="Times New Roman" w:cs="Times New Roman"/>
          <w:szCs w:val="24"/>
        </w:rPr>
        <w:t>technologią o</w:t>
      </w:r>
      <w:r w:rsidR="00A7541B">
        <w:rPr>
          <w:rFonts w:ascii="Times New Roman" w:hAnsi="Times New Roman" w:cs="Times New Roman"/>
          <w:szCs w:val="24"/>
        </w:rPr>
        <w:t> </w:t>
      </w:r>
      <w:r w:rsidRPr="00AF27CD">
        <w:rPr>
          <w:rFonts w:ascii="Times New Roman" w:hAnsi="Times New Roman" w:cs="Times New Roman"/>
          <w:szCs w:val="24"/>
        </w:rPr>
        <w:t>przeznaczeniu wojskowym lub policyjnym, który następnie może powierzyć przeprowadzenie kontroli komendantom wojewódzkim Policji.</w:t>
      </w:r>
    </w:p>
    <w:p w:rsidR="00F44569" w:rsidRPr="00AF27CD" w:rsidRDefault="00F4456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Dodano nowe obowiązki nałożone na przedsiębiorcę kontrolowanego</w:t>
      </w:r>
      <w:r w:rsidR="00173B09" w:rsidRPr="00AF27CD">
        <w:rPr>
          <w:rFonts w:ascii="Times New Roman" w:hAnsi="Times New Roman" w:cs="Times New Roman"/>
          <w:szCs w:val="24"/>
        </w:rPr>
        <w:t xml:space="preserve"> (art. 128):</w:t>
      </w:r>
      <w:r w:rsidRPr="00AF27CD">
        <w:rPr>
          <w:rFonts w:ascii="Times New Roman" w:hAnsi="Times New Roman" w:cs="Times New Roman"/>
          <w:szCs w:val="24"/>
        </w:rPr>
        <w:t xml:space="preserve"> zapewnienia osobom upoważnionym do dokonywania kontroli warunków niezbędnych do sprawnego przeprowadzenia kontroli, w szczególności przez zapewnienie niezwłocznego przedstawiania żądanych dokumentów, terminowego udzielania ustnych i pisemnych wyjaśnień w sprawach objętych kontrolą oraz, w miarę możliwości, oddzielnego pomieszczenia oraz sporządzania niezbędnych do kontroli kopii dokumentów, w tym wydruków z nośników informacji, a także informatycznych nośników danych, wskazanych przez osobę upoważnioną do dokonywania kontroli. Działania te przyczynią się do sprawnego przeprowadzania kontroli i zapobiegną jej przedłużaniu. Wprowadza się dodatkowe przepisy</w:t>
      </w:r>
      <w:r w:rsidR="00D03992" w:rsidRPr="00AF27CD">
        <w:rPr>
          <w:rFonts w:ascii="Times New Roman" w:hAnsi="Times New Roman" w:cs="Times New Roman"/>
          <w:szCs w:val="24"/>
        </w:rPr>
        <w:t xml:space="preserve"> uzupełniające dotychczas obowiązujące, </w:t>
      </w:r>
      <w:r w:rsidRPr="00AF27CD">
        <w:rPr>
          <w:rFonts w:ascii="Times New Roman" w:hAnsi="Times New Roman" w:cs="Times New Roman"/>
          <w:szCs w:val="24"/>
        </w:rPr>
        <w:t>zgodnie z którymi (art. 12</w:t>
      </w:r>
      <w:r w:rsidR="00773AC5" w:rsidRPr="00AF27CD">
        <w:rPr>
          <w:rFonts w:ascii="Times New Roman" w:hAnsi="Times New Roman" w:cs="Times New Roman"/>
          <w:szCs w:val="24"/>
        </w:rPr>
        <w:t>9</w:t>
      </w:r>
      <w:r w:rsidRPr="00AF27CD">
        <w:rPr>
          <w:rFonts w:ascii="Times New Roman" w:hAnsi="Times New Roman" w:cs="Times New Roman"/>
          <w:szCs w:val="24"/>
        </w:rPr>
        <w:t>) organ uprawniony do kontroli będzie miał prawo</w:t>
      </w:r>
      <w:r w:rsidR="00BE4B43">
        <w:rPr>
          <w:rFonts w:ascii="Times New Roman" w:hAnsi="Times New Roman" w:cs="Times New Roman"/>
          <w:szCs w:val="24"/>
        </w:rPr>
        <w:t>,</w:t>
      </w:r>
      <w:r w:rsidRPr="00AF27CD">
        <w:rPr>
          <w:rFonts w:ascii="Times New Roman" w:hAnsi="Times New Roman" w:cs="Times New Roman"/>
          <w:szCs w:val="24"/>
        </w:rPr>
        <w:t xml:space="preserve"> w przypadku powzięcia informacji o nieprawidłowościach w sposób inny, niż na skutek przeprowadzonej kontroli</w:t>
      </w:r>
      <w:r w:rsidR="00BE4B43">
        <w:rPr>
          <w:rFonts w:ascii="Times New Roman" w:hAnsi="Times New Roman" w:cs="Times New Roman"/>
          <w:szCs w:val="24"/>
        </w:rPr>
        <w:t>,</w:t>
      </w:r>
      <w:r w:rsidRPr="00AF27CD">
        <w:rPr>
          <w:rFonts w:ascii="Times New Roman" w:hAnsi="Times New Roman" w:cs="Times New Roman"/>
          <w:szCs w:val="24"/>
        </w:rPr>
        <w:t xml:space="preserve"> do wezwania przedsiębiorcy do usunięcia stwierdzonych nieprawidłowości w wykonywanej działalności gospodarczej w zakresie wytwarzania i obrotu materiałami wybuchowymi, b</w:t>
      </w:r>
      <w:r w:rsidR="00395D84">
        <w:rPr>
          <w:rFonts w:ascii="Times New Roman" w:hAnsi="Times New Roman" w:cs="Times New Roman"/>
          <w:szCs w:val="24"/>
        </w:rPr>
        <w:t>ronią, amunicją oraz wyrobami i</w:t>
      </w:r>
      <w:r w:rsidR="00A7541B">
        <w:rPr>
          <w:rFonts w:ascii="Times New Roman" w:hAnsi="Times New Roman" w:cs="Times New Roman"/>
          <w:szCs w:val="24"/>
        </w:rPr>
        <w:t> </w:t>
      </w:r>
      <w:r w:rsidRPr="00AF27CD">
        <w:rPr>
          <w:rFonts w:ascii="Times New Roman" w:hAnsi="Times New Roman" w:cs="Times New Roman"/>
          <w:szCs w:val="24"/>
        </w:rPr>
        <w:t>technologią o przeznaczeniu wojskowym lub policyjnym, wyznaczając termin do ich usunięcia. Rozwiązanie to umożliwi</w:t>
      </w:r>
      <w:r w:rsidR="00422EA7" w:rsidRPr="00AF27CD">
        <w:rPr>
          <w:rFonts w:ascii="Times New Roman" w:hAnsi="Times New Roman" w:cs="Times New Roman"/>
          <w:szCs w:val="24"/>
        </w:rPr>
        <w:t xml:space="preserve"> </w:t>
      </w:r>
      <w:r w:rsidRPr="00AF27CD">
        <w:rPr>
          <w:rFonts w:ascii="Times New Roman" w:hAnsi="Times New Roman" w:cs="Times New Roman"/>
          <w:szCs w:val="24"/>
        </w:rPr>
        <w:t>przedsiębiorcy wdrożenie działań naprawczych, które zapobiegną podjęciu decyzji o cofnięciu koncesji. Dodatkowo organ uprawniony do kontroli</w:t>
      </w:r>
      <w:r w:rsidR="00F577C3" w:rsidRPr="00AF27CD">
        <w:rPr>
          <w:rFonts w:ascii="Times New Roman" w:hAnsi="Times New Roman" w:cs="Times New Roman"/>
          <w:szCs w:val="24"/>
        </w:rPr>
        <w:t>,</w:t>
      </w:r>
      <w:r w:rsidRPr="00AF27CD">
        <w:rPr>
          <w:rFonts w:ascii="Times New Roman" w:hAnsi="Times New Roman" w:cs="Times New Roman"/>
          <w:szCs w:val="24"/>
        </w:rPr>
        <w:t xml:space="preserve"> w przypadku posiadania informacji o </w:t>
      </w:r>
      <w:r w:rsidR="00395D84">
        <w:rPr>
          <w:rFonts w:ascii="Times New Roman" w:hAnsi="Times New Roman" w:cs="Times New Roman"/>
          <w:szCs w:val="24"/>
        </w:rPr>
        <w:t>możliwych nieprawidłowościach w</w:t>
      </w:r>
      <w:r w:rsidR="00A7541B">
        <w:rPr>
          <w:rFonts w:ascii="Times New Roman" w:hAnsi="Times New Roman" w:cs="Times New Roman"/>
          <w:szCs w:val="24"/>
        </w:rPr>
        <w:t> </w:t>
      </w:r>
      <w:r w:rsidRPr="00AF27CD">
        <w:rPr>
          <w:rFonts w:ascii="Times New Roman" w:hAnsi="Times New Roman" w:cs="Times New Roman"/>
          <w:szCs w:val="24"/>
        </w:rPr>
        <w:t xml:space="preserve">wykonywanej na podstawie koncesji działalności gospodarczej, może wezwać przedsiębiorcę do złożenia pisemnych wyjaśnień oraz przekazania dokumentów </w:t>
      </w:r>
      <w:r w:rsidR="00F577C3" w:rsidRPr="00AF27CD">
        <w:rPr>
          <w:rFonts w:ascii="Times New Roman" w:hAnsi="Times New Roman" w:cs="Times New Roman"/>
          <w:szCs w:val="24"/>
        </w:rPr>
        <w:t>w celu</w:t>
      </w:r>
      <w:r w:rsidRPr="00AF27CD">
        <w:rPr>
          <w:rFonts w:ascii="Times New Roman" w:hAnsi="Times New Roman" w:cs="Times New Roman"/>
          <w:szCs w:val="24"/>
        </w:rPr>
        <w:t xml:space="preserve"> zweryfikowania posiadanych informacji oraz ustalenia, czy przedsiębiorca spełnia warunki wykonywania działalności gospodarczej objętej zakresem koncesji. Informacje takie mogą pochodzić z innych źródeł, niż ustalenia</w:t>
      </w:r>
      <w:r w:rsidR="00395D84">
        <w:rPr>
          <w:rFonts w:ascii="Times New Roman" w:hAnsi="Times New Roman" w:cs="Times New Roman"/>
          <w:szCs w:val="24"/>
        </w:rPr>
        <w:t xml:space="preserve"> dokonane w trakcie kontroli. Z</w:t>
      </w:r>
      <w:r w:rsidR="00A7541B">
        <w:rPr>
          <w:rFonts w:ascii="Times New Roman" w:hAnsi="Times New Roman" w:cs="Times New Roman"/>
          <w:szCs w:val="24"/>
        </w:rPr>
        <w:t> </w:t>
      </w:r>
      <w:r w:rsidRPr="00AF27CD">
        <w:rPr>
          <w:rFonts w:ascii="Times New Roman" w:hAnsi="Times New Roman" w:cs="Times New Roman"/>
          <w:szCs w:val="24"/>
        </w:rPr>
        <w:t>uwagi na reglamentowany charakter działalności gospodarczej w zakresie wytwarzania i obrotu materiałami wybuchowymi, b</w:t>
      </w:r>
      <w:r w:rsidR="00395D84">
        <w:rPr>
          <w:rFonts w:ascii="Times New Roman" w:hAnsi="Times New Roman" w:cs="Times New Roman"/>
          <w:szCs w:val="24"/>
        </w:rPr>
        <w:t>ronią, amunicją oraz wyrobami i</w:t>
      </w:r>
      <w:r w:rsidR="00A7541B">
        <w:rPr>
          <w:rFonts w:ascii="Times New Roman" w:hAnsi="Times New Roman" w:cs="Times New Roman"/>
          <w:szCs w:val="24"/>
        </w:rPr>
        <w:t> </w:t>
      </w:r>
      <w:r w:rsidRPr="00AF27CD">
        <w:rPr>
          <w:rFonts w:ascii="Times New Roman" w:hAnsi="Times New Roman" w:cs="Times New Roman"/>
          <w:szCs w:val="24"/>
        </w:rPr>
        <w:t>technologią o przeznaczeniu wojskowym lub policyjnym, organ koncesyjny powinien posiadać odpowiednie środki prawne umożliwiające mu uzyskanie niezbędnych informacji dotyczących prowadzenia tej działalności. Powyższy przepis umożliwi również przedsiębiorcy zajęcie stanowiska w przedmiocie ewentualnego naruszenia przepisów prawa.</w:t>
      </w:r>
    </w:p>
    <w:p w:rsidR="006A09A3" w:rsidRPr="00AF27CD" w:rsidRDefault="00BE4B43" w:rsidP="000E36DB">
      <w:pPr>
        <w:pStyle w:val="ROZDZODDZPRZEDMprzedmiotregulacjirozdziauluboddziau"/>
        <w:keepNext w:val="0"/>
        <w:widowControl w:val="0"/>
        <w:tabs>
          <w:tab w:val="left" w:pos="426"/>
        </w:tabs>
        <w:jc w:val="both"/>
        <w:rPr>
          <w:rFonts w:ascii="Times New Roman" w:hAnsi="Times New Roman"/>
        </w:rPr>
      </w:pPr>
      <w:r>
        <w:rPr>
          <w:rFonts w:ascii="Times New Roman" w:hAnsi="Times New Roman"/>
        </w:rPr>
        <w:t>8.</w:t>
      </w:r>
      <w:r>
        <w:rPr>
          <w:rFonts w:ascii="Times New Roman" w:hAnsi="Times New Roman"/>
        </w:rPr>
        <w:tab/>
      </w:r>
      <w:r w:rsidR="00A93E79" w:rsidRPr="00AF27CD">
        <w:rPr>
          <w:rFonts w:ascii="Times New Roman" w:hAnsi="Times New Roman"/>
        </w:rPr>
        <w:t xml:space="preserve">Dział VI </w:t>
      </w:r>
      <w:r w:rsidR="006A09A3" w:rsidRPr="00AF27CD">
        <w:rPr>
          <w:rFonts w:ascii="Times New Roman" w:hAnsi="Times New Roman"/>
        </w:rPr>
        <w:t>–</w:t>
      </w:r>
      <w:r w:rsidR="00A93E79" w:rsidRPr="00AF27CD">
        <w:rPr>
          <w:rFonts w:ascii="Times New Roman" w:hAnsi="Times New Roman"/>
        </w:rPr>
        <w:t xml:space="preserve"> </w:t>
      </w:r>
      <w:r w:rsidR="006A09A3" w:rsidRPr="00AF27CD">
        <w:rPr>
          <w:rFonts w:ascii="Times New Roman" w:hAnsi="Times New Roman"/>
        </w:rPr>
        <w:t>Oczyszczanie ter</w:t>
      </w:r>
      <w:r w:rsidR="00395D84">
        <w:rPr>
          <w:rFonts w:ascii="Times New Roman" w:hAnsi="Times New Roman"/>
        </w:rPr>
        <w:t>enów z materiałów wybuchowych i</w:t>
      </w:r>
      <w:r w:rsidR="00A7541B">
        <w:rPr>
          <w:rFonts w:ascii="Times New Roman" w:hAnsi="Times New Roman"/>
        </w:rPr>
        <w:t> </w:t>
      </w:r>
      <w:r w:rsidR="006A09A3" w:rsidRPr="00AF27CD">
        <w:rPr>
          <w:rFonts w:ascii="Times New Roman" w:hAnsi="Times New Roman"/>
        </w:rPr>
        <w:t>niebezpiecznych (</w:t>
      </w:r>
      <w:r>
        <w:rPr>
          <w:rFonts w:ascii="Times New Roman" w:hAnsi="Times New Roman"/>
        </w:rPr>
        <w:t>a</w:t>
      </w:r>
      <w:r w:rsidR="006A09A3" w:rsidRPr="00AF27CD">
        <w:rPr>
          <w:rFonts w:ascii="Times New Roman" w:hAnsi="Times New Roman"/>
        </w:rPr>
        <w:t>rt. 1</w:t>
      </w:r>
      <w:r w:rsidR="00773AC5" w:rsidRPr="00AF27CD">
        <w:rPr>
          <w:rFonts w:ascii="Times New Roman" w:hAnsi="Times New Roman"/>
        </w:rPr>
        <w:t>30</w:t>
      </w:r>
      <w:r w:rsidR="00422EA7" w:rsidRPr="00AF27CD">
        <w:rPr>
          <w:rFonts w:ascii="Times New Roman" w:hAnsi="Times New Roman"/>
        </w:rPr>
        <w:t>–</w:t>
      </w:r>
      <w:r w:rsidR="006A09A3" w:rsidRPr="00AF27CD">
        <w:rPr>
          <w:rFonts w:ascii="Times New Roman" w:hAnsi="Times New Roman"/>
        </w:rPr>
        <w:t>13</w:t>
      </w:r>
      <w:r w:rsidR="00773AC5" w:rsidRPr="00AF27CD">
        <w:rPr>
          <w:rFonts w:ascii="Times New Roman" w:hAnsi="Times New Roman"/>
        </w:rPr>
        <w:t>2</w:t>
      </w:r>
      <w:r w:rsidR="006A09A3" w:rsidRPr="00AF27CD">
        <w:rPr>
          <w:rFonts w:ascii="Times New Roman" w:hAnsi="Times New Roman"/>
        </w:rPr>
        <w:t>)</w:t>
      </w:r>
    </w:p>
    <w:p w:rsidR="009D10DF" w:rsidRPr="00AF27CD" w:rsidRDefault="006A09A3" w:rsidP="00395D84">
      <w:pPr>
        <w:pStyle w:val="USTustnpkodeksu"/>
        <w:widowControl w:val="0"/>
        <w:spacing w:before="120"/>
        <w:ind w:firstLine="0"/>
        <w:rPr>
          <w:rFonts w:ascii="Times New Roman" w:hAnsi="Times New Roman" w:cs="Times New Roman"/>
          <w:szCs w:val="24"/>
        </w:rPr>
      </w:pPr>
      <w:r w:rsidRPr="00AF27CD">
        <w:rPr>
          <w:rFonts w:ascii="Times New Roman" w:hAnsi="Times New Roman" w:cs="Times New Roman"/>
          <w:szCs w:val="24"/>
        </w:rPr>
        <w:t>Przepisy zawarte w tym dziale zostały w całości przeniesione z aktualnie obowiązującej ustawy z dnia 22 czerwca 2001 r. (art. 25a</w:t>
      </w:r>
      <w:r w:rsidR="00422EA7" w:rsidRPr="00AF27CD">
        <w:rPr>
          <w:rFonts w:ascii="Times New Roman" w:hAnsi="Times New Roman" w:cs="Times New Roman"/>
          <w:szCs w:val="24"/>
        </w:rPr>
        <w:t>–</w:t>
      </w:r>
      <w:r w:rsidR="00F577C3" w:rsidRPr="00AF27CD">
        <w:rPr>
          <w:rFonts w:ascii="Times New Roman" w:hAnsi="Times New Roman" w:cs="Times New Roman"/>
          <w:szCs w:val="24"/>
        </w:rPr>
        <w:t>art. 25c</w:t>
      </w:r>
      <w:r w:rsidRPr="00AF27CD">
        <w:rPr>
          <w:rFonts w:ascii="Times New Roman" w:hAnsi="Times New Roman" w:cs="Times New Roman"/>
          <w:szCs w:val="24"/>
        </w:rPr>
        <w:t>) z uwagi na konieczność zachowania możliwości wykonywania działalności w tym zakresie.</w:t>
      </w:r>
      <w:r w:rsidR="00F577C3" w:rsidRPr="00AF27CD">
        <w:rPr>
          <w:rFonts w:ascii="Times New Roman" w:hAnsi="Times New Roman" w:cs="Times New Roman"/>
          <w:szCs w:val="24"/>
        </w:rPr>
        <w:t xml:space="preserve"> Dodatkowo </w:t>
      </w:r>
      <w:r w:rsidR="009D10DF" w:rsidRPr="00AF27CD">
        <w:rPr>
          <w:rFonts w:ascii="Times New Roman" w:hAnsi="Times New Roman" w:cs="Times New Roman"/>
          <w:szCs w:val="24"/>
        </w:rPr>
        <w:t>wprowadzono</w:t>
      </w:r>
      <w:r w:rsidR="00F577C3" w:rsidRPr="00AF27CD">
        <w:rPr>
          <w:rFonts w:ascii="Times New Roman" w:hAnsi="Times New Roman" w:cs="Times New Roman"/>
          <w:szCs w:val="24"/>
        </w:rPr>
        <w:t xml:space="preserve"> przepisy dotyczące zwrotu kosztów</w:t>
      </w:r>
      <w:r w:rsidR="00422EA7" w:rsidRPr="00AF27CD">
        <w:rPr>
          <w:rFonts w:ascii="Times New Roman" w:hAnsi="Times New Roman" w:cs="Times New Roman"/>
          <w:szCs w:val="24"/>
        </w:rPr>
        <w:t xml:space="preserve"> </w:t>
      </w:r>
      <w:r w:rsidR="00F577C3" w:rsidRPr="00AF27CD">
        <w:rPr>
          <w:rFonts w:ascii="Times New Roman" w:hAnsi="Times New Roman" w:cs="Times New Roman"/>
          <w:szCs w:val="24"/>
        </w:rPr>
        <w:t>poniesionych przez specjalistyczne jednostki wojskowe w związku z likw</w:t>
      </w:r>
      <w:r w:rsidR="00395D84">
        <w:rPr>
          <w:rFonts w:ascii="Times New Roman" w:hAnsi="Times New Roman" w:cs="Times New Roman"/>
          <w:szCs w:val="24"/>
        </w:rPr>
        <w:t>idacją materiałów wybuchowych i</w:t>
      </w:r>
      <w:r w:rsidR="00A7541B">
        <w:rPr>
          <w:rFonts w:ascii="Times New Roman" w:hAnsi="Times New Roman" w:cs="Times New Roman"/>
          <w:szCs w:val="24"/>
        </w:rPr>
        <w:t> </w:t>
      </w:r>
      <w:r w:rsidR="00F577C3" w:rsidRPr="00AF27CD">
        <w:rPr>
          <w:rFonts w:ascii="Times New Roman" w:hAnsi="Times New Roman" w:cs="Times New Roman"/>
          <w:szCs w:val="24"/>
        </w:rPr>
        <w:t>niebezpiecznyc</w:t>
      </w:r>
      <w:r w:rsidR="009D10DF" w:rsidRPr="00AF27CD">
        <w:rPr>
          <w:rFonts w:ascii="Times New Roman" w:hAnsi="Times New Roman" w:cs="Times New Roman"/>
          <w:szCs w:val="24"/>
        </w:rPr>
        <w:t>h (art. 130 ust. 4)</w:t>
      </w:r>
      <w:r w:rsidR="00F577C3" w:rsidRPr="00AF27CD">
        <w:rPr>
          <w:rFonts w:ascii="Times New Roman" w:hAnsi="Times New Roman" w:cs="Times New Roman"/>
          <w:szCs w:val="24"/>
        </w:rPr>
        <w:t>.</w:t>
      </w:r>
      <w:r w:rsidR="009D10DF" w:rsidRPr="00AF27CD">
        <w:rPr>
          <w:rFonts w:ascii="Times New Roman" w:hAnsi="Times New Roman" w:cs="Times New Roman"/>
          <w:szCs w:val="24"/>
        </w:rPr>
        <w:t xml:space="preserve"> Na mocy tego przepisu przedsiębiorcy wykonujący działalność w zakresie oczyszczania terenu z materiałów wybuchowych niebezpiecznych, w przypadku zaangażowania do tych czynności specjalistycznych jednostek wojskowych, będą zobowiązani do zwrotu kosztów oczyszczania terenu poniesionych przez jednostkę Sił Zbrojnych R</w:t>
      </w:r>
      <w:r w:rsidR="00BE4B43">
        <w:rPr>
          <w:rFonts w:ascii="Times New Roman" w:hAnsi="Times New Roman" w:cs="Times New Roman"/>
          <w:szCs w:val="24"/>
        </w:rPr>
        <w:t xml:space="preserve">zeczypospolitej </w:t>
      </w:r>
      <w:r w:rsidR="009D10DF" w:rsidRPr="00AF27CD">
        <w:rPr>
          <w:rFonts w:ascii="Times New Roman" w:hAnsi="Times New Roman" w:cs="Times New Roman"/>
          <w:szCs w:val="24"/>
        </w:rPr>
        <w:t>P</w:t>
      </w:r>
      <w:r w:rsidR="00BE4B43">
        <w:rPr>
          <w:rFonts w:ascii="Times New Roman" w:hAnsi="Times New Roman" w:cs="Times New Roman"/>
          <w:szCs w:val="24"/>
        </w:rPr>
        <w:t>olskiej</w:t>
      </w:r>
      <w:r w:rsidR="00A7541B">
        <w:rPr>
          <w:rFonts w:ascii="Times New Roman" w:hAnsi="Times New Roman" w:cs="Times New Roman"/>
          <w:szCs w:val="24"/>
        </w:rPr>
        <w:t>, zgodnie z art. </w:t>
      </w:r>
      <w:r w:rsidR="009D10DF" w:rsidRPr="00AF27CD">
        <w:rPr>
          <w:rFonts w:ascii="Times New Roman" w:hAnsi="Times New Roman" w:cs="Times New Roman"/>
          <w:szCs w:val="24"/>
        </w:rPr>
        <w:t>11</w:t>
      </w:r>
      <w:r w:rsidR="00277B24" w:rsidRPr="00AF27CD">
        <w:rPr>
          <w:rFonts w:ascii="Times New Roman" w:hAnsi="Times New Roman" w:cs="Times New Roman"/>
          <w:szCs w:val="24"/>
        </w:rPr>
        <w:t>a</w:t>
      </w:r>
      <w:r w:rsidR="00422EA7" w:rsidRPr="00AF27CD">
        <w:rPr>
          <w:rFonts w:ascii="Times New Roman" w:hAnsi="Times New Roman" w:cs="Times New Roman"/>
          <w:szCs w:val="24"/>
        </w:rPr>
        <w:t xml:space="preserve"> </w:t>
      </w:r>
      <w:r w:rsidR="009D10DF" w:rsidRPr="00AF27CD">
        <w:rPr>
          <w:rFonts w:ascii="Times New Roman" w:hAnsi="Times New Roman" w:cs="Times New Roman"/>
          <w:szCs w:val="24"/>
        </w:rPr>
        <w:t>ustawy z</w:t>
      </w:r>
      <w:r w:rsidR="00422EA7" w:rsidRPr="00AF27CD">
        <w:rPr>
          <w:rFonts w:ascii="Times New Roman" w:hAnsi="Times New Roman" w:cs="Times New Roman"/>
          <w:szCs w:val="24"/>
        </w:rPr>
        <w:t xml:space="preserve"> </w:t>
      </w:r>
      <w:r w:rsidR="00395D84">
        <w:rPr>
          <w:rFonts w:ascii="Times New Roman" w:hAnsi="Times New Roman" w:cs="Times New Roman"/>
          <w:szCs w:val="24"/>
        </w:rPr>
        <w:t>dnia 25</w:t>
      </w:r>
      <w:r w:rsidR="00EC6774">
        <w:rPr>
          <w:rFonts w:ascii="Times New Roman" w:hAnsi="Times New Roman" w:cs="Times New Roman"/>
          <w:szCs w:val="24"/>
        </w:rPr>
        <w:t xml:space="preserve"> </w:t>
      </w:r>
      <w:r w:rsidR="009D10DF" w:rsidRPr="00AF27CD">
        <w:rPr>
          <w:rFonts w:ascii="Times New Roman" w:hAnsi="Times New Roman" w:cs="Times New Roman"/>
          <w:szCs w:val="24"/>
        </w:rPr>
        <w:t>maja 2001 r. o</w:t>
      </w:r>
      <w:r w:rsidR="00422EA7" w:rsidRPr="00AF27CD">
        <w:rPr>
          <w:rFonts w:ascii="Times New Roman" w:hAnsi="Times New Roman" w:cs="Times New Roman"/>
          <w:szCs w:val="24"/>
        </w:rPr>
        <w:t xml:space="preserve"> </w:t>
      </w:r>
      <w:r w:rsidR="009D10DF" w:rsidRPr="00AF27CD">
        <w:rPr>
          <w:rFonts w:ascii="Times New Roman" w:hAnsi="Times New Roman" w:cs="Times New Roman"/>
          <w:szCs w:val="24"/>
        </w:rPr>
        <w:t>przebudowie i modernizacji technicznej oraz finasowaniu Sił Zbrojnych Rzeczypospolitej Polskiej.</w:t>
      </w:r>
    </w:p>
    <w:p w:rsidR="00A93E79" w:rsidRPr="00AF27CD" w:rsidRDefault="00BE4B43" w:rsidP="000E36DB">
      <w:pPr>
        <w:pStyle w:val="ROZDZODDZPRZEDMprzedmiotregulacjirozdziauluboddziau"/>
        <w:tabs>
          <w:tab w:val="left" w:pos="426"/>
        </w:tabs>
        <w:jc w:val="both"/>
        <w:rPr>
          <w:rFonts w:ascii="Times New Roman" w:hAnsi="Times New Roman"/>
        </w:rPr>
      </w:pPr>
      <w:r>
        <w:rPr>
          <w:rFonts w:ascii="Times New Roman" w:hAnsi="Times New Roman"/>
        </w:rPr>
        <w:t>9.</w:t>
      </w:r>
      <w:r>
        <w:rPr>
          <w:rFonts w:ascii="Times New Roman" w:hAnsi="Times New Roman"/>
        </w:rPr>
        <w:tab/>
      </w:r>
      <w:r w:rsidR="00422EA7" w:rsidRPr="00AF27CD">
        <w:rPr>
          <w:rFonts w:ascii="Times New Roman" w:hAnsi="Times New Roman"/>
        </w:rPr>
        <w:t>Dział VII –</w:t>
      </w:r>
      <w:r w:rsidR="006A09A3" w:rsidRPr="00AF27CD">
        <w:rPr>
          <w:rFonts w:ascii="Times New Roman" w:hAnsi="Times New Roman"/>
        </w:rPr>
        <w:t xml:space="preserve"> </w:t>
      </w:r>
      <w:r w:rsidR="00A93E79" w:rsidRPr="00AF27CD">
        <w:rPr>
          <w:rFonts w:ascii="Times New Roman" w:hAnsi="Times New Roman"/>
        </w:rPr>
        <w:t xml:space="preserve">Przepisy </w:t>
      </w:r>
      <w:r>
        <w:rPr>
          <w:rFonts w:ascii="Times New Roman" w:hAnsi="Times New Roman"/>
        </w:rPr>
        <w:t xml:space="preserve">karne oraz przepisy </w:t>
      </w:r>
      <w:r w:rsidR="00A93E79" w:rsidRPr="00AF27CD">
        <w:rPr>
          <w:rFonts w:ascii="Times New Roman" w:hAnsi="Times New Roman"/>
        </w:rPr>
        <w:t xml:space="preserve">o karach administracyjnych </w:t>
      </w:r>
      <w:r>
        <w:rPr>
          <w:rFonts w:ascii="Times New Roman" w:hAnsi="Times New Roman"/>
        </w:rPr>
        <w:t>(art.</w:t>
      </w:r>
      <w:r w:rsidR="00A7541B">
        <w:rPr>
          <w:rFonts w:ascii="Times New Roman" w:hAnsi="Times New Roman"/>
        </w:rPr>
        <w:t> </w:t>
      </w:r>
      <w:r w:rsidR="00A93E79" w:rsidRPr="00AF27CD">
        <w:rPr>
          <w:rFonts w:ascii="Times New Roman" w:hAnsi="Times New Roman"/>
        </w:rPr>
        <w:t>1</w:t>
      </w:r>
      <w:r w:rsidR="006A09A3" w:rsidRPr="00AF27CD">
        <w:rPr>
          <w:rFonts w:ascii="Times New Roman" w:hAnsi="Times New Roman"/>
        </w:rPr>
        <w:t>3</w:t>
      </w:r>
      <w:r w:rsidR="00773AC5" w:rsidRPr="00AF27CD">
        <w:rPr>
          <w:rFonts w:ascii="Times New Roman" w:hAnsi="Times New Roman"/>
        </w:rPr>
        <w:t>3</w:t>
      </w:r>
      <w:r w:rsidR="00422EA7" w:rsidRPr="00AF27CD">
        <w:rPr>
          <w:rFonts w:ascii="Times New Roman" w:hAnsi="Times New Roman"/>
        </w:rPr>
        <w:t>–</w:t>
      </w:r>
      <w:r w:rsidR="00A93E79" w:rsidRPr="00AF27CD">
        <w:rPr>
          <w:rFonts w:ascii="Times New Roman" w:hAnsi="Times New Roman"/>
        </w:rPr>
        <w:t>1</w:t>
      </w:r>
      <w:r w:rsidR="00F96147" w:rsidRPr="00AF27CD">
        <w:rPr>
          <w:rFonts w:ascii="Times New Roman" w:hAnsi="Times New Roman"/>
        </w:rPr>
        <w:t>4</w:t>
      </w:r>
      <w:r w:rsidR="00773AC5" w:rsidRPr="00AF27CD">
        <w:rPr>
          <w:rFonts w:ascii="Times New Roman" w:hAnsi="Times New Roman"/>
        </w:rPr>
        <w:t>2</w:t>
      </w:r>
      <w:r w:rsidR="00A93E79" w:rsidRPr="00AF27CD">
        <w:rPr>
          <w:rFonts w:ascii="Times New Roman" w:hAnsi="Times New Roman"/>
        </w:rPr>
        <w:t>)</w:t>
      </w:r>
    </w:p>
    <w:p w:rsidR="00A93E79" w:rsidRPr="00AF27CD" w:rsidRDefault="00A93E79" w:rsidP="00395D84">
      <w:pPr>
        <w:pStyle w:val="USTustnpkodeksu"/>
        <w:keepNext/>
        <w:spacing w:before="120"/>
        <w:ind w:firstLine="0"/>
        <w:rPr>
          <w:rFonts w:ascii="Times New Roman" w:hAnsi="Times New Roman" w:cs="Times New Roman"/>
          <w:szCs w:val="24"/>
        </w:rPr>
      </w:pPr>
      <w:r w:rsidRPr="00AF27CD">
        <w:rPr>
          <w:rFonts w:ascii="Times New Roman" w:hAnsi="Times New Roman" w:cs="Times New Roman"/>
          <w:szCs w:val="24"/>
        </w:rPr>
        <w:t>Na kształt przepisów karnych w nowej postaci, zawartych w projekcie ustawy</w:t>
      </w:r>
      <w:r w:rsidR="00C1750F" w:rsidRPr="00AF27CD">
        <w:rPr>
          <w:rFonts w:ascii="Times New Roman" w:hAnsi="Times New Roman" w:cs="Times New Roman"/>
          <w:szCs w:val="24"/>
        </w:rPr>
        <w:t>,</w:t>
      </w:r>
      <w:r w:rsidRPr="00AF27CD">
        <w:rPr>
          <w:rFonts w:ascii="Times New Roman" w:hAnsi="Times New Roman" w:cs="Times New Roman"/>
          <w:szCs w:val="24"/>
        </w:rPr>
        <w:t xml:space="preserve"> miała wpływ analiza znowelizowanych przepisów w tym samym zakresie, wpisanych do ustawy z dnia 13 kwietnia 2016 r. o zmianie ustawy o materiałach wybuchowych przeznaczonych do użytku cywilnego oraz niektórych innych ustaw. Ponieważ obie ustawy oraz ustawa z dnia 29 listopada 2000 r. o obrocie z zagranicą towarami, technologiami i usługami o znaczeniu strategiczny</w:t>
      </w:r>
      <w:r w:rsidR="00395D84">
        <w:rPr>
          <w:rFonts w:ascii="Times New Roman" w:hAnsi="Times New Roman" w:cs="Times New Roman"/>
          <w:szCs w:val="24"/>
        </w:rPr>
        <w:t>m dla bezpieczeństwa państwa, a</w:t>
      </w:r>
      <w:r w:rsidR="00A7541B">
        <w:rPr>
          <w:rFonts w:ascii="Times New Roman" w:hAnsi="Times New Roman" w:cs="Times New Roman"/>
          <w:szCs w:val="24"/>
        </w:rPr>
        <w:t> </w:t>
      </w:r>
      <w:r w:rsidRPr="00AF27CD">
        <w:rPr>
          <w:rFonts w:ascii="Times New Roman" w:hAnsi="Times New Roman" w:cs="Times New Roman"/>
          <w:szCs w:val="24"/>
        </w:rPr>
        <w:t>także dla utrzymania międzynarodowego pokoju i bezpieczeństwa tworzą otoczenie prawne dla każdego aspektu działalności gospodarczej związanej z materiałami wybuchowymi, bronią, amunicją oraz wyrobami i technologią o przeznaczeniu wojskowym lub policyjnym należało przyjąć, że wymiar</w:t>
      </w:r>
      <w:r w:rsidR="00395D84">
        <w:rPr>
          <w:rFonts w:ascii="Times New Roman" w:hAnsi="Times New Roman" w:cs="Times New Roman"/>
          <w:szCs w:val="24"/>
        </w:rPr>
        <w:t xml:space="preserve"> kary i jej rodzaj, określone w</w:t>
      </w:r>
      <w:r w:rsidR="00A7541B">
        <w:rPr>
          <w:rFonts w:ascii="Times New Roman" w:hAnsi="Times New Roman" w:cs="Times New Roman"/>
          <w:szCs w:val="24"/>
        </w:rPr>
        <w:t> </w:t>
      </w:r>
      <w:r w:rsidRPr="00AF27CD">
        <w:rPr>
          <w:rFonts w:ascii="Times New Roman" w:hAnsi="Times New Roman" w:cs="Times New Roman"/>
          <w:szCs w:val="24"/>
        </w:rPr>
        <w:t>tych trzech aktach prawnych</w:t>
      </w:r>
      <w:r w:rsidR="00BE4B43">
        <w:rPr>
          <w:rFonts w:ascii="Times New Roman" w:hAnsi="Times New Roman" w:cs="Times New Roman"/>
          <w:szCs w:val="24"/>
        </w:rPr>
        <w:t>,</w:t>
      </w:r>
      <w:r w:rsidRPr="00AF27CD">
        <w:rPr>
          <w:rFonts w:ascii="Times New Roman" w:hAnsi="Times New Roman" w:cs="Times New Roman"/>
          <w:szCs w:val="24"/>
        </w:rPr>
        <w:t xml:space="preserve"> powinny być wzajemnie spójne. </w:t>
      </w:r>
    </w:p>
    <w:p w:rsidR="00A93E79" w:rsidRPr="00AF27CD" w:rsidRDefault="00A93E79" w:rsidP="00395D84">
      <w:pPr>
        <w:pStyle w:val="ARTartustawynprozporzdzenia"/>
        <w:ind w:firstLine="0"/>
        <w:rPr>
          <w:rFonts w:ascii="Times New Roman" w:hAnsi="Times New Roman" w:cs="Times New Roman"/>
          <w:szCs w:val="24"/>
        </w:rPr>
      </w:pPr>
      <w:r w:rsidRPr="00AF27CD">
        <w:rPr>
          <w:rFonts w:ascii="Times New Roman" w:hAnsi="Times New Roman" w:cs="Times New Roman"/>
          <w:szCs w:val="24"/>
        </w:rPr>
        <w:t>Poza wykonywaniem działalności bez koncesji, bądź wbrew określonym w niej warunkom karze podlegać będą inne czyny, takie jak: przemieszczanie strzeleckiej broni palnej lub amunicji bez wymaganej zgody przewozowej lub uprzedniej zgody przewozowej (art. 1</w:t>
      </w:r>
      <w:r w:rsidR="004150F3" w:rsidRPr="00AF27CD">
        <w:rPr>
          <w:rFonts w:ascii="Times New Roman" w:hAnsi="Times New Roman" w:cs="Times New Roman"/>
          <w:szCs w:val="24"/>
        </w:rPr>
        <w:t>3</w:t>
      </w:r>
      <w:r w:rsidR="00773AC5" w:rsidRPr="00AF27CD">
        <w:rPr>
          <w:rFonts w:ascii="Times New Roman" w:hAnsi="Times New Roman" w:cs="Times New Roman"/>
          <w:szCs w:val="24"/>
        </w:rPr>
        <w:t>4</w:t>
      </w:r>
      <w:r w:rsidRPr="00AF27CD">
        <w:rPr>
          <w:rFonts w:ascii="Times New Roman" w:hAnsi="Times New Roman" w:cs="Times New Roman"/>
          <w:szCs w:val="24"/>
        </w:rPr>
        <w:t>) albo poświadczanie zgody przewozowej bez uprawnień, wytwarzanie lub obrót bronią lub amunicją bez oznakowania (art. 1</w:t>
      </w:r>
      <w:r w:rsidR="004150F3" w:rsidRPr="00AF27CD">
        <w:rPr>
          <w:rFonts w:ascii="Times New Roman" w:hAnsi="Times New Roman" w:cs="Times New Roman"/>
          <w:szCs w:val="24"/>
        </w:rPr>
        <w:t>3</w:t>
      </w:r>
      <w:r w:rsidR="00773AC5" w:rsidRPr="00AF27CD">
        <w:rPr>
          <w:rFonts w:ascii="Times New Roman" w:hAnsi="Times New Roman" w:cs="Times New Roman"/>
          <w:szCs w:val="24"/>
        </w:rPr>
        <w:t>5</w:t>
      </w:r>
      <w:r w:rsidRPr="00AF27CD">
        <w:rPr>
          <w:rFonts w:ascii="Times New Roman" w:hAnsi="Times New Roman" w:cs="Times New Roman"/>
          <w:szCs w:val="24"/>
        </w:rPr>
        <w:t>), sprzedaż strzeleckiej broni palnej pozbawionej cech użytkowych bez przekazania stosownego świadectwa (art. 1</w:t>
      </w:r>
      <w:r w:rsidR="004150F3" w:rsidRPr="00AF27CD">
        <w:rPr>
          <w:rFonts w:ascii="Times New Roman" w:hAnsi="Times New Roman" w:cs="Times New Roman"/>
          <w:szCs w:val="24"/>
        </w:rPr>
        <w:t>3</w:t>
      </w:r>
      <w:r w:rsidR="00773AC5" w:rsidRPr="00AF27CD">
        <w:rPr>
          <w:rFonts w:ascii="Times New Roman" w:hAnsi="Times New Roman" w:cs="Times New Roman"/>
          <w:szCs w:val="24"/>
        </w:rPr>
        <w:t>6</w:t>
      </w:r>
      <w:r w:rsidRPr="00AF27CD">
        <w:rPr>
          <w:rFonts w:ascii="Times New Roman" w:hAnsi="Times New Roman" w:cs="Times New Roman"/>
          <w:szCs w:val="24"/>
        </w:rPr>
        <w:t>), wykonywanie działalności w zakresie wytwarzania i obrotu strzelecką bronią palną bez ewidencjonowania (art. 1</w:t>
      </w:r>
      <w:r w:rsidR="004150F3" w:rsidRPr="00AF27CD">
        <w:rPr>
          <w:rFonts w:ascii="Times New Roman" w:hAnsi="Times New Roman" w:cs="Times New Roman"/>
          <w:szCs w:val="24"/>
        </w:rPr>
        <w:t>3</w:t>
      </w:r>
      <w:r w:rsidR="00773AC5" w:rsidRPr="00AF27CD">
        <w:rPr>
          <w:rFonts w:ascii="Times New Roman" w:hAnsi="Times New Roman" w:cs="Times New Roman"/>
          <w:szCs w:val="24"/>
        </w:rPr>
        <w:t>7</w:t>
      </w:r>
      <w:r w:rsidRPr="00AF27CD">
        <w:rPr>
          <w:rFonts w:ascii="Times New Roman" w:hAnsi="Times New Roman" w:cs="Times New Roman"/>
          <w:szCs w:val="24"/>
        </w:rPr>
        <w:t>), wywóz strzeleckiej broni palnej i amunicji bez zezwolenia ministra właściwego do spraw gospodarki (art. 1</w:t>
      </w:r>
      <w:r w:rsidR="006E5E35" w:rsidRPr="00AF27CD">
        <w:rPr>
          <w:rFonts w:ascii="Times New Roman" w:hAnsi="Times New Roman" w:cs="Times New Roman"/>
          <w:szCs w:val="24"/>
        </w:rPr>
        <w:t>3</w:t>
      </w:r>
      <w:r w:rsidR="00773AC5" w:rsidRPr="00AF27CD">
        <w:rPr>
          <w:rFonts w:ascii="Times New Roman" w:hAnsi="Times New Roman" w:cs="Times New Roman"/>
          <w:szCs w:val="24"/>
        </w:rPr>
        <w:t>8</w:t>
      </w:r>
      <w:r w:rsidRPr="00AF27CD">
        <w:rPr>
          <w:rFonts w:ascii="Times New Roman" w:hAnsi="Times New Roman" w:cs="Times New Roman"/>
          <w:szCs w:val="24"/>
        </w:rPr>
        <w:t>), sprzedaż towarów wyłączonych spod koncesjonowa</w:t>
      </w:r>
      <w:r w:rsidR="00395D84">
        <w:rPr>
          <w:rFonts w:ascii="Times New Roman" w:hAnsi="Times New Roman" w:cs="Times New Roman"/>
          <w:szCs w:val="24"/>
        </w:rPr>
        <w:t>nia osobom niepełnoletnim (art.</w:t>
      </w:r>
      <w:r w:rsidR="00A7541B">
        <w:rPr>
          <w:rFonts w:ascii="Times New Roman" w:hAnsi="Times New Roman" w:cs="Times New Roman"/>
          <w:szCs w:val="24"/>
        </w:rPr>
        <w:t> </w:t>
      </w:r>
      <w:r w:rsidRPr="00AF27CD">
        <w:rPr>
          <w:rFonts w:ascii="Times New Roman" w:hAnsi="Times New Roman" w:cs="Times New Roman"/>
          <w:szCs w:val="24"/>
        </w:rPr>
        <w:t>1</w:t>
      </w:r>
      <w:r w:rsidR="006E5E35" w:rsidRPr="00AF27CD">
        <w:rPr>
          <w:rFonts w:ascii="Times New Roman" w:hAnsi="Times New Roman" w:cs="Times New Roman"/>
          <w:szCs w:val="24"/>
        </w:rPr>
        <w:t>3</w:t>
      </w:r>
      <w:r w:rsidR="00773AC5" w:rsidRPr="00AF27CD">
        <w:rPr>
          <w:rFonts w:ascii="Times New Roman" w:hAnsi="Times New Roman" w:cs="Times New Roman"/>
          <w:szCs w:val="24"/>
        </w:rPr>
        <w:t>9</w:t>
      </w:r>
      <w:r w:rsidRPr="00AF27CD">
        <w:rPr>
          <w:rFonts w:ascii="Times New Roman" w:hAnsi="Times New Roman" w:cs="Times New Roman"/>
          <w:szCs w:val="24"/>
        </w:rPr>
        <w:t>), utrudnianie przeprowadzenia kontroli działalności w zakresie wytwarzania lub obrotu, podawanie nieprawdziwych informacji mających znaczenie dla procedury przywozu (art. 1</w:t>
      </w:r>
      <w:r w:rsidR="00773AC5" w:rsidRPr="00AF27CD">
        <w:rPr>
          <w:rFonts w:ascii="Times New Roman" w:hAnsi="Times New Roman" w:cs="Times New Roman"/>
          <w:szCs w:val="24"/>
        </w:rPr>
        <w:t>40</w:t>
      </w:r>
      <w:r w:rsidR="006E5E35" w:rsidRPr="00AF27CD">
        <w:rPr>
          <w:rFonts w:ascii="Times New Roman" w:hAnsi="Times New Roman" w:cs="Times New Roman"/>
          <w:szCs w:val="24"/>
        </w:rPr>
        <w:t xml:space="preserve"> i </w:t>
      </w:r>
      <w:r w:rsidR="00E60C60">
        <w:rPr>
          <w:rFonts w:ascii="Times New Roman" w:hAnsi="Times New Roman" w:cs="Times New Roman"/>
          <w:szCs w:val="24"/>
        </w:rPr>
        <w:t xml:space="preserve">art. </w:t>
      </w:r>
      <w:r w:rsidR="006E5E35" w:rsidRPr="00AF27CD">
        <w:rPr>
          <w:rFonts w:ascii="Times New Roman" w:hAnsi="Times New Roman" w:cs="Times New Roman"/>
          <w:szCs w:val="24"/>
        </w:rPr>
        <w:t>1</w:t>
      </w:r>
      <w:r w:rsidR="0012709A" w:rsidRPr="00AF27CD">
        <w:rPr>
          <w:rFonts w:ascii="Times New Roman" w:hAnsi="Times New Roman" w:cs="Times New Roman"/>
          <w:szCs w:val="24"/>
        </w:rPr>
        <w:t>4</w:t>
      </w:r>
      <w:r w:rsidR="00773AC5" w:rsidRPr="00AF27CD">
        <w:rPr>
          <w:rFonts w:ascii="Times New Roman" w:hAnsi="Times New Roman" w:cs="Times New Roman"/>
          <w:szCs w:val="24"/>
        </w:rPr>
        <w:t>1</w:t>
      </w:r>
      <w:r w:rsidRPr="00AF27CD">
        <w:rPr>
          <w:rFonts w:ascii="Times New Roman" w:hAnsi="Times New Roman" w:cs="Times New Roman"/>
          <w:szCs w:val="24"/>
        </w:rPr>
        <w:t>).</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W projekcie ustawy przewidziano cztery rodzaje sankcji: karę pozbawienia wolności, karę grzywny, karę ograniczenia wolności oraz karę pieniężną, które mogą być wymierzone w zależności od rodzaju i ciężaru gatunkowego przestępstwa lub wykroczenia oraz stopnia umyślności w działaniu sprawcy. W przypadku niektórych przestępstw lub wykroczeń – na przykład w sytuacji sprzedaży wyrobów pirotechnicznych nieobjętych wymogiem koncesjonowania osobom niepełnoletnim – przewidziano możliwość zastosowania zróżnicowanych sankcji, poczynając od kary grzywny </w:t>
      </w:r>
      <w:r w:rsidR="00413B1C" w:rsidRPr="00AF27CD">
        <w:rPr>
          <w:rFonts w:ascii="Times New Roman" w:hAnsi="Times New Roman" w:cs="Times New Roman"/>
          <w:szCs w:val="24"/>
        </w:rPr>
        <w:t>przez</w:t>
      </w:r>
      <w:r w:rsidRPr="00AF27CD">
        <w:rPr>
          <w:rFonts w:ascii="Times New Roman" w:hAnsi="Times New Roman" w:cs="Times New Roman"/>
          <w:szCs w:val="24"/>
        </w:rPr>
        <w:t xml:space="preserve"> karę ograniczenia wolności do kary pozbawienia wolności włącznie. Dzięki temu zaproponowany system sankcji będzie skuteczny, proporcjonalny do popełnionego czynu zabronionego oraz odstraszający przed popełnieniem takiego czynu. </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Każdy, kto wykonuje działalność gospodarczą w zakresie wytwarzania lub obrotu materiałami wybuchowymi, bronią, amunicją oraz wyrobami o przeznaczeniu wojskowym lub policyjnym albo w zakresie obrotu technologią o przeznaczeniu wojskowym lub policyjnym bez koncesji lub wbrew warunkom określonym w koncesji, podlega karze pozbawienia wolności od </w:t>
      </w:r>
      <w:r w:rsidR="00416BDC" w:rsidRPr="00AF27CD">
        <w:rPr>
          <w:rFonts w:ascii="Times New Roman" w:hAnsi="Times New Roman" w:cs="Times New Roman"/>
          <w:szCs w:val="24"/>
        </w:rPr>
        <w:t>1 roku do lat 10</w:t>
      </w:r>
      <w:r w:rsidRPr="00AF27CD">
        <w:rPr>
          <w:rFonts w:ascii="Times New Roman" w:hAnsi="Times New Roman" w:cs="Times New Roman"/>
          <w:szCs w:val="24"/>
        </w:rPr>
        <w:t>. Górna granica zagrożenia karą pozbawienia wolności odzwierciedla aktualnie obowiązując</w:t>
      </w:r>
      <w:r w:rsidR="00443A1A">
        <w:rPr>
          <w:rFonts w:ascii="Times New Roman" w:hAnsi="Times New Roman" w:cs="Times New Roman"/>
          <w:szCs w:val="24"/>
        </w:rPr>
        <w:t>ą</w:t>
      </w:r>
      <w:r w:rsidRPr="00AF27CD">
        <w:rPr>
          <w:rFonts w:ascii="Times New Roman" w:hAnsi="Times New Roman" w:cs="Times New Roman"/>
          <w:szCs w:val="24"/>
        </w:rPr>
        <w:t xml:space="preserve"> systematykę kar pozbawienia wolności, wynikającą z nowelizacji Kodeksu </w:t>
      </w:r>
      <w:r w:rsidR="00C1750F" w:rsidRPr="00AF27CD">
        <w:rPr>
          <w:rFonts w:ascii="Times New Roman" w:hAnsi="Times New Roman" w:cs="Times New Roman"/>
          <w:szCs w:val="24"/>
        </w:rPr>
        <w:t>k</w:t>
      </w:r>
      <w:r w:rsidR="00395D84">
        <w:rPr>
          <w:rFonts w:ascii="Times New Roman" w:hAnsi="Times New Roman" w:cs="Times New Roman"/>
          <w:szCs w:val="24"/>
        </w:rPr>
        <w:t>arnego przeprowadzonej w</w:t>
      </w:r>
      <w:r w:rsidR="00A7541B">
        <w:rPr>
          <w:rFonts w:ascii="Times New Roman" w:hAnsi="Times New Roman" w:cs="Times New Roman"/>
          <w:szCs w:val="24"/>
        </w:rPr>
        <w:t> </w:t>
      </w:r>
      <w:r w:rsidRPr="00AF27CD">
        <w:rPr>
          <w:rFonts w:ascii="Times New Roman" w:hAnsi="Times New Roman" w:cs="Times New Roman"/>
          <w:szCs w:val="24"/>
        </w:rPr>
        <w:t>2016 r. Z kolei dolny przedział zagrożenia karą został ustalony na poziomie umożliwiającym sądom wymierzenie – w uza</w:t>
      </w:r>
      <w:r w:rsidR="00395D84">
        <w:rPr>
          <w:rFonts w:ascii="Times New Roman" w:hAnsi="Times New Roman" w:cs="Times New Roman"/>
          <w:szCs w:val="24"/>
        </w:rPr>
        <w:t>sadnionych przypadkach – kary w</w:t>
      </w:r>
      <w:r w:rsidR="00A7541B">
        <w:rPr>
          <w:rFonts w:ascii="Times New Roman" w:hAnsi="Times New Roman" w:cs="Times New Roman"/>
          <w:szCs w:val="24"/>
        </w:rPr>
        <w:t> </w:t>
      </w:r>
      <w:r w:rsidRPr="00AF27CD">
        <w:rPr>
          <w:rFonts w:ascii="Times New Roman" w:hAnsi="Times New Roman" w:cs="Times New Roman"/>
          <w:szCs w:val="24"/>
        </w:rPr>
        <w:t>zawieszeniu.</w:t>
      </w:r>
    </w:p>
    <w:p w:rsidR="00A93E79" w:rsidRDefault="00A93E79" w:rsidP="00422EA7">
      <w:pPr>
        <w:autoSpaceDE w:val="0"/>
        <w:autoSpaceDN w:val="0"/>
        <w:adjustRightInd w:val="0"/>
        <w:spacing w:before="120" w:line="360" w:lineRule="auto"/>
        <w:jc w:val="both"/>
      </w:pPr>
      <w:r w:rsidRPr="00AF27CD">
        <w:t xml:space="preserve">Ponadto celem projektu jest stworzenie możliwości wymierzenia kary członkom zarządu i innych organów spółek prawa handlowego, których działalność wypełnia znamiona przestępstwa określone w tym </w:t>
      </w:r>
      <w:r w:rsidR="00443A1A">
        <w:t>d</w:t>
      </w:r>
      <w:r w:rsidRPr="00AF27CD">
        <w:t>ziale. Zgodnie z ustawą z dnia 22 czerwca 2001 r. można wymierzyć karę jedynie osobie fizycznej, natomiast odpowiedzialności w takim przypadku unikną członkowie organów spółek</w:t>
      </w:r>
      <w:r w:rsidR="00395D84">
        <w:t xml:space="preserve"> prawa handlowego. W</w:t>
      </w:r>
      <w:r w:rsidR="00A7541B">
        <w:t> </w:t>
      </w:r>
      <w:r w:rsidRPr="00AF27CD">
        <w:t>przypadku</w:t>
      </w:r>
      <w:r w:rsidR="00C1750F" w:rsidRPr="00AF27CD">
        <w:t xml:space="preserve"> gdy sprawca czynu</w:t>
      </w:r>
      <w:r w:rsidRPr="00AF27CD">
        <w:t xml:space="preserve"> działa nieumyślnie, górny wymiar zagrożenia karą pozbawienia wolności wynosi do 3 lat, a więc został ustanowiony na poziomie odpowiednio niższym niż w przypadku działań umyślnych.</w:t>
      </w:r>
    </w:p>
    <w:p w:rsidR="00443A1A" w:rsidRPr="00AF27CD" w:rsidRDefault="00443A1A" w:rsidP="00443A1A">
      <w:pPr>
        <w:pStyle w:val="ARTartustawynprozporzdzenia"/>
        <w:ind w:firstLine="0"/>
        <w:rPr>
          <w:rFonts w:ascii="Times New Roman" w:hAnsi="Times New Roman" w:cs="Times New Roman"/>
          <w:szCs w:val="24"/>
        </w:rPr>
      </w:pPr>
      <w:r w:rsidRPr="00AF27CD">
        <w:rPr>
          <w:rStyle w:val="Ppogrubienie"/>
          <w:rFonts w:ascii="Times New Roman" w:hAnsi="Times New Roman" w:cs="Times New Roman"/>
          <w:b w:val="0"/>
          <w:szCs w:val="24"/>
        </w:rPr>
        <w:t>W przypadku stwierdzenia, iż przedsiębiorca</w:t>
      </w:r>
      <w:r w:rsidRPr="00AF27CD">
        <w:rPr>
          <w:rStyle w:val="Ppogrubienie"/>
          <w:rFonts w:ascii="Times New Roman" w:hAnsi="Times New Roman" w:cs="Times New Roman"/>
          <w:szCs w:val="24"/>
        </w:rPr>
        <w:t xml:space="preserve"> </w:t>
      </w:r>
      <w:r w:rsidRPr="00AF27CD">
        <w:rPr>
          <w:rFonts w:ascii="Times New Roman" w:hAnsi="Times New Roman" w:cs="Times New Roman"/>
          <w:szCs w:val="24"/>
        </w:rPr>
        <w:t>nie wykonuje obowiązku polegającego na prowadzeniu i przechowywaniu w swojej siedzibie ewidencji danych umożliwiających identyfikacj</w:t>
      </w:r>
      <w:r>
        <w:rPr>
          <w:rFonts w:ascii="Times New Roman" w:hAnsi="Times New Roman" w:cs="Times New Roman"/>
          <w:szCs w:val="24"/>
        </w:rPr>
        <w:t>ę</w:t>
      </w:r>
      <w:r w:rsidRPr="00AF27CD">
        <w:rPr>
          <w:rFonts w:ascii="Times New Roman" w:hAnsi="Times New Roman" w:cs="Times New Roman"/>
          <w:szCs w:val="24"/>
        </w:rPr>
        <w:t xml:space="preserve"> oraz identyfikowalność broni palnej, części i istotnych komponentów broni lub amunicji będącej przedmiotem wywozu, minister właściwy do spraw gospodarki może wymierzyć takiemu przedsiębiorcy, w drodze decyzji administracyjnej, karę pieniężną w wysokości do 50</w:t>
      </w:r>
      <w:r w:rsidR="00E60C60">
        <w:rPr>
          <w:rFonts w:ascii="Times New Roman" w:hAnsi="Times New Roman" w:cs="Times New Roman"/>
          <w:szCs w:val="24"/>
        </w:rPr>
        <w:t xml:space="preserve"> </w:t>
      </w:r>
      <w:r w:rsidRPr="00AF27CD">
        <w:rPr>
          <w:rFonts w:ascii="Times New Roman" w:hAnsi="Times New Roman" w:cs="Times New Roman"/>
          <w:szCs w:val="24"/>
        </w:rPr>
        <w:t xml:space="preserve">000 zł. </w:t>
      </w:r>
    </w:p>
    <w:p w:rsidR="00A93E79" w:rsidRDefault="00A93E79" w:rsidP="00422EA7">
      <w:pPr>
        <w:pStyle w:val="ARTartustawynprozporzdzenia"/>
        <w:ind w:firstLine="0"/>
        <w:rPr>
          <w:rStyle w:val="Ppogrubienie"/>
          <w:rFonts w:ascii="Times New Roman" w:hAnsi="Times New Roman" w:cs="Times New Roman"/>
          <w:b w:val="0"/>
          <w:szCs w:val="24"/>
        </w:rPr>
      </w:pPr>
      <w:r w:rsidRPr="00AF27CD">
        <w:rPr>
          <w:rFonts w:ascii="Times New Roman" w:hAnsi="Times New Roman" w:cs="Times New Roman"/>
          <w:szCs w:val="24"/>
        </w:rPr>
        <w:t xml:space="preserve">Istotne jest, iż w razie skazania za przestępstwo, szczegółowo wskazane w projekcie ustawy, orzeka się przepadek materiałów wybuchowych, broni, amunicji, wyrobów lub technologii o przeznaczeniu wojskowym lub policyjnym, a także innych przedmiotów, które służyły lub były przeznaczone do popełnienia przestępstwa, albo pochodzących bezpośrednio lub pośrednio z przestępstwa, chociażby nie stanowiły one własności sprawcy. </w:t>
      </w:r>
      <w:r w:rsidR="0064155B" w:rsidRPr="00AF27CD">
        <w:rPr>
          <w:rFonts w:ascii="Times New Roman" w:hAnsi="Times New Roman" w:cs="Times New Roman"/>
          <w:szCs w:val="24"/>
        </w:rPr>
        <w:t>Wymiar kar zaproponowany w</w:t>
      </w:r>
      <w:r w:rsidR="00422EA7" w:rsidRPr="00AF27CD">
        <w:rPr>
          <w:rFonts w:ascii="Times New Roman" w:hAnsi="Times New Roman" w:cs="Times New Roman"/>
          <w:szCs w:val="24"/>
        </w:rPr>
        <w:t xml:space="preserve"> </w:t>
      </w:r>
      <w:r w:rsidRPr="00AF27CD">
        <w:rPr>
          <w:rStyle w:val="Ppogrubienie"/>
          <w:rFonts w:ascii="Times New Roman" w:hAnsi="Times New Roman" w:cs="Times New Roman"/>
          <w:b w:val="0"/>
          <w:szCs w:val="24"/>
        </w:rPr>
        <w:t xml:space="preserve">projekcie ustawy </w:t>
      </w:r>
      <w:r w:rsidR="0064155B" w:rsidRPr="00AF27CD">
        <w:rPr>
          <w:rStyle w:val="Ppogrubienie"/>
          <w:rFonts w:ascii="Times New Roman" w:hAnsi="Times New Roman" w:cs="Times New Roman"/>
          <w:b w:val="0"/>
          <w:szCs w:val="24"/>
        </w:rPr>
        <w:t xml:space="preserve">uzyskał pozytywną opinię Ministerstwa Sprawiedliwości. Poniżej przedstawiono zestawienie </w:t>
      </w:r>
      <w:r w:rsidRPr="00AF27CD">
        <w:rPr>
          <w:rStyle w:val="Ppogrubienie"/>
          <w:rFonts w:ascii="Times New Roman" w:hAnsi="Times New Roman" w:cs="Times New Roman"/>
          <w:b w:val="0"/>
          <w:szCs w:val="24"/>
        </w:rPr>
        <w:t>kar w przypadku następujących przestępstw: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5991"/>
        <w:gridCol w:w="1731"/>
      </w:tblGrid>
      <w:tr w:rsidR="003B16E9" w:rsidRPr="00707439" w:rsidTr="00443A1A">
        <w:trPr>
          <w:jc w:val="center"/>
        </w:trPr>
        <w:tc>
          <w:tcPr>
            <w:tcW w:w="997" w:type="dxa"/>
            <w:shd w:val="clear" w:color="auto" w:fill="auto"/>
            <w:vAlign w:val="center"/>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 ustawy</w:t>
            </w:r>
          </w:p>
        </w:tc>
        <w:tc>
          <w:tcPr>
            <w:tcW w:w="5991" w:type="dxa"/>
            <w:shd w:val="clear" w:color="auto" w:fill="auto"/>
            <w:vAlign w:val="center"/>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Treść przepisu</w:t>
            </w:r>
          </w:p>
        </w:tc>
        <w:tc>
          <w:tcPr>
            <w:tcW w:w="1731" w:type="dxa"/>
            <w:shd w:val="clear" w:color="auto" w:fill="auto"/>
            <w:vAlign w:val="center"/>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Rodzaj oraz wysokość kary</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4150F3" w:rsidRPr="00707439">
              <w:rPr>
                <w:rStyle w:val="Ppogrubienie"/>
                <w:rFonts w:ascii="Times New Roman" w:hAnsi="Times New Roman" w:cs="Times New Roman"/>
                <w:b w:val="0"/>
                <w:sz w:val="22"/>
                <w:szCs w:val="22"/>
              </w:rPr>
              <w:t>3</w:t>
            </w:r>
            <w:r w:rsidR="00773AC5" w:rsidRPr="00707439">
              <w:rPr>
                <w:rStyle w:val="Ppogrubienie"/>
                <w:rFonts w:ascii="Times New Roman" w:hAnsi="Times New Roman" w:cs="Times New Roman"/>
                <w:b w:val="0"/>
                <w:sz w:val="22"/>
                <w:szCs w:val="22"/>
              </w:rPr>
              <w:t>4</w:t>
            </w:r>
            <w:r w:rsidR="00395D84" w:rsidRPr="00707439">
              <w:rPr>
                <w:rStyle w:val="Ppogrubienie"/>
                <w:rFonts w:ascii="Times New Roman" w:hAnsi="Times New Roman" w:cs="Times New Roman"/>
                <w:b w:val="0"/>
                <w:sz w:val="22"/>
                <w:szCs w:val="22"/>
              </w:rPr>
              <w:t xml:space="preserve"> ust.</w:t>
            </w:r>
            <w:r w:rsidR="00EC6774">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p>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Kto, wykonując działalność gospodarczą w zakresie wytwarzania lub obrotu bronią lub amunicj</w:t>
            </w:r>
            <w:r w:rsidR="00707439">
              <w:rPr>
                <w:rFonts w:ascii="Times New Roman" w:hAnsi="Times New Roman" w:cs="Times New Roman"/>
                <w:sz w:val="22"/>
                <w:szCs w:val="22"/>
              </w:rPr>
              <w:t>ą albo w zakresie przewożenia i</w:t>
            </w:r>
            <w:r w:rsidR="00A7541B">
              <w:rPr>
                <w:rFonts w:ascii="Times New Roman" w:hAnsi="Times New Roman" w:cs="Times New Roman"/>
                <w:sz w:val="22"/>
                <w:szCs w:val="22"/>
              </w:rPr>
              <w:t> </w:t>
            </w:r>
            <w:r w:rsidRPr="00707439">
              <w:rPr>
                <w:rFonts w:ascii="Times New Roman" w:hAnsi="Times New Roman" w:cs="Times New Roman"/>
                <w:sz w:val="22"/>
                <w:szCs w:val="22"/>
              </w:rPr>
              <w:t>doręczania przesyłek zawierających broń lub amunicję, przemieszcza, z innych państw członkowskich, na terytorium Rzeczypospolitej Polskiej, jako państwa docelowego transakcji albo z terytorium Rzeczypospolitej Polskiej, jako państwa początkowego transakcji, albo z państwa członkowskiego początkowego transakcji przez terytorium Rzeczypospolitej Polskiej do innego państwa członkowskiego, strzelecką broń palną, istotne komponenty lub amunicję bez wymaganej zgody przewozowej lub uprzedniej zgody przewozowej albo dokonuje poświadczenia zgody przewozowej</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n</w:t>
            </w:r>
            <w:r w:rsidR="005762CF" w:rsidRPr="00707439">
              <w:rPr>
                <w:rFonts w:ascii="Times New Roman" w:hAnsi="Times New Roman" w:cs="Times New Roman"/>
                <w:sz w:val="22"/>
                <w:szCs w:val="22"/>
              </w:rPr>
              <w:t>ie posiadając do tego uprawnień</w:t>
            </w:r>
          </w:p>
        </w:tc>
        <w:tc>
          <w:tcPr>
            <w:tcW w:w="173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Kara pozbawienia wolności do lat 3</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ust. 3</w:t>
            </w: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W przypadku działania nieumyślnego</w:t>
            </w:r>
          </w:p>
        </w:tc>
        <w:tc>
          <w:tcPr>
            <w:tcW w:w="1731" w:type="dxa"/>
            <w:shd w:val="clear" w:color="auto" w:fill="auto"/>
          </w:tcPr>
          <w:p w:rsidR="00A93E79" w:rsidRPr="00707439" w:rsidRDefault="00A93E79" w:rsidP="00707439">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Grzywna, kara ograniczenia wolności albo pozbawienia wolności do roku</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773AC5" w:rsidRPr="00707439">
              <w:rPr>
                <w:rStyle w:val="Ppogrubienie"/>
                <w:rFonts w:ascii="Times New Roman" w:hAnsi="Times New Roman" w:cs="Times New Roman"/>
                <w:b w:val="0"/>
                <w:sz w:val="22"/>
                <w:szCs w:val="22"/>
              </w:rPr>
              <w:t>35</w:t>
            </w:r>
          </w:p>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ust. 1</w:t>
            </w:r>
          </w:p>
        </w:tc>
        <w:tc>
          <w:tcPr>
            <w:tcW w:w="5991" w:type="dxa"/>
            <w:shd w:val="clear" w:color="auto" w:fill="auto"/>
          </w:tcPr>
          <w:p w:rsidR="00A93E79" w:rsidRPr="00707439" w:rsidRDefault="00A93E79" w:rsidP="00707439">
            <w:pPr>
              <w:pStyle w:val="ARTartustawynprozporzdzenia"/>
              <w:spacing w:before="0"/>
              <w:ind w:firstLine="0"/>
              <w:rPr>
                <w:rStyle w:val="Ppogrubienie"/>
                <w:rFonts w:ascii="Times New Roman" w:hAnsi="Times New Roman" w:cs="Times New Roman"/>
                <w:b w:val="0"/>
                <w:sz w:val="22"/>
                <w:szCs w:val="22"/>
              </w:rPr>
            </w:pPr>
            <w:r w:rsidRPr="00707439">
              <w:rPr>
                <w:rFonts w:ascii="Times New Roman" w:hAnsi="Times New Roman" w:cs="Times New Roman"/>
                <w:sz w:val="22"/>
                <w:szCs w:val="22"/>
              </w:rPr>
              <w:t>Kto</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wykonując działalność gospodarczą w zakresie wytwarzania lub obrotu bronią lub amunicją</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nie dopełnia obowiązku oznakowania broni, istotnych komponentów oraz pojedynczego podstawowego</w:t>
            </w:r>
            <w:r w:rsidR="00DE23FE" w:rsidRPr="00707439">
              <w:rPr>
                <w:rFonts w:ascii="Times New Roman" w:hAnsi="Times New Roman" w:cs="Times New Roman"/>
                <w:sz w:val="22"/>
                <w:szCs w:val="22"/>
              </w:rPr>
              <w:t xml:space="preserve"> jednostkowego</w:t>
            </w:r>
            <w:r w:rsidR="00422EA7" w:rsidRPr="00707439">
              <w:rPr>
                <w:rFonts w:ascii="Times New Roman" w:hAnsi="Times New Roman" w:cs="Times New Roman"/>
                <w:sz w:val="22"/>
                <w:szCs w:val="22"/>
              </w:rPr>
              <w:t xml:space="preserve"> </w:t>
            </w:r>
            <w:r w:rsidR="005762CF" w:rsidRPr="00707439">
              <w:rPr>
                <w:rFonts w:ascii="Times New Roman" w:hAnsi="Times New Roman" w:cs="Times New Roman"/>
                <w:sz w:val="22"/>
                <w:szCs w:val="22"/>
              </w:rPr>
              <w:t>opakowania amunicji</w:t>
            </w:r>
          </w:p>
        </w:tc>
        <w:tc>
          <w:tcPr>
            <w:tcW w:w="1731" w:type="dxa"/>
            <w:shd w:val="clear" w:color="auto" w:fill="auto"/>
          </w:tcPr>
          <w:p w:rsidR="00A93E79" w:rsidRPr="00707439" w:rsidRDefault="00A647FE" w:rsidP="00707439">
            <w:pPr>
              <w:pStyle w:val="ARTartustawynprozporzdzenia"/>
              <w:spacing w:before="0"/>
              <w:ind w:firstLine="0"/>
              <w:jc w:val="left"/>
              <w:rPr>
                <w:rStyle w:val="Ppogrubienie"/>
                <w:rFonts w:ascii="Times New Roman" w:hAnsi="Times New Roman" w:cs="Times New Roman"/>
                <w:b w:val="0"/>
                <w:sz w:val="22"/>
                <w:szCs w:val="22"/>
              </w:rPr>
            </w:pPr>
            <w:r w:rsidRPr="00707439">
              <w:rPr>
                <w:rFonts w:ascii="Times New Roman" w:hAnsi="Times New Roman" w:cs="Times New Roman"/>
                <w:sz w:val="22"/>
                <w:szCs w:val="22"/>
              </w:rPr>
              <w:t>Grzywna, kara ograniczenia wolności albo k</w:t>
            </w:r>
            <w:r w:rsidR="00A93E79" w:rsidRPr="00707439">
              <w:rPr>
                <w:rFonts w:ascii="Times New Roman" w:hAnsi="Times New Roman" w:cs="Times New Roman"/>
                <w:sz w:val="22"/>
                <w:szCs w:val="22"/>
              </w:rPr>
              <w:t>ara pozbawienia wolności do lat 2</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4150F3" w:rsidRPr="00707439">
              <w:rPr>
                <w:rStyle w:val="Ppogrubienie"/>
                <w:rFonts w:ascii="Times New Roman" w:hAnsi="Times New Roman" w:cs="Times New Roman"/>
                <w:b w:val="0"/>
                <w:sz w:val="22"/>
                <w:szCs w:val="22"/>
              </w:rPr>
              <w:t>3</w:t>
            </w:r>
            <w:r w:rsidR="00773AC5" w:rsidRPr="00707439">
              <w:rPr>
                <w:rStyle w:val="Ppogrubienie"/>
                <w:rFonts w:ascii="Times New Roman" w:hAnsi="Times New Roman" w:cs="Times New Roman"/>
                <w:b w:val="0"/>
                <w:sz w:val="22"/>
                <w:szCs w:val="22"/>
              </w:rPr>
              <w:t>6</w:t>
            </w:r>
            <w:r w:rsidRPr="00707439">
              <w:rPr>
                <w:rFonts w:ascii="Times New Roman" w:hAnsi="Times New Roman" w:cs="Times New Roman"/>
                <w:sz w:val="22"/>
                <w:szCs w:val="22"/>
              </w:rPr>
              <w:t xml:space="preserve"> ust. 1.</w:t>
            </w:r>
          </w:p>
        </w:tc>
        <w:tc>
          <w:tcPr>
            <w:tcW w:w="5991" w:type="dxa"/>
            <w:shd w:val="clear" w:color="auto" w:fill="auto"/>
          </w:tcPr>
          <w:p w:rsidR="00A93E79" w:rsidRPr="00707439" w:rsidRDefault="00A93E79" w:rsidP="00707439">
            <w:pPr>
              <w:pStyle w:val="ARTartustawynprozporzdzenia"/>
              <w:spacing w:before="0"/>
              <w:ind w:firstLine="0"/>
              <w:rPr>
                <w:rStyle w:val="Ppogrubienie"/>
                <w:rFonts w:ascii="Times New Roman" w:hAnsi="Times New Roman" w:cs="Times New Roman"/>
                <w:b w:val="0"/>
                <w:sz w:val="22"/>
                <w:szCs w:val="22"/>
              </w:rPr>
            </w:pPr>
            <w:r w:rsidRPr="00707439">
              <w:rPr>
                <w:rFonts w:ascii="Times New Roman" w:hAnsi="Times New Roman" w:cs="Times New Roman"/>
                <w:sz w:val="22"/>
                <w:szCs w:val="22"/>
              </w:rPr>
              <w:t>Kto sprzedaje strzelecką broń palną pozbawioną cech użytkowych</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nie przekazując nabywcy przypisanego do tej broni świadectwa pozbawienia broni cech użytkowych</w:t>
            </w:r>
          </w:p>
        </w:tc>
        <w:tc>
          <w:tcPr>
            <w:tcW w:w="1731" w:type="dxa"/>
            <w:shd w:val="clear" w:color="auto" w:fill="auto"/>
          </w:tcPr>
          <w:p w:rsidR="00A93E79" w:rsidRPr="00707439" w:rsidRDefault="00A93E79" w:rsidP="00707439">
            <w:pPr>
              <w:pStyle w:val="ARTartustawynprozporzdzenia"/>
              <w:spacing w:before="0"/>
              <w:ind w:firstLine="0"/>
              <w:jc w:val="left"/>
              <w:rPr>
                <w:rStyle w:val="Ppogrubienie"/>
                <w:rFonts w:ascii="Times New Roman" w:hAnsi="Times New Roman" w:cs="Times New Roman"/>
                <w:b w:val="0"/>
                <w:sz w:val="22"/>
                <w:szCs w:val="22"/>
              </w:rPr>
            </w:pPr>
            <w:r w:rsidRPr="00707439">
              <w:rPr>
                <w:rFonts w:ascii="Times New Roman" w:hAnsi="Times New Roman" w:cs="Times New Roman"/>
                <w:sz w:val="22"/>
                <w:szCs w:val="22"/>
              </w:rPr>
              <w:t>Grzywna, kara ograniczenia wolności albo pozbawienia wolności do lat 2</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4150F3" w:rsidRPr="00707439">
              <w:rPr>
                <w:rStyle w:val="Ppogrubienie"/>
                <w:rFonts w:ascii="Times New Roman" w:hAnsi="Times New Roman" w:cs="Times New Roman"/>
                <w:b w:val="0"/>
                <w:sz w:val="22"/>
                <w:szCs w:val="22"/>
              </w:rPr>
              <w:t>3</w:t>
            </w:r>
            <w:r w:rsidR="00773AC5" w:rsidRPr="00707439">
              <w:rPr>
                <w:rStyle w:val="Ppogrubienie"/>
                <w:rFonts w:ascii="Times New Roman" w:hAnsi="Times New Roman" w:cs="Times New Roman"/>
                <w:b w:val="0"/>
                <w:sz w:val="22"/>
                <w:szCs w:val="22"/>
              </w:rPr>
              <w:t>7</w:t>
            </w:r>
          </w:p>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ust. 1</w:t>
            </w: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Kto</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wykonując działalność gospodarczą w zakresie wytwarzania i obrotu strzelecką bronią palną</w:t>
            </w:r>
            <w:r w:rsidR="008114D5">
              <w:rPr>
                <w:rFonts w:ascii="Times New Roman" w:hAnsi="Times New Roman" w:cs="Times New Roman"/>
                <w:sz w:val="22"/>
                <w:szCs w:val="22"/>
              </w:rPr>
              <w:t>,</w:t>
            </w:r>
            <w:r w:rsidRPr="00707439">
              <w:rPr>
                <w:rFonts w:ascii="Times New Roman" w:hAnsi="Times New Roman" w:cs="Times New Roman"/>
                <w:sz w:val="22"/>
                <w:szCs w:val="22"/>
              </w:rPr>
              <w:t xml:space="preserve"> nie dopełnia obowiązku ewidencjonowania tej broni </w:t>
            </w:r>
          </w:p>
        </w:tc>
        <w:tc>
          <w:tcPr>
            <w:tcW w:w="1731" w:type="dxa"/>
            <w:shd w:val="clear" w:color="auto" w:fill="auto"/>
          </w:tcPr>
          <w:p w:rsidR="00A93E79" w:rsidRPr="00707439" w:rsidRDefault="00A93E79" w:rsidP="00E60C60">
            <w:pPr>
              <w:pStyle w:val="ARTartustawynprozporzdzenia"/>
              <w:spacing w:before="0"/>
              <w:ind w:firstLine="0"/>
              <w:jc w:val="left"/>
              <w:rPr>
                <w:rStyle w:val="Ppogrubienie"/>
                <w:rFonts w:ascii="Times New Roman" w:hAnsi="Times New Roman" w:cs="Times New Roman"/>
                <w:b w:val="0"/>
                <w:sz w:val="22"/>
                <w:szCs w:val="22"/>
              </w:rPr>
            </w:pPr>
            <w:r w:rsidRPr="00707439">
              <w:rPr>
                <w:rFonts w:ascii="Times New Roman" w:hAnsi="Times New Roman" w:cs="Times New Roman"/>
                <w:sz w:val="22"/>
                <w:szCs w:val="22"/>
              </w:rPr>
              <w:t xml:space="preserve">Grzywna, </w:t>
            </w:r>
            <w:r w:rsidR="00E60C60">
              <w:rPr>
                <w:rFonts w:ascii="Times New Roman" w:hAnsi="Times New Roman" w:cs="Times New Roman"/>
                <w:sz w:val="22"/>
                <w:szCs w:val="22"/>
              </w:rPr>
              <w:t>k</w:t>
            </w:r>
            <w:r w:rsidRPr="00707439">
              <w:rPr>
                <w:rFonts w:ascii="Times New Roman" w:hAnsi="Times New Roman" w:cs="Times New Roman"/>
                <w:sz w:val="22"/>
                <w:szCs w:val="22"/>
              </w:rPr>
              <w:t>ara ograniczenia wolności albo pozbawienia wolności do lat 3</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416BDC" w:rsidRPr="00707439">
              <w:rPr>
                <w:rStyle w:val="Ppogrubienie"/>
                <w:rFonts w:ascii="Times New Roman" w:hAnsi="Times New Roman" w:cs="Times New Roman"/>
                <w:b w:val="0"/>
                <w:sz w:val="22"/>
                <w:szCs w:val="22"/>
              </w:rPr>
              <w:t>3</w:t>
            </w:r>
            <w:r w:rsidR="00773AC5" w:rsidRPr="00707439">
              <w:rPr>
                <w:rStyle w:val="Ppogrubienie"/>
                <w:rFonts w:ascii="Times New Roman" w:hAnsi="Times New Roman" w:cs="Times New Roman"/>
                <w:b w:val="0"/>
                <w:sz w:val="22"/>
                <w:szCs w:val="22"/>
              </w:rPr>
              <w:t>8</w:t>
            </w: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 xml:space="preserve">Kto bez zezwolenia </w:t>
            </w:r>
            <w:r w:rsidR="00A7541B">
              <w:rPr>
                <w:rFonts w:ascii="Times New Roman" w:hAnsi="Times New Roman" w:cs="Times New Roman"/>
                <w:sz w:val="22"/>
                <w:szCs w:val="22"/>
              </w:rPr>
              <w:t>lub wbrew warunkom określonym w </w:t>
            </w:r>
            <w:r w:rsidRPr="00707439">
              <w:rPr>
                <w:rFonts w:ascii="Times New Roman" w:hAnsi="Times New Roman" w:cs="Times New Roman"/>
                <w:sz w:val="22"/>
                <w:szCs w:val="22"/>
              </w:rPr>
              <w:t>zezwoleniu na wywóz dokonuje wywozu, o którym mowa w art. 8</w:t>
            </w:r>
            <w:r w:rsidR="00443A1A">
              <w:rPr>
                <w:rFonts w:ascii="Times New Roman" w:hAnsi="Times New Roman" w:cs="Times New Roman"/>
                <w:sz w:val="22"/>
                <w:szCs w:val="22"/>
              </w:rPr>
              <w:t>4</w:t>
            </w:r>
            <w:r w:rsidRPr="00707439">
              <w:rPr>
                <w:rFonts w:ascii="Times New Roman" w:hAnsi="Times New Roman" w:cs="Times New Roman"/>
                <w:sz w:val="22"/>
                <w:szCs w:val="22"/>
              </w:rPr>
              <w:t xml:space="preserve"> ust. 1</w:t>
            </w:r>
          </w:p>
          <w:p w:rsidR="00A93E79" w:rsidRPr="00707439" w:rsidRDefault="00A93E79" w:rsidP="00707439">
            <w:pPr>
              <w:pStyle w:val="SKARNsankcjakarnawszczeglnociwKodeksiekarnym"/>
              <w:ind w:left="0"/>
              <w:rPr>
                <w:rFonts w:ascii="Times New Roman" w:hAnsi="Times New Roman" w:cs="Times New Roman"/>
                <w:sz w:val="22"/>
                <w:szCs w:val="22"/>
              </w:rPr>
            </w:pPr>
          </w:p>
        </w:tc>
        <w:tc>
          <w:tcPr>
            <w:tcW w:w="1731" w:type="dxa"/>
            <w:shd w:val="clear" w:color="auto" w:fill="auto"/>
          </w:tcPr>
          <w:p w:rsidR="00A93E79" w:rsidRPr="00707439" w:rsidRDefault="00A93E79" w:rsidP="00707439">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Kara pozbawienia wolności od</w:t>
            </w:r>
            <w:r w:rsidR="00D93DE2" w:rsidRPr="00707439">
              <w:rPr>
                <w:rFonts w:ascii="Times New Roman" w:hAnsi="Times New Roman" w:cs="Times New Roman"/>
                <w:sz w:val="22"/>
                <w:szCs w:val="22"/>
              </w:rPr>
              <w:t xml:space="preserve"> 3</w:t>
            </w:r>
            <w:r w:rsidRPr="00707439">
              <w:rPr>
                <w:rFonts w:ascii="Times New Roman" w:hAnsi="Times New Roman" w:cs="Times New Roman"/>
                <w:sz w:val="22"/>
                <w:szCs w:val="22"/>
              </w:rPr>
              <w:t xml:space="preserve"> miesięcy do lat 5</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416BDC" w:rsidRPr="00707439">
              <w:rPr>
                <w:rStyle w:val="Ppogrubienie"/>
                <w:rFonts w:ascii="Times New Roman" w:hAnsi="Times New Roman" w:cs="Times New Roman"/>
                <w:b w:val="0"/>
                <w:sz w:val="22"/>
                <w:szCs w:val="22"/>
              </w:rPr>
              <w:t>3</w:t>
            </w:r>
            <w:r w:rsidR="00773AC5" w:rsidRPr="00707439">
              <w:rPr>
                <w:rStyle w:val="Ppogrubienie"/>
                <w:rFonts w:ascii="Times New Roman" w:hAnsi="Times New Roman" w:cs="Times New Roman"/>
                <w:b w:val="0"/>
                <w:sz w:val="22"/>
                <w:szCs w:val="22"/>
              </w:rPr>
              <w:t>9</w:t>
            </w:r>
            <w:r w:rsidR="00422EA7" w:rsidRPr="00707439">
              <w:rPr>
                <w:rFonts w:ascii="Times New Roman" w:hAnsi="Times New Roman" w:cs="Times New Roman"/>
                <w:b/>
                <w:sz w:val="22"/>
                <w:szCs w:val="22"/>
              </w:rPr>
              <w:t xml:space="preserve"> </w:t>
            </w:r>
          </w:p>
        </w:tc>
        <w:tc>
          <w:tcPr>
            <w:tcW w:w="5991" w:type="dxa"/>
            <w:shd w:val="clear" w:color="auto" w:fill="auto"/>
          </w:tcPr>
          <w:p w:rsidR="00A93E79" w:rsidRPr="00707439" w:rsidRDefault="00A93E79" w:rsidP="00443A1A">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 xml:space="preserve">Kto sprzedaje </w:t>
            </w:r>
            <w:r w:rsidR="00443A1A" w:rsidRPr="00707439">
              <w:rPr>
                <w:rFonts w:ascii="Times New Roman" w:hAnsi="Times New Roman" w:cs="Times New Roman"/>
                <w:sz w:val="22"/>
                <w:szCs w:val="22"/>
              </w:rPr>
              <w:t xml:space="preserve">osobom niepełnoletnim </w:t>
            </w:r>
            <w:r w:rsidRPr="00707439">
              <w:rPr>
                <w:rFonts w:ascii="Times New Roman" w:hAnsi="Times New Roman" w:cs="Times New Roman"/>
                <w:sz w:val="22"/>
                <w:szCs w:val="22"/>
              </w:rPr>
              <w:t>wyroby pirotechniczne, wyłączone spod koncesjonowania lub broń, na posiadanie, której nie jest wymagane pozwolenie</w:t>
            </w:r>
          </w:p>
        </w:tc>
        <w:tc>
          <w:tcPr>
            <w:tcW w:w="1731" w:type="dxa"/>
            <w:shd w:val="clear" w:color="auto" w:fill="auto"/>
          </w:tcPr>
          <w:p w:rsidR="00A93E79" w:rsidRPr="00707439" w:rsidRDefault="00A93E79" w:rsidP="00707439">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Grzywna, kara ograniczenia wolności albo pozbawienia wolności do lat 2</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773AC5" w:rsidRPr="00707439">
              <w:rPr>
                <w:rStyle w:val="Ppogrubienie"/>
                <w:rFonts w:ascii="Times New Roman" w:hAnsi="Times New Roman" w:cs="Times New Roman"/>
                <w:b w:val="0"/>
                <w:sz w:val="22"/>
                <w:szCs w:val="22"/>
              </w:rPr>
              <w:t>40</w:t>
            </w:r>
          </w:p>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ust.</w:t>
            </w:r>
            <w:r w:rsidR="00422EA7" w:rsidRPr="00707439">
              <w:rPr>
                <w:rFonts w:ascii="Times New Roman" w:hAnsi="Times New Roman" w:cs="Times New Roman"/>
                <w:b/>
                <w:sz w:val="22"/>
                <w:szCs w:val="22"/>
              </w:rPr>
              <w:t xml:space="preserve"> </w:t>
            </w:r>
            <w:r w:rsidRPr="00707439">
              <w:rPr>
                <w:rFonts w:ascii="Times New Roman" w:hAnsi="Times New Roman" w:cs="Times New Roman"/>
                <w:sz w:val="22"/>
                <w:szCs w:val="22"/>
              </w:rPr>
              <w:t>1</w:t>
            </w: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Kto utrudnia przeprowadzenie przez uprawnione organy kontroli działalności gospodarczej w zakresie wytwarzania lub obrotu materiałami wybuchowymi, b</w:t>
            </w:r>
            <w:r w:rsidR="00707439">
              <w:rPr>
                <w:rFonts w:ascii="Times New Roman" w:hAnsi="Times New Roman" w:cs="Times New Roman"/>
                <w:sz w:val="22"/>
                <w:szCs w:val="22"/>
              </w:rPr>
              <w:t>ronią, amunicją oraz wyrobami i</w:t>
            </w:r>
            <w:r w:rsidR="00A7541B">
              <w:rPr>
                <w:rFonts w:ascii="Times New Roman" w:hAnsi="Times New Roman" w:cs="Times New Roman"/>
                <w:sz w:val="22"/>
                <w:szCs w:val="22"/>
              </w:rPr>
              <w:t> </w:t>
            </w:r>
            <w:r w:rsidRPr="00707439">
              <w:rPr>
                <w:rFonts w:ascii="Times New Roman" w:hAnsi="Times New Roman" w:cs="Times New Roman"/>
                <w:sz w:val="22"/>
                <w:szCs w:val="22"/>
              </w:rPr>
              <w:t>technologią o przeznaczeniu wojskowym lub policyjnym</w:t>
            </w:r>
          </w:p>
        </w:tc>
        <w:tc>
          <w:tcPr>
            <w:tcW w:w="1731" w:type="dxa"/>
            <w:shd w:val="clear" w:color="auto" w:fill="auto"/>
          </w:tcPr>
          <w:p w:rsidR="00A93E79" w:rsidRPr="00707439" w:rsidRDefault="00A93E79" w:rsidP="00707439">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Grzywna</w:t>
            </w:r>
            <w:r w:rsidR="005D28CE" w:rsidRPr="00707439">
              <w:rPr>
                <w:rFonts w:ascii="Times New Roman" w:hAnsi="Times New Roman" w:cs="Times New Roman"/>
                <w:sz w:val="22"/>
                <w:szCs w:val="22"/>
              </w:rPr>
              <w:t xml:space="preserve">, </w:t>
            </w:r>
            <w:r w:rsidRPr="00707439">
              <w:rPr>
                <w:rFonts w:ascii="Times New Roman" w:hAnsi="Times New Roman" w:cs="Times New Roman"/>
                <w:sz w:val="22"/>
                <w:szCs w:val="22"/>
              </w:rPr>
              <w:t>kara ograniczenia wolności</w:t>
            </w:r>
            <w:r w:rsidR="005D28CE" w:rsidRPr="00707439">
              <w:rPr>
                <w:rFonts w:ascii="Times New Roman" w:hAnsi="Times New Roman" w:cs="Times New Roman"/>
                <w:sz w:val="22"/>
                <w:szCs w:val="22"/>
              </w:rPr>
              <w:t xml:space="preserve"> albo pozbawienia wolności do lat 3</w:t>
            </w:r>
          </w:p>
        </w:tc>
      </w:tr>
      <w:tr w:rsidR="003B16E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w:t>
            </w:r>
            <w:r w:rsidR="00422EA7" w:rsidRPr="00707439">
              <w:rPr>
                <w:rStyle w:val="Ppogrubienie"/>
                <w:rFonts w:ascii="Times New Roman" w:hAnsi="Times New Roman" w:cs="Times New Roman"/>
                <w:b w:val="0"/>
                <w:sz w:val="22"/>
                <w:szCs w:val="22"/>
              </w:rPr>
              <w:t xml:space="preserve"> </w:t>
            </w:r>
            <w:r w:rsidRPr="00707439">
              <w:rPr>
                <w:rStyle w:val="Ppogrubienie"/>
                <w:rFonts w:ascii="Times New Roman" w:hAnsi="Times New Roman" w:cs="Times New Roman"/>
                <w:b w:val="0"/>
                <w:sz w:val="22"/>
                <w:szCs w:val="22"/>
              </w:rPr>
              <w:t>1</w:t>
            </w:r>
            <w:r w:rsidR="0012709A" w:rsidRPr="00707439">
              <w:rPr>
                <w:rStyle w:val="Ppogrubienie"/>
                <w:rFonts w:ascii="Times New Roman" w:hAnsi="Times New Roman" w:cs="Times New Roman"/>
                <w:b w:val="0"/>
                <w:sz w:val="22"/>
                <w:szCs w:val="22"/>
              </w:rPr>
              <w:t>4</w:t>
            </w:r>
            <w:r w:rsidR="00773AC5" w:rsidRPr="00707439">
              <w:rPr>
                <w:rStyle w:val="Ppogrubienie"/>
                <w:rFonts w:ascii="Times New Roman" w:hAnsi="Times New Roman" w:cs="Times New Roman"/>
                <w:b w:val="0"/>
                <w:sz w:val="22"/>
                <w:szCs w:val="22"/>
              </w:rPr>
              <w:t>1</w:t>
            </w:r>
          </w:p>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ust. 1</w:t>
            </w:r>
          </w:p>
        </w:tc>
        <w:tc>
          <w:tcPr>
            <w:tcW w:w="5991" w:type="dxa"/>
            <w:shd w:val="clear" w:color="auto" w:fill="auto"/>
          </w:tcPr>
          <w:p w:rsidR="00A93E79" w:rsidRPr="00707439" w:rsidRDefault="00A93E79" w:rsidP="00707439">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 xml:space="preserve">Kto wprowadza w błąd organy właściwe dla procedur związanych z wywozem </w:t>
            </w:r>
            <w:r w:rsidR="00D93DE2" w:rsidRPr="00707439">
              <w:rPr>
                <w:rFonts w:ascii="Times New Roman" w:hAnsi="Times New Roman" w:cs="Times New Roman"/>
                <w:sz w:val="22"/>
                <w:szCs w:val="22"/>
              </w:rPr>
              <w:t xml:space="preserve">lub wwozem </w:t>
            </w:r>
            <w:r w:rsidRPr="00707439">
              <w:rPr>
                <w:rFonts w:ascii="Times New Roman" w:hAnsi="Times New Roman" w:cs="Times New Roman"/>
                <w:sz w:val="22"/>
                <w:szCs w:val="22"/>
              </w:rPr>
              <w:t>strzeleckiej broni palnej, części, istotnych komponentów lub amunicji</w:t>
            </w:r>
            <w:r w:rsidR="00443A1A">
              <w:rPr>
                <w:rFonts w:ascii="Times New Roman" w:hAnsi="Times New Roman" w:cs="Times New Roman"/>
                <w:sz w:val="22"/>
                <w:szCs w:val="22"/>
              </w:rPr>
              <w:t>,</w:t>
            </w:r>
            <w:r w:rsidRPr="00707439">
              <w:rPr>
                <w:rFonts w:ascii="Times New Roman" w:hAnsi="Times New Roman" w:cs="Times New Roman"/>
                <w:sz w:val="22"/>
                <w:szCs w:val="22"/>
              </w:rPr>
              <w:t xml:space="preserve"> podając nieprawdziwe lub niepełne informacje</w:t>
            </w:r>
          </w:p>
        </w:tc>
        <w:tc>
          <w:tcPr>
            <w:tcW w:w="1731" w:type="dxa"/>
            <w:shd w:val="clear" w:color="auto" w:fill="auto"/>
          </w:tcPr>
          <w:p w:rsidR="00A93E79" w:rsidRPr="00707439" w:rsidRDefault="00A93E79" w:rsidP="00707439">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Kara grzywny</w:t>
            </w:r>
          </w:p>
        </w:tc>
      </w:tr>
      <w:tr w:rsidR="00A93E79" w:rsidRPr="00707439" w:rsidTr="00443A1A">
        <w:trPr>
          <w:jc w:val="center"/>
        </w:trPr>
        <w:tc>
          <w:tcPr>
            <w:tcW w:w="997" w:type="dxa"/>
            <w:shd w:val="clear" w:color="auto" w:fill="auto"/>
          </w:tcPr>
          <w:p w:rsidR="00A93E79" w:rsidRPr="00707439" w:rsidRDefault="00A93E79" w:rsidP="00707439">
            <w:pPr>
              <w:pStyle w:val="ARTartustawynprozporzdzenia"/>
              <w:spacing w:before="0"/>
              <w:ind w:firstLine="0"/>
              <w:jc w:val="center"/>
              <w:rPr>
                <w:rStyle w:val="Ppogrubienie"/>
                <w:rFonts w:ascii="Times New Roman" w:hAnsi="Times New Roman" w:cs="Times New Roman"/>
                <w:b w:val="0"/>
                <w:sz w:val="22"/>
                <w:szCs w:val="22"/>
              </w:rPr>
            </w:pPr>
            <w:r w:rsidRPr="00707439">
              <w:rPr>
                <w:rStyle w:val="Ppogrubienie"/>
                <w:rFonts w:ascii="Times New Roman" w:hAnsi="Times New Roman" w:cs="Times New Roman"/>
                <w:b w:val="0"/>
                <w:sz w:val="22"/>
                <w:szCs w:val="22"/>
              </w:rPr>
              <w:t>Art. 1</w:t>
            </w:r>
            <w:r w:rsidR="0012709A" w:rsidRPr="00707439">
              <w:rPr>
                <w:rStyle w:val="Ppogrubienie"/>
                <w:rFonts w:ascii="Times New Roman" w:hAnsi="Times New Roman" w:cs="Times New Roman"/>
                <w:b w:val="0"/>
                <w:sz w:val="22"/>
                <w:szCs w:val="22"/>
              </w:rPr>
              <w:t>4</w:t>
            </w:r>
            <w:r w:rsidR="00773AC5" w:rsidRPr="00707439">
              <w:rPr>
                <w:rStyle w:val="Ppogrubienie"/>
                <w:rFonts w:ascii="Times New Roman" w:hAnsi="Times New Roman" w:cs="Times New Roman"/>
                <w:b w:val="0"/>
                <w:sz w:val="22"/>
                <w:szCs w:val="22"/>
              </w:rPr>
              <w:t>2</w:t>
            </w:r>
            <w:r w:rsidRPr="00707439">
              <w:rPr>
                <w:rStyle w:val="Ppogrubienie"/>
                <w:rFonts w:ascii="Times New Roman" w:hAnsi="Times New Roman" w:cs="Times New Roman"/>
                <w:b w:val="0"/>
                <w:sz w:val="22"/>
                <w:szCs w:val="22"/>
              </w:rPr>
              <w:t xml:space="preserve"> ust. 1</w:t>
            </w:r>
          </w:p>
        </w:tc>
        <w:tc>
          <w:tcPr>
            <w:tcW w:w="5991" w:type="dxa"/>
            <w:shd w:val="clear" w:color="auto" w:fill="auto"/>
          </w:tcPr>
          <w:p w:rsidR="00A93E79" w:rsidRPr="00707439" w:rsidRDefault="00A93E79" w:rsidP="008114D5">
            <w:pPr>
              <w:pStyle w:val="ARTartustawynprozporzdzenia"/>
              <w:spacing w:before="0"/>
              <w:ind w:firstLine="0"/>
              <w:rPr>
                <w:rFonts w:ascii="Times New Roman" w:hAnsi="Times New Roman" w:cs="Times New Roman"/>
                <w:sz w:val="22"/>
                <w:szCs w:val="22"/>
              </w:rPr>
            </w:pPr>
            <w:r w:rsidRPr="00707439">
              <w:rPr>
                <w:rFonts w:ascii="Times New Roman" w:hAnsi="Times New Roman" w:cs="Times New Roman"/>
                <w:sz w:val="22"/>
                <w:szCs w:val="22"/>
              </w:rPr>
              <w:t xml:space="preserve">Przedsiębiorcy, który nie wykonuje obowiązku, o którym mowa w </w:t>
            </w:r>
            <w:r w:rsidR="00D631B3" w:rsidRPr="00707439">
              <w:rPr>
                <w:rFonts w:ascii="Times New Roman" w:hAnsi="Times New Roman" w:cs="Times New Roman"/>
                <w:sz w:val="22"/>
                <w:szCs w:val="22"/>
              </w:rPr>
              <w:t xml:space="preserve">art. 63, </w:t>
            </w:r>
            <w:r w:rsidRPr="00707439">
              <w:rPr>
                <w:rFonts w:ascii="Times New Roman" w:hAnsi="Times New Roman" w:cs="Times New Roman"/>
                <w:sz w:val="22"/>
                <w:szCs w:val="22"/>
              </w:rPr>
              <w:t>art. 8</w:t>
            </w:r>
            <w:r w:rsidR="00D631B3" w:rsidRPr="00707439">
              <w:rPr>
                <w:rFonts w:ascii="Times New Roman" w:hAnsi="Times New Roman" w:cs="Times New Roman"/>
                <w:sz w:val="22"/>
                <w:szCs w:val="22"/>
              </w:rPr>
              <w:t>9</w:t>
            </w:r>
            <w:r w:rsidR="006E5E35" w:rsidRPr="00707439">
              <w:rPr>
                <w:rFonts w:ascii="Times New Roman" w:hAnsi="Times New Roman" w:cs="Times New Roman"/>
                <w:sz w:val="22"/>
                <w:szCs w:val="22"/>
              </w:rPr>
              <w:t xml:space="preserve"> ust. 3 albo art. 9</w:t>
            </w:r>
            <w:r w:rsidR="00D93DE2" w:rsidRPr="00707439">
              <w:rPr>
                <w:rFonts w:ascii="Times New Roman" w:hAnsi="Times New Roman" w:cs="Times New Roman"/>
                <w:sz w:val="22"/>
                <w:szCs w:val="22"/>
              </w:rPr>
              <w:t>7</w:t>
            </w:r>
            <w:r w:rsidR="00443A1A">
              <w:rPr>
                <w:rFonts w:ascii="Times New Roman" w:hAnsi="Times New Roman" w:cs="Times New Roman"/>
                <w:sz w:val="22"/>
                <w:szCs w:val="22"/>
              </w:rPr>
              <w:t>,</w:t>
            </w:r>
            <w:r w:rsidRPr="00707439">
              <w:rPr>
                <w:rFonts w:ascii="Times New Roman" w:hAnsi="Times New Roman" w:cs="Times New Roman"/>
                <w:sz w:val="22"/>
                <w:szCs w:val="22"/>
              </w:rPr>
              <w:t xml:space="preserve"> minister właściwy do spraw gospodarki może wymierzyć, w drodze decyzji administracyjnej</w:t>
            </w:r>
            <w:r w:rsidR="00443A1A">
              <w:rPr>
                <w:rFonts w:ascii="Times New Roman" w:hAnsi="Times New Roman" w:cs="Times New Roman"/>
                <w:sz w:val="22"/>
                <w:szCs w:val="22"/>
              </w:rPr>
              <w:t>, kar</w:t>
            </w:r>
            <w:r w:rsidR="008114D5">
              <w:rPr>
                <w:rFonts w:ascii="Times New Roman" w:hAnsi="Times New Roman" w:cs="Times New Roman"/>
                <w:sz w:val="22"/>
                <w:szCs w:val="22"/>
              </w:rPr>
              <w:t>ę</w:t>
            </w:r>
            <w:r w:rsidR="00443A1A">
              <w:rPr>
                <w:rFonts w:ascii="Times New Roman" w:hAnsi="Times New Roman" w:cs="Times New Roman"/>
                <w:sz w:val="22"/>
                <w:szCs w:val="22"/>
              </w:rPr>
              <w:t xml:space="preserve"> pieniężną</w:t>
            </w:r>
          </w:p>
        </w:tc>
        <w:tc>
          <w:tcPr>
            <w:tcW w:w="1731" w:type="dxa"/>
            <w:shd w:val="clear" w:color="auto" w:fill="auto"/>
          </w:tcPr>
          <w:p w:rsidR="00A93E79" w:rsidRPr="00707439" w:rsidRDefault="00A93E79" w:rsidP="00E60C60">
            <w:pPr>
              <w:pStyle w:val="ARTartustawynprozporzdzenia"/>
              <w:spacing w:before="0"/>
              <w:ind w:firstLine="0"/>
              <w:jc w:val="left"/>
              <w:rPr>
                <w:rFonts w:ascii="Times New Roman" w:hAnsi="Times New Roman" w:cs="Times New Roman"/>
                <w:sz w:val="22"/>
                <w:szCs w:val="22"/>
              </w:rPr>
            </w:pPr>
            <w:r w:rsidRPr="00707439">
              <w:rPr>
                <w:rFonts w:ascii="Times New Roman" w:hAnsi="Times New Roman" w:cs="Times New Roman"/>
                <w:sz w:val="22"/>
                <w:szCs w:val="22"/>
              </w:rPr>
              <w:t>Kara pieniężna w wysokości do 50</w:t>
            </w:r>
            <w:r w:rsidR="00E60C60">
              <w:rPr>
                <w:rFonts w:ascii="Times New Roman" w:hAnsi="Times New Roman" w:cs="Times New Roman"/>
                <w:sz w:val="22"/>
                <w:szCs w:val="22"/>
              </w:rPr>
              <w:t xml:space="preserve"> </w:t>
            </w:r>
            <w:r w:rsidRPr="00707439">
              <w:rPr>
                <w:rFonts w:ascii="Times New Roman" w:hAnsi="Times New Roman" w:cs="Times New Roman"/>
                <w:sz w:val="22"/>
                <w:szCs w:val="22"/>
              </w:rPr>
              <w:t>000 zł</w:t>
            </w:r>
          </w:p>
        </w:tc>
      </w:tr>
    </w:tbl>
    <w:p w:rsidR="00A93E79" w:rsidRPr="00AF27CD" w:rsidRDefault="00443A1A" w:rsidP="000E36DB">
      <w:pPr>
        <w:pStyle w:val="TYTDZPRZEDMprzedmiotregulacjitytuulubdziau"/>
        <w:tabs>
          <w:tab w:val="left" w:pos="426"/>
        </w:tabs>
        <w:spacing w:before="240"/>
        <w:jc w:val="both"/>
        <w:rPr>
          <w:rFonts w:ascii="Times New Roman" w:hAnsi="Times New Roman"/>
          <w:szCs w:val="24"/>
        </w:rPr>
      </w:pPr>
      <w:r>
        <w:rPr>
          <w:rStyle w:val="Ppogrubienie"/>
          <w:rFonts w:ascii="Times New Roman" w:hAnsi="Times New Roman"/>
          <w:szCs w:val="24"/>
        </w:rPr>
        <w:t>10.</w:t>
      </w:r>
      <w:r>
        <w:rPr>
          <w:rStyle w:val="Ppogrubienie"/>
          <w:rFonts w:ascii="Times New Roman" w:hAnsi="Times New Roman"/>
          <w:szCs w:val="24"/>
        </w:rPr>
        <w:tab/>
      </w:r>
      <w:r w:rsidR="00A93E79" w:rsidRPr="00AF27CD">
        <w:rPr>
          <w:rFonts w:ascii="Times New Roman" w:hAnsi="Times New Roman"/>
          <w:szCs w:val="24"/>
        </w:rPr>
        <w:t>Dział VII</w:t>
      </w:r>
      <w:r w:rsidR="0012709A" w:rsidRPr="00AF27CD">
        <w:rPr>
          <w:rFonts w:ascii="Times New Roman" w:hAnsi="Times New Roman"/>
          <w:szCs w:val="24"/>
        </w:rPr>
        <w:t>I</w:t>
      </w:r>
      <w:r w:rsidR="00422EA7" w:rsidRPr="00AF27CD">
        <w:rPr>
          <w:rFonts w:ascii="Times New Roman" w:hAnsi="Times New Roman"/>
          <w:b w:val="0"/>
          <w:szCs w:val="24"/>
        </w:rPr>
        <w:t xml:space="preserve"> –</w:t>
      </w:r>
      <w:r w:rsidR="00A93E79" w:rsidRPr="00AF27CD">
        <w:rPr>
          <w:rFonts w:ascii="Times New Roman" w:hAnsi="Times New Roman"/>
          <w:b w:val="0"/>
          <w:szCs w:val="24"/>
        </w:rPr>
        <w:t xml:space="preserve"> </w:t>
      </w:r>
      <w:r w:rsidR="00A93E79" w:rsidRPr="00AF27CD">
        <w:rPr>
          <w:rFonts w:ascii="Times New Roman" w:hAnsi="Times New Roman"/>
          <w:szCs w:val="24"/>
        </w:rPr>
        <w:t>Przepisy zmieniające, przejściowe, dostosowujące i końcowe</w:t>
      </w:r>
      <w:r w:rsidR="00707439">
        <w:rPr>
          <w:rFonts w:ascii="Times New Roman" w:hAnsi="Times New Roman"/>
          <w:szCs w:val="24"/>
        </w:rPr>
        <w:t xml:space="preserve"> (art.</w:t>
      </w:r>
      <w:r w:rsidR="00A7541B">
        <w:rPr>
          <w:rFonts w:ascii="Times New Roman" w:hAnsi="Times New Roman"/>
          <w:szCs w:val="24"/>
        </w:rPr>
        <w:t> </w:t>
      </w:r>
      <w:r w:rsidR="00E65DC1" w:rsidRPr="00AF27CD">
        <w:rPr>
          <w:rFonts w:ascii="Times New Roman" w:hAnsi="Times New Roman"/>
          <w:szCs w:val="24"/>
        </w:rPr>
        <w:t>1</w:t>
      </w:r>
      <w:r w:rsidR="0012709A" w:rsidRPr="00AF27CD">
        <w:rPr>
          <w:rFonts w:ascii="Times New Roman" w:hAnsi="Times New Roman"/>
          <w:szCs w:val="24"/>
        </w:rPr>
        <w:t>4</w:t>
      </w:r>
      <w:r w:rsidR="00773AC5" w:rsidRPr="00AF27CD">
        <w:rPr>
          <w:rFonts w:ascii="Times New Roman" w:hAnsi="Times New Roman"/>
          <w:szCs w:val="24"/>
        </w:rPr>
        <w:t>3</w:t>
      </w:r>
      <w:r w:rsidR="00422EA7" w:rsidRPr="00AF27CD">
        <w:rPr>
          <w:rFonts w:ascii="Times New Roman" w:hAnsi="Times New Roman"/>
          <w:szCs w:val="24"/>
        </w:rPr>
        <w:t>–</w:t>
      </w:r>
      <w:r w:rsidR="00E65DC1" w:rsidRPr="00AF27CD">
        <w:rPr>
          <w:rFonts w:ascii="Times New Roman" w:hAnsi="Times New Roman"/>
          <w:szCs w:val="24"/>
        </w:rPr>
        <w:t>1</w:t>
      </w:r>
      <w:r w:rsidR="0012709A" w:rsidRPr="00AF27CD">
        <w:rPr>
          <w:rFonts w:ascii="Times New Roman" w:hAnsi="Times New Roman"/>
          <w:szCs w:val="24"/>
        </w:rPr>
        <w:t>7</w:t>
      </w:r>
      <w:r w:rsidR="00773AC5" w:rsidRPr="00AF27CD">
        <w:rPr>
          <w:rFonts w:ascii="Times New Roman" w:hAnsi="Times New Roman"/>
          <w:szCs w:val="24"/>
        </w:rPr>
        <w:t>2</w:t>
      </w:r>
      <w:r w:rsidR="00E65DC1" w:rsidRPr="00AF27CD">
        <w:rPr>
          <w:rFonts w:ascii="Times New Roman" w:hAnsi="Times New Roman"/>
          <w:szCs w:val="24"/>
        </w:rPr>
        <w:t>)</w:t>
      </w:r>
    </w:p>
    <w:p w:rsidR="00A93E79" w:rsidRPr="00AF27CD" w:rsidRDefault="00A93E79" w:rsidP="00422EA7">
      <w:pPr>
        <w:pStyle w:val="ROZDZODDZOZNoznaczenierozdziauluboddziau"/>
        <w:jc w:val="both"/>
        <w:rPr>
          <w:rFonts w:ascii="Times New Roman" w:hAnsi="Times New Roman" w:cs="Times New Roman"/>
        </w:rPr>
      </w:pPr>
      <w:r w:rsidRPr="00AF27CD">
        <w:rPr>
          <w:rFonts w:ascii="Times New Roman" w:hAnsi="Times New Roman" w:cs="Times New Roman"/>
          <w:b/>
        </w:rPr>
        <w:t>Rozdział 1</w:t>
      </w:r>
      <w:r w:rsidRPr="00AF27CD">
        <w:rPr>
          <w:rFonts w:ascii="Times New Roman" w:hAnsi="Times New Roman" w:cs="Times New Roman"/>
        </w:rPr>
        <w:t xml:space="preserve"> </w:t>
      </w:r>
      <w:r w:rsidR="00443A1A">
        <w:rPr>
          <w:rFonts w:ascii="Times New Roman" w:hAnsi="Times New Roman" w:cs="Times New Roman"/>
        </w:rPr>
        <w:t>Przepisy zmieniające</w:t>
      </w:r>
      <w:r w:rsidR="00D848B4" w:rsidRPr="00AF27CD">
        <w:rPr>
          <w:rFonts w:ascii="Times New Roman" w:hAnsi="Times New Roman" w:cs="Times New Roman"/>
        </w:rPr>
        <w:t xml:space="preserve"> (art. 1</w:t>
      </w:r>
      <w:r w:rsidR="0012709A" w:rsidRPr="00AF27CD">
        <w:rPr>
          <w:rFonts w:ascii="Times New Roman" w:hAnsi="Times New Roman" w:cs="Times New Roman"/>
        </w:rPr>
        <w:t>4</w:t>
      </w:r>
      <w:r w:rsidR="00773AC5" w:rsidRPr="00AF27CD">
        <w:rPr>
          <w:rFonts w:ascii="Times New Roman" w:hAnsi="Times New Roman" w:cs="Times New Roman"/>
        </w:rPr>
        <w:t>3</w:t>
      </w:r>
      <w:r w:rsidR="00422EA7" w:rsidRPr="00AF27CD">
        <w:rPr>
          <w:rFonts w:ascii="Times New Roman" w:hAnsi="Times New Roman" w:cs="Times New Roman"/>
        </w:rPr>
        <w:t>–</w:t>
      </w:r>
      <w:r w:rsidR="00D848B4" w:rsidRPr="00AF27CD">
        <w:rPr>
          <w:rFonts w:ascii="Times New Roman" w:hAnsi="Times New Roman" w:cs="Times New Roman"/>
        </w:rPr>
        <w:t>1</w:t>
      </w:r>
      <w:r w:rsidR="00773AC5" w:rsidRPr="00AF27CD">
        <w:rPr>
          <w:rFonts w:ascii="Times New Roman" w:hAnsi="Times New Roman" w:cs="Times New Roman"/>
        </w:rPr>
        <w:t>51</w:t>
      </w:r>
      <w:r w:rsidR="00D848B4" w:rsidRPr="00AF27CD">
        <w:rPr>
          <w:rFonts w:ascii="Times New Roman" w:hAnsi="Times New Roman" w:cs="Times New Roman"/>
        </w:rPr>
        <w:t>)</w:t>
      </w:r>
    </w:p>
    <w:p w:rsidR="00A93E79" w:rsidRPr="00AF27CD" w:rsidRDefault="00A93E79" w:rsidP="00422EA7">
      <w:pPr>
        <w:spacing w:before="120" w:line="360" w:lineRule="auto"/>
        <w:jc w:val="both"/>
        <w:rPr>
          <w:rFonts w:eastAsiaTheme="minorEastAsia"/>
        </w:rPr>
      </w:pPr>
      <w:r w:rsidRPr="00AF27CD">
        <w:t>W rozdziale tym wskazane zostały inne ustawy, kt</w:t>
      </w:r>
      <w:r w:rsidR="00707439">
        <w:t>óre ulegają zmianie w związku z</w:t>
      </w:r>
      <w:r w:rsidR="00A7541B">
        <w:t> </w:t>
      </w:r>
      <w:r w:rsidRPr="00AF27CD">
        <w:t>wprowadzeniem nowej ustawy.</w:t>
      </w:r>
      <w:r w:rsidRPr="00AF27CD">
        <w:rPr>
          <w:rFonts w:eastAsiaTheme="minorEastAsia"/>
        </w:rPr>
        <w:t xml:space="preserve"> </w:t>
      </w:r>
    </w:p>
    <w:p w:rsidR="00304A56" w:rsidRPr="00AF27CD" w:rsidRDefault="00304A56" w:rsidP="00422EA7">
      <w:pPr>
        <w:spacing w:before="120" w:line="360" w:lineRule="auto"/>
        <w:jc w:val="both"/>
        <w:rPr>
          <w:rFonts w:eastAsiaTheme="minorEastAsia"/>
        </w:rPr>
      </w:pPr>
      <w:r w:rsidRPr="00AF27CD">
        <w:rPr>
          <w:rFonts w:eastAsiaTheme="minorEastAsia"/>
        </w:rPr>
        <w:t>W projekcie zawarto zmiany o charakterze wynikowy</w:t>
      </w:r>
      <w:r w:rsidR="00707439">
        <w:rPr>
          <w:rFonts w:eastAsiaTheme="minorEastAsia"/>
        </w:rPr>
        <w:t>m do ustawy z dnia 21 maja 1999</w:t>
      </w:r>
      <w:r w:rsidR="00A7541B">
        <w:rPr>
          <w:rFonts w:eastAsiaTheme="minorEastAsia"/>
        </w:rPr>
        <w:t> </w:t>
      </w:r>
      <w:r w:rsidRPr="00AF27CD">
        <w:rPr>
          <w:rFonts w:eastAsiaTheme="minorEastAsia"/>
        </w:rPr>
        <w:t>r. o broni i amunicji.</w:t>
      </w:r>
    </w:p>
    <w:p w:rsidR="00A93E79" w:rsidRPr="00AF27CD" w:rsidRDefault="00A93E79" w:rsidP="00422EA7">
      <w:pPr>
        <w:spacing w:before="120" w:line="360" w:lineRule="auto"/>
        <w:jc w:val="both"/>
      </w:pPr>
      <w:r w:rsidRPr="00AF27CD">
        <w:t>Kolejna</w:t>
      </w:r>
      <w:r w:rsidRPr="00AF27CD">
        <w:rPr>
          <w:rFonts w:eastAsiaTheme="minorEastAsia"/>
        </w:rPr>
        <w:t xml:space="preserve"> grupa przepisów dotyczy wyłączenia z ustawy </w:t>
      </w:r>
      <w:r w:rsidRPr="00AF27CD">
        <w:t>z</w:t>
      </w:r>
      <w:r w:rsidR="00422EA7" w:rsidRPr="00AF27CD">
        <w:t xml:space="preserve"> </w:t>
      </w:r>
      <w:r w:rsidRPr="00AF27CD">
        <w:t>dnia 21</w:t>
      </w:r>
      <w:r w:rsidR="00422EA7" w:rsidRPr="00AF27CD">
        <w:t xml:space="preserve"> </w:t>
      </w:r>
      <w:r w:rsidRPr="00AF27CD">
        <w:t>czerwca 2002</w:t>
      </w:r>
      <w:r w:rsidR="00422EA7" w:rsidRPr="00AF27CD">
        <w:t xml:space="preserve"> </w:t>
      </w:r>
      <w:r w:rsidRPr="00AF27CD">
        <w:t>r. o</w:t>
      </w:r>
      <w:r w:rsidR="00A7541B">
        <w:t> </w:t>
      </w:r>
      <w:r w:rsidRPr="00AF27CD">
        <w:t>materiałach wybuchowych przeznaczonych do użytku cywilnego regulacji dotyczących amunicji.</w:t>
      </w:r>
    </w:p>
    <w:p w:rsidR="00A93E79" w:rsidRPr="00AF27CD" w:rsidRDefault="00A93E79" w:rsidP="00422EA7">
      <w:pPr>
        <w:spacing w:before="120" w:line="360" w:lineRule="auto"/>
        <w:jc w:val="both"/>
      </w:pPr>
      <w:r w:rsidRPr="00AF27CD">
        <w:t>Celem tej zmiany jest uporządkowanie działalności gospodarczej w zakresie obrotu amunicją, która w obecnym stanie prawnym jest regulowana prze</w:t>
      </w:r>
      <w:r w:rsidR="00707439">
        <w:t>z dwa akty prawne, a</w:t>
      </w:r>
      <w:r w:rsidR="00A7541B">
        <w:t> </w:t>
      </w:r>
      <w:r w:rsidRPr="00AF27CD">
        <w:t xml:space="preserve">mianowicie: dotychczasową ustawę </w:t>
      </w:r>
      <w:r w:rsidR="00E65DC1" w:rsidRPr="00AF27CD">
        <w:t>z dnia 22 czerwca 2001</w:t>
      </w:r>
      <w:r w:rsidR="00E60C60">
        <w:t xml:space="preserve"> </w:t>
      </w:r>
      <w:r w:rsidR="00E65DC1" w:rsidRPr="00AF27CD">
        <w:t>r.</w:t>
      </w:r>
      <w:r w:rsidRPr="00AF27CD">
        <w:t xml:space="preserve">, zawierającą przepisy dotyczące obrotu amunicją zarówno na potrzeby wojskowe, jak i cywilne, obejmującego również przemieszczanie amunicji, a także przez ustawę </w:t>
      </w:r>
      <w:r w:rsidR="00443A1A">
        <w:t>z dnia 21</w:t>
      </w:r>
      <w:r w:rsidR="00A7541B">
        <w:t> </w:t>
      </w:r>
      <w:r w:rsidR="00443A1A">
        <w:t xml:space="preserve">czerwca 2002 r. </w:t>
      </w:r>
      <w:r w:rsidRPr="00AF27CD">
        <w:t>o materiałach wybuchowych przeznaczonych do użytku cywilnego, która z kolei zawiera przepisy dotyczące przemieszczania amunicji przeznaczonej do użytku cywilnego. Konsekwencją tego stanu rzeczy była konieczność uzyskiwania przez przedsiębiorcę zgody przewozowej przy ka</w:t>
      </w:r>
      <w:r w:rsidR="00A7541B">
        <w:t>żdym przemieszczaniu amunicji z </w:t>
      </w:r>
      <w:r w:rsidRPr="00AF27CD">
        <w:t>terytorium Rzecz</w:t>
      </w:r>
      <w:r w:rsidR="00D93DE2" w:rsidRPr="00AF27CD">
        <w:t>y</w:t>
      </w:r>
      <w:r w:rsidRPr="00AF27CD">
        <w:t xml:space="preserve">pospolitej Polskiej </w:t>
      </w:r>
      <w:r w:rsidR="00E65DC1" w:rsidRPr="00AF27CD">
        <w:t>poświadczanej</w:t>
      </w:r>
      <w:r w:rsidRPr="00AF27CD">
        <w:t xml:space="preserve"> przez właściwego terytorialnie komendanta wojewódzkiego Policji, a także zgod</w:t>
      </w:r>
      <w:r w:rsidR="00A7541B">
        <w:t>y na przemieszczanie amunicji z </w:t>
      </w:r>
      <w:r w:rsidRPr="00AF27CD">
        <w:t>terytorium R</w:t>
      </w:r>
      <w:r w:rsidR="00443A1A">
        <w:t xml:space="preserve">zeczypospolitej </w:t>
      </w:r>
      <w:r w:rsidRPr="00AF27CD">
        <w:t>P</w:t>
      </w:r>
      <w:r w:rsidR="00443A1A">
        <w:t>olskiej</w:t>
      </w:r>
      <w:r w:rsidRPr="00AF27CD">
        <w:t>, wydawan</w:t>
      </w:r>
      <w:r w:rsidR="00E65DC1" w:rsidRPr="00AF27CD">
        <w:t>ej</w:t>
      </w:r>
      <w:r w:rsidRPr="00AF27CD">
        <w:t xml:space="preserve"> przez ministra właściwego do spraw gospodarki. Ponadto uporządkowania wymagały regulacje dotyczące jednoznacznego oznaczania materiałów wybuchowych przeznaczonych do użytku cywilnego oraz przepisy nakładające na przedsiębiorcę dokonującego obrotu takimi materiałami obowiązek prowadzenia rejestru jednoznacznych oznaczeń. W tym celu wspomnian</w:t>
      </w:r>
      <w:r w:rsidR="00707439">
        <w:t>e regulacje zostały wyłączone z</w:t>
      </w:r>
      <w:r w:rsidR="00EC6774">
        <w:t xml:space="preserve"> </w:t>
      </w:r>
      <w:r w:rsidRPr="00AF27CD">
        <w:t xml:space="preserve">dotychczasowej ustawy </w:t>
      </w:r>
      <w:r w:rsidR="00E65DC1" w:rsidRPr="00AF27CD">
        <w:t xml:space="preserve">z dnia 22 czerwca 2001 r. </w:t>
      </w:r>
      <w:r w:rsidR="00A7541B">
        <w:t>i </w:t>
      </w:r>
      <w:r w:rsidR="00707439">
        <w:t>włączone do art. 62v ustawy</w:t>
      </w:r>
      <w:r w:rsidR="00443A1A">
        <w:t xml:space="preserve"> z dnia 21 czerwca 2002 r.</w:t>
      </w:r>
      <w:r w:rsidR="00707439">
        <w:t xml:space="preserve"> o</w:t>
      </w:r>
      <w:r w:rsidR="00EC6774">
        <w:t xml:space="preserve"> </w:t>
      </w:r>
      <w:r w:rsidRPr="00AF27CD">
        <w:t>materiałach wybuchowych przeznaczonych do użytku cywilnego.</w:t>
      </w:r>
      <w:r w:rsidR="00422EA7" w:rsidRPr="00AF27CD">
        <w:t xml:space="preserve"> </w:t>
      </w:r>
      <w:r w:rsidRPr="00AF27CD">
        <w:t>W ten sposób całokształt regulacji dotyczących materiałów wybuchowych przeznaczonych do użytku cywilnego znajdzie się w jednej ustawie (o materiałach wybuchowych przeznaczonych do użytku cywilnego</w:t>
      </w:r>
      <w:r w:rsidR="00D93DE2" w:rsidRPr="00AF27CD">
        <w:t>),</w:t>
      </w:r>
      <w:r w:rsidRPr="00AF27CD">
        <w:t xml:space="preserve"> a zarazem wyeliminowane zostaną dublujące się przepisy.</w:t>
      </w:r>
    </w:p>
    <w:p w:rsidR="00A93E79" w:rsidRPr="00AF27CD" w:rsidRDefault="00A93E79" w:rsidP="00422EA7">
      <w:pPr>
        <w:spacing w:before="120" w:line="360" w:lineRule="auto"/>
        <w:jc w:val="both"/>
      </w:pPr>
      <w:r w:rsidRPr="00AF27CD">
        <w:t xml:space="preserve">Zmiany w art. 15 ustawy o materiałach wybuchowych przeznaczonych do użytku cywilnego </w:t>
      </w:r>
      <w:r w:rsidR="00D93DE2" w:rsidRPr="00AF27CD">
        <w:t xml:space="preserve">są </w:t>
      </w:r>
      <w:r w:rsidRPr="00AF27CD">
        <w:t>związane z realizacją wspomnianych już wcześniej wniosków pokontrolnych NIK z 2015 r. i mają na celu</w:t>
      </w:r>
      <w:r w:rsidR="00D93DE2" w:rsidRPr="00AF27CD">
        <w:t xml:space="preserve"> zwłaszcza</w:t>
      </w:r>
      <w:r w:rsidRPr="00AF27CD">
        <w:t xml:space="preserve"> ułatwienie organom kontrolującym przedsiębiorców nabywających, przechowujących lub używających materiały wybuchowe przeznaczone do użytku cywilnego</w:t>
      </w:r>
      <w:r w:rsidR="00443A1A">
        <w:t>,</w:t>
      </w:r>
      <w:r w:rsidRPr="00AF27CD">
        <w:t xml:space="preserve"> na podstawie pozwolenia wydawanego przez wojewodę</w:t>
      </w:r>
      <w:r w:rsidR="00D93DE2" w:rsidRPr="00AF27CD">
        <w:t xml:space="preserve"> lub </w:t>
      </w:r>
      <w:r w:rsidRPr="00AF27CD">
        <w:t>dyrektora okręgowego urzędu górniczego, stwierdzenie, iż przedsiębiorca nabył, przechowuje lub używa dokładnie taki rodzaj materiałów wybuchowych, o jakim jest mowa w pozwoleniu. Dotychczas przedsiębiorca przedstawiał kontrolerom wykaz nabytych materiałów wybuchowych przeznaczonych do użytku cywilnego według ich nazw handlowych (bo takie nazwy są stosowane w obrocie), natomiast w pozwoleniu uprawniającym do nabycia tych materiałów znajdowały się ich nazwy przewozowe.</w:t>
      </w:r>
      <w:r w:rsidR="00707439">
        <w:t xml:space="preserve"> Porównywanie nazw handlowych i</w:t>
      </w:r>
      <w:r w:rsidR="00A7541B">
        <w:t> </w:t>
      </w:r>
      <w:r w:rsidRPr="00AF27CD">
        <w:t>przewozowych materiałów wybuchowych w celu stwierdzenia</w:t>
      </w:r>
      <w:r w:rsidR="00D93DE2" w:rsidRPr="00AF27CD">
        <w:t>,</w:t>
      </w:r>
      <w:r w:rsidRPr="00AF27CD">
        <w:t xml:space="preserve"> czy przedsiębiorca miał prawo nabyć materiały, które faktycznie nabył</w:t>
      </w:r>
      <w:r w:rsidR="00D93DE2" w:rsidRPr="00AF27CD">
        <w:t>,</w:t>
      </w:r>
      <w:r w:rsidRPr="00AF27CD">
        <w:t xml:space="preserve"> niekiedy nastręczało duże problemy. W celu ich usunięcia przyjęto zasadę stosowania w każdym przypadku nazw handlowych materiałów wybuchowych przeznaczonych do użytku cywilnego.</w:t>
      </w:r>
    </w:p>
    <w:p w:rsidR="00A93E79" w:rsidRPr="00AF27CD" w:rsidRDefault="00A93E79" w:rsidP="00422EA7">
      <w:pPr>
        <w:spacing w:before="120" w:line="360" w:lineRule="auto"/>
        <w:jc w:val="both"/>
      </w:pPr>
      <w:r w:rsidRPr="00AF27CD">
        <w:t>Zmiany w art. 24</w:t>
      </w:r>
      <w:r w:rsidR="00D93DE2" w:rsidRPr="00AF27CD">
        <w:t xml:space="preserve">, </w:t>
      </w:r>
      <w:r w:rsidR="00443A1A">
        <w:t xml:space="preserve">art. </w:t>
      </w:r>
      <w:r w:rsidRPr="00AF27CD">
        <w:t>25</w:t>
      </w:r>
      <w:r w:rsidR="00D93DE2" w:rsidRPr="00AF27CD">
        <w:t xml:space="preserve">, </w:t>
      </w:r>
      <w:r w:rsidR="00443A1A">
        <w:t xml:space="preserve">art. </w:t>
      </w:r>
      <w:r w:rsidRPr="00AF27CD">
        <w:t>28</w:t>
      </w:r>
      <w:r w:rsidR="00D93DE2" w:rsidRPr="00AF27CD">
        <w:t xml:space="preserve"> i </w:t>
      </w:r>
      <w:r w:rsidR="00443A1A">
        <w:t xml:space="preserve">art. </w:t>
      </w:r>
      <w:r w:rsidRPr="00AF27CD">
        <w:t xml:space="preserve">29 ustawy o materiałach wybuchowych przeznaczonych do użytku cywilnego mają na celu zapewnienie pełnej zgodności przepisów tej ustawy oraz ustawy </w:t>
      </w:r>
      <w:r w:rsidR="00187207" w:rsidRPr="00AF27CD">
        <w:t>projektowanej</w:t>
      </w:r>
      <w:r w:rsidRPr="00AF27CD">
        <w:t xml:space="preserve">, </w:t>
      </w:r>
      <w:r w:rsidR="00443A1A">
        <w:t>stanowiących</w:t>
      </w:r>
      <w:r w:rsidR="00443A1A" w:rsidRPr="00AF27CD">
        <w:t xml:space="preserve"> </w:t>
      </w:r>
      <w:r w:rsidRPr="00AF27CD">
        <w:t>o tym, iż nabywanie materiałów wybuchowych przeznaczonych do użytku cywilnego jest dozwolone wyłącznie od przedsiębiorcy posiadającego koncesję na obrót tymi materiałami.</w:t>
      </w:r>
    </w:p>
    <w:p w:rsidR="00C413BD" w:rsidRPr="00AF27CD" w:rsidRDefault="004A37B1"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Projekt ust</w:t>
      </w:r>
      <w:r w:rsidR="00422EA7" w:rsidRPr="00AF27CD">
        <w:rPr>
          <w:rFonts w:ascii="Times New Roman" w:hAnsi="Times New Roman" w:cs="Times New Roman"/>
          <w:szCs w:val="24"/>
        </w:rPr>
        <w:t>awy zakłada uchylenie art. 37–</w:t>
      </w:r>
      <w:r w:rsidRPr="00AF27CD">
        <w:rPr>
          <w:rFonts w:ascii="Times New Roman" w:hAnsi="Times New Roman" w:cs="Times New Roman"/>
          <w:szCs w:val="24"/>
        </w:rPr>
        <w:t xml:space="preserve">41 ustawy o materiałach wybuchowych </w:t>
      </w:r>
      <w:r w:rsidR="00443A1A">
        <w:rPr>
          <w:rFonts w:ascii="Times New Roman" w:hAnsi="Times New Roman" w:cs="Times New Roman"/>
          <w:szCs w:val="24"/>
        </w:rPr>
        <w:t xml:space="preserve">przeznaczonych </w:t>
      </w:r>
      <w:r w:rsidRPr="00AF27CD">
        <w:rPr>
          <w:rFonts w:ascii="Times New Roman" w:hAnsi="Times New Roman" w:cs="Times New Roman"/>
          <w:szCs w:val="24"/>
        </w:rPr>
        <w:t>do użytku cywilnego,</w:t>
      </w:r>
      <w:r w:rsidR="00443A1A">
        <w:rPr>
          <w:rFonts w:ascii="Times New Roman" w:hAnsi="Times New Roman" w:cs="Times New Roman"/>
          <w:szCs w:val="24"/>
        </w:rPr>
        <w:t xml:space="preserve"> które</w:t>
      </w:r>
      <w:r w:rsidRPr="00AF27CD">
        <w:rPr>
          <w:rFonts w:ascii="Times New Roman" w:hAnsi="Times New Roman" w:cs="Times New Roman"/>
          <w:szCs w:val="24"/>
        </w:rPr>
        <w:t xml:space="preserve"> dotyczą przemieszczania amunicji. Projektodawca uznał, że kontrola przemieszczania amunicji </w:t>
      </w:r>
      <w:r w:rsidR="00443A1A" w:rsidRPr="00AF27CD">
        <w:rPr>
          <w:rFonts w:ascii="Times New Roman" w:hAnsi="Times New Roman" w:cs="Times New Roman"/>
          <w:szCs w:val="24"/>
        </w:rPr>
        <w:t xml:space="preserve">będzie </w:t>
      </w:r>
      <w:r w:rsidRPr="00AF27CD">
        <w:rPr>
          <w:rFonts w:ascii="Times New Roman" w:hAnsi="Times New Roman" w:cs="Times New Roman"/>
          <w:szCs w:val="24"/>
        </w:rPr>
        <w:t xml:space="preserve">odbywać się analogicznie, jak w przypadku przemieszczania </w:t>
      </w:r>
      <w:r w:rsidR="000D34BB" w:rsidRPr="00AF27CD">
        <w:rPr>
          <w:rFonts w:ascii="Times New Roman" w:hAnsi="Times New Roman" w:cs="Times New Roman"/>
          <w:szCs w:val="24"/>
        </w:rPr>
        <w:t>broni</w:t>
      </w:r>
      <w:r w:rsidRPr="00AF27CD">
        <w:rPr>
          <w:rFonts w:ascii="Times New Roman" w:hAnsi="Times New Roman" w:cs="Times New Roman"/>
          <w:szCs w:val="24"/>
        </w:rPr>
        <w:t>, gdzie dokumentami uprawniającymi do dokonania transferu będą odpowiednio zgoda przewozowa lub uprzed</w:t>
      </w:r>
      <w:r w:rsidR="00707439">
        <w:rPr>
          <w:rFonts w:ascii="Times New Roman" w:hAnsi="Times New Roman" w:cs="Times New Roman"/>
          <w:szCs w:val="24"/>
        </w:rPr>
        <w:t>nia zgoda przewozowa. Zgodnie z</w:t>
      </w:r>
      <w:r w:rsidR="00EC6774">
        <w:rPr>
          <w:rFonts w:ascii="Times New Roman" w:hAnsi="Times New Roman" w:cs="Times New Roman"/>
          <w:szCs w:val="24"/>
        </w:rPr>
        <w:t xml:space="preserve"> </w:t>
      </w:r>
      <w:r w:rsidRPr="00AF27CD">
        <w:rPr>
          <w:rFonts w:ascii="Times New Roman" w:hAnsi="Times New Roman" w:cs="Times New Roman"/>
          <w:szCs w:val="24"/>
        </w:rPr>
        <w:t>aktual</w:t>
      </w:r>
      <w:r w:rsidR="00A7541B">
        <w:rPr>
          <w:rFonts w:ascii="Times New Roman" w:hAnsi="Times New Roman" w:cs="Times New Roman"/>
          <w:szCs w:val="24"/>
        </w:rPr>
        <w:t>nym brzmieniem art. 39 ustawy o </w:t>
      </w:r>
      <w:r w:rsidRPr="00AF27CD">
        <w:rPr>
          <w:rFonts w:ascii="Times New Roman" w:hAnsi="Times New Roman" w:cs="Times New Roman"/>
          <w:szCs w:val="24"/>
        </w:rPr>
        <w:t>materiałach wybuchowych</w:t>
      </w:r>
      <w:r w:rsidR="00443A1A">
        <w:rPr>
          <w:rFonts w:ascii="Times New Roman" w:hAnsi="Times New Roman" w:cs="Times New Roman"/>
          <w:szCs w:val="24"/>
        </w:rPr>
        <w:t xml:space="preserve"> przeznaczonych</w:t>
      </w:r>
      <w:r w:rsidRPr="00AF27CD">
        <w:rPr>
          <w:rFonts w:ascii="Times New Roman" w:hAnsi="Times New Roman" w:cs="Times New Roman"/>
          <w:szCs w:val="24"/>
        </w:rPr>
        <w:t xml:space="preserve"> do użytku cywilnego minister wła</w:t>
      </w:r>
      <w:r w:rsidR="00866430" w:rsidRPr="00AF27CD">
        <w:rPr>
          <w:rFonts w:ascii="Times New Roman" w:hAnsi="Times New Roman" w:cs="Times New Roman"/>
          <w:szCs w:val="24"/>
        </w:rPr>
        <w:t>ściwy do spraw gospodarki określa</w:t>
      </w:r>
      <w:r w:rsidRPr="00AF27CD">
        <w:rPr>
          <w:rFonts w:ascii="Times New Roman" w:hAnsi="Times New Roman" w:cs="Times New Roman"/>
          <w:szCs w:val="24"/>
        </w:rPr>
        <w:t xml:space="preserve">, w drodze rozporządzenia, rodzaje amunicji, której przemieszczanie na terytorium Rzeczypospolitej Polskiej nie wymaga uzyskania jego zgody i może następować na podstawie zezwolenia udzielonego przez właściwy organ państwa, na którego </w:t>
      </w:r>
      <w:r w:rsidR="00443A1A">
        <w:rPr>
          <w:rFonts w:ascii="Times New Roman" w:hAnsi="Times New Roman" w:cs="Times New Roman"/>
          <w:szCs w:val="24"/>
        </w:rPr>
        <w:t>terytorium</w:t>
      </w:r>
      <w:r w:rsidR="00443A1A" w:rsidRPr="00AF27CD">
        <w:rPr>
          <w:rFonts w:ascii="Times New Roman" w:hAnsi="Times New Roman" w:cs="Times New Roman"/>
          <w:szCs w:val="24"/>
        </w:rPr>
        <w:t xml:space="preserve"> </w:t>
      </w:r>
      <w:r w:rsidRPr="00AF27CD">
        <w:rPr>
          <w:rFonts w:ascii="Times New Roman" w:hAnsi="Times New Roman" w:cs="Times New Roman"/>
          <w:szCs w:val="24"/>
        </w:rPr>
        <w:t>ta amunicja znajduje się, uwzględniając konieczność zapewnienia bezpieczeństwa i porządku publicznego. Informacja o braku obowiązku uzyskania ww</w:t>
      </w:r>
      <w:r w:rsidR="00D93DE2" w:rsidRPr="00AF27CD">
        <w:rPr>
          <w:rFonts w:ascii="Times New Roman" w:hAnsi="Times New Roman" w:cs="Times New Roman"/>
          <w:szCs w:val="24"/>
        </w:rPr>
        <w:t>.</w:t>
      </w:r>
      <w:r w:rsidRPr="00AF27CD">
        <w:rPr>
          <w:rFonts w:ascii="Times New Roman" w:hAnsi="Times New Roman" w:cs="Times New Roman"/>
          <w:szCs w:val="24"/>
        </w:rPr>
        <w:t xml:space="preserve"> zgody powinna być przekazana właściwym organom: państwa członkowskiego Unii Europejskiej, państwa członkowskiego Europejskiego Porozumienia o Wolnym Handlu (EFTA) – strony umowy o Europejskim Obszarze Gospodarczym lub Konfederacji Szwajcarskiej</w:t>
      </w:r>
      <w:r w:rsidR="00707439">
        <w:rPr>
          <w:rFonts w:ascii="Times New Roman" w:hAnsi="Times New Roman" w:cs="Times New Roman"/>
          <w:szCs w:val="24"/>
        </w:rPr>
        <w:t>. Z</w:t>
      </w:r>
      <w:r w:rsidR="00EC6774">
        <w:rPr>
          <w:rFonts w:ascii="Times New Roman" w:hAnsi="Times New Roman" w:cs="Times New Roman"/>
          <w:szCs w:val="24"/>
        </w:rPr>
        <w:t xml:space="preserve"> </w:t>
      </w:r>
      <w:r w:rsidR="00A7541B">
        <w:rPr>
          <w:rFonts w:ascii="Times New Roman" w:hAnsi="Times New Roman" w:cs="Times New Roman"/>
          <w:szCs w:val="24"/>
        </w:rPr>
        <w:t>informacji uzyskanych w </w:t>
      </w:r>
      <w:r w:rsidR="00C413BD" w:rsidRPr="00AF27CD">
        <w:rPr>
          <w:rFonts w:ascii="Times New Roman" w:hAnsi="Times New Roman" w:cs="Times New Roman"/>
          <w:szCs w:val="24"/>
        </w:rPr>
        <w:t>Ministerstwie Przedsię</w:t>
      </w:r>
      <w:r w:rsidR="00707439">
        <w:rPr>
          <w:rFonts w:ascii="Times New Roman" w:hAnsi="Times New Roman" w:cs="Times New Roman"/>
          <w:szCs w:val="24"/>
        </w:rPr>
        <w:t>biorczości i Technologii oraz w</w:t>
      </w:r>
      <w:r w:rsidR="00EC6774">
        <w:rPr>
          <w:rFonts w:ascii="Times New Roman" w:hAnsi="Times New Roman" w:cs="Times New Roman"/>
          <w:szCs w:val="24"/>
        </w:rPr>
        <w:t xml:space="preserve"> </w:t>
      </w:r>
      <w:r w:rsidR="00C413BD" w:rsidRPr="00AF27CD">
        <w:rPr>
          <w:rFonts w:ascii="Times New Roman" w:hAnsi="Times New Roman" w:cs="Times New Roman"/>
          <w:szCs w:val="24"/>
        </w:rPr>
        <w:t>Komendzie Głównej Policji wynika, że żaden z krajów członkowskich UE nie przekazał informacji o rodzajach amunicji, których przemieszczanie nie wymaga zgody na jego obszarze</w:t>
      </w:r>
      <w:r w:rsidRPr="00AF27CD">
        <w:rPr>
          <w:rFonts w:ascii="Times New Roman" w:hAnsi="Times New Roman" w:cs="Times New Roman"/>
          <w:szCs w:val="24"/>
        </w:rPr>
        <w:t>,</w:t>
      </w:r>
      <w:r w:rsidR="00422EA7" w:rsidRPr="00AF27CD">
        <w:rPr>
          <w:rFonts w:ascii="Times New Roman" w:hAnsi="Times New Roman" w:cs="Times New Roman"/>
          <w:szCs w:val="24"/>
        </w:rPr>
        <w:t xml:space="preserve"> </w:t>
      </w:r>
      <w:r w:rsidR="00C413BD" w:rsidRPr="00AF27CD">
        <w:rPr>
          <w:rFonts w:ascii="Times New Roman" w:hAnsi="Times New Roman" w:cs="Times New Roman"/>
          <w:szCs w:val="24"/>
        </w:rPr>
        <w:t>jak również brak takich rodzajów amunicji (poza amunicja ślepą)</w:t>
      </w:r>
      <w:r w:rsidR="00D93DE2" w:rsidRPr="00AF27CD">
        <w:rPr>
          <w:rFonts w:ascii="Times New Roman" w:hAnsi="Times New Roman" w:cs="Times New Roman"/>
          <w:szCs w:val="24"/>
        </w:rPr>
        <w:t>,</w:t>
      </w:r>
      <w:r w:rsidR="00C413BD" w:rsidRPr="00AF27CD">
        <w:rPr>
          <w:rFonts w:ascii="Times New Roman" w:hAnsi="Times New Roman" w:cs="Times New Roman"/>
          <w:szCs w:val="24"/>
        </w:rPr>
        <w:t xml:space="preserve"> które nie wymagają zgody na przemieszczanie na </w:t>
      </w:r>
      <w:r w:rsidR="00443A1A">
        <w:rPr>
          <w:rFonts w:ascii="Times New Roman" w:hAnsi="Times New Roman" w:cs="Times New Roman"/>
          <w:szCs w:val="24"/>
        </w:rPr>
        <w:t>terytorium</w:t>
      </w:r>
      <w:r w:rsidR="00443A1A" w:rsidRPr="00AF27CD">
        <w:rPr>
          <w:rFonts w:ascii="Times New Roman" w:hAnsi="Times New Roman" w:cs="Times New Roman"/>
          <w:szCs w:val="24"/>
        </w:rPr>
        <w:t xml:space="preserve"> </w:t>
      </w:r>
      <w:r w:rsidR="00C413BD" w:rsidRPr="00AF27CD">
        <w:rPr>
          <w:rFonts w:ascii="Times New Roman" w:hAnsi="Times New Roman" w:cs="Times New Roman"/>
          <w:szCs w:val="24"/>
        </w:rPr>
        <w:t>R</w:t>
      </w:r>
      <w:r w:rsidR="00443A1A">
        <w:rPr>
          <w:rFonts w:ascii="Times New Roman" w:hAnsi="Times New Roman" w:cs="Times New Roman"/>
          <w:szCs w:val="24"/>
        </w:rPr>
        <w:t xml:space="preserve">zeczypospolitej </w:t>
      </w:r>
      <w:r w:rsidR="00C413BD" w:rsidRPr="00AF27CD">
        <w:rPr>
          <w:rFonts w:ascii="Times New Roman" w:hAnsi="Times New Roman" w:cs="Times New Roman"/>
          <w:szCs w:val="24"/>
        </w:rPr>
        <w:t>P</w:t>
      </w:r>
      <w:r w:rsidR="00443A1A">
        <w:rPr>
          <w:rFonts w:ascii="Times New Roman" w:hAnsi="Times New Roman" w:cs="Times New Roman"/>
          <w:szCs w:val="24"/>
        </w:rPr>
        <w:t>olskiej</w:t>
      </w:r>
      <w:r w:rsidR="00C413BD" w:rsidRPr="00AF27CD">
        <w:rPr>
          <w:rFonts w:ascii="Times New Roman" w:hAnsi="Times New Roman" w:cs="Times New Roman"/>
          <w:szCs w:val="24"/>
        </w:rPr>
        <w:t>, nie znajduje więc uzasadnienia utrzymanie przepisu</w:t>
      </w:r>
      <w:r w:rsidR="00422EA7" w:rsidRPr="00AF27CD">
        <w:rPr>
          <w:rFonts w:ascii="Times New Roman" w:hAnsi="Times New Roman" w:cs="Times New Roman"/>
          <w:szCs w:val="24"/>
        </w:rPr>
        <w:t xml:space="preserve"> </w:t>
      </w:r>
      <w:r w:rsidR="00C413BD" w:rsidRPr="00AF27CD">
        <w:rPr>
          <w:rFonts w:ascii="Times New Roman" w:hAnsi="Times New Roman" w:cs="Times New Roman"/>
          <w:szCs w:val="24"/>
        </w:rPr>
        <w:t>do</w:t>
      </w:r>
      <w:r w:rsidR="00F0490E" w:rsidRPr="00AF27CD">
        <w:rPr>
          <w:rFonts w:ascii="Times New Roman" w:hAnsi="Times New Roman" w:cs="Times New Roman"/>
          <w:szCs w:val="24"/>
        </w:rPr>
        <w:t xml:space="preserve"> wydania takiego rozporządzenia. </w:t>
      </w:r>
    </w:p>
    <w:p w:rsidR="00A93E79" w:rsidRPr="00AF27CD" w:rsidRDefault="00A93E79" w:rsidP="00422EA7">
      <w:pPr>
        <w:spacing w:before="120" w:line="360" w:lineRule="auto"/>
        <w:jc w:val="both"/>
      </w:pPr>
      <w:r w:rsidRPr="00AF27CD">
        <w:t>Pozostałe zmiany w ustawie o materiałach wybuchowych przeznaczonych do użytku cywilnego służą udoskonaleniu przepisów pod względem</w:t>
      </w:r>
      <w:r w:rsidR="00422EA7" w:rsidRPr="00AF27CD">
        <w:t xml:space="preserve"> </w:t>
      </w:r>
      <w:r w:rsidRPr="00AF27CD">
        <w:t xml:space="preserve">formalnoprawnym oraz redakcyjnym. </w:t>
      </w:r>
    </w:p>
    <w:p w:rsidR="0044147A" w:rsidRPr="00AF27CD" w:rsidRDefault="00946533" w:rsidP="00422EA7">
      <w:pPr>
        <w:spacing w:before="120" w:line="360" w:lineRule="auto"/>
        <w:jc w:val="both"/>
      </w:pPr>
      <w:r w:rsidRPr="00AF27CD">
        <w:t>W toku uzgodnień pojawiła się wątpliwość dotycząca prawidłowego wdrożenia art. 5 ust. 5 dyrektywy 2014/28/UE. Należy wyjaśnić, że z</w:t>
      </w:r>
      <w:r w:rsidR="0044147A" w:rsidRPr="00AF27CD">
        <w:t>godnie z art. 15 ust. 1 dyrektywy 2014/28/UE system identyfikacji i identyfikowalności materiałów wybuchowych nie ma zastosowania do</w:t>
      </w:r>
      <w:r w:rsidR="00422EA7" w:rsidRPr="00AF27CD">
        <w:t xml:space="preserve"> </w:t>
      </w:r>
      <w:r w:rsidR="0044147A" w:rsidRPr="00AF27CD">
        <w:t>materiałów wybuchowych przeznaczonych do użytku cywilnego transportowanych i</w:t>
      </w:r>
      <w:r w:rsidR="00D93DE2" w:rsidRPr="00AF27CD">
        <w:t xml:space="preserve"> </w:t>
      </w:r>
      <w:r w:rsidR="0044147A" w:rsidRPr="00AF27CD">
        <w:t>dostarczanych bez o</w:t>
      </w:r>
      <w:r w:rsidR="00707439">
        <w:t>pakowania lub na ciężarówkach z</w:t>
      </w:r>
      <w:r w:rsidR="00A7541B">
        <w:t> </w:t>
      </w:r>
      <w:r w:rsidR="0044147A" w:rsidRPr="00AF27CD">
        <w:t xml:space="preserve">zamontowanymi pompami w celu bezpośredniego wyładowania do otworu strzałowego oraz materiałów wybuchowych produkowanych </w:t>
      </w:r>
      <w:r w:rsidR="0044147A" w:rsidRPr="00AF27CD">
        <w:rPr>
          <w:i/>
        </w:rPr>
        <w:t>in situ</w:t>
      </w:r>
      <w:r w:rsidR="0044147A" w:rsidRPr="00AF27CD">
        <w:t xml:space="preserve">. Ponieważ materiał wybuchowy wytworzony metodą </w:t>
      </w:r>
      <w:r w:rsidR="0044147A" w:rsidRPr="00AF27CD">
        <w:rPr>
          <w:i/>
        </w:rPr>
        <w:t>in situ</w:t>
      </w:r>
      <w:r w:rsidR="0044147A" w:rsidRPr="00AF27CD">
        <w:t xml:space="preserve"> ist</w:t>
      </w:r>
      <w:r w:rsidR="00E60C60">
        <w:t>nieje tylko przez krótką chwilę</w:t>
      </w:r>
      <w:r w:rsidR="0044147A" w:rsidRPr="00AF27CD">
        <w:t xml:space="preserve"> (tj. od zakończenia procesu wytwarzania tego materiału do jego zużycia, które musi nastąpić natychmiast po wytworzeniu), nie ma fizycznej możliwości umieszczenia na takim materiale jakiegokolwiek oznaczenia.</w:t>
      </w:r>
    </w:p>
    <w:p w:rsidR="0044147A" w:rsidRPr="00AF27CD" w:rsidRDefault="0044147A" w:rsidP="00422EA7">
      <w:pPr>
        <w:spacing w:before="120" w:line="360" w:lineRule="auto"/>
        <w:jc w:val="both"/>
      </w:pPr>
      <w:r w:rsidRPr="00AF27CD">
        <w:t xml:space="preserve">Jednocześnie art. 23 ust. 5 dyrektywy stwierdza, iż w przypadku materiałów wybuchowych </w:t>
      </w:r>
      <w:r w:rsidRPr="00AF27CD">
        <w:rPr>
          <w:i/>
        </w:rPr>
        <w:t>in situ</w:t>
      </w:r>
      <w:r w:rsidRPr="00AF27CD">
        <w:t xml:space="preserve"> należy umieścić znak CE na dokumentach towarzyszących. Wymóg umieszczenia znaku CE oznacza, że wcześniej </w:t>
      </w:r>
      <w:r w:rsidR="00443A1A" w:rsidRPr="00AF27CD">
        <w:t xml:space="preserve">musi być </w:t>
      </w:r>
      <w:r w:rsidRPr="00AF27CD">
        <w:t>przeprowadzona cała procedura oceny zgodności materiału, który prze</w:t>
      </w:r>
      <w:r w:rsidR="00707439">
        <w:t>dsiębiorca zamierza wytworzyć</w:t>
      </w:r>
      <w:r w:rsidR="00443A1A">
        <w:t>,</w:t>
      </w:r>
      <w:r w:rsidR="00707439">
        <w:t xml:space="preserve"> z</w:t>
      </w:r>
      <w:r w:rsidR="00A7541B">
        <w:t> </w:t>
      </w:r>
      <w:r w:rsidRPr="00AF27CD">
        <w:t xml:space="preserve">wymaganiami bezpieczeństwa. W przypadku materiałów wybuchowych wytworzonych metodą </w:t>
      </w:r>
      <w:r w:rsidRPr="00AF27CD">
        <w:rPr>
          <w:i/>
        </w:rPr>
        <w:t>in situ</w:t>
      </w:r>
      <w:r w:rsidRPr="00AF27CD">
        <w:t xml:space="preserve"> nie występuje zjawisko importu oraz dystrybucji. </w:t>
      </w:r>
    </w:p>
    <w:p w:rsidR="0044147A" w:rsidRPr="00AF27CD" w:rsidRDefault="0044147A" w:rsidP="00422EA7">
      <w:pPr>
        <w:spacing w:before="120" w:line="360" w:lineRule="auto"/>
        <w:jc w:val="both"/>
      </w:pPr>
      <w:r w:rsidRPr="00AF27CD">
        <w:t xml:space="preserve">Obowiązki przedsiębiorcy związane z wytwarzaniem materiałów wybuchowych </w:t>
      </w:r>
      <w:r w:rsidRPr="00AF27CD">
        <w:rPr>
          <w:i/>
        </w:rPr>
        <w:t>in situ</w:t>
      </w:r>
      <w:r w:rsidRPr="00AF27CD">
        <w:t xml:space="preserve"> są określone w art. 62v</w:t>
      </w:r>
      <w:r w:rsidR="00BB1AF6" w:rsidRPr="00AF27CD">
        <w:t>d</w:t>
      </w:r>
      <w:r w:rsidR="00422EA7" w:rsidRPr="00AF27CD">
        <w:t xml:space="preserve"> </w:t>
      </w:r>
      <w:r w:rsidRPr="00AF27CD">
        <w:t xml:space="preserve">ustawy o </w:t>
      </w:r>
      <w:r w:rsidR="00D93DE2" w:rsidRPr="00AF27CD">
        <w:t xml:space="preserve">materiałach wybuchowych </w:t>
      </w:r>
      <w:r w:rsidR="00443A1A">
        <w:t xml:space="preserve">przeznaczonych </w:t>
      </w:r>
      <w:r w:rsidR="00D93DE2" w:rsidRPr="00AF27CD">
        <w:t>do użytku cywilnego</w:t>
      </w:r>
      <w:r w:rsidR="00946533" w:rsidRPr="00AF27CD">
        <w:t>.</w:t>
      </w:r>
    </w:p>
    <w:p w:rsidR="004773A7" w:rsidRPr="00AF27CD" w:rsidRDefault="006520B9" w:rsidP="00422EA7">
      <w:pPr>
        <w:spacing w:before="120" w:line="360" w:lineRule="auto"/>
        <w:jc w:val="both"/>
      </w:pPr>
      <w:r w:rsidRPr="00AF27CD">
        <w:t>Katalog przepisów karnych określonych w ak</w:t>
      </w:r>
      <w:r w:rsidR="00707439">
        <w:t>tualnie obowiązującej ustawie o</w:t>
      </w:r>
      <w:r w:rsidR="00A7541B">
        <w:t> </w:t>
      </w:r>
      <w:r w:rsidRPr="00AF27CD">
        <w:t xml:space="preserve">materiałach wybuchowych </w:t>
      </w:r>
      <w:r w:rsidR="00443A1A">
        <w:t xml:space="preserve">przeznaczonych </w:t>
      </w:r>
      <w:r w:rsidRPr="00AF27CD">
        <w:t>do użytku cywilnego został uzup</w:t>
      </w:r>
      <w:r w:rsidR="00A7541B">
        <w:t>ełniony o </w:t>
      </w:r>
      <w:r w:rsidRPr="00AF27CD">
        <w:t>nowe przepisy zawarte w projekcie ustawy</w:t>
      </w:r>
      <w:r w:rsidR="00422EA7" w:rsidRPr="00AF27CD">
        <w:t xml:space="preserve"> </w:t>
      </w:r>
      <w:r w:rsidRPr="00AF27CD">
        <w:t>– art. 65ca, art. 65cb, art. 65da</w:t>
      </w:r>
      <w:r w:rsidR="00443A1A">
        <w:t xml:space="preserve"> i</w:t>
      </w:r>
      <w:r w:rsidRPr="00AF27CD">
        <w:t xml:space="preserve"> art. 65db. </w:t>
      </w:r>
      <w:r w:rsidR="004773A7" w:rsidRPr="00AF27CD">
        <w:t>Projektowane przepisy określają kary za brak jednoznacznego oznaczenia wprowadzanego do obrotu materiału wybuchowego przeznaczonego do użytku cywilnego lub brak informacji na opakowaniu</w:t>
      </w:r>
      <w:r w:rsidR="00443A1A">
        <w:t>,</w:t>
      </w:r>
      <w:r w:rsidR="004773A7" w:rsidRPr="00AF27CD">
        <w:t xml:space="preserve"> w przypadku braku możliwości umieszczenia jednoznacznego oznaczenia na materiale wybuchowym</w:t>
      </w:r>
      <w:r w:rsidR="00443A1A">
        <w:t>,</w:t>
      </w:r>
      <w:r w:rsidR="004773A7" w:rsidRPr="00AF27CD">
        <w:t xml:space="preserve"> w przypadku jego małych rozmiarów, kształtu lub charakteru. Projekt zakład</w:t>
      </w:r>
      <w:r w:rsidR="00277B24" w:rsidRPr="00AF27CD">
        <w:t>a</w:t>
      </w:r>
      <w:r w:rsidR="004773A7" w:rsidRPr="00AF27CD">
        <w:t xml:space="preserve"> ponadto karę</w:t>
      </w:r>
      <w:r w:rsidR="00443A1A">
        <w:t>,</w:t>
      </w:r>
      <w:r w:rsidR="00A7541B">
        <w:t xml:space="preserve"> w </w:t>
      </w:r>
      <w:r w:rsidR="004773A7" w:rsidRPr="00AF27CD">
        <w:t>przypadku producenta, importera lub dystrybutora, którzy nie dopełniają obowiązków w zakresie prowadzenia rejestru jednoznacznych oznaczeń materiału wybuchowego. Karze podlegać będzie również brak oznaczenia obiektu produkcyjnego</w:t>
      </w:r>
      <w:r w:rsidR="00443A1A">
        <w:t>,</w:t>
      </w:r>
      <w:r w:rsidR="004773A7" w:rsidRPr="00AF27CD">
        <w:t xml:space="preserve"> w którym </w:t>
      </w:r>
      <w:r w:rsidR="00443A1A" w:rsidRPr="00AF27CD">
        <w:t xml:space="preserve">są </w:t>
      </w:r>
      <w:r w:rsidR="004773A7" w:rsidRPr="00AF27CD">
        <w:t>wytwarzane materiały wybuchowe do użytku cywilnego.</w:t>
      </w:r>
    </w:p>
    <w:p w:rsidR="00AB71AB" w:rsidRPr="00AF27CD" w:rsidRDefault="00AB71AB" w:rsidP="00422EA7">
      <w:pPr>
        <w:spacing w:before="120" w:line="360" w:lineRule="auto"/>
        <w:jc w:val="both"/>
      </w:pPr>
      <w:r w:rsidRPr="00AF27CD">
        <w:t xml:space="preserve">Zmiana wprowadzona do ustawy z dnia 28 marca 2003 r. o transporcie kolejowym </w:t>
      </w:r>
      <w:r w:rsidR="00443A1A" w:rsidRPr="00AF27CD">
        <w:t xml:space="preserve">jest </w:t>
      </w:r>
      <w:r w:rsidRPr="00AF27CD">
        <w:t xml:space="preserve">spowodowana koniecznością stworzenia przepisów umożliwiających </w:t>
      </w:r>
      <w:r w:rsidR="00D93DE2" w:rsidRPr="00AF27CD">
        <w:t>strażom ochrony kolei</w:t>
      </w:r>
      <w:r w:rsidRPr="00AF27CD">
        <w:t xml:space="preserve"> nabycie broni palnej, amunicji oraz wyrobów o przeznaczeniu wojskowym lub policyjnym, niezbędnych dla wykonywania zadań określonych ustawą.</w:t>
      </w:r>
    </w:p>
    <w:p w:rsidR="00117455" w:rsidRPr="00AF27CD" w:rsidRDefault="00C55D9E" w:rsidP="00422EA7">
      <w:pPr>
        <w:spacing w:before="120" w:line="360" w:lineRule="auto"/>
        <w:jc w:val="both"/>
      </w:pPr>
      <w:r w:rsidRPr="00AF27CD">
        <w:t xml:space="preserve">Zmiana wprowadzana do ustawy z dnia 10 lipca 2015 r. o Agencji Mienia Wojskowego ma na celu </w:t>
      </w:r>
      <w:r w:rsidR="00263746" w:rsidRPr="00AF27CD">
        <w:t>rozszerzenie zakresu jej działalności w</w:t>
      </w:r>
      <w:r w:rsidR="00707439">
        <w:t xml:space="preserve"> taki sposób, aby był tożsamy z</w:t>
      </w:r>
      <w:r w:rsidR="00A7541B">
        <w:t> </w:t>
      </w:r>
      <w:r w:rsidR="00F82A7D" w:rsidRPr="00AF27CD">
        <w:t xml:space="preserve">pełnym </w:t>
      </w:r>
      <w:r w:rsidR="00263746" w:rsidRPr="00AF27CD">
        <w:t xml:space="preserve">zakresem </w:t>
      </w:r>
      <w:r w:rsidR="00F82A7D" w:rsidRPr="00AF27CD">
        <w:t xml:space="preserve">pojęcia „wytwarzanie” zawartym w projektowanej </w:t>
      </w:r>
      <w:r w:rsidR="00263746" w:rsidRPr="00AF27CD">
        <w:t>ustaw</w:t>
      </w:r>
      <w:r w:rsidR="00F82A7D" w:rsidRPr="00AF27CD">
        <w:t>ie</w:t>
      </w:r>
      <w:r w:rsidR="00263746" w:rsidRPr="00AF27CD">
        <w:t xml:space="preserve">, co pozwoli </w:t>
      </w:r>
      <w:r w:rsidR="00B846F3" w:rsidRPr="00AF27CD">
        <w:t xml:space="preserve">Agencji </w:t>
      </w:r>
      <w:r w:rsidR="00263746" w:rsidRPr="00AF27CD">
        <w:t>na wykonywanie koncesjonowa</w:t>
      </w:r>
      <w:r w:rsidR="00707439">
        <w:t>nej działalności gospodarczej w</w:t>
      </w:r>
      <w:r w:rsidR="00A7541B">
        <w:t> </w:t>
      </w:r>
      <w:r w:rsidR="00263746" w:rsidRPr="00AF27CD">
        <w:t>pełnym zakresie</w:t>
      </w:r>
      <w:r w:rsidR="00B846F3" w:rsidRPr="00AF27CD">
        <w:t xml:space="preserve"> określonym </w:t>
      </w:r>
      <w:r w:rsidR="00F82A7D" w:rsidRPr="00AF27CD">
        <w:t xml:space="preserve">projektowaną </w:t>
      </w:r>
      <w:r w:rsidR="00B846F3" w:rsidRPr="00AF27CD">
        <w:t>ustawą</w:t>
      </w:r>
      <w:r w:rsidR="00263746" w:rsidRPr="00AF27CD">
        <w:t xml:space="preserve">. </w:t>
      </w:r>
    </w:p>
    <w:p w:rsidR="00A93E79" w:rsidRPr="00AF27CD" w:rsidRDefault="00A93E79" w:rsidP="00422EA7">
      <w:pPr>
        <w:spacing w:before="120" w:line="360" w:lineRule="auto"/>
        <w:jc w:val="both"/>
      </w:pPr>
      <w:r w:rsidRPr="00AF27CD">
        <w:t xml:space="preserve">Zmiany w innych ustawach, w których </w:t>
      </w:r>
      <w:r w:rsidR="00443A1A">
        <w:t>znajdują się odesłania</w:t>
      </w:r>
      <w:r w:rsidR="00707439">
        <w:t xml:space="preserve"> do przepisów ustawy z</w:t>
      </w:r>
      <w:r w:rsidR="00A7541B">
        <w:t> </w:t>
      </w:r>
      <w:r w:rsidRPr="00AF27CD">
        <w:t xml:space="preserve">dnia 22 czerwca 2001 r., wynikają wyłącznie z konieczności wprowadzenia daty wydania i </w:t>
      </w:r>
      <w:r w:rsidR="00A13BDE">
        <w:t xml:space="preserve">metryki promulgacyjnej </w:t>
      </w:r>
      <w:r w:rsidR="00187207" w:rsidRPr="00AF27CD">
        <w:t>projektowanej</w:t>
      </w:r>
      <w:r w:rsidR="00A13BDE">
        <w:t xml:space="preserve"> ustawy</w:t>
      </w:r>
      <w:r w:rsidRPr="00AF27CD">
        <w:t>.</w:t>
      </w:r>
    </w:p>
    <w:p w:rsidR="00117455" w:rsidRPr="00AF27CD" w:rsidRDefault="00117455"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Do</w:t>
      </w:r>
      <w:r w:rsidR="00A13BDE">
        <w:rPr>
          <w:rFonts w:ascii="Times New Roman" w:hAnsi="Times New Roman" w:cs="Times New Roman"/>
          <w:szCs w:val="24"/>
        </w:rPr>
        <w:t xml:space="preserve"> projektowanej</w:t>
      </w:r>
      <w:r w:rsidRPr="00AF27CD">
        <w:rPr>
          <w:rFonts w:ascii="Times New Roman" w:hAnsi="Times New Roman" w:cs="Times New Roman"/>
          <w:szCs w:val="24"/>
        </w:rPr>
        <w:t xml:space="preserve"> ustawy nie zostały przeniesione przepisy rozpo</w:t>
      </w:r>
      <w:r w:rsidR="00707439">
        <w:rPr>
          <w:rFonts w:ascii="Times New Roman" w:hAnsi="Times New Roman" w:cs="Times New Roman"/>
          <w:szCs w:val="24"/>
        </w:rPr>
        <w:t>rządzenia Ministra Gospodarki i</w:t>
      </w:r>
      <w:r w:rsidR="00EC6774">
        <w:rPr>
          <w:rFonts w:ascii="Times New Roman" w:hAnsi="Times New Roman" w:cs="Times New Roman"/>
          <w:szCs w:val="24"/>
        </w:rPr>
        <w:t xml:space="preserve"> </w:t>
      </w:r>
      <w:r w:rsidRPr="00AF27CD">
        <w:rPr>
          <w:rFonts w:ascii="Times New Roman" w:hAnsi="Times New Roman" w:cs="Times New Roman"/>
          <w:szCs w:val="24"/>
        </w:rPr>
        <w:t>Ministra Spraw Wewnętrznych z dnia 6 marca 2013 r. w sprawie sprzedaży materiałów wybuchowych, broni, am</w:t>
      </w:r>
      <w:r w:rsidR="00A7541B">
        <w:rPr>
          <w:rFonts w:ascii="Times New Roman" w:hAnsi="Times New Roman" w:cs="Times New Roman"/>
          <w:szCs w:val="24"/>
        </w:rPr>
        <w:t>unicji, wyrobów i technologii o </w:t>
      </w:r>
      <w:r w:rsidRPr="00AF27CD">
        <w:rPr>
          <w:rFonts w:ascii="Times New Roman" w:hAnsi="Times New Roman" w:cs="Times New Roman"/>
          <w:szCs w:val="24"/>
        </w:rPr>
        <w:t>przeznaczeniu wojskowym lub policyjnym oraz kontroli przestrzegania warunków sprzedaży</w:t>
      </w:r>
      <w:r w:rsidR="00422EA7" w:rsidRPr="00AF27CD">
        <w:rPr>
          <w:rFonts w:ascii="Times New Roman" w:hAnsi="Times New Roman" w:cs="Times New Roman"/>
          <w:szCs w:val="24"/>
        </w:rPr>
        <w:t xml:space="preserve"> –</w:t>
      </w:r>
      <w:r w:rsidR="00707439">
        <w:rPr>
          <w:rFonts w:ascii="Times New Roman" w:hAnsi="Times New Roman" w:cs="Times New Roman"/>
          <w:szCs w:val="24"/>
        </w:rPr>
        <w:t xml:space="preserve"> w</w:t>
      </w:r>
      <w:r w:rsidR="00EC6774">
        <w:rPr>
          <w:rFonts w:ascii="Times New Roman" w:hAnsi="Times New Roman" w:cs="Times New Roman"/>
          <w:szCs w:val="24"/>
        </w:rPr>
        <w:t xml:space="preserve"> </w:t>
      </w:r>
      <w:r w:rsidRPr="00AF27CD">
        <w:rPr>
          <w:rFonts w:ascii="Times New Roman" w:hAnsi="Times New Roman" w:cs="Times New Roman"/>
          <w:szCs w:val="24"/>
        </w:rPr>
        <w:t>części dotyczącej obowiązku odstrzeliwania przez p</w:t>
      </w:r>
      <w:r w:rsidR="00707439">
        <w:rPr>
          <w:rFonts w:ascii="Times New Roman" w:hAnsi="Times New Roman" w:cs="Times New Roman"/>
          <w:szCs w:val="24"/>
        </w:rPr>
        <w:t>rzedsiębiorców trzech nabojów z</w:t>
      </w:r>
      <w:r w:rsidR="00EC6774">
        <w:rPr>
          <w:rFonts w:ascii="Times New Roman" w:hAnsi="Times New Roman" w:cs="Times New Roman"/>
          <w:szCs w:val="24"/>
        </w:rPr>
        <w:t xml:space="preserve"> </w:t>
      </w:r>
      <w:r w:rsidRPr="00AF27CD">
        <w:rPr>
          <w:rFonts w:ascii="Times New Roman" w:hAnsi="Times New Roman" w:cs="Times New Roman"/>
          <w:szCs w:val="24"/>
        </w:rPr>
        <w:t xml:space="preserve">każdej lufy strzeleckiej broni palnej przeznaczonej do obrotu. </w:t>
      </w:r>
    </w:p>
    <w:p w:rsidR="00117455" w:rsidRPr="00AF27CD" w:rsidRDefault="00117455"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Powyższe jest efektem roboczego ustalenia Stałego K</w:t>
      </w:r>
      <w:r w:rsidR="00707439">
        <w:rPr>
          <w:rFonts w:ascii="Times New Roman" w:hAnsi="Times New Roman" w:cs="Times New Roman"/>
          <w:szCs w:val="24"/>
        </w:rPr>
        <w:t>omitetu Rady Ministrów z dnia 4</w:t>
      </w:r>
      <w:r w:rsidR="00A7541B">
        <w:rPr>
          <w:rFonts w:ascii="Times New Roman" w:hAnsi="Times New Roman" w:cs="Times New Roman"/>
          <w:szCs w:val="24"/>
        </w:rPr>
        <w:t> </w:t>
      </w:r>
      <w:r w:rsidRPr="00AF27CD">
        <w:rPr>
          <w:rFonts w:ascii="Times New Roman" w:hAnsi="Times New Roman" w:cs="Times New Roman"/>
          <w:szCs w:val="24"/>
        </w:rPr>
        <w:t xml:space="preserve">października 2018 r. i jest skutkiem uwagi wniesionej </w:t>
      </w:r>
      <w:r w:rsidR="00707439">
        <w:rPr>
          <w:rFonts w:ascii="Times New Roman" w:hAnsi="Times New Roman" w:cs="Times New Roman"/>
          <w:szCs w:val="24"/>
        </w:rPr>
        <w:t>przez Ministerstwo Inwestycji i</w:t>
      </w:r>
      <w:r w:rsidR="00A7541B">
        <w:rPr>
          <w:rFonts w:ascii="Times New Roman" w:hAnsi="Times New Roman" w:cs="Times New Roman"/>
          <w:szCs w:val="24"/>
        </w:rPr>
        <w:t> </w:t>
      </w:r>
      <w:r w:rsidRPr="00AF27CD">
        <w:rPr>
          <w:rFonts w:ascii="Times New Roman" w:hAnsi="Times New Roman" w:cs="Times New Roman"/>
          <w:szCs w:val="24"/>
        </w:rPr>
        <w:t>Rozwoju, a sformułowanej przez Pełnomocnika Rządu do spraw Małych i Średnich Przedsiębiorstw.</w:t>
      </w:r>
    </w:p>
    <w:p w:rsidR="00117455" w:rsidRPr="00AF27CD" w:rsidRDefault="00117455"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Zawarty w projekcie przepis dotyczący obowiązku odstrzeliwania został wykreślony, ponieważ za zasadne należało uznać, iż planowana regulacja utrwali i będzie generować niepotrzebne koszty oraz trudności organizacyjne zar</w:t>
      </w:r>
      <w:r w:rsidR="00707439">
        <w:rPr>
          <w:rFonts w:ascii="Times New Roman" w:hAnsi="Times New Roman" w:cs="Times New Roman"/>
          <w:szCs w:val="24"/>
        </w:rPr>
        <w:t>ówno dla przedsiębiorców, jak i</w:t>
      </w:r>
      <w:r w:rsidR="00A7541B">
        <w:rPr>
          <w:rFonts w:ascii="Times New Roman" w:hAnsi="Times New Roman" w:cs="Times New Roman"/>
          <w:szCs w:val="24"/>
        </w:rPr>
        <w:t> </w:t>
      </w:r>
      <w:r w:rsidRPr="00AF27CD">
        <w:rPr>
          <w:rFonts w:ascii="Times New Roman" w:hAnsi="Times New Roman" w:cs="Times New Roman"/>
          <w:szCs w:val="24"/>
        </w:rPr>
        <w:t xml:space="preserve">dla budżetu </w:t>
      </w:r>
      <w:r w:rsidR="00A13BDE">
        <w:rPr>
          <w:rFonts w:ascii="Times New Roman" w:hAnsi="Times New Roman" w:cs="Times New Roman"/>
          <w:szCs w:val="24"/>
        </w:rPr>
        <w:t>p</w:t>
      </w:r>
      <w:r w:rsidRPr="00AF27CD">
        <w:rPr>
          <w:rFonts w:ascii="Times New Roman" w:hAnsi="Times New Roman" w:cs="Times New Roman"/>
          <w:szCs w:val="24"/>
        </w:rPr>
        <w:t xml:space="preserve">aństwa. </w:t>
      </w:r>
      <w:r w:rsidR="00A13BDE">
        <w:rPr>
          <w:rFonts w:ascii="Times New Roman" w:hAnsi="Times New Roman" w:cs="Times New Roman"/>
          <w:szCs w:val="24"/>
        </w:rPr>
        <w:t>W</w:t>
      </w:r>
      <w:r w:rsidRPr="00AF27CD">
        <w:rPr>
          <w:rFonts w:ascii="Times New Roman" w:hAnsi="Times New Roman" w:cs="Times New Roman"/>
          <w:szCs w:val="24"/>
        </w:rPr>
        <w:t xml:space="preserve"> trakcie uzgodnień projektu </w:t>
      </w:r>
      <w:r w:rsidR="00A13BDE">
        <w:rPr>
          <w:rFonts w:ascii="Times New Roman" w:hAnsi="Times New Roman" w:cs="Times New Roman"/>
          <w:szCs w:val="24"/>
        </w:rPr>
        <w:t xml:space="preserve">organizacje </w:t>
      </w:r>
      <w:r w:rsidR="00A13BDE" w:rsidRPr="00AF27CD">
        <w:rPr>
          <w:rFonts w:ascii="Times New Roman" w:hAnsi="Times New Roman" w:cs="Times New Roman"/>
          <w:szCs w:val="24"/>
        </w:rPr>
        <w:t xml:space="preserve">branżowe przedsiębiorców </w:t>
      </w:r>
      <w:r w:rsidRPr="00AF27CD">
        <w:rPr>
          <w:rFonts w:ascii="Times New Roman" w:hAnsi="Times New Roman" w:cs="Times New Roman"/>
          <w:szCs w:val="24"/>
        </w:rPr>
        <w:t>podnosiły wielokrotnie kwest</w:t>
      </w:r>
      <w:r w:rsidR="001C3D1E">
        <w:rPr>
          <w:rFonts w:ascii="Times New Roman" w:hAnsi="Times New Roman" w:cs="Times New Roman"/>
          <w:szCs w:val="24"/>
        </w:rPr>
        <w:t>i</w:t>
      </w:r>
      <w:r w:rsidRPr="00AF27CD">
        <w:rPr>
          <w:rFonts w:ascii="Times New Roman" w:hAnsi="Times New Roman" w:cs="Times New Roman"/>
          <w:szCs w:val="24"/>
        </w:rPr>
        <w:t xml:space="preserve">ę zbędnej regulacji dotyczącej odstrzeliwania trzech nabojów z każdej lufy strzeleckiej broni palnej przeznaczonej do obrotu. Od momentu wprowadzenia tego obowiązku, tj. od 2001 r., powodował on utrudnienia zarówno dla przedsiębiorców, jak i dla jednostek Policji zajmujących się katalogowaniem, magazynowaniem, przydzielaniem upoważnionych funkcjonariuszy do asysty przy odstrzeliwaniu. Koszty zbioru łusek ponoszą głównie przedsiębiorcy, przez co ceny zakupu broni w Polsce są wyższe niż w krajach ościennych, co dziś prowokuje do importu indywidualnego, ze stratą podatkową dla </w:t>
      </w:r>
      <w:r w:rsidR="00A13BDE">
        <w:rPr>
          <w:rFonts w:ascii="Times New Roman" w:hAnsi="Times New Roman" w:cs="Times New Roman"/>
          <w:szCs w:val="24"/>
        </w:rPr>
        <w:t>S</w:t>
      </w:r>
      <w:r w:rsidRPr="00AF27CD">
        <w:rPr>
          <w:rFonts w:ascii="Times New Roman" w:hAnsi="Times New Roman" w:cs="Times New Roman"/>
          <w:szCs w:val="24"/>
        </w:rPr>
        <w:t>karbu Państwa. Głównymi powodami uzasadniającymi wykreślenie z projektu nowej ustawy odstrzeliwania trzech nabojów są: brak możliwości elektronicznego katalogowania przez organ przekazanych łusek, które dodatkowo po latach przechowywania tracą pierwotne ślady, standardowe użytkowanie broni po kilku latach skutkuje całkowitą zmian</w:t>
      </w:r>
      <w:r w:rsidR="001C3D1E">
        <w:rPr>
          <w:rFonts w:ascii="Times New Roman" w:hAnsi="Times New Roman" w:cs="Times New Roman"/>
          <w:szCs w:val="24"/>
        </w:rPr>
        <w:t>ą</w:t>
      </w:r>
      <w:r w:rsidRPr="00AF27CD">
        <w:rPr>
          <w:rFonts w:ascii="Times New Roman" w:hAnsi="Times New Roman" w:cs="Times New Roman"/>
          <w:szCs w:val="24"/>
        </w:rPr>
        <w:t xml:space="preserve"> jej cech charakterystycznych, wymiana iglicy, która nie jest istotnym komponentem broni</w:t>
      </w:r>
      <w:r w:rsidR="00A13BDE">
        <w:rPr>
          <w:rFonts w:ascii="Times New Roman" w:hAnsi="Times New Roman" w:cs="Times New Roman"/>
          <w:szCs w:val="24"/>
        </w:rPr>
        <w:t>,</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powoduje zmianę śladów na łusce, analiza porównawcza gromadzonych łusek w zbiorach </w:t>
      </w:r>
      <w:r w:rsidR="00A13BDE">
        <w:rPr>
          <w:rFonts w:ascii="Times New Roman" w:hAnsi="Times New Roman" w:cs="Times New Roman"/>
          <w:szCs w:val="24"/>
        </w:rPr>
        <w:t>P</w:t>
      </w:r>
      <w:r w:rsidRPr="00AF27CD">
        <w:rPr>
          <w:rFonts w:ascii="Times New Roman" w:hAnsi="Times New Roman" w:cs="Times New Roman"/>
          <w:szCs w:val="24"/>
        </w:rPr>
        <w:t>olicji z łuskami znalezionym na miejscu przestępstwa nie ma istotnego znaczenia dla ustalenia sprawcy przestępstwa.</w:t>
      </w:r>
    </w:p>
    <w:p w:rsidR="00A93E79" w:rsidRPr="00AF27CD" w:rsidRDefault="00A93E79" w:rsidP="00707439">
      <w:pPr>
        <w:pStyle w:val="USTustnpkodeksu"/>
        <w:tabs>
          <w:tab w:val="left" w:pos="1860"/>
        </w:tabs>
        <w:spacing w:before="120"/>
        <w:ind w:firstLine="0"/>
        <w:rPr>
          <w:rFonts w:ascii="Times New Roman" w:hAnsi="Times New Roman" w:cs="Times New Roman"/>
        </w:rPr>
      </w:pPr>
      <w:r w:rsidRPr="00AF27CD">
        <w:rPr>
          <w:rFonts w:ascii="Times New Roman" w:hAnsi="Times New Roman" w:cs="Times New Roman"/>
          <w:b/>
        </w:rPr>
        <w:t>Rozdział 2</w:t>
      </w:r>
      <w:r w:rsidRPr="00AF27CD">
        <w:rPr>
          <w:rFonts w:ascii="Times New Roman" w:hAnsi="Times New Roman" w:cs="Times New Roman"/>
        </w:rPr>
        <w:t xml:space="preserve"> Przepisy przejściowe, dostosowujące i końcowe</w:t>
      </w:r>
      <w:r w:rsidR="00F0490E" w:rsidRPr="00AF27CD">
        <w:rPr>
          <w:rFonts w:ascii="Times New Roman" w:hAnsi="Times New Roman" w:cs="Times New Roman"/>
        </w:rPr>
        <w:t xml:space="preserve"> (art. 1</w:t>
      </w:r>
      <w:r w:rsidR="00117455" w:rsidRPr="00AF27CD">
        <w:rPr>
          <w:rFonts w:ascii="Times New Roman" w:hAnsi="Times New Roman" w:cs="Times New Roman"/>
        </w:rPr>
        <w:t>5</w:t>
      </w:r>
      <w:r w:rsidR="00773AC5" w:rsidRPr="00AF27CD">
        <w:rPr>
          <w:rFonts w:ascii="Times New Roman" w:hAnsi="Times New Roman" w:cs="Times New Roman"/>
        </w:rPr>
        <w:t>2</w:t>
      </w:r>
      <w:r w:rsidR="00422EA7" w:rsidRPr="00AF27CD">
        <w:rPr>
          <w:rFonts w:ascii="Times New Roman" w:hAnsi="Times New Roman" w:cs="Times New Roman"/>
        </w:rPr>
        <w:t>–</w:t>
      </w:r>
      <w:r w:rsidR="00F0490E" w:rsidRPr="00AF27CD">
        <w:rPr>
          <w:rFonts w:ascii="Times New Roman" w:hAnsi="Times New Roman" w:cs="Times New Roman"/>
        </w:rPr>
        <w:t>1</w:t>
      </w:r>
      <w:r w:rsidR="00117455" w:rsidRPr="00AF27CD">
        <w:rPr>
          <w:rFonts w:ascii="Times New Roman" w:hAnsi="Times New Roman" w:cs="Times New Roman"/>
        </w:rPr>
        <w:t>7</w:t>
      </w:r>
      <w:r w:rsidR="00773AC5" w:rsidRPr="00AF27CD">
        <w:rPr>
          <w:rFonts w:ascii="Times New Roman" w:hAnsi="Times New Roman" w:cs="Times New Roman"/>
        </w:rPr>
        <w:t>2</w:t>
      </w:r>
      <w:r w:rsidR="00F0490E" w:rsidRPr="00AF27CD">
        <w:rPr>
          <w:rFonts w:ascii="Times New Roman" w:hAnsi="Times New Roman" w:cs="Times New Roman"/>
        </w:rPr>
        <w:t>)</w:t>
      </w:r>
    </w:p>
    <w:p w:rsidR="00A93E79" w:rsidRPr="00AF27CD" w:rsidRDefault="00A93E79"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 xml:space="preserve">Ten rozdział zawiera przepisy odnoszące się do okresu przejściowego, na styku obu ustaw. </w:t>
      </w:r>
    </w:p>
    <w:p w:rsidR="001D4BDF" w:rsidRPr="00AF27CD" w:rsidRDefault="001D4BDF"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Projekt nowej ustawy zakłada, że do czasu wejścia w życie przepisów</w:t>
      </w:r>
      <w:r w:rsidR="00422EA7" w:rsidRPr="00AF27CD">
        <w:rPr>
          <w:rFonts w:ascii="Times New Roman" w:hAnsi="Times New Roman" w:cs="Times New Roman"/>
          <w:szCs w:val="24"/>
        </w:rPr>
        <w:t xml:space="preserve"> </w:t>
      </w:r>
      <w:r w:rsidRPr="00AF27CD">
        <w:rPr>
          <w:rFonts w:ascii="Times New Roman" w:hAnsi="Times New Roman" w:cs="Times New Roman"/>
          <w:szCs w:val="24"/>
        </w:rPr>
        <w:t>dotyczących powstania i utworzenia SRB, jak również do momentu uzyskania dostępu do tego systemu,</w:t>
      </w:r>
      <w:r w:rsidR="00422EA7" w:rsidRPr="00AF27CD">
        <w:rPr>
          <w:rFonts w:ascii="Times New Roman" w:hAnsi="Times New Roman" w:cs="Times New Roman"/>
          <w:szCs w:val="24"/>
        </w:rPr>
        <w:t xml:space="preserve"> </w:t>
      </w:r>
      <w:r w:rsidRPr="00AF27CD">
        <w:rPr>
          <w:rFonts w:ascii="Times New Roman" w:hAnsi="Times New Roman" w:cs="Times New Roman"/>
          <w:szCs w:val="24"/>
        </w:rPr>
        <w:t xml:space="preserve">przedsiębiorcy wykonujący działalność w zakresie wytwarzania i obrotu strzelecką bronią palną prowadzą ewidencje dotyczące wytwarzania lub obrotu na zasadach określonych w art. 47 ust. 1 i art. 59 ust. 1 ustawy nowej. Oznacza to, że ewidencje prowadzone dotychczas przez przedsiębiorców (pod rządami ustawy z dnia 22 czerwca 2001 r. ) , do czasu uruchomienia </w:t>
      </w:r>
      <w:r w:rsidR="00291089" w:rsidRPr="00AF27CD">
        <w:rPr>
          <w:rFonts w:ascii="Times New Roman" w:hAnsi="Times New Roman" w:cs="Times New Roman"/>
          <w:szCs w:val="24"/>
        </w:rPr>
        <w:t>SR</w:t>
      </w:r>
      <w:r w:rsidRPr="00AF27CD">
        <w:rPr>
          <w:rFonts w:ascii="Times New Roman" w:hAnsi="Times New Roman" w:cs="Times New Roman"/>
          <w:szCs w:val="24"/>
        </w:rPr>
        <w:t>B m</w:t>
      </w:r>
      <w:r w:rsidR="00B07574" w:rsidRPr="00AF27CD">
        <w:rPr>
          <w:rFonts w:ascii="Times New Roman" w:hAnsi="Times New Roman" w:cs="Times New Roman"/>
          <w:szCs w:val="24"/>
        </w:rPr>
        <w:t>o</w:t>
      </w:r>
      <w:r w:rsidRPr="00AF27CD">
        <w:rPr>
          <w:rFonts w:ascii="Times New Roman" w:hAnsi="Times New Roman" w:cs="Times New Roman"/>
          <w:szCs w:val="24"/>
        </w:rPr>
        <w:t>g</w:t>
      </w:r>
      <w:r w:rsidR="00B07574" w:rsidRPr="00AF27CD">
        <w:rPr>
          <w:rFonts w:ascii="Times New Roman" w:hAnsi="Times New Roman" w:cs="Times New Roman"/>
          <w:szCs w:val="24"/>
        </w:rPr>
        <w:t>ą</w:t>
      </w:r>
      <w:r w:rsidRPr="00AF27CD">
        <w:rPr>
          <w:rFonts w:ascii="Times New Roman" w:hAnsi="Times New Roman" w:cs="Times New Roman"/>
          <w:szCs w:val="24"/>
        </w:rPr>
        <w:t xml:space="preserve"> być kontynuowane, zaś wpisy powinny być uzupełniane o dane wymagane ustawą nową</w:t>
      </w:r>
      <w:r w:rsidR="0006254A" w:rsidRPr="00AF27CD">
        <w:rPr>
          <w:rFonts w:ascii="Times New Roman" w:hAnsi="Times New Roman" w:cs="Times New Roman"/>
          <w:szCs w:val="24"/>
        </w:rPr>
        <w:t>.</w:t>
      </w:r>
      <w:r w:rsidR="00EF7089" w:rsidRPr="00AF27CD">
        <w:rPr>
          <w:rFonts w:ascii="Times New Roman" w:hAnsi="Times New Roman" w:cs="Times New Roman"/>
          <w:szCs w:val="24"/>
        </w:rPr>
        <w:t xml:space="preserve"> </w:t>
      </w:r>
      <w:r w:rsidR="00A11870" w:rsidRPr="00AF27CD">
        <w:rPr>
          <w:rFonts w:ascii="Times New Roman" w:hAnsi="Times New Roman" w:cs="Times New Roman"/>
          <w:szCs w:val="24"/>
        </w:rPr>
        <w:t>Przedsiębiorca powinien uzupełnić wpisy o dane wymagane ustaw</w:t>
      </w:r>
      <w:r w:rsidR="00A13BDE">
        <w:rPr>
          <w:rFonts w:ascii="Times New Roman" w:hAnsi="Times New Roman" w:cs="Times New Roman"/>
          <w:szCs w:val="24"/>
        </w:rPr>
        <w:t>ą</w:t>
      </w:r>
      <w:r w:rsidR="00A11870" w:rsidRPr="00AF27CD">
        <w:rPr>
          <w:rFonts w:ascii="Times New Roman" w:hAnsi="Times New Roman" w:cs="Times New Roman"/>
          <w:szCs w:val="24"/>
        </w:rPr>
        <w:t xml:space="preserve"> nową w </w:t>
      </w:r>
      <w:r w:rsidR="00707439">
        <w:rPr>
          <w:rFonts w:ascii="Times New Roman" w:hAnsi="Times New Roman" w:cs="Times New Roman"/>
          <w:szCs w:val="24"/>
        </w:rPr>
        <w:t>terminie 7 dni od jej wejścia w</w:t>
      </w:r>
      <w:r w:rsidR="00A7541B">
        <w:rPr>
          <w:rFonts w:ascii="Times New Roman" w:hAnsi="Times New Roman" w:cs="Times New Roman"/>
          <w:szCs w:val="24"/>
        </w:rPr>
        <w:t> </w:t>
      </w:r>
      <w:r w:rsidR="00A11870" w:rsidRPr="00AF27CD">
        <w:rPr>
          <w:rFonts w:ascii="Times New Roman" w:hAnsi="Times New Roman" w:cs="Times New Roman"/>
          <w:szCs w:val="24"/>
        </w:rPr>
        <w:t xml:space="preserve">życie. </w:t>
      </w:r>
      <w:r w:rsidR="00EF7089" w:rsidRPr="00AF27CD">
        <w:rPr>
          <w:rFonts w:ascii="Times New Roman" w:hAnsi="Times New Roman" w:cs="Times New Roman"/>
          <w:szCs w:val="24"/>
        </w:rPr>
        <w:t>Do czasu uruchomienia SRB</w:t>
      </w:r>
      <w:r w:rsidRPr="00AF27CD">
        <w:rPr>
          <w:rFonts w:ascii="Times New Roman" w:hAnsi="Times New Roman" w:cs="Times New Roman"/>
          <w:szCs w:val="24"/>
        </w:rPr>
        <w:t xml:space="preserve"> zawiadomie</w:t>
      </w:r>
      <w:r w:rsidR="00EF7089" w:rsidRPr="00AF27CD">
        <w:rPr>
          <w:rFonts w:ascii="Times New Roman" w:hAnsi="Times New Roman" w:cs="Times New Roman"/>
          <w:szCs w:val="24"/>
        </w:rPr>
        <w:t>nia</w:t>
      </w:r>
      <w:r w:rsidRPr="00AF27CD">
        <w:rPr>
          <w:rFonts w:ascii="Times New Roman" w:hAnsi="Times New Roman" w:cs="Times New Roman"/>
          <w:szCs w:val="24"/>
        </w:rPr>
        <w:t xml:space="preserve"> o sprz</w:t>
      </w:r>
      <w:r w:rsidR="00EF7089" w:rsidRPr="00AF27CD">
        <w:rPr>
          <w:rFonts w:ascii="Times New Roman" w:hAnsi="Times New Roman" w:cs="Times New Roman"/>
          <w:szCs w:val="24"/>
        </w:rPr>
        <w:t>edaży strzeleckiej broni palnej</w:t>
      </w:r>
      <w:r w:rsidRPr="00AF27CD">
        <w:rPr>
          <w:rFonts w:ascii="Times New Roman" w:hAnsi="Times New Roman" w:cs="Times New Roman"/>
          <w:szCs w:val="24"/>
        </w:rPr>
        <w:t xml:space="preserve"> powinny być przekazywane </w:t>
      </w:r>
      <w:r w:rsidR="002933F2" w:rsidRPr="00AF27CD">
        <w:rPr>
          <w:rFonts w:ascii="Times New Roman" w:hAnsi="Times New Roman" w:cs="Times New Roman"/>
          <w:szCs w:val="24"/>
        </w:rPr>
        <w:t>k</w:t>
      </w:r>
      <w:r w:rsidRPr="00AF27CD">
        <w:rPr>
          <w:rFonts w:ascii="Times New Roman" w:hAnsi="Times New Roman" w:cs="Times New Roman"/>
          <w:szCs w:val="24"/>
        </w:rPr>
        <w:t>omendant</w:t>
      </w:r>
      <w:r w:rsidR="002933F2" w:rsidRPr="00AF27CD">
        <w:rPr>
          <w:rFonts w:ascii="Times New Roman" w:hAnsi="Times New Roman" w:cs="Times New Roman"/>
          <w:szCs w:val="24"/>
        </w:rPr>
        <w:t>owi</w:t>
      </w:r>
      <w:r w:rsidRPr="00AF27CD">
        <w:rPr>
          <w:rFonts w:ascii="Times New Roman" w:hAnsi="Times New Roman" w:cs="Times New Roman"/>
          <w:szCs w:val="24"/>
        </w:rPr>
        <w:t xml:space="preserve"> wojewódzkie</w:t>
      </w:r>
      <w:r w:rsidR="002933F2" w:rsidRPr="00AF27CD">
        <w:rPr>
          <w:rFonts w:ascii="Times New Roman" w:hAnsi="Times New Roman" w:cs="Times New Roman"/>
          <w:szCs w:val="24"/>
        </w:rPr>
        <w:t>mu</w:t>
      </w:r>
      <w:r w:rsidRPr="00AF27CD">
        <w:rPr>
          <w:rFonts w:ascii="Times New Roman" w:hAnsi="Times New Roman" w:cs="Times New Roman"/>
          <w:szCs w:val="24"/>
        </w:rPr>
        <w:t xml:space="preserve"> Policji </w:t>
      </w:r>
      <w:r w:rsidR="002933F2" w:rsidRPr="00AF27CD">
        <w:rPr>
          <w:rFonts w:ascii="Times New Roman" w:hAnsi="Times New Roman" w:cs="Times New Roman"/>
          <w:szCs w:val="24"/>
        </w:rPr>
        <w:t>właściwemu ze względu na miejsce stałego pobytu nabywcy, na formularzach, które zostaną określone w rozporządzeniu, w terminie 5 dni roboczych</w:t>
      </w:r>
      <w:r w:rsidR="00F82A7D" w:rsidRPr="00AF27CD">
        <w:rPr>
          <w:rFonts w:ascii="Times New Roman" w:hAnsi="Times New Roman" w:cs="Times New Roman"/>
          <w:szCs w:val="24"/>
        </w:rPr>
        <w:t xml:space="preserve"> (art. 153)</w:t>
      </w:r>
      <w:r w:rsidR="002933F2" w:rsidRPr="00AF27CD">
        <w:rPr>
          <w:rFonts w:ascii="Times New Roman" w:hAnsi="Times New Roman" w:cs="Times New Roman"/>
          <w:szCs w:val="24"/>
        </w:rPr>
        <w:t>.</w:t>
      </w:r>
      <w:r w:rsidR="0006254A" w:rsidRPr="00AF27CD">
        <w:rPr>
          <w:rFonts w:ascii="Times New Roman" w:hAnsi="Times New Roman" w:cs="Times New Roman"/>
          <w:szCs w:val="24"/>
        </w:rPr>
        <w:t xml:space="preserve"> Zmiana w tym zakresie, polegająca na automatycznym generowaniu zawiadomień, będzie możliwa po uruchomieniu SRB.</w:t>
      </w:r>
    </w:p>
    <w:p w:rsidR="00A11870" w:rsidRPr="00AF27CD" w:rsidRDefault="00A11870"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Ewidencje dotyczące wytwarzania i obrotu, przekazane ministrowi właściwemu do spraw gospodarki przez przedsiębiorców, którzy zaprzestali wykonywania działalności gospodarczej przed dniem wejścia w życie przepisów ustawy nowej</w:t>
      </w:r>
      <w:r w:rsidR="00A13BDE">
        <w:rPr>
          <w:rFonts w:ascii="Times New Roman" w:hAnsi="Times New Roman" w:cs="Times New Roman"/>
          <w:szCs w:val="24"/>
        </w:rPr>
        <w:t>,</w:t>
      </w:r>
      <w:r w:rsidRPr="00AF27CD">
        <w:rPr>
          <w:rFonts w:ascii="Times New Roman" w:hAnsi="Times New Roman" w:cs="Times New Roman"/>
          <w:szCs w:val="24"/>
        </w:rPr>
        <w:t xml:space="preserve"> są przechowywane przez tego ministra</w:t>
      </w:r>
      <w:r w:rsidR="00F82A7D" w:rsidRPr="00AF27CD">
        <w:rPr>
          <w:rFonts w:ascii="Times New Roman" w:hAnsi="Times New Roman" w:cs="Times New Roman"/>
          <w:szCs w:val="24"/>
        </w:rPr>
        <w:t xml:space="preserve"> (art. 157 ust. 4)</w:t>
      </w:r>
      <w:r w:rsidRPr="00AF27CD">
        <w:rPr>
          <w:rFonts w:ascii="Times New Roman" w:hAnsi="Times New Roman" w:cs="Times New Roman"/>
          <w:szCs w:val="24"/>
        </w:rPr>
        <w:t>. Minister właściwy do spraw wewnętrznych będzie przechowywał w</w:t>
      </w:r>
      <w:r w:rsidR="00AF011A" w:rsidRPr="00AF27CD">
        <w:rPr>
          <w:rFonts w:ascii="Times New Roman" w:hAnsi="Times New Roman" w:cs="Times New Roman"/>
          <w:szCs w:val="24"/>
        </w:rPr>
        <w:t>w.</w:t>
      </w:r>
      <w:r w:rsidR="00422EA7" w:rsidRPr="00AF27CD">
        <w:rPr>
          <w:rFonts w:ascii="Times New Roman" w:hAnsi="Times New Roman" w:cs="Times New Roman"/>
          <w:szCs w:val="24"/>
        </w:rPr>
        <w:t xml:space="preserve"> </w:t>
      </w:r>
      <w:r w:rsidRPr="00AF27CD">
        <w:rPr>
          <w:rFonts w:ascii="Times New Roman" w:hAnsi="Times New Roman" w:cs="Times New Roman"/>
          <w:szCs w:val="24"/>
        </w:rPr>
        <w:t>dokumentację od dnia wejścia w życie ustawy nowej.</w:t>
      </w:r>
    </w:p>
    <w:p w:rsidR="007C74E3" w:rsidRPr="00AF27CD" w:rsidRDefault="007C74E3"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Zachowują ważność wszystkie koncesje wydan</w:t>
      </w:r>
      <w:r w:rsidR="00707439">
        <w:rPr>
          <w:rFonts w:ascii="Times New Roman" w:hAnsi="Times New Roman" w:cs="Times New Roman"/>
          <w:szCs w:val="24"/>
        </w:rPr>
        <w:t>e na podstawie ustawy z dnia 22</w:t>
      </w:r>
      <w:r w:rsidR="00A7541B">
        <w:rPr>
          <w:rFonts w:ascii="Times New Roman" w:hAnsi="Times New Roman" w:cs="Times New Roman"/>
          <w:szCs w:val="24"/>
        </w:rPr>
        <w:t> </w:t>
      </w:r>
      <w:r w:rsidRPr="00AF27CD">
        <w:rPr>
          <w:rFonts w:ascii="Times New Roman" w:hAnsi="Times New Roman" w:cs="Times New Roman"/>
          <w:szCs w:val="24"/>
        </w:rPr>
        <w:t>czerwca 2001 r. i nie przewiduje się wymiany dotychczas udzielonych koncesji</w:t>
      </w:r>
      <w:r w:rsidR="00707439">
        <w:rPr>
          <w:rFonts w:ascii="Times New Roman" w:hAnsi="Times New Roman" w:cs="Times New Roman"/>
          <w:szCs w:val="24"/>
        </w:rPr>
        <w:t xml:space="preserve"> (art.</w:t>
      </w:r>
      <w:r w:rsidR="00A7541B">
        <w:rPr>
          <w:rFonts w:ascii="Times New Roman" w:hAnsi="Times New Roman" w:cs="Times New Roman"/>
          <w:szCs w:val="24"/>
        </w:rPr>
        <w:t> </w:t>
      </w:r>
      <w:r w:rsidR="00F82A7D" w:rsidRPr="00AF27CD">
        <w:rPr>
          <w:rFonts w:ascii="Times New Roman" w:hAnsi="Times New Roman" w:cs="Times New Roman"/>
          <w:szCs w:val="24"/>
        </w:rPr>
        <w:t>154)</w:t>
      </w:r>
      <w:r w:rsidRPr="00AF27CD">
        <w:rPr>
          <w:rFonts w:ascii="Times New Roman" w:hAnsi="Times New Roman" w:cs="Times New Roman"/>
          <w:szCs w:val="24"/>
        </w:rPr>
        <w:t>. Wejście w życie ustawy nie spowoduje konieczności uzyskania nowych zaświadczeń o odbyciu szkolenia, opinii o spe</w:t>
      </w:r>
      <w:r w:rsidR="00707439">
        <w:rPr>
          <w:rFonts w:ascii="Times New Roman" w:hAnsi="Times New Roman" w:cs="Times New Roman"/>
          <w:szCs w:val="24"/>
        </w:rPr>
        <w:t>łnieniu warunków technicznych i</w:t>
      </w:r>
      <w:r w:rsidR="00A7541B">
        <w:rPr>
          <w:rFonts w:ascii="Times New Roman" w:hAnsi="Times New Roman" w:cs="Times New Roman"/>
          <w:szCs w:val="24"/>
        </w:rPr>
        <w:t> </w:t>
      </w:r>
      <w:r w:rsidRPr="00AF27CD">
        <w:rPr>
          <w:rFonts w:ascii="Times New Roman" w:hAnsi="Times New Roman" w:cs="Times New Roman"/>
          <w:szCs w:val="24"/>
        </w:rPr>
        <w:t>organizacyjnych oraz orzeczeń lekarskich i psychologicznych, które zachowują ważność na okres, na jaki zostały wydane.</w:t>
      </w:r>
    </w:p>
    <w:p w:rsidR="00B07574" w:rsidRPr="00AF27CD" w:rsidRDefault="00B07574"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Projekt ustawy zakłada, że wnioski o udzielenie lub zmianę koncesji, które wpłyną do organu koncesyjnego przed dniem wejścia w życie przepisów ustawy nowej, będą rozpatrywane na zasadach określonych w ustawie poprzedniej</w:t>
      </w:r>
      <w:r w:rsidR="00F82A7D" w:rsidRPr="00AF27CD">
        <w:rPr>
          <w:rFonts w:ascii="Times New Roman" w:hAnsi="Times New Roman" w:cs="Times New Roman"/>
          <w:szCs w:val="24"/>
        </w:rPr>
        <w:t xml:space="preserve"> (art. 155)</w:t>
      </w:r>
      <w:r w:rsidRPr="00AF27CD">
        <w:rPr>
          <w:rFonts w:ascii="Times New Roman" w:hAnsi="Times New Roman" w:cs="Times New Roman"/>
          <w:szCs w:val="24"/>
        </w:rPr>
        <w:t xml:space="preserve">. Również postępowania o cofnięcie koncesji wszczęte pod rządami </w:t>
      </w:r>
      <w:r w:rsidR="0006254A" w:rsidRPr="00AF27CD">
        <w:rPr>
          <w:rFonts w:ascii="Times New Roman" w:hAnsi="Times New Roman" w:cs="Times New Roman"/>
          <w:szCs w:val="24"/>
        </w:rPr>
        <w:t>ustawy poprzedniej będą prowadzone na określonych w niej</w:t>
      </w:r>
      <w:r w:rsidR="00422EA7" w:rsidRPr="00AF27CD">
        <w:rPr>
          <w:rFonts w:ascii="Times New Roman" w:hAnsi="Times New Roman" w:cs="Times New Roman"/>
          <w:szCs w:val="24"/>
        </w:rPr>
        <w:t xml:space="preserve"> </w:t>
      </w:r>
      <w:r w:rsidR="0006254A" w:rsidRPr="00AF27CD">
        <w:rPr>
          <w:rFonts w:ascii="Times New Roman" w:hAnsi="Times New Roman" w:cs="Times New Roman"/>
          <w:szCs w:val="24"/>
        </w:rPr>
        <w:t>zasadach.</w:t>
      </w:r>
    </w:p>
    <w:p w:rsidR="00EF7089" w:rsidRPr="00AF27CD" w:rsidRDefault="007C74E3"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Przepisy tego rozdziału określają terminy, upływ których wiąże się z koniecznością oznakowania wytworzonych po tej dacie i wprowadzonych po raz pierwszy do obrotu materiałów wybuchowych, broni i amunicji zgodnie z zasadami określonymi w ustawie nowej</w:t>
      </w:r>
      <w:r w:rsidR="00EF7089" w:rsidRPr="00AF27CD">
        <w:rPr>
          <w:rFonts w:ascii="Times New Roman" w:hAnsi="Times New Roman" w:cs="Times New Roman"/>
          <w:szCs w:val="24"/>
        </w:rPr>
        <w:t>.</w:t>
      </w:r>
      <w:r w:rsidR="008835D8" w:rsidRPr="00AF27CD">
        <w:rPr>
          <w:rFonts w:ascii="Times New Roman" w:hAnsi="Times New Roman" w:cs="Times New Roman"/>
          <w:szCs w:val="24"/>
        </w:rPr>
        <w:t xml:space="preserve"> W przypadku plastycznych materiałów wybuchowych, broni i podstawowego jednostkowego opakowania amunicji projekt zakłada, że towary te wprowadzone po raz pierwszy do obrotu po dniu wejścia w życie ustawy nowej powinny być oznakowane zgod</w:t>
      </w:r>
      <w:r w:rsidR="00AF011A" w:rsidRPr="00AF27CD">
        <w:rPr>
          <w:rFonts w:ascii="Times New Roman" w:hAnsi="Times New Roman" w:cs="Times New Roman"/>
          <w:szCs w:val="24"/>
        </w:rPr>
        <w:t>nie z zawartymi w niej wymogami (art. 156).</w:t>
      </w:r>
    </w:p>
    <w:p w:rsidR="008835D8" w:rsidRPr="00AF27CD" w:rsidRDefault="008835D8"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System oceny jakości produkcji uznaje się za sp</w:t>
      </w:r>
      <w:r w:rsidR="00707439">
        <w:rPr>
          <w:rFonts w:ascii="Times New Roman" w:hAnsi="Times New Roman" w:cs="Times New Roman"/>
          <w:szCs w:val="24"/>
        </w:rPr>
        <w:t>ełniający wymagania określone w</w:t>
      </w:r>
      <w:r w:rsidR="00A7541B">
        <w:rPr>
          <w:rFonts w:ascii="Times New Roman" w:hAnsi="Times New Roman" w:cs="Times New Roman"/>
          <w:szCs w:val="24"/>
        </w:rPr>
        <w:t> </w:t>
      </w:r>
      <w:r w:rsidRPr="00AF27CD">
        <w:rPr>
          <w:rFonts w:ascii="Times New Roman" w:hAnsi="Times New Roman" w:cs="Times New Roman"/>
          <w:szCs w:val="24"/>
        </w:rPr>
        <w:t>ustawie nowej przez 12 miesięcy od dnia jej wejścia w życie</w:t>
      </w:r>
      <w:r w:rsidR="00AF011A" w:rsidRPr="00AF27CD">
        <w:rPr>
          <w:rFonts w:ascii="Times New Roman" w:hAnsi="Times New Roman" w:cs="Times New Roman"/>
          <w:szCs w:val="24"/>
        </w:rPr>
        <w:t xml:space="preserve"> (art. 158</w:t>
      </w:r>
      <w:r w:rsidR="00A13BDE">
        <w:rPr>
          <w:rFonts w:ascii="Times New Roman" w:hAnsi="Times New Roman" w:cs="Times New Roman"/>
          <w:szCs w:val="24"/>
        </w:rPr>
        <w:t xml:space="preserve"> ust. 1</w:t>
      </w:r>
      <w:r w:rsidR="00AF011A" w:rsidRPr="00AF27CD">
        <w:rPr>
          <w:rFonts w:ascii="Times New Roman" w:hAnsi="Times New Roman" w:cs="Times New Roman"/>
          <w:szCs w:val="24"/>
        </w:rPr>
        <w:t>).</w:t>
      </w:r>
    </w:p>
    <w:p w:rsidR="00EF7089" w:rsidRPr="00AF27CD" w:rsidRDefault="00EF708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Zachowują ważność specyfikacje techniczne wydane w celu pozbawienia cech użytkowych towarów określonych w art. 19a ust. 1 ustawy z dnia 22 czerwca 2001 r.</w:t>
      </w:r>
      <w:r w:rsidR="007549BF" w:rsidRPr="00AF27CD">
        <w:rPr>
          <w:rFonts w:ascii="Times New Roman" w:hAnsi="Times New Roman" w:cs="Times New Roman"/>
          <w:szCs w:val="24"/>
        </w:rPr>
        <w:t xml:space="preserve"> (art. 159)</w:t>
      </w:r>
      <w:r w:rsidR="008835D8" w:rsidRPr="00AF27CD">
        <w:rPr>
          <w:rFonts w:ascii="Times New Roman" w:hAnsi="Times New Roman" w:cs="Times New Roman"/>
          <w:szCs w:val="24"/>
        </w:rPr>
        <w:t xml:space="preserve"> oraz</w:t>
      </w:r>
      <w:r w:rsidR="00422EA7" w:rsidRPr="00AF27CD">
        <w:rPr>
          <w:rFonts w:ascii="Times New Roman" w:hAnsi="Times New Roman" w:cs="Times New Roman"/>
          <w:szCs w:val="24"/>
        </w:rPr>
        <w:t xml:space="preserve"> </w:t>
      </w:r>
      <w:r w:rsidR="008835D8" w:rsidRPr="00AF27CD">
        <w:rPr>
          <w:rFonts w:ascii="Times New Roman" w:hAnsi="Times New Roman" w:cs="Times New Roman"/>
          <w:szCs w:val="24"/>
        </w:rPr>
        <w:t>plany postępowania na wypadek zagrożenia życia lub zdrowia ludzi, mienia oraz środowiska</w:t>
      </w:r>
      <w:r w:rsidR="007549BF" w:rsidRPr="00AF27CD">
        <w:rPr>
          <w:rFonts w:ascii="Times New Roman" w:hAnsi="Times New Roman" w:cs="Times New Roman"/>
          <w:szCs w:val="24"/>
        </w:rPr>
        <w:t xml:space="preserve"> (art. 158</w:t>
      </w:r>
      <w:r w:rsidR="00A13BDE">
        <w:rPr>
          <w:rFonts w:ascii="Times New Roman" w:hAnsi="Times New Roman" w:cs="Times New Roman"/>
          <w:szCs w:val="24"/>
        </w:rPr>
        <w:t xml:space="preserve"> ust. 2</w:t>
      </w:r>
      <w:r w:rsidR="007549BF" w:rsidRPr="00AF27CD">
        <w:rPr>
          <w:rFonts w:ascii="Times New Roman" w:hAnsi="Times New Roman" w:cs="Times New Roman"/>
          <w:szCs w:val="24"/>
        </w:rPr>
        <w:t>)</w:t>
      </w:r>
      <w:r w:rsidR="008835D8" w:rsidRPr="00AF27CD">
        <w:rPr>
          <w:rFonts w:ascii="Times New Roman" w:hAnsi="Times New Roman" w:cs="Times New Roman"/>
          <w:szCs w:val="24"/>
        </w:rPr>
        <w:t>. Z</w:t>
      </w:r>
      <w:r w:rsidRPr="00AF27CD">
        <w:rPr>
          <w:rFonts w:ascii="Times New Roman" w:hAnsi="Times New Roman" w:cs="Times New Roman"/>
          <w:szCs w:val="24"/>
        </w:rPr>
        <w:t>gody przewozowe i uprzednie zgody przewozowe</w:t>
      </w:r>
      <w:r w:rsidR="008835D8" w:rsidRPr="00AF27CD">
        <w:rPr>
          <w:rFonts w:ascii="Times New Roman" w:hAnsi="Times New Roman" w:cs="Times New Roman"/>
          <w:szCs w:val="24"/>
        </w:rPr>
        <w:t xml:space="preserve"> zachowują ważność</w:t>
      </w:r>
      <w:r w:rsidRPr="00AF27CD">
        <w:rPr>
          <w:rFonts w:ascii="Times New Roman" w:hAnsi="Times New Roman" w:cs="Times New Roman"/>
          <w:szCs w:val="24"/>
        </w:rPr>
        <w:t xml:space="preserve"> na okres, na jaki zostały wydane</w:t>
      </w:r>
      <w:r w:rsidR="007549BF" w:rsidRPr="00AF27CD">
        <w:rPr>
          <w:rFonts w:ascii="Times New Roman" w:hAnsi="Times New Roman" w:cs="Times New Roman"/>
          <w:szCs w:val="24"/>
        </w:rPr>
        <w:t xml:space="preserve"> (art. 160)</w:t>
      </w:r>
      <w:r w:rsidRPr="00AF27CD">
        <w:rPr>
          <w:rFonts w:ascii="Times New Roman" w:hAnsi="Times New Roman" w:cs="Times New Roman"/>
          <w:szCs w:val="24"/>
        </w:rPr>
        <w:t>.</w:t>
      </w:r>
    </w:p>
    <w:p w:rsidR="00F04425" w:rsidRPr="00AF27CD" w:rsidRDefault="00F04425"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Kontrole działalności gospodarczej, wszczęte i niezakończone do dnia wejścia w życie ustawy nowej</w:t>
      </w:r>
      <w:r w:rsidR="00A13BDE">
        <w:rPr>
          <w:rFonts w:ascii="Times New Roman" w:hAnsi="Times New Roman" w:cs="Times New Roman"/>
          <w:szCs w:val="24"/>
        </w:rPr>
        <w:t>,</w:t>
      </w:r>
      <w:r w:rsidRPr="00AF27CD">
        <w:rPr>
          <w:rFonts w:ascii="Times New Roman" w:hAnsi="Times New Roman" w:cs="Times New Roman"/>
          <w:szCs w:val="24"/>
        </w:rPr>
        <w:t xml:space="preserve"> prowadzi się na podstawie przepisów ustawy dotychczasowej</w:t>
      </w:r>
      <w:r w:rsidR="007549BF" w:rsidRPr="00AF27CD">
        <w:rPr>
          <w:rFonts w:ascii="Times New Roman" w:hAnsi="Times New Roman" w:cs="Times New Roman"/>
          <w:szCs w:val="24"/>
        </w:rPr>
        <w:t xml:space="preserve"> (art. 161)</w:t>
      </w:r>
      <w:r w:rsidRPr="00AF27CD">
        <w:rPr>
          <w:rFonts w:ascii="Times New Roman" w:hAnsi="Times New Roman" w:cs="Times New Roman"/>
          <w:szCs w:val="24"/>
        </w:rPr>
        <w:t xml:space="preserve">. </w:t>
      </w:r>
    </w:p>
    <w:p w:rsidR="00F04425" w:rsidRPr="00AF27CD" w:rsidRDefault="00F04425"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Ponadto wprowadzono przepis</w:t>
      </w:r>
      <w:r w:rsidR="007549BF" w:rsidRPr="00AF27CD">
        <w:rPr>
          <w:rFonts w:ascii="Times New Roman" w:hAnsi="Times New Roman" w:cs="Times New Roman"/>
          <w:szCs w:val="24"/>
        </w:rPr>
        <w:t>,</w:t>
      </w:r>
      <w:r w:rsidRPr="00AF27CD">
        <w:rPr>
          <w:rFonts w:ascii="Times New Roman" w:hAnsi="Times New Roman" w:cs="Times New Roman"/>
          <w:szCs w:val="24"/>
        </w:rPr>
        <w:t xml:space="preserve"> zgodnie z którym decyzje wojewodów wyznaczające miejsca przeznaczone do niszczenia znalez</w:t>
      </w:r>
      <w:r w:rsidR="00707439">
        <w:rPr>
          <w:rFonts w:ascii="Times New Roman" w:hAnsi="Times New Roman" w:cs="Times New Roman"/>
          <w:szCs w:val="24"/>
        </w:rPr>
        <w:t>ionych materiałów wybuchowych i</w:t>
      </w:r>
      <w:r w:rsidR="00A7541B">
        <w:rPr>
          <w:rFonts w:ascii="Times New Roman" w:hAnsi="Times New Roman" w:cs="Times New Roman"/>
          <w:szCs w:val="24"/>
        </w:rPr>
        <w:t> </w:t>
      </w:r>
      <w:r w:rsidRPr="00AF27CD">
        <w:rPr>
          <w:rFonts w:ascii="Times New Roman" w:hAnsi="Times New Roman" w:cs="Times New Roman"/>
          <w:szCs w:val="24"/>
        </w:rPr>
        <w:t>niebezpiecznych na podstawie art. 25a ust. 3 ustawy dotychczasowej zachowują moc</w:t>
      </w:r>
      <w:r w:rsidR="007549BF" w:rsidRPr="00AF27CD">
        <w:rPr>
          <w:rFonts w:ascii="Times New Roman" w:hAnsi="Times New Roman" w:cs="Times New Roman"/>
          <w:szCs w:val="24"/>
        </w:rPr>
        <w:t xml:space="preserve"> (art. 162)</w:t>
      </w:r>
      <w:r w:rsidRPr="00AF27CD">
        <w:rPr>
          <w:rFonts w:ascii="Times New Roman" w:hAnsi="Times New Roman" w:cs="Times New Roman"/>
          <w:szCs w:val="24"/>
        </w:rPr>
        <w:t xml:space="preserve">. </w:t>
      </w:r>
    </w:p>
    <w:p w:rsidR="007549BF" w:rsidRPr="00AF27CD" w:rsidRDefault="007549BF"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Zgodnie z brzmieniem projektowanego art. 163</w:t>
      </w:r>
      <w:r w:rsidR="002E420F" w:rsidRPr="00AF27CD">
        <w:rPr>
          <w:rFonts w:ascii="Times New Roman" w:hAnsi="Times New Roman" w:cs="Times New Roman"/>
          <w:szCs w:val="24"/>
        </w:rPr>
        <w:t xml:space="preserve"> dotychczasowe oznaczenia materiałów wybuchowych do użytku cywilnego naniesione zgodnie z art. 23a ustawy poprzedniej, jak również rejestr jednoznacznych oznaczeń</w:t>
      </w:r>
      <w:r w:rsidR="00A13BDE">
        <w:rPr>
          <w:rFonts w:ascii="Times New Roman" w:hAnsi="Times New Roman" w:cs="Times New Roman"/>
          <w:szCs w:val="24"/>
        </w:rPr>
        <w:t>,</w:t>
      </w:r>
      <w:r w:rsidR="002E420F" w:rsidRPr="00AF27CD">
        <w:rPr>
          <w:rFonts w:ascii="Times New Roman" w:hAnsi="Times New Roman" w:cs="Times New Roman"/>
          <w:szCs w:val="24"/>
        </w:rPr>
        <w:t xml:space="preserve"> o którym mowa w art. 29a ustawy poprzedniej</w:t>
      </w:r>
      <w:r w:rsidR="00A13BDE">
        <w:rPr>
          <w:rFonts w:ascii="Times New Roman" w:hAnsi="Times New Roman" w:cs="Times New Roman"/>
          <w:szCs w:val="24"/>
        </w:rPr>
        <w:t>,</w:t>
      </w:r>
      <w:r w:rsidR="002E420F" w:rsidRPr="00AF27CD">
        <w:rPr>
          <w:rFonts w:ascii="Times New Roman" w:hAnsi="Times New Roman" w:cs="Times New Roman"/>
          <w:szCs w:val="24"/>
        </w:rPr>
        <w:t xml:space="preserve"> uznaje się za spełniające wymagania, o których mowa w art. 62v i </w:t>
      </w:r>
      <w:r w:rsidR="001C3D1E">
        <w:rPr>
          <w:rFonts w:ascii="Times New Roman" w:hAnsi="Times New Roman" w:cs="Times New Roman"/>
          <w:szCs w:val="24"/>
        </w:rPr>
        <w:t xml:space="preserve">art. </w:t>
      </w:r>
      <w:r w:rsidR="002E420F" w:rsidRPr="00AF27CD">
        <w:rPr>
          <w:rFonts w:ascii="Times New Roman" w:hAnsi="Times New Roman" w:cs="Times New Roman"/>
          <w:szCs w:val="24"/>
        </w:rPr>
        <w:t>62x ustawy o materiałach wybuchowych</w:t>
      </w:r>
      <w:r w:rsidR="00A13BDE">
        <w:rPr>
          <w:rFonts w:ascii="Times New Roman" w:hAnsi="Times New Roman" w:cs="Times New Roman"/>
          <w:szCs w:val="24"/>
        </w:rPr>
        <w:t xml:space="preserve"> przeznaczonych</w:t>
      </w:r>
      <w:r w:rsidR="002E420F" w:rsidRPr="00AF27CD">
        <w:rPr>
          <w:rFonts w:ascii="Times New Roman" w:hAnsi="Times New Roman" w:cs="Times New Roman"/>
          <w:szCs w:val="24"/>
        </w:rPr>
        <w:t xml:space="preserve"> do użytku cywilnego, zmienianej w art. 145 projektu. Postępowania w sprawie o nadanie kodu oznaczenia obiektu produkcyjnego wszczęte i niezakończone przed dniem wejścia w życie przepisów art.</w:t>
      </w:r>
      <w:r w:rsidR="00A7541B">
        <w:rPr>
          <w:rFonts w:ascii="Times New Roman" w:hAnsi="Times New Roman" w:cs="Times New Roman"/>
          <w:szCs w:val="24"/>
        </w:rPr>
        <w:t> </w:t>
      </w:r>
      <w:r w:rsidR="00707439">
        <w:rPr>
          <w:rFonts w:ascii="Times New Roman" w:hAnsi="Times New Roman" w:cs="Times New Roman"/>
          <w:szCs w:val="24"/>
        </w:rPr>
        <w:t>62ve ustawy o</w:t>
      </w:r>
      <w:r w:rsidR="00EC6774">
        <w:rPr>
          <w:rFonts w:ascii="Times New Roman" w:hAnsi="Times New Roman" w:cs="Times New Roman"/>
          <w:szCs w:val="24"/>
        </w:rPr>
        <w:t xml:space="preserve"> </w:t>
      </w:r>
      <w:r w:rsidR="002E420F" w:rsidRPr="00AF27CD">
        <w:rPr>
          <w:rFonts w:ascii="Times New Roman" w:hAnsi="Times New Roman" w:cs="Times New Roman"/>
          <w:szCs w:val="24"/>
        </w:rPr>
        <w:t>materiałach wybuchowych</w:t>
      </w:r>
      <w:r w:rsidR="00A13BDE">
        <w:rPr>
          <w:rFonts w:ascii="Times New Roman" w:hAnsi="Times New Roman" w:cs="Times New Roman"/>
          <w:szCs w:val="24"/>
        </w:rPr>
        <w:t xml:space="preserve"> przeznaczonych</w:t>
      </w:r>
      <w:r w:rsidR="002E420F" w:rsidRPr="00AF27CD">
        <w:rPr>
          <w:rFonts w:ascii="Times New Roman" w:hAnsi="Times New Roman" w:cs="Times New Roman"/>
          <w:szCs w:val="24"/>
        </w:rPr>
        <w:t xml:space="preserve"> do użytku cywilnego zmienianych ustawą nową będą prowadzone na dotychczasowych zasadach (art. 164). Dotychczas wydane decyzje ministra właściwego do spraw gospodarki w sprawie nadania kodu oznaczenia obiektu produkcyjnego zachowu</w:t>
      </w:r>
      <w:r w:rsidR="006F05C8" w:rsidRPr="00AF27CD">
        <w:rPr>
          <w:rFonts w:ascii="Times New Roman" w:hAnsi="Times New Roman" w:cs="Times New Roman"/>
          <w:szCs w:val="24"/>
        </w:rPr>
        <w:t>ją</w:t>
      </w:r>
      <w:r w:rsidR="002E420F" w:rsidRPr="00AF27CD">
        <w:rPr>
          <w:rFonts w:ascii="Times New Roman" w:hAnsi="Times New Roman" w:cs="Times New Roman"/>
          <w:szCs w:val="24"/>
        </w:rPr>
        <w:t xml:space="preserve"> moc</w:t>
      </w:r>
      <w:r w:rsidR="006F05C8" w:rsidRPr="00AF27CD">
        <w:rPr>
          <w:rFonts w:ascii="Times New Roman" w:hAnsi="Times New Roman" w:cs="Times New Roman"/>
          <w:szCs w:val="24"/>
        </w:rPr>
        <w:t xml:space="preserve">, a </w:t>
      </w:r>
      <w:r w:rsidR="002E420F" w:rsidRPr="00AF27CD">
        <w:rPr>
          <w:rFonts w:ascii="Times New Roman" w:hAnsi="Times New Roman" w:cs="Times New Roman"/>
          <w:szCs w:val="24"/>
        </w:rPr>
        <w:t>rejest</w:t>
      </w:r>
      <w:r w:rsidR="006F05C8" w:rsidRPr="00AF27CD">
        <w:rPr>
          <w:rFonts w:ascii="Times New Roman" w:hAnsi="Times New Roman" w:cs="Times New Roman"/>
          <w:szCs w:val="24"/>
        </w:rPr>
        <w:t>r</w:t>
      </w:r>
      <w:r w:rsidR="002E420F" w:rsidRPr="00AF27CD">
        <w:rPr>
          <w:rFonts w:ascii="Times New Roman" w:hAnsi="Times New Roman" w:cs="Times New Roman"/>
          <w:szCs w:val="24"/>
        </w:rPr>
        <w:t xml:space="preserve"> tych obiektów</w:t>
      </w:r>
      <w:r w:rsidR="006F05C8" w:rsidRPr="00AF27CD">
        <w:rPr>
          <w:rFonts w:ascii="Times New Roman" w:hAnsi="Times New Roman" w:cs="Times New Roman"/>
          <w:szCs w:val="24"/>
        </w:rPr>
        <w:t xml:space="preserve"> uznaje się za rejestr o którym mowa w art. 62vb ust. 7 ustawy o materiałach wybuchowych </w:t>
      </w:r>
      <w:r w:rsidR="00A13BDE">
        <w:rPr>
          <w:rFonts w:ascii="Times New Roman" w:hAnsi="Times New Roman" w:cs="Times New Roman"/>
          <w:szCs w:val="24"/>
        </w:rPr>
        <w:t xml:space="preserve">przeznaczonych </w:t>
      </w:r>
      <w:r w:rsidR="006F05C8" w:rsidRPr="00AF27CD">
        <w:rPr>
          <w:rFonts w:ascii="Times New Roman" w:hAnsi="Times New Roman" w:cs="Times New Roman"/>
          <w:szCs w:val="24"/>
        </w:rPr>
        <w:t xml:space="preserve">do użytku cywilnego, zmienianej w art. 145 ustawy nowej. Postępowania w sprawie uzyskania zgody na przemieszczanie materiałów wybuchowych </w:t>
      </w:r>
      <w:r w:rsidR="00A13BDE">
        <w:rPr>
          <w:rFonts w:ascii="Times New Roman" w:hAnsi="Times New Roman" w:cs="Times New Roman"/>
          <w:szCs w:val="24"/>
        </w:rPr>
        <w:t xml:space="preserve">przeznaczonych </w:t>
      </w:r>
      <w:r w:rsidR="006F05C8" w:rsidRPr="00AF27CD">
        <w:rPr>
          <w:rFonts w:ascii="Times New Roman" w:hAnsi="Times New Roman" w:cs="Times New Roman"/>
          <w:szCs w:val="24"/>
        </w:rPr>
        <w:t>do użytku cywilnego</w:t>
      </w:r>
      <w:r w:rsidR="00A13BDE">
        <w:rPr>
          <w:rFonts w:ascii="Times New Roman" w:hAnsi="Times New Roman" w:cs="Times New Roman"/>
          <w:szCs w:val="24"/>
        </w:rPr>
        <w:t>,</w:t>
      </w:r>
      <w:r w:rsidR="006F05C8" w:rsidRPr="00AF27CD">
        <w:rPr>
          <w:rFonts w:ascii="Times New Roman" w:hAnsi="Times New Roman" w:cs="Times New Roman"/>
          <w:szCs w:val="24"/>
        </w:rPr>
        <w:t xml:space="preserve"> wsz</w:t>
      </w:r>
      <w:r w:rsidR="00A7541B">
        <w:rPr>
          <w:rFonts w:ascii="Times New Roman" w:hAnsi="Times New Roman" w:cs="Times New Roman"/>
          <w:szCs w:val="24"/>
        </w:rPr>
        <w:t>częte na podstawie art. 24 ust. </w:t>
      </w:r>
      <w:r w:rsidR="006F05C8" w:rsidRPr="00AF27CD">
        <w:rPr>
          <w:rFonts w:ascii="Times New Roman" w:hAnsi="Times New Roman" w:cs="Times New Roman"/>
          <w:szCs w:val="24"/>
        </w:rPr>
        <w:t>2 oraz art. 37 ust. 2</w:t>
      </w:r>
      <w:r w:rsidR="00422EA7" w:rsidRPr="00AF27CD">
        <w:rPr>
          <w:rFonts w:ascii="Times New Roman" w:hAnsi="Times New Roman" w:cs="Times New Roman"/>
          <w:szCs w:val="24"/>
        </w:rPr>
        <w:t xml:space="preserve"> </w:t>
      </w:r>
      <w:r w:rsidR="006F05C8" w:rsidRPr="00AF27CD">
        <w:rPr>
          <w:rFonts w:ascii="Times New Roman" w:hAnsi="Times New Roman" w:cs="Times New Roman"/>
          <w:szCs w:val="24"/>
        </w:rPr>
        <w:t>ustawy o materiałach wybuchowych</w:t>
      </w:r>
      <w:r w:rsidR="00A13BDE">
        <w:rPr>
          <w:rFonts w:ascii="Times New Roman" w:hAnsi="Times New Roman" w:cs="Times New Roman"/>
          <w:szCs w:val="24"/>
        </w:rPr>
        <w:t xml:space="preserve"> przeznaczonych</w:t>
      </w:r>
      <w:r w:rsidR="006F05C8" w:rsidRPr="00AF27CD">
        <w:rPr>
          <w:rFonts w:ascii="Times New Roman" w:hAnsi="Times New Roman" w:cs="Times New Roman"/>
          <w:szCs w:val="24"/>
        </w:rPr>
        <w:t xml:space="preserve"> do użytku cywilnego, niezakończone do dnia wejścia w życie ustawy nowej, prowadzi się na dotychczasowych zasadach (art. 165).</w:t>
      </w:r>
    </w:p>
    <w:p w:rsidR="00A11870" w:rsidRPr="00AF27CD" w:rsidRDefault="00A11870"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W terminie 6 miesięcy od dnia wejścia w życie ustawy nowej przedsiębiorcy, którzy wykonywali dotychczas działalność rusznikarską bez koncesji</w:t>
      </w:r>
      <w:r w:rsidR="00A13BDE">
        <w:rPr>
          <w:rFonts w:ascii="Times New Roman" w:hAnsi="Times New Roman" w:cs="Times New Roman"/>
          <w:szCs w:val="24"/>
        </w:rPr>
        <w:t>,</w:t>
      </w:r>
      <w:r w:rsidRPr="00AF27CD">
        <w:rPr>
          <w:rFonts w:ascii="Times New Roman" w:hAnsi="Times New Roman" w:cs="Times New Roman"/>
          <w:szCs w:val="24"/>
        </w:rPr>
        <w:t xml:space="preserve"> są obowiązani do złożenia wniosku o udzielenie koncesji na zasadach określonych w tej ustawie</w:t>
      </w:r>
      <w:r w:rsidR="006F05C8" w:rsidRPr="00AF27CD">
        <w:rPr>
          <w:rFonts w:ascii="Times New Roman" w:hAnsi="Times New Roman" w:cs="Times New Roman"/>
          <w:szCs w:val="24"/>
        </w:rPr>
        <w:t xml:space="preserve"> (art.</w:t>
      </w:r>
      <w:r w:rsidR="001C3D1E">
        <w:rPr>
          <w:rFonts w:ascii="Times New Roman" w:hAnsi="Times New Roman" w:cs="Times New Roman"/>
          <w:szCs w:val="24"/>
        </w:rPr>
        <w:t> </w:t>
      </w:r>
      <w:r w:rsidR="006F05C8" w:rsidRPr="00AF27CD">
        <w:rPr>
          <w:rFonts w:ascii="Times New Roman" w:hAnsi="Times New Roman" w:cs="Times New Roman"/>
          <w:szCs w:val="24"/>
        </w:rPr>
        <w:t>166)</w:t>
      </w:r>
      <w:r w:rsidRPr="00AF27CD">
        <w:rPr>
          <w:rFonts w:ascii="Times New Roman" w:hAnsi="Times New Roman" w:cs="Times New Roman"/>
          <w:szCs w:val="24"/>
        </w:rPr>
        <w:t>.</w:t>
      </w:r>
      <w:r w:rsidR="00F04425" w:rsidRPr="00AF27CD">
        <w:rPr>
          <w:rFonts w:ascii="Times New Roman" w:hAnsi="Times New Roman" w:cs="Times New Roman"/>
          <w:szCs w:val="24"/>
        </w:rPr>
        <w:t xml:space="preserve"> Praktyka organu koncesyjnego wskazuje, że w ciągu 6 miesięcy rusznikarz, którego</w:t>
      </w:r>
      <w:r w:rsidR="00707439">
        <w:rPr>
          <w:rFonts w:ascii="Times New Roman" w:hAnsi="Times New Roman" w:cs="Times New Roman"/>
          <w:szCs w:val="24"/>
        </w:rPr>
        <w:t xml:space="preserve"> w</w:t>
      </w:r>
      <w:r w:rsidR="00A7541B">
        <w:rPr>
          <w:rFonts w:ascii="Times New Roman" w:hAnsi="Times New Roman" w:cs="Times New Roman"/>
          <w:szCs w:val="24"/>
        </w:rPr>
        <w:t> </w:t>
      </w:r>
      <w:r w:rsidR="00A44011" w:rsidRPr="00AF27CD">
        <w:rPr>
          <w:rFonts w:ascii="Times New Roman" w:hAnsi="Times New Roman" w:cs="Times New Roman"/>
          <w:szCs w:val="24"/>
        </w:rPr>
        <w:t>ograniczonym zakresie</w:t>
      </w:r>
      <w:r w:rsidR="00F04425" w:rsidRPr="00AF27CD">
        <w:rPr>
          <w:rFonts w:ascii="Times New Roman" w:hAnsi="Times New Roman" w:cs="Times New Roman"/>
          <w:szCs w:val="24"/>
        </w:rPr>
        <w:t xml:space="preserve"> dotyczą wymogi ustawy, może </w:t>
      </w:r>
      <w:r w:rsidR="003E69A1" w:rsidRPr="00AF27CD">
        <w:rPr>
          <w:rFonts w:ascii="Times New Roman" w:hAnsi="Times New Roman" w:cs="Times New Roman"/>
          <w:szCs w:val="24"/>
        </w:rPr>
        <w:t xml:space="preserve">z łatwością </w:t>
      </w:r>
      <w:r w:rsidR="00F04425" w:rsidRPr="00AF27CD">
        <w:rPr>
          <w:rFonts w:ascii="Times New Roman" w:hAnsi="Times New Roman" w:cs="Times New Roman"/>
          <w:szCs w:val="24"/>
        </w:rPr>
        <w:t>uzyskać dokumenty niezbędne do wszczęcia postępowania o udzielenie koncesji w zakresie wykonywania usług rusznikarskich. Dodatkowo, do czasu rozpatrzenia wniosku</w:t>
      </w:r>
      <w:r w:rsidR="00A13BDE">
        <w:rPr>
          <w:rFonts w:ascii="Times New Roman" w:hAnsi="Times New Roman" w:cs="Times New Roman"/>
          <w:szCs w:val="24"/>
        </w:rPr>
        <w:t>,</w:t>
      </w:r>
      <w:r w:rsidR="00F04425" w:rsidRPr="00AF27CD">
        <w:rPr>
          <w:rFonts w:ascii="Times New Roman" w:hAnsi="Times New Roman" w:cs="Times New Roman"/>
          <w:szCs w:val="24"/>
        </w:rPr>
        <w:t xml:space="preserve"> przedsiębiorca może wykonywać działalność rusznikarską na dotychczasowych zasadach.</w:t>
      </w:r>
    </w:p>
    <w:p w:rsidR="00F04425" w:rsidRPr="00AF27CD" w:rsidRDefault="00F04425"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W celu zapewnienia możliwości weryfik</w:t>
      </w:r>
      <w:r w:rsidR="003E69A1" w:rsidRPr="00AF27CD">
        <w:rPr>
          <w:rFonts w:ascii="Times New Roman" w:hAnsi="Times New Roman" w:cs="Times New Roman"/>
          <w:szCs w:val="24"/>
        </w:rPr>
        <w:t>acji spełnia</w:t>
      </w:r>
      <w:r w:rsidRPr="00AF27CD">
        <w:rPr>
          <w:rFonts w:ascii="Times New Roman" w:hAnsi="Times New Roman" w:cs="Times New Roman"/>
          <w:szCs w:val="24"/>
        </w:rPr>
        <w:t xml:space="preserve">nia przez pracowników wymagań określonych w ustawie </w:t>
      </w:r>
      <w:r w:rsidR="003E69A1" w:rsidRPr="00AF27CD">
        <w:rPr>
          <w:rFonts w:ascii="Times New Roman" w:hAnsi="Times New Roman" w:cs="Times New Roman"/>
          <w:szCs w:val="24"/>
        </w:rPr>
        <w:t>do projektu wprowadzono przepis</w:t>
      </w:r>
      <w:r w:rsidR="006F05C8" w:rsidRPr="00AF27CD">
        <w:rPr>
          <w:rFonts w:ascii="Times New Roman" w:hAnsi="Times New Roman" w:cs="Times New Roman"/>
          <w:szCs w:val="24"/>
        </w:rPr>
        <w:t>,</w:t>
      </w:r>
      <w:r w:rsidR="003E69A1" w:rsidRPr="00AF27CD">
        <w:rPr>
          <w:rFonts w:ascii="Times New Roman" w:hAnsi="Times New Roman" w:cs="Times New Roman"/>
          <w:szCs w:val="24"/>
        </w:rPr>
        <w:t xml:space="preserve"> zgodnie z którym pracownicy zatrudnieni bezpośrednio przy wytwarzaniu lub obrocie </w:t>
      </w:r>
      <w:r w:rsidR="00D53A93" w:rsidRPr="00AF27CD">
        <w:rPr>
          <w:rFonts w:ascii="Times New Roman" w:hAnsi="Times New Roman" w:cs="Times New Roman"/>
          <w:szCs w:val="24"/>
        </w:rPr>
        <w:t>składają zaświadczenie z Krajowego Rejestru Karnego</w:t>
      </w:r>
      <w:r w:rsidR="001C3D1E">
        <w:rPr>
          <w:rFonts w:ascii="Times New Roman" w:hAnsi="Times New Roman" w:cs="Times New Roman"/>
          <w:szCs w:val="24"/>
        </w:rPr>
        <w:t>,</w:t>
      </w:r>
      <w:r w:rsidR="00422EA7" w:rsidRPr="00AF27CD">
        <w:rPr>
          <w:rFonts w:ascii="Times New Roman" w:hAnsi="Times New Roman" w:cs="Times New Roman"/>
          <w:szCs w:val="24"/>
        </w:rPr>
        <w:t xml:space="preserve"> </w:t>
      </w:r>
      <w:r w:rsidR="00D53A93" w:rsidRPr="00AF27CD">
        <w:rPr>
          <w:rFonts w:ascii="Times New Roman" w:hAnsi="Times New Roman" w:cs="Times New Roman"/>
          <w:szCs w:val="24"/>
        </w:rPr>
        <w:t>w termin</w:t>
      </w:r>
      <w:r w:rsidR="00707439">
        <w:rPr>
          <w:rFonts w:ascii="Times New Roman" w:hAnsi="Times New Roman" w:cs="Times New Roman"/>
          <w:szCs w:val="24"/>
        </w:rPr>
        <w:t>ie 6 miesięcy od dnia wejścia w</w:t>
      </w:r>
      <w:r w:rsidR="00A7541B">
        <w:rPr>
          <w:rFonts w:ascii="Times New Roman" w:hAnsi="Times New Roman" w:cs="Times New Roman"/>
          <w:szCs w:val="24"/>
        </w:rPr>
        <w:t> </w:t>
      </w:r>
      <w:r w:rsidR="00D53A93" w:rsidRPr="00AF27CD">
        <w:rPr>
          <w:rFonts w:ascii="Times New Roman" w:hAnsi="Times New Roman" w:cs="Times New Roman"/>
          <w:szCs w:val="24"/>
        </w:rPr>
        <w:t>życie ustawy nowej, chyba że złożyli takie zaświadczenie z KRK nie wcześniej niż 3</w:t>
      </w:r>
      <w:r w:rsidR="00A7541B">
        <w:rPr>
          <w:rFonts w:ascii="Times New Roman" w:hAnsi="Times New Roman" w:cs="Times New Roman"/>
          <w:szCs w:val="24"/>
        </w:rPr>
        <w:t> </w:t>
      </w:r>
      <w:r w:rsidR="00D53A93" w:rsidRPr="00AF27CD">
        <w:rPr>
          <w:rFonts w:ascii="Times New Roman" w:hAnsi="Times New Roman" w:cs="Times New Roman"/>
          <w:szCs w:val="24"/>
        </w:rPr>
        <w:t>miesiące przed wejściem w życie tej ustawy</w:t>
      </w:r>
      <w:r w:rsidR="005762CF" w:rsidRPr="00AF27CD">
        <w:rPr>
          <w:rFonts w:ascii="Times New Roman" w:hAnsi="Times New Roman" w:cs="Times New Roman"/>
          <w:szCs w:val="24"/>
        </w:rPr>
        <w:t xml:space="preserve"> (art.</w:t>
      </w:r>
      <w:r w:rsidR="006F05C8" w:rsidRPr="00AF27CD">
        <w:rPr>
          <w:rFonts w:ascii="Times New Roman" w:hAnsi="Times New Roman" w:cs="Times New Roman"/>
          <w:szCs w:val="24"/>
        </w:rPr>
        <w:t xml:space="preserve"> 167)</w:t>
      </w:r>
      <w:r w:rsidR="00D53A93" w:rsidRPr="00AF27CD">
        <w:rPr>
          <w:rFonts w:ascii="Times New Roman" w:hAnsi="Times New Roman" w:cs="Times New Roman"/>
          <w:szCs w:val="24"/>
        </w:rPr>
        <w:t>.</w:t>
      </w:r>
    </w:p>
    <w:p w:rsidR="00A93E79" w:rsidRPr="00AF27CD" w:rsidRDefault="00A93E79"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W rozdziale </w:t>
      </w:r>
      <w:r w:rsidR="00A13BDE">
        <w:rPr>
          <w:rFonts w:ascii="Times New Roman" w:hAnsi="Times New Roman" w:cs="Times New Roman"/>
          <w:szCs w:val="24"/>
        </w:rPr>
        <w:t xml:space="preserve">tym </w:t>
      </w:r>
      <w:r w:rsidRPr="00AF27CD">
        <w:rPr>
          <w:rFonts w:ascii="Times New Roman" w:hAnsi="Times New Roman" w:cs="Times New Roman"/>
          <w:szCs w:val="24"/>
        </w:rPr>
        <w:t>określa się również termin, do którego zachowują moc wskazane przepisy wykonawcze wydane na podstawie us</w:t>
      </w:r>
      <w:r w:rsidR="00707439">
        <w:rPr>
          <w:rFonts w:ascii="Times New Roman" w:hAnsi="Times New Roman" w:cs="Times New Roman"/>
          <w:szCs w:val="24"/>
        </w:rPr>
        <w:t>tawy z dnia 22 czerwca 2001</w:t>
      </w:r>
      <w:r w:rsidR="00EC6774">
        <w:rPr>
          <w:rFonts w:ascii="Times New Roman" w:hAnsi="Times New Roman" w:cs="Times New Roman"/>
          <w:szCs w:val="24"/>
        </w:rPr>
        <w:t xml:space="preserve"> </w:t>
      </w:r>
      <w:r w:rsidR="00422EA7" w:rsidRPr="00AF27CD">
        <w:rPr>
          <w:rFonts w:ascii="Times New Roman" w:hAnsi="Times New Roman" w:cs="Times New Roman"/>
          <w:szCs w:val="24"/>
        </w:rPr>
        <w:t>r. –</w:t>
      </w:r>
      <w:r w:rsidRPr="00AF27CD">
        <w:rPr>
          <w:rFonts w:ascii="Times New Roman" w:hAnsi="Times New Roman" w:cs="Times New Roman"/>
          <w:szCs w:val="24"/>
        </w:rPr>
        <w:t xml:space="preserve"> nie dłużej niż przez 1</w:t>
      </w:r>
      <w:r w:rsidR="00F0490E" w:rsidRPr="00AF27CD">
        <w:rPr>
          <w:rFonts w:ascii="Times New Roman" w:hAnsi="Times New Roman" w:cs="Times New Roman"/>
          <w:szCs w:val="24"/>
        </w:rPr>
        <w:t>8</w:t>
      </w:r>
      <w:r w:rsidRPr="00AF27CD">
        <w:rPr>
          <w:rFonts w:ascii="Times New Roman" w:hAnsi="Times New Roman" w:cs="Times New Roman"/>
          <w:szCs w:val="24"/>
        </w:rPr>
        <w:t xml:space="preserve"> miesięcy </w:t>
      </w:r>
      <w:r w:rsidR="00BB1AF6" w:rsidRPr="00AF27CD">
        <w:rPr>
          <w:rFonts w:ascii="Times New Roman" w:hAnsi="Times New Roman" w:cs="Times New Roman"/>
          <w:szCs w:val="24"/>
        </w:rPr>
        <w:t>o</w:t>
      </w:r>
      <w:r w:rsidRPr="00AF27CD">
        <w:rPr>
          <w:rFonts w:ascii="Times New Roman" w:hAnsi="Times New Roman" w:cs="Times New Roman"/>
          <w:szCs w:val="24"/>
        </w:rPr>
        <w:t>d dnia wejśc</w:t>
      </w:r>
      <w:r w:rsidR="00707439">
        <w:rPr>
          <w:rFonts w:ascii="Times New Roman" w:hAnsi="Times New Roman" w:cs="Times New Roman"/>
          <w:szCs w:val="24"/>
        </w:rPr>
        <w:t>ia w życie ustawy nowej (art.</w:t>
      </w:r>
      <w:r w:rsidR="00EC6774">
        <w:rPr>
          <w:rFonts w:ascii="Times New Roman" w:hAnsi="Times New Roman" w:cs="Times New Roman"/>
          <w:szCs w:val="24"/>
        </w:rPr>
        <w:t xml:space="preserve"> </w:t>
      </w:r>
      <w:r w:rsidR="006F05C8" w:rsidRPr="00AF27CD">
        <w:rPr>
          <w:rFonts w:ascii="Times New Roman" w:hAnsi="Times New Roman" w:cs="Times New Roman"/>
          <w:szCs w:val="24"/>
        </w:rPr>
        <w:t>168).</w:t>
      </w:r>
    </w:p>
    <w:p w:rsidR="00D53A93" w:rsidRPr="00AF27CD" w:rsidRDefault="00D53A93" w:rsidP="00422EA7">
      <w:pPr>
        <w:pStyle w:val="USTustnpkodeksu"/>
        <w:spacing w:before="120"/>
        <w:ind w:firstLine="0"/>
        <w:rPr>
          <w:rFonts w:ascii="Times New Roman" w:hAnsi="Times New Roman" w:cs="Times New Roman"/>
          <w:szCs w:val="24"/>
        </w:rPr>
      </w:pPr>
      <w:r w:rsidRPr="00AF27CD">
        <w:rPr>
          <w:rFonts w:ascii="Times New Roman" w:hAnsi="Times New Roman" w:cs="Times New Roman"/>
          <w:szCs w:val="24"/>
        </w:rPr>
        <w:t xml:space="preserve">Przepisy projektowanej ustawy nakładają na przedsiębiorców wykonujących już działalność gospodarczą w zakresie wytwarzania lub obrotu strzelecką bronią palną lub </w:t>
      </w:r>
      <w:r w:rsidR="00A44011" w:rsidRPr="00AF27CD">
        <w:rPr>
          <w:rFonts w:ascii="Times New Roman" w:hAnsi="Times New Roman" w:cs="Times New Roman"/>
          <w:szCs w:val="24"/>
        </w:rPr>
        <w:t xml:space="preserve">jej </w:t>
      </w:r>
      <w:r w:rsidRPr="00AF27CD">
        <w:rPr>
          <w:rFonts w:ascii="Times New Roman" w:hAnsi="Times New Roman" w:cs="Times New Roman"/>
          <w:szCs w:val="24"/>
        </w:rPr>
        <w:t>istotnymi komponentami na podstawie koncesji ministra właściwego do spraw wewnętrznych nowe obowiązki związane z utworzeniem Systemu Rejestracji Broni (SRB), które umożliwią dostęp do systemu</w:t>
      </w:r>
      <w:r w:rsidR="006F05C8" w:rsidRPr="00AF27CD">
        <w:rPr>
          <w:rFonts w:ascii="Times New Roman" w:hAnsi="Times New Roman" w:cs="Times New Roman"/>
          <w:szCs w:val="24"/>
        </w:rPr>
        <w:t xml:space="preserve"> (art. 169)</w:t>
      </w:r>
      <w:r w:rsidRPr="00AF27CD">
        <w:rPr>
          <w:rFonts w:ascii="Times New Roman" w:hAnsi="Times New Roman" w:cs="Times New Roman"/>
          <w:szCs w:val="24"/>
        </w:rPr>
        <w:t>. Mowa t</w:t>
      </w:r>
      <w:r w:rsidR="006F05C8" w:rsidRPr="00AF27CD">
        <w:rPr>
          <w:rFonts w:ascii="Times New Roman" w:hAnsi="Times New Roman" w:cs="Times New Roman"/>
          <w:szCs w:val="24"/>
        </w:rPr>
        <w:t>u</w:t>
      </w:r>
      <w:r w:rsidR="00707439">
        <w:rPr>
          <w:rFonts w:ascii="Times New Roman" w:hAnsi="Times New Roman" w:cs="Times New Roman"/>
          <w:szCs w:val="24"/>
        </w:rPr>
        <w:t xml:space="preserve"> o oświadczeniu o</w:t>
      </w:r>
      <w:r w:rsidR="00A7541B">
        <w:rPr>
          <w:rFonts w:ascii="Times New Roman" w:hAnsi="Times New Roman" w:cs="Times New Roman"/>
          <w:szCs w:val="24"/>
        </w:rPr>
        <w:t> </w:t>
      </w:r>
      <w:r w:rsidRPr="00AF27CD">
        <w:rPr>
          <w:rFonts w:ascii="Times New Roman" w:hAnsi="Times New Roman" w:cs="Times New Roman"/>
          <w:szCs w:val="24"/>
        </w:rPr>
        <w:t>możliwościach technicznych przedsiębiorcy do prowadzenia ewidencji w SRB or</w:t>
      </w:r>
      <w:r w:rsidR="00707439">
        <w:rPr>
          <w:rFonts w:ascii="Times New Roman" w:hAnsi="Times New Roman" w:cs="Times New Roman"/>
          <w:szCs w:val="24"/>
        </w:rPr>
        <w:t>az o</w:t>
      </w:r>
      <w:r w:rsidR="00A7541B">
        <w:rPr>
          <w:rFonts w:ascii="Times New Roman" w:hAnsi="Times New Roman" w:cs="Times New Roman"/>
          <w:szCs w:val="24"/>
        </w:rPr>
        <w:t> </w:t>
      </w:r>
      <w:r w:rsidRPr="00AF27CD">
        <w:rPr>
          <w:rFonts w:ascii="Times New Roman" w:hAnsi="Times New Roman" w:cs="Times New Roman"/>
          <w:szCs w:val="24"/>
        </w:rPr>
        <w:t>przekazaniu organowi koncesyjnemu rejestru pracowników umocowanych do dokonywania wpisów w SRB</w:t>
      </w:r>
      <w:r w:rsidR="009B58D5" w:rsidRPr="00AF27CD">
        <w:rPr>
          <w:rFonts w:ascii="Times New Roman" w:hAnsi="Times New Roman" w:cs="Times New Roman"/>
          <w:szCs w:val="24"/>
        </w:rPr>
        <w:t xml:space="preserve">, które to informacje należy złożyć do organu koncesyjnego nie później, niż w terminie 14 dni od daty wejścia w życie przepisów działu IV </w:t>
      </w:r>
      <w:r w:rsidR="00A13BDE">
        <w:rPr>
          <w:rFonts w:ascii="Times New Roman" w:hAnsi="Times New Roman" w:cs="Times New Roman"/>
          <w:szCs w:val="24"/>
        </w:rPr>
        <w:t xml:space="preserve">regulujących prowadzenie </w:t>
      </w:r>
      <w:r w:rsidR="00934464">
        <w:rPr>
          <w:rFonts w:ascii="Times New Roman" w:hAnsi="Times New Roman" w:cs="Times New Roman"/>
          <w:szCs w:val="24"/>
        </w:rPr>
        <w:t xml:space="preserve">Systemu </w:t>
      </w:r>
      <w:r w:rsidR="009B58D5" w:rsidRPr="00AF27CD">
        <w:rPr>
          <w:rFonts w:ascii="Times New Roman" w:hAnsi="Times New Roman" w:cs="Times New Roman"/>
          <w:szCs w:val="24"/>
        </w:rPr>
        <w:t xml:space="preserve">Rejestracji Broni. Przepis ten </w:t>
      </w:r>
      <w:r w:rsidR="00A13BDE">
        <w:rPr>
          <w:rFonts w:ascii="Times New Roman" w:hAnsi="Times New Roman" w:cs="Times New Roman"/>
          <w:szCs w:val="24"/>
        </w:rPr>
        <w:t xml:space="preserve">(art. 169), </w:t>
      </w:r>
      <w:r w:rsidRPr="00AF27CD">
        <w:rPr>
          <w:rFonts w:ascii="Times New Roman" w:hAnsi="Times New Roman" w:cs="Times New Roman"/>
          <w:szCs w:val="24"/>
        </w:rPr>
        <w:t xml:space="preserve">określa </w:t>
      </w:r>
      <w:r w:rsidR="00A13BDE" w:rsidRPr="00AF27CD">
        <w:rPr>
          <w:rFonts w:ascii="Times New Roman" w:hAnsi="Times New Roman" w:cs="Times New Roman"/>
          <w:szCs w:val="24"/>
        </w:rPr>
        <w:t xml:space="preserve">ponadto </w:t>
      </w:r>
      <w:r w:rsidRPr="00AF27CD">
        <w:rPr>
          <w:rFonts w:ascii="Times New Roman" w:hAnsi="Times New Roman" w:cs="Times New Roman"/>
          <w:szCs w:val="24"/>
        </w:rPr>
        <w:t>terminy dotyczące przekazania przez organ koncesyjny danyc</w:t>
      </w:r>
      <w:r w:rsidR="006F05C8" w:rsidRPr="00AF27CD">
        <w:rPr>
          <w:rFonts w:ascii="Times New Roman" w:hAnsi="Times New Roman" w:cs="Times New Roman"/>
          <w:szCs w:val="24"/>
        </w:rPr>
        <w:t xml:space="preserve">h umożliwiających dostęp do SRB. </w:t>
      </w:r>
      <w:r w:rsidR="004421F9" w:rsidRPr="00AF27CD">
        <w:rPr>
          <w:rFonts w:ascii="Times New Roman" w:hAnsi="Times New Roman" w:cs="Times New Roman"/>
          <w:szCs w:val="24"/>
        </w:rPr>
        <w:t>O</w:t>
      </w:r>
      <w:r w:rsidR="006F05C8" w:rsidRPr="00AF27CD">
        <w:rPr>
          <w:rFonts w:ascii="Times New Roman" w:hAnsi="Times New Roman" w:cs="Times New Roman"/>
          <w:szCs w:val="24"/>
        </w:rPr>
        <w:t xml:space="preserve">rgan koncesyjny </w:t>
      </w:r>
      <w:r w:rsidR="004421F9" w:rsidRPr="00AF27CD">
        <w:rPr>
          <w:rFonts w:ascii="Times New Roman" w:hAnsi="Times New Roman" w:cs="Times New Roman"/>
          <w:szCs w:val="24"/>
        </w:rPr>
        <w:t xml:space="preserve">zapewni możliwość przekazania tych danych </w:t>
      </w:r>
      <w:r w:rsidR="00707439">
        <w:rPr>
          <w:rFonts w:ascii="Times New Roman" w:hAnsi="Times New Roman" w:cs="Times New Roman"/>
          <w:szCs w:val="24"/>
        </w:rPr>
        <w:t>w terminie 9</w:t>
      </w:r>
      <w:r w:rsidR="00EC6774">
        <w:rPr>
          <w:rFonts w:ascii="Times New Roman" w:hAnsi="Times New Roman" w:cs="Times New Roman"/>
          <w:szCs w:val="24"/>
        </w:rPr>
        <w:t xml:space="preserve"> </w:t>
      </w:r>
      <w:r w:rsidR="006F05C8" w:rsidRPr="00AF27CD">
        <w:rPr>
          <w:rFonts w:ascii="Times New Roman" w:hAnsi="Times New Roman" w:cs="Times New Roman"/>
          <w:szCs w:val="24"/>
        </w:rPr>
        <w:t>miesięcy od dnia wejścia w życie ustawy nowej.</w:t>
      </w:r>
      <w:r w:rsidR="004421F9" w:rsidRPr="00AF27CD">
        <w:rPr>
          <w:rFonts w:ascii="Times New Roman" w:hAnsi="Times New Roman" w:cs="Times New Roman"/>
          <w:szCs w:val="24"/>
        </w:rPr>
        <w:t xml:space="preserve"> Dane umożliwiające dostęp do SRB organ koncesyjny przekaże w terminie 14 dni od </w:t>
      </w:r>
      <w:r w:rsidR="00A13BDE" w:rsidRPr="00AF27CD">
        <w:rPr>
          <w:rFonts w:ascii="Times New Roman" w:hAnsi="Times New Roman" w:cs="Times New Roman"/>
          <w:szCs w:val="24"/>
        </w:rPr>
        <w:t>d</w:t>
      </w:r>
      <w:r w:rsidR="00A13BDE">
        <w:rPr>
          <w:rFonts w:ascii="Times New Roman" w:hAnsi="Times New Roman" w:cs="Times New Roman"/>
          <w:szCs w:val="24"/>
        </w:rPr>
        <w:t>nia</w:t>
      </w:r>
      <w:r w:rsidR="00A13BDE" w:rsidRPr="00AF27CD">
        <w:rPr>
          <w:rFonts w:ascii="Times New Roman" w:hAnsi="Times New Roman" w:cs="Times New Roman"/>
          <w:szCs w:val="24"/>
        </w:rPr>
        <w:t xml:space="preserve"> </w:t>
      </w:r>
      <w:r w:rsidR="004421F9" w:rsidRPr="00AF27CD">
        <w:rPr>
          <w:rFonts w:ascii="Times New Roman" w:hAnsi="Times New Roman" w:cs="Times New Roman"/>
          <w:szCs w:val="24"/>
        </w:rPr>
        <w:t>wejścia w życie przepisów działu IV projektowanej ustawy</w:t>
      </w:r>
      <w:r w:rsidR="00A13BDE">
        <w:rPr>
          <w:rFonts w:ascii="Times New Roman" w:hAnsi="Times New Roman" w:cs="Times New Roman"/>
          <w:szCs w:val="24"/>
        </w:rPr>
        <w:t>,</w:t>
      </w:r>
      <w:r w:rsidR="009B58D5" w:rsidRPr="00AF27CD">
        <w:rPr>
          <w:rFonts w:ascii="Times New Roman" w:hAnsi="Times New Roman" w:cs="Times New Roman"/>
          <w:szCs w:val="24"/>
        </w:rPr>
        <w:t xml:space="preserve"> w przypadku gdy informacje o spełnieniu przez przedsiębiorcę wymagań określonych w art. 10 ust. 2 projektu oraz rejestr pracowników upoważnionych do prowadzenia ewidencji w SRB</w:t>
      </w:r>
      <w:r w:rsidR="002800FE" w:rsidRPr="00AF27CD">
        <w:rPr>
          <w:rFonts w:ascii="Times New Roman" w:hAnsi="Times New Roman" w:cs="Times New Roman"/>
          <w:szCs w:val="24"/>
        </w:rPr>
        <w:t>,</w:t>
      </w:r>
      <w:r w:rsidR="009B58D5" w:rsidRPr="00AF27CD">
        <w:rPr>
          <w:rFonts w:ascii="Times New Roman" w:hAnsi="Times New Roman" w:cs="Times New Roman"/>
          <w:szCs w:val="24"/>
        </w:rPr>
        <w:t xml:space="preserve"> zostaną przekazane organowi najpóźniej w terminie 14 dni od </w:t>
      </w:r>
      <w:r w:rsidR="00A13BDE">
        <w:rPr>
          <w:rFonts w:ascii="Times New Roman" w:hAnsi="Times New Roman" w:cs="Times New Roman"/>
          <w:szCs w:val="24"/>
        </w:rPr>
        <w:t xml:space="preserve">dnia </w:t>
      </w:r>
      <w:r w:rsidR="009B58D5" w:rsidRPr="00AF27CD">
        <w:rPr>
          <w:rFonts w:ascii="Times New Roman" w:hAnsi="Times New Roman" w:cs="Times New Roman"/>
          <w:szCs w:val="24"/>
        </w:rPr>
        <w:t>wejścia w życie przepisów o SRB. Jeżeli informacje takie zostaną przekazane przez przedsiębiorcę po wejściu w życie przepisów działu IV</w:t>
      </w:r>
      <w:r w:rsidR="002800FE" w:rsidRPr="00AF27CD">
        <w:rPr>
          <w:rFonts w:ascii="Times New Roman" w:hAnsi="Times New Roman" w:cs="Times New Roman"/>
          <w:szCs w:val="24"/>
        </w:rPr>
        <w:t>,</w:t>
      </w:r>
      <w:r w:rsidR="009B58D5" w:rsidRPr="00AF27CD">
        <w:rPr>
          <w:rFonts w:ascii="Times New Roman" w:hAnsi="Times New Roman" w:cs="Times New Roman"/>
          <w:szCs w:val="24"/>
        </w:rPr>
        <w:t xml:space="preserve"> organ umożliwi dostęp do SRB w terminie 60 dni od dnia otrzymania takiej informacji.</w:t>
      </w:r>
    </w:p>
    <w:p w:rsidR="00F0490E" w:rsidRPr="00AF27CD" w:rsidRDefault="00A93E79" w:rsidP="00422EA7">
      <w:pPr>
        <w:spacing w:before="120" w:line="360" w:lineRule="auto"/>
        <w:jc w:val="both"/>
      </w:pPr>
      <w:r w:rsidRPr="00AF27CD">
        <w:t>Ustawa określ</w:t>
      </w:r>
      <w:r w:rsidR="00A13BDE">
        <w:t>i</w:t>
      </w:r>
      <w:r w:rsidRPr="00AF27CD">
        <w:t xml:space="preserve"> maksymalny limit wydatków z budżetu państwa w </w:t>
      </w:r>
      <w:r w:rsidR="001C3D1E">
        <w:t>l</w:t>
      </w:r>
      <w:r w:rsidRPr="00AF27CD">
        <w:t>atach 201</w:t>
      </w:r>
      <w:r w:rsidR="00176708" w:rsidRPr="00AF27CD">
        <w:t>9</w:t>
      </w:r>
      <w:r w:rsidR="00422EA7" w:rsidRPr="00AF27CD">
        <w:t>–</w:t>
      </w:r>
      <w:r w:rsidRPr="00AF27CD">
        <w:t>202</w:t>
      </w:r>
      <w:r w:rsidR="00176708" w:rsidRPr="00AF27CD">
        <w:t>8</w:t>
      </w:r>
      <w:r w:rsidRPr="00AF27CD">
        <w:t xml:space="preserve">, który zapewni zaprojektowanie, wdrożenie i utrzymanie SRB oraz mechanizm korygujący, który będzie wdrażany </w:t>
      </w:r>
      <w:r w:rsidR="00F0490E" w:rsidRPr="00AF27CD">
        <w:t xml:space="preserve">przez </w:t>
      </w:r>
      <w:r w:rsidRPr="00AF27CD">
        <w:t>ministr</w:t>
      </w:r>
      <w:r w:rsidR="00F0490E" w:rsidRPr="00AF27CD">
        <w:t>a</w:t>
      </w:r>
      <w:r w:rsidRPr="00AF27CD">
        <w:t xml:space="preserve"> właściw</w:t>
      </w:r>
      <w:r w:rsidR="00F0490E" w:rsidRPr="00AF27CD">
        <w:t>ego</w:t>
      </w:r>
      <w:r w:rsidRPr="00AF27CD">
        <w:t xml:space="preserve"> do spraw </w:t>
      </w:r>
      <w:r w:rsidR="00F0490E" w:rsidRPr="00AF27CD">
        <w:t>wewnętrznych</w:t>
      </w:r>
      <w:r w:rsidR="00176708" w:rsidRPr="00AF27CD">
        <w:t xml:space="preserve"> (</w:t>
      </w:r>
      <w:r w:rsidR="002800FE" w:rsidRPr="00AF27CD">
        <w:t>art. 170)</w:t>
      </w:r>
      <w:r w:rsidRPr="00AF27CD">
        <w:t>.</w:t>
      </w:r>
      <w:r w:rsidR="00F0490E" w:rsidRPr="00AF27CD">
        <w:t xml:space="preserve"> W przyjętym projekcie ustawy budżetowej na rok 2018, pomimo zgłoszenia w planie, nie zostały przydzielone środki dla Mi</w:t>
      </w:r>
      <w:r w:rsidR="00707439">
        <w:t>nisterstwa Spraw Wewnętrznych i</w:t>
      </w:r>
      <w:r w:rsidR="00A7541B">
        <w:t> </w:t>
      </w:r>
      <w:r w:rsidR="00F0490E" w:rsidRPr="00AF27CD">
        <w:t>Administracji na dodatkowe zadanie, jakim jest wymagane przepisami Unii Europejskiej utworzenie Systemu Rejestracji Broni (SRB), którego usytuowanie prawne zostało określone w projekcie przedmiotowej ustawy. W związku z powyższym dokonana zosta</w:t>
      </w:r>
      <w:r w:rsidR="002800FE" w:rsidRPr="00AF27CD">
        <w:t>ła</w:t>
      </w:r>
      <w:r w:rsidR="00F0490E" w:rsidRPr="00AF27CD">
        <w:t xml:space="preserve"> korekta budżetu MSWiA na rok 2018 , zgodnie z którą wydzielone zosta</w:t>
      </w:r>
      <w:r w:rsidR="002800FE" w:rsidRPr="00AF27CD">
        <w:t>ły</w:t>
      </w:r>
      <w:r w:rsidR="00F0490E" w:rsidRPr="00AF27CD">
        <w:t xml:space="preserve"> z budżetu resortu środki w wysokości 0,55 mln PLN /brutto/</w:t>
      </w:r>
      <w:r w:rsidR="00422EA7" w:rsidRPr="00AF27CD">
        <w:t xml:space="preserve"> ze środków własnych części 42 –</w:t>
      </w:r>
      <w:r w:rsidR="00F0490E" w:rsidRPr="00AF27CD">
        <w:t xml:space="preserve"> Sprawy wewnętrzne na skutek rezygnacji z innego zaplanowanego działania.</w:t>
      </w:r>
    </w:p>
    <w:p w:rsidR="00F0490E" w:rsidRPr="00AF27CD" w:rsidRDefault="00F0490E" w:rsidP="00422EA7">
      <w:pPr>
        <w:spacing w:before="120" w:line="360" w:lineRule="auto"/>
        <w:jc w:val="both"/>
      </w:pPr>
      <w:r w:rsidRPr="00AF27CD">
        <w:t>Jednak bez przyznania dodatkowych środków z budżetu państwa na zakończenie budowy w roku 2019 – 7,58 mln PLN /brutto/ oraz na jego</w:t>
      </w:r>
      <w:r w:rsidR="00422EA7" w:rsidRPr="00AF27CD">
        <w:t xml:space="preserve"> </w:t>
      </w:r>
      <w:r w:rsidRPr="00AF27CD">
        <w:t>utrzymanie w latach kolejnych, łącznie z pokryciem kosztu zatrudnienia 5 osobowego zespołu do obsługi SRB i administrowania danymi zgromadzonymi i przetwarzanymi w SRB zadanie nie będzie mogło zostać zrealizowane.</w:t>
      </w:r>
    </w:p>
    <w:p w:rsidR="00F0490E" w:rsidRPr="00AF27CD" w:rsidRDefault="00F0490E" w:rsidP="00422EA7">
      <w:pPr>
        <w:spacing w:before="120" w:line="360" w:lineRule="auto"/>
        <w:jc w:val="both"/>
      </w:pPr>
      <w:r w:rsidRPr="00AF27CD">
        <w:t>Należy mieć na uwadze, że projekt SRB jest realizacją zadania nałożonego przez prawo europejskie ze ściśle określonym terminem realizacji – system powinien funkcjonować do 14 grudnia 2019 r. Ponadto MSWiA nie jest jedynym beneficjentem systemu</w:t>
      </w:r>
      <w:r w:rsidR="00EC6774">
        <w:t>.</w:t>
      </w:r>
      <w:r w:rsidRPr="00AF27CD">
        <w:t xml:space="preserve"> </w:t>
      </w:r>
      <w:r w:rsidR="00EC6774">
        <w:t>Z</w:t>
      </w:r>
      <w:r w:rsidRPr="00AF27CD">
        <w:t xml:space="preserve">godnie z </w:t>
      </w:r>
      <w:r w:rsidR="00EC6774" w:rsidRPr="00AF27CD">
        <w:t>projekt</w:t>
      </w:r>
      <w:r w:rsidR="00EC6774">
        <w:t>owaną ustawą SRB</w:t>
      </w:r>
      <w:r w:rsidRPr="00AF27CD">
        <w:t xml:space="preserve"> </w:t>
      </w:r>
      <w:r w:rsidR="00EC6774" w:rsidRPr="00AF27CD">
        <w:t xml:space="preserve">będzie </w:t>
      </w:r>
      <w:r w:rsidRPr="00AF27CD">
        <w:t xml:space="preserve">służyć realizacji zadań </w:t>
      </w:r>
      <w:r w:rsidR="00EC6774">
        <w:t>s</w:t>
      </w:r>
      <w:r w:rsidR="00EC6774" w:rsidRPr="00AF27CD">
        <w:t xml:space="preserve">łużb </w:t>
      </w:r>
      <w:r w:rsidR="00EC6774">
        <w:t>s</w:t>
      </w:r>
      <w:r w:rsidR="00EC6774" w:rsidRPr="00AF27CD">
        <w:t>pecjalnych</w:t>
      </w:r>
      <w:r w:rsidRPr="00AF27CD">
        <w:t>, Policji, ministra właściwego do spraw gospodarki oraz ministra właściwego do spraw finansów publicznych, dlatego też niezbędne jest pozyskanie do</w:t>
      </w:r>
      <w:r w:rsidR="00A7541B">
        <w:t>datkowych środków z </w:t>
      </w:r>
      <w:r w:rsidRPr="00AF27CD">
        <w:t>budżetu państwa.</w:t>
      </w:r>
    </w:p>
    <w:p w:rsidR="002800FE" w:rsidRPr="00AF27CD" w:rsidRDefault="002800FE" w:rsidP="00422EA7">
      <w:pPr>
        <w:spacing w:before="120" w:line="360" w:lineRule="auto"/>
        <w:jc w:val="both"/>
      </w:pPr>
      <w:r w:rsidRPr="00AF27CD">
        <w:t xml:space="preserve">W art. 172 projektowanej ustawy zostały wskazane </w:t>
      </w:r>
      <w:r w:rsidR="00707439">
        <w:t>przepisy, które wejdą w życie w</w:t>
      </w:r>
      <w:r w:rsidR="00A7541B">
        <w:t> </w:t>
      </w:r>
      <w:r w:rsidRPr="00AF27CD">
        <w:t xml:space="preserve">terminie późniejszym, tj. w dniu 14 grudnia 2019 r. Jest to grupa przepisów bezpośrednio związana z utworzeniem Systemu Rejestracji Broni, obowiązkami przedsiębiorców związanymi z tym systemem oraz uprawnieniami do umieszczania wpisów w systemie. Data 14 grudnia 2019 r. wynika wprost z przepisów </w:t>
      </w:r>
      <w:r w:rsidR="00741A22" w:rsidRPr="00AF27CD">
        <w:t xml:space="preserve">art. 2 ust. 2 dyrektywy </w:t>
      </w:r>
      <w:r w:rsidR="00EC6774">
        <w:t>2017/853</w:t>
      </w:r>
      <w:r w:rsidR="00741A22" w:rsidRPr="00AF27CD">
        <w:t>.</w:t>
      </w:r>
    </w:p>
    <w:p w:rsidR="00A93E79" w:rsidRPr="00AF27CD" w:rsidRDefault="00784DF0" w:rsidP="00422EA7">
      <w:pPr>
        <w:pStyle w:val="ARTartustawynprozporzdzenia"/>
        <w:ind w:firstLine="0"/>
        <w:rPr>
          <w:rFonts w:ascii="Times New Roman" w:hAnsi="Times New Roman" w:cs="Times New Roman"/>
          <w:szCs w:val="24"/>
        </w:rPr>
      </w:pPr>
      <w:r w:rsidRPr="00AF27CD">
        <w:rPr>
          <w:rFonts w:ascii="Times New Roman" w:hAnsi="Times New Roman" w:cs="Times New Roman"/>
          <w:szCs w:val="24"/>
        </w:rPr>
        <w:t>Ustawa zawiera ponadto z</w:t>
      </w:r>
      <w:r w:rsidR="00A93E79" w:rsidRPr="00AF27CD">
        <w:rPr>
          <w:rFonts w:ascii="Times New Roman" w:hAnsi="Times New Roman" w:cs="Times New Roman"/>
          <w:szCs w:val="24"/>
        </w:rPr>
        <w:t xml:space="preserve">ałącznik, w którym </w:t>
      </w:r>
      <w:r w:rsidR="00EC6774">
        <w:rPr>
          <w:rFonts w:ascii="Times New Roman" w:hAnsi="Times New Roman" w:cs="Times New Roman"/>
          <w:szCs w:val="24"/>
        </w:rPr>
        <w:t>zostały</w:t>
      </w:r>
      <w:r w:rsidR="00EC6774" w:rsidRPr="00AF27CD">
        <w:rPr>
          <w:rFonts w:ascii="Times New Roman" w:hAnsi="Times New Roman" w:cs="Times New Roman"/>
          <w:szCs w:val="24"/>
        </w:rPr>
        <w:t xml:space="preserve"> </w:t>
      </w:r>
      <w:r w:rsidR="00A93E79" w:rsidRPr="00AF27CD">
        <w:rPr>
          <w:rFonts w:ascii="Times New Roman" w:hAnsi="Times New Roman" w:cs="Times New Roman"/>
          <w:szCs w:val="24"/>
        </w:rPr>
        <w:t>wskazane</w:t>
      </w:r>
      <w:r w:rsidR="00707439">
        <w:rPr>
          <w:rFonts w:ascii="Times New Roman" w:hAnsi="Times New Roman" w:cs="Times New Roman"/>
          <w:szCs w:val="24"/>
        </w:rPr>
        <w:t>, przeniesione wprost z</w:t>
      </w:r>
      <w:r w:rsidR="00A7541B">
        <w:rPr>
          <w:rFonts w:ascii="Times New Roman" w:hAnsi="Times New Roman" w:cs="Times New Roman"/>
          <w:szCs w:val="24"/>
        </w:rPr>
        <w:t> </w:t>
      </w:r>
      <w:r w:rsidR="00A93E79" w:rsidRPr="00AF27CD">
        <w:rPr>
          <w:rFonts w:ascii="Times New Roman" w:hAnsi="Times New Roman" w:cs="Times New Roman"/>
          <w:szCs w:val="24"/>
        </w:rPr>
        <w:t>dyrektywy 91/477/EWG (ze zm.)</w:t>
      </w:r>
      <w:r w:rsidR="002800FE" w:rsidRPr="00AF27CD">
        <w:rPr>
          <w:rFonts w:ascii="Times New Roman" w:hAnsi="Times New Roman" w:cs="Times New Roman"/>
          <w:szCs w:val="24"/>
        </w:rPr>
        <w:t>,</w:t>
      </w:r>
      <w:r w:rsidR="00935DC1" w:rsidRPr="00AF27CD">
        <w:rPr>
          <w:rFonts w:ascii="Times New Roman" w:hAnsi="Times New Roman" w:cs="Times New Roman"/>
          <w:szCs w:val="24"/>
        </w:rPr>
        <w:t xml:space="preserve"> słownik i</w:t>
      </w:r>
      <w:r w:rsidR="00422EA7" w:rsidRPr="00AF27CD">
        <w:rPr>
          <w:rFonts w:ascii="Times New Roman" w:hAnsi="Times New Roman" w:cs="Times New Roman"/>
          <w:szCs w:val="24"/>
        </w:rPr>
        <w:t xml:space="preserve"> </w:t>
      </w:r>
      <w:r w:rsidR="00A93E79" w:rsidRPr="00AF27CD">
        <w:rPr>
          <w:rFonts w:ascii="Times New Roman" w:hAnsi="Times New Roman" w:cs="Times New Roman"/>
          <w:szCs w:val="24"/>
        </w:rPr>
        <w:t>katego</w:t>
      </w:r>
      <w:r w:rsidR="00707439">
        <w:rPr>
          <w:rFonts w:ascii="Times New Roman" w:hAnsi="Times New Roman" w:cs="Times New Roman"/>
          <w:szCs w:val="24"/>
        </w:rPr>
        <w:t>rie strzeleckiej broni palnej i</w:t>
      </w:r>
      <w:r w:rsidR="00A7541B">
        <w:rPr>
          <w:rFonts w:ascii="Times New Roman" w:hAnsi="Times New Roman" w:cs="Times New Roman"/>
          <w:szCs w:val="24"/>
        </w:rPr>
        <w:t> </w:t>
      </w:r>
      <w:r w:rsidR="00A93E79" w:rsidRPr="00AF27CD">
        <w:rPr>
          <w:rFonts w:ascii="Times New Roman" w:hAnsi="Times New Roman" w:cs="Times New Roman"/>
          <w:szCs w:val="24"/>
        </w:rPr>
        <w:t>amunicji do tej broni.</w:t>
      </w:r>
    </w:p>
    <w:p w:rsidR="00A93E79" w:rsidRPr="000E36DB" w:rsidRDefault="00EC6774" w:rsidP="000E36DB">
      <w:pPr>
        <w:tabs>
          <w:tab w:val="left" w:pos="426"/>
        </w:tabs>
        <w:spacing w:before="120" w:line="360" w:lineRule="auto"/>
        <w:rPr>
          <w:b/>
        </w:rPr>
      </w:pPr>
      <w:r>
        <w:rPr>
          <w:b/>
        </w:rPr>
        <w:t>11.</w:t>
      </w:r>
      <w:r>
        <w:rPr>
          <w:b/>
        </w:rPr>
        <w:tab/>
      </w:r>
      <w:r w:rsidR="00A93E79" w:rsidRPr="000E36DB">
        <w:rPr>
          <w:b/>
        </w:rPr>
        <w:t>Przewidywany wpływ projektu ustawy na działalność mikroprzedsiębiorców, ma</w:t>
      </w:r>
      <w:r w:rsidR="00153B50">
        <w:rPr>
          <w:b/>
        </w:rPr>
        <w:t>łych i średnich przedsiębiorców</w:t>
      </w:r>
    </w:p>
    <w:p w:rsidR="00A93E79" w:rsidRPr="00AF27CD" w:rsidRDefault="00A93E79" w:rsidP="00422EA7">
      <w:pPr>
        <w:spacing w:before="120" w:line="360" w:lineRule="auto"/>
        <w:jc w:val="both"/>
      </w:pPr>
      <w:r w:rsidRPr="00AF27CD">
        <w:t>Projekt ustawy nie będzie miał wpływu na działalność</w:t>
      </w:r>
      <w:r w:rsidR="00707439">
        <w:t xml:space="preserve"> mikroprzedsiębiorców, małych i</w:t>
      </w:r>
      <w:r w:rsidR="00A7541B">
        <w:t> </w:t>
      </w:r>
      <w:r w:rsidRPr="00AF27CD">
        <w:t>średnich przedsiębiorców. Przepisy ustawy wdrażają p</w:t>
      </w:r>
      <w:r w:rsidR="00707439">
        <w:t>rawo Unii Europejskiej w</w:t>
      </w:r>
      <w:r w:rsidR="00A7541B">
        <w:t> </w:t>
      </w:r>
      <w:r w:rsidRPr="00AF27CD">
        <w:t xml:space="preserve">odniesieniu do kontroli nabywania i posiadania broni, które w swej treści nakładają jednolite obowiązki bez wyłączeń wynikających z rozmiaru prowadzonej działalności. Należy również mieć na uwadze, że rodzaj wytwarzanych i przeznaczonych do obrotu towarów koncesjonowanych w wielu przypadkach nie zależy od wielkości przedsiębiorstwa. Przedsiębiorca z sektora MŚP może wytwarzać komponenty broni lub elementy wyrobów o przeznaczeniu wojskowym lub policyjnym, które mają istotne znaczenie dla poziomu bezpieczeństwa </w:t>
      </w:r>
      <w:r w:rsidR="00EC6774">
        <w:t>p</w:t>
      </w:r>
      <w:r w:rsidRPr="00AF27CD">
        <w:t>aństwa i porządku publicznego. System rejestracji broni palnej (SRB) obejmie wszystkich p</w:t>
      </w:r>
      <w:r w:rsidR="00707439">
        <w:t>rzedsiębiorców wytwarzających i</w:t>
      </w:r>
      <w:r w:rsidR="00A7541B">
        <w:t> </w:t>
      </w:r>
      <w:r w:rsidRPr="00AF27CD">
        <w:t xml:space="preserve">dokonujących obrotu określoną w ustawie strzelecką bronią palną. SRB wprowadza nowy sposób prowadzenia ewidencji towarów wytworzonych i przeznaczonych do obrotu, nie wprowadza zaś samego obowiązku prowadzenia ewidencji, który obowiązuje </w:t>
      </w:r>
      <w:r w:rsidR="00EC6774">
        <w:t xml:space="preserve">na podstawie przepisów </w:t>
      </w:r>
      <w:r w:rsidRPr="00AF27CD">
        <w:t xml:space="preserve">ustawy z dnia 22 czerwca 2001 r. i dotyczy wszystkich przedsiębiorców wykonujących działalność w tym zakresie. Projekt ustawy przewiduje redukcję pewnych wymogów w odniesieniu do działalności wykonywanej przez rusznikarzy oraz przedsiębiorców wytwarzających określone w ustawie reprodukcje broni czarnoprochowej. Mając na uwadze, że działalność rusznikarska wyłącznie w tym zakresie </w:t>
      </w:r>
      <w:r w:rsidR="00EC6774" w:rsidRPr="00AF27CD">
        <w:t xml:space="preserve">jest </w:t>
      </w:r>
      <w:r w:rsidRPr="00AF27CD">
        <w:t>wykonywana przez znikomą liczb</w:t>
      </w:r>
      <w:r w:rsidR="00153B50">
        <w:t>ę</w:t>
      </w:r>
      <w:r w:rsidRPr="00AF27CD">
        <w:t xml:space="preserve"> przed</w:t>
      </w:r>
      <w:r w:rsidR="00707439">
        <w:t>siębiorców – (ok. 100 zgodnie z</w:t>
      </w:r>
      <w:r w:rsidR="00EC6774">
        <w:t xml:space="preserve"> </w:t>
      </w:r>
      <w:r w:rsidRPr="00AF27CD">
        <w:t>danymi organu koncesyjnego) ograniczenie wymogów nie będzie miało znaczenia dla ich konkurencyjności i dochodów.</w:t>
      </w:r>
    </w:p>
    <w:p w:rsidR="00980B08" w:rsidRPr="00AF27CD" w:rsidRDefault="00980B08" w:rsidP="00422EA7">
      <w:pPr>
        <w:spacing w:before="120" w:line="360" w:lineRule="auto"/>
        <w:jc w:val="both"/>
      </w:pPr>
      <w:r w:rsidRPr="00AF27CD">
        <w:t>Projekt ustawy różnicuje prawa i obowiązki mikroprzedsi</w:t>
      </w:r>
      <w:r w:rsidR="00153B50">
        <w:t>ę</w:t>
      </w:r>
      <w:r w:rsidRPr="00AF27CD">
        <w:t>biorców i małych przedsiębiorców w stosunku do pozostałych przedsiębiorców</w:t>
      </w:r>
      <w:r w:rsidR="00784DF0" w:rsidRPr="00AF27CD">
        <w:t xml:space="preserve">, o czym świadczą </w:t>
      </w:r>
      <w:r w:rsidRPr="00AF27CD">
        <w:t>następujące regulacje:</w:t>
      </w:r>
    </w:p>
    <w:p w:rsidR="00980B08" w:rsidRPr="00AF27CD" w:rsidRDefault="00784DF0" w:rsidP="00707439">
      <w:pPr>
        <w:spacing w:line="360" w:lineRule="auto"/>
        <w:ind w:left="426" w:hanging="426"/>
        <w:jc w:val="both"/>
      </w:pPr>
      <w:r w:rsidRPr="00AF27CD">
        <w:t>1)</w:t>
      </w:r>
      <w:r w:rsidRPr="00AF27CD">
        <w:tab/>
        <w:t>a</w:t>
      </w:r>
      <w:r w:rsidR="00980B08" w:rsidRPr="00AF27CD">
        <w:t>rt. 10 ust. 3 pkt 1 wyłącza wymóg posiadania wykształcenia co najmniej średniego lub średniego branżowego w przypadku rusznikarzy oraz osób ubiegających się o</w:t>
      </w:r>
      <w:r w:rsidR="00A7541B">
        <w:t> </w:t>
      </w:r>
      <w:r w:rsidR="00980B08" w:rsidRPr="00AF27CD">
        <w:t>udzielenie koncesji w</w:t>
      </w:r>
      <w:r w:rsidR="00422EA7" w:rsidRPr="00AF27CD">
        <w:t xml:space="preserve"> </w:t>
      </w:r>
      <w:r w:rsidR="00980B08" w:rsidRPr="00AF27CD">
        <w:t>zakresie wytwarzania i</w:t>
      </w:r>
      <w:r w:rsidR="00422EA7" w:rsidRPr="00AF27CD">
        <w:t xml:space="preserve"> </w:t>
      </w:r>
      <w:r w:rsidR="00980B08" w:rsidRPr="00AF27CD">
        <w:t>obrotu reprodukcjami broni czarnoprochowej</w:t>
      </w:r>
      <w:r w:rsidR="00EC6774">
        <w:t>;</w:t>
      </w:r>
    </w:p>
    <w:p w:rsidR="00980B08" w:rsidRPr="00AF27CD" w:rsidRDefault="00A0602C" w:rsidP="00707439">
      <w:pPr>
        <w:spacing w:line="360" w:lineRule="auto"/>
        <w:ind w:left="426" w:hanging="426"/>
        <w:jc w:val="both"/>
      </w:pPr>
      <w:r w:rsidRPr="00AF27CD">
        <w:t>2</w:t>
      </w:r>
      <w:r w:rsidR="00784DF0" w:rsidRPr="00AF27CD">
        <w:t>)</w:t>
      </w:r>
      <w:r w:rsidR="00784DF0" w:rsidRPr="00AF27CD">
        <w:tab/>
        <w:t>a</w:t>
      </w:r>
      <w:r w:rsidR="00980B08" w:rsidRPr="00AF27CD">
        <w:t xml:space="preserve">rt. 10 ust. </w:t>
      </w:r>
      <w:r w:rsidR="00083D0A" w:rsidRPr="00AF27CD">
        <w:t>3</w:t>
      </w:r>
      <w:r w:rsidR="00980B08" w:rsidRPr="00AF27CD">
        <w:t xml:space="preserve"> pkt 2 wyłącza wymóg spe</w:t>
      </w:r>
      <w:r w:rsidR="00707439">
        <w:t>łnienia warunków technicznych i</w:t>
      </w:r>
      <w:r w:rsidR="00A7541B">
        <w:t> </w:t>
      </w:r>
      <w:r w:rsidR="00980B08" w:rsidRPr="00AF27CD">
        <w:t>organizacyjnych dot. obiektu magazynowego w odniesieniu do mikroprzedsiębiorców wykonujących działalność w</w:t>
      </w:r>
      <w:r w:rsidR="00422EA7" w:rsidRPr="00AF27CD">
        <w:t xml:space="preserve"> </w:t>
      </w:r>
      <w:r w:rsidR="00980B08" w:rsidRPr="00AF27CD">
        <w:t>zakresie wytwarzania i</w:t>
      </w:r>
      <w:r w:rsidR="00422EA7" w:rsidRPr="00AF27CD">
        <w:t xml:space="preserve"> </w:t>
      </w:r>
      <w:r w:rsidR="00980B08" w:rsidRPr="00AF27CD">
        <w:t>obrotu reprodukcjami broni czarnoprochowej, ponadto zgodnie z art. 1</w:t>
      </w:r>
      <w:r w:rsidR="00083D0A" w:rsidRPr="00AF27CD">
        <w:t>7</w:t>
      </w:r>
      <w:r w:rsidR="00980B08" w:rsidRPr="00AF27CD">
        <w:t xml:space="preserve"> ust. 3 pkt </w:t>
      </w:r>
      <w:r w:rsidR="00691A95" w:rsidRPr="00AF27CD">
        <w:t>3</w:t>
      </w:r>
      <w:r w:rsidR="00980B08" w:rsidRPr="00AF27CD">
        <w:t xml:space="preserve"> tacy mikroprzedsiębiorcy nie muszą</w:t>
      </w:r>
      <w:r w:rsidR="00EC6774">
        <w:t>,</w:t>
      </w:r>
      <w:r w:rsidR="00980B08" w:rsidRPr="00AF27CD">
        <w:t xml:space="preserve"> przy ubieganiu się o udzielenie koncesji</w:t>
      </w:r>
      <w:r w:rsidR="00EC6774">
        <w:t>,</w:t>
      </w:r>
      <w:r w:rsidR="00980B08" w:rsidRPr="00AF27CD">
        <w:t xml:space="preserve"> składać zaświadczeń inspektora sanitarnego oraz wojewódzkiego inspektora ochrony środowiska, stwierdzających, że obiekty budowlane i</w:t>
      </w:r>
      <w:r w:rsidR="00422EA7" w:rsidRPr="00AF27CD">
        <w:t xml:space="preserve"> </w:t>
      </w:r>
      <w:r w:rsidR="00980B08" w:rsidRPr="00AF27CD">
        <w:t>urządzenia techniczne przeznaczone do wykonywania koncesjonowanej działalności gospodarczej spełniają wymagania określone odpowiednio w</w:t>
      </w:r>
      <w:r w:rsidR="00422EA7" w:rsidRPr="00AF27CD">
        <w:t xml:space="preserve"> </w:t>
      </w:r>
      <w:r w:rsidR="00980B08" w:rsidRPr="00AF27CD">
        <w:t>przepisach o</w:t>
      </w:r>
      <w:r w:rsidR="00422EA7" w:rsidRPr="00AF27CD">
        <w:t xml:space="preserve"> </w:t>
      </w:r>
      <w:r w:rsidR="00980B08" w:rsidRPr="00AF27CD">
        <w:t>ochronie przeciwpożarowej, sanitarnych i</w:t>
      </w:r>
      <w:r w:rsidR="00422EA7" w:rsidRPr="00AF27CD">
        <w:t xml:space="preserve"> </w:t>
      </w:r>
      <w:r w:rsidR="00980B08" w:rsidRPr="00AF27CD">
        <w:t>ochronie środowiska.</w:t>
      </w:r>
    </w:p>
    <w:p w:rsidR="00980B08" w:rsidRPr="00AF27CD" w:rsidRDefault="00980B08" w:rsidP="00422EA7">
      <w:pPr>
        <w:spacing w:before="120" w:line="360" w:lineRule="auto"/>
        <w:jc w:val="both"/>
      </w:pPr>
      <w:r w:rsidRPr="00AF27CD">
        <w:t xml:space="preserve">Na mocy art. </w:t>
      </w:r>
      <w:r w:rsidR="00083D0A" w:rsidRPr="00AF27CD">
        <w:t>39</w:t>
      </w:r>
      <w:r w:rsidRPr="00AF27CD">
        <w:t xml:space="preserve"> ust. 3 rusznikarze i przedsiębiorcy wytwarzający reprodukcje broni czarnoprochowej nie podlegają restrykcjom </w:t>
      </w:r>
      <w:r w:rsidR="00741A22" w:rsidRPr="00AF27CD">
        <w:t xml:space="preserve">z </w:t>
      </w:r>
      <w:r w:rsidRPr="00AF27CD">
        <w:t xml:space="preserve">art. </w:t>
      </w:r>
      <w:r w:rsidR="00083D0A" w:rsidRPr="00AF27CD">
        <w:t>39</w:t>
      </w:r>
      <w:r w:rsidRPr="00AF27CD">
        <w:t xml:space="preserve"> ust. 1</w:t>
      </w:r>
      <w:r w:rsidR="00741A22" w:rsidRPr="00AF27CD">
        <w:t>,</w:t>
      </w:r>
      <w:r w:rsidRPr="00AF27CD">
        <w:t xml:space="preserve"> który wprowadza wymóg oceny strzeleckiej broni palnej przed uruchomieniem jej produkcji pod względem spełnienia wymogów określonych w art. 3</w:t>
      </w:r>
      <w:r w:rsidR="00083D0A" w:rsidRPr="00AF27CD">
        <w:t>8</w:t>
      </w:r>
      <w:r w:rsidRPr="00AF27CD">
        <w:t xml:space="preserve"> dot. stwarzania możliwie najmniejszego zagrożenia dla życia lub zdrowia ludzi, mienia oraz środowiska.</w:t>
      </w:r>
    </w:p>
    <w:p w:rsidR="00980B08" w:rsidRPr="00AF27CD" w:rsidRDefault="00083D0A" w:rsidP="00422EA7">
      <w:pPr>
        <w:spacing w:before="120" w:line="360" w:lineRule="auto"/>
        <w:jc w:val="both"/>
      </w:pPr>
      <w:r w:rsidRPr="00AF27CD">
        <w:t>N</w:t>
      </w:r>
      <w:r w:rsidR="00980B08" w:rsidRPr="00AF27CD">
        <w:t>a mocy art. 4</w:t>
      </w:r>
      <w:r w:rsidRPr="00AF27CD">
        <w:t>3</w:t>
      </w:r>
      <w:r w:rsidR="00980B08" w:rsidRPr="00AF27CD">
        <w:t xml:space="preserve"> rusznikarze oraz mikroprzedsiębiorcy są zwolnieni z obowiązku utworzenia, w</w:t>
      </w:r>
      <w:r w:rsidR="00422EA7" w:rsidRPr="00AF27CD">
        <w:t xml:space="preserve"> </w:t>
      </w:r>
      <w:r w:rsidR="00980B08" w:rsidRPr="00AF27CD">
        <w:t>terminie</w:t>
      </w:r>
      <w:r w:rsidR="00422EA7" w:rsidRPr="00AF27CD">
        <w:t xml:space="preserve"> </w:t>
      </w:r>
      <w:r w:rsidR="00980B08" w:rsidRPr="00AF27CD">
        <w:t>roku od daty udzielenia koncesji albo rozszerzenia zakresu koncesji o</w:t>
      </w:r>
      <w:r w:rsidR="00422EA7" w:rsidRPr="00AF27CD">
        <w:t xml:space="preserve"> </w:t>
      </w:r>
      <w:r w:rsidR="00980B08" w:rsidRPr="00AF27CD">
        <w:t>wytwarzanie, oraz stosowania system</w:t>
      </w:r>
      <w:r w:rsidR="00741A22" w:rsidRPr="00AF27CD">
        <w:t>u</w:t>
      </w:r>
      <w:r w:rsidR="00980B08" w:rsidRPr="00AF27CD">
        <w:t xml:space="preserve"> oceny jakości produkcji, a także opracowania i</w:t>
      </w:r>
      <w:r w:rsidR="00422EA7" w:rsidRPr="00AF27CD">
        <w:t xml:space="preserve"> </w:t>
      </w:r>
      <w:r w:rsidR="00980B08" w:rsidRPr="00AF27CD">
        <w:t xml:space="preserve">aktualizowania planu postępowania na wypadek zagrożenia życia lub zdrowia ludzi, mienia oraz środowiska. </w:t>
      </w:r>
    </w:p>
    <w:p w:rsidR="00980B08" w:rsidRPr="00AF27CD" w:rsidRDefault="00980B08" w:rsidP="00422EA7">
      <w:pPr>
        <w:spacing w:before="120" w:line="360" w:lineRule="auto"/>
        <w:jc w:val="both"/>
      </w:pPr>
      <w:r w:rsidRPr="00AF27CD">
        <w:t>Są to przepisy zmniejszające w sposób istotny w</w:t>
      </w:r>
      <w:r w:rsidR="00935DC1" w:rsidRPr="00AF27CD">
        <w:t>ymogi</w:t>
      </w:r>
      <w:r w:rsidRPr="00AF27CD">
        <w:t xml:space="preserve"> zarówno w procesie ubiegania się o udzielenie koncesji</w:t>
      </w:r>
      <w:r w:rsidR="00784DF0" w:rsidRPr="00AF27CD">
        <w:t>,</w:t>
      </w:r>
      <w:r w:rsidRPr="00AF27CD">
        <w:t xml:space="preserve"> jak i w procesie wykonywania działalności koncesjonowanej przez mikroprzedsiębiorców, w szczególności ich dwie grupy: rusznikarzy oraz wytwarzających i obracających reprodukcjami broni czarnoprochowej.</w:t>
      </w:r>
    </w:p>
    <w:p w:rsidR="00A93E79" w:rsidRPr="000E36DB" w:rsidRDefault="00EC6774" w:rsidP="000E36DB">
      <w:pPr>
        <w:tabs>
          <w:tab w:val="left" w:pos="426"/>
        </w:tabs>
        <w:spacing w:before="120" w:line="360" w:lineRule="auto"/>
        <w:rPr>
          <w:b/>
        </w:rPr>
      </w:pPr>
      <w:r>
        <w:rPr>
          <w:b/>
        </w:rPr>
        <w:t>12.</w:t>
      </w:r>
      <w:r>
        <w:rPr>
          <w:b/>
        </w:rPr>
        <w:tab/>
      </w:r>
      <w:r w:rsidR="00A93E79" w:rsidRPr="000E36DB">
        <w:rPr>
          <w:b/>
        </w:rPr>
        <w:t>Pozostałe kwestie</w:t>
      </w:r>
    </w:p>
    <w:p w:rsidR="00A93E79" w:rsidRPr="00AF27CD" w:rsidRDefault="00A93E79" w:rsidP="00422EA7">
      <w:pPr>
        <w:spacing w:before="120" w:line="360" w:lineRule="auto"/>
        <w:jc w:val="both"/>
      </w:pPr>
      <w:r w:rsidRPr="00AF27CD">
        <w:t xml:space="preserve">Zgodnie z art. 5 i </w:t>
      </w:r>
      <w:r w:rsidR="00153B50">
        <w:t xml:space="preserve">art. </w:t>
      </w:r>
      <w:r w:rsidRPr="00AF27CD">
        <w:t>6 ustawy z dnia 7 lipca 2005 r. o działalności lobbingowej w</w:t>
      </w:r>
      <w:r w:rsidR="00153B50">
        <w:t> </w:t>
      </w:r>
      <w:r w:rsidRPr="00AF27CD">
        <w:t xml:space="preserve">procesie stanowienia prawa </w:t>
      </w:r>
      <w:r w:rsidR="00D148A8">
        <w:t xml:space="preserve">(Dz. U. z 2017 r. poz. 248) </w:t>
      </w:r>
      <w:r w:rsidRPr="00AF27CD">
        <w:t xml:space="preserve">oraz § 52 ust. 1 uchwały </w:t>
      </w:r>
      <w:r w:rsidR="00153B50">
        <w:t>n</w:t>
      </w:r>
      <w:r w:rsidRPr="00AF27CD">
        <w:t>r 190 Rady Mini</w:t>
      </w:r>
      <w:r w:rsidR="00707439">
        <w:t>strów z dnia 29</w:t>
      </w:r>
      <w:r w:rsidR="00A7541B">
        <w:t> </w:t>
      </w:r>
      <w:r w:rsidRPr="00AF27CD">
        <w:t xml:space="preserve">października 2013 r. – Regulamin pracy Rady Ministrów </w:t>
      </w:r>
      <w:r w:rsidR="00D148A8">
        <w:t xml:space="preserve">(M.P. z 2016 r. poz. 1006, z późn. zm.) </w:t>
      </w:r>
      <w:r w:rsidRPr="00AF27CD">
        <w:t>projekt ustawy zosta</w:t>
      </w:r>
      <w:r w:rsidR="00F407D2" w:rsidRPr="00AF27CD">
        <w:t>ł</w:t>
      </w:r>
      <w:r w:rsidRPr="00AF27CD">
        <w:t xml:space="preserve"> udostępniony w</w:t>
      </w:r>
      <w:r w:rsidR="00D148A8">
        <w:t> </w:t>
      </w:r>
      <w:r w:rsidRPr="00AF27CD">
        <w:t>Biuletynie Informacji Publicznej Mi</w:t>
      </w:r>
      <w:r w:rsidR="00707439">
        <w:t>nisterstwa Spraw Wewnętrznych i</w:t>
      </w:r>
      <w:r w:rsidR="00A7541B">
        <w:t> </w:t>
      </w:r>
      <w:r w:rsidRPr="00AF27CD">
        <w:t>Administracji oraz na stronie podmiotowej Rządowego Centrum Legislacji w zakładce Rządowy Proces Legislacyjny.</w:t>
      </w:r>
      <w:r w:rsidR="00022778" w:rsidRPr="00AF27CD">
        <w:t xml:space="preserve"> Do prac nad projektem ustawy nie zgłosił się żaden podmiot zajmujący się profesjonalnie działalnością lobbingową.</w:t>
      </w:r>
    </w:p>
    <w:p w:rsidR="00471C90" w:rsidRPr="00AF27CD" w:rsidRDefault="00471C90" w:rsidP="00422EA7">
      <w:pPr>
        <w:spacing w:before="120" w:line="360" w:lineRule="auto"/>
        <w:jc w:val="both"/>
      </w:pPr>
      <w:r w:rsidRPr="00AF27CD">
        <w:t>Przeprowadzono</w:t>
      </w:r>
      <w:r w:rsidR="00422EA7" w:rsidRPr="00AF27CD">
        <w:t xml:space="preserve"> </w:t>
      </w:r>
      <w:r w:rsidRPr="00AF27CD">
        <w:t xml:space="preserve">konferencje uzgodnieniowe: ze stroną społeczną w dniu 30 listopada 2017 r. </w:t>
      </w:r>
      <w:r w:rsidR="00D848B4" w:rsidRPr="00AF27CD">
        <w:t xml:space="preserve">i w dniu 2 lipca 2018 r. </w:t>
      </w:r>
      <w:r w:rsidRPr="00AF27CD">
        <w:t>oraz międzyresortową w dniu 4 grudnia 2017 r.</w:t>
      </w:r>
    </w:p>
    <w:p w:rsidR="00A93E79" w:rsidRPr="00AF27CD" w:rsidRDefault="00A93E79" w:rsidP="00422EA7">
      <w:pPr>
        <w:spacing w:before="120" w:line="360" w:lineRule="auto"/>
        <w:jc w:val="both"/>
      </w:pPr>
      <w:r w:rsidRPr="00AF27CD">
        <w:t>Projekt ustawy nie zawiera przepisów technicznych, w rozumieniu rozporządzenia Rady Ministrów z dnia 23 grudnia 2002 r. w sprawie sposobu funkcjonowania krajowego systemu notyfikacji norm i aktów prawnych</w:t>
      </w:r>
      <w:r w:rsidR="00D148A8">
        <w:t xml:space="preserve"> (Dz. U. poz. 2039, z późn. zm.)</w:t>
      </w:r>
      <w:r w:rsidRPr="00AF27CD">
        <w:t>, w związku z tym nie podlega notyfikacji.</w:t>
      </w:r>
    </w:p>
    <w:p w:rsidR="00707439" w:rsidRDefault="00A93E79" w:rsidP="00422EA7">
      <w:pPr>
        <w:spacing w:before="120" w:line="360" w:lineRule="auto"/>
        <w:jc w:val="both"/>
      </w:pPr>
      <w:r w:rsidRPr="00AF27CD">
        <w:t xml:space="preserve">Zgodnie z przepisami dyrektywy </w:t>
      </w:r>
      <w:r w:rsidR="00EC6774">
        <w:t>91/477/EWG</w:t>
      </w:r>
      <w:r w:rsidRPr="00AF27CD">
        <w:t xml:space="preserve"> Państwa Członkowskie przekazują Komisji tekst przepisów prawa krajowego, przyjętych </w:t>
      </w:r>
      <w:r w:rsidR="00707439">
        <w:t>w dziedzinie objętej dyrektywą.</w:t>
      </w:r>
    </w:p>
    <w:sectPr w:rsidR="00707439" w:rsidSect="00422EA7">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BDE" w:rsidRDefault="00A13BDE">
      <w:r>
        <w:separator/>
      </w:r>
    </w:p>
  </w:endnote>
  <w:endnote w:type="continuationSeparator" w:id="0">
    <w:p w:rsidR="00A13BDE" w:rsidRDefault="00A1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altName w:val="Arial"/>
    <w:charset w:val="EE"/>
    <w:family w:val="swiss"/>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49073"/>
      <w:docPartObj>
        <w:docPartGallery w:val="Page Numbers (Bottom of Page)"/>
        <w:docPartUnique/>
      </w:docPartObj>
    </w:sdtPr>
    <w:sdtEndPr/>
    <w:sdtContent>
      <w:p w:rsidR="00A13BDE" w:rsidRDefault="00A13BDE">
        <w:pPr>
          <w:pStyle w:val="Stopka"/>
          <w:jc w:val="center"/>
        </w:pPr>
        <w:r>
          <w:fldChar w:fldCharType="begin"/>
        </w:r>
        <w:r>
          <w:instrText>PAGE   \* MERGEFORMAT</w:instrText>
        </w:r>
        <w:r>
          <w:fldChar w:fldCharType="separate"/>
        </w:r>
        <w:r w:rsidR="005457E3">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BDE" w:rsidRDefault="00A13BDE">
      <w:r>
        <w:separator/>
      </w:r>
    </w:p>
  </w:footnote>
  <w:footnote w:type="continuationSeparator" w:id="0">
    <w:p w:rsidR="00A13BDE" w:rsidRDefault="00A13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91E"/>
    <w:multiLevelType w:val="hybridMultilevel"/>
    <w:tmpl w:val="E52663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543451"/>
    <w:multiLevelType w:val="hybridMultilevel"/>
    <w:tmpl w:val="7C346F10"/>
    <w:lvl w:ilvl="0" w:tplc="3C3C596A">
      <w:start w:val="1"/>
      <w:numFmt w:val="decimal"/>
      <w:lvlText w:val="%1)"/>
      <w:lvlJc w:val="left"/>
      <w:pPr>
        <w:ind w:left="720" w:hanging="360"/>
      </w:pPr>
      <w:rPr>
        <w:rFonts w:asciiTheme="minorHAnsi" w:eastAsia="Times New Roman" w:hAnsiTheme="minorHAnsi"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ED4317"/>
    <w:multiLevelType w:val="hybridMultilevel"/>
    <w:tmpl w:val="1F22E2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F03A29"/>
    <w:multiLevelType w:val="hybridMultilevel"/>
    <w:tmpl w:val="0B10A14E"/>
    <w:lvl w:ilvl="0" w:tplc="E6D0465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C22F2A"/>
    <w:multiLevelType w:val="hybridMultilevel"/>
    <w:tmpl w:val="104E01A0"/>
    <w:lvl w:ilvl="0" w:tplc="A9107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B2673F"/>
    <w:multiLevelType w:val="hybridMultilevel"/>
    <w:tmpl w:val="5CAA774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200C1E5F"/>
    <w:multiLevelType w:val="hybridMultilevel"/>
    <w:tmpl w:val="BF56D6B4"/>
    <w:lvl w:ilvl="0" w:tplc="F138A5F2">
      <w:start w:val="1"/>
      <w:numFmt w:val="bullet"/>
      <w:lvlText w:val=""/>
      <w:lvlJc w:val="left"/>
      <w:pPr>
        <w:ind w:left="1609" w:hanging="360"/>
      </w:pPr>
      <w:rPr>
        <w:rFonts w:ascii="Symbol" w:hAnsi="Symbol" w:hint="default"/>
      </w:rPr>
    </w:lvl>
    <w:lvl w:ilvl="1" w:tplc="04150003" w:tentative="1">
      <w:start w:val="1"/>
      <w:numFmt w:val="bullet"/>
      <w:lvlText w:val="o"/>
      <w:lvlJc w:val="left"/>
      <w:pPr>
        <w:ind w:left="2329" w:hanging="360"/>
      </w:pPr>
      <w:rPr>
        <w:rFonts w:ascii="Courier New" w:hAnsi="Courier New" w:cs="Courier New" w:hint="default"/>
      </w:rPr>
    </w:lvl>
    <w:lvl w:ilvl="2" w:tplc="04150005" w:tentative="1">
      <w:start w:val="1"/>
      <w:numFmt w:val="bullet"/>
      <w:lvlText w:val=""/>
      <w:lvlJc w:val="left"/>
      <w:pPr>
        <w:ind w:left="3049" w:hanging="360"/>
      </w:pPr>
      <w:rPr>
        <w:rFonts w:ascii="Wingdings" w:hAnsi="Wingdings" w:hint="default"/>
      </w:rPr>
    </w:lvl>
    <w:lvl w:ilvl="3" w:tplc="04150001" w:tentative="1">
      <w:start w:val="1"/>
      <w:numFmt w:val="bullet"/>
      <w:lvlText w:val=""/>
      <w:lvlJc w:val="left"/>
      <w:pPr>
        <w:ind w:left="3769" w:hanging="360"/>
      </w:pPr>
      <w:rPr>
        <w:rFonts w:ascii="Symbol" w:hAnsi="Symbol" w:hint="default"/>
      </w:rPr>
    </w:lvl>
    <w:lvl w:ilvl="4" w:tplc="04150003" w:tentative="1">
      <w:start w:val="1"/>
      <w:numFmt w:val="bullet"/>
      <w:lvlText w:val="o"/>
      <w:lvlJc w:val="left"/>
      <w:pPr>
        <w:ind w:left="4489" w:hanging="360"/>
      </w:pPr>
      <w:rPr>
        <w:rFonts w:ascii="Courier New" w:hAnsi="Courier New" w:cs="Courier New" w:hint="default"/>
      </w:rPr>
    </w:lvl>
    <w:lvl w:ilvl="5" w:tplc="04150005" w:tentative="1">
      <w:start w:val="1"/>
      <w:numFmt w:val="bullet"/>
      <w:lvlText w:val=""/>
      <w:lvlJc w:val="left"/>
      <w:pPr>
        <w:ind w:left="5209" w:hanging="360"/>
      </w:pPr>
      <w:rPr>
        <w:rFonts w:ascii="Wingdings" w:hAnsi="Wingdings" w:hint="default"/>
      </w:rPr>
    </w:lvl>
    <w:lvl w:ilvl="6" w:tplc="04150001" w:tentative="1">
      <w:start w:val="1"/>
      <w:numFmt w:val="bullet"/>
      <w:lvlText w:val=""/>
      <w:lvlJc w:val="left"/>
      <w:pPr>
        <w:ind w:left="5929" w:hanging="360"/>
      </w:pPr>
      <w:rPr>
        <w:rFonts w:ascii="Symbol" w:hAnsi="Symbol" w:hint="default"/>
      </w:rPr>
    </w:lvl>
    <w:lvl w:ilvl="7" w:tplc="04150003" w:tentative="1">
      <w:start w:val="1"/>
      <w:numFmt w:val="bullet"/>
      <w:lvlText w:val="o"/>
      <w:lvlJc w:val="left"/>
      <w:pPr>
        <w:ind w:left="6649" w:hanging="360"/>
      </w:pPr>
      <w:rPr>
        <w:rFonts w:ascii="Courier New" w:hAnsi="Courier New" w:cs="Courier New" w:hint="default"/>
      </w:rPr>
    </w:lvl>
    <w:lvl w:ilvl="8" w:tplc="04150005" w:tentative="1">
      <w:start w:val="1"/>
      <w:numFmt w:val="bullet"/>
      <w:lvlText w:val=""/>
      <w:lvlJc w:val="left"/>
      <w:pPr>
        <w:ind w:left="7369" w:hanging="360"/>
      </w:pPr>
      <w:rPr>
        <w:rFonts w:ascii="Wingdings" w:hAnsi="Wingdings" w:hint="default"/>
      </w:rPr>
    </w:lvl>
  </w:abstractNum>
  <w:abstractNum w:abstractNumId="7" w15:restartNumberingAfterBreak="0">
    <w:nsid w:val="21335948"/>
    <w:multiLevelType w:val="hybridMultilevel"/>
    <w:tmpl w:val="71DEF2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7532F8"/>
    <w:multiLevelType w:val="hybridMultilevel"/>
    <w:tmpl w:val="2ABE1B66"/>
    <w:lvl w:ilvl="0" w:tplc="A2B8F37A">
      <w:start w:val="3"/>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9E5D91"/>
    <w:multiLevelType w:val="multilevel"/>
    <w:tmpl w:val="FA0E91D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095E35"/>
    <w:multiLevelType w:val="hybridMultilevel"/>
    <w:tmpl w:val="CD189F3A"/>
    <w:lvl w:ilvl="0" w:tplc="F138A5F2">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1" w15:restartNumberingAfterBreak="0">
    <w:nsid w:val="254F0302"/>
    <w:multiLevelType w:val="hybridMultilevel"/>
    <w:tmpl w:val="0B3A0F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8335450"/>
    <w:multiLevelType w:val="hybridMultilevel"/>
    <w:tmpl w:val="82185844"/>
    <w:lvl w:ilvl="0" w:tplc="B8A4F3C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8847784"/>
    <w:multiLevelType w:val="hybridMultilevel"/>
    <w:tmpl w:val="CC149E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985EDF"/>
    <w:multiLevelType w:val="hybridMultilevel"/>
    <w:tmpl w:val="CE2CF82E"/>
    <w:lvl w:ilvl="0" w:tplc="2460ECA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595B16"/>
    <w:multiLevelType w:val="hybridMultilevel"/>
    <w:tmpl w:val="678E4D48"/>
    <w:lvl w:ilvl="0" w:tplc="04150011">
      <w:start w:val="1"/>
      <w:numFmt w:val="decimal"/>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16" w15:restartNumberingAfterBreak="0">
    <w:nsid w:val="325931B8"/>
    <w:multiLevelType w:val="hybridMultilevel"/>
    <w:tmpl w:val="364E95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D079E5"/>
    <w:multiLevelType w:val="hybridMultilevel"/>
    <w:tmpl w:val="D5DE4E2C"/>
    <w:lvl w:ilvl="0" w:tplc="04150011">
      <w:start w:val="1"/>
      <w:numFmt w:val="decimal"/>
      <w:lvlText w:val="%1)"/>
      <w:lvlJc w:val="left"/>
      <w:pPr>
        <w:ind w:left="720" w:hanging="360"/>
      </w:pPr>
    </w:lvl>
    <w:lvl w:ilvl="1" w:tplc="7FE8569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1912FE"/>
    <w:multiLevelType w:val="hybridMultilevel"/>
    <w:tmpl w:val="C4FA5642"/>
    <w:lvl w:ilvl="0" w:tplc="7BF2657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8116AB"/>
    <w:multiLevelType w:val="hybridMultilevel"/>
    <w:tmpl w:val="BF6E6E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F626A2"/>
    <w:multiLevelType w:val="hybridMultilevel"/>
    <w:tmpl w:val="66FC4668"/>
    <w:lvl w:ilvl="0" w:tplc="04150011">
      <w:start w:val="1"/>
      <w:numFmt w:val="decimal"/>
      <w:lvlText w:val="%1)"/>
      <w:lvlJc w:val="left"/>
      <w:pPr>
        <w:ind w:left="1521" w:hanging="360"/>
      </w:pPr>
    </w:lvl>
    <w:lvl w:ilvl="1" w:tplc="04150019" w:tentative="1">
      <w:start w:val="1"/>
      <w:numFmt w:val="lowerLetter"/>
      <w:lvlText w:val="%2."/>
      <w:lvlJc w:val="left"/>
      <w:pPr>
        <w:ind w:left="2241" w:hanging="360"/>
      </w:pPr>
    </w:lvl>
    <w:lvl w:ilvl="2" w:tplc="0415001B" w:tentative="1">
      <w:start w:val="1"/>
      <w:numFmt w:val="lowerRoman"/>
      <w:lvlText w:val="%3."/>
      <w:lvlJc w:val="right"/>
      <w:pPr>
        <w:ind w:left="2961" w:hanging="180"/>
      </w:pPr>
    </w:lvl>
    <w:lvl w:ilvl="3" w:tplc="0415000F" w:tentative="1">
      <w:start w:val="1"/>
      <w:numFmt w:val="decimal"/>
      <w:lvlText w:val="%4."/>
      <w:lvlJc w:val="left"/>
      <w:pPr>
        <w:ind w:left="3681" w:hanging="360"/>
      </w:pPr>
    </w:lvl>
    <w:lvl w:ilvl="4" w:tplc="04150019" w:tentative="1">
      <w:start w:val="1"/>
      <w:numFmt w:val="lowerLetter"/>
      <w:lvlText w:val="%5."/>
      <w:lvlJc w:val="left"/>
      <w:pPr>
        <w:ind w:left="4401" w:hanging="360"/>
      </w:pPr>
    </w:lvl>
    <w:lvl w:ilvl="5" w:tplc="0415001B" w:tentative="1">
      <w:start w:val="1"/>
      <w:numFmt w:val="lowerRoman"/>
      <w:lvlText w:val="%6."/>
      <w:lvlJc w:val="right"/>
      <w:pPr>
        <w:ind w:left="5121" w:hanging="180"/>
      </w:pPr>
    </w:lvl>
    <w:lvl w:ilvl="6" w:tplc="0415000F" w:tentative="1">
      <w:start w:val="1"/>
      <w:numFmt w:val="decimal"/>
      <w:lvlText w:val="%7."/>
      <w:lvlJc w:val="left"/>
      <w:pPr>
        <w:ind w:left="5841" w:hanging="360"/>
      </w:pPr>
    </w:lvl>
    <w:lvl w:ilvl="7" w:tplc="04150019" w:tentative="1">
      <w:start w:val="1"/>
      <w:numFmt w:val="lowerLetter"/>
      <w:lvlText w:val="%8."/>
      <w:lvlJc w:val="left"/>
      <w:pPr>
        <w:ind w:left="6561" w:hanging="360"/>
      </w:pPr>
    </w:lvl>
    <w:lvl w:ilvl="8" w:tplc="0415001B" w:tentative="1">
      <w:start w:val="1"/>
      <w:numFmt w:val="lowerRoman"/>
      <w:lvlText w:val="%9."/>
      <w:lvlJc w:val="right"/>
      <w:pPr>
        <w:ind w:left="7281" w:hanging="180"/>
      </w:pPr>
    </w:lvl>
  </w:abstractNum>
  <w:abstractNum w:abstractNumId="21" w15:restartNumberingAfterBreak="0">
    <w:nsid w:val="3C780678"/>
    <w:multiLevelType w:val="hybridMultilevel"/>
    <w:tmpl w:val="98BAB0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C9609E7"/>
    <w:multiLevelType w:val="hybridMultilevel"/>
    <w:tmpl w:val="21DA2326"/>
    <w:lvl w:ilvl="0" w:tplc="04150017">
      <w:start w:val="1"/>
      <w:numFmt w:val="lowerLetter"/>
      <w:lvlText w:val="%1)"/>
      <w:lvlJc w:val="left"/>
      <w:pPr>
        <w:ind w:left="720" w:hanging="360"/>
      </w:pPr>
      <w:rPr>
        <w:rFonts w:hint="default"/>
        <w:b w:val="0"/>
        <w:color w:val="auto"/>
      </w:rPr>
    </w:lvl>
    <w:lvl w:ilvl="1" w:tplc="04150017">
      <w:start w:val="1"/>
      <w:numFmt w:val="lowerLetter"/>
      <w:lvlText w:val="%2)"/>
      <w:lvlJc w:val="left"/>
      <w:pPr>
        <w:ind w:left="1440" w:hanging="360"/>
      </w:pPr>
      <w:rPr>
        <w:rFonts w:hint="default"/>
        <w:b w:val="0"/>
        <w:color w:val="auto"/>
      </w:rPr>
    </w:lvl>
    <w:lvl w:ilvl="2" w:tplc="E3CA5B50">
      <w:start w:val="1"/>
      <w:numFmt w:val="decimal"/>
      <w:lvlText w:val="%3)"/>
      <w:lvlJc w:val="left"/>
      <w:pPr>
        <w:ind w:left="2340" w:hanging="360"/>
      </w:pPr>
      <w:rPr>
        <w:rFonts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011093"/>
    <w:multiLevelType w:val="multilevel"/>
    <w:tmpl w:val="FA205D9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15:restartNumberingAfterBreak="0">
    <w:nsid w:val="3EF61E25"/>
    <w:multiLevelType w:val="hybridMultilevel"/>
    <w:tmpl w:val="5DFAD7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6D93CB5"/>
    <w:multiLevelType w:val="hybridMultilevel"/>
    <w:tmpl w:val="8F66BB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7B7C31"/>
    <w:multiLevelType w:val="hybridMultilevel"/>
    <w:tmpl w:val="94C4D076"/>
    <w:lvl w:ilvl="0" w:tplc="A9107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F715612"/>
    <w:multiLevelType w:val="hybridMultilevel"/>
    <w:tmpl w:val="721CF908"/>
    <w:lvl w:ilvl="0" w:tplc="04150017">
      <w:start w:val="1"/>
      <w:numFmt w:val="lowerLetter"/>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8" w15:restartNumberingAfterBreak="0">
    <w:nsid w:val="50910A70"/>
    <w:multiLevelType w:val="hybridMultilevel"/>
    <w:tmpl w:val="2868A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29A2177"/>
    <w:multiLevelType w:val="hybridMultilevel"/>
    <w:tmpl w:val="A26C7E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573F5BC8"/>
    <w:multiLevelType w:val="hybridMultilevel"/>
    <w:tmpl w:val="1AD84A42"/>
    <w:lvl w:ilvl="0" w:tplc="19DA030C">
      <w:start w:val="1"/>
      <w:numFmt w:val="lowerLetter"/>
      <w:lvlText w:val="(%1)"/>
      <w:lvlJc w:val="left"/>
      <w:pPr>
        <w:ind w:left="1092" w:hanging="525"/>
      </w:pPr>
      <w:rPr>
        <w:rFonts w:cs="Arial" w:hint="default"/>
        <w:color w:val="222222"/>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15:restartNumberingAfterBreak="0">
    <w:nsid w:val="595D7CD4"/>
    <w:multiLevelType w:val="hybridMultilevel"/>
    <w:tmpl w:val="42A2BE92"/>
    <w:lvl w:ilvl="0" w:tplc="B2B687C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D111236"/>
    <w:multiLevelType w:val="hybridMultilevel"/>
    <w:tmpl w:val="1ACA2B42"/>
    <w:lvl w:ilvl="0" w:tplc="D73E0DE0">
      <w:start w:val="1"/>
      <w:numFmt w:val="lowerLetter"/>
      <w:lvlText w:val="%1)"/>
      <w:lvlJc w:val="left"/>
      <w:pPr>
        <w:ind w:left="502" w:hanging="360"/>
      </w:pPr>
      <w:rPr>
        <w:rFonts w:ascii="Times New Roman" w:eastAsia="Times New Roman" w:hAnsi="Times New Roman" w:cs="Times New Roman" w:hint="default"/>
      </w:rPr>
    </w:lvl>
    <w:lvl w:ilvl="1" w:tplc="04150003" w:tentative="1">
      <w:start w:val="1"/>
      <w:numFmt w:val="bullet"/>
      <w:lvlText w:val="o"/>
      <w:lvlJc w:val="left"/>
      <w:pPr>
        <w:ind w:left="2567" w:hanging="360"/>
      </w:pPr>
      <w:rPr>
        <w:rFonts w:ascii="Courier New" w:hAnsi="Courier New" w:cs="Courier New" w:hint="default"/>
      </w:rPr>
    </w:lvl>
    <w:lvl w:ilvl="2" w:tplc="04150005" w:tentative="1">
      <w:start w:val="1"/>
      <w:numFmt w:val="bullet"/>
      <w:lvlText w:val=""/>
      <w:lvlJc w:val="left"/>
      <w:pPr>
        <w:ind w:left="3287" w:hanging="360"/>
      </w:pPr>
      <w:rPr>
        <w:rFonts w:ascii="Wingdings" w:hAnsi="Wingdings" w:hint="default"/>
      </w:rPr>
    </w:lvl>
    <w:lvl w:ilvl="3" w:tplc="04150001" w:tentative="1">
      <w:start w:val="1"/>
      <w:numFmt w:val="bullet"/>
      <w:lvlText w:val=""/>
      <w:lvlJc w:val="left"/>
      <w:pPr>
        <w:ind w:left="4007" w:hanging="360"/>
      </w:pPr>
      <w:rPr>
        <w:rFonts w:ascii="Symbol" w:hAnsi="Symbol" w:hint="default"/>
      </w:rPr>
    </w:lvl>
    <w:lvl w:ilvl="4" w:tplc="04150003" w:tentative="1">
      <w:start w:val="1"/>
      <w:numFmt w:val="bullet"/>
      <w:lvlText w:val="o"/>
      <w:lvlJc w:val="left"/>
      <w:pPr>
        <w:ind w:left="4727" w:hanging="360"/>
      </w:pPr>
      <w:rPr>
        <w:rFonts w:ascii="Courier New" w:hAnsi="Courier New" w:cs="Courier New" w:hint="default"/>
      </w:rPr>
    </w:lvl>
    <w:lvl w:ilvl="5" w:tplc="04150005" w:tentative="1">
      <w:start w:val="1"/>
      <w:numFmt w:val="bullet"/>
      <w:lvlText w:val=""/>
      <w:lvlJc w:val="left"/>
      <w:pPr>
        <w:ind w:left="5447" w:hanging="360"/>
      </w:pPr>
      <w:rPr>
        <w:rFonts w:ascii="Wingdings" w:hAnsi="Wingdings" w:hint="default"/>
      </w:rPr>
    </w:lvl>
    <w:lvl w:ilvl="6" w:tplc="04150001" w:tentative="1">
      <w:start w:val="1"/>
      <w:numFmt w:val="bullet"/>
      <w:lvlText w:val=""/>
      <w:lvlJc w:val="left"/>
      <w:pPr>
        <w:ind w:left="6167" w:hanging="360"/>
      </w:pPr>
      <w:rPr>
        <w:rFonts w:ascii="Symbol" w:hAnsi="Symbol" w:hint="default"/>
      </w:rPr>
    </w:lvl>
    <w:lvl w:ilvl="7" w:tplc="04150003" w:tentative="1">
      <w:start w:val="1"/>
      <w:numFmt w:val="bullet"/>
      <w:lvlText w:val="o"/>
      <w:lvlJc w:val="left"/>
      <w:pPr>
        <w:ind w:left="6887" w:hanging="360"/>
      </w:pPr>
      <w:rPr>
        <w:rFonts w:ascii="Courier New" w:hAnsi="Courier New" w:cs="Courier New" w:hint="default"/>
      </w:rPr>
    </w:lvl>
    <w:lvl w:ilvl="8" w:tplc="04150005" w:tentative="1">
      <w:start w:val="1"/>
      <w:numFmt w:val="bullet"/>
      <w:lvlText w:val=""/>
      <w:lvlJc w:val="left"/>
      <w:pPr>
        <w:ind w:left="7607" w:hanging="360"/>
      </w:pPr>
      <w:rPr>
        <w:rFonts w:ascii="Wingdings" w:hAnsi="Wingdings" w:hint="default"/>
      </w:rPr>
    </w:lvl>
  </w:abstractNum>
  <w:abstractNum w:abstractNumId="33" w15:restartNumberingAfterBreak="0">
    <w:nsid w:val="5D97363C"/>
    <w:multiLevelType w:val="hybridMultilevel"/>
    <w:tmpl w:val="BAAE328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E1630F2"/>
    <w:multiLevelType w:val="hybridMultilevel"/>
    <w:tmpl w:val="A28EC7EC"/>
    <w:lvl w:ilvl="0" w:tplc="2C7E248A">
      <w:start w:val="1"/>
      <w:numFmt w:val="decimal"/>
      <w:lvlText w:val="%1)"/>
      <w:lvlJc w:val="left"/>
      <w:pPr>
        <w:ind w:left="1429" w:hanging="360"/>
      </w:pPr>
      <w:rPr>
        <w:rFonts w:asciiTheme="minorHAnsi" w:eastAsia="Times New Roman" w:hAnsiTheme="minorHAnsi" w:cs="Times New Roman"/>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15:restartNumberingAfterBreak="0">
    <w:nsid w:val="5F3831D2"/>
    <w:multiLevelType w:val="hybridMultilevel"/>
    <w:tmpl w:val="3F646480"/>
    <w:lvl w:ilvl="0" w:tplc="1B2A69DA">
      <w:start w:val="1"/>
      <w:numFmt w:val="decimal"/>
      <w:lvlText w:val="%1."/>
      <w:lvlJc w:val="left"/>
      <w:pPr>
        <w:ind w:left="360" w:hanging="360"/>
      </w:pPr>
      <w:rPr>
        <w:rFonts w:asciiTheme="minorHAnsi" w:hAnsiTheme="minorHAnsi"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33107A1"/>
    <w:multiLevelType w:val="hybridMultilevel"/>
    <w:tmpl w:val="C6D44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3C018DC"/>
    <w:multiLevelType w:val="multilevel"/>
    <w:tmpl w:val="BF4C6E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9510CE4"/>
    <w:multiLevelType w:val="hybridMultilevel"/>
    <w:tmpl w:val="F446D51A"/>
    <w:lvl w:ilvl="0" w:tplc="552872C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105D6C"/>
    <w:multiLevelType w:val="hybridMultilevel"/>
    <w:tmpl w:val="9F8A0C84"/>
    <w:lvl w:ilvl="0" w:tplc="04150011">
      <w:start w:val="1"/>
      <w:numFmt w:val="decimal"/>
      <w:lvlText w:val="%1)"/>
      <w:lvlJc w:val="left"/>
      <w:pPr>
        <w:ind w:left="1080" w:hanging="360"/>
      </w:pPr>
      <w:rPr>
        <w:rFonts w:hint="default"/>
        <w:b w:val="0"/>
        <w:color w:val="auto"/>
      </w:rPr>
    </w:lvl>
    <w:lvl w:ilvl="1" w:tplc="7C2E5062">
      <w:start w:val="1"/>
      <w:numFmt w:val="lowerLetter"/>
      <w:lvlText w:val="%2)"/>
      <w:lvlJc w:val="left"/>
      <w:pPr>
        <w:ind w:left="1800" w:hanging="360"/>
      </w:pPr>
      <w:rPr>
        <w:rFont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70FB2CE0"/>
    <w:multiLevelType w:val="hybridMultilevel"/>
    <w:tmpl w:val="E27E8C3C"/>
    <w:lvl w:ilvl="0" w:tplc="5EB240AA">
      <w:start w:val="1"/>
      <w:numFmt w:val="lowerLetter"/>
      <w:lvlText w:val="%1)"/>
      <w:lvlJc w:val="left"/>
      <w:pPr>
        <w:ind w:left="64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748E4E61"/>
    <w:multiLevelType w:val="hybridMultilevel"/>
    <w:tmpl w:val="44945F7A"/>
    <w:lvl w:ilvl="0" w:tplc="A9107BF2">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2" w15:restartNumberingAfterBreak="0">
    <w:nsid w:val="75AC13BE"/>
    <w:multiLevelType w:val="hybridMultilevel"/>
    <w:tmpl w:val="4E2C8582"/>
    <w:lvl w:ilvl="0" w:tplc="FB78CA34">
      <w:start w:val="1"/>
      <w:numFmt w:val="bullet"/>
      <w:lvlText w:val=""/>
      <w:lvlJc w:val="left"/>
      <w:pPr>
        <w:ind w:left="720" w:hanging="360"/>
      </w:pPr>
      <w:rPr>
        <w:rFonts w:ascii="Symbol" w:hAnsi="Symbol" w:hint="default"/>
        <w:color w:val="003399"/>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9225799"/>
    <w:multiLevelType w:val="hybridMultilevel"/>
    <w:tmpl w:val="6A0A9F66"/>
    <w:lvl w:ilvl="0" w:tplc="3196D07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15:restartNumberingAfterBreak="0">
    <w:nsid w:val="7AA841A7"/>
    <w:multiLevelType w:val="hybridMultilevel"/>
    <w:tmpl w:val="D7487BE0"/>
    <w:lvl w:ilvl="0" w:tplc="B562E39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7CCE4C31"/>
    <w:multiLevelType w:val="hybridMultilevel"/>
    <w:tmpl w:val="FE024B54"/>
    <w:lvl w:ilvl="0" w:tplc="AF642788">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6" w15:restartNumberingAfterBreak="0">
    <w:nsid w:val="7E5E3CA0"/>
    <w:multiLevelType w:val="hybridMultilevel"/>
    <w:tmpl w:val="2F36947C"/>
    <w:lvl w:ilvl="0" w:tplc="A9107BF2">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7" w15:restartNumberingAfterBreak="0">
    <w:nsid w:val="7F652837"/>
    <w:multiLevelType w:val="hybridMultilevel"/>
    <w:tmpl w:val="087CE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7"/>
  </w:num>
  <w:num w:numId="2">
    <w:abstractNumId w:val="39"/>
  </w:num>
  <w:num w:numId="3">
    <w:abstractNumId w:val="22"/>
  </w:num>
  <w:num w:numId="4">
    <w:abstractNumId w:val="1"/>
  </w:num>
  <w:num w:numId="5">
    <w:abstractNumId w:val="32"/>
  </w:num>
  <w:num w:numId="6">
    <w:abstractNumId w:val="6"/>
  </w:num>
  <w:num w:numId="7">
    <w:abstractNumId w:val="34"/>
  </w:num>
  <w:num w:numId="8">
    <w:abstractNumId w:val="15"/>
  </w:num>
  <w:num w:numId="9">
    <w:abstractNumId w:val="26"/>
  </w:num>
  <w:num w:numId="10">
    <w:abstractNumId w:val="41"/>
  </w:num>
  <w:num w:numId="11">
    <w:abstractNumId w:val="5"/>
  </w:num>
  <w:num w:numId="12">
    <w:abstractNumId w:val="20"/>
  </w:num>
  <w:num w:numId="13">
    <w:abstractNumId w:val="46"/>
  </w:num>
  <w:num w:numId="14">
    <w:abstractNumId w:val="7"/>
  </w:num>
  <w:num w:numId="15">
    <w:abstractNumId w:val="3"/>
  </w:num>
  <w:num w:numId="16">
    <w:abstractNumId w:val="14"/>
  </w:num>
  <w:num w:numId="17">
    <w:abstractNumId w:val="25"/>
  </w:num>
  <w:num w:numId="18">
    <w:abstractNumId w:val="43"/>
  </w:num>
  <w:num w:numId="19">
    <w:abstractNumId w:val="10"/>
  </w:num>
  <w:num w:numId="20">
    <w:abstractNumId w:val="0"/>
  </w:num>
  <w:num w:numId="21">
    <w:abstractNumId w:val="36"/>
  </w:num>
  <w:num w:numId="22">
    <w:abstractNumId w:val="13"/>
  </w:num>
  <w:num w:numId="23">
    <w:abstractNumId w:val="28"/>
  </w:num>
  <w:num w:numId="24">
    <w:abstractNumId w:val="21"/>
  </w:num>
  <w:num w:numId="25">
    <w:abstractNumId w:val="24"/>
  </w:num>
  <w:num w:numId="26">
    <w:abstractNumId w:val="38"/>
  </w:num>
  <w:num w:numId="27">
    <w:abstractNumId w:val="23"/>
  </w:num>
  <w:num w:numId="28">
    <w:abstractNumId w:val="30"/>
  </w:num>
  <w:num w:numId="29">
    <w:abstractNumId w:val="40"/>
  </w:num>
  <w:num w:numId="30">
    <w:abstractNumId w:val="44"/>
  </w:num>
  <w:num w:numId="31">
    <w:abstractNumId w:val="27"/>
  </w:num>
  <w:num w:numId="32">
    <w:abstractNumId w:val="35"/>
  </w:num>
  <w:num w:numId="33">
    <w:abstractNumId w:val="12"/>
  </w:num>
  <w:num w:numId="34">
    <w:abstractNumId w:val="31"/>
  </w:num>
  <w:num w:numId="35">
    <w:abstractNumId w:val="4"/>
  </w:num>
  <w:num w:numId="36">
    <w:abstractNumId w:val="2"/>
  </w:num>
  <w:num w:numId="37">
    <w:abstractNumId w:val="45"/>
  </w:num>
  <w:num w:numId="38">
    <w:abstractNumId w:val="18"/>
  </w:num>
  <w:num w:numId="39">
    <w:abstractNumId w:val="8"/>
  </w:num>
  <w:num w:numId="40">
    <w:abstractNumId w:val="42"/>
  </w:num>
  <w:num w:numId="41">
    <w:abstractNumId w:val="17"/>
  </w:num>
  <w:num w:numId="42">
    <w:abstractNumId w:val="9"/>
  </w:num>
  <w:num w:numId="43">
    <w:abstractNumId w:val="33"/>
  </w:num>
  <w:num w:numId="44">
    <w:abstractNumId w:val="16"/>
  </w:num>
  <w:num w:numId="45">
    <w:abstractNumId w:val="37"/>
  </w:num>
  <w:num w:numId="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E79"/>
    <w:rsid w:val="000155D0"/>
    <w:rsid w:val="00016F33"/>
    <w:rsid w:val="00022778"/>
    <w:rsid w:val="0002459E"/>
    <w:rsid w:val="0002568D"/>
    <w:rsid w:val="000279A7"/>
    <w:rsid w:val="00036628"/>
    <w:rsid w:val="00041120"/>
    <w:rsid w:val="00043950"/>
    <w:rsid w:val="00047DAD"/>
    <w:rsid w:val="000512CE"/>
    <w:rsid w:val="00055919"/>
    <w:rsid w:val="00055F3D"/>
    <w:rsid w:val="0006089E"/>
    <w:rsid w:val="0006254A"/>
    <w:rsid w:val="00080818"/>
    <w:rsid w:val="00083D0A"/>
    <w:rsid w:val="0008546A"/>
    <w:rsid w:val="000865F6"/>
    <w:rsid w:val="00087FA3"/>
    <w:rsid w:val="000920A4"/>
    <w:rsid w:val="0009363A"/>
    <w:rsid w:val="000950DA"/>
    <w:rsid w:val="000A0F00"/>
    <w:rsid w:val="000A5428"/>
    <w:rsid w:val="000A6448"/>
    <w:rsid w:val="000A740F"/>
    <w:rsid w:val="000B052B"/>
    <w:rsid w:val="000B17E7"/>
    <w:rsid w:val="000B6E01"/>
    <w:rsid w:val="000C3B72"/>
    <w:rsid w:val="000C5A53"/>
    <w:rsid w:val="000C690C"/>
    <w:rsid w:val="000D0595"/>
    <w:rsid w:val="000D1101"/>
    <w:rsid w:val="000D34BB"/>
    <w:rsid w:val="000D46EC"/>
    <w:rsid w:val="000E36DB"/>
    <w:rsid w:val="000E3839"/>
    <w:rsid w:val="000E4674"/>
    <w:rsid w:val="000F4DFD"/>
    <w:rsid w:val="00102C2E"/>
    <w:rsid w:val="00104A5F"/>
    <w:rsid w:val="001165DD"/>
    <w:rsid w:val="00117455"/>
    <w:rsid w:val="001200A9"/>
    <w:rsid w:val="00124D3A"/>
    <w:rsid w:val="00125573"/>
    <w:rsid w:val="0012709A"/>
    <w:rsid w:val="0012784D"/>
    <w:rsid w:val="00133CA0"/>
    <w:rsid w:val="0013584D"/>
    <w:rsid w:val="00136429"/>
    <w:rsid w:val="001373E8"/>
    <w:rsid w:val="001445C1"/>
    <w:rsid w:val="0014482B"/>
    <w:rsid w:val="001476FB"/>
    <w:rsid w:val="00153B50"/>
    <w:rsid w:val="00155890"/>
    <w:rsid w:val="0016257A"/>
    <w:rsid w:val="00166A47"/>
    <w:rsid w:val="001679E3"/>
    <w:rsid w:val="00173B09"/>
    <w:rsid w:val="00176708"/>
    <w:rsid w:val="001811B2"/>
    <w:rsid w:val="00181B62"/>
    <w:rsid w:val="00183398"/>
    <w:rsid w:val="00185FFB"/>
    <w:rsid w:val="00186BF8"/>
    <w:rsid w:val="00187207"/>
    <w:rsid w:val="00191DD2"/>
    <w:rsid w:val="00196855"/>
    <w:rsid w:val="001A6352"/>
    <w:rsid w:val="001A7186"/>
    <w:rsid w:val="001B3B21"/>
    <w:rsid w:val="001B6A93"/>
    <w:rsid w:val="001B7DCF"/>
    <w:rsid w:val="001C0467"/>
    <w:rsid w:val="001C3D1E"/>
    <w:rsid w:val="001D1668"/>
    <w:rsid w:val="001D2325"/>
    <w:rsid w:val="001D4BDF"/>
    <w:rsid w:val="001E1CB5"/>
    <w:rsid w:val="001F6F42"/>
    <w:rsid w:val="0020233C"/>
    <w:rsid w:val="0021074F"/>
    <w:rsid w:val="00211ED0"/>
    <w:rsid w:val="00215552"/>
    <w:rsid w:val="00216E61"/>
    <w:rsid w:val="00217572"/>
    <w:rsid w:val="00221002"/>
    <w:rsid w:val="002273E4"/>
    <w:rsid w:val="002346B8"/>
    <w:rsid w:val="00240E78"/>
    <w:rsid w:val="00241948"/>
    <w:rsid w:val="00242870"/>
    <w:rsid w:val="00244A69"/>
    <w:rsid w:val="0025243A"/>
    <w:rsid w:val="002525E3"/>
    <w:rsid w:val="002535AB"/>
    <w:rsid w:val="002577F0"/>
    <w:rsid w:val="00257F82"/>
    <w:rsid w:val="00260A1C"/>
    <w:rsid w:val="00263324"/>
    <w:rsid w:val="00263746"/>
    <w:rsid w:val="002675F1"/>
    <w:rsid w:val="002704F2"/>
    <w:rsid w:val="002707FD"/>
    <w:rsid w:val="00272349"/>
    <w:rsid w:val="00273AEE"/>
    <w:rsid w:val="002776C0"/>
    <w:rsid w:val="00277B24"/>
    <w:rsid w:val="002800FE"/>
    <w:rsid w:val="00284254"/>
    <w:rsid w:val="0028758A"/>
    <w:rsid w:val="00291089"/>
    <w:rsid w:val="002933F2"/>
    <w:rsid w:val="00293485"/>
    <w:rsid w:val="00293BFA"/>
    <w:rsid w:val="00295B2B"/>
    <w:rsid w:val="0029649D"/>
    <w:rsid w:val="002A252C"/>
    <w:rsid w:val="002A28BE"/>
    <w:rsid w:val="002A4DE3"/>
    <w:rsid w:val="002A6931"/>
    <w:rsid w:val="002B3D85"/>
    <w:rsid w:val="002C14CA"/>
    <w:rsid w:val="002C1935"/>
    <w:rsid w:val="002D0A1E"/>
    <w:rsid w:val="002D2140"/>
    <w:rsid w:val="002E1B3C"/>
    <w:rsid w:val="002E3FD4"/>
    <w:rsid w:val="002E420F"/>
    <w:rsid w:val="002E4224"/>
    <w:rsid w:val="002F090F"/>
    <w:rsid w:val="002F71F3"/>
    <w:rsid w:val="00301ECA"/>
    <w:rsid w:val="00304A56"/>
    <w:rsid w:val="00304EEB"/>
    <w:rsid w:val="0030516E"/>
    <w:rsid w:val="003069C9"/>
    <w:rsid w:val="0031481E"/>
    <w:rsid w:val="00315342"/>
    <w:rsid w:val="003269C7"/>
    <w:rsid w:val="00327339"/>
    <w:rsid w:val="00333572"/>
    <w:rsid w:val="003371AE"/>
    <w:rsid w:val="0034419F"/>
    <w:rsid w:val="00353CEA"/>
    <w:rsid w:val="003775AE"/>
    <w:rsid w:val="00395D84"/>
    <w:rsid w:val="0039603C"/>
    <w:rsid w:val="00396D86"/>
    <w:rsid w:val="003A48D8"/>
    <w:rsid w:val="003B16E9"/>
    <w:rsid w:val="003C02CB"/>
    <w:rsid w:val="003C1818"/>
    <w:rsid w:val="003C19E1"/>
    <w:rsid w:val="003D619C"/>
    <w:rsid w:val="003D74DE"/>
    <w:rsid w:val="003E00B0"/>
    <w:rsid w:val="003E69A1"/>
    <w:rsid w:val="003F037E"/>
    <w:rsid w:val="003F6790"/>
    <w:rsid w:val="004011A3"/>
    <w:rsid w:val="0040742F"/>
    <w:rsid w:val="00407473"/>
    <w:rsid w:val="00407F8D"/>
    <w:rsid w:val="00413B1C"/>
    <w:rsid w:val="004150F3"/>
    <w:rsid w:val="00416BDC"/>
    <w:rsid w:val="00417A92"/>
    <w:rsid w:val="00417B23"/>
    <w:rsid w:val="00422EA7"/>
    <w:rsid w:val="00436C73"/>
    <w:rsid w:val="0044147A"/>
    <w:rsid w:val="004421F9"/>
    <w:rsid w:val="00443A1A"/>
    <w:rsid w:val="0044458C"/>
    <w:rsid w:val="00456886"/>
    <w:rsid w:val="00456D57"/>
    <w:rsid w:val="004638FB"/>
    <w:rsid w:val="00471B4C"/>
    <w:rsid w:val="00471C90"/>
    <w:rsid w:val="00475C68"/>
    <w:rsid w:val="004773A7"/>
    <w:rsid w:val="00477435"/>
    <w:rsid w:val="00485B7D"/>
    <w:rsid w:val="00485F5D"/>
    <w:rsid w:val="0049539D"/>
    <w:rsid w:val="00497BB8"/>
    <w:rsid w:val="004A37B1"/>
    <w:rsid w:val="004A55B6"/>
    <w:rsid w:val="004A78DE"/>
    <w:rsid w:val="004B1FAC"/>
    <w:rsid w:val="004B74EE"/>
    <w:rsid w:val="004C00A1"/>
    <w:rsid w:val="004C4089"/>
    <w:rsid w:val="004C4AA8"/>
    <w:rsid w:val="004D15D6"/>
    <w:rsid w:val="004D1BCC"/>
    <w:rsid w:val="004E3A20"/>
    <w:rsid w:val="004E50F0"/>
    <w:rsid w:val="004E5CAA"/>
    <w:rsid w:val="004F17DF"/>
    <w:rsid w:val="004F2DA3"/>
    <w:rsid w:val="004F4AFC"/>
    <w:rsid w:val="004F75DB"/>
    <w:rsid w:val="00500A60"/>
    <w:rsid w:val="00501210"/>
    <w:rsid w:val="0050373A"/>
    <w:rsid w:val="005105F9"/>
    <w:rsid w:val="00511D71"/>
    <w:rsid w:val="00517C27"/>
    <w:rsid w:val="005420BE"/>
    <w:rsid w:val="005457E3"/>
    <w:rsid w:val="005568A8"/>
    <w:rsid w:val="00560358"/>
    <w:rsid w:val="005631DB"/>
    <w:rsid w:val="0057608C"/>
    <w:rsid w:val="005762CF"/>
    <w:rsid w:val="00590397"/>
    <w:rsid w:val="00593986"/>
    <w:rsid w:val="00593CC2"/>
    <w:rsid w:val="005A3EB4"/>
    <w:rsid w:val="005B17B4"/>
    <w:rsid w:val="005B2708"/>
    <w:rsid w:val="005B4833"/>
    <w:rsid w:val="005B5BF7"/>
    <w:rsid w:val="005B6749"/>
    <w:rsid w:val="005C4CB6"/>
    <w:rsid w:val="005D0807"/>
    <w:rsid w:val="005D0B6E"/>
    <w:rsid w:val="005D28CE"/>
    <w:rsid w:val="005D4A18"/>
    <w:rsid w:val="005E0BD7"/>
    <w:rsid w:val="005E12FC"/>
    <w:rsid w:val="005E1791"/>
    <w:rsid w:val="005E4294"/>
    <w:rsid w:val="005E5D2D"/>
    <w:rsid w:val="005F203F"/>
    <w:rsid w:val="005F49F6"/>
    <w:rsid w:val="005F4E0D"/>
    <w:rsid w:val="00610BAF"/>
    <w:rsid w:val="0061162C"/>
    <w:rsid w:val="00617CBE"/>
    <w:rsid w:val="0062007B"/>
    <w:rsid w:val="0062182D"/>
    <w:rsid w:val="00633B1C"/>
    <w:rsid w:val="00641262"/>
    <w:rsid w:val="0064155B"/>
    <w:rsid w:val="00641A01"/>
    <w:rsid w:val="006520B9"/>
    <w:rsid w:val="0065432A"/>
    <w:rsid w:val="00660422"/>
    <w:rsid w:val="00661C35"/>
    <w:rsid w:val="00661E6B"/>
    <w:rsid w:val="00670D00"/>
    <w:rsid w:val="00671D82"/>
    <w:rsid w:val="00674361"/>
    <w:rsid w:val="006745EC"/>
    <w:rsid w:val="006839C5"/>
    <w:rsid w:val="006866CE"/>
    <w:rsid w:val="006875FC"/>
    <w:rsid w:val="00691A95"/>
    <w:rsid w:val="0069254C"/>
    <w:rsid w:val="00693013"/>
    <w:rsid w:val="0069545D"/>
    <w:rsid w:val="00697D77"/>
    <w:rsid w:val="006A01A6"/>
    <w:rsid w:val="006A09A3"/>
    <w:rsid w:val="006A3350"/>
    <w:rsid w:val="006A3561"/>
    <w:rsid w:val="006A65BB"/>
    <w:rsid w:val="006A7E4B"/>
    <w:rsid w:val="006B268E"/>
    <w:rsid w:val="006D747E"/>
    <w:rsid w:val="006E5E35"/>
    <w:rsid w:val="006E6AD6"/>
    <w:rsid w:val="006F05C8"/>
    <w:rsid w:val="006F23AE"/>
    <w:rsid w:val="007044BA"/>
    <w:rsid w:val="00705ECE"/>
    <w:rsid w:val="00706B56"/>
    <w:rsid w:val="00707439"/>
    <w:rsid w:val="007206AD"/>
    <w:rsid w:val="0072090C"/>
    <w:rsid w:val="007227EF"/>
    <w:rsid w:val="007315EC"/>
    <w:rsid w:val="00741A22"/>
    <w:rsid w:val="00747048"/>
    <w:rsid w:val="00750154"/>
    <w:rsid w:val="007514B9"/>
    <w:rsid w:val="007549BF"/>
    <w:rsid w:val="00761694"/>
    <w:rsid w:val="00762C44"/>
    <w:rsid w:val="0076478A"/>
    <w:rsid w:val="00766A68"/>
    <w:rsid w:val="00766E71"/>
    <w:rsid w:val="00771C54"/>
    <w:rsid w:val="00772D78"/>
    <w:rsid w:val="00773AC5"/>
    <w:rsid w:val="007812B8"/>
    <w:rsid w:val="00784DF0"/>
    <w:rsid w:val="0078647C"/>
    <w:rsid w:val="00794B13"/>
    <w:rsid w:val="00795088"/>
    <w:rsid w:val="007969AC"/>
    <w:rsid w:val="007A032B"/>
    <w:rsid w:val="007A6461"/>
    <w:rsid w:val="007B39F3"/>
    <w:rsid w:val="007B7616"/>
    <w:rsid w:val="007C206C"/>
    <w:rsid w:val="007C719C"/>
    <w:rsid w:val="007C74E3"/>
    <w:rsid w:val="007F3066"/>
    <w:rsid w:val="007F4BC9"/>
    <w:rsid w:val="008010BC"/>
    <w:rsid w:val="00804179"/>
    <w:rsid w:val="00804FF6"/>
    <w:rsid w:val="00807BFE"/>
    <w:rsid w:val="008105D8"/>
    <w:rsid w:val="008114D5"/>
    <w:rsid w:val="0081159A"/>
    <w:rsid w:val="008135C3"/>
    <w:rsid w:val="00813718"/>
    <w:rsid w:val="00821F8E"/>
    <w:rsid w:val="008220BC"/>
    <w:rsid w:val="00824FFB"/>
    <w:rsid w:val="00826692"/>
    <w:rsid w:val="0083640B"/>
    <w:rsid w:val="00837D92"/>
    <w:rsid w:val="008436F8"/>
    <w:rsid w:val="00847B90"/>
    <w:rsid w:val="00854AF6"/>
    <w:rsid w:val="00857170"/>
    <w:rsid w:val="008571B4"/>
    <w:rsid w:val="008624B9"/>
    <w:rsid w:val="00865D33"/>
    <w:rsid w:val="00866430"/>
    <w:rsid w:val="00866DF7"/>
    <w:rsid w:val="00872FAB"/>
    <w:rsid w:val="00873B07"/>
    <w:rsid w:val="008754BE"/>
    <w:rsid w:val="00876CA3"/>
    <w:rsid w:val="008806B3"/>
    <w:rsid w:val="00881841"/>
    <w:rsid w:val="008835D8"/>
    <w:rsid w:val="008926E1"/>
    <w:rsid w:val="008A5E9A"/>
    <w:rsid w:val="008B51C9"/>
    <w:rsid w:val="008B64E1"/>
    <w:rsid w:val="008B71FA"/>
    <w:rsid w:val="008D15C7"/>
    <w:rsid w:val="008D57A2"/>
    <w:rsid w:val="008E27F8"/>
    <w:rsid w:val="008E3022"/>
    <w:rsid w:val="008E5666"/>
    <w:rsid w:val="008F2B43"/>
    <w:rsid w:val="008F5822"/>
    <w:rsid w:val="00900FB2"/>
    <w:rsid w:val="00905AC1"/>
    <w:rsid w:val="00905ADA"/>
    <w:rsid w:val="009153E5"/>
    <w:rsid w:val="0091743E"/>
    <w:rsid w:val="009217FA"/>
    <w:rsid w:val="00924543"/>
    <w:rsid w:val="00932F37"/>
    <w:rsid w:val="00934464"/>
    <w:rsid w:val="00934B42"/>
    <w:rsid w:val="00935DC1"/>
    <w:rsid w:val="0093660F"/>
    <w:rsid w:val="00937CE9"/>
    <w:rsid w:val="00941D08"/>
    <w:rsid w:val="0094308C"/>
    <w:rsid w:val="0094412E"/>
    <w:rsid w:val="00946533"/>
    <w:rsid w:val="00947A2E"/>
    <w:rsid w:val="009545EE"/>
    <w:rsid w:val="0095687A"/>
    <w:rsid w:val="00956A29"/>
    <w:rsid w:val="00970FE0"/>
    <w:rsid w:val="00971443"/>
    <w:rsid w:val="00976D8E"/>
    <w:rsid w:val="00980B08"/>
    <w:rsid w:val="00986D36"/>
    <w:rsid w:val="00993C3D"/>
    <w:rsid w:val="009A0EBD"/>
    <w:rsid w:val="009A43EF"/>
    <w:rsid w:val="009A47B7"/>
    <w:rsid w:val="009B58D5"/>
    <w:rsid w:val="009D10DF"/>
    <w:rsid w:val="009D1E48"/>
    <w:rsid w:val="009E70DD"/>
    <w:rsid w:val="009F1CA8"/>
    <w:rsid w:val="009F3F21"/>
    <w:rsid w:val="009F5815"/>
    <w:rsid w:val="009F5DD1"/>
    <w:rsid w:val="00A01855"/>
    <w:rsid w:val="00A0602C"/>
    <w:rsid w:val="00A11870"/>
    <w:rsid w:val="00A13BDE"/>
    <w:rsid w:val="00A141D4"/>
    <w:rsid w:val="00A2078F"/>
    <w:rsid w:val="00A22F4A"/>
    <w:rsid w:val="00A25597"/>
    <w:rsid w:val="00A256CF"/>
    <w:rsid w:val="00A334DF"/>
    <w:rsid w:val="00A33C15"/>
    <w:rsid w:val="00A3674C"/>
    <w:rsid w:val="00A44011"/>
    <w:rsid w:val="00A440D8"/>
    <w:rsid w:val="00A469B9"/>
    <w:rsid w:val="00A55578"/>
    <w:rsid w:val="00A62A79"/>
    <w:rsid w:val="00A63A67"/>
    <w:rsid w:val="00A64288"/>
    <w:rsid w:val="00A647FE"/>
    <w:rsid w:val="00A74BAE"/>
    <w:rsid w:val="00A7541B"/>
    <w:rsid w:val="00A77A00"/>
    <w:rsid w:val="00A77DE3"/>
    <w:rsid w:val="00A83F90"/>
    <w:rsid w:val="00A87618"/>
    <w:rsid w:val="00A906D3"/>
    <w:rsid w:val="00A93E79"/>
    <w:rsid w:val="00A958F9"/>
    <w:rsid w:val="00A96EA1"/>
    <w:rsid w:val="00AA1275"/>
    <w:rsid w:val="00AA388F"/>
    <w:rsid w:val="00AA552A"/>
    <w:rsid w:val="00AB049D"/>
    <w:rsid w:val="00AB6426"/>
    <w:rsid w:val="00AB71AB"/>
    <w:rsid w:val="00AC23B2"/>
    <w:rsid w:val="00AC3268"/>
    <w:rsid w:val="00AD2DDD"/>
    <w:rsid w:val="00AD4ACF"/>
    <w:rsid w:val="00AE012D"/>
    <w:rsid w:val="00AF011A"/>
    <w:rsid w:val="00AF14BC"/>
    <w:rsid w:val="00AF1A3A"/>
    <w:rsid w:val="00AF1CCD"/>
    <w:rsid w:val="00AF27CD"/>
    <w:rsid w:val="00AF3600"/>
    <w:rsid w:val="00AF3ADD"/>
    <w:rsid w:val="00AF639C"/>
    <w:rsid w:val="00B038A0"/>
    <w:rsid w:val="00B03F79"/>
    <w:rsid w:val="00B07574"/>
    <w:rsid w:val="00B10DBA"/>
    <w:rsid w:val="00B14EE0"/>
    <w:rsid w:val="00B17391"/>
    <w:rsid w:val="00B23004"/>
    <w:rsid w:val="00B24E17"/>
    <w:rsid w:val="00B270CB"/>
    <w:rsid w:val="00B27804"/>
    <w:rsid w:val="00B320B4"/>
    <w:rsid w:val="00B338F7"/>
    <w:rsid w:val="00B35C06"/>
    <w:rsid w:val="00B473F3"/>
    <w:rsid w:val="00B47AFE"/>
    <w:rsid w:val="00B50558"/>
    <w:rsid w:val="00B52289"/>
    <w:rsid w:val="00B74487"/>
    <w:rsid w:val="00B748A8"/>
    <w:rsid w:val="00B804F4"/>
    <w:rsid w:val="00B846F3"/>
    <w:rsid w:val="00B86893"/>
    <w:rsid w:val="00B875BC"/>
    <w:rsid w:val="00B87D37"/>
    <w:rsid w:val="00B94E5E"/>
    <w:rsid w:val="00B9727E"/>
    <w:rsid w:val="00BA02D8"/>
    <w:rsid w:val="00BA247F"/>
    <w:rsid w:val="00BA2642"/>
    <w:rsid w:val="00BA2ACA"/>
    <w:rsid w:val="00BA2CF2"/>
    <w:rsid w:val="00BA4106"/>
    <w:rsid w:val="00BB1AF6"/>
    <w:rsid w:val="00BB301E"/>
    <w:rsid w:val="00BB5F65"/>
    <w:rsid w:val="00BB70BB"/>
    <w:rsid w:val="00BC3F33"/>
    <w:rsid w:val="00BD1AB3"/>
    <w:rsid w:val="00BD2D0C"/>
    <w:rsid w:val="00BD4522"/>
    <w:rsid w:val="00BE2FA5"/>
    <w:rsid w:val="00BE3A80"/>
    <w:rsid w:val="00BE4B43"/>
    <w:rsid w:val="00BE5A33"/>
    <w:rsid w:val="00BE74BE"/>
    <w:rsid w:val="00BE7F18"/>
    <w:rsid w:val="00BF2F40"/>
    <w:rsid w:val="00BF3E4F"/>
    <w:rsid w:val="00BF5630"/>
    <w:rsid w:val="00BF6B31"/>
    <w:rsid w:val="00BF79C5"/>
    <w:rsid w:val="00C014B5"/>
    <w:rsid w:val="00C11A80"/>
    <w:rsid w:val="00C13AFA"/>
    <w:rsid w:val="00C15DA1"/>
    <w:rsid w:val="00C168C8"/>
    <w:rsid w:val="00C1750F"/>
    <w:rsid w:val="00C24B3F"/>
    <w:rsid w:val="00C25089"/>
    <w:rsid w:val="00C2719A"/>
    <w:rsid w:val="00C40E5E"/>
    <w:rsid w:val="00C412FE"/>
    <w:rsid w:val="00C413BD"/>
    <w:rsid w:val="00C5264B"/>
    <w:rsid w:val="00C53D3F"/>
    <w:rsid w:val="00C5510B"/>
    <w:rsid w:val="00C5563C"/>
    <w:rsid w:val="00C55A00"/>
    <w:rsid w:val="00C55D9E"/>
    <w:rsid w:val="00C56B33"/>
    <w:rsid w:val="00C67557"/>
    <w:rsid w:val="00C86738"/>
    <w:rsid w:val="00C91106"/>
    <w:rsid w:val="00CA1D26"/>
    <w:rsid w:val="00CA32BE"/>
    <w:rsid w:val="00CB4594"/>
    <w:rsid w:val="00CC3571"/>
    <w:rsid w:val="00CD3E3E"/>
    <w:rsid w:val="00CE4B34"/>
    <w:rsid w:val="00CF46AE"/>
    <w:rsid w:val="00D00814"/>
    <w:rsid w:val="00D03992"/>
    <w:rsid w:val="00D04D6F"/>
    <w:rsid w:val="00D13CE7"/>
    <w:rsid w:val="00D148A8"/>
    <w:rsid w:val="00D1535E"/>
    <w:rsid w:val="00D21973"/>
    <w:rsid w:val="00D26096"/>
    <w:rsid w:val="00D27939"/>
    <w:rsid w:val="00D27CA2"/>
    <w:rsid w:val="00D35602"/>
    <w:rsid w:val="00D36510"/>
    <w:rsid w:val="00D37389"/>
    <w:rsid w:val="00D410C5"/>
    <w:rsid w:val="00D53A93"/>
    <w:rsid w:val="00D60915"/>
    <w:rsid w:val="00D631B3"/>
    <w:rsid w:val="00D70C37"/>
    <w:rsid w:val="00D72D7B"/>
    <w:rsid w:val="00D848B4"/>
    <w:rsid w:val="00D93100"/>
    <w:rsid w:val="00D93DE2"/>
    <w:rsid w:val="00DA2BEB"/>
    <w:rsid w:val="00DA35B2"/>
    <w:rsid w:val="00DC12B4"/>
    <w:rsid w:val="00DC37F0"/>
    <w:rsid w:val="00DC48F8"/>
    <w:rsid w:val="00DC568F"/>
    <w:rsid w:val="00DD758A"/>
    <w:rsid w:val="00DE23FE"/>
    <w:rsid w:val="00DE4405"/>
    <w:rsid w:val="00DE4CB3"/>
    <w:rsid w:val="00DF4337"/>
    <w:rsid w:val="00DF61C8"/>
    <w:rsid w:val="00DF6232"/>
    <w:rsid w:val="00E052E5"/>
    <w:rsid w:val="00E12E0E"/>
    <w:rsid w:val="00E136FB"/>
    <w:rsid w:val="00E15C19"/>
    <w:rsid w:val="00E2081B"/>
    <w:rsid w:val="00E245E2"/>
    <w:rsid w:val="00E271ED"/>
    <w:rsid w:val="00E324F6"/>
    <w:rsid w:val="00E32C93"/>
    <w:rsid w:val="00E34196"/>
    <w:rsid w:val="00E407C7"/>
    <w:rsid w:val="00E50D96"/>
    <w:rsid w:val="00E52095"/>
    <w:rsid w:val="00E53934"/>
    <w:rsid w:val="00E5568E"/>
    <w:rsid w:val="00E56954"/>
    <w:rsid w:val="00E57F46"/>
    <w:rsid w:val="00E60C60"/>
    <w:rsid w:val="00E6262C"/>
    <w:rsid w:val="00E62942"/>
    <w:rsid w:val="00E6429A"/>
    <w:rsid w:val="00E65DC1"/>
    <w:rsid w:val="00E66D46"/>
    <w:rsid w:val="00E71956"/>
    <w:rsid w:val="00E71B72"/>
    <w:rsid w:val="00E810AA"/>
    <w:rsid w:val="00E81F1A"/>
    <w:rsid w:val="00E82D95"/>
    <w:rsid w:val="00E90F92"/>
    <w:rsid w:val="00EA72FC"/>
    <w:rsid w:val="00EA7D53"/>
    <w:rsid w:val="00EB4A9C"/>
    <w:rsid w:val="00EB5994"/>
    <w:rsid w:val="00EB68E7"/>
    <w:rsid w:val="00EC1F4E"/>
    <w:rsid w:val="00EC2FA5"/>
    <w:rsid w:val="00EC5C1F"/>
    <w:rsid w:val="00EC5C6B"/>
    <w:rsid w:val="00EC6774"/>
    <w:rsid w:val="00ED3B24"/>
    <w:rsid w:val="00EE4399"/>
    <w:rsid w:val="00EE5185"/>
    <w:rsid w:val="00EF103F"/>
    <w:rsid w:val="00EF3BFF"/>
    <w:rsid w:val="00EF6102"/>
    <w:rsid w:val="00EF7089"/>
    <w:rsid w:val="00F0061F"/>
    <w:rsid w:val="00F02ADA"/>
    <w:rsid w:val="00F04425"/>
    <w:rsid w:val="00F0490E"/>
    <w:rsid w:val="00F052B1"/>
    <w:rsid w:val="00F061DC"/>
    <w:rsid w:val="00F2539E"/>
    <w:rsid w:val="00F337D5"/>
    <w:rsid w:val="00F33B3C"/>
    <w:rsid w:val="00F35952"/>
    <w:rsid w:val="00F36AF4"/>
    <w:rsid w:val="00F400FF"/>
    <w:rsid w:val="00F407D2"/>
    <w:rsid w:val="00F415A5"/>
    <w:rsid w:val="00F44569"/>
    <w:rsid w:val="00F44BD8"/>
    <w:rsid w:val="00F451E2"/>
    <w:rsid w:val="00F46EA5"/>
    <w:rsid w:val="00F537CB"/>
    <w:rsid w:val="00F53D09"/>
    <w:rsid w:val="00F5574D"/>
    <w:rsid w:val="00F577C3"/>
    <w:rsid w:val="00F60F28"/>
    <w:rsid w:val="00F74F46"/>
    <w:rsid w:val="00F82A7D"/>
    <w:rsid w:val="00F85E9D"/>
    <w:rsid w:val="00F86D85"/>
    <w:rsid w:val="00F913F9"/>
    <w:rsid w:val="00F94029"/>
    <w:rsid w:val="00F96147"/>
    <w:rsid w:val="00F96DC6"/>
    <w:rsid w:val="00F97025"/>
    <w:rsid w:val="00F97562"/>
    <w:rsid w:val="00FA71C8"/>
    <w:rsid w:val="00FB0D1F"/>
    <w:rsid w:val="00FB23DE"/>
    <w:rsid w:val="00FC5211"/>
    <w:rsid w:val="00FD25B1"/>
    <w:rsid w:val="00FE08A4"/>
    <w:rsid w:val="00FE13C0"/>
    <w:rsid w:val="00FE1B82"/>
    <w:rsid w:val="00FE2C74"/>
    <w:rsid w:val="00FF39C5"/>
    <w:rsid w:val="00FF6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BB974-CC36-4D80-87FC-5AAE2684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3E7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93E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semiHidden/>
    <w:unhideWhenUsed/>
    <w:qFormat/>
    <w:rsid w:val="00A93E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semiHidden/>
    <w:unhideWhenUsed/>
    <w:qFormat/>
    <w:rsid w:val="00A93E79"/>
    <w:pPr>
      <w:keepNext/>
      <w:keepLines/>
      <w:spacing w:before="20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93E79"/>
    <w:rPr>
      <w:rFonts w:asciiTheme="majorHAnsi" w:eastAsiaTheme="majorEastAsia" w:hAnsiTheme="majorHAnsi" w:cstheme="majorBidi"/>
      <w:color w:val="2E74B5" w:themeColor="accent1" w:themeShade="BF"/>
      <w:sz w:val="32"/>
      <w:szCs w:val="32"/>
      <w:lang w:eastAsia="pl-PL"/>
    </w:rPr>
  </w:style>
  <w:style w:type="character" w:customStyle="1" w:styleId="Nagwek2Znak">
    <w:name w:val="Nagłówek 2 Znak"/>
    <w:basedOn w:val="Domylnaczcionkaakapitu"/>
    <w:link w:val="Nagwek2"/>
    <w:semiHidden/>
    <w:rsid w:val="00A93E79"/>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semiHidden/>
    <w:rsid w:val="00A93E79"/>
    <w:rPr>
      <w:rFonts w:asciiTheme="majorHAnsi" w:eastAsiaTheme="majorEastAsia" w:hAnsiTheme="majorHAnsi" w:cstheme="majorBidi"/>
      <w:b/>
      <w:bCs/>
      <w:color w:val="5B9BD5" w:themeColor="accent1"/>
      <w:sz w:val="24"/>
      <w:szCs w:val="24"/>
      <w:lang w:eastAsia="pl-PL"/>
    </w:rPr>
  </w:style>
  <w:style w:type="paragraph" w:styleId="Akapitzlist">
    <w:name w:val="List Paragraph"/>
    <w:basedOn w:val="Normalny"/>
    <w:uiPriority w:val="34"/>
    <w:qFormat/>
    <w:rsid w:val="00A93E79"/>
    <w:pPr>
      <w:spacing w:after="120"/>
      <w:ind w:left="720"/>
      <w:contextualSpacing/>
      <w:jc w:val="both"/>
    </w:pPr>
  </w:style>
  <w:style w:type="paragraph" w:customStyle="1" w:styleId="CM1">
    <w:name w:val="CM1"/>
    <w:basedOn w:val="Normalny"/>
    <w:next w:val="Normalny"/>
    <w:uiPriority w:val="99"/>
    <w:rsid w:val="00A93E79"/>
    <w:pPr>
      <w:autoSpaceDE w:val="0"/>
      <w:autoSpaceDN w:val="0"/>
      <w:adjustRightInd w:val="0"/>
    </w:pPr>
    <w:rPr>
      <w:rFonts w:ascii="EUAlbertina" w:hAnsi="EUAlbertina"/>
    </w:rPr>
  </w:style>
  <w:style w:type="paragraph" w:customStyle="1" w:styleId="CM3">
    <w:name w:val="CM3"/>
    <w:basedOn w:val="Normalny"/>
    <w:next w:val="Normalny"/>
    <w:uiPriority w:val="99"/>
    <w:rsid w:val="00A93E79"/>
    <w:pPr>
      <w:autoSpaceDE w:val="0"/>
      <w:autoSpaceDN w:val="0"/>
      <w:adjustRightInd w:val="0"/>
    </w:pPr>
    <w:rPr>
      <w:rFonts w:ascii="EUAlbertina" w:hAnsi="EUAlbertina"/>
    </w:rPr>
  </w:style>
  <w:style w:type="paragraph" w:customStyle="1" w:styleId="CM4">
    <w:name w:val="CM4"/>
    <w:basedOn w:val="Normalny"/>
    <w:next w:val="Normalny"/>
    <w:uiPriority w:val="99"/>
    <w:rsid w:val="00A93E79"/>
    <w:pPr>
      <w:autoSpaceDE w:val="0"/>
      <w:autoSpaceDN w:val="0"/>
      <w:adjustRightInd w:val="0"/>
    </w:pPr>
    <w:rPr>
      <w:rFonts w:ascii="EUAlbertina" w:hAnsi="EUAlbertina"/>
    </w:rPr>
  </w:style>
  <w:style w:type="paragraph" w:customStyle="1" w:styleId="Default">
    <w:name w:val="Default"/>
    <w:rsid w:val="00A93E79"/>
    <w:pPr>
      <w:autoSpaceDE w:val="0"/>
      <w:autoSpaceDN w:val="0"/>
      <w:adjustRightInd w:val="0"/>
      <w:spacing w:after="0" w:line="240" w:lineRule="auto"/>
    </w:pPr>
    <w:rPr>
      <w:rFonts w:ascii="EUAlbertina" w:eastAsia="Times New Roman" w:hAnsi="EUAlbertina" w:cs="EUAlbertina"/>
      <w:color w:val="000000"/>
      <w:sz w:val="24"/>
      <w:szCs w:val="24"/>
      <w:lang w:eastAsia="pl-PL"/>
    </w:rPr>
  </w:style>
  <w:style w:type="paragraph" w:styleId="Tekstpodstawowywcity2">
    <w:name w:val="Body Text Indent 2"/>
    <w:basedOn w:val="Normalny"/>
    <w:link w:val="Tekstpodstawowywcity2Znak1"/>
    <w:rsid w:val="00A93E79"/>
    <w:pPr>
      <w:autoSpaceDE w:val="0"/>
      <w:autoSpaceDN w:val="0"/>
      <w:spacing w:before="120" w:after="120"/>
      <w:ind w:firstLine="340"/>
      <w:jc w:val="both"/>
    </w:pPr>
    <w:rPr>
      <w:rFonts w:ascii="Univers" w:hAnsi="Univers"/>
      <w:b/>
      <w:bCs/>
      <w:kern w:val="18"/>
      <w:sz w:val="20"/>
      <w:szCs w:val="20"/>
    </w:rPr>
  </w:style>
  <w:style w:type="character" w:customStyle="1" w:styleId="Tekstpodstawowywcity2Znak">
    <w:name w:val="Tekst podstawowy wcięty 2 Znak"/>
    <w:basedOn w:val="Domylnaczcionkaakapitu"/>
    <w:rsid w:val="00A93E79"/>
    <w:rPr>
      <w:rFonts w:ascii="Times New Roman" w:eastAsia="Times New Roman" w:hAnsi="Times New Roman" w:cs="Times New Roman"/>
      <w:sz w:val="24"/>
      <w:szCs w:val="24"/>
      <w:lang w:eastAsia="pl-PL"/>
    </w:rPr>
  </w:style>
  <w:style w:type="character" w:customStyle="1" w:styleId="Tekstpodstawowywcity2Znak1">
    <w:name w:val="Tekst podstawowy wcięty 2 Znak1"/>
    <w:link w:val="Tekstpodstawowywcity2"/>
    <w:locked/>
    <w:rsid w:val="00A93E79"/>
    <w:rPr>
      <w:rFonts w:ascii="Univers" w:eastAsia="Times New Roman" w:hAnsi="Univers" w:cs="Times New Roman"/>
      <w:b/>
      <w:bCs/>
      <w:kern w:val="18"/>
      <w:sz w:val="20"/>
      <w:szCs w:val="20"/>
      <w:lang w:eastAsia="pl-PL"/>
    </w:rPr>
  </w:style>
  <w:style w:type="paragraph" w:styleId="Nagwek">
    <w:name w:val="header"/>
    <w:basedOn w:val="Normalny"/>
    <w:link w:val="NagwekZnak"/>
    <w:rsid w:val="00A93E79"/>
    <w:pPr>
      <w:tabs>
        <w:tab w:val="center" w:pos="4536"/>
        <w:tab w:val="right" w:pos="9072"/>
      </w:tabs>
    </w:pPr>
  </w:style>
  <w:style w:type="character" w:customStyle="1" w:styleId="NagwekZnak">
    <w:name w:val="Nagłówek Znak"/>
    <w:basedOn w:val="Domylnaczcionkaakapitu"/>
    <w:link w:val="Nagwek"/>
    <w:rsid w:val="00A93E79"/>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93E79"/>
    <w:pPr>
      <w:tabs>
        <w:tab w:val="center" w:pos="4536"/>
        <w:tab w:val="right" w:pos="9072"/>
      </w:tabs>
    </w:pPr>
  </w:style>
  <w:style w:type="character" w:customStyle="1" w:styleId="StopkaZnak">
    <w:name w:val="Stopka Znak"/>
    <w:basedOn w:val="Domylnaczcionkaakapitu"/>
    <w:link w:val="Stopka"/>
    <w:uiPriority w:val="99"/>
    <w:rsid w:val="00A93E79"/>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1"/>
    <w:uiPriority w:val="99"/>
    <w:rsid w:val="00A93E79"/>
    <w:rPr>
      <w:sz w:val="20"/>
      <w:szCs w:val="20"/>
    </w:rPr>
  </w:style>
  <w:style w:type="character" w:customStyle="1" w:styleId="TekstkomentarzaZnak">
    <w:name w:val="Tekst komentarza Znak"/>
    <w:basedOn w:val="Domylnaczcionkaakapitu"/>
    <w:uiPriority w:val="99"/>
    <w:rsid w:val="00A93E79"/>
    <w:rPr>
      <w:rFonts w:ascii="Times New Roman" w:eastAsia="Times New Roman" w:hAnsi="Times New Roman" w:cs="Times New Roman"/>
      <w:sz w:val="20"/>
      <w:szCs w:val="20"/>
      <w:lang w:eastAsia="pl-PL"/>
    </w:rPr>
  </w:style>
  <w:style w:type="character" w:customStyle="1" w:styleId="TekstkomentarzaZnak1">
    <w:name w:val="Tekst komentarza Znak1"/>
    <w:link w:val="Tekstkomentarza"/>
    <w:uiPriority w:val="99"/>
    <w:rsid w:val="00A93E79"/>
    <w:rPr>
      <w:rFonts w:ascii="Times New Roman" w:eastAsia="Times New Roman" w:hAnsi="Times New Roman" w:cs="Times New Roman"/>
      <w:sz w:val="20"/>
      <w:szCs w:val="20"/>
      <w:lang w:eastAsia="pl-PL"/>
    </w:rPr>
  </w:style>
  <w:style w:type="paragraph" w:styleId="Spistreci1">
    <w:name w:val="toc 1"/>
    <w:basedOn w:val="Normalny"/>
    <w:next w:val="Normalny"/>
    <w:autoRedefine/>
    <w:rsid w:val="00A93E79"/>
    <w:pPr>
      <w:keepNext/>
      <w:tabs>
        <w:tab w:val="right" w:leader="dot" w:pos="9060"/>
      </w:tabs>
      <w:spacing w:after="60"/>
      <w:outlineLvl w:val="2"/>
    </w:pPr>
    <w:rPr>
      <w:b/>
      <w:sz w:val="22"/>
      <w:szCs w:val="20"/>
    </w:rPr>
  </w:style>
  <w:style w:type="character" w:customStyle="1" w:styleId="st1">
    <w:name w:val="st1"/>
    <w:basedOn w:val="Domylnaczcionkaakapitu"/>
    <w:rsid w:val="00A93E79"/>
  </w:style>
  <w:style w:type="paragraph" w:customStyle="1" w:styleId="LITlitera">
    <w:name w:val="LIT – litera"/>
    <w:basedOn w:val="Normalny"/>
    <w:uiPriority w:val="14"/>
    <w:qFormat/>
    <w:rsid w:val="00A93E79"/>
    <w:pPr>
      <w:spacing w:line="360" w:lineRule="auto"/>
      <w:ind w:left="986" w:hanging="476"/>
      <w:jc w:val="both"/>
    </w:pPr>
    <w:rPr>
      <w:rFonts w:ascii="Times" w:eastAsiaTheme="minorEastAsia" w:hAnsi="Times" w:cs="Arial"/>
      <w:bCs/>
      <w:szCs w:val="20"/>
    </w:rPr>
  </w:style>
  <w:style w:type="paragraph" w:customStyle="1" w:styleId="ZLITUSTzmustliter">
    <w:name w:val="Z_LIT/UST(§) – zm. ust. (§) literą"/>
    <w:basedOn w:val="Normalny"/>
    <w:uiPriority w:val="46"/>
    <w:qFormat/>
    <w:rsid w:val="00A93E79"/>
    <w:pPr>
      <w:suppressAutoHyphens/>
      <w:autoSpaceDE w:val="0"/>
      <w:autoSpaceDN w:val="0"/>
      <w:adjustRightInd w:val="0"/>
      <w:spacing w:line="360" w:lineRule="auto"/>
      <w:ind w:left="987" w:firstLine="510"/>
      <w:jc w:val="both"/>
    </w:pPr>
    <w:rPr>
      <w:rFonts w:ascii="Times" w:eastAsiaTheme="minorEastAsia" w:hAnsi="Times" w:cs="Arial"/>
      <w:bCs/>
      <w:szCs w:val="20"/>
    </w:rPr>
  </w:style>
  <w:style w:type="paragraph" w:customStyle="1" w:styleId="ZLITPKTzmpktliter">
    <w:name w:val="Z_LIT/PKT – zm. pkt literą"/>
    <w:basedOn w:val="Normalny"/>
    <w:uiPriority w:val="47"/>
    <w:qFormat/>
    <w:rsid w:val="00A93E79"/>
    <w:pPr>
      <w:spacing w:line="360" w:lineRule="auto"/>
      <w:ind w:left="1497" w:hanging="510"/>
      <w:jc w:val="both"/>
    </w:pPr>
    <w:rPr>
      <w:rFonts w:ascii="Times" w:eastAsiaTheme="minorEastAsia" w:hAnsi="Times" w:cs="Arial"/>
      <w:bCs/>
      <w:szCs w:val="20"/>
    </w:rPr>
  </w:style>
  <w:style w:type="paragraph" w:customStyle="1" w:styleId="ZLITLITwPKTzmlitwpktliter">
    <w:name w:val="Z_LIT/LIT_w_PKT – zm. lit. w pkt literą"/>
    <w:basedOn w:val="LITlitera"/>
    <w:uiPriority w:val="48"/>
    <w:qFormat/>
    <w:rsid w:val="00A93E79"/>
    <w:pPr>
      <w:ind w:left="1973"/>
    </w:pPr>
  </w:style>
  <w:style w:type="character" w:styleId="Odwoaniedokomentarza">
    <w:name w:val="annotation reference"/>
    <w:basedOn w:val="Domylnaczcionkaakapitu"/>
    <w:uiPriority w:val="99"/>
    <w:rsid w:val="00A93E79"/>
    <w:rPr>
      <w:sz w:val="16"/>
      <w:szCs w:val="16"/>
    </w:rPr>
  </w:style>
  <w:style w:type="paragraph" w:styleId="Tematkomentarza">
    <w:name w:val="annotation subject"/>
    <w:basedOn w:val="Tekstkomentarza"/>
    <w:next w:val="Tekstkomentarza"/>
    <w:link w:val="TematkomentarzaZnak"/>
    <w:rsid w:val="00A93E79"/>
    <w:rPr>
      <w:b/>
      <w:bCs/>
    </w:rPr>
  </w:style>
  <w:style w:type="character" w:customStyle="1" w:styleId="TematkomentarzaZnak">
    <w:name w:val="Temat komentarza Znak"/>
    <w:basedOn w:val="TekstkomentarzaZnak"/>
    <w:link w:val="Tematkomentarza"/>
    <w:rsid w:val="00A93E79"/>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A93E79"/>
    <w:rPr>
      <w:rFonts w:ascii="Tahoma" w:hAnsi="Tahoma" w:cs="Tahoma"/>
      <w:sz w:val="16"/>
      <w:szCs w:val="16"/>
    </w:rPr>
  </w:style>
  <w:style w:type="character" w:customStyle="1" w:styleId="TekstdymkaZnak">
    <w:name w:val="Tekst dymka Znak"/>
    <w:basedOn w:val="Domylnaczcionkaakapitu"/>
    <w:link w:val="Tekstdymka"/>
    <w:rsid w:val="00A93E79"/>
    <w:rPr>
      <w:rFonts w:ascii="Tahoma" w:eastAsia="Times New Roman" w:hAnsi="Tahoma" w:cs="Tahoma"/>
      <w:sz w:val="16"/>
      <w:szCs w:val="16"/>
      <w:lang w:eastAsia="pl-PL"/>
    </w:rPr>
  </w:style>
  <w:style w:type="paragraph" w:customStyle="1" w:styleId="BasicParagraph">
    <w:name w:val="[Basic Paragraph]"/>
    <w:basedOn w:val="Normalny"/>
    <w:rsid w:val="00A93E79"/>
    <w:pPr>
      <w:autoSpaceDE w:val="0"/>
      <w:autoSpaceDN w:val="0"/>
      <w:adjustRightInd w:val="0"/>
      <w:spacing w:line="288" w:lineRule="auto"/>
      <w:textAlignment w:val="center"/>
    </w:pPr>
    <w:rPr>
      <w:rFonts w:ascii="Calibri" w:eastAsia="Calibri" w:hAnsi="Calibri"/>
      <w:color w:val="000000"/>
      <w:lang w:val="en-GB" w:eastAsia="en-US"/>
    </w:rPr>
  </w:style>
  <w:style w:type="paragraph" w:styleId="Tekstprzypisudolnego">
    <w:name w:val="footnote text"/>
    <w:basedOn w:val="Normalny"/>
    <w:link w:val="TekstprzypisudolnegoZnak"/>
    <w:uiPriority w:val="99"/>
    <w:rsid w:val="00A93E79"/>
    <w:rPr>
      <w:sz w:val="20"/>
      <w:szCs w:val="20"/>
    </w:rPr>
  </w:style>
  <w:style w:type="character" w:customStyle="1" w:styleId="TekstprzypisudolnegoZnak">
    <w:name w:val="Tekst przypisu dolnego Znak"/>
    <w:basedOn w:val="Domylnaczcionkaakapitu"/>
    <w:link w:val="Tekstprzypisudolnego"/>
    <w:uiPriority w:val="99"/>
    <w:rsid w:val="00A93E79"/>
    <w:rPr>
      <w:rFonts w:ascii="Times New Roman" w:eastAsia="Times New Roman" w:hAnsi="Times New Roman" w:cs="Times New Roman"/>
      <w:sz w:val="20"/>
      <w:szCs w:val="20"/>
      <w:lang w:eastAsia="pl-PL"/>
    </w:rPr>
  </w:style>
  <w:style w:type="character" w:styleId="Odwoanieprzypisudolnego">
    <w:name w:val="footnote reference"/>
    <w:aliases w:val="Footnote Reference Superscript,BVI fnr,Footnote symbol,16 Point,Superscript 6 Point,Footnote Reference Number,Footnote Reference_LVL6,Footnote Reference_LVL61,Footnote Reference_LVL62,Footnote Reference_LVL63"/>
    <w:basedOn w:val="Domylnaczcionkaakapitu"/>
    <w:uiPriority w:val="99"/>
    <w:rsid w:val="00A93E79"/>
    <w:rPr>
      <w:vertAlign w:val="superscript"/>
    </w:rPr>
  </w:style>
  <w:style w:type="character" w:styleId="Pogrubienie">
    <w:name w:val="Strong"/>
    <w:uiPriority w:val="22"/>
    <w:qFormat/>
    <w:rsid w:val="00A93E79"/>
    <w:rPr>
      <w:b/>
      <w:bCs/>
    </w:rPr>
  </w:style>
  <w:style w:type="paragraph" w:styleId="NormalnyWeb">
    <w:name w:val="Normal (Web)"/>
    <w:basedOn w:val="Normalny"/>
    <w:rsid w:val="00A93E79"/>
    <w:pPr>
      <w:spacing w:before="100" w:beforeAutospacing="1" w:after="100" w:afterAutospacing="1"/>
    </w:pPr>
  </w:style>
  <w:style w:type="paragraph" w:styleId="Tekstpodstawowy">
    <w:name w:val="Body Text"/>
    <w:basedOn w:val="Normalny"/>
    <w:link w:val="TekstpodstawowyZnak"/>
    <w:rsid w:val="00A93E79"/>
    <w:pPr>
      <w:spacing w:after="120"/>
    </w:pPr>
  </w:style>
  <w:style w:type="character" w:customStyle="1" w:styleId="TekstpodstawowyZnak">
    <w:name w:val="Tekst podstawowy Znak"/>
    <w:basedOn w:val="Domylnaczcionkaakapitu"/>
    <w:link w:val="Tekstpodstawowy"/>
    <w:rsid w:val="00A93E79"/>
    <w:rPr>
      <w:rFonts w:ascii="Times New Roman" w:eastAsia="Times New Roman" w:hAnsi="Times New Roman" w:cs="Times New Roman"/>
      <w:sz w:val="24"/>
      <w:szCs w:val="24"/>
      <w:lang w:eastAsia="pl-PL"/>
    </w:rPr>
  </w:style>
  <w:style w:type="paragraph" w:customStyle="1" w:styleId="ARTartustawynprozporzdzenia">
    <w:name w:val="ART(§) – art. ustawy (§ np. rozporządzenia)"/>
    <w:link w:val="ARTartustawynprozporzdzeniaZnak"/>
    <w:uiPriority w:val="11"/>
    <w:qFormat/>
    <w:rsid w:val="00A93E79"/>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ARTartustawynprozporzdzeniaZnak">
    <w:name w:val="ART(§) – art. ustawy (§ np. rozporządzenia) Znak"/>
    <w:link w:val="ARTartustawynprozporzdzenia"/>
    <w:uiPriority w:val="11"/>
    <w:locked/>
    <w:rsid w:val="00A93E79"/>
    <w:rPr>
      <w:rFonts w:ascii="Times" w:eastAsia="Times New Roman" w:hAnsi="Times" w:cs="Arial"/>
      <w:sz w:val="24"/>
      <w:szCs w:val="20"/>
      <w:lang w:eastAsia="pl-PL"/>
    </w:rPr>
  </w:style>
  <w:style w:type="paragraph" w:styleId="Tekstprzypisukocowego">
    <w:name w:val="endnote text"/>
    <w:basedOn w:val="Normalny"/>
    <w:link w:val="TekstprzypisukocowegoZnak"/>
    <w:rsid w:val="00A93E79"/>
    <w:rPr>
      <w:sz w:val="20"/>
      <w:szCs w:val="20"/>
    </w:rPr>
  </w:style>
  <w:style w:type="character" w:customStyle="1" w:styleId="TekstprzypisukocowegoZnak">
    <w:name w:val="Tekst przypisu końcowego Znak"/>
    <w:basedOn w:val="Domylnaczcionkaakapitu"/>
    <w:link w:val="Tekstprzypisukocowego"/>
    <w:rsid w:val="00A93E79"/>
    <w:rPr>
      <w:rFonts w:ascii="Times New Roman" w:eastAsia="Times New Roman" w:hAnsi="Times New Roman" w:cs="Times New Roman"/>
      <w:sz w:val="20"/>
      <w:szCs w:val="20"/>
      <w:lang w:eastAsia="pl-PL"/>
    </w:rPr>
  </w:style>
  <w:style w:type="character" w:styleId="Odwoanieprzypisukocowego">
    <w:name w:val="endnote reference"/>
    <w:basedOn w:val="Domylnaczcionkaakapitu"/>
    <w:rsid w:val="00A93E79"/>
    <w:rPr>
      <w:vertAlign w:val="superscript"/>
    </w:rPr>
  </w:style>
  <w:style w:type="paragraph" w:customStyle="1" w:styleId="USTustnpkodeksu">
    <w:name w:val="UST(§) – ust. (§ np. kodeksu)"/>
    <w:basedOn w:val="ARTartustawynprozporzdzenia"/>
    <w:uiPriority w:val="12"/>
    <w:qFormat/>
    <w:rsid w:val="00A93E79"/>
    <w:pPr>
      <w:spacing w:before="0"/>
    </w:pPr>
    <w:rPr>
      <w:rFonts w:eastAsiaTheme="minorEastAsia"/>
      <w:bCs/>
    </w:rPr>
  </w:style>
  <w:style w:type="paragraph" w:customStyle="1" w:styleId="PKTpunkt">
    <w:name w:val="PKT – punkt"/>
    <w:uiPriority w:val="13"/>
    <w:qFormat/>
    <w:rsid w:val="00A93E79"/>
    <w:pPr>
      <w:spacing w:after="0" w:line="360" w:lineRule="auto"/>
      <w:ind w:left="510" w:hanging="510"/>
      <w:jc w:val="both"/>
    </w:pPr>
    <w:rPr>
      <w:rFonts w:ascii="Times" w:eastAsiaTheme="minorEastAsia" w:hAnsi="Times" w:cs="Arial"/>
      <w:bCs/>
      <w:sz w:val="24"/>
      <w:szCs w:val="20"/>
      <w:lang w:eastAsia="pl-PL"/>
    </w:rPr>
  </w:style>
  <w:style w:type="paragraph" w:customStyle="1" w:styleId="TYTDZPRZEDMprzedmiotregulacjitytuulubdziau">
    <w:name w:val="TYT(DZ)_PRZEDM – przedmiot regulacji tytułu lub działu"/>
    <w:next w:val="ARTartustawynprozporzdzenia"/>
    <w:uiPriority w:val="99"/>
    <w:qFormat/>
    <w:rsid w:val="00A93E7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A93E7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99"/>
    <w:qFormat/>
    <w:rsid w:val="00A93E7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ManualConsidrant">
    <w:name w:val="Manual Considérant"/>
    <w:basedOn w:val="Normalny"/>
    <w:link w:val="ManualConsidrantChar"/>
    <w:rsid w:val="00A93E79"/>
    <w:pPr>
      <w:spacing w:before="120"/>
      <w:ind w:left="850" w:hanging="850"/>
      <w:jc w:val="both"/>
    </w:pPr>
    <w:rPr>
      <w:szCs w:val="20"/>
      <w:lang w:bidi="pl-PL"/>
    </w:rPr>
  </w:style>
  <w:style w:type="character" w:customStyle="1" w:styleId="ManualConsidrantChar">
    <w:name w:val="Manual Considérant Char"/>
    <w:link w:val="ManualConsidrant"/>
    <w:locked/>
    <w:rsid w:val="00A93E79"/>
    <w:rPr>
      <w:rFonts w:ascii="Times New Roman" w:eastAsia="Times New Roman" w:hAnsi="Times New Roman" w:cs="Times New Roman"/>
      <w:sz w:val="24"/>
      <w:szCs w:val="20"/>
      <w:lang w:eastAsia="pl-PL" w:bidi="pl-PL"/>
    </w:rPr>
  </w:style>
  <w:style w:type="paragraph" w:customStyle="1" w:styleId="Point1">
    <w:name w:val="Point 1"/>
    <w:basedOn w:val="Normalny"/>
    <w:rsid w:val="00A93E79"/>
    <w:pPr>
      <w:spacing w:before="120"/>
      <w:ind w:left="1417" w:hanging="567"/>
      <w:jc w:val="both"/>
    </w:pPr>
    <w:rPr>
      <w:szCs w:val="20"/>
      <w:lang w:val="en-GB" w:eastAsia="en-US"/>
    </w:rPr>
  </w:style>
  <w:style w:type="paragraph" w:customStyle="1" w:styleId="Point0letter">
    <w:name w:val="Point 0 (letter)"/>
    <w:basedOn w:val="Normalny"/>
    <w:rsid w:val="00A93E79"/>
    <w:pPr>
      <w:numPr>
        <w:ilvl w:val="1"/>
        <w:numId w:val="27"/>
      </w:numPr>
      <w:spacing w:before="120"/>
      <w:jc w:val="both"/>
    </w:pPr>
    <w:rPr>
      <w:lang w:val="en-GB" w:eastAsia="en-US"/>
    </w:rPr>
  </w:style>
  <w:style w:type="paragraph" w:customStyle="1" w:styleId="Point0number">
    <w:name w:val="Point 0 (number)"/>
    <w:basedOn w:val="Normalny"/>
    <w:rsid w:val="00A93E79"/>
    <w:pPr>
      <w:numPr>
        <w:numId w:val="27"/>
      </w:numPr>
      <w:spacing w:before="120"/>
      <w:jc w:val="both"/>
    </w:pPr>
    <w:rPr>
      <w:lang w:val="en-GB" w:eastAsia="en-US"/>
    </w:rPr>
  </w:style>
  <w:style w:type="paragraph" w:customStyle="1" w:styleId="Point1letter">
    <w:name w:val="Point 1 (letter)"/>
    <w:basedOn w:val="Normalny"/>
    <w:rsid w:val="00A93E79"/>
    <w:pPr>
      <w:numPr>
        <w:ilvl w:val="3"/>
        <w:numId w:val="27"/>
      </w:numPr>
      <w:spacing w:before="120"/>
      <w:jc w:val="both"/>
    </w:pPr>
    <w:rPr>
      <w:lang w:val="en-GB" w:eastAsia="en-US"/>
    </w:rPr>
  </w:style>
  <w:style w:type="paragraph" w:customStyle="1" w:styleId="Point1number">
    <w:name w:val="Point 1 (number)"/>
    <w:basedOn w:val="Normalny"/>
    <w:rsid w:val="00A93E79"/>
    <w:pPr>
      <w:numPr>
        <w:ilvl w:val="2"/>
        <w:numId w:val="27"/>
      </w:numPr>
      <w:spacing w:before="120"/>
      <w:jc w:val="both"/>
    </w:pPr>
    <w:rPr>
      <w:lang w:val="en-GB" w:eastAsia="en-US"/>
    </w:rPr>
  </w:style>
  <w:style w:type="paragraph" w:customStyle="1" w:styleId="Point2letter">
    <w:name w:val="Point 2 (letter)"/>
    <w:basedOn w:val="Normalny"/>
    <w:rsid w:val="00A93E79"/>
    <w:pPr>
      <w:numPr>
        <w:ilvl w:val="5"/>
        <w:numId w:val="27"/>
      </w:numPr>
      <w:spacing w:before="120"/>
      <w:jc w:val="both"/>
    </w:pPr>
    <w:rPr>
      <w:lang w:val="en-GB" w:eastAsia="en-US"/>
    </w:rPr>
  </w:style>
  <w:style w:type="paragraph" w:customStyle="1" w:styleId="Point2number">
    <w:name w:val="Point 2 (number)"/>
    <w:basedOn w:val="Normalny"/>
    <w:rsid w:val="00A93E79"/>
    <w:pPr>
      <w:numPr>
        <w:ilvl w:val="4"/>
        <w:numId w:val="27"/>
      </w:numPr>
      <w:spacing w:before="120"/>
      <w:jc w:val="both"/>
    </w:pPr>
    <w:rPr>
      <w:lang w:val="en-GB" w:eastAsia="en-US"/>
    </w:rPr>
  </w:style>
  <w:style w:type="paragraph" w:customStyle="1" w:styleId="Point3letter">
    <w:name w:val="Point 3 (letter)"/>
    <w:basedOn w:val="Normalny"/>
    <w:rsid w:val="00A93E79"/>
    <w:pPr>
      <w:numPr>
        <w:ilvl w:val="7"/>
        <w:numId w:val="27"/>
      </w:numPr>
      <w:spacing w:before="120"/>
      <w:jc w:val="both"/>
    </w:pPr>
    <w:rPr>
      <w:lang w:val="en-GB" w:eastAsia="en-US"/>
    </w:rPr>
  </w:style>
  <w:style w:type="paragraph" w:customStyle="1" w:styleId="Point3number">
    <w:name w:val="Point 3 (number)"/>
    <w:basedOn w:val="Normalny"/>
    <w:rsid w:val="00A93E79"/>
    <w:pPr>
      <w:numPr>
        <w:ilvl w:val="6"/>
        <w:numId w:val="27"/>
      </w:numPr>
      <w:spacing w:before="120"/>
      <w:jc w:val="both"/>
    </w:pPr>
    <w:rPr>
      <w:lang w:val="en-GB" w:eastAsia="en-US"/>
    </w:rPr>
  </w:style>
  <w:style w:type="paragraph" w:customStyle="1" w:styleId="Point4letter">
    <w:name w:val="Point 4 (letter)"/>
    <w:basedOn w:val="Normalny"/>
    <w:rsid w:val="00A93E79"/>
    <w:pPr>
      <w:numPr>
        <w:ilvl w:val="8"/>
        <w:numId w:val="27"/>
      </w:numPr>
      <w:spacing w:before="120"/>
      <w:jc w:val="both"/>
    </w:pPr>
    <w:rPr>
      <w:lang w:val="en-GB" w:eastAsia="en-US"/>
    </w:rPr>
  </w:style>
  <w:style w:type="paragraph" w:customStyle="1" w:styleId="Text2">
    <w:name w:val="Text 2"/>
    <w:basedOn w:val="Normalny"/>
    <w:rsid w:val="00A93E79"/>
    <w:pPr>
      <w:spacing w:before="120"/>
      <w:ind w:left="1417"/>
      <w:jc w:val="both"/>
    </w:pPr>
    <w:rPr>
      <w:lang w:bidi="pl-PL"/>
    </w:rPr>
  </w:style>
  <w:style w:type="paragraph" w:customStyle="1" w:styleId="Text1">
    <w:name w:val="Text 1"/>
    <w:basedOn w:val="Normalny"/>
    <w:link w:val="Text1Char"/>
    <w:rsid w:val="00A93E79"/>
    <w:pPr>
      <w:spacing w:before="120" w:after="120" w:line="360" w:lineRule="auto"/>
      <w:ind w:left="850"/>
    </w:pPr>
    <w:rPr>
      <w:szCs w:val="20"/>
      <w:lang w:bidi="pl-PL"/>
    </w:rPr>
  </w:style>
  <w:style w:type="character" w:customStyle="1" w:styleId="Text1Char">
    <w:name w:val="Text 1 Char"/>
    <w:link w:val="Text1"/>
    <w:rsid w:val="00A93E79"/>
    <w:rPr>
      <w:rFonts w:ascii="Times New Roman" w:eastAsia="Times New Roman" w:hAnsi="Times New Roman" w:cs="Times New Roman"/>
      <w:sz w:val="24"/>
      <w:szCs w:val="20"/>
      <w:lang w:eastAsia="pl-PL" w:bidi="pl-PL"/>
    </w:rPr>
  </w:style>
  <w:style w:type="paragraph" w:styleId="Tekstpodstawowy2">
    <w:name w:val="Body Text 2"/>
    <w:basedOn w:val="Normalny"/>
    <w:link w:val="Tekstpodstawowy2Znak"/>
    <w:uiPriority w:val="99"/>
    <w:unhideWhenUsed/>
    <w:rsid w:val="00A93E79"/>
    <w:pPr>
      <w:spacing w:after="120" w:line="480" w:lineRule="auto"/>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uiPriority w:val="99"/>
    <w:rsid w:val="00A93E79"/>
    <w:rPr>
      <w:rFonts w:ascii="Calibri" w:eastAsia="Calibri" w:hAnsi="Calibri" w:cs="Times New Roman"/>
    </w:rPr>
  </w:style>
  <w:style w:type="paragraph" w:styleId="Bezodstpw">
    <w:name w:val="No Spacing"/>
    <w:uiPriority w:val="1"/>
    <w:qFormat/>
    <w:rsid w:val="00A93E79"/>
    <w:pPr>
      <w:spacing w:after="0" w:line="240" w:lineRule="auto"/>
    </w:pPr>
    <w:rPr>
      <w:rFonts w:ascii="Calibri" w:eastAsia="Calibri" w:hAnsi="Calibri" w:cs="Times New Roman"/>
    </w:rPr>
  </w:style>
  <w:style w:type="paragraph" w:customStyle="1" w:styleId="ZLITTIRwLITzmtirwlitliter">
    <w:name w:val="Z_LIT/TIR_w_LIT – zm. tir. w lit. literą"/>
    <w:basedOn w:val="Normalny"/>
    <w:uiPriority w:val="99"/>
    <w:rsid w:val="00A93E79"/>
    <w:pPr>
      <w:spacing w:line="360" w:lineRule="auto"/>
      <w:ind w:left="1860" w:hanging="397"/>
      <w:jc w:val="both"/>
    </w:pPr>
    <w:rPr>
      <w:rFonts w:ascii="Times" w:hAnsi="Times" w:cs="Times"/>
    </w:rPr>
  </w:style>
  <w:style w:type="paragraph" w:customStyle="1" w:styleId="TYTDZOZNoznaczenietytuulubdziau">
    <w:name w:val="TYT(DZ)_OZN – oznaczenie tytułu lub działu"/>
    <w:next w:val="Normalny"/>
    <w:uiPriority w:val="99"/>
    <w:rsid w:val="00A93E79"/>
    <w:pPr>
      <w:keepNext/>
      <w:spacing w:before="120" w:after="0" w:line="360" w:lineRule="auto"/>
      <w:jc w:val="center"/>
    </w:pPr>
    <w:rPr>
      <w:rFonts w:ascii="Times" w:eastAsia="Times New Roman" w:hAnsi="Times" w:cs="Times"/>
      <w:caps/>
      <w:kern w:val="24"/>
      <w:sz w:val="24"/>
      <w:szCs w:val="24"/>
      <w:lang w:eastAsia="pl-PL"/>
    </w:rPr>
  </w:style>
  <w:style w:type="character" w:customStyle="1" w:styleId="Ppogrubienie">
    <w:name w:val="_P_ – pogrubienie"/>
    <w:basedOn w:val="Domylnaczcionkaakapitu"/>
    <w:uiPriority w:val="1"/>
    <w:qFormat/>
    <w:rsid w:val="00A93E79"/>
    <w:rPr>
      <w:b/>
      <w:bCs/>
    </w:rPr>
  </w:style>
  <w:style w:type="paragraph" w:customStyle="1" w:styleId="SKARNsankcjakarnawszczeglnociwKodeksiekarnym">
    <w:name w:val="S_KARN – sankcja karna w szczególności w Kodeksie karnym"/>
    <w:basedOn w:val="USTustnpkodeksu"/>
    <w:next w:val="ARTartustawynprozporzdzenia"/>
    <w:uiPriority w:val="18"/>
    <w:qFormat/>
    <w:rsid w:val="00A93E79"/>
    <w:pPr>
      <w:ind w:left="510" w:firstLine="0"/>
    </w:pPr>
    <w:rPr>
      <w:rFonts w:eastAsia="Times New Roman"/>
    </w:rPr>
  </w:style>
  <w:style w:type="paragraph" w:customStyle="1" w:styleId="PKTODNONIKApunktodnonika">
    <w:name w:val="PKT_ODNOŚNIKA – punkt odnośnika"/>
    <w:basedOn w:val="Normalny"/>
    <w:uiPriority w:val="19"/>
    <w:qFormat/>
    <w:rsid w:val="00A93E79"/>
    <w:pPr>
      <w:ind w:left="568" w:hanging="284"/>
      <w:jc w:val="both"/>
    </w:pPr>
    <w:rPr>
      <w:rFonts w:eastAsiaTheme="minorEastAsia" w:cs="Arial"/>
      <w:sz w:val="20"/>
      <w:szCs w:val="20"/>
    </w:rPr>
  </w:style>
  <w:style w:type="paragraph" w:styleId="Poprawka">
    <w:name w:val="Revision"/>
    <w:hidden/>
    <w:uiPriority w:val="99"/>
    <w:semiHidden/>
    <w:rsid w:val="00A93E79"/>
    <w:pPr>
      <w:spacing w:after="0" w:line="240" w:lineRule="auto"/>
    </w:pPr>
    <w:rPr>
      <w:rFonts w:ascii="Times New Roman" w:eastAsia="Times New Roman" w:hAnsi="Times New Roman" w:cs="Times New Roman"/>
      <w:sz w:val="24"/>
      <w:szCs w:val="24"/>
      <w:lang w:eastAsia="pl-PL"/>
    </w:rPr>
  </w:style>
  <w:style w:type="paragraph" w:customStyle="1" w:styleId="Normalny1">
    <w:name w:val="Normalny1"/>
    <w:basedOn w:val="Normalny"/>
    <w:rsid w:val="004A78DE"/>
    <w:pPr>
      <w:spacing w:before="100" w:beforeAutospacing="1" w:after="100" w:afterAutospacing="1"/>
    </w:pPr>
  </w:style>
  <w:style w:type="character" w:styleId="Uwydatnienie">
    <w:name w:val="Emphasis"/>
    <w:basedOn w:val="Domylnaczcionkaakapitu"/>
    <w:uiPriority w:val="20"/>
    <w:qFormat/>
    <w:rsid w:val="004A78DE"/>
    <w:rPr>
      <w:i/>
      <w:iCs/>
    </w:rPr>
  </w:style>
  <w:style w:type="paragraph" w:customStyle="1" w:styleId="ZPKTzmpktartykuempunktem">
    <w:name w:val="Z/PKT – zm. pkt artykułem (punktem)"/>
    <w:basedOn w:val="PKTpunkt"/>
    <w:uiPriority w:val="31"/>
    <w:qFormat/>
    <w:rsid w:val="00D70C37"/>
    <w:pPr>
      <w:ind w:left="10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42">
      <w:bodyDiv w:val="1"/>
      <w:marLeft w:val="0"/>
      <w:marRight w:val="0"/>
      <w:marTop w:val="0"/>
      <w:marBottom w:val="0"/>
      <w:divBdr>
        <w:top w:val="none" w:sz="0" w:space="0" w:color="auto"/>
        <w:left w:val="none" w:sz="0" w:space="0" w:color="auto"/>
        <w:bottom w:val="none" w:sz="0" w:space="0" w:color="auto"/>
        <w:right w:val="none" w:sz="0" w:space="0" w:color="auto"/>
      </w:divBdr>
    </w:div>
    <w:div w:id="64692109">
      <w:bodyDiv w:val="1"/>
      <w:marLeft w:val="0"/>
      <w:marRight w:val="0"/>
      <w:marTop w:val="0"/>
      <w:marBottom w:val="0"/>
      <w:divBdr>
        <w:top w:val="none" w:sz="0" w:space="0" w:color="auto"/>
        <w:left w:val="none" w:sz="0" w:space="0" w:color="auto"/>
        <w:bottom w:val="none" w:sz="0" w:space="0" w:color="auto"/>
        <w:right w:val="none" w:sz="0" w:space="0" w:color="auto"/>
      </w:divBdr>
    </w:div>
    <w:div w:id="909080291">
      <w:bodyDiv w:val="1"/>
      <w:marLeft w:val="0"/>
      <w:marRight w:val="0"/>
      <w:marTop w:val="0"/>
      <w:marBottom w:val="0"/>
      <w:divBdr>
        <w:top w:val="none" w:sz="0" w:space="0" w:color="auto"/>
        <w:left w:val="none" w:sz="0" w:space="0" w:color="auto"/>
        <w:bottom w:val="none" w:sz="0" w:space="0" w:color="auto"/>
        <w:right w:val="none" w:sz="0" w:space="0" w:color="auto"/>
      </w:divBdr>
    </w:div>
    <w:div w:id="917901719">
      <w:bodyDiv w:val="1"/>
      <w:marLeft w:val="0"/>
      <w:marRight w:val="0"/>
      <w:marTop w:val="0"/>
      <w:marBottom w:val="0"/>
      <w:divBdr>
        <w:top w:val="none" w:sz="0" w:space="0" w:color="auto"/>
        <w:left w:val="none" w:sz="0" w:space="0" w:color="auto"/>
        <w:bottom w:val="none" w:sz="0" w:space="0" w:color="auto"/>
        <w:right w:val="none" w:sz="0" w:space="0" w:color="auto"/>
      </w:divBdr>
    </w:div>
    <w:div w:id="192348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ED632-6831-4D7A-9F0E-244F977EE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80</Pages>
  <Words>26939</Words>
  <Characters>161636</Characters>
  <Application>Microsoft Office Word</Application>
  <DocSecurity>0</DocSecurity>
  <Lines>1346</Lines>
  <Paragraphs>376</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188199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Walo Joanna</dc:creator>
  <cp:lastModifiedBy>Jankowska-Słomianko Dorota</cp:lastModifiedBy>
  <cp:revision>39</cp:revision>
  <cp:lastPrinted>2019-03-26T07:35:00Z</cp:lastPrinted>
  <dcterms:created xsi:type="dcterms:W3CDTF">2019-03-22T10:17:00Z</dcterms:created>
  <dcterms:modified xsi:type="dcterms:W3CDTF">2019-03-26T11:58:00Z</dcterms:modified>
</cp:coreProperties>
</file>