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6AC" w:rsidRDefault="007E26CA" w:rsidP="00DF5F5A">
      <w:pPr>
        <w:spacing w:after="240" w:line="360" w:lineRule="auto"/>
        <w:ind w:firstLine="567"/>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UZASADNIENIE</w:t>
      </w:r>
    </w:p>
    <w:p w:rsidR="00964F53" w:rsidRPr="00964F53" w:rsidRDefault="00964F53" w:rsidP="00964F53">
      <w:pPr>
        <w:suppressAutoHyphens/>
        <w:autoSpaceDE w:val="0"/>
        <w:autoSpaceDN w:val="0"/>
        <w:adjustRightInd w:val="0"/>
        <w:spacing w:before="120" w:after="0" w:line="360" w:lineRule="auto"/>
        <w:ind w:firstLine="510"/>
        <w:jc w:val="both"/>
        <w:rPr>
          <w:rFonts w:ascii="Times" w:eastAsiaTheme="minorEastAsia" w:hAnsi="Times" w:cs="Arial"/>
          <w:bCs/>
          <w:sz w:val="24"/>
          <w:szCs w:val="20"/>
          <w:lang w:eastAsia="pl-PL"/>
        </w:rPr>
      </w:pPr>
      <w:r w:rsidRPr="00964F53">
        <w:rPr>
          <w:rFonts w:ascii="Times" w:eastAsiaTheme="minorEastAsia" w:hAnsi="Times" w:cs="Arial"/>
          <w:bCs/>
          <w:sz w:val="24"/>
          <w:szCs w:val="20"/>
          <w:lang w:eastAsia="pl-PL"/>
        </w:rPr>
        <w:t>Proponowana zmiana w Kodeksie karnym wynika z konieczności wdrożenia do polskiego porządku prawnego przepisów dyrektywy Parlamentu Europejskiego i Rady (UE) 2017/541 z dnia 15 marca 2017 r. w sprawie zwalczania terroryzmu i zastępującej decyzję ramową Rady 2002/475/WSiSW oraz zmieniającej decyzję Rady 2005/671/WSiSW (Dz. Urz. UE L 88 z 31.03.2017</w:t>
      </w:r>
      <w:r w:rsidR="00737981">
        <w:rPr>
          <w:rFonts w:ascii="Times" w:eastAsiaTheme="minorEastAsia" w:hAnsi="Times" w:cs="Arial"/>
          <w:bCs/>
          <w:sz w:val="24"/>
          <w:szCs w:val="20"/>
          <w:lang w:eastAsia="pl-PL"/>
        </w:rPr>
        <w:t>,</w:t>
      </w:r>
      <w:r w:rsidRPr="00964F53">
        <w:rPr>
          <w:rFonts w:ascii="Times" w:eastAsiaTheme="minorEastAsia" w:hAnsi="Times" w:cs="Arial"/>
          <w:bCs/>
          <w:sz w:val="24"/>
          <w:szCs w:val="20"/>
          <w:lang w:eastAsia="pl-PL"/>
        </w:rPr>
        <w:t xml:space="preserve"> str. 6), zwanej dalej „dyrektywą 2017/541”.</w:t>
      </w:r>
    </w:p>
    <w:p w:rsidR="00964F53" w:rsidRPr="00964F53" w:rsidRDefault="00964F53" w:rsidP="00964F53">
      <w:pPr>
        <w:suppressAutoHyphens/>
        <w:autoSpaceDE w:val="0"/>
        <w:autoSpaceDN w:val="0"/>
        <w:adjustRightInd w:val="0"/>
        <w:spacing w:before="120" w:after="0" w:line="360" w:lineRule="auto"/>
        <w:ind w:firstLine="510"/>
        <w:jc w:val="both"/>
        <w:rPr>
          <w:rFonts w:ascii="Times" w:eastAsiaTheme="minorEastAsia" w:hAnsi="Times" w:cs="Arial"/>
          <w:bCs/>
          <w:sz w:val="24"/>
          <w:szCs w:val="20"/>
          <w:lang w:eastAsia="pl-PL"/>
        </w:rPr>
      </w:pPr>
      <w:r w:rsidRPr="00964F53">
        <w:rPr>
          <w:rFonts w:ascii="Times" w:eastAsiaTheme="minorEastAsia" w:hAnsi="Times" w:cs="Arial"/>
          <w:bCs/>
          <w:sz w:val="24"/>
          <w:szCs w:val="20"/>
          <w:lang w:eastAsia="pl-PL"/>
        </w:rPr>
        <w:t>Z uwagi na fakt wcześniejszej implementacji przez Polskę między innymi decyzji ramowej Rady 2002/475/WSiSW z dnia 13 czerwca 2002 r. w sprawie zwalczania terroryzmu (Dz. Urz. UE L 164 z 22.06.2002</w:t>
      </w:r>
      <w:r w:rsidR="00112EBF">
        <w:rPr>
          <w:rFonts w:ascii="Times" w:eastAsiaTheme="minorEastAsia" w:hAnsi="Times" w:cs="Arial"/>
          <w:bCs/>
          <w:sz w:val="24"/>
          <w:szCs w:val="20"/>
          <w:lang w:eastAsia="pl-PL"/>
        </w:rPr>
        <w:t>,</w:t>
      </w:r>
      <w:r w:rsidRPr="00964F53">
        <w:rPr>
          <w:rFonts w:ascii="Times" w:eastAsiaTheme="minorEastAsia" w:hAnsi="Times" w:cs="Arial"/>
          <w:bCs/>
          <w:sz w:val="24"/>
          <w:szCs w:val="20"/>
          <w:lang w:eastAsia="pl-PL"/>
        </w:rPr>
        <w:t xml:space="preserve"> str. 3), dotyczącej tego samego obszaru, zdecydowaną większość przepisów dyrektywy 2017/541 należy uznać za</w:t>
      </w:r>
      <w:r>
        <w:rPr>
          <w:rFonts w:ascii="Times" w:eastAsiaTheme="minorEastAsia" w:hAnsi="Times" w:cs="Arial"/>
          <w:bCs/>
          <w:sz w:val="24"/>
          <w:szCs w:val="20"/>
          <w:lang w:eastAsia="pl-PL"/>
        </w:rPr>
        <w:t xml:space="preserve"> implementowane. Przykładowo w </w:t>
      </w:r>
      <w:r w:rsidRPr="00964F53">
        <w:rPr>
          <w:rFonts w:ascii="Times" w:eastAsiaTheme="minorEastAsia" w:hAnsi="Times" w:cs="Arial"/>
          <w:bCs/>
          <w:sz w:val="24"/>
          <w:szCs w:val="20"/>
          <w:lang w:eastAsia="pl-PL"/>
        </w:rPr>
        <w:t xml:space="preserve">art. 115 § 20 </w:t>
      </w:r>
      <w:r w:rsidR="00204FD9">
        <w:rPr>
          <w:rFonts w:ascii="Times" w:eastAsiaTheme="minorEastAsia" w:hAnsi="Times" w:cs="Arial"/>
          <w:bCs/>
          <w:sz w:val="24"/>
          <w:szCs w:val="20"/>
          <w:lang w:eastAsia="pl-PL"/>
        </w:rPr>
        <w:t xml:space="preserve">ustawy </w:t>
      </w:r>
      <w:r>
        <w:rPr>
          <w:rFonts w:ascii="Times" w:eastAsiaTheme="minorEastAsia" w:hAnsi="Times" w:cs="Arial"/>
          <w:bCs/>
          <w:sz w:val="24"/>
          <w:szCs w:val="20"/>
          <w:lang w:eastAsia="pl-PL"/>
        </w:rPr>
        <w:t xml:space="preserve">z dnia 6 czerwca 1997 r. – </w:t>
      </w:r>
      <w:r w:rsidRPr="00964F53">
        <w:rPr>
          <w:rFonts w:ascii="Times" w:eastAsiaTheme="minorEastAsia" w:hAnsi="Times" w:cs="Arial"/>
          <w:bCs/>
          <w:sz w:val="24"/>
          <w:szCs w:val="20"/>
          <w:lang w:eastAsia="pl-PL"/>
        </w:rPr>
        <w:t>Kodeks karny (Dz. U. z 2018 r. poz. 1600 i 2077) istnieje już definicja przestępstwa o charakterze terrorystycznym, w art. 165a jest penalizowane finansowanie przestępstwa o charakterze terrorystycznym, a w art. 258 § 2 i 4 jest penalizowana działalność w ramach grupy przestępczej o charakterze terrorystycznym. Na marginesie należy wspomnieć, iż dyrektywa 2017/541 ma charakter przekrojowy i dotyka nie tylko obszaru prawa karnego, ale także tematów powiązanych, takich jak np. ochrona praw ofiar terroryzmu. Tutaj również jednak zdecydowana większość prac wdrożeniowych została już wykonana przy okazji implementacji wcześniejszych instrumentów unijnych, takich jak dyrektywa Parlamentu Europejskiego i Rady 2012/29/UE z dnia 25 października 2012 r. ustanawiająca normy minimalne w zakresie praw, wsparcia i ochrony ofiar przestępstw oraz zastępująca decyzję ramową Rady 2001/220/WSiSW (Dz. Urz. UE</w:t>
      </w:r>
      <w:r>
        <w:rPr>
          <w:rFonts w:ascii="Times" w:eastAsiaTheme="minorEastAsia" w:hAnsi="Times" w:cs="Arial"/>
          <w:bCs/>
          <w:sz w:val="24"/>
          <w:szCs w:val="20"/>
          <w:lang w:eastAsia="pl-PL"/>
        </w:rPr>
        <w:t xml:space="preserve"> L 315 z </w:t>
      </w:r>
      <w:r w:rsidRPr="00964F53">
        <w:rPr>
          <w:rFonts w:ascii="Times" w:eastAsiaTheme="minorEastAsia" w:hAnsi="Times" w:cs="Arial"/>
          <w:bCs/>
          <w:sz w:val="24"/>
          <w:szCs w:val="20"/>
          <w:lang w:eastAsia="pl-PL"/>
        </w:rPr>
        <w:t>14.11.2012</w:t>
      </w:r>
      <w:r>
        <w:rPr>
          <w:rFonts w:ascii="Times" w:eastAsiaTheme="minorEastAsia" w:hAnsi="Times" w:cs="Arial"/>
          <w:bCs/>
          <w:sz w:val="24"/>
          <w:szCs w:val="20"/>
          <w:lang w:eastAsia="pl-PL"/>
        </w:rPr>
        <w:t>,</w:t>
      </w:r>
      <w:r w:rsidRPr="00964F53">
        <w:rPr>
          <w:rFonts w:ascii="Times" w:eastAsiaTheme="minorEastAsia" w:hAnsi="Times" w:cs="Arial"/>
          <w:bCs/>
          <w:sz w:val="24"/>
          <w:szCs w:val="20"/>
          <w:lang w:eastAsia="pl-PL"/>
        </w:rPr>
        <w:t xml:space="preserve"> str. 57). Ponadto niektóre postulaty zawarte w dyrektywie nie wymagają działań legislacyjnych, a wyłącznie organizacyjnych.</w:t>
      </w:r>
    </w:p>
    <w:p w:rsidR="00964F53" w:rsidRPr="00964F53" w:rsidRDefault="00964F53" w:rsidP="00964F53">
      <w:pPr>
        <w:suppressAutoHyphens/>
        <w:autoSpaceDE w:val="0"/>
        <w:autoSpaceDN w:val="0"/>
        <w:adjustRightInd w:val="0"/>
        <w:spacing w:before="120" w:after="0" w:line="360" w:lineRule="auto"/>
        <w:ind w:firstLine="510"/>
        <w:jc w:val="both"/>
        <w:rPr>
          <w:rFonts w:ascii="Times New Roman" w:eastAsiaTheme="minorEastAsia" w:hAnsi="Times New Roman" w:cs="Times New Roman"/>
          <w:bCs/>
          <w:sz w:val="24"/>
          <w:szCs w:val="24"/>
          <w:lang w:eastAsia="pl-PL"/>
        </w:rPr>
      </w:pPr>
      <w:r w:rsidRPr="00964F53">
        <w:rPr>
          <w:rFonts w:ascii="Times" w:eastAsiaTheme="minorEastAsia" w:hAnsi="Times" w:cs="Arial"/>
          <w:bCs/>
          <w:sz w:val="24"/>
          <w:szCs w:val="20"/>
          <w:lang w:eastAsia="pl-PL"/>
        </w:rPr>
        <w:t>W projektowanej ustawie przewidziano nowelizację obecnego brzmienia art. 259a Kodeksu karnego przez wykreślenie z niego wyrazów „na terytorium innego państwa”. Zgodnie z obecnym brzmieniem przepisu penalizacji podlegają czyny polegające na przekroczeniu granicy Polski w celu popełnienia na terytoriu</w:t>
      </w:r>
      <w:r>
        <w:rPr>
          <w:rFonts w:ascii="Times" w:eastAsiaTheme="minorEastAsia" w:hAnsi="Times" w:cs="Arial"/>
          <w:bCs/>
          <w:sz w:val="24"/>
          <w:szCs w:val="20"/>
          <w:lang w:eastAsia="pl-PL"/>
        </w:rPr>
        <w:t>m innego państwa przestępstwa o </w:t>
      </w:r>
      <w:r w:rsidRPr="00964F53">
        <w:rPr>
          <w:rFonts w:ascii="Times" w:eastAsiaTheme="minorEastAsia" w:hAnsi="Times" w:cs="Arial"/>
          <w:bCs/>
          <w:sz w:val="24"/>
          <w:szCs w:val="20"/>
          <w:lang w:eastAsia="pl-PL"/>
        </w:rPr>
        <w:t xml:space="preserve">charakterze </w:t>
      </w:r>
      <w:r w:rsidRPr="00964F53">
        <w:rPr>
          <w:rFonts w:ascii="Times New Roman" w:eastAsiaTheme="minorEastAsia" w:hAnsi="Times New Roman" w:cs="Times New Roman"/>
          <w:bCs/>
          <w:sz w:val="24"/>
          <w:szCs w:val="24"/>
          <w:lang w:eastAsia="pl-PL"/>
        </w:rPr>
        <w:t xml:space="preserve">terrorystycznym lub </w:t>
      </w:r>
      <w:r w:rsidRPr="00964F53">
        <w:rPr>
          <w:rFonts w:ascii="Times New Roman" w:eastAsia="Times New Roman" w:hAnsi="Times New Roman" w:cs="Times New Roman"/>
          <w:bCs/>
          <w:sz w:val="24"/>
          <w:szCs w:val="24"/>
          <w:lang w:eastAsia="pl-PL"/>
        </w:rPr>
        <w:t xml:space="preserve">przestępstwa określonego w art. 255a (rozpowszechnianie treści mogących ułatwić popełnienie przestępstwa) lub art. 258 § 2 lub 4 (zorganizowana grupa i związek przestępczy). Wykreślenie wyrazów </w:t>
      </w:r>
      <w:r w:rsidRPr="00964F53">
        <w:rPr>
          <w:rFonts w:ascii="Times" w:eastAsiaTheme="minorEastAsia" w:hAnsi="Times" w:cs="Arial"/>
          <w:bCs/>
          <w:sz w:val="24"/>
          <w:szCs w:val="20"/>
          <w:lang w:eastAsia="pl-PL"/>
        </w:rPr>
        <w:t xml:space="preserve">„na terytorium innego państwa” spowoduje rozszerzenie zakresu penalizacji na zachowania polegające na przekroczeniu granicy Polski również w celu popełnienia na jej terytorium </w:t>
      </w:r>
      <w:r w:rsidR="00737981">
        <w:rPr>
          <w:rFonts w:ascii="Times" w:eastAsiaTheme="minorEastAsia" w:hAnsi="Times" w:cs="Arial"/>
          <w:bCs/>
          <w:sz w:val="24"/>
          <w:szCs w:val="20"/>
          <w:lang w:eastAsia="pl-PL"/>
        </w:rPr>
        <w:t xml:space="preserve">wyżej </w:t>
      </w:r>
      <w:r w:rsidRPr="00964F53">
        <w:rPr>
          <w:rFonts w:ascii="Times" w:eastAsiaTheme="minorEastAsia" w:hAnsi="Times" w:cs="Arial"/>
          <w:bCs/>
          <w:sz w:val="24"/>
          <w:szCs w:val="20"/>
          <w:lang w:eastAsia="pl-PL"/>
        </w:rPr>
        <w:t>w</w:t>
      </w:r>
      <w:r w:rsidR="00737981">
        <w:rPr>
          <w:rFonts w:ascii="Times" w:eastAsiaTheme="minorEastAsia" w:hAnsi="Times" w:cs="Arial"/>
          <w:bCs/>
          <w:sz w:val="24"/>
          <w:szCs w:val="20"/>
          <w:lang w:eastAsia="pl-PL"/>
        </w:rPr>
        <w:t>ymienionych</w:t>
      </w:r>
      <w:r w:rsidRPr="00964F53">
        <w:rPr>
          <w:rFonts w:ascii="Times" w:eastAsiaTheme="minorEastAsia" w:hAnsi="Times" w:cs="Arial"/>
          <w:bCs/>
          <w:sz w:val="24"/>
          <w:szCs w:val="20"/>
          <w:lang w:eastAsia="pl-PL"/>
        </w:rPr>
        <w:t xml:space="preserve"> przestępstw. </w:t>
      </w:r>
    </w:p>
    <w:p w:rsidR="00964F53" w:rsidRPr="00964F53" w:rsidRDefault="00964F53" w:rsidP="00964F53">
      <w:pPr>
        <w:suppressAutoHyphens/>
        <w:autoSpaceDE w:val="0"/>
        <w:autoSpaceDN w:val="0"/>
        <w:adjustRightInd w:val="0"/>
        <w:spacing w:before="120" w:after="0" w:line="360" w:lineRule="auto"/>
        <w:ind w:firstLine="510"/>
        <w:jc w:val="both"/>
        <w:rPr>
          <w:rFonts w:ascii="Times" w:eastAsiaTheme="minorEastAsia" w:hAnsi="Times" w:cs="Arial"/>
          <w:bCs/>
          <w:sz w:val="24"/>
          <w:szCs w:val="20"/>
          <w:lang w:eastAsia="pl-PL"/>
        </w:rPr>
      </w:pPr>
      <w:r w:rsidRPr="00964F53">
        <w:rPr>
          <w:rFonts w:ascii="Times" w:eastAsiaTheme="minorEastAsia" w:hAnsi="Times" w:cs="Arial"/>
          <w:bCs/>
          <w:sz w:val="24"/>
          <w:szCs w:val="20"/>
          <w:lang w:eastAsia="pl-PL"/>
        </w:rPr>
        <w:lastRenderedPageBreak/>
        <w:t>Zmiana ta wynika z konieczności implementacji art. 9 ust. 2 dyrektywy 2017/541. Dyrektywa 2017/541</w:t>
      </w:r>
      <w:r w:rsidR="00204FD9">
        <w:rPr>
          <w:rFonts w:ascii="Times" w:eastAsiaTheme="minorEastAsia" w:hAnsi="Times" w:cs="Arial"/>
          <w:bCs/>
          <w:sz w:val="24"/>
          <w:szCs w:val="20"/>
          <w:lang w:eastAsia="pl-PL"/>
        </w:rPr>
        <w:t xml:space="preserve"> </w:t>
      </w:r>
      <w:r w:rsidRPr="00964F53">
        <w:rPr>
          <w:rFonts w:ascii="Times" w:eastAsiaTheme="minorEastAsia" w:hAnsi="Times" w:cs="Arial"/>
          <w:bCs/>
          <w:sz w:val="24"/>
          <w:szCs w:val="20"/>
          <w:lang w:eastAsia="pl-PL"/>
        </w:rPr>
        <w:t xml:space="preserve">zobowiązuje alternatywnie do penalizacji jednego z czynów wskazanych w tym przepisie w punktach a i b. Zgodnie z art. 9 ust. 2a dyrektywy 2017/541 penalizacji miałby podlegać  umyślny czyn polegający na podróżowaniu do państwa członkowskiego w celu popełnienia lub przyczynienia się do popełnienia jednego z przestępstw terrorystycznych, o których mowa w art. 3 dyrektywy, w celu uczestniczenia w działaniach grupy terrorystycznej ze świadomością, że takie uczestnictwo będzie stanowiło wkład w działalność przestępczą grupy, o której to działalności mowa w art. 4, lub w celu prowadzenia lub odbycia szkolenia na potrzeby terroryzmu, o czym mowa w art. 7 i 8. Alternatywą jest penalizacja działań przygotowawczych podejmowanych przez osobę, która dostaje się na terytorium tego państwa członkowskiego z zamiarem popełnienia lub przyczynienia się do popełnienia jednego z przestępstw terrorystycznych, o których mowa w art. 3 dyrektywy 2017/541. Projektowana ustawa zakłada wywiązanie się z obowiązku implementacji tego przepisu przez wprowadzenie do polskiego porządku prawnego odpowiednika art. 9 ust. 2a dyrektywy 2017/541. Takie rozwiązanie jest uzasadnione przede wszystkim faktem, iż efekt prawidłowej implementacji wspomnianego przepisu można uzyskać już przez niewielką nowelizację art. 259a kk. Wykreślając z obecnie istniejącego przepisu wyrazy „na terytorium innego państwa”, projektuje się rozszerzenie obszaru penalizacji. Na marginesie należy wskazać, iż brak takiej możliwości na gruncie obecnego brzmienia art. 259a </w:t>
      </w:r>
      <w:r w:rsidR="00737981">
        <w:rPr>
          <w:rFonts w:ascii="Times" w:eastAsiaTheme="minorEastAsia" w:hAnsi="Times" w:cs="Arial"/>
          <w:bCs/>
          <w:sz w:val="24"/>
          <w:szCs w:val="20"/>
          <w:lang w:eastAsia="pl-PL"/>
        </w:rPr>
        <w:t>K</w:t>
      </w:r>
      <w:r w:rsidRPr="00964F53">
        <w:rPr>
          <w:rFonts w:ascii="Times" w:eastAsiaTheme="minorEastAsia" w:hAnsi="Times" w:cs="Arial"/>
          <w:bCs/>
          <w:sz w:val="24"/>
          <w:szCs w:val="20"/>
          <w:lang w:eastAsia="pl-PL"/>
        </w:rPr>
        <w:t xml:space="preserve">odeksu karnego został odnotowany w literaturze fachowej (zob. Komentarz do art. 259a </w:t>
      </w:r>
      <w:r w:rsidR="00737981">
        <w:rPr>
          <w:rFonts w:ascii="Times" w:eastAsiaTheme="minorEastAsia" w:hAnsi="Times" w:cs="Arial"/>
          <w:bCs/>
          <w:sz w:val="24"/>
          <w:szCs w:val="20"/>
          <w:lang w:eastAsia="pl-PL"/>
        </w:rPr>
        <w:t>K</w:t>
      </w:r>
      <w:r w:rsidRPr="00964F53">
        <w:rPr>
          <w:rFonts w:ascii="Times" w:eastAsiaTheme="minorEastAsia" w:hAnsi="Times" w:cs="Arial"/>
          <w:bCs/>
          <w:sz w:val="24"/>
          <w:szCs w:val="20"/>
          <w:lang w:eastAsia="pl-PL"/>
        </w:rPr>
        <w:t>odeksu karnego pod red. A. Grześkowiak i K. Wiak, 2018, Legalis oraz Komentarz pod red. R. Stefańskiego, 2017, Legalis).</w:t>
      </w:r>
    </w:p>
    <w:p w:rsidR="00964F53" w:rsidRPr="00964F53" w:rsidRDefault="00964F53" w:rsidP="00964F53">
      <w:pPr>
        <w:suppressAutoHyphens/>
        <w:autoSpaceDE w:val="0"/>
        <w:autoSpaceDN w:val="0"/>
        <w:adjustRightInd w:val="0"/>
        <w:spacing w:before="120" w:after="0" w:line="360" w:lineRule="auto"/>
        <w:ind w:firstLine="510"/>
        <w:jc w:val="both"/>
        <w:rPr>
          <w:rFonts w:ascii="Times" w:eastAsiaTheme="minorEastAsia" w:hAnsi="Times" w:cs="Arial"/>
          <w:bCs/>
          <w:sz w:val="24"/>
          <w:szCs w:val="20"/>
          <w:lang w:eastAsia="pl-PL"/>
        </w:rPr>
      </w:pPr>
      <w:r w:rsidRPr="00964F53">
        <w:rPr>
          <w:rFonts w:ascii="Times" w:eastAsiaTheme="minorEastAsia" w:hAnsi="Times" w:cs="Arial"/>
          <w:bCs/>
          <w:sz w:val="24"/>
          <w:szCs w:val="20"/>
          <w:lang w:eastAsia="pl-PL"/>
        </w:rPr>
        <w:t xml:space="preserve">Projekt ustawy jest zgodny </w:t>
      </w:r>
      <w:r w:rsidR="00737981">
        <w:rPr>
          <w:rFonts w:ascii="Times" w:eastAsiaTheme="minorEastAsia" w:hAnsi="Times" w:cs="Arial"/>
          <w:bCs/>
          <w:sz w:val="24"/>
          <w:szCs w:val="20"/>
          <w:lang w:eastAsia="pl-PL"/>
        </w:rPr>
        <w:t xml:space="preserve">z </w:t>
      </w:r>
      <w:r w:rsidRPr="00964F53">
        <w:rPr>
          <w:rFonts w:ascii="Times" w:eastAsiaTheme="minorEastAsia" w:hAnsi="Times" w:cs="Arial"/>
          <w:bCs/>
          <w:sz w:val="24"/>
          <w:szCs w:val="20"/>
          <w:lang w:eastAsia="pl-PL"/>
        </w:rPr>
        <w:t>prawem Unii Europejskiej.</w:t>
      </w:r>
    </w:p>
    <w:p w:rsidR="00964F53" w:rsidRPr="00964F53" w:rsidRDefault="00964F53" w:rsidP="00964F53">
      <w:pPr>
        <w:suppressAutoHyphens/>
        <w:autoSpaceDE w:val="0"/>
        <w:autoSpaceDN w:val="0"/>
        <w:adjustRightInd w:val="0"/>
        <w:spacing w:before="120" w:after="0" w:line="360" w:lineRule="auto"/>
        <w:ind w:firstLine="510"/>
        <w:jc w:val="both"/>
        <w:rPr>
          <w:rFonts w:ascii="Times" w:eastAsiaTheme="minorEastAsia" w:hAnsi="Times" w:cs="Arial"/>
          <w:bCs/>
          <w:sz w:val="24"/>
          <w:szCs w:val="20"/>
          <w:lang w:eastAsia="pl-PL"/>
        </w:rPr>
      </w:pPr>
      <w:r w:rsidRPr="00964F53">
        <w:rPr>
          <w:rFonts w:ascii="Times" w:eastAsiaTheme="minorEastAsia" w:hAnsi="Times" w:cs="Arial"/>
          <w:bCs/>
          <w:sz w:val="24"/>
          <w:szCs w:val="20"/>
          <w:lang w:eastAsia="pl-PL"/>
        </w:rPr>
        <w:t>Projekt nie zawiera przepisów technicznych, a zatem nie podlega notyfikacji zgodnie z trybem przewidzianym w rozporządzeniu Rady Ministrów z dnia 23 grudnia 2002 r. w sprawie sposobu funkcjonowania krajowego systemu notyfikacji norm i aktów prawnych (Dz. U. poz. 2039, z późn. zm.).</w:t>
      </w:r>
    </w:p>
    <w:p w:rsidR="00964F53" w:rsidRPr="00964F53" w:rsidRDefault="00964F53" w:rsidP="00964F53">
      <w:pPr>
        <w:suppressAutoHyphens/>
        <w:autoSpaceDE w:val="0"/>
        <w:autoSpaceDN w:val="0"/>
        <w:adjustRightInd w:val="0"/>
        <w:spacing w:before="120" w:after="0" w:line="360" w:lineRule="auto"/>
        <w:ind w:firstLine="510"/>
        <w:jc w:val="both"/>
        <w:rPr>
          <w:rFonts w:ascii="Times" w:eastAsiaTheme="minorEastAsia" w:hAnsi="Times" w:cs="Arial"/>
          <w:bCs/>
          <w:sz w:val="24"/>
          <w:szCs w:val="20"/>
          <w:lang w:eastAsia="pl-PL"/>
        </w:rPr>
      </w:pPr>
      <w:r w:rsidRPr="00964F53">
        <w:rPr>
          <w:rFonts w:ascii="Times" w:eastAsiaTheme="minorEastAsia" w:hAnsi="Times" w:cs="Arial"/>
          <w:bCs/>
          <w:sz w:val="24"/>
          <w:szCs w:val="20"/>
          <w:lang w:eastAsia="pl-PL"/>
        </w:rPr>
        <w:t>Zgodnie z art. 5 ustawy z dnia 7 lipca 2005 r. o działalności lobbingowej w procesie stanowienia prawa (Dz.</w:t>
      </w:r>
      <w:r>
        <w:rPr>
          <w:rFonts w:ascii="Times" w:eastAsiaTheme="minorEastAsia" w:hAnsi="Times" w:cs="Arial"/>
          <w:bCs/>
          <w:sz w:val="24"/>
          <w:szCs w:val="20"/>
          <w:lang w:eastAsia="pl-PL"/>
        </w:rPr>
        <w:t xml:space="preserve"> </w:t>
      </w:r>
      <w:r w:rsidRPr="00964F53">
        <w:rPr>
          <w:rFonts w:ascii="Times" w:eastAsiaTheme="minorEastAsia" w:hAnsi="Times" w:cs="Arial"/>
          <w:bCs/>
          <w:sz w:val="24"/>
          <w:szCs w:val="20"/>
          <w:lang w:eastAsia="pl-PL"/>
        </w:rPr>
        <w:t xml:space="preserve">U. z 2017 r. poz. 248) projekt ustawy został udostępniony w Biuletynie Informacji Publicznej na stronach internetowych Ministerstwa Sprawiedliwości i Rządowego Centrum Legislacji. </w:t>
      </w:r>
      <w:r w:rsidRPr="00964F53">
        <w:rPr>
          <w:rFonts w:ascii="Times New Roman" w:eastAsiaTheme="minorEastAsia" w:hAnsi="Times New Roman" w:cs="Times New Roman"/>
          <w:bCs/>
          <w:sz w:val="24"/>
          <w:szCs w:val="24"/>
          <w:lang w:eastAsia="pl-PL"/>
        </w:rPr>
        <w:t>Żaden z uprawnionych podmiotów nie wyraził zainteresowania udziałem w pracach nad</w:t>
      </w:r>
      <w:r w:rsidRPr="00964F53">
        <w:rPr>
          <w:rFonts w:ascii="Times" w:eastAsiaTheme="minorEastAsia" w:hAnsi="Times" w:cs="Arial"/>
          <w:bCs/>
          <w:sz w:val="24"/>
          <w:szCs w:val="20"/>
          <w:lang w:eastAsia="pl-PL"/>
        </w:rPr>
        <w:t xml:space="preserve"> projektem.</w:t>
      </w:r>
    </w:p>
    <w:p w:rsidR="00964F53" w:rsidRPr="00964F53" w:rsidRDefault="00964F53" w:rsidP="00964F53">
      <w:pPr>
        <w:widowControl w:val="0"/>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964F53">
        <w:rPr>
          <w:rFonts w:ascii="Times New Roman" w:eastAsia="Times New Roman" w:hAnsi="Times New Roman" w:cs="Times New Roman"/>
          <w:sz w:val="24"/>
          <w:szCs w:val="24"/>
          <w:lang w:eastAsia="pl-PL"/>
        </w:rPr>
        <w:t xml:space="preserve">Projekt ustawy nie wymaga przedstawienia właściwym organom i instytucjom Unii </w:t>
      </w:r>
      <w:r w:rsidRPr="00964F53">
        <w:rPr>
          <w:rFonts w:ascii="Times New Roman" w:eastAsia="Times New Roman" w:hAnsi="Times New Roman" w:cs="Times New Roman"/>
          <w:sz w:val="24"/>
          <w:szCs w:val="24"/>
          <w:lang w:eastAsia="pl-PL"/>
        </w:rPr>
        <w:lastRenderedPageBreak/>
        <w:t xml:space="preserve">Europejskiej, w tym Europejskiemu Bankowi Centralnemu, w celu uzyskania opinii, dokonania powiadomienia, konsultacji albo uzgodnienia. </w:t>
      </w:r>
    </w:p>
    <w:sectPr w:rsidR="00964F53" w:rsidRPr="00964F53" w:rsidSect="0072793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8F2" w:rsidRDefault="00CF08F2" w:rsidP="009D78F9">
      <w:pPr>
        <w:spacing w:after="0" w:line="240" w:lineRule="auto"/>
      </w:pPr>
      <w:r>
        <w:separator/>
      </w:r>
    </w:p>
  </w:endnote>
  <w:endnote w:type="continuationSeparator" w:id="0">
    <w:p w:rsidR="00CF08F2" w:rsidRDefault="00CF08F2"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756A70">
          <w:rPr>
            <w:rFonts w:ascii="Times New Roman" w:hAnsi="Times New Roman" w:cs="Times New Roman"/>
            <w:noProof/>
            <w:sz w:val="24"/>
            <w:szCs w:val="24"/>
          </w:rPr>
          <w:t>2</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8F2" w:rsidRDefault="00CF08F2" w:rsidP="009D78F9">
      <w:pPr>
        <w:spacing w:after="0" w:line="240" w:lineRule="auto"/>
      </w:pPr>
      <w:r>
        <w:separator/>
      </w:r>
    </w:p>
  </w:footnote>
  <w:footnote w:type="continuationSeparator" w:id="0">
    <w:p w:rsidR="00CF08F2" w:rsidRDefault="00CF08F2" w:rsidP="009D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6"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9"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7"/>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8"/>
  </w:num>
  <w:num w:numId="16">
    <w:abstractNumId w:val="23"/>
  </w:num>
  <w:num w:numId="17">
    <w:abstractNumId w:val="25"/>
  </w:num>
  <w:num w:numId="18">
    <w:abstractNumId w:val="9"/>
  </w:num>
  <w:num w:numId="19">
    <w:abstractNumId w:val="29"/>
  </w:num>
  <w:num w:numId="20">
    <w:abstractNumId w:val="31"/>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6"/>
  </w:num>
  <w:num w:numId="29">
    <w:abstractNumId w:val="4"/>
  </w:num>
  <w:num w:numId="30">
    <w:abstractNumId w:val="6"/>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56E79"/>
    <w:rsid w:val="00112EBF"/>
    <w:rsid w:val="001B3166"/>
    <w:rsid w:val="00204FD9"/>
    <w:rsid w:val="00236955"/>
    <w:rsid w:val="002D3299"/>
    <w:rsid w:val="00392C21"/>
    <w:rsid w:val="003938F7"/>
    <w:rsid w:val="003F6C95"/>
    <w:rsid w:val="00445210"/>
    <w:rsid w:val="00453BA3"/>
    <w:rsid w:val="004A2B6D"/>
    <w:rsid w:val="004A37A6"/>
    <w:rsid w:val="004E0A95"/>
    <w:rsid w:val="004F3862"/>
    <w:rsid w:val="005F249D"/>
    <w:rsid w:val="005F4005"/>
    <w:rsid w:val="006466AC"/>
    <w:rsid w:val="00725B90"/>
    <w:rsid w:val="00726F0A"/>
    <w:rsid w:val="00727934"/>
    <w:rsid w:val="00737981"/>
    <w:rsid w:val="007455B5"/>
    <w:rsid w:val="00756A70"/>
    <w:rsid w:val="007A3A37"/>
    <w:rsid w:val="007E26CA"/>
    <w:rsid w:val="00867028"/>
    <w:rsid w:val="00874676"/>
    <w:rsid w:val="00877B10"/>
    <w:rsid w:val="00882207"/>
    <w:rsid w:val="00887DB4"/>
    <w:rsid w:val="008D1573"/>
    <w:rsid w:val="008F6235"/>
    <w:rsid w:val="00964F53"/>
    <w:rsid w:val="009D78F9"/>
    <w:rsid w:val="009E788D"/>
    <w:rsid w:val="009F03C5"/>
    <w:rsid w:val="00AB053F"/>
    <w:rsid w:val="00AD453B"/>
    <w:rsid w:val="00C04DCD"/>
    <w:rsid w:val="00CF08F2"/>
    <w:rsid w:val="00D033A0"/>
    <w:rsid w:val="00D03895"/>
    <w:rsid w:val="00DF4048"/>
    <w:rsid w:val="00DF5F5A"/>
    <w:rsid w:val="00EE2731"/>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3C5296-B3FD-4E2D-ADB1-E4626DBC0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768</Words>
  <Characters>4608</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Grażyna D. Grabowska</cp:lastModifiedBy>
  <cp:revision>2</cp:revision>
  <cp:lastPrinted>2018-10-02T13:01:00Z</cp:lastPrinted>
  <dcterms:created xsi:type="dcterms:W3CDTF">2019-04-17T06:58:00Z</dcterms:created>
  <dcterms:modified xsi:type="dcterms:W3CDTF">2019-04-17T06:58:00Z</dcterms:modified>
</cp:coreProperties>
</file>