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069" w:rsidRPr="00C417DC" w:rsidRDefault="00360069" w:rsidP="00360069">
      <w:pPr>
        <w:jc w:val="center"/>
        <w:rPr>
          <w:rFonts w:ascii="Times" w:hAnsi="Times"/>
          <w:szCs w:val="24"/>
        </w:rPr>
      </w:pPr>
      <w:bookmarkStart w:id="0" w:name="_GoBack"/>
      <w:bookmarkEnd w:id="0"/>
      <w:r w:rsidRPr="00C417DC">
        <w:rPr>
          <w:rFonts w:ascii="Times" w:hAnsi="Times"/>
          <w:szCs w:val="24"/>
        </w:rPr>
        <w:t>UZASADNIENIE</w:t>
      </w:r>
    </w:p>
    <w:p w:rsidR="00360069" w:rsidRPr="00C417DC" w:rsidRDefault="00360069" w:rsidP="00360069">
      <w:pPr>
        <w:rPr>
          <w:rFonts w:ascii="Times" w:hAnsi="Times"/>
          <w:szCs w:val="24"/>
        </w:rPr>
      </w:pPr>
    </w:p>
    <w:p w:rsidR="0026530A" w:rsidRDefault="0026530A" w:rsidP="00E04BD4">
      <w:pPr>
        <w:ind w:firstLine="708"/>
        <w:rPr>
          <w:rFonts w:ascii="Times" w:hAnsi="Times"/>
          <w:szCs w:val="24"/>
        </w:rPr>
      </w:pPr>
      <w:r>
        <w:rPr>
          <w:rFonts w:ascii="Times" w:hAnsi="Times"/>
          <w:szCs w:val="24"/>
        </w:rPr>
        <w:t>Zmiany legislacyjne proponowane w projektowanej ustawie dotyczą regulacji związanych z obsadzaniem stanowisk funkcyjnych w Sądzie Najwyższym, postępowaniami nominacy</w:t>
      </w:r>
      <w:r w:rsidR="00B926B0">
        <w:rPr>
          <w:rFonts w:ascii="Times" w:hAnsi="Times"/>
          <w:szCs w:val="24"/>
        </w:rPr>
        <w:t xml:space="preserve">jnymi na stanowiska sędziowskie, </w:t>
      </w:r>
      <w:r>
        <w:rPr>
          <w:rFonts w:ascii="Times" w:hAnsi="Times"/>
          <w:szCs w:val="24"/>
        </w:rPr>
        <w:t xml:space="preserve">uchylaniem immunitetu sędziowskiego </w:t>
      </w:r>
      <w:r w:rsidR="00B926B0">
        <w:rPr>
          <w:rFonts w:ascii="Times" w:hAnsi="Times"/>
          <w:szCs w:val="24"/>
        </w:rPr>
        <w:t xml:space="preserve">albo prokuratorskiego oraz właściwością izb Sądu Najwyższego </w:t>
      </w:r>
      <w:r>
        <w:rPr>
          <w:rFonts w:ascii="Times" w:hAnsi="Times"/>
          <w:szCs w:val="24"/>
        </w:rPr>
        <w:t>i mają na celu usprawnienie procedur realizowanych w tym zakresie.</w:t>
      </w:r>
    </w:p>
    <w:p w:rsidR="0026530A" w:rsidRDefault="0026530A" w:rsidP="00E04BD4">
      <w:pPr>
        <w:ind w:firstLine="708"/>
        <w:rPr>
          <w:rFonts w:ascii="Times" w:hAnsi="Times"/>
          <w:szCs w:val="24"/>
        </w:rPr>
      </w:pPr>
    </w:p>
    <w:p w:rsidR="00E04BD4" w:rsidRDefault="00E04BD4" w:rsidP="00E04BD4">
      <w:pPr>
        <w:ind w:firstLine="708"/>
        <w:rPr>
          <w:rFonts w:ascii="Times" w:hAnsi="Times"/>
          <w:szCs w:val="24"/>
        </w:rPr>
      </w:pPr>
      <w:r>
        <w:rPr>
          <w:rFonts w:ascii="Times" w:hAnsi="Times"/>
          <w:szCs w:val="24"/>
        </w:rPr>
        <w:t xml:space="preserve">Zmiany </w:t>
      </w:r>
      <w:r w:rsidR="006E3B01">
        <w:rPr>
          <w:rFonts w:ascii="Times" w:hAnsi="Times"/>
          <w:szCs w:val="24"/>
        </w:rPr>
        <w:t xml:space="preserve">proponowane w </w:t>
      </w:r>
      <w:r w:rsidR="00FF25E1">
        <w:rPr>
          <w:rFonts w:ascii="Times" w:hAnsi="Times"/>
          <w:szCs w:val="24"/>
        </w:rPr>
        <w:t xml:space="preserve">art. 12, art. 13, art. 15 i art. 19 </w:t>
      </w:r>
      <w:r w:rsidR="006E3B01">
        <w:rPr>
          <w:rFonts w:ascii="Times" w:hAnsi="Times"/>
          <w:szCs w:val="24"/>
        </w:rPr>
        <w:t>ustaw</w:t>
      </w:r>
      <w:r w:rsidR="00FF25E1">
        <w:rPr>
          <w:rFonts w:ascii="Times" w:hAnsi="Times"/>
          <w:szCs w:val="24"/>
        </w:rPr>
        <w:t>y</w:t>
      </w:r>
      <w:r w:rsidRPr="00C64F02">
        <w:rPr>
          <w:rFonts w:ascii="Times" w:hAnsi="Times"/>
          <w:szCs w:val="24"/>
        </w:rPr>
        <w:t xml:space="preserve"> </w:t>
      </w:r>
      <w:r w:rsidR="00FF25E1">
        <w:rPr>
          <w:rFonts w:ascii="Times" w:hAnsi="Times"/>
          <w:szCs w:val="24"/>
        </w:rPr>
        <w:t>z dnia 8 grudnia 2017 </w:t>
      </w:r>
      <w:r>
        <w:rPr>
          <w:rFonts w:ascii="Times" w:hAnsi="Times"/>
          <w:szCs w:val="24"/>
        </w:rPr>
        <w:t>r. o</w:t>
      </w:r>
      <w:r w:rsidR="006E3B01">
        <w:rPr>
          <w:rFonts w:ascii="Times" w:hAnsi="Times"/>
          <w:szCs w:val="24"/>
        </w:rPr>
        <w:t xml:space="preserve"> Sądzie Najwyższym (Dz. </w:t>
      </w:r>
      <w:r w:rsidRPr="00C64F02">
        <w:rPr>
          <w:rFonts w:ascii="Times" w:hAnsi="Times"/>
          <w:szCs w:val="24"/>
        </w:rPr>
        <w:t>U</w:t>
      </w:r>
      <w:r>
        <w:rPr>
          <w:rFonts w:ascii="Times" w:hAnsi="Times"/>
          <w:szCs w:val="24"/>
        </w:rPr>
        <w:t>. z 2018 r. poz. 5, z późn. zm.</w:t>
      </w:r>
      <w:r w:rsidRPr="00C64F02">
        <w:rPr>
          <w:rFonts w:ascii="Times" w:hAnsi="Times"/>
          <w:szCs w:val="24"/>
        </w:rPr>
        <w:t>)</w:t>
      </w:r>
      <w:r>
        <w:rPr>
          <w:rFonts w:ascii="Times" w:hAnsi="Times"/>
          <w:szCs w:val="24"/>
        </w:rPr>
        <w:t xml:space="preserve"> </w:t>
      </w:r>
      <w:r w:rsidR="006E3B01">
        <w:rPr>
          <w:rFonts w:ascii="Times" w:hAnsi="Times"/>
          <w:szCs w:val="24"/>
        </w:rPr>
        <w:t>służą uzupełnieniu regulacji dotyczących powoływania Pierwszego Prezesa o</w:t>
      </w:r>
      <w:r w:rsidR="00FF25E1">
        <w:rPr>
          <w:rFonts w:ascii="Times" w:hAnsi="Times"/>
          <w:szCs w:val="24"/>
        </w:rPr>
        <w:t>raz Prezesów Sądu Najwyższego i </w:t>
      </w:r>
      <w:r w:rsidR="006E3B01">
        <w:rPr>
          <w:rFonts w:ascii="Times" w:hAnsi="Times"/>
          <w:szCs w:val="24"/>
        </w:rPr>
        <w:t>zapewnieniu możliwości obsadzenia tych stanowisk t</w:t>
      </w:r>
      <w:r w:rsidR="00FF25E1">
        <w:rPr>
          <w:rFonts w:ascii="Times" w:hAnsi="Times"/>
          <w:szCs w:val="24"/>
        </w:rPr>
        <w:t>akże w takich sytuacjach, gdy w </w:t>
      </w:r>
      <w:r w:rsidR="006E3B01">
        <w:rPr>
          <w:rFonts w:ascii="Times" w:hAnsi="Times"/>
          <w:szCs w:val="24"/>
        </w:rPr>
        <w:t>rozsądnych terminach nie dojdzie do wyłonienia, z jakichkolwiek przyczyn, odpowiedniej liczby kandydatów na te stanowiska przez, odpowiednio, Zgromadzenie Ogólne Sędziów Sądu Najwyższego albo zgromadzenia ogólne sędziów poszczególnych izb Sądu Najwyższego. Rozwiązania te mają na celu zagwarantowanie możliwości nieprzerwanego funkcjonowania Sądu Najwyższego i właściwej organizacji jego pracy.</w:t>
      </w:r>
    </w:p>
    <w:p w:rsidR="00360069" w:rsidRDefault="00360069" w:rsidP="005A41C1">
      <w:pPr>
        <w:ind w:firstLine="708"/>
        <w:rPr>
          <w:rFonts w:ascii="Times" w:hAnsi="Times"/>
          <w:szCs w:val="24"/>
        </w:rPr>
      </w:pPr>
    </w:p>
    <w:p w:rsidR="00FF0B2D" w:rsidRDefault="00FF0B2D" w:rsidP="00DA19E0">
      <w:pPr>
        <w:ind w:firstLine="708"/>
      </w:pPr>
      <w:r>
        <w:rPr>
          <w:rFonts w:ascii="Times" w:hAnsi="Times"/>
          <w:szCs w:val="24"/>
        </w:rPr>
        <w:t>Zmiany w art. 27</w:t>
      </w:r>
      <w:r w:rsidRPr="00FF0B2D">
        <w:rPr>
          <w:rFonts w:ascii="Times" w:hAnsi="Times"/>
          <w:szCs w:val="24"/>
        </w:rPr>
        <w:t xml:space="preserve"> </w:t>
      </w:r>
      <w:r>
        <w:rPr>
          <w:rFonts w:ascii="Times" w:hAnsi="Times"/>
          <w:szCs w:val="24"/>
        </w:rPr>
        <w:t>ustawy</w:t>
      </w:r>
      <w:r w:rsidRPr="00C64F02">
        <w:rPr>
          <w:rFonts w:ascii="Times" w:hAnsi="Times"/>
          <w:szCs w:val="24"/>
        </w:rPr>
        <w:t xml:space="preserve"> </w:t>
      </w:r>
      <w:r>
        <w:rPr>
          <w:rFonts w:ascii="Times" w:hAnsi="Times"/>
          <w:szCs w:val="24"/>
        </w:rPr>
        <w:t>z dnia 8 grudnia 2017 r. o Sądzie Najwyższym, art. 39a ustawy z dnia 21 sierpnia 1997 r. – Prawo o ustroju sądów wojskowych (Dz. U. z 2018 r. poz. 1921, z późn. zm.), art. 110 ustawy</w:t>
      </w:r>
      <w:r w:rsidRPr="00CF2252">
        <w:rPr>
          <w:rFonts w:ascii="Times" w:hAnsi="Times"/>
          <w:szCs w:val="24"/>
        </w:rPr>
        <w:t xml:space="preserve"> z </w:t>
      </w:r>
      <w:r>
        <w:rPr>
          <w:rFonts w:ascii="Times" w:hAnsi="Times"/>
          <w:szCs w:val="24"/>
        </w:rPr>
        <w:t>dnia 27 lipca 2001 r. – Prawo o </w:t>
      </w:r>
      <w:r w:rsidRPr="00CF2252">
        <w:rPr>
          <w:rFonts w:ascii="Times" w:hAnsi="Times"/>
          <w:szCs w:val="24"/>
        </w:rPr>
        <w:t>ustroju sądów powszechnych (Dz. U. z 2019 r. poz. 52</w:t>
      </w:r>
      <w:r>
        <w:rPr>
          <w:rFonts w:ascii="Times" w:hAnsi="Times"/>
          <w:szCs w:val="24"/>
        </w:rPr>
        <w:t>, z późn. zm.</w:t>
      </w:r>
      <w:r w:rsidRPr="00CF2252">
        <w:rPr>
          <w:rFonts w:ascii="Times" w:hAnsi="Times"/>
          <w:szCs w:val="24"/>
        </w:rPr>
        <w:t>)</w:t>
      </w:r>
      <w:r w:rsidRPr="00DA19E0">
        <w:rPr>
          <w:rFonts w:ascii="Times" w:hAnsi="Times"/>
          <w:szCs w:val="24"/>
        </w:rPr>
        <w:t xml:space="preserve"> </w:t>
      </w:r>
      <w:r>
        <w:rPr>
          <w:rFonts w:ascii="Times" w:hAnsi="Times"/>
          <w:szCs w:val="24"/>
        </w:rPr>
        <w:t xml:space="preserve">oraz art. 145 </w:t>
      </w:r>
      <w:r w:rsidRPr="00526943">
        <w:rPr>
          <w:rFonts w:ascii="Times" w:hAnsi="Times"/>
          <w:szCs w:val="24"/>
        </w:rPr>
        <w:t>ustaw</w:t>
      </w:r>
      <w:r>
        <w:rPr>
          <w:rFonts w:ascii="Times" w:hAnsi="Times"/>
          <w:szCs w:val="24"/>
        </w:rPr>
        <w:t>y</w:t>
      </w:r>
      <w:r w:rsidRPr="00526943">
        <w:rPr>
          <w:rFonts w:ascii="Times" w:hAnsi="Times"/>
          <w:szCs w:val="24"/>
        </w:rPr>
        <w:t xml:space="preserve"> z dnia 28 stycznia 2016 r. – Prawo o prokurat</w:t>
      </w:r>
      <w:r>
        <w:rPr>
          <w:rFonts w:ascii="Times" w:hAnsi="Times"/>
          <w:szCs w:val="24"/>
        </w:rPr>
        <w:t>urze (Dz. U. z 2017 r. poz. 1767, z późn. zm.</w:t>
      </w:r>
      <w:r w:rsidRPr="00526943">
        <w:rPr>
          <w:rFonts w:ascii="Times" w:hAnsi="Times"/>
          <w:szCs w:val="24"/>
        </w:rPr>
        <w:t>)</w:t>
      </w:r>
      <w:r>
        <w:rPr>
          <w:rFonts w:ascii="Times" w:hAnsi="Times"/>
          <w:szCs w:val="24"/>
        </w:rPr>
        <w:t xml:space="preserve"> służą wprowadzeniu</w:t>
      </w:r>
      <w:r w:rsidR="00DA19E0" w:rsidRPr="00DA19E0">
        <w:rPr>
          <w:rFonts w:ascii="Times" w:hAnsi="Times"/>
          <w:szCs w:val="24"/>
        </w:rPr>
        <w:t xml:space="preserve"> właściwości Sądu Najwyższego w zakresie rozpoznawania wniosków </w:t>
      </w:r>
      <w:r w:rsidRPr="00832472">
        <w:t>o zezwolenie na pociągnięcie do odpowiedzialności kar</w:t>
      </w:r>
      <w:r>
        <w:t>nej lub tymczasowe aresztowanie</w:t>
      </w:r>
      <w:r w:rsidRPr="00832472">
        <w:t xml:space="preserve"> sędziów, asesorów sądowych i prokuratorów</w:t>
      </w:r>
      <w:r>
        <w:t xml:space="preserve"> (oraz </w:t>
      </w:r>
      <w:r w:rsidR="00B810AA">
        <w:t xml:space="preserve">niewymienianych wprost </w:t>
      </w:r>
      <w:r>
        <w:t xml:space="preserve">asesorów prokuratury, do których zgodnie z art. 174 § 1 pkt 1 ustawy </w:t>
      </w:r>
      <w:r w:rsidRPr="00526943">
        <w:rPr>
          <w:rFonts w:ascii="Times" w:hAnsi="Times"/>
          <w:szCs w:val="24"/>
        </w:rPr>
        <w:t>– Prawo o prokurat</w:t>
      </w:r>
      <w:r>
        <w:rPr>
          <w:rFonts w:ascii="Times" w:hAnsi="Times"/>
          <w:szCs w:val="24"/>
        </w:rPr>
        <w:t xml:space="preserve">urze </w:t>
      </w:r>
      <w:r>
        <w:t>stosuje się odpowiednio przepisy dotyczące prokuratorów).</w:t>
      </w:r>
    </w:p>
    <w:p w:rsidR="00DA19E0" w:rsidRPr="00DA19E0" w:rsidRDefault="00F66C4D" w:rsidP="00DA19E0">
      <w:pPr>
        <w:ind w:firstLine="708"/>
        <w:rPr>
          <w:rFonts w:ascii="Times" w:hAnsi="Times"/>
          <w:szCs w:val="24"/>
        </w:rPr>
      </w:pPr>
      <w:r>
        <w:rPr>
          <w:rFonts w:ascii="Times" w:hAnsi="Times"/>
          <w:szCs w:val="24"/>
        </w:rPr>
        <w:t xml:space="preserve">Proponowane rozwiązanie </w:t>
      </w:r>
      <w:r w:rsidR="00DA19E0" w:rsidRPr="00DA19E0">
        <w:rPr>
          <w:rFonts w:ascii="Times" w:hAnsi="Times"/>
          <w:szCs w:val="24"/>
        </w:rPr>
        <w:t xml:space="preserve">służyć będzie ujednoliceniu praktyki w sprawach </w:t>
      </w:r>
      <w:r>
        <w:rPr>
          <w:rFonts w:ascii="Times" w:hAnsi="Times"/>
          <w:szCs w:val="24"/>
        </w:rPr>
        <w:t>o uchylenie immunitetu</w:t>
      </w:r>
      <w:r w:rsidR="00DA19E0" w:rsidRPr="00DA19E0">
        <w:rPr>
          <w:rFonts w:ascii="Times" w:hAnsi="Times"/>
          <w:szCs w:val="24"/>
        </w:rPr>
        <w:t xml:space="preserve"> w oparciu o wypracowane standardy orzecznicze, jak również przyspieszeniu rozpatrywania wniosków </w:t>
      </w:r>
      <w:r>
        <w:rPr>
          <w:rFonts w:ascii="Times" w:hAnsi="Times"/>
          <w:szCs w:val="24"/>
        </w:rPr>
        <w:t>w tym przedmiocie</w:t>
      </w:r>
      <w:r w:rsidR="00DA19E0" w:rsidRPr="00DA19E0">
        <w:rPr>
          <w:rFonts w:ascii="Times" w:hAnsi="Times"/>
          <w:szCs w:val="24"/>
        </w:rPr>
        <w:t xml:space="preserve">, co ma znaczenie zarówno dla organów postępowania karnego, jak i </w:t>
      </w:r>
      <w:r>
        <w:rPr>
          <w:rFonts w:ascii="Times" w:hAnsi="Times"/>
          <w:szCs w:val="24"/>
        </w:rPr>
        <w:t>osoby objętej zarzutami</w:t>
      </w:r>
      <w:r w:rsidR="006B43F9">
        <w:rPr>
          <w:rFonts w:ascii="Times" w:hAnsi="Times"/>
          <w:szCs w:val="24"/>
        </w:rPr>
        <w:t>.</w:t>
      </w:r>
    </w:p>
    <w:p w:rsidR="00DA19E0" w:rsidRPr="00DA19E0" w:rsidRDefault="00F66C4D" w:rsidP="00DA19E0">
      <w:pPr>
        <w:ind w:firstLine="708"/>
        <w:rPr>
          <w:rFonts w:ascii="Times" w:hAnsi="Times"/>
          <w:szCs w:val="24"/>
        </w:rPr>
      </w:pPr>
      <w:r>
        <w:rPr>
          <w:rFonts w:ascii="Times" w:hAnsi="Times"/>
          <w:szCs w:val="24"/>
        </w:rPr>
        <w:t>C</w:t>
      </w:r>
      <w:r w:rsidR="00DA19E0" w:rsidRPr="00DA19E0">
        <w:rPr>
          <w:rFonts w:ascii="Times" w:hAnsi="Times"/>
          <w:szCs w:val="24"/>
        </w:rPr>
        <w:t xml:space="preserve">elowe jest </w:t>
      </w:r>
      <w:r>
        <w:rPr>
          <w:rFonts w:ascii="Times" w:hAnsi="Times"/>
          <w:szCs w:val="24"/>
        </w:rPr>
        <w:t>powierzenie rozpoznawania spraw z tego zakresu</w:t>
      </w:r>
      <w:r w:rsidR="00DA19E0" w:rsidRPr="00DA19E0">
        <w:rPr>
          <w:rFonts w:ascii="Times" w:hAnsi="Times"/>
          <w:szCs w:val="24"/>
        </w:rPr>
        <w:t xml:space="preserve"> Izbie Dyscyplinarnej Sądu Najwyższego, </w:t>
      </w:r>
      <w:r>
        <w:rPr>
          <w:rFonts w:ascii="Times" w:hAnsi="Times"/>
          <w:szCs w:val="24"/>
        </w:rPr>
        <w:t xml:space="preserve">do której właściwości należy już rozpoznawanie spraw </w:t>
      </w:r>
      <w:r w:rsidRPr="00832472">
        <w:t xml:space="preserve">o zezwolenie na </w:t>
      </w:r>
      <w:r w:rsidRPr="00832472">
        <w:lastRenderedPageBreak/>
        <w:t>pociągnięcie do odpowiedzialności kar</w:t>
      </w:r>
      <w:r>
        <w:t xml:space="preserve">nej lub tymczasowe </w:t>
      </w:r>
      <w:r w:rsidRPr="00F66C4D">
        <w:rPr>
          <w:rFonts w:ascii="Times" w:hAnsi="Times"/>
          <w:szCs w:val="24"/>
        </w:rPr>
        <w:t xml:space="preserve">aresztowanie sędziów Sądu Najwyższego </w:t>
      </w:r>
      <w:r>
        <w:rPr>
          <w:rFonts w:ascii="Times" w:hAnsi="Times"/>
          <w:szCs w:val="24"/>
        </w:rPr>
        <w:t xml:space="preserve">oraz rozpoznawanie już w pierwszej instancji w odniesieniu do wszystkich sędziów i prokuratorów </w:t>
      </w:r>
      <w:r w:rsidRPr="00F66C4D">
        <w:rPr>
          <w:rFonts w:ascii="Times" w:hAnsi="Times"/>
          <w:szCs w:val="24"/>
        </w:rPr>
        <w:t>spraw przewinień dyscyplinarnych wyczerpujących znamiona umyślnych przestępstw ściganych z oskarżenia publicznego lub umyślnych przestępstw skarbowych</w:t>
      </w:r>
      <w:r w:rsidR="00DA19E0" w:rsidRPr="00DA19E0">
        <w:rPr>
          <w:rFonts w:ascii="Times" w:hAnsi="Times"/>
          <w:szCs w:val="24"/>
        </w:rPr>
        <w:t>.</w:t>
      </w:r>
    </w:p>
    <w:p w:rsidR="003A3BEC" w:rsidRDefault="00B02CFE" w:rsidP="003A3BEC">
      <w:pPr>
        <w:ind w:firstLine="708"/>
        <w:rPr>
          <w:rFonts w:ascii="Times" w:hAnsi="Times"/>
          <w:szCs w:val="24"/>
        </w:rPr>
      </w:pPr>
      <w:r>
        <w:rPr>
          <w:rFonts w:ascii="Times" w:hAnsi="Times"/>
          <w:szCs w:val="24"/>
        </w:rPr>
        <w:t>Jednocześnie</w:t>
      </w:r>
      <w:r w:rsidR="003A3BEC">
        <w:rPr>
          <w:rFonts w:ascii="Times" w:hAnsi="Times"/>
          <w:szCs w:val="24"/>
        </w:rPr>
        <w:t xml:space="preserve"> w nowelizowanym art. 27 § 1 pkt 4 ustawy o Sądzie Najwyższym doprecyzowuje </w:t>
      </w:r>
      <w:r>
        <w:rPr>
          <w:rFonts w:ascii="Times" w:hAnsi="Times"/>
          <w:szCs w:val="24"/>
        </w:rPr>
        <w:t xml:space="preserve">się </w:t>
      </w:r>
      <w:r w:rsidR="003A3BEC">
        <w:rPr>
          <w:rFonts w:ascii="Times" w:hAnsi="Times"/>
          <w:szCs w:val="24"/>
        </w:rPr>
        <w:t xml:space="preserve">regulacje ustawowe przez wskazanie, że do właściwości Izby Dyscyplinarnej Sądu Najwyższego należą sprawy rozpatrywane przez Sąd Najwyższy w związku z odwołaniami od uchwał Krajowej Rady Sądownictwa. Dotychczas </w:t>
      </w:r>
      <w:r>
        <w:rPr>
          <w:rFonts w:ascii="Times" w:hAnsi="Times"/>
          <w:szCs w:val="24"/>
        </w:rPr>
        <w:t>jedynie art. </w:t>
      </w:r>
      <w:r w:rsidR="003A3BEC">
        <w:rPr>
          <w:rFonts w:ascii="Times" w:hAnsi="Times"/>
          <w:szCs w:val="24"/>
        </w:rPr>
        <w:t xml:space="preserve">27 § 4 pkt 3 ustawy normował, że Wydział Drugi Izby Dyscyplinarnej Sądu Najwyższego </w:t>
      </w:r>
      <w:r w:rsidR="003A3BEC" w:rsidRPr="00185537">
        <w:rPr>
          <w:rFonts w:ascii="Times" w:hAnsi="Times"/>
          <w:szCs w:val="24"/>
        </w:rPr>
        <w:t>rozpatruje odwołania od uchwał Krajowej Rady Sądownictwa</w:t>
      </w:r>
      <w:r w:rsidR="003A3BEC">
        <w:rPr>
          <w:rFonts w:ascii="Times" w:hAnsi="Times"/>
          <w:szCs w:val="24"/>
        </w:rPr>
        <w:t xml:space="preserve">, brak zaś </w:t>
      </w:r>
      <w:r>
        <w:rPr>
          <w:rFonts w:ascii="Times" w:hAnsi="Times"/>
          <w:szCs w:val="24"/>
        </w:rPr>
        <w:t>było odpowiednika tej normy w przepisie określającym ogólnie kategorie spraw powierzonych</w:t>
      </w:r>
      <w:r w:rsidR="003A3BEC">
        <w:rPr>
          <w:rFonts w:ascii="Times" w:hAnsi="Times"/>
          <w:szCs w:val="24"/>
        </w:rPr>
        <w:t xml:space="preserve"> Izbie Dyscyplinarnej.</w:t>
      </w:r>
    </w:p>
    <w:p w:rsidR="00B02CFE" w:rsidRDefault="00B02CFE" w:rsidP="003A3BEC">
      <w:pPr>
        <w:ind w:firstLine="708"/>
        <w:rPr>
          <w:rFonts w:ascii="Times" w:hAnsi="Times"/>
          <w:szCs w:val="24"/>
        </w:rPr>
      </w:pPr>
      <w:r>
        <w:rPr>
          <w:rFonts w:ascii="Times" w:hAnsi="Times"/>
          <w:szCs w:val="24"/>
        </w:rPr>
        <w:t>Ponadto projektowane zmiany w art. 27 ustawy o Sądzie Najwyższym i art. 110 ustawy – Prawo o ustroju sądów powszechnych zawierają uzupełnienia wskazujące na właściwość sądów dyscyplinarnych także w sprawach asesorów sądowych.</w:t>
      </w:r>
    </w:p>
    <w:p w:rsidR="00DA19E0" w:rsidRPr="005A41C1" w:rsidRDefault="00DA19E0" w:rsidP="005A41C1">
      <w:pPr>
        <w:ind w:firstLine="708"/>
        <w:rPr>
          <w:rFonts w:ascii="Times" w:hAnsi="Times"/>
          <w:szCs w:val="24"/>
        </w:rPr>
      </w:pPr>
    </w:p>
    <w:p w:rsidR="00054FD6" w:rsidRPr="00CB5F21" w:rsidRDefault="00054FD6" w:rsidP="00054FD6">
      <w:pPr>
        <w:ind w:firstLine="708"/>
        <w:rPr>
          <w:rFonts w:ascii="Times" w:hAnsi="Times"/>
          <w:szCs w:val="24"/>
        </w:rPr>
      </w:pPr>
      <w:r>
        <w:rPr>
          <w:rFonts w:ascii="Times" w:hAnsi="Times"/>
          <w:szCs w:val="24"/>
        </w:rPr>
        <w:t>Uzupełnienie art. 55 § 3 ustawy</w:t>
      </w:r>
      <w:r w:rsidRPr="00C64F02">
        <w:rPr>
          <w:rFonts w:ascii="Times" w:hAnsi="Times"/>
          <w:szCs w:val="24"/>
        </w:rPr>
        <w:t xml:space="preserve"> </w:t>
      </w:r>
      <w:r>
        <w:rPr>
          <w:rFonts w:ascii="Times" w:hAnsi="Times"/>
          <w:szCs w:val="24"/>
        </w:rPr>
        <w:t>z dnia 8 grudnia 2017 r. o Sądzie Najwyższym</w:t>
      </w:r>
      <w:r w:rsidRPr="00CB5F21">
        <w:rPr>
          <w:rFonts w:ascii="Times" w:hAnsi="Times"/>
          <w:szCs w:val="24"/>
        </w:rPr>
        <w:t xml:space="preserve"> </w:t>
      </w:r>
      <w:r>
        <w:rPr>
          <w:rFonts w:ascii="Times" w:hAnsi="Times"/>
          <w:szCs w:val="24"/>
        </w:rPr>
        <w:t>oraz analogiczne zmiany w art. 30 § 2 ustawy z dnia 21 sierpnia 1997 r. – Prawo o ustroju sądów wojskowych i w art. 80 § 2 ustawy</w:t>
      </w:r>
      <w:r w:rsidRPr="00CF2252">
        <w:rPr>
          <w:rFonts w:ascii="Times" w:hAnsi="Times"/>
          <w:szCs w:val="24"/>
        </w:rPr>
        <w:t xml:space="preserve"> z </w:t>
      </w:r>
      <w:r>
        <w:rPr>
          <w:rFonts w:ascii="Times" w:hAnsi="Times"/>
          <w:szCs w:val="24"/>
        </w:rPr>
        <w:t>dnia 27 lipca 2001 r. – Prawo o </w:t>
      </w:r>
      <w:r w:rsidRPr="00CF2252">
        <w:rPr>
          <w:rFonts w:ascii="Times" w:hAnsi="Times"/>
          <w:szCs w:val="24"/>
        </w:rPr>
        <w:t xml:space="preserve">ustroju sądów powszechnych </w:t>
      </w:r>
      <w:r>
        <w:rPr>
          <w:rFonts w:ascii="Times" w:hAnsi="Times"/>
          <w:szCs w:val="24"/>
        </w:rPr>
        <w:t>mają na celu</w:t>
      </w:r>
      <w:r w:rsidRPr="00CB5F21">
        <w:rPr>
          <w:rFonts w:ascii="Times" w:hAnsi="Times"/>
          <w:szCs w:val="24"/>
        </w:rPr>
        <w:t xml:space="preserve"> wprowadz</w:t>
      </w:r>
      <w:r>
        <w:rPr>
          <w:rFonts w:ascii="Times" w:hAnsi="Times"/>
          <w:szCs w:val="24"/>
        </w:rPr>
        <w:t>enie obowiązku</w:t>
      </w:r>
      <w:r w:rsidRPr="00CB5F21">
        <w:rPr>
          <w:rFonts w:ascii="Times" w:hAnsi="Times"/>
          <w:szCs w:val="24"/>
        </w:rPr>
        <w:t xml:space="preserve"> przedstawienia na piśmie uzasadnienia decyzji prezesa sądu nakazującej natychmiastowe zwolnienie sędziego, zatrzymanego na gorącym uc</w:t>
      </w:r>
      <w:r>
        <w:rPr>
          <w:rFonts w:ascii="Times" w:hAnsi="Times"/>
          <w:szCs w:val="24"/>
        </w:rPr>
        <w:t>zynku popełnienia przestępstwa.</w:t>
      </w:r>
    </w:p>
    <w:p w:rsidR="00054FD6" w:rsidRPr="00CB5F21" w:rsidRDefault="00054FD6" w:rsidP="00054FD6">
      <w:pPr>
        <w:ind w:firstLine="708"/>
        <w:rPr>
          <w:rFonts w:ascii="Times" w:hAnsi="Times"/>
          <w:szCs w:val="24"/>
        </w:rPr>
      </w:pPr>
      <w:r w:rsidRPr="00CB5F21">
        <w:rPr>
          <w:rFonts w:ascii="Times" w:hAnsi="Times"/>
          <w:szCs w:val="24"/>
        </w:rPr>
        <w:t xml:space="preserve">W pisemnym uzasadnieniu decyzji powinny zostać wskazane przyczyny zwolnienia oraz okoliczności, które w ocenie osoby podejmującej decyzję przemawiają za tym, </w:t>
      </w:r>
      <w:r>
        <w:rPr>
          <w:rFonts w:ascii="Times" w:hAnsi="Times"/>
          <w:szCs w:val="24"/>
        </w:rPr>
        <w:t>że</w:t>
      </w:r>
      <w:r w:rsidRPr="00CB5F21">
        <w:rPr>
          <w:rFonts w:ascii="Times" w:hAnsi="Times"/>
          <w:szCs w:val="24"/>
        </w:rPr>
        <w:t xml:space="preserve"> zwolnienie zatrzymanego sędziego nie wpłynie negatywnie na prawidłowość ustaleń faktycznych dokonywanych w ramach tzw. czyn</w:t>
      </w:r>
      <w:r>
        <w:rPr>
          <w:rFonts w:ascii="Times" w:hAnsi="Times"/>
          <w:szCs w:val="24"/>
        </w:rPr>
        <w:t>ności sprawdzających, czy też w </w:t>
      </w:r>
      <w:r w:rsidRPr="00CB5F21">
        <w:rPr>
          <w:rFonts w:ascii="Times" w:hAnsi="Times"/>
          <w:szCs w:val="24"/>
        </w:rPr>
        <w:t>późniejszym czasie w trakcie ewentualnego prowadzenia</w:t>
      </w:r>
      <w:r>
        <w:rPr>
          <w:rFonts w:ascii="Times" w:hAnsi="Times"/>
          <w:szCs w:val="24"/>
        </w:rPr>
        <w:t xml:space="preserve"> postępowania przygotowawczego.</w:t>
      </w:r>
    </w:p>
    <w:p w:rsidR="00054FD6" w:rsidRPr="00CB5F21" w:rsidRDefault="00054FD6" w:rsidP="00054FD6">
      <w:pPr>
        <w:ind w:firstLine="708"/>
        <w:rPr>
          <w:rFonts w:ascii="Times" w:hAnsi="Times"/>
          <w:szCs w:val="24"/>
        </w:rPr>
      </w:pPr>
      <w:r w:rsidRPr="00CB5F21">
        <w:rPr>
          <w:rFonts w:ascii="Times" w:hAnsi="Times"/>
          <w:szCs w:val="24"/>
        </w:rPr>
        <w:t xml:space="preserve">Wprowadzenie postulowanych zmian będzie pozostawać w zgodzie z interesem wymiaru sprawiedliwości, minimalizując ryzyko odczytywania przez opinię społeczną takich decyzji jako niezrozumiałych i merytorycznie nieuzasadnionych, i podejrzeń, że stanowią one przejaw solidarności zawodowej środowiska sędziowskiego. </w:t>
      </w:r>
      <w:r>
        <w:rPr>
          <w:rFonts w:ascii="Times" w:hAnsi="Times"/>
          <w:szCs w:val="24"/>
        </w:rPr>
        <w:t>Z</w:t>
      </w:r>
      <w:r w:rsidRPr="00CB5F21">
        <w:rPr>
          <w:rFonts w:ascii="Times" w:hAnsi="Times"/>
          <w:szCs w:val="24"/>
        </w:rPr>
        <w:t>większ</w:t>
      </w:r>
      <w:r>
        <w:rPr>
          <w:rFonts w:ascii="Times" w:hAnsi="Times"/>
          <w:szCs w:val="24"/>
        </w:rPr>
        <w:t>ą one</w:t>
      </w:r>
      <w:r w:rsidRPr="00CB5F21">
        <w:rPr>
          <w:rFonts w:ascii="Times" w:hAnsi="Times"/>
          <w:szCs w:val="24"/>
        </w:rPr>
        <w:t xml:space="preserve"> transpar</w:t>
      </w:r>
      <w:r>
        <w:rPr>
          <w:rFonts w:ascii="Times" w:hAnsi="Times"/>
          <w:szCs w:val="24"/>
        </w:rPr>
        <w:t xml:space="preserve">entność </w:t>
      </w:r>
      <w:r w:rsidRPr="00CB5F21">
        <w:rPr>
          <w:rFonts w:ascii="Times" w:hAnsi="Times"/>
          <w:szCs w:val="24"/>
        </w:rPr>
        <w:t>decyzji podejmowanych przez prezesów sądów w przypadkach ujęcia sędziego na gorącym uczynku popełnienia przestępstwa</w:t>
      </w:r>
      <w:r>
        <w:rPr>
          <w:rFonts w:ascii="Times" w:hAnsi="Times"/>
          <w:szCs w:val="24"/>
        </w:rPr>
        <w:t xml:space="preserve"> i przyczynią się do </w:t>
      </w:r>
      <w:r w:rsidRPr="00CB5F21">
        <w:rPr>
          <w:rFonts w:ascii="Times" w:hAnsi="Times"/>
          <w:szCs w:val="24"/>
        </w:rPr>
        <w:t>wzrost</w:t>
      </w:r>
      <w:r>
        <w:rPr>
          <w:rFonts w:ascii="Times" w:hAnsi="Times"/>
          <w:szCs w:val="24"/>
        </w:rPr>
        <w:t>u</w:t>
      </w:r>
      <w:r w:rsidRPr="00CB5F21">
        <w:rPr>
          <w:rFonts w:ascii="Times" w:hAnsi="Times"/>
          <w:szCs w:val="24"/>
        </w:rPr>
        <w:t xml:space="preserve"> autorytetu sądownictwa poprzez wykazanie racji leżących u podstaw decyzji o zwolnieniu zatrzymanego sędziego</w:t>
      </w:r>
      <w:r>
        <w:rPr>
          <w:rFonts w:ascii="Times" w:hAnsi="Times"/>
          <w:szCs w:val="24"/>
        </w:rPr>
        <w:t>.</w:t>
      </w:r>
    </w:p>
    <w:p w:rsidR="00054FD6" w:rsidRPr="00CB5F21" w:rsidRDefault="00054FD6" w:rsidP="00054FD6">
      <w:pPr>
        <w:ind w:firstLine="708"/>
        <w:rPr>
          <w:rFonts w:ascii="Times" w:hAnsi="Times"/>
          <w:szCs w:val="24"/>
        </w:rPr>
      </w:pPr>
      <w:r w:rsidRPr="00CB5F21">
        <w:rPr>
          <w:rFonts w:ascii="Times" w:hAnsi="Times"/>
          <w:szCs w:val="24"/>
        </w:rPr>
        <w:lastRenderedPageBreak/>
        <w:t xml:space="preserve">Podkreślić należy, </w:t>
      </w:r>
      <w:r>
        <w:rPr>
          <w:rFonts w:ascii="Times" w:hAnsi="Times"/>
          <w:szCs w:val="24"/>
        </w:rPr>
        <w:t>że</w:t>
      </w:r>
      <w:r w:rsidRPr="00CB5F21">
        <w:rPr>
          <w:rFonts w:ascii="Times" w:hAnsi="Times"/>
          <w:szCs w:val="24"/>
        </w:rPr>
        <w:t xml:space="preserve"> proponowane rozwiązanie nie wprowadza żadnych przesłanek warunkujących możliwość podjęcia przez prezesa sądu decyzji nakazującej zwolnienie zatrzymanego sędziego, a tym samym w żadnym stopniu nie </w:t>
      </w:r>
      <w:r>
        <w:rPr>
          <w:rFonts w:ascii="Times" w:hAnsi="Times"/>
          <w:szCs w:val="24"/>
        </w:rPr>
        <w:t>narusza gwarancji wynikającej z </w:t>
      </w:r>
      <w:r w:rsidRPr="00CB5F21">
        <w:rPr>
          <w:rFonts w:ascii="Times" w:hAnsi="Times"/>
          <w:szCs w:val="24"/>
        </w:rPr>
        <w:t xml:space="preserve">art. 181 Konstytucji. </w:t>
      </w:r>
    </w:p>
    <w:p w:rsidR="00054FD6" w:rsidRDefault="00054FD6" w:rsidP="00054FD6">
      <w:pPr>
        <w:ind w:firstLine="708"/>
        <w:rPr>
          <w:rFonts w:ascii="Times" w:hAnsi="Times"/>
          <w:szCs w:val="24"/>
        </w:rPr>
      </w:pPr>
    </w:p>
    <w:p w:rsidR="005A41C1" w:rsidRDefault="005A41C1" w:rsidP="005A41C1">
      <w:pPr>
        <w:ind w:firstLine="708"/>
        <w:rPr>
          <w:rFonts w:ascii="Times" w:hAnsi="Times"/>
          <w:szCs w:val="24"/>
        </w:rPr>
      </w:pPr>
      <w:r>
        <w:rPr>
          <w:rFonts w:ascii="Times" w:hAnsi="Times"/>
          <w:szCs w:val="24"/>
        </w:rPr>
        <w:t>Celem</w:t>
      </w:r>
      <w:r w:rsidRPr="005A41C1">
        <w:rPr>
          <w:rFonts w:ascii="Times" w:hAnsi="Times"/>
          <w:szCs w:val="24"/>
        </w:rPr>
        <w:t xml:space="preserve"> zmian</w:t>
      </w:r>
      <w:r w:rsidR="00B926B0">
        <w:rPr>
          <w:rFonts w:ascii="Times" w:hAnsi="Times"/>
          <w:szCs w:val="24"/>
        </w:rPr>
        <w:t xml:space="preserve"> w </w:t>
      </w:r>
      <w:r w:rsidR="00B926B0" w:rsidRPr="00832472">
        <w:t xml:space="preserve">ustawie z dnia </w:t>
      </w:r>
      <w:r w:rsidR="00B926B0">
        <w:t>12 maja 2011</w:t>
      </w:r>
      <w:r w:rsidR="00B926B0" w:rsidRPr="00832472">
        <w:t xml:space="preserve"> r. o </w:t>
      </w:r>
      <w:r w:rsidR="00B926B0">
        <w:t>K</w:t>
      </w:r>
      <w:r w:rsidR="00A87AF4">
        <w:t>rajowej Radzie Sądownictwa (Dz. </w:t>
      </w:r>
      <w:r w:rsidR="00B926B0">
        <w:t>U. z 2019 r. poz. 84, z późn. zm.)</w:t>
      </w:r>
      <w:r w:rsidRPr="005A41C1">
        <w:rPr>
          <w:rFonts w:ascii="Times" w:hAnsi="Times"/>
          <w:szCs w:val="24"/>
        </w:rPr>
        <w:t xml:space="preserve"> jest uregulowa</w:t>
      </w:r>
      <w:r w:rsidR="00A87AF4">
        <w:rPr>
          <w:rFonts w:ascii="Times" w:hAnsi="Times"/>
          <w:szCs w:val="24"/>
        </w:rPr>
        <w:t>nie stanu prawnego powstałego w </w:t>
      </w:r>
      <w:r w:rsidRPr="005A41C1">
        <w:rPr>
          <w:rFonts w:ascii="Times" w:hAnsi="Times"/>
          <w:szCs w:val="24"/>
        </w:rPr>
        <w:t>wyniku wydania przez Trybunał Konstytucyjny wyroku z dnia 25 marca 2019 r. w sprawie</w:t>
      </w:r>
      <w:r w:rsidR="00B926B0">
        <w:rPr>
          <w:rFonts w:ascii="Times" w:hAnsi="Times"/>
          <w:szCs w:val="24"/>
        </w:rPr>
        <w:t xml:space="preserve"> </w:t>
      </w:r>
      <w:r w:rsidR="002B5F12">
        <w:rPr>
          <w:rFonts w:ascii="Times" w:hAnsi="Times"/>
          <w:szCs w:val="24"/>
        </w:rPr>
        <w:t xml:space="preserve">o sygn. akt </w:t>
      </w:r>
      <w:r w:rsidR="00B926B0">
        <w:rPr>
          <w:rFonts w:ascii="Times" w:hAnsi="Times"/>
          <w:szCs w:val="24"/>
        </w:rPr>
        <w:t xml:space="preserve">K 12/18, w którym stwierdzono </w:t>
      </w:r>
      <w:r w:rsidRPr="005A41C1">
        <w:rPr>
          <w:rFonts w:ascii="Times" w:hAnsi="Times"/>
          <w:szCs w:val="24"/>
        </w:rPr>
        <w:t xml:space="preserve">niezgodność art. 44 ust. 1a ustawy </w:t>
      </w:r>
      <w:r w:rsidR="00B926B0">
        <w:rPr>
          <w:rFonts w:ascii="Times" w:hAnsi="Times"/>
          <w:szCs w:val="24"/>
        </w:rPr>
        <w:t>o Krajowej Radzie Sądownictwa z art. 184 Konstytucji.</w:t>
      </w:r>
    </w:p>
    <w:p w:rsidR="00653CD4" w:rsidRDefault="00085F0A" w:rsidP="00653CD4">
      <w:pPr>
        <w:ind w:firstLine="708"/>
        <w:rPr>
          <w:rFonts w:ascii="Times" w:hAnsi="Times"/>
          <w:szCs w:val="24"/>
        </w:rPr>
      </w:pPr>
      <w:r>
        <w:rPr>
          <w:rFonts w:ascii="Times" w:hAnsi="Times"/>
          <w:szCs w:val="24"/>
        </w:rPr>
        <w:t xml:space="preserve">Przepis </w:t>
      </w:r>
      <w:r w:rsidRPr="005A41C1">
        <w:rPr>
          <w:rFonts w:ascii="Times" w:hAnsi="Times"/>
          <w:szCs w:val="24"/>
        </w:rPr>
        <w:t xml:space="preserve">art. 44 ust. 1a ustawy </w:t>
      </w:r>
      <w:r>
        <w:rPr>
          <w:rFonts w:ascii="Times" w:hAnsi="Times"/>
          <w:szCs w:val="24"/>
        </w:rPr>
        <w:t xml:space="preserve">o Krajowej Radzie Sądownictwa, dodany przez ustawę z dnia 8 grudnia 2017 r. o zmianie </w:t>
      </w:r>
      <w:r w:rsidRPr="005A41C1">
        <w:rPr>
          <w:rFonts w:ascii="Times" w:hAnsi="Times"/>
          <w:szCs w:val="24"/>
        </w:rPr>
        <w:t xml:space="preserve">ustawy </w:t>
      </w:r>
      <w:r>
        <w:rPr>
          <w:rFonts w:ascii="Times" w:hAnsi="Times"/>
          <w:szCs w:val="24"/>
        </w:rPr>
        <w:t>o Krajowej Radzie Sądownictwa oraz niektórych innych ustaw (Dz. U. z 2018 r. poz. 3)</w:t>
      </w:r>
      <w:r w:rsidR="00C77DD5">
        <w:rPr>
          <w:rFonts w:ascii="Times" w:hAnsi="Times"/>
          <w:szCs w:val="24"/>
        </w:rPr>
        <w:t>, miał na celu wyłączenie Sądu Najwyższego od rozpoznawania odwołań od uchwał Krajowej Rady Sądownictwa dotyczących nominacj</w:t>
      </w:r>
      <w:r w:rsidR="00BF445D">
        <w:rPr>
          <w:rFonts w:ascii="Times" w:hAnsi="Times"/>
          <w:szCs w:val="24"/>
        </w:rPr>
        <w:t>i na stanowiska sędziów tego sądu.</w:t>
      </w:r>
      <w:r w:rsidR="00F55AD3">
        <w:rPr>
          <w:rFonts w:ascii="Times" w:hAnsi="Times"/>
          <w:szCs w:val="24"/>
        </w:rPr>
        <w:t xml:space="preserve"> Rozwiązanie to zapewniało bowiem Sądowi Najwyższemu zbyt daleko idący wpływ</w:t>
      </w:r>
      <w:r w:rsidR="009E56DA">
        <w:rPr>
          <w:rFonts w:ascii="Times" w:hAnsi="Times"/>
          <w:szCs w:val="24"/>
        </w:rPr>
        <w:t xml:space="preserve"> na obsadę stanowisk sędziowskich w tym sądzie, w zakresie</w:t>
      </w:r>
      <w:r w:rsidR="004B2E14">
        <w:rPr>
          <w:rFonts w:ascii="Times" w:hAnsi="Times"/>
          <w:szCs w:val="24"/>
        </w:rPr>
        <w:t xml:space="preserve"> podważającym unormowania konstytucyjne, zgodnie z którymi wyłączną kompetencją Krajowej Rady Sądownictwa jest przedstawianie Prezydentowi wniosków dotyczących powołania </w:t>
      </w:r>
      <w:r w:rsidR="00653CD4">
        <w:rPr>
          <w:rFonts w:ascii="Times" w:hAnsi="Times"/>
          <w:szCs w:val="24"/>
        </w:rPr>
        <w:t xml:space="preserve">sędziów, powoływanie sędziów jest zaś prerogatywą Prezydenta, który po otrzymaniu wniosku Krajowej Rady Sądownictwa </w:t>
      </w:r>
      <w:r w:rsidR="00653CD4" w:rsidRPr="00653CD4">
        <w:rPr>
          <w:rFonts w:ascii="Times" w:hAnsi="Times"/>
          <w:szCs w:val="24"/>
        </w:rPr>
        <w:t>dysponuje</w:t>
      </w:r>
      <w:r w:rsidR="00653CD4">
        <w:rPr>
          <w:rFonts w:ascii="Times" w:hAnsi="Times"/>
          <w:szCs w:val="24"/>
        </w:rPr>
        <w:t xml:space="preserve"> </w:t>
      </w:r>
      <w:r w:rsidR="00653CD4" w:rsidRPr="00653CD4">
        <w:rPr>
          <w:rFonts w:ascii="Times" w:hAnsi="Times"/>
          <w:szCs w:val="24"/>
        </w:rPr>
        <w:t xml:space="preserve">samodzielnym uprawnieniem do powołania sędziego wskazanego we wniosku </w:t>
      </w:r>
      <w:r w:rsidR="00653CD4">
        <w:rPr>
          <w:rFonts w:ascii="Times" w:hAnsi="Times"/>
          <w:szCs w:val="24"/>
        </w:rPr>
        <w:t>albo</w:t>
      </w:r>
      <w:r w:rsidR="00653CD4" w:rsidRPr="00653CD4">
        <w:rPr>
          <w:rFonts w:ascii="Times" w:hAnsi="Times"/>
          <w:szCs w:val="24"/>
        </w:rPr>
        <w:t xml:space="preserve"> odmowy</w:t>
      </w:r>
      <w:r w:rsidR="00653CD4">
        <w:rPr>
          <w:rFonts w:ascii="Times" w:hAnsi="Times"/>
          <w:szCs w:val="24"/>
        </w:rPr>
        <w:t xml:space="preserve"> </w:t>
      </w:r>
      <w:r w:rsidR="00653CD4" w:rsidRPr="00653CD4">
        <w:rPr>
          <w:rFonts w:ascii="Times" w:hAnsi="Times"/>
          <w:szCs w:val="24"/>
        </w:rPr>
        <w:t>powołania</w:t>
      </w:r>
      <w:r w:rsidR="00653CD4">
        <w:rPr>
          <w:rFonts w:ascii="Times" w:hAnsi="Times"/>
          <w:szCs w:val="24"/>
        </w:rPr>
        <w:t>, a jego decyzja w tym zakresie nie wymaga uzasadnienia, ani nie podlega kontroli sądowej</w:t>
      </w:r>
      <w:r w:rsidR="00772C41">
        <w:rPr>
          <w:rFonts w:ascii="Times" w:hAnsi="Times"/>
          <w:szCs w:val="24"/>
        </w:rPr>
        <w:t xml:space="preserve"> (art. 179 i art. 144 ust. 3 pkt 17 Konstytucji)</w:t>
      </w:r>
      <w:r w:rsidR="00653CD4">
        <w:rPr>
          <w:rFonts w:ascii="Times" w:hAnsi="Times"/>
          <w:szCs w:val="24"/>
        </w:rPr>
        <w:t>.</w:t>
      </w:r>
      <w:r w:rsidR="003D112A">
        <w:rPr>
          <w:rFonts w:ascii="Times" w:hAnsi="Times"/>
          <w:szCs w:val="24"/>
        </w:rPr>
        <w:t xml:space="preserve"> Mimo że </w:t>
      </w:r>
      <w:r w:rsidR="003D112A" w:rsidRPr="00BF445D">
        <w:rPr>
          <w:rFonts w:ascii="Times" w:hAnsi="Times"/>
          <w:szCs w:val="24"/>
        </w:rPr>
        <w:t xml:space="preserve">w przypadku </w:t>
      </w:r>
      <w:r w:rsidR="003D112A">
        <w:rPr>
          <w:rFonts w:ascii="Times" w:hAnsi="Times"/>
          <w:szCs w:val="24"/>
        </w:rPr>
        <w:t xml:space="preserve">wniesienia odwołania od </w:t>
      </w:r>
      <w:r w:rsidR="003D112A" w:rsidRPr="00BF445D">
        <w:rPr>
          <w:rFonts w:ascii="Times" w:hAnsi="Times"/>
          <w:szCs w:val="24"/>
        </w:rPr>
        <w:t>uchwał</w:t>
      </w:r>
      <w:r w:rsidR="003D112A">
        <w:rPr>
          <w:rFonts w:ascii="Times" w:hAnsi="Times"/>
          <w:szCs w:val="24"/>
        </w:rPr>
        <w:t>y w </w:t>
      </w:r>
      <w:r w:rsidR="003D112A" w:rsidRPr="00BF445D">
        <w:rPr>
          <w:rFonts w:ascii="Times" w:hAnsi="Times"/>
          <w:szCs w:val="24"/>
        </w:rPr>
        <w:t xml:space="preserve">przedmiocie oceny kandydatur na </w:t>
      </w:r>
      <w:r w:rsidR="00C71006">
        <w:rPr>
          <w:rFonts w:ascii="Times" w:hAnsi="Times"/>
          <w:szCs w:val="24"/>
        </w:rPr>
        <w:t>stanowiska sędziowskie</w:t>
      </w:r>
      <w:r w:rsidR="00341AF8">
        <w:rPr>
          <w:rFonts w:ascii="Times" w:hAnsi="Times"/>
          <w:szCs w:val="24"/>
        </w:rPr>
        <w:t xml:space="preserve"> z formalnego punktu widzenia kontrola sądowa ogranicza się wyłącznie do prawidłowości postępowania przed Krajową Radą Sądownictwa i nie może wkraczać w merytoryczną ocenę kandydatur dokonywaną przez Radę</w:t>
      </w:r>
      <w:r w:rsidR="003D112A" w:rsidRPr="00BF445D">
        <w:rPr>
          <w:rFonts w:ascii="Times" w:hAnsi="Times"/>
          <w:szCs w:val="24"/>
        </w:rPr>
        <w:t xml:space="preserve">, to </w:t>
      </w:r>
      <w:r w:rsidR="00341AF8">
        <w:rPr>
          <w:rFonts w:ascii="Times" w:hAnsi="Times"/>
          <w:szCs w:val="24"/>
        </w:rPr>
        <w:t xml:space="preserve">jednak </w:t>
      </w:r>
      <w:r w:rsidR="003D112A" w:rsidRPr="00BF445D">
        <w:rPr>
          <w:rFonts w:ascii="Times" w:hAnsi="Times"/>
          <w:szCs w:val="24"/>
        </w:rPr>
        <w:t>Sąd Najwyższy</w:t>
      </w:r>
      <w:r w:rsidR="00341AF8">
        <w:rPr>
          <w:rFonts w:ascii="Times" w:hAnsi="Times"/>
          <w:szCs w:val="24"/>
        </w:rPr>
        <w:t>,</w:t>
      </w:r>
      <w:r w:rsidR="003D112A">
        <w:rPr>
          <w:rFonts w:ascii="Times" w:hAnsi="Times"/>
          <w:szCs w:val="24"/>
        </w:rPr>
        <w:t xml:space="preserve"> </w:t>
      </w:r>
      <w:r w:rsidR="003D112A" w:rsidRPr="00BF445D">
        <w:rPr>
          <w:rFonts w:ascii="Times" w:hAnsi="Times"/>
          <w:szCs w:val="24"/>
        </w:rPr>
        <w:t>rozpozna</w:t>
      </w:r>
      <w:r w:rsidR="00341AF8">
        <w:rPr>
          <w:rFonts w:ascii="Times" w:hAnsi="Times"/>
          <w:szCs w:val="24"/>
        </w:rPr>
        <w:t>jąc</w:t>
      </w:r>
      <w:r w:rsidR="003D112A" w:rsidRPr="00BF445D">
        <w:rPr>
          <w:rFonts w:ascii="Times" w:hAnsi="Times"/>
          <w:szCs w:val="24"/>
        </w:rPr>
        <w:t xml:space="preserve"> spraw</w:t>
      </w:r>
      <w:r w:rsidR="00341AF8">
        <w:rPr>
          <w:rFonts w:ascii="Times" w:hAnsi="Times"/>
          <w:szCs w:val="24"/>
        </w:rPr>
        <w:t>y odwołań</w:t>
      </w:r>
      <w:r w:rsidR="003D112A" w:rsidRPr="00BF445D">
        <w:rPr>
          <w:rFonts w:ascii="Times" w:hAnsi="Times"/>
          <w:szCs w:val="24"/>
        </w:rPr>
        <w:t>, dyspon</w:t>
      </w:r>
      <w:r w:rsidR="00341AF8">
        <w:rPr>
          <w:rFonts w:ascii="Times" w:hAnsi="Times"/>
          <w:szCs w:val="24"/>
        </w:rPr>
        <w:t>ował</w:t>
      </w:r>
      <w:r w:rsidR="003D112A" w:rsidRPr="00BF445D">
        <w:rPr>
          <w:rFonts w:ascii="Times" w:hAnsi="Times"/>
          <w:szCs w:val="24"/>
        </w:rPr>
        <w:t xml:space="preserve"> możliwością skutecznego i </w:t>
      </w:r>
      <w:r w:rsidR="00341AF8">
        <w:rPr>
          <w:rFonts w:ascii="Times" w:hAnsi="Times"/>
          <w:szCs w:val="24"/>
        </w:rPr>
        <w:t>powtarzalnego</w:t>
      </w:r>
      <w:r w:rsidR="003D112A" w:rsidRPr="00BF445D">
        <w:rPr>
          <w:rFonts w:ascii="Times" w:hAnsi="Times"/>
          <w:szCs w:val="24"/>
        </w:rPr>
        <w:t xml:space="preserve"> (o ile </w:t>
      </w:r>
      <w:r w:rsidR="00C71006">
        <w:rPr>
          <w:rFonts w:ascii="Times" w:hAnsi="Times"/>
          <w:szCs w:val="24"/>
        </w:rPr>
        <w:t xml:space="preserve">po uchyleniu uchwały i ponownym rozpoznaniu sprawy przez Krajową Radę Sądownictwa </w:t>
      </w:r>
      <w:r w:rsidR="003D112A" w:rsidRPr="00BF445D">
        <w:rPr>
          <w:rFonts w:ascii="Times" w:hAnsi="Times"/>
          <w:szCs w:val="24"/>
        </w:rPr>
        <w:t>wniesione zostało choćby jedno odwołanie) blokowania</w:t>
      </w:r>
      <w:r w:rsidR="003D112A">
        <w:rPr>
          <w:rFonts w:ascii="Times" w:hAnsi="Times"/>
          <w:szCs w:val="24"/>
        </w:rPr>
        <w:t xml:space="preserve"> </w:t>
      </w:r>
      <w:r w:rsidR="003D112A" w:rsidRPr="00BF445D">
        <w:rPr>
          <w:rFonts w:ascii="Times" w:hAnsi="Times"/>
          <w:szCs w:val="24"/>
        </w:rPr>
        <w:t xml:space="preserve">przedstawienia Prezydentowi </w:t>
      </w:r>
      <w:r w:rsidR="00341AF8" w:rsidRPr="00BF445D">
        <w:rPr>
          <w:rFonts w:ascii="Times" w:hAnsi="Times"/>
          <w:szCs w:val="24"/>
        </w:rPr>
        <w:t xml:space="preserve">kandydata </w:t>
      </w:r>
      <w:r w:rsidR="003D112A" w:rsidRPr="00BF445D">
        <w:rPr>
          <w:rFonts w:ascii="Times" w:hAnsi="Times"/>
          <w:szCs w:val="24"/>
        </w:rPr>
        <w:t>wybranego przez Krajową Radę Sądownictwa.</w:t>
      </w:r>
      <w:r w:rsidR="003D112A">
        <w:rPr>
          <w:rFonts w:ascii="Times" w:hAnsi="Times"/>
          <w:szCs w:val="24"/>
        </w:rPr>
        <w:t xml:space="preserve"> </w:t>
      </w:r>
      <w:r w:rsidR="003D112A" w:rsidRPr="00BF445D">
        <w:rPr>
          <w:rFonts w:ascii="Times" w:hAnsi="Times"/>
          <w:szCs w:val="24"/>
        </w:rPr>
        <w:t xml:space="preserve">Uprawnienie </w:t>
      </w:r>
      <w:r w:rsidR="00C71006">
        <w:rPr>
          <w:rFonts w:ascii="Times" w:hAnsi="Times"/>
          <w:szCs w:val="24"/>
        </w:rPr>
        <w:t>Krajowej Rady Sądownictwa</w:t>
      </w:r>
      <w:r w:rsidR="003D112A" w:rsidRPr="00BF445D">
        <w:rPr>
          <w:rFonts w:ascii="Times" w:hAnsi="Times"/>
          <w:szCs w:val="24"/>
        </w:rPr>
        <w:t xml:space="preserve"> do przedstawienia wybranej kandydatury </w:t>
      </w:r>
      <w:r w:rsidR="00C71006">
        <w:rPr>
          <w:rFonts w:ascii="Times" w:hAnsi="Times"/>
          <w:szCs w:val="24"/>
        </w:rPr>
        <w:t xml:space="preserve">na stanowisko sędziego Sądu Najwyższego </w:t>
      </w:r>
      <w:r w:rsidR="003D112A" w:rsidRPr="00BF445D">
        <w:rPr>
          <w:rFonts w:ascii="Times" w:hAnsi="Times"/>
          <w:szCs w:val="24"/>
        </w:rPr>
        <w:t xml:space="preserve">Prezydentowi </w:t>
      </w:r>
      <w:r w:rsidR="00341AF8">
        <w:rPr>
          <w:rFonts w:ascii="Times" w:hAnsi="Times"/>
          <w:szCs w:val="24"/>
        </w:rPr>
        <w:t>mogło</w:t>
      </w:r>
      <w:r w:rsidR="003D112A" w:rsidRPr="00BF445D">
        <w:rPr>
          <w:rFonts w:ascii="Times" w:hAnsi="Times"/>
          <w:szCs w:val="24"/>
        </w:rPr>
        <w:t xml:space="preserve"> zatem</w:t>
      </w:r>
      <w:r w:rsidR="003D112A">
        <w:rPr>
          <w:rFonts w:ascii="Times" w:hAnsi="Times"/>
          <w:szCs w:val="24"/>
        </w:rPr>
        <w:t xml:space="preserve"> </w:t>
      </w:r>
      <w:r w:rsidR="00341AF8">
        <w:rPr>
          <w:rFonts w:ascii="Times" w:hAnsi="Times"/>
          <w:szCs w:val="24"/>
        </w:rPr>
        <w:t xml:space="preserve">stać się </w:t>
      </w:r>
      <w:r w:rsidR="003D112A" w:rsidRPr="00BF445D">
        <w:rPr>
          <w:rFonts w:ascii="Times" w:hAnsi="Times"/>
          <w:szCs w:val="24"/>
        </w:rPr>
        <w:t xml:space="preserve">iluzoryczne, a Prezydent w ogóle </w:t>
      </w:r>
      <w:r w:rsidR="00341AF8">
        <w:rPr>
          <w:rFonts w:ascii="Times" w:hAnsi="Times"/>
          <w:szCs w:val="24"/>
        </w:rPr>
        <w:t>mógł zostać pozbawiony</w:t>
      </w:r>
      <w:r w:rsidR="003D112A" w:rsidRPr="00BF445D">
        <w:rPr>
          <w:rFonts w:ascii="Times" w:hAnsi="Times"/>
          <w:szCs w:val="24"/>
        </w:rPr>
        <w:t xml:space="preserve"> szansy wypowiedz</w:t>
      </w:r>
      <w:r w:rsidR="00341AF8">
        <w:rPr>
          <w:rFonts w:ascii="Times" w:hAnsi="Times"/>
          <w:szCs w:val="24"/>
        </w:rPr>
        <w:t>enia</w:t>
      </w:r>
      <w:r w:rsidR="003D112A" w:rsidRPr="00BF445D">
        <w:rPr>
          <w:rFonts w:ascii="Times" w:hAnsi="Times"/>
          <w:szCs w:val="24"/>
        </w:rPr>
        <w:t xml:space="preserve"> się co do kandydata</w:t>
      </w:r>
      <w:r w:rsidR="003D112A">
        <w:rPr>
          <w:rFonts w:ascii="Times" w:hAnsi="Times"/>
          <w:szCs w:val="24"/>
        </w:rPr>
        <w:t xml:space="preserve"> </w:t>
      </w:r>
      <w:r w:rsidR="003D112A" w:rsidRPr="00BF445D">
        <w:rPr>
          <w:rFonts w:ascii="Times" w:hAnsi="Times"/>
          <w:szCs w:val="24"/>
        </w:rPr>
        <w:t xml:space="preserve">proponowanego przez </w:t>
      </w:r>
      <w:r w:rsidR="00C71006">
        <w:rPr>
          <w:rFonts w:ascii="Times" w:hAnsi="Times"/>
          <w:szCs w:val="24"/>
        </w:rPr>
        <w:t>Krajową Radę Sądownictwa</w:t>
      </w:r>
      <w:r w:rsidR="003D112A" w:rsidRPr="00BF445D">
        <w:rPr>
          <w:rFonts w:ascii="Times" w:hAnsi="Times"/>
          <w:szCs w:val="24"/>
        </w:rPr>
        <w:t xml:space="preserve">. Sąd Najwyższy mógł </w:t>
      </w:r>
      <w:r w:rsidR="00C71006">
        <w:rPr>
          <w:rFonts w:ascii="Times" w:hAnsi="Times"/>
          <w:szCs w:val="24"/>
        </w:rPr>
        <w:t xml:space="preserve">faktycznie </w:t>
      </w:r>
      <w:r w:rsidR="003D112A" w:rsidRPr="00BF445D">
        <w:rPr>
          <w:rFonts w:ascii="Times" w:hAnsi="Times"/>
          <w:szCs w:val="24"/>
        </w:rPr>
        <w:t xml:space="preserve">zablokować każdą kandydaturę na sędziego </w:t>
      </w:r>
      <w:r w:rsidR="003D112A" w:rsidRPr="00BF445D">
        <w:rPr>
          <w:rFonts w:ascii="Times" w:hAnsi="Times"/>
          <w:szCs w:val="24"/>
        </w:rPr>
        <w:lastRenderedPageBreak/>
        <w:t>tego sądu, co</w:t>
      </w:r>
      <w:r w:rsidR="003D112A">
        <w:rPr>
          <w:rFonts w:ascii="Times" w:hAnsi="Times"/>
          <w:szCs w:val="24"/>
        </w:rPr>
        <w:t xml:space="preserve"> </w:t>
      </w:r>
      <w:r w:rsidR="003D112A" w:rsidRPr="00BF445D">
        <w:rPr>
          <w:rFonts w:ascii="Times" w:hAnsi="Times"/>
          <w:szCs w:val="24"/>
        </w:rPr>
        <w:t>prowadziło do zaistnienia elementów mechanizmu kooptacyjnego – jedynie akceptowani</w:t>
      </w:r>
      <w:r w:rsidR="003D112A">
        <w:rPr>
          <w:rFonts w:ascii="Times" w:hAnsi="Times"/>
          <w:szCs w:val="24"/>
        </w:rPr>
        <w:t xml:space="preserve"> </w:t>
      </w:r>
      <w:r w:rsidR="003D112A" w:rsidRPr="00BF445D">
        <w:rPr>
          <w:rFonts w:ascii="Times" w:hAnsi="Times"/>
          <w:szCs w:val="24"/>
        </w:rPr>
        <w:t>przez Sąd Najwyższy kandydaci mogli uzyskać objęcie wnioskiem do Prezydenta o powołanie na stanowisko sędziowskie</w:t>
      </w:r>
      <w:r w:rsidR="00C71006">
        <w:rPr>
          <w:rFonts w:ascii="Times" w:hAnsi="Times"/>
          <w:szCs w:val="24"/>
        </w:rPr>
        <w:t xml:space="preserve"> w tym sądzie</w:t>
      </w:r>
      <w:r w:rsidR="003D112A" w:rsidRPr="00BF445D">
        <w:rPr>
          <w:rFonts w:ascii="Times" w:hAnsi="Times"/>
          <w:szCs w:val="24"/>
        </w:rPr>
        <w:t>.</w:t>
      </w:r>
      <w:r w:rsidR="00C71006">
        <w:rPr>
          <w:rFonts w:ascii="Times" w:hAnsi="Times"/>
          <w:szCs w:val="24"/>
        </w:rPr>
        <w:t xml:space="preserve"> </w:t>
      </w:r>
      <w:r w:rsidR="00653CD4">
        <w:rPr>
          <w:rFonts w:ascii="Times" w:hAnsi="Times"/>
          <w:szCs w:val="24"/>
        </w:rPr>
        <w:t xml:space="preserve">Z tych względów ustawodawca zdecydował się </w:t>
      </w:r>
      <w:r w:rsidR="002F7C0F">
        <w:rPr>
          <w:rFonts w:ascii="Times" w:hAnsi="Times"/>
          <w:szCs w:val="24"/>
        </w:rPr>
        <w:t>w art. </w:t>
      </w:r>
      <w:r w:rsidR="002F7C0F" w:rsidRPr="005A41C1">
        <w:rPr>
          <w:rFonts w:ascii="Times" w:hAnsi="Times"/>
          <w:szCs w:val="24"/>
        </w:rPr>
        <w:t xml:space="preserve">44 ust. 1a ustawy </w:t>
      </w:r>
      <w:r w:rsidR="002F7C0F">
        <w:rPr>
          <w:rFonts w:ascii="Times" w:hAnsi="Times"/>
          <w:szCs w:val="24"/>
        </w:rPr>
        <w:t xml:space="preserve">o Krajowej Radzie Sądownictwa </w:t>
      </w:r>
      <w:r w:rsidR="00653CD4">
        <w:rPr>
          <w:rFonts w:ascii="Times" w:hAnsi="Times"/>
          <w:szCs w:val="24"/>
        </w:rPr>
        <w:t>na powierzenie rozpoznawania odwołań od uchwał Krajowej Rady Sądownictwa w sprawach dotyczących powołań na stanowiska sędziów Sądu Najwyższego Naczelnemu Sądowi Administracyjnemu.</w:t>
      </w:r>
    </w:p>
    <w:p w:rsidR="00772C41" w:rsidRDefault="00772C41" w:rsidP="00653CD4">
      <w:pPr>
        <w:ind w:firstLine="708"/>
      </w:pPr>
      <w:r>
        <w:rPr>
          <w:rFonts w:ascii="Times" w:hAnsi="Times"/>
          <w:szCs w:val="24"/>
        </w:rPr>
        <w:t>Z uwagi na powyższe, w sytuacji gdy Trybunał Konstytucyjny zakwestionował</w:t>
      </w:r>
      <w:r w:rsidR="00C71006">
        <w:rPr>
          <w:rFonts w:ascii="Times" w:hAnsi="Times"/>
          <w:szCs w:val="24"/>
        </w:rPr>
        <w:t xml:space="preserve"> możliwość rozpoznawania odwołań od uchwał Krajowej Rady Sądownictwa przez Naczelny Sąd Administracyjny, stwierdzając niezgodność </w:t>
      </w:r>
      <w:r w:rsidR="00C71006" w:rsidRPr="005A41C1">
        <w:rPr>
          <w:rFonts w:ascii="Times" w:hAnsi="Times"/>
          <w:szCs w:val="24"/>
        </w:rPr>
        <w:t xml:space="preserve">art. 44 ust. 1a ustawy </w:t>
      </w:r>
      <w:r w:rsidR="00C71006">
        <w:rPr>
          <w:rFonts w:ascii="Times" w:hAnsi="Times"/>
          <w:szCs w:val="24"/>
        </w:rPr>
        <w:t>o Krajowej Radzie Sądownictwa z art. 184 Konstytucji</w:t>
      </w:r>
      <w:r>
        <w:rPr>
          <w:rFonts w:ascii="Times" w:hAnsi="Times"/>
          <w:szCs w:val="24"/>
        </w:rPr>
        <w:t>, za optymalne rozwiązanie należy uznać</w:t>
      </w:r>
      <w:r w:rsidR="00C71006">
        <w:rPr>
          <w:rFonts w:ascii="Times" w:hAnsi="Times"/>
          <w:szCs w:val="24"/>
        </w:rPr>
        <w:t xml:space="preserve"> wyłączenie możliwości wnoszenia odwołań od uchwał Krajowej Rady Sądownictwa </w:t>
      </w:r>
      <w:r w:rsidR="00C71006">
        <w:t>w </w:t>
      </w:r>
      <w:r w:rsidR="00C71006" w:rsidRPr="007811C2">
        <w:t>sprawach indywidualnych dotyczących powołania do pełnienia urzędu na stanowisku sędziego Sądu Najwyższego</w:t>
      </w:r>
      <w:r w:rsidR="00C71006">
        <w:t>.</w:t>
      </w:r>
    </w:p>
    <w:p w:rsidR="00724228" w:rsidRDefault="00724228" w:rsidP="00653CD4">
      <w:pPr>
        <w:ind w:firstLine="708"/>
      </w:pPr>
      <w:r>
        <w:t>Wymaga podkreślenia, że rozwiązanie wyłączające możliwość poddania kontroli sądowej rozstrzygnięć podejmowanych w toku procedur nominacyjnych na stanowiska sędziowskie nie jest niczym wyjątkowym z punktu widzenia standardów demokratycznego państwa prawnego. W szeregu państw europejskich</w:t>
      </w:r>
      <w:r w:rsidR="009F44E7">
        <w:t xml:space="preserve"> brak jest możliwości zaskarżenia na drodze sądowej</w:t>
      </w:r>
      <w:r w:rsidR="00EC5BB6">
        <w:t xml:space="preserve"> jakichkolwiek decyzji związanych z wyłanianiem kandydatów na stanowiska sędziowskie i powoływaniem sędziów spośród tych kandydatów, w tym również w takich przypadkach</w:t>
      </w:r>
      <w:r w:rsidR="003F09D6">
        <w:t>, gdy wpływ przedstawicieli władzy wykonawczej lub ustawodawczej na nominacje sędziowskie jest nieporównanie większy niż w modelu obowiązującym w Polsce, w którym Prezydent ma wyłącznie możliwość powołania albo odmowy</w:t>
      </w:r>
      <w:r w:rsidR="004D4380">
        <w:t xml:space="preserve"> powołania kandydata przedstawionego przez niezależny, konstytucyjny organ</w:t>
      </w:r>
      <w:r w:rsidR="00C76CB6">
        <w:t xml:space="preserve"> stojący </w:t>
      </w:r>
      <w:r w:rsidR="00AA62AA">
        <w:t xml:space="preserve">na straży </w:t>
      </w:r>
      <w:r w:rsidR="00C76CB6">
        <w:t>niezależności sądów i niezawisłości sędziów, w którego składzie większość stanowią sędziowie.</w:t>
      </w:r>
    </w:p>
    <w:p w:rsidR="00F04DB5" w:rsidRDefault="00943219" w:rsidP="009B3421">
      <w:pPr>
        <w:ind w:firstLine="708"/>
      </w:pPr>
      <w:r>
        <w:t>W Szwecji s</w:t>
      </w:r>
      <w:r w:rsidRPr="00943219">
        <w:t xml:space="preserve">ędziowie Sądu Najwyższego, w tym prezes Sądu Najwyższego, powoływani są przez </w:t>
      </w:r>
      <w:r>
        <w:t>rząd</w:t>
      </w:r>
      <w:r w:rsidRPr="00943219">
        <w:t xml:space="preserve"> </w:t>
      </w:r>
      <w:r w:rsidR="006A19C2">
        <w:t xml:space="preserve">(w praktyce przez Ministra Sprawiedliwości) </w:t>
      </w:r>
      <w:r w:rsidR="00354D2D">
        <w:t>na wniosek Rady ds. </w:t>
      </w:r>
      <w:r w:rsidR="00831113">
        <w:t>Nominacji Sędziów</w:t>
      </w:r>
      <w:r>
        <w:t>, która składa się wyłącznie</w:t>
      </w:r>
      <w:r w:rsidRPr="009B3421">
        <w:t xml:space="preserve"> </w:t>
      </w:r>
      <w:r>
        <w:t>z osób</w:t>
      </w:r>
      <w:r w:rsidR="00354D2D">
        <w:t xml:space="preserve"> wskazywanych przez parlament i </w:t>
      </w:r>
      <w:r>
        <w:t xml:space="preserve">rząd. </w:t>
      </w:r>
      <w:r w:rsidR="006A19C2">
        <w:t xml:space="preserve">Kandydatury przedstawione przez Radę nie są wiążące dla rządu, a jedynym ograniczeniem jest konieczność umożliwienia Radzie przedstawienia opinii o kandydacie zaproponowanym z własnej inicjatywy rządu przed jego powołaniem na sędziego. </w:t>
      </w:r>
      <w:r w:rsidR="00831113">
        <w:t>W Danii s</w:t>
      </w:r>
      <w:r w:rsidR="00831113" w:rsidRPr="00943219">
        <w:t>ędziowie Sądu Najwyższego</w:t>
      </w:r>
      <w:r w:rsidR="00831113">
        <w:t xml:space="preserve"> </w:t>
      </w:r>
      <w:r w:rsidR="00831113" w:rsidRPr="00943219">
        <w:t xml:space="preserve">są </w:t>
      </w:r>
      <w:r w:rsidR="00831113">
        <w:t>mianowani przez Ministra Sprawiedliwości na wniosek Komisji ds. Nominacji Sędziowskich.</w:t>
      </w:r>
      <w:r w:rsidR="00831113" w:rsidRPr="009B3421">
        <w:t xml:space="preserve"> </w:t>
      </w:r>
      <w:r w:rsidR="009B3421" w:rsidRPr="009B3421">
        <w:t>W Belgii</w:t>
      </w:r>
      <w:r w:rsidR="009B3421">
        <w:t xml:space="preserve"> </w:t>
      </w:r>
      <w:r w:rsidR="009B3421" w:rsidRPr="009B3421">
        <w:t>sędziowie Sądu Kasacyjnego mianowani są przez króla z dwóch list podwójnych, z których jedną przedkłada sam Sąd</w:t>
      </w:r>
      <w:r w:rsidR="009B3421">
        <w:t xml:space="preserve"> </w:t>
      </w:r>
      <w:r w:rsidR="009B3421" w:rsidRPr="009B3421">
        <w:t>Kasacyjny, drugą zaś przemiennie Iz</w:t>
      </w:r>
      <w:r w:rsidR="009B3421">
        <w:t>ba Reprezentantów albo Senat. W </w:t>
      </w:r>
      <w:r w:rsidR="009B3421" w:rsidRPr="009B3421">
        <w:t>Holandii król</w:t>
      </w:r>
      <w:r w:rsidR="009B3421">
        <w:t xml:space="preserve"> </w:t>
      </w:r>
      <w:r w:rsidR="009B3421" w:rsidRPr="009B3421">
        <w:t xml:space="preserve">(królowa) powołuje sędziów </w:t>
      </w:r>
      <w:r w:rsidR="009B3421" w:rsidRPr="009B3421">
        <w:lastRenderedPageBreak/>
        <w:t>Sądu Najwyż</w:t>
      </w:r>
      <w:r w:rsidR="009D3C8D">
        <w:t xml:space="preserve">szego </w:t>
      </w:r>
      <w:r w:rsidR="009B3421" w:rsidRPr="009B3421">
        <w:t>dekretem</w:t>
      </w:r>
      <w:r w:rsidR="009B3421">
        <w:t xml:space="preserve"> </w:t>
      </w:r>
      <w:r w:rsidR="009B3421" w:rsidRPr="009B3421">
        <w:t>królewskim na wniosek Drugiej Izby Stanów Generalnych (tj. izby niższej parlamentu), która</w:t>
      </w:r>
      <w:r w:rsidR="009B3421">
        <w:t xml:space="preserve"> </w:t>
      </w:r>
      <w:r w:rsidR="009B3421" w:rsidRPr="009B3421">
        <w:t>przedstawia potrójną liczbę</w:t>
      </w:r>
      <w:r w:rsidR="00831113">
        <w:t xml:space="preserve"> kandydatów. W </w:t>
      </w:r>
      <w:r w:rsidR="009B3421" w:rsidRPr="009B3421">
        <w:t>Irlandii sędziowie, w tym Prezes Sądu</w:t>
      </w:r>
      <w:r w:rsidR="009B3421">
        <w:t xml:space="preserve"> </w:t>
      </w:r>
      <w:r w:rsidR="009B3421" w:rsidRPr="009B3421">
        <w:t>Najwyż</w:t>
      </w:r>
      <w:r w:rsidR="00FC2DF1">
        <w:t>szego,</w:t>
      </w:r>
      <w:r w:rsidR="009B3421" w:rsidRPr="009B3421">
        <w:t xml:space="preserve"> są powoływani przez Prezydenta</w:t>
      </w:r>
      <w:r w:rsidR="009B3421">
        <w:t xml:space="preserve"> </w:t>
      </w:r>
      <w:r w:rsidR="009B3421" w:rsidRPr="009B3421">
        <w:t>na wniosek rządu.</w:t>
      </w:r>
      <w:r w:rsidR="00354D2D">
        <w:t xml:space="preserve"> Na Malcie i w Słowacji sędziów powołuje Prezydent na wniosek rady sądownictwa, z tym że na Malcie Prezydent zasięga opinii Premiera, który dysponuje uprawnieniem do zawetowania kandydatury przedstawionej przez radę sądownictwa.</w:t>
      </w:r>
    </w:p>
    <w:p w:rsidR="00943219" w:rsidRDefault="00943219" w:rsidP="00653CD4">
      <w:pPr>
        <w:ind w:firstLine="708"/>
      </w:pPr>
      <w:r>
        <w:t>W żadnym z wymienionych państw nie ma możliwości zaskarżenia do sądu ani okoliczności nieuwzględnienia określonej osoby na liście kandydatów do stanowisk sędziowskich, ani niepowołania jej na stanowisko sędziowskie spośród wyłonionych kandydatów, zarówno w odniesieniu do stanowisk w sądzie najwyższym danego państwa, jak i pozostałych stanowisk sędziowskich.</w:t>
      </w:r>
    </w:p>
    <w:p w:rsidR="00724228" w:rsidRDefault="00724228" w:rsidP="00653CD4">
      <w:pPr>
        <w:ind w:firstLine="708"/>
        <w:rPr>
          <w:rFonts w:ascii="Times" w:hAnsi="Times"/>
          <w:szCs w:val="24"/>
        </w:rPr>
      </w:pPr>
      <w:r>
        <w:t>W tym kontekście wymaga podkreślenia, że rozwiązania proponowane w projekcie obejmują wyłączenie możliwości odwołania się od uchwał Krajowej Rady Sądownictwa do Sądu Najwyższego jedynie w odniesieniu do postępowań nominacyjnych dotyczących stanowisk w tym sądzie, możliwość odwołania zostanie zachowana w odniesieniu do stanowisk we wszystkich pozostałych sądach.</w:t>
      </w:r>
    </w:p>
    <w:p w:rsidR="005A41C1" w:rsidRDefault="004D4380" w:rsidP="005A41C1">
      <w:pPr>
        <w:ind w:firstLine="708"/>
        <w:rPr>
          <w:rFonts w:ascii="Times" w:hAnsi="Times"/>
          <w:szCs w:val="24"/>
        </w:rPr>
      </w:pPr>
      <w:r>
        <w:rPr>
          <w:rFonts w:ascii="Times" w:hAnsi="Times"/>
          <w:szCs w:val="24"/>
        </w:rPr>
        <w:t>Podstawową regulacją służącą wprowadzeniu przedstawion</w:t>
      </w:r>
      <w:r w:rsidR="00CB5F21">
        <w:rPr>
          <w:rFonts w:ascii="Times" w:hAnsi="Times"/>
          <w:szCs w:val="24"/>
        </w:rPr>
        <w:t>ego</w:t>
      </w:r>
      <w:r>
        <w:rPr>
          <w:rFonts w:ascii="Times" w:hAnsi="Times"/>
          <w:szCs w:val="24"/>
        </w:rPr>
        <w:t xml:space="preserve"> rozwiąza</w:t>
      </w:r>
      <w:r w:rsidR="00CB5F21">
        <w:rPr>
          <w:rFonts w:ascii="Times" w:hAnsi="Times"/>
          <w:szCs w:val="24"/>
        </w:rPr>
        <w:t>nia</w:t>
      </w:r>
      <w:r>
        <w:rPr>
          <w:rFonts w:ascii="Times" w:hAnsi="Times"/>
          <w:szCs w:val="24"/>
        </w:rPr>
        <w:t xml:space="preserve"> jest projektowany przepis art. 44 ust. 1 zdanie drugie </w:t>
      </w:r>
      <w:r w:rsidRPr="005A41C1">
        <w:rPr>
          <w:rFonts w:ascii="Times" w:hAnsi="Times"/>
          <w:szCs w:val="24"/>
        </w:rPr>
        <w:t xml:space="preserve">ustawy </w:t>
      </w:r>
      <w:r>
        <w:rPr>
          <w:rFonts w:ascii="Times" w:hAnsi="Times"/>
          <w:szCs w:val="24"/>
        </w:rPr>
        <w:t xml:space="preserve">o Krajowej Radzie Sądownictwa, zgodnie z którym </w:t>
      </w:r>
      <w:r>
        <w:t xml:space="preserve">odwołanie od uchwały </w:t>
      </w:r>
      <w:r>
        <w:rPr>
          <w:rFonts w:ascii="Times" w:hAnsi="Times"/>
          <w:szCs w:val="24"/>
        </w:rPr>
        <w:t>Krajowej Rady Sądownictwa</w:t>
      </w:r>
      <w:r>
        <w:t xml:space="preserve"> nie przysługuje w </w:t>
      </w:r>
      <w:r w:rsidRPr="007811C2">
        <w:t>sprawach indywidualnych dotyczących powołania do pełnienia urzędu na stanowisku sędziego Sądu Najwyższego</w:t>
      </w:r>
      <w:r>
        <w:t xml:space="preserve">. Pozostałe zmiany w art. 43 i art. 44 ustawy o </w:t>
      </w:r>
      <w:r>
        <w:rPr>
          <w:rFonts w:ascii="Times" w:hAnsi="Times"/>
          <w:szCs w:val="24"/>
        </w:rPr>
        <w:t>Krajowej Radzie Sądownictwa są jedynie konsekwencją wyłączenia</w:t>
      </w:r>
      <w:r w:rsidR="000B60E1">
        <w:rPr>
          <w:rFonts w:ascii="Times" w:hAnsi="Times"/>
          <w:szCs w:val="24"/>
        </w:rPr>
        <w:t xml:space="preserve"> możliwości wnoszenia odwołań w tych sprawach </w:t>
      </w:r>
      <w:r w:rsidR="008B1607">
        <w:rPr>
          <w:rFonts w:ascii="Times" w:hAnsi="Times"/>
          <w:szCs w:val="24"/>
        </w:rPr>
        <w:t>i wyeliminowania rozpoznawania tych odwołań prz</w:t>
      </w:r>
      <w:r w:rsidR="001F6A19">
        <w:rPr>
          <w:rFonts w:ascii="Times" w:hAnsi="Times"/>
          <w:szCs w:val="24"/>
        </w:rPr>
        <w:t>ez Naczelny Sąd Administracyjny.</w:t>
      </w:r>
    </w:p>
    <w:p w:rsidR="00032C9B" w:rsidRDefault="003F43C1" w:rsidP="005A41C1">
      <w:pPr>
        <w:ind w:firstLine="708"/>
        <w:rPr>
          <w:rFonts w:ascii="Times" w:hAnsi="Times"/>
          <w:szCs w:val="24"/>
        </w:rPr>
      </w:pPr>
      <w:r>
        <w:rPr>
          <w:rFonts w:ascii="Times" w:hAnsi="Times"/>
          <w:szCs w:val="24"/>
        </w:rPr>
        <w:t>Wymaga przy tym odnotowania, że</w:t>
      </w:r>
      <w:r w:rsidR="00847006">
        <w:rPr>
          <w:rFonts w:ascii="Times" w:hAnsi="Times"/>
          <w:szCs w:val="24"/>
        </w:rPr>
        <w:t xml:space="preserve"> zawarte w art. 44 ust. 1 </w:t>
      </w:r>
      <w:r w:rsidR="00032C9B" w:rsidRPr="005A41C1">
        <w:rPr>
          <w:rFonts w:ascii="Times" w:hAnsi="Times"/>
          <w:szCs w:val="24"/>
        </w:rPr>
        <w:t xml:space="preserve">ustawy </w:t>
      </w:r>
      <w:r w:rsidR="00032C9B">
        <w:rPr>
          <w:rFonts w:ascii="Times" w:hAnsi="Times"/>
          <w:szCs w:val="24"/>
        </w:rPr>
        <w:t xml:space="preserve">o Krajowej Radzie Sądownictwa </w:t>
      </w:r>
      <w:r w:rsidR="00847006">
        <w:rPr>
          <w:rFonts w:ascii="Times" w:hAnsi="Times"/>
          <w:szCs w:val="24"/>
        </w:rPr>
        <w:t>unormowanie wyłączające możliwość wnoszenia odwołań od uchwał Krajowej Rady Sądownictwa w postępowaniach nominacyjnych dotyczących stanowisk sędziego Sądu Najwyższego zastępuje dotychczasową treść zdania drugiego</w:t>
      </w:r>
      <w:r w:rsidR="00032C9B">
        <w:rPr>
          <w:rFonts w:ascii="Times" w:hAnsi="Times"/>
          <w:szCs w:val="24"/>
        </w:rPr>
        <w:t xml:space="preserve"> w tym przepisie, zgodnie z którym o</w:t>
      </w:r>
      <w:r w:rsidR="00032C9B" w:rsidRPr="00032C9B">
        <w:rPr>
          <w:rFonts w:ascii="Times" w:hAnsi="Times"/>
          <w:szCs w:val="24"/>
        </w:rPr>
        <w:t>dwołanie nie przysługuje w sprawach określonych w art. 3 ust. 2 pkt 2 niniejszej ustawy</w:t>
      </w:r>
      <w:r w:rsidR="00032C9B">
        <w:rPr>
          <w:rFonts w:ascii="Times" w:hAnsi="Times"/>
          <w:szCs w:val="24"/>
        </w:rPr>
        <w:t xml:space="preserve">, czyli w sprawach dotyczących rozpatrywania wniosków o przeniesienie sędziego w stan spoczynku. Nowelizując art. 44 ust. </w:t>
      </w:r>
      <w:r w:rsidR="00E97562">
        <w:rPr>
          <w:rFonts w:ascii="Times" w:hAnsi="Times"/>
          <w:szCs w:val="24"/>
        </w:rPr>
        <w:t>1</w:t>
      </w:r>
      <w:r w:rsidR="00D438D2">
        <w:rPr>
          <w:rFonts w:ascii="Times" w:hAnsi="Times"/>
          <w:szCs w:val="24"/>
        </w:rPr>
        <w:t>,</w:t>
      </w:r>
      <w:r w:rsidR="00E97562">
        <w:rPr>
          <w:rFonts w:ascii="Times" w:hAnsi="Times"/>
          <w:szCs w:val="24"/>
        </w:rPr>
        <w:t xml:space="preserve"> należy usunąć to unormowanie jako niespójne z rozwiązaniami systemowymi,</w:t>
      </w:r>
      <w:r w:rsidR="00A10FC3">
        <w:rPr>
          <w:rFonts w:ascii="Times" w:hAnsi="Times"/>
          <w:szCs w:val="24"/>
        </w:rPr>
        <w:t xml:space="preserve"> gdyż art. 73 § 2 ustawy</w:t>
      </w:r>
      <w:r w:rsidR="00A10FC3" w:rsidRPr="00CF2252">
        <w:rPr>
          <w:rFonts w:ascii="Times" w:hAnsi="Times"/>
          <w:szCs w:val="24"/>
        </w:rPr>
        <w:t xml:space="preserve"> z </w:t>
      </w:r>
      <w:r w:rsidR="00A10FC3">
        <w:rPr>
          <w:rFonts w:ascii="Times" w:hAnsi="Times"/>
          <w:szCs w:val="24"/>
        </w:rPr>
        <w:t>dnia 27 lipca 2001 r. – Prawo o </w:t>
      </w:r>
      <w:r w:rsidR="00A10FC3" w:rsidRPr="00CF2252">
        <w:rPr>
          <w:rFonts w:ascii="Times" w:hAnsi="Times"/>
          <w:szCs w:val="24"/>
        </w:rPr>
        <w:t xml:space="preserve">ustroju sądów powszechnych </w:t>
      </w:r>
      <w:r w:rsidR="00D438D2">
        <w:rPr>
          <w:rFonts w:ascii="Times" w:hAnsi="Times"/>
          <w:szCs w:val="24"/>
        </w:rPr>
        <w:t>oraz</w:t>
      </w:r>
      <w:r w:rsidR="00A10FC3">
        <w:rPr>
          <w:rFonts w:ascii="Times" w:hAnsi="Times"/>
          <w:szCs w:val="24"/>
        </w:rPr>
        <w:t xml:space="preserve"> art. 38 § 5</w:t>
      </w:r>
      <w:r w:rsidR="00D438D2">
        <w:rPr>
          <w:rFonts w:ascii="Times" w:hAnsi="Times"/>
          <w:szCs w:val="24"/>
        </w:rPr>
        <w:t xml:space="preserve"> ustawy</w:t>
      </w:r>
      <w:r w:rsidR="00D438D2" w:rsidRPr="00C64F02">
        <w:rPr>
          <w:rFonts w:ascii="Times" w:hAnsi="Times"/>
          <w:szCs w:val="24"/>
        </w:rPr>
        <w:t xml:space="preserve"> </w:t>
      </w:r>
      <w:r w:rsidR="00D438D2">
        <w:rPr>
          <w:rFonts w:ascii="Times" w:hAnsi="Times"/>
          <w:szCs w:val="24"/>
        </w:rPr>
        <w:t xml:space="preserve">z dnia 8 grudnia 2017 r. o Sądzie Najwyższym </w:t>
      </w:r>
      <w:r w:rsidR="00D438D2">
        <w:rPr>
          <w:rFonts w:ascii="Times" w:hAnsi="Times"/>
          <w:szCs w:val="24"/>
        </w:rPr>
        <w:lastRenderedPageBreak/>
        <w:t>(na mocy odesłań stosowane także do sę</w:t>
      </w:r>
      <w:r w:rsidR="00AA62AA">
        <w:rPr>
          <w:rFonts w:ascii="Times" w:hAnsi="Times"/>
          <w:szCs w:val="24"/>
        </w:rPr>
        <w:t>dziów sądów administracyjnych i </w:t>
      </w:r>
      <w:r w:rsidR="00D438D2">
        <w:rPr>
          <w:rFonts w:ascii="Times" w:hAnsi="Times"/>
          <w:szCs w:val="24"/>
        </w:rPr>
        <w:t>wojskowych) przewidują możliwość wnoszenia odwołań w tych sprawach.</w:t>
      </w:r>
    </w:p>
    <w:p w:rsidR="001F6A19" w:rsidRPr="005A41C1" w:rsidRDefault="00032C9B" w:rsidP="005A41C1">
      <w:pPr>
        <w:ind w:firstLine="708"/>
        <w:rPr>
          <w:rFonts w:ascii="Times" w:hAnsi="Times"/>
          <w:szCs w:val="24"/>
        </w:rPr>
      </w:pPr>
      <w:r>
        <w:t>Niezbędnym uzupełnieniem zmian w ustawie o Krajowej Radzie Sądownictwa jest z</w:t>
      </w:r>
      <w:r w:rsidR="001F6A19">
        <w:t xml:space="preserve">miana </w:t>
      </w:r>
      <w:r w:rsidR="001F6A19" w:rsidRPr="00832472">
        <w:t xml:space="preserve">w art. </w:t>
      </w:r>
      <w:r w:rsidR="001F6A19">
        <w:t xml:space="preserve">49 ustawy </w:t>
      </w:r>
      <w:r w:rsidR="001F6A19" w:rsidRPr="00832472">
        <w:t>z dnia 2</w:t>
      </w:r>
      <w:r w:rsidR="001F6A19">
        <w:t>5</w:t>
      </w:r>
      <w:r w:rsidR="001F6A19" w:rsidRPr="00832472">
        <w:t> lipca 200</w:t>
      </w:r>
      <w:r w:rsidR="001F6A19">
        <w:t>2</w:t>
      </w:r>
      <w:r w:rsidR="001F6A19" w:rsidRPr="00832472">
        <w:t xml:space="preserve"> r. – Prawo o ustroju sądów </w:t>
      </w:r>
      <w:r w:rsidR="001F6A19">
        <w:t>administracyjnych</w:t>
      </w:r>
      <w:r w:rsidR="001F6A19" w:rsidRPr="00832472">
        <w:t xml:space="preserve"> (Dz. U. z 201</w:t>
      </w:r>
      <w:r w:rsidR="001F6A19">
        <w:t>8</w:t>
      </w:r>
      <w:r w:rsidR="001F6A19" w:rsidRPr="00832472">
        <w:t xml:space="preserve"> r. poz. </w:t>
      </w:r>
      <w:r w:rsidR="001F6A19">
        <w:t>2107, z późn. zm.</w:t>
      </w:r>
      <w:r w:rsidR="001F6A19" w:rsidRPr="00832472">
        <w:t>)</w:t>
      </w:r>
      <w:r>
        <w:t>.</w:t>
      </w:r>
      <w:r w:rsidR="001F6A19" w:rsidRPr="00832472">
        <w:t xml:space="preserve"> </w:t>
      </w:r>
      <w:r>
        <w:t>S</w:t>
      </w:r>
      <w:r w:rsidR="001F6A19">
        <w:t xml:space="preserve">łuży </w:t>
      </w:r>
      <w:r>
        <w:t>ona jednoznacznemu wskazaniu, że w </w:t>
      </w:r>
      <w:r w:rsidR="001F6A19">
        <w:t>ramach odpowiedniego stosowania do Naczelnego Sądu Najwyższego i jego sędziów</w:t>
      </w:r>
      <w:r>
        <w:t>, w </w:t>
      </w:r>
      <w:r w:rsidR="001F6A19">
        <w:t xml:space="preserve">zakresie nieuregulowanym w tej ustawie, przepisów dotyczących Sądu Najwyższego, nie będzie stosowany </w:t>
      </w:r>
      <w:r w:rsidR="001F6A19">
        <w:rPr>
          <w:rFonts w:ascii="Times" w:hAnsi="Times"/>
          <w:szCs w:val="24"/>
        </w:rPr>
        <w:t xml:space="preserve">przepis art. 44 ust. 1 zdanie drugie </w:t>
      </w:r>
      <w:r w:rsidR="001F6A19" w:rsidRPr="005A41C1">
        <w:rPr>
          <w:rFonts w:ascii="Times" w:hAnsi="Times"/>
          <w:szCs w:val="24"/>
        </w:rPr>
        <w:t xml:space="preserve">ustawy </w:t>
      </w:r>
      <w:r w:rsidR="001F6A19">
        <w:rPr>
          <w:rFonts w:ascii="Times" w:hAnsi="Times"/>
          <w:szCs w:val="24"/>
        </w:rPr>
        <w:t>o Krajowej Radzie Sądownictwa, a zatem w postępowaniach nominacyjnych na stanowiska sędziów Naczelnego Sądu Administracyjnego</w:t>
      </w:r>
      <w:r w:rsidR="00250621">
        <w:rPr>
          <w:rFonts w:ascii="Times" w:hAnsi="Times"/>
          <w:szCs w:val="24"/>
        </w:rPr>
        <w:t xml:space="preserve"> od uchwał Krajowej Rady Sądownictwa</w:t>
      </w:r>
      <w:r w:rsidR="001F6A19">
        <w:rPr>
          <w:rFonts w:ascii="Times" w:hAnsi="Times"/>
          <w:szCs w:val="24"/>
        </w:rPr>
        <w:t xml:space="preserve"> będzie przysługiwało odwołanie d</w:t>
      </w:r>
      <w:r w:rsidR="00250621">
        <w:rPr>
          <w:rFonts w:ascii="Times" w:hAnsi="Times"/>
          <w:szCs w:val="24"/>
        </w:rPr>
        <w:t>o Sądu Najwyższego.</w:t>
      </w:r>
    </w:p>
    <w:p w:rsidR="005A41C1" w:rsidRPr="005A41C1" w:rsidRDefault="00BF445D" w:rsidP="005A41C1">
      <w:pPr>
        <w:ind w:firstLine="708"/>
        <w:rPr>
          <w:rFonts w:ascii="Times" w:hAnsi="Times"/>
          <w:szCs w:val="24"/>
        </w:rPr>
      </w:pPr>
      <w:r>
        <w:rPr>
          <w:rFonts w:ascii="Times" w:hAnsi="Times"/>
          <w:szCs w:val="24"/>
        </w:rPr>
        <w:t xml:space="preserve">Konsekwencją powyższych rozwiązań jest </w:t>
      </w:r>
      <w:r w:rsidR="001F6A19">
        <w:rPr>
          <w:rFonts w:ascii="Times" w:hAnsi="Times"/>
          <w:szCs w:val="24"/>
        </w:rPr>
        <w:t xml:space="preserve">również </w:t>
      </w:r>
      <w:r>
        <w:rPr>
          <w:rFonts w:ascii="Times" w:hAnsi="Times"/>
          <w:szCs w:val="24"/>
        </w:rPr>
        <w:t>przepis przejściowy, przewidujący umorzenie z mocy prawa</w:t>
      </w:r>
      <w:r w:rsidR="005A41C1" w:rsidRPr="005A41C1">
        <w:rPr>
          <w:rFonts w:ascii="Times" w:hAnsi="Times"/>
          <w:szCs w:val="24"/>
        </w:rPr>
        <w:t xml:space="preserve"> niezakończon</w:t>
      </w:r>
      <w:r>
        <w:rPr>
          <w:rFonts w:ascii="Times" w:hAnsi="Times"/>
          <w:szCs w:val="24"/>
        </w:rPr>
        <w:t>ych</w:t>
      </w:r>
      <w:r w:rsidR="005A41C1" w:rsidRPr="005A41C1">
        <w:rPr>
          <w:rFonts w:ascii="Times" w:hAnsi="Times"/>
          <w:szCs w:val="24"/>
        </w:rPr>
        <w:t xml:space="preserve"> postępowa</w:t>
      </w:r>
      <w:r>
        <w:rPr>
          <w:rFonts w:ascii="Times" w:hAnsi="Times"/>
          <w:szCs w:val="24"/>
        </w:rPr>
        <w:t>ń</w:t>
      </w:r>
      <w:r w:rsidR="005A41C1" w:rsidRPr="005A41C1">
        <w:rPr>
          <w:rFonts w:ascii="Times" w:hAnsi="Times"/>
          <w:szCs w:val="24"/>
        </w:rPr>
        <w:t xml:space="preserve"> tocząc</w:t>
      </w:r>
      <w:r>
        <w:rPr>
          <w:rFonts w:ascii="Times" w:hAnsi="Times"/>
          <w:szCs w:val="24"/>
        </w:rPr>
        <w:t>ych</w:t>
      </w:r>
      <w:r w:rsidR="005A41C1" w:rsidRPr="005A41C1">
        <w:rPr>
          <w:rFonts w:ascii="Times" w:hAnsi="Times"/>
          <w:szCs w:val="24"/>
        </w:rPr>
        <w:t xml:space="preserve"> się przed Naczelnym Sądem Administracyjnym wskutek zaskarżenia uchwał Krajowej Rady Sądownictwa dotyczących powołania do pełnienia urzędu na stanowis</w:t>
      </w:r>
      <w:r>
        <w:rPr>
          <w:rFonts w:ascii="Times" w:hAnsi="Times"/>
          <w:szCs w:val="24"/>
        </w:rPr>
        <w:t>ku sędziego Sądu Najwyższego.</w:t>
      </w:r>
    </w:p>
    <w:p w:rsidR="005A41C1" w:rsidRPr="005A41C1" w:rsidRDefault="005A41C1" w:rsidP="005A41C1">
      <w:pPr>
        <w:ind w:firstLine="708"/>
        <w:rPr>
          <w:rFonts w:ascii="Times" w:hAnsi="Times"/>
          <w:szCs w:val="24"/>
        </w:rPr>
      </w:pPr>
    </w:p>
    <w:p w:rsidR="00360069" w:rsidRDefault="00360069" w:rsidP="00360069">
      <w:pPr>
        <w:ind w:firstLine="708"/>
        <w:rPr>
          <w:rFonts w:ascii="Times" w:hAnsi="Times"/>
          <w:szCs w:val="24"/>
        </w:rPr>
      </w:pPr>
      <w:r>
        <w:rPr>
          <w:rFonts w:ascii="Times" w:hAnsi="Times"/>
          <w:szCs w:val="24"/>
        </w:rPr>
        <w:t xml:space="preserve">Zmiana brzmienia zdania trzeciego w art. 57aa § 4 </w:t>
      </w:r>
      <w:r w:rsidR="00E04BD4">
        <w:rPr>
          <w:rFonts w:ascii="Times" w:hAnsi="Times"/>
          <w:szCs w:val="24"/>
        </w:rPr>
        <w:t>ustawy</w:t>
      </w:r>
      <w:r w:rsidR="00E04BD4" w:rsidRPr="00CF2252">
        <w:rPr>
          <w:rFonts w:ascii="Times" w:hAnsi="Times"/>
          <w:szCs w:val="24"/>
        </w:rPr>
        <w:t xml:space="preserve"> z dnia 27 lipca 2001 r. – Pra</w:t>
      </w:r>
      <w:r w:rsidR="00CB5F21">
        <w:rPr>
          <w:rFonts w:ascii="Times" w:hAnsi="Times"/>
          <w:szCs w:val="24"/>
        </w:rPr>
        <w:t>wo o ustroju sądów powszechnych</w:t>
      </w:r>
      <w:r w:rsidR="00E04BD4">
        <w:rPr>
          <w:rFonts w:ascii="Times" w:hAnsi="Times"/>
          <w:szCs w:val="24"/>
        </w:rPr>
        <w:t xml:space="preserve"> </w:t>
      </w:r>
      <w:r>
        <w:rPr>
          <w:rFonts w:ascii="Times" w:hAnsi="Times"/>
          <w:szCs w:val="24"/>
        </w:rPr>
        <w:t>ma na celu wprowadzenie możliwości zakończenia postępowania w sprawie powołania do pełnienia urzędu na stanowisku sędziowskim z chwilą złożenia</w:t>
      </w:r>
      <w:r w:rsidR="00E04BD4">
        <w:rPr>
          <w:rFonts w:ascii="Times" w:hAnsi="Times"/>
          <w:szCs w:val="24"/>
        </w:rPr>
        <w:t xml:space="preserve"> przez kandydata oświadczenia o </w:t>
      </w:r>
      <w:r>
        <w:rPr>
          <w:rFonts w:ascii="Times" w:hAnsi="Times"/>
          <w:szCs w:val="24"/>
        </w:rPr>
        <w:t>cofnięciu zgłoszenia. W obecnym stanie prawnym oświadczenie takie nie wpływa automatycznie na tok postępowania nominacyjnego, wywołując konieczność jego rozpatrzenia przez Krajową Radę Sądownictwa i umorzenia po</w:t>
      </w:r>
      <w:r w:rsidR="00E04BD4">
        <w:rPr>
          <w:rFonts w:ascii="Times" w:hAnsi="Times"/>
          <w:szCs w:val="24"/>
        </w:rPr>
        <w:t>stępowania nominacyjnego. W </w:t>
      </w:r>
      <w:r>
        <w:rPr>
          <w:rFonts w:ascii="Times" w:hAnsi="Times"/>
          <w:szCs w:val="24"/>
        </w:rPr>
        <w:t>ocenie projektodawcy taka procedura – w szczególności przy uwzględnieniu, że kandydat może ubiegać się w jednym czasie wyłącznie o jedno stanowisko sędziowskie – była nadmiernie sformalizowana i prowadziła do zbędnego wydłużenia postępowania dotyczącego danej osoby o okres od momentu wyrażenia przez kandydata woli rezygnacji z konkursu do momentu wydania stosownej uchwały przez Krajową Radę Sądownictwa. Mając na względzie dyspozytywny charakter oświadczenia woli o udziale w postępowaniu nominacyjnym</w:t>
      </w:r>
      <w:r w:rsidR="00FC65FE">
        <w:rPr>
          <w:rFonts w:ascii="Times" w:hAnsi="Times"/>
          <w:szCs w:val="24"/>
        </w:rPr>
        <w:t>,</w:t>
      </w:r>
      <w:r>
        <w:rPr>
          <w:rFonts w:ascii="Times" w:hAnsi="Times"/>
          <w:szCs w:val="24"/>
        </w:rPr>
        <w:t xml:space="preserve"> nic nie stoi na przeszkodzie, by mogło ono zakończyć się </w:t>
      </w:r>
      <w:r w:rsidR="00FC65FE">
        <w:rPr>
          <w:rFonts w:ascii="Times" w:hAnsi="Times"/>
          <w:szCs w:val="24"/>
        </w:rPr>
        <w:t>już z chwilą</w:t>
      </w:r>
      <w:r>
        <w:rPr>
          <w:rFonts w:ascii="Times" w:hAnsi="Times"/>
          <w:szCs w:val="24"/>
        </w:rPr>
        <w:t xml:space="preserve"> oświadczenia przez kandydata</w:t>
      </w:r>
      <w:r w:rsidR="004A4714">
        <w:rPr>
          <w:rFonts w:ascii="Times" w:hAnsi="Times"/>
          <w:szCs w:val="24"/>
        </w:rPr>
        <w:t xml:space="preserve"> o rezygnacji z ubiegania się o </w:t>
      </w:r>
      <w:r>
        <w:rPr>
          <w:rFonts w:ascii="Times" w:hAnsi="Times"/>
          <w:szCs w:val="24"/>
        </w:rPr>
        <w:t>określone stanowisko sędziowskie, z tym zastrzeżeniem, że oświadczenie to będzie skuteczne, o ile zostanie złożone przed uprawomocnieniem się wobec tego kandydata uchw</w:t>
      </w:r>
      <w:r w:rsidR="00E04BD4">
        <w:rPr>
          <w:rFonts w:ascii="Times" w:hAnsi="Times"/>
          <w:szCs w:val="24"/>
        </w:rPr>
        <w:t>ały Krajowej Rady Sądownictwa w </w:t>
      </w:r>
      <w:r w:rsidRPr="00203BDC">
        <w:rPr>
          <w:rFonts w:ascii="Times" w:hAnsi="Times"/>
          <w:szCs w:val="24"/>
        </w:rPr>
        <w:t>przedmiocie przedstawienia wniosku o powołanie do pełnienia urzędu na stanowisku sędziowskim Prezydentowi Rzeczypospolitej Polskiej</w:t>
      </w:r>
      <w:r>
        <w:rPr>
          <w:rFonts w:ascii="Times" w:hAnsi="Times"/>
          <w:szCs w:val="24"/>
        </w:rPr>
        <w:t>.</w:t>
      </w:r>
    </w:p>
    <w:p w:rsidR="00360069" w:rsidRDefault="00360069" w:rsidP="00360069">
      <w:pPr>
        <w:ind w:firstLine="708"/>
        <w:rPr>
          <w:rFonts w:ascii="Times" w:hAnsi="Times"/>
          <w:szCs w:val="24"/>
        </w:rPr>
      </w:pPr>
    </w:p>
    <w:p w:rsidR="00655365" w:rsidRPr="00655365" w:rsidRDefault="00655365" w:rsidP="00655365">
      <w:pPr>
        <w:ind w:firstLine="708"/>
        <w:rPr>
          <w:rFonts w:ascii="Times" w:hAnsi="Times"/>
          <w:szCs w:val="24"/>
        </w:rPr>
      </w:pPr>
      <w:r>
        <w:rPr>
          <w:rFonts w:ascii="Times" w:hAnsi="Times"/>
          <w:szCs w:val="24"/>
        </w:rPr>
        <w:t>Zmiany proponowane w</w:t>
      </w:r>
      <w:r w:rsidRPr="00655365">
        <w:rPr>
          <w:rFonts w:ascii="Times" w:hAnsi="Times"/>
          <w:szCs w:val="24"/>
        </w:rPr>
        <w:t xml:space="preserve"> ustawie z dnia 5 stycznia 2011 r. – Kodeks wyborczy (Dz. U. z 2018 r. poz. 754, </w:t>
      </w:r>
      <w:r>
        <w:rPr>
          <w:rFonts w:ascii="Times" w:hAnsi="Times"/>
          <w:szCs w:val="24"/>
        </w:rPr>
        <w:t>z późn. zm.</w:t>
      </w:r>
      <w:r w:rsidRPr="00655365">
        <w:rPr>
          <w:rFonts w:ascii="Times" w:hAnsi="Times"/>
          <w:szCs w:val="24"/>
        </w:rPr>
        <w:t xml:space="preserve">) </w:t>
      </w:r>
      <w:r>
        <w:rPr>
          <w:rFonts w:ascii="Times" w:hAnsi="Times"/>
          <w:szCs w:val="24"/>
        </w:rPr>
        <w:t>mają jedynie charakter porządkujący i zmierzają do zastąpienia nazwy zniesionej Izby</w:t>
      </w:r>
      <w:r w:rsidRPr="00655365">
        <w:rPr>
          <w:rFonts w:ascii="Times" w:hAnsi="Times"/>
          <w:szCs w:val="24"/>
        </w:rPr>
        <w:t xml:space="preserve"> Pracy, Ubezpieczeń </w:t>
      </w:r>
      <w:r>
        <w:rPr>
          <w:rFonts w:ascii="Times" w:hAnsi="Times"/>
          <w:szCs w:val="24"/>
        </w:rPr>
        <w:t>Społecznych i Spraw Publicznych Sądu Najwyższego</w:t>
      </w:r>
      <w:r w:rsidRPr="00655365">
        <w:rPr>
          <w:rFonts w:ascii="Times" w:hAnsi="Times"/>
          <w:szCs w:val="24"/>
        </w:rPr>
        <w:t xml:space="preserve"> </w:t>
      </w:r>
      <w:r>
        <w:rPr>
          <w:rFonts w:ascii="Times" w:hAnsi="Times"/>
          <w:szCs w:val="24"/>
        </w:rPr>
        <w:t>wskazaniem Izby</w:t>
      </w:r>
      <w:r w:rsidRPr="00655365">
        <w:rPr>
          <w:rFonts w:ascii="Times" w:hAnsi="Times"/>
          <w:szCs w:val="24"/>
        </w:rPr>
        <w:t xml:space="preserve"> Kontroli Nadzwyczajnej i Spraw Publicznych</w:t>
      </w:r>
      <w:r>
        <w:rPr>
          <w:rFonts w:ascii="Times" w:hAnsi="Times"/>
          <w:szCs w:val="24"/>
        </w:rPr>
        <w:t>, obecnie właściwej w sprawach, których dotyczą nowelizowane przepisy. Mimo że</w:t>
      </w:r>
      <w:r w:rsidR="00B3739E">
        <w:rPr>
          <w:rFonts w:ascii="Times" w:hAnsi="Times"/>
          <w:szCs w:val="24"/>
        </w:rPr>
        <w:t xml:space="preserve"> zagadnienie występowania w przepisach odrębnych nazw zniesionych izb Sądu Najwyższego zostało uregulowane w art. 128 ustawy z dnia 8 grudnia 2017 r. o Sądzie Najwyższym, za zasadnością wprowadzenia proponowanych zmian przemawiają względy komunikatywności tekstu ustawy – Kodeks wyborczy.</w:t>
      </w:r>
    </w:p>
    <w:p w:rsidR="00342B6E" w:rsidRDefault="00342B6E" w:rsidP="00360069">
      <w:pPr>
        <w:ind w:firstLine="708"/>
        <w:rPr>
          <w:rFonts w:ascii="Times" w:hAnsi="Times"/>
          <w:szCs w:val="24"/>
        </w:rPr>
      </w:pPr>
    </w:p>
    <w:p w:rsidR="00A87AF4" w:rsidRPr="00A87AF4" w:rsidRDefault="00834593" w:rsidP="00A87AF4">
      <w:pPr>
        <w:ind w:firstLine="708"/>
        <w:rPr>
          <w:rFonts w:ascii="Times" w:hAnsi="Times"/>
          <w:szCs w:val="24"/>
        </w:rPr>
      </w:pPr>
      <w:r>
        <w:rPr>
          <w:rFonts w:ascii="Times" w:hAnsi="Times"/>
          <w:szCs w:val="24"/>
        </w:rPr>
        <w:t xml:space="preserve">Przewiduje się wejście w życie projektowanej ustawy </w:t>
      </w:r>
      <w:r w:rsidR="0013459A">
        <w:rPr>
          <w:rFonts w:ascii="Times" w:hAnsi="Times"/>
          <w:szCs w:val="24"/>
        </w:rPr>
        <w:t>po upływie 7 dni od dnia</w:t>
      </w:r>
      <w:r>
        <w:rPr>
          <w:rFonts w:ascii="Times" w:hAnsi="Times"/>
          <w:szCs w:val="24"/>
        </w:rPr>
        <w:t xml:space="preserve"> ogłoszenia.</w:t>
      </w:r>
      <w:r w:rsidR="00E04BD4">
        <w:rPr>
          <w:rFonts w:ascii="Times" w:hAnsi="Times"/>
          <w:szCs w:val="24"/>
        </w:rPr>
        <w:t xml:space="preserve"> </w:t>
      </w:r>
      <w:r w:rsidR="00365B90">
        <w:rPr>
          <w:rFonts w:ascii="Times" w:hAnsi="Times"/>
          <w:szCs w:val="24"/>
        </w:rPr>
        <w:t xml:space="preserve">Należy podkreślić, że projektowane regulacje </w:t>
      </w:r>
      <w:r w:rsidR="00A87AF4">
        <w:rPr>
          <w:rFonts w:ascii="Times" w:hAnsi="Times"/>
          <w:szCs w:val="24"/>
        </w:rPr>
        <w:t xml:space="preserve">mają charakter porządkujący i doprecyzowujący, </w:t>
      </w:r>
      <w:r w:rsidR="006B43F9">
        <w:rPr>
          <w:rFonts w:ascii="Times" w:hAnsi="Times"/>
          <w:szCs w:val="24"/>
        </w:rPr>
        <w:t xml:space="preserve">dotyczą kwestii proceduralnych o technicznym w istocie znaczeniu, </w:t>
      </w:r>
      <w:r w:rsidR="00DF0358">
        <w:rPr>
          <w:rFonts w:ascii="Times" w:hAnsi="Times"/>
          <w:szCs w:val="24"/>
        </w:rPr>
        <w:t>niewymagających</w:t>
      </w:r>
      <w:r w:rsidR="004A4714">
        <w:rPr>
          <w:rFonts w:ascii="Times" w:hAnsi="Times"/>
          <w:szCs w:val="24"/>
        </w:rPr>
        <w:t xml:space="preserve"> </w:t>
      </w:r>
      <w:r w:rsidR="00DF0358">
        <w:rPr>
          <w:rFonts w:ascii="Times" w:hAnsi="Times"/>
          <w:szCs w:val="24"/>
        </w:rPr>
        <w:t>podjęcia</w:t>
      </w:r>
      <w:r w:rsidR="004A4714">
        <w:rPr>
          <w:rFonts w:ascii="Times" w:hAnsi="Times"/>
          <w:szCs w:val="24"/>
        </w:rPr>
        <w:t xml:space="preserve"> </w:t>
      </w:r>
      <w:r w:rsidR="00DF0358">
        <w:rPr>
          <w:rFonts w:ascii="Times" w:hAnsi="Times"/>
          <w:szCs w:val="24"/>
        </w:rPr>
        <w:t xml:space="preserve">przez adresatów szczególnych działań związanych z przygotowaniem się </w:t>
      </w:r>
      <w:r w:rsidR="004A4714">
        <w:rPr>
          <w:rFonts w:ascii="Times" w:hAnsi="Times"/>
          <w:szCs w:val="24"/>
        </w:rPr>
        <w:t xml:space="preserve">do stosowania zmienionych przepisów, </w:t>
      </w:r>
      <w:r w:rsidR="006B43F9">
        <w:rPr>
          <w:rFonts w:ascii="Times" w:hAnsi="Times"/>
          <w:szCs w:val="24"/>
        </w:rPr>
        <w:t xml:space="preserve">jednocześnie zaś za możliwie pilnym wejściem w życie ustawy przemawia konieczność jak najszybszego dostosowania stanu prawnego do skutków wyroku Trybunału Konstytucyjnego. </w:t>
      </w:r>
      <w:r w:rsidR="00A87AF4">
        <w:rPr>
          <w:rFonts w:ascii="Times" w:hAnsi="Times"/>
          <w:szCs w:val="24"/>
        </w:rPr>
        <w:t xml:space="preserve">Wobec powyższego spełnione są przesłanki dopuszczalności zastosowania krótszego niż 14-dniowy </w:t>
      </w:r>
      <w:r w:rsidR="00E04BD4">
        <w:rPr>
          <w:rFonts w:ascii="Times" w:hAnsi="Times"/>
          <w:szCs w:val="24"/>
        </w:rPr>
        <w:t>okres</w:t>
      </w:r>
      <w:r w:rsidR="00A87AF4">
        <w:rPr>
          <w:rFonts w:ascii="Times" w:hAnsi="Times"/>
          <w:szCs w:val="24"/>
        </w:rPr>
        <w:t>u</w:t>
      </w:r>
      <w:r w:rsidR="00E04BD4">
        <w:rPr>
          <w:rFonts w:ascii="Times" w:hAnsi="Times"/>
          <w:szCs w:val="24"/>
        </w:rPr>
        <w:t xml:space="preserve"> </w:t>
      </w:r>
      <w:r w:rsidR="00E04BD4" w:rsidRPr="00BE77F3">
        <w:rPr>
          <w:rFonts w:ascii="Times" w:hAnsi="Times"/>
          <w:i/>
          <w:szCs w:val="24"/>
        </w:rPr>
        <w:t>vacatio legis</w:t>
      </w:r>
      <w:r w:rsidR="00A87AF4">
        <w:rPr>
          <w:rFonts w:ascii="Times" w:hAnsi="Times"/>
          <w:szCs w:val="24"/>
        </w:rPr>
        <w:t xml:space="preserve">, określone w art. 4 ust. 2 ustawy </w:t>
      </w:r>
      <w:r w:rsidR="00A87AF4" w:rsidRPr="00A87AF4">
        <w:rPr>
          <w:rFonts w:ascii="Times" w:hAnsi="Times"/>
          <w:szCs w:val="24"/>
        </w:rPr>
        <w:t>z dnia 20 lipca 2000 r.</w:t>
      </w:r>
      <w:r w:rsidR="00A87AF4">
        <w:rPr>
          <w:rFonts w:ascii="Times" w:hAnsi="Times"/>
          <w:szCs w:val="24"/>
        </w:rPr>
        <w:t xml:space="preserve"> </w:t>
      </w:r>
      <w:r w:rsidR="00A87AF4" w:rsidRPr="00A87AF4">
        <w:rPr>
          <w:rFonts w:ascii="Times" w:hAnsi="Times"/>
          <w:szCs w:val="24"/>
        </w:rPr>
        <w:t>o ogłaszaniu aktów normatywnych i niektórych innych aktów prawnych</w:t>
      </w:r>
      <w:r w:rsidR="00A87AF4">
        <w:rPr>
          <w:rFonts w:ascii="Times" w:hAnsi="Times"/>
          <w:szCs w:val="24"/>
        </w:rPr>
        <w:t xml:space="preserve"> (Dz. U. z 2017 r. poz. 1523, z późn. zm.).</w:t>
      </w:r>
    </w:p>
    <w:p w:rsidR="0076599D" w:rsidRDefault="0076599D" w:rsidP="0076599D">
      <w:pPr>
        <w:ind w:firstLine="708"/>
        <w:rPr>
          <w:rFonts w:ascii="Times" w:hAnsi="Times"/>
          <w:szCs w:val="24"/>
        </w:rPr>
      </w:pPr>
    </w:p>
    <w:p w:rsidR="0076599D" w:rsidRDefault="0076599D" w:rsidP="0076599D">
      <w:pPr>
        <w:ind w:firstLine="708"/>
        <w:rPr>
          <w:rFonts w:ascii="Times" w:hAnsi="Times"/>
          <w:szCs w:val="24"/>
        </w:rPr>
      </w:pPr>
      <w:r>
        <w:rPr>
          <w:rFonts w:ascii="Times" w:hAnsi="Times"/>
          <w:szCs w:val="24"/>
        </w:rPr>
        <w:t>Wejście w życie projektowanych regulacji nie spowoduje skutków finansowych dla budżetu państwa i budżetów jednostek samorządu terytorialnego.</w:t>
      </w:r>
    </w:p>
    <w:p w:rsidR="0076599D" w:rsidRPr="0076599D" w:rsidRDefault="0076599D" w:rsidP="0076599D">
      <w:pPr>
        <w:ind w:firstLine="708"/>
        <w:rPr>
          <w:rFonts w:ascii="Times" w:hAnsi="Times"/>
          <w:szCs w:val="24"/>
        </w:rPr>
      </w:pPr>
      <w:r>
        <w:rPr>
          <w:rFonts w:ascii="Times" w:hAnsi="Times"/>
          <w:szCs w:val="24"/>
        </w:rPr>
        <w:t>Przedmiot projektowanych regulacji nie jest objęty prawem Unii Europejskiej.</w:t>
      </w:r>
    </w:p>
    <w:sectPr w:rsidR="0076599D" w:rsidRPr="0076599D" w:rsidSect="00801D3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48B" w:rsidRDefault="000E648B" w:rsidP="00D02C58">
      <w:pPr>
        <w:spacing w:line="240" w:lineRule="auto"/>
      </w:pPr>
      <w:r>
        <w:separator/>
      </w:r>
    </w:p>
  </w:endnote>
  <w:endnote w:type="continuationSeparator" w:id="0">
    <w:p w:rsidR="000E648B" w:rsidRDefault="000E648B" w:rsidP="00D02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271916"/>
      <w:docPartObj>
        <w:docPartGallery w:val="Page Numbers (Bottom of Page)"/>
        <w:docPartUnique/>
      </w:docPartObj>
    </w:sdtPr>
    <w:sdtEndPr/>
    <w:sdtContent>
      <w:p w:rsidR="00DA19E0" w:rsidRDefault="00DA19E0" w:rsidP="00BF1FF0">
        <w:pPr>
          <w:pStyle w:val="Stopka"/>
          <w:jc w:val="center"/>
        </w:pPr>
        <w:r>
          <w:fldChar w:fldCharType="begin"/>
        </w:r>
        <w:r>
          <w:instrText>PAGE   \* MERGEFORMAT</w:instrText>
        </w:r>
        <w:r>
          <w:fldChar w:fldCharType="separate"/>
        </w:r>
        <w:r w:rsidR="00AD1C10">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48B" w:rsidRDefault="000E648B" w:rsidP="00D02C58">
      <w:pPr>
        <w:spacing w:line="240" w:lineRule="auto"/>
      </w:pPr>
      <w:r>
        <w:separator/>
      </w:r>
    </w:p>
  </w:footnote>
  <w:footnote w:type="continuationSeparator" w:id="0">
    <w:p w:rsidR="000E648B" w:rsidRDefault="000E648B" w:rsidP="00D02C5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41AFA"/>
    <w:multiLevelType w:val="hybridMultilevel"/>
    <w:tmpl w:val="32DC841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5042592"/>
    <w:multiLevelType w:val="hybridMultilevel"/>
    <w:tmpl w:val="C8341C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6E8462E"/>
    <w:multiLevelType w:val="hybridMultilevel"/>
    <w:tmpl w:val="166C7A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E8B3B08"/>
    <w:multiLevelType w:val="hybridMultilevel"/>
    <w:tmpl w:val="1BE45B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5895678"/>
    <w:multiLevelType w:val="hybridMultilevel"/>
    <w:tmpl w:val="F5205920"/>
    <w:lvl w:ilvl="0" w:tplc="BFE8A4BA">
      <w:start w:val="1"/>
      <w:numFmt w:val="decimal"/>
      <w:lvlText w:val="%1)"/>
      <w:lvlJc w:val="left"/>
      <w:pPr>
        <w:ind w:left="674" w:hanging="39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79BB55A8"/>
    <w:multiLevelType w:val="hybridMultilevel"/>
    <w:tmpl w:val="A04E66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AC3"/>
    <w:rsid w:val="0000157C"/>
    <w:rsid w:val="000066AF"/>
    <w:rsid w:val="00006D88"/>
    <w:rsid w:val="00010C70"/>
    <w:rsid w:val="0001292E"/>
    <w:rsid w:val="000135B9"/>
    <w:rsid w:val="0001364E"/>
    <w:rsid w:val="0001458B"/>
    <w:rsid w:val="0001743E"/>
    <w:rsid w:val="00017860"/>
    <w:rsid w:val="000224AD"/>
    <w:rsid w:val="000257BC"/>
    <w:rsid w:val="00025BBB"/>
    <w:rsid w:val="00026B11"/>
    <w:rsid w:val="00026E72"/>
    <w:rsid w:val="00031BE3"/>
    <w:rsid w:val="00032C9B"/>
    <w:rsid w:val="00032E6E"/>
    <w:rsid w:val="0003591F"/>
    <w:rsid w:val="0004047A"/>
    <w:rsid w:val="00040723"/>
    <w:rsid w:val="000429DB"/>
    <w:rsid w:val="00047698"/>
    <w:rsid w:val="00052B0E"/>
    <w:rsid w:val="0005352F"/>
    <w:rsid w:val="000538E6"/>
    <w:rsid w:val="00054FD6"/>
    <w:rsid w:val="0005508F"/>
    <w:rsid w:val="00055207"/>
    <w:rsid w:val="000572C2"/>
    <w:rsid w:val="00060303"/>
    <w:rsid w:val="00060AE0"/>
    <w:rsid w:val="00065606"/>
    <w:rsid w:val="00065684"/>
    <w:rsid w:val="00067151"/>
    <w:rsid w:val="00071A71"/>
    <w:rsid w:val="00071BD0"/>
    <w:rsid w:val="000737F0"/>
    <w:rsid w:val="000766F6"/>
    <w:rsid w:val="00077505"/>
    <w:rsid w:val="00080838"/>
    <w:rsid w:val="00080FAD"/>
    <w:rsid w:val="0008108B"/>
    <w:rsid w:val="00081A51"/>
    <w:rsid w:val="000836EE"/>
    <w:rsid w:val="00085F0A"/>
    <w:rsid w:val="000879C5"/>
    <w:rsid w:val="00090956"/>
    <w:rsid w:val="0009779F"/>
    <w:rsid w:val="000A664C"/>
    <w:rsid w:val="000B60E1"/>
    <w:rsid w:val="000B62DC"/>
    <w:rsid w:val="000C0585"/>
    <w:rsid w:val="000C2405"/>
    <w:rsid w:val="000C44B1"/>
    <w:rsid w:val="000C4B64"/>
    <w:rsid w:val="000C7EB5"/>
    <w:rsid w:val="000D04A9"/>
    <w:rsid w:val="000D1F2C"/>
    <w:rsid w:val="000D3387"/>
    <w:rsid w:val="000D5399"/>
    <w:rsid w:val="000D6DA3"/>
    <w:rsid w:val="000E41D5"/>
    <w:rsid w:val="000E42B4"/>
    <w:rsid w:val="000E568C"/>
    <w:rsid w:val="000E648B"/>
    <w:rsid w:val="000E7612"/>
    <w:rsid w:val="000F34AA"/>
    <w:rsid w:val="000F4D32"/>
    <w:rsid w:val="000F66B6"/>
    <w:rsid w:val="000F6CC0"/>
    <w:rsid w:val="00103476"/>
    <w:rsid w:val="001040FF"/>
    <w:rsid w:val="00104944"/>
    <w:rsid w:val="001049DE"/>
    <w:rsid w:val="00106488"/>
    <w:rsid w:val="001134DF"/>
    <w:rsid w:val="00117463"/>
    <w:rsid w:val="00120AB2"/>
    <w:rsid w:val="0013459A"/>
    <w:rsid w:val="00140A3C"/>
    <w:rsid w:val="00144089"/>
    <w:rsid w:val="0014691B"/>
    <w:rsid w:val="001472A7"/>
    <w:rsid w:val="00147777"/>
    <w:rsid w:val="00152BD2"/>
    <w:rsid w:val="0015660B"/>
    <w:rsid w:val="001655F8"/>
    <w:rsid w:val="0016652F"/>
    <w:rsid w:val="00167026"/>
    <w:rsid w:val="00171062"/>
    <w:rsid w:val="00171431"/>
    <w:rsid w:val="0017170E"/>
    <w:rsid w:val="00171DE1"/>
    <w:rsid w:val="0017257E"/>
    <w:rsid w:val="001746BD"/>
    <w:rsid w:val="00176BF6"/>
    <w:rsid w:val="00180DF6"/>
    <w:rsid w:val="0018331D"/>
    <w:rsid w:val="00183E00"/>
    <w:rsid w:val="00187AD3"/>
    <w:rsid w:val="00187FB5"/>
    <w:rsid w:val="001900B0"/>
    <w:rsid w:val="00192C31"/>
    <w:rsid w:val="00193AEE"/>
    <w:rsid w:val="00193DF2"/>
    <w:rsid w:val="0019655D"/>
    <w:rsid w:val="00197055"/>
    <w:rsid w:val="001A0212"/>
    <w:rsid w:val="001B00C4"/>
    <w:rsid w:val="001B04F8"/>
    <w:rsid w:val="001B2005"/>
    <w:rsid w:val="001B3F67"/>
    <w:rsid w:val="001B70B8"/>
    <w:rsid w:val="001B7870"/>
    <w:rsid w:val="001C0281"/>
    <w:rsid w:val="001C483D"/>
    <w:rsid w:val="001D2C22"/>
    <w:rsid w:val="001D3844"/>
    <w:rsid w:val="001D55E3"/>
    <w:rsid w:val="001D6AC2"/>
    <w:rsid w:val="001E5D72"/>
    <w:rsid w:val="001E702E"/>
    <w:rsid w:val="001F1EA1"/>
    <w:rsid w:val="001F1F27"/>
    <w:rsid w:val="001F4DC8"/>
    <w:rsid w:val="001F6A19"/>
    <w:rsid w:val="001F794F"/>
    <w:rsid w:val="00210EF4"/>
    <w:rsid w:val="00211F34"/>
    <w:rsid w:val="00212963"/>
    <w:rsid w:val="002131D7"/>
    <w:rsid w:val="0021357A"/>
    <w:rsid w:val="00220FFA"/>
    <w:rsid w:val="00224847"/>
    <w:rsid w:val="00226BA2"/>
    <w:rsid w:val="00231834"/>
    <w:rsid w:val="00232A72"/>
    <w:rsid w:val="00234B5B"/>
    <w:rsid w:val="00243A29"/>
    <w:rsid w:val="00245F61"/>
    <w:rsid w:val="00246A2B"/>
    <w:rsid w:val="00250621"/>
    <w:rsid w:val="00251D14"/>
    <w:rsid w:val="00261001"/>
    <w:rsid w:val="00263562"/>
    <w:rsid w:val="00263B2F"/>
    <w:rsid w:val="0026530A"/>
    <w:rsid w:val="00266514"/>
    <w:rsid w:val="002672AF"/>
    <w:rsid w:val="002738EB"/>
    <w:rsid w:val="002759D3"/>
    <w:rsid w:val="002761C6"/>
    <w:rsid w:val="0027640F"/>
    <w:rsid w:val="00276EEA"/>
    <w:rsid w:val="00281A76"/>
    <w:rsid w:val="00282CE0"/>
    <w:rsid w:val="00290B7D"/>
    <w:rsid w:val="00294FA1"/>
    <w:rsid w:val="002953CC"/>
    <w:rsid w:val="002A19C4"/>
    <w:rsid w:val="002A1AC3"/>
    <w:rsid w:val="002A2871"/>
    <w:rsid w:val="002A6947"/>
    <w:rsid w:val="002B2661"/>
    <w:rsid w:val="002B5F12"/>
    <w:rsid w:val="002C0828"/>
    <w:rsid w:val="002C26D0"/>
    <w:rsid w:val="002C3500"/>
    <w:rsid w:val="002C70B1"/>
    <w:rsid w:val="002D098E"/>
    <w:rsid w:val="002D0E9C"/>
    <w:rsid w:val="002D334C"/>
    <w:rsid w:val="002E1787"/>
    <w:rsid w:val="002E4C6C"/>
    <w:rsid w:val="002F546A"/>
    <w:rsid w:val="002F6763"/>
    <w:rsid w:val="002F7C0F"/>
    <w:rsid w:val="00306A67"/>
    <w:rsid w:val="003122E6"/>
    <w:rsid w:val="003151F7"/>
    <w:rsid w:val="0031597C"/>
    <w:rsid w:val="0031673A"/>
    <w:rsid w:val="00322D1A"/>
    <w:rsid w:val="00325BBE"/>
    <w:rsid w:val="0033566B"/>
    <w:rsid w:val="00340EE8"/>
    <w:rsid w:val="00341206"/>
    <w:rsid w:val="00341AF8"/>
    <w:rsid w:val="003426D9"/>
    <w:rsid w:val="00342B6E"/>
    <w:rsid w:val="0034658D"/>
    <w:rsid w:val="00347A16"/>
    <w:rsid w:val="003509A0"/>
    <w:rsid w:val="00351FCD"/>
    <w:rsid w:val="0035436D"/>
    <w:rsid w:val="003546C6"/>
    <w:rsid w:val="00354D2D"/>
    <w:rsid w:val="00360069"/>
    <w:rsid w:val="00362AF6"/>
    <w:rsid w:val="00363C03"/>
    <w:rsid w:val="00365B90"/>
    <w:rsid w:val="00371711"/>
    <w:rsid w:val="0037176D"/>
    <w:rsid w:val="00381780"/>
    <w:rsid w:val="00387667"/>
    <w:rsid w:val="00391ED7"/>
    <w:rsid w:val="00392F3F"/>
    <w:rsid w:val="00394938"/>
    <w:rsid w:val="00397216"/>
    <w:rsid w:val="003A1FE8"/>
    <w:rsid w:val="003A3BEC"/>
    <w:rsid w:val="003A54C7"/>
    <w:rsid w:val="003A69AF"/>
    <w:rsid w:val="003B3906"/>
    <w:rsid w:val="003B6F42"/>
    <w:rsid w:val="003B7371"/>
    <w:rsid w:val="003B7A19"/>
    <w:rsid w:val="003C13DA"/>
    <w:rsid w:val="003C5F63"/>
    <w:rsid w:val="003D112A"/>
    <w:rsid w:val="003D2953"/>
    <w:rsid w:val="003D3795"/>
    <w:rsid w:val="003D4668"/>
    <w:rsid w:val="003D4B88"/>
    <w:rsid w:val="003D582F"/>
    <w:rsid w:val="003D6C46"/>
    <w:rsid w:val="003E3084"/>
    <w:rsid w:val="003E4D69"/>
    <w:rsid w:val="003E56AC"/>
    <w:rsid w:val="003F09D6"/>
    <w:rsid w:val="003F0E30"/>
    <w:rsid w:val="003F43C1"/>
    <w:rsid w:val="003F53D9"/>
    <w:rsid w:val="0040414A"/>
    <w:rsid w:val="004101FA"/>
    <w:rsid w:val="00413196"/>
    <w:rsid w:val="00417938"/>
    <w:rsid w:val="00424C29"/>
    <w:rsid w:val="00424CEE"/>
    <w:rsid w:val="0043269D"/>
    <w:rsid w:val="00433A75"/>
    <w:rsid w:val="00443B0B"/>
    <w:rsid w:val="00444255"/>
    <w:rsid w:val="004453C3"/>
    <w:rsid w:val="00446D27"/>
    <w:rsid w:val="004564E5"/>
    <w:rsid w:val="00464A87"/>
    <w:rsid w:val="00467F28"/>
    <w:rsid w:val="0047672B"/>
    <w:rsid w:val="0047697C"/>
    <w:rsid w:val="00484395"/>
    <w:rsid w:val="00484FEF"/>
    <w:rsid w:val="004A12C0"/>
    <w:rsid w:val="004A1D2B"/>
    <w:rsid w:val="004A4714"/>
    <w:rsid w:val="004A54B3"/>
    <w:rsid w:val="004A6C15"/>
    <w:rsid w:val="004A6EAF"/>
    <w:rsid w:val="004A742E"/>
    <w:rsid w:val="004B2E14"/>
    <w:rsid w:val="004B2FBA"/>
    <w:rsid w:val="004B3580"/>
    <w:rsid w:val="004B4007"/>
    <w:rsid w:val="004C2282"/>
    <w:rsid w:val="004C22C9"/>
    <w:rsid w:val="004C2862"/>
    <w:rsid w:val="004C77EA"/>
    <w:rsid w:val="004D18EC"/>
    <w:rsid w:val="004D2B00"/>
    <w:rsid w:val="004D4380"/>
    <w:rsid w:val="004D532F"/>
    <w:rsid w:val="004D572B"/>
    <w:rsid w:val="004E3093"/>
    <w:rsid w:val="004E5662"/>
    <w:rsid w:val="004E585E"/>
    <w:rsid w:val="004F2292"/>
    <w:rsid w:val="004F4495"/>
    <w:rsid w:val="004F717A"/>
    <w:rsid w:val="004F7DE7"/>
    <w:rsid w:val="0050102B"/>
    <w:rsid w:val="00501B09"/>
    <w:rsid w:val="00501E51"/>
    <w:rsid w:val="00502525"/>
    <w:rsid w:val="0050278A"/>
    <w:rsid w:val="005039C4"/>
    <w:rsid w:val="00507A0D"/>
    <w:rsid w:val="005121DB"/>
    <w:rsid w:val="00516E14"/>
    <w:rsid w:val="00521FA6"/>
    <w:rsid w:val="00522C8F"/>
    <w:rsid w:val="00524986"/>
    <w:rsid w:val="00530B03"/>
    <w:rsid w:val="00536555"/>
    <w:rsid w:val="00537F13"/>
    <w:rsid w:val="0054456A"/>
    <w:rsid w:val="005459E1"/>
    <w:rsid w:val="0054708B"/>
    <w:rsid w:val="0055315B"/>
    <w:rsid w:val="00554BD1"/>
    <w:rsid w:val="00554E87"/>
    <w:rsid w:val="0055633B"/>
    <w:rsid w:val="00557721"/>
    <w:rsid w:val="0056112C"/>
    <w:rsid w:val="00563A03"/>
    <w:rsid w:val="00570490"/>
    <w:rsid w:val="00570FA6"/>
    <w:rsid w:val="00587A9C"/>
    <w:rsid w:val="005920BE"/>
    <w:rsid w:val="0059247F"/>
    <w:rsid w:val="00595D05"/>
    <w:rsid w:val="00595FE6"/>
    <w:rsid w:val="00597C16"/>
    <w:rsid w:val="005A050A"/>
    <w:rsid w:val="005A29B9"/>
    <w:rsid w:val="005A41C1"/>
    <w:rsid w:val="005A56AC"/>
    <w:rsid w:val="005B2266"/>
    <w:rsid w:val="005B69E2"/>
    <w:rsid w:val="005B7713"/>
    <w:rsid w:val="005C07CA"/>
    <w:rsid w:val="005C1A98"/>
    <w:rsid w:val="005C3792"/>
    <w:rsid w:val="005C7A7B"/>
    <w:rsid w:val="005C7AE7"/>
    <w:rsid w:val="005D0224"/>
    <w:rsid w:val="005D33CA"/>
    <w:rsid w:val="005D721B"/>
    <w:rsid w:val="005D7990"/>
    <w:rsid w:val="005E0567"/>
    <w:rsid w:val="005E0D77"/>
    <w:rsid w:val="005E31CE"/>
    <w:rsid w:val="005E6AFD"/>
    <w:rsid w:val="005E7B8A"/>
    <w:rsid w:val="005F07AE"/>
    <w:rsid w:val="005F0F2D"/>
    <w:rsid w:val="005F266C"/>
    <w:rsid w:val="005F4C0C"/>
    <w:rsid w:val="005F63F0"/>
    <w:rsid w:val="006047A5"/>
    <w:rsid w:val="00607137"/>
    <w:rsid w:val="00607690"/>
    <w:rsid w:val="00622D16"/>
    <w:rsid w:val="00625DCD"/>
    <w:rsid w:val="00626FD9"/>
    <w:rsid w:val="00627613"/>
    <w:rsid w:val="00632577"/>
    <w:rsid w:val="00636E25"/>
    <w:rsid w:val="006404D3"/>
    <w:rsid w:val="00644400"/>
    <w:rsid w:val="00645220"/>
    <w:rsid w:val="00645AEC"/>
    <w:rsid w:val="00650A83"/>
    <w:rsid w:val="00653CD4"/>
    <w:rsid w:val="00655365"/>
    <w:rsid w:val="00656C24"/>
    <w:rsid w:val="00663EB9"/>
    <w:rsid w:val="00664BB6"/>
    <w:rsid w:val="006655BB"/>
    <w:rsid w:val="0066646B"/>
    <w:rsid w:val="0066687B"/>
    <w:rsid w:val="00666FA1"/>
    <w:rsid w:val="00672A2C"/>
    <w:rsid w:val="00675D81"/>
    <w:rsid w:val="00680900"/>
    <w:rsid w:val="006816AF"/>
    <w:rsid w:val="00681F0D"/>
    <w:rsid w:val="00682B92"/>
    <w:rsid w:val="006910AE"/>
    <w:rsid w:val="006978BC"/>
    <w:rsid w:val="00697F6B"/>
    <w:rsid w:val="006A10AE"/>
    <w:rsid w:val="006A19C2"/>
    <w:rsid w:val="006A2AE1"/>
    <w:rsid w:val="006A43CC"/>
    <w:rsid w:val="006A6391"/>
    <w:rsid w:val="006B43F9"/>
    <w:rsid w:val="006B5952"/>
    <w:rsid w:val="006B5A89"/>
    <w:rsid w:val="006B7DDF"/>
    <w:rsid w:val="006C278C"/>
    <w:rsid w:val="006C37F2"/>
    <w:rsid w:val="006C3CE9"/>
    <w:rsid w:val="006C5B98"/>
    <w:rsid w:val="006C72E1"/>
    <w:rsid w:val="006D0524"/>
    <w:rsid w:val="006D120C"/>
    <w:rsid w:val="006D59C5"/>
    <w:rsid w:val="006D768F"/>
    <w:rsid w:val="006E3B01"/>
    <w:rsid w:val="006E3D50"/>
    <w:rsid w:val="006E42EC"/>
    <w:rsid w:val="006E4C2C"/>
    <w:rsid w:val="006E650A"/>
    <w:rsid w:val="006E6A6A"/>
    <w:rsid w:val="006F3349"/>
    <w:rsid w:val="006F7F20"/>
    <w:rsid w:val="007039F8"/>
    <w:rsid w:val="0070432B"/>
    <w:rsid w:val="00705026"/>
    <w:rsid w:val="007100D2"/>
    <w:rsid w:val="00714F13"/>
    <w:rsid w:val="007159AA"/>
    <w:rsid w:val="0071778D"/>
    <w:rsid w:val="00717CC6"/>
    <w:rsid w:val="00720D02"/>
    <w:rsid w:val="00723135"/>
    <w:rsid w:val="00724228"/>
    <w:rsid w:val="00724895"/>
    <w:rsid w:val="00726B3A"/>
    <w:rsid w:val="00727BED"/>
    <w:rsid w:val="00730D2E"/>
    <w:rsid w:val="00736CB9"/>
    <w:rsid w:val="00737286"/>
    <w:rsid w:val="007463F4"/>
    <w:rsid w:val="00747953"/>
    <w:rsid w:val="00752E76"/>
    <w:rsid w:val="007538D4"/>
    <w:rsid w:val="007564E4"/>
    <w:rsid w:val="00760B85"/>
    <w:rsid w:val="0076599D"/>
    <w:rsid w:val="00772C41"/>
    <w:rsid w:val="007811C2"/>
    <w:rsid w:val="007900B1"/>
    <w:rsid w:val="007952C9"/>
    <w:rsid w:val="0079615A"/>
    <w:rsid w:val="007A50D6"/>
    <w:rsid w:val="007A6EFE"/>
    <w:rsid w:val="007B17BD"/>
    <w:rsid w:val="007B2325"/>
    <w:rsid w:val="007B35E8"/>
    <w:rsid w:val="007B5A97"/>
    <w:rsid w:val="007C11F8"/>
    <w:rsid w:val="007C2803"/>
    <w:rsid w:val="007C3E4C"/>
    <w:rsid w:val="007C4073"/>
    <w:rsid w:val="007C4DD0"/>
    <w:rsid w:val="007D11CE"/>
    <w:rsid w:val="007D178D"/>
    <w:rsid w:val="007D19B9"/>
    <w:rsid w:val="007D3C7F"/>
    <w:rsid w:val="007D6012"/>
    <w:rsid w:val="007E16F7"/>
    <w:rsid w:val="007E2CD0"/>
    <w:rsid w:val="007E32A4"/>
    <w:rsid w:val="007E60F4"/>
    <w:rsid w:val="007E730B"/>
    <w:rsid w:val="007F24F5"/>
    <w:rsid w:val="007F7A44"/>
    <w:rsid w:val="007F7E3E"/>
    <w:rsid w:val="00801D35"/>
    <w:rsid w:val="00804A4D"/>
    <w:rsid w:val="00804A79"/>
    <w:rsid w:val="00810A3C"/>
    <w:rsid w:val="00812C10"/>
    <w:rsid w:val="00815D93"/>
    <w:rsid w:val="00815E0A"/>
    <w:rsid w:val="00816D07"/>
    <w:rsid w:val="0081773B"/>
    <w:rsid w:val="00820376"/>
    <w:rsid w:val="00830583"/>
    <w:rsid w:val="00831113"/>
    <w:rsid w:val="008311EE"/>
    <w:rsid w:val="00832472"/>
    <w:rsid w:val="00832B94"/>
    <w:rsid w:val="00834593"/>
    <w:rsid w:val="0084535F"/>
    <w:rsid w:val="00846652"/>
    <w:rsid w:val="00847006"/>
    <w:rsid w:val="00847151"/>
    <w:rsid w:val="00854D27"/>
    <w:rsid w:val="00856CD2"/>
    <w:rsid w:val="00857F21"/>
    <w:rsid w:val="008622E9"/>
    <w:rsid w:val="00865391"/>
    <w:rsid w:val="008714E4"/>
    <w:rsid w:val="00871D3F"/>
    <w:rsid w:val="008722C0"/>
    <w:rsid w:val="00872EB1"/>
    <w:rsid w:val="008738A4"/>
    <w:rsid w:val="008752D5"/>
    <w:rsid w:val="00876E90"/>
    <w:rsid w:val="008816C9"/>
    <w:rsid w:val="00885470"/>
    <w:rsid w:val="008863B4"/>
    <w:rsid w:val="00886AFB"/>
    <w:rsid w:val="0089149F"/>
    <w:rsid w:val="00893596"/>
    <w:rsid w:val="00896364"/>
    <w:rsid w:val="008B1607"/>
    <w:rsid w:val="008B2439"/>
    <w:rsid w:val="008B2588"/>
    <w:rsid w:val="008B56C3"/>
    <w:rsid w:val="008C267F"/>
    <w:rsid w:val="008C7472"/>
    <w:rsid w:val="008D3B1A"/>
    <w:rsid w:val="008D41CA"/>
    <w:rsid w:val="008D6B17"/>
    <w:rsid w:val="008E06CA"/>
    <w:rsid w:val="008E0F0C"/>
    <w:rsid w:val="008E2E17"/>
    <w:rsid w:val="008E4E61"/>
    <w:rsid w:val="008E66C6"/>
    <w:rsid w:val="008F1FC3"/>
    <w:rsid w:val="008F71F1"/>
    <w:rsid w:val="0090303B"/>
    <w:rsid w:val="00903646"/>
    <w:rsid w:val="00904765"/>
    <w:rsid w:val="0090578C"/>
    <w:rsid w:val="00905832"/>
    <w:rsid w:val="00907589"/>
    <w:rsid w:val="00912B6E"/>
    <w:rsid w:val="0091583C"/>
    <w:rsid w:val="00922402"/>
    <w:rsid w:val="00925737"/>
    <w:rsid w:val="009332E6"/>
    <w:rsid w:val="009339D1"/>
    <w:rsid w:val="0094165F"/>
    <w:rsid w:val="00943219"/>
    <w:rsid w:val="0094576A"/>
    <w:rsid w:val="0095080C"/>
    <w:rsid w:val="009523F2"/>
    <w:rsid w:val="00963D6E"/>
    <w:rsid w:val="00971AE9"/>
    <w:rsid w:val="0097635B"/>
    <w:rsid w:val="0098497B"/>
    <w:rsid w:val="00992256"/>
    <w:rsid w:val="00992945"/>
    <w:rsid w:val="00994398"/>
    <w:rsid w:val="0099631E"/>
    <w:rsid w:val="009A2581"/>
    <w:rsid w:val="009A49C3"/>
    <w:rsid w:val="009A4F91"/>
    <w:rsid w:val="009B11E3"/>
    <w:rsid w:val="009B3421"/>
    <w:rsid w:val="009B3704"/>
    <w:rsid w:val="009B5D33"/>
    <w:rsid w:val="009B6076"/>
    <w:rsid w:val="009B74C1"/>
    <w:rsid w:val="009B7A39"/>
    <w:rsid w:val="009C0AAD"/>
    <w:rsid w:val="009C46B1"/>
    <w:rsid w:val="009C4BC8"/>
    <w:rsid w:val="009C4D5E"/>
    <w:rsid w:val="009C6965"/>
    <w:rsid w:val="009D0C29"/>
    <w:rsid w:val="009D23D4"/>
    <w:rsid w:val="009D3C8D"/>
    <w:rsid w:val="009D74EF"/>
    <w:rsid w:val="009E1E32"/>
    <w:rsid w:val="009E56DA"/>
    <w:rsid w:val="009E5971"/>
    <w:rsid w:val="009F0FE6"/>
    <w:rsid w:val="009F44E7"/>
    <w:rsid w:val="009F48A6"/>
    <w:rsid w:val="009F4FD8"/>
    <w:rsid w:val="009F5CF7"/>
    <w:rsid w:val="009F6364"/>
    <w:rsid w:val="00A00C91"/>
    <w:rsid w:val="00A050FB"/>
    <w:rsid w:val="00A06D25"/>
    <w:rsid w:val="00A06ECD"/>
    <w:rsid w:val="00A0793E"/>
    <w:rsid w:val="00A10FC3"/>
    <w:rsid w:val="00A12490"/>
    <w:rsid w:val="00A12F4D"/>
    <w:rsid w:val="00A179B2"/>
    <w:rsid w:val="00A208C4"/>
    <w:rsid w:val="00A2276D"/>
    <w:rsid w:val="00A244C3"/>
    <w:rsid w:val="00A27639"/>
    <w:rsid w:val="00A278F9"/>
    <w:rsid w:val="00A317AF"/>
    <w:rsid w:val="00A326A9"/>
    <w:rsid w:val="00A3288E"/>
    <w:rsid w:val="00A34DBA"/>
    <w:rsid w:val="00A352D8"/>
    <w:rsid w:val="00A3610B"/>
    <w:rsid w:val="00A378BC"/>
    <w:rsid w:val="00A44A44"/>
    <w:rsid w:val="00A46A34"/>
    <w:rsid w:val="00A479C0"/>
    <w:rsid w:val="00A506F2"/>
    <w:rsid w:val="00A55ACB"/>
    <w:rsid w:val="00A63555"/>
    <w:rsid w:val="00A63A38"/>
    <w:rsid w:val="00A66701"/>
    <w:rsid w:val="00A70C3F"/>
    <w:rsid w:val="00A81CB1"/>
    <w:rsid w:val="00A823FD"/>
    <w:rsid w:val="00A83892"/>
    <w:rsid w:val="00A85F70"/>
    <w:rsid w:val="00A87AF4"/>
    <w:rsid w:val="00A900B4"/>
    <w:rsid w:val="00A934CA"/>
    <w:rsid w:val="00A94309"/>
    <w:rsid w:val="00A94C55"/>
    <w:rsid w:val="00A965EE"/>
    <w:rsid w:val="00A971CF"/>
    <w:rsid w:val="00A97EC7"/>
    <w:rsid w:val="00AA47E8"/>
    <w:rsid w:val="00AA62AA"/>
    <w:rsid w:val="00AB2A00"/>
    <w:rsid w:val="00AC1D00"/>
    <w:rsid w:val="00AD05A0"/>
    <w:rsid w:val="00AD1C10"/>
    <w:rsid w:val="00AD1EBB"/>
    <w:rsid w:val="00AD6937"/>
    <w:rsid w:val="00AE012F"/>
    <w:rsid w:val="00AE1CA9"/>
    <w:rsid w:val="00AE2FDF"/>
    <w:rsid w:val="00AF1335"/>
    <w:rsid w:val="00AF2390"/>
    <w:rsid w:val="00AF28BF"/>
    <w:rsid w:val="00AF3902"/>
    <w:rsid w:val="00AF6E05"/>
    <w:rsid w:val="00B00A38"/>
    <w:rsid w:val="00B01C3A"/>
    <w:rsid w:val="00B01F6C"/>
    <w:rsid w:val="00B02CFE"/>
    <w:rsid w:val="00B05541"/>
    <w:rsid w:val="00B060DE"/>
    <w:rsid w:val="00B06213"/>
    <w:rsid w:val="00B14470"/>
    <w:rsid w:val="00B208D8"/>
    <w:rsid w:val="00B244DD"/>
    <w:rsid w:val="00B2765C"/>
    <w:rsid w:val="00B27702"/>
    <w:rsid w:val="00B3739E"/>
    <w:rsid w:val="00B405F4"/>
    <w:rsid w:val="00B411E4"/>
    <w:rsid w:val="00B458C1"/>
    <w:rsid w:val="00B5490F"/>
    <w:rsid w:val="00B57321"/>
    <w:rsid w:val="00B57BB5"/>
    <w:rsid w:val="00B60F97"/>
    <w:rsid w:val="00B67AF6"/>
    <w:rsid w:val="00B747AD"/>
    <w:rsid w:val="00B810AA"/>
    <w:rsid w:val="00B82F40"/>
    <w:rsid w:val="00B8564F"/>
    <w:rsid w:val="00B874D2"/>
    <w:rsid w:val="00B926B0"/>
    <w:rsid w:val="00B932E7"/>
    <w:rsid w:val="00BA7596"/>
    <w:rsid w:val="00BA797A"/>
    <w:rsid w:val="00BA7AB1"/>
    <w:rsid w:val="00BB668B"/>
    <w:rsid w:val="00BB7440"/>
    <w:rsid w:val="00BB76ED"/>
    <w:rsid w:val="00BB7ADE"/>
    <w:rsid w:val="00BB7D18"/>
    <w:rsid w:val="00BC04E2"/>
    <w:rsid w:val="00BC292A"/>
    <w:rsid w:val="00BC54CC"/>
    <w:rsid w:val="00BC6DB4"/>
    <w:rsid w:val="00BD11E6"/>
    <w:rsid w:val="00BD6AAD"/>
    <w:rsid w:val="00BD7AE5"/>
    <w:rsid w:val="00BE1A42"/>
    <w:rsid w:val="00BE1BE1"/>
    <w:rsid w:val="00BE33D8"/>
    <w:rsid w:val="00BE3F36"/>
    <w:rsid w:val="00BE42CB"/>
    <w:rsid w:val="00BF104D"/>
    <w:rsid w:val="00BF1FF0"/>
    <w:rsid w:val="00BF3058"/>
    <w:rsid w:val="00BF34F5"/>
    <w:rsid w:val="00BF445D"/>
    <w:rsid w:val="00C108B2"/>
    <w:rsid w:val="00C11577"/>
    <w:rsid w:val="00C135A3"/>
    <w:rsid w:val="00C139D6"/>
    <w:rsid w:val="00C159E9"/>
    <w:rsid w:val="00C15DAA"/>
    <w:rsid w:val="00C17912"/>
    <w:rsid w:val="00C20D50"/>
    <w:rsid w:val="00C27778"/>
    <w:rsid w:val="00C30FB6"/>
    <w:rsid w:val="00C329D8"/>
    <w:rsid w:val="00C36B2A"/>
    <w:rsid w:val="00C373EA"/>
    <w:rsid w:val="00C409C6"/>
    <w:rsid w:val="00C43381"/>
    <w:rsid w:val="00C433B0"/>
    <w:rsid w:val="00C54D4C"/>
    <w:rsid w:val="00C56AC3"/>
    <w:rsid w:val="00C57C54"/>
    <w:rsid w:val="00C61067"/>
    <w:rsid w:val="00C62411"/>
    <w:rsid w:val="00C70953"/>
    <w:rsid w:val="00C71006"/>
    <w:rsid w:val="00C71C4E"/>
    <w:rsid w:val="00C7634B"/>
    <w:rsid w:val="00C76CB6"/>
    <w:rsid w:val="00C77DD5"/>
    <w:rsid w:val="00C80070"/>
    <w:rsid w:val="00C82B20"/>
    <w:rsid w:val="00C8465B"/>
    <w:rsid w:val="00C9227E"/>
    <w:rsid w:val="00C92B80"/>
    <w:rsid w:val="00C97707"/>
    <w:rsid w:val="00CA20F3"/>
    <w:rsid w:val="00CA448E"/>
    <w:rsid w:val="00CA675E"/>
    <w:rsid w:val="00CB14E4"/>
    <w:rsid w:val="00CB42D4"/>
    <w:rsid w:val="00CB5F21"/>
    <w:rsid w:val="00CC2D68"/>
    <w:rsid w:val="00CC7DE6"/>
    <w:rsid w:val="00CD0785"/>
    <w:rsid w:val="00CD235A"/>
    <w:rsid w:val="00CD7B0B"/>
    <w:rsid w:val="00CE1216"/>
    <w:rsid w:val="00CE1BD0"/>
    <w:rsid w:val="00CE22D7"/>
    <w:rsid w:val="00CE2C29"/>
    <w:rsid w:val="00CE3040"/>
    <w:rsid w:val="00CF4C44"/>
    <w:rsid w:val="00D02C58"/>
    <w:rsid w:val="00D02C9F"/>
    <w:rsid w:val="00D03278"/>
    <w:rsid w:val="00D03D04"/>
    <w:rsid w:val="00D0450F"/>
    <w:rsid w:val="00D049E6"/>
    <w:rsid w:val="00D11656"/>
    <w:rsid w:val="00D13C94"/>
    <w:rsid w:val="00D15C20"/>
    <w:rsid w:val="00D16DDC"/>
    <w:rsid w:val="00D17D97"/>
    <w:rsid w:val="00D20C6F"/>
    <w:rsid w:val="00D2124F"/>
    <w:rsid w:val="00D2281A"/>
    <w:rsid w:val="00D2344C"/>
    <w:rsid w:val="00D25E3B"/>
    <w:rsid w:val="00D267DC"/>
    <w:rsid w:val="00D30596"/>
    <w:rsid w:val="00D32EF7"/>
    <w:rsid w:val="00D36DCA"/>
    <w:rsid w:val="00D429F1"/>
    <w:rsid w:val="00D438D2"/>
    <w:rsid w:val="00D448AD"/>
    <w:rsid w:val="00D46B7B"/>
    <w:rsid w:val="00D46F21"/>
    <w:rsid w:val="00D52C09"/>
    <w:rsid w:val="00D62DDB"/>
    <w:rsid w:val="00D64330"/>
    <w:rsid w:val="00D643F3"/>
    <w:rsid w:val="00D66FF3"/>
    <w:rsid w:val="00D708A6"/>
    <w:rsid w:val="00D72FDF"/>
    <w:rsid w:val="00D77F24"/>
    <w:rsid w:val="00D8137A"/>
    <w:rsid w:val="00D83F4D"/>
    <w:rsid w:val="00D93F40"/>
    <w:rsid w:val="00D969AD"/>
    <w:rsid w:val="00DA19E0"/>
    <w:rsid w:val="00DA6844"/>
    <w:rsid w:val="00DB48F7"/>
    <w:rsid w:val="00DB4A97"/>
    <w:rsid w:val="00DB5722"/>
    <w:rsid w:val="00DB7163"/>
    <w:rsid w:val="00DB7C7C"/>
    <w:rsid w:val="00DC3259"/>
    <w:rsid w:val="00DC4E70"/>
    <w:rsid w:val="00DC72D6"/>
    <w:rsid w:val="00DD3032"/>
    <w:rsid w:val="00DD33FD"/>
    <w:rsid w:val="00DD35EA"/>
    <w:rsid w:val="00DE5490"/>
    <w:rsid w:val="00DF0358"/>
    <w:rsid w:val="00DF0DE5"/>
    <w:rsid w:val="00DF1712"/>
    <w:rsid w:val="00DF1BDD"/>
    <w:rsid w:val="00DF55A2"/>
    <w:rsid w:val="00DF643C"/>
    <w:rsid w:val="00DF6CF1"/>
    <w:rsid w:val="00E01D2C"/>
    <w:rsid w:val="00E0269F"/>
    <w:rsid w:val="00E03016"/>
    <w:rsid w:val="00E04BD4"/>
    <w:rsid w:val="00E11B45"/>
    <w:rsid w:val="00E14780"/>
    <w:rsid w:val="00E16C59"/>
    <w:rsid w:val="00E211ED"/>
    <w:rsid w:val="00E21CCD"/>
    <w:rsid w:val="00E23ECA"/>
    <w:rsid w:val="00E243E4"/>
    <w:rsid w:val="00E25994"/>
    <w:rsid w:val="00E25B79"/>
    <w:rsid w:val="00E26D26"/>
    <w:rsid w:val="00E27A79"/>
    <w:rsid w:val="00E30FC5"/>
    <w:rsid w:val="00E329DF"/>
    <w:rsid w:val="00E33271"/>
    <w:rsid w:val="00E34792"/>
    <w:rsid w:val="00E36C2A"/>
    <w:rsid w:val="00E6128B"/>
    <w:rsid w:val="00E66A18"/>
    <w:rsid w:val="00E67DCB"/>
    <w:rsid w:val="00E707FE"/>
    <w:rsid w:val="00E72573"/>
    <w:rsid w:val="00E7377F"/>
    <w:rsid w:val="00E743F8"/>
    <w:rsid w:val="00E8009D"/>
    <w:rsid w:val="00E82445"/>
    <w:rsid w:val="00E86A66"/>
    <w:rsid w:val="00E94496"/>
    <w:rsid w:val="00E97562"/>
    <w:rsid w:val="00EB5193"/>
    <w:rsid w:val="00EC1323"/>
    <w:rsid w:val="00EC523C"/>
    <w:rsid w:val="00EC5641"/>
    <w:rsid w:val="00EC5BB6"/>
    <w:rsid w:val="00ED04C5"/>
    <w:rsid w:val="00EE1F1F"/>
    <w:rsid w:val="00EE6D1E"/>
    <w:rsid w:val="00EF12E9"/>
    <w:rsid w:val="00EF25C8"/>
    <w:rsid w:val="00EF68EC"/>
    <w:rsid w:val="00EF6D4E"/>
    <w:rsid w:val="00F04DB5"/>
    <w:rsid w:val="00F07A50"/>
    <w:rsid w:val="00F16D9F"/>
    <w:rsid w:val="00F16DD9"/>
    <w:rsid w:val="00F17709"/>
    <w:rsid w:val="00F229AD"/>
    <w:rsid w:val="00F25245"/>
    <w:rsid w:val="00F2533F"/>
    <w:rsid w:val="00F27F02"/>
    <w:rsid w:val="00F3029D"/>
    <w:rsid w:val="00F31F1D"/>
    <w:rsid w:val="00F33911"/>
    <w:rsid w:val="00F37490"/>
    <w:rsid w:val="00F40335"/>
    <w:rsid w:val="00F403B2"/>
    <w:rsid w:val="00F42AD5"/>
    <w:rsid w:val="00F42DD5"/>
    <w:rsid w:val="00F43691"/>
    <w:rsid w:val="00F4544E"/>
    <w:rsid w:val="00F45D33"/>
    <w:rsid w:val="00F47175"/>
    <w:rsid w:val="00F51023"/>
    <w:rsid w:val="00F5149B"/>
    <w:rsid w:val="00F55AD3"/>
    <w:rsid w:val="00F60537"/>
    <w:rsid w:val="00F61715"/>
    <w:rsid w:val="00F65994"/>
    <w:rsid w:val="00F66C4D"/>
    <w:rsid w:val="00F67650"/>
    <w:rsid w:val="00F71CA1"/>
    <w:rsid w:val="00F72D4A"/>
    <w:rsid w:val="00F739F4"/>
    <w:rsid w:val="00F74895"/>
    <w:rsid w:val="00F75DD2"/>
    <w:rsid w:val="00F76353"/>
    <w:rsid w:val="00F80170"/>
    <w:rsid w:val="00F8059D"/>
    <w:rsid w:val="00F82C6A"/>
    <w:rsid w:val="00F85A9A"/>
    <w:rsid w:val="00F92C84"/>
    <w:rsid w:val="00F95968"/>
    <w:rsid w:val="00F97EFF"/>
    <w:rsid w:val="00FA161A"/>
    <w:rsid w:val="00FB621E"/>
    <w:rsid w:val="00FB6A20"/>
    <w:rsid w:val="00FC0D6E"/>
    <w:rsid w:val="00FC2DF1"/>
    <w:rsid w:val="00FC53BF"/>
    <w:rsid w:val="00FC65FE"/>
    <w:rsid w:val="00FD3E93"/>
    <w:rsid w:val="00FD4C12"/>
    <w:rsid w:val="00FD793A"/>
    <w:rsid w:val="00FE377B"/>
    <w:rsid w:val="00FE5CC5"/>
    <w:rsid w:val="00FE6937"/>
    <w:rsid w:val="00FF027C"/>
    <w:rsid w:val="00FF0B2D"/>
    <w:rsid w:val="00FF19E3"/>
    <w:rsid w:val="00FF25E1"/>
    <w:rsid w:val="00FF3F6E"/>
    <w:rsid w:val="00FF55DD"/>
    <w:rsid w:val="00FF601F"/>
    <w:rsid w:val="00FF6AF7"/>
    <w:rsid w:val="00FF73A0"/>
    <w:rsid w:val="00FF7A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BDD28-DC2F-4628-8D7D-8DEE4842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0A83"/>
    <w:pPr>
      <w:spacing w:after="0" w:line="360" w:lineRule="auto"/>
      <w:jc w:val="both"/>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276EEA"/>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76EEA"/>
    <w:rPr>
      <w:rFonts w:ascii="Times New Roman" w:hAnsi="Times New Roman"/>
      <w:sz w:val="20"/>
      <w:szCs w:val="20"/>
    </w:rPr>
  </w:style>
  <w:style w:type="character" w:customStyle="1" w:styleId="alb">
    <w:name w:val="a_lb"/>
    <w:basedOn w:val="Domylnaczcionkaakapitu"/>
    <w:rsid w:val="002A1AC3"/>
  </w:style>
  <w:style w:type="character" w:styleId="Uwydatnienie">
    <w:name w:val="Emphasis"/>
    <w:basedOn w:val="Domylnaczcionkaakapitu"/>
    <w:uiPriority w:val="20"/>
    <w:qFormat/>
    <w:rsid w:val="009F5CF7"/>
    <w:rPr>
      <w:i/>
      <w:iCs/>
    </w:rPr>
  </w:style>
  <w:style w:type="paragraph" w:styleId="Tekstdymka">
    <w:name w:val="Balloon Text"/>
    <w:basedOn w:val="Normalny"/>
    <w:link w:val="TekstdymkaZnak"/>
    <w:uiPriority w:val="99"/>
    <w:semiHidden/>
    <w:unhideWhenUsed/>
    <w:rsid w:val="00570FA6"/>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0FA6"/>
    <w:rPr>
      <w:rFonts w:ascii="Tahoma" w:hAnsi="Tahoma" w:cs="Tahoma"/>
      <w:sz w:val="16"/>
      <w:szCs w:val="16"/>
    </w:rPr>
  </w:style>
  <w:style w:type="character" w:styleId="Odwoaniedokomentarza">
    <w:name w:val="annotation reference"/>
    <w:basedOn w:val="Domylnaczcionkaakapitu"/>
    <w:uiPriority w:val="99"/>
    <w:semiHidden/>
    <w:unhideWhenUsed/>
    <w:rsid w:val="00EF12E9"/>
    <w:rPr>
      <w:sz w:val="16"/>
      <w:szCs w:val="16"/>
    </w:rPr>
  </w:style>
  <w:style w:type="paragraph" w:styleId="Tekstkomentarza">
    <w:name w:val="annotation text"/>
    <w:basedOn w:val="Normalny"/>
    <w:link w:val="TekstkomentarzaZnak"/>
    <w:uiPriority w:val="99"/>
    <w:semiHidden/>
    <w:unhideWhenUsed/>
    <w:rsid w:val="00EF12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F12E9"/>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EF12E9"/>
    <w:rPr>
      <w:b/>
      <w:bCs/>
    </w:rPr>
  </w:style>
  <w:style w:type="character" w:customStyle="1" w:styleId="TematkomentarzaZnak">
    <w:name w:val="Temat komentarza Znak"/>
    <w:basedOn w:val="TekstkomentarzaZnak"/>
    <w:link w:val="Tematkomentarza"/>
    <w:uiPriority w:val="99"/>
    <w:semiHidden/>
    <w:rsid w:val="00EF12E9"/>
    <w:rPr>
      <w:rFonts w:ascii="Times New Roman" w:hAnsi="Times New Roman"/>
      <w:b/>
      <w:bCs/>
      <w:sz w:val="20"/>
      <w:szCs w:val="20"/>
    </w:rPr>
  </w:style>
  <w:style w:type="character" w:styleId="Odwoanieprzypisudolnego">
    <w:name w:val="footnote reference"/>
    <w:basedOn w:val="Domylnaczcionkaakapitu"/>
    <w:uiPriority w:val="99"/>
    <w:semiHidden/>
    <w:unhideWhenUsed/>
    <w:rsid w:val="00D02C58"/>
    <w:rPr>
      <w:vertAlign w:val="superscript"/>
    </w:rPr>
  </w:style>
  <w:style w:type="paragraph" w:styleId="Poprawka">
    <w:name w:val="Revision"/>
    <w:hidden/>
    <w:uiPriority w:val="99"/>
    <w:semiHidden/>
    <w:rsid w:val="000E41D5"/>
    <w:pPr>
      <w:spacing w:after="0" w:line="240" w:lineRule="auto"/>
    </w:pPr>
    <w:rPr>
      <w:rFonts w:ascii="Times New Roman" w:hAnsi="Times New Roman"/>
      <w:sz w:val="24"/>
    </w:rPr>
  </w:style>
  <w:style w:type="paragraph" w:styleId="Nagwek">
    <w:name w:val="header"/>
    <w:basedOn w:val="Normalny"/>
    <w:link w:val="NagwekZnak"/>
    <w:uiPriority w:val="99"/>
    <w:unhideWhenUsed/>
    <w:rsid w:val="005C1A98"/>
    <w:pPr>
      <w:tabs>
        <w:tab w:val="center" w:pos="4536"/>
        <w:tab w:val="right" w:pos="9072"/>
      </w:tabs>
      <w:spacing w:line="240" w:lineRule="auto"/>
    </w:pPr>
  </w:style>
  <w:style w:type="character" w:customStyle="1" w:styleId="NagwekZnak">
    <w:name w:val="Nagłówek Znak"/>
    <w:basedOn w:val="Domylnaczcionkaakapitu"/>
    <w:link w:val="Nagwek"/>
    <w:uiPriority w:val="99"/>
    <w:rsid w:val="005C1A98"/>
    <w:rPr>
      <w:rFonts w:ascii="Times New Roman" w:hAnsi="Times New Roman"/>
      <w:sz w:val="24"/>
    </w:rPr>
  </w:style>
  <w:style w:type="paragraph" w:styleId="Stopka">
    <w:name w:val="footer"/>
    <w:basedOn w:val="Normalny"/>
    <w:link w:val="StopkaZnak"/>
    <w:uiPriority w:val="99"/>
    <w:unhideWhenUsed/>
    <w:rsid w:val="005C1A98"/>
    <w:pPr>
      <w:tabs>
        <w:tab w:val="center" w:pos="4536"/>
        <w:tab w:val="right" w:pos="9072"/>
      </w:tabs>
      <w:spacing w:line="240" w:lineRule="auto"/>
    </w:pPr>
  </w:style>
  <w:style w:type="character" w:customStyle="1" w:styleId="StopkaZnak">
    <w:name w:val="Stopka Znak"/>
    <w:basedOn w:val="Domylnaczcionkaakapitu"/>
    <w:link w:val="Stopka"/>
    <w:uiPriority w:val="99"/>
    <w:rsid w:val="005C1A98"/>
    <w:rPr>
      <w:rFonts w:ascii="Times New Roman" w:hAnsi="Times New Roman"/>
      <w:sz w:val="24"/>
    </w:rPr>
  </w:style>
  <w:style w:type="paragraph" w:styleId="Akapitzlist">
    <w:name w:val="List Paragraph"/>
    <w:basedOn w:val="Normalny"/>
    <w:uiPriority w:val="34"/>
    <w:qFormat/>
    <w:rsid w:val="00A83892"/>
    <w:pPr>
      <w:ind w:left="720"/>
      <w:contextualSpacing/>
    </w:pPr>
  </w:style>
  <w:style w:type="character" w:styleId="Hipercze">
    <w:name w:val="Hyperlink"/>
    <w:basedOn w:val="Domylnaczcionkaakapitu"/>
    <w:uiPriority w:val="99"/>
    <w:semiHidden/>
    <w:unhideWhenUsed/>
    <w:rsid w:val="00723135"/>
    <w:rPr>
      <w:color w:val="0000FF"/>
      <w:u w:val="single"/>
    </w:rPr>
  </w:style>
  <w:style w:type="character" w:customStyle="1" w:styleId="tabulatory">
    <w:name w:val="tabulatory"/>
    <w:basedOn w:val="Domylnaczcionkaakapitu"/>
    <w:rsid w:val="0009779F"/>
  </w:style>
  <w:style w:type="paragraph" w:customStyle="1" w:styleId="ARTartustawynprozporzdzenia">
    <w:name w:val="ART(§) – art. ustawy (§ np. rozporządzenia)"/>
    <w:uiPriority w:val="11"/>
    <w:qFormat/>
    <w:rsid w:val="00D16DD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D16DDC"/>
    <w:rPr>
      <w:b/>
    </w:rPr>
  </w:style>
  <w:style w:type="character" w:customStyle="1" w:styleId="txt-new">
    <w:name w:val="txt-new"/>
    <w:basedOn w:val="Domylnaczcionkaakapitu"/>
    <w:rsid w:val="00060303"/>
  </w:style>
  <w:style w:type="paragraph" w:customStyle="1" w:styleId="ZPKTzmpktartykuempunktem">
    <w:name w:val="Z/PKT – zm. pkt artykułem (punktem)"/>
    <w:basedOn w:val="PKTpunkt"/>
    <w:uiPriority w:val="31"/>
    <w:qFormat/>
    <w:rsid w:val="008E66C6"/>
    <w:pPr>
      <w:ind w:left="1020"/>
    </w:pPr>
  </w:style>
  <w:style w:type="paragraph" w:customStyle="1" w:styleId="PKTpunkt">
    <w:name w:val="PKT – punkt"/>
    <w:uiPriority w:val="13"/>
    <w:qFormat/>
    <w:rsid w:val="008E66C6"/>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026B11"/>
    <w:pPr>
      <w:ind w:left="986" w:hanging="476"/>
    </w:pPr>
  </w:style>
  <w:style w:type="paragraph" w:customStyle="1" w:styleId="ZLITUSTzmustliter">
    <w:name w:val="Z_LIT/UST(§) – zm. ust. (§) literą"/>
    <w:basedOn w:val="Normalny"/>
    <w:uiPriority w:val="46"/>
    <w:qFormat/>
    <w:rsid w:val="00026B11"/>
    <w:pPr>
      <w:suppressAutoHyphens/>
      <w:autoSpaceDE w:val="0"/>
      <w:autoSpaceDN w:val="0"/>
      <w:adjustRightInd w:val="0"/>
      <w:ind w:left="987" w:firstLine="510"/>
    </w:pPr>
    <w:rPr>
      <w:rFonts w:ascii="Times" w:eastAsiaTheme="minorEastAsia" w:hAnsi="Times" w:cs="Arial"/>
      <w:bCs/>
      <w:szCs w:val="20"/>
      <w:lang w:eastAsia="pl-PL"/>
    </w:rPr>
  </w:style>
  <w:style w:type="character" w:customStyle="1" w:styleId="Kkursywa">
    <w:name w:val="_K_ – kursywa"/>
    <w:basedOn w:val="Domylnaczcionkaakapitu"/>
    <w:uiPriority w:val="1"/>
    <w:qFormat/>
    <w:rsid w:val="00026B11"/>
    <w:rPr>
      <w:i/>
    </w:rPr>
  </w:style>
  <w:style w:type="paragraph" w:customStyle="1" w:styleId="ZUSTzmustartykuempunktem">
    <w:name w:val="Z/UST(§) – zm. ust. (§) artykułem (punktem)"/>
    <w:basedOn w:val="Normalny"/>
    <w:uiPriority w:val="30"/>
    <w:qFormat/>
    <w:rsid w:val="00026B11"/>
    <w:pPr>
      <w:suppressAutoHyphens/>
      <w:autoSpaceDE w:val="0"/>
      <w:autoSpaceDN w:val="0"/>
      <w:adjustRightInd w:val="0"/>
      <w:ind w:left="510" w:firstLine="510"/>
    </w:pPr>
    <w:rPr>
      <w:rFonts w:ascii="Times" w:eastAsiaTheme="minorEastAsia" w:hAnsi="Times" w:cs="Arial"/>
      <w:szCs w:val="20"/>
      <w:lang w:eastAsia="pl-PL"/>
    </w:rPr>
  </w:style>
  <w:style w:type="paragraph" w:customStyle="1" w:styleId="ZLITPKTzmpktliter">
    <w:name w:val="Z_LIT/PKT – zm. pkt literą"/>
    <w:basedOn w:val="PKTpunkt"/>
    <w:uiPriority w:val="47"/>
    <w:qFormat/>
    <w:rsid w:val="00026B11"/>
    <w:pPr>
      <w:ind w:left="1497"/>
    </w:pPr>
  </w:style>
  <w:style w:type="paragraph" w:customStyle="1" w:styleId="ZFRAGzmfragmentunpzdaniaartykuempunktem">
    <w:name w:val="Z/FRAG – zm. fragmentu (np. zdania) artykułem (punktem)"/>
    <w:basedOn w:val="Normalny"/>
    <w:next w:val="PKTpunkt"/>
    <w:uiPriority w:val="36"/>
    <w:qFormat/>
    <w:rsid w:val="00026B11"/>
    <w:pPr>
      <w:suppressAutoHyphens/>
      <w:autoSpaceDE w:val="0"/>
      <w:autoSpaceDN w:val="0"/>
      <w:adjustRightInd w:val="0"/>
      <w:ind w:left="510"/>
    </w:pPr>
    <w:rPr>
      <w:rFonts w:eastAsiaTheme="minorEastAsia" w:cs="Arial"/>
      <w:szCs w:val="20"/>
      <w:lang w:eastAsia="pl-PL"/>
    </w:rPr>
  </w:style>
  <w:style w:type="paragraph" w:customStyle="1" w:styleId="ZARTzmartartykuempunktem">
    <w:name w:val="Z/ART(§) – zm. art. (§) artykułem (punktem)"/>
    <w:basedOn w:val="ARTartustawynprozporzdzenia"/>
    <w:uiPriority w:val="30"/>
    <w:qFormat/>
    <w:rsid w:val="00026B11"/>
    <w:pPr>
      <w:spacing w:before="0"/>
      <w:ind w:left="510"/>
    </w:pPr>
  </w:style>
  <w:style w:type="paragraph" w:customStyle="1" w:styleId="ZLITFRAGzmlitfragmentunpzdanialiter">
    <w:name w:val="Z_LIT/FRAG – zm. lit. fragmentu (np. zdania) literą"/>
    <w:basedOn w:val="ZLITUSTzmustliter"/>
    <w:next w:val="LITlitera"/>
    <w:uiPriority w:val="52"/>
    <w:qFormat/>
    <w:rsid w:val="00026B11"/>
    <w:pPr>
      <w:ind w:firstLine="0"/>
    </w:pPr>
    <w:rPr>
      <w:rFonts w:ascii="Times New Roman" w:hAnsi="Times New Roman"/>
    </w:rPr>
  </w:style>
  <w:style w:type="paragraph" w:customStyle="1" w:styleId="ZLITARTzmartliter">
    <w:name w:val="Z_LIT/ART(§) – zm. art. (§) literą"/>
    <w:basedOn w:val="ZLITUSTzmustliter"/>
    <w:uiPriority w:val="46"/>
    <w:qFormat/>
    <w:rsid w:val="00026B11"/>
    <w:rPr>
      <w:rFonts w:ascii="Times New Roman" w:hAnsi="Times New Roman"/>
    </w:rPr>
  </w:style>
  <w:style w:type="paragraph" w:customStyle="1" w:styleId="ZLITwPKTzmlitwpktartykuempunktem">
    <w:name w:val="Z/LIT_w_PKT – zm. lit. w pkt artykułem (punktem)"/>
    <w:basedOn w:val="LITlitera"/>
    <w:uiPriority w:val="32"/>
    <w:qFormat/>
    <w:rsid w:val="00A3288E"/>
    <w:pPr>
      <w:ind w:left="1497"/>
    </w:pPr>
  </w:style>
  <w:style w:type="paragraph" w:styleId="Tekstprzypisukocowego">
    <w:name w:val="endnote text"/>
    <w:basedOn w:val="Normalny"/>
    <w:link w:val="TekstprzypisukocowegoZnak"/>
    <w:uiPriority w:val="99"/>
    <w:semiHidden/>
    <w:unhideWhenUsed/>
    <w:rsid w:val="00804A4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04A4D"/>
    <w:rPr>
      <w:rFonts w:ascii="Times New Roman" w:hAnsi="Times New Roman"/>
      <w:sz w:val="20"/>
      <w:szCs w:val="20"/>
    </w:rPr>
  </w:style>
  <w:style w:type="character" w:styleId="Odwoanieprzypisukocowego">
    <w:name w:val="endnote reference"/>
    <w:basedOn w:val="Domylnaczcionkaakapitu"/>
    <w:uiPriority w:val="99"/>
    <w:semiHidden/>
    <w:unhideWhenUsed/>
    <w:rsid w:val="00804A4D"/>
    <w:rPr>
      <w:vertAlign w:val="superscript"/>
    </w:rPr>
  </w:style>
  <w:style w:type="paragraph" w:customStyle="1" w:styleId="Default">
    <w:name w:val="Default"/>
    <w:rsid w:val="00BF1F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A41C1"/>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63684">
      <w:bodyDiv w:val="1"/>
      <w:marLeft w:val="0"/>
      <w:marRight w:val="0"/>
      <w:marTop w:val="0"/>
      <w:marBottom w:val="0"/>
      <w:divBdr>
        <w:top w:val="none" w:sz="0" w:space="0" w:color="auto"/>
        <w:left w:val="none" w:sz="0" w:space="0" w:color="auto"/>
        <w:bottom w:val="none" w:sz="0" w:space="0" w:color="auto"/>
        <w:right w:val="none" w:sz="0" w:space="0" w:color="auto"/>
      </w:divBdr>
      <w:divsChild>
        <w:div w:id="104811273">
          <w:marLeft w:val="0"/>
          <w:marRight w:val="0"/>
          <w:marTop w:val="0"/>
          <w:marBottom w:val="0"/>
          <w:divBdr>
            <w:top w:val="none" w:sz="0" w:space="0" w:color="auto"/>
            <w:left w:val="none" w:sz="0" w:space="0" w:color="auto"/>
            <w:bottom w:val="none" w:sz="0" w:space="0" w:color="auto"/>
            <w:right w:val="none" w:sz="0" w:space="0" w:color="auto"/>
          </w:divBdr>
        </w:div>
        <w:div w:id="153107006">
          <w:marLeft w:val="0"/>
          <w:marRight w:val="0"/>
          <w:marTop w:val="0"/>
          <w:marBottom w:val="0"/>
          <w:divBdr>
            <w:top w:val="none" w:sz="0" w:space="0" w:color="auto"/>
            <w:left w:val="none" w:sz="0" w:space="0" w:color="auto"/>
            <w:bottom w:val="none" w:sz="0" w:space="0" w:color="auto"/>
            <w:right w:val="none" w:sz="0" w:space="0" w:color="auto"/>
          </w:divBdr>
        </w:div>
        <w:div w:id="581765279">
          <w:marLeft w:val="0"/>
          <w:marRight w:val="0"/>
          <w:marTop w:val="0"/>
          <w:marBottom w:val="0"/>
          <w:divBdr>
            <w:top w:val="none" w:sz="0" w:space="0" w:color="auto"/>
            <w:left w:val="none" w:sz="0" w:space="0" w:color="auto"/>
            <w:bottom w:val="none" w:sz="0" w:space="0" w:color="auto"/>
            <w:right w:val="none" w:sz="0" w:space="0" w:color="auto"/>
          </w:divBdr>
        </w:div>
        <w:div w:id="1067994290">
          <w:marLeft w:val="0"/>
          <w:marRight w:val="0"/>
          <w:marTop w:val="0"/>
          <w:marBottom w:val="0"/>
          <w:divBdr>
            <w:top w:val="none" w:sz="0" w:space="0" w:color="auto"/>
            <w:left w:val="none" w:sz="0" w:space="0" w:color="auto"/>
            <w:bottom w:val="none" w:sz="0" w:space="0" w:color="auto"/>
            <w:right w:val="none" w:sz="0" w:space="0" w:color="auto"/>
          </w:divBdr>
        </w:div>
        <w:div w:id="1187132717">
          <w:marLeft w:val="0"/>
          <w:marRight w:val="0"/>
          <w:marTop w:val="0"/>
          <w:marBottom w:val="0"/>
          <w:divBdr>
            <w:top w:val="none" w:sz="0" w:space="0" w:color="auto"/>
            <w:left w:val="none" w:sz="0" w:space="0" w:color="auto"/>
            <w:bottom w:val="none" w:sz="0" w:space="0" w:color="auto"/>
            <w:right w:val="none" w:sz="0" w:space="0" w:color="auto"/>
          </w:divBdr>
        </w:div>
        <w:div w:id="2015455320">
          <w:marLeft w:val="0"/>
          <w:marRight w:val="0"/>
          <w:marTop w:val="0"/>
          <w:marBottom w:val="0"/>
          <w:divBdr>
            <w:top w:val="none" w:sz="0" w:space="0" w:color="auto"/>
            <w:left w:val="none" w:sz="0" w:space="0" w:color="auto"/>
            <w:bottom w:val="none" w:sz="0" w:space="0" w:color="auto"/>
            <w:right w:val="none" w:sz="0" w:space="0" w:color="auto"/>
          </w:divBdr>
        </w:div>
      </w:divsChild>
    </w:div>
    <w:div w:id="308678493">
      <w:bodyDiv w:val="1"/>
      <w:marLeft w:val="0"/>
      <w:marRight w:val="0"/>
      <w:marTop w:val="0"/>
      <w:marBottom w:val="0"/>
      <w:divBdr>
        <w:top w:val="none" w:sz="0" w:space="0" w:color="auto"/>
        <w:left w:val="none" w:sz="0" w:space="0" w:color="auto"/>
        <w:bottom w:val="none" w:sz="0" w:space="0" w:color="auto"/>
        <w:right w:val="none" w:sz="0" w:space="0" w:color="auto"/>
      </w:divBdr>
      <w:divsChild>
        <w:div w:id="724916531">
          <w:marLeft w:val="0"/>
          <w:marRight w:val="0"/>
          <w:marTop w:val="0"/>
          <w:marBottom w:val="0"/>
          <w:divBdr>
            <w:top w:val="none" w:sz="0" w:space="0" w:color="auto"/>
            <w:left w:val="none" w:sz="0" w:space="0" w:color="auto"/>
            <w:bottom w:val="none" w:sz="0" w:space="0" w:color="auto"/>
            <w:right w:val="none" w:sz="0" w:space="0" w:color="auto"/>
          </w:divBdr>
        </w:div>
        <w:div w:id="1744912623">
          <w:marLeft w:val="0"/>
          <w:marRight w:val="0"/>
          <w:marTop w:val="0"/>
          <w:marBottom w:val="0"/>
          <w:divBdr>
            <w:top w:val="none" w:sz="0" w:space="0" w:color="auto"/>
            <w:left w:val="none" w:sz="0" w:space="0" w:color="auto"/>
            <w:bottom w:val="none" w:sz="0" w:space="0" w:color="auto"/>
            <w:right w:val="none" w:sz="0" w:space="0" w:color="auto"/>
          </w:divBdr>
        </w:div>
      </w:divsChild>
    </w:div>
    <w:div w:id="314334632">
      <w:bodyDiv w:val="1"/>
      <w:marLeft w:val="0"/>
      <w:marRight w:val="0"/>
      <w:marTop w:val="0"/>
      <w:marBottom w:val="0"/>
      <w:divBdr>
        <w:top w:val="none" w:sz="0" w:space="0" w:color="auto"/>
        <w:left w:val="none" w:sz="0" w:space="0" w:color="auto"/>
        <w:bottom w:val="none" w:sz="0" w:space="0" w:color="auto"/>
        <w:right w:val="none" w:sz="0" w:space="0" w:color="auto"/>
      </w:divBdr>
      <w:divsChild>
        <w:div w:id="594635819">
          <w:marLeft w:val="0"/>
          <w:marRight w:val="0"/>
          <w:marTop w:val="0"/>
          <w:marBottom w:val="0"/>
          <w:divBdr>
            <w:top w:val="none" w:sz="0" w:space="0" w:color="auto"/>
            <w:left w:val="none" w:sz="0" w:space="0" w:color="auto"/>
            <w:bottom w:val="none" w:sz="0" w:space="0" w:color="auto"/>
            <w:right w:val="none" w:sz="0" w:space="0" w:color="auto"/>
          </w:divBdr>
        </w:div>
        <w:div w:id="1402219076">
          <w:marLeft w:val="0"/>
          <w:marRight w:val="0"/>
          <w:marTop w:val="0"/>
          <w:marBottom w:val="0"/>
          <w:divBdr>
            <w:top w:val="none" w:sz="0" w:space="0" w:color="auto"/>
            <w:left w:val="none" w:sz="0" w:space="0" w:color="auto"/>
            <w:bottom w:val="none" w:sz="0" w:space="0" w:color="auto"/>
            <w:right w:val="none" w:sz="0" w:space="0" w:color="auto"/>
          </w:divBdr>
        </w:div>
        <w:div w:id="1825931207">
          <w:marLeft w:val="0"/>
          <w:marRight w:val="0"/>
          <w:marTop w:val="0"/>
          <w:marBottom w:val="0"/>
          <w:divBdr>
            <w:top w:val="none" w:sz="0" w:space="0" w:color="auto"/>
            <w:left w:val="none" w:sz="0" w:space="0" w:color="auto"/>
            <w:bottom w:val="none" w:sz="0" w:space="0" w:color="auto"/>
            <w:right w:val="none" w:sz="0" w:space="0" w:color="auto"/>
          </w:divBdr>
        </w:div>
      </w:divsChild>
    </w:div>
    <w:div w:id="413556399">
      <w:bodyDiv w:val="1"/>
      <w:marLeft w:val="0"/>
      <w:marRight w:val="0"/>
      <w:marTop w:val="0"/>
      <w:marBottom w:val="0"/>
      <w:divBdr>
        <w:top w:val="none" w:sz="0" w:space="0" w:color="auto"/>
        <w:left w:val="none" w:sz="0" w:space="0" w:color="auto"/>
        <w:bottom w:val="none" w:sz="0" w:space="0" w:color="auto"/>
        <w:right w:val="none" w:sz="0" w:space="0" w:color="auto"/>
      </w:divBdr>
      <w:divsChild>
        <w:div w:id="1086076977">
          <w:marLeft w:val="0"/>
          <w:marRight w:val="0"/>
          <w:marTop w:val="0"/>
          <w:marBottom w:val="0"/>
          <w:divBdr>
            <w:top w:val="none" w:sz="0" w:space="0" w:color="auto"/>
            <w:left w:val="none" w:sz="0" w:space="0" w:color="auto"/>
            <w:bottom w:val="none" w:sz="0" w:space="0" w:color="auto"/>
            <w:right w:val="none" w:sz="0" w:space="0" w:color="auto"/>
          </w:divBdr>
        </w:div>
        <w:div w:id="1302492042">
          <w:marLeft w:val="0"/>
          <w:marRight w:val="0"/>
          <w:marTop w:val="0"/>
          <w:marBottom w:val="0"/>
          <w:divBdr>
            <w:top w:val="none" w:sz="0" w:space="0" w:color="auto"/>
            <w:left w:val="none" w:sz="0" w:space="0" w:color="auto"/>
            <w:bottom w:val="none" w:sz="0" w:space="0" w:color="auto"/>
            <w:right w:val="none" w:sz="0" w:space="0" w:color="auto"/>
          </w:divBdr>
        </w:div>
        <w:div w:id="1316910887">
          <w:marLeft w:val="0"/>
          <w:marRight w:val="0"/>
          <w:marTop w:val="0"/>
          <w:marBottom w:val="0"/>
          <w:divBdr>
            <w:top w:val="none" w:sz="0" w:space="0" w:color="auto"/>
            <w:left w:val="none" w:sz="0" w:space="0" w:color="auto"/>
            <w:bottom w:val="none" w:sz="0" w:space="0" w:color="auto"/>
            <w:right w:val="none" w:sz="0" w:space="0" w:color="auto"/>
          </w:divBdr>
        </w:div>
      </w:divsChild>
    </w:div>
    <w:div w:id="511912941">
      <w:bodyDiv w:val="1"/>
      <w:marLeft w:val="0"/>
      <w:marRight w:val="0"/>
      <w:marTop w:val="0"/>
      <w:marBottom w:val="0"/>
      <w:divBdr>
        <w:top w:val="none" w:sz="0" w:space="0" w:color="auto"/>
        <w:left w:val="none" w:sz="0" w:space="0" w:color="auto"/>
        <w:bottom w:val="none" w:sz="0" w:space="0" w:color="auto"/>
        <w:right w:val="none" w:sz="0" w:space="0" w:color="auto"/>
      </w:divBdr>
      <w:divsChild>
        <w:div w:id="810100539">
          <w:marLeft w:val="0"/>
          <w:marRight w:val="0"/>
          <w:marTop w:val="0"/>
          <w:marBottom w:val="0"/>
          <w:divBdr>
            <w:top w:val="none" w:sz="0" w:space="0" w:color="auto"/>
            <w:left w:val="none" w:sz="0" w:space="0" w:color="auto"/>
            <w:bottom w:val="none" w:sz="0" w:space="0" w:color="auto"/>
            <w:right w:val="none" w:sz="0" w:space="0" w:color="auto"/>
          </w:divBdr>
        </w:div>
        <w:div w:id="1831866504">
          <w:marLeft w:val="0"/>
          <w:marRight w:val="0"/>
          <w:marTop w:val="0"/>
          <w:marBottom w:val="0"/>
          <w:divBdr>
            <w:top w:val="none" w:sz="0" w:space="0" w:color="auto"/>
            <w:left w:val="none" w:sz="0" w:space="0" w:color="auto"/>
            <w:bottom w:val="none" w:sz="0" w:space="0" w:color="auto"/>
            <w:right w:val="none" w:sz="0" w:space="0" w:color="auto"/>
          </w:divBdr>
        </w:div>
      </w:divsChild>
    </w:div>
    <w:div w:id="579481332">
      <w:bodyDiv w:val="1"/>
      <w:marLeft w:val="0"/>
      <w:marRight w:val="0"/>
      <w:marTop w:val="0"/>
      <w:marBottom w:val="0"/>
      <w:divBdr>
        <w:top w:val="none" w:sz="0" w:space="0" w:color="auto"/>
        <w:left w:val="none" w:sz="0" w:space="0" w:color="auto"/>
        <w:bottom w:val="none" w:sz="0" w:space="0" w:color="auto"/>
        <w:right w:val="none" w:sz="0" w:space="0" w:color="auto"/>
      </w:divBdr>
    </w:div>
    <w:div w:id="632951977">
      <w:bodyDiv w:val="1"/>
      <w:marLeft w:val="0"/>
      <w:marRight w:val="0"/>
      <w:marTop w:val="0"/>
      <w:marBottom w:val="0"/>
      <w:divBdr>
        <w:top w:val="none" w:sz="0" w:space="0" w:color="auto"/>
        <w:left w:val="none" w:sz="0" w:space="0" w:color="auto"/>
        <w:bottom w:val="none" w:sz="0" w:space="0" w:color="auto"/>
        <w:right w:val="none" w:sz="0" w:space="0" w:color="auto"/>
      </w:divBdr>
      <w:divsChild>
        <w:div w:id="20205675">
          <w:marLeft w:val="0"/>
          <w:marRight w:val="0"/>
          <w:marTop w:val="0"/>
          <w:marBottom w:val="0"/>
          <w:divBdr>
            <w:top w:val="none" w:sz="0" w:space="0" w:color="auto"/>
            <w:left w:val="none" w:sz="0" w:space="0" w:color="auto"/>
            <w:bottom w:val="none" w:sz="0" w:space="0" w:color="auto"/>
            <w:right w:val="none" w:sz="0" w:space="0" w:color="auto"/>
          </w:divBdr>
        </w:div>
        <w:div w:id="1065373979">
          <w:marLeft w:val="0"/>
          <w:marRight w:val="0"/>
          <w:marTop w:val="0"/>
          <w:marBottom w:val="0"/>
          <w:divBdr>
            <w:top w:val="none" w:sz="0" w:space="0" w:color="auto"/>
            <w:left w:val="none" w:sz="0" w:space="0" w:color="auto"/>
            <w:bottom w:val="none" w:sz="0" w:space="0" w:color="auto"/>
            <w:right w:val="none" w:sz="0" w:space="0" w:color="auto"/>
          </w:divBdr>
        </w:div>
      </w:divsChild>
    </w:div>
    <w:div w:id="681326009">
      <w:bodyDiv w:val="1"/>
      <w:marLeft w:val="0"/>
      <w:marRight w:val="0"/>
      <w:marTop w:val="0"/>
      <w:marBottom w:val="0"/>
      <w:divBdr>
        <w:top w:val="none" w:sz="0" w:space="0" w:color="auto"/>
        <w:left w:val="none" w:sz="0" w:space="0" w:color="auto"/>
        <w:bottom w:val="none" w:sz="0" w:space="0" w:color="auto"/>
        <w:right w:val="none" w:sz="0" w:space="0" w:color="auto"/>
      </w:divBdr>
      <w:divsChild>
        <w:div w:id="873660464">
          <w:marLeft w:val="0"/>
          <w:marRight w:val="0"/>
          <w:marTop w:val="0"/>
          <w:marBottom w:val="0"/>
          <w:divBdr>
            <w:top w:val="none" w:sz="0" w:space="0" w:color="auto"/>
            <w:left w:val="none" w:sz="0" w:space="0" w:color="auto"/>
            <w:bottom w:val="none" w:sz="0" w:space="0" w:color="auto"/>
            <w:right w:val="none" w:sz="0" w:space="0" w:color="auto"/>
          </w:divBdr>
        </w:div>
        <w:div w:id="961302388">
          <w:marLeft w:val="0"/>
          <w:marRight w:val="0"/>
          <w:marTop w:val="0"/>
          <w:marBottom w:val="0"/>
          <w:divBdr>
            <w:top w:val="none" w:sz="0" w:space="0" w:color="auto"/>
            <w:left w:val="none" w:sz="0" w:space="0" w:color="auto"/>
            <w:bottom w:val="none" w:sz="0" w:space="0" w:color="auto"/>
            <w:right w:val="none" w:sz="0" w:space="0" w:color="auto"/>
          </w:divBdr>
        </w:div>
      </w:divsChild>
    </w:div>
    <w:div w:id="686444610">
      <w:bodyDiv w:val="1"/>
      <w:marLeft w:val="0"/>
      <w:marRight w:val="0"/>
      <w:marTop w:val="0"/>
      <w:marBottom w:val="0"/>
      <w:divBdr>
        <w:top w:val="none" w:sz="0" w:space="0" w:color="auto"/>
        <w:left w:val="none" w:sz="0" w:space="0" w:color="auto"/>
        <w:bottom w:val="none" w:sz="0" w:space="0" w:color="auto"/>
        <w:right w:val="none" w:sz="0" w:space="0" w:color="auto"/>
      </w:divBdr>
      <w:divsChild>
        <w:div w:id="758987010">
          <w:marLeft w:val="0"/>
          <w:marRight w:val="0"/>
          <w:marTop w:val="0"/>
          <w:marBottom w:val="0"/>
          <w:divBdr>
            <w:top w:val="none" w:sz="0" w:space="0" w:color="auto"/>
            <w:left w:val="none" w:sz="0" w:space="0" w:color="auto"/>
            <w:bottom w:val="none" w:sz="0" w:space="0" w:color="auto"/>
            <w:right w:val="none" w:sz="0" w:space="0" w:color="auto"/>
          </w:divBdr>
        </w:div>
        <w:div w:id="829903345">
          <w:marLeft w:val="0"/>
          <w:marRight w:val="0"/>
          <w:marTop w:val="0"/>
          <w:marBottom w:val="0"/>
          <w:divBdr>
            <w:top w:val="none" w:sz="0" w:space="0" w:color="auto"/>
            <w:left w:val="none" w:sz="0" w:space="0" w:color="auto"/>
            <w:bottom w:val="none" w:sz="0" w:space="0" w:color="auto"/>
            <w:right w:val="none" w:sz="0" w:space="0" w:color="auto"/>
          </w:divBdr>
        </w:div>
        <w:div w:id="1791246055">
          <w:marLeft w:val="0"/>
          <w:marRight w:val="0"/>
          <w:marTop w:val="0"/>
          <w:marBottom w:val="0"/>
          <w:divBdr>
            <w:top w:val="none" w:sz="0" w:space="0" w:color="auto"/>
            <w:left w:val="none" w:sz="0" w:space="0" w:color="auto"/>
            <w:bottom w:val="none" w:sz="0" w:space="0" w:color="auto"/>
            <w:right w:val="none" w:sz="0" w:space="0" w:color="auto"/>
          </w:divBdr>
        </w:div>
      </w:divsChild>
    </w:div>
    <w:div w:id="784734203">
      <w:bodyDiv w:val="1"/>
      <w:marLeft w:val="0"/>
      <w:marRight w:val="0"/>
      <w:marTop w:val="0"/>
      <w:marBottom w:val="0"/>
      <w:divBdr>
        <w:top w:val="none" w:sz="0" w:space="0" w:color="auto"/>
        <w:left w:val="none" w:sz="0" w:space="0" w:color="auto"/>
        <w:bottom w:val="none" w:sz="0" w:space="0" w:color="auto"/>
        <w:right w:val="none" w:sz="0" w:space="0" w:color="auto"/>
      </w:divBdr>
    </w:div>
    <w:div w:id="804354472">
      <w:bodyDiv w:val="1"/>
      <w:marLeft w:val="0"/>
      <w:marRight w:val="0"/>
      <w:marTop w:val="0"/>
      <w:marBottom w:val="0"/>
      <w:divBdr>
        <w:top w:val="none" w:sz="0" w:space="0" w:color="auto"/>
        <w:left w:val="none" w:sz="0" w:space="0" w:color="auto"/>
        <w:bottom w:val="none" w:sz="0" w:space="0" w:color="auto"/>
        <w:right w:val="none" w:sz="0" w:space="0" w:color="auto"/>
      </w:divBdr>
      <w:divsChild>
        <w:div w:id="654142630">
          <w:marLeft w:val="0"/>
          <w:marRight w:val="0"/>
          <w:marTop w:val="0"/>
          <w:marBottom w:val="0"/>
          <w:divBdr>
            <w:top w:val="none" w:sz="0" w:space="0" w:color="auto"/>
            <w:left w:val="none" w:sz="0" w:space="0" w:color="auto"/>
            <w:bottom w:val="none" w:sz="0" w:space="0" w:color="auto"/>
            <w:right w:val="none" w:sz="0" w:space="0" w:color="auto"/>
          </w:divBdr>
        </w:div>
        <w:div w:id="1404835644">
          <w:marLeft w:val="0"/>
          <w:marRight w:val="0"/>
          <w:marTop w:val="0"/>
          <w:marBottom w:val="0"/>
          <w:divBdr>
            <w:top w:val="none" w:sz="0" w:space="0" w:color="auto"/>
            <w:left w:val="none" w:sz="0" w:space="0" w:color="auto"/>
            <w:bottom w:val="none" w:sz="0" w:space="0" w:color="auto"/>
            <w:right w:val="none" w:sz="0" w:space="0" w:color="auto"/>
          </w:divBdr>
        </w:div>
        <w:div w:id="1568803438">
          <w:marLeft w:val="0"/>
          <w:marRight w:val="0"/>
          <w:marTop w:val="0"/>
          <w:marBottom w:val="0"/>
          <w:divBdr>
            <w:top w:val="none" w:sz="0" w:space="0" w:color="auto"/>
            <w:left w:val="none" w:sz="0" w:space="0" w:color="auto"/>
            <w:bottom w:val="none" w:sz="0" w:space="0" w:color="auto"/>
            <w:right w:val="none" w:sz="0" w:space="0" w:color="auto"/>
          </w:divBdr>
        </w:div>
      </w:divsChild>
    </w:div>
    <w:div w:id="818229191">
      <w:bodyDiv w:val="1"/>
      <w:marLeft w:val="0"/>
      <w:marRight w:val="0"/>
      <w:marTop w:val="0"/>
      <w:marBottom w:val="0"/>
      <w:divBdr>
        <w:top w:val="none" w:sz="0" w:space="0" w:color="auto"/>
        <w:left w:val="none" w:sz="0" w:space="0" w:color="auto"/>
        <w:bottom w:val="none" w:sz="0" w:space="0" w:color="auto"/>
        <w:right w:val="none" w:sz="0" w:space="0" w:color="auto"/>
      </w:divBdr>
    </w:div>
    <w:div w:id="996037165">
      <w:bodyDiv w:val="1"/>
      <w:marLeft w:val="0"/>
      <w:marRight w:val="0"/>
      <w:marTop w:val="0"/>
      <w:marBottom w:val="0"/>
      <w:divBdr>
        <w:top w:val="none" w:sz="0" w:space="0" w:color="auto"/>
        <w:left w:val="none" w:sz="0" w:space="0" w:color="auto"/>
        <w:bottom w:val="none" w:sz="0" w:space="0" w:color="auto"/>
        <w:right w:val="none" w:sz="0" w:space="0" w:color="auto"/>
      </w:divBdr>
    </w:div>
    <w:div w:id="1158577563">
      <w:bodyDiv w:val="1"/>
      <w:marLeft w:val="0"/>
      <w:marRight w:val="0"/>
      <w:marTop w:val="0"/>
      <w:marBottom w:val="0"/>
      <w:divBdr>
        <w:top w:val="none" w:sz="0" w:space="0" w:color="auto"/>
        <w:left w:val="none" w:sz="0" w:space="0" w:color="auto"/>
        <w:bottom w:val="none" w:sz="0" w:space="0" w:color="auto"/>
        <w:right w:val="none" w:sz="0" w:space="0" w:color="auto"/>
      </w:divBdr>
      <w:divsChild>
        <w:div w:id="952831466">
          <w:marLeft w:val="0"/>
          <w:marRight w:val="0"/>
          <w:marTop w:val="0"/>
          <w:marBottom w:val="0"/>
          <w:divBdr>
            <w:top w:val="none" w:sz="0" w:space="0" w:color="auto"/>
            <w:left w:val="none" w:sz="0" w:space="0" w:color="auto"/>
            <w:bottom w:val="none" w:sz="0" w:space="0" w:color="auto"/>
            <w:right w:val="none" w:sz="0" w:space="0" w:color="auto"/>
          </w:divBdr>
        </w:div>
        <w:div w:id="1792821832">
          <w:marLeft w:val="0"/>
          <w:marRight w:val="0"/>
          <w:marTop w:val="0"/>
          <w:marBottom w:val="0"/>
          <w:divBdr>
            <w:top w:val="none" w:sz="0" w:space="0" w:color="auto"/>
            <w:left w:val="none" w:sz="0" w:space="0" w:color="auto"/>
            <w:bottom w:val="none" w:sz="0" w:space="0" w:color="auto"/>
            <w:right w:val="none" w:sz="0" w:space="0" w:color="auto"/>
          </w:divBdr>
        </w:div>
        <w:div w:id="1921863878">
          <w:marLeft w:val="0"/>
          <w:marRight w:val="0"/>
          <w:marTop w:val="0"/>
          <w:marBottom w:val="0"/>
          <w:divBdr>
            <w:top w:val="none" w:sz="0" w:space="0" w:color="auto"/>
            <w:left w:val="none" w:sz="0" w:space="0" w:color="auto"/>
            <w:bottom w:val="none" w:sz="0" w:space="0" w:color="auto"/>
            <w:right w:val="none" w:sz="0" w:space="0" w:color="auto"/>
          </w:divBdr>
        </w:div>
      </w:divsChild>
    </w:div>
    <w:div w:id="1212573792">
      <w:bodyDiv w:val="1"/>
      <w:marLeft w:val="0"/>
      <w:marRight w:val="0"/>
      <w:marTop w:val="0"/>
      <w:marBottom w:val="0"/>
      <w:divBdr>
        <w:top w:val="none" w:sz="0" w:space="0" w:color="auto"/>
        <w:left w:val="none" w:sz="0" w:space="0" w:color="auto"/>
        <w:bottom w:val="none" w:sz="0" w:space="0" w:color="auto"/>
        <w:right w:val="none" w:sz="0" w:space="0" w:color="auto"/>
      </w:divBdr>
      <w:divsChild>
        <w:div w:id="87820974">
          <w:marLeft w:val="0"/>
          <w:marRight w:val="0"/>
          <w:marTop w:val="0"/>
          <w:marBottom w:val="0"/>
          <w:divBdr>
            <w:top w:val="none" w:sz="0" w:space="0" w:color="auto"/>
            <w:left w:val="none" w:sz="0" w:space="0" w:color="auto"/>
            <w:bottom w:val="none" w:sz="0" w:space="0" w:color="auto"/>
            <w:right w:val="none" w:sz="0" w:space="0" w:color="auto"/>
          </w:divBdr>
          <w:divsChild>
            <w:div w:id="583492318">
              <w:marLeft w:val="0"/>
              <w:marRight w:val="0"/>
              <w:marTop w:val="0"/>
              <w:marBottom w:val="0"/>
              <w:divBdr>
                <w:top w:val="none" w:sz="0" w:space="0" w:color="auto"/>
                <w:left w:val="none" w:sz="0" w:space="0" w:color="auto"/>
                <w:bottom w:val="none" w:sz="0" w:space="0" w:color="auto"/>
                <w:right w:val="none" w:sz="0" w:space="0" w:color="auto"/>
              </w:divBdr>
            </w:div>
            <w:div w:id="1697925383">
              <w:marLeft w:val="0"/>
              <w:marRight w:val="0"/>
              <w:marTop w:val="0"/>
              <w:marBottom w:val="0"/>
              <w:divBdr>
                <w:top w:val="none" w:sz="0" w:space="0" w:color="auto"/>
                <w:left w:val="none" w:sz="0" w:space="0" w:color="auto"/>
                <w:bottom w:val="none" w:sz="0" w:space="0" w:color="auto"/>
                <w:right w:val="none" w:sz="0" w:space="0" w:color="auto"/>
              </w:divBdr>
            </w:div>
          </w:divsChild>
        </w:div>
        <w:div w:id="1202478438">
          <w:marLeft w:val="0"/>
          <w:marRight w:val="0"/>
          <w:marTop w:val="0"/>
          <w:marBottom w:val="0"/>
          <w:divBdr>
            <w:top w:val="none" w:sz="0" w:space="0" w:color="auto"/>
            <w:left w:val="none" w:sz="0" w:space="0" w:color="auto"/>
            <w:bottom w:val="none" w:sz="0" w:space="0" w:color="auto"/>
            <w:right w:val="none" w:sz="0" w:space="0" w:color="auto"/>
          </w:divBdr>
          <w:divsChild>
            <w:div w:id="659382932">
              <w:marLeft w:val="0"/>
              <w:marRight w:val="0"/>
              <w:marTop w:val="0"/>
              <w:marBottom w:val="0"/>
              <w:divBdr>
                <w:top w:val="none" w:sz="0" w:space="0" w:color="auto"/>
                <w:left w:val="none" w:sz="0" w:space="0" w:color="auto"/>
                <w:bottom w:val="none" w:sz="0" w:space="0" w:color="auto"/>
                <w:right w:val="none" w:sz="0" w:space="0" w:color="auto"/>
              </w:divBdr>
            </w:div>
            <w:div w:id="1038629653">
              <w:marLeft w:val="0"/>
              <w:marRight w:val="0"/>
              <w:marTop w:val="0"/>
              <w:marBottom w:val="0"/>
              <w:divBdr>
                <w:top w:val="none" w:sz="0" w:space="0" w:color="auto"/>
                <w:left w:val="none" w:sz="0" w:space="0" w:color="auto"/>
                <w:bottom w:val="none" w:sz="0" w:space="0" w:color="auto"/>
                <w:right w:val="none" w:sz="0" w:space="0" w:color="auto"/>
              </w:divBdr>
            </w:div>
            <w:div w:id="1490637296">
              <w:marLeft w:val="0"/>
              <w:marRight w:val="0"/>
              <w:marTop w:val="0"/>
              <w:marBottom w:val="0"/>
              <w:divBdr>
                <w:top w:val="none" w:sz="0" w:space="0" w:color="auto"/>
                <w:left w:val="none" w:sz="0" w:space="0" w:color="auto"/>
                <w:bottom w:val="none" w:sz="0" w:space="0" w:color="auto"/>
                <w:right w:val="none" w:sz="0" w:space="0" w:color="auto"/>
              </w:divBdr>
            </w:div>
            <w:div w:id="1521428538">
              <w:marLeft w:val="0"/>
              <w:marRight w:val="0"/>
              <w:marTop w:val="0"/>
              <w:marBottom w:val="0"/>
              <w:divBdr>
                <w:top w:val="none" w:sz="0" w:space="0" w:color="auto"/>
                <w:left w:val="none" w:sz="0" w:space="0" w:color="auto"/>
                <w:bottom w:val="none" w:sz="0" w:space="0" w:color="auto"/>
                <w:right w:val="none" w:sz="0" w:space="0" w:color="auto"/>
              </w:divBdr>
            </w:div>
            <w:div w:id="20037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99260">
      <w:bodyDiv w:val="1"/>
      <w:marLeft w:val="0"/>
      <w:marRight w:val="0"/>
      <w:marTop w:val="0"/>
      <w:marBottom w:val="0"/>
      <w:divBdr>
        <w:top w:val="none" w:sz="0" w:space="0" w:color="auto"/>
        <w:left w:val="none" w:sz="0" w:space="0" w:color="auto"/>
        <w:bottom w:val="none" w:sz="0" w:space="0" w:color="auto"/>
        <w:right w:val="none" w:sz="0" w:space="0" w:color="auto"/>
      </w:divBdr>
      <w:divsChild>
        <w:div w:id="88281750">
          <w:marLeft w:val="0"/>
          <w:marRight w:val="0"/>
          <w:marTop w:val="0"/>
          <w:marBottom w:val="0"/>
          <w:divBdr>
            <w:top w:val="none" w:sz="0" w:space="0" w:color="auto"/>
            <w:left w:val="none" w:sz="0" w:space="0" w:color="auto"/>
            <w:bottom w:val="none" w:sz="0" w:space="0" w:color="auto"/>
            <w:right w:val="none" w:sz="0" w:space="0" w:color="auto"/>
          </w:divBdr>
        </w:div>
        <w:div w:id="124352731">
          <w:marLeft w:val="0"/>
          <w:marRight w:val="0"/>
          <w:marTop w:val="0"/>
          <w:marBottom w:val="0"/>
          <w:divBdr>
            <w:top w:val="none" w:sz="0" w:space="0" w:color="auto"/>
            <w:left w:val="none" w:sz="0" w:space="0" w:color="auto"/>
            <w:bottom w:val="none" w:sz="0" w:space="0" w:color="auto"/>
            <w:right w:val="none" w:sz="0" w:space="0" w:color="auto"/>
          </w:divBdr>
        </w:div>
        <w:div w:id="165096060">
          <w:marLeft w:val="0"/>
          <w:marRight w:val="0"/>
          <w:marTop w:val="0"/>
          <w:marBottom w:val="0"/>
          <w:divBdr>
            <w:top w:val="none" w:sz="0" w:space="0" w:color="auto"/>
            <w:left w:val="none" w:sz="0" w:space="0" w:color="auto"/>
            <w:bottom w:val="none" w:sz="0" w:space="0" w:color="auto"/>
            <w:right w:val="none" w:sz="0" w:space="0" w:color="auto"/>
          </w:divBdr>
        </w:div>
        <w:div w:id="314458756">
          <w:marLeft w:val="0"/>
          <w:marRight w:val="0"/>
          <w:marTop w:val="0"/>
          <w:marBottom w:val="0"/>
          <w:divBdr>
            <w:top w:val="none" w:sz="0" w:space="0" w:color="auto"/>
            <w:left w:val="none" w:sz="0" w:space="0" w:color="auto"/>
            <w:bottom w:val="none" w:sz="0" w:space="0" w:color="auto"/>
            <w:right w:val="none" w:sz="0" w:space="0" w:color="auto"/>
          </w:divBdr>
        </w:div>
        <w:div w:id="430706482">
          <w:marLeft w:val="0"/>
          <w:marRight w:val="0"/>
          <w:marTop w:val="0"/>
          <w:marBottom w:val="0"/>
          <w:divBdr>
            <w:top w:val="none" w:sz="0" w:space="0" w:color="auto"/>
            <w:left w:val="none" w:sz="0" w:space="0" w:color="auto"/>
            <w:bottom w:val="none" w:sz="0" w:space="0" w:color="auto"/>
            <w:right w:val="none" w:sz="0" w:space="0" w:color="auto"/>
          </w:divBdr>
        </w:div>
        <w:div w:id="533739584">
          <w:marLeft w:val="0"/>
          <w:marRight w:val="0"/>
          <w:marTop w:val="0"/>
          <w:marBottom w:val="0"/>
          <w:divBdr>
            <w:top w:val="none" w:sz="0" w:space="0" w:color="auto"/>
            <w:left w:val="none" w:sz="0" w:space="0" w:color="auto"/>
            <w:bottom w:val="none" w:sz="0" w:space="0" w:color="auto"/>
            <w:right w:val="none" w:sz="0" w:space="0" w:color="auto"/>
          </w:divBdr>
        </w:div>
        <w:div w:id="649216226">
          <w:marLeft w:val="0"/>
          <w:marRight w:val="0"/>
          <w:marTop w:val="0"/>
          <w:marBottom w:val="0"/>
          <w:divBdr>
            <w:top w:val="none" w:sz="0" w:space="0" w:color="auto"/>
            <w:left w:val="none" w:sz="0" w:space="0" w:color="auto"/>
            <w:bottom w:val="none" w:sz="0" w:space="0" w:color="auto"/>
            <w:right w:val="none" w:sz="0" w:space="0" w:color="auto"/>
          </w:divBdr>
        </w:div>
        <w:div w:id="774060768">
          <w:marLeft w:val="0"/>
          <w:marRight w:val="0"/>
          <w:marTop w:val="0"/>
          <w:marBottom w:val="0"/>
          <w:divBdr>
            <w:top w:val="none" w:sz="0" w:space="0" w:color="auto"/>
            <w:left w:val="none" w:sz="0" w:space="0" w:color="auto"/>
            <w:bottom w:val="none" w:sz="0" w:space="0" w:color="auto"/>
            <w:right w:val="none" w:sz="0" w:space="0" w:color="auto"/>
          </w:divBdr>
          <w:divsChild>
            <w:div w:id="435909043">
              <w:marLeft w:val="0"/>
              <w:marRight w:val="0"/>
              <w:marTop w:val="0"/>
              <w:marBottom w:val="0"/>
              <w:divBdr>
                <w:top w:val="none" w:sz="0" w:space="0" w:color="auto"/>
                <w:left w:val="none" w:sz="0" w:space="0" w:color="auto"/>
                <w:bottom w:val="none" w:sz="0" w:space="0" w:color="auto"/>
                <w:right w:val="none" w:sz="0" w:space="0" w:color="auto"/>
              </w:divBdr>
            </w:div>
            <w:div w:id="536893457">
              <w:marLeft w:val="0"/>
              <w:marRight w:val="0"/>
              <w:marTop w:val="0"/>
              <w:marBottom w:val="0"/>
              <w:divBdr>
                <w:top w:val="none" w:sz="0" w:space="0" w:color="auto"/>
                <w:left w:val="none" w:sz="0" w:space="0" w:color="auto"/>
                <w:bottom w:val="none" w:sz="0" w:space="0" w:color="auto"/>
                <w:right w:val="none" w:sz="0" w:space="0" w:color="auto"/>
              </w:divBdr>
            </w:div>
            <w:div w:id="982081191">
              <w:marLeft w:val="0"/>
              <w:marRight w:val="0"/>
              <w:marTop w:val="0"/>
              <w:marBottom w:val="0"/>
              <w:divBdr>
                <w:top w:val="none" w:sz="0" w:space="0" w:color="auto"/>
                <w:left w:val="none" w:sz="0" w:space="0" w:color="auto"/>
                <w:bottom w:val="none" w:sz="0" w:space="0" w:color="auto"/>
                <w:right w:val="none" w:sz="0" w:space="0" w:color="auto"/>
              </w:divBdr>
            </w:div>
            <w:div w:id="1508060554">
              <w:marLeft w:val="0"/>
              <w:marRight w:val="0"/>
              <w:marTop w:val="0"/>
              <w:marBottom w:val="0"/>
              <w:divBdr>
                <w:top w:val="none" w:sz="0" w:space="0" w:color="auto"/>
                <w:left w:val="none" w:sz="0" w:space="0" w:color="auto"/>
                <w:bottom w:val="none" w:sz="0" w:space="0" w:color="auto"/>
                <w:right w:val="none" w:sz="0" w:space="0" w:color="auto"/>
              </w:divBdr>
            </w:div>
            <w:div w:id="1901477786">
              <w:marLeft w:val="0"/>
              <w:marRight w:val="0"/>
              <w:marTop w:val="0"/>
              <w:marBottom w:val="0"/>
              <w:divBdr>
                <w:top w:val="none" w:sz="0" w:space="0" w:color="auto"/>
                <w:left w:val="none" w:sz="0" w:space="0" w:color="auto"/>
                <w:bottom w:val="none" w:sz="0" w:space="0" w:color="auto"/>
                <w:right w:val="none" w:sz="0" w:space="0" w:color="auto"/>
              </w:divBdr>
            </w:div>
            <w:div w:id="2089224371">
              <w:marLeft w:val="0"/>
              <w:marRight w:val="0"/>
              <w:marTop w:val="0"/>
              <w:marBottom w:val="0"/>
              <w:divBdr>
                <w:top w:val="none" w:sz="0" w:space="0" w:color="auto"/>
                <w:left w:val="none" w:sz="0" w:space="0" w:color="auto"/>
                <w:bottom w:val="none" w:sz="0" w:space="0" w:color="auto"/>
                <w:right w:val="none" w:sz="0" w:space="0" w:color="auto"/>
              </w:divBdr>
            </w:div>
          </w:divsChild>
        </w:div>
        <w:div w:id="1005941114">
          <w:marLeft w:val="0"/>
          <w:marRight w:val="0"/>
          <w:marTop w:val="0"/>
          <w:marBottom w:val="0"/>
          <w:divBdr>
            <w:top w:val="none" w:sz="0" w:space="0" w:color="auto"/>
            <w:left w:val="none" w:sz="0" w:space="0" w:color="auto"/>
            <w:bottom w:val="none" w:sz="0" w:space="0" w:color="auto"/>
            <w:right w:val="none" w:sz="0" w:space="0" w:color="auto"/>
          </w:divBdr>
        </w:div>
        <w:div w:id="1210646708">
          <w:marLeft w:val="0"/>
          <w:marRight w:val="0"/>
          <w:marTop w:val="0"/>
          <w:marBottom w:val="0"/>
          <w:divBdr>
            <w:top w:val="none" w:sz="0" w:space="0" w:color="auto"/>
            <w:left w:val="none" w:sz="0" w:space="0" w:color="auto"/>
            <w:bottom w:val="none" w:sz="0" w:space="0" w:color="auto"/>
            <w:right w:val="none" w:sz="0" w:space="0" w:color="auto"/>
          </w:divBdr>
          <w:divsChild>
            <w:div w:id="432559355">
              <w:marLeft w:val="0"/>
              <w:marRight w:val="0"/>
              <w:marTop w:val="0"/>
              <w:marBottom w:val="0"/>
              <w:divBdr>
                <w:top w:val="none" w:sz="0" w:space="0" w:color="auto"/>
                <w:left w:val="none" w:sz="0" w:space="0" w:color="auto"/>
                <w:bottom w:val="none" w:sz="0" w:space="0" w:color="auto"/>
                <w:right w:val="none" w:sz="0" w:space="0" w:color="auto"/>
              </w:divBdr>
            </w:div>
            <w:div w:id="1123303811">
              <w:marLeft w:val="0"/>
              <w:marRight w:val="0"/>
              <w:marTop w:val="0"/>
              <w:marBottom w:val="0"/>
              <w:divBdr>
                <w:top w:val="none" w:sz="0" w:space="0" w:color="auto"/>
                <w:left w:val="none" w:sz="0" w:space="0" w:color="auto"/>
                <w:bottom w:val="none" w:sz="0" w:space="0" w:color="auto"/>
                <w:right w:val="none" w:sz="0" w:space="0" w:color="auto"/>
              </w:divBdr>
            </w:div>
            <w:div w:id="1320382919">
              <w:marLeft w:val="0"/>
              <w:marRight w:val="0"/>
              <w:marTop w:val="0"/>
              <w:marBottom w:val="0"/>
              <w:divBdr>
                <w:top w:val="none" w:sz="0" w:space="0" w:color="auto"/>
                <w:left w:val="none" w:sz="0" w:space="0" w:color="auto"/>
                <w:bottom w:val="none" w:sz="0" w:space="0" w:color="auto"/>
                <w:right w:val="none" w:sz="0" w:space="0" w:color="auto"/>
              </w:divBdr>
            </w:div>
            <w:div w:id="1549605156">
              <w:marLeft w:val="0"/>
              <w:marRight w:val="0"/>
              <w:marTop w:val="0"/>
              <w:marBottom w:val="0"/>
              <w:divBdr>
                <w:top w:val="none" w:sz="0" w:space="0" w:color="auto"/>
                <w:left w:val="none" w:sz="0" w:space="0" w:color="auto"/>
                <w:bottom w:val="none" w:sz="0" w:space="0" w:color="auto"/>
                <w:right w:val="none" w:sz="0" w:space="0" w:color="auto"/>
              </w:divBdr>
            </w:div>
            <w:div w:id="1962178281">
              <w:marLeft w:val="0"/>
              <w:marRight w:val="0"/>
              <w:marTop w:val="0"/>
              <w:marBottom w:val="0"/>
              <w:divBdr>
                <w:top w:val="none" w:sz="0" w:space="0" w:color="auto"/>
                <w:left w:val="none" w:sz="0" w:space="0" w:color="auto"/>
                <w:bottom w:val="none" w:sz="0" w:space="0" w:color="auto"/>
                <w:right w:val="none" w:sz="0" w:space="0" w:color="auto"/>
              </w:divBdr>
            </w:div>
            <w:div w:id="2037270068">
              <w:marLeft w:val="0"/>
              <w:marRight w:val="0"/>
              <w:marTop w:val="0"/>
              <w:marBottom w:val="0"/>
              <w:divBdr>
                <w:top w:val="none" w:sz="0" w:space="0" w:color="auto"/>
                <w:left w:val="none" w:sz="0" w:space="0" w:color="auto"/>
                <w:bottom w:val="none" w:sz="0" w:space="0" w:color="auto"/>
                <w:right w:val="none" w:sz="0" w:space="0" w:color="auto"/>
              </w:divBdr>
            </w:div>
            <w:div w:id="2107463432">
              <w:marLeft w:val="0"/>
              <w:marRight w:val="0"/>
              <w:marTop w:val="0"/>
              <w:marBottom w:val="0"/>
              <w:divBdr>
                <w:top w:val="none" w:sz="0" w:space="0" w:color="auto"/>
                <w:left w:val="none" w:sz="0" w:space="0" w:color="auto"/>
                <w:bottom w:val="none" w:sz="0" w:space="0" w:color="auto"/>
                <w:right w:val="none" w:sz="0" w:space="0" w:color="auto"/>
              </w:divBdr>
            </w:div>
          </w:divsChild>
        </w:div>
        <w:div w:id="1382289370">
          <w:marLeft w:val="0"/>
          <w:marRight w:val="0"/>
          <w:marTop w:val="0"/>
          <w:marBottom w:val="0"/>
          <w:divBdr>
            <w:top w:val="none" w:sz="0" w:space="0" w:color="auto"/>
            <w:left w:val="none" w:sz="0" w:space="0" w:color="auto"/>
            <w:bottom w:val="none" w:sz="0" w:space="0" w:color="auto"/>
            <w:right w:val="none" w:sz="0" w:space="0" w:color="auto"/>
          </w:divBdr>
        </w:div>
        <w:div w:id="1784693176">
          <w:marLeft w:val="0"/>
          <w:marRight w:val="0"/>
          <w:marTop w:val="0"/>
          <w:marBottom w:val="0"/>
          <w:divBdr>
            <w:top w:val="none" w:sz="0" w:space="0" w:color="auto"/>
            <w:left w:val="none" w:sz="0" w:space="0" w:color="auto"/>
            <w:bottom w:val="none" w:sz="0" w:space="0" w:color="auto"/>
            <w:right w:val="none" w:sz="0" w:space="0" w:color="auto"/>
          </w:divBdr>
        </w:div>
        <w:div w:id="2082100647">
          <w:marLeft w:val="0"/>
          <w:marRight w:val="0"/>
          <w:marTop w:val="0"/>
          <w:marBottom w:val="0"/>
          <w:divBdr>
            <w:top w:val="none" w:sz="0" w:space="0" w:color="auto"/>
            <w:left w:val="none" w:sz="0" w:space="0" w:color="auto"/>
            <w:bottom w:val="none" w:sz="0" w:space="0" w:color="auto"/>
            <w:right w:val="none" w:sz="0" w:space="0" w:color="auto"/>
          </w:divBdr>
          <w:divsChild>
            <w:div w:id="684674490">
              <w:marLeft w:val="0"/>
              <w:marRight w:val="0"/>
              <w:marTop w:val="0"/>
              <w:marBottom w:val="0"/>
              <w:divBdr>
                <w:top w:val="none" w:sz="0" w:space="0" w:color="auto"/>
                <w:left w:val="none" w:sz="0" w:space="0" w:color="auto"/>
                <w:bottom w:val="none" w:sz="0" w:space="0" w:color="auto"/>
                <w:right w:val="none" w:sz="0" w:space="0" w:color="auto"/>
              </w:divBdr>
            </w:div>
            <w:div w:id="757215267">
              <w:marLeft w:val="0"/>
              <w:marRight w:val="0"/>
              <w:marTop w:val="0"/>
              <w:marBottom w:val="0"/>
              <w:divBdr>
                <w:top w:val="none" w:sz="0" w:space="0" w:color="auto"/>
                <w:left w:val="none" w:sz="0" w:space="0" w:color="auto"/>
                <w:bottom w:val="none" w:sz="0" w:space="0" w:color="auto"/>
                <w:right w:val="none" w:sz="0" w:space="0" w:color="auto"/>
              </w:divBdr>
            </w:div>
            <w:div w:id="106792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6305">
      <w:bodyDiv w:val="1"/>
      <w:marLeft w:val="0"/>
      <w:marRight w:val="0"/>
      <w:marTop w:val="0"/>
      <w:marBottom w:val="0"/>
      <w:divBdr>
        <w:top w:val="none" w:sz="0" w:space="0" w:color="auto"/>
        <w:left w:val="none" w:sz="0" w:space="0" w:color="auto"/>
        <w:bottom w:val="none" w:sz="0" w:space="0" w:color="auto"/>
        <w:right w:val="none" w:sz="0" w:space="0" w:color="auto"/>
      </w:divBdr>
      <w:divsChild>
        <w:div w:id="1401751214">
          <w:marLeft w:val="0"/>
          <w:marRight w:val="0"/>
          <w:marTop w:val="0"/>
          <w:marBottom w:val="0"/>
          <w:divBdr>
            <w:top w:val="none" w:sz="0" w:space="0" w:color="auto"/>
            <w:left w:val="none" w:sz="0" w:space="0" w:color="auto"/>
            <w:bottom w:val="none" w:sz="0" w:space="0" w:color="auto"/>
            <w:right w:val="none" w:sz="0" w:space="0" w:color="auto"/>
          </w:divBdr>
        </w:div>
        <w:div w:id="1786581529">
          <w:marLeft w:val="0"/>
          <w:marRight w:val="0"/>
          <w:marTop w:val="0"/>
          <w:marBottom w:val="0"/>
          <w:divBdr>
            <w:top w:val="none" w:sz="0" w:space="0" w:color="auto"/>
            <w:left w:val="none" w:sz="0" w:space="0" w:color="auto"/>
            <w:bottom w:val="none" w:sz="0" w:space="0" w:color="auto"/>
            <w:right w:val="none" w:sz="0" w:space="0" w:color="auto"/>
          </w:divBdr>
        </w:div>
      </w:divsChild>
    </w:div>
    <w:div w:id="1469278705">
      <w:bodyDiv w:val="1"/>
      <w:marLeft w:val="0"/>
      <w:marRight w:val="0"/>
      <w:marTop w:val="0"/>
      <w:marBottom w:val="0"/>
      <w:divBdr>
        <w:top w:val="none" w:sz="0" w:space="0" w:color="auto"/>
        <w:left w:val="none" w:sz="0" w:space="0" w:color="auto"/>
        <w:bottom w:val="none" w:sz="0" w:space="0" w:color="auto"/>
        <w:right w:val="none" w:sz="0" w:space="0" w:color="auto"/>
      </w:divBdr>
      <w:divsChild>
        <w:div w:id="277225578">
          <w:marLeft w:val="0"/>
          <w:marRight w:val="0"/>
          <w:marTop w:val="0"/>
          <w:marBottom w:val="0"/>
          <w:divBdr>
            <w:top w:val="none" w:sz="0" w:space="0" w:color="auto"/>
            <w:left w:val="none" w:sz="0" w:space="0" w:color="auto"/>
            <w:bottom w:val="none" w:sz="0" w:space="0" w:color="auto"/>
            <w:right w:val="none" w:sz="0" w:space="0" w:color="auto"/>
          </w:divBdr>
        </w:div>
        <w:div w:id="353768738">
          <w:marLeft w:val="0"/>
          <w:marRight w:val="0"/>
          <w:marTop w:val="0"/>
          <w:marBottom w:val="0"/>
          <w:divBdr>
            <w:top w:val="none" w:sz="0" w:space="0" w:color="auto"/>
            <w:left w:val="none" w:sz="0" w:space="0" w:color="auto"/>
            <w:bottom w:val="none" w:sz="0" w:space="0" w:color="auto"/>
            <w:right w:val="none" w:sz="0" w:space="0" w:color="auto"/>
          </w:divBdr>
        </w:div>
      </w:divsChild>
    </w:div>
    <w:div w:id="1502621488">
      <w:bodyDiv w:val="1"/>
      <w:marLeft w:val="0"/>
      <w:marRight w:val="0"/>
      <w:marTop w:val="0"/>
      <w:marBottom w:val="0"/>
      <w:divBdr>
        <w:top w:val="none" w:sz="0" w:space="0" w:color="auto"/>
        <w:left w:val="none" w:sz="0" w:space="0" w:color="auto"/>
        <w:bottom w:val="none" w:sz="0" w:space="0" w:color="auto"/>
        <w:right w:val="none" w:sz="0" w:space="0" w:color="auto"/>
      </w:divBdr>
      <w:divsChild>
        <w:div w:id="799613076">
          <w:marLeft w:val="0"/>
          <w:marRight w:val="0"/>
          <w:marTop w:val="0"/>
          <w:marBottom w:val="0"/>
          <w:divBdr>
            <w:top w:val="none" w:sz="0" w:space="0" w:color="auto"/>
            <w:left w:val="none" w:sz="0" w:space="0" w:color="auto"/>
            <w:bottom w:val="none" w:sz="0" w:space="0" w:color="auto"/>
            <w:right w:val="none" w:sz="0" w:space="0" w:color="auto"/>
          </w:divBdr>
          <w:divsChild>
            <w:div w:id="436868339">
              <w:marLeft w:val="0"/>
              <w:marRight w:val="0"/>
              <w:marTop w:val="0"/>
              <w:marBottom w:val="0"/>
              <w:divBdr>
                <w:top w:val="none" w:sz="0" w:space="0" w:color="auto"/>
                <w:left w:val="none" w:sz="0" w:space="0" w:color="auto"/>
                <w:bottom w:val="none" w:sz="0" w:space="0" w:color="auto"/>
                <w:right w:val="none" w:sz="0" w:space="0" w:color="auto"/>
              </w:divBdr>
              <w:divsChild>
                <w:div w:id="1018847029">
                  <w:marLeft w:val="0"/>
                  <w:marRight w:val="0"/>
                  <w:marTop w:val="0"/>
                  <w:marBottom w:val="0"/>
                  <w:divBdr>
                    <w:top w:val="none" w:sz="0" w:space="0" w:color="auto"/>
                    <w:left w:val="none" w:sz="0" w:space="0" w:color="auto"/>
                    <w:bottom w:val="none" w:sz="0" w:space="0" w:color="auto"/>
                    <w:right w:val="none" w:sz="0" w:space="0" w:color="auto"/>
                  </w:divBdr>
                  <w:divsChild>
                    <w:div w:id="1840542029">
                      <w:marLeft w:val="0"/>
                      <w:marRight w:val="0"/>
                      <w:marTop w:val="0"/>
                      <w:marBottom w:val="0"/>
                      <w:divBdr>
                        <w:top w:val="none" w:sz="0" w:space="0" w:color="auto"/>
                        <w:left w:val="none" w:sz="0" w:space="0" w:color="auto"/>
                        <w:bottom w:val="none" w:sz="0" w:space="0" w:color="auto"/>
                        <w:right w:val="none" w:sz="0" w:space="0" w:color="auto"/>
                      </w:divBdr>
                      <w:divsChild>
                        <w:div w:id="342322006">
                          <w:marLeft w:val="0"/>
                          <w:marRight w:val="0"/>
                          <w:marTop w:val="0"/>
                          <w:marBottom w:val="0"/>
                          <w:divBdr>
                            <w:top w:val="none" w:sz="0" w:space="0" w:color="auto"/>
                            <w:left w:val="none" w:sz="0" w:space="0" w:color="auto"/>
                            <w:bottom w:val="none" w:sz="0" w:space="0" w:color="auto"/>
                            <w:right w:val="none" w:sz="0" w:space="0" w:color="auto"/>
                          </w:divBdr>
                          <w:divsChild>
                            <w:div w:id="911965060">
                              <w:marLeft w:val="0"/>
                              <w:marRight w:val="0"/>
                              <w:marTop w:val="0"/>
                              <w:marBottom w:val="0"/>
                              <w:divBdr>
                                <w:top w:val="none" w:sz="0" w:space="0" w:color="auto"/>
                                <w:left w:val="none" w:sz="0" w:space="0" w:color="auto"/>
                                <w:bottom w:val="none" w:sz="0" w:space="0" w:color="auto"/>
                                <w:right w:val="none" w:sz="0" w:space="0" w:color="auto"/>
                              </w:divBdr>
                              <w:divsChild>
                                <w:div w:id="1136946742">
                                  <w:marLeft w:val="0"/>
                                  <w:marRight w:val="0"/>
                                  <w:marTop w:val="0"/>
                                  <w:marBottom w:val="0"/>
                                  <w:divBdr>
                                    <w:top w:val="none" w:sz="0" w:space="0" w:color="auto"/>
                                    <w:left w:val="none" w:sz="0" w:space="0" w:color="auto"/>
                                    <w:bottom w:val="none" w:sz="0" w:space="0" w:color="auto"/>
                                    <w:right w:val="none" w:sz="0" w:space="0" w:color="auto"/>
                                  </w:divBdr>
                                  <w:divsChild>
                                    <w:div w:id="2053579777">
                                      <w:marLeft w:val="0"/>
                                      <w:marRight w:val="0"/>
                                      <w:marTop w:val="0"/>
                                      <w:marBottom w:val="0"/>
                                      <w:divBdr>
                                        <w:top w:val="none" w:sz="0" w:space="0" w:color="auto"/>
                                        <w:left w:val="none" w:sz="0" w:space="0" w:color="auto"/>
                                        <w:bottom w:val="none" w:sz="0" w:space="0" w:color="auto"/>
                                        <w:right w:val="none" w:sz="0" w:space="0" w:color="auto"/>
                                      </w:divBdr>
                                      <w:divsChild>
                                        <w:div w:id="1015232399">
                                          <w:marLeft w:val="0"/>
                                          <w:marRight w:val="0"/>
                                          <w:marTop w:val="0"/>
                                          <w:marBottom w:val="0"/>
                                          <w:divBdr>
                                            <w:top w:val="none" w:sz="0" w:space="0" w:color="auto"/>
                                            <w:left w:val="none" w:sz="0" w:space="0" w:color="auto"/>
                                            <w:bottom w:val="none" w:sz="0" w:space="0" w:color="auto"/>
                                            <w:right w:val="none" w:sz="0" w:space="0" w:color="auto"/>
                                          </w:divBdr>
                                          <w:divsChild>
                                            <w:div w:id="475268108">
                                              <w:marLeft w:val="0"/>
                                              <w:marRight w:val="0"/>
                                              <w:marTop w:val="0"/>
                                              <w:marBottom w:val="0"/>
                                              <w:divBdr>
                                                <w:top w:val="none" w:sz="0" w:space="0" w:color="auto"/>
                                                <w:left w:val="none" w:sz="0" w:space="0" w:color="auto"/>
                                                <w:bottom w:val="none" w:sz="0" w:space="0" w:color="auto"/>
                                                <w:right w:val="none" w:sz="0" w:space="0" w:color="auto"/>
                                              </w:divBdr>
                                              <w:divsChild>
                                                <w:div w:id="1571117590">
                                                  <w:marLeft w:val="0"/>
                                                  <w:marRight w:val="0"/>
                                                  <w:marTop w:val="0"/>
                                                  <w:marBottom w:val="0"/>
                                                  <w:divBdr>
                                                    <w:top w:val="none" w:sz="0" w:space="0" w:color="auto"/>
                                                    <w:left w:val="none" w:sz="0" w:space="0" w:color="auto"/>
                                                    <w:bottom w:val="none" w:sz="0" w:space="0" w:color="auto"/>
                                                    <w:right w:val="none" w:sz="0" w:space="0" w:color="auto"/>
                                                  </w:divBdr>
                                                  <w:divsChild>
                                                    <w:div w:id="377322407">
                                                      <w:marLeft w:val="0"/>
                                                      <w:marRight w:val="0"/>
                                                      <w:marTop w:val="0"/>
                                                      <w:marBottom w:val="0"/>
                                                      <w:divBdr>
                                                        <w:top w:val="none" w:sz="0" w:space="0" w:color="auto"/>
                                                        <w:left w:val="none" w:sz="0" w:space="0" w:color="auto"/>
                                                        <w:bottom w:val="none" w:sz="0" w:space="0" w:color="auto"/>
                                                        <w:right w:val="none" w:sz="0" w:space="0" w:color="auto"/>
                                                      </w:divBdr>
                                                    </w:div>
                                                    <w:div w:id="141505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2843680">
      <w:bodyDiv w:val="1"/>
      <w:marLeft w:val="0"/>
      <w:marRight w:val="0"/>
      <w:marTop w:val="0"/>
      <w:marBottom w:val="0"/>
      <w:divBdr>
        <w:top w:val="none" w:sz="0" w:space="0" w:color="auto"/>
        <w:left w:val="none" w:sz="0" w:space="0" w:color="auto"/>
        <w:bottom w:val="none" w:sz="0" w:space="0" w:color="auto"/>
        <w:right w:val="none" w:sz="0" w:space="0" w:color="auto"/>
      </w:divBdr>
      <w:divsChild>
        <w:div w:id="380859880">
          <w:marLeft w:val="0"/>
          <w:marRight w:val="0"/>
          <w:marTop w:val="0"/>
          <w:marBottom w:val="0"/>
          <w:divBdr>
            <w:top w:val="none" w:sz="0" w:space="0" w:color="auto"/>
            <w:left w:val="none" w:sz="0" w:space="0" w:color="auto"/>
            <w:bottom w:val="none" w:sz="0" w:space="0" w:color="auto"/>
            <w:right w:val="none" w:sz="0" w:space="0" w:color="auto"/>
          </w:divBdr>
        </w:div>
        <w:div w:id="1128281364">
          <w:marLeft w:val="0"/>
          <w:marRight w:val="0"/>
          <w:marTop w:val="0"/>
          <w:marBottom w:val="0"/>
          <w:divBdr>
            <w:top w:val="none" w:sz="0" w:space="0" w:color="auto"/>
            <w:left w:val="none" w:sz="0" w:space="0" w:color="auto"/>
            <w:bottom w:val="none" w:sz="0" w:space="0" w:color="auto"/>
            <w:right w:val="none" w:sz="0" w:space="0" w:color="auto"/>
          </w:divBdr>
        </w:div>
        <w:div w:id="1754740030">
          <w:marLeft w:val="0"/>
          <w:marRight w:val="0"/>
          <w:marTop w:val="0"/>
          <w:marBottom w:val="0"/>
          <w:divBdr>
            <w:top w:val="none" w:sz="0" w:space="0" w:color="auto"/>
            <w:left w:val="none" w:sz="0" w:space="0" w:color="auto"/>
            <w:bottom w:val="none" w:sz="0" w:space="0" w:color="auto"/>
            <w:right w:val="none" w:sz="0" w:space="0" w:color="auto"/>
          </w:divBdr>
        </w:div>
        <w:div w:id="1931886702">
          <w:marLeft w:val="0"/>
          <w:marRight w:val="0"/>
          <w:marTop w:val="0"/>
          <w:marBottom w:val="0"/>
          <w:divBdr>
            <w:top w:val="none" w:sz="0" w:space="0" w:color="auto"/>
            <w:left w:val="none" w:sz="0" w:space="0" w:color="auto"/>
            <w:bottom w:val="none" w:sz="0" w:space="0" w:color="auto"/>
            <w:right w:val="none" w:sz="0" w:space="0" w:color="auto"/>
          </w:divBdr>
        </w:div>
      </w:divsChild>
    </w:div>
    <w:div w:id="1609504160">
      <w:bodyDiv w:val="1"/>
      <w:marLeft w:val="0"/>
      <w:marRight w:val="0"/>
      <w:marTop w:val="0"/>
      <w:marBottom w:val="0"/>
      <w:divBdr>
        <w:top w:val="none" w:sz="0" w:space="0" w:color="auto"/>
        <w:left w:val="none" w:sz="0" w:space="0" w:color="auto"/>
        <w:bottom w:val="none" w:sz="0" w:space="0" w:color="auto"/>
        <w:right w:val="none" w:sz="0" w:space="0" w:color="auto"/>
      </w:divBdr>
      <w:divsChild>
        <w:div w:id="28923896">
          <w:marLeft w:val="0"/>
          <w:marRight w:val="0"/>
          <w:marTop w:val="0"/>
          <w:marBottom w:val="0"/>
          <w:divBdr>
            <w:top w:val="none" w:sz="0" w:space="0" w:color="auto"/>
            <w:left w:val="none" w:sz="0" w:space="0" w:color="auto"/>
            <w:bottom w:val="none" w:sz="0" w:space="0" w:color="auto"/>
            <w:right w:val="none" w:sz="0" w:space="0" w:color="auto"/>
          </w:divBdr>
        </w:div>
        <w:div w:id="1781606045">
          <w:marLeft w:val="0"/>
          <w:marRight w:val="0"/>
          <w:marTop w:val="0"/>
          <w:marBottom w:val="0"/>
          <w:divBdr>
            <w:top w:val="none" w:sz="0" w:space="0" w:color="auto"/>
            <w:left w:val="none" w:sz="0" w:space="0" w:color="auto"/>
            <w:bottom w:val="none" w:sz="0" w:space="0" w:color="auto"/>
            <w:right w:val="none" w:sz="0" w:space="0" w:color="auto"/>
          </w:divBdr>
        </w:div>
      </w:divsChild>
    </w:div>
    <w:div w:id="1675952620">
      <w:bodyDiv w:val="1"/>
      <w:marLeft w:val="0"/>
      <w:marRight w:val="0"/>
      <w:marTop w:val="0"/>
      <w:marBottom w:val="0"/>
      <w:divBdr>
        <w:top w:val="none" w:sz="0" w:space="0" w:color="auto"/>
        <w:left w:val="none" w:sz="0" w:space="0" w:color="auto"/>
        <w:bottom w:val="none" w:sz="0" w:space="0" w:color="auto"/>
        <w:right w:val="none" w:sz="0" w:space="0" w:color="auto"/>
      </w:divBdr>
      <w:divsChild>
        <w:div w:id="1573932320">
          <w:marLeft w:val="0"/>
          <w:marRight w:val="0"/>
          <w:marTop w:val="0"/>
          <w:marBottom w:val="0"/>
          <w:divBdr>
            <w:top w:val="none" w:sz="0" w:space="0" w:color="auto"/>
            <w:left w:val="none" w:sz="0" w:space="0" w:color="auto"/>
            <w:bottom w:val="none" w:sz="0" w:space="0" w:color="auto"/>
            <w:right w:val="none" w:sz="0" w:space="0" w:color="auto"/>
          </w:divBdr>
        </w:div>
        <w:div w:id="2038502464">
          <w:marLeft w:val="0"/>
          <w:marRight w:val="0"/>
          <w:marTop w:val="0"/>
          <w:marBottom w:val="0"/>
          <w:divBdr>
            <w:top w:val="none" w:sz="0" w:space="0" w:color="auto"/>
            <w:left w:val="none" w:sz="0" w:space="0" w:color="auto"/>
            <w:bottom w:val="none" w:sz="0" w:space="0" w:color="auto"/>
            <w:right w:val="none" w:sz="0" w:space="0" w:color="auto"/>
          </w:divBdr>
          <w:divsChild>
            <w:div w:id="296957945">
              <w:marLeft w:val="0"/>
              <w:marRight w:val="0"/>
              <w:marTop w:val="0"/>
              <w:marBottom w:val="0"/>
              <w:divBdr>
                <w:top w:val="none" w:sz="0" w:space="0" w:color="auto"/>
                <w:left w:val="none" w:sz="0" w:space="0" w:color="auto"/>
                <w:bottom w:val="none" w:sz="0" w:space="0" w:color="auto"/>
                <w:right w:val="none" w:sz="0" w:space="0" w:color="auto"/>
              </w:divBdr>
            </w:div>
            <w:div w:id="1082945533">
              <w:marLeft w:val="0"/>
              <w:marRight w:val="0"/>
              <w:marTop w:val="0"/>
              <w:marBottom w:val="0"/>
              <w:divBdr>
                <w:top w:val="none" w:sz="0" w:space="0" w:color="auto"/>
                <w:left w:val="none" w:sz="0" w:space="0" w:color="auto"/>
                <w:bottom w:val="none" w:sz="0" w:space="0" w:color="auto"/>
                <w:right w:val="none" w:sz="0" w:space="0" w:color="auto"/>
              </w:divBdr>
              <w:divsChild>
                <w:div w:id="628514420">
                  <w:marLeft w:val="0"/>
                  <w:marRight w:val="0"/>
                  <w:marTop w:val="0"/>
                  <w:marBottom w:val="0"/>
                  <w:divBdr>
                    <w:top w:val="none" w:sz="0" w:space="0" w:color="auto"/>
                    <w:left w:val="none" w:sz="0" w:space="0" w:color="auto"/>
                    <w:bottom w:val="none" w:sz="0" w:space="0" w:color="auto"/>
                    <w:right w:val="none" w:sz="0" w:space="0" w:color="auto"/>
                  </w:divBdr>
                </w:div>
                <w:div w:id="828908288">
                  <w:marLeft w:val="0"/>
                  <w:marRight w:val="0"/>
                  <w:marTop w:val="0"/>
                  <w:marBottom w:val="0"/>
                  <w:divBdr>
                    <w:top w:val="none" w:sz="0" w:space="0" w:color="auto"/>
                    <w:left w:val="none" w:sz="0" w:space="0" w:color="auto"/>
                    <w:bottom w:val="none" w:sz="0" w:space="0" w:color="auto"/>
                    <w:right w:val="none" w:sz="0" w:space="0" w:color="auto"/>
                  </w:divBdr>
                </w:div>
              </w:divsChild>
            </w:div>
            <w:div w:id="195744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842298">
      <w:bodyDiv w:val="1"/>
      <w:marLeft w:val="0"/>
      <w:marRight w:val="0"/>
      <w:marTop w:val="0"/>
      <w:marBottom w:val="0"/>
      <w:divBdr>
        <w:top w:val="none" w:sz="0" w:space="0" w:color="auto"/>
        <w:left w:val="none" w:sz="0" w:space="0" w:color="auto"/>
        <w:bottom w:val="none" w:sz="0" w:space="0" w:color="auto"/>
        <w:right w:val="none" w:sz="0" w:space="0" w:color="auto"/>
      </w:divBdr>
      <w:divsChild>
        <w:div w:id="517621958">
          <w:marLeft w:val="0"/>
          <w:marRight w:val="0"/>
          <w:marTop w:val="0"/>
          <w:marBottom w:val="0"/>
          <w:divBdr>
            <w:top w:val="none" w:sz="0" w:space="0" w:color="auto"/>
            <w:left w:val="none" w:sz="0" w:space="0" w:color="auto"/>
            <w:bottom w:val="none" w:sz="0" w:space="0" w:color="auto"/>
            <w:right w:val="none" w:sz="0" w:space="0" w:color="auto"/>
          </w:divBdr>
        </w:div>
        <w:div w:id="723792722">
          <w:marLeft w:val="0"/>
          <w:marRight w:val="0"/>
          <w:marTop w:val="0"/>
          <w:marBottom w:val="0"/>
          <w:divBdr>
            <w:top w:val="none" w:sz="0" w:space="0" w:color="auto"/>
            <w:left w:val="none" w:sz="0" w:space="0" w:color="auto"/>
            <w:bottom w:val="none" w:sz="0" w:space="0" w:color="auto"/>
            <w:right w:val="none" w:sz="0" w:space="0" w:color="auto"/>
          </w:divBdr>
        </w:div>
        <w:div w:id="817722444">
          <w:marLeft w:val="0"/>
          <w:marRight w:val="0"/>
          <w:marTop w:val="0"/>
          <w:marBottom w:val="0"/>
          <w:divBdr>
            <w:top w:val="none" w:sz="0" w:space="0" w:color="auto"/>
            <w:left w:val="none" w:sz="0" w:space="0" w:color="auto"/>
            <w:bottom w:val="none" w:sz="0" w:space="0" w:color="auto"/>
            <w:right w:val="none" w:sz="0" w:space="0" w:color="auto"/>
          </w:divBdr>
        </w:div>
        <w:div w:id="1609967720">
          <w:marLeft w:val="0"/>
          <w:marRight w:val="0"/>
          <w:marTop w:val="0"/>
          <w:marBottom w:val="0"/>
          <w:divBdr>
            <w:top w:val="none" w:sz="0" w:space="0" w:color="auto"/>
            <w:left w:val="none" w:sz="0" w:space="0" w:color="auto"/>
            <w:bottom w:val="none" w:sz="0" w:space="0" w:color="auto"/>
            <w:right w:val="none" w:sz="0" w:space="0" w:color="auto"/>
          </w:divBdr>
        </w:div>
        <w:div w:id="1732726989">
          <w:marLeft w:val="0"/>
          <w:marRight w:val="0"/>
          <w:marTop w:val="0"/>
          <w:marBottom w:val="0"/>
          <w:divBdr>
            <w:top w:val="none" w:sz="0" w:space="0" w:color="auto"/>
            <w:left w:val="none" w:sz="0" w:space="0" w:color="auto"/>
            <w:bottom w:val="none" w:sz="0" w:space="0" w:color="auto"/>
            <w:right w:val="none" w:sz="0" w:space="0" w:color="auto"/>
          </w:divBdr>
        </w:div>
        <w:div w:id="1934195987">
          <w:marLeft w:val="0"/>
          <w:marRight w:val="0"/>
          <w:marTop w:val="0"/>
          <w:marBottom w:val="0"/>
          <w:divBdr>
            <w:top w:val="none" w:sz="0" w:space="0" w:color="auto"/>
            <w:left w:val="none" w:sz="0" w:space="0" w:color="auto"/>
            <w:bottom w:val="none" w:sz="0" w:space="0" w:color="auto"/>
            <w:right w:val="none" w:sz="0" w:space="0" w:color="auto"/>
          </w:divBdr>
        </w:div>
      </w:divsChild>
    </w:div>
    <w:div w:id="1777946852">
      <w:bodyDiv w:val="1"/>
      <w:marLeft w:val="0"/>
      <w:marRight w:val="0"/>
      <w:marTop w:val="0"/>
      <w:marBottom w:val="0"/>
      <w:divBdr>
        <w:top w:val="none" w:sz="0" w:space="0" w:color="auto"/>
        <w:left w:val="none" w:sz="0" w:space="0" w:color="auto"/>
        <w:bottom w:val="none" w:sz="0" w:space="0" w:color="auto"/>
        <w:right w:val="none" w:sz="0" w:space="0" w:color="auto"/>
      </w:divBdr>
      <w:divsChild>
        <w:div w:id="158275658">
          <w:marLeft w:val="0"/>
          <w:marRight w:val="0"/>
          <w:marTop w:val="0"/>
          <w:marBottom w:val="0"/>
          <w:divBdr>
            <w:top w:val="none" w:sz="0" w:space="0" w:color="auto"/>
            <w:left w:val="none" w:sz="0" w:space="0" w:color="auto"/>
            <w:bottom w:val="none" w:sz="0" w:space="0" w:color="auto"/>
            <w:right w:val="none" w:sz="0" w:space="0" w:color="auto"/>
          </w:divBdr>
        </w:div>
        <w:div w:id="1390417344">
          <w:marLeft w:val="0"/>
          <w:marRight w:val="0"/>
          <w:marTop w:val="0"/>
          <w:marBottom w:val="0"/>
          <w:divBdr>
            <w:top w:val="none" w:sz="0" w:space="0" w:color="auto"/>
            <w:left w:val="none" w:sz="0" w:space="0" w:color="auto"/>
            <w:bottom w:val="none" w:sz="0" w:space="0" w:color="auto"/>
            <w:right w:val="none" w:sz="0" w:space="0" w:color="auto"/>
          </w:divBdr>
        </w:div>
      </w:divsChild>
    </w:div>
    <w:div w:id="1820800425">
      <w:bodyDiv w:val="1"/>
      <w:marLeft w:val="0"/>
      <w:marRight w:val="0"/>
      <w:marTop w:val="0"/>
      <w:marBottom w:val="0"/>
      <w:divBdr>
        <w:top w:val="none" w:sz="0" w:space="0" w:color="auto"/>
        <w:left w:val="none" w:sz="0" w:space="0" w:color="auto"/>
        <w:bottom w:val="none" w:sz="0" w:space="0" w:color="auto"/>
        <w:right w:val="none" w:sz="0" w:space="0" w:color="auto"/>
      </w:divBdr>
      <w:divsChild>
        <w:div w:id="1561551872">
          <w:marLeft w:val="0"/>
          <w:marRight w:val="0"/>
          <w:marTop w:val="0"/>
          <w:marBottom w:val="0"/>
          <w:divBdr>
            <w:top w:val="none" w:sz="0" w:space="0" w:color="auto"/>
            <w:left w:val="none" w:sz="0" w:space="0" w:color="auto"/>
            <w:bottom w:val="none" w:sz="0" w:space="0" w:color="auto"/>
            <w:right w:val="none" w:sz="0" w:space="0" w:color="auto"/>
          </w:divBdr>
          <w:divsChild>
            <w:div w:id="1059473332">
              <w:marLeft w:val="0"/>
              <w:marRight w:val="0"/>
              <w:marTop w:val="0"/>
              <w:marBottom w:val="0"/>
              <w:divBdr>
                <w:top w:val="none" w:sz="0" w:space="0" w:color="auto"/>
                <w:left w:val="none" w:sz="0" w:space="0" w:color="auto"/>
                <w:bottom w:val="none" w:sz="0" w:space="0" w:color="auto"/>
                <w:right w:val="none" w:sz="0" w:space="0" w:color="auto"/>
              </w:divBdr>
              <w:divsChild>
                <w:div w:id="1153251804">
                  <w:marLeft w:val="0"/>
                  <w:marRight w:val="0"/>
                  <w:marTop w:val="0"/>
                  <w:marBottom w:val="0"/>
                  <w:divBdr>
                    <w:top w:val="none" w:sz="0" w:space="0" w:color="auto"/>
                    <w:left w:val="none" w:sz="0" w:space="0" w:color="auto"/>
                    <w:bottom w:val="none" w:sz="0" w:space="0" w:color="auto"/>
                    <w:right w:val="none" w:sz="0" w:space="0" w:color="auto"/>
                  </w:divBdr>
                  <w:divsChild>
                    <w:div w:id="1804075500">
                      <w:marLeft w:val="0"/>
                      <w:marRight w:val="0"/>
                      <w:marTop w:val="0"/>
                      <w:marBottom w:val="0"/>
                      <w:divBdr>
                        <w:top w:val="none" w:sz="0" w:space="0" w:color="auto"/>
                        <w:left w:val="none" w:sz="0" w:space="0" w:color="auto"/>
                        <w:bottom w:val="none" w:sz="0" w:space="0" w:color="auto"/>
                        <w:right w:val="none" w:sz="0" w:space="0" w:color="auto"/>
                      </w:divBdr>
                      <w:divsChild>
                        <w:div w:id="1112556268">
                          <w:marLeft w:val="0"/>
                          <w:marRight w:val="0"/>
                          <w:marTop w:val="0"/>
                          <w:marBottom w:val="0"/>
                          <w:divBdr>
                            <w:top w:val="none" w:sz="0" w:space="0" w:color="auto"/>
                            <w:left w:val="none" w:sz="0" w:space="0" w:color="auto"/>
                            <w:bottom w:val="none" w:sz="0" w:space="0" w:color="auto"/>
                            <w:right w:val="none" w:sz="0" w:space="0" w:color="auto"/>
                          </w:divBdr>
                          <w:divsChild>
                            <w:div w:id="1681083556">
                              <w:marLeft w:val="0"/>
                              <w:marRight w:val="0"/>
                              <w:marTop w:val="0"/>
                              <w:marBottom w:val="0"/>
                              <w:divBdr>
                                <w:top w:val="none" w:sz="0" w:space="0" w:color="auto"/>
                                <w:left w:val="none" w:sz="0" w:space="0" w:color="auto"/>
                                <w:bottom w:val="none" w:sz="0" w:space="0" w:color="auto"/>
                                <w:right w:val="none" w:sz="0" w:space="0" w:color="auto"/>
                              </w:divBdr>
                              <w:divsChild>
                                <w:div w:id="1281838405">
                                  <w:marLeft w:val="0"/>
                                  <w:marRight w:val="0"/>
                                  <w:marTop w:val="0"/>
                                  <w:marBottom w:val="0"/>
                                  <w:divBdr>
                                    <w:top w:val="none" w:sz="0" w:space="0" w:color="auto"/>
                                    <w:left w:val="none" w:sz="0" w:space="0" w:color="auto"/>
                                    <w:bottom w:val="none" w:sz="0" w:space="0" w:color="auto"/>
                                    <w:right w:val="none" w:sz="0" w:space="0" w:color="auto"/>
                                  </w:divBdr>
                                  <w:divsChild>
                                    <w:div w:id="1166358457">
                                      <w:marLeft w:val="0"/>
                                      <w:marRight w:val="0"/>
                                      <w:marTop w:val="0"/>
                                      <w:marBottom w:val="0"/>
                                      <w:divBdr>
                                        <w:top w:val="none" w:sz="0" w:space="0" w:color="auto"/>
                                        <w:left w:val="none" w:sz="0" w:space="0" w:color="auto"/>
                                        <w:bottom w:val="none" w:sz="0" w:space="0" w:color="auto"/>
                                        <w:right w:val="none" w:sz="0" w:space="0" w:color="auto"/>
                                      </w:divBdr>
                                      <w:divsChild>
                                        <w:div w:id="1991321574">
                                          <w:marLeft w:val="0"/>
                                          <w:marRight w:val="0"/>
                                          <w:marTop w:val="0"/>
                                          <w:marBottom w:val="0"/>
                                          <w:divBdr>
                                            <w:top w:val="none" w:sz="0" w:space="0" w:color="auto"/>
                                            <w:left w:val="none" w:sz="0" w:space="0" w:color="auto"/>
                                            <w:bottom w:val="none" w:sz="0" w:space="0" w:color="auto"/>
                                            <w:right w:val="none" w:sz="0" w:space="0" w:color="auto"/>
                                          </w:divBdr>
                                          <w:divsChild>
                                            <w:div w:id="559874661">
                                              <w:marLeft w:val="0"/>
                                              <w:marRight w:val="0"/>
                                              <w:marTop w:val="0"/>
                                              <w:marBottom w:val="0"/>
                                              <w:divBdr>
                                                <w:top w:val="none" w:sz="0" w:space="0" w:color="auto"/>
                                                <w:left w:val="none" w:sz="0" w:space="0" w:color="auto"/>
                                                <w:bottom w:val="none" w:sz="0" w:space="0" w:color="auto"/>
                                                <w:right w:val="none" w:sz="0" w:space="0" w:color="auto"/>
                                              </w:divBdr>
                                              <w:divsChild>
                                                <w:div w:id="516234907">
                                                  <w:marLeft w:val="0"/>
                                                  <w:marRight w:val="0"/>
                                                  <w:marTop w:val="0"/>
                                                  <w:marBottom w:val="0"/>
                                                  <w:divBdr>
                                                    <w:top w:val="none" w:sz="0" w:space="0" w:color="auto"/>
                                                    <w:left w:val="none" w:sz="0" w:space="0" w:color="auto"/>
                                                    <w:bottom w:val="none" w:sz="0" w:space="0" w:color="auto"/>
                                                    <w:right w:val="none" w:sz="0" w:space="0" w:color="auto"/>
                                                  </w:divBdr>
                                                  <w:divsChild>
                                                    <w:div w:id="151722991">
                                                      <w:marLeft w:val="0"/>
                                                      <w:marRight w:val="0"/>
                                                      <w:marTop w:val="0"/>
                                                      <w:marBottom w:val="0"/>
                                                      <w:divBdr>
                                                        <w:top w:val="none" w:sz="0" w:space="0" w:color="auto"/>
                                                        <w:left w:val="none" w:sz="0" w:space="0" w:color="auto"/>
                                                        <w:bottom w:val="none" w:sz="0" w:space="0" w:color="auto"/>
                                                        <w:right w:val="none" w:sz="0" w:space="0" w:color="auto"/>
                                                      </w:divBdr>
                                                    </w:div>
                                                    <w:div w:id="7234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0309711">
      <w:bodyDiv w:val="1"/>
      <w:marLeft w:val="0"/>
      <w:marRight w:val="0"/>
      <w:marTop w:val="0"/>
      <w:marBottom w:val="0"/>
      <w:divBdr>
        <w:top w:val="none" w:sz="0" w:space="0" w:color="auto"/>
        <w:left w:val="none" w:sz="0" w:space="0" w:color="auto"/>
        <w:bottom w:val="none" w:sz="0" w:space="0" w:color="auto"/>
        <w:right w:val="none" w:sz="0" w:space="0" w:color="auto"/>
      </w:divBdr>
      <w:divsChild>
        <w:div w:id="1175803045">
          <w:marLeft w:val="0"/>
          <w:marRight w:val="0"/>
          <w:marTop w:val="0"/>
          <w:marBottom w:val="0"/>
          <w:divBdr>
            <w:top w:val="none" w:sz="0" w:space="0" w:color="auto"/>
            <w:left w:val="none" w:sz="0" w:space="0" w:color="auto"/>
            <w:bottom w:val="none" w:sz="0" w:space="0" w:color="auto"/>
            <w:right w:val="none" w:sz="0" w:space="0" w:color="auto"/>
          </w:divBdr>
          <w:divsChild>
            <w:div w:id="384987714">
              <w:marLeft w:val="0"/>
              <w:marRight w:val="0"/>
              <w:marTop w:val="0"/>
              <w:marBottom w:val="0"/>
              <w:divBdr>
                <w:top w:val="none" w:sz="0" w:space="0" w:color="auto"/>
                <w:left w:val="none" w:sz="0" w:space="0" w:color="auto"/>
                <w:bottom w:val="none" w:sz="0" w:space="0" w:color="auto"/>
                <w:right w:val="none" w:sz="0" w:space="0" w:color="auto"/>
              </w:divBdr>
            </w:div>
            <w:div w:id="907763684">
              <w:marLeft w:val="0"/>
              <w:marRight w:val="0"/>
              <w:marTop w:val="0"/>
              <w:marBottom w:val="0"/>
              <w:divBdr>
                <w:top w:val="none" w:sz="0" w:space="0" w:color="auto"/>
                <w:left w:val="none" w:sz="0" w:space="0" w:color="auto"/>
                <w:bottom w:val="none" w:sz="0" w:space="0" w:color="auto"/>
                <w:right w:val="none" w:sz="0" w:space="0" w:color="auto"/>
              </w:divBdr>
            </w:div>
            <w:div w:id="971399750">
              <w:marLeft w:val="0"/>
              <w:marRight w:val="0"/>
              <w:marTop w:val="0"/>
              <w:marBottom w:val="0"/>
              <w:divBdr>
                <w:top w:val="none" w:sz="0" w:space="0" w:color="auto"/>
                <w:left w:val="none" w:sz="0" w:space="0" w:color="auto"/>
                <w:bottom w:val="none" w:sz="0" w:space="0" w:color="auto"/>
                <w:right w:val="none" w:sz="0" w:space="0" w:color="auto"/>
              </w:divBdr>
            </w:div>
            <w:div w:id="1494878736">
              <w:marLeft w:val="0"/>
              <w:marRight w:val="0"/>
              <w:marTop w:val="0"/>
              <w:marBottom w:val="0"/>
              <w:divBdr>
                <w:top w:val="none" w:sz="0" w:space="0" w:color="auto"/>
                <w:left w:val="none" w:sz="0" w:space="0" w:color="auto"/>
                <w:bottom w:val="none" w:sz="0" w:space="0" w:color="auto"/>
                <w:right w:val="none" w:sz="0" w:space="0" w:color="auto"/>
              </w:divBdr>
            </w:div>
            <w:div w:id="1708333553">
              <w:marLeft w:val="0"/>
              <w:marRight w:val="0"/>
              <w:marTop w:val="0"/>
              <w:marBottom w:val="0"/>
              <w:divBdr>
                <w:top w:val="none" w:sz="0" w:space="0" w:color="auto"/>
                <w:left w:val="none" w:sz="0" w:space="0" w:color="auto"/>
                <w:bottom w:val="none" w:sz="0" w:space="0" w:color="auto"/>
                <w:right w:val="none" w:sz="0" w:space="0" w:color="auto"/>
              </w:divBdr>
            </w:div>
          </w:divsChild>
        </w:div>
        <w:div w:id="1978678247">
          <w:marLeft w:val="0"/>
          <w:marRight w:val="0"/>
          <w:marTop w:val="0"/>
          <w:marBottom w:val="0"/>
          <w:divBdr>
            <w:top w:val="none" w:sz="0" w:space="0" w:color="auto"/>
            <w:left w:val="none" w:sz="0" w:space="0" w:color="auto"/>
            <w:bottom w:val="none" w:sz="0" w:space="0" w:color="auto"/>
            <w:right w:val="none" w:sz="0" w:space="0" w:color="auto"/>
          </w:divBdr>
          <w:divsChild>
            <w:div w:id="942420311">
              <w:marLeft w:val="0"/>
              <w:marRight w:val="0"/>
              <w:marTop w:val="0"/>
              <w:marBottom w:val="0"/>
              <w:divBdr>
                <w:top w:val="none" w:sz="0" w:space="0" w:color="auto"/>
                <w:left w:val="none" w:sz="0" w:space="0" w:color="auto"/>
                <w:bottom w:val="none" w:sz="0" w:space="0" w:color="auto"/>
                <w:right w:val="none" w:sz="0" w:space="0" w:color="auto"/>
              </w:divBdr>
            </w:div>
            <w:div w:id="12813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6246">
      <w:bodyDiv w:val="1"/>
      <w:marLeft w:val="0"/>
      <w:marRight w:val="0"/>
      <w:marTop w:val="0"/>
      <w:marBottom w:val="0"/>
      <w:divBdr>
        <w:top w:val="none" w:sz="0" w:space="0" w:color="auto"/>
        <w:left w:val="none" w:sz="0" w:space="0" w:color="auto"/>
        <w:bottom w:val="none" w:sz="0" w:space="0" w:color="auto"/>
        <w:right w:val="none" w:sz="0" w:space="0" w:color="auto"/>
      </w:divBdr>
      <w:divsChild>
        <w:div w:id="39671797">
          <w:marLeft w:val="0"/>
          <w:marRight w:val="0"/>
          <w:marTop w:val="0"/>
          <w:marBottom w:val="0"/>
          <w:divBdr>
            <w:top w:val="none" w:sz="0" w:space="0" w:color="auto"/>
            <w:left w:val="none" w:sz="0" w:space="0" w:color="auto"/>
            <w:bottom w:val="none" w:sz="0" w:space="0" w:color="auto"/>
            <w:right w:val="none" w:sz="0" w:space="0" w:color="auto"/>
          </w:divBdr>
        </w:div>
        <w:div w:id="795103431">
          <w:marLeft w:val="0"/>
          <w:marRight w:val="0"/>
          <w:marTop w:val="0"/>
          <w:marBottom w:val="0"/>
          <w:divBdr>
            <w:top w:val="none" w:sz="0" w:space="0" w:color="auto"/>
            <w:left w:val="none" w:sz="0" w:space="0" w:color="auto"/>
            <w:bottom w:val="none" w:sz="0" w:space="0" w:color="auto"/>
            <w:right w:val="none" w:sz="0" w:space="0" w:color="auto"/>
          </w:divBdr>
        </w:div>
        <w:div w:id="1290432916">
          <w:marLeft w:val="0"/>
          <w:marRight w:val="0"/>
          <w:marTop w:val="0"/>
          <w:marBottom w:val="0"/>
          <w:divBdr>
            <w:top w:val="none" w:sz="0" w:space="0" w:color="auto"/>
            <w:left w:val="none" w:sz="0" w:space="0" w:color="auto"/>
            <w:bottom w:val="none" w:sz="0" w:space="0" w:color="auto"/>
            <w:right w:val="none" w:sz="0" w:space="0" w:color="auto"/>
          </w:divBdr>
        </w:div>
        <w:div w:id="1967270140">
          <w:marLeft w:val="0"/>
          <w:marRight w:val="0"/>
          <w:marTop w:val="0"/>
          <w:marBottom w:val="0"/>
          <w:divBdr>
            <w:top w:val="none" w:sz="0" w:space="0" w:color="auto"/>
            <w:left w:val="none" w:sz="0" w:space="0" w:color="auto"/>
            <w:bottom w:val="none" w:sz="0" w:space="0" w:color="auto"/>
            <w:right w:val="none" w:sz="0" w:space="0" w:color="auto"/>
          </w:divBdr>
        </w:div>
        <w:div w:id="2055613307">
          <w:marLeft w:val="0"/>
          <w:marRight w:val="0"/>
          <w:marTop w:val="0"/>
          <w:marBottom w:val="0"/>
          <w:divBdr>
            <w:top w:val="none" w:sz="0" w:space="0" w:color="auto"/>
            <w:left w:val="none" w:sz="0" w:space="0" w:color="auto"/>
            <w:bottom w:val="none" w:sz="0" w:space="0" w:color="auto"/>
            <w:right w:val="none" w:sz="0" w:space="0" w:color="auto"/>
          </w:divBdr>
        </w:div>
        <w:div w:id="2115897875">
          <w:marLeft w:val="0"/>
          <w:marRight w:val="0"/>
          <w:marTop w:val="0"/>
          <w:marBottom w:val="0"/>
          <w:divBdr>
            <w:top w:val="none" w:sz="0" w:space="0" w:color="auto"/>
            <w:left w:val="none" w:sz="0" w:space="0" w:color="auto"/>
            <w:bottom w:val="none" w:sz="0" w:space="0" w:color="auto"/>
            <w:right w:val="none" w:sz="0" w:space="0" w:color="auto"/>
          </w:divBdr>
        </w:div>
      </w:divsChild>
    </w:div>
    <w:div w:id="1935895538">
      <w:bodyDiv w:val="1"/>
      <w:marLeft w:val="0"/>
      <w:marRight w:val="0"/>
      <w:marTop w:val="0"/>
      <w:marBottom w:val="0"/>
      <w:divBdr>
        <w:top w:val="none" w:sz="0" w:space="0" w:color="auto"/>
        <w:left w:val="none" w:sz="0" w:space="0" w:color="auto"/>
        <w:bottom w:val="none" w:sz="0" w:space="0" w:color="auto"/>
        <w:right w:val="none" w:sz="0" w:space="0" w:color="auto"/>
      </w:divBdr>
      <w:divsChild>
        <w:div w:id="486215901">
          <w:marLeft w:val="0"/>
          <w:marRight w:val="0"/>
          <w:marTop w:val="0"/>
          <w:marBottom w:val="0"/>
          <w:divBdr>
            <w:top w:val="none" w:sz="0" w:space="0" w:color="auto"/>
            <w:left w:val="none" w:sz="0" w:space="0" w:color="auto"/>
            <w:bottom w:val="none" w:sz="0" w:space="0" w:color="auto"/>
            <w:right w:val="none" w:sz="0" w:space="0" w:color="auto"/>
          </w:divBdr>
          <w:divsChild>
            <w:div w:id="20070045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76836807">
      <w:bodyDiv w:val="1"/>
      <w:marLeft w:val="0"/>
      <w:marRight w:val="0"/>
      <w:marTop w:val="0"/>
      <w:marBottom w:val="0"/>
      <w:divBdr>
        <w:top w:val="none" w:sz="0" w:space="0" w:color="auto"/>
        <w:left w:val="none" w:sz="0" w:space="0" w:color="auto"/>
        <w:bottom w:val="none" w:sz="0" w:space="0" w:color="auto"/>
        <w:right w:val="none" w:sz="0" w:space="0" w:color="auto"/>
      </w:divBdr>
      <w:divsChild>
        <w:div w:id="5717742">
          <w:marLeft w:val="0"/>
          <w:marRight w:val="0"/>
          <w:marTop w:val="0"/>
          <w:marBottom w:val="0"/>
          <w:divBdr>
            <w:top w:val="none" w:sz="0" w:space="0" w:color="auto"/>
            <w:left w:val="none" w:sz="0" w:space="0" w:color="auto"/>
            <w:bottom w:val="none" w:sz="0" w:space="0" w:color="auto"/>
            <w:right w:val="none" w:sz="0" w:space="0" w:color="auto"/>
          </w:divBdr>
        </w:div>
        <w:div w:id="153188043">
          <w:marLeft w:val="0"/>
          <w:marRight w:val="0"/>
          <w:marTop w:val="0"/>
          <w:marBottom w:val="0"/>
          <w:divBdr>
            <w:top w:val="none" w:sz="0" w:space="0" w:color="auto"/>
            <w:left w:val="none" w:sz="0" w:space="0" w:color="auto"/>
            <w:bottom w:val="none" w:sz="0" w:space="0" w:color="auto"/>
            <w:right w:val="none" w:sz="0" w:space="0" w:color="auto"/>
          </w:divBdr>
        </w:div>
        <w:div w:id="264460301">
          <w:marLeft w:val="0"/>
          <w:marRight w:val="0"/>
          <w:marTop w:val="0"/>
          <w:marBottom w:val="0"/>
          <w:divBdr>
            <w:top w:val="none" w:sz="0" w:space="0" w:color="auto"/>
            <w:left w:val="none" w:sz="0" w:space="0" w:color="auto"/>
            <w:bottom w:val="none" w:sz="0" w:space="0" w:color="auto"/>
            <w:right w:val="none" w:sz="0" w:space="0" w:color="auto"/>
          </w:divBdr>
        </w:div>
        <w:div w:id="970985695">
          <w:marLeft w:val="0"/>
          <w:marRight w:val="0"/>
          <w:marTop w:val="0"/>
          <w:marBottom w:val="0"/>
          <w:divBdr>
            <w:top w:val="none" w:sz="0" w:space="0" w:color="auto"/>
            <w:left w:val="none" w:sz="0" w:space="0" w:color="auto"/>
            <w:bottom w:val="none" w:sz="0" w:space="0" w:color="auto"/>
            <w:right w:val="none" w:sz="0" w:space="0" w:color="auto"/>
          </w:divBdr>
        </w:div>
        <w:div w:id="983698306">
          <w:marLeft w:val="0"/>
          <w:marRight w:val="0"/>
          <w:marTop w:val="0"/>
          <w:marBottom w:val="0"/>
          <w:divBdr>
            <w:top w:val="none" w:sz="0" w:space="0" w:color="auto"/>
            <w:left w:val="none" w:sz="0" w:space="0" w:color="auto"/>
            <w:bottom w:val="none" w:sz="0" w:space="0" w:color="auto"/>
            <w:right w:val="none" w:sz="0" w:space="0" w:color="auto"/>
          </w:divBdr>
        </w:div>
        <w:div w:id="1059866879">
          <w:marLeft w:val="0"/>
          <w:marRight w:val="0"/>
          <w:marTop w:val="0"/>
          <w:marBottom w:val="0"/>
          <w:divBdr>
            <w:top w:val="none" w:sz="0" w:space="0" w:color="auto"/>
            <w:left w:val="none" w:sz="0" w:space="0" w:color="auto"/>
            <w:bottom w:val="none" w:sz="0" w:space="0" w:color="auto"/>
            <w:right w:val="none" w:sz="0" w:space="0" w:color="auto"/>
          </w:divBdr>
        </w:div>
        <w:div w:id="2076975541">
          <w:marLeft w:val="0"/>
          <w:marRight w:val="0"/>
          <w:marTop w:val="0"/>
          <w:marBottom w:val="0"/>
          <w:divBdr>
            <w:top w:val="none" w:sz="0" w:space="0" w:color="auto"/>
            <w:left w:val="none" w:sz="0" w:space="0" w:color="auto"/>
            <w:bottom w:val="none" w:sz="0" w:space="0" w:color="auto"/>
            <w:right w:val="none" w:sz="0" w:space="0" w:color="auto"/>
          </w:divBdr>
        </w:div>
      </w:divsChild>
    </w:div>
    <w:div w:id="2130775298">
      <w:bodyDiv w:val="1"/>
      <w:marLeft w:val="0"/>
      <w:marRight w:val="0"/>
      <w:marTop w:val="0"/>
      <w:marBottom w:val="0"/>
      <w:divBdr>
        <w:top w:val="none" w:sz="0" w:space="0" w:color="auto"/>
        <w:left w:val="none" w:sz="0" w:space="0" w:color="auto"/>
        <w:bottom w:val="none" w:sz="0" w:space="0" w:color="auto"/>
        <w:right w:val="none" w:sz="0" w:space="0" w:color="auto"/>
      </w:divBdr>
      <w:divsChild>
        <w:div w:id="785007139">
          <w:marLeft w:val="0"/>
          <w:marRight w:val="0"/>
          <w:marTop w:val="0"/>
          <w:marBottom w:val="0"/>
          <w:divBdr>
            <w:top w:val="none" w:sz="0" w:space="0" w:color="auto"/>
            <w:left w:val="none" w:sz="0" w:space="0" w:color="auto"/>
            <w:bottom w:val="none" w:sz="0" w:space="0" w:color="auto"/>
            <w:right w:val="none" w:sz="0" w:space="0" w:color="auto"/>
          </w:divBdr>
        </w:div>
        <w:div w:id="1100298024">
          <w:marLeft w:val="0"/>
          <w:marRight w:val="0"/>
          <w:marTop w:val="0"/>
          <w:marBottom w:val="0"/>
          <w:divBdr>
            <w:top w:val="none" w:sz="0" w:space="0" w:color="auto"/>
            <w:left w:val="none" w:sz="0" w:space="0" w:color="auto"/>
            <w:bottom w:val="none" w:sz="0" w:space="0" w:color="auto"/>
            <w:right w:val="none" w:sz="0" w:space="0" w:color="auto"/>
          </w:divBdr>
        </w:div>
      </w:divsChild>
    </w:div>
    <w:div w:id="2134442687">
      <w:bodyDiv w:val="1"/>
      <w:marLeft w:val="0"/>
      <w:marRight w:val="0"/>
      <w:marTop w:val="0"/>
      <w:marBottom w:val="0"/>
      <w:divBdr>
        <w:top w:val="none" w:sz="0" w:space="0" w:color="auto"/>
        <w:left w:val="none" w:sz="0" w:space="0" w:color="auto"/>
        <w:bottom w:val="none" w:sz="0" w:space="0" w:color="auto"/>
        <w:right w:val="none" w:sz="0" w:space="0" w:color="auto"/>
      </w:divBdr>
      <w:divsChild>
        <w:div w:id="94596640">
          <w:marLeft w:val="0"/>
          <w:marRight w:val="0"/>
          <w:marTop w:val="0"/>
          <w:marBottom w:val="0"/>
          <w:divBdr>
            <w:top w:val="none" w:sz="0" w:space="0" w:color="auto"/>
            <w:left w:val="none" w:sz="0" w:space="0" w:color="auto"/>
            <w:bottom w:val="none" w:sz="0" w:space="0" w:color="auto"/>
            <w:right w:val="none" w:sz="0" w:space="0" w:color="auto"/>
          </w:divBdr>
        </w:div>
        <w:div w:id="955214898">
          <w:marLeft w:val="0"/>
          <w:marRight w:val="0"/>
          <w:marTop w:val="0"/>
          <w:marBottom w:val="0"/>
          <w:divBdr>
            <w:top w:val="none" w:sz="0" w:space="0" w:color="auto"/>
            <w:left w:val="none" w:sz="0" w:space="0" w:color="auto"/>
            <w:bottom w:val="none" w:sz="0" w:space="0" w:color="auto"/>
            <w:right w:val="none" w:sz="0" w:space="0" w:color="auto"/>
          </w:divBdr>
        </w:div>
        <w:div w:id="1385329038">
          <w:marLeft w:val="0"/>
          <w:marRight w:val="0"/>
          <w:marTop w:val="0"/>
          <w:marBottom w:val="0"/>
          <w:divBdr>
            <w:top w:val="none" w:sz="0" w:space="0" w:color="auto"/>
            <w:left w:val="none" w:sz="0" w:space="0" w:color="auto"/>
            <w:bottom w:val="none" w:sz="0" w:space="0" w:color="auto"/>
            <w:right w:val="none" w:sz="0" w:space="0" w:color="auto"/>
          </w:divBdr>
        </w:div>
        <w:div w:id="1901935360">
          <w:marLeft w:val="0"/>
          <w:marRight w:val="0"/>
          <w:marTop w:val="0"/>
          <w:marBottom w:val="0"/>
          <w:divBdr>
            <w:top w:val="none" w:sz="0" w:space="0" w:color="auto"/>
            <w:left w:val="none" w:sz="0" w:space="0" w:color="auto"/>
            <w:bottom w:val="none" w:sz="0" w:space="0" w:color="auto"/>
            <w:right w:val="none" w:sz="0" w:space="0" w:color="auto"/>
          </w:divBdr>
        </w:div>
        <w:div w:id="1960842951">
          <w:marLeft w:val="0"/>
          <w:marRight w:val="0"/>
          <w:marTop w:val="0"/>
          <w:marBottom w:val="0"/>
          <w:divBdr>
            <w:top w:val="none" w:sz="0" w:space="0" w:color="auto"/>
            <w:left w:val="none" w:sz="0" w:space="0" w:color="auto"/>
            <w:bottom w:val="none" w:sz="0" w:space="0" w:color="auto"/>
            <w:right w:val="none" w:sz="0" w:space="0" w:color="auto"/>
          </w:divBdr>
        </w:div>
        <w:div w:id="2008442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44FCE-1240-40CC-BE83-738A3FED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2486</Words>
  <Characters>14920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Grzegorz Molesztak</cp:lastModifiedBy>
  <cp:revision>4</cp:revision>
  <cp:lastPrinted>2019-04-17T12:31:00Z</cp:lastPrinted>
  <dcterms:created xsi:type="dcterms:W3CDTF">2019-04-17T08:40:00Z</dcterms:created>
  <dcterms:modified xsi:type="dcterms:W3CDTF">2019-04-18T07:10:00Z</dcterms:modified>
</cp:coreProperties>
</file>