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347" w:rsidRPr="00A03452" w:rsidRDefault="00584347" w:rsidP="00330620">
      <w:pPr>
        <w:spacing w:after="0" w:line="360" w:lineRule="auto"/>
        <w:jc w:val="center"/>
        <w:rPr>
          <w:rFonts w:ascii="Tahoma" w:eastAsia="Calibri" w:hAnsi="Tahoma" w:cs="Tahoma"/>
          <w:b/>
          <w:sz w:val="24"/>
          <w:szCs w:val="24"/>
          <w:u w:color="000000"/>
          <w:lang w:eastAsia="pl-PL"/>
        </w:rPr>
      </w:pPr>
      <w:bookmarkStart w:id="0" w:name="_GoBack"/>
      <w:bookmarkEnd w:id="0"/>
      <w:r w:rsidRPr="00A03452">
        <w:rPr>
          <w:rFonts w:ascii="Tahoma" w:eastAsia="Calibri" w:hAnsi="Tahoma" w:cs="Tahoma"/>
          <w:b/>
          <w:sz w:val="24"/>
          <w:szCs w:val="24"/>
          <w:u w:color="000000"/>
          <w:lang w:eastAsia="pl-PL"/>
        </w:rPr>
        <w:t>UZASADNIENIE</w:t>
      </w:r>
    </w:p>
    <w:p w:rsidR="00584347" w:rsidRPr="00A03452" w:rsidRDefault="00584347" w:rsidP="00584347">
      <w:pPr>
        <w:spacing w:after="0" w:line="360" w:lineRule="auto"/>
        <w:jc w:val="both"/>
        <w:rPr>
          <w:rFonts w:ascii="Tahoma" w:eastAsia="Calibri" w:hAnsi="Tahoma" w:cs="Tahoma"/>
          <w:sz w:val="24"/>
          <w:szCs w:val="24"/>
          <w:u w:color="000000"/>
          <w:lang w:eastAsia="pl-PL"/>
        </w:rPr>
      </w:pPr>
    </w:p>
    <w:p w:rsidR="00584347" w:rsidRPr="00A03452" w:rsidRDefault="00584347" w:rsidP="00584347">
      <w:pPr>
        <w:numPr>
          <w:ilvl w:val="0"/>
          <w:numId w:val="1"/>
        </w:numPr>
        <w:suppressAutoHyphens/>
        <w:autoSpaceDN w:val="0"/>
        <w:spacing w:after="0" w:line="360" w:lineRule="auto"/>
        <w:ind w:left="567" w:hanging="567"/>
        <w:contextualSpacing/>
        <w:jc w:val="both"/>
        <w:textAlignment w:val="baseline"/>
        <w:rPr>
          <w:rFonts w:ascii="Tahoma" w:eastAsia="Calibri" w:hAnsi="Tahoma" w:cs="Tahoma"/>
          <w:b/>
          <w:sz w:val="24"/>
          <w:szCs w:val="24"/>
          <w:u w:color="000000"/>
        </w:rPr>
      </w:pPr>
      <w:r w:rsidRPr="00A03452">
        <w:rPr>
          <w:rFonts w:ascii="Tahoma" w:eastAsia="Calibri" w:hAnsi="Tahoma" w:cs="Tahoma"/>
          <w:b/>
          <w:sz w:val="24"/>
          <w:szCs w:val="24"/>
          <w:u w:color="000000"/>
        </w:rPr>
        <w:t xml:space="preserve">Potrzeba i cel projektu ustawy oraz rzeczywisty stan w dziedzinie, która ma być unormowana </w:t>
      </w: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p>
    <w:p w:rsidR="00584347" w:rsidRPr="00A03452" w:rsidRDefault="00584347" w:rsidP="00584347">
      <w:pPr>
        <w:spacing w:after="0" w:line="360" w:lineRule="auto"/>
        <w:ind w:left="567"/>
        <w:jc w:val="both"/>
        <w:rPr>
          <w:rFonts w:ascii="Tahoma" w:hAnsi="Tahoma" w:cs="Tahoma"/>
          <w:sz w:val="24"/>
          <w:szCs w:val="24"/>
        </w:rPr>
      </w:pPr>
      <w:r w:rsidRPr="00A03452">
        <w:rPr>
          <w:rFonts w:ascii="Tahoma" w:eastAsia="Times New Roman" w:hAnsi="Tahoma" w:cs="Tahoma"/>
          <w:bCs/>
          <w:sz w:val="24"/>
          <w:szCs w:val="24"/>
          <w:lang w:eastAsia="pl-PL"/>
        </w:rPr>
        <w:t>Projekt ustawy o zmianie ustawy</w:t>
      </w:r>
      <w:r w:rsidRPr="00A03452">
        <w:rPr>
          <w:rFonts w:ascii="Tahoma" w:eastAsia="Times New Roman" w:hAnsi="Tahoma" w:cs="Tahoma"/>
          <w:sz w:val="24"/>
          <w:szCs w:val="24"/>
          <w:lang w:eastAsia="pl-PL"/>
        </w:rPr>
        <w:t xml:space="preserve"> </w:t>
      </w:r>
      <w:r w:rsidRPr="00A03452">
        <w:rPr>
          <w:rFonts w:ascii="Tahoma" w:eastAsia="Times New Roman" w:hAnsi="Tahoma" w:cs="Tahoma"/>
          <w:bCs/>
          <w:sz w:val="24"/>
          <w:szCs w:val="24"/>
          <w:lang w:eastAsia="pl-PL"/>
        </w:rPr>
        <w:t>o podatku od spadków i darowizn (Dz.U. 2018 r. poz. 644</w:t>
      </w:r>
      <w:r w:rsidR="00664477">
        <w:rPr>
          <w:rFonts w:ascii="Tahoma" w:eastAsia="Times New Roman" w:hAnsi="Tahoma" w:cs="Tahoma"/>
          <w:bCs/>
          <w:sz w:val="24"/>
          <w:szCs w:val="24"/>
          <w:lang w:eastAsia="pl-PL"/>
        </w:rPr>
        <w:t>, z późn.zm.</w:t>
      </w:r>
      <w:r w:rsidRPr="00A03452">
        <w:rPr>
          <w:rFonts w:ascii="Tahoma" w:eastAsia="Times New Roman" w:hAnsi="Tahoma" w:cs="Tahoma"/>
          <w:bCs/>
          <w:sz w:val="24"/>
          <w:szCs w:val="24"/>
          <w:lang w:eastAsia="pl-PL"/>
        </w:rPr>
        <w:t xml:space="preserve">) ma na celu zwolnienie </w:t>
      </w:r>
      <w:r w:rsidRPr="00A03452">
        <w:rPr>
          <w:rFonts w:ascii="Tahoma" w:eastAsia="Times New Roman" w:hAnsi="Tahoma" w:cs="Tahoma"/>
          <w:sz w:val="24"/>
          <w:szCs w:val="24"/>
          <w:lang w:eastAsia="pl-PL"/>
        </w:rPr>
        <w:t xml:space="preserve">od podatku </w:t>
      </w:r>
      <w:r w:rsidRPr="00A03452">
        <w:rPr>
          <w:rFonts w:ascii="Tahoma" w:hAnsi="Tahoma" w:cs="Tahoma"/>
          <w:sz w:val="24"/>
          <w:szCs w:val="24"/>
        </w:rPr>
        <w:t xml:space="preserve">nabycia w drodze dziedziczenia lub darowizny własności rzeczy lub praw majątkowych, przez </w:t>
      </w:r>
      <w:r w:rsidRPr="00A03452">
        <w:rPr>
          <w:rFonts w:ascii="Tahoma" w:eastAsia="Times New Roman" w:hAnsi="Tahoma" w:cs="Tahoma"/>
          <w:sz w:val="24"/>
          <w:szCs w:val="24"/>
          <w:lang w:eastAsia="pl-PL"/>
        </w:rPr>
        <w:t xml:space="preserve">osoby przebywające, lub które przebywały w rodzinie zastępczej lub w rodzinnym domu dziecka, </w:t>
      </w:r>
      <w:r>
        <w:rPr>
          <w:rFonts w:ascii="Tahoma" w:hAnsi="Tahoma" w:cs="Tahoma"/>
          <w:sz w:val="24"/>
          <w:szCs w:val="24"/>
        </w:rPr>
        <w:t>o których mowa w</w:t>
      </w:r>
      <w:r w:rsidRPr="00134AD1">
        <w:rPr>
          <w:rFonts w:ascii="Tahoma" w:hAnsi="Tahoma" w:cs="Tahoma"/>
          <w:color w:val="000000"/>
          <w:sz w:val="24"/>
          <w:szCs w:val="24"/>
        </w:rPr>
        <w:t xml:space="preserve"> ustawie</w:t>
      </w:r>
      <w:r>
        <w:rPr>
          <w:rFonts w:ascii="Tahoma" w:hAnsi="Tahoma" w:cs="Tahoma"/>
          <w:color w:val="000000"/>
          <w:sz w:val="24"/>
          <w:szCs w:val="24"/>
        </w:rPr>
        <w:t xml:space="preserve"> z dnia 9 czerwca 2011 r. o wspieraniu rodziny i systemie pieczy zastępczej</w:t>
      </w:r>
      <w:r w:rsidRPr="00A03452">
        <w:rPr>
          <w:rFonts w:ascii="Tahoma" w:hAnsi="Tahoma" w:cs="Tahoma"/>
          <w:sz w:val="24"/>
          <w:szCs w:val="24"/>
        </w:rPr>
        <w:t xml:space="preserve">, jeżeli darczyńcą lub spadkodawcą była osoba tworząca rodzinę zastępczą lub prowadząca rodzinny dom dziecka, w którym przebywała osoba obdarowana lub spadkobierca. </w:t>
      </w: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r w:rsidRPr="00A03452">
        <w:rPr>
          <w:rFonts w:ascii="Tahoma" w:eastAsia="Calibri" w:hAnsi="Tahoma" w:cs="Tahoma"/>
          <w:sz w:val="24"/>
          <w:szCs w:val="24"/>
          <w:u w:color="000000"/>
        </w:rPr>
        <w:t xml:space="preserve">Dzieci w zastępczej opiece rodzinnej wychowywane są w większości przypadków przez całe swoje dzieciństwo. Dziecko w Rodzinnym Domu Dziecka czy rodzinie zastępczej w wielu przypadkach uważa swoich opiekunów za prawdziwych rodziców  i odwrotnie- opiekunowie uważają je za własne już do końca życia. </w:t>
      </w: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r w:rsidRPr="00A03452">
        <w:rPr>
          <w:rFonts w:ascii="Tahoma" w:eastAsia="Calibri" w:hAnsi="Tahoma" w:cs="Tahoma"/>
          <w:sz w:val="24"/>
          <w:szCs w:val="24"/>
          <w:u w:color="000000"/>
        </w:rPr>
        <w:t xml:space="preserve">Dlatego też  wysoce niesprawiedliwym społecznie jest fakt, gdy w przypadku przepisania przez rodzica zastępczego swojego dobytku w formie testamentu lub przekazania darowizny pieniężnej lub rzeczowej usamodzielnionemu czyli pełnoletniemu już wychowankowi jeszcze za życia opiekuna, były podopieczny musi odprowadzić podatek od spadków lub darowizn jako osoba obca należąca do III grupy podatkowej, więc w pełnej wysokości. Jednocześnie należy </w:t>
      </w:r>
      <w:r w:rsidR="00595887" w:rsidRPr="00A03452">
        <w:rPr>
          <w:rFonts w:ascii="Tahoma" w:eastAsia="Calibri" w:hAnsi="Tahoma" w:cs="Tahoma"/>
          <w:sz w:val="24"/>
          <w:szCs w:val="24"/>
          <w:u w:color="000000"/>
        </w:rPr>
        <w:t>zaznaczyć</w:t>
      </w:r>
      <w:r w:rsidRPr="00A03452">
        <w:rPr>
          <w:rFonts w:ascii="Tahoma" w:eastAsia="Calibri" w:hAnsi="Tahoma" w:cs="Tahoma"/>
          <w:sz w:val="24"/>
          <w:szCs w:val="24"/>
          <w:u w:color="000000"/>
        </w:rPr>
        <w:t>, że dziecko adoptowane czy też pasierb nie podlegają temu obowiązkowi podatkowemu.</w:t>
      </w: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r w:rsidRPr="00A03452">
        <w:rPr>
          <w:rFonts w:ascii="Tahoma" w:eastAsia="Calibri" w:hAnsi="Tahoma" w:cs="Tahoma"/>
          <w:sz w:val="24"/>
          <w:szCs w:val="24"/>
          <w:u w:color="000000"/>
        </w:rPr>
        <w:t xml:space="preserve">Rodzice czy też opiekunowie zastępczy w Rodzinnych Domach Dziecka powinni mieć możliwość </w:t>
      </w:r>
      <w:r w:rsidR="00595887">
        <w:rPr>
          <w:rFonts w:ascii="Tahoma" w:eastAsia="Calibri" w:hAnsi="Tahoma" w:cs="Tahoma"/>
          <w:sz w:val="24"/>
          <w:szCs w:val="24"/>
          <w:u w:color="000000"/>
        </w:rPr>
        <w:t xml:space="preserve">przekazania </w:t>
      </w:r>
      <w:r w:rsidRPr="00A03452">
        <w:rPr>
          <w:rFonts w:ascii="Tahoma" w:eastAsia="Calibri" w:hAnsi="Tahoma" w:cs="Tahoma"/>
          <w:sz w:val="24"/>
          <w:szCs w:val="24"/>
          <w:u w:color="000000"/>
        </w:rPr>
        <w:t>darowizn</w:t>
      </w:r>
      <w:r w:rsidR="00595887">
        <w:rPr>
          <w:rFonts w:ascii="Tahoma" w:eastAsia="Calibri" w:hAnsi="Tahoma" w:cs="Tahoma"/>
          <w:sz w:val="24"/>
          <w:szCs w:val="24"/>
          <w:u w:color="000000"/>
        </w:rPr>
        <w:t xml:space="preserve">y lub </w:t>
      </w:r>
      <w:r w:rsidR="00330620">
        <w:rPr>
          <w:rFonts w:ascii="Tahoma" w:eastAsia="Calibri" w:hAnsi="Tahoma" w:cs="Tahoma"/>
          <w:sz w:val="24"/>
          <w:szCs w:val="24"/>
          <w:u w:color="000000"/>
        </w:rPr>
        <w:t xml:space="preserve">spadku na podstawie </w:t>
      </w:r>
      <w:r w:rsidR="00595887">
        <w:rPr>
          <w:rFonts w:ascii="Tahoma" w:eastAsia="Calibri" w:hAnsi="Tahoma" w:cs="Tahoma"/>
          <w:sz w:val="24"/>
          <w:szCs w:val="24"/>
          <w:u w:color="000000"/>
        </w:rPr>
        <w:t>testamentu swoim</w:t>
      </w:r>
      <w:r w:rsidRPr="00A03452">
        <w:rPr>
          <w:rFonts w:ascii="Tahoma" w:eastAsia="Calibri" w:hAnsi="Tahoma" w:cs="Tahoma"/>
          <w:sz w:val="24"/>
          <w:szCs w:val="24"/>
          <w:u w:color="000000"/>
        </w:rPr>
        <w:t xml:space="preserve"> podopiecznych bez naraża</w:t>
      </w:r>
      <w:r w:rsidR="00330620">
        <w:rPr>
          <w:rFonts w:ascii="Tahoma" w:eastAsia="Calibri" w:hAnsi="Tahoma" w:cs="Tahoma"/>
          <w:sz w:val="24"/>
          <w:szCs w:val="24"/>
          <w:u w:color="000000"/>
        </w:rPr>
        <w:t xml:space="preserve">nia ich na obciążenia podatkowe, których wysokość często przekracza możliwości finansowe podopiecznych. </w:t>
      </w: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r w:rsidRPr="00A03452">
        <w:rPr>
          <w:rFonts w:ascii="Tahoma" w:eastAsia="Calibri" w:hAnsi="Tahoma" w:cs="Tahoma"/>
          <w:sz w:val="24"/>
          <w:szCs w:val="24"/>
          <w:u w:color="000000"/>
        </w:rPr>
        <w:lastRenderedPageBreak/>
        <w:t>W przedmiotowym projekc</w:t>
      </w:r>
      <w:r w:rsidR="00664477">
        <w:rPr>
          <w:rFonts w:ascii="Tahoma" w:eastAsia="Calibri" w:hAnsi="Tahoma" w:cs="Tahoma"/>
          <w:sz w:val="24"/>
          <w:szCs w:val="24"/>
          <w:u w:color="000000"/>
        </w:rPr>
        <w:t>ie proponuje się dodanie art. 4c</w:t>
      </w:r>
      <w:r w:rsidRPr="00A03452">
        <w:rPr>
          <w:rFonts w:ascii="Tahoma" w:eastAsia="Calibri" w:hAnsi="Tahoma" w:cs="Tahoma"/>
          <w:sz w:val="24"/>
          <w:szCs w:val="24"/>
          <w:u w:color="000000"/>
        </w:rPr>
        <w:t xml:space="preserve">, zgodnie z którym </w:t>
      </w:r>
      <w:r w:rsidRPr="00A03452">
        <w:rPr>
          <w:rFonts w:ascii="Tahoma" w:eastAsia="Times New Roman" w:hAnsi="Tahoma" w:cs="Tahoma"/>
          <w:sz w:val="24"/>
          <w:szCs w:val="24"/>
          <w:lang w:eastAsia="pl-PL"/>
        </w:rPr>
        <w:t xml:space="preserve">osoby przebywające, lub które przebywały w rodzinie zastępczej lub w rodzinnym domu dziecka, będą zwolnione z odprowadzenia podatku od </w:t>
      </w:r>
      <w:r w:rsidR="00330620">
        <w:rPr>
          <w:rFonts w:ascii="Tahoma" w:hAnsi="Tahoma" w:cs="Tahoma"/>
          <w:sz w:val="24"/>
          <w:szCs w:val="24"/>
        </w:rPr>
        <w:t xml:space="preserve">nabytej </w:t>
      </w:r>
      <w:r w:rsidRPr="00A03452">
        <w:rPr>
          <w:rFonts w:ascii="Tahoma" w:hAnsi="Tahoma" w:cs="Tahoma"/>
          <w:sz w:val="24"/>
          <w:szCs w:val="24"/>
        </w:rPr>
        <w:t xml:space="preserve">własności rzeczy lub praw majątkowych. Warunkiem jest aby darczyńcą lub spadkodawcą była osoba tworząca rodzinę zastępczą lub prowadząca rodzinny dom dziecka, </w:t>
      </w:r>
      <w:r w:rsidR="001D4D3C">
        <w:rPr>
          <w:rFonts w:ascii="Tahoma" w:hAnsi="Tahoma" w:cs="Tahoma"/>
          <w:sz w:val="24"/>
          <w:szCs w:val="24"/>
        </w:rPr>
        <w:br/>
      </w:r>
      <w:r w:rsidRPr="00A03452">
        <w:rPr>
          <w:rFonts w:ascii="Tahoma" w:hAnsi="Tahoma" w:cs="Tahoma"/>
          <w:sz w:val="24"/>
          <w:szCs w:val="24"/>
        </w:rPr>
        <w:t xml:space="preserve">w którym przebywała osoba obdarowana lub spadkobierca, oraz aby osoba </w:t>
      </w:r>
      <w:r w:rsidR="001D4D3C">
        <w:rPr>
          <w:rFonts w:ascii="Tahoma" w:hAnsi="Tahoma" w:cs="Tahoma"/>
          <w:sz w:val="24"/>
          <w:szCs w:val="24"/>
        </w:rPr>
        <w:br/>
      </w:r>
      <w:r w:rsidRPr="00A03452">
        <w:rPr>
          <w:rFonts w:ascii="Tahoma" w:hAnsi="Tahoma" w:cs="Tahoma"/>
          <w:sz w:val="24"/>
          <w:szCs w:val="24"/>
        </w:rPr>
        <w:t xml:space="preserve">ta dokonała </w:t>
      </w:r>
      <w:r w:rsidRPr="00A03452">
        <w:rPr>
          <w:rFonts w:ascii="Tahoma" w:eastAsia="Times New Roman" w:hAnsi="Tahoma" w:cs="Tahoma"/>
          <w:sz w:val="24"/>
          <w:szCs w:val="24"/>
          <w:lang w:eastAsia="pl-PL"/>
        </w:rPr>
        <w:t>zgłoszenia</w:t>
      </w:r>
      <w:r w:rsidRPr="00A03452">
        <w:rPr>
          <w:rFonts w:ascii="Tahoma" w:hAnsi="Tahoma" w:cs="Tahoma"/>
          <w:sz w:val="24"/>
          <w:szCs w:val="24"/>
        </w:rPr>
        <w:t xml:space="preserve"> nabycia własności rzeczy lub praw majątkowych</w:t>
      </w:r>
      <w:r w:rsidRPr="00A03452">
        <w:rPr>
          <w:rFonts w:ascii="Tahoma" w:eastAsia="Times New Roman" w:hAnsi="Tahoma" w:cs="Tahoma"/>
          <w:sz w:val="24"/>
          <w:szCs w:val="24"/>
          <w:lang w:eastAsia="pl-PL"/>
        </w:rPr>
        <w:t>, w trybie przewidzianym w art. 4a</w:t>
      </w:r>
      <w:r w:rsidRPr="00A03452">
        <w:rPr>
          <w:rFonts w:ascii="Tahoma" w:hAnsi="Tahoma" w:cs="Tahoma"/>
          <w:sz w:val="24"/>
          <w:szCs w:val="24"/>
        </w:rPr>
        <w:t>.</w:t>
      </w:r>
    </w:p>
    <w:p w:rsidR="00584347" w:rsidRPr="00A03452" w:rsidRDefault="00584347" w:rsidP="00584347">
      <w:pPr>
        <w:spacing w:after="0" w:line="360" w:lineRule="auto"/>
        <w:jc w:val="both"/>
        <w:rPr>
          <w:rFonts w:ascii="Tahoma" w:eastAsia="Times New Roman" w:hAnsi="Tahoma" w:cs="Tahoma"/>
          <w:sz w:val="24"/>
          <w:szCs w:val="24"/>
          <w:lang w:eastAsia="pl-PL"/>
        </w:rPr>
      </w:pPr>
    </w:p>
    <w:p w:rsidR="00584347" w:rsidRPr="00A03452" w:rsidRDefault="00584347" w:rsidP="00584347">
      <w:pPr>
        <w:spacing w:after="0" w:line="360" w:lineRule="auto"/>
        <w:ind w:left="567"/>
        <w:jc w:val="both"/>
        <w:rPr>
          <w:rFonts w:ascii="Tahoma" w:eastAsia="Times New Roman" w:hAnsi="Tahoma" w:cs="Tahoma"/>
          <w:color w:val="000000"/>
          <w:sz w:val="24"/>
          <w:szCs w:val="24"/>
          <w:lang w:eastAsia="pl-PL"/>
        </w:rPr>
      </w:pPr>
      <w:r w:rsidRPr="00A03452">
        <w:rPr>
          <w:rFonts w:ascii="Tahoma" w:eastAsia="Times New Roman" w:hAnsi="Tahoma" w:cs="Tahoma"/>
          <w:sz w:val="24"/>
          <w:szCs w:val="24"/>
          <w:lang w:eastAsia="pl-PL"/>
        </w:rPr>
        <w:t xml:space="preserve">W art. 2 projektu ustawy proponuje się przepis przejściowy zgodnie z którym, ze zwolnienia będą skorzystać </w:t>
      </w:r>
      <w:r w:rsidRPr="00A03452">
        <w:rPr>
          <w:rFonts w:ascii="Tahoma" w:hAnsi="Tahoma" w:cs="Tahoma"/>
          <w:sz w:val="24"/>
          <w:szCs w:val="24"/>
        </w:rPr>
        <w:t>o</w:t>
      </w:r>
      <w:r w:rsidRPr="00A03452">
        <w:rPr>
          <w:rFonts w:ascii="Tahoma" w:eastAsia="Times New Roman" w:hAnsi="Tahoma" w:cs="Tahoma"/>
          <w:sz w:val="24"/>
          <w:szCs w:val="24"/>
          <w:lang w:eastAsia="pl-PL"/>
        </w:rPr>
        <w:t xml:space="preserve">soby przebywające, lub które przebywały w rodzinie zastępczej lub w rodzinnym domu dziecka, które </w:t>
      </w:r>
      <w:r w:rsidRPr="00A03452">
        <w:rPr>
          <w:rFonts w:ascii="Tahoma" w:hAnsi="Tahoma" w:cs="Tahoma"/>
          <w:sz w:val="24"/>
          <w:szCs w:val="24"/>
        </w:rPr>
        <w:t xml:space="preserve">nabyły </w:t>
      </w:r>
      <w:r w:rsidRPr="00A03452">
        <w:rPr>
          <w:rFonts w:ascii="Tahoma" w:hAnsi="Tahoma" w:cs="Tahoma"/>
          <w:color w:val="000000"/>
          <w:sz w:val="24"/>
          <w:szCs w:val="24"/>
        </w:rPr>
        <w:t>w drodze dziedziczenia lub darowizny własności rzeczy lub praw majątkowych, przed wejściem w życie niniejszej ustawy i nie została do dnia wejścia w życie us</w:t>
      </w:r>
      <w:r w:rsidR="00330620">
        <w:rPr>
          <w:rFonts w:ascii="Tahoma" w:hAnsi="Tahoma" w:cs="Tahoma"/>
          <w:color w:val="000000"/>
          <w:sz w:val="24"/>
          <w:szCs w:val="24"/>
        </w:rPr>
        <w:t>tawy wydana prawomocna decyzja określająca</w:t>
      </w:r>
      <w:r w:rsidRPr="00A03452">
        <w:rPr>
          <w:rFonts w:ascii="Tahoma" w:hAnsi="Tahoma" w:cs="Tahoma"/>
          <w:color w:val="000000"/>
          <w:sz w:val="24"/>
          <w:szCs w:val="24"/>
        </w:rPr>
        <w:t xml:space="preserve"> zobowiązanie podatkowe. </w:t>
      </w:r>
    </w:p>
    <w:p w:rsidR="00584347" w:rsidRPr="00A03452" w:rsidRDefault="00584347" w:rsidP="00584347">
      <w:pPr>
        <w:suppressAutoHyphens/>
        <w:autoSpaceDN w:val="0"/>
        <w:spacing w:after="0" w:line="360" w:lineRule="auto"/>
        <w:ind w:left="567"/>
        <w:contextualSpacing/>
        <w:jc w:val="both"/>
        <w:textAlignment w:val="baseline"/>
        <w:rPr>
          <w:rFonts w:ascii="Tahoma" w:hAnsi="Tahoma" w:cs="Tahoma"/>
          <w:color w:val="000000"/>
          <w:sz w:val="24"/>
          <w:szCs w:val="24"/>
        </w:rPr>
      </w:pP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r w:rsidRPr="00A03452">
        <w:rPr>
          <w:rFonts w:ascii="Tahoma" w:eastAsia="Calibri" w:hAnsi="Tahoma" w:cs="Tahoma"/>
          <w:sz w:val="24"/>
          <w:szCs w:val="24"/>
          <w:u w:color="000000"/>
        </w:rPr>
        <w:t>Wejście w życie projektowych regulacji będzie wiązało się z konicznością zmiany przez ministra właściwego ds. finansów publicznych rozp</w:t>
      </w:r>
      <w:r w:rsidR="00330620">
        <w:rPr>
          <w:rFonts w:ascii="Tahoma" w:eastAsia="Calibri" w:hAnsi="Tahoma" w:cs="Tahoma"/>
          <w:sz w:val="24"/>
          <w:szCs w:val="24"/>
          <w:u w:color="000000"/>
        </w:rPr>
        <w:t xml:space="preserve">orządzenia, określającego wzór </w:t>
      </w:r>
      <w:r w:rsidRPr="00A03452">
        <w:rPr>
          <w:rFonts w:ascii="Tahoma" w:eastAsia="Calibri" w:hAnsi="Tahoma" w:cs="Tahoma"/>
          <w:sz w:val="24"/>
          <w:szCs w:val="24"/>
          <w:u w:color="000000"/>
        </w:rPr>
        <w:t xml:space="preserve">zgłoszenia o nabyciu własności rzeczy  lub praw majątkowych </w:t>
      </w:r>
      <w:r w:rsidR="00330620">
        <w:rPr>
          <w:rFonts w:ascii="Tahoma" w:eastAsia="Calibri" w:hAnsi="Tahoma" w:cs="Tahoma"/>
          <w:sz w:val="24"/>
          <w:szCs w:val="24"/>
          <w:u w:color="000000"/>
        </w:rPr>
        <w:t xml:space="preserve">i </w:t>
      </w:r>
      <w:r w:rsidRPr="00A03452">
        <w:rPr>
          <w:rFonts w:ascii="Tahoma" w:eastAsia="Calibri" w:hAnsi="Tahoma" w:cs="Tahoma"/>
          <w:sz w:val="24"/>
          <w:szCs w:val="24"/>
          <w:u w:color="000000"/>
        </w:rPr>
        <w:t>zakres danych w nim zawartyc</w:t>
      </w:r>
      <w:r w:rsidR="00330620">
        <w:rPr>
          <w:rFonts w:ascii="Tahoma" w:eastAsia="Calibri" w:hAnsi="Tahoma" w:cs="Tahoma"/>
          <w:sz w:val="24"/>
          <w:szCs w:val="24"/>
          <w:u w:color="000000"/>
        </w:rPr>
        <w:t xml:space="preserve">h. Celem zmiany rozporządzenia będzie </w:t>
      </w:r>
      <w:r w:rsidRPr="00A03452">
        <w:rPr>
          <w:rFonts w:ascii="Tahoma" w:eastAsia="Calibri" w:hAnsi="Tahoma" w:cs="Tahoma"/>
          <w:sz w:val="24"/>
          <w:szCs w:val="24"/>
          <w:u w:color="000000"/>
        </w:rPr>
        <w:t xml:space="preserve">uwzględnienie we wzorze zgłoszenia </w:t>
      </w:r>
      <w:r w:rsidR="00330620">
        <w:rPr>
          <w:rFonts w:ascii="Tahoma" w:eastAsia="Times New Roman" w:hAnsi="Tahoma" w:cs="Tahoma"/>
          <w:sz w:val="24"/>
          <w:szCs w:val="24"/>
          <w:lang w:eastAsia="pl-PL"/>
        </w:rPr>
        <w:t>osób przebywających</w:t>
      </w:r>
      <w:r w:rsidRPr="00A03452">
        <w:rPr>
          <w:rFonts w:ascii="Tahoma" w:eastAsia="Times New Roman" w:hAnsi="Tahoma" w:cs="Tahoma"/>
          <w:sz w:val="24"/>
          <w:szCs w:val="24"/>
          <w:lang w:eastAsia="pl-PL"/>
        </w:rPr>
        <w:t xml:space="preserve">, lub które przebywały w rodzinie zastępczej lub w rodzinnym domu dziecka. </w:t>
      </w:r>
    </w:p>
    <w:p w:rsidR="00584347" w:rsidRPr="00A03452" w:rsidRDefault="00584347" w:rsidP="00584347">
      <w:pPr>
        <w:suppressAutoHyphens/>
        <w:autoSpaceDN w:val="0"/>
        <w:spacing w:after="0" w:line="360" w:lineRule="auto"/>
        <w:ind w:left="567"/>
        <w:contextualSpacing/>
        <w:jc w:val="both"/>
        <w:textAlignment w:val="baseline"/>
        <w:rPr>
          <w:rFonts w:ascii="Tahoma" w:eastAsia="Calibri" w:hAnsi="Tahoma" w:cs="Tahoma"/>
          <w:sz w:val="24"/>
          <w:szCs w:val="24"/>
          <w:u w:color="000000"/>
        </w:rPr>
      </w:pPr>
    </w:p>
    <w:p w:rsidR="00584347" w:rsidRPr="00A03452" w:rsidRDefault="00584347" w:rsidP="00584347">
      <w:pPr>
        <w:numPr>
          <w:ilvl w:val="0"/>
          <w:numId w:val="1"/>
        </w:numPr>
        <w:suppressAutoHyphens/>
        <w:autoSpaceDN w:val="0"/>
        <w:spacing w:after="0" w:line="360" w:lineRule="auto"/>
        <w:ind w:left="426" w:hanging="426"/>
        <w:contextualSpacing/>
        <w:jc w:val="both"/>
        <w:textAlignment w:val="baseline"/>
        <w:rPr>
          <w:rFonts w:ascii="Tahoma" w:eastAsia="Calibri" w:hAnsi="Tahoma" w:cs="Tahoma"/>
          <w:b/>
          <w:sz w:val="24"/>
          <w:szCs w:val="24"/>
          <w:u w:color="000000"/>
        </w:rPr>
      </w:pPr>
      <w:r w:rsidRPr="00A03452">
        <w:rPr>
          <w:rFonts w:ascii="Tahoma" w:eastAsia="Calibri" w:hAnsi="Tahoma" w:cs="Tahoma"/>
          <w:b/>
          <w:sz w:val="24"/>
          <w:szCs w:val="24"/>
          <w:u w:color="000000"/>
        </w:rPr>
        <w:t>Przewidywane skutki społeczne, gospodarcze, finansowe i źródła finasowania</w:t>
      </w:r>
    </w:p>
    <w:p w:rsidR="00584347" w:rsidRPr="00A03452" w:rsidRDefault="00584347" w:rsidP="00584347">
      <w:pPr>
        <w:suppressAutoHyphens/>
        <w:autoSpaceDN w:val="0"/>
        <w:spacing w:after="0" w:line="360" w:lineRule="auto"/>
        <w:contextualSpacing/>
        <w:jc w:val="both"/>
        <w:textAlignment w:val="baseline"/>
        <w:rPr>
          <w:rFonts w:ascii="Tahoma" w:eastAsia="Calibri" w:hAnsi="Tahoma" w:cs="Tahoma"/>
          <w:sz w:val="24"/>
          <w:szCs w:val="24"/>
          <w:u w:color="000000"/>
        </w:rPr>
      </w:pPr>
    </w:p>
    <w:p w:rsidR="00584347" w:rsidRPr="00161FAB" w:rsidRDefault="00584347" w:rsidP="00330620">
      <w:pPr>
        <w:suppressAutoHyphens/>
        <w:autoSpaceDN w:val="0"/>
        <w:spacing w:after="0" w:line="360" w:lineRule="auto"/>
        <w:ind w:left="567"/>
        <w:contextualSpacing/>
        <w:jc w:val="both"/>
        <w:textAlignment w:val="baseline"/>
        <w:rPr>
          <w:rFonts w:ascii="Tahoma" w:eastAsia="Calibri" w:hAnsi="Tahoma" w:cs="Tahoma"/>
          <w:sz w:val="24"/>
          <w:szCs w:val="24"/>
          <w:u w:color="000000"/>
        </w:rPr>
      </w:pPr>
      <w:r w:rsidRPr="00A03452">
        <w:rPr>
          <w:rFonts w:ascii="Tahoma" w:eastAsia="Calibri" w:hAnsi="Tahoma" w:cs="Tahoma"/>
          <w:sz w:val="24"/>
          <w:szCs w:val="24"/>
          <w:u w:color="000000"/>
        </w:rPr>
        <w:t xml:space="preserve">Wejście w życie projektowych przepisów przyczyni się do poprawy sytuacji osób przebywających w zastępczej opiece rodzinnej, które wychowywane są w tej formie w większości przypadków przez całe swoje dzieciństwo. Dziecko </w:t>
      </w:r>
      <w:r w:rsidR="00664477">
        <w:rPr>
          <w:rFonts w:ascii="Tahoma" w:eastAsia="Calibri" w:hAnsi="Tahoma" w:cs="Tahoma"/>
          <w:sz w:val="24"/>
          <w:szCs w:val="24"/>
          <w:u w:color="000000"/>
        </w:rPr>
        <w:br/>
      </w:r>
      <w:r w:rsidR="00330620">
        <w:rPr>
          <w:rFonts w:ascii="Tahoma" w:eastAsia="Calibri" w:hAnsi="Tahoma" w:cs="Tahoma"/>
          <w:sz w:val="24"/>
          <w:szCs w:val="24"/>
          <w:u w:color="000000"/>
        </w:rPr>
        <w:t>w rodzinnym domu d</w:t>
      </w:r>
      <w:r w:rsidRPr="00A03452">
        <w:rPr>
          <w:rFonts w:ascii="Tahoma" w:eastAsia="Calibri" w:hAnsi="Tahoma" w:cs="Tahoma"/>
          <w:sz w:val="24"/>
          <w:szCs w:val="24"/>
          <w:u w:color="000000"/>
        </w:rPr>
        <w:t xml:space="preserve">ziecka czy rodzinie </w:t>
      </w:r>
      <w:r w:rsidR="00330620">
        <w:rPr>
          <w:rFonts w:ascii="Tahoma" w:eastAsia="Calibri" w:hAnsi="Tahoma" w:cs="Tahoma"/>
          <w:sz w:val="24"/>
          <w:szCs w:val="24"/>
          <w:u w:color="000000"/>
        </w:rPr>
        <w:t xml:space="preserve">zastępczej w wielu przypadkach </w:t>
      </w:r>
      <w:r w:rsidRPr="00A03452">
        <w:rPr>
          <w:rFonts w:ascii="Tahoma" w:eastAsia="Calibri" w:hAnsi="Tahoma" w:cs="Tahoma"/>
          <w:sz w:val="24"/>
          <w:szCs w:val="24"/>
          <w:u w:color="000000"/>
        </w:rPr>
        <w:t xml:space="preserve">uważa swoich opiekunów za prawdziwych rodziców, a ich opiekunowie uważają je za własne dzieci już do końca życia. Wejście w życie przepisów pozwalających na to </w:t>
      </w:r>
      <w:r w:rsidRPr="00A03452">
        <w:rPr>
          <w:rFonts w:ascii="Tahoma" w:eastAsia="Calibri" w:hAnsi="Tahoma" w:cs="Tahoma"/>
          <w:sz w:val="24"/>
          <w:szCs w:val="24"/>
          <w:u w:color="000000"/>
        </w:rPr>
        <w:lastRenderedPageBreak/>
        <w:t xml:space="preserve">aby osoby te były podobnie jak dzieci biologiczne lub przysposobione zwolnione z obowiązku </w:t>
      </w:r>
      <w:r w:rsidRPr="00161FAB">
        <w:rPr>
          <w:rFonts w:ascii="Tahoma" w:eastAsia="Calibri" w:hAnsi="Tahoma" w:cs="Tahoma"/>
          <w:sz w:val="24"/>
          <w:szCs w:val="24"/>
          <w:u w:color="000000"/>
        </w:rPr>
        <w:t xml:space="preserve">odprowadzania podatku od spadków lub darowizn otrzymanych od swoich opiekunów jest sprawiedliwe społecznie. </w:t>
      </w:r>
    </w:p>
    <w:p w:rsidR="00584347" w:rsidRPr="00161FAB" w:rsidRDefault="00584347" w:rsidP="00584347">
      <w:pPr>
        <w:spacing w:after="0" w:line="360" w:lineRule="auto"/>
        <w:jc w:val="both"/>
        <w:rPr>
          <w:rFonts w:ascii="Tahoma" w:eastAsia="Times New Roman" w:hAnsi="Tahoma" w:cs="Tahoma"/>
          <w:color w:val="000000"/>
          <w:sz w:val="24"/>
          <w:szCs w:val="24"/>
          <w:lang w:eastAsia="pl-PL"/>
        </w:rPr>
      </w:pPr>
    </w:p>
    <w:p w:rsidR="00584347" w:rsidRPr="00161FAB" w:rsidRDefault="00584347" w:rsidP="00330620">
      <w:pPr>
        <w:spacing w:after="0" w:line="360" w:lineRule="auto"/>
        <w:ind w:left="567"/>
        <w:jc w:val="both"/>
        <w:rPr>
          <w:rFonts w:ascii="Tahoma" w:eastAsia="Times New Roman" w:hAnsi="Tahoma" w:cs="Tahoma"/>
          <w:color w:val="000000"/>
          <w:sz w:val="24"/>
          <w:szCs w:val="24"/>
          <w:lang w:eastAsia="pl-PL"/>
        </w:rPr>
      </w:pPr>
      <w:r w:rsidRPr="00161FAB">
        <w:rPr>
          <w:rFonts w:ascii="Tahoma" w:eastAsia="Times New Roman" w:hAnsi="Tahoma" w:cs="Tahoma"/>
          <w:color w:val="000000"/>
          <w:sz w:val="24"/>
          <w:szCs w:val="24"/>
          <w:lang w:eastAsia="pl-PL"/>
        </w:rPr>
        <w:t>Podatki od spadków i darowizn stanowią, zgodnie z</w:t>
      </w:r>
      <w:r w:rsidR="00330620" w:rsidRPr="00161FAB">
        <w:rPr>
          <w:rFonts w:ascii="Tahoma" w:eastAsia="Times New Roman" w:hAnsi="Tahoma" w:cs="Tahoma"/>
          <w:color w:val="000000"/>
          <w:sz w:val="24"/>
          <w:szCs w:val="24"/>
          <w:lang w:eastAsia="pl-PL"/>
        </w:rPr>
        <w:t xml:space="preserve"> przepisami ustawy z dnia </w:t>
      </w:r>
      <w:r w:rsidR="00330620" w:rsidRPr="00161FAB">
        <w:rPr>
          <w:rFonts w:ascii="Tahoma" w:eastAsia="Times New Roman" w:hAnsi="Tahoma" w:cs="Tahoma"/>
          <w:color w:val="000000"/>
          <w:sz w:val="24"/>
          <w:szCs w:val="24"/>
          <w:lang w:eastAsia="pl-PL"/>
        </w:rPr>
        <w:br/>
        <w:t xml:space="preserve">13 listopada </w:t>
      </w:r>
      <w:r w:rsidRPr="00161FAB">
        <w:rPr>
          <w:rFonts w:ascii="Tahoma" w:eastAsia="Times New Roman" w:hAnsi="Tahoma" w:cs="Tahoma"/>
          <w:color w:val="000000"/>
          <w:sz w:val="24"/>
          <w:szCs w:val="24"/>
          <w:lang w:eastAsia="pl-PL"/>
        </w:rPr>
        <w:t>2003 r. o dochodach jednostek samorządy terytorialnego</w:t>
      </w:r>
      <w:r w:rsidR="00161FAB" w:rsidRPr="00161FAB">
        <w:rPr>
          <w:rFonts w:ascii="Tahoma" w:eastAsia="Times New Roman" w:hAnsi="Tahoma" w:cs="Tahoma"/>
          <w:color w:val="000000"/>
          <w:sz w:val="24"/>
          <w:szCs w:val="24"/>
          <w:lang w:eastAsia="pl-PL"/>
        </w:rPr>
        <w:t xml:space="preserve"> (</w:t>
      </w:r>
      <w:r w:rsidR="00161FAB" w:rsidRPr="00161FAB">
        <w:rPr>
          <w:rFonts w:ascii="Tahoma" w:hAnsi="Tahoma" w:cs="Tahoma"/>
          <w:bCs/>
          <w:color w:val="000000"/>
          <w:sz w:val="24"/>
          <w:szCs w:val="24"/>
        </w:rPr>
        <w:t>Dz.U. 2018 r. poz. 1530)</w:t>
      </w:r>
      <w:r w:rsidRPr="00161FAB">
        <w:rPr>
          <w:rFonts w:ascii="Tahoma" w:eastAsia="Times New Roman" w:hAnsi="Tahoma" w:cs="Tahoma"/>
          <w:color w:val="000000"/>
          <w:sz w:val="24"/>
          <w:szCs w:val="24"/>
          <w:lang w:eastAsia="pl-PL"/>
        </w:rPr>
        <w:t xml:space="preserve">, dochód jednostek samorządu terytorialnego. Wejście w życie projektowej ustawy może spowodować ograniczenie wpływów </w:t>
      </w:r>
      <w:r w:rsidR="00161FAB">
        <w:rPr>
          <w:rFonts w:ascii="Tahoma" w:eastAsia="Times New Roman" w:hAnsi="Tahoma" w:cs="Tahoma"/>
          <w:color w:val="000000"/>
          <w:sz w:val="24"/>
          <w:szCs w:val="24"/>
          <w:lang w:eastAsia="pl-PL"/>
        </w:rPr>
        <w:t xml:space="preserve">do </w:t>
      </w:r>
      <w:r w:rsidRPr="00161FAB">
        <w:rPr>
          <w:rFonts w:ascii="Tahoma" w:eastAsia="Times New Roman" w:hAnsi="Tahoma" w:cs="Tahoma"/>
          <w:color w:val="000000"/>
          <w:sz w:val="24"/>
          <w:szCs w:val="24"/>
          <w:lang w:eastAsia="pl-PL"/>
        </w:rPr>
        <w:t xml:space="preserve">budżetów </w:t>
      </w:r>
      <w:r w:rsidR="00161FAB">
        <w:rPr>
          <w:rFonts w:ascii="Tahoma" w:eastAsia="Times New Roman" w:hAnsi="Tahoma" w:cs="Tahoma"/>
          <w:color w:val="000000"/>
          <w:sz w:val="24"/>
          <w:szCs w:val="24"/>
          <w:lang w:eastAsia="pl-PL"/>
        </w:rPr>
        <w:t>gmin</w:t>
      </w:r>
      <w:r w:rsidRPr="00161FAB">
        <w:rPr>
          <w:rFonts w:ascii="Tahoma" w:eastAsia="Times New Roman" w:hAnsi="Tahoma" w:cs="Tahoma"/>
          <w:color w:val="000000"/>
          <w:sz w:val="24"/>
          <w:szCs w:val="24"/>
          <w:lang w:eastAsia="pl-PL"/>
        </w:rPr>
        <w:t xml:space="preserve">. Skala tego zjawiska jest trudna do oszacowania ex ante. </w:t>
      </w:r>
    </w:p>
    <w:p w:rsidR="00584347" w:rsidRPr="00A03452" w:rsidRDefault="00584347" w:rsidP="00584347">
      <w:pPr>
        <w:spacing w:after="0" w:line="360" w:lineRule="auto"/>
        <w:jc w:val="both"/>
        <w:rPr>
          <w:rFonts w:ascii="Tahoma" w:hAnsi="Tahoma" w:cs="Tahoma"/>
          <w:color w:val="000000"/>
          <w:sz w:val="24"/>
          <w:szCs w:val="24"/>
        </w:rPr>
      </w:pPr>
    </w:p>
    <w:p w:rsidR="00584347" w:rsidRPr="00A03452" w:rsidRDefault="00584347" w:rsidP="00330620">
      <w:pPr>
        <w:suppressAutoHyphens/>
        <w:autoSpaceDN w:val="0"/>
        <w:spacing w:after="0" w:line="360" w:lineRule="auto"/>
        <w:ind w:left="567"/>
        <w:contextualSpacing/>
        <w:jc w:val="both"/>
        <w:textAlignment w:val="baseline"/>
        <w:rPr>
          <w:rFonts w:ascii="Tahoma" w:eastAsia="Calibri" w:hAnsi="Tahoma" w:cs="Tahoma"/>
          <w:sz w:val="24"/>
          <w:szCs w:val="24"/>
          <w:u w:color="000000"/>
        </w:rPr>
      </w:pPr>
      <w:r w:rsidRPr="00A03452">
        <w:rPr>
          <w:rFonts w:ascii="Tahoma" w:eastAsia="Calibri" w:hAnsi="Tahoma" w:cs="Tahoma"/>
          <w:sz w:val="24"/>
          <w:szCs w:val="24"/>
          <w:u w:color="000000"/>
        </w:rPr>
        <w:t>Wejście w życie projektu ustawy nie będzie miało wpływu na konkurencyjność gospodarki oraz na rynek pracy.</w:t>
      </w:r>
    </w:p>
    <w:p w:rsidR="00584347" w:rsidRPr="00A03452" w:rsidRDefault="00584347" w:rsidP="00584347">
      <w:pPr>
        <w:spacing w:after="0" w:line="360" w:lineRule="auto"/>
        <w:jc w:val="both"/>
        <w:rPr>
          <w:rFonts w:ascii="Tahoma" w:hAnsi="Tahoma" w:cs="Tahoma"/>
          <w:color w:val="000000"/>
          <w:sz w:val="24"/>
          <w:szCs w:val="24"/>
        </w:rPr>
      </w:pPr>
    </w:p>
    <w:p w:rsidR="00584347" w:rsidRPr="00A03452" w:rsidRDefault="00584347" w:rsidP="00584347">
      <w:pPr>
        <w:numPr>
          <w:ilvl w:val="0"/>
          <w:numId w:val="1"/>
        </w:numPr>
        <w:autoSpaceDN w:val="0"/>
        <w:spacing w:after="0" w:line="360" w:lineRule="auto"/>
        <w:ind w:left="567" w:hanging="567"/>
        <w:contextualSpacing/>
        <w:jc w:val="both"/>
        <w:rPr>
          <w:rFonts w:ascii="Tahoma" w:eastAsia="Calibri" w:hAnsi="Tahoma" w:cs="Tahoma"/>
          <w:b/>
          <w:sz w:val="24"/>
          <w:szCs w:val="24"/>
          <w:u w:color="000000"/>
        </w:rPr>
      </w:pPr>
      <w:r w:rsidRPr="00A03452">
        <w:rPr>
          <w:rFonts w:ascii="Tahoma" w:eastAsia="Calibri" w:hAnsi="Tahoma" w:cs="Tahoma"/>
          <w:b/>
          <w:sz w:val="24"/>
          <w:szCs w:val="24"/>
          <w:u w:color="000000"/>
        </w:rPr>
        <w:t>Ocena zgodności projektu z prawem Unii Europejskiej</w:t>
      </w:r>
    </w:p>
    <w:p w:rsidR="00584347" w:rsidRPr="00A03452" w:rsidRDefault="00584347" w:rsidP="00161FAB">
      <w:pPr>
        <w:autoSpaceDN w:val="0"/>
        <w:spacing w:after="0" w:line="360" w:lineRule="auto"/>
        <w:ind w:firstLine="567"/>
        <w:jc w:val="both"/>
        <w:rPr>
          <w:rFonts w:ascii="Tahoma" w:eastAsia="Calibri" w:hAnsi="Tahoma" w:cs="Tahoma"/>
          <w:b/>
          <w:sz w:val="24"/>
          <w:szCs w:val="24"/>
          <w:u w:val="single" w:color="000000"/>
        </w:rPr>
      </w:pPr>
      <w:r w:rsidRPr="00A03452">
        <w:rPr>
          <w:rFonts w:ascii="Tahoma" w:eastAsia="Calibri" w:hAnsi="Tahoma" w:cs="Tahoma"/>
          <w:sz w:val="24"/>
          <w:szCs w:val="24"/>
          <w:u w:color="000000"/>
        </w:rPr>
        <w:t>Przedmiot projektu niniejszej ustawy nie jest objęty prawem Unii Europejskiej.</w:t>
      </w:r>
    </w:p>
    <w:p w:rsidR="00584347" w:rsidRPr="00A03452" w:rsidRDefault="00584347" w:rsidP="00584347">
      <w:pPr>
        <w:spacing w:after="0" w:line="360" w:lineRule="auto"/>
        <w:jc w:val="both"/>
        <w:rPr>
          <w:rFonts w:ascii="Tahoma" w:eastAsia="Times New Roman" w:hAnsi="Tahoma" w:cs="Tahoma"/>
          <w:b/>
          <w:color w:val="000000"/>
          <w:sz w:val="24"/>
          <w:szCs w:val="24"/>
          <w:lang w:eastAsia="pl-PL"/>
        </w:rPr>
      </w:pPr>
    </w:p>
    <w:p w:rsidR="00584347" w:rsidRPr="00A03452" w:rsidRDefault="00584347" w:rsidP="00584347">
      <w:pPr>
        <w:spacing w:after="0" w:line="360" w:lineRule="auto"/>
        <w:ind w:firstLine="480"/>
        <w:jc w:val="both"/>
        <w:rPr>
          <w:rFonts w:ascii="Tahoma" w:eastAsia="Times New Roman" w:hAnsi="Tahoma" w:cs="Tahoma"/>
          <w:b/>
          <w:color w:val="000000"/>
          <w:sz w:val="24"/>
          <w:szCs w:val="24"/>
          <w:lang w:eastAsia="pl-PL"/>
        </w:rPr>
      </w:pPr>
    </w:p>
    <w:p w:rsidR="00584347" w:rsidRPr="00A03452" w:rsidRDefault="00584347" w:rsidP="00584347">
      <w:pPr>
        <w:spacing w:after="0" w:line="360" w:lineRule="auto"/>
        <w:ind w:firstLine="480"/>
        <w:jc w:val="both"/>
        <w:rPr>
          <w:rFonts w:ascii="Tahoma" w:eastAsia="Times New Roman" w:hAnsi="Tahoma" w:cs="Tahoma"/>
          <w:b/>
          <w:color w:val="000000"/>
          <w:sz w:val="24"/>
          <w:szCs w:val="24"/>
          <w:lang w:eastAsia="pl-PL"/>
        </w:rPr>
      </w:pPr>
    </w:p>
    <w:p w:rsidR="00584347" w:rsidRPr="00A03452" w:rsidRDefault="00584347" w:rsidP="00584347">
      <w:pPr>
        <w:spacing w:after="0" w:line="360" w:lineRule="auto"/>
        <w:ind w:firstLine="480"/>
        <w:jc w:val="both"/>
        <w:rPr>
          <w:rFonts w:ascii="Tahoma" w:eastAsia="Times New Roman" w:hAnsi="Tahoma" w:cs="Tahoma"/>
          <w:b/>
          <w:color w:val="000000"/>
          <w:sz w:val="24"/>
          <w:szCs w:val="24"/>
          <w:lang w:eastAsia="pl-PL"/>
        </w:rPr>
      </w:pPr>
    </w:p>
    <w:p w:rsidR="00584347" w:rsidRPr="00A03452" w:rsidRDefault="00584347" w:rsidP="00584347">
      <w:pPr>
        <w:spacing w:after="0" w:line="360" w:lineRule="auto"/>
        <w:ind w:firstLine="480"/>
        <w:jc w:val="both"/>
        <w:rPr>
          <w:rFonts w:ascii="Tahoma" w:eastAsia="Times New Roman" w:hAnsi="Tahoma" w:cs="Tahoma"/>
          <w:b/>
          <w:color w:val="000000"/>
          <w:sz w:val="24"/>
          <w:szCs w:val="24"/>
          <w:lang w:eastAsia="pl-PL"/>
        </w:rPr>
      </w:pPr>
    </w:p>
    <w:p w:rsidR="00407BE4" w:rsidRDefault="0095229F"/>
    <w:sectPr w:rsidR="00407B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29F" w:rsidRDefault="0095229F" w:rsidP="00584347">
      <w:pPr>
        <w:spacing w:after="0" w:line="240" w:lineRule="auto"/>
      </w:pPr>
      <w:r>
        <w:separator/>
      </w:r>
    </w:p>
  </w:endnote>
  <w:endnote w:type="continuationSeparator" w:id="0">
    <w:p w:rsidR="0095229F" w:rsidRDefault="0095229F" w:rsidP="00584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29F" w:rsidRDefault="0095229F" w:rsidP="00584347">
      <w:pPr>
        <w:spacing w:after="0" w:line="240" w:lineRule="auto"/>
      </w:pPr>
      <w:r>
        <w:separator/>
      </w:r>
    </w:p>
  </w:footnote>
  <w:footnote w:type="continuationSeparator" w:id="0">
    <w:p w:rsidR="0095229F" w:rsidRDefault="0095229F" w:rsidP="005843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B415D6"/>
    <w:multiLevelType w:val="multilevel"/>
    <w:tmpl w:val="BD9C7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347"/>
    <w:rsid w:val="00161FAB"/>
    <w:rsid w:val="001D4D3C"/>
    <w:rsid w:val="00222C85"/>
    <w:rsid w:val="00330620"/>
    <w:rsid w:val="00584347"/>
    <w:rsid w:val="00595887"/>
    <w:rsid w:val="006220FE"/>
    <w:rsid w:val="00664477"/>
    <w:rsid w:val="0095229F"/>
    <w:rsid w:val="00A26449"/>
    <w:rsid w:val="00C6044F"/>
    <w:rsid w:val="00ED05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C38FDF-5F06-4B2F-97BE-7D4DFC97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434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58434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84347"/>
    <w:rPr>
      <w:sz w:val="20"/>
      <w:szCs w:val="20"/>
    </w:rPr>
  </w:style>
  <w:style w:type="character" w:styleId="Odwoanieprzypisudolnego">
    <w:name w:val="footnote reference"/>
    <w:basedOn w:val="Domylnaczcionkaakapitu"/>
    <w:uiPriority w:val="99"/>
    <w:semiHidden/>
    <w:unhideWhenUsed/>
    <w:rsid w:val="005843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651</Words>
  <Characters>3906</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Grzegorz Molesztak</cp:lastModifiedBy>
  <cp:revision>5</cp:revision>
  <cp:lastPrinted>2019-04-25T09:31:00Z</cp:lastPrinted>
  <dcterms:created xsi:type="dcterms:W3CDTF">2019-04-05T11:43:00Z</dcterms:created>
  <dcterms:modified xsi:type="dcterms:W3CDTF">2019-04-25T09:31:00Z</dcterms:modified>
</cp:coreProperties>
</file>