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384" w:rsidRPr="000C2384" w:rsidRDefault="000C2384" w:rsidP="00E846F2">
      <w:pPr>
        <w:pStyle w:val="TYTUAKTUprzedmiotregulacjiustawylubrozporzdzenia"/>
        <w:rPr>
          <w:b w:val="0"/>
        </w:rPr>
      </w:pPr>
      <w:bookmarkStart w:id="0" w:name="_GoBack"/>
      <w:bookmarkEnd w:id="0"/>
      <w:r w:rsidRPr="000C2384">
        <w:rPr>
          <w:b w:val="0"/>
        </w:rPr>
        <w:t>UZASADNIENIE</w:t>
      </w:r>
    </w:p>
    <w:p w:rsidR="000C2384" w:rsidRPr="004C6B10" w:rsidRDefault="000C2384" w:rsidP="000C2384">
      <w:pPr>
        <w:pStyle w:val="NIEARTTEKSTtekstnieartykuowanynppodstprawnarozplubpreambua"/>
        <w:ind w:firstLine="0"/>
      </w:pPr>
      <w:r w:rsidRPr="004C6B10">
        <w:t>Projektowane zmiany w ustawie z dnia 12 maja 2011 r. o refundacji leków, środków spożywczych specjalnego przeznaczenia żywieniowego oraz wyrobów medycznych (Dz. U. z 201</w:t>
      </w:r>
      <w:r>
        <w:t>9 r. poz. 784</w:t>
      </w:r>
      <w:r w:rsidRPr="004C6B10">
        <w:t>), zwanej dalej „ustawą o refundacji”, mają na celu istotne usprawnienie procesu zaopatrzenia w wyroby medyczne przez zmianę regulacji dotyczących realizacji zleceń. Wprowadzone ułatwienia będą</w:t>
      </w:r>
      <w:r w:rsidRPr="0021699B">
        <w:t xml:space="preserve"> </w:t>
      </w:r>
      <w:r w:rsidRPr="004C6B10">
        <w:t xml:space="preserve">dotyczyć zarówno pacjentów, jak i wystawiających oraz realizatorów zleceń. Uwzględniają one zarówno postulaty pacjentów, jak i Naczelnej Izby Lekarskiej oraz przedsiębiorców funkcjonujących w branży wyrobów medycznych. </w:t>
      </w:r>
    </w:p>
    <w:p w:rsidR="000C2384" w:rsidRPr="004C6B10" w:rsidRDefault="000C2384" w:rsidP="000C2384">
      <w:pPr>
        <w:pStyle w:val="NIEARTTEKSTtekstnieartykuowanynppodstprawnarozplubpreambua"/>
        <w:ind w:firstLine="0"/>
      </w:pPr>
      <w:r w:rsidRPr="004C6B10">
        <w:t>Projektowane zmiany w art. 38c ust. 2 ustawy o refundacji przewidują potwierdzenie posiadania prawa do świadczeń opieki zdrowotnej oraz weryfikację zlecenia, w tym uprawnień dodatkowych</w:t>
      </w:r>
      <w:r w:rsidR="00E233E5">
        <w:t>,</w:t>
      </w:r>
      <w:r w:rsidRPr="004C6B10">
        <w:t xml:space="preserve"> na dwóch etapach realizacji zlecenia, tj.: w chwili jego wystawiania oraz w momencie przyjmowania do realizacji danego zlecenia, z tym że weryfikacja zlecenia będzie dokonywana wyłącznie na etapie wystawienia zlecenia. Na etapie realizacji zlecenia świadczeniodawca zobowiązany będzie natomiast wyłącznie do sprawdzenia braku upływu okresu, w którym zlecenie może zostać zrealizowane</w:t>
      </w:r>
      <w:r w:rsidR="00E233E5">
        <w:t>,</w:t>
      </w:r>
      <w:r w:rsidRPr="004C6B10">
        <w:t xml:space="preserve"> oraz wieku świadczeniobiorcy, jeżeli ma on wpływ na limit finansowania ustalony podczas weryfikacji dokonanej przez Narodowy Fundusz Zdrowia, zwany dalej „NFZ”, na etapie wystawienia zlecenia (art. 38 ust. 10 ustawy o refundacji). Obecnie obowiązujące przepisy stanowią, że czynności te są wykonywane w chwili wystawiania zlecenia oraz z chwilą wydania wyrobu medycznego. Ponieważ jednak dokonywanie czynności sprawdzających w chwili wydania wyrobu medycznego może rodzić nie tylko trudności praktyczne, ale również wątpliwości prawne</w:t>
      </w:r>
      <w:r w:rsidR="00E233E5">
        <w:t>,</w:t>
      </w:r>
      <w:r w:rsidRPr="004C6B10">
        <w:t xml:space="preserve"> zdecydowano zarówno o ich ograniczeniu (weryfikacja zlecenia wyłącznie na etapie jego wystawienia), jak również o dokonywaniu potwierdzenia posiadania prawa do świadczeń opieki zdrowotnej i sprawdzania wieku świadczeniobiorcy w momencie przyjmowania zlecenia do realizacji. Ograniczenie weryfikacji zlecenia wyłącznie do etapu jego wystawienia pozwoli nie dublować czynności przez NFZ, zarówno na etapie wystawiania zlecenia</w:t>
      </w:r>
      <w:r w:rsidR="00E233E5">
        <w:t>,</w:t>
      </w:r>
      <w:r w:rsidRPr="004C6B10">
        <w:t xml:space="preserve"> jak i jego realizacji, ułatwiając jednocześnie świadczeniobiorcom realizację zleceń. Proponuje się zatem, aby dokonanie zmiany ustalonego przez NFZ limitu mogło następować wyłącznie w sytuacji, gdy świadczeniodawca</w:t>
      </w:r>
      <w:r w:rsidR="00E233E5">
        <w:t>,</w:t>
      </w:r>
      <w:r w:rsidRPr="004C6B10">
        <w:t xml:space="preserve"> przyjmując zlecenie do realizacji</w:t>
      </w:r>
      <w:r w:rsidR="00E233E5">
        <w:t>,</w:t>
      </w:r>
      <w:r w:rsidRPr="004C6B10">
        <w:t xml:space="preserve"> dokona sprawdzenia wieku świadczeniobiorcy. W przypadku ustalenia przez świadczeniodawcę realizującego zlecenie błędnego limitu, jego odpowiedzialność finansowa będzie adekwatna do popełnionego błędu, tj. nie będzie on zwracał równowartości całego limitu, lecz kwotę stanowiącą różnicę między </w:t>
      </w:r>
      <w:r w:rsidRPr="004C6B10">
        <w:lastRenderedPageBreak/>
        <w:t xml:space="preserve">limitem </w:t>
      </w:r>
      <w:r>
        <w:t xml:space="preserve">błędnie </w:t>
      </w:r>
      <w:r w:rsidRPr="004C6B10">
        <w:t xml:space="preserve">ustalonym przez świadczeniodawcę a prawidłowo określonym limitem finansowania wyrobu medycznego. W przepisach proponuje się również uwzględnienie </w:t>
      </w:r>
      <w:r w:rsidR="00E233E5">
        <w:t xml:space="preserve">– </w:t>
      </w:r>
      <w:r w:rsidRPr="004C6B10">
        <w:t>analogicznej do ustalenia błędnego limitu – sytuacji, kiedy świadczeniodawca zaniecha dokonania zmiany limitu. W konsekwencji dokonano zmiany brzmienia art. 38c ust. 4, ust. 11 i 12, art. 48 ust. 7c i 7d ustawy o refundacji, a także zaproponowano uchylenie art. 38c ust. 10 pkt 3 i 4 oraz ust. 14 ustawy o refundacji</w:t>
      </w:r>
      <w:r w:rsidR="00E233E5">
        <w:t>,</w:t>
      </w:r>
      <w:r w:rsidRPr="004C6B10">
        <w:t xml:space="preserve"> mając na celu dostosowanie ich treści do przedstawionej powyżej koncepcji. </w:t>
      </w:r>
    </w:p>
    <w:p w:rsidR="000C2384" w:rsidRPr="004C6B10" w:rsidRDefault="000C2384" w:rsidP="00D564E3">
      <w:pPr>
        <w:pStyle w:val="NIEARTTEKSTtekstnieartykuowanynppodstprawnarozplubpreambua"/>
        <w:tabs>
          <w:tab w:val="left" w:pos="3119"/>
        </w:tabs>
        <w:ind w:firstLine="0"/>
      </w:pPr>
      <w:r w:rsidRPr="004C6B10">
        <w:t>Jednocześnie, aby uprościć wystawianie zleceń na wyroby medyczne</w:t>
      </w:r>
      <w:r w:rsidR="00E233E5">
        <w:t>,</w:t>
      </w:r>
      <w:r w:rsidRPr="004C6B10">
        <w:t xml:space="preserve"> w sytuacji gdy będą podlegać one weryfikacji przez NFZ za pośrednictwem syste</w:t>
      </w:r>
      <w:r w:rsidR="00866B71">
        <w:t>mów informatycznych NFZ, w art. </w:t>
      </w:r>
      <w:r w:rsidRPr="004C6B10">
        <w:t>38 ust. 7a ustawy o refundacji proponuje się wprowadzenie dla ministra właściwego do spraw zdrowia fakultatywnego upoważnienia do wydania rozporządzenia określającego uproszczone, w stosunku do wzoru określonego na podstawie art. 38 ust. 7 ustawy o refundacji, wzory zleceń. Uproszczone wzory zleceń będą mogły obejmować węższy zakres danych, które są konieczne do wpisywania na zleceniu przez osobę uprawnioną do wystawienia zlecenia, np. tylko numer PESEL świadczeniobiorcy oraz imię i nazwisko (bez konieczności wskazywania jego innych danych). Ogólny wzór zlecenia określony na podstawie art. 38 ust. 7 będzie zawierać natomiast pełen zakres informacji. Dodatkowo, w art. 38 ust. 7b ustawy o refundacji, proponuje się, aby uproszczone wzory nie mogły być stosowane w przypadku</w:t>
      </w:r>
      <w:r>
        <w:t>,</w:t>
      </w:r>
      <w:r w:rsidRPr="004C6B10">
        <w:t xml:space="preserve"> gdy weryfikacja zleceń będzie odbywać się bez pośrednictwa systemów informatycznych NFZ.</w:t>
      </w:r>
    </w:p>
    <w:p w:rsidR="000C2384" w:rsidRPr="004C6B10" w:rsidRDefault="000C2384" w:rsidP="000C2384">
      <w:pPr>
        <w:pStyle w:val="NIEARTTEKSTtekstnieartykuowanynppodstprawnarozplubpreambua"/>
        <w:ind w:firstLine="0"/>
      </w:pPr>
      <w:r w:rsidRPr="004C6B10">
        <w:t xml:space="preserve">Ponadto w art. 38d ust. 1 ustawy o refundacji proponuje się zmianę polegającą na określeniu, że zlecenia na wyroby medyczne są wystawiane na okres nie dłuższy niż 12 kolejnych miesięcy kalendarzowych od dnia wystawienia, zamiast na okres realizacji. Rezygnacja z pojęcia okres realizacji pozwoli usunąć wątpliwości co do możliwości realizacji zlecenia w okresie jego ważności. W związku bowiem ze zmianą art. 38c ust. 2 ustawy o refundacji, kluczowy dla oceny ważności zlecenia będzie moment przyjęcia danego zlecenia do realizacji. Jednocześnie w art. 38d ust. 1 i 3 </w:t>
      </w:r>
      <w:r>
        <w:t xml:space="preserve">ww. ustawy </w:t>
      </w:r>
      <w:r w:rsidRPr="004C6B10">
        <w:t>dokonuje się zrównania okresu, na jaki mogą być wystawiane zlecenia na wyroby medyczne. W związku z powyższym również zlecenia na wyroby medyczne przysługujące comiesięcznie będą wystawiane na okres nie dłuższy niż 12 kolejnych miesięcy (zamiast 6 miesięcy), jednakże tylko wówczas</w:t>
      </w:r>
      <w:r w:rsidR="00E233E5">
        <w:t>,</w:t>
      </w:r>
      <w:r w:rsidRPr="004C6B10">
        <w:t xml:space="preserve"> gdy weryfikacja zlecenia odbędzie się za pośrednictwem serwisów internetowych lub usług informatycznych NFZ. Dodatkowo, w przypadku zleceń na zaopatrzenie w wyroby medyczne przysługujące comiesięcznie, proponuje się, aby jednorazowa realizacja takiego zlecenia mogła dotyczyć maksymalnie okresu 6 miesięcy (art. 38c ust. 4). </w:t>
      </w:r>
    </w:p>
    <w:p w:rsidR="000C2384" w:rsidRPr="004C6B10" w:rsidRDefault="000C2384" w:rsidP="000C2384">
      <w:pPr>
        <w:pStyle w:val="NIEARTTEKSTtekstnieartykuowanynppodstprawnarozplubpreambua"/>
        <w:ind w:firstLine="0"/>
      </w:pPr>
      <w:r w:rsidRPr="004C6B10">
        <w:lastRenderedPageBreak/>
        <w:t>Dodatkowo proponuje się zmiany w art. 38 ustawy o refundacji polegające na usunięciu jednej kategorii danych dotyczącej zarówno świadczeniobiorcy</w:t>
      </w:r>
      <w:r>
        <w:t>,</w:t>
      </w:r>
      <w:r w:rsidRPr="004C6B10">
        <w:t xml:space="preserve"> jak i osoby upoważnionej do odbioru wyrobu medycznego (ust. 5 i 6) oraz osób składających w imieniu małoletnich, innych osób nieposiadających pełnej zdolności do czynności prawnych, a także innych osób </w:t>
      </w:r>
      <w:r w:rsidR="006F1BE5">
        <w:t>niemogących</w:t>
      </w:r>
      <w:r w:rsidRPr="004C6B10">
        <w:t xml:space="preserve"> wyrazić sw</w:t>
      </w:r>
      <w:r w:rsidR="00E233E5">
        <w:t>oj</w:t>
      </w:r>
      <w:r w:rsidRPr="004C6B10">
        <w:t>ej woli z powodu stanu zdrowia</w:t>
      </w:r>
      <w:r>
        <w:t>,</w:t>
      </w:r>
      <w:r w:rsidRPr="004C6B10">
        <w:t xml:space="preserve"> oświadczenia o przysługującym im prawie do świadczeń opieki zdrowotnej (ust. 16), tj. adresu zamieszkania, jako tzw. danej „nadmiarowej”, niekoniecznej do przetwarzania przez świadczeniodawcę i NFZ w związku z realizacją zleceń na wyroby medyczne.</w:t>
      </w:r>
    </w:p>
    <w:p w:rsidR="000C2384" w:rsidRPr="004C6B10" w:rsidRDefault="000C2384" w:rsidP="000C2384">
      <w:pPr>
        <w:pStyle w:val="NIEARTTEKSTtekstnieartykuowanynppodstprawnarozplubpreambua"/>
        <w:ind w:firstLine="0"/>
      </w:pPr>
      <w:r w:rsidRPr="004C6B10">
        <w:t>Zmiany dokonane w treści art. 38d ust. 7–10 ustawy o refundacji mają na celu ujednolicenie terminologii i wskazanie, że podmiotem właściwym w relacji świadczeniodawca – NFZ, za pośrednictwem serwisów internetowych lub usług informatycznych</w:t>
      </w:r>
      <w:r w:rsidR="00E233E5">
        <w:t>,</w:t>
      </w:r>
      <w:r w:rsidRPr="004C6B10">
        <w:t xml:space="preserve"> jest NFZ, a nie oddziały wojewódzkie NFZ.</w:t>
      </w:r>
    </w:p>
    <w:p w:rsidR="000C2384" w:rsidRDefault="000C2384" w:rsidP="000C2384">
      <w:pPr>
        <w:pStyle w:val="NIEARTTEKSTtekstnieartykuowanynppodstprawnarozplubpreambua"/>
        <w:ind w:firstLine="0"/>
      </w:pPr>
      <w:r w:rsidRPr="004C6B10">
        <w:t>Jednocześnie w art. 38d ust. 12 ustawy o refundacji proponuje się wskazanie, że po zakończeniu realizacji zlecenia oryginał zlecenia oraz dokumentacja potwierdzająca dokonanie realizacji zlecenia są przechowywane przez świadczeniodawcę. Nowelizacja ustawy z dnia 21 lutego 2019 r. o zmianie ustawy o świadczeniach opieki zdrowotnej finansowanych ze środków publicznych oraz niektórych innych ustaw (Dz. U. poz. 399) zawarta w art. 3 projektu ustawy umożliwi Ministrowi Zdrowia finansowanie wydatków związanych z utworzeniem i wdrożeniem systemu zarządzającego trybami obsługi pacjenta w szpitalnym oddziale ratunkowym, w którym są przetwarzane dane o liczbie osób i czasie oczekiwania na udzielenie świadczenia zdrowotnego w szpitalnym oddziale ratunkowym, zwanym dalej „TOPSOR”, we wszystkich szpitalnych</w:t>
      </w:r>
      <w:r w:rsidR="00E233E5">
        <w:t xml:space="preserve"> </w:t>
      </w:r>
      <w:r w:rsidRPr="004C6B10">
        <w:t xml:space="preserve">oddziałach ratunkowych jeszcze w bieżącym roku. Proponowany przepis poszerzy spektrum podmiotów, którym będzie mogło zostać udzielone wsparcie na wdrożenie systemu TOPSOR w ramach jednolitej architektury technicznej, której wytworzenie może nastąpić jedynie w sytuacji, w której zmiana zostanie dokonana jednoczasowo. </w:t>
      </w:r>
    </w:p>
    <w:p w:rsidR="000C2384" w:rsidRPr="00FB3AAC" w:rsidRDefault="000C2384" w:rsidP="00D72D12">
      <w:pPr>
        <w:pStyle w:val="ARTartustawynprozporzdzenia"/>
        <w:ind w:firstLine="0"/>
      </w:pPr>
      <w:r w:rsidRPr="00FB3AAC">
        <w:t xml:space="preserve">Obecna treść art. 18 ust. 2 ustawy z dnia 21 lutego 2019 r. </w:t>
      </w:r>
      <w:r w:rsidRPr="004C6B10">
        <w:t>o zmianie ustawy o świadczeniach opieki zdrowotnej finansowanych ze środków publicznych oraz niektórych innych ustaw</w:t>
      </w:r>
      <w:r w:rsidRPr="00FB3AAC">
        <w:t xml:space="preserve"> powoduje, że </w:t>
      </w:r>
      <w:r>
        <w:t xml:space="preserve">możliwość </w:t>
      </w:r>
      <w:r w:rsidRPr="00FB3AAC">
        <w:t>dofinansowani</w:t>
      </w:r>
      <w:r>
        <w:t>a</w:t>
      </w:r>
      <w:r w:rsidRPr="00FB3AAC">
        <w:t xml:space="preserve"> z budżetu państwa w latach 2019 i 2020 wydatków związanych z wdrożeniem TOPSOR ogranicz</w:t>
      </w:r>
      <w:r>
        <w:t>a</w:t>
      </w:r>
      <w:r w:rsidRPr="00FB3AAC">
        <w:t xml:space="preserve"> się do szpitalnych oddziałów ratunkowych znajdujących się w podmiotach leczniczych, dla których podmiotem tworzącym jest minister, uczelnia medyczna albo samorząd województwa. Proponowana zmiana umożliwi dofinansowanie w drodze dotacji celowej i wprowadzenie jednolitego systemu segregacji medycznej z wykorzystaniem TOPSOR we wszystkich szpitalnych oddziałach ratunkowych w całym kraju. Dofinansowanie zostanie przekazane Lotniczemu Pogotowiu Ratunkowemu</w:t>
      </w:r>
      <w:r>
        <w:t xml:space="preserve">, zwanemu dalej </w:t>
      </w:r>
      <w:r w:rsidRPr="00FB3AAC">
        <w:t>„LPR”, które musi zapewnić działanie wszystkich funkcjonalności TOPSOR na tym samym poziomie we wszystkich szpitalnych oddziałach ratunkowych. Rozdysponowanie ewentualnej dotacji celowej uzyskanej przez LPR będzie odbywać się zgodnie z zapotrzebowaniem zgłoszonym przez poszczególne szpitalne oddziały ratunkowe.</w:t>
      </w:r>
    </w:p>
    <w:p w:rsidR="000C2384" w:rsidRDefault="000C2384" w:rsidP="000C2384">
      <w:pPr>
        <w:pStyle w:val="NIEARTTEKSTtekstnieartykuowanynppodstprawnarozplubpreambua"/>
        <w:ind w:firstLine="0"/>
      </w:pPr>
      <w:r w:rsidRPr="004C6B10">
        <w:t>Ponadto, mając na uwadze postulaty podmiotów, które zostaną włączone do systemu TOPSOR, zostanie wprowadzona możliwość dostosowania warunków organizacyjnych na szpitalnych oddziałach ratunkowych. W związku z powyższym proponuje się wprowadzenie w art. 19 ww. ustawy dodatkowego okresu przejściowego na wdrożenie tego systemu do dnia:</w:t>
      </w:r>
    </w:p>
    <w:p w:rsidR="000C2384" w:rsidRDefault="000C2384" w:rsidP="001206F4">
      <w:pPr>
        <w:pStyle w:val="NIEARTTEKSTtekstnieartykuowanynppodstprawnarozplubpreambua"/>
        <w:numPr>
          <w:ilvl w:val="0"/>
          <w:numId w:val="2"/>
        </w:numPr>
        <w:ind w:left="426"/>
      </w:pPr>
      <w:r w:rsidRPr="004C6B10">
        <w:t xml:space="preserve">1 października 2019 r., w przypadku szpitalnych oddziałów ratunkowych znajdujących się w podmiotach leczniczych, dla których podmiotem tworzącym jest minister, uczelnia medyczna albo samorząd województwa; </w:t>
      </w:r>
    </w:p>
    <w:p w:rsidR="000C2384" w:rsidRPr="004C6B10" w:rsidRDefault="000C2384" w:rsidP="001206F4">
      <w:pPr>
        <w:pStyle w:val="NIEARTTEKSTtekstnieartykuowanynppodstprawnarozplubpreambua"/>
        <w:numPr>
          <w:ilvl w:val="0"/>
          <w:numId w:val="2"/>
        </w:numPr>
        <w:ind w:left="426"/>
      </w:pPr>
      <w:r w:rsidRPr="004C6B10">
        <w:t>1 stycznia 2021 r.</w:t>
      </w:r>
      <w:r>
        <w:t>,</w:t>
      </w:r>
      <w:r w:rsidRPr="004C6B10">
        <w:t xml:space="preserve"> w przypadku szpitalnych oddziałów ratunkowych innych niż określone w pkt 1.</w:t>
      </w:r>
    </w:p>
    <w:p w:rsidR="000C2384" w:rsidRPr="004C6B10" w:rsidRDefault="000C2384" w:rsidP="000C2384">
      <w:pPr>
        <w:pStyle w:val="NIEARTTEKSTtekstnieartykuowanynppodstprawnarozplubpreambua"/>
        <w:ind w:firstLine="0"/>
      </w:pPr>
      <w:r w:rsidRPr="004C6B10">
        <w:t xml:space="preserve">Proponuje się, aby zmiany dotyczące zleceń na wyroby medyczne weszły w życie z dniem 1 września 2019 r., przy jednoczesnym wydłużeniu dotychczasowego okresu trwania pilotażu, w którym świadczeniodawcy mogą wystawiać i realizować zlecenia w nowy sposób w porozumieniu z NFZ, do dnia 31 grudnia 2019 r. W tym celu dokonuje się zmiany art. 10 w ustawie z dnia 20 lipca 2018 r. o zmianie ustawy o systemie informacji w ochronie zdrowia oraz niektórych innych ustaw, który wejdzie w życie </w:t>
      </w:r>
      <w:r>
        <w:t xml:space="preserve">z dniem </w:t>
      </w:r>
      <w:r w:rsidRPr="004C6B10">
        <w:t>30 czerwca 2019 r.</w:t>
      </w:r>
      <w:r>
        <w:t>,</w:t>
      </w:r>
      <w:r w:rsidRPr="004C6B10">
        <w:t xml:space="preserve"> oraz dodaje w projekcie ustawy art. 4. Pozwoli to na praktyczną weryfikację działania proponowanego rozwiązania i dostosowanie funkcjonowania podmiotów leczniczych oraz prowadzących sprzedaż wyrobów medycznych do nowych zasad.</w:t>
      </w:r>
    </w:p>
    <w:p w:rsidR="000C2384" w:rsidRPr="004C6B10" w:rsidRDefault="000C2384" w:rsidP="000C2384">
      <w:pPr>
        <w:pStyle w:val="NIEARTTEKSTtekstnieartykuowanynppodstprawnarozplubpreambua"/>
        <w:ind w:firstLine="0"/>
      </w:pPr>
      <w:r w:rsidRPr="004C6B10">
        <w:t xml:space="preserve">Projektowana ustawa nie spowoduje dodatkowych wydatków po stronie budżetu państwa. </w:t>
      </w:r>
    </w:p>
    <w:p w:rsidR="000C2384" w:rsidRPr="004C6B10" w:rsidRDefault="000C2384" w:rsidP="000C2384">
      <w:pPr>
        <w:pStyle w:val="NIEARTTEKSTtekstnieartykuowanynppodstprawnarozplubpreambua"/>
        <w:ind w:firstLine="0"/>
      </w:pPr>
      <w:r w:rsidRPr="004C6B10">
        <w:t>Projekt ustawy nie jest sprzeczny z prawem Unii Europejskiej.</w:t>
      </w:r>
    </w:p>
    <w:p w:rsidR="000C2384" w:rsidRPr="004C6B10" w:rsidRDefault="000C2384" w:rsidP="000C2384">
      <w:pPr>
        <w:pStyle w:val="NIEARTTEKSTtekstnieartykuowanynppodstprawnarozplubpreambua"/>
        <w:ind w:firstLine="0"/>
      </w:pPr>
      <w:r w:rsidRPr="004C6B10">
        <w:t>Projekt nie wymaga przedstawienia organom i instytucjom Unii Europejskiej, w tym Europejskiemu Bankowi Centralnemu, w celu uzyskania opinii, dokonania powiadomienia, konsultacji albo uzgodnienia.</w:t>
      </w:r>
    </w:p>
    <w:p w:rsidR="000C2384" w:rsidRPr="004C6B10" w:rsidRDefault="000C2384" w:rsidP="000C2384">
      <w:pPr>
        <w:pStyle w:val="NIEARTTEKSTtekstnieartykuowanynppodstprawnarozplubpreambua"/>
        <w:ind w:firstLine="0"/>
      </w:pPr>
      <w:r w:rsidRPr="004C6B10">
        <w:t>Projektowana regulacja nie podlega procedurze notyfikacji w rozumieniu przepisów rozporządzenia Rady Ministrów z dnia 23 grudnia 2002 r. w sprawie sposobu funkcjonowania krajowego systemu notyfikacji norm i aktów prawnych (Dz. U. poz. 2039 oraz z 2004 r. poz.</w:t>
      </w:r>
      <w:r w:rsidR="001206F4">
        <w:t> </w:t>
      </w:r>
      <w:r w:rsidRPr="004C6B10">
        <w:t>587).</w:t>
      </w:r>
    </w:p>
    <w:p w:rsidR="000C2384" w:rsidRPr="004C6B10" w:rsidRDefault="000C2384" w:rsidP="000C2384">
      <w:pPr>
        <w:pStyle w:val="NIEARTTEKSTtekstnieartykuowanynppodstprawnarozplubpreambua"/>
        <w:ind w:firstLine="0"/>
      </w:pPr>
      <w:r w:rsidRPr="004C6B10">
        <w:t>Projektowane przepisy nie będą oddziaływać na mikro</w:t>
      </w:r>
      <w:r w:rsidR="001206F4">
        <w:t>przedsiębiorców</w:t>
      </w:r>
      <w:r w:rsidRPr="00EC2F0B">
        <w:t xml:space="preserve"> </w:t>
      </w:r>
      <w:r>
        <w:t xml:space="preserve">oraz </w:t>
      </w:r>
      <w:r w:rsidRPr="004C6B10">
        <w:t>małych i średnich</w:t>
      </w:r>
      <w:r w:rsidRPr="00E56026">
        <w:t xml:space="preserve"> przedsiębiorców</w:t>
      </w:r>
      <w:r w:rsidRPr="004C6B10">
        <w:t xml:space="preserve">. </w:t>
      </w:r>
    </w:p>
    <w:p w:rsidR="000C2384" w:rsidRPr="004C6B10" w:rsidRDefault="000C2384" w:rsidP="000C2384">
      <w:pPr>
        <w:pStyle w:val="NIEARTTEKSTtekstnieartykuowanynppodstprawnarozplubpreambua"/>
        <w:ind w:firstLine="0"/>
      </w:pPr>
      <w:r w:rsidRPr="004C6B10">
        <w:t xml:space="preserve">Nie ma możliwości podjęcia alternatywnych w stosunku do uchwalenia projektowanej ustawy środków umożliwiających osiągnięcie zamierzonego celu. </w:t>
      </w:r>
    </w:p>
    <w:sectPr w:rsidR="000C2384" w:rsidRPr="004C6B10" w:rsidSect="00E846F2">
      <w:headerReference w:type="default" r:id="rId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637" w:rsidRDefault="006F1637" w:rsidP="000C2384">
      <w:pPr>
        <w:spacing w:line="240" w:lineRule="auto"/>
      </w:pPr>
      <w:r>
        <w:separator/>
      </w:r>
    </w:p>
  </w:endnote>
  <w:endnote w:type="continuationSeparator" w:id="0">
    <w:p w:rsidR="006F1637" w:rsidRDefault="006F1637" w:rsidP="000C2384">
      <w:pPr>
        <w:spacing w:line="240" w:lineRule="auto"/>
      </w:pPr>
      <w:r>
        <w:continuationSeparator/>
      </w:r>
    </w:p>
  </w:endnote>
  <w:endnote w:type="continuationNotice" w:id="1">
    <w:p w:rsidR="006F1637" w:rsidRDefault="006F163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437803"/>
      <w:docPartObj>
        <w:docPartGallery w:val="Page Numbers (Bottom of Page)"/>
        <w:docPartUnique/>
      </w:docPartObj>
    </w:sdtPr>
    <w:sdtEndPr/>
    <w:sdtContent>
      <w:p w:rsidR="000C2384" w:rsidRDefault="000C2384" w:rsidP="000C2384">
        <w:pPr>
          <w:pStyle w:val="Stopka"/>
          <w:jc w:val="center"/>
        </w:pPr>
        <w:r>
          <w:fldChar w:fldCharType="begin"/>
        </w:r>
        <w:r>
          <w:instrText>PAGE   \* MERGEFORMAT</w:instrText>
        </w:r>
        <w:r>
          <w:fldChar w:fldCharType="separate"/>
        </w:r>
        <w:r w:rsidR="000D3D03">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637" w:rsidRDefault="006F1637" w:rsidP="000C2384">
      <w:pPr>
        <w:spacing w:line="240" w:lineRule="auto"/>
      </w:pPr>
      <w:r>
        <w:separator/>
      </w:r>
    </w:p>
  </w:footnote>
  <w:footnote w:type="continuationSeparator" w:id="0">
    <w:p w:rsidR="006F1637" w:rsidRDefault="006F1637" w:rsidP="000C2384">
      <w:pPr>
        <w:spacing w:line="240" w:lineRule="auto"/>
      </w:pPr>
      <w:r>
        <w:continuationSeparator/>
      </w:r>
    </w:p>
  </w:footnote>
  <w:footnote w:type="continuationNotice" w:id="1">
    <w:p w:rsidR="006F1637" w:rsidRDefault="006F163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6F2" w:rsidRDefault="00E846F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75EA2"/>
    <w:multiLevelType w:val="hybridMultilevel"/>
    <w:tmpl w:val="6236452C"/>
    <w:lvl w:ilvl="0" w:tplc="75829F8C">
      <w:start w:val="1"/>
      <w:numFmt w:val="decimal"/>
      <w:lvlText w:val="%1)"/>
      <w:lvlJc w:val="left"/>
      <w:pPr>
        <w:ind w:left="915" w:hanging="405"/>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5EC904BA"/>
    <w:multiLevelType w:val="hybridMultilevel"/>
    <w:tmpl w:val="0E66A9A2"/>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4A5"/>
    <w:rsid w:val="000429A0"/>
    <w:rsid w:val="000C2384"/>
    <w:rsid w:val="000D3D03"/>
    <w:rsid w:val="000D4633"/>
    <w:rsid w:val="001206F4"/>
    <w:rsid w:val="004C27C5"/>
    <w:rsid w:val="006042CF"/>
    <w:rsid w:val="006E24A5"/>
    <w:rsid w:val="006F1637"/>
    <w:rsid w:val="006F1BE5"/>
    <w:rsid w:val="00866B71"/>
    <w:rsid w:val="00A91671"/>
    <w:rsid w:val="00C07EF2"/>
    <w:rsid w:val="00D564E3"/>
    <w:rsid w:val="00D72D12"/>
    <w:rsid w:val="00E233E5"/>
    <w:rsid w:val="00E846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1EEDD9-0472-46B0-9B95-E9CE4FB0B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C2384"/>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233E5"/>
    <w:pPr>
      <w:tabs>
        <w:tab w:val="center" w:pos="4536"/>
        <w:tab w:val="right" w:pos="9072"/>
      </w:tabs>
      <w:spacing w:line="240" w:lineRule="auto"/>
    </w:pPr>
  </w:style>
  <w:style w:type="character" w:customStyle="1" w:styleId="NagwekZnak">
    <w:name w:val="Nagłówek Znak"/>
    <w:basedOn w:val="Domylnaczcionkaakapitu"/>
    <w:link w:val="Nagwek"/>
    <w:uiPriority w:val="99"/>
    <w:rsid w:val="000C2384"/>
    <w:rPr>
      <w:rFonts w:ascii="Times New Roman" w:eastAsiaTheme="minorEastAsia" w:hAnsi="Times New Roman" w:cs="Arial"/>
      <w:sz w:val="24"/>
      <w:szCs w:val="20"/>
      <w:lang w:eastAsia="pl-PL"/>
    </w:rPr>
  </w:style>
  <w:style w:type="paragraph" w:customStyle="1" w:styleId="ARTartustawynprozporzdzenia">
    <w:name w:val="ART(§) – art. ustawy (§ np. rozporządzenia)"/>
    <w:uiPriority w:val="11"/>
    <w:qFormat/>
    <w:rsid w:val="000C238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0C2384"/>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C2384"/>
    <w:rPr>
      <w:bCs/>
    </w:rPr>
  </w:style>
  <w:style w:type="paragraph" w:styleId="Stopka">
    <w:name w:val="footer"/>
    <w:basedOn w:val="Normalny"/>
    <w:link w:val="StopkaZnak"/>
    <w:uiPriority w:val="99"/>
    <w:unhideWhenUsed/>
    <w:rsid w:val="000C2384"/>
    <w:pPr>
      <w:tabs>
        <w:tab w:val="center" w:pos="4536"/>
        <w:tab w:val="right" w:pos="9072"/>
      </w:tabs>
      <w:spacing w:line="240" w:lineRule="auto"/>
    </w:pPr>
  </w:style>
  <w:style w:type="character" w:customStyle="1" w:styleId="StopkaZnak">
    <w:name w:val="Stopka Znak"/>
    <w:basedOn w:val="Domylnaczcionkaakapitu"/>
    <w:link w:val="Stopka"/>
    <w:uiPriority w:val="99"/>
    <w:rsid w:val="000C2384"/>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E846F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846F2"/>
    <w:rPr>
      <w:rFonts w:ascii="Tahoma" w:eastAsiaTheme="minorEastAsia" w:hAnsi="Tahoma" w:cs="Tahoma"/>
      <w:sz w:val="16"/>
      <w:szCs w:val="16"/>
      <w:lang w:eastAsia="pl-PL"/>
    </w:rPr>
  </w:style>
  <w:style w:type="paragraph" w:styleId="Poprawka">
    <w:name w:val="Revision"/>
    <w:hidden/>
    <w:uiPriority w:val="99"/>
    <w:semiHidden/>
    <w:rsid w:val="00E846F2"/>
    <w:pPr>
      <w:spacing w:after="0" w:line="240" w:lineRule="auto"/>
    </w:pPr>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80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1551</Words>
  <Characters>9312</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Grażyna D. Grabowska</cp:lastModifiedBy>
  <cp:revision>2</cp:revision>
  <dcterms:created xsi:type="dcterms:W3CDTF">2019-05-07T16:59:00Z</dcterms:created>
  <dcterms:modified xsi:type="dcterms:W3CDTF">2019-05-07T16:59:00Z</dcterms:modified>
</cp:coreProperties>
</file>