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C4" w:rsidRPr="001873B8" w:rsidRDefault="0068263B" w:rsidP="001873B8">
      <w:pPr>
        <w:keepNext/>
        <w:suppressAutoHyphens/>
        <w:spacing w:after="240" w:line="360" w:lineRule="auto"/>
        <w:jc w:val="center"/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  <w14:stylisticSets>
            <w14:styleSet w14:id="4"/>
          </w14:stylisticSets>
        </w:rPr>
      </w:pPr>
      <w:bookmarkStart w:id="0" w:name="_GoBack"/>
      <w:bookmarkEnd w:id="0"/>
      <w:r w:rsidRPr="001873B8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  <w14:stylisticSets>
            <w14:styleSet w14:id="4"/>
          </w14:stylisticSets>
        </w:rPr>
        <w:t>Uzasadnienie</w:t>
      </w:r>
    </w:p>
    <w:p w:rsidR="0068263B" w:rsidRDefault="0068263B" w:rsidP="00A219B1">
      <w:pPr>
        <w:numPr>
          <w:ilvl w:val="0"/>
          <w:numId w:val="11"/>
        </w:numPr>
        <w:suppressAutoHyphens/>
        <w:autoSpaceDE w:val="0"/>
        <w:autoSpaceDN w:val="0"/>
        <w:adjustRightInd w:val="0"/>
        <w:spacing w:before="480" w:after="240"/>
        <w:ind w:left="714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Potrzeba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uchwalenia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ustawy</w:t>
      </w:r>
      <w:r w:rsidR="007A6C86" w:rsidRPr="00B3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852719" w:rsidRPr="00852719" w:rsidRDefault="00852719" w:rsidP="0085271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719">
        <w:rPr>
          <w:rFonts w:ascii="Times New Roman" w:hAnsi="Times New Roman" w:cs="Times New Roman"/>
          <w:sz w:val="24"/>
          <w:szCs w:val="24"/>
        </w:rPr>
        <w:t xml:space="preserve">Obowiązująca ustawa z dnia </w:t>
      </w:r>
      <w:r w:rsidR="002405B6">
        <w:rPr>
          <w:rFonts w:ascii="Times New Roman" w:hAnsi="Times New Roman" w:cs="Times New Roman"/>
          <w:sz w:val="24"/>
          <w:szCs w:val="24"/>
        </w:rPr>
        <w:t xml:space="preserve">4 października 2018 r. o </w:t>
      </w:r>
      <w:r w:rsidR="008C0AC2">
        <w:rPr>
          <w:rFonts w:ascii="Times New Roman" w:hAnsi="Times New Roman" w:cs="Times New Roman"/>
          <w:sz w:val="24"/>
          <w:szCs w:val="24"/>
        </w:rPr>
        <w:t>p</w:t>
      </w:r>
      <w:r w:rsidRPr="00852719">
        <w:rPr>
          <w:rFonts w:ascii="Times New Roman" w:hAnsi="Times New Roman" w:cs="Times New Roman"/>
          <w:sz w:val="24"/>
          <w:szCs w:val="24"/>
        </w:rPr>
        <w:t>ra</w:t>
      </w:r>
      <w:r w:rsidR="008C0AC2">
        <w:rPr>
          <w:rFonts w:ascii="Times New Roman" w:hAnsi="Times New Roman" w:cs="Times New Roman"/>
          <w:sz w:val="24"/>
          <w:szCs w:val="24"/>
        </w:rPr>
        <w:t>co</w:t>
      </w:r>
      <w:r w:rsidRPr="00852719">
        <w:rPr>
          <w:rFonts w:ascii="Times New Roman" w:hAnsi="Times New Roman" w:cs="Times New Roman"/>
          <w:sz w:val="24"/>
          <w:szCs w:val="24"/>
        </w:rPr>
        <w:t xml:space="preserve">wniczych </w:t>
      </w:r>
      <w:r w:rsidR="008C0AC2">
        <w:rPr>
          <w:rFonts w:ascii="Times New Roman" w:hAnsi="Times New Roman" w:cs="Times New Roman"/>
          <w:sz w:val="24"/>
          <w:szCs w:val="24"/>
        </w:rPr>
        <w:t>p</w:t>
      </w:r>
      <w:r w:rsidRPr="00852719">
        <w:rPr>
          <w:rFonts w:ascii="Times New Roman" w:hAnsi="Times New Roman" w:cs="Times New Roman"/>
          <w:sz w:val="24"/>
          <w:szCs w:val="24"/>
        </w:rPr>
        <w:t xml:space="preserve">lanach </w:t>
      </w:r>
      <w:r w:rsidR="008C0AC2">
        <w:rPr>
          <w:rFonts w:ascii="Times New Roman" w:hAnsi="Times New Roman" w:cs="Times New Roman"/>
          <w:sz w:val="24"/>
          <w:szCs w:val="24"/>
        </w:rPr>
        <w:t>k</w:t>
      </w:r>
      <w:r w:rsidRPr="00852719">
        <w:rPr>
          <w:rFonts w:ascii="Times New Roman" w:hAnsi="Times New Roman" w:cs="Times New Roman"/>
          <w:sz w:val="24"/>
          <w:szCs w:val="24"/>
        </w:rPr>
        <w:t xml:space="preserve">apitałowych (dalej </w:t>
      </w:r>
      <w:r w:rsidR="00351D68">
        <w:rPr>
          <w:rFonts w:ascii="Times New Roman" w:hAnsi="Times New Roman" w:cs="Times New Roman"/>
          <w:sz w:val="24"/>
          <w:szCs w:val="24"/>
        </w:rPr>
        <w:t>„</w:t>
      </w:r>
      <w:r w:rsidRPr="00852719">
        <w:rPr>
          <w:rFonts w:ascii="Times New Roman" w:hAnsi="Times New Roman" w:cs="Times New Roman"/>
          <w:sz w:val="24"/>
          <w:szCs w:val="24"/>
        </w:rPr>
        <w:t>ustawa</w:t>
      </w:r>
      <w:r w:rsidR="00351D68">
        <w:rPr>
          <w:rFonts w:ascii="Times New Roman" w:hAnsi="Times New Roman" w:cs="Times New Roman"/>
          <w:sz w:val="24"/>
          <w:szCs w:val="24"/>
        </w:rPr>
        <w:t xml:space="preserve"> </w:t>
      </w:r>
      <w:r w:rsidR="00CC0CB7">
        <w:rPr>
          <w:rFonts w:ascii="Times New Roman" w:hAnsi="Times New Roman" w:cs="Times New Roman"/>
          <w:sz w:val="24"/>
          <w:szCs w:val="24"/>
        </w:rPr>
        <w:t xml:space="preserve">o </w:t>
      </w:r>
      <w:r w:rsidR="002405B6">
        <w:rPr>
          <w:rFonts w:ascii="Times New Roman" w:hAnsi="Times New Roman" w:cs="Times New Roman"/>
          <w:sz w:val="24"/>
          <w:szCs w:val="24"/>
        </w:rPr>
        <w:t>PPK</w:t>
      </w:r>
      <w:r w:rsidR="00351D68">
        <w:rPr>
          <w:rFonts w:ascii="Times New Roman" w:hAnsi="Times New Roman" w:cs="Times New Roman"/>
          <w:sz w:val="24"/>
          <w:szCs w:val="24"/>
        </w:rPr>
        <w:t>”</w:t>
      </w:r>
      <w:r w:rsidRPr="00852719">
        <w:rPr>
          <w:rFonts w:ascii="Times New Roman" w:hAnsi="Times New Roman" w:cs="Times New Roman"/>
          <w:sz w:val="24"/>
          <w:szCs w:val="24"/>
        </w:rPr>
        <w:t>) w obecnym brzmieniu</w:t>
      </w:r>
      <w:r w:rsidR="00CC0CB7">
        <w:rPr>
          <w:rFonts w:ascii="Times New Roman" w:hAnsi="Times New Roman" w:cs="Times New Roman"/>
          <w:sz w:val="24"/>
          <w:szCs w:val="24"/>
        </w:rPr>
        <w:t xml:space="preserve"> </w:t>
      </w:r>
      <w:r w:rsidRPr="00852719">
        <w:rPr>
          <w:rFonts w:ascii="Times New Roman" w:hAnsi="Times New Roman" w:cs="Times New Roman"/>
          <w:sz w:val="24"/>
          <w:szCs w:val="24"/>
        </w:rPr>
        <w:t xml:space="preserve">powoduje szereg negatywnych konsekwencji i komplikacji we wdrożeniu systemu dla zarówno pracodawców i pracowników jak i dla </w:t>
      </w:r>
      <w:r w:rsidR="00351D68">
        <w:rPr>
          <w:rFonts w:ascii="Times New Roman" w:hAnsi="Times New Roman" w:cs="Times New Roman"/>
          <w:sz w:val="24"/>
          <w:szCs w:val="24"/>
        </w:rPr>
        <w:t>PFR</w:t>
      </w:r>
      <w:r w:rsidRPr="00852719">
        <w:rPr>
          <w:rFonts w:ascii="Times New Roman" w:hAnsi="Times New Roman" w:cs="Times New Roman"/>
          <w:sz w:val="24"/>
          <w:szCs w:val="24"/>
        </w:rPr>
        <w:t xml:space="preserve">, odpowiedzialnego za wdrożenie systemu </w:t>
      </w:r>
      <w:r w:rsidR="002405B6">
        <w:rPr>
          <w:rFonts w:ascii="Times New Roman" w:hAnsi="Times New Roman" w:cs="Times New Roman"/>
          <w:sz w:val="24"/>
          <w:szCs w:val="24"/>
        </w:rPr>
        <w:t>Pracowniczych Planów Kapitałowych (dalej „PPK”)</w:t>
      </w:r>
      <w:r w:rsidRPr="008527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2719" w:rsidRPr="00852719" w:rsidRDefault="00852719" w:rsidP="0085271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719">
        <w:rPr>
          <w:rFonts w:ascii="Times New Roman" w:hAnsi="Times New Roman" w:cs="Times New Roman"/>
          <w:sz w:val="24"/>
          <w:szCs w:val="24"/>
        </w:rPr>
        <w:t>Należy podkreślić, że system PPK jako dobrowolne narzędzie gromadzenia prywatnych oszczędności na indywidualnych kontach oszczędnościowych, jest całkowicie odrębny od powszechnego systemu ubezpieczeń, gdzie taki limit obowiązuje.</w:t>
      </w:r>
    </w:p>
    <w:p w:rsidR="00852719" w:rsidRPr="00852719" w:rsidRDefault="00852719" w:rsidP="0085271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719">
        <w:rPr>
          <w:rFonts w:ascii="Times New Roman" w:hAnsi="Times New Roman" w:cs="Times New Roman"/>
          <w:sz w:val="24"/>
          <w:szCs w:val="24"/>
        </w:rPr>
        <w:t xml:space="preserve">Limitowanie wpłat na PPK </w:t>
      </w:r>
      <w:r w:rsidR="002405B6">
        <w:rPr>
          <w:rFonts w:ascii="Times New Roman" w:hAnsi="Times New Roman" w:cs="Times New Roman"/>
          <w:sz w:val="24"/>
          <w:szCs w:val="24"/>
        </w:rPr>
        <w:t xml:space="preserve">do 30-krotności średniego wynagrodzenia </w:t>
      </w:r>
      <w:r w:rsidRPr="00852719">
        <w:rPr>
          <w:rFonts w:ascii="Times New Roman" w:hAnsi="Times New Roman" w:cs="Times New Roman"/>
          <w:sz w:val="24"/>
          <w:szCs w:val="24"/>
        </w:rPr>
        <w:t xml:space="preserve">to bardzo duże utrudnienie dla </w:t>
      </w:r>
      <w:r w:rsidR="00351D68">
        <w:rPr>
          <w:rFonts w:ascii="Times New Roman" w:hAnsi="Times New Roman" w:cs="Times New Roman"/>
          <w:sz w:val="24"/>
          <w:szCs w:val="24"/>
        </w:rPr>
        <w:t>PFR</w:t>
      </w:r>
      <w:r w:rsidRPr="00852719">
        <w:rPr>
          <w:rFonts w:ascii="Times New Roman" w:hAnsi="Times New Roman" w:cs="Times New Roman"/>
          <w:sz w:val="24"/>
          <w:szCs w:val="24"/>
        </w:rPr>
        <w:t xml:space="preserve"> w zakresie stworzenia systemu ewidencji uczestników PPK i rozliczania dopłat. Co niezwykle istotne, pozostawienie tego limitu rodzi duże kłopoty także po stronie pracowników i pracodawców. </w:t>
      </w:r>
    </w:p>
    <w:p w:rsidR="00852719" w:rsidRDefault="00852719" w:rsidP="0085271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719">
        <w:rPr>
          <w:rFonts w:ascii="Times New Roman" w:hAnsi="Times New Roman" w:cs="Times New Roman"/>
          <w:sz w:val="24"/>
          <w:szCs w:val="24"/>
        </w:rPr>
        <w:t>Trudno rozstrzygać na przykład czy pracownicy, którzy już nie odprowadzają składek do ZUS powinni, czy nie powinni zawierać umowy o prowadzenie PPK. Wątpliwości i kłopoty pojawią się w przypadku ki</w:t>
      </w:r>
      <w:r w:rsidR="00AD3ED6">
        <w:rPr>
          <w:rFonts w:ascii="Times New Roman" w:hAnsi="Times New Roman" w:cs="Times New Roman"/>
          <w:sz w:val="24"/>
          <w:szCs w:val="24"/>
        </w:rPr>
        <w:t>l</w:t>
      </w:r>
      <w:r w:rsidRPr="00852719">
        <w:rPr>
          <w:rFonts w:ascii="Times New Roman" w:hAnsi="Times New Roman" w:cs="Times New Roman"/>
          <w:sz w:val="24"/>
          <w:szCs w:val="24"/>
        </w:rPr>
        <w:t xml:space="preserve">ku tytułów ubezpieczenia i osiągania różnych przychodów z różnych źródeł (np. kwestie zwrotów, pilnowania podstawy wymiaru z różnych tytułów). </w:t>
      </w:r>
    </w:p>
    <w:p w:rsidR="00852719" w:rsidRPr="00852719" w:rsidRDefault="00852719" w:rsidP="0085271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719">
        <w:rPr>
          <w:rFonts w:ascii="Times New Roman" w:hAnsi="Times New Roman" w:cs="Times New Roman"/>
          <w:sz w:val="24"/>
          <w:szCs w:val="24"/>
        </w:rPr>
        <w:t>Z technicznego punk</w:t>
      </w:r>
      <w:r w:rsidR="002A56BB">
        <w:rPr>
          <w:rFonts w:ascii="Times New Roman" w:hAnsi="Times New Roman" w:cs="Times New Roman"/>
          <w:sz w:val="24"/>
          <w:szCs w:val="24"/>
        </w:rPr>
        <w:t>t</w:t>
      </w:r>
      <w:r w:rsidRPr="00852719">
        <w:rPr>
          <w:rFonts w:ascii="Times New Roman" w:hAnsi="Times New Roman" w:cs="Times New Roman"/>
          <w:sz w:val="24"/>
          <w:szCs w:val="24"/>
        </w:rPr>
        <w:t xml:space="preserve">u widzenia stosowanie limitu 30-krotności może przyczynić się w przyszłości do częstych wpłat w niewłaściwej wysokości oraz wpłat nienależnych. Dotyczy to głównie sytuacji przekroczenia rocznej podstawy wymiaru składek na ubezpieczenia emerytalne i rentowe przez osobę zatrudnioną jednocześnie w kilku podmiotach. Obniżenie tego ryzyka wiązałoby się z istotnym kosztem wdrożenia rozwiązań informatycznych po stronie pracodawców i </w:t>
      </w:r>
      <w:r w:rsidR="00351D68">
        <w:rPr>
          <w:rFonts w:ascii="Times New Roman" w:hAnsi="Times New Roman" w:cs="Times New Roman"/>
          <w:sz w:val="24"/>
          <w:szCs w:val="24"/>
        </w:rPr>
        <w:t>PFR</w:t>
      </w:r>
      <w:r w:rsidRPr="00852719">
        <w:rPr>
          <w:rFonts w:ascii="Times New Roman" w:hAnsi="Times New Roman" w:cs="Times New Roman"/>
          <w:sz w:val="24"/>
          <w:szCs w:val="24"/>
        </w:rPr>
        <w:t>.</w:t>
      </w:r>
    </w:p>
    <w:p w:rsidR="0068263B" w:rsidRDefault="0068263B" w:rsidP="00A219B1">
      <w:pPr>
        <w:numPr>
          <w:ilvl w:val="0"/>
          <w:numId w:val="11"/>
        </w:numPr>
        <w:suppressAutoHyphens/>
        <w:autoSpaceDE w:val="0"/>
        <w:autoSpaceDN w:val="0"/>
        <w:adjustRightInd w:val="0"/>
        <w:spacing w:before="480" w:after="240"/>
        <w:ind w:left="714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Projektowane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rozwiązania</w:t>
      </w:r>
      <w:r w:rsidR="007A6C86" w:rsidRPr="00B3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E005F1" w:rsidRPr="00E005F1" w:rsidRDefault="00E005F1" w:rsidP="00E005F1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odpowied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zi na kwestie poruszone w pkt 1 </w:t>
      </w: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znosi się limit 30-krotności podstawy wpłat w PPK oraz wprowadza uproszczenia systemu PPK, m.in.:</w:t>
      </w:r>
    </w:p>
    <w:p w:rsidR="00E005F1" w:rsidRPr="00E005F1" w:rsidRDefault="00E005F1" w:rsidP="00E005F1">
      <w:pPr>
        <w:pStyle w:val="Akapitzlist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rozszerza się katalog osób zatrudnionych w rozumieniu ustawy o PPK o osoby przebywające na urlopach wychowawczych lub pobierające zasiłek macierzyński </w:t>
      </w: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albo zasiłek w wysokości zasiłku macierzyńskiego (podmioty zatrudniające dzięki tej zmianie nie będą zobowiązane do zawierania umów o prowadzenie PPK w różnych terminach w związku z powrotem poszczególnych osób z urlopów związanych z macierzyństwem do pracy),</w:t>
      </w:r>
    </w:p>
    <w:p w:rsidR="00E005F1" w:rsidRPr="00E005F1" w:rsidRDefault="00E005F1" w:rsidP="00E005F1">
      <w:pPr>
        <w:pStyle w:val="Akapitzlist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umożliwia się zastosowanie podpisu mechanicznego do wezwania podmiotu zatrudniającego do zawarcia umowy o zarządzanie PPK albo do przekazania do PFR informacji o zawarciu umowy o zarządzanie PPK,</w:t>
      </w:r>
    </w:p>
    <w:p w:rsidR="00E005F1" w:rsidRPr="00E005F1" w:rsidRDefault="00E005F1" w:rsidP="00E005F1">
      <w:pPr>
        <w:pStyle w:val="Akapitzlist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wprowadza się dodatkowe możliwości informowania uczestników PPK poprzez zapewnienie im dostępu do systemu teleinformatycznego instytucji finansowej, a w przypadku gdy będzie to niemożliwe, umożliwia się przekazywanie takiej informacji na wniosek uczestnika PPK w postaci papierowej,</w:t>
      </w:r>
    </w:p>
    <w:p w:rsidR="00E005F1" w:rsidRPr="00E005F1" w:rsidRDefault="00E005F1" w:rsidP="00E005F1">
      <w:pPr>
        <w:pStyle w:val="Akapitzlist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zobowiązuje się podmioty zatrudniające, które z przyczyn określonych w art. 133 ust.</w:t>
      </w:r>
      <w:r w:rsidR="007309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 ustawy o PPK nie zawarły umowy o zarządzanie, do przekazania informacji o spełnieniu warunków wymienionych w powołanym przepisie (taka informacja zwrotna zakończy procedurę w PFR, a zatem spowoduje, że Ewidencja PPK nie będzie wysyłać kolejnych wezwań do zawarcia umowy, aż do kolejnej weryfikacji w następnym terminie stosowania przepisów),</w:t>
      </w:r>
    </w:p>
    <w:p w:rsidR="00E005F1" w:rsidRPr="00E005F1" w:rsidRDefault="00E005F1" w:rsidP="00CC0CB7">
      <w:pPr>
        <w:pStyle w:val="Akapitzlist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wyłącza się rachunki PPK z obowiązku identyfikowania i raportowania w rozumieniu ustawy z dnia 9 marca 2017 r. o wymianie informacji podatkowych z innymi państwami</w:t>
      </w:r>
      <w:r w:rsid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C0CB7" w:rsidRP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(Dz.</w:t>
      </w:r>
      <w:r w:rsidR="008C0AC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C0CB7" w:rsidRP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U. z 2019 r. poz. 648</w:t>
      </w:r>
      <w:r w:rsidR="008C0AC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 późn. zm.</w:t>
      </w:r>
      <w:r w:rsidR="00CC0CB7" w:rsidRP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E838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oraz umowy z dnia 7</w:t>
      </w:r>
      <w:r w:rsidR="008C0AC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października 2014 r. między </w:t>
      </w:r>
      <w:r w:rsidR="008C0AC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</w:t>
      </w: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ządem Rzeczypospolitej Polskiej a </w:t>
      </w:r>
      <w:r w:rsidR="008C0AC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</w:t>
      </w: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ządem Stanów Zjednoczonych Ameryki w sprawie poprawy wypełniania międzynarodowych obowiązków podatkowych oraz wdrożenia ustawodawstwa FATCA</w:t>
      </w:r>
      <w:r w:rsidR="00CC0CB7" w:rsidRP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oraz towarzysząc</w:t>
      </w:r>
      <w:r w:rsidR="008C0AC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 Uzgodnień</w:t>
      </w:r>
      <w:r w:rsidR="00CC0CB7" w:rsidRP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Końcow</w:t>
      </w:r>
      <w:r w:rsidR="008C0AC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="00CC0CB7" w:rsidRP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CC0CB7" w:rsidRP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</w:t>
      </w:r>
      <w:r w:rsidR="00880C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C0CB7" w:rsidRP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U. z 2015 r. poz. 1647</w:t>
      </w:r>
      <w:r w:rsidR="00880CA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 późn. zm.</w:t>
      </w:r>
      <w:r w:rsidR="00CC0CB7" w:rsidRPr="00CC0CB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E005F1" w:rsidRPr="00E005F1" w:rsidRDefault="00E005F1" w:rsidP="00E005F1">
      <w:pPr>
        <w:pStyle w:val="Akapitzlist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celu zapewnienia efektywności dokonywanych inwestycji wprowadza się dodatkowy warunek pobierania przez podmioty zarządzające PPK wynagrodzenia za osiągnięty wynik w postaci konieczności osiągnięcia stopy zwrotu przez fundusz inwestycyjny, fundusz emerytalny lub subfundusz na poziomie nie niższym niż 75% najwyższych stóp zwrotu w ramach funduszy tej samej zdefiniowanej daty,</w:t>
      </w:r>
    </w:p>
    <w:p w:rsidR="00E005F1" w:rsidRPr="00E005F1" w:rsidRDefault="00E005F1" w:rsidP="00E005F1">
      <w:pPr>
        <w:pStyle w:val="Akapitzlist"/>
        <w:numPr>
          <w:ilvl w:val="0"/>
          <w:numId w:val="3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poprzez zmianę definicji reprezentatywnej organizacji związkowej usuwa się lukę prawną i umożliwia operatorowi portalu PPK (PFR) wydatkowanie środków z opłaty wstępnej oraz środków z opłaty rocznej, o których mowa w art. 79 ust. 1 ustawy o </w:t>
      </w:r>
      <w:r w:rsidRPr="00E005F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PPK, reprezentatywnym organizacjom związkowym, na ich wniosek z przeznaczeniem na edukację i promocję PPK.</w:t>
      </w:r>
    </w:p>
    <w:p w:rsidR="00B01F0A" w:rsidRPr="00B01F0A" w:rsidRDefault="00E83835" w:rsidP="00E83835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Poniżej przedstawiono szczegółowy zakres proponowanych rozwiązań.</w:t>
      </w:r>
    </w:p>
    <w:p w:rsidR="00E005F1" w:rsidRDefault="00B01F0A" w:rsidP="00E005F1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t>Art. 1 pkt 1 lit. a</w:t>
      </w:r>
    </w:p>
    <w:p w:rsidR="00187D4D" w:rsidRPr="00187D4D" w:rsidRDefault="00187D4D" w:rsidP="00187D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4D">
        <w:rPr>
          <w:rFonts w:ascii="Times New Roman" w:hAnsi="Times New Roman" w:cs="Times New Roman"/>
          <w:sz w:val="24"/>
          <w:szCs w:val="24"/>
        </w:rPr>
        <w:t>O terminie objęcia danego podmiotu zatrudniającego przepisami ustawy decyduje liczba osób zatrudnionych w tym podmiocie. Zgodnie z definicją art. 2 ust. 1 pkt 18 ustawy przez osoby zatrudnione należy rozumieć: pracowników, osoby wykonujące pracę nakładczą, osoby wykonujące umowę agencyjną, umowę zlecenie lub inną umowę o świadczenie usług, członków rolniczych spółdzielni produkcyjnych lub spółdzielni kółek rolniczych oraz członków rady nadzorczej wynagradzanych z tytułu pełnienia tych funkcji, podlegających obowiązkowo ubezpieczeniom emerytalnemu i rentowym z tych tytułów w Rzeczypospolitej Polskiej, w rozumieniu ustawy o systemie ubezpieczeń społecznych. Użyte w definicji sformułowanie „(</w:t>
      </w:r>
      <w:r w:rsidR="00351D68">
        <w:rPr>
          <w:rFonts w:ascii="Times New Roman" w:hAnsi="Times New Roman" w:cs="Times New Roman"/>
          <w:sz w:val="24"/>
          <w:szCs w:val="24"/>
        </w:rPr>
        <w:t>…</w:t>
      </w:r>
      <w:r w:rsidRPr="00187D4D">
        <w:rPr>
          <w:rFonts w:ascii="Times New Roman" w:hAnsi="Times New Roman" w:cs="Times New Roman"/>
          <w:sz w:val="24"/>
          <w:szCs w:val="24"/>
        </w:rPr>
        <w:t>) z tych tytułów” wyłącza z katalogu osób zatrudnionych, osoby przebywające na urlopach wychowawczych lub pobierające zasiłek macierzyński albo zasiłek w wysokości zasiłku macierzyńskiego. Wobec powyższego osoby te nie mogą być uwzględniane przy obliczaniu stanu zatrudnienia decydującego o terminie objęcia danego podmiotu reżimem ustawy o PPK, a w konsekwencji nie będzie można zawrzeć z nimi umów o prowadzenie</w:t>
      </w:r>
      <w:r w:rsidR="008C0AC2">
        <w:rPr>
          <w:rFonts w:ascii="Times New Roman" w:hAnsi="Times New Roman" w:cs="Times New Roman"/>
          <w:sz w:val="24"/>
          <w:szCs w:val="24"/>
        </w:rPr>
        <w:t xml:space="preserve"> PPK</w:t>
      </w:r>
      <w:r w:rsidRPr="00187D4D">
        <w:rPr>
          <w:rFonts w:ascii="Times New Roman" w:hAnsi="Times New Roman" w:cs="Times New Roman"/>
          <w:sz w:val="24"/>
          <w:szCs w:val="24"/>
        </w:rPr>
        <w:t xml:space="preserve">, pomimo że faktycznie pozostają z podmiotem zatrudniającym w określonym stosunku prawnym. </w:t>
      </w:r>
    </w:p>
    <w:p w:rsidR="00187D4D" w:rsidRDefault="00187D4D" w:rsidP="00187D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D4D">
        <w:rPr>
          <w:rFonts w:ascii="Times New Roman" w:hAnsi="Times New Roman" w:cs="Times New Roman"/>
          <w:sz w:val="24"/>
          <w:szCs w:val="24"/>
        </w:rPr>
        <w:t>Uwzględnienie tej grupy osób w katalogu osób zatrudnionych jest uzasadnione dbałością o sprawne i prawidłowe funkcjonowanie programu PPK oraz minimalizację obciążeń po stronie pracodawców poprzez uproszczenie istotnych z punktu widzenia podmiotów zatrudniających obowiązków administracyjnych. Podmiot zatrudniający dzięki tej zmianie nie będzie zobowiązany do zawierania umów o prowadzenie PPK w różnych terminach w związku z powrotem poszczególnych osób z urlopów związanych z macierzyństwem do pracy. Będzie on zobowiązany zawrzeć w wybranym przez siebie terminie (na zasadach określonych w ustawie) jedną umowę o prowadzenie w imieniu i na rzecz wszystkich osób zatrudnionych w tym podmiocie, które nie złożyły deklaracji o rezygnacji z dokonywania wpłat do PPK, w tym z uwzględnieniem osób przebywających na urlopach wychowawczych lub pobierających zasiłek macierzyński albo zasiłek w wysokości zasiłku macierzyńskiego.</w:t>
      </w:r>
    </w:p>
    <w:p w:rsidR="00B01F0A" w:rsidRPr="00B01F0A" w:rsidRDefault="00B01F0A" w:rsidP="001873B8">
      <w:pPr>
        <w:keepNext/>
        <w:keepLines/>
        <w:numPr>
          <w:ilvl w:val="0"/>
          <w:numId w:val="3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lastRenderedPageBreak/>
        <w:t>Art. 1 pkt 1 li</w:t>
      </w:r>
      <w:r>
        <w:rPr>
          <w:rFonts w:ascii="Times New Roman" w:hAnsi="Times New Roman" w:cs="Times New Roman"/>
          <w:b/>
          <w:i/>
          <w:sz w:val="24"/>
          <w:szCs w:val="24"/>
        </w:rPr>
        <w:t>t. b</w:t>
      </w:r>
    </w:p>
    <w:p w:rsidR="00CE39E4" w:rsidRPr="00CE39E4" w:rsidRDefault="00CE39E4" w:rsidP="00CE39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9E4">
        <w:rPr>
          <w:rFonts w:ascii="Times New Roman" w:hAnsi="Times New Roman" w:cs="Times New Roman"/>
          <w:sz w:val="24"/>
          <w:szCs w:val="24"/>
        </w:rPr>
        <w:t>Należy zaznaczyć, że brak ograniczenia limitem 30-krotności jest zgodny z pierwotną intencją ustawodawcy oraz konsultowanymi z part</w:t>
      </w:r>
      <w:r w:rsidR="00EC26A9">
        <w:rPr>
          <w:rFonts w:ascii="Times New Roman" w:hAnsi="Times New Roman" w:cs="Times New Roman"/>
          <w:sz w:val="24"/>
          <w:szCs w:val="24"/>
        </w:rPr>
        <w:t>n</w:t>
      </w:r>
      <w:r w:rsidRPr="00CE39E4">
        <w:rPr>
          <w:rFonts w:ascii="Times New Roman" w:hAnsi="Times New Roman" w:cs="Times New Roman"/>
          <w:sz w:val="24"/>
          <w:szCs w:val="24"/>
        </w:rPr>
        <w:t xml:space="preserve">erami społecznymi założeniami programu, ponieważ zgłoszony przez Ministerstwo Finansów projekt </w:t>
      </w:r>
      <w:r w:rsidR="00E83835">
        <w:rPr>
          <w:rFonts w:ascii="Times New Roman" w:hAnsi="Times New Roman" w:cs="Times New Roman"/>
          <w:sz w:val="24"/>
          <w:szCs w:val="24"/>
        </w:rPr>
        <w:t>u</w:t>
      </w:r>
      <w:r w:rsidRPr="00CE39E4">
        <w:rPr>
          <w:rFonts w:ascii="Times New Roman" w:hAnsi="Times New Roman" w:cs="Times New Roman"/>
          <w:sz w:val="24"/>
          <w:szCs w:val="24"/>
        </w:rPr>
        <w:t xml:space="preserve">stawy o PPK nie zawierał tego limitu. Dopiero na ostatnim etapie prac </w:t>
      </w:r>
      <w:r w:rsidR="00E83835">
        <w:rPr>
          <w:rFonts w:ascii="Times New Roman" w:hAnsi="Times New Roman" w:cs="Times New Roman"/>
          <w:sz w:val="24"/>
          <w:szCs w:val="24"/>
        </w:rPr>
        <w:t>rządowych</w:t>
      </w:r>
      <w:r w:rsidRPr="00CE39E4">
        <w:rPr>
          <w:rFonts w:ascii="Times New Roman" w:hAnsi="Times New Roman" w:cs="Times New Roman"/>
          <w:sz w:val="24"/>
          <w:szCs w:val="24"/>
        </w:rPr>
        <w:t xml:space="preserve"> </w:t>
      </w:r>
      <w:r w:rsidR="00E83835">
        <w:rPr>
          <w:rFonts w:ascii="Times New Roman" w:hAnsi="Times New Roman" w:cs="Times New Roman"/>
          <w:sz w:val="24"/>
          <w:szCs w:val="24"/>
        </w:rPr>
        <w:t>u</w:t>
      </w:r>
      <w:r w:rsidRPr="00CE39E4">
        <w:rPr>
          <w:rFonts w:ascii="Times New Roman" w:hAnsi="Times New Roman" w:cs="Times New Roman"/>
          <w:sz w:val="24"/>
          <w:szCs w:val="24"/>
        </w:rPr>
        <w:t xml:space="preserve">stawy o został wprowadzony zapis, który powoduje, iż wpłaty do PPK są w brzmieniu obecnych przepisów limitowane po stronie pracodawców i pracowników pułapem 30-krotności średniego wynagrodzenia, podobnie jak w powszechnym systemie emerytalnym. </w:t>
      </w:r>
    </w:p>
    <w:p w:rsidR="00CE39E4" w:rsidRPr="00CE39E4" w:rsidRDefault="00CE39E4" w:rsidP="00CE39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9E4">
        <w:rPr>
          <w:rFonts w:ascii="Times New Roman" w:hAnsi="Times New Roman" w:cs="Times New Roman"/>
          <w:sz w:val="24"/>
          <w:szCs w:val="24"/>
        </w:rPr>
        <w:t xml:space="preserve">Taka konstrukcja tego przepisu powoduje szereg negatywnych konsekwencji i komplikacji we wdrożeniu systemu dla pracodawców i pracowników oraz dla </w:t>
      </w:r>
      <w:r w:rsidR="00E83835">
        <w:rPr>
          <w:rFonts w:ascii="Times New Roman" w:hAnsi="Times New Roman" w:cs="Times New Roman"/>
          <w:sz w:val="24"/>
          <w:szCs w:val="24"/>
        </w:rPr>
        <w:t>PFR</w:t>
      </w:r>
      <w:r w:rsidRPr="00CE39E4">
        <w:rPr>
          <w:rFonts w:ascii="Times New Roman" w:hAnsi="Times New Roman" w:cs="Times New Roman"/>
          <w:sz w:val="24"/>
          <w:szCs w:val="24"/>
        </w:rPr>
        <w:t>, odpowiedzialnego za wdrożenie systemu. Taka zasada jest także nieuzasadniona, mając na uwadze, że PPK są systemem dobrowolnym i prywatnym, a nie są częścią powszechnego systemu ubezpieczeń, gdzie taki limit obowiązuje.</w:t>
      </w:r>
    </w:p>
    <w:p w:rsidR="00CE39E4" w:rsidRPr="00CE39E4" w:rsidRDefault="00CE39E4" w:rsidP="00CE39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9E4">
        <w:rPr>
          <w:rFonts w:ascii="Times New Roman" w:hAnsi="Times New Roman" w:cs="Times New Roman"/>
          <w:sz w:val="24"/>
          <w:szCs w:val="24"/>
        </w:rPr>
        <w:t>Limitowanie wpłat na PPK to bardzo duże utrudnienie dla PFR w zakresie stworzenia systemu ewidencji uczestników PPK i rozliczania dopłat. Co niezwykle istotne pozostawienie tego limitu zrodzi duże kłopoty także po stronie pracowników i pracodawców</w:t>
      </w:r>
      <w:r w:rsidR="002B14AE">
        <w:rPr>
          <w:rFonts w:ascii="Times New Roman" w:hAnsi="Times New Roman" w:cs="Times New Roman"/>
          <w:sz w:val="24"/>
          <w:szCs w:val="24"/>
        </w:rPr>
        <w:t>, a</w:t>
      </w:r>
      <w:r w:rsidRPr="00CE39E4">
        <w:rPr>
          <w:rFonts w:ascii="Times New Roman" w:hAnsi="Times New Roman" w:cs="Times New Roman"/>
          <w:sz w:val="24"/>
          <w:szCs w:val="24"/>
        </w:rPr>
        <w:t xml:space="preserve"> intencją ustawodawcy było od samego początku maksymalne odciążenie podmiotów zatrudniających od obowiązków administracyjnych i biurowych. Trudno rozstrzygać na przykład czy pracownicy, którzy już nie odprowadzają składek do ZUS</w:t>
      </w:r>
      <w:r w:rsidR="00AA2775">
        <w:rPr>
          <w:rFonts w:ascii="Times New Roman" w:hAnsi="Times New Roman" w:cs="Times New Roman"/>
          <w:sz w:val="24"/>
          <w:szCs w:val="24"/>
        </w:rPr>
        <w:t>,</w:t>
      </w:r>
      <w:r w:rsidRPr="00CE39E4">
        <w:rPr>
          <w:rFonts w:ascii="Times New Roman" w:hAnsi="Times New Roman" w:cs="Times New Roman"/>
          <w:sz w:val="24"/>
          <w:szCs w:val="24"/>
        </w:rPr>
        <w:t xml:space="preserve"> powinni, czy nie powinni podpisywać umowy o prowadzenie PPK. Wątpliwości i kł</w:t>
      </w:r>
      <w:r w:rsidR="00B173C0">
        <w:rPr>
          <w:rFonts w:ascii="Times New Roman" w:hAnsi="Times New Roman" w:cs="Times New Roman"/>
          <w:sz w:val="24"/>
          <w:szCs w:val="24"/>
        </w:rPr>
        <w:t>opoty pojawią się w przypadku k</w:t>
      </w:r>
      <w:r w:rsidRPr="00CE39E4">
        <w:rPr>
          <w:rFonts w:ascii="Times New Roman" w:hAnsi="Times New Roman" w:cs="Times New Roman"/>
          <w:sz w:val="24"/>
          <w:szCs w:val="24"/>
        </w:rPr>
        <w:t>i</w:t>
      </w:r>
      <w:r w:rsidR="00B173C0">
        <w:rPr>
          <w:rFonts w:ascii="Times New Roman" w:hAnsi="Times New Roman" w:cs="Times New Roman"/>
          <w:sz w:val="24"/>
          <w:szCs w:val="24"/>
        </w:rPr>
        <w:t>l</w:t>
      </w:r>
      <w:r w:rsidRPr="00CE39E4">
        <w:rPr>
          <w:rFonts w:ascii="Times New Roman" w:hAnsi="Times New Roman" w:cs="Times New Roman"/>
          <w:sz w:val="24"/>
          <w:szCs w:val="24"/>
        </w:rPr>
        <w:t>ku tytułów ubezpieczenia i osiągania z różnych źródeł różnych przychodów (np. kwestie zwrotów, pilnowania podstawy wymiaru z różnych tytułów, komplikowanie systemu).</w:t>
      </w:r>
    </w:p>
    <w:p w:rsidR="005B62BA" w:rsidRDefault="00CE39E4" w:rsidP="00CE39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9E4">
        <w:rPr>
          <w:rFonts w:ascii="Times New Roman" w:hAnsi="Times New Roman" w:cs="Times New Roman"/>
          <w:sz w:val="24"/>
          <w:szCs w:val="24"/>
        </w:rPr>
        <w:t>Z technicznego punk</w:t>
      </w:r>
      <w:r w:rsidR="00B173C0">
        <w:rPr>
          <w:rFonts w:ascii="Times New Roman" w:hAnsi="Times New Roman" w:cs="Times New Roman"/>
          <w:sz w:val="24"/>
          <w:szCs w:val="24"/>
        </w:rPr>
        <w:t>t</w:t>
      </w:r>
      <w:r w:rsidRPr="00CE39E4">
        <w:rPr>
          <w:rFonts w:ascii="Times New Roman" w:hAnsi="Times New Roman" w:cs="Times New Roman"/>
          <w:sz w:val="24"/>
          <w:szCs w:val="24"/>
        </w:rPr>
        <w:t>u widzenia stosowanie limitu 30-krotności może przyczynić się do częstych wpłat w niewłaściwej wysokości oraz wpłat nienależnych. Dotyczy to głównie sytuacji przekroczenia rocznej podstawy wymiaru składek na ubezpieczenia emerytalne i rentowe przez osobę zatrudnioną jednocześnie w kilku podmiotach zatrudniających. Obniżenie tego ryzyka wiązałoby się z istotnym kosztem wdrożenia rozwiązań informatycznych po stronie pracodawców i Polskiego Funduszu Rozwoju.</w:t>
      </w:r>
    </w:p>
    <w:p w:rsidR="00B01F0A" w:rsidRPr="002B14AE" w:rsidRDefault="00B01F0A" w:rsidP="00B01F0A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2B14AE">
        <w:rPr>
          <w:rFonts w:ascii="Times New Roman" w:hAnsi="Times New Roman" w:cs="Times New Roman"/>
          <w:b/>
          <w:i/>
          <w:sz w:val="24"/>
          <w:szCs w:val="24"/>
          <w:lang w:val="en-US"/>
        </w:rPr>
        <w:t>Art. 1 pkt 2 lit. a</w:t>
      </w:r>
      <w:r w:rsidR="008C0AC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i </w:t>
      </w:r>
      <w:r w:rsidRPr="002B14AE">
        <w:rPr>
          <w:rFonts w:ascii="Times New Roman" w:hAnsi="Times New Roman" w:cs="Times New Roman"/>
          <w:b/>
          <w:i/>
          <w:sz w:val="24"/>
          <w:szCs w:val="24"/>
          <w:lang w:val="en-US"/>
        </w:rPr>
        <w:t>b</w:t>
      </w:r>
    </w:p>
    <w:p w:rsidR="00187D4D" w:rsidRPr="008545C5" w:rsidRDefault="00187D4D" w:rsidP="00187D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5C5">
        <w:rPr>
          <w:rFonts w:ascii="Times New Roman" w:hAnsi="Times New Roman" w:cs="Times New Roman"/>
          <w:sz w:val="24"/>
          <w:szCs w:val="24"/>
        </w:rPr>
        <w:t xml:space="preserve">Ustawa o PPK zwalnia z obowiązku tworzenia PPK podmioty zatrudniające, które w dniu, w którym przepisy ustawy znajdują dla nich zastosowanie prowadzą PPE oraz naliczają i odprowadzają składki podstawowe do PPE w wysokości co najmniej 3,5% wynagrodzenia, </w:t>
      </w:r>
      <w:r w:rsidRPr="008545C5">
        <w:rPr>
          <w:rFonts w:ascii="Times New Roman" w:hAnsi="Times New Roman" w:cs="Times New Roman"/>
          <w:sz w:val="24"/>
          <w:szCs w:val="24"/>
        </w:rPr>
        <w:lastRenderedPageBreak/>
        <w:t xml:space="preserve">jeżeli do PPE przystąpiło co najmniej 25% osób zatrudnionych w danym podmiocie zatrudniającym. </w:t>
      </w:r>
    </w:p>
    <w:p w:rsidR="00187D4D" w:rsidRPr="008545C5" w:rsidRDefault="00187D4D" w:rsidP="00187D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5C5">
        <w:rPr>
          <w:rFonts w:ascii="Times New Roman" w:hAnsi="Times New Roman" w:cs="Times New Roman"/>
          <w:sz w:val="24"/>
          <w:szCs w:val="24"/>
        </w:rPr>
        <w:t xml:space="preserve">Zgodnie natomiast z art. 8 ust. 5 ustawy, do wszystkich podmiotów zatrudniających, które nie zawarły umowy o zarządzanie PPK w obowiązującym je terminie, bez względu na powód, PFR kieruje wezwanie o dopełnienie tego obowiązku. W wezwaniu tym informuje jednocześnie o karze za jego zlekceważenie. </w:t>
      </w:r>
    </w:p>
    <w:p w:rsidR="00187D4D" w:rsidRDefault="00187D4D" w:rsidP="00187D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5C5">
        <w:rPr>
          <w:rFonts w:ascii="Times New Roman" w:hAnsi="Times New Roman" w:cs="Times New Roman"/>
          <w:sz w:val="24"/>
          <w:szCs w:val="24"/>
        </w:rPr>
        <w:t xml:space="preserve">Podmioty, do których na podstawie art. 133 ust. 1 ustawa nie ma zastosowania również otrzymywać będą takie wezwania, a brak informacji zwrotnej wyjaśniającej powód nie zawarcia umowy o zarządzanie PPK może powodować niepotrzebne wydłużanie procedur w PFR oraz jego niepewność co do obowiązku przystąpienia danego podmiotu do systemu PPK. Proponowana zmiana, polegająca na zobowiązaniu podmiotu zatrudniającego, który z przyczyn określonych w art. 133 </w:t>
      </w:r>
      <w:r w:rsidR="00EA75A2" w:rsidRPr="008545C5">
        <w:rPr>
          <w:rFonts w:ascii="Times New Roman" w:hAnsi="Times New Roman" w:cs="Times New Roman"/>
          <w:sz w:val="24"/>
          <w:szCs w:val="24"/>
        </w:rPr>
        <w:t>ust. 1</w:t>
      </w:r>
      <w:r w:rsidRPr="008545C5">
        <w:rPr>
          <w:rFonts w:ascii="Times New Roman" w:hAnsi="Times New Roman" w:cs="Times New Roman"/>
          <w:sz w:val="24"/>
          <w:szCs w:val="24"/>
        </w:rPr>
        <w:t xml:space="preserve"> ustawy nie zawarł umowy o zarządzanie, do przekazania informacji o spełnieniu warunków wymienionych w powołanym przepisie zapobiec ma tego rodzaju sytuacjom. Taka informacja zwrotna zakończy procedurę w PFR, a zatem spowoduje, że Ewidencja PPK nie będzie wysyłać kolejnych wezwań do zawarcia umowy, aż do kolejnej weryfikacji w następnym terminie stosowania przepisów.</w:t>
      </w:r>
    </w:p>
    <w:p w:rsidR="00B01F0A" w:rsidRPr="00B01F0A" w:rsidRDefault="00B01F0A" w:rsidP="00B01F0A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t xml:space="preserve">Art. 1 pkt </w:t>
      </w:r>
      <w:r w:rsidR="00351D6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B01F0A">
        <w:rPr>
          <w:rFonts w:ascii="Times New Roman" w:hAnsi="Times New Roman" w:cs="Times New Roman"/>
          <w:b/>
          <w:i/>
          <w:sz w:val="24"/>
          <w:szCs w:val="24"/>
        </w:rPr>
        <w:t xml:space="preserve"> lit. </w:t>
      </w:r>
      <w:r>
        <w:rPr>
          <w:rFonts w:ascii="Times New Roman" w:hAnsi="Times New Roman" w:cs="Times New Roman"/>
          <w:b/>
          <w:i/>
          <w:sz w:val="24"/>
          <w:szCs w:val="24"/>
        </w:rPr>
        <w:t>c</w:t>
      </w:r>
    </w:p>
    <w:p w:rsidR="008545C5" w:rsidRPr="008545C5" w:rsidRDefault="008545C5" w:rsidP="00E83835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8 ust. 5 ustawy w obecnym brzmieniu wezwanie podmiotu zatrudniającego do zawarcia umowy</w:t>
      </w:r>
      <w:bookmarkStart w:id="1" w:name="highlightHit_177"/>
      <w:bookmarkEnd w:id="1"/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zarządzanie</w:t>
      </w:r>
      <w:bookmarkStart w:id="2" w:name="highlightHit_178"/>
      <w:bookmarkEnd w:id="2"/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PPK albo do przekazania do PFR informacji</w:t>
      </w:r>
      <w:bookmarkStart w:id="3" w:name="highlightHit_179"/>
      <w:bookmarkEnd w:id="3"/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zawarciu umowy</w:t>
      </w:r>
      <w:bookmarkStart w:id="4" w:name="highlightHit_180"/>
      <w:bookmarkEnd w:id="4"/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zarządzanie</w:t>
      </w:r>
      <w:bookmarkStart w:id="5" w:name="highlightHit_181"/>
      <w:bookmarkEnd w:id="5"/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PPK, powinno zostać sporządzone w formie pisemnej. </w:t>
      </w:r>
    </w:p>
    <w:p w:rsidR="008545C5" w:rsidRPr="008545C5" w:rsidRDefault="008545C5" w:rsidP="008545C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t>Konstytutywnym elementem formy pisemnej jest złożenie przez składającego oświadczenie woli własnoręcznego podpisu.</w:t>
      </w:r>
    </w:p>
    <w:p w:rsidR="00187D4D" w:rsidRDefault="008545C5" w:rsidP="008545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Proponowana zmiana umożliwi zastosowanie podpisu mechanicznego do wezwania podmiotu zatrudniającego do zawarcia umowy o zarządzanie PPK albo do przekazania do PFR informacji o zawarciu umowy o zarządzanie PPK. Przyczyni się to przede wszystkim do sprawniejszej komunikacji na linii PFR - pracodawcy oraz do usprawnienia obowiązujących w PFR procedur, co zważywszy na skalę realizowanego zadania będzie mieć istotne znaczenie dla prawidłowego wdrażania PPK.</w:t>
      </w:r>
    </w:p>
    <w:p w:rsidR="00351D68" w:rsidRPr="00351D68" w:rsidRDefault="00351D68" w:rsidP="00351D68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t xml:space="preserve">Art. 1 pkt 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:rsidR="008545C5" w:rsidRDefault="008545C5" w:rsidP="008545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aktualnie obowiązującą treścią art. 22 ust. 1 niezwłocznie po zawarciu umowy o prowadzenie PPK wybrana instytucja finansowa udostępnia uczestnikowi PPK w postaci elektronicznej pozwalającej na utrwalenie jej treści na trwałym nośniku, informację </w:t>
      </w:r>
      <w:r w:rsidRPr="008545C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 zawarciu umowy o prowadzenie. Ustawodawca nie przewidział alternatywnego sposobu przekazywania wyżej wymienionej informacji w sytuacji, gdy uczestnik PPK z różnych przyczyn nie wskazał adresu e-mail. Uzasadnione jest zatem wprowadzenie dodatkowych możliwości informowania uczestników PPK poprzez zapewnienie im dostępu do systemu teleinformatycznego instytucji finansowej a w przypadku, gdy będzie to niemożliwe przekazywanie takiej informacji na wniosek uczestnika PPK w postaci papierowej. Zmiana ta ma na celu usprawnienie komunikacji pomiędzy instytucją finansową i uczestnikami PPK. Przyczyni się do zapewnienia równego dostępu do informacji wszystkim uczestnikom PPK także tym, którzy nie posługują się środkami komunikacji elektronicznej, w zgodzie z zasadą powszechności PPK.</w:t>
      </w:r>
    </w:p>
    <w:p w:rsidR="00351D68" w:rsidRPr="00351D68" w:rsidRDefault="00351D68" w:rsidP="00351D68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t xml:space="preserve">Art. 1 pkt </w:t>
      </w:r>
      <w:r>
        <w:rPr>
          <w:rFonts w:ascii="Times New Roman" w:hAnsi="Times New Roman" w:cs="Times New Roman"/>
          <w:b/>
          <w:i/>
          <w:sz w:val="24"/>
          <w:szCs w:val="24"/>
        </w:rPr>
        <w:t>4</w:t>
      </w:r>
    </w:p>
    <w:p w:rsidR="001E2743" w:rsidRPr="001E2743" w:rsidRDefault="001E2743" w:rsidP="00F3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Propozycja dodania art. 25a do ustawy o PPK ma na celu wyłączenie rachunków PPK z obowiązku identyfikowania i raportowania w rozumieniu ustawy z dnia 9 marca 2017 r. o wymianie informacji podatkowych z innymi państwami </w:t>
      </w:r>
      <w:r w:rsidR="008C0AC2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dalej: „ustawa CRS”) i umowy z dnia 7 października 2014 r. między </w:t>
      </w:r>
      <w:r w:rsidR="008C0AC2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ządem Rzeczypospolitej Polskiej a </w:t>
      </w:r>
      <w:r w:rsidR="008C0AC2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t>ządem Stanów Zjednoczonych Ameryki w sprawie poprawy wypełniania międzynarodowych obowiązków podatkowych oraz wdrożenia ustawodawstwa FATCA</w:t>
      </w:r>
      <w:r w:rsidR="0006766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C0A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towarzyszących Uzgodnień Końcowych</w:t>
      </w: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(dalej: „umowa FATCA”). </w:t>
      </w:r>
    </w:p>
    <w:p w:rsidR="001E2743" w:rsidRPr="001E2743" w:rsidRDefault="001E2743" w:rsidP="00F3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Aby rachunki PPK nie stanowiły rachunków finansowych dla celów FATCA/CRS musi być w szczególności spełniony warunek, że (i) wysokość rocznej składki ograniczona jest do 50 tysięcy USD lub mniej, albo (ii) określono maksymalny limit składek możliwych do wpłacenia na rachunek, wynoszący do 1 miliona USD lub mniej, przy zastosowaniu do każdego z tych warunków zasad określonych w Załączniku I do umowy FATCA odnośnie sumowania wartości rachunków i przeliczania waluty obcej. </w:t>
      </w:r>
    </w:p>
    <w:p w:rsidR="001E2743" w:rsidRPr="001E2743" w:rsidRDefault="001E2743" w:rsidP="00F30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Proponuje się wprowadzenie do ustawy o PPK rozwiązania (ii), ponieważ wydaje się ono prostsze do stosowania. W jego wyniku PFR zostałaby zobowiązana do monitorowania limitu wpłat i dopłat możliwych do wpłacenia na rachunki PPK uczestnika PPK w wysokości równowartości w złotych kwoty 1 000 000 dolarów amerykańskich. Należy założyć, że o ile w ogóle w pojedynczych przypadkach dojdzie do przekroczenia wartości dokonanych wpłat i dopłat w wysokości </w:t>
      </w:r>
      <w:r w:rsidR="00067668">
        <w:rPr>
          <w:rFonts w:ascii="Times New Roman" w:eastAsia="Times New Roman" w:hAnsi="Times New Roman" w:cs="Times New Roman"/>
          <w:sz w:val="24"/>
          <w:szCs w:val="24"/>
          <w:lang w:eastAsia="pl-PL"/>
        </w:rPr>
        <w:t>równowartości w złotych kwoty 1 000 </w:t>
      </w: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t>000 dolarów amerykańskich, to nastąpi to za kilkadziesiąt lat i będzie dotyczyć pojedynczych przypadków.</w:t>
      </w:r>
      <w:r w:rsidR="00CC0C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kursie średnim NBP dolara amerykańskiego z dnia 20 marca 2019 r. wpłaty na PPK nie byłyby już </w:t>
      </w:r>
      <w:r w:rsidRPr="001E274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dokonywane, zakładając wpłaty maksymalne w wysokości 8%, jeżeli uczestnik PPK zarobiłby w swojej karierze 47 200 000 złotych.</w:t>
      </w:r>
    </w:p>
    <w:p w:rsidR="00351D68" w:rsidRPr="00351D68" w:rsidRDefault="00351D68" w:rsidP="00351D68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t xml:space="preserve">Art. 1 pkt 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</w:p>
    <w:p w:rsidR="008545C5" w:rsidRPr="008545C5" w:rsidRDefault="008545C5" w:rsidP="008545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5C5">
        <w:rPr>
          <w:rFonts w:ascii="Times New Roman" w:hAnsi="Times New Roman" w:cs="Times New Roman"/>
          <w:sz w:val="24"/>
          <w:szCs w:val="24"/>
        </w:rPr>
        <w:t xml:space="preserve">Zgodnie z art. 27 ust. 1 ustawy wpłata podstawowa finansowana przez uczestnika PPK wynosi 2% wynagrodzenia. Przepis ten wprowadza zasadę, od której wyjątek stanowi art. 27 ust. 2 ustawy – wpłata ta może wynosić mniej niż 2% wynagrodzenia, ale nie mniej niż 0,5% wynagrodzenia, jeżeli wynagrodzenie uczestnika PPK osiągane z różnych źródeł w danym miesiącu nie przekracza kwoty odpowiadającej 1,2-krotności minimalnego wynagrodzenia. Przesłanką do finansowania przez uczestnika PPK wpłaty podstawowej niższej niż 2% wynagrodzenia jest osiąganie łącznego wynagrodzenia miesięcznego w kwocie równej lub niższej 1,2-krotności minimalnego wynagrodzenia. Przepis ten daje możliwość obniżenia wpłaty podstawowej – uczestnik PPK nie musi korzystać z przyznanego uprawnienia i wówczas obowiązuje go wpłata w wysokości 2%. </w:t>
      </w:r>
    </w:p>
    <w:p w:rsidR="008545C5" w:rsidRPr="008545C5" w:rsidRDefault="008545C5" w:rsidP="008545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5C5">
        <w:rPr>
          <w:rFonts w:ascii="Times New Roman" w:hAnsi="Times New Roman" w:cs="Times New Roman"/>
          <w:sz w:val="24"/>
          <w:szCs w:val="24"/>
        </w:rPr>
        <w:t>W obecnym brzmieniu przepisu ustawa nie pozwala podmiotowi zatrudniającemu automatycznie obliczyć i pobr</w:t>
      </w:r>
      <w:r w:rsidR="008C0AC2">
        <w:rPr>
          <w:rFonts w:ascii="Times New Roman" w:hAnsi="Times New Roman" w:cs="Times New Roman"/>
          <w:sz w:val="24"/>
          <w:szCs w:val="24"/>
        </w:rPr>
        <w:t>ać od uczestnika PPK finansowanej przez niego wpłaty</w:t>
      </w:r>
      <w:r w:rsidRPr="008545C5">
        <w:rPr>
          <w:rFonts w:ascii="Times New Roman" w:hAnsi="Times New Roman" w:cs="Times New Roman"/>
          <w:sz w:val="24"/>
          <w:szCs w:val="24"/>
        </w:rPr>
        <w:t xml:space="preserve"> podstawow</w:t>
      </w:r>
      <w:r w:rsidR="008C0AC2">
        <w:rPr>
          <w:rFonts w:ascii="Times New Roman" w:hAnsi="Times New Roman" w:cs="Times New Roman"/>
          <w:sz w:val="24"/>
          <w:szCs w:val="24"/>
        </w:rPr>
        <w:t>ej</w:t>
      </w:r>
      <w:r w:rsidRPr="008545C5">
        <w:rPr>
          <w:rFonts w:ascii="Times New Roman" w:hAnsi="Times New Roman" w:cs="Times New Roman"/>
          <w:sz w:val="24"/>
          <w:szCs w:val="24"/>
        </w:rPr>
        <w:t xml:space="preserve"> w wysokości 2% w miesiącu, w którym ten uczestnik PPK osiągnął w tym podmiocie zatrudniającym wynagrodzenie przekraczające 1,2-krotność minimalnego wynagrodzenia, w przypadku gdy wcześniej zadeklarował obniżenie tej wpłaty.</w:t>
      </w:r>
    </w:p>
    <w:p w:rsidR="008545C5" w:rsidRPr="008545C5" w:rsidRDefault="008545C5" w:rsidP="008545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5C5">
        <w:rPr>
          <w:rFonts w:ascii="Times New Roman" w:hAnsi="Times New Roman" w:cs="Times New Roman"/>
          <w:sz w:val="24"/>
          <w:szCs w:val="24"/>
        </w:rPr>
        <w:t>Wprowadzenie zmiany, która to umożliwia zmniejszy problemy operacyjne związane z procesem obniżania wpłaty podstawowej uczestnika. Powyższa zmiana ograniczy również zastosowanie art. 32 ust. 5 ustawy przewidującego utratę przez uczestnika prawa do dopłaty rocznej do sytuacji, w której uczestnik osiąga wynagrodzenie z więcej niż jednego źródła. Zgodnie bowiem z tym przepisem dopłata roczna nie przysługuje, jeżeli uczestnik PPK w którymkolwiek miesiącu finansowania obniżonej wpłaty osiągnął miesięczne wynagrodzenie (ze wszystkich źródeł) przekraczające kwotę 1,2-krotności minimalnego wynagrodzenia.</w:t>
      </w:r>
      <w:r w:rsidR="00CC0CB7">
        <w:rPr>
          <w:rFonts w:ascii="Times New Roman" w:hAnsi="Times New Roman" w:cs="Times New Roman"/>
          <w:sz w:val="24"/>
          <w:szCs w:val="24"/>
        </w:rPr>
        <w:t xml:space="preserve"> </w:t>
      </w:r>
      <w:r w:rsidRPr="008545C5">
        <w:rPr>
          <w:rFonts w:ascii="Times New Roman" w:hAnsi="Times New Roman" w:cs="Times New Roman"/>
          <w:sz w:val="24"/>
          <w:szCs w:val="24"/>
        </w:rPr>
        <w:t>Ponadto, aby zapobiec sytuacji, w której uczestnik PPK w styczniu każdego roku odprowadzać będzie musiał wpłatę podstawową w wysokości 2% (wcześniej złożona deklaracja obowiązuje tylko do końca roku kalendarzowego, a kolejna składana w styczniu obowiązuje dopiero od lutego) proponujemy, aby złożona przez uczestnika deklaracja o obniżeniu wypłaty obowiązywała do czasu jej zmiany.</w:t>
      </w:r>
      <w:r w:rsidR="00CC0C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5C5" w:rsidRDefault="008545C5" w:rsidP="008545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5C5">
        <w:rPr>
          <w:rFonts w:ascii="Times New Roman" w:hAnsi="Times New Roman" w:cs="Times New Roman"/>
          <w:sz w:val="24"/>
          <w:szCs w:val="24"/>
        </w:rPr>
        <w:t xml:space="preserve">Niezaprzeczalnie w interesie uczestnika PPK, polegającym na pomnażaniu gromadzonych w ramach PPK środków, jest, aby finansowana przez niego wpłata </w:t>
      </w:r>
      <w:r w:rsidRPr="008545C5">
        <w:rPr>
          <w:rFonts w:ascii="Times New Roman" w:hAnsi="Times New Roman" w:cs="Times New Roman"/>
          <w:sz w:val="24"/>
          <w:szCs w:val="24"/>
        </w:rPr>
        <w:lastRenderedPageBreak/>
        <w:t>podstawowa była w wysokości zgodnej z ustawą, a obniżenie tej wpłaty następowało wyłącznie w przypadku osiągania niższego wynagrodzenia.</w:t>
      </w:r>
    </w:p>
    <w:p w:rsidR="00351D68" w:rsidRPr="00351D68" w:rsidRDefault="00351D68" w:rsidP="00351D68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i/>
          <w:sz w:val="24"/>
          <w:szCs w:val="24"/>
        </w:rPr>
        <w:t>1 pkt 6</w:t>
      </w:r>
    </w:p>
    <w:p w:rsidR="00CE39E4" w:rsidRPr="00CE39E4" w:rsidRDefault="00CE39E4" w:rsidP="00CE39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9E4">
        <w:rPr>
          <w:rFonts w:ascii="Times New Roman" w:hAnsi="Times New Roman" w:cs="Times New Roman"/>
          <w:sz w:val="24"/>
          <w:szCs w:val="24"/>
        </w:rPr>
        <w:t>W ramach zapewnienia efektywności dokonywanych inwestycji proponuje się wprowadzenie dodatkowego warunku pobierania wynagrodzenia za osiągnięty wynik w postaci konieczności osiągnięcia stopy zwrotu przez fundusz inwestycyjny, fundusz emerytalny lub subfundusz na poziomie nie niższym niż 75% najwyższych stóp zwrotu w ramach funduszy tej samej zdefiniowanej daty. W tym celu proponuje się</w:t>
      </w:r>
      <w:r w:rsidR="0062246A">
        <w:rPr>
          <w:rFonts w:ascii="Times New Roman" w:hAnsi="Times New Roman" w:cs="Times New Roman"/>
          <w:sz w:val="24"/>
          <w:szCs w:val="24"/>
        </w:rPr>
        <w:t>,</w:t>
      </w:r>
      <w:r w:rsidRPr="00CE39E4">
        <w:rPr>
          <w:rFonts w:ascii="Times New Roman" w:hAnsi="Times New Roman" w:cs="Times New Roman"/>
          <w:sz w:val="24"/>
          <w:szCs w:val="24"/>
        </w:rPr>
        <w:t xml:space="preserve"> aby w terminie do 10 grudnia danego roku towarzystwa funduszy inwestycyjnych, PTE, pracownicze towarzystwo emerytalne i zakład ubezpieczeń przesyłały Polskiemu Funduszowi Rozwoju informacje o stopach zwrotu osiągniętych do końca listopada danego roku, po czym PFR do 20 grudnia opublikuje zestawienie osiągniętych przez fundusze stóp zwrotu</w:t>
      </w:r>
      <w:r w:rsidR="008C0AC2">
        <w:rPr>
          <w:rFonts w:ascii="Times New Roman" w:hAnsi="Times New Roman" w:cs="Times New Roman"/>
          <w:sz w:val="24"/>
          <w:szCs w:val="24"/>
        </w:rPr>
        <w:t>.</w:t>
      </w:r>
    </w:p>
    <w:p w:rsidR="001E2743" w:rsidRDefault="00CE39E4" w:rsidP="00CE39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9E4">
        <w:rPr>
          <w:rFonts w:ascii="Times New Roman" w:hAnsi="Times New Roman" w:cs="Times New Roman"/>
          <w:sz w:val="24"/>
          <w:szCs w:val="24"/>
        </w:rPr>
        <w:t>Niezależnie od powyższego proponuje się także wprowadzenie ustawowego wyłączenia możliwości pobierania wynagrodzenia za osiągnięty wynik w okresie 2 lat od utworzenia funduszu, tj. w okresie, gdy suma aktywów zgromadzonych w funduszach zdefiniowanej daty jest relatywnie niska.</w:t>
      </w:r>
    </w:p>
    <w:p w:rsidR="00351D68" w:rsidRPr="00351D68" w:rsidRDefault="00351D68" w:rsidP="00351D68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i/>
          <w:sz w:val="24"/>
          <w:szCs w:val="24"/>
        </w:rPr>
        <w:t>1 pkt 7</w:t>
      </w:r>
    </w:p>
    <w:p w:rsidR="008545C5" w:rsidRPr="00CE39E4" w:rsidRDefault="008545C5" w:rsidP="00CE39E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Ustawa w obecnym brzmieniu zwalnia </w:t>
      </w:r>
      <w:r w:rsidRPr="00CE39E4">
        <w:rPr>
          <w:rFonts w:ascii="Times New Roman" w:eastAsia="Calibri" w:hAnsi="Times New Roman" w:cs="Times New Roman"/>
          <w:sz w:val="24"/>
          <w:szCs w:val="24"/>
        </w:rPr>
        <w:t xml:space="preserve">z obowiązku utworzenia PPK podmioty zatrudniające, które </w:t>
      </w:r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w terminach wskazanych w art. 134 ust. 1 </w:t>
      </w:r>
      <w:r w:rsidRPr="00CE39E4">
        <w:rPr>
          <w:rFonts w:ascii="Times New Roman" w:eastAsia="Calibri" w:hAnsi="Times New Roman" w:cs="Times New Roman"/>
          <w:sz w:val="24"/>
          <w:szCs w:val="24"/>
        </w:rPr>
        <w:t xml:space="preserve">prowadzą PPE ze składką podstawową w wysokości co najmniej 3,5% i partycypacją na poziomie co najmniej 25% osób zatrudnionych. </w:t>
      </w:r>
    </w:p>
    <w:p w:rsidR="008545C5" w:rsidRPr="008545C5" w:rsidRDefault="008545C5" w:rsidP="00CE39E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Przepisy ustawy stosuje się do tych podmiotów, począwszy od dnia wystąpienia przesłanek wymienionych w art. 133 ust. 2, w tym m.in. ograniczenia wysokości odprowadzanych składek podstawowych PPE poniżej 3,5% wynagrodzenia, pozostawiając jednocześnie dowolność w zakresie poziomu partycypacji osób zatrudnionych w PPE po upływie terminów wskazanych w art. 134 ust. 1. Pominięcie wśród tych przesłanek warunku utrzymania partycypacji na określonym poziomie poza terminami określonymi w art. 134 ust. 1 ustawy wydaje się niedopatrzeniem ustawodawcy i wymaga zmiany art. 133 ust. 2 w tym zakresie. </w:t>
      </w:r>
    </w:p>
    <w:p w:rsidR="008545C5" w:rsidRDefault="008545C5" w:rsidP="008545C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Ponadto obecne brzmienie przepisu nie dopuszcza możliwości utworzenia PPK przez podmioty </w:t>
      </w:r>
      <w:bookmarkStart w:id="6" w:name="_Hlk2939034"/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prowadzące PPE spełniające określone w art. 133 </w:t>
      </w:r>
      <w:r w:rsidR="00EA75A2" w:rsidRPr="008545C5">
        <w:rPr>
          <w:rFonts w:ascii="Times New Roman" w:eastAsia="Calibri" w:hAnsi="Times New Roman" w:cs="Times New Roman"/>
          <w:sz w:val="24"/>
          <w:szCs w:val="24"/>
        </w:rPr>
        <w:t>ust.</w:t>
      </w:r>
      <w:r w:rsidR="00EA75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75A2" w:rsidRPr="008545C5">
        <w:rPr>
          <w:rFonts w:ascii="Times New Roman" w:eastAsia="Calibri" w:hAnsi="Times New Roman" w:cs="Times New Roman"/>
          <w:sz w:val="24"/>
          <w:szCs w:val="24"/>
        </w:rPr>
        <w:t>1</w:t>
      </w:r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 warunki. </w:t>
      </w:r>
      <w:bookmarkEnd w:id="6"/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W związku z szeroko rozumianym interesem publicznym, przepis ten wymaga zmiany także w tym zakresie. W obecnej formie stoi on w sprzeczności z zasadą powszechności i dobrowolności </w:t>
      </w:r>
      <w:r w:rsidRPr="008545C5">
        <w:rPr>
          <w:rFonts w:ascii="Times New Roman" w:eastAsia="Calibri" w:hAnsi="Times New Roman" w:cs="Times New Roman"/>
          <w:sz w:val="24"/>
          <w:szCs w:val="24"/>
        </w:rPr>
        <w:lastRenderedPageBreak/>
        <w:t>programu PPK. W praktyce taki zakaz będzie uniemożliwiał oszczędzanie w PPK osobom, które nie chciały przystąpić do PPE oraz osobom, które nie mogą przystąpić do PPE ze względu na przynależność do grupy osób zatrudnionych wyłączonych w wyniku zapisów w umowie zakładowej z możliwości oszczędzania w PPE.</w:t>
      </w:r>
    </w:p>
    <w:p w:rsidR="00351D68" w:rsidRPr="00351D68" w:rsidRDefault="00351D68" w:rsidP="00351D68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i/>
          <w:sz w:val="24"/>
          <w:szCs w:val="24"/>
        </w:rPr>
        <w:t>1 pkt 8</w:t>
      </w:r>
    </w:p>
    <w:p w:rsidR="008545C5" w:rsidRDefault="008545C5" w:rsidP="008545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5C5">
        <w:rPr>
          <w:rFonts w:ascii="Times New Roman" w:hAnsi="Times New Roman" w:cs="Times New Roman"/>
          <w:sz w:val="24"/>
          <w:szCs w:val="24"/>
        </w:rPr>
        <w:t xml:space="preserve">W obecnym brzmieniu przepisy ustawy pozwalają podmiotowi zatrudniającemu, który zawarł umowę o prowadzenie PPK, a który w dniu wejścia w życie ustawy uczestniczy w wykonaniu zamówienia publicznego </w:t>
      </w:r>
      <w:r w:rsidRPr="00CC0CB7">
        <w:rPr>
          <w:rFonts w:ascii="Times New Roman" w:hAnsi="Times New Roman" w:cs="Times New Roman"/>
          <w:sz w:val="24"/>
          <w:szCs w:val="24"/>
        </w:rPr>
        <w:t xml:space="preserve">w rozumieniu ustawy z dnia 29 stycznia 2004 r. – Prawo zamówień publicznych (Dz. U. z </w:t>
      </w:r>
      <w:r w:rsidR="00EA75A2" w:rsidRPr="00CC0CB7">
        <w:rPr>
          <w:rFonts w:ascii="Times New Roman" w:hAnsi="Times New Roman" w:cs="Times New Roman"/>
          <w:sz w:val="24"/>
          <w:szCs w:val="24"/>
        </w:rPr>
        <w:t>2018 r</w:t>
      </w:r>
      <w:r w:rsidRPr="00CC0CB7">
        <w:rPr>
          <w:rFonts w:ascii="Times New Roman" w:hAnsi="Times New Roman" w:cs="Times New Roman"/>
          <w:sz w:val="24"/>
          <w:szCs w:val="24"/>
        </w:rPr>
        <w:t xml:space="preserve">. poz. </w:t>
      </w:r>
      <w:r w:rsidR="008C0AC2">
        <w:rPr>
          <w:rFonts w:ascii="Times New Roman" w:hAnsi="Times New Roman" w:cs="Times New Roman"/>
          <w:sz w:val="24"/>
          <w:szCs w:val="24"/>
        </w:rPr>
        <w:t>1986,</w:t>
      </w:r>
      <w:r w:rsidRPr="00CC0CB7">
        <w:rPr>
          <w:rFonts w:ascii="Times New Roman" w:hAnsi="Times New Roman" w:cs="Times New Roman"/>
          <w:sz w:val="24"/>
          <w:szCs w:val="24"/>
        </w:rPr>
        <w:t xml:space="preserve"> z późn. zm.) zwrócić się do zamawiającego z pisemnym wnioskiem o przeprowadzenie negocjacji, dotyczących</w:t>
      </w:r>
      <w:r w:rsidRPr="008545C5">
        <w:rPr>
          <w:rFonts w:ascii="Times New Roman" w:hAnsi="Times New Roman" w:cs="Times New Roman"/>
          <w:sz w:val="24"/>
          <w:szCs w:val="24"/>
        </w:rPr>
        <w:t xml:space="preserve"> zawarcia porozumienia w sprawie odpowiedniej zmiany wynagrodzenia z uwzględnieniem sumy wzrostu kosztów realizacji zamówienia publicznego wynikającej z wpłat do PPK dokonywanych przez ten podmiot. Zgodnie z </w:t>
      </w:r>
      <w:r w:rsidR="008C0AC2">
        <w:rPr>
          <w:rFonts w:ascii="Times New Roman" w:hAnsi="Times New Roman" w:cs="Times New Roman"/>
          <w:sz w:val="24"/>
          <w:szCs w:val="24"/>
        </w:rPr>
        <w:t xml:space="preserve">art. 135 </w:t>
      </w:r>
      <w:r w:rsidRPr="008545C5">
        <w:rPr>
          <w:rFonts w:ascii="Times New Roman" w:hAnsi="Times New Roman" w:cs="Times New Roman"/>
          <w:sz w:val="24"/>
          <w:szCs w:val="24"/>
        </w:rPr>
        <w:t xml:space="preserve">ust. 4 </w:t>
      </w:r>
      <w:r w:rsidR="008C0AC2">
        <w:rPr>
          <w:rFonts w:ascii="Times New Roman" w:hAnsi="Times New Roman" w:cs="Times New Roman"/>
          <w:sz w:val="24"/>
          <w:szCs w:val="24"/>
        </w:rPr>
        <w:t xml:space="preserve">ustawy o PPK </w:t>
      </w:r>
      <w:r w:rsidRPr="008545C5">
        <w:rPr>
          <w:rFonts w:ascii="Times New Roman" w:hAnsi="Times New Roman" w:cs="Times New Roman"/>
          <w:sz w:val="24"/>
          <w:szCs w:val="24"/>
        </w:rPr>
        <w:t>niezawarcie porozumienia w sprawie odpowiedniej zmiany wynagrodzenia w terminie miesiąca od dnia zwrócenia się z wnioskiem uprawnia każdą ze stron do rozwiązania umowy z zachowaniem dwumiesięcznego okresu wypowiedzenia, przy czym rozwiązanie umowy nie stanowi nienależytego wykonania lub niewykonania umowy. Dodatkowo przepis nie precyzuje kwestii braku możliwości przystąpienia zamawiającego do porozumienia w sytuacji, w której wykonawca nie przedstawi w sposób wyczerpujący sposobu i podstawy wyliczenia zmiany wynagrodzenia. Powyższe wskazuje na ryzyko wykorzystywania przepisu art. 135 ust. 4 ustawy jako pretekstu do wypowiadania zawartych umów przez wykonawców obecnie realizujących te umowy, co wskazuje na konieczność jego uchylenia oraz konieczność doprecyzowania przepisów ust. 2.</w:t>
      </w:r>
    </w:p>
    <w:p w:rsidR="00351D68" w:rsidRPr="00351D68" w:rsidRDefault="00351D68" w:rsidP="00351D68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1F0A">
        <w:rPr>
          <w:rFonts w:ascii="Times New Roman" w:hAnsi="Times New Roman" w:cs="Times New Roman"/>
          <w:b/>
          <w:i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i/>
          <w:sz w:val="24"/>
          <w:szCs w:val="24"/>
        </w:rPr>
        <w:t>1 pkt 9</w:t>
      </w:r>
    </w:p>
    <w:p w:rsidR="008545C5" w:rsidRPr="008545C5" w:rsidRDefault="008545C5" w:rsidP="008545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Przepisy ustawy przewidują, że w okresie do dnia 31 grudnia 2020 r. operator portalu PPK może wydatkować środki z opłaty wstępnej oraz środki z opłaty rocznej, o których mowa w art. 79 ust. 1 ustawy, </w:t>
      </w:r>
      <w:bookmarkStart w:id="7" w:name="_Hlk2933116"/>
      <w:bookmarkStart w:id="8" w:name="_Hlk2933157"/>
      <w:r w:rsidRPr="008545C5">
        <w:rPr>
          <w:rFonts w:ascii="Times New Roman" w:eastAsia="Calibri" w:hAnsi="Times New Roman" w:cs="Times New Roman"/>
          <w:sz w:val="24"/>
          <w:szCs w:val="24"/>
        </w:rPr>
        <w:t>reprezentatywnym organizacjom pracodawców oraz reprezentatywnym organizacjom związkowym</w:t>
      </w:r>
      <w:bookmarkEnd w:id="7"/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bookmarkEnd w:id="8"/>
      <w:r w:rsidRPr="008545C5">
        <w:rPr>
          <w:rFonts w:ascii="Times New Roman" w:eastAsia="Calibri" w:hAnsi="Times New Roman" w:cs="Times New Roman"/>
          <w:sz w:val="24"/>
          <w:szCs w:val="24"/>
        </w:rPr>
        <w:t>na ich wniosek z przeznaczeniem na edukację i promocję PPK. Przepis w aktualnym brzmieniu odwołuje się do definicji reprezentatywnej organizacji związkowej z uchylonego art. 241</w:t>
      </w:r>
      <w:r w:rsidRPr="008545C5">
        <w:rPr>
          <w:rFonts w:ascii="Times New Roman" w:eastAsia="Calibri" w:hAnsi="Times New Roman" w:cs="Times New Roman"/>
          <w:sz w:val="24"/>
          <w:szCs w:val="24"/>
          <w:vertAlign w:val="superscript"/>
        </w:rPr>
        <w:t>17</w:t>
      </w:r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K</w:t>
      </w:r>
      <w:r w:rsidRPr="008545C5">
        <w:rPr>
          <w:rFonts w:ascii="Times New Roman" w:eastAsia="Calibri" w:hAnsi="Times New Roman" w:cs="Times New Roman"/>
          <w:sz w:val="24"/>
          <w:szCs w:val="24"/>
        </w:rPr>
        <w:t xml:space="preserve">odeksu pracy. Powstała zatem luka prawna, która uniemożliwia Portalowi dokonywania wypłaty środków na rzecz reprezentatywnych organizacji związkowych. Definicja reprezentatywnej organizacji </w:t>
      </w:r>
      <w:r w:rsidRPr="008545C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związkowej obecnie znajduje się w art. 23 ustawy </w:t>
      </w:r>
      <w:r w:rsidR="008C0AC2">
        <w:rPr>
          <w:rFonts w:ascii="Times New Roman" w:eastAsia="Calibri" w:hAnsi="Times New Roman" w:cs="Times New Roman"/>
          <w:sz w:val="24"/>
          <w:szCs w:val="24"/>
        </w:rPr>
        <w:t xml:space="preserve">z dnia 24 lipca 2015 r. </w:t>
      </w:r>
      <w:r w:rsidRPr="008545C5">
        <w:rPr>
          <w:rFonts w:ascii="Times New Roman" w:eastAsia="Calibri" w:hAnsi="Times New Roman" w:cs="Times New Roman"/>
          <w:sz w:val="24"/>
          <w:szCs w:val="24"/>
        </w:rPr>
        <w:t>o Radzie Dialogu Społecznego i innych instytucjach dialogu społecznego</w:t>
      </w:r>
      <w:r w:rsidR="00CC0C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0CB7" w:rsidRPr="00CC0CB7">
        <w:rPr>
          <w:rFonts w:ascii="Times New Roman" w:eastAsia="Calibri" w:hAnsi="Times New Roman" w:cs="Times New Roman"/>
          <w:sz w:val="24"/>
          <w:szCs w:val="24"/>
        </w:rPr>
        <w:t>(Dz.U. z 2018 r. poz. 2232)</w:t>
      </w:r>
      <w:r w:rsidRPr="008545C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8263B" w:rsidRPr="00B3685C" w:rsidRDefault="0068263B" w:rsidP="0066124B">
      <w:pPr>
        <w:keepNext/>
        <w:numPr>
          <w:ilvl w:val="0"/>
          <w:numId w:val="11"/>
        </w:numPr>
        <w:suppressAutoHyphens/>
        <w:autoSpaceDE w:val="0"/>
        <w:autoSpaceDN w:val="0"/>
        <w:adjustRightInd w:val="0"/>
        <w:spacing w:before="480" w:after="240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9" w:name="ZrodlaFinansowania"/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Źródła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finansowania</w:t>
      </w:r>
      <w:bookmarkEnd w:id="9"/>
    </w:p>
    <w:p w:rsidR="00CA2B1D" w:rsidRPr="00B3685C" w:rsidRDefault="00CA2B1D" w:rsidP="00CA2B1D">
      <w:pPr>
        <w:pStyle w:val="USTustnpkodeksu"/>
        <w:rPr>
          <w:rFonts w:ascii="Times New Roman" w:hAnsi="Times New Roman" w:cs="Times New Roman"/>
          <w:szCs w:val="24"/>
        </w:rPr>
      </w:pPr>
      <w:r w:rsidRPr="00B3685C">
        <w:rPr>
          <w:rFonts w:ascii="Times New Roman" w:hAnsi="Times New Roman" w:cs="Times New Roman"/>
          <w:szCs w:val="24"/>
        </w:rPr>
        <w:t xml:space="preserve">Nie przewiduje się wpływu wykonania projektowanej ustawy na </w:t>
      </w:r>
      <w:r w:rsidR="00F30790">
        <w:rPr>
          <w:rFonts w:ascii="Times New Roman" w:hAnsi="Times New Roman" w:cs="Times New Roman"/>
          <w:szCs w:val="24"/>
        </w:rPr>
        <w:t xml:space="preserve">budżet państwa, </w:t>
      </w:r>
      <w:r w:rsidRPr="00B3685C">
        <w:rPr>
          <w:rFonts w:ascii="Times New Roman" w:hAnsi="Times New Roman" w:cs="Times New Roman"/>
          <w:szCs w:val="24"/>
        </w:rPr>
        <w:t>wydatki jednostek samorządu terytorialnego i ich jednostki organizacyjne i pozostałe jednostki sektora finansów publicznych</w:t>
      </w:r>
      <w:r w:rsidR="008C0AC2">
        <w:rPr>
          <w:rFonts w:ascii="Times New Roman" w:hAnsi="Times New Roman" w:cs="Times New Roman"/>
          <w:szCs w:val="24"/>
        </w:rPr>
        <w:t>.</w:t>
      </w:r>
    </w:p>
    <w:p w:rsidR="0068263B" w:rsidRPr="00B3685C" w:rsidRDefault="0068263B" w:rsidP="00A219B1">
      <w:pPr>
        <w:numPr>
          <w:ilvl w:val="0"/>
          <w:numId w:val="11"/>
        </w:numPr>
        <w:suppressAutoHyphens/>
        <w:autoSpaceDE w:val="0"/>
        <w:autoSpaceDN w:val="0"/>
        <w:adjustRightInd w:val="0"/>
        <w:spacing w:before="480" w:after="240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zgodności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projektu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ustawy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prawem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Unii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Europejskiej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F003F8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 </w:t>
      </w:r>
      <w:r w:rsidR="003E25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braku obowiązku przedstawienia projektu instytucjom Unii Europejskiej</w:t>
      </w:r>
    </w:p>
    <w:p w:rsidR="0068263B" w:rsidRPr="00B3685C" w:rsidRDefault="0068263B" w:rsidP="007230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685C">
        <w:rPr>
          <w:rFonts w:ascii="Times New Roman" w:hAnsi="Times New Roman" w:cs="Times New Roman"/>
          <w:sz w:val="24"/>
          <w:szCs w:val="24"/>
        </w:rPr>
        <w:t>Przedmiot</w:t>
      </w:r>
      <w:r w:rsidR="007A6C86" w:rsidRPr="00B3685C">
        <w:rPr>
          <w:rFonts w:ascii="Times New Roman" w:hAnsi="Times New Roman" w:cs="Times New Roman"/>
          <w:sz w:val="24"/>
          <w:szCs w:val="24"/>
        </w:rPr>
        <w:t xml:space="preserve"> </w:t>
      </w:r>
      <w:r w:rsidRPr="00B3685C">
        <w:rPr>
          <w:rFonts w:ascii="Times New Roman" w:hAnsi="Times New Roman" w:cs="Times New Roman"/>
          <w:sz w:val="24"/>
          <w:szCs w:val="24"/>
        </w:rPr>
        <w:t>projektowanej</w:t>
      </w:r>
      <w:r w:rsidR="007A6C86" w:rsidRPr="00B3685C">
        <w:rPr>
          <w:rFonts w:ascii="Times New Roman" w:hAnsi="Times New Roman" w:cs="Times New Roman"/>
          <w:sz w:val="24"/>
          <w:szCs w:val="24"/>
        </w:rPr>
        <w:t xml:space="preserve"> </w:t>
      </w:r>
      <w:r w:rsidRPr="00B3685C">
        <w:rPr>
          <w:rFonts w:ascii="Times New Roman" w:hAnsi="Times New Roman" w:cs="Times New Roman"/>
          <w:sz w:val="24"/>
          <w:szCs w:val="24"/>
        </w:rPr>
        <w:t>regulacji</w:t>
      </w:r>
      <w:r w:rsidR="007A6C86" w:rsidRPr="00B3685C">
        <w:rPr>
          <w:rFonts w:ascii="Times New Roman" w:hAnsi="Times New Roman" w:cs="Times New Roman"/>
          <w:sz w:val="24"/>
          <w:szCs w:val="24"/>
        </w:rPr>
        <w:t xml:space="preserve"> </w:t>
      </w:r>
      <w:r w:rsidRPr="00B3685C">
        <w:rPr>
          <w:rFonts w:ascii="Times New Roman" w:hAnsi="Times New Roman" w:cs="Times New Roman"/>
          <w:sz w:val="24"/>
          <w:szCs w:val="24"/>
        </w:rPr>
        <w:t>nie</w:t>
      </w:r>
      <w:r w:rsidR="007A6C86" w:rsidRPr="00B3685C">
        <w:rPr>
          <w:rFonts w:ascii="Times New Roman" w:hAnsi="Times New Roman" w:cs="Times New Roman"/>
          <w:sz w:val="24"/>
          <w:szCs w:val="24"/>
        </w:rPr>
        <w:t xml:space="preserve"> </w:t>
      </w:r>
      <w:r w:rsidRPr="00B3685C">
        <w:rPr>
          <w:rFonts w:ascii="Times New Roman" w:hAnsi="Times New Roman" w:cs="Times New Roman"/>
          <w:sz w:val="24"/>
          <w:szCs w:val="24"/>
        </w:rPr>
        <w:t>jest</w:t>
      </w:r>
      <w:r w:rsidR="007A6C86" w:rsidRPr="00B3685C">
        <w:rPr>
          <w:rFonts w:ascii="Times New Roman" w:hAnsi="Times New Roman" w:cs="Times New Roman"/>
          <w:sz w:val="24"/>
          <w:szCs w:val="24"/>
        </w:rPr>
        <w:t xml:space="preserve"> </w:t>
      </w:r>
      <w:r w:rsidRPr="00B3685C">
        <w:rPr>
          <w:rFonts w:ascii="Times New Roman" w:hAnsi="Times New Roman" w:cs="Times New Roman"/>
          <w:sz w:val="24"/>
          <w:szCs w:val="24"/>
        </w:rPr>
        <w:t>objęty</w:t>
      </w:r>
      <w:r w:rsidR="007A6C86" w:rsidRPr="00B3685C">
        <w:rPr>
          <w:rFonts w:ascii="Times New Roman" w:hAnsi="Times New Roman" w:cs="Times New Roman"/>
          <w:sz w:val="24"/>
          <w:szCs w:val="24"/>
        </w:rPr>
        <w:t xml:space="preserve"> </w:t>
      </w:r>
      <w:r w:rsidRPr="00B3685C">
        <w:rPr>
          <w:rFonts w:ascii="Times New Roman" w:hAnsi="Times New Roman" w:cs="Times New Roman"/>
          <w:sz w:val="24"/>
          <w:szCs w:val="24"/>
        </w:rPr>
        <w:t>zakresem</w:t>
      </w:r>
      <w:r w:rsidR="007A6C86" w:rsidRPr="00B3685C">
        <w:rPr>
          <w:rFonts w:ascii="Times New Roman" w:hAnsi="Times New Roman" w:cs="Times New Roman"/>
          <w:sz w:val="24"/>
          <w:szCs w:val="24"/>
        </w:rPr>
        <w:t xml:space="preserve"> </w:t>
      </w:r>
      <w:r w:rsidRPr="00B3685C">
        <w:rPr>
          <w:rFonts w:ascii="Times New Roman" w:hAnsi="Times New Roman" w:cs="Times New Roman"/>
          <w:sz w:val="24"/>
          <w:szCs w:val="24"/>
        </w:rPr>
        <w:t>prawa</w:t>
      </w:r>
      <w:r w:rsidR="007A6C86" w:rsidRPr="00B3685C">
        <w:rPr>
          <w:rFonts w:ascii="Times New Roman" w:hAnsi="Times New Roman" w:cs="Times New Roman"/>
          <w:sz w:val="24"/>
          <w:szCs w:val="24"/>
        </w:rPr>
        <w:t xml:space="preserve"> </w:t>
      </w:r>
      <w:r w:rsidRPr="00B3685C">
        <w:rPr>
          <w:rFonts w:ascii="Times New Roman" w:hAnsi="Times New Roman" w:cs="Times New Roman"/>
          <w:sz w:val="24"/>
          <w:szCs w:val="24"/>
        </w:rPr>
        <w:t>Unii</w:t>
      </w:r>
      <w:r w:rsidR="007A6C86" w:rsidRPr="00B3685C">
        <w:rPr>
          <w:rFonts w:ascii="Times New Roman" w:hAnsi="Times New Roman" w:cs="Times New Roman"/>
          <w:sz w:val="24"/>
          <w:szCs w:val="24"/>
        </w:rPr>
        <w:t xml:space="preserve"> </w:t>
      </w:r>
      <w:r w:rsidRPr="00B3685C">
        <w:rPr>
          <w:rFonts w:ascii="Times New Roman" w:hAnsi="Times New Roman" w:cs="Times New Roman"/>
          <w:sz w:val="24"/>
          <w:szCs w:val="24"/>
        </w:rPr>
        <w:t>Europejskiej</w:t>
      </w:r>
      <w:r w:rsidR="00BF29E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663E" w:rsidRPr="00B3685C" w:rsidRDefault="0057663E" w:rsidP="007230B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nie podlega przedstawieniu właściwym organom i instytucjom Unii Europejskiej, w tym Europejskiemu Bankowi Centralnemu, w celu uzyskania opinii, dokonania powiadomienia, konsultacji albo uzgodnienia.</w:t>
      </w:r>
    </w:p>
    <w:p w:rsidR="0068263B" w:rsidRPr="00B3685C" w:rsidRDefault="00D41140" w:rsidP="00A219B1">
      <w:pPr>
        <w:numPr>
          <w:ilvl w:val="0"/>
          <w:numId w:val="11"/>
        </w:numPr>
        <w:suppressAutoHyphens/>
        <w:autoSpaceDE w:val="0"/>
        <w:autoSpaceDN w:val="0"/>
        <w:adjustRightInd w:val="0"/>
        <w:spacing w:before="480" w:after="240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Brak obowiązku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notyfikacji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przepisami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dotyczącymi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funkcjonowania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krajowego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systemu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notyfikacji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norm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aktów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8263B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prawnych</w:t>
      </w:r>
    </w:p>
    <w:p w:rsidR="0068263B" w:rsidRPr="00B3685C" w:rsidRDefault="0068263B" w:rsidP="00414C94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przepisów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technicznych</w:t>
      </w:r>
      <w:r w:rsidR="00BB766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podlega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notyfikacji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F003F8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rozumieniu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przepisów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Rady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Ministrów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dnia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2002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F003F8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sprawie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sposobu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funkcjonowania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krajowego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systemu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notyfikacji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norm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aktów</w:t>
      </w:r>
      <w:r w:rsidR="007A6C86"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prawnych</w:t>
      </w:r>
      <w:r w:rsidR="00CC0C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CC0CB7" w:rsidRPr="00CC0CB7">
        <w:rPr>
          <w:rFonts w:ascii="Times New Roman" w:eastAsia="Times New Roman" w:hAnsi="Times New Roman" w:cs="Times New Roman"/>
          <w:sz w:val="24"/>
          <w:szCs w:val="24"/>
          <w:lang w:eastAsia="pl-PL"/>
        </w:rPr>
        <w:t>Dz.</w:t>
      </w:r>
      <w:r w:rsidR="00880C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C0CB7" w:rsidRPr="00CC0CB7">
        <w:rPr>
          <w:rFonts w:ascii="Times New Roman" w:eastAsia="Times New Roman" w:hAnsi="Times New Roman" w:cs="Times New Roman"/>
          <w:sz w:val="24"/>
          <w:szCs w:val="24"/>
          <w:lang w:eastAsia="pl-PL"/>
        </w:rPr>
        <w:t>U. poz. 2039</w:t>
      </w:r>
      <w:r w:rsidR="008C0AC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CC0CB7" w:rsidRPr="00CC0C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 zm.</w:t>
      </w:r>
      <w:r w:rsidR="00CC0CB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B368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8263B" w:rsidRPr="00B3685C" w:rsidRDefault="0068263B" w:rsidP="001C0246">
      <w:pPr>
        <w:keepNext/>
        <w:numPr>
          <w:ilvl w:val="0"/>
          <w:numId w:val="11"/>
        </w:numPr>
        <w:suppressAutoHyphens/>
        <w:autoSpaceDE w:val="0"/>
        <w:autoSpaceDN w:val="0"/>
        <w:adjustRightInd w:val="0"/>
        <w:spacing w:before="480" w:after="240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Wpływ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działalność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mikroprzedsiębiorców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oraz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małych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średnich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przedsiębiorców.</w:t>
      </w:r>
    </w:p>
    <w:p w:rsidR="00265F8D" w:rsidRPr="00265F8D" w:rsidRDefault="00265F8D" w:rsidP="00265F8D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265F8D">
        <w:rPr>
          <w:rFonts w:ascii="Times New Roman" w:eastAsiaTheme="minorEastAsia" w:hAnsi="Times New Roman" w:cs="Times New Roman"/>
          <w:sz w:val="24"/>
          <w:szCs w:val="24"/>
          <w:lang w:eastAsia="pl-PL"/>
        </w:rPr>
        <w:t>Współudział w budowie oszczędności emerytalnych pracowników, możliwość kształtowania polityki kadrowej – ewentualne podniesienie wpłaty pracodawcy ponad obowiązkowe 1,5% płacy może zatrzymać kluczowych pracowników, przyciągać z rynku specjalistów, redukować rotację i koszty związane z rekrutacją.</w:t>
      </w:r>
    </w:p>
    <w:p w:rsidR="0068263B" w:rsidRPr="00B3685C" w:rsidRDefault="0068263B" w:rsidP="001C0246">
      <w:pPr>
        <w:keepNext/>
        <w:numPr>
          <w:ilvl w:val="0"/>
          <w:numId w:val="11"/>
        </w:numPr>
        <w:suppressAutoHyphens/>
        <w:autoSpaceDE w:val="0"/>
        <w:autoSpaceDN w:val="0"/>
        <w:adjustRightInd w:val="0"/>
        <w:spacing w:before="480" w:after="240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Konsultacje</w:t>
      </w:r>
      <w:r w:rsidR="007A6C86" w:rsidRPr="00B3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22100E" w:rsidRPr="0022100E" w:rsidRDefault="0022100E" w:rsidP="0022100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22100E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Projekt był </w:t>
      </w:r>
      <w:r w:rsidR="008C0AC2">
        <w:rPr>
          <w:rFonts w:ascii="Times New Roman" w:eastAsiaTheme="minorEastAsia" w:hAnsi="Times New Roman" w:cs="Times New Roman"/>
          <w:sz w:val="24"/>
          <w:szCs w:val="24"/>
          <w:lang w:eastAsia="pl-PL"/>
        </w:rPr>
        <w:t>uzg</w:t>
      </w:r>
      <w:r w:rsidR="00A011DC">
        <w:rPr>
          <w:rFonts w:ascii="Times New Roman" w:eastAsiaTheme="minorEastAsia" w:hAnsi="Times New Roman" w:cs="Times New Roman"/>
          <w:sz w:val="24"/>
          <w:szCs w:val="24"/>
          <w:lang w:eastAsia="pl-PL"/>
        </w:rPr>
        <w:t>a</w:t>
      </w:r>
      <w:r w:rsidR="008C0AC2">
        <w:rPr>
          <w:rFonts w:ascii="Times New Roman" w:eastAsiaTheme="minorEastAsia" w:hAnsi="Times New Roman" w:cs="Times New Roman"/>
          <w:sz w:val="24"/>
          <w:szCs w:val="24"/>
          <w:lang w:eastAsia="pl-PL"/>
        </w:rPr>
        <w:t>dni</w:t>
      </w:r>
      <w:r w:rsidR="00A011DC">
        <w:rPr>
          <w:rFonts w:ascii="Times New Roman" w:eastAsiaTheme="minorEastAsia" w:hAnsi="Times New Roman" w:cs="Times New Roman"/>
          <w:sz w:val="24"/>
          <w:szCs w:val="24"/>
          <w:lang w:eastAsia="pl-PL"/>
        </w:rPr>
        <w:t>a</w:t>
      </w:r>
      <w:r w:rsidR="008C0AC2">
        <w:rPr>
          <w:rFonts w:ascii="Times New Roman" w:eastAsiaTheme="minorEastAsia" w:hAnsi="Times New Roman" w:cs="Times New Roman"/>
          <w:sz w:val="24"/>
          <w:szCs w:val="24"/>
          <w:lang w:eastAsia="pl-PL"/>
        </w:rPr>
        <w:t>ny</w:t>
      </w:r>
      <w:r w:rsidRPr="0022100E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jako część</w:t>
      </w:r>
      <w:r w:rsidR="00CC0CB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22100E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projektu ustawy o systemie instytucji rozwoju oraz o zmianie niektórych innych ustaw (dalej </w:t>
      </w:r>
      <w:r w:rsidR="00265F8D">
        <w:rPr>
          <w:rFonts w:ascii="Times New Roman" w:eastAsiaTheme="minorEastAsia" w:hAnsi="Times New Roman" w:cs="Times New Roman"/>
          <w:sz w:val="24"/>
          <w:szCs w:val="24"/>
          <w:lang w:eastAsia="pl-PL"/>
        </w:rPr>
        <w:t>„</w:t>
      </w:r>
      <w:r w:rsidRPr="00221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projekt UD 336</w:t>
      </w:r>
      <w:r w:rsidR="00265F8D">
        <w:rPr>
          <w:rFonts w:ascii="Times New Roman" w:eastAsiaTheme="minorEastAsia" w:hAnsi="Times New Roman" w:cs="Times New Roman"/>
          <w:sz w:val="24"/>
          <w:szCs w:val="24"/>
          <w:lang w:eastAsia="pl-PL"/>
        </w:rPr>
        <w:t>”</w:t>
      </w:r>
      <w:r w:rsidRPr="00221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).</w:t>
      </w:r>
    </w:p>
    <w:p w:rsidR="0022100E" w:rsidRPr="0022100E" w:rsidRDefault="0022100E" w:rsidP="0022100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221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Projekt UD336 został udostępniony w Biuletynie Informacji Publicznej Ministerstwa Przedsiębiorczości i Technologii zgodnie z art. 5 ustawy z dnia 7 lipca 2005 r. o działalności lobbingowej w procesie stanowienia prawa (Dz. U. z 2017 r. poz. 248) oraz w Biuletynie Informacji Publicznej Rządowego Centrum Legislacji, zgodnie z § 52 uchwały nr 190 Rady Ministrów z dnia 29 października 2013 r.</w:t>
      </w:r>
      <w:r w:rsidR="00CC0CB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22100E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– Regulamin pracy Rady Ministrów (M.P. z 2016 r. poz. </w:t>
      </w:r>
      <w:r w:rsidR="008C0AC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1006, </w:t>
      </w:r>
      <w:r w:rsidRPr="00221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z późn. zm.).</w:t>
      </w:r>
    </w:p>
    <w:p w:rsidR="0022100E" w:rsidRPr="0022100E" w:rsidRDefault="008C0AC2" w:rsidP="0022100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P</w:t>
      </w:r>
      <w:r w:rsidR="0022100E" w:rsidRPr="00221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rojektu UD 336 został w dniu 15 marca br. skierowany do zaopiniowania przez wszystkich członków Rady Dialogu Społecznego. Z uwagi na znaczenie projektu ustawy dla funkcjonowania instytucji rozwoju, a także ze względu na pilną potrzebę wprowadzenia projektowanych rozwiązań poproszono członków Rady o przedstawienie uwag w terminie do 8 kwietnia. Uwagi do projektu zgłosiła Konfederacja Lewiatan.</w:t>
      </w:r>
    </w:p>
    <w:sectPr w:rsidR="0022100E" w:rsidRPr="0022100E" w:rsidSect="005F1494">
      <w:footerReference w:type="default" r:id="rId8"/>
      <w:pgSz w:w="11906" w:h="16838"/>
      <w:pgMar w:top="1531" w:right="1531" w:bottom="1531" w:left="1531" w:header="70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6EB" w:rsidRDefault="00C516EB" w:rsidP="007313FD">
      <w:pPr>
        <w:spacing w:after="0" w:line="240" w:lineRule="auto"/>
      </w:pPr>
      <w:r>
        <w:separator/>
      </w:r>
    </w:p>
  </w:endnote>
  <w:endnote w:type="continuationSeparator" w:id="0">
    <w:p w:rsidR="00C516EB" w:rsidRDefault="00C516EB" w:rsidP="00731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42648833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FE7840" w:rsidRPr="00644BE4" w:rsidRDefault="00FE7840" w:rsidP="00496D83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44BE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44BE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44BE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34D4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644BE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E7840" w:rsidRDefault="00FE78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6EB" w:rsidRDefault="00C516EB" w:rsidP="007313FD">
      <w:pPr>
        <w:spacing w:after="0" w:line="240" w:lineRule="auto"/>
        <w:rPr>
          <w:rFonts w:ascii="Times New Roman" w:hAnsi="Times New Roman" w:cs="Times New Roman"/>
          <w:sz w:val="8"/>
          <w:szCs w:val="16"/>
        </w:rPr>
      </w:pPr>
    </w:p>
    <w:p w:rsidR="00C516EB" w:rsidRDefault="00C516EB" w:rsidP="007313FD">
      <w:pPr>
        <w:spacing w:after="0" w:line="240" w:lineRule="auto"/>
      </w:pPr>
      <w:r>
        <w:separator/>
      </w:r>
    </w:p>
    <w:p w:rsidR="00C516EB" w:rsidRDefault="00C516EB" w:rsidP="007313FD">
      <w:pPr>
        <w:spacing w:after="0" w:line="240" w:lineRule="auto"/>
        <w:rPr>
          <w:rFonts w:ascii="Times New Roman" w:hAnsi="Times New Roman" w:cs="Times New Roman"/>
          <w:sz w:val="8"/>
          <w:szCs w:val="16"/>
        </w:rPr>
      </w:pPr>
    </w:p>
  </w:footnote>
  <w:footnote w:type="continuationSeparator" w:id="0">
    <w:p w:rsidR="00C516EB" w:rsidRDefault="00C516EB" w:rsidP="00731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1F6"/>
    <w:multiLevelType w:val="hybridMultilevel"/>
    <w:tmpl w:val="8076C7EC"/>
    <w:lvl w:ilvl="0" w:tplc="328EE8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36BEE"/>
    <w:multiLevelType w:val="hybridMultilevel"/>
    <w:tmpl w:val="8E34C206"/>
    <w:lvl w:ilvl="0" w:tplc="777A23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1D90092"/>
    <w:multiLevelType w:val="hybridMultilevel"/>
    <w:tmpl w:val="22D806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D72C7A"/>
    <w:multiLevelType w:val="hybridMultilevel"/>
    <w:tmpl w:val="DB362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943AC0"/>
    <w:multiLevelType w:val="hybridMultilevel"/>
    <w:tmpl w:val="8654AEAA"/>
    <w:lvl w:ilvl="0" w:tplc="82BE12F4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B124A"/>
    <w:multiLevelType w:val="hybridMultilevel"/>
    <w:tmpl w:val="193EAA0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4C2D27"/>
    <w:multiLevelType w:val="hybridMultilevel"/>
    <w:tmpl w:val="19A64596"/>
    <w:lvl w:ilvl="0" w:tplc="CDF24B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EED4FA0A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9C4DA4"/>
    <w:multiLevelType w:val="hybridMultilevel"/>
    <w:tmpl w:val="C75EEEEE"/>
    <w:lvl w:ilvl="0" w:tplc="3E4A18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915A37"/>
    <w:multiLevelType w:val="hybridMultilevel"/>
    <w:tmpl w:val="C53AB804"/>
    <w:lvl w:ilvl="0" w:tplc="A69EA260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6B6244"/>
    <w:multiLevelType w:val="hybridMultilevel"/>
    <w:tmpl w:val="1ABAAA56"/>
    <w:lvl w:ilvl="0" w:tplc="9D2C0646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0" w15:restartNumberingAfterBreak="0">
    <w:nsid w:val="27AE7045"/>
    <w:multiLevelType w:val="hybridMultilevel"/>
    <w:tmpl w:val="E7BEEEF4"/>
    <w:lvl w:ilvl="0" w:tplc="4246D2AE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D56C49"/>
    <w:multiLevelType w:val="hybridMultilevel"/>
    <w:tmpl w:val="90323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B2E0A"/>
    <w:multiLevelType w:val="hybridMultilevel"/>
    <w:tmpl w:val="453C7A0C"/>
    <w:lvl w:ilvl="0" w:tplc="CD20D678">
      <w:start w:val="1"/>
      <w:numFmt w:val="decimal"/>
      <w:lvlText w:val="%1."/>
      <w:lvlJc w:val="left"/>
      <w:pPr>
        <w:ind w:left="791" w:hanging="360"/>
      </w:pPr>
      <w:rPr>
        <w:rFonts w:hint="default"/>
      </w:rPr>
    </w:lvl>
    <w:lvl w:ilvl="1" w:tplc="A9886AE8">
      <w:start w:val="1"/>
      <w:numFmt w:val="decimal"/>
      <w:lvlText w:val="%2)"/>
      <w:lvlJc w:val="left"/>
      <w:pPr>
        <w:ind w:left="1511" w:hanging="360"/>
      </w:pPr>
      <w:rPr>
        <w:rFonts w:ascii="Times New Roman" w:eastAsiaTheme="minorHAns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3" w15:restartNumberingAfterBreak="0">
    <w:nsid w:val="31500A45"/>
    <w:multiLevelType w:val="hybridMultilevel"/>
    <w:tmpl w:val="19A64596"/>
    <w:lvl w:ilvl="0" w:tplc="CDF24B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EED4FA0A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7D7F14"/>
    <w:multiLevelType w:val="hybridMultilevel"/>
    <w:tmpl w:val="00E6EB28"/>
    <w:lvl w:ilvl="0" w:tplc="328EE8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54732BF"/>
    <w:multiLevelType w:val="hybridMultilevel"/>
    <w:tmpl w:val="F8B015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0B03BA"/>
    <w:multiLevelType w:val="hybridMultilevel"/>
    <w:tmpl w:val="2DB02B04"/>
    <w:lvl w:ilvl="0" w:tplc="CDF24B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C5BDA"/>
    <w:multiLevelType w:val="hybridMultilevel"/>
    <w:tmpl w:val="F328CCC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B51892"/>
    <w:multiLevelType w:val="hybridMultilevel"/>
    <w:tmpl w:val="7D2210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956A8"/>
    <w:multiLevelType w:val="hybridMultilevel"/>
    <w:tmpl w:val="76925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42AE0"/>
    <w:multiLevelType w:val="hybridMultilevel"/>
    <w:tmpl w:val="C8F02142"/>
    <w:lvl w:ilvl="0" w:tplc="777A23F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65112C"/>
    <w:multiLevelType w:val="hybridMultilevel"/>
    <w:tmpl w:val="417A4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E9618A"/>
    <w:multiLevelType w:val="hybridMultilevel"/>
    <w:tmpl w:val="6F56C2FC"/>
    <w:lvl w:ilvl="0" w:tplc="CDF24B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597454"/>
    <w:multiLevelType w:val="hybridMultilevel"/>
    <w:tmpl w:val="23FCD69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63F786A"/>
    <w:multiLevelType w:val="hybridMultilevel"/>
    <w:tmpl w:val="B97A27E2"/>
    <w:lvl w:ilvl="0" w:tplc="C1625606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D443E"/>
    <w:multiLevelType w:val="hybridMultilevel"/>
    <w:tmpl w:val="A39C31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8E1FDA"/>
    <w:multiLevelType w:val="hybridMultilevel"/>
    <w:tmpl w:val="A4A4CD02"/>
    <w:lvl w:ilvl="0" w:tplc="0A7A4E74">
      <w:start w:val="1"/>
      <w:numFmt w:val="decimal"/>
      <w:lvlText w:val="%1)"/>
      <w:lvlJc w:val="left"/>
      <w:pPr>
        <w:ind w:left="5179" w:hanging="360"/>
      </w:pPr>
      <w:rPr>
        <w:rFonts w:hint="default"/>
      </w:rPr>
    </w:lvl>
    <w:lvl w:ilvl="1" w:tplc="1C58E740">
      <w:start w:val="1"/>
      <w:numFmt w:val="decimal"/>
      <w:lvlText w:val="Art. %2."/>
      <w:lvlJc w:val="left"/>
      <w:pPr>
        <w:ind w:left="5899" w:hanging="360"/>
      </w:pPr>
      <w:rPr>
        <w:rFonts w:hint="default"/>
        <w:b/>
        <w:spacing w:val="0"/>
        <w:w w:val="100"/>
        <w:kern w:val="0"/>
        <w:position w:val="0"/>
        <w14:cntxtAlts w14:val="0"/>
      </w:rPr>
    </w:lvl>
    <w:lvl w:ilvl="2" w:tplc="0415001B" w:tentative="1">
      <w:start w:val="1"/>
      <w:numFmt w:val="lowerRoman"/>
      <w:lvlText w:val="%3."/>
      <w:lvlJc w:val="right"/>
      <w:pPr>
        <w:ind w:left="6619" w:hanging="180"/>
      </w:pPr>
    </w:lvl>
    <w:lvl w:ilvl="3" w:tplc="0415000F" w:tentative="1">
      <w:start w:val="1"/>
      <w:numFmt w:val="decimal"/>
      <w:lvlText w:val="%4."/>
      <w:lvlJc w:val="left"/>
      <w:pPr>
        <w:ind w:left="7339" w:hanging="360"/>
      </w:pPr>
    </w:lvl>
    <w:lvl w:ilvl="4" w:tplc="04150019" w:tentative="1">
      <w:start w:val="1"/>
      <w:numFmt w:val="lowerLetter"/>
      <w:lvlText w:val="%5."/>
      <w:lvlJc w:val="left"/>
      <w:pPr>
        <w:ind w:left="8059" w:hanging="360"/>
      </w:pPr>
    </w:lvl>
    <w:lvl w:ilvl="5" w:tplc="0415001B" w:tentative="1">
      <w:start w:val="1"/>
      <w:numFmt w:val="lowerRoman"/>
      <w:lvlText w:val="%6."/>
      <w:lvlJc w:val="right"/>
      <w:pPr>
        <w:ind w:left="8779" w:hanging="180"/>
      </w:pPr>
    </w:lvl>
    <w:lvl w:ilvl="6" w:tplc="0415000F" w:tentative="1">
      <w:start w:val="1"/>
      <w:numFmt w:val="decimal"/>
      <w:lvlText w:val="%7."/>
      <w:lvlJc w:val="left"/>
      <w:pPr>
        <w:ind w:left="9499" w:hanging="360"/>
      </w:pPr>
    </w:lvl>
    <w:lvl w:ilvl="7" w:tplc="04150019" w:tentative="1">
      <w:start w:val="1"/>
      <w:numFmt w:val="lowerLetter"/>
      <w:lvlText w:val="%8."/>
      <w:lvlJc w:val="left"/>
      <w:pPr>
        <w:ind w:left="10219" w:hanging="360"/>
      </w:pPr>
    </w:lvl>
    <w:lvl w:ilvl="8" w:tplc="0415001B" w:tentative="1">
      <w:start w:val="1"/>
      <w:numFmt w:val="lowerRoman"/>
      <w:lvlText w:val="%9."/>
      <w:lvlJc w:val="right"/>
      <w:pPr>
        <w:ind w:left="10939" w:hanging="180"/>
      </w:pPr>
    </w:lvl>
  </w:abstractNum>
  <w:abstractNum w:abstractNumId="27" w15:restartNumberingAfterBreak="0">
    <w:nsid w:val="5C8536E8"/>
    <w:multiLevelType w:val="hybridMultilevel"/>
    <w:tmpl w:val="30604E6A"/>
    <w:lvl w:ilvl="0" w:tplc="685AC69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134222"/>
    <w:multiLevelType w:val="hybridMultilevel"/>
    <w:tmpl w:val="0C06C0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992730"/>
    <w:multiLevelType w:val="hybridMultilevel"/>
    <w:tmpl w:val="1638D336"/>
    <w:lvl w:ilvl="0" w:tplc="328EE8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651EE1"/>
    <w:multiLevelType w:val="hybridMultilevel"/>
    <w:tmpl w:val="317600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AE0813"/>
    <w:multiLevelType w:val="hybridMultilevel"/>
    <w:tmpl w:val="F64E9A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E935373"/>
    <w:multiLevelType w:val="hybridMultilevel"/>
    <w:tmpl w:val="5D90A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DC3494"/>
    <w:multiLevelType w:val="hybridMultilevel"/>
    <w:tmpl w:val="C46A9E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B7063C"/>
    <w:multiLevelType w:val="hybridMultilevel"/>
    <w:tmpl w:val="CD9A407C"/>
    <w:lvl w:ilvl="0" w:tplc="328EE8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AC655C2"/>
    <w:multiLevelType w:val="hybridMultilevel"/>
    <w:tmpl w:val="7D2210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3"/>
  </w:num>
  <w:num w:numId="5">
    <w:abstractNumId w:val="21"/>
  </w:num>
  <w:num w:numId="6">
    <w:abstractNumId w:val="18"/>
  </w:num>
  <w:num w:numId="7">
    <w:abstractNumId w:val="35"/>
  </w:num>
  <w:num w:numId="8">
    <w:abstractNumId w:val="25"/>
  </w:num>
  <w:num w:numId="9">
    <w:abstractNumId w:val="12"/>
  </w:num>
  <w:num w:numId="10">
    <w:abstractNumId w:val="26"/>
  </w:num>
  <w:num w:numId="11">
    <w:abstractNumId w:val="11"/>
  </w:num>
  <w:num w:numId="12">
    <w:abstractNumId w:val="32"/>
  </w:num>
  <w:num w:numId="13">
    <w:abstractNumId w:val="28"/>
  </w:num>
  <w:num w:numId="14">
    <w:abstractNumId w:val="7"/>
  </w:num>
  <w:num w:numId="15">
    <w:abstractNumId w:val="33"/>
  </w:num>
  <w:num w:numId="16">
    <w:abstractNumId w:val="31"/>
  </w:num>
  <w:num w:numId="17">
    <w:abstractNumId w:val="10"/>
  </w:num>
  <w:num w:numId="18">
    <w:abstractNumId w:val="20"/>
  </w:num>
  <w:num w:numId="19">
    <w:abstractNumId w:val="1"/>
  </w:num>
  <w:num w:numId="20">
    <w:abstractNumId w:val="8"/>
  </w:num>
  <w:num w:numId="21">
    <w:abstractNumId w:val="0"/>
  </w:num>
  <w:num w:numId="22">
    <w:abstractNumId w:val="29"/>
  </w:num>
  <w:num w:numId="23">
    <w:abstractNumId w:val="15"/>
  </w:num>
  <w:num w:numId="24">
    <w:abstractNumId w:val="30"/>
  </w:num>
  <w:num w:numId="25">
    <w:abstractNumId w:val="23"/>
  </w:num>
  <w:num w:numId="26">
    <w:abstractNumId w:val="6"/>
  </w:num>
  <w:num w:numId="27">
    <w:abstractNumId w:val="22"/>
  </w:num>
  <w:num w:numId="28">
    <w:abstractNumId w:val="4"/>
  </w:num>
  <w:num w:numId="29">
    <w:abstractNumId w:val="17"/>
  </w:num>
  <w:num w:numId="30">
    <w:abstractNumId w:val="14"/>
  </w:num>
  <w:num w:numId="31">
    <w:abstractNumId w:val="34"/>
  </w:num>
  <w:num w:numId="32">
    <w:abstractNumId w:val="2"/>
  </w:num>
  <w:num w:numId="33">
    <w:abstractNumId w:val="13"/>
  </w:num>
  <w:num w:numId="34">
    <w:abstractNumId w:val="16"/>
  </w:num>
  <w:num w:numId="35">
    <w:abstractNumId w:val="5"/>
  </w:num>
  <w:num w:numId="36">
    <w:abstractNumId w:val="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FD"/>
    <w:rsid w:val="00000E5A"/>
    <w:rsid w:val="0000181A"/>
    <w:rsid w:val="00002BA4"/>
    <w:rsid w:val="00005C73"/>
    <w:rsid w:val="00005FA2"/>
    <w:rsid w:val="0001089C"/>
    <w:rsid w:val="0001112E"/>
    <w:rsid w:val="00016037"/>
    <w:rsid w:val="00016627"/>
    <w:rsid w:val="00016ABB"/>
    <w:rsid w:val="00017458"/>
    <w:rsid w:val="00017EF6"/>
    <w:rsid w:val="0002179C"/>
    <w:rsid w:val="00021CD1"/>
    <w:rsid w:val="00021D23"/>
    <w:rsid w:val="00025B41"/>
    <w:rsid w:val="00034076"/>
    <w:rsid w:val="00035890"/>
    <w:rsid w:val="00035D28"/>
    <w:rsid w:val="00041657"/>
    <w:rsid w:val="00042316"/>
    <w:rsid w:val="00042B13"/>
    <w:rsid w:val="00042EAB"/>
    <w:rsid w:val="000450BA"/>
    <w:rsid w:val="00045570"/>
    <w:rsid w:val="00045BA0"/>
    <w:rsid w:val="00046DB0"/>
    <w:rsid w:val="00050281"/>
    <w:rsid w:val="00050755"/>
    <w:rsid w:val="00050C2F"/>
    <w:rsid w:val="00057EA3"/>
    <w:rsid w:val="000613EF"/>
    <w:rsid w:val="00062086"/>
    <w:rsid w:val="000620E4"/>
    <w:rsid w:val="000646C1"/>
    <w:rsid w:val="00064B6B"/>
    <w:rsid w:val="000665BC"/>
    <w:rsid w:val="00067668"/>
    <w:rsid w:val="0007218E"/>
    <w:rsid w:val="0007297A"/>
    <w:rsid w:val="000737AA"/>
    <w:rsid w:val="00076242"/>
    <w:rsid w:val="00076568"/>
    <w:rsid w:val="000818E0"/>
    <w:rsid w:val="00081BB4"/>
    <w:rsid w:val="000826C0"/>
    <w:rsid w:val="00082DA6"/>
    <w:rsid w:val="00083A10"/>
    <w:rsid w:val="00083CD7"/>
    <w:rsid w:val="00086048"/>
    <w:rsid w:val="00086E51"/>
    <w:rsid w:val="00087451"/>
    <w:rsid w:val="000911EB"/>
    <w:rsid w:val="00091510"/>
    <w:rsid w:val="00094694"/>
    <w:rsid w:val="000A0286"/>
    <w:rsid w:val="000A38FA"/>
    <w:rsid w:val="000A5C2C"/>
    <w:rsid w:val="000A6040"/>
    <w:rsid w:val="000A749E"/>
    <w:rsid w:val="000A76CF"/>
    <w:rsid w:val="000A782C"/>
    <w:rsid w:val="000A7F7C"/>
    <w:rsid w:val="000B0A5E"/>
    <w:rsid w:val="000B24F1"/>
    <w:rsid w:val="000B3780"/>
    <w:rsid w:val="000B68F1"/>
    <w:rsid w:val="000B7A3D"/>
    <w:rsid w:val="000B7B49"/>
    <w:rsid w:val="000C002C"/>
    <w:rsid w:val="000C182F"/>
    <w:rsid w:val="000C20E1"/>
    <w:rsid w:val="000C4676"/>
    <w:rsid w:val="000C4C8B"/>
    <w:rsid w:val="000C551B"/>
    <w:rsid w:val="000C76BB"/>
    <w:rsid w:val="000D018D"/>
    <w:rsid w:val="000D26B6"/>
    <w:rsid w:val="000D353A"/>
    <w:rsid w:val="000D778C"/>
    <w:rsid w:val="000E10CB"/>
    <w:rsid w:val="000E17C5"/>
    <w:rsid w:val="000E2B9D"/>
    <w:rsid w:val="000E44FC"/>
    <w:rsid w:val="000E5BB8"/>
    <w:rsid w:val="000E66C0"/>
    <w:rsid w:val="000E6749"/>
    <w:rsid w:val="000E6F2F"/>
    <w:rsid w:val="000E71F5"/>
    <w:rsid w:val="000E795F"/>
    <w:rsid w:val="000F075F"/>
    <w:rsid w:val="000F15A3"/>
    <w:rsid w:val="000F2B1E"/>
    <w:rsid w:val="000F4642"/>
    <w:rsid w:val="00100928"/>
    <w:rsid w:val="00101751"/>
    <w:rsid w:val="0010184C"/>
    <w:rsid w:val="00101CEC"/>
    <w:rsid w:val="00104855"/>
    <w:rsid w:val="001060C1"/>
    <w:rsid w:val="00114A63"/>
    <w:rsid w:val="0011548C"/>
    <w:rsid w:val="00117531"/>
    <w:rsid w:val="001210B4"/>
    <w:rsid w:val="0012195B"/>
    <w:rsid w:val="00123DE9"/>
    <w:rsid w:val="00123F15"/>
    <w:rsid w:val="00124DE8"/>
    <w:rsid w:val="00125047"/>
    <w:rsid w:val="00125F16"/>
    <w:rsid w:val="001275E3"/>
    <w:rsid w:val="00127936"/>
    <w:rsid w:val="00130D65"/>
    <w:rsid w:val="00130D6E"/>
    <w:rsid w:val="00131940"/>
    <w:rsid w:val="001324D1"/>
    <w:rsid w:val="00134749"/>
    <w:rsid w:val="00134DD2"/>
    <w:rsid w:val="00134EDF"/>
    <w:rsid w:val="001356DC"/>
    <w:rsid w:val="0013602C"/>
    <w:rsid w:val="001372AC"/>
    <w:rsid w:val="001379D8"/>
    <w:rsid w:val="00137EB4"/>
    <w:rsid w:val="00141415"/>
    <w:rsid w:val="00141F5A"/>
    <w:rsid w:val="001427DE"/>
    <w:rsid w:val="00142807"/>
    <w:rsid w:val="001447A9"/>
    <w:rsid w:val="001459E4"/>
    <w:rsid w:val="0015122F"/>
    <w:rsid w:val="00151F57"/>
    <w:rsid w:val="001527AC"/>
    <w:rsid w:val="00152D07"/>
    <w:rsid w:val="00152E32"/>
    <w:rsid w:val="00153419"/>
    <w:rsid w:val="00156680"/>
    <w:rsid w:val="001566CA"/>
    <w:rsid w:val="00156DFA"/>
    <w:rsid w:val="00160FAB"/>
    <w:rsid w:val="001634DC"/>
    <w:rsid w:val="00164A38"/>
    <w:rsid w:val="00165FAC"/>
    <w:rsid w:val="0016610D"/>
    <w:rsid w:val="00166E13"/>
    <w:rsid w:val="0016795B"/>
    <w:rsid w:val="00170E28"/>
    <w:rsid w:val="00171345"/>
    <w:rsid w:val="00171C23"/>
    <w:rsid w:val="00171C30"/>
    <w:rsid w:val="00173712"/>
    <w:rsid w:val="0018025E"/>
    <w:rsid w:val="001814D6"/>
    <w:rsid w:val="00181E25"/>
    <w:rsid w:val="00183199"/>
    <w:rsid w:val="00183331"/>
    <w:rsid w:val="00185EE8"/>
    <w:rsid w:val="001873B8"/>
    <w:rsid w:val="00187D4D"/>
    <w:rsid w:val="00190D63"/>
    <w:rsid w:val="00191DA6"/>
    <w:rsid w:val="00192463"/>
    <w:rsid w:val="00194305"/>
    <w:rsid w:val="00194D08"/>
    <w:rsid w:val="0019510B"/>
    <w:rsid w:val="00196E27"/>
    <w:rsid w:val="001A24DA"/>
    <w:rsid w:val="001A3BED"/>
    <w:rsid w:val="001A3CBC"/>
    <w:rsid w:val="001A3E91"/>
    <w:rsid w:val="001A3EA1"/>
    <w:rsid w:val="001A63CF"/>
    <w:rsid w:val="001A7B7E"/>
    <w:rsid w:val="001B200D"/>
    <w:rsid w:val="001B2955"/>
    <w:rsid w:val="001B3C9B"/>
    <w:rsid w:val="001B4339"/>
    <w:rsid w:val="001C0246"/>
    <w:rsid w:val="001C0E90"/>
    <w:rsid w:val="001C2DAE"/>
    <w:rsid w:val="001C4055"/>
    <w:rsid w:val="001C679D"/>
    <w:rsid w:val="001D38A3"/>
    <w:rsid w:val="001D3CEC"/>
    <w:rsid w:val="001D4288"/>
    <w:rsid w:val="001D48A7"/>
    <w:rsid w:val="001E2743"/>
    <w:rsid w:val="001E2F12"/>
    <w:rsid w:val="001E39FD"/>
    <w:rsid w:val="001E4CC4"/>
    <w:rsid w:val="001F0E54"/>
    <w:rsid w:val="001F32B7"/>
    <w:rsid w:val="001F3663"/>
    <w:rsid w:val="001F70AF"/>
    <w:rsid w:val="0020042F"/>
    <w:rsid w:val="00201B03"/>
    <w:rsid w:val="00201EB1"/>
    <w:rsid w:val="002020BB"/>
    <w:rsid w:val="00204F43"/>
    <w:rsid w:val="0021111A"/>
    <w:rsid w:val="00211CB6"/>
    <w:rsid w:val="00212DCC"/>
    <w:rsid w:val="0021481F"/>
    <w:rsid w:val="00214DA8"/>
    <w:rsid w:val="002161EF"/>
    <w:rsid w:val="002169C3"/>
    <w:rsid w:val="00217CE2"/>
    <w:rsid w:val="0022100E"/>
    <w:rsid w:val="00221139"/>
    <w:rsid w:val="0022218A"/>
    <w:rsid w:val="002225CA"/>
    <w:rsid w:val="00222C03"/>
    <w:rsid w:val="00222EB1"/>
    <w:rsid w:val="00223824"/>
    <w:rsid w:val="00223C5C"/>
    <w:rsid w:val="002261B0"/>
    <w:rsid w:val="00231AEA"/>
    <w:rsid w:val="0023223A"/>
    <w:rsid w:val="00233E30"/>
    <w:rsid w:val="0023591B"/>
    <w:rsid w:val="0024001D"/>
    <w:rsid w:val="002405B6"/>
    <w:rsid w:val="00241154"/>
    <w:rsid w:val="002425B7"/>
    <w:rsid w:val="002425CB"/>
    <w:rsid w:val="00244D9F"/>
    <w:rsid w:val="00245880"/>
    <w:rsid w:val="00246923"/>
    <w:rsid w:val="002473D2"/>
    <w:rsid w:val="00247FDA"/>
    <w:rsid w:val="00250012"/>
    <w:rsid w:val="0025105E"/>
    <w:rsid w:val="00251CA9"/>
    <w:rsid w:val="00254597"/>
    <w:rsid w:val="00255EA4"/>
    <w:rsid w:val="00256F08"/>
    <w:rsid w:val="00260B75"/>
    <w:rsid w:val="0026154B"/>
    <w:rsid w:val="0026157A"/>
    <w:rsid w:val="00261767"/>
    <w:rsid w:val="00263BB9"/>
    <w:rsid w:val="00264F03"/>
    <w:rsid w:val="00265F8D"/>
    <w:rsid w:val="002661D0"/>
    <w:rsid w:val="002676AE"/>
    <w:rsid w:val="0027024E"/>
    <w:rsid w:val="002707E2"/>
    <w:rsid w:val="00270D2D"/>
    <w:rsid w:val="002725BC"/>
    <w:rsid w:val="002743F5"/>
    <w:rsid w:val="00274DDA"/>
    <w:rsid w:val="00275432"/>
    <w:rsid w:val="00275BF3"/>
    <w:rsid w:val="00277EAD"/>
    <w:rsid w:val="00281938"/>
    <w:rsid w:val="002823DD"/>
    <w:rsid w:val="002835FE"/>
    <w:rsid w:val="00290ACB"/>
    <w:rsid w:val="00292711"/>
    <w:rsid w:val="00292FFB"/>
    <w:rsid w:val="00295522"/>
    <w:rsid w:val="002964DB"/>
    <w:rsid w:val="002A07FC"/>
    <w:rsid w:val="002A09B9"/>
    <w:rsid w:val="002A0CDF"/>
    <w:rsid w:val="002A2160"/>
    <w:rsid w:val="002A2EE3"/>
    <w:rsid w:val="002A5364"/>
    <w:rsid w:val="002A56BB"/>
    <w:rsid w:val="002A5FC5"/>
    <w:rsid w:val="002B02DF"/>
    <w:rsid w:val="002B14AE"/>
    <w:rsid w:val="002B1BFC"/>
    <w:rsid w:val="002B2A53"/>
    <w:rsid w:val="002B36B4"/>
    <w:rsid w:val="002B37C9"/>
    <w:rsid w:val="002B7471"/>
    <w:rsid w:val="002C0FC4"/>
    <w:rsid w:val="002C17B5"/>
    <w:rsid w:val="002C2423"/>
    <w:rsid w:val="002C30C8"/>
    <w:rsid w:val="002C6628"/>
    <w:rsid w:val="002D208D"/>
    <w:rsid w:val="002D2C39"/>
    <w:rsid w:val="002D342B"/>
    <w:rsid w:val="002D5258"/>
    <w:rsid w:val="002D7613"/>
    <w:rsid w:val="002E05E5"/>
    <w:rsid w:val="002E1C2E"/>
    <w:rsid w:val="002E1F97"/>
    <w:rsid w:val="002E6FA3"/>
    <w:rsid w:val="002F0C84"/>
    <w:rsid w:val="002F1DF8"/>
    <w:rsid w:val="0030049F"/>
    <w:rsid w:val="003048C8"/>
    <w:rsid w:val="00310BBA"/>
    <w:rsid w:val="003149EB"/>
    <w:rsid w:val="003154B1"/>
    <w:rsid w:val="00315C3D"/>
    <w:rsid w:val="00316A82"/>
    <w:rsid w:val="00316DA8"/>
    <w:rsid w:val="00320F3B"/>
    <w:rsid w:val="00321297"/>
    <w:rsid w:val="003336CE"/>
    <w:rsid w:val="0033610D"/>
    <w:rsid w:val="00344054"/>
    <w:rsid w:val="00351C56"/>
    <w:rsid w:val="00351D68"/>
    <w:rsid w:val="003530A1"/>
    <w:rsid w:val="00354192"/>
    <w:rsid w:val="0035743D"/>
    <w:rsid w:val="00357DCE"/>
    <w:rsid w:val="00362F80"/>
    <w:rsid w:val="0036353F"/>
    <w:rsid w:val="00363BF2"/>
    <w:rsid w:val="00363E70"/>
    <w:rsid w:val="00366589"/>
    <w:rsid w:val="003673BE"/>
    <w:rsid w:val="0037066B"/>
    <w:rsid w:val="003707E8"/>
    <w:rsid w:val="00372FF9"/>
    <w:rsid w:val="003740BA"/>
    <w:rsid w:val="00377BAC"/>
    <w:rsid w:val="003815D7"/>
    <w:rsid w:val="00381DDA"/>
    <w:rsid w:val="003845B7"/>
    <w:rsid w:val="0038586B"/>
    <w:rsid w:val="003A0A5E"/>
    <w:rsid w:val="003A0B9C"/>
    <w:rsid w:val="003A35F4"/>
    <w:rsid w:val="003A3A0B"/>
    <w:rsid w:val="003A47F0"/>
    <w:rsid w:val="003A4E05"/>
    <w:rsid w:val="003A53F9"/>
    <w:rsid w:val="003A621D"/>
    <w:rsid w:val="003B056C"/>
    <w:rsid w:val="003B05A9"/>
    <w:rsid w:val="003B0EEC"/>
    <w:rsid w:val="003C05C2"/>
    <w:rsid w:val="003C10F3"/>
    <w:rsid w:val="003C2CBC"/>
    <w:rsid w:val="003C58B9"/>
    <w:rsid w:val="003C61CD"/>
    <w:rsid w:val="003D061D"/>
    <w:rsid w:val="003D0E8E"/>
    <w:rsid w:val="003D1E62"/>
    <w:rsid w:val="003E253B"/>
    <w:rsid w:val="003E3926"/>
    <w:rsid w:val="003E3C5E"/>
    <w:rsid w:val="003E48E6"/>
    <w:rsid w:val="003E597C"/>
    <w:rsid w:val="003F07F2"/>
    <w:rsid w:val="003F257F"/>
    <w:rsid w:val="003F79BD"/>
    <w:rsid w:val="0040023D"/>
    <w:rsid w:val="00402288"/>
    <w:rsid w:val="00404740"/>
    <w:rsid w:val="00404BEE"/>
    <w:rsid w:val="00405100"/>
    <w:rsid w:val="0040768C"/>
    <w:rsid w:val="00414C94"/>
    <w:rsid w:val="00415199"/>
    <w:rsid w:val="00416B2C"/>
    <w:rsid w:val="00416DC3"/>
    <w:rsid w:val="004219D5"/>
    <w:rsid w:val="00423459"/>
    <w:rsid w:val="004239EC"/>
    <w:rsid w:val="00425195"/>
    <w:rsid w:val="00425319"/>
    <w:rsid w:val="00426C27"/>
    <w:rsid w:val="0042770D"/>
    <w:rsid w:val="004277A7"/>
    <w:rsid w:val="004279C0"/>
    <w:rsid w:val="004305C8"/>
    <w:rsid w:val="00432382"/>
    <w:rsid w:val="00434832"/>
    <w:rsid w:val="004356CA"/>
    <w:rsid w:val="00437C28"/>
    <w:rsid w:val="00440A94"/>
    <w:rsid w:val="004420E1"/>
    <w:rsid w:val="00444ADC"/>
    <w:rsid w:val="0044598E"/>
    <w:rsid w:val="00451BF1"/>
    <w:rsid w:val="00451EE0"/>
    <w:rsid w:val="004550E3"/>
    <w:rsid w:val="00460419"/>
    <w:rsid w:val="00463309"/>
    <w:rsid w:val="004647BE"/>
    <w:rsid w:val="004649AD"/>
    <w:rsid w:val="004664A3"/>
    <w:rsid w:val="004704EA"/>
    <w:rsid w:val="00470532"/>
    <w:rsid w:val="004736BE"/>
    <w:rsid w:val="00473D5E"/>
    <w:rsid w:val="00475FDA"/>
    <w:rsid w:val="004767A1"/>
    <w:rsid w:val="00482A2E"/>
    <w:rsid w:val="00484A0C"/>
    <w:rsid w:val="004854AE"/>
    <w:rsid w:val="004904E5"/>
    <w:rsid w:val="004924FF"/>
    <w:rsid w:val="00494906"/>
    <w:rsid w:val="00494ED8"/>
    <w:rsid w:val="00496D83"/>
    <w:rsid w:val="00496D86"/>
    <w:rsid w:val="00497119"/>
    <w:rsid w:val="004A0ED0"/>
    <w:rsid w:val="004A2EF5"/>
    <w:rsid w:val="004A34F2"/>
    <w:rsid w:val="004A42C1"/>
    <w:rsid w:val="004A608A"/>
    <w:rsid w:val="004A670C"/>
    <w:rsid w:val="004A6AB2"/>
    <w:rsid w:val="004A6D4F"/>
    <w:rsid w:val="004A7E1F"/>
    <w:rsid w:val="004B1A13"/>
    <w:rsid w:val="004B3AF9"/>
    <w:rsid w:val="004B3BC3"/>
    <w:rsid w:val="004B59EF"/>
    <w:rsid w:val="004B712A"/>
    <w:rsid w:val="004C0E47"/>
    <w:rsid w:val="004C332D"/>
    <w:rsid w:val="004C4936"/>
    <w:rsid w:val="004D07D5"/>
    <w:rsid w:val="004D14E8"/>
    <w:rsid w:val="004D2D10"/>
    <w:rsid w:val="004D3042"/>
    <w:rsid w:val="004D776A"/>
    <w:rsid w:val="004E0F19"/>
    <w:rsid w:val="004E2C24"/>
    <w:rsid w:val="004E468E"/>
    <w:rsid w:val="004F04B5"/>
    <w:rsid w:val="004F1479"/>
    <w:rsid w:val="004F4830"/>
    <w:rsid w:val="004F5B21"/>
    <w:rsid w:val="004F7A3A"/>
    <w:rsid w:val="004F7BA6"/>
    <w:rsid w:val="00500017"/>
    <w:rsid w:val="0050429A"/>
    <w:rsid w:val="0050675B"/>
    <w:rsid w:val="00511276"/>
    <w:rsid w:val="005115CF"/>
    <w:rsid w:val="00511608"/>
    <w:rsid w:val="005126CC"/>
    <w:rsid w:val="005134A0"/>
    <w:rsid w:val="0051489F"/>
    <w:rsid w:val="00515947"/>
    <w:rsid w:val="00520104"/>
    <w:rsid w:val="00523925"/>
    <w:rsid w:val="00523952"/>
    <w:rsid w:val="00524454"/>
    <w:rsid w:val="00524D87"/>
    <w:rsid w:val="00524E83"/>
    <w:rsid w:val="005260B8"/>
    <w:rsid w:val="00526626"/>
    <w:rsid w:val="00526976"/>
    <w:rsid w:val="0052720B"/>
    <w:rsid w:val="005278D3"/>
    <w:rsid w:val="00531D1E"/>
    <w:rsid w:val="005333AD"/>
    <w:rsid w:val="00533D49"/>
    <w:rsid w:val="0053633C"/>
    <w:rsid w:val="0053709C"/>
    <w:rsid w:val="00537FBE"/>
    <w:rsid w:val="00537FFC"/>
    <w:rsid w:val="00542987"/>
    <w:rsid w:val="00544BC1"/>
    <w:rsid w:val="00545723"/>
    <w:rsid w:val="00546A0A"/>
    <w:rsid w:val="00554006"/>
    <w:rsid w:val="005569CB"/>
    <w:rsid w:val="00560DD6"/>
    <w:rsid w:val="005620FD"/>
    <w:rsid w:val="00566E45"/>
    <w:rsid w:val="00567D13"/>
    <w:rsid w:val="005701DC"/>
    <w:rsid w:val="0057133D"/>
    <w:rsid w:val="00572420"/>
    <w:rsid w:val="00574485"/>
    <w:rsid w:val="0057663E"/>
    <w:rsid w:val="00582349"/>
    <w:rsid w:val="0058250E"/>
    <w:rsid w:val="005835BB"/>
    <w:rsid w:val="00584FAC"/>
    <w:rsid w:val="00585C85"/>
    <w:rsid w:val="00586442"/>
    <w:rsid w:val="00586B3A"/>
    <w:rsid w:val="00587493"/>
    <w:rsid w:val="005878A1"/>
    <w:rsid w:val="00587AFF"/>
    <w:rsid w:val="00590292"/>
    <w:rsid w:val="00591208"/>
    <w:rsid w:val="005916CF"/>
    <w:rsid w:val="00594939"/>
    <w:rsid w:val="00596D08"/>
    <w:rsid w:val="005A5ACE"/>
    <w:rsid w:val="005B141A"/>
    <w:rsid w:val="005B1720"/>
    <w:rsid w:val="005B595B"/>
    <w:rsid w:val="005B5DDE"/>
    <w:rsid w:val="005B62BA"/>
    <w:rsid w:val="005B7BF4"/>
    <w:rsid w:val="005B7C13"/>
    <w:rsid w:val="005C02B5"/>
    <w:rsid w:val="005C07F7"/>
    <w:rsid w:val="005C09AD"/>
    <w:rsid w:val="005C0C6F"/>
    <w:rsid w:val="005C1C5C"/>
    <w:rsid w:val="005C52C4"/>
    <w:rsid w:val="005C64A4"/>
    <w:rsid w:val="005C6D02"/>
    <w:rsid w:val="005C75EE"/>
    <w:rsid w:val="005D0477"/>
    <w:rsid w:val="005D1B3A"/>
    <w:rsid w:val="005D4BF1"/>
    <w:rsid w:val="005D57D5"/>
    <w:rsid w:val="005D5A1A"/>
    <w:rsid w:val="005D736B"/>
    <w:rsid w:val="005D77C2"/>
    <w:rsid w:val="005E2195"/>
    <w:rsid w:val="005E3431"/>
    <w:rsid w:val="005E5C6F"/>
    <w:rsid w:val="005E6C8D"/>
    <w:rsid w:val="005E7E7A"/>
    <w:rsid w:val="005E7EAE"/>
    <w:rsid w:val="005F0176"/>
    <w:rsid w:val="005F071D"/>
    <w:rsid w:val="005F123F"/>
    <w:rsid w:val="005F1494"/>
    <w:rsid w:val="005F1D1A"/>
    <w:rsid w:val="005F4741"/>
    <w:rsid w:val="005F6EEB"/>
    <w:rsid w:val="006034D4"/>
    <w:rsid w:val="0060752C"/>
    <w:rsid w:val="006145C1"/>
    <w:rsid w:val="0061780C"/>
    <w:rsid w:val="006202E2"/>
    <w:rsid w:val="00620516"/>
    <w:rsid w:val="00621987"/>
    <w:rsid w:val="0062246A"/>
    <w:rsid w:val="006234D0"/>
    <w:rsid w:val="006247F8"/>
    <w:rsid w:val="00624D6F"/>
    <w:rsid w:val="00626F8D"/>
    <w:rsid w:val="0063021F"/>
    <w:rsid w:val="006319CE"/>
    <w:rsid w:val="006342A2"/>
    <w:rsid w:val="006345D6"/>
    <w:rsid w:val="006345DD"/>
    <w:rsid w:val="00634879"/>
    <w:rsid w:val="0063650B"/>
    <w:rsid w:val="0064439A"/>
    <w:rsid w:val="00647CD5"/>
    <w:rsid w:val="00652054"/>
    <w:rsid w:val="00655214"/>
    <w:rsid w:val="00655DD8"/>
    <w:rsid w:val="00656539"/>
    <w:rsid w:val="00657DC5"/>
    <w:rsid w:val="00661242"/>
    <w:rsid w:val="0066124B"/>
    <w:rsid w:val="00661536"/>
    <w:rsid w:val="006624C0"/>
    <w:rsid w:val="00663245"/>
    <w:rsid w:val="00664918"/>
    <w:rsid w:val="00664935"/>
    <w:rsid w:val="00664D92"/>
    <w:rsid w:val="00671930"/>
    <w:rsid w:val="00673B1C"/>
    <w:rsid w:val="00673C4D"/>
    <w:rsid w:val="00675BC5"/>
    <w:rsid w:val="00676603"/>
    <w:rsid w:val="00676D2D"/>
    <w:rsid w:val="006778C6"/>
    <w:rsid w:val="00677DC6"/>
    <w:rsid w:val="0068263B"/>
    <w:rsid w:val="00685E0C"/>
    <w:rsid w:val="00686A40"/>
    <w:rsid w:val="00693B4C"/>
    <w:rsid w:val="00693D46"/>
    <w:rsid w:val="006A17A5"/>
    <w:rsid w:val="006A4BEF"/>
    <w:rsid w:val="006A5607"/>
    <w:rsid w:val="006A6019"/>
    <w:rsid w:val="006B13BE"/>
    <w:rsid w:val="006B1516"/>
    <w:rsid w:val="006B1FA5"/>
    <w:rsid w:val="006C27B5"/>
    <w:rsid w:val="006C27F9"/>
    <w:rsid w:val="006C3CBC"/>
    <w:rsid w:val="006C3EF5"/>
    <w:rsid w:val="006C4B66"/>
    <w:rsid w:val="006C50DC"/>
    <w:rsid w:val="006C7DBB"/>
    <w:rsid w:val="006D0958"/>
    <w:rsid w:val="006D1CB7"/>
    <w:rsid w:val="006D2E0E"/>
    <w:rsid w:val="006D450E"/>
    <w:rsid w:val="006D459E"/>
    <w:rsid w:val="006D4AC7"/>
    <w:rsid w:val="006D4F22"/>
    <w:rsid w:val="006E034B"/>
    <w:rsid w:val="006E71CF"/>
    <w:rsid w:val="006E7287"/>
    <w:rsid w:val="006F1164"/>
    <w:rsid w:val="006F318F"/>
    <w:rsid w:val="006F3549"/>
    <w:rsid w:val="006F4009"/>
    <w:rsid w:val="006F682A"/>
    <w:rsid w:val="006F74FD"/>
    <w:rsid w:val="007037D7"/>
    <w:rsid w:val="00703BE5"/>
    <w:rsid w:val="007044D5"/>
    <w:rsid w:val="00706EC4"/>
    <w:rsid w:val="007103B0"/>
    <w:rsid w:val="00711A24"/>
    <w:rsid w:val="00714B3D"/>
    <w:rsid w:val="00717ABC"/>
    <w:rsid w:val="00720E99"/>
    <w:rsid w:val="007230B9"/>
    <w:rsid w:val="00727B0C"/>
    <w:rsid w:val="00727C35"/>
    <w:rsid w:val="00730961"/>
    <w:rsid w:val="007313FD"/>
    <w:rsid w:val="007318F2"/>
    <w:rsid w:val="00731B19"/>
    <w:rsid w:val="00732C4E"/>
    <w:rsid w:val="00735899"/>
    <w:rsid w:val="00735AF9"/>
    <w:rsid w:val="00736697"/>
    <w:rsid w:val="00736A77"/>
    <w:rsid w:val="007371DB"/>
    <w:rsid w:val="00737F10"/>
    <w:rsid w:val="007403A0"/>
    <w:rsid w:val="00740C45"/>
    <w:rsid w:val="00743C06"/>
    <w:rsid w:val="00747E31"/>
    <w:rsid w:val="00747F7A"/>
    <w:rsid w:val="00752C23"/>
    <w:rsid w:val="00753B7D"/>
    <w:rsid w:val="0075431D"/>
    <w:rsid w:val="007552F3"/>
    <w:rsid w:val="007553CE"/>
    <w:rsid w:val="00762857"/>
    <w:rsid w:val="00762B7A"/>
    <w:rsid w:val="007630E0"/>
    <w:rsid w:val="00763C37"/>
    <w:rsid w:val="00764EC2"/>
    <w:rsid w:val="00776A8C"/>
    <w:rsid w:val="00780B76"/>
    <w:rsid w:val="007811ED"/>
    <w:rsid w:val="00781EF8"/>
    <w:rsid w:val="00782271"/>
    <w:rsid w:val="0078398D"/>
    <w:rsid w:val="00790BDB"/>
    <w:rsid w:val="00793CE6"/>
    <w:rsid w:val="007960C3"/>
    <w:rsid w:val="007A297D"/>
    <w:rsid w:val="007A4258"/>
    <w:rsid w:val="007A43B1"/>
    <w:rsid w:val="007A5621"/>
    <w:rsid w:val="007A597E"/>
    <w:rsid w:val="007A609F"/>
    <w:rsid w:val="007A6C86"/>
    <w:rsid w:val="007A7507"/>
    <w:rsid w:val="007B2173"/>
    <w:rsid w:val="007B3E16"/>
    <w:rsid w:val="007C2BDE"/>
    <w:rsid w:val="007C3BCC"/>
    <w:rsid w:val="007C5C93"/>
    <w:rsid w:val="007C7906"/>
    <w:rsid w:val="007C79C9"/>
    <w:rsid w:val="007D1C7D"/>
    <w:rsid w:val="007D2E39"/>
    <w:rsid w:val="007D37AC"/>
    <w:rsid w:val="007D5506"/>
    <w:rsid w:val="007D670E"/>
    <w:rsid w:val="007E1C47"/>
    <w:rsid w:val="007E1F6E"/>
    <w:rsid w:val="007E2099"/>
    <w:rsid w:val="007E2661"/>
    <w:rsid w:val="007E3045"/>
    <w:rsid w:val="007E4371"/>
    <w:rsid w:val="007E5C3E"/>
    <w:rsid w:val="007E5E2A"/>
    <w:rsid w:val="007F00F2"/>
    <w:rsid w:val="007F283C"/>
    <w:rsid w:val="007F32A9"/>
    <w:rsid w:val="007F5BFE"/>
    <w:rsid w:val="007F6DA8"/>
    <w:rsid w:val="00803A11"/>
    <w:rsid w:val="00804924"/>
    <w:rsid w:val="0080498F"/>
    <w:rsid w:val="00805A38"/>
    <w:rsid w:val="00806538"/>
    <w:rsid w:val="0080797B"/>
    <w:rsid w:val="00811CAB"/>
    <w:rsid w:val="00812E5D"/>
    <w:rsid w:val="0081385E"/>
    <w:rsid w:val="00814D33"/>
    <w:rsid w:val="0082004D"/>
    <w:rsid w:val="00824964"/>
    <w:rsid w:val="0082770F"/>
    <w:rsid w:val="008307F4"/>
    <w:rsid w:val="0083685C"/>
    <w:rsid w:val="00843935"/>
    <w:rsid w:val="008453EC"/>
    <w:rsid w:val="00847235"/>
    <w:rsid w:val="0085084E"/>
    <w:rsid w:val="00850E20"/>
    <w:rsid w:val="00851416"/>
    <w:rsid w:val="0085193F"/>
    <w:rsid w:val="00851A8D"/>
    <w:rsid w:val="008523AC"/>
    <w:rsid w:val="0085265E"/>
    <w:rsid w:val="00852719"/>
    <w:rsid w:val="008545C5"/>
    <w:rsid w:val="0085795D"/>
    <w:rsid w:val="00860643"/>
    <w:rsid w:val="00861C6C"/>
    <w:rsid w:val="0086203C"/>
    <w:rsid w:val="00862157"/>
    <w:rsid w:val="00864099"/>
    <w:rsid w:val="00864543"/>
    <w:rsid w:val="00864676"/>
    <w:rsid w:val="00865271"/>
    <w:rsid w:val="008654ED"/>
    <w:rsid w:val="00865740"/>
    <w:rsid w:val="0086740D"/>
    <w:rsid w:val="00867F5D"/>
    <w:rsid w:val="00870874"/>
    <w:rsid w:val="00871109"/>
    <w:rsid w:val="0087224C"/>
    <w:rsid w:val="008732EF"/>
    <w:rsid w:val="00873A48"/>
    <w:rsid w:val="0087529B"/>
    <w:rsid w:val="0088027C"/>
    <w:rsid w:val="00880BA2"/>
    <w:rsid w:val="00880CA0"/>
    <w:rsid w:val="008847A3"/>
    <w:rsid w:val="00886374"/>
    <w:rsid w:val="00886B7C"/>
    <w:rsid w:val="00891EDD"/>
    <w:rsid w:val="00891EEC"/>
    <w:rsid w:val="00892580"/>
    <w:rsid w:val="00892FD9"/>
    <w:rsid w:val="008935F3"/>
    <w:rsid w:val="0089555F"/>
    <w:rsid w:val="0089753C"/>
    <w:rsid w:val="00897B3C"/>
    <w:rsid w:val="008A1675"/>
    <w:rsid w:val="008A1915"/>
    <w:rsid w:val="008A289F"/>
    <w:rsid w:val="008B0B1B"/>
    <w:rsid w:val="008B1BAA"/>
    <w:rsid w:val="008B3002"/>
    <w:rsid w:val="008B3E79"/>
    <w:rsid w:val="008B3FE7"/>
    <w:rsid w:val="008C0AC2"/>
    <w:rsid w:val="008C1BA8"/>
    <w:rsid w:val="008C2769"/>
    <w:rsid w:val="008C3061"/>
    <w:rsid w:val="008C3F2D"/>
    <w:rsid w:val="008C4CE3"/>
    <w:rsid w:val="008C5731"/>
    <w:rsid w:val="008C7EBD"/>
    <w:rsid w:val="008D1426"/>
    <w:rsid w:val="008D2706"/>
    <w:rsid w:val="008D3037"/>
    <w:rsid w:val="008D31E9"/>
    <w:rsid w:val="008D3985"/>
    <w:rsid w:val="008D3B70"/>
    <w:rsid w:val="008D3F2F"/>
    <w:rsid w:val="008D5D28"/>
    <w:rsid w:val="008E5D5C"/>
    <w:rsid w:val="008F09F6"/>
    <w:rsid w:val="008F2880"/>
    <w:rsid w:val="008F2B38"/>
    <w:rsid w:val="008F6656"/>
    <w:rsid w:val="008F694D"/>
    <w:rsid w:val="008F69FB"/>
    <w:rsid w:val="008F7404"/>
    <w:rsid w:val="00904045"/>
    <w:rsid w:val="009054CD"/>
    <w:rsid w:val="0090798E"/>
    <w:rsid w:val="009111EA"/>
    <w:rsid w:val="00912A25"/>
    <w:rsid w:val="009135E8"/>
    <w:rsid w:val="00913A28"/>
    <w:rsid w:val="00914C9B"/>
    <w:rsid w:val="00915ADE"/>
    <w:rsid w:val="00915C78"/>
    <w:rsid w:val="00916B56"/>
    <w:rsid w:val="00917839"/>
    <w:rsid w:val="00920CC0"/>
    <w:rsid w:val="0092314E"/>
    <w:rsid w:val="00925225"/>
    <w:rsid w:val="009278F5"/>
    <w:rsid w:val="00927C9E"/>
    <w:rsid w:val="009307E6"/>
    <w:rsid w:val="00942280"/>
    <w:rsid w:val="00951E30"/>
    <w:rsid w:val="0095233F"/>
    <w:rsid w:val="0095270B"/>
    <w:rsid w:val="00952EF6"/>
    <w:rsid w:val="00953492"/>
    <w:rsid w:val="00954AF3"/>
    <w:rsid w:val="00957057"/>
    <w:rsid w:val="00957AA4"/>
    <w:rsid w:val="00963BC1"/>
    <w:rsid w:val="00964036"/>
    <w:rsid w:val="009642AE"/>
    <w:rsid w:val="009652B9"/>
    <w:rsid w:val="00965D22"/>
    <w:rsid w:val="009660F0"/>
    <w:rsid w:val="0096738D"/>
    <w:rsid w:val="00967AE4"/>
    <w:rsid w:val="00970209"/>
    <w:rsid w:val="00970654"/>
    <w:rsid w:val="00972B3F"/>
    <w:rsid w:val="0097691F"/>
    <w:rsid w:val="009873E4"/>
    <w:rsid w:val="00990C5D"/>
    <w:rsid w:val="00991AA9"/>
    <w:rsid w:val="009A29EE"/>
    <w:rsid w:val="009A5DB8"/>
    <w:rsid w:val="009A6956"/>
    <w:rsid w:val="009A78CB"/>
    <w:rsid w:val="009B3CE7"/>
    <w:rsid w:val="009B4B17"/>
    <w:rsid w:val="009B7729"/>
    <w:rsid w:val="009C1E54"/>
    <w:rsid w:val="009C4149"/>
    <w:rsid w:val="009C4E73"/>
    <w:rsid w:val="009C5907"/>
    <w:rsid w:val="009C7C95"/>
    <w:rsid w:val="009D2357"/>
    <w:rsid w:val="009D2363"/>
    <w:rsid w:val="009D30AA"/>
    <w:rsid w:val="009D3EC7"/>
    <w:rsid w:val="009D4B55"/>
    <w:rsid w:val="009D4B7D"/>
    <w:rsid w:val="009D542A"/>
    <w:rsid w:val="009D64D1"/>
    <w:rsid w:val="009D7E3A"/>
    <w:rsid w:val="009E0AEC"/>
    <w:rsid w:val="009E1941"/>
    <w:rsid w:val="009E4F0F"/>
    <w:rsid w:val="009E77F0"/>
    <w:rsid w:val="009F4616"/>
    <w:rsid w:val="009F7CFF"/>
    <w:rsid w:val="009F7E1C"/>
    <w:rsid w:val="00A011DC"/>
    <w:rsid w:val="00A0404A"/>
    <w:rsid w:val="00A0605C"/>
    <w:rsid w:val="00A061AE"/>
    <w:rsid w:val="00A06477"/>
    <w:rsid w:val="00A0764E"/>
    <w:rsid w:val="00A12F49"/>
    <w:rsid w:val="00A15218"/>
    <w:rsid w:val="00A20B40"/>
    <w:rsid w:val="00A219B1"/>
    <w:rsid w:val="00A227B3"/>
    <w:rsid w:val="00A242C4"/>
    <w:rsid w:val="00A34698"/>
    <w:rsid w:val="00A34A44"/>
    <w:rsid w:val="00A372C2"/>
    <w:rsid w:val="00A3757C"/>
    <w:rsid w:val="00A43D9E"/>
    <w:rsid w:val="00A446C1"/>
    <w:rsid w:val="00A44E81"/>
    <w:rsid w:val="00A47854"/>
    <w:rsid w:val="00A534C4"/>
    <w:rsid w:val="00A54128"/>
    <w:rsid w:val="00A56E02"/>
    <w:rsid w:val="00A618D0"/>
    <w:rsid w:val="00A61C1B"/>
    <w:rsid w:val="00A6396A"/>
    <w:rsid w:val="00A646BF"/>
    <w:rsid w:val="00A658B2"/>
    <w:rsid w:val="00A72A40"/>
    <w:rsid w:val="00A76962"/>
    <w:rsid w:val="00A77FA5"/>
    <w:rsid w:val="00A805B5"/>
    <w:rsid w:val="00A819FF"/>
    <w:rsid w:val="00A82CA5"/>
    <w:rsid w:val="00A87530"/>
    <w:rsid w:val="00A9062C"/>
    <w:rsid w:val="00A9069D"/>
    <w:rsid w:val="00A92718"/>
    <w:rsid w:val="00A93B8E"/>
    <w:rsid w:val="00A9685F"/>
    <w:rsid w:val="00A97FAD"/>
    <w:rsid w:val="00AA2586"/>
    <w:rsid w:val="00AA2775"/>
    <w:rsid w:val="00AA578D"/>
    <w:rsid w:val="00AA75D8"/>
    <w:rsid w:val="00AA7B65"/>
    <w:rsid w:val="00AB0F9A"/>
    <w:rsid w:val="00AB215F"/>
    <w:rsid w:val="00AB5ACB"/>
    <w:rsid w:val="00AB5CA6"/>
    <w:rsid w:val="00AB62D9"/>
    <w:rsid w:val="00AB6AE5"/>
    <w:rsid w:val="00AB7C73"/>
    <w:rsid w:val="00AC0B21"/>
    <w:rsid w:val="00AC4617"/>
    <w:rsid w:val="00AC6887"/>
    <w:rsid w:val="00AD1773"/>
    <w:rsid w:val="00AD3ED6"/>
    <w:rsid w:val="00AD47E7"/>
    <w:rsid w:val="00AD51E9"/>
    <w:rsid w:val="00AD6043"/>
    <w:rsid w:val="00AE0915"/>
    <w:rsid w:val="00AE4EB4"/>
    <w:rsid w:val="00AF087E"/>
    <w:rsid w:val="00AF13D0"/>
    <w:rsid w:val="00AF1AB0"/>
    <w:rsid w:val="00AF31D5"/>
    <w:rsid w:val="00AF44C5"/>
    <w:rsid w:val="00AF52C3"/>
    <w:rsid w:val="00AF5741"/>
    <w:rsid w:val="00AF61BD"/>
    <w:rsid w:val="00AF6B81"/>
    <w:rsid w:val="00AF7D91"/>
    <w:rsid w:val="00B01F0A"/>
    <w:rsid w:val="00B026B2"/>
    <w:rsid w:val="00B03605"/>
    <w:rsid w:val="00B058FF"/>
    <w:rsid w:val="00B07D7D"/>
    <w:rsid w:val="00B10F65"/>
    <w:rsid w:val="00B132DA"/>
    <w:rsid w:val="00B1496D"/>
    <w:rsid w:val="00B14A82"/>
    <w:rsid w:val="00B16AC8"/>
    <w:rsid w:val="00B173C0"/>
    <w:rsid w:val="00B2049D"/>
    <w:rsid w:val="00B205A6"/>
    <w:rsid w:val="00B21E27"/>
    <w:rsid w:val="00B22DAF"/>
    <w:rsid w:val="00B26829"/>
    <w:rsid w:val="00B26903"/>
    <w:rsid w:val="00B278FA"/>
    <w:rsid w:val="00B30C20"/>
    <w:rsid w:val="00B31CD8"/>
    <w:rsid w:val="00B349F2"/>
    <w:rsid w:val="00B36384"/>
    <w:rsid w:val="00B3685C"/>
    <w:rsid w:val="00B370E1"/>
    <w:rsid w:val="00B37AA3"/>
    <w:rsid w:val="00B40129"/>
    <w:rsid w:val="00B42607"/>
    <w:rsid w:val="00B429D4"/>
    <w:rsid w:val="00B441E9"/>
    <w:rsid w:val="00B522FA"/>
    <w:rsid w:val="00B547FA"/>
    <w:rsid w:val="00B54BA7"/>
    <w:rsid w:val="00B550C2"/>
    <w:rsid w:val="00B55FA3"/>
    <w:rsid w:val="00B56253"/>
    <w:rsid w:val="00B648A4"/>
    <w:rsid w:val="00B65793"/>
    <w:rsid w:val="00B65D86"/>
    <w:rsid w:val="00B66F45"/>
    <w:rsid w:val="00B738A7"/>
    <w:rsid w:val="00B749C5"/>
    <w:rsid w:val="00B74E7B"/>
    <w:rsid w:val="00B75201"/>
    <w:rsid w:val="00B762C5"/>
    <w:rsid w:val="00B76675"/>
    <w:rsid w:val="00B77B29"/>
    <w:rsid w:val="00B80070"/>
    <w:rsid w:val="00B821D9"/>
    <w:rsid w:val="00B832DB"/>
    <w:rsid w:val="00B83BD3"/>
    <w:rsid w:val="00B85312"/>
    <w:rsid w:val="00B85A9A"/>
    <w:rsid w:val="00B946D3"/>
    <w:rsid w:val="00B948C5"/>
    <w:rsid w:val="00BA2FDE"/>
    <w:rsid w:val="00BA41C3"/>
    <w:rsid w:val="00BA4E5C"/>
    <w:rsid w:val="00BA7836"/>
    <w:rsid w:val="00BB04F1"/>
    <w:rsid w:val="00BB7666"/>
    <w:rsid w:val="00BC1BDE"/>
    <w:rsid w:val="00BC2441"/>
    <w:rsid w:val="00BC294E"/>
    <w:rsid w:val="00BC2D1C"/>
    <w:rsid w:val="00BC2F2D"/>
    <w:rsid w:val="00BC38E1"/>
    <w:rsid w:val="00BC61F6"/>
    <w:rsid w:val="00BC66DC"/>
    <w:rsid w:val="00BC6F0A"/>
    <w:rsid w:val="00BC7D99"/>
    <w:rsid w:val="00BD212D"/>
    <w:rsid w:val="00BD385B"/>
    <w:rsid w:val="00BD5A2D"/>
    <w:rsid w:val="00BD6773"/>
    <w:rsid w:val="00BD6E2A"/>
    <w:rsid w:val="00BE02F6"/>
    <w:rsid w:val="00BE08D7"/>
    <w:rsid w:val="00BE1AEC"/>
    <w:rsid w:val="00BE2140"/>
    <w:rsid w:val="00BE2A71"/>
    <w:rsid w:val="00BE4719"/>
    <w:rsid w:val="00BE623D"/>
    <w:rsid w:val="00BF22A4"/>
    <w:rsid w:val="00BF29EB"/>
    <w:rsid w:val="00BF4017"/>
    <w:rsid w:val="00BF7A96"/>
    <w:rsid w:val="00C00475"/>
    <w:rsid w:val="00C06151"/>
    <w:rsid w:val="00C07050"/>
    <w:rsid w:val="00C10E1A"/>
    <w:rsid w:val="00C1165A"/>
    <w:rsid w:val="00C14455"/>
    <w:rsid w:val="00C14E6C"/>
    <w:rsid w:val="00C16FEC"/>
    <w:rsid w:val="00C2189C"/>
    <w:rsid w:val="00C22457"/>
    <w:rsid w:val="00C2339E"/>
    <w:rsid w:val="00C241CF"/>
    <w:rsid w:val="00C2468A"/>
    <w:rsid w:val="00C24C9C"/>
    <w:rsid w:val="00C24CBD"/>
    <w:rsid w:val="00C30B2C"/>
    <w:rsid w:val="00C3270F"/>
    <w:rsid w:val="00C32CC0"/>
    <w:rsid w:val="00C3314B"/>
    <w:rsid w:val="00C346A5"/>
    <w:rsid w:val="00C41B0B"/>
    <w:rsid w:val="00C42132"/>
    <w:rsid w:val="00C42F2B"/>
    <w:rsid w:val="00C456C9"/>
    <w:rsid w:val="00C45C60"/>
    <w:rsid w:val="00C4629D"/>
    <w:rsid w:val="00C47A02"/>
    <w:rsid w:val="00C502CE"/>
    <w:rsid w:val="00C50D3B"/>
    <w:rsid w:val="00C516EB"/>
    <w:rsid w:val="00C6160E"/>
    <w:rsid w:val="00C723F7"/>
    <w:rsid w:val="00C72DF0"/>
    <w:rsid w:val="00C75529"/>
    <w:rsid w:val="00C75C8E"/>
    <w:rsid w:val="00C767AD"/>
    <w:rsid w:val="00C77AF3"/>
    <w:rsid w:val="00C8033E"/>
    <w:rsid w:val="00C816F3"/>
    <w:rsid w:val="00C8299E"/>
    <w:rsid w:val="00C82C53"/>
    <w:rsid w:val="00C84086"/>
    <w:rsid w:val="00C84631"/>
    <w:rsid w:val="00C860D8"/>
    <w:rsid w:val="00C86265"/>
    <w:rsid w:val="00C87BB1"/>
    <w:rsid w:val="00C9156A"/>
    <w:rsid w:val="00C91938"/>
    <w:rsid w:val="00C96A04"/>
    <w:rsid w:val="00C96BA1"/>
    <w:rsid w:val="00CA098C"/>
    <w:rsid w:val="00CA2B1D"/>
    <w:rsid w:val="00CA49D9"/>
    <w:rsid w:val="00CA4E7F"/>
    <w:rsid w:val="00CB0086"/>
    <w:rsid w:val="00CB1C6E"/>
    <w:rsid w:val="00CB24BE"/>
    <w:rsid w:val="00CB4969"/>
    <w:rsid w:val="00CB68B0"/>
    <w:rsid w:val="00CB7A9A"/>
    <w:rsid w:val="00CB7BCE"/>
    <w:rsid w:val="00CB7F0A"/>
    <w:rsid w:val="00CC0CB7"/>
    <w:rsid w:val="00CC0F9C"/>
    <w:rsid w:val="00CC241D"/>
    <w:rsid w:val="00CC387A"/>
    <w:rsid w:val="00CC3FB6"/>
    <w:rsid w:val="00CC484C"/>
    <w:rsid w:val="00CC52E3"/>
    <w:rsid w:val="00CC5397"/>
    <w:rsid w:val="00CC6321"/>
    <w:rsid w:val="00CD0296"/>
    <w:rsid w:val="00CD038A"/>
    <w:rsid w:val="00CD243A"/>
    <w:rsid w:val="00CD380C"/>
    <w:rsid w:val="00CD416A"/>
    <w:rsid w:val="00CD5FE4"/>
    <w:rsid w:val="00CD67AB"/>
    <w:rsid w:val="00CD68C4"/>
    <w:rsid w:val="00CE064D"/>
    <w:rsid w:val="00CE11B4"/>
    <w:rsid w:val="00CE25C6"/>
    <w:rsid w:val="00CE39E4"/>
    <w:rsid w:val="00CE3F40"/>
    <w:rsid w:val="00CE60B6"/>
    <w:rsid w:val="00CF0612"/>
    <w:rsid w:val="00CF08A2"/>
    <w:rsid w:val="00CF0E3B"/>
    <w:rsid w:val="00CF0FED"/>
    <w:rsid w:val="00CF68DE"/>
    <w:rsid w:val="00D043CC"/>
    <w:rsid w:val="00D060EE"/>
    <w:rsid w:val="00D1023F"/>
    <w:rsid w:val="00D12553"/>
    <w:rsid w:val="00D14CBD"/>
    <w:rsid w:val="00D15B92"/>
    <w:rsid w:val="00D16FDF"/>
    <w:rsid w:val="00D219E5"/>
    <w:rsid w:val="00D22C0F"/>
    <w:rsid w:val="00D23CBD"/>
    <w:rsid w:val="00D27113"/>
    <w:rsid w:val="00D31689"/>
    <w:rsid w:val="00D33DBD"/>
    <w:rsid w:val="00D35D0C"/>
    <w:rsid w:val="00D377EE"/>
    <w:rsid w:val="00D40199"/>
    <w:rsid w:val="00D41140"/>
    <w:rsid w:val="00D41691"/>
    <w:rsid w:val="00D44E25"/>
    <w:rsid w:val="00D47D75"/>
    <w:rsid w:val="00D55286"/>
    <w:rsid w:val="00D55ED0"/>
    <w:rsid w:val="00D60FF3"/>
    <w:rsid w:val="00D63AB6"/>
    <w:rsid w:val="00D63F4C"/>
    <w:rsid w:val="00D73F02"/>
    <w:rsid w:val="00D753C5"/>
    <w:rsid w:val="00D75C44"/>
    <w:rsid w:val="00D76272"/>
    <w:rsid w:val="00D76CE1"/>
    <w:rsid w:val="00D76DB0"/>
    <w:rsid w:val="00D801A3"/>
    <w:rsid w:val="00D80F9D"/>
    <w:rsid w:val="00D819B8"/>
    <w:rsid w:val="00D81A1A"/>
    <w:rsid w:val="00D823DB"/>
    <w:rsid w:val="00D827FA"/>
    <w:rsid w:val="00D83242"/>
    <w:rsid w:val="00D83DC3"/>
    <w:rsid w:val="00D83F5E"/>
    <w:rsid w:val="00D87A6A"/>
    <w:rsid w:val="00D9106E"/>
    <w:rsid w:val="00D912E6"/>
    <w:rsid w:val="00D9304C"/>
    <w:rsid w:val="00D9500C"/>
    <w:rsid w:val="00DA2FBD"/>
    <w:rsid w:val="00DA3E82"/>
    <w:rsid w:val="00DA3ED9"/>
    <w:rsid w:val="00DA74D3"/>
    <w:rsid w:val="00DB1DA5"/>
    <w:rsid w:val="00DB6BFB"/>
    <w:rsid w:val="00DC2A72"/>
    <w:rsid w:val="00DC529D"/>
    <w:rsid w:val="00DC6850"/>
    <w:rsid w:val="00DC7241"/>
    <w:rsid w:val="00DC7B17"/>
    <w:rsid w:val="00DD0903"/>
    <w:rsid w:val="00DD0E42"/>
    <w:rsid w:val="00DD15A4"/>
    <w:rsid w:val="00DD17E4"/>
    <w:rsid w:val="00DD2402"/>
    <w:rsid w:val="00DD4C8B"/>
    <w:rsid w:val="00DD6207"/>
    <w:rsid w:val="00DD711C"/>
    <w:rsid w:val="00DE0371"/>
    <w:rsid w:val="00DE05D2"/>
    <w:rsid w:val="00DE2DDF"/>
    <w:rsid w:val="00DE660C"/>
    <w:rsid w:val="00DF4779"/>
    <w:rsid w:val="00DF4A5D"/>
    <w:rsid w:val="00DF4FA1"/>
    <w:rsid w:val="00DF6081"/>
    <w:rsid w:val="00DF6372"/>
    <w:rsid w:val="00E00093"/>
    <w:rsid w:val="00E005F1"/>
    <w:rsid w:val="00E0129B"/>
    <w:rsid w:val="00E01B09"/>
    <w:rsid w:val="00E02B4B"/>
    <w:rsid w:val="00E03EA7"/>
    <w:rsid w:val="00E057E5"/>
    <w:rsid w:val="00E063AF"/>
    <w:rsid w:val="00E07C9A"/>
    <w:rsid w:val="00E1145A"/>
    <w:rsid w:val="00E1446F"/>
    <w:rsid w:val="00E1478A"/>
    <w:rsid w:val="00E16723"/>
    <w:rsid w:val="00E169BD"/>
    <w:rsid w:val="00E20A1C"/>
    <w:rsid w:val="00E24A22"/>
    <w:rsid w:val="00E24C02"/>
    <w:rsid w:val="00E24FF7"/>
    <w:rsid w:val="00E278A9"/>
    <w:rsid w:val="00E308A7"/>
    <w:rsid w:val="00E30AB4"/>
    <w:rsid w:val="00E320F0"/>
    <w:rsid w:val="00E32894"/>
    <w:rsid w:val="00E34484"/>
    <w:rsid w:val="00E34B4E"/>
    <w:rsid w:val="00E35837"/>
    <w:rsid w:val="00E35A62"/>
    <w:rsid w:val="00E436AB"/>
    <w:rsid w:val="00E441E2"/>
    <w:rsid w:val="00E45ED6"/>
    <w:rsid w:val="00E4609A"/>
    <w:rsid w:val="00E46AC4"/>
    <w:rsid w:val="00E47DDE"/>
    <w:rsid w:val="00E47F7B"/>
    <w:rsid w:val="00E50E39"/>
    <w:rsid w:val="00E54388"/>
    <w:rsid w:val="00E552A5"/>
    <w:rsid w:val="00E55CA4"/>
    <w:rsid w:val="00E619EB"/>
    <w:rsid w:val="00E626B7"/>
    <w:rsid w:val="00E64799"/>
    <w:rsid w:val="00E702CD"/>
    <w:rsid w:val="00E70489"/>
    <w:rsid w:val="00E70871"/>
    <w:rsid w:val="00E80D67"/>
    <w:rsid w:val="00E817BB"/>
    <w:rsid w:val="00E82A93"/>
    <w:rsid w:val="00E83835"/>
    <w:rsid w:val="00E84A49"/>
    <w:rsid w:val="00E85039"/>
    <w:rsid w:val="00E8524A"/>
    <w:rsid w:val="00E8528E"/>
    <w:rsid w:val="00E93D8D"/>
    <w:rsid w:val="00E94B03"/>
    <w:rsid w:val="00E95E06"/>
    <w:rsid w:val="00EA2843"/>
    <w:rsid w:val="00EA2B0B"/>
    <w:rsid w:val="00EA31C8"/>
    <w:rsid w:val="00EA37CF"/>
    <w:rsid w:val="00EA5DCB"/>
    <w:rsid w:val="00EA619A"/>
    <w:rsid w:val="00EA6E3E"/>
    <w:rsid w:val="00EA755F"/>
    <w:rsid w:val="00EA75A2"/>
    <w:rsid w:val="00EB1977"/>
    <w:rsid w:val="00EB3431"/>
    <w:rsid w:val="00EB44E4"/>
    <w:rsid w:val="00EC1AF0"/>
    <w:rsid w:val="00EC26A9"/>
    <w:rsid w:val="00EC28E3"/>
    <w:rsid w:val="00EC5BFE"/>
    <w:rsid w:val="00EC64A9"/>
    <w:rsid w:val="00ED04F1"/>
    <w:rsid w:val="00ED06E0"/>
    <w:rsid w:val="00ED1040"/>
    <w:rsid w:val="00ED24A7"/>
    <w:rsid w:val="00ED2E1A"/>
    <w:rsid w:val="00ED4561"/>
    <w:rsid w:val="00ED5B8A"/>
    <w:rsid w:val="00ED6B38"/>
    <w:rsid w:val="00ED727A"/>
    <w:rsid w:val="00ED72B6"/>
    <w:rsid w:val="00EE3527"/>
    <w:rsid w:val="00EE42FB"/>
    <w:rsid w:val="00EE698A"/>
    <w:rsid w:val="00EF0A38"/>
    <w:rsid w:val="00EF171D"/>
    <w:rsid w:val="00EF23ED"/>
    <w:rsid w:val="00EF4BCE"/>
    <w:rsid w:val="00F003F8"/>
    <w:rsid w:val="00F024F9"/>
    <w:rsid w:val="00F02D63"/>
    <w:rsid w:val="00F02F6D"/>
    <w:rsid w:val="00F03011"/>
    <w:rsid w:val="00F04087"/>
    <w:rsid w:val="00F05FC7"/>
    <w:rsid w:val="00F06657"/>
    <w:rsid w:val="00F10488"/>
    <w:rsid w:val="00F14163"/>
    <w:rsid w:val="00F217C9"/>
    <w:rsid w:val="00F2697E"/>
    <w:rsid w:val="00F269AD"/>
    <w:rsid w:val="00F275C9"/>
    <w:rsid w:val="00F27FCC"/>
    <w:rsid w:val="00F30790"/>
    <w:rsid w:val="00F3092D"/>
    <w:rsid w:val="00F30E7E"/>
    <w:rsid w:val="00F33A3C"/>
    <w:rsid w:val="00F3578A"/>
    <w:rsid w:val="00F40A04"/>
    <w:rsid w:val="00F411F7"/>
    <w:rsid w:val="00F43058"/>
    <w:rsid w:val="00F43E1A"/>
    <w:rsid w:val="00F4465E"/>
    <w:rsid w:val="00F4494F"/>
    <w:rsid w:val="00F463B4"/>
    <w:rsid w:val="00F46810"/>
    <w:rsid w:val="00F50F10"/>
    <w:rsid w:val="00F517B6"/>
    <w:rsid w:val="00F522C4"/>
    <w:rsid w:val="00F547A7"/>
    <w:rsid w:val="00F57740"/>
    <w:rsid w:val="00F60397"/>
    <w:rsid w:val="00F60DEA"/>
    <w:rsid w:val="00F623A9"/>
    <w:rsid w:val="00F642B0"/>
    <w:rsid w:val="00F6446B"/>
    <w:rsid w:val="00F76C0C"/>
    <w:rsid w:val="00F81C64"/>
    <w:rsid w:val="00F85493"/>
    <w:rsid w:val="00F85B40"/>
    <w:rsid w:val="00F86E82"/>
    <w:rsid w:val="00F90594"/>
    <w:rsid w:val="00F910CE"/>
    <w:rsid w:val="00F91277"/>
    <w:rsid w:val="00F914DD"/>
    <w:rsid w:val="00F921F3"/>
    <w:rsid w:val="00F9254C"/>
    <w:rsid w:val="00F9392B"/>
    <w:rsid w:val="00F93E49"/>
    <w:rsid w:val="00F978E8"/>
    <w:rsid w:val="00F97B68"/>
    <w:rsid w:val="00FA1BA3"/>
    <w:rsid w:val="00FB0079"/>
    <w:rsid w:val="00FB0632"/>
    <w:rsid w:val="00FB1AD6"/>
    <w:rsid w:val="00FB2316"/>
    <w:rsid w:val="00FB4F59"/>
    <w:rsid w:val="00FB6754"/>
    <w:rsid w:val="00FB7002"/>
    <w:rsid w:val="00FC0F87"/>
    <w:rsid w:val="00FC2098"/>
    <w:rsid w:val="00FC662B"/>
    <w:rsid w:val="00FC6A3B"/>
    <w:rsid w:val="00FD5815"/>
    <w:rsid w:val="00FE3E21"/>
    <w:rsid w:val="00FE4419"/>
    <w:rsid w:val="00FE4BD9"/>
    <w:rsid w:val="00FE7840"/>
    <w:rsid w:val="00FE7DD7"/>
    <w:rsid w:val="00FF61E6"/>
    <w:rsid w:val="00FF6AE1"/>
    <w:rsid w:val="00FF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CD22618-972E-46A9-9772-9C82ADD0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3FD"/>
  </w:style>
  <w:style w:type="paragraph" w:styleId="Nagwek1">
    <w:name w:val="heading 1"/>
    <w:basedOn w:val="Normalny"/>
    <w:next w:val="Normalny"/>
    <w:link w:val="Nagwek1Znak"/>
    <w:uiPriority w:val="9"/>
    <w:qFormat/>
    <w:rsid w:val="008F28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0340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13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31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13FD"/>
  </w:style>
  <w:style w:type="paragraph" w:styleId="Stopka">
    <w:name w:val="footer"/>
    <w:basedOn w:val="Normalny"/>
    <w:link w:val="StopkaZnak"/>
    <w:uiPriority w:val="99"/>
    <w:unhideWhenUsed/>
    <w:rsid w:val="00731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13FD"/>
  </w:style>
  <w:style w:type="paragraph" w:customStyle="1" w:styleId="CMSANBodyText">
    <w:name w:val="CMS AN Body Text"/>
    <w:uiPriority w:val="9"/>
    <w:qFormat/>
    <w:rsid w:val="007313FD"/>
    <w:pPr>
      <w:spacing w:before="120" w:after="120" w:line="300" w:lineRule="atLeast"/>
      <w:jc w:val="both"/>
    </w:pPr>
    <w:rPr>
      <w:rFonts w:ascii="Times New Roman" w:hAnsi="Times New Roman" w:cs="Segoe Script"/>
      <w:color w:val="000000" w:themeColor="text1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48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48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48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48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48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4879"/>
    <w:rPr>
      <w:rFonts w:ascii="Segoe UI" w:hAnsi="Segoe UI" w:cs="Segoe UI"/>
      <w:sz w:val="18"/>
      <w:szCs w:val="18"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FF61E6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68263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38586B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B0EE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B0EE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0EEC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03407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Ppogrubienie">
    <w:name w:val="_P_ – pogrubienie"/>
    <w:uiPriority w:val="1"/>
    <w:qFormat/>
    <w:rsid w:val="008F2880"/>
    <w:rPr>
      <w:b/>
    </w:rPr>
  </w:style>
  <w:style w:type="character" w:customStyle="1" w:styleId="Nagwek1Znak">
    <w:name w:val="Nagłówek 1 Znak"/>
    <w:basedOn w:val="Domylnaczcionkaakapitu"/>
    <w:link w:val="Nagwek1"/>
    <w:uiPriority w:val="9"/>
    <w:rsid w:val="008F28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ODNONIKtreodnonika">
    <w:name w:val="ODNOŚNIK – treść odnośnika"/>
    <w:uiPriority w:val="19"/>
    <w:qFormat/>
    <w:rsid w:val="00E619EB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uiPriority w:val="2"/>
    <w:qFormat/>
    <w:rsid w:val="00E619EB"/>
    <w:rPr>
      <w:b w:val="0"/>
      <w:i w:val="0"/>
      <w:vanish w:val="0"/>
      <w:spacing w:val="0"/>
      <w:vertAlign w:val="superscript"/>
    </w:rPr>
  </w:style>
  <w:style w:type="paragraph" w:customStyle="1" w:styleId="LITlitera">
    <w:name w:val="LIT – litera"/>
    <w:basedOn w:val="PKTpunkt"/>
    <w:uiPriority w:val="14"/>
    <w:qFormat/>
    <w:rsid w:val="005B141A"/>
    <w:pPr>
      <w:ind w:left="986" w:hanging="476"/>
    </w:pPr>
  </w:style>
  <w:style w:type="paragraph" w:customStyle="1" w:styleId="USTustnpkodeksu">
    <w:name w:val="UST(§) – ust. (§ np. kodeksu)"/>
    <w:basedOn w:val="ARTartustawynprozporzdzenia"/>
    <w:uiPriority w:val="12"/>
    <w:qFormat/>
    <w:rsid w:val="005B141A"/>
    <w:pPr>
      <w:spacing w:before="0"/>
    </w:pPr>
    <w:rPr>
      <w:rFonts w:eastAsia="Times New Roman"/>
      <w:bCs/>
    </w:rPr>
  </w:style>
  <w:style w:type="paragraph" w:customStyle="1" w:styleId="Default">
    <w:name w:val="Default"/>
    <w:rsid w:val="004B1A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3F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3F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3FB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37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371DB"/>
    <w:rPr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5F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AA858-3AAB-4BAA-BEB1-7309E4624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3402</Words>
  <Characters>20417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 SIR</vt:lpstr>
    </vt:vector>
  </TitlesOfParts>
  <Company>MRR</Company>
  <LinksUpToDate>false</LinksUpToDate>
  <CharactersWithSpaces>23772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 SIR</dc:title>
  <dc:creator>Grzegorz Lang</dc:creator>
  <cp:lastModifiedBy>Grażyna D. Grabowska</cp:lastModifiedBy>
  <cp:revision>2</cp:revision>
  <cp:lastPrinted>2018-12-11T17:25:00Z</cp:lastPrinted>
  <dcterms:created xsi:type="dcterms:W3CDTF">2019-05-07T17:45:00Z</dcterms:created>
  <dcterms:modified xsi:type="dcterms:W3CDTF">2019-05-07T17:45:00Z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e4972-a3b7-4d51-a933-10309688c2b7_Enabled">
    <vt:lpwstr>True</vt:lpwstr>
  </property>
  <property fmtid="{D5CDD505-2E9C-101B-9397-08002B2CF9AE}" pid="3" name="MSIP_Label_6a7e4972-a3b7-4d51-a933-10309688c2b7_SiteId">
    <vt:lpwstr>0d2b6bbb-a69c-41e8-9ef1-c035572bd00e</vt:lpwstr>
  </property>
  <property fmtid="{D5CDD505-2E9C-101B-9397-08002B2CF9AE}" pid="4" name="MSIP_Label_6a7e4972-a3b7-4d51-a933-10309688c2b7_Ref">
    <vt:lpwstr>https://api.informationprotection.azure.com/api/0d2b6bbb-a69c-41e8-9ef1-c035572bd00e</vt:lpwstr>
  </property>
  <property fmtid="{D5CDD505-2E9C-101B-9397-08002B2CF9AE}" pid="5" name="MSIP_Label_6a7e4972-a3b7-4d51-a933-10309688c2b7_Owner">
    <vt:lpwstr>agnieszka.sygula@pfrventures.pl</vt:lpwstr>
  </property>
  <property fmtid="{D5CDD505-2E9C-101B-9397-08002B2CF9AE}" pid="6" name="MSIP_Label_6a7e4972-a3b7-4d51-a933-10309688c2b7_SetDate">
    <vt:lpwstr>2018-12-06T15:34:59.4771976+01:00</vt:lpwstr>
  </property>
  <property fmtid="{D5CDD505-2E9C-101B-9397-08002B2CF9AE}" pid="7" name="MSIP_Label_6a7e4972-a3b7-4d51-a933-10309688c2b7_Name">
    <vt:lpwstr>Publiczne</vt:lpwstr>
  </property>
  <property fmtid="{D5CDD505-2E9C-101B-9397-08002B2CF9AE}" pid="8" name="MSIP_Label_6a7e4972-a3b7-4d51-a933-10309688c2b7_Application">
    <vt:lpwstr>Microsoft Azure Information Protection</vt:lpwstr>
  </property>
  <property fmtid="{D5CDD505-2E9C-101B-9397-08002B2CF9AE}" pid="9" name="MSIP_Label_6a7e4972-a3b7-4d51-a933-10309688c2b7_Extended_MSFT_Method">
    <vt:lpwstr>Automatic</vt:lpwstr>
  </property>
  <property fmtid="{D5CDD505-2E9C-101B-9397-08002B2CF9AE}" pid="10" name="Sensitivity">
    <vt:lpwstr>Publiczne</vt:lpwstr>
  </property>
</Properties>
</file>