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6E7" w:rsidRPr="009C3EB5" w:rsidRDefault="00C316E7" w:rsidP="00F44ECF">
      <w:pPr>
        <w:pStyle w:val="Tytu"/>
        <w:spacing w:before="60" w:after="60"/>
        <w:rPr>
          <w:b w:val="0"/>
        </w:rPr>
      </w:pPr>
      <w:bookmarkStart w:id="0" w:name="_GoBack"/>
      <w:bookmarkEnd w:id="0"/>
      <w:r w:rsidRPr="00D57D91">
        <w:rPr>
          <w:b w:val="0"/>
        </w:rPr>
        <w:t>UZASADNIENIE</w:t>
      </w:r>
      <w:r w:rsidRPr="009C3EB5">
        <w:rPr>
          <w:b w:val="0"/>
        </w:rPr>
        <w:t xml:space="preserve"> </w:t>
      </w:r>
    </w:p>
    <w:p w:rsidR="00C316E7" w:rsidRDefault="00C316E7" w:rsidP="00F44ECF">
      <w:pPr>
        <w:spacing w:before="60" w:after="60" w:line="360" w:lineRule="auto"/>
        <w:jc w:val="both"/>
      </w:pPr>
    </w:p>
    <w:p w:rsidR="0003642E" w:rsidRPr="0003642E" w:rsidRDefault="00C54B98" w:rsidP="00F44ECF">
      <w:pPr>
        <w:pStyle w:val="Akapitzlist"/>
        <w:numPr>
          <w:ilvl w:val="0"/>
          <w:numId w:val="15"/>
        </w:numPr>
        <w:spacing w:before="60" w:after="60" w:line="360" w:lineRule="auto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Cel przyjęcia ustawy</w:t>
      </w:r>
    </w:p>
    <w:p w:rsidR="00493FD8" w:rsidRDefault="004651EF" w:rsidP="00F44ECF">
      <w:pPr>
        <w:spacing w:before="60" w:after="60" w:line="360" w:lineRule="auto"/>
        <w:jc w:val="both"/>
      </w:pPr>
      <w:r>
        <w:t>W dniu 14 grudnia 2016</w:t>
      </w:r>
      <w:r w:rsidR="00C54B98">
        <w:t xml:space="preserve"> r. przyjęto w Strasburgu d</w:t>
      </w:r>
      <w:r w:rsidR="00493FD8">
        <w:t>yrektywę Parlamentu</w:t>
      </w:r>
      <w:r>
        <w:t xml:space="preserve"> Europejskiego i Rady 2016/2341 z dnia 14 grud</w:t>
      </w:r>
      <w:r w:rsidR="00493FD8">
        <w:t xml:space="preserve">nia 2014 r. </w:t>
      </w:r>
      <w:r w:rsidRPr="00E73B2A">
        <w:t>w sprawie działalności instytucji pracowniczych programów emerytalnych oraz nadzoru nad takimi instytucjami (IORP)</w:t>
      </w:r>
      <w:r w:rsidR="00493FD8" w:rsidRPr="0003642E">
        <w:rPr>
          <w:i/>
        </w:rPr>
        <w:t xml:space="preserve"> </w:t>
      </w:r>
      <w:r w:rsidR="00D57D91">
        <w:t>–</w:t>
      </w:r>
      <w:r w:rsidR="0050677E">
        <w:t xml:space="preserve"> </w:t>
      </w:r>
      <w:r w:rsidR="00F44ECF">
        <w:t xml:space="preserve">Dz. </w:t>
      </w:r>
      <w:r w:rsidR="001A129A">
        <w:t>U</w:t>
      </w:r>
      <w:r w:rsidR="00C54B98">
        <w:t>rz</w:t>
      </w:r>
      <w:r w:rsidR="001A129A">
        <w:t>.</w:t>
      </w:r>
      <w:r w:rsidR="00F44ECF">
        <w:t xml:space="preserve"> </w:t>
      </w:r>
      <w:r w:rsidR="00A039BD">
        <w:t>UE L</w:t>
      </w:r>
      <w:r w:rsidR="00F44ECF">
        <w:t xml:space="preserve"> </w:t>
      </w:r>
      <w:r>
        <w:t>354 z 23.12</w:t>
      </w:r>
      <w:r w:rsidR="00C54B98">
        <w:t>.</w:t>
      </w:r>
      <w:r>
        <w:t>2016</w:t>
      </w:r>
      <w:r w:rsidR="00A039BD">
        <w:t>,</w:t>
      </w:r>
      <w:r w:rsidR="00493FD8">
        <w:t xml:space="preserve"> </w:t>
      </w:r>
      <w:r w:rsidR="00BB12A7">
        <w:t>s</w:t>
      </w:r>
      <w:r w:rsidR="006229F7">
        <w:t>tr</w:t>
      </w:r>
      <w:r>
        <w:t>. 37</w:t>
      </w:r>
      <w:r w:rsidR="0050677E">
        <w:t xml:space="preserve"> (tzw. dyrektywa IORP 2). </w:t>
      </w:r>
      <w:r w:rsidR="00493FD8">
        <w:t xml:space="preserve">Dyrektywa ta </w:t>
      </w:r>
      <w:r w:rsidR="00080E6B">
        <w:t>ma na celu minimalną harmonizację</w:t>
      </w:r>
      <w:r w:rsidR="003E0047">
        <w:t xml:space="preserve"> zasad dotyczących nadzoru i zarządzania oraz organizacji </w:t>
      </w:r>
      <w:r w:rsidR="00080E6B">
        <w:t>instytucji pracowniczych programów emerytalnych (ang.</w:t>
      </w:r>
      <w:r w:rsidR="00F44ECF">
        <w:t xml:space="preserve"> </w:t>
      </w:r>
      <w:r w:rsidR="00080E6B" w:rsidRPr="00080E6B">
        <w:rPr>
          <w:i/>
        </w:rPr>
        <w:t>institutions for occupational retirement provisions</w:t>
      </w:r>
      <w:r w:rsidR="00080E6B">
        <w:t xml:space="preserve"> – IORP), ułatwienie mobilności pracowników między państwami c</w:t>
      </w:r>
      <w:r w:rsidR="003E0047">
        <w:t>złonkowskimi Unii Europejskiej, uregulowanie zasad działalności transgranicznej IORP oraz ułatwienie koordynacji praktyk nadzorczych Europejskie</w:t>
      </w:r>
      <w:r w:rsidR="0050677E">
        <w:t>go Urzędu Nadzoru Ubezpieczeń i</w:t>
      </w:r>
      <w:r w:rsidR="00F44ECF">
        <w:t xml:space="preserve"> </w:t>
      </w:r>
      <w:r w:rsidR="003E0047">
        <w:t xml:space="preserve">Pracowniczych Programów Emerytalnych (ang. </w:t>
      </w:r>
      <w:r w:rsidR="003E0047" w:rsidRPr="003E0047">
        <w:rPr>
          <w:i/>
        </w:rPr>
        <w:t>European Insurance and Occupational Pension Authority</w:t>
      </w:r>
      <w:r w:rsidR="00F8499C">
        <w:t xml:space="preserve"> – </w:t>
      </w:r>
      <w:r w:rsidR="003E0047">
        <w:t>EIOPA).</w:t>
      </w:r>
    </w:p>
    <w:p w:rsidR="00B27277" w:rsidRDefault="00B03803" w:rsidP="00F44ECF">
      <w:pPr>
        <w:spacing w:before="60" w:after="60" w:line="360" w:lineRule="auto"/>
        <w:jc w:val="both"/>
      </w:pPr>
      <w:r>
        <w:t>Zgodnie z art. 64</w:t>
      </w:r>
      <w:r w:rsidR="00997F63">
        <w:t xml:space="preserve"> ww. d</w:t>
      </w:r>
      <w:r>
        <w:t>yrektywy dnia 13 stycznia 2019</w:t>
      </w:r>
      <w:r w:rsidR="00493FD8">
        <w:t xml:space="preserve"> r. upływa termin przewidziany na przyjęcie przepisów ustawowych, wykonawczych i administracyjnych niezbędnych do jej wykonania.</w:t>
      </w:r>
      <w:r w:rsidR="0003642E">
        <w:t xml:space="preserve"> Projektowana ustawa wykonuje ten obowiązek.</w:t>
      </w:r>
    </w:p>
    <w:p w:rsidR="0003642E" w:rsidRPr="0003642E" w:rsidRDefault="0003642E" w:rsidP="00F44ECF">
      <w:pPr>
        <w:pStyle w:val="Akapitzlist"/>
        <w:numPr>
          <w:ilvl w:val="0"/>
          <w:numId w:val="15"/>
        </w:numPr>
        <w:spacing w:before="60" w:after="60" w:line="360" w:lineRule="auto"/>
        <w:ind w:left="426"/>
        <w:jc w:val="both"/>
        <w:rPr>
          <w:b/>
          <w:sz w:val="24"/>
          <w:szCs w:val="24"/>
        </w:rPr>
      </w:pPr>
      <w:r w:rsidRPr="0003642E">
        <w:rPr>
          <w:b/>
          <w:sz w:val="24"/>
          <w:szCs w:val="24"/>
        </w:rPr>
        <w:t>Zakres zmienianej regulacji</w:t>
      </w:r>
    </w:p>
    <w:p w:rsidR="003A0058" w:rsidRDefault="003A0058" w:rsidP="00F44ECF">
      <w:pPr>
        <w:spacing w:before="60" w:after="60" w:line="360" w:lineRule="auto"/>
        <w:jc w:val="both"/>
      </w:pPr>
      <w:r>
        <w:t>Pracownicze programy emerytalne mogą być w Polsce prowad</w:t>
      </w:r>
      <w:r w:rsidR="00F8499C">
        <w:t>zone w jednej</w:t>
      </w:r>
      <w:r w:rsidR="003778AE">
        <w:t xml:space="preserve"> </w:t>
      </w:r>
      <w:r w:rsidR="00F8499C">
        <w:t>z</w:t>
      </w:r>
      <w:r w:rsidR="00F44ECF">
        <w:t xml:space="preserve"> </w:t>
      </w:r>
      <w:r w:rsidR="00F8499C">
        <w:t>czterech</w:t>
      </w:r>
      <w:r>
        <w:t xml:space="preserve"> dostępnych form:</w:t>
      </w:r>
    </w:p>
    <w:p w:rsidR="003A0058" w:rsidRDefault="00467FAD" w:rsidP="00F44ECF">
      <w:pPr>
        <w:numPr>
          <w:ilvl w:val="0"/>
          <w:numId w:val="26"/>
        </w:numPr>
        <w:spacing w:before="60" w:after="60" w:line="360" w:lineRule="auto"/>
        <w:jc w:val="both"/>
      </w:pPr>
      <w:r>
        <w:t>f</w:t>
      </w:r>
      <w:r w:rsidR="003A0058">
        <w:t>unduszu emerytalnego,</w:t>
      </w:r>
    </w:p>
    <w:p w:rsidR="003A0058" w:rsidRDefault="00467FAD" w:rsidP="00F44ECF">
      <w:pPr>
        <w:numPr>
          <w:ilvl w:val="0"/>
          <w:numId w:val="26"/>
        </w:numPr>
        <w:spacing w:before="60" w:after="60" w:line="360" w:lineRule="auto"/>
        <w:jc w:val="both"/>
      </w:pPr>
      <w:r>
        <w:t>u</w:t>
      </w:r>
      <w:r w:rsidR="003A0058">
        <w:t xml:space="preserve">mowy o </w:t>
      </w:r>
      <w:r w:rsidR="003778AE">
        <w:t xml:space="preserve">wnoszenie przez </w:t>
      </w:r>
      <w:r w:rsidR="003A0058">
        <w:t>p</w:t>
      </w:r>
      <w:r w:rsidR="003778AE">
        <w:t>r</w:t>
      </w:r>
      <w:r w:rsidR="003A0058">
        <w:t xml:space="preserve">acodawcę składek </w:t>
      </w:r>
      <w:r w:rsidR="003778AE">
        <w:t>do funduszu inwestycyjnego,</w:t>
      </w:r>
    </w:p>
    <w:p w:rsidR="003778AE" w:rsidRDefault="00467FAD" w:rsidP="00F44ECF">
      <w:pPr>
        <w:numPr>
          <w:ilvl w:val="0"/>
          <w:numId w:val="26"/>
        </w:numPr>
        <w:spacing w:before="60" w:after="60" w:line="360" w:lineRule="auto"/>
        <w:jc w:val="both"/>
      </w:pPr>
      <w:r>
        <w:t>u</w:t>
      </w:r>
      <w:r w:rsidR="003778AE">
        <w:t>mowy grupowego ubezpieczenia na życie z ubezpieczeniowym funduszem kapitałowym,</w:t>
      </w:r>
    </w:p>
    <w:p w:rsidR="003778AE" w:rsidRDefault="00467FAD" w:rsidP="00F44ECF">
      <w:pPr>
        <w:numPr>
          <w:ilvl w:val="0"/>
          <w:numId w:val="26"/>
        </w:numPr>
        <w:spacing w:before="60" w:after="60" w:line="360" w:lineRule="auto"/>
        <w:jc w:val="both"/>
      </w:pPr>
      <w:r>
        <w:t>z</w:t>
      </w:r>
      <w:r w:rsidR="003778AE">
        <w:t>arządzania zagranicznego.</w:t>
      </w:r>
    </w:p>
    <w:p w:rsidR="00396614" w:rsidRDefault="003778AE" w:rsidP="00F44ECF">
      <w:pPr>
        <w:spacing w:before="60" w:after="60" w:line="360" w:lineRule="auto"/>
        <w:jc w:val="both"/>
      </w:pPr>
      <w:r>
        <w:t>Zatem w</w:t>
      </w:r>
      <w:r w:rsidR="003A0058">
        <w:t xml:space="preserve"> polskim porządku prawnym definicję IORP zawartą w a</w:t>
      </w:r>
      <w:r w:rsidR="0059217D">
        <w:t>rt. 6 pkt 1 dyrektywy wyczerpuje</w:t>
      </w:r>
      <w:r w:rsidR="003A0058">
        <w:t xml:space="preserve"> wyłącznie </w:t>
      </w:r>
      <w:r w:rsidR="00851966">
        <w:t>forma funduszu</w:t>
      </w:r>
      <w:r>
        <w:t xml:space="preserve"> emerytalne</w:t>
      </w:r>
      <w:r w:rsidR="00851966">
        <w:t>go</w:t>
      </w:r>
      <w:r>
        <w:t xml:space="preserve">, a dokładnie – </w:t>
      </w:r>
      <w:r w:rsidR="003A0058">
        <w:t>pracownicze</w:t>
      </w:r>
      <w:r w:rsidR="00851966">
        <w:t>go funduszu</w:t>
      </w:r>
      <w:r w:rsidR="003A0058">
        <w:t xml:space="preserve"> emerytalne</w:t>
      </w:r>
      <w:r w:rsidR="00851966">
        <w:t>go</w:t>
      </w:r>
      <w:r w:rsidR="003A0058">
        <w:t xml:space="preserve"> zarządzane</w:t>
      </w:r>
      <w:r w:rsidR="00851966">
        <w:t>go</w:t>
      </w:r>
      <w:r w:rsidR="003A0058">
        <w:t xml:space="preserve"> przez pracownicze towarzystw</w:t>
      </w:r>
      <w:r w:rsidR="00077754">
        <w:t>o</w:t>
      </w:r>
      <w:r w:rsidR="003A0058">
        <w:t xml:space="preserve"> emerytalne. </w:t>
      </w:r>
      <w:r>
        <w:t>Pozostałe dwie formy pracowniczego programu emerytalnego to tylko umowy z</w:t>
      </w:r>
      <w:r w:rsidR="00F44ECF">
        <w:t> </w:t>
      </w:r>
      <w:r>
        <w:t>instytucjami finansowymi, zaś forma zarządzania zagranicznego to umożliwienie zagranicznym IORP prowadzeni</w:t>
      </w:r>
      <w:r w:rsidR="00AF56AC">
        <w:t>e</w:t>
      </w:r>
      <w:r>
        <w:t xml:space="preserve"> działalności transgranicznej w Polsce.</w:t>
      </w:r>
      <w:r w:rsidR="00396614">
        <w:t xml:space="preserve"> </w:t>
      </w:r>
      <w:r w:rsidR="00274D02">
        <w:t>O</w:t>
      </w:r>
      <w:r w:rsidR="008C03F0">
        <w:t>becn</w:t>
      </w:r>
      <w:r w:rsidR="00274D02">
        <w:t>i</w:t>
      </w:r>
      <w:r w:rsidR="008C03F0">
        <w:t xml:space="preserve">e </w:t>
      </w:r>
      <w:r w:rsidR="00A33C52">
        <w:br/>
      </w:r>
      <w:r w:rsidR="008C03F0">
        <w:t>w Polsce działają 2</w:t>
      </w:r>
      <w:r w:rsidR="00396614">
        <w:t xml:space="preserve"> podmioty, które można zidentyfikować jako IORP (</w:t>
      </w:r>
      <w:r w:rsidR="00F84671">
        <w:t>tj.</w:t>
      </w:r>
      <w:r w:rsidR="00F44ECF">
        <w:t> </w:t>
      </w:r>
      <w:r w:rsidR="00F84671">
        <w:t xml:space="preserve">Pracowniczy </w:t>
      </w:r>
      <w:r w:rsidR="00F84671">
        <w:lastRenderedPageBreak/>
        <w:t xml:space="preserve">Fundusz Emerytalny </w:t>
      </w:r>
      <w:r w:rsidR="00F84671" w:rsidRPr="00F84671">
        <w:rPr>
          <w:i/>
        </w:rPr>
        <w:t>Nowy Świat</w:t>
      </w:r>
      <w:r w:rsidR="00F84671">
        <w:t xml:space="preserve"> oraz Pracowniczy Fundusz Emerytalny </w:t>
      </w:r>
      <w:r w:rsidR="00F84671" w:rsidRPr="00F84671">
        <w:rPr>
          <w:i/>
        </w:rPr>
        <w:t>Orange Polska</w:t>
      </w:r>
      <w:r w:rsidR="00396614">
        <w:t>).</w:t>
      </w:r>
    </w:p>
    <w:p w:rsidR="00E22426" w:rsidRDefault="0006753A" w:rsidP="00F44ECF">
      <w:pPr>
        <w:spacing w:before="60" w:after="60" w:line="360" w:lineRule="auto"/>
        <w:jc w:val="both"/>
      </w:pPr>
      <w:r>
        <w:t>W celu</w:t>
      </w:r>
      <w:r w:rsidR="00493FD8">
        <w:t xml:space="preserve"> dokona</w:t>
      </w:r>
      <w:r w:rsidR="00A039BD">
        <w:t>nia transpozycji przepisów ww. dyrektywy</w:t>
      </w:r>
      <w:r w:rsidR="00493FD8">
        <w:t xml:space="preserve"> konieczne jest znowelizowanie przepisów ustawy z dnia 20 kwietnia 2004 r. </w:t>
      </w:r>
      <w:r w:rsidR="00493FD8" w:rsidRPr="00F8499C">
        <w:t>o pracowniczych programach emerytalnych</w:t>
      </w:r>
      <w:r w:rsidR="00493FD8" w:rsidRPr="00493FD8">
        <w:rPr>
          <w:i/>
        </w:rPr>
        <w:t xml:space="preserve"> </w:t>
      </w:r>
      <w:r w:rsidR="00997F63">
        <w:t>(Dz. U. z 2016 r. poz. 1449</w:t>
      </w:r>
      <w:r w:rsidR="003428DF">
        <w:t xml:space="preserve"> oraz z 2018 r. poz. 1091</w:t>
      </w:r>
      <w:r w:rsidR="00C312BF">
        <w:t>, 1608,</w:t>
      </w:r>
      <w:r w:rsidR="00AD7B49">
        <w:t xml:space="preserve"> 1629</w:t>
      </w:r>
      <w:r w:rsidR="00C312BF">
        <w:t xml:space="preserve"> i 2215</w:t>
      </w:r>
      <w:r w:rsidR="00997F63">
        <w:t>), zwanej</w:t>
      </w:r>
      <w:r w:rsidR="00493FD8">
        <w:t xml:space="preserve"> dalej </w:t>
      </w:r>
      <w:r w:rsidR="00997F63">
        <w:t>„</w:t>
      </w:r>
      <w:r w:rsidR="00493FD8">
        <w:t xml:space="preserve">ustawą </w:t>
      </w:r>
      <w:r w:rsidR="003428DF">
        <w:t>o</w:t>
      </w:r>
      <w:r w:rsidR="00F44ECF">
        <w:t xml:space="preserve"> </w:t>
      </w:r>
      <w:r w:rsidR="007F18B9" w:rsidRPr="00F8499C">
        <w:t>PPE</w:t>
      </w:r>
      <w:r w:rsidR="00997F63">
        <w:t>”</w:t>
      </w:r>
      <w:r w:rsidR="00F76E64">
        <w:t>,</w:t>
      </w:r>
      <w:r w:rsidR="007F18B9">
        <w:t xml:space="preserve"> oraz ustawy z</w:t>
      </w:r>
      <w:r w:rsidR="00F44ECF">
        <w:t xml:space="preserve"> </w:t>
      </w:r>
      <w:r w:rsidR="007F18B9">
        <w:t>dnia</w:t>
      </w:r>
      <w:r w:rsidR="00F44ECF">
        <w:t xml:space="preserve"> </w:t>
      </w:r>
      <w:r w:rsidR="007F18B9">
        <w:t xml:space="preserve">28 sierpnia 1997 r. </w:t>
      </w:r>
      <w:r w:rsidR="007F18B9" w:rsidRPr="00F8499C">
        <w:t>o organizacji i</w:t>
      </w:r>
      <w:r w:rsidR="00F44ECF">
        <w:t> </w:t>
      </w:r>
      <w:r w:rsidR="007F18B9" w:rsidRPr="00F8499C">
        <w:t>funkcjonowaniu funduszy emerytalnych</w:t>
      </w:r>
      <w:r w:rsidR="003428DF">
        <w:t xml:space="preserve"> (Dz. U. z</w:t>
      </w:r>
      <w:r w:rsidR="00F44ECF">
        <w:t xml:space="preserve"> </w:t>
      </w:r>
      <w:r w:rsidR="003428DF">
        <w:t>2018 r. poz. 1906</w:t>
      </w:r>
      <w:r w:rsidR="00077754">
        <w:t xml:space="preserve"> i 2215</w:t>
      </w:r>
      <w:r w:rsidR="007F18B9">
        <w:t>), zwan</w:t>
      </w:r>
      <w:r w:rsidR="00F76E64">
        <w:t>ej</w:t>
      </w:r>
      <w:r w:rsidR="007F18B9">
        <w:t xml:space="preserve"> dalej „ustawą </w:t>
      </w:r>
      <w:r w:rsidR="00F8499C">
        <w:t>o OIFFE</w:t>
      </w:r>
      <w:r w:rsidR="00F8499C">
        <w:rPr>
          <w:i/>
        </w:rPr>
        <w:t xml:space="preserve"> </w:t>
      </w:r>
      <w:r w:rsidR="007F18B9">
        <w:t>”.</w:t>
      </w:r>
    </w:p>
    <w:p w:rsidR="00786AA5" w:rsidRDefault="00057875" w:rsidP="00F44ECF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W zakresie transpozycji dyrektywy IORP p</w:t>
      </w:r>
      <w:r w:rsidR="00493FD8" w:rsidRPr="007F2D32">
        <w:rPr>
          <w:sz w:val="24"/>
          <w:szCs w:val="24"/>
        </w:rPr>
        <w:t>rojektowana n</w:t>
      </w:r>
      <w:r w:rsidR="00786AA5" w:rsidRPr="007F2D32">
        <w:rPr>
          <w:sz w:val="24"/>
          <w:szCs w:val="24"/>
        </w:rPr>
        <w:t>owelizacja obe</w:t>
      </w:r>
      <w:r w:rsidR="00C97971" w:rsidRPr="007F2D32">
        <w:rPr>
          <w:sz w:val="24"/>
          <w:szCs w:val="24"/>
        </w:rPr>
        <w:t>jmuje:</w:t>
      </w:r>
    </w:p>
    <w:p w:rsidR="00AF56A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Zmianę art. 8 ustawy </w:t>
      </w:r>
      <w:r w:rsidRPr="00721F22">
        <w:t xml:space="preserve">o </w:t>
      </w:r>
      <w:r w:rsidRPr="00F8499C">
        <w:t xml:space="preserve">OIFFE </w:t>
      </w:r>
      <w:r>
        <w:t>przez:</w:t>
      </w:r>
    </w:p>
    <w:p w:rsidR="00AF56AC" w:rsidRDefault="00F8499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>dodanie pkt</w:t>
      </w:r>
      <w:r w:rsidR="00AF56AC">
        <w:t xml:space="preserve"> 6b, w</w:t>
      </w:r>
      <w:r w:rsidR="00F44ECF">
        <w:t xml:space="preserve"> </w:t>
      </w:r>
      <w:r w:rsidR="00AF56AC">
        <w:t xml:space="preserve">którym określa się definicję </w:t>
      </w:r>
      <w:r w:rsidR="00AF56AC" w:rsidRPr="00CD0F58">
        <w:rPr>
          <w:i/>
        </w:rPr>
        <w:t>pracowniczego funduszu przenoszącego</w:t>
      </w:r>
      <w:r w:rsidR="00AF56AC">
        <w:t>. W</w:t>
      </w:r>
      <w:r w:rsidR="00F44ECF">
        <w:t xml:space="preserve"> </w:t>
      </w:r>
      <w:r w:rsidR="00AF56AC">
        <w:t xml:space="preserve">obecnie obowiązujących przepisach brak jest takiej definicji. 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Proponowany przepis jest trans</w:t>
      </w:r>
      <w:r w:rsidR="00F8499C">
        <w:t>pozycją art. 6 pkt 12 dyrektywy,</w:t>
      </w:r>
    </w:p>
    <w:p w:rsidR="00AF56AC" w:rsidRDefault="00F8499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>dodanie pkt 6c,</w:t>
      </w:r>
      <w:r w:rsidR="00AF56AC">
        <w:t xml:space="preserve"> w</w:t>
      </w:r>
      <w:r w:rsidR="00F44ECF">
        <w:t xml:space="preserve"> </w:t>
      </w:r>
      <w:r w:rsidR="00AF56AC">
        <w:t xml:space="preserve">którym określa się definicję </w:t>
      </w:r>
      <w:r w:rsidR="00AF56AC">
        <w:rPr>
          <w:i/>
        </w:rPr>
        <w:t>pracowniczego funduszu przyjmuj</w:t>
      </w:r>
      <w:r w:rsidR="00AF56AC" w:rsidRPr="00CD0F58">
        <w:rPr>
          <w:i/>
        </w:rPr>
        <w:t>ącego</w:t>
      </w:r>
      <w:r w:rsidR="00AF56AC">
        <w:t>. W</w:t>
      </w:r>
      <w:r w:rsidR="00F44ECF">
        <w:t xml:space="preserve"> </w:t>
      </w:r>
      <w:r w:rsidR="00AF56AC">
        <w:t xml:space="preserve">obecnie obowiązujących przepisach brak jest takiej definicji. 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Proponowany przepis jest trans</w:t>
      </w:r>
      <w:r w:rsidR="00F8499C">
        <w:t>pozycją art. 6 pkt 13 dyrektywy,</w:t>
      </w:r>
    </w:p>
    <w:p w:rsidR="00721F22" w:rsidRDefault="00721F22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 xml:space="preserve">zmianę określonej w pkt 17 definicji </w:t>
      </w:r>
      <w:r w:rsidRPr="00721F22">
        <w:rPr>
          <w:i/>
        </w:rPr>
        <w:t>rynku regulowanego</w:t>
      </w:r>
      <w:r>
        <w:t>. Przepis ten jest transpozycją art. 6 pkt 14 dyrektywy,</w:t>
      </w:r>
    </w:p>
    <w:p w:rsidR="00AF56AC" w:rsidRDefault="00AF56A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>dodanie pkt 18, w</w:t>
      </w:r>
      <w:r w:rsidR="00F44ECF">
        <w:t xml:space="preserve"> </w:t>
      </w:r>
      <w:r>
        <w:t xml:space="preserve">którym określa się definicję </w:t>
      </w:r>
      <w:r>
        <w:rPr>
          <w:i/>
        </w:rPr>
        <w:t>rodzimego państwa członkowskiego</w:t>
      </w:r>
      <w:r>
        <w:t>. W</w:t>
      </w:r>
      <w:r w:rsidR="00F44ECF">
        <w:t xml:space="preserve"> </w:t>
      </w:r>
      <w:r>
        <w:t xml:space="preserve">obecnie obowiązujących przepisach brak jest takiej definicji. 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Proponowany przepis jest trans</w:t>
      </w:r>
      <w:r w:rsidR="00F8499C">
        <w:t>pozycją art. 6 pkt 10 dyrektywy,</w:t>
      </w:r>
    </w:p>
    <w:p w:rsidR="00AF56AC" w:rsidRDefault="00AF56A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 xml:space="preserve">dodanie pkt 19, w którym określa się definicję </w:t>
      </w:r>
      <w:r w:rsidRPr="00572B28">
        <w:rPr>
          <w:i/>
        </w:rPr>
        <w:t>przyjmującego państwa członkowskiego</w:t>
      </w:r>
      <w:r>
        <w:t>. W obecnie obowiązujących przepisach brak jest takiej definicji. Proponowany przepis jest trans</w:t>
      </w:r>
      <w:r w:rsidR="00D351EC">
        <w:t>pozycją art. 6 pkt 11</w:t>
      </w:r>
      <w:r w:rsidR="00F8499C">
        <w:t xml:space="preserve"> dyrektywy,</w:t>
      </w:r>
    </w:p>
    <w:p w:rsidR="00AF56AC" w:rsidRDefault="00F8499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>dodanie pkt</w:t>
      </w:r>
      <w:r w:rsidR="00AF56AC">
        <w:t xml:space="preserve"> 20, w</w:t>
      </w:r>
      <w:r w:rsidR="00F44ECF">
        <w:t xml:space="preserve"> </w:t>
      </w:r>
      <w:r w:rsidR="00AF56AC">
        <w:t xml:space="preserve">którym określa się definicję </w:t>
      </w:r>
      <w:r w:rsidR="00AF56AC" w:rsidRPr="00CD0F58">
        <w:rPr>
          <w:i/>
        </w:rPr>
        <w:t>trwałego nośnika informacji</w:t>
      </w:r>
      <w:r w:rsidR="00AF56AC">
        <w:t>. W</w:t>
      </w:r>
      <w:r w:rsidR="00F44ECF">
        <w:t> </w:t>
      </w:r>
      <w:r w:rsidR="00AF56AC">
        <w:t xml:space="preserve">obecnie obowiązujących przepisach ustawy </w:t>
      </w:r>
      <w:r w:rsidR="00AF56AC" w:rsidRPr="00F8499C">
        <w:t>o OIFFE</w:t>
      </w:r>
      <w:r w:rsidR="00AF56AC">
        <w:t xml:space="preserve"> brak jest takiej definicji, zaś definicja określona w art. 3 pkt 54 ustawy z dnia 29 lipca 2005 r. </w:t>
      </w:r>
      <w:r w:rsidR="00AF56AC" w:rsidRPr="00F8499C">
        <w:t>o</w:t>
      </w:r>
      <w:r w:rsidR="00F44ECF">
        <w:t xml:space="preserve"> </w:t>
      </w:r>
      <w:r w:rsidR="00AF56AC" w:rsidRPr="00F8499C">
        <w:t xml:space="preserve">obrocie instrumentami finansowymi </w:t>
      </w:r>
      <w:r>
        <w:t>(Dz. U. z 201</w:t>
      </w:r>
      <w:r w:rsidR="00E0779F">
        <w:t>8</w:t>
      </w:r>
      <w:r>
        <w:t xml:space="preserve"> r.</w:t>
      </w:r>
      <w:r w:rsidR="00AF56AC">
        <w:t xml:space="preserve"> poz. </w:t>
      </w:r>
      <w:r w:rsidR="00E0779F">
        <w:t>2286</w:t>
      </w:r>
      <w:r w:rsidR="00AF56AC">
        <w:t xml:space="preserve">) nie obowiązuje </w:t>
      </w:r>
      <w:r w:rsidR="00AF56AC" w:rsidRPr="003C5B38">
        <w:rPr>
          <w:i/>
        </w:rPr>
        <w:t xml:space="preserve">per analogiam </w:t>
      </w:r>
      <w:r w:rsidR="00AF56AC">
        <w:t xml:space="preserve">w innej ustawie. </w:t>
      </w:r>
    </w:p>
    <w:p w:rsidR="00AF56AC" w:rsidRPr="00E467C1" w:rsidRDefault="00AF56AC" w:rsidP="00F44ECF">
      <w:pPr>
        <w:spacing w:before="60" w:after="60" w:line="360" w:lineRule="auto"/>
        <w:ind w:left="720"/>
        <w:jc w:val="both"/>
      </w:pPr>
      <w:r w:rsidRPr="00E467C1">
        <w:t>Proponowany przepis jest tran</w:t>
      </w:r>
      <w:r w:rsidR="00F8499C">
        <w:t>spozycją art. 6 pkt 7 dyrektywy,</w:t>
      </w:r>
    </w:p>
    <w:p w:rsidR="00B5636F" w:rsidRPr="00B5636F" w:rsidRDefault="00AF56A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 xml:space="preserve">dodanie pkt 21, w którym określa się definicję </w:t>
      </w:r>
      <w:r>
        <w:rPr>
          <w:i/>
        </w:rPr>
        <w:t>kluczowej funkcji</w:t>
      </w:r>
      <w:r w:rsidR="00B5636F">
        <w:rPr>
          <w:i/>
        </w:rPr>
        <w:t>.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lastRenderedPageBreak/>
        <w:t>W obecnie obowiązujących przepisach brak jest takiej definicji. Proponowany przepis jest trans</w:t>
      </w:r>
      <w:r w:rsidR="00F8499C">
        <w:t>pozycją art. 6 pkt 18 dyrektywy,</w:t>
      </w:r>
    </w:p>
    <w:p w:rsidR="00AF56AC" w:rsidRDefault="00AF56AC" w:rsidP="00F44ECF">
      <w:pPr>
        <w:numPr>
          <w:ilvl w:val="0"/>
          <w:numId w:val="22"/>
        </w:numPr>
        <w:spacing w:before="60" w:after="60" w:line="360" w:lineRule="auto"/>
        <w:ind w:left="720"/>
        <w:jc w:val="both"/>
      </w:pPr>
      <w:r>
        <w:t xml:space="preserve">dodanie pkt 22, w którym określa się definicję </w:t>
      </w:r>
      <w:r>
        <w:rPr>
          <w:i/>
        </w:rPr>
        <w:t>działalności transgranicznej</w:t>
      </w:r>
      <w:r>
        <w:t>. W</w:t>
      </w:r>
      <w:r w:rsidR="00F44ECF">
        <w:t> </w:t>
      </w:r>
      <w:r>
        <w:t xml:space="preserve">obecnie obowiązujących przepisach brak jest takiej definicji. 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Proponowany przepis jest trans</w:t>
      </w:r>
      <w:r w:rsidR="00F8499C">
        <w:t>pozycją art. 6 pkt 19 dyrektywy</w:t>
      </w:r>
      <w:r w:rsidR="00F76E64">
        <w:t>.</w:t>
      </w:r>
    </w:p>
    <w:p w:rsidR="00FA50AA" w:rsidRDefault="00FA50AA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Dodanie w ustawie o OIFFE art. 16a, który obliguje organ nadzoru do przekazywania Europejskiemu Urzędowi Nadzoru Ubezpieczeń i Pracowniczych Programów Emerytalnych (dalej EIOPA) informacji na temat pracowniczych funduszy, które uzyskały wpis do rejestru funduszy. W dotychczas obowiązujących przepisach nie funkcjonował taki obowiązek.</w:t>
      </w:r>
    </w:p>
    <w:p w:rsidR="00FA50AA" w:rsidRDefault="00FA50AA" w:rsidP="00F44ECF">
      <w:pPr>
        <w:spacing w:before="60" w:after="60" w:line="360" w:lineRule="auto"/>
        <w:ind w:left="360"/>
        <w:jc w:val="both"/>
      </w:pPr>
      <w:r>
        <w:t>Przepis jest transpozycją art. 9 ust. 3 dyrektywy.</w:t>
      </w:r>
    </w:p>
    <w:p w:rsidR="00AF56A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</w:t>
      </w:r>
      <w:r w:rsidRPr="00F8499C">
        <w:t>o OIFFE</w:t>
      </w:r>
      <w:r w:rsidR="00F8499C">
        <w:t xml:space="preserve"> rozdziału 2a</w:t>
      </w:r>
      <w:r>
        <w:t xml:space="preserve"> określającego zasady zarządzania pracowniczym funduszem emerytalnym. Roz</w:t>
      </w:r>
      <w:r w:rsidR="00F8499C">
        <w:t>dział ten obejmuje art. 26a</w:t>
      </w:r>
      <w:r w:rsidR="00F76E64">
        <w:t>–</w:t>
      </w:r>
      <w:r w:rsidR="00FA50AA">
        <w:t>26f</w:t>
      </w:r>
      <w:r w:rsidR="00F8499C">
        <w:t>:</w:t>
      </w:r>
    </w:p>
    <w:p w:rsidR="00AF56AC" w:rsidRDefault="00AF56AC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 xml:space="preserve">Art. 26a nakłada na pracownicze </w:t>
      </w:r>
      <w:r w:rsidR="003428DF">
        <w:t xml:space="preserve">towarzystwa </w:t>
      </w:r>
      <w:r>
        <w:t>emerytalne obowiązek przygotowania i</w:t>
      </w:r>
      <w:r w:rsidR="00F44ECF">
        <w:t xml:space="preserve"> </w:t>
      </w:r>
      <w:r>
        <w:t>wprowadzenia skutecznego systemu zarządzania prowadzoną działalnością. W</w:t>
      </w:r>
      <w:r w:rsidR="00F44ECF">
        <w:t xml:space="preserve"> </w:t>
      </w:r>
      <w:r w:rsidRPr="00F14BBF">
        <w:t>aktualnie obowiązujących przepisach brak jest regulacji dotyczącej systemu zarządzania.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Przepis jest transpoz</w:t>
      </w:r>
      <w:r w:rsidR="00F8499C">
        <w:t>ycją art. 21 ust. 1</w:t>
      </w:r>
      <w:r w:rsidR="00F76E64">
        <w:t xml:space="preserve"> i </w:t>
      </w:r>
      <w:r w:rsidR="00F8499C">
        <w:t>2 dyrektywy</w:t>
      </w:r>
      <w:r w:rsidR="00274E4B">
        <w:t>.</w:t>
      </w:r>
    </w:p>
    <w:p w:rsidR="00AF56AC" w:rsidRDefault="00AF56AC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>Art. 26b</w:t>
      </w:r>
      <w:r w:rsidR="009F2358">
        <w:t xml:space="preserve"> nakłada na pracownicze towarzystwa</w:t>
      </w:r>
      <w:r>
        <w:t xml:space="preserve"> emerytalne obowiązek przygotowania pisemnego dokumentu określającego zasady zarządzania ryzykiem, audytu wewnętrznego i korzystania z outsourcingu. W</w:t>
      </w:r>
      <w:r w:rsidR="00F44ECF">
        <w:t xml:space="preserve"> </w:t>
      </w:r>
      <w:r w:rsidRPr="00F14BBF">
        <w:t>aktualnie obowiązujących przepisach brak jest</w:t>
      </w:r>
      <w:r>
        <w:t xml:space="preserve"> takiego obowiązku</w:t>
      </w:r>
      <w:r w:rsidRPr="00F14BBF">
        <w:t>.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Przepis jest transp</w:t>
      </w:r>
      <w:r w:rsidR="00274E4B">
        <w:t>ozycją art. 21 ust. 3 dyrektywy.</w:t>
      </w:r>
    </w:p>
    <w:p w:rsidR="00AF56AC" w:rsidRDefault="00AF56AC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 xml:space="preserve">Art. 26c </w:t>
      </w:r>
      <w:r w:rsidR="009F2358">
        <w:t>nakłada na pracownicze towarzystwa</w:t>
      </w:r>
      <w:r>
        <w:t xml:space="preserve"> emerytalne obowiązek przygotowania i</w:t>
      </w:r>
      <w:r w:rsidR="00F44ECF">
        <w:t xml:space="preserve"> </w:t>
      </w:r>
      <w:r>
        <w:t xml:space="preserve">prowadzenia skutecznego systemu kontroli wewnętrznej. </w:t>
      </w:r>
      <w:r w:rsidR="007C1D5F">
        <w:t>W</w:t>
      </w:r>
      <w:r w:rsidR="00F44ECF">
        <w:t> </w:t>
      </w:r>
      <w:r w:rsidRPr="00F14BBF">
        <w:t>aktualnie obowiązujących przepisach brak jest regulacji dotyczącej</w:t>
      </w:r>
      <w:r>
        <w:t xml:space="preserve"> tego zagadnienia</w:t>
      </w:r>
      <w:r w:rsidRPr="00F14BBF">
        <w:t>.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Przepis jest transp</w:t>
      </w:r>
      <w:r w:rsidR="00F8499C">
        <w:t>ozycją art. 21 ust. 4 dyrektywy</w:t>
      </w:r>
      <w:r w:rsidR="00274E4B">
        <w:t>.</w:t>
      </w:r>
    </w:p>
    <w:p w:rsidR="00AF56AC" w:rsidRDefault="00AF56AC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>Art. 26d</w:t>
      </w:r>
      <w:r w:rsidR="009F2358">
        <w:t xml:space="preserve"> nakłada na pracownicze towarzystwa</w:t>
      </w:r>
      <w:r>
        <w:t xml:space="preserve"> emerytalne obowiązek przygotowania planów awaryjnych celem zapewnienia ciągłości i regularności prowadzonej działalności. </w:t>
      </w:r>
      <w:r w:rsidRPr="00F14BBF">
        <w:t xml:space="preserve">W aktualnie obowiązujących przepisach brak jest regulacji dotyczącej </w:t>
      </w:r>
      <w:r>
        <w:t>tego zagadnienia.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lastRenderedPageBreak/>
        <w:t>Przepis jest transpozycją ar</w:t>
      </w:r>
      <w:r w:rsidR="00F8499C">
        <w:t>t. 21 ust. 5 dyrektywy</w:t>
      </w:r>
      <w:r w:rsidR="00274E4B">
        <w:t>.</w:t>
      </w:r>
    </w:p>
    <w:p w:rsidR="009F2358" w:rsidRDefault="009F2358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>Art. 26e zobowiązuje pracownicze towarzystwa emerytalne do prowadzenia i</w:t>
      </w:r>
      <w:r w:rsidR="00F44ECF">
        <w:t> </w:t>
      </w:r>
      <w:r>
        <w:t xml:space="preserve">dokumentowania własnej oceny ryzyka. </w:t>
      </w:r>
      <w:r w:rsidRPr="00F14BBF">
        <w:t xml:space="preserve">W aktualnie obowiązujących przepisach brak jest regulacji dotyczącej </w:t>
      </w:r>
      <w:r>
        <w:t>tego zagadnienia.</w:t>
      </w:r>
    </w:p>
    <w:p w:rsidR="009F2358" w:rsidRDefault="009F2358" w:rsidP="00F44ECF">
      <w:pPr>
        <w:spacing w:before="60" w:after="60" w:line="360" w:lineRule="auto"/>
        <w:ind w:left="720"/>
        <w:jc w:val="both"/>
      </w:pPr>
      <w:r>
        <w:t>Przepis jest</w:t>
      </w:r>
      <w:r w:rsidR="00274E4B">
        <w:t xml:space="preserve"> transpozycją art. 28 dyrektywy.</w:t>
      </w:r>
    </w:p>
    <w:p w:rsidR="009F2358" w:rsidRDefault="009F2358" w:rsidP="00F44ECF">
      <w:pPr>
        <w:numPr>
          <w:ilvl w:val="0"/>
          <w:numId w:val="30"/>
        </w:numPr>
        <w:spacing w:before="60" w:after="60" w:line="360" w:lineRule="auto"/>
        <w:ind w:left="720"/>
        <w:jc w:val="both"/>
      </w:pPr>
      <w:r>
        <w:t>Art. 26f określaj</w:t>
      </w:r>
      <w:r w:rsidR="007C1D5F">
        <w:t>ący zasady na jakich pracownicze towarzystwo</w:t>
      </w:r>
      <w:r>
        <w:t xml:space="preserve"> może powierzyć osobie trzeciej pełnienie kluczowej funkcji w zakresie zarządzania ryzykiem. </w:t>
      </w:r>
      <w:r w:rsidRPr="00F14BBF">
        <w:t>W</w:t>
      </w:r>
      <w:r w:rsidR="00F44ECF">
        <w:t> </w:t>
      </w:r>
      <w:r w:rsidRPr="00F14BBF">
        <w:t xml:space="preserve">aktualnie obowiązujących przepisach brak jest regulacji dotyczącej </w:t>
      </w:r>
      <w:r>
        <w:t>tego zagadnienia.</w:t>
      </w:r>
    </w:p>
    <w:p w:rsidR="009F2358" w:rsidRDefault="009F2358" w:rsidP="00F44ECF">
      <w:pPr>
        <w:spacing w:before="60" w:after="60" w:line="360" w:lineRule="auto"/>
        <w:ind w:left="720"/>
        <w:jc w:val="both"/>
      </w:pPr>
      <w:r>
        <w:t>Przepis jest transpozycją art. 31 ust. 1 dyrektywy</w:t>
      </w:r>
      <w:r w:rsidR="00C312BF">
        <w:t>.</w:t>
      </w:r>
    </w:p>
    <w:p w:rsidR="00B10194" w:rsidRDefault="00F644AF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o OIFFE </w:t>
      </w:r>
      <w:r w:rsidR="00593B06">
        <w:t xml:space="preserve">rozdziału 2b </w:t>
      </w:r>
      <w:r>
        <w:t xml:space="preserve">określającego zasady prowadzenia działalności transgranicznej pracowniczego funduszu. </w:t>
      </w:r>
    </w:p>
    <w:p w:rsidR="00593B06" w:rsidRDefault="00F644AF" w:rsidP="00F44ECF">
      <w:pPr>
        <w:spacing w:before="60" w:after="60" w:line="360" w:lineRule="auto"/>
        <w:ind w:left="360"/>
        <w:jc w:val="both"/>
      </w:pPr>
      <w:r>
        <w:t xml:space="preserve">Rozdział ten obejmuje </w:t>
      </w:r>
      <w:r w:rsidR="00B10194">
        <w:t>art. 26g</w:t>
      </w:r>
      <w:r w:rsidR="00274D02">
        <w:t>–</w:t>
      </w:r>
      <w:r w:rsidR="00B10194">
        <w:t>26i:</w:t>
      </w:r>
    </w:p>
    <w:p w:rsidR="00B10194" w:rsidRDefault="00593B06" w:rsidP="00F44ECF">
      <w:pPr>
        <w:numPr>
          <w:ilvl w:val="1"/>
          <w:numId w:val="36"/>
        </w:numPr>
        <w:spacing w:before="60" w:after="60" w:line="360" w:lineRule="auto"/>
        <w:ind w:left="720"/>
        <w:jc w:val="both"/>
      </w:pPr>
      <w:r>
        <w:t xml:space="preserve">Art. 26g określający procedurę ubiegania się o wydanie zezwolenia na prowadzenie działalności transgranicznej przez pracowniczy fundusz. </w:t>
      </w:r>
    </w:p>
    <w:p w:rsidR="009F2358" w:rsidRDefault="00F644AF" w:rsidP="00F44ECF">
      <w:pPr>
        <w:spacing w:before="60" w:after="60" w:line="360" w:lineRule="auto"/>
        <w:ind w:left="720"/>
        <w:jc w:val="both"/>
      </w:pPr>
      <w:r>
        <w:t xml:space="preserve">Przepis jest transpozycją art. 11 </w:t>
      </w:r>
      <w:r w:rsidR="00332B3F">
        <w:t>ust. 1</w:t>
      </w:r>
      <w:r w:rsidR="00274D02">
        <w:t>–</w:t>
      </w:r>
      <w:r w:rsidR="00332B3F">
        <w:t xml:space="preserve">4 </w:t>
      </w:r>
      <w:r>
        <w:t>dyrektywy</w:t>
      </w:r>
      <w:r w:rsidR="000A0E1C">
        <w:t xml:space="preserve">. Należy wskazać, że wymienione regulacje dyrektywy nie określają trybu wydawania przez organ nadzoru zezwolenia na </w:t>
      </w:r>
      <w:r w:rsidR="00CA3CEA">
        <w:t>wykonywanie</w:t>
      </w:r>
      <w:r w:rsidR="000A0E1C">
        <w:t xml:space="preserve"> działalności transgranicznej, a jedynie wskazują na obowiązek jego uzyskania (art. 11 ust. 2 dyrektywy). Projektowane przepisy ustawy transponują wymienione regulacje, </w:t>
      </w:r>
      <w:r w:rsidR="004F5107">
        <w:t xml:space="preserve">wskazując </w:t>
      </w:r>
      <w:r w:rsidR="000A0E1C">
        <w:t xml:space="preserve">na </w:t>
      </w:r>
      <w:r w:rsidR="004F5107">
        <w:t xml:space="preserve">możliwość rozpoczęcia przez pracowniczy fundusz </w:t>
      </w:r>
      <w:r w:rsidR="000A0E1C">
        <w:t>wykonywani</w:t>
      </w:r>
      <w:r w:rsidR="004F5107">
        <w:t>a</w:t>
      </w:r>
      <w:r w:rsidR="000A0E1C">
        <w:t xml:space="preserve"> działalności transgranicznej</w:t>
      </w:r>
      <w:r w:rsidR="00CA3CEA">
        <w:t xml:space="preserve"> po otrzymaniu</w:t>
      </w:r>
      <w:r w:rsidR="004F5107">
        <w:t xml:space="preserve"> od organu nadzoru powiadomienia o przekazaniu odpowiednich informacji zagranicznemu organowi nadzoru</w:t>
      </w:r>
      <w:r w:rsidR="000A0E1C">
        <w:t>.</w:t>
      </w:r>
    </w:p>
    <w:p w:rsidR="00971642" w:rsidRDefault="00332B3F" w:rsidP="00F44ECF">
      <w:pPr>
        <w:numPr>
          <w:ilvl w:val="1"/>
          <w:numId w:val="36"/>
        </w:numPr>
        <w:spacing w:before="60" w:after="60" w:line="360" w:lineRule="auto"/>
        <w:ind w:left="720"/>
        <w:jc w:val="both"/>
      </w:pPr>
      <w:r>
        <w:t xml:space="preserve">Art. 26h, w którym określa się środki ponaglenia w przypadku braku wydania decyzji o zezwoleniu na prowadzenie działalności transgranicznej oraz środki zaskarżenia </w:t>
      </w:r>
      <w:r w:rsidR="00971642">
        <w:t>bezczynności organu nadzoru.</w:t>
      </w:r>
    </w:p>
    <w:p w:rsidR="00332B3F" w:rsidRDefault="00332B3F" w:rsidP="00F44ECF">
      <w:pPr>
        <w:spacing w:before="60" w:after="60" w:line="360" w:lineRule="auto"/>
        <w:ind w:left="720"/>
        <w:jc w:val="both"/>
      </w:pPr>
      <w:r>
        <w:t>Przepis jest transpozycją art. 11 ust. 5 dyrektywy.</w:t>
      </w:r>
    </w:p>
    <w:p w:rsidR="00B10194" w:rsidRDefault="005863BE" w:rsidP="00F44ECF">
      <w:pPr>
        <w:numPr>
          <w:ilvl w:val="1"/>
          <w:numId w:val="36"/>
        </w:numPr>
        <w:spacing w:before="60" w:after="60" w:line="360" w:lineRule="auto"/>
        <w:ind w:left="720"/>
        <w:jc w:val="both"/>
      </w:pPr>
      <w:r>
        <w:t xml:space="preserve">Art. 26i, w którym określa się </w:t>
      </w:r>
      <w:r w:rsidR="004F5107">
        <w:t>środki odwołania się przez pracowniczy fundusz od decyzji organu nadzoru o zakazie wykonywania działalności transgranicznej</w:t>
      </w:r>
      <w:r>
        <w:t xml:space="preserve">. </w:t>
      </w:r>
    </w:p>
    <w:p w:rsidR="005863BE" w:rsidRDefault="005863BE" w:rsidP="00F44ECF">
      <w:pPr>
        <w:spacing w:before="60" w:after="60" w:line="360" w:lineRule="auto"/>
        <w:ind w:left="720"/>
        <w:jc w:val="both"/>
      </w:pPr>
      <w:r>
        <w:t>Przepis jest transpozycją art. 11 ust. 5 dyrektywy.</w:t>
      </w:r>
    </w:p>
    <w:p w:rsidR="00AF56A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lastRenderedPageBreak/>
        <w:t xml:space="preserve">Dodanie w ustawie </w:t>
      </w:r>
      <w:r w:rsidRPr="00F8499C">
        <w:t>o OIFFE</w:t>
      </w:r>
      <w:r>
        <w:t xml:space="preserve"> art. 42a nakładającego na pracownicze </w:t>
      </w:r>
      <w:r w:rsidR="00C8126C">
        <w:t xml:space="preserve">towarzystwa </w:t>
      </w:r>
      <w:r>
        <w:t>emerytalne obowiązek wprowadzenia kluczowyc</w:t>
      </w:r>
      <w:r w:rsidR="00F8499C">
        <w:t>h funkcji: zarządzania ryzykiem</w:t>
      </w:r>
      <w:r w:rsidR="007C1D5F">
        <w:t xml:space="preserve"> oraz audytu wewnętrznego, a także nakładającego na pracownicze towarzystwa obowią</w:t>
      </w:r>
      <w:r w:rsidR="000078D4">
        <w:t xml:space="preserve">zek zapewnienia ochrony przed </w:t>
      </w:r>
      <w:r w:rsidR="000078D4" w:rsidRPr="000078D4">
        <w:t xml:space="preserve">działaniami o charakterze represyjnym, dyskryminacją lub innymi rodzajami niesprawiedliwego traktowania </w:t>
      </w:r>
      <w:r w:rsidR="00C312BF">
        <w:t>osób</w:t>
      </w:r>
      <w:r w:rsidR="007C1D5F">
        <w:t>, które zgłoszą organom nadzoru nieprawidłowości lub brak działań zaradczych.</w:t>
      </w:r>
      <w:r>
        <w:t xml:space="preserve"> </w:t>
      </w:r>
      <w:r w:rsidR="00F81807">
        <w:t>Przepis ten określa również sądy właściwe do rozpatrzenia spraw z tytułu d</w:t>
      </w:r>
      <w:r w:rsidR="000078D4">
        <w:t>ziałań represyjnych podjętych w</w:t>
      </w:r>
      <w:r w:rsidR="00F44ECF">
        <w:t xml:space="preserve"> </w:t>
      </w:r>
      <w:r w:rsidR="00F81807">
        <w:t>związku z</w:t>
      </w:r>
      <w:r w:rsidR="00F44ECF">
        <w:t xml:space="preserve"> </w:t>
      </w:r>
      <w:r w:rsidR="00F81807">
        <w:t>zawiadomieniem organu nadzoru o</w:t>
      </w:r>
      <w:r w:rsidR="00F44ECF">
        <w:t> </w:t>
      </w:r>
      <w:r w:rsidR="00F81807">
        <w:t xml:space="preserve">nieprawidłowościach. </w:t>
      </w:r>
      <w:r>
        <w:t xml:space="preserve">W </w:t>
      </w:r>
      <w:r w:rsidRPr="00F14BBF">
        <w:t>aktualnie obowiązujących przepisach brak</w:t>
      </w:r>
      <w:r w:rsidR="00F81807">
        <w:t xml:space="preserve"> jest uregulowania tej kwestii</w:t>
      </w:r>
      <w:r w:rsidR="007C1D5F">
        <w:t>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>
        <w:t xml:space="preserve">Przepis </w:t>
      </w:r>
      <w:r w:rsidR="007C1D5F">
        <w:t xml:space="preserve">jest transpozycją art. 24 </w:t>
      </w:r>
      <w:r>
        <w:t>dyrektywy.</w:t>
      </w:r>
    </w:p>
    <w:p w:rsidR="00AF56AC" w:rsidRPr="00F8499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Dodanie w ustawie o OIFFE art. 42b określającego cel i zakres przedmiotowy funkcji zarządzania ryzykiem. W aktualnie obowiązujących przepisach brak jest regulacji dotyczącej tego zagadnienia.</w:t>
      </w:r>
    </w:p>
    <w:p w:rsidR="00AF56AC" w:rsidRPr="00F8499C" w:rsidRDefault="00AF56AC" w:rsidP="00F44ECF">
      <w:pPr>
        <w:spacing w:before="60" w:after="60" w:line="360" w:lineRule="auto"/>
        <w:ind w:left="360"/>
        <w:jc w:val="both"/>
      </w:pPr>
      <w:r w:rsidRPr="00F8499C">
        <w:t>Przepis jest transpozycją art. 25 dyrektywy.</w:t>
      </w:r>
    </w:p>
    <w:p w:rsidR="00AF56AC" w:rsidRPr="00F8499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Dodanie w ustawie o OIFFE art. 42c określającego zakres przedmiotowy funkcji audytu wewnętrznego. W aktualnie obowiązujących przepisach brak jest regulacji dotyczącej tego zagadnienia.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 w:rsidRPr="00F8499C">
        <w:t>Przepis jest transpozycją art. 26 dyrektywy.</w:t>
      </w:r>
    </w:p>
    <w:p w:rsidR="00C8126C" w:rsidRDefault="00C8126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Dodanie w ustawie o OIFFE art. 42d, który stanowi, że w przypadku powierzenia zarządzania aktywami podmiotom zewnętrznym</w:t>
      </w:r>
      <w:r w:rsidR="009E4E9A">
        <w:t>,</w:t>
      </w:r>
      <w:r>
        <w:t xml:space="preserve"> spełniającym warunki określone w</w:t>
      </w:r>
      <w:r w:rsidR="00F44ECF">
        <w:t> </w:t>
      </w:r>
      <w:r>
        <w:t xml:space="preserve">przepisach ustawy o funduszach inwestycyjnych i zarządzaniu alternatywnymi funduszami inwestycyjnymi – pracownicze towarzystwo </w:t>
      </w:r>
      <w:r w:rsidR="009E4E9A">
        <w:t xml:space="preserve">emerytalne </w:t>
      </w:r>
      <w:r>
        <w:t>zarządzające pracowniczym funduszem jest zwolnione z obowiązku spełniania tych wymogów.</w:t>
      </w:r>
    </w:p>
    <w:p w:rsidR="009E4E9A" w:rsidRPr="00F8499C" w:rsidRDefault="009E4E9A" w:rsidP="00F44ECF">
      <w:pPr>
        <w:spacing w:before="60" w:after="60" w:line="360" w:lineRule="auto"/>
        <w:ind w:left="360"/>
        <w:jc w:val="both"/>
      </w:pPr>
      <w:r>
        <w:t>Przepis</w:t>
      </w:r>
      <w:r w:rsidR="00881BCB">
        <w:t xml:space="preserve"> ten, stanowiący część implementacji art. 31 dyrektywy</w:t>
      </w:r>
      <w:r w:rsidR="000F304F">
        <w:t xml:space="preserve"> (Outsourcing)</w:t>
      </w:r>
      <w:r w:rsidR="00881BCB">
        <w:t>,</w:t>
      </w:r>
      <w:r>
        <w:t xml:space="preserve"> jest pozytywną odpowiedzią na zgłoszoną w tym zakresie uwagę PTE </w:t>
      </w:r>
      <w:r w:rsidRPr="009E4E9A">
        <w:rPr>
          <w:i/>
        </w:rPr>
        <w:t>Nowy Świat</w:t>
      </w:r>
      <w:r w:rsidR="00881BCB">
        <w:t xml:space="preserve"> (nr</w:t>
      </w:r>
      <w:r w:rsidR="00F44ECF">
        <w:t> </w:t>
      </w:r>
      <w:r w:rsidR="00881BCB">
        <w:t>24 w</w:t>
      </w:r>
      <w:r w:rsidR="00F44ECF">
        <w:t xml:space="preserve"> </w:t>
      </w:r>
      <w:r>
        <w:t>zestawieniu uwag zgłoszonych w trakcie konsultacji społecznych).</w:t>
      </w:r>
    </w:p>
    <w:p w:rsidR="00AF56AC" w:rsidRPr="00F8499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Dodanie w ustawie o OIFFE art. 47b nakładającego na</w:t>
      </w:r>
      <w:r w:rsidR="00881BCB">
        <w:t xml:space="preserve"> pracownicze towarzystwa emerytalne</w:t>
      </w:r>
      <w:r w:rsidRPr="00F8499C">
        <w:t xml:space="preserve"> obowiązek ustanowienia i stosowania odpowiedniej polityki wynagrodzeń względem osób zarządzających funduszem oraz określającego zasady tej polityki. W</w:t>
      </w:r>
      <w:r w:rsidR="00F44ECF">
        <w:t xml:space="preserve"> </w:t>
      </w:r>
      <w:r w:rsidRPr="00F8499C">
        <w:t>aktualnie obowiązujących przepisach brak jest regulacji dotyczącej tego zagadnienia.</w:t>
      </w:r>
    </w:p>
    <w:p w:rsidR="00881BCB" w:rsidRPr="00F8499C" w:rsidRDefault="00AF56AC" w:rsidP="00F44ECF">
      <w:pPr>
        <w:spacing w:before="60" w:after="60" w:line="360" w:lineRule="auto"/>
        <w:ind w:left="360"/>
        <w:jc w:val="both"/>
      </w:pPr>
      <w:r w:rsidRPr="00F8499C">
        <w:lastRenderedPageBreak/>
        <w:t>Przepis jest transpozycją art. 23 dyrektywy.</w:t>
      </w:r>
    </w:p>
    <w:p w:rsidR="00881BCB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 xml:space="preserve">Dodanie w </w:t>
      </w:r>
      <w:r w:rsidR="00881BCB">
        <w:t xml:space="preserve">art. 49 ustawy o OIFFE ust. </w:t>
      </w:r>
      <w:r w:rsidR="005B24D3">
        <w:t xml:space="preserve">1a oraz ust. </w:t>
      </w:r>
      <w:r w:rsidR="00881BCB">
        <w:t>5</w:t>
      </w:r>
      <w:r w:rsidR="00A33C52">
        <w:t xml:space="preserve"> i </w:t>
      </w:r>
      <w:r w:rsidR="00881BCB">
        <w:t xml:space="preserve">6, </w:t>
      </w:r>
      <w:r w:rsidR="005B24D3">
        <w:t xml:space="preserve">w </w:t>
      </w:r>
      <w:r w:rsidR="00881BCB">
        <w:t>który</w:t>
      </w:r>
      <w:r w:rsidR="005B24D3">
        <w:t>ch</w:t>
      </w:r>
      <w:r w:rsidR="00881BCB">
        <w:t xml:space="preserve"> </w:t>
      </w:r>
      <w:r w:rsidR="000F304F">
        <w:t xml:space="preserve">nakłada </w:t>
      </w:r>
      <w:r w:rsidR="005B24D3">
        <w:t xml:space="preserve">się </w:t>
      </w:r>
      <w:r w:rsidR="000F304F">
        <w:t>obowiązek zachowania w</w:t>
      </w:r>
      <w:r w:rsidR="00F44ECF">
        <w:t xml:space="preserve"> </w:t>
      </w:r>
      <w:r w:rsidR="000F304F">
        <w:t xml:space="preserve">tajemnicy informacji poufnych dotyczących działalności </w:t>
      </w:r>
      <w:r w:rsidR="005B24D3">
        <w:t>towarzystwa także po ustaniu sprawowania funkcji</w:t>
      </w:r>
      <w:r w:rsidR="000F304F">
        <w:t xml:space="preserve">, </w:t>
      </w:r>
      <w:r w:rsidR="005B24D3">
        <w:t>określa się wyjątek od zachowania tajemnicy zawodowej w postaci przekazywania informacji do Europejskiego Urzędu Nadzoru Bankowego, a także Europejskiego Urzędu Nadzoru Ubezpieczeń i</w:t>
      </w:r>
      <w:r w:rsidR="00F44ECF">
        <w:t xml:space="preserve"> </w:t>
      </w:r>
      <w:r w:rsidR="005B24D3">
        <w:t>Pracowniczych Programów Emerytalnych</w:t>
      </w:r>
      <w:r w:rsidR="00B93823">
        <w:t>,</w:t>
      </w:r>
      <w:r w:rsidR="005B24D3">
        <w:t xml:space="preserve"> </w:t>
      </w:r>
      <w:r w:rsidR="00B93823">
        <w:t>jak również</w:t>
      </w:r>
      <w:r w:rsidR="000F304F">
        <w:t xml:space="preserve"> </w:t>
      </w:r>
      <w:r w:rsidR="00881BCB">
        <w:t>zezwala</w:t>
      </w:r>
      <w:r w:rsidR="00881BCB" w:rsidRPr="00881BCB">
        <w:t xml:space="preserve"> na ujawnienie </w:t>
      </w:r>
      <w:r w:rsidR="00881BCB">
        <w:t xml:space="preserve">informacji stanowiących tajemnicę służbową </w:t>
      </w:r>
      <w:r w:rsidR="00881BCB" w:rsidRPr="00881BCB">
        <w:t>w przypadku likwidacji programu emerytalnego</w:t>
      </w:r>
      <w:r w:rsidR="005B24D3">
        <w:t xml:space="preserve"> w</w:t>
      </w:r>
      <w:r w:rsidR="00F44ECF">
        <w:t xml:space="preserve"> </w:t>
      </w:r>
      <w:r w:rsidR="00881BCB">
        <w:t>drodze postępowania cywiln</w:t>
      </w:r>
      <w:r w:rsidR="005B24D3">
        <w:t>ego lub gospodarczego</w:t>
      </w:r>
      <w:r w:rsidR="00B93823">
        <w:t>.</w:t>
      </w:r>
    </w:p>
    <w:p w:rsidR="00AF56AC" w:rsidRPr="00F8499C" w:rsidRDefault="00AF56AC" w:rsidP="00F44ECF">
      <w:pPr>
        <w:spacing w:before="60" w:after="60" w:line="360" w:lineRule="auto"/>
        <w:ind w:left="360"/>
        <w:jc w:val="both"/>
      </w:pPr>
      <w:r w:rsidRPr="00F8499C">
        <w:t>W</w:t>
      </w:r>
      <w:r w:rsidR="00F44ECF">
        <w:t xml:space="preserve"> </w:t>
      </w:r>
      <w:r w:rsidRPr="00F8499C">
        <w:t>aktualnie obowiązujących przepisach brak jest regulacji dotyczących tego zagadnienia.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 w:rsidRPr="00F8499C">
        <w:t xml:space="preserve">Przepis jest transpozycją art. </w:t>
      </w:r>
      <w:r w:rsidR="00881BCB">
        <w:t>52</w:t>
      </w:r>
      <w:r w:rsidRPr="00F8499C">
        <w:t xml:space="preserve"> dyrektywy.</w:t>
      </w:r>
    </w:p>
    <w:p w:rsidR="00417201" w:rsidRDefault="00417201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Zmianę art. 58a przez zastąpienie w ust. 1 i 4 niedookreślonego terminu </w:t>
      </w:r>
      <w:r w:rsidRPr="00417201">
        <w:rPr>
          <w:i/>
        </w:rPr>
        <w:t>Niezwłocznie po udzieleniu</w:t>
      </w:r>
      <w:r>
        <w:t xml:space="preserve"> terminem, odpowiednio dwóch i jednego tygodnia, a</w:t>
      </w:r>
      <w:r w:rsidR="00F44ECF">
        <w:t> </w:t>
      </w:r>
      <w:r>
        <w:t>także skrócenie w ust. 5 terminu 3 miesięcy do 6 tygodni.</w:t>
      </w:r>
    </w:p>
    <w:p w:rsidR="00417201" w:rsidRPr="00F8499C" w:rsidRDefault="00417201" w:rsidP="00F44ECF">
      <w:pPr>
        <w:spacing w:before="60" w:after="60" w:line="360" w:lineRule="auto"/>
        <w:ind w:left="360"/>
        <w:jc w:val="both"/>
      </w:pPr>
      <w:r>
        <w:t xml:space="preserve">Przepis jest transpozycją </w:t>
      </w:r>
      <w:r w:rsidR="00C051C1">
        <w:t>art. 12 ust. 11 i 12 oraz art. 11 ust. 7 dyrektywy</w:t>
      </w:r>
      <w:r w:rsidR="00C312BF">
        <w:t>.</w:t>
      </w:r>
      <w:r w:rsidR="00C051C1">
        <w:t xml:space="preserve"> </w:t>
      </w:r>
    </w:p>
    <w:p w:rsidR="00297890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Zmianę art. 62 ustawy o OIFFE</w:t>
      </w:r>
      <w:r w:rsidR="00F8499C">
        <w:t xml:space="preserve"> </w:t>
      </w:r>
      <w:r w:rsidRPr="00F8499C">
        <w:t>prze</w:t>
      </w:r>
      <w:r w:rsidR="00297890">
        <w:t>z:</w:t>
      </w:r>
    </w:p>
    <w:p w:rsidR="00297890" w:rsidRPr="00297890" w:rsidRDefault="00297890" w:rsidP="00F44ECF">
      <w:pPr>
        <w:numPr>
          <w:ilvl w:val="1"/>
          <w:numId w:val="18"/>
        </w:numPr>
        <w:spacing w:before="60" w:after="60" w:line="360" w:lineRule="auto"/>
        <w:ind w:left="709" w:hanging="283"/>
        <w:jc w:val="both"/>
      </w:pPr>
      <w:r>
        <w:t>rozszerzenie przesłanek skutkujących możliwością</w:t>
      </w:r>
      <w:r w:rsidRPr="00297890">
        <w:t xml:space="preserve"> cofnięcia przez organ nadzoru zezwolenia na utworzenie</w:t>
      </w:r>
      <w:r>
        <w:t xml:space="preserve"> pracowniczego</w:t>
      </w:r>
      <w:r w:rsidRPr="00297890">
        <w:t xml:space="preserve"> towarzystwa</w:t>
      </w:r>
      <w:r>
        <w:t xml:space="preserve"> emerytalnego</w:t>
      </w:r>
      <w:r w:rsidR="000078D4">
        <w:t xml:space="preserve"> </w:t>
      </w:r>
      <w:r w:rsidR="00502072">
        <w:t>przez wyraźne wskazanie</w:t>
      </w:r>
      <w:r w:rsidRPr="00297890">
        <w:t xml:space="preserve"> przypadku gdy </w:t>
      </w:r>
      <w:r>
        <w:t xml:space="preserve">pracowniczy fundusz emerytalny </w:t>
      </w:r>
      <w:r w:rsidR="000078D4" w:rsidRPr="000078D4">
        <w:t xml:space="preserve">nie spełnia już warunków działania określonych w ustawie </w:t>
      </w:r>
      <w:r w:rsidR="000078D4">
        <w:t>oraz gdy</w:t>
      </w:r>
      <w:r w:rsidR="00274D02">
        <w:t>,</w:t>
      </w:r>
      <w:r w:rsidR="000078D4">
        <w:t xml:space="preserve"> </w:t>
      </w:r>
      <w:r w:rsidRPr="00297890">
        <w:t>prowadząc działalność transgraniczną</w:t>
      </w:r>
      <w:r w:rsidR="00274D02">
        <w:t>,</w:t>
      </w:r>
      <w:r w:rsidRPr="00297890">
        <w:t xml:space="preserve"> nie przestrzega wymogów </w:t>
      </w:r>
      <w:r>
        <w:t>prawa ubezpieczeń społecznych i</w:t>
      </w:r>
      <w:r w:rsidR="00F44ECF">
        <w:t xml:space="preserve"> </w:t>
      </w:r>
      <w:r w:rsidRPr="00297890">
        <w:t>prawa pracy przyjmującego państwa członkowskiego – w</w:t>
      </w:r>
      <w:r w:rsidR="00F44ECF">
        <w:t> </w:t>
      </w:r>
      <w:r w:rsidRPr="00297890">
        <w:t>obszarze pracowniczych programów emerytalnych</w:t>
      </w:r>
      <w:r w:rsidR="00274D02">
        <w:t>,</w:t>
      </w:r>
    </w:p>
    <w:p w:rsidR="00A8611D" w:rsidRDefault="00A8611D" w:rsidP="00F44ECF">
      <w:pPr>
        <w:numPr>
          <w:ilvl w:val="1"/>
          <w:numId w:val="18"/>
        </w:numPr>
        <w:spacing w:before="60" w:after="60" w:line="360" w:lineRule="auto"/>
        <w:ind w:left="709" w:hanging="283"/>
        <w:jc w:val="both"/>
      </w:pPr>
      <w:r>
        <w:t>dodanie ust. 6</w:t>
      </w:r>
      <w:r w:rsidR="00AF56AC">
        <w:t>, w</w:t>
      </w:r>
      <w:r w:rsidR="00F44ECF">
        <w:t xml:space="preserve"> </w:t>
      </w:r>
      <w:r w:rsidR="00AF56AC">
        <w:t>którym nakłada się na organ nadzoru obowiązek przekazania do EIOPA informacji o cofnięciu pracowniczemu funduszowi zgody na utworzenie pracowniczego towarzystwa. W</w:t>
      </w:r>
      <w:r w:rsidR="00F44ECF">
        <w:t xml:space="preserve"> </w:t>
      </w:r>
      <w:r w:rsidR="00AF56AC">
        <w:t xml:space="preserve">obecnie obowiązujących przepisach brak jest takiego obowiązku. </w:t>
      </w:r>
    </w:p>
    <w:p w:rsidR="00AF56AC" w:rsidRDefault="00AF56AC" w:rsidP="00F44ECF">
      <w:pPr>
        <w:spacing w:before="60" w:after="60" w:line="360" w:lineRule="auto"/>
        <w:ind w:left="720"/>
        <w:jc w:val="both"/>
      </w:pPr>
      <w:r>
        <w:t>Proponowany przepis jest trans</w:t>
      </w:r>
      <w:r w:rsidR="001D13CB">
        <w:t>pozycją art. 48 us</w:t>
      </w:r>
      <w:r>
        <w:t>t</w:t>
      </w:r>
      <w:r w:rsidR="001D13CB">
        <w:t>.</w:t>
      </w:r>
      <w:r>
        <w:t xml:space="preserve"> 5 </w:t>
      </w:r>
      <w:r w:rsidR="00297890">
        <w:t>oraz ust.</w:t>
      </w:r>
      <w:r w:rsidR="00677581">
        <w:t xml:space="preserve"> 8</w:t>
      </w:r>
      <w:r w:rsidR="00297890">
        <w:t xml:space="preserve"> </w:t>
      </w:r>
      <w:r>
        <w:t>dyrektywy.</w:t>
      </w:r>
    </w:p>
    <w:p w:rsidR="00677581" w:rsidRDefault="00677581" w:rsidP="00F44ECF">
      <w:pPr>
        <w:spacing w:before="60" w:after="60" w:line="360" w:lineRule="auto"/>
        <w:ind w:left="720"/>
        <w:jc w:val="both"/>
      </w:pPr>
      <w:r>
        <w:t xml:space="preserve">Należy pamiętać, że na mocy art. 62 ust. 1 ustawy o OIFFE organ nadzoru może wydać decyzję o cofnięciu zezwolenia na utworzenie towarzystwa, co można </w:t>
      </w:r>
      <w:r>
        <w:lastRenderedPageBreak/>
        <w:t xml:space="preserve">odczytywać jako implementację normy </w:t>
      </w:r>
      <w:r w:rsidR="000078D4">
        <w:t xml:space="preserve">dyrektywy </w:t>
      </w:r>
      <w:r>
        <w:t xml:space="preserve">odnoszącej się do zakazu działalności. </w:t>
      </w:r>
    </w:p>
    <w:p w:rsidR="00677581" w:rsidRDefault="00677581" w:rsidP="00F44ECF">
      <w:pPr>
        <w:spacing w:before="60" w:after="60" w:line="360" w:lineRule="auto"/>
        <w:ind w:left="720"/>
        <w:jc w:val="both"/>
      </w:pPr>
      <w:r>
        <w:t>Z kolei art.</w:t>
      </w:r>
      <w:r w:rsidR="00F44ECF">
        <w:t xml:space="preserve"> </w:t>
      </w:r>
      <w:r>
        <w:t>62 ust. 2 ustawy o OIFFE można odczytać jako odnoszący się do ograniczenia działalności funduszu, ponieważ przepis ten warunkuje wydanie przez organ nadzoru decyzji o cofnięciu zezwolenia na utworzenie towarzystwa. Następuje ono w przypadku stwierdzenia przez organ nadzoru nieprawidłowości i nie podjęcia przez pracowniczy fundusz, czynności naprawczych w</w:t>
      </w:r>
      <w:r w:rsidR="00F44ECF">
        <w:t> </w:t>
      </w:r>
      <w:r>
        <w:t>określonym przez organ nadzoru terminie.</w:t>
      </w:r>
    </w:p>
    <w:p w:rsidR="00677581" w:rsidRDefault="00677581" w:rsidP="00F44ECF">
      <w:pPr>
        <w:spacing w:before="60" w:after="60" w:line="360" w:lineRule="auto"/>
        <w:ind w:left="720"/>
        <w:jc w:val="both"/>
      </w:pPr>
      <w:r>
        <w:t xml:space="preserve">Cofnięcie zezwolenia na utworzenie towarzystwa jest środkiem radykalnie ograniczającym działalność pracowniczego funduszu, ponieważ pracownicze towarzystwo jest jego organem i reprezentuje pracowniczy fundusz na zewnątrz. Pracowniczy fundusz </w:t>
      </w:r>
      <w:r w:rsidRPr="00A33C52">
        <w:rPr>
          <w:i/>
        </w:rPr>
        <w:t>de facto</w:t>
      </w:r>
      <w:r>
        <w:t xml:space="preserve"> nie może funkcjonować bez pracowniczego towarzystwa, można zatem stwierdzić, że przepis art. 62 ustawy o OIFFE w</w:t>
      </w:r>
      <w:r w:rsidR="00F44ECF">
        <w:t> </w:t>
      </w:r>
      <w:r>
        <w:t xml:space="preserve">pełni implementuje art. 48 ust. 8 dyrektywy IORP 2 w odniesieniu do zapewnienia organowi nadzoru środków umożliwiających ograniczenie bądź zakazanie działalności pracowniczemu funduszowi. </w:t>
      </w:r>
    </w:p>
    <w:p w:rsidR="00677581" w:rsidRDefault="00677581" w:rsidP="00F44ECF">
      <w:pPr>
        <w:spacing w:before="60" w:after="60" w:line="360" w:lineRule="auto"/>
        <w:ind w:left="720"/>
        <w:jc w:val="both"/>
      </w:pPr>
      <w:r>
        <w:t>Trudno sobie bowiem wyobrazić</w:t>
      </w:r>
      <w:r w:rsidR="00A33C52">
        <w:t>,</w:t>
      </w:r>
      <w:r>
        <w:t xml:space="preserve"> jak miałaby wyglądać inna forma ograniczenia działalności pracowniczego funduszu, bez ujemnych skutków dla interesów członków tego funduszu. Rozwiązania, które ograniczałyby działalność funduszu i jednocześnie był</w:t>
      </w:r>
      <w:r w:rsidR="00274D02">
        <w:t>y</w:t>
      </w:r>
      <w:r>
        <w:t>by szkodliwe dla interesów członków funduszu</w:t>
      </w:r>
      <w:r w:rsidR="00A33C52">
        <w:t>,</w:t>
      </w:r>
      <w:r>
        <w:t xml:space="preserve"> stałyby bowiem w jaskrawej sprzeczności z celami dyrektywy oraz zasadą racjonalnego prawodawcy.</w:t>
      </w:r>
    </w:p>
    <w:p w:rsidR="00AF56A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</w:t>
      </w:r>
      <w:r w:rsidRPr="00F8499C">
        <w:t>o OIFFE</w:t>
      </w:r>
      <w:r w:rsidR="00F8499C">
        <w:t xml:space="preserve"> rozdziału 10b</w:t>
      </w:r>
      <w:r>
        <w:t xml:space="preserve"> określającego zasady przeniesienia transgranicznego. Rozdział ten obejmuje ar</w:t>
      </w:r>
      <w:r w:rsidR="000078D4">
        <w:t>t. 106l</w:t>
      </w:r>
      <w:r w:rsidR="00274D02">
        <w:t>–</w:t>
      </w:r>
      <w:r w:rsidR="000078D4">
        <w:t>106r</w:t>
      </w:r>
      <w:r>
        <w:t>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 w:rsidRPr="00F1554D">
        <w:t>Przeniesienie transgraniczne</w:t>
      </w:r>
      <w:r>
        <w:t xml:space="preserve"> polega na przeniesieniu przez pracowniczy fundusz emerytalny</w:t>
      </w:r>
      <w:r w:rsidRPr="00250521">
        <w:t xml:space="preserve"> zobowiązań</w:t>
      </w:r>
      <w:r w:rsidR="00D53345">
        <w:t xml:space="preserve"> funduszu </w:t>
      </w:r>
      <w:r w:rsidRPr="00250521">
        <w:t xml:space="preserve">oraz innych zobowiązań i praw, jak również związanych z nimi aktywów lub ich ekwiwalentów pieniężnych do pracowniczego funduszu </w:t>
      </w:r>
      <w:r>
        <w:t>emerytalnego przyjmujące</w:t>
      </w:r>
      <w:r w:rsidR="00D53345">
        <w:t>go, znajdującego się za granicą.</w:t>
      </w:r>
      <w:r>
        <w:t xml:space="preserve"> Fundusz przyjmujący przejmuje zatem wszystkie aktywa i środki, ale też zobowiązania funduszu przenoszącego, nie ma zatem żadnego zagrożenia dla wypłaty przyszłych świadczeń.</w:t>
      </w:r>
    </w:p>
    <w:p w:rsidR="00C91B2D" w:rsidRDefault="00C91B2D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lastRenderedPageBreak/>
        <w:t>Art. 106l określa</w:t>
      </w:r>
      <w:r w:rsidR="00AF56AC">
        <w:t xml:space="preserve"> zakres przedmiotowy przeniesienia trans</w:t>
      </w:r>
      <w:r w:rsidR="00F8499C">
        <w:t>granicznego oraz zastrzega</w:t>
      </w:r>
      <w:r w:rsidR="00AF56AC">
        <w:t xml:space="preserve"> </w:t>
      </w:r>
      <w:r w:rsidR="00D53345">
        <w:t>że koszty przeniesienia transgranicznego pokrywają członkowie</w:t>
      </w:r>
      <w:r w:rsidR="00AF56AC">
        <w:t xml:space="preserve"> </w:t>
      </w:r>
      <w:r w:rsidR="00D53345">
        <w:t xml:space="preserve">pracowniczego </w:t>
      </w:r>
      <w:r w:rsidR="00AF56AC">
        <w:t>funduszu</w:t>
      </w:r>
      <w:r w:rsidR="00A52E7D">
        <w:t xml:space="preserve"> przenoszącego</w:t>
      </w:r>
      <w:r w:rsidR="00D53345">
        <w:t>, których dotyczy przeniesienie</w:t>
      </w:r>
      <w:r w:rsidR="00A52E7D">
        <w:t xml:space="preserve"> i którzy je zatwierdzili. Koszty te mogą być potrącane z ekwiwalentów pieniężnych związanych z przenoszonym programem</w:t>
      </w:r>
      <w:r w:rsidR="00D53345">
        <w:t xml:space="preserve">. </w:t>
      </w:r>
      <w:r w:rsidR="00AF56AC">
        <w:t>W</w:t>
      </w:r>
      <w:r w:rsidR="00F44ECF">
        <w:t xml:space="preserve"> </w:t>
      </w:r>
      <w:r w:rsidR="00AF56AC" w:rsidRPr="00F14BBF">
        <w:t>aktualnie obowiązujących przepisach brak jest</w:t>
      </w:r>
      <w:r w:rsidR="00AF56AC">
        <w:t xml:space="preserve"> regulacji dotyczącej tego zagadnienia.</w:t>
      </w:r>
    </w:p>
    <w:p w:rsidR="00AF56AC" w:rsidRDefault="00AF56AC" w:rsidP="00F44ECF">
      <w:pPr>
        <w:spacing w:before="60" w:after="60" w:line="360" w:lineRule="auto"/>
        <w:ind w:left="709" w:hanging="1"/>
        <w:jc w:val="both"/>
      </w:pPr>
      <w:r>
        <w:t>Przepis jest transpozycją art. 12 ust. 1-2 dyrektywy.</w:t>
      </w:r>
    </w:p>
    <w:p w:rsidR="00C91B2D" w:rsidRDefault="00F8499C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t>Art. 106m</w:t>
      </w:r>
      <w:r w:rsidR="00C91B2D">
        <w:t xml:space="preserve"> </w:t>
      </w:r>
      <w:r w:rsidR="00AF56AC">
        <w:t>określa kto zatwierdza decyzję o</w:t>
      </w:r>
      <w:r w:rsidR="00F44ECF">
        <w:t xml:space="preserve"> </w:t>
      </w:r>
      <w:r w:rsidR="00AF56AC">
        <w:t>przeniesieniu transgranicznym. W</w:t>
      </w:r>
      <w:r w:rsidR="00F44ECF">
        <w:t> </w:t>
      </w:r>
      <w:r w:rsidR="00AF56AC" w:rsidRPr="00F14BBF">
        <w:t>aktualnie obowiązujących przepisach brak jest</w:t>
      </w:r>
      <w:r w:rsidR="00AF56AC">
        <w:t xml:space="preserve"> regulacji dotyczącej tego zagadnienia.</w:t>
      </w:r>
    </w:p>
    <w:p w:rsidR="00AF56AC" w:rsidRDefault="00AF56AC" w:rsidP="00F44ECF">
      <w:pPr>
        <w:spacing w:before="60" w:after="60" w:line="360" w:lineRule="auto"/>
        <w:ind w:left="709" w:hanging="1"/>
        <w:jc w:val="both"/>
      </w:pPr>
      <w:r>
        <w:t>Przepis jest transpozycją art. 12 ust. 3 dyrektywy.</w:t>
      </w:r>
    </w:p>
    <w:p w:rsidR="00C91B2D" w:rsidRDefault="00C91B2D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t>A</w:t>
      </w:r>
      <w:r w:rsidR="00F8499C">
        <w:t>rt. 106n</w:t>
      </w:r>
      <w:r w:rsidR="00AF56AC">
        <w:t xml:space="preserve"> stanowi, że przeniesienie tran</w:t>
      </w:r>
      <w:r w:rsidR="00FB3726">
        <w:t>sgraniczne jest dokonywane za zezwoleniem</w:t>
      </w:r>
      <w:r w:rsidR="00AF56AC">
        <w:t xml:space="preserve"> odpowiednich organów nadzoru, na wniosek</w:t>
      </w:r>
      <w:r w:rsidR="00F8499C">
        <w:t>,</w:t>
      </w:r>
      <w:r w:rsidR="00AF56AC">
        <w:t xml:space="preserve"> </w:t>
      </w:r>
      <w:r w:rsidR="00CB47B6">
        <w:t xml:space="preserve">a także </w:t>
      </w:r>
      <w:r w:rsidR="00AF56AC">
        <w:t>okr</w:t>
      </w:r>
      <w:r w:rsidR="00FB3726">
        <w:t>eśla treść wniosku o wydanie zezwolenia</w:t>
      </w:r>
      <w:r w:rsidR="00AF56AC">
        <w:t xml:space="preserve"> </w:t>
      </w:r>
      <w:r w:rsidR="00E25CAC">
        <w:t>na przeniesienie transgraniczne</w:t>
      </w:r>
      <w:r w:rsidR="00CB47B6">
        <w:t xml:space="preserve"> oraz obowiązki odpowiednich organów nadzoru względem wniosku o wydanie zezwolenia na przeniesienie tran</w:t>
      </w:r>
      <w:r w:rsidR="00DB0EDF">
        <w:t>s</w:t>
      </w:r>
      <w:r w:rsidR="00CB47B6">
        <w:t>graniczne</w:t>
      </w:r>
      <w:r w:rsidR="00E25CAC">
        <w:t>.</w:t>
      </w:r>
      <w:r w:rsidR="00AF56AC">
        <w:t xml:space="preserve"> W</w:t>
      </w:r>
      <w:r w:rsidR="00F44ECF">
        <w:t xml:space="preserve"> </w:t>
      </w:r>
      <w:r w:rsidR="00AF56AC" w:rsidRPr="00F14BBF">
        <w:t>aktualnie obowiązujących przepisach brak jest</w:t>
      </w:r>
      <w:r w:rsidR="00AF56AC">
        <w:t xml:space="preserve"> regulacji dotyczącej tego zagadnienia.</w:t>
      </w:r>
    </w:p>
    <w:p w:rsidR="00AF56AC" w:rsidRDefault="00AF56AC" w:rsidP="00F44ECF">
      <w:pPr>
        <w:spacing w:before="60" w:after="60" w:line="360" w:lineRule="auto"/>
        <w:ind w:left="709" w:hanging="1"/>
        <w:jc w:val="both"/>
      </w:pPr>
      <w:r>
        <w:t xml:space="preserve">Przepis jest transpozycją art. </w:t>
      </w:r>
      <w:r w:rsidR="00B116EF">
        <w:t xml:space="preserve">11 ust. 9 </w:t>
      </w:r>
      <w:r w:rsidR="00394693">
        <w:t xml:space="preserve">i </w:t>
      </w:r>
      <w:r w:rsidR="00B116EF">
        <w:t xml:space="preserve">art. </w:t>
      </w:r>
      <w:r>
        <w:t>12 ust. 4</w:t>
      </w:r>
      <w:r w:rsidR="00274D02">
        <w:t>–</w:t>
      </w:r>
      <w:r w:rsidR="00394693">
        <w:t>9</w:t>
      </w:r>
      <w:r>
        <w:t xml:space="preserve"> dyrektywy.</w:t>
      </w:r>
    </w:p>
    <w:p w:rsidR="005B7D7D" w:rsidRDefault="005B7D7D" w:rsidP="00F44ECF">
      <w:pPr>
        <w:spacing w:before="60" w:after="60" w:line="360" w:lineRule="auto"/>
        <w:ind w:left="709" w:hanging="1"/>
        <w:jc w:val="both"/>
      </w:pPr>
      <w:r>
        <w:t>Przeniesienie transgraniczne, którego dotyczą powyższe przepisy</w:t>
      </w:r>
      <w:r w:rsidR="00B93823">
        <w:t>,</w:t>
      </w:r>
      <w:r>
        <w:t xml:space="preserve"> wymaga współpracy zainteresowanych funduszy, jak też czuwających nad nimi organów nadzoru. </w:t>
      </w:r>
      <w:r w:rsidR="00BF456F">
        <w:t xml:space="preserve">Przeniesienie transgraniczne jest poprzedzone zatwierdzeniem przez większość członków pracowniczego funduszu i osób uprawnionych do otrzymania wypłaty, których ono dotyczy, </w:t>
      </w:r>
      <w:r w:rsidR="00BE0CB0">
        <w:t>albo ich przedstawicieli, jak również zatwierdzeniem przez pracodawcę.</w:t>
      </w:r>
      <w:r>
        <w:t xml:space="preserve"> </w:t>
      </w:r>
    </w:p>
    <w:p w:rsidR="005B7D7D" w:rsidRDefault="005B7D7D" w:rsidP="00F44ECF">
      <w:pPr>
        <w:spacing w:before="60" w:after="60" w:line="360" w:lineRule="auto"/>
        <w:ind w:left="709" w:hanging="1"/>
        <w:jc w:val="both"/>
      </w:pPr>
      <w:r>
        <w:t xml:space="preserve">Jeżeli oba fundusze porozumieją się do przeprowadzenia operacji przeniesienia transgranicznego, to pierwszym krokiem jest złożenie przez pracowniczy fundusz </w:t>
      </w:r>
      <w:r w:rsidR="00BE0CB0">
        <w:t>przyjmujący</w:t>
      </w:r>
      <w:r>
        <w:t xml:space="preserve"> wniosku do swojego organu nadzoru. </w:t>
      </w:r>
      <w:r w:rsidR="00BE0CB0">
        <w:t>Wniosek jest przekazywany przez organ nadzoru właściwy dla pracowniczego funduszu przyjmującego do organu nadzoru właściwego dla pracowniczego funduszu przenoszącego</w:t>
      </w:r>
      <w:r w:rsidR="00F77A59">
        <w:t>,</w:t>
      </w:r>
      <w:r w:rsidR="00BE0CB0">
        <w:t xml:space="preserve"> w celu umożliwienia </w:t>
      </w:r>
      <w:r w:rsidR="00F77A59">
        <w:t xml:space="preserve">mu </w:t>
      </w:r>
      <w:r w:rsidR="00BE0CB0">
        <w:t xml:space="preserve">wydania </w:t>
      </w:r>
      <w:r w:rsidR="00F77A59">
        <w:t xml:space="preserve">uprzedniej </w:t>
      </w:r>
      <w:r w:rsidR="00BE0CB0">
        <w:t xml:space="preserve">zgody na przeniesienie transgraniczne. </w:t>
      </w:r>
      <w:r>
        <w:t xml:space="preserve">Organ nadzoru </w:t>
      </w:r>
      <w:r w:rsidR="00BE0CB0">
        <w:t xml:space="preserve">właściwy dla pracowniczego funduszu przenoszącego, po dokonaniu </w:t>
      </w:r>
      <w:r w:rsidR="00F77A59">
        <w:t xml:space="preserve">odpowiedniej </w:t>
      </w:r>
      <w:r w:rsidR="00BE0CB0">
        <w:t xml:space="preserve">oceny wniosku, </w:t>
      </w:r>
      <w:r>
        <w:t xml:space="preserve">wydaje </w:t>
      </w:r>
      <w:r>
        <w:lastRenderedPageBreak/>
        <w:t>w</w:t>
      </w:r>
      <w:r w:rsidR="00F44ECF">
        <w:t> </w:t>
      </w:r>
      <w:r>
        <w:t>tej sprawie decyzję</w:t>
      </w:r>
      <w:r w:rsidR="00F77A59">
        <w:t>, w celu umożliwienia organowi nadzoru właściwemu dla pracowniczego funduszu przyjmującego wydania</w:t>
      </w:r>
      <w:r>
        <w:t xml:space="preserve"> zezwolenia na przeniesieni</w:t>
      </w:r>
      <w:r w:rsidR="00F77A59">
        <w:t>e</w:t>
      </w:r>
      <w:r>
        <w:t xml:space="preserve"> transgraniczne.</w:t>
      </w:r>
      <w:r w:rsidR="00F77A59">
        <w:t xml:space="preserve"> Organ nadzoru właściwy dla pracowniczego funduszu przyjmującego, po dokonaniu odpowiedniej oceny, wydaje finalną decyzję o</w:t>
      </w:r>
      <w:r w:rsidR="00F44ECF">
        <w:t> </w:t>
      </w:r>
      <w:r w:rsidR="00F77A59">
        <w:t>zezwoleniu na przeniesienie transgraniczne.</w:t>
      </w:r>
      <w:r>
        <w:t xml:space="preserve"> Po uzyskaniu pozytywnej decyzji organu nadzoru pracowniczego funduszu przyjmującego – może nastąpić przeniesienie transgraniczne.</w:t>
      </w:r>
    </w:p>
    <w:p w:rsidR="00C91B2D" w:rsidRDefault="00C91B2D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t>A</w:t>
      </w:r>
      <w:r w:rsidR="00F8499C">
        <w:t>rt. 106o</w:t>
      </w:r>
      <w:r w:rsidR="00AF56AC">
        <w:t xml:space="preserve"> </w:t>
      </w:r>
      <w:r w:rsidR="00CB47B6">
        <w:t xml:space="preserve">wskazuje możliwość </w:t>
      </w:r>
      <w:r w:rsidR="00B93823">
        <w:t xml:space="preserve">wniesienia przez </w:t>
      </w:r>
      <w:r w:rsidR="00B93823" w:rsidRPr="00B93823">
        <w:t xml:space="preserve">pracowniczy fundusz </w:t>
      </w:r>
      <w:r w:rsidR="00B93823">
        <w:t xml:space="preserve">środków </w:t>
      </w:r>
      <w:r w:rsidR="00CB47B6" w:rsidRPr="00CB47B6">
        <w:t>zaskarżenia bezczynnoś</w:t>
      </w:r>
      <w:r w:rsidR="00B93823">
        <w:t>ci</w:t>
      </w:r>
      <w:r w:rsidR="00CB47B6" w:rsidRPr="00CB47B6">
        <w:t xml:space="preserve"> organu nadzoru w przedmiocie wydania zezwolenia na dokonanie przeniesienia transgranicznego</w:t>
      </w:r>
      <w:r w:rsidR="00B93823">
        <w:t>, jak również określa</w:t>
      </w:r>
      <w:r w:rsidR="00CB47B6" w:rsidRPr="00CB47B6">
        <w:t xml:space="preserve"> tryb wniesieni</w:t>
      </w:r>
      <w:r w:rsidR="00B93823">
        <w:t>a</w:t>
      </w:r>
      <w:r w:rsidR="00CB47B6" w:rsidRPr="00CB47B6">
        <w:t xml:space="preserve"> t</w:t>
      </w:r>
      <w:r w:rsidR="00B93823">
        <w:t>ych środków</w:t>
      </w:r>
      <w:r w:rsidR="00CB47B6" w:rsidRPr="00CB47B6">
        <w:t xml:space="preserve"> zaskarżenia</w:t>
      </w:r>
      <w:r w:rsidR="00B93823">
        <w:t xml:space="preserve"> oraz</w:t>
      </w:r>
      <w:r w:rsidR="006E04DE">
        <w:t xml:space="preserve"> </w:t>
      </w:r>
      <w:r w:rsidR="00CB47B6">
        <w:t>sąd właściwy do jego rozpatrzenia.</w:t>
      </w:r>
    </w:p>
    <w:p w:rsidR="00AF56AC" w:rsidRDefault="00AF56AC" w:rsidP="00F44ECF">
      <w:pPr>
        <w:spacing w:before="60" w:after="60" w:line="360" w:lineRule="auto"/>
        <w:ind w:left="709" w:hanging="1"/>
        <w:jc w:val="both"/>
      </w:pPr>
      <w:r>
        <w:t xml:space="preserve">Przepis jest transpozycją art. 12 ust. </w:t>
      </w:r>
      <w:r w:rsidR="009218A3">
        <w:t>10</w:t>
      </w:r>
      <w:r>
        <w:t xml:space="preserve"> dyrektywy.</w:t>
      </w:r>
    </w:p>
    <w:p w:rsidR="00C91B2D" w:rsidRDefault="00C91B2D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t>A</w:t>
      </w:r>
      <w:r w:rsidR="00F8499C">
        <w:t>rt. 106p</w:t>
      </w:r>
      <w:r w:rsidR="00AF56AC">
        <w:t xml:space="preserve"> </w:t>
      </w:r>
      <w:r w:rsidR="009107A7">
        <w:t xml:space="preserve">wskazuje sąd właściwy do rozpatrzenia </w:t>
      </w:r>
      <w:r w:rsidR="002770E8">
        <w:t xml:space="preserve">zaskarżenia </w:t>
      </w:r>
      <w:r w:rsidR="009107A7">
        <w:t xml:space="preserve">pracowniczego funduszu </w:t>
      </w:r>
      <w:r w:rsidR="002770E8">
        <w:t xml:space="preserve">wniesionego </w:t>
      </w:r>
      <w:r w:rsidR="009218A3" w:rsidRPr="009218A3">
        <w:t>w związku z odmowną decyzją organu nadzoru</w:t>
      </w:r>
      <w:r w:rsidR="00E9057B">
        <w:t>,</w:t>
      </w:r>
      <w:r w:rsidR="009107A7">
        <w:t xml:space="preserve"> w</w:t>
      </w:r>
      <w:r w:rsidR="00F44ECF">
        <w:t> </w:t>
      </w:r>
      <w:r w:rsidR="009107A7">
        <w:t>przedmiocie wydania zezwolenia na dokonanie przeniesienia transgranicznego</w:t>
      </w:r>
      <w:r w:rsidR="002770E8">
        <w:t xml:space="preserve"> oraz tryb i termin na wniesienie tego zaskarżenia. </w:t>
      </w:r>
      <w:r w:rsidR="00AF56AC">
        <w:t xml:space="preserve">W </w:t>
      </w:r>
      <w:r w:rsidR="00AF56AC" w:rsidRPr="00F14BBF">
        <w:t>aktualnie obowiązujących przepisach brak jest</w:t>
      </w:r>
      <w:r w:rsidR="00AF56AC">
        <w:t xml:space="preserve"> regulacji dotyczącej tego zagadnienia.</w:t>
      </w:r>
    </w:p>
    <w:p w:rsidR="00AF56AC" w:rsidRDefault="00AF56AC" w:rsidP="00F44ECF">
      <w:pPr>
        <w:spacing w:before="60" w:after="60" w:line="360" w:lineRule="auto"/>
        <w:ind w:left="709" w:hanging="1"/>
        <w:jc w:val="both"/>
      </w:pPr>
      <w:r>
        <w:t>Przepis jest transpozycją art. 12 ust. 10 dyrektywy.</w:t>
      </w:r>
    </w:p>
    <w:p w:rsidR="00E9057B" w:rsidRDefault="00E9057B" w:rsidP="00F44ECF">
      <w:pPr>
        <w:numPr>
          <w:ilvl w:val="0"/>
          <w:numId w:val="31"/>
        </w:numPr>
        <w:spacing w:before="60" w:after="60" w:line="360" w:lineRule="auto"/>
        <w:ind w:left="709"/>
        <w:jc w:val="both"/>
      </w:pPr>
      <w:r>
        <w:t>Art. 106r</w:t>
      </w:r>
      <w:r w:rsidRPr="00E9057B">
        <w:t xml:space="preserve"> </w:t>
      </w:r>
      <w:r>
        <w:t xml:space="preserve">wskazuje </w:t>
      </w:r>
      <w:r w:rsidR="009218A3">
        <w:t xml:space="preserve">tryb przekazywania przez właściwe organy nadzoru informacji o decyzji o </w:t>
      </w:r>
      <w:r w:rsidR="00813C44">
        <w:t>wydaniu zezwolenia, a w przypadku gdy przeniesienie transgraniczne skutkuje działalnością transgraniczną – również o wymogach prawa ubezpieczeń społecznych i prawa pracy dotyczących pracowniczych programów emerytalnych oraz o wymogach dotyczących przekazywania informacji.</w:t>
      </w:r>
      <w:r w:rsidR="009218A3">
        <w:t xml:space="preserve"> </w:t>
      </w:r>
      <w:r>
        <w:t>W aktualnie obowiązujących przepisach brak jest regulacji dotyczącej tego zagadnienia.</w:t>
      </w:r>
    </w:p>
    <w:p w:rsidR="00E9057B" w:rsidRDefault="00E9057B" w:rsidP="00F44ECF">
      <w:pPr>
        <w:spacing w:before="60" w:after="60" w:line="360" w:lineRule="auto"/>
        <w:ind w:left="709" w:hanging="349"/>
        <w:jc w:val="both"/>
      </w:pPr>
      <w:r>
        <w:t>Przepis jest transpozycją art. 12 ust. 1</w:t>
      </w:r>
      <w:r w:rsidR="00813C44">
        <w:t>1</w:t>
      </w:r>
      <w:r w:rsidR="00274D02">
        <w:t>–</w:t>
      </w:r>
      <w:r w:rsidR="00813C44">
        <w:t>14</w:t>
      </w:r>
      <w:r>
        <w:t xml:space="preserve"> dyrektywy.</w:t>
      </w:r>
    </w:p>
    <w:p w:rsidR="00AF56AC" w:rsidRDefault="009B3807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Dodanie w art. 146 ustawy o OIFFE ust. 4</w:t>
      </w:r>
      <w:r w:rsidR="00AF56AC">
        <w:t>, który umożliwia pracowniczym funduszom emerytalnym (z uwzględnieniem reguł ilościowych uzasadnionych względami ostrożnościowymi) inwestowanie w instrumenty emitowane lub gwarantowane</w:t>
      </w:r>
      <w:r w:rsidR="00AF56AC" w:rsidRPr="004F5DBD">
        <w:t xml:space="preserve"> przez Europejski Bank Inwestycyjny w ramach Europejskiego Funduszu na rzecz Inwesty</w:t>
      </w:r>
      <w:r w:rsidR="00AF56AC">
        <w:t>cji Strategicznych, europejskie długoterminowe fundusze inwestycyjne, europejskie fundusze</w:t>
      </w:r>
      <w:r w:rsidR="00AF56AC" w:rsidRPr="004F5DBD">
        <w:t xml:space="preserve"> na rzecz </w:t>
      </w:r>
      <w:r w:rsidR="00AF56AC">
        <w:t xml:space="preserve">przedsiębiorczości społecznej </w:t>
      </w:r>
      <w:r w:rsidR="00AF56AC">
        <w:lastRenderedPageBreak/>
        <w:t>i</w:t>
      </w:r>
      <w:r w:rsidR="00F44ECF">
        <w:t> </w:t>
      </w:r>
      <w:r w:rsidR="00AF56AC">
        <w:t>europejskie fundusze</w:t>
      </w:r>
      <w:r w:rsidR="00AF56AC" w:rsidRPr="004F5DBD">
        <w:t xml:space="preserve"> </w:t>
      </w:r>
      <w:r w:rsidR="00AF56AC" w:rsidRPr="00067C28">
        <w:rPr>
          <w:i/>
        </w:rPr>
        <w:t>venture capital</w:t>
      </w:r>
      <w:r w:rsidR="00AF56AC">
        <w:t xml:space="preserve"> (tj. zajmujące się inwestycjami</w:t>
      </w:r>
      <w:r w:rsidR="00AF56AC" w:rsidRPr="00067C28">
        <w:t xml:space="preserve"> </w:t>
      </w:r>
      <w:r>
        <w:t>na wczesnych etapach rozwoju) czyli</w:t>
      </w:r>
      <w:r w:rsidR="009D7FBD">
        <w:t xml:space="preserve"> tzw. instrumenty ELTIF, EuSEF,</w:t>
      </w:r>
      <w:r>
        <w:t xml:space="preserve"> EuVECA</w:t>
      </w:r>
      <w:r w:rsidR="00193904">
        <w:t xml:space="preserve"> i EFSI</w:t>
      </w:r>
      <w:r>
        <w:t>.</w:t>
      </w:r>
      <w:r w:rsidR="00AF56AC">
        <w:t xml:space="preserve"> Aktualnie obowiązujący katalog dozwolonych lokat aktywów pracowniczych funduszy emerytalnych nie obejmuje ww. instrumentów.</w:t>
      </w:r>
    </w:p>
    <w:p w:rsidR="00C91B2D" w:rsidRDefault="00AF56AC" w:rsidP="00F44ECF">
      <w:pPr>
        <w:spacing w:before="60" w:after="60" w:line="360" w:lineRule="auto"/>
        <w:ind w:left="360"/>
        <w:jc w:val="both"/>
      </w:pPr>
      <w:r>
        <w:t>Przepis jest transpozycją art. 19 ust. 6 lit. d dyrektywy.</w:t>
      </w:r>
    </w:p>
    <w:p w:rsidR="009B3807" w:rsidRDefault="009B3807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art. 147 ustawy </w:t>
      </w:r>
      <w:r w:rsidRPr="00F8499C">
        <w:t>o OIFFE</w:t>
      </w:r>
      <w:r>
        <w:t xml:space="preserve"> ust. 2, który umożliwia pracowniczym funduszom emerytalnym </w:t>
      </w:r>
      <w:r w:rsidR="003A575E">
        <w:t>umieszczanie w swoim statucie informacji o tym, że pracowniczy fundusz w swojej działalności</w:t>
      </w:r>
      <w:r w:rsidR="00F44ECF">
        <w:t xml:space="preserve"> </w:t>
      </w:r>
      <w:r w:rsidR="003A575E">
        <w:t>uwzględnia potencjalne, długofalowe skutki</w:t>
      </w:r>
      <w:r>
        <w:t xml:space="preserve"> decyzji inwestycyjnych w związku z czynnikami środowiskowymi, społecznymi i związanymi z ładem korporacyjnym – tzw.</w:t>
      </w:r>
      <w:r w:rsidR="00F44ECF">
        <w:t xml:space="preserve"> </w:t>
      </w:r>
      <w:r>
        <w:t>czynnik</w:t>
      </w:r>
      <w:r w:rsidR="003A575E">
        <w:t>ami ESG (ang.</w:t>
      </w:r>
      <w:r w:rsidR="00F44ECF">
        <w:t> </w:t>
      </w:r>
      <w:r w:rsidRPr="00D02712">
        <w:rPr>
          <w:i/>
        </w:rPr>
        <w:t>environmental</w:t>
      </w:r>
      <w:r>
        <w:t xml:space="preserve">, </w:t>
      </w:r>
      <w:r w:rsidRPr="00D02712">
        <w:rPr>
          <w:i/>
        </w:rPr>
        <w:t>social</w:t>
      </w:r>
      <w:r>
        <w:t xml:space="preserve">, </w:t>
      </w:r>
      <w:r w:rsidRPr="00D02712">
        <w:rPr>
          <w:i/>
        </w:rPr>
        <w:t>governance</w:t>
      </w:r>
      <w:r>
        <w:t xml:space="preserve">). Należy zauważyć, że uwzględnianie czynników ESG, zdaniem Komisji Europejskiej, przyczynia się do wzrostu społecznej odpowiedzialności biznesu oraz lepszego dostosowania do wyzwań związanych ze zmianami klimatycznymi i społecznymi. W </w:t>
      </w:r>
      <w:r w:rsidRPr="00F14BBF">
        <w:t>aktualnie obowiązujących przepisach brak jest</w:t>
      </w:r>
      <w:r>
        <w:t xml:space="preserve"> regulacji dotyczącej tego zagadnienia.</w:t>
      </w:r>
    </w:p>
    <w:p w:rsidR="009B3807" w:rsidRDefault="009B3807" w:rsidP="00F44ECF">
      <w:pPr>
        <w:spacing w:before="60" w:after="60" w:line="360" w:lineRule="auto"/>
        <w:ind w:left="360"/>
        <w:jc w:val="both"/>
      </w:pPr>
      <w:r>
        <w:t>Przepis jest transpozycją art. 19 ust. 1 lit. b dyrektywy.</w:t>
      </w:r>
    </w:p>
    <w:p w:rsidR="004933FD" w:rsidRDefault="004933FD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Zmianę treści art. 152 ust. 1 i 2 ustawy o OIFFE przez </w:t>
      </w:r>
      <w:r w:rsidR="00CF0709">
        <w:t>wykreślenie w ust. 1 publikatora ustawy o funduszach inwestycyjnych, w związku z przywołaniem go wcześniej w</w:t>
      </w:r>
      <w:r w:rsidR="00F44ECF">
        <w:t xml:space="preserve"> </w:t>
      </w:r>
      <w:r w:rsidR="00CF0709">
        <w:t>dodawanym art. 42d ustawy o OIFFE, a także doprecyzowani</w:t>
      </w:r>
      <w:r w:rsidR="00813C44">
        <w:t>e</w:t>
      </w:r>
      <w:r w:rsidR="00F44ECF">
        <w:t xml:space="preserve"> w </w:t>
      </w:r>
      <w:r w:rsidR="00CF0709">
        <w:t>ust.</w:t>
      </w:r>
      <w:r w:rsidR="00F44ECF">
        <w:t> </w:t>
      </w:r>
      <w:r w:rsidR="00CF0709">
        <w:t>2, że umowa powierzenia zarządzania aktywami powinna mieć formę pisemną.</w:t>
      </w:r>
    </w:p>
    <w:p w:rsidR="00CF0709" w:rsidRPr="00F8499C" w:rsidRDefault="00CF0709" w:rsidP="00F44ECF">
      <w:pPr>
        <w:spacing w:before="60" w:after="60" w:line="360" w:lineRule="auto"/>
        <w:ind w:left="360"/>
        <w:jc w:val="both"/>
      </w:pPr>
      <w:r>
        <w:t>Przepis jest transpozycją art. 31 ust. 5 dyrektywy.</w:t>
      </w:r>
    </w:p>
    <w:p w:rsidR="00AF56AC" w:rsidRPr="00F8499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 xml:space="preserve">Dodanie w ustawie o OIFFE art. 152a, który obliguje pracownicze </w:t>
      </w:r>
      <w:r w:rsidR="00FA0849">
        <w:t xml:space="preserve">towarzystwa emerytalne </w:t>
      </w:r>
      <w:r w:rsidRPr="00F8499C">
        <w:t xml:space="preserve">do </w:t>
      </w:r>
      <w:r w:rsidR="00FA0849">
        <w:t xml:space="preserve">niezwłocznego </w:t>
      </w:r>
      <w:r w:rsidRPr="00F8499C">
        <w:t xml:space="preserve">poinformowania organu nadzoru </w:t>
      </w:r>
      <w:r w:rsidR="00FA0849">
        <w:t>o zawarciu umowy powierzenia pełnienia funkcji osobie trzeciej lub podmiotowi zewnętrznemu</w:t>
      </w:r>
      <w:r w:rsidR="00813C44">
        <w:t>.</w:t>
      </w:r>
      <w:r w:rsidRPr="00F8499C">
        <w:t xml:space="preserve"> </w:t>
      </w:r>
      <w:r w:rsidR="003A575E">
        <w:t>W</w:t>
      </w:r>
      <w:r w:rsidR="00F44ECF">
        <w:t> </w:t>
      </w:r>
      <w:r w:rsidRPr="00F8499C">
        <w:t>aktualnie obowiązujących przepisach brak jest takiego obowiązku.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 w:rsidRPr="00F8499C">
        <w:t>Przepis jes</w:t>
      </w:r>
      <w:r w:rsidR="003A575E">
        <w:t xml:space="preserve">t transpozycją art. 31 ust. 6 </w:t>
      </w:r>
      <w:r w:rsidRPr="00F8499C">
        <w:t>dyrektywy.</w:t>
      </w:r>
    </w:p>
    <w:p w:rsidR="006A7B09" w:rsidRDefault="006A7B09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Zmianę treści art. 157 ustawy o OIFFE, która dookreśla, że umowa funduszu z</w:t>
      </w:r>
      <w:r w:rsidR="005F79CC">
        <w:t> </w:t>
      </w:r>
      <w:r>
        <w:t>depozytariuszem powinna być sporządzona na piśmie.</w:t>
      </w:r>
      <w:r w:rsidR="00A3665A">
        <w:t xml:space="preserve"> Dotychczas obowiązujący przepis nie wymagał formy pisemnej umowy.</w:t>
      </w:r>
    </w:p>
    <w:p w:rsidR="00A3665A" w:rsidRDefault="00A3665A" w:rsidP="00F44ECF">
      <w:pPr>
        <w:spacing w:before="60" w:after="60" w:line="360" w:lineRule="auto"/>
        <w:ind w:left="360"/>
        <w:jc w:val="both"/>
      </w:pPr>
      <w:r>
        <w:t>Przepis jest transpozycją art. 33 ust. 5 dyrektywy.</w:t>
      </w:r>
    </w:p>
    <w:p w:rsidR="003A575E" w:rsidRDefault="003A575E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lastRenderedPageBreak/>
        <w:t xml:space="preserve">Dodanie w art. 192 ustawy o OIFFE ust. </w:t>
      </w:r>
      <w:r w:rsidR="003371BE">
        <w:t>1a</w:t>
      </w:r>
      <w:r>
        <w:t xml:space="preserve">, w którym na pracownicze fundusze nakłada się obowiązek udostępnienia statutu funduszu za pośrednictwem ogólnodostępnej </w:t>
      </w:r>
      <w:r w:rsidR="002B31D5">
        <w:t>strony internetowej, ponieważ statut funduszu zawiera szereg informacji, jakie fundusz ma obowiązek udostępniać, na mocy przepisów dyrektywy.</w:t>
      </w:r>
    </w:p>
    <w:p w:rsidR="003A575E" w:rsidRDefault="003A575E" w:rsidP="00F44ECF">
      <w:pPr>
        <w:spacing w:before="60" w:after="60" w:line="360" w:lineRule="auto"/>
        <w:ind w:left="360"/>
        <w:jc w:val="both"/>
      </w:pPr>
      <w:r>
        <w:t>W obecnie obowiązujących przepisach brak jest takiego obowiązku.</w:t>
      </w:r>
    </w:p>
    <w:p w:rsidR="003A575E" w:rsidRPr="00F8499C" w:rsidRDefault="003A575E" w:rsidP="00F44ECF">
      <w:pPr>
        <w:spacing w:before="60" w:after="60" w:line="360" w:lineRule="auto"/>
        <w:ind w:left="360"/>
        <w:jc w:val="both"/>
      </w:pPr>
      <w:r>
        <w:t xml:space="preserve">Przepis jest transpozycją </w:t>
      </w:r>
      <w:r w:rsidR="0095667F">
        <w:t>art. 37 ust. 4 dyrektywy.</w:t>
      </w:r>
    </w:p>
    <w:p w:rsidR="00971C69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Zmianę treści art. 194a ustawy o OIFFE</w:t>
      </w:r>
      <w:r w:rsidR="00F8499C">
        <w:t xml:space="preserve"> </w:t>
      </w:r>
      <w:r w:rsidR="00971C69">
        <w:t>przez:</w:t>
      </w:r>
    </w:p>
    <w:p w:rsidR="00971C69" w:rsidRDefault="00971C69" w:rsidP="00F44ECF">
      <w:pPr>
        <w:numPr>
          <w:ilvl w:val="0"/>
          <w:numId w:val="32"/>
        </w:numPr>
        <w:spacing w:before="60" w:after="60" w:line="360" w:lineRule="auto"/>
        <w:jc w:val="both"/>
      </w:pPr>
      <w:r>
        <w:t>dodanie us</w:t>
      </w:r>
      <w:r w:rsidR="00376BD8">
        <w:t xml:space="preserve">t. 2a, który określa, że </w:t>
      </w:r>
      <w:r w:rsidR="00940D27">
        <w:t xml:space="preserve">jeżeli pracowniczy fundusz </w:t>
      </w:r>
      <w:r w:rsidR="00376BD8">
        <w:t xml:space="preserve">w swojej polityce inwestycyjnej </w:t>
      </w:r>
      <w:r w:rsidR="00940D27">
        <w:t>uwzględnia czynniki ESG, to deklaracja pracowniczego funduszu informuje w jaki sposób fundusz to robi.</w:t>
      </w:r>
      <w:r w:rsidR="00376BD8">
        <w:t xml:space="preserve"> Dodawany przepis jest konsekwencją uwzględnienia w</w:t>
      </w:r>
      <w:r w:rsidR="00F44ECF">
        <w:t xml:space="preserve"> </w:t>
      </w:r>
      <w:r w:rsidR="00376BD8">
        <w:t>projektowanym art. 147 możliwości zamieszczenia w statucie pracowniczego funduszu informacji o uwzględnianiu czynników ESG,</w:t>
      </w:r>
      <w:r w:rsidR="00940D27">
        <w:t xml:space="preserve"> w</w:t>
      </w:r>
      <w:r w:rsidR="005F79CC">
        <w:t> </w:t>
      </w:r>
      <w:r w:rsidR="00940D27">
        <w:t xml:space="preserve">związku z </w:t>
      </w:r>
      <w:r w:rsidR="00940D27" w:rsidRPr="00940D27">
        <w:t>transpozycją art. 19 ust. 1 lit. b dyrektywy</w:t>
      </w:r>
      <w:r w:rsidR="00274D02">
        <w:t>,</w:t>
      </w:r>
    </w:p>
    <w:p w:rsidR="00AF56AC" w:rsidRPr="00F8499C" w:rsidRDefault="00971C69" w:rsidP="00F44ECF">
      <w:pPr>
        <w:numPr>
          <w:ilvl w:val="0"/>
          <w:numId w:val="32"/>
        </w:numPr>
        <w:spacing w:before="60" w:after="60" w:line="360" w:lineRule="auto"/>
        <w:jc w:val="both"/>
      </w:pPr>
      <w:r>
        <w:t>zmianę treści ust. 5</w:t>
      </w:r>
      <w:r w:rsidR="00113ED2">
        <w:t>,</w:t>
      </w:r>
      <w:r>
        <w:t xml:space="preserve"> w którym nakłada się</w:t>
      </w:r>
      <w:r w:rsidR="00AF56AC" w:rsidRPr="00F8499C">
        <w:t xml:space="preserve"> na pracownicze i</w:t>
      </w:r>
      <w:r w:rsidR="00F44ECF">
        <w:t xml:space="preserve"> </w:t>
      </w:r>
      <w:r w:rsidR="00AF56AC" w:rsidRPr="00F8499C">
        <w:t>dobrowol</w:t>
      </w:r>
      <w:r>
        <w:t xml:space="preserve">ne fundusze emerytalne obowiązek </w:t>
      </w:r>
      <w:r w:rsidR="00940D27">
        <w:t xml:space="preserve">udostępnienia </w:t>
      </w:r>
      <w:r>
        <w:t xml:space="preserve">na </w:t>
      </w:r>
      <w:r w:rsidR="00AF56AC" w:rsidRPr="00F8499C">
        <w:t xml:space="preserve">stronach internetowych deklaracji zasad </w:t>
      </w:r>
      <w:r>
        <w:t>polityki inwestycyjnej funduszu oraz przesyłania jej na pisemne żądanie członka funduszu.</w:t>
      </w:r>
      <w:r w:rsidR="00AF56AC" w:rsidRPr="00F8499C">
        <w:t xml:space="preserve"> Dotychczas pracownicze i</w:t>
      </w:r>
      <w:r w:rsidR="00F44ECF">
        <w:t xml:space="preserve"> </w:t>
      </w:r>
      <w:r w:rsidR="00AF56AC" w:rsidRPr="00F8499C">
        <w:t>dobrowolne fundusze zobowiązane były jedynie do przekazywania deklaracji na pisemne żądanie członka funduszu.</w:t>
      </w:r>
    </w:p>
    <w:p w:rsidR="00AF56AC" w:rsidRPr="00F8499C" w:rsidRDefault="00AF56AC" w:rsidP="00F44ECF">
      <w:pPr>
        <w:spacing w:before="60" w:after="60" w:line="360" w:lineRule="auto"/>
        <w:ind w:left="720"/>
        <w:jc w:val="both"/>
      </w:pPr>
      <w:r w:rsidRPr="00F8499C">
        <w:t xml:space="preserve">Przepis jest transpozycją </w:t>
      </w:r>
      <w:r w:rsidR="0029241A">
        <w:t xml:space="preserve">odpowiednio </w:t>
      </w:r>
      <w:r w:rsidRPr="00F8499C">
        <w:t xml:space="preserve">art. 30 oraz </w:t>
      </w:r>
      <w:r w:rsidR="00274D02">
        <w:t xml:space="preserve">art. </w:t>
      </w:r>
      <w:r w:rsidRPr="00F8499C">
        <w:t xml:space="preserve">44 </w:t>
      </w:r>
      <w:r w:rsidR="00376BD8">
        <w:t xml:space="preserve">lit. b </w:t>
      </w:r>
      <w:r w:rsidRPr="00F8499C">
        <w:t>dyrektywy.</w:t>
      </w:r>
    </w:p>
    <w:p w:rsidR="00AF56AC" w:rsidRPr="00F8499C" w:rsidRDefault="00AF56AC" w:rsidP="00F44ECF">
      <w:pPr>
        <w:numPr>
          <w:ilvl w:val="0"/>
          <w:numId w:val="18"/>
        </w:numPr>
        <w:spacing w:before="60" w:after="60" w:line="360" w:lineRule="auto"/>
        <w:jc w:val="both"/>
      </w:pPr>
      <w:r w:rsidRPr="00F8499C">
        <w:t>Dod</w:t>
      </w:r>
      <w:r w:rsidR="002554EA">
        <w:t>anie w ustawie o OIFFE art. 194b</w:t>
      </w:r>
      <w:r w:rsidRPr="00F8499C">
        <w:t>, któ</w:t>
      </w:r>
      <w:r w:rsidR="002554EA">
        <w:t xml:space="preserve">ry obliguje pracownicze </w:t>
      </w:r>
      <w:r w:rsidR="00113ED2">
        <w:t>fundusze</w:t>
      </w:r>
      <w:r w:rsidRPr="00F8499C">
        <w:t xml:space="preserve"> emerytalne do przekazywani</w:t>
      </w:r>
      <w:r w:rsidR="002554EA">
        <w:t>a członkom funduszu oraz osobom uprawnionym do wypłaty</w:t>
      </w:r>
      <w:r w:rsidR="00F8499C">
        <w:t>,</w:t>
      </w:r>
      <w:r w:rsidR="002554EA">
        <w:t xml:space="preserve"> informacji </w:t>
      </w:r>
      <w:r w:rsidRPr="00F8499C">
        <w:t>o zmianach w zasadach funkcjonowania funduszu</w:t>
      </w:r>
      <w:r w:rsidR="00057875">
        <w:t>.</w:t>
      </w:r>
      <w:r w:rsidRPr="00F8499C">
        <w:t xml:space="preserve"> W aktualnie obowiązujących przepisach brak jest takiego obowiązku.</w:t>
      </w:r>
    </w:p>
    <w:p w:rsidR="00AF56AC" w:rsidRDefault="00AF56AC" w:rsidP="00F44ECF">
      <w:pPr>
        <w:spacing w:before="60" w:after="60" w:line="360" w:lineRule="auto"/>
        <w:ind w:left="360"/>
        <w:jc w:val="both"/>
      </w:pPr>
      <w:r w:rsidRPr="00F8499C">
        <w:t>Przepis jest transpozycją art. 37 ust. 3 dyrektywy.</w:t>
      </w:r>
    </w:p>
    <w:p w:rsidR="002554EA" w:rsidRDefault="002554EA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o OIFFE art. 194c, który </w:t>
      </w:r>
      <w:r w:rsidR="00A23327">
        <w:t xml:space="preserve">obliguje pracownicze </w:t>
      </w:r>
      <w:r w:rsidR="00113ED2">
        <w:t>fundusze</w:t>
      </w:r>
      <w:r w:rsidR="00A23327">
        <w:t xml:space="preserve"> emerytalne do sporządzenia i bezpłatnego udost</w:t>
      </w:r>
      <w:r w:rsidR="00113ED2">
        <w:t>ę</w:t>
      </w:r>
      <w:r w:rsidR="00A23327">
        <w:t xml:space="preserve">pnienia członkom funduszu </w:t>
      </w:r>
      <w:r w:rsidR="00764CD2">
        <w:t xml:space="preserve">przynajmniej </w:t>
      </w:r>
      <w:r w:rsidR="00A23327">
        <w:t>raz w</w:t>
      </w:r>
      <w:r w:rsidR="005F79CC">
        <w:t> </w:t>
      </w:r>
      <w:r w:rsidR="00A23327">
        <w:t xml:space="preserve">roku </w:t>
      </w:r>
      <w:r w:rsidR="002878F4">
        <w:t>„</w:t>
      </w:r>
      <w:r w:rsidR="00A23327">
        <w:t>Informacji o świadczeniu emerytalnym</w:t>
      </w:r>
      <w:r w:rsidR="002878F4">
        <w:t>”</w:t>
      </w:r>
      <w:r w:rsidR="00A23327">
        <w:t xml:space="preserve">, która zawiera kluczowe informacje dla członka funduszu. </w:t>
      </w:r>
      <w:r w:rsidR="00A23327" w:rsidRPr="00F8499C">
        <w:t>W aktualnie obowiązujących przepis</w:t>
      </w:r>
      <w:r w:rsidR="00A23327">
        <w:t>ach brak jest takiego obowiązku i w rezultacie informacje te są rozproszone.</w:t>
      </w:r>
      <w:r w:rsidR="0030507B">
        <w:t xml:space="preserve"> </w:t>
      </w:r>
      <w:r w:rsidR="0030507B">
        <w:lastRenderedPageBreak/>
        <w:t>Szczegółową treść „Informacji o świadczeniu emerytalnym” przedstawiono w dodawanym art. 22b ustawy o PPE.</w:t>
      </w:r>
    </w:p>
    <w:p w:rsidR="00A23327" w:rsidRPr="00F8499C" w:rsidRDefault="00A23327" w:rsidP="00F44ECF">
      <w:pPr>
        <w:spacing w:before="60" w:after="60" w:line="360" w:lineRule="auto"/>
        <w:ind w:left="360"/>
        <w:jc w:val="both"/>
      </w:pPr>
      <w:r>
        <w:t>Przepis jest transpozycją art. 38 ust. 1 dyrektywy.</w:t>
      </w:r>
    </w:p>
    <w:p w:rsidR="00AF56AC" w:rsidRDefault="006B6B84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o OIFFE art. 207c, który nakłada na organ nadzoru obowiązek </w:t>
      </w:r>
      <w:r w:rsidR="00AF56AC">
        <w:t xml:space="preserve">niezwłocznej publikacji na swojej stronie internetowej informacji </w:t>
      </w:r>
      <w:r w:rsidR="002249C0">
        <w:t>o zastosowaniu wobec</w:t>
      </w:r>
      <w:r>
        <w:t xml:space="preserve"> </w:t>
      </w:r>
      <w:r w:rsidR="002249C0">
        <w:t xml:space="preserve">osoby fizycznej, </w:t>
      </w:r>
      <w:r>
        <w:t>pracownicze</w:t>
      </w:r>
      <w:r w:rsidR="002249C0">
        <w:t>go</w:t>
      </w:r>
      <w:r>
        <w:t xml:space="preserve"> towarzystw</w:t>
      </w:r>
      <w:r w:rsidR="002249C0">
        <w:t>a</w:t>
      </w:r>
      <w:r>
        <w:t xml:space="preserve"> lub pracownicz</w:t>
      </w:r>
      <w:r w:rsidR="002249C0">
        <w:t>ego</w:t>
      </w:r>
      <w:r>
        <w:t xml:space="preserve"> fundusz</w:t>
      </w:r>
      <w:r w:rsidR="002249C0">
        <w:t>u odpowiednio kary pieniężnej, powiadomieni</w:t>
      </w:r>
      <w:r w:rsidR="00CA3CEA">
        <w:t>a</w:t>
      </w:r>
      <w:r w:rsidR="002249C0">
        <w:t xml:space="preserve"> o stwierdzonych nieprawidłowościach, decyzji o cofnięciu zezwolenia na utworzenie towarzystwa</w:t>
      </w:r>
      <w:r w:rsidR="00AF56AC" w:rsidRPr="009F7954">
        <w:t xml:space="preserve"> </w:t>
      </w:r>
      <w:r w:rsidR="002249C0">
        <w:t>w</w:t>
      </w:r>
      <w:r w:rsidR="005F79CC">
        <w:t> </w:t>
      </w:r>
      <w:r w:rsidR="002249C0">
        <w:t>związku z</w:t>
      </w:r>
      <w:r w:rsidR="002249C0" w:rsidRPr="009F7954">
        <w:t xml:space="preserve"> </w:t>
      </w:r>
      <w:r w:rsidR="00AF56AC" w:rsidRPr="009F7954">
        <w:t>naruszenie</w:t>
      </w:r>
      <w:r w:rsidR="002249C0">
        <w:t>m</w:t>
      </w:r>
      <w:r w:rsidR="00AF56AC" w:rsidRPr="009F7954">
        <w:t xml:space="preserve"> przepisów </w:t>
      </w:r>
      <w:r w:rsidR="00AF56AC">
        <w:t>ustawowych</w:t>
      </w:r>
      <w:r w:rsidR="002249C0">
        <w:t>, jak również</w:t>
      </w:r>
      <w:r w:rsidR="002878F4">
        <w:t xml:space="preserve"> określenie zakresu publikowanych informacji.</w:t>
      </w:r>
      <w:r>
        <w:t xml:space="preserve"> </w:t>
      </w:r>
      <w:r w:rsidR="002878F4">
        <w:t>W</w:t>
      </w:r>
      <w:r w:rsidR="00F44ECF">
        <w:t xml:space="preserve"> </w:t>
      </w:r>
      <w:r w:rsidR="00AF56AC">
        <w:t>dotychczas obowiązujących przepisach nie regulowano tego zagadnienia.</w:t>
      </w:r>
    </w:p>
    <w:p w:rsidR="00AF56AC" w:rsidRDefault="00AF56AC" w:rsidP="005F79CC">
      <w:pPr>
        <w:spacing w:before="60" w:after="60" w:line="360" w:lineRule="auto"/>
        <w:ind w:left="360"/>
        <w:jc w:val="both"/>
      </w:pPr>
      <w:r>
        <w:t>Przepis jest transpozycją art. 48 ust. 4</w:t>
      </w:r>
      <w:r w:rsidR="006B6B84">
        <w:t xml:space="preserve"> i 51 ust. 2</w:t>
      </w:r>
      <w:r>
        <w:t xml:space="preserve"> dyrektywy.</w:t>
      </w:r>
    </w:p>
    <w:p w:rsidR="00A56262" w:rsidRDefault="00FE0116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</w:t>
      </w:r>
      <w:r w:rsidR="00932D88">
        <w:t xml:space="preserve">mianę art. 2 </w:t>
      </w:r>
      <w:r w:rsidR="00C312BF">
        <w:t xml:space="preserve">ust. 1 </w:t>
      </w:r>
      <w:r w:rsidR="003A650C">
        <w:t xml:space="preserve">ustawy </w:t>
      </w:r>
      <w:r w:rsidR="003A650C" w:rsidRPr="00952E05">
        <w:t>o PPE</w:t>
      </w:r>
      <w:r w:rsidR="003A650C">
        <w:t xml:space="preserve"> </w:t>
      </w:r>
      <w:r w:rsidR="00242C53">
        <w:t>przez:</w:t>
      </w:r>
    </w:p>
    <w:p w:rsidR="00242C53" w:rsidRDefault="00952E05" w:rsidP="00F44ECF">
      <w:pPr>
        <w:numPr>
          <w:ilvl w:val="0"/>
          <w:numId w:val="21"/>
        </w:numPr>
        <w:spacing w:before="60" w:after="60" w:line="360" w:lineRule="auto"/>
        <w:ind w:left="720"/>
        <w:jc w:val="both"/>
      </w:pPr>
      <w:r>
        <w:t>dodanie pkt</w:t>
      </w:r>
      <w:r w:rsidR="009E03CE">
        <w:t xml:space="preserve"> 1</w:t>
      </w:r>
      <w:r w:rsidR="00932D88">
        <w:t>1a</w:t>
      </w:r>
      <w:r w:rsidR="00DD311A">
        <w:t>, w</w:t>
      </w:r>
      <w:r w:rsidR="00F44ECF">
        <w:t xml:space="preserve"> </w:t>
      </w:r>
      <w:r w:rsidR="00EB6686">
        <w:t xml:space="preserve">którym </w:t>
      </w:r>
      <w:r w:rsidR="00DD68AF">
        <w:t>określa się</w:t>
      </w:r>
      <w:r w:rsidR="00EB6686">
        <w:t xml:space="preserve"> </w:t>
      </w:r>
      <w:r w:rsidR="00932D88">
        <w:t xml:space="preserve">definicję </w:t>
      </w:r>
      <w:r w:rsidR="00932D88" w:rsidRPr="00CD0F58">
        <w:rPr>
          <w:i/>
        </w:rPr>
        <w:t>potencjalnego uczestnika</w:t>
      </w:r>
      <w:r w:rsidR="00932D88">
        <w:t xml:space="preserve"> (pracowni</w:t>
      </w:r>
      <w:r w:rsidR="00316741">
        <w:t>czego programu emerytalnego). W</w:t>
      </w:r>
      <w:r w:rsidR="00F44ECF">
        <w:t xml:space="preserve"> </w:t>
      </w:r>
      <w:r w:rsidR="00932D88">
        <w:t xml:space="preserve">obecnie obowiązujących przepisach brak jest takiej definicji. </w:t>
      </w:r>
    </w:p>
    <w:p w:rsidR="00A56262" w:rsidRDefault="00932D88" w:rsidP="00F44ECF">
      <w:pPr>
        <w:spacing w:before="60" w:after="60" w:line="360" w:lineRule="auto"/>
        <w:ind w:left="720"/>
        <w:jc w:val="both"/>
      </w:pPr>
      <w:r>
        <w:t>Proponowany przepis jest transpozycją art. 6 pkt 7 dyrektywy</w:t>
      </w:r>
      <w:r w:rsidR="00C312BF">
        <w:t>.</w:t>
      </w:r>
    </w:p>
    <w:p w:rsidR="00242C53" w:rsidRDefault="00952E05" w:rsidP="00F44ECF">
      <w:pPr>
        <w:numPr>
          <w:ilvl w:val="0"/>
          <w:numId w:val="21"/>
        </w:numPr>
        <w:spacing w:before="60" w:after="60" w:line="360" w:lineRule="auto"/>
        <w:ind w:left="720"/>
        <w:jc w:val="both"/>
      </w:pPr>
      <w:r>
        <w:t>dodanie pkt</w:t>
      </w:r>
      <w:r w:rsidR="003C5B38">
        <w:t xml:space="preserve"> 2</w:t>
      </w:r>
      <w:r w:rsidR="00C312BF">
        <w:t>6</w:t>
      </w:r>
      <w:r w:rsidR="003C5B38">
        <w:t>, w</w:t>
      </w:r>
      <w:r w:rsidR="00F44ECF">
        <w:t xml:space="preserve"> </w:t>
      </w:r>
      <w:r w:rsidR="003C5B38">
        <w:t xml:space="preserve">którym określa się definicję </w:t>
      </w:r>
      <w:r w:rsidR="003C5B38" w:rsidRPr="00CD0F58">
        <w:rPr>
          <w:i/>
        </w:rPr>
        <w:t>trwałego nośnika informacji</w:t>
      </w:r>
      <w:r w:rsidR="003C5B38">
        <w:t xml:space="preserve">. </w:t>
      </w:r>
      <w:r w:rsidR="00242C53">
        <w:t>W</w:t>
      </w:r>
      <w:r w:rsidR="005F79CC">
        <w:t> </w:t>
      </w:r>
      <w:r w:rsidR="003C5B38">
        <w:t xml:space="preserve">obecnie obowiązujących przepisach </w:t>
      </w:r>
      <w:r w:rsidR="003C5B38" w:rsidRPr="00952E05">
        <w:t>ustawy o PPE</w:t>
      </w:r>
      <w:r w:rsidR="003C5B38">
        <w:t xml:space="preserve"> brak jest takiej definicji, zaś definicja określona w art. 3 pkt 54 ustawy z dnia 29 lipca 2005 r. </w:t>
      </w:r>
      <w:r w:rsidR="003C5B38" w:rsidRPr="00952E05">
        <w:t>o</w:t>
      </w:r>
      <w:r w:rsidR="00F44ECF">
        <w:t xml:space="preserve"> </w:t>
      </w:r>
      <w:r w:rsidR="003C5B38" w:rsidRPr="00952E05">
        <w:t xml:space="preserve">obrocie instrumentami finansowymi </w:t>
      </w:r>
      <w:r w:rsidR="003C5B38">
        <w:t xml:space="preserve">nie obowiązuje </w:t>
      </w:r>
      <w:r w:rsidR="003C5B38" w:rsidRPr="003C5B38">
        <w:rPr>
          <w:i/>
        </w:rPr>
        <w:t xml:space="preserve">per analogiam </w:t>
      </w:r>
      <w:r w:rsidR="003C5B38">
        <w:t xml:space="preserve">w innej ustawie. </w:t>
      </w:r>
    </w:p>
    <w:p w:rsidR="003C5B38" w:rsidRDefault="003C5B38" w:rsidP="00F44ECF">
      <w:pPr>
        <w:spacing w:before="60" w:after="60" w:line="360" w:lineRule="auto"/>
        <w:ind w:left="1080"/>
        <w:jc w:val="both"/>
      </w:pPr>
      <w:r>
        <w:t>Proponowany przepis jest transpozycją art. 6 pkt 17 dyrektywy.</w:t>
      </w:r>
    </w:p>
    <w:p w:rsidR="00E52A36" w:rsidRDefault="00E52A36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Zmianę treści art. 18 ustawy o PPE przez umożliwienie w ust. 1, 4 i 5 składania deklaracji o przystąpieniu do programu oraz potwierdzania jej przyjęcia lub odmowy przyjęcia w postaci elektronicznej.</w:t>
      </w:r>
    </w:p>
    <w:p w:rsidR="00E52A36" w:rsidRDefault="00E52A36" w:rsidP="00F44ECF">
      <w:pPr>
        <w:spacing w:before="60" w:after="60" w:line="360" w:lineRule="auto"/>
        <w:ind w:left="360"/>
        <w:jc w:val="both"/>
      </w:pPr>
      <w:r>
        <w:t>Proponowany przepis jest pozytywną odpowiedzią na postulaty zgłaszane przez Izbę Zarządzających Funduszami i Aktywami (uwaga nr 11 w wykazie uwag zgłoszonych w toku konsultacji społecznych).</w:t>
      </w:r>
    </w:p>
    <w:p w:rsidR="00FD7AAB" w:rsidRDefault="00FD7AAB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Zmianę art. 20 ust. 1 ustawy o PPE przez</w:t>
      </w:r>
      <w:r w:rsidRPr="00FD7AAB">
        <w:t xml:space="preserve"> </w:t>
      </w:r>
      <w:r>
        <w:t>umożliwienie uczestnikowi programu emerytalnego składania oświadczeń woli w sprawach dotyczących tego programu w</w:t>
      </w:r>
      <w:r w:rsidR="005F79CC">
        <w:t> </w:t>
      </w:r>
      <w:r>
        <w:t>postaci elektronicznej.</w:t>
      </w:r>
      <w:r w:rsidRPr="00FD7AAB">
        <w:t xml:space="preserve"> </w:t>
      </w:r>
    </w:p>
    <w:p w:rsidR="00FD7AAB" w:rsidRDefault="00FD7AAB" w:rsidP="00F44ECF">
      <w:pPr>
        <w:spacing w:before="60" w:after="60" w:line="360" w:lineRule="auto"/>
        <w:ind w:left="360"/>
        <w:jc w:val="both"/>
      </w:pPr>
      <w:r>
        <w:lastRenderedPageBreak/>
        <w:t>Proponowany przepis jest pozytywną odpowiedzią na postulaty zgłaszane przez Izbę Zarządzających Funduszami i Aktywami (uwaga nr 12 w wykazie uwag zgłoszonych w toku konsultacji społecznych).</w:t>
      </w:r>
    </w:p>
    <w:p w:rsidR="009B5AB8" w:rsidRDefault="00FE0116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</w:t>
      </w:r>
      <w:r w:rsidR="004E4E0F">
        <w:t xml:space="preserve">mianę art. 22 </w:t>
      </w:r>
      <w:r w:rsidR="009B5AB8">
        <w:t>ustawy o PPE przez:</w:t>
      </w:r>
    </w:p>
    <w:p w:rsidR="009B5AB8" w:rsidRDefault="009B5AB8" w:rsidP="00F44ECF">
      <w:pPr>
        <w:numPr>
          <w:ilvl w:val="0"/>
          <w:numId w:val="34"/>
        </w:numPr>
        <w:spacing w:before="60" w:after="60" w:line="360" w:lineRule="auto"/>
        <w:ind w:left="720"/>
        <w:jc w:val="both"/>
      </w:pPr>
      <w:r>
        <w:t>dodanie ust. 1a stanowiącego, że informacje o warunkach funkcjonowania programu powinny być udostępniane bezpłatnie, sporządzone z użyciem jasnego i</w:t>
      </w:r>
      <w:r w:rsidR="00F44ECF">
        <w:t xml:space="preserve"> </w:t>
      </w:r>
      <w:r>
        <w:t>zrozumiałego języka</w:t>
      </w:r>
      <w:r w:rsidR="00D401C1">
        <w:t>, bez żargonu i terminów technicznych</w:t>
      </w:r>
      <w:r>
        <w:t>, spójne i rzetelne oraz dostępne w języku państwa członkowskiego UE, którego prawo ma zastosowanie do danego programu (w</w:t>
      </w:r>
      <w:r w:rsidR="00F44ECF">
        <w:t xml:space="preserve"> </w:t>
      </w:r>
      <w:r>
        <w:t>Polsce będzie to język polski). Dotychczas wymogi dotyczące informacji nie były tak ściśle określone</w:t>
      </w:r>
      <w:r w:rsidR="001B16DF">
        <w:t xml:space="preserve"> lub były rozproszone w całej ustawie.</w:t>
      </w:r>
    </w:p>
    <w:p w:rsidR="009B5AB8" w:rsidRDefault="009B5AB8" w:rsidP="00F44ECF">
      <w:pPr>
        <w:spacing w:before="60" w:after="60" w:line="360" w:lineRule="auto"/>
        <w:ind w:left="720"/>
        <w:jc w:val="both"/>
      </w:pPr>
      <w:r>
        <w:t xml:space="preserve">Przepis ten jest transpozycją </w:t>
      </w:r>
      <w:r w:rsidR="00274D02">
        <w:t xml:space="preserve">art. </w:t>
      </w:r>
      <w:r>
        <w:t>36 ust. 2 dyrektywy</w:t>
      </w:r>
      <w:r w:rsidR="00274D02">
        <w:t>,</w:t>
      </w:r>
    </w:p>
    <w:p w:rsidR="009B5AB8" w:rsidRDefault="009B5AB8" w:rsidP="00F44ECF">
      <w:pPr>
        <w:numPr>
          <w:ilvl w:val="0"/>
          <w:numId w:val="34"/>
        </w:numPr>
        <w:spacing w:before="60" w:after="60" w:line="360" w:lineRule="auto"/>
        <w:ind w:left="720"/>
        <w:jc w:val="both"/>
      </w:pPr>
      <w:r>
        <w:t xml:space="preserve">dodanie w </w:t>
      </w:r>
      <w:r w:rsidR="004E4E0F">
        <w:t xml:space="preserve">ust. 2 pkt 7 </w:t>
      </w:r>
      <w:r>
        <w:t>lit.</w:t>
      </w:r>
      <w:r w:rsidR="004E4E0F">
        <w:t xml:space="preserve"> f </w:t>
      </w:r>
      <w:r w:rsidR="00C56DCE">
        <w:t>rozszerzającego</w:t>
      </w:r>
      <w:r w:rsidR="004E4E0F">
        <w:t xml:space="preserve"> obowiązki informacyjne pracodawcy względem uczestnika programu o przekazanie informacji </w:t>
      </w:r>
      <w:r w:rsidR="00D401C1">
        <w:t>na temat osiągniętych w</w:t>
      </w:r>
      <w:r w:rsidR="00F44ECF">
        <w:t xml:space="preserve"> </w:t>
      </w:r>
      <w:r>
        <w:t>minionych 5 latach</w:t>
      </w:r>
      <w:r w:rsidR="0030507B">
        <w:t xml:space="preserve"> stóp zwrotu</w:t>
      </w:r>
      <w:r>
        <w:t xml:space="preserve">. </w:t>
      </w:r>
      <w:r w:rsidR="004E4E0F">
        <w:t>Obecnie obowiązujące przepisy nie przewidują pr</w:t>
      </w:r>
      <w:r w:rsidR="00C56DCE">
        <w:t>zekazywania takich informacji</w:t>
      </w:r>
      <w:r w:rsidR="004E4E0F">
        <w:t xml:space="preserve">. </w:t>
      </w:r>
    </w:p>
    <w:p w:rsidR="00316741" w:rsidRDefault="004E4E0F" w:rsidP="00F44ECF">
      <w:pPr>
        <w:spacing w:before="60" w:after="60" w:line="360" w:lineRule="auto"/>
        <w:ind w:left="720"/>
        <w:jc w:val="both"/>
      </w:pPr>
      <w:r>
        <w:t xml:space="preserve">Proponowany przepis jest transpozycją art. 37 ust. 1 </w:t>
      </w:r>
      <w:r w:rsidR="00D401C1">
        <w:t>lit. g</w:t>
      </w:r>
      <w:r w:rsidR="00A83F9A">
        <w:t xml:space="preserve"> </w:t>
      </w:r>
      <w:r>
        <w:t>dyrektywy</w:t>
      </w:r>
      <w:r w:rsidR="00274D02">
        <w:t>,</w:t>
      </w:r>
    </w:p>
    <w:p w:rsidR="00D66FB9" w:rsidRDefault="00D66FB9" w:rsidP="00F44ECF">
      <w:pPr>
        <w:numPr>
          <w:ilvl w:val="0"/>
          <w:numId w:val="34"/>
        </w:numPr>
        <w:spacing w:before="60" w:after="60" w:line="360" w:lineRule="auto"/>
        <w:ind w:left="720"/>
        <w:jc w:val="both"/>
      </w:pPr>
      <w:r>
        <w:t>zmianę w ust. 6 pkt 2 przez zastąpienie kropki na końcu zdania przecinkiem i</w:t>
      </w:r>
      <w:r w:rsidR="005F79CC">
        <w:t> </w:t>
      </w:r>
      <w:r>
        <w:t xml:space="preserve">dodanie wyrazu </w:t>
      </w:r>
      <w:r w:rsidRPr="00D66FB9">
        <w:rPr>
          <w:i/>
        </w:rPr>
        <w:t>lub</w:t>
      </w:r>
      <w:r>
        <w:t xml:space="preserve"> oraz pkt 3 w brzmieniu:</w:t>
      </w:r>
    </w:p>
    <w:p w:rsidR="00D66FB9" w:rsidRDefault="00D66FB9" w:rsidP="00F44ECF">
      <w:pPr>
        <w:spacing w:before="60" w:after="60" w:line="360" w:lineRule="auto"/>
        <w:ind w:left="720"/>
        <w:jc w:val="both"/>
      </w:pPr>
      <w:r w:rsidRPr="00D66FB9">
        <w:rPr>
          <w:i/>
        </w:rPr>
        <w:t>3) na żądanie uczestnika programu</w:t>
      </w:r>
      <w:r>
        <w:t>.</w:t>
      </w:r>
    </w:p>
    <w:p w:rsidR="001B16DF" w:rsidRDefault="00520759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</w:t>
      </w:r>
      <w:r w:rsidR="001B16DF">
        <w:t>mianę treści art. 22a ustawy o PPE przez skreślenie w ust. 1 i 3 słów odnoszących się do wymogu sporządzenia przekazywanej</w:t>
      </w:r>
      <w:r>
        <w:t xml:space="preserve"> informacji z użyciem jasnego i</w:t>
      </w:r>
      <w:r w:rsidR="00F44ECF">
        <w:t xml:space="preserve"> </w:t>
      </w:r>
      <w:r w:rsidR="001B16DF">
        <w:t>zrozumiałego języka, a zamiast tego zawierającej odesłanie do art. 22 ust. 1a, gdzie określono jakie wymogi powinny spełniać informacje przekazywane uczestnikom programu.</w:t>
      </w:r>
    </w:p>
    <w:p w:rsidR="001B16DF" w:rsidRDefault="001B16DF" w:rsidP="00F44ECF">
      <w:pPr>
        <w:spacing w:before="60" w:after="60" w:line="360" w:lineRule="auto"/>
        <w:ind w:left="360"/>
        <w:jc w:val="both"/>
      </w:pPr>
      <w:r>
        <w:t>Proponowany przepis jest konsekwencją wprowadzenia do art. 22 ust. 1a, który implementuje art. 36 ust. 2 dyrektywy.</w:t>
      </w:r>
    </w:p>
    <w:p w:rsidR="00242C53" w:rsidRDefault="00FE0116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D</w:t>
      </w:r>
      <w:r w:rsidR="00DB3394">
        <w:t xml:space="preserve">odanie </w:t>
      </w:r>
      <w:r w:rsidR="008B27E7">
        <w:t xml:space="preserve">w ustawie </w:t>
      </w:r>
      <w:r w:rsidR="008B27E7" w:rsidRPr="00952E05">
        <w:t>o PPE</w:t>
      </w:r>
      <w:r w:rsidR="008B27E7">
        <w:t xml:space="preserve"> </w:t>
      </w:r>
      <w:r w:rsidR="00DB3394">
        <w:t xml:space="preserve">art. 22b – wprowadzającego obowiązek </w:t>
      </w:r>
      <w:r w:rsidR="008B27E7">
        <w:t>sporządzenia i</w:t>
      </w:r>
      <w:r w:rsidR="005F79CC">
        <w:t> </w:t>
      </w:r>
      <w:r w:rsidR="00DB3394">
        <w:t xml:space="preserve">przekazywania uczestnikowi programu </w:t>
      </w:r>
      <w:r w:rsidR="00DB3394" w:rsidRPr="00DB3394">
        <w:rPr>
          <w:i/>
        </w:rPr>
        <w:t>Infor</w:t>
      </w:r>
      <w:r w:rsidR="008B27E7">
        <w:rPr>
          <w:i/>
        </w:rPr>
        <w:t>macj</w:t>
      </w:r>
      <w:r w:rsidR="001E0637">
        <w:rPr>
          <w:i/>
        </w:rPr>
        <w:t>i</w:t>
      </w:r>
      <w:r w:rsidR="008B27E7">
        <w:rPr>
          <w:i/>
        </w:rPr>
        <w:t xml:space="preserve"> o</w:t>
      </w:r>
      <w:r w:rsidR="00F44ECF">
        <w:rPr>
          <w:i/>
        </w:rPr>
        <w:t xml:space="preserve"> </w:t>
      </w:r>
      <w:r w:rsidR="00DB3394" w:rsidRPr="00DB3394">
        <w:rPr>
          <w:i/>
        </w:rPr>
        <w:t>świadczeniu emerytalnym</w:t>
      </w:r>
      <w:r w:rsidR="00DB3394" w:rsidRPr="00DB3394">
        <w:t>, któr</w:t>
      </w:r>
      <w:r w:rsidR="001E0637">
        <w:t>a</w:t>
      </w:r>
      <w:r w:rsidR="00DB3394" w:rsidRPr="00DB3394">
        <w:t xml:space="preserve"> zawiera kluczowe inf</w:t>
      </w:r>
      <w:r w:rsidR="00242C53">
        <w:t xml:space="preserve">ormacje dla uczestnika programu, np.: jasne wskazanie wieku uprawniającego do otrzymania wypłaty, </w:t>
      </w:r>
      <w:r w:rsidR="00242C53" w:rsidRPr="006575C1">
        <w:t>informacje o nabytych uprawnieniach lub zgromadzonych środkach</w:t>
      </w:r>
      <w:r w:rsidR="00242C53">
        <w:t xml:space="preserve"> czy </w:t>
      </w:r>
      <w:r w:rsidR="00242C53" w:rsidRPr="006575C1">
        <w:t xml:space="preserve">wyszczególnienie kosztów </w:t>
      </w:r>
      <w:r w:rsidR="00242C53" w:rsidRPr="006575C1">
        <w:lastRenderedPageBreak/>
        <w:t xml:space="preserve">odliczonych przez zarządzającego </w:t>
      </w:r>
      <w:r w:rsidR="00242C53">
        <w:t>programem. Obecnie obowiązujące przepisy nie przewidują obowiązku przekazywania takiego dokumentu.</w:t>
      </w:r>
    </w:p>
    <w:p w:rsidR="00067C28" w:rsidRDefault="00242C53" w:rsidP="00F44ECF">
      <w:pPr>
        <w:spacing w:before="60" w:after="60" w:line="360" w:lineRule="auto"/>
        <w:ind w:left="360"/>
        <w:jc w:val="both"/>
      </w:pPr>
      <w:r>
        <w:t>Proponowany przepis jest transpozycją art.</w:t>
      </w:r>
      <w:r w:rsidR="00371002">
        <w:t xml:space="preserve"> 38</w:t>
      </w:r>
      <w:r w:rsidR="00594F8B">
        <w:t>, art. 39 ust. 1</w:t>
      </w:r>
      <w:r w:rsidR="00E06883">
        <w:t>, art. 40 ust. 1 lit. d</w:t>
      </w:r>
      <w:r w:rsidR="006066B2">
        <w:t>, art.</w:t>
      </w:r>
      <w:r w:rsidR="005F79CC">
        <w:t> </w:t>
      </w:r>
      <w:r w:rsidR="006066B2">
        <w:t xml:space="preserve">44 lit. c </w:t>
      </w:r>
      <w:r>
        <w:t>dyrektywy.</w:t>
      </w:r>
    </w:p>
    <w:p w:rsidR="00242C53" w:rsidRDefault="00FE0116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D</w:t>
      </w:r>
      <w:r w:rsidR="00371002">
        <w:t xml:space="preserve">odanie </w:t>
      </w:r>
      <w:r w:rsidR="008B27E7">
        <w:t xml:space="preserve">w ustawie </w:t>
      </w:r>
      <w:r w:rsidR="008B27E7" w:rsidRPr="00952E05">
        <w:t>o PPE</w:t>
      </w:r>
      <w:r w:rsidR="008B27E7">
        <w:t xml:space="preserve"> </w:t>
      </w:r>
      <w:r w:rsidR="00371002">
        <w:t>art. 22c – określającego zakres informacji</w:t>
      </w:r>
      <w:r w:rsidR="00952E05">
        <w:t>,</w:t>
      </w:r>
      <w:r w:rsidR="00371002">
        <w:t xml:space="preserve"> do otrzymania których ma</w:t>
      </w:r>
      <w:r w:rsidR="00952E05">
        <w:t>ją prawo potencjalni uczestnicy</w:t>
      </w:r>
      <w:r w:rsidR="00371002">
        <w:t xml:space="preserve"> przed przystąpieniem do programu, w</w:t>
      </w:r>
      <w:r w:rsidR="005F79CC">
        <w:t> </w:t>
      </w:r>
      <w:r w:rsidR="00371002">
        <w:t xml:space="preserve">tym </w:t>
      </w:r>
      <w:r w:rsidR="00371002" w:rsidRPr="00371002">
        <w:t xml:space="preserve">o dostępnych opcjach inwestycyjnych, </w:t>
      </w:r>
      <w:r w:rsidR="00C50EC2">
        <w:t>uwzględnianiu czynników ESG w</w:t>
      </w:r>
      <w:r w:rsidR="005F79CC">
        <w:t> </w:t>
      </w:r>
      <w:r w:rsidR="00C50EC2">
        <w:t xml:space="preserve">polityce inwestycyjnej, </w:t>
      </w:r>
      <w:r w:rsidR="00371002">
        <w:t>osią</w:t>
      </w:r>
      <w:r w:rsidR="00952E05">
        <w:t>gniętych w przeszłości wynikach</w:t>
      </w:r>
      <w:r w:rsidR="006066B2">
        <w:t>, rodzajach kosztów czy głównych cechach charakterystycznych programu</w:t>
      </w:r>
      <w:r w:rsidR="00C50EC2">
        <w:t xml:space="preserve">. </w:t>
      </w:r>
      <w:r w:rsidR="00371002" w:rsidRPr="00371002">
        <w:t>Obecnie obowiązujące przepisy nie przewidują obowiązku przekazywania takiego dokumentu.</w:t>
      </w:r>
    </w:p>
    <w:p w:rsidR="00371002" w:rsidRDefault="00371002" w:rsidP="00F44ECF">
      <w:pPr>
        <w:spacing w:before="60" w:after="60" w:line="360" w:lineRule="auto"/>
        <w:ind w:left="360"/>
        <w:jc w:val="both"/>
      </w:pPr>
      <w:r w:rsidRPr="00371002">
        <w:t>Proponowany p</w:t>
      </w:r>
      <w:r>
        <w:t>rzepis jest transpozycją art. 41 ust. 1</w:t>
      </w:r>
      <w:r w:rsidR="00105D81">
        <w:t>–</w:t>
      </w:r>
      <w:r>
        <w:t xml:space="preserve">2 </w:t>
      </w:r>
      <w:r w:rsidRPr="00371002">
        <w:t>dyrektywy.</w:t>
      </w:r>
    </w:p>
    <w:p w:rsidR="00F65910" w:rsidRDefault="00F65910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 xml:space="preserve">Dodanie w ustawie o PPE art. 22d – rozszerzającego obowiązki informacyjne zarządzających pracowniczymi programami emerytalnymi </w:t>
      </w:r>
      <w:r w:rsidR="00113ED2">
        <w:t xml:space="preserve">prowadzonymi w formie funduszy emerytalnych </w:t>
      </w:r>
      <w:r>
        <w:t xml:space="preserve">o przekazywanie uczestnikom tych programów uprawnionym do wypłaty okresowej informacji na temat </w:t>
      </w:r>
      <w:r w:rsidR="00113ED2">
        <w:t xml:space="preserve">wartości </w:t>
      </w:r>
      <w:r>
        <w:t xml:space="preserve">zgromadzonych przez nich środków </w:t>
      </w:r>
      <w:r w:rsidR="00113ED2">
        <w:t xml:space="preserve">pozostałych do wypłaty </w:t>
      </w:r>
      <w:r>
        <w:t>oraz dostępnych opcjach wypłaty. Obecne regulacje zawarte w ustawie o PPE wydają się być w tym zakresie niewystarczające.</w:t>
      </w:r>
    </w:p>
    <w:p w:rsidR="00F65910" w:rsidRDefault="00F65910" w:rsidP="00F44ECF">
      <w:pPr>
        <w:spacing w:before="60" w:after="60" w:line="360" w:lineRule="auto"/>
        <w:ind w:left="360"/>
        <w:jc w:val="both"/>
      </w:pPr>
      <w:r>
        <w:t>Proponowany przepis jest transpozycją art. 43 ust. 1 dyrektywy.</w:t>
      </w:r>
    </w:p>
    <w:p w:rsidR="00A60530" w:rsidRDefault="00A60530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Zmianę treści art. 36 ustawy o PPE przez:</w:t>
      </w:r>
    </w:p>
    <w:p w:rsidR="00A60530" w:rsidRDefault="00A60530" w:rsidP="00F44ECF">
      <w:pPr>
        <w:numPr>
          <w:ilvl w:val="0"/>
          <w:numId w:val="35"/>
        </w:numPr>
        <w:spacing w:before="60" w:after="60" w:line="360" w:lineRule="auto"/>
        <w:ind w:left="720"/>
        <w:jc w:val="both"/>
      </w:pPr>
      <w:r>
        <w:t>w ust. 7 dodanie do informacji przekazywanych przez organ nadzoru zarządzającemu zagranicznemu, informacji na temat wymogów dotyczących informacji przekazywanych uczestnikom, potencjalnym uczestnikom i</w:t>
      </w:r>
      <w:r w:rsidR="005F79CC">
        <w:t> </w:t>
      </w:r>
      <w:r>
        <w:t>beneficjentom</w:t>
      </w:r>
      <w:r w:rsidR="000E47ED">
        <w:t>.</w:t>
      </w:r>
    </w:p>
    <w:p w:rsidR="000E47ED" w:rsidRDefault="000E47ED" w:rsidP="00F44ECF">
      <w:pPr>
        <w:spacing w:before="60" w:after="60" w:line="360" w:lineRule="auto"/>
        <w:ind w:left="720"/>
        <w:jc w:val="both"/>
      </w:pPr>
      <w:r>
        <w:t>Przepis jest transpozycją art. 11 ust. 7 dyrektywy,</w:t>
      </w:r>
    </w:p>
    <w:p w:rsidR="00A60530" w:rsidRDefault="00A60530" w:rsidP="00F44ECF">
      <w:pPr>
        <w:numPr>
          <w:ilvl w:val="0"/>
          <w:numId w:val="35"/>
        </w:numPr>
        <w:spacing w:before="60" w:after="60" w:line="360" w:lineRule="auto"/>
        <w:ind w:left="720"/>
        <w:jc w:val="both"/>
      </w:pPr>
      <w:r>
        <w:t>w ust. 8 skrócenie terminu 2 miesięcy do 6 tygodni</w:t>
      </w:r>
      <w:r w:rsidR="000E47ED">
        <w:t xml:space="preserve"> w ciągu których organ nadzoru przekazuje zagranicznemu organowi nadzoru informacje określone w</w:t>
      </w:r>
      <w:r w:rsidR="005F79CC">
        <w:t> </w:t>
      </w:r>
      <w:r w:rsidR="000E47ED">
        <w:t>art. 36 ust. 7.</w:t>
      </w:r>
    </w:p>
    <w:p w:rsidR="000E47ED" w:rsidRDefault="000E47ED" w:rsidP="00F44ECF">
      <w:pPr>
        <w:spacing w:before="60" w:after="60" w:line="360" w:lineRule="auto"/>
        <w:ind w:left="720"/>
        <w:jc w:val="both"/>
      </w:pPr>
      <w:r>
        <w:t>Przepis ten jest transpozycją art. 11 ust. 8 dyrektywy,</w:t>
      </w:r>
    </w:p>
    <w:p w:rsidR="00575AEC" w:rsidRDefault="00575AEC" w:rsidP="00F44ECF">
      <w:pPr>
        <w:numPr>
          <w:ilvl w:val="0"/>
          <w:numId w:val="18"/>
        </w:numPr>
        <w:spacing w:before="60" w:after="60" w:line="360" w:lineRule="auto"/>
        <w:jc w:val="both"/>
      </w:pPr>
      <w:r>
        <w:t>Zmianę treści art. 47 ust. 1 ustawy o PPE przez umożliwienie uczestnikowi wypowiedzenia udziału w programie za pomocą komunikacji elektronicznej.</w:t>
      </w:r>
    </w:p>
    <w:p w:rsidR="00575AEC" w:rsidRDefault="00575AEC" w:rsidP="00F44ECF">
      <w:pPr>
        <w:spacing w:before="60" w:after="60" w:line="360" w:lineRule="auto"/>
        <w:ind w:left="720"/>
        <w:jc w:val="both"/>
      </w:pPr>
      <w:r>
        <w:lastRenderedPageBreak/>
        <w:t>Proponowany przepis jest pozytywną odpowiedzią na postulaty zgłaszane przez Izbę Zarządzających Funduszami i Aktywami (uwaga nr 15 w wykazie uwag zgłoszonych w toku konsultacji społecznych).</w:t>
      </w:r>
    </w:p>
    <w:p w:rsidR="002249C0" w:rsidRDefault="002249C0" w:rsidP="00F44ECF">
      <w:pPr>
        <w:spacing w:before="60" w:after="60" w:line="360" w:lineRule="auto"/>
        <w:jc w:val="both"/>
      </w:pPr>
      <w:r>
        <w:t xml:space="preserve">W art. 3 projektu wprowadzono przepis przejściowy wskazujący termin przygotowania i wprowadzenia skutecznego systemu zarządzania, o którym mowa w art. 26a ust. 1 ustawy o OIFFE. 9-miesięczny termin od dnia ogłoszenia ustawy zapewni pracowniczym towarzystwom niezbędny czas na przygotowanie i wprowadzenie </w:t>
      </w:r>
      <w:r w:rsidR="00B14A3B">
        <w:t>skutecznego systemu zarządzania.</w:t>
      </w:r>
    </w:p>
    <w:p w:rsidR="001904A9" w:rsidRDefault="001904A9" w:rsidP="00F44ECF">
      <w:pPr>
        <w:spacing w:before="60" w:after="60" w:line="360" w:lineRule="auto"/>
        <w:jc w:val="both"/>
      </w:pPr>
      <w:r>
        <w:t xml:space="preserve">Art. </w:t>
      </w:r>
      <w:r w:rsidR="00B14A3B">
        <w:t>4</w:t>
      </w:r>
      <w:r>
        <w:t xml:space="preserve"> projektowanej ustawy zawiera przepis przejściowy dotyczący </w:t>
      </w:r>
      <w:r w:rsidR="002249C0">
        <w:t>terminu</w:t>
      </w:r>
      <w:r>
        <w:t xml:space="preserve"> sporządzenia pierwszej własnej oceny ryzyka, zgodnie z projektowanym art. 26e ust. 1 ustawy o OIFFE.</w:t>
      </w:r>
      <w:r w:rsidR="001E0637">
        <w:t xml:space="preserve"> W związku z tym, że w</w:t>
      </w:r>
      <w:r w:rsidR="00B27277">
        <w:t>skazany w poprzedniej wersji projektu 6</w:t>
      </w:r>
      <w:r w:rsidR="005F79CC">
        <w:noBreakHyphen/>
      </w:r>
      <w:r w:rsidR="00B27277">
        <w:t>miesięczny termin dokonania pierwszej własnej oceny ryzyka kolidował z</w:t>
      </w:r>
      <w:r w:rsidR="005F79CC">
        <w:t> </w:t>
      </w:r>
      <w:r w:rsidR="00B27277">
        <w:t xml:space="preserve">określonym w art. 4 terminem wejścia w życie art. </w:t>
      </w:r>
      <w:r w:rsidR="00B27277" w:rsidRPr="00B27277">
        <w:t>26e ust. 1 ustawy o OIFFE</w:t>
      </w:r>
      <w:r w:rsidR="00B27277">
        <w:t xml:space="preserve">, wprowadzono jego zmianę, zgodnie z którą pierwsza własna ocena ryzyka będzie dokonywana </w:t>
      </w:r>
      <w:r w:rsidR="006B6820">
        <w:t>przez pracownicze towarzystwa w</w:t>
      </w:r>
      <w:r w:rsidR="00F44ECF">
        <w:t xml:space="preserve"> </w:t>
      </w:r>
      <w:r w:rsidR="00B27277">
        <w:t xml:space="preserve">terminie 9 miesięcy od dnia ogłoszenia ustawy. Zapewni to pracowniczym </w:t>
      </w:r>
      <w:r w:rsidR="00B14A3B">
        <w:t>towarzystwom</w:t>
      </w:r>
      <w:r w:rsidR="00B27277">
        <w:t xml:space="preserve"> czas niezbędny na dokonanie tej oceny.</w:t>
      </w:r>
    </w:p>
    <w:p w:rsidR="00B14A3B" w:rsidRDefault="00B14A3B" w:rsidP="00F44ECF">
      <w:pPr>
        <w:spacing w:before="60" w:after="60" w:line="360" w:lineRule="auto"/>
        <w:jc w:val="both"/>
      </w:pPr>
      <w:r>
        <w:t>Natomiast w art. 5 wprowadza się przepis przejściowy wskazujący termin ustanowienia i stosowania przez pracownicze towarzystwa polityki wynagrodzeń wobec członków zarządu, członków rady nadzorczej oraz pełniących kluczowe funkcje. Wyznaczenie 9</w:t>
      </w:r>
      <w:r w:rsidR="005F79CC">
        <w:noBreakHyphen/>
      </w:r>
      <w:r>
        <w:t>miesięcznego terminu od dnia ogłoszenia ustawy zapewni pracowniczym towarzystwom czas niezbędny na ustanowienie i zastosowanie po raz pierwszy przedmiotowej polityki wynagrodzeń.</w:t>
      </w:r>
    </w:p>
    <w:p w:rsidR="001F5FFE" w:rsidRDefault="001F5FFE" w:rsidP="00F44ECF">
      <w:pPr>
        <w:numPr>
          <w:ilvl w:val="0"/>
          <w:numId w:val="15"/>
        </w:numPr>
        <w:spacing w:before="60" w:after="60" w:line="360" w:lineRule="auto"/>
        <w:ind w:left="426"/>
        <w:jc w:val="both"/>
        <w:rPr>
          <w:b/>
        </w:rPr>
      </w:pPr>
      <w:r>
        <w:rPr>
          <w:b/>
        </w:rPr>
        <w:t>Oczekiwane rezultaty</w:t>
      </w:r>
    </w:p>
    <w:p w:rsidR="001F5FFE" w:rsidRDefault="001F5FFE" w:rsidP="00F44ECF">
      <w:pPr>
        <w:spacing w:before="60" w:after="60" w:line="360" w:lineRule="auto"/>
        <w:jc w:val="both"/>
      </w:pPr>
      <w:r w:rsidRPr="001F5FFE">
        <w:t xml:space="preserve">Oczekuje się, że </w:t>
      </w:r>
      <w:r>
        <w:t xml:space="preserve">wprowadzenie rozwiązań zaprojektowanych w procedowanej ustawie </w:t>
      </w:r>
      <w:r w:rsidR="00540155">
        <w:t>umożliwi pracowniczym funduszom emerytalnym podjęcie działalności transgranicznej, co ma znaczenie w kontekście wzrastającej mobilności pracowników w Unii Europejskiej. Kolejnym oczekiwan</w:t>
      </w:r>
      <w:r w:rsidR="00105D81">
        <w:t>y</w:t>
      </w:r>
      <w:r w:rsidR="00540155">
        <w:t>m rezultatem jest polepszenie</w:t>
      </w:r>
      <w:r>
        <w:t xml:space="preserve"> dostęp</w:t>
      </w:r>
      <w:r w:rsidR="00540155">
        <w:t>u</w:t>
      </w:r>
      <w:r>
        <w:t xml:space="preserve"> </w:t>
      </w:r>
      <w:r w:rsidRPr="001F5FFE">
        <w:t>uczestników i potencjalnych uczestników pracowniczych programów emerytalnych</w:t>
      </w:r>
      <w:r>
        <w:t xml:space="preserve"> do rzetelnej informacji, a co za tym idzie przyczyni</w:t>
      </w:r>
      <w:r w:rsidR="00540155">
        <w:t>enie</w:t>
      </w:r>
      <w:r w:rsidR="004D3EE8">
        <w:t xml:space="preserve"> się do podejmowania bardziej świadom</w:t>
      </w:r>
      <w:r w:rsidRPr="001F5FFE">
        <w:t>ych decyzji przez zainteresowanych.</w:t>
      </w:r>
    </w:p>
    <w:p w:rsidR="006B6820" w:rsidRDefault="001F5FFE" w:rsidP="00F44ECF">
      <w:pPr>
        <w:spacing w:before="60" w:after="60" w:line="360" w:lineRule="auto"/>
        <w:jc w:val="both"/>
      </w:pPr>
      <w:r>
        <w:lastRenderedPageBreak/>
        <w:t>Ponadto o</w:t>
      </w:r>
      <w:r w:rsidRPr="001F5FFE">
        <w:t xml:space="preserve">czekuje się, że dzięki wprowadzeniu projektowanych rozwiązań usprawniony zostanie proces wymiany kluczowych informacji między pracowniczymi funduszami, organami nadzoru i EIOPA, </w:t>
      </w:r>
      <w:r w:rsidR="00ED7DB8">
        <w:t xml:space="preserve">uczestnicy pracowniczych programów emerytalnych uzyskają dostęp do bardziej zrozumiałej, kompleksowej informacji na temat ich uprawnień, </w:t>
      </w:r>
      <w:r w:rsidRPr="001F5FFE">
        <w:t>poprawi się poz</w:t>
      </w:r>
      <w:r w:rsidR="00B34577">
        <w:t>iom bezpieczeństwa inwestycji w</w:t>
      </w:r>
      <w:r w:rsidR="00F44ECF">
        <w:t xml:space="preserve"> </w:t>
      </w:r>
      <w:r w:rsidRPr="001F5FFE">
        <w:t>związku z</w:t>
      </w:r>
      <w:r w:rsidR="005F79CC">
        <w:t> </w:t>
      </w:r>
      <w:r w:rsidRPr="001F5FFE">
        <w:t xml:space="preserve">wprowadzeniem odpowiedniej polityki wynagrodzeń oraz zasad polityki inwestycyjnej, a także </w:t>
      </w:r>
      <w:r w:rsidR="00952E05">
        <w:t>zwiększy się</w:t>
      </w:r>
      <w:r w:rsidR="004D3EE8">
        <w:t xml:space="preserve"> </w:t>
      </w:r>
      <w:r w:rsidRPr="001F5FFE">
        <w:t>mobilność pracowników, dzięki umożliwieniu pracowniczym funduszom emerytalnym prowadzenia działalności transgranicznej.</w:t>
      </w:r>
    </w:p>
    <w:p w:rsidR="001F5FFE" w:rsidRPr="001F5FFE" w:rsidRDefault="00A608AE" w:rsidP="00F44ECF">
      <w:pPr>
        <w:numPr>
          <w:ilvl w:val="0"/>
          <w:numId w:val="15"/>
        </w:numPr>
        <w:spacing w:before="60" w:after="60" w:line="360" w:lineRule="auto"/>
        <w:ind w:left="426" w:hanging="357"/>
        <w:jc w:val="both"/>
        <w:rPr>
          <w:b/>
        </w:rPr>
      </w:pPr>
      <w:r>
        <w:rPr>
          <w:b/>
        </w:rPr>
        <w:t>Wpływ projektowanych zmian na mikro-, małych i średnich przedsiębiorców</w:t>
      </w:r>
    </w:p>
    <w:p w:rsidR="00B416D0" w:rsidRDefault="00A608AE" w:rsidP="00F44ECF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 w:rsidRPr="00A608AE">
        <w:rPr>
          <w:sz w:val="24"/>
          <w:szCs w:val="24"/>
        </w:rPr>
        <w:t xml:space="preserve">Proponowane rozwiązania pozostają bez wpływu </w:t>
      </w:r>
      <w:r>
        <w:rPr>
          <w:sz w:val="24"/>
          <w:szCs w:val="24"/>
        </w:rPr>
        <w:t>na konkurencyjność gospodarki i</w:t>
      </w:r>
      <w:r w:rsidR="005F79CC">
        <w:rPr>
          <w:sz w:val="24"/>
          <w:szCs w:val="24"/>
        </w:rPr>
        <w:t> </w:t>
      </w:r>
      <w:r w:rsidR="007139F7">
        <w:rPr>
          <w:sz w:val="24"/>
          <w:szCs w:val="24"/>
        </w:rPr>
        <w:t xml:space="preserve">przedsiębiorczość. Mają jednak wpływ </w:t>
      </w:r>
      <w:r w:rsidRPr="00A608AE">
        <w:rPr>
          <w:sz w:val="24"/>
          <w:szCs w:val="24"/>
        </w:rPr>
        <w:t>na działalność mikro-, małych i średnich przedsiębiorstw</w:t>
      </w:r>
      <w:r w:rsidR="007139F7">
        <w:rPr>
          <w:sz w:val="24"/>
          <w:szCs w:val="24"/>
        </w:rPr>
        <w:t>, jakimi są działające na polskim rynku pracownicze towarzystwa emerytalne.</w:t>
      </w:r>
    </w:p>
    <w:p w:rsidR="001F1154" w:rsidRDefault="00B416D0" w:rsidP="00F44ECF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Rozwiązania </w:t>
      </w:r>
      <w:r w:rsidR="001F1154">
        <w:rPr>
          <w:sz w:val="24"/>
          <w:szCs w:val="24"/>
        </w:rPr>
        <w:t xml:space="preserve">przedstawione </w:t>
      </w:r>
      <w:r>
        <w:rPr>
          <w:sz w:val="24"/>
          <w:szCs w:val="24"/>
        </w:rPr>
        <w:t>w projektowanej ustawie</w:t>
      </w:r>
      <w:r w:rsidR="00A608AE" w:rsidRPr="00A608AE">
        <w:rPr>
          <w:sz w:val="24"/>
          <w:szCs w:val="24"/>
        </w:rPr>
        <w:t xml:space="preserve"> </w:t>
      </w:r>
      <w:r w:rsidR="003A38E4">
        <w:rPr>
          <w:sz w:val="24"/>
          <w:szCs w:val="24"/>
        </w:rPr>
        <w:t xml:space="preserve">mogą </w:t>
      </w:r>
      <w:r w:rsidR="004658FC">
        <w:rPr>
          <w:sz w:val="24"/>
          <w:szCs w:val="24"/>
        </w:rPr>
        <w:t xml:space="preserve">spowodować wzrost </w:t>
      </w:r>
      <w:r w:rsidR="00A608AE" w:rsidRPr="00A608AE">
        <w:rPr>
          <w:sz w:val="24"/>
          <w:szCs w:val="24"/>
        </w:rPr>
        <w:t>obciążeń dla pracodawców</w:t>
      </w:r>
      <w:r>
        <w:rPr>
          <w:sz w:val="24"/>
          <w:szCs w:val="24"/>
        </w:rPr>
        <w:t xml:space="preserve"> oraz pracowniczych </w:t>
      </w:r>
      <w:r w:rsidR="007139F7">
        <w:rPr>
          <w:sz w:val="24"/>
          <w:szCs w:val="24"/>
        </w:rPr>
        <w:t xml:space="preserve">towarzystw </w:t>
      </w:r>
      <w:r>
        <w:rPr>
          <w:sz w:val="24"/>
          <w:szCs w:val="24"/>
        </w:rPr>
        <w:t>emerytalnych</w:t>
      </w:r>
      <w:r w:rsidR="00A608AE" w:rsidRPr="00A608AE">
        <w:rPr>
          <w:sz w:val="24"/>
          <w:szCs w:val="24"/>
        </w:rPr>
        <w:t>, ponieważ</w:t>
      </w:r>
      <w:r w:rsidR="004658FC">
        <w:rPr>
          <w:sz w:val="24"/>
          <w:szCs w:val="24"/>
        </w:rPr>
        <w:t xml:space="preserve"> </w:t>
      </w:r>
      <w:r w:rsidR="003A38E4">
        <w:rPr>
          <w:sz w:val="24"/>
          <w:szCs w:val="24"/>
        </w:rPr>
        <w:t>nakładają – w związku z</w:t>
      </w:r>
      <w:r w:rsidR="00F44ECF">
        <w:rPr>
          <w:sz w:val="24"/>
          <w:szCs w:val="24"/>
        </w:rPr>
        <w:t xml:space="preserve"> </w:t>
      </w:r>
      <w:r w:rsidR="003A38E4">
        <w:rPr>
          <w:sz w:val="24"/>
          <w:szCs w:val="24"/>
        </w:rPr>
        <w:t>wymaganiami UE – obowiązek wprowadzenia systemu zarządzania działalnością oraz kluczowych funkcji – dotychczas nieobecny w polskim prawie. W</w:t>
      </w:r>
      <w:r w:rsidR="00F44ECF">
        <w:rPr>
          <w:sz w:val="24"/>
          <w:szCs w:val="24"/>
        </w:rPr>
        <w:t xml:space="preserve"> </w:t>
      </w:r>
      <w:r w:rsidR="003A38E4">
        <w:rPr>
          <w:sz w:val="24"/>
          <w:szCs w:val="24"/>
        </w:rPr>
        <w:t xml:space="preserve">odniesieniu do obowiązków informacyjnych nowelizacja </w:t>
      </w:r>
      <w:r w:rsidR="004658FC">
        <w:rPr>
          <w:sz w:val="24"/>
          <w:szCs w:val="24"/>
        </w:rPr>
        <w:t xml:space="preserve">rozszerza zakres </w:t>
      </w:r>
      <w:r w:rsidR="001F1154" w:rsidRPr="00A608AE">
        <w:rPr>
          <w:sz w:val="24"/>
          <w:szCs w:val="24"/>
        </w:rPr>
        <w:t>informacji</w:t>
      </w:r>
      <w:r w:rsidR="001F1154">
        <w:rPr>
          <w:sz w:val="24"/>
          <w:szCs w:val="24"/>
        </w:rPr>
        <w:t xml:space="preserve"> </w:t>
      </w:r>
      <w:r w:rsidR="004658FC">
        <w:rPr>
          <w:sz w:val="24"/>
          <w:szCs w:val="24"/>
        </w:rPr>
        <w:t>przekazywanych</w:t>
      </w:r>
      <w:r w:rsidR="00A608AE" w:rsidRPr="00A608AE">
        <w:rPr>
          <w:sz w:val="24"/>
          <w:szCs w:val="24"/>
        </w:rPr>
        <w:t xml:space="preserve"> p</w:t>
      </w:r>
      <w:r>
        <w:rPr>
          <w:sz w:val="24"/>
          <w:szCs w:val="24"/>
        </w:rPr>
        <w:t>racownikom</w:t>
      </w:r>
      <w:r w:rsidR="004658FC">
        <w:rPr>
          <w:sz w:val="24"/>
          <w:szCs w:val="24"/>
        </w:rPr>
        <w:t xml:space="preserve"> przez praco</w:t>
      </w:r>
      <w:r w:rsidR="001F1154">
        <w:rPr>
          <w:sz w:val="24"/>
          <w:szCs w:val="24"/>
        </w:rPr>
        <w:t>dawców i</w:t>
      </w:r>
      <w:r w:rsidR="00F44ECF">
        <w:rPr>
          <w:sz w:val="24"/>
          <w:szCs w:val="24"/>
        </w:rPr>
        <w:t xml:space="preserve"> </w:t>
      </w:r>
      <w:r w:rsidR="001F1154">
        <w:rPr>
          <w:sz w:val="24"/>
          <w:szCs w:val="24"/>
        </w:rPr>
        <w:t>zarządzających pracowniczymi programa</w:t>
      </w:r>
      <w:r w:rsidR="003A38E4">
        <w:rPr>
          <w:sz w:val="24"/>
          <w:szCs w:val="24"/>
        </w:rPr>
        <w:t>mi emerytalnymi.</w:t>
      </w:r>
    </w:p>
    <w:p w:rsidR="004658FC" w:rsidRDefault="004658FC" w:rsidP="00F44ECF">
      <w:pPr>
        <w:pStyle w:val="Akapitzlist"/>
        <w:spacing w:before="60" w:after="6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Realizacja tych obowiązków może </w:t>
      </w:r>
      <w:r w:rsidR="003A38E4">
        <w:rPr>
          <w:sz w:val="24"/>
          <w:szCs w:val="24"/>
        </w:rPr>
        <w:t xml:space="preserve">zatem </w:t>
      </w:r>
      <w:r>
        <w:rPr>
          <w:sz w:val="24"/>
          <w:szCs w:val="24"/>
        </w:rPr>
        <w:t>w</w:t>
      </w:r>
      <w:r w:rsidR="003A38E4">
        <w:rPr>
          <w:sz w:val="24"/>
          <w:szCs w:val="24"/>
        </w:rPr>
        <w:t>iąza</w:t>
      </w:r>
      <w:r>
        <w:rPr>
          <w:sz w:val="24"/>
          <w:szCs w:val="24"/>
        </w:rPr>
        <w:t>ć</w:t>
      </w:r>
      <w:r w:rsidR="003A38E4">
        <w:rPr>
          <w:sz w:val="24"/>
          <w:szCs w:val="24"/>
        </w:rPr>
        <w:t xml:space="preserve"> się z koniecznością</w:t>
      </w:r>
      <w:r>
        <w:rPr>
          <w:sz w:val="24"/>
          <w:szCs w:val="24"/>
        </w:rPr>
        <w:t xml:space="preserve"> zaangażowania</w:t>
      </w:r>
      <w:r w:rsidR="001F1154">
        <w:rPr>
          <w:sz w:val="24"/>
          <w:szCs w:val="24"/>
        </w:rPr>
        <w:t xml:space="preserve"> przez pracownicze towarzystwa</w:t>
      </w:r>
      <w:r>
        <w:rPr>
          <w:sz w:val="24"/>
          <w:szCs w:val="24"/>
        </w:rPr>
        <w:t xml:space="preserve"> </w:t>
      </w:r>
      <w:r w:rsidR="001F1154">
        <w:rPr>
          <w:sz w:val="24"/>
          <w:szCs w:val="24"/>
        </w:rPr>
        <w:t xml:space="preserve">nowych </w:t>
      </w:r>
      <w:r>
        <w:rPr>
          <w:sz w:val="24"/>
          <w:szCs w:val="24"/>
        </w:rPr>
        <w:t>pracowników</w:t>
      </w:r>
      <w:r w:rsidR="009128F9">
        <w:rPr>
          <w:sz w:val="24"/>
          <w:szCs w:val="24"/>
        </w:rPr>
        <w:t xml:space="preserve"> oraz wprowadzeniem dodatkowych procedur i dokumentów.</w:t>
      </w:r>
    </w:p>
    <w:p w:rsidR="00806B45" w:rsidRPr="00806B45" w:rsidRDefault="00562F90" w:rsidP="00F44ECF">
      <w:pPr>
        <w:pStyle w:val="Akapitzlist"/>
        <w:numPr>
          <w:ilvl w:val="0"/>
          <w:numId w:val="15"/>
        </w:numPr>
        <w:spacing w:before="60" w:after="60" w:line="360" w:lineRule="auto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Data wejścia w życie</w:t>
      </w:r>
    </w:p>
    <w:p w:rsidR="009128F9" w:rsidRDefault="000F357E" w:rsidP="00F44ECF">
      <w:pPr>
        <w:spacing w:before="60" w:after="60" w:line="360" w:lineRule="auto"/>
        <w:jc w:val="both"/>
      </w:pPr>
      <w:r>
        <w:t>Proponuje się</w:t>
      </w:r>
      <w:r w:rsidR="00562F90">
        <w:t>,</w:t>
      </w:r>
      <w:r>
        <w:t xml:space="preserve"> </w:t>
      </w:r>
      <w:r w:rsidR="00105D81">
        <w:t>a</w:t>
      </w:r>
      <w:r>
        <w:t>by proje</w:t>
      </w:r>
      <w:r w:rsidR="006B1097">
        <w:t xml:space="preserve">ktowana ustawa </w:t>
      </w:r>
      <w:r w:rsidR="00952E05">
        <w:t>weszła w życie w po upływie</w:t>
      </w:r>
      <w:r w:rsidR="006B1097">
        <w:t xml:space="preserve"> </w:t>
      </w:r>
      <w:r w:rsidR="00300E19">
        <w:t>14 dni od dnia</w:t>
      </w:r>
      <w:r w:rsidR="00F44ECF">
        <w:t xml:space="preserve"> </w:t>
      </w:r>
      <w:r w:rsidR="00443CF7">
        <w:t>ogłoszenia, z zastrzeżeniem, że p</w:t>
      </w:r>
      <w:r w:rsidR="00FF54C5">
        <w:t xml:space="preserve">rzepisy nakładające na </w:t>
      </w:r>
      <w:r w:rsidR="00443CF7">
        <w:t>podmioty nowe obowiązki wejdą w</w:t>
      </w:r>
      <w:r w:rsidR="00F44ECF">
        <w:t xml:space="preserve"> </w:t>
      </w:r>
      <w:r w:rsidR="00FF54C5">
        <w:t>ży</w:t>
      </w:r>
      <w:r w:rsidR="001F1154">
        <w:t>cie po upływi</w:t>
      </w:r>
      <w:r w:rsidR="00173EBE">
        <w:t>e 6</w:t>
      </w:r>
      <w:r w:rsidR="00F44ECF">
        <w:t xml:space="preserve"> </w:t>
      </w:r>
      <w:r w:rsidR="00FF54C5">
        <w:t>miesi</w:t>
      </w:r>
      <w:r w:rsidR="009128F9">
        <w:t>ęcy od dnia ogłoszenia ustawy.</w:t>
      </w:r>
    </w:p>
    <w:p w:rsidR="009128F9" w:rsidRDefault="009128F9" w:rsidP="00F44ECF">
      <w:pPr>
        <w:spacing w:before="60" w:after="60" w:line="360" w:lineRule="auto"/>
        <w:jc w:val="both"/>
      </w:pPr>
      <w:r>
        <w:t>Rozwiązania powyższe mają na celu umożliwienie podmiotom, na które będzie oddziaływać ustawa – w szczególności mikroprzedsiębiorstwom</w:t>
      </w:r>
      <w:r w:rsidR="00105D81">
        <w:t>,</w:t>
      </w:r>
      <w:r>
        <w:t xml:space="preserve"> jakimi są działające na polskim rynku pracownicze fundusze emerytalne – przygotowanie się do wypełniania nowych obowiązków.</w:t>
      </w:r>
    </w:p>
    <w:p w:rsidR="00443CF7" w:rsidRDefault="00443CF7" w:rsidP="00F44ECF">
      <w:pPr>
        <w:spacing w:before="60" w:after="60" w:line="360" w:lineRule="auto"/>
        <w:jc w:val="both"/>
      </w:pPr>
      <w:r>
        <w:t xml:space="preserve">Należy zauważyć, że dyrektywa 2016/2341 w art. 64 określiła termin na transpozycję, wskazując, że do dnia 13 stycznia 2019 r. państwa członkowskie wprowadzają w życie </w:t>
      </w:r>
      <w:r>
        <w:lastRenderedPageBreak/>
        <w:t>przepisy ustawowe, wykonawcze i administracyjne niezbędne do wykonania niniejszej dyrektywy. Zasadniczo zatem transponowane przepisy krajowe powinny wejść w</w:t>
      </w:r>
      <w:r w:rsidR="00F44ECF">
        <w:t xml:space="preserve"> </w:t>
      </w:r>
      <w:r>
        <w:t>życie do dnia 13 stycznia 2019 r.</w:t>
      </w:r>
      <w:r w:rsidR="008C0D7D">
        <w:t xml:space="preserve"> </w:t>
      </w:r>
      <w:r>
        <w:t>Potencjalne wydłużenie terminu wejścia w życie przepisów nakładających na podmioty nowe obowiązki oznaczałoby, że faktycznie dyrektywa nie byłaby respektowana. Z</w:t>
      </w:r>
      <w:r w:rsidR="00F44ECF">
        <w:t xml:space="preserve"> </w:t>
      </w:r>
      <w:r>
        <w:t xml:space="preserve">uwagi na fakt, że transpozycja dyrektywy nie została zrealizowana w terminie, </w:t>
      </w:r>
      <w:r w:rsidRPr="00443CF7">
        <w:rPr>
          <w:i/>
        </w:rPr>
        <w:t>vacatio legis</w:t>
      </w:r>
      <w:r>
        <w:t xml:space="preserve"> powinn</w:t>
      </w:r>
      <w:r w:rsidR="00105D81">
        <w:t>a</w:t>
      </w:r>
      <w:r>
        <w:t xml:space="preserve"> być możliwie najkrótsz</w:t>
      </w:r>
      <w:r w:rsidR="00105D81">
        <w:t>a</w:t>
      </w:r>
      <w:r>
        <w:t>.</w:t>
      </w:r>
    </w:p>
    <w:p w:rsidR="00806B45" w:rsidRPr="00806B45" w:rsidRDefault="00806B45" w:rsidP="00F44ECF">
      <w:pPr>
        <w:pStyle w:val="Akapitzlist"/>
        <w:numPr>
          <w:ilvl w:val="0"/>
          <w:numId w:val="15"/>
        </w:numPr>
        <w:spacing w:before="60" w:after="60" w:line="360" w:lineRule="auto"/>
        <w:ind w:left="426"/>
        <w:jc w:val="both"/>
        <w:rPr>
          <w:b/>
          <w:sz w:val="24"/>
          <w:szCs w:val="24"/>
        </w:rPr>
      </w:pPr>
      <w:r w:rsidRPr="00806B45">
        <w:rPr>
          <w:b/>
          <w:sz w:val="24"/>
          <w:szCs w:val="24"/>
        </w:rPr>
        <w:t>Info</w:t>
      </w:r>
      <w:r>
        <w:rPr>
          <w:b/>
          <w:sz w:val="24"/>
          <w:szCs w:val="24"/>
        </w:rPr>
        <w:t>r</w:t>
      </w:r>
      <w:r w:rsidR="006B1097">
        <w:rPr>
          <w:b/>
          <w:sz w:val="24"/>
          <w:szCs w:val="24"/>
        </w:rPr>
        <w:t>macja na temat</w:t>
      </w:r>
      <w:r w:rsidRPr="00806B45">
        <w:rPr>
          <w:b/>
          <w:sz w:val="24"/>
          <w:szCs w:val="24"/>
        </w:rPr>
        <w:t xml:space="preserve"> konieczności notyfikacji o</w:t>
      </w:r>
      <w:r w:rsidR="008928C4">
        <w:rPr>
          <w:b/>
          <w:sz w:val="24"/>
          <w:szCs w:val="24"/>
        </w:rPr>
        <w:t>raz przeprowadzonych</w:t>
      </w:r>
      <w:r w:rsidR="0056673A">
        <w:rPr>
          <w:b/>
          <w:sz w:val="24"/>
          <w:szCs w:val="24"/>
        </w:rPr>
        <w:t xml:space="preserve"> konsultacji</w:t>
      </w:r>
    </w:p>
    <w:p w:rsidR="009D7CB1" w:rsidRDefault="008928C4" w:rsidP="00F44ECF">
      <w:pPr>
        <w:spacing w:before="60" w:after="60" w:line="360" w:lineRule="auto"/>
        <w:jc w:val="both"/>
      </w:pPr>
      <w:r>
        <w:t>P</w:t>
      </w:r>
      <w:r w:rsidR="009D7CB1">
        <w:t>rzedmiot projektowanej regulacji nie jest sprzeczny z</w:t>
      </w:r>
      <w:r w:rsidR="00F44ECF">
        <w:t xml:space="preserve"> </w:t>
      </w:r>
      <w:r w:rsidR="009D7CB1">
        <w:t>prawem Unii Eur</w:t>
      </w:r>
      <w:r w:rsidR="00BD5174">
        <w:t>opejskiej. Projekt nie zawiera przepisów technicznych w rozumieniu rozporządzenia Rady Ministrów z</w:t>
      </w:r>
      <w:r w:rsidR="00F44ECF">
        <w:t xml:space="preserve"> </w:t>
      </w:r>
      <w:r w:rsidR="00BD5174">
        <w:t>dnia 23 grudnia 2002 r. w sprawie funkcjonowania krajowego systemu notyfikacji norm i</w:t>
      </w:r>
      <w:r w:rsidR="00F44ECF">
        <w:t xml:space="preserve"> </w:t>
      </w:r>
      <w:r w:rsidR="00BD5174">
        <w:t xml:space="preserve">aktów prawnych (Dz. U. poz. 2039 oraz z 2004 r. poz. 597), dlatego </w:t>
      </w:r>
      <w:r w:rsidR="009D7CB1">
        <w:t>nie podlega procedurze notyfikacji</w:t>
      </w:r>
      <w:r w:rsidR="00BD5174">
        <w:t>.</w:t>
      </w:r>
      <w:r w:rsidR="009D7CB1">
        <w:t xml:space="preserve"> </w:t>
      </w:r>
    </w:p>
    <w:p w:rsidR="00A608AE" w:rsidRPr="00952E05" w:rsidRDefault="009D7CB1" w:rsidP="00F44ECF">
      <w:pPr>
        <w:spacing w:before="60" w:after="60" w:line="360" w:lineRule="auto"/>
        <w:jc w:val="both"/>
      </w:pPr>
      <w:r>
        <w:t xml:space="preserve">Zgodnie z § 27 ust. 4 uchwały nr 190 Rady Ministrów z dnia 29 października 2013 r. – </w:t>
      </w:r>
      <w:r w:rsidRPr="00952E05">
        <w:t xml:space="preserve">Regulamin pracy Rady Ministrów </w:t>
      </w:r>
      <w:r w:rsidR="00A2477F" w:rsidRPr="00952E05">
        <w:t>(M.P. z 2016 r. poz. 1006</w:t>
      </w:r>
      <w:r w:rsidR="005C131B" w:rsidRPr="00952E05">
        <w:t>,</w:t>
      </w:r>
      <w:r w:rsidR="00A2477F" w:rsidRPr="00952E05">
        <w:t xml:space="preserve"> z późn. zm.</w:t>
      </w:r>
      <w:r w:rsidRPr="00952E05">
        <w:t>) projekt nie podlega opinii właściwych instytucji i organów Unii Europejskiej, w tym Europejskiego Banku Centralnego.</w:t>
      </w:r>
    </w:p>
    <w:p w:rsidR="00BA0119" w:rsidRDefault="009D7CB1" w:rsidP="00F44ECF">
      <w:pPr>
        <w:spacing w:before="60" w:after="60" w:line="360" w:lineRule="auto"/>
        <w:jc w:val="both"/>
      </w:pPr>
      <w:r w:rsidRPr="00952E05">
        <w:t xml:space="preserve">Zgodnie z ustawą z dnia 7 lipca 2005 r. o działalności lobbingowej w procesie stanowienia prawa (Dz. U. z 2017 r. poz. 248) oraz § 52 </w:t>
      </w:r>
      <w:r w:rsidR="00057E65" w:rsidRPr="00952E05">
        <w:t>uchwały nr 190 Rady Ministrów z</w:t>
      </w:r>
      <w:r w:rsidR="00F44ECF">
        <w:t xml:space="preserve"> </w:t>
      </w:r>
      <w:r w:rsidR="00057E65" w:rsidRPr="00952E05">
        <w:t>dnia 29 października 2013 r. – Regulamin pracy Rady Ministrów</w:t>
      </w:r>
      <w:r w:rsidR="00057E65">
        <w:t xml:space="preserve">, </w:t>
      </w:r>
      <w:r w:rsidR="006125A0">
        <w:t>projekt został</w:t>
      </w:r>
      <w:r>
        <w:t xml:space="preserve"> zamieszczony w Biuletynie Informacji Publiczne</w:t>
      </w:r>
      <w:r w:rsidR="005F79CC">
        <w:t>j Ministerstwa Rodziny, Pracy i </w:t>
      </w:r>
      <w:r>
        <w:t xml:space="preserve">Polityki Społecznej oraz na stronie podmiotowej </w:t>
      </w:r>
      <w:r w:rsidR="00057E65">
        <w:t>Rządowego Centrum Legislacji, w</w:t>
      </w:r>
      <w:r w:rsidR="005F79CC">
        <w:t> </w:t>
      </w:r>
      <w:r>
        <w:t>serwi</w:t>
      </w:r>
      <w:r w:rsidR="00455E47">
        <w:t xml:space="preserve">sie </w:t>
      </w:r>
      <w:r w:rsidR="006125A0">
        <w:t>Rządowy Proces Legislacyjny, a także</w:t>
      </w:r>
      <w:r w:rsidR="00455E47">
        <w:t xml:space="preserve"> skierowany do uzgodnień międzyresort</w:t>
      </w:r>
      <w:r w:rsidR="000C7FAF">
        <w:t xml:space="preserve">owych i konsultacji społecznych </w:t>
      </w:r>
      <w:r w:rsidR="000C7FAF" w:rsidRPr="000C7FAF">
        <w:t>z reprezentatywnymi organizacjami pra</w:t>
      </w:r>
      <w:r w:rsidR="000C7FAF">
        <w:t>codawców, związków zawodowych i</w:t>
      </w:r>
      <w:r w:rsidR="00F44ECF">
        <w:t xml:space="preserve"> </w:t>
      </w:r>
      <w:r w:rsidR="000C7FAF" w:rsidRPr="000C7FAF">
        <w:t>organizacji branżowych oraz pod obrady Rady Dialogu Społecznego.</w:t>
      </w:r>
    </w:p>
    <w:p w:rsidR="000836C7" w:rsidRDefault="002745B4" w:rsidP="00F44ECF">
      <w:pPr>
        <w:spacing w:before="60" w:after="60" w:line="360" w:lineRule="auto"/>
        <w:jc w:val="both"/>
      </w:pPr>
      <w:r>
        <w:t>W toku uzgodnień międzyresortowych uwagi zgłosiły: Rządowe Centrum Legislacji, Ministerstwo Sprawiedliwości, Ministerstwo Finansów, Komisja Nadzoru Finansowego i</w:t>
      </w:r>
      <w:r w:rsidR="00F44ECF">
        <w:t xml:space="preserve"> </w:t>
      </w:r>
      <w:r>
        <w:t xml:space="preserve">Ministerstwo Spraw Zagranicznych. </w:t>
      </w:r>
    </w:p>
    <w:p w:rsidR="00DC6402" w:rsidRDefault="000836C7" w:rsidP="00F44ECF">
      <w:pPr>
        <w:spacing w:before="60" w:after="60" w:line="360" w:lineRule="auto"/>
        <w:jc w:val="both"/>
      </w:pPr>
      <w:r>
        <w:t>Ministerstwo</w:t>
      </w:r>
      <w:r w:rsidR="00B03FB5">
        <w:t xml:space="preserve"> Spraw Wewnętrznych i Administracji, </w:t>
      </w:r>
      <w:r w:rsidR="002745B4">
        <w:t>Narodowy Bank Polski oraz Rzecznik Finansowy w</w:t>
      </w:r>
      <w:r w:rsidR="00F44ECF">
        <w:t xml:space="preserve"> </w:t>
      </w:r>
      <w:r w:rsidR="002745B4">
        <w:t>przes</w:t>
      </w:r>
      <w:r>
        <w:t>łanych stanowiskach nie zgłosili</w:t>
      </w:r>
      <w:r w:rsidR="002745B4">
        <w:t xml:space="preserve"> uwag</w:t>
      </w:r>
      <w:r w:rsidR="00DC6402">
        <w:t xml:space="preserve">, pozostałe </w:t>
      </w:r>
      <w:r w:rsidR="00DC6402">
        <w:lastRenderedPageBreak/>
        <w:t>podmioty nie zajęły stanowiska</w:t>
      </w:r>
      <w:r w:rsidR="002745B4">
        <w:t>.</w:t>
      </w:r>
      <w:r w:rsidR="00DC6402">
        <w:t xml:space="preserve"> Szczegółowa treść uwag oraz ustosunkowanie się do nich MRPiPS zostały przedstawione w</w:t>
      </w:r>
      <w:r w:rsidR="00F44ECF">
        <w:t xml:space="preserve"> </w:t>
      </w:r>
      <w:r w:rsidR="00DC6402">
        <w:t xml:space="preserve">tabeli </w:t>
      </w:r>
      <w:r w:rsidR="00DC6402" w:rsidRPr="00DC6402">
        <w:rPr>
          <w:i/>
        </w:rPr>
        <w:t>Wyniki uzgodnień międzyresortowych</w:t>
      </w:r>
      <w:r w:rsidR="00DC6402">
        <w:t>.</w:t>
      </w:r>
    </w:p>
    <w:p w:rsidR="00C40E3A" w:rsidRDefault="000836C7" w:rsidP="00F44ECF">
      <w:pPr>
        <w:spacing w:before="60" w:after="60" w:line="360" w:lineRule="auto"/>
        <w:jc w:val="both"/>
      </w:pPr>
      <w:r>
        <w:t>Wystąpiono także o dodatkowe opinie</w:t>
      </w:r>
      <w:r w:rsidR="00C40E3A">
        <w:t xml:space="preserve"> do Prezesa Urzędu Ochrony Danych Osobowych, pod kątem zgodności projektowanych przepisów z przepisami ogólnego rozporządzenia o ochronie danych osobowych.</w:t>
      </w:r>
    </w:p>
    <w:p w:rsidR="006C60B3" w:rsidRDefault="00DC6402" w:rsidP="00F44ECF">
      <w:pPr>
        <w:spacing w:before="60" w:after="60" w:line="360" w:lineRule="auto"/>
        <w:jc w:val="both"/>
      </w:pPr>
      <w:r>
        <w:t>W toku konsultacji społecznych uwagi zgłosiły: Izba Zarządzających Funduszami i</w:t>
      </w:r>
      <w:r w:rsidR="005F79CC">
        <w:t> </w:t>
      </w:r>
      <w:r>
        <w:t xml:space="preserve">Aktywami, Pracodawcy RP, NSZZ Solidarność, PTE </w:t>
      </w:r>
      <w:r w:rsidRPr="00DC6402">
        <w:rPr>
          <w:i/>
        </w:rPr>
        <w:t>Nowy Świat</w:t>
      </w:r>
      <w:r>
        <w:t xml:space="preserve"> oraz PTE </w:t>
      </w:r>
      <w:r w:rsidRPr="00DC6402">
        <w:rPr>
          <w:i/>
        </w:rPr>
        <w:t>Orange Polska</w:t>
      </w:r>
      <w:r w:rsidR="00F44ECF">
        <w:rPr>
          <w:i/>
        </w:rPr>
        <w:t xml:space="preserve"> </w:t>
      </w:r>
      <w:r w:rsidRPr="00DC6402">
        <w:rPr>
          <w:i/>
        </w:rPr>
        <w:t>SA</w:t>
      </w:r>
      <w:r>
        <w:t>.</w:t>
      </w:r>
      <w:r w:rsidR="006C60B3">
        <w:t xml:space="preserve"> Pozostałe podmioty uwzględnione w procesie konsultacji nie zajęły stanowiska. Szczegółowa treść uwag oraz ustosunkowanie się do nich MRPiPS zostały przedstawione w</w:t>
      </w:r>
      <w:r w:rsidR="00F44ECF">
        <w:t xml:space="preserve"> </w:t>
      </w:r>
      <w:r w:rsidR="006C60B3">
        <w:t xml:space="preserve">tabeli </w:t>
      </w:r>
      <w:r w:rsidR="006C60B3" w:rsidRPr="00DC6402">
        <w:rPr>
          <w:i/>
        </w:rPr>
        <w:t>Wyniki</w:t>
      </w:r>
      <w:r w:rsidR="006C60B3">
        <w:rPr>
          <w:i/>
        </w:rPr>
        <w:t xml:space="preserve"> konsultacji społecznych</w:t>
      </w:r>
      <w:r w:rsidR="006C60B3">
        <w:t>.</w:t>
      </w:r>
    </w:p>
    <w:p w:rsidR="00DC6402" w:rsidRDefault="00534017" w:rsidP="00F44ECF">
      <w:pPr>
        <w:spacing w:before="60" w:after="60" w:line="360" w:lineRule="auto"/>
        <w:jc w:val="both"/>
      </w:pPr>
      <w:r>
        <w:t xml:space="preserve">W toku konsultacji i uzgodnień nie wpłynęło żadne stanowisko w trybie przewidzianym przepisami ustawy </w:t>
      </w:r>
      <w:r w:rsidRPr="00686D34">
        <w:rPr>
          <w:i/>
        </w:rPr>
        <w:t>o działalności lobbingowej w procesie stanowienia prawa</w:t>
      </w:r>
      <w:r>
        <w:t>.</w:t>
      </w:r>
    </w:p>
    <w:p w:rsidR="009128F9" w:rsidRDefault="00101B0F" w:rsidP="00F44ECF">
      <w:pPr>
        <w:spacing w:before="60" w:after="60" w:line="360" w:lineRule="auto"/>
        <w:jc w:val="both"/>
      </w:pPr>
      <w:r>
        <w:t>W dniach 27</w:t>
      </w:r>
      <w:r w:rsidR="00105D81">
        <w:t xml:space="preserve"> i </w:t>
      </w:r>
      <w:r>
        <w:t xml:space="preserve">28 listopada 2018 </w:t>
      </w:r>
      <w:r w:rsidR="009128F9">
        <w:t>r. miała miejsce konferencja uzgodnieniowa</w:t>
      </w:r>
      <w:r w:rsidR="00F65910">
        <w:t>, po której nastąpiły konsultacje robocze, w trakcie których</w:t>
      </w:r>
      <w:r w:rsidR="009128F9">
        <w:t xml:space="preserve"> ostatecznie uzgodniono projekt.</w:t>
      </w:r>
    </w:p>
    <w:p w:rsidR="005F79CC" w:rsidRDefault="00DF3BAB" w:rsidP="00105D81">
      <w:pPr>
        <w:spacing w:before="60" w:after="60" w:line="360" w:lineRule="auto"/>
        <w:jc w:val="both"/>
      </w:pPr>
      <w:r>
        <w:t>Dnia 2 stycznia 2019 r. projekt został skierowany pod obrady</w:t>
      </w:r>
      <w:r w:rsidR="00ED7DB8">
        <w:t xml:space="preserve"> Komitetu do Spraw Europejskich, który przyjął przedmiotowy projekt w dniu 23 stycznia 2019 r. i</w:t>
      </w:r>
      <w:r w:rsidR="005F79CC">
        <w:t> </w:t>
      </w:r>
      <w:r w:rsidR="00ED7DB8">
        <w:t xml:space="preserve">rekomendował go do przyjęcia przez </w:t>
      </w:r>
      <w:r w:rsidR="00105D81">
        <w:t>S</w:t>
      </w:r>
      <w:r w:rsidR="00ED7DB8">
        <w:t>tały Komitet Rady Ministrów.</w:t>
      </w:r>
      <w:r w:rsidR="000836C7">
        <w:t xml:space="preserve"> Komitet Rady Ministrów omówił projekt w dniu 14 lutego 2019 r. i skierował go do rozpatrzenia przez Komisję Prawniczą, po której zosta</w:t>
      </w:r>
      <w:r w:rsidR="00AC3E31">
        <w:t>ł</w:t>
      </w:r>
      <w:r w:rsidR="000836C7">
        <w:t xml:space="preserve"> </w:t>
      </w:r>
      <w:r w:rsidR="00132E23">
        <w:t xml:space="preserve">on </w:t>
      </w:r>
      <w:r w:rsidR="000836C7">
        <w:t xml:space="preserve">rozesłany do potwierdzenia w trybie obiegowym członkom </w:t>
      </w:r>
      <w:r w:rsidR="00105D81">
        <w:t>S</w:t>
      </w:r>
      <w:r w:rsidR="000836C7">
        <w:t>tałego Komitetu Rady Ministrów.</w:t>
      </w:r>
    </w:p>
    <w:sectPr w:rsidR="005F79CC" w:rsidSect="00F44ECF">
      <w:footerReference w:type="even" r:id="rId8"/>
      <w:footerReference w:type="default" r:id="rId9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5AB" w:rsidRDefault="006615AB">
      <w:r>
        <w:separator/>
      </w:r>
    </w:p>
  </w:endnote>
  <w:endnote w:type="continuationSeparator" w:id="0">
    <w:p w:rsidR="006615AB" w:rsidRDefault="0066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494" w:rsidRDefault="00161494" w:rsidP="00C5617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44ECF">
      <w:rPr>
        <w:rStyle w:val="Numerstrony"/>
        <w:noProof/>
      </w:rPr>
      <w:t>18</w:t>
    </w:r>
    <w:r>
      <w:rPr>
        <w:rStyle w:val="Numerstrony"/>
      </w:rPr>
      <w:fldChar w:fldCharType="end"/>
    </w:r>
  </w:p>
  <w:p w:rsidR="00161494" w:rsidRDefault="001614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ECF" w:rsidRDefault="00F44ECF" w:rsidP="00F44EC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D1B3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5AB" w:rsidRDefault="006615AB">
      <w:r>
        <w:separator/>
      </w:r>
    </w:p>
  </w:footnote>
  <w:footnote w:type="continuationSeparator" w:id="0">
    <w:p w:rsidR="006615AB" w:rsidRDefault="0066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F4E"/>
    <w:multiLevelType w:val="hybridMultilevel"/>
    <w:tmpl w:val="A9EC363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0D2C"/>
    <w:multiLevelType w:val="hybridMultilevel"/>
    <w:tmpl w:val="D0B44480"/>
    <w:lvl w:ilvl="0" w:tplc="73DC2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472AD"/>
    <w:multiLevelType w:val="hybridMultilevel"/>
    <w:tmpl w:val="2D380F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DAF33F3"/>
    <w:multiLevelType w:val="hybridMultilevel"/>
    <w:tmpl w:val="E408C992"/>
    <w:lvl w:ilvl="0" w:tplc="4E14C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21357E"/>
    <w:multiLevelType w:val="hybridMultilevel"/>
    <w:tmpl w:val="7A58162C"/>
    <w:lvl w:ilvl="0" w:tplc="77E062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984E35"/>
    <w:multiLevelType w:val="hybridMultilevel"/>
    <w:tmpl w:val="6370472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C6211"/>
    <w:multiLevelType w:val="hybridMultilevel"/>
    <w:tmpl w:val="7076E3D0"/>
    <w:lvl w:ilvl="0" w:tplc="734209B2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12787F"/>
    <w:multiLevelType w:val="hybridMultilevel"/>
    <w:tmpl w:val="64BE5958"/>
    <w:lvl w:ilvl="0" w:tplc="54663E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2372BA"/>
    <w:multiLevelType w:val="hybridMultilevel"/>
    <w:tmpl w:val="5D424624"/>
    <w:lvl w:ilvl="0" w:tplc="8A50C76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581040A"/>
    <w:multiLevelType w:val="hybridMultilevel"/>
    <w:tmpl w:val="4A4C9D96"/>
    <w:lvl w:ilvl="0" w:tplc="DE727D74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9C0B62"/>
    <w:multiLevelType w:val="hybridMultilevel"/>
    <w:tmpl w:val="D0B444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53E06"/>
    <w:multiLevelType w:val="hybridMultilevel"/>
    <w:tmpl w:val="712E67F8"/>
    <w:lvl w:ilvl="0" w:tplc="1826C3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A01851"/>
    <w:multiLevelType w:val="hybridMultilevel"/>
    <w:tmpl w:val="C6AC5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84CB0"/>
    <w:multiLevelType w:val="hybridMultilevel"/>
    <w:tmpl w:val="6B0897F8"/>
    <w:lvl w:ilvl="0" w:tplc="4E14C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AB2FE5"/>
    <w:multiLevelType w:val="hybridMultilevel"/>
    <w:tmpl w:val="2F72B19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B3C5407"/>
    <w:multiLevelType w:val="hybridMultilevel"/>
    <w:tmpl w:val="017A0F3A"/>
    <w:lvl w:ilvl="0" w:tplc="7D06D7E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DFA1639"/>
    <w:multiLevelType w:val="hybridMultilevel"/>
    <w:tmpl w:val="E3887A22"/>
    <w:lvl w:ilvl="0" w:tplc="4E14C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337524"/>
    <w:multiLevelType w:val="hybridMultilevel"/>
    <w:tmpl w:val="51F6D270"/>
    <w:lvl w:ilvl="0" w:tplc="FA5E76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E78E4"/>
    <w:multiLevelType w:val="hybridMultilevel"/>
    <w:tmpl w:val="4A285CA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51A57"/>
    <w:multiLevelType w:val="hybridMultilevel"/>
    <w:tmpl w:val="632640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F3414"/>
    <w:multiLevelType w:val="hybridMultilevel"/>
    <w:tmpl w:val="9CFC172C"/>
    <w:lvl w:ilvl="0" w:tplc="4E14C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F2578"/>
    <w:multiLevelType w:val="hybridMultilevel"/>
    <w:tmpl w:val="FC32D5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B621C8"/>
    <w:multiLevelType w:val="hybridMultilevel"/>
    <w:tmpl w:val="CF5EC042"/>
    <w:lvl w:ilvl="0" w:tplc="88DCFC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50B23"/>
    <w:multiLevelType w:val="hybridMultilevel"/>
    <w:tmpl w:val="398AD0DC"/>
    <w:lvl w:ilvl="0" w:tplc="0262C52A">
      <w:start w:val="1"/>
      <w:numFmt w:val="decimal"/>
      <w:lvlText w:val="%1)"/>
      <w:lvlJc w:val="left"/>
      <w:pPr>
        <w:ind w:left="780" w:hanging="360"/>
      </w:pPr>
      <w:rPr>
        <w:rFonts w:ascii="Times" w:eastAsia="Times New Roman" w:hAnsi="Times" w:cs="Arial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A741926"/>
    <w:multiLevelType w:val="hybridMultilevel"/>
    <w:tmpl w:val="006A2D36"/>
    <w:lvl w:ilvl="0" w:tplc="1F8E12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1D4F4A"/>
    <w:multiLevelType w:val="hybridMultilevel"/>
    <w:tmpl w:val="BDC837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3BED49E">
      <w:start w:val="1"/>
      <w:numFmt w:val="lowerLetter"/>
      <w:lvlText w:val="%2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F99792B"/>
    <w:multiLevelType w:val="hybridMultilevel"/>
    <w:tmpl w:val="0852AB3A"/>
    <w:lvl w:ilvl="0" w:tplc="FBE8B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0BF5"/>
    <w:multiLevelType w:val="hybridMultilevel"/>
    <w:tmpl w:val="BD1E9CC4"/>
    <w:lvl w:ilvl="0" w:tplc="6ED8F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3267A"/>
    <w:multiLevelType w:val="hybridMultilevel"/>
    <w:tmpl w:val="64AEC6C8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D9A3311"/>
    <w:multiLevelType w:val="hybridMultilevel"/>
    <w:tmpl w:val="91169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52D85"/>
    <w:multiLevelType w:val="hybridMultilevel"/>
    <w:tmpl w:val="46ACB98A"/>
    <w:lvl w:ilvl="0" w:tplc="C808795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1" w15:restartNumberingAfterBreak="0">
    <w:nsid w:val="62B460B7"/>
    <w:multiLevelType w:val="hybridMultilevel"/>
    <w:tmpl w:val="A6523F10"/>
    <w:lvl w:ilvl="0" w:tplc="25D4A9C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EA6B6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6AE663F"/>
    <w:multiLevelType w:val="hybridMultilevel"/>
    <w:tmpl w:val="8878C6B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6CD215B1"/>
    <w:multiLevelType w:val="hybridMultilevel"/>
    <w:tmpl w:val="DF36C7A0"/>
    <w:lvl w:ilvl="0" w:tplc="55FE866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448F9"/>
    <w:multiLevelType w:val="hybridMultilevel"/>
    <w:tmpl w:val="A34ACB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A101F3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856D7B"/>
    <w:multiLevelType w:val="hybridMultilevel"/>
    <w:tmpl w:val="2FB47516"/>
    <w:lvl w:ilvl="0" w:tplc="4E14C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1"/>
  </w:num>
  <w:num w:numId="2">
    <w:abstractNumId w:val="1"/>
  </w:num>
  <w:num w:numId="3">
    <w:abstractNumId w:val="15"/>
  </w:num>
  <w:num w:numId="4">
    <w:abstractNumId w:val="30"/>
  </w:num>
  <w:num w:numId="5">
    <w:abstractNumId w:val="18"/>
  </w:num>
  <w:num w:numId="6">
    <w:abstractNumId w:val="5"/>
  </w:num>
  <w:num w:numId="7">
    <w:abstractNumId w:val="0"/>
  </w:num>
  <w:num w:numId="8">
    <w:abstractNumId w:val="6"/>
  </w:num>
  <w:num w:numId="9">
    <w:abstractNumId w:val="10"/>
  </w:num>
  <w:num w:numId="10">
    <w:abstractNumId w:val="32"/>
  </w:num>
  <w:num w:numId="11">
    <w:abstractNumId w:val="2"/>
  </w:num>
  <w:num w:numId="12">
    <w:abstractNumId w:val="29"/>
  </w:num>
  <w:num w:numId="13">
    <w:abstractNumId w:val="23"/>
  </w:num>
  <w:num w:numId="14">
    <w:abstractNumId w:val="19"/>
  </w:num>
  <w:num w:numId="15">
    <w:abstractNumId w:val="14"/>
  </w:num>
  <w:num w:numId="16">
    <w:abstractNumId w:val="28"/>
  </w:num>
  <w:num w:numId="17">
    <w:abstractNumId w:val="9"/>
  </w:num>
  <w:num w:numId="18">
    <w:abstractNumId w:val="34"/>
  </w:num>
  <w:num w:numId="19">
    <w:abstractNumId w:val="33"/>
  </w:num>
  <w:num w:numId="20">
    <w:abstractNumId w:val="8"/>
  </w:num>
  <w:num w:numId="21">
    <w:abstractNumId w:val="16"/>
  </w:num>
  <w:num w:numId="22">
    <w:abstractNumId w:val="20"/>
  </w:num>
  <w:num w:numId="23">
    <w:abstractNumId w:val="3"/>
  </w:num>
  <w:num w:numId="24">
    <w:abstractNumId w:val="27"/>
  </w:num>
  <w:num w:numId="25">
    <w:abstractNumId w:val="26"/>
  </w:num>
  <w:num w:numId="26">
    <w:abstractNumId w:val="21"/>
  </w:num>
  <w:num w:numId="27">
    <w:abstractNumId w:val="13"/>
  </w:num>
  <w:num w:numId="28">
    <w:abstractNumId w:val="35"/>
  </w:num>
  <w:num w:numId="29">
    <w:abstractNumId w:val="12"/>
  </w:num>
  <w:num w:numId="30">
    <w:abstractNumId w:val="11"/>
  </w:num>
  <w:num w:numId="31">
    <w:abstractNumId w:val="22"/>
  </w:num>
  <w:num w:numId="32">
    <w:abstractNumId w:val="17"/>
  </w:num>
  <w:num w:numId="33">
    <w:abstractNumId w:val="4"/>
  </w:num>
  <w:num w:numId="34">
    <w:abstractNumId w:val="7"/>
  </w:num>
  <w:num w:numId="35">
    <w:abstractNumId w:val="2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73"/>
    <w:rsid w:val="00006443"/>
    <w:rsid w:val="0000675C"/>
    <w:rsid w:val="000078D4"/>
    <w:rsid w:val="000147FB"/>
    <w:rsid w:val="000274CE"/>
    <w:rsid w:val="000312DC"/>
    <w:rsid w:val="00031CB1"/>
    <w:rsid w:val="0003642E"/>
    <w:rsid w:val="000479A0"/>
    <w:rsid w:val="00057875"/>
    <w:rsid w:val="00057E65"/>
    <w:rsid w:val="0006753A"/>
    <w:rsid w:val="00067C28"/>
    <w:rsid w:val="0007093F"/>
    <w:rsid w:val="00075BAB"/>
    <w:rsid w:val="00077754"/>
    <w:rsid w:val="00080E6B"/>
    <w:rsid w:val="000836C7"/>
    <w:rsid w:val="00091AC7"/>
    <w:rsid w:val="00095C36"/>
    <w:rsid w:val="00096893"/>
    <w:rsid w:val="000968F6"/>
    <w:rsid w:val="0009755F"/>
    <w:rsid w:val="000A0E1C"/>
    <w:rsid w:val="000A7121"/>
    <w:rsid w:val="000C1825"/>
    <w:rsid w:val="000C3E7D"/>
    <w:rsid w:val="000C462F"/>
    <w:rsid w:val="000C47A8"/>
    <w:rsid w:val="000C7F02"/>
    <w:rsid w:val="000C7FAF"/>
    <w:rsid w:val="000D0D64"/>
    <w:rsid w:val="000D7835"/>
    <w:rsid w:val="000E2DAD"/>
    <w:rsid w:val="000E47ED"/>
    <w:rsid w:val="000E583A"/>
    <w:rsid w:val="000F1369"/>
    <w:rsid w:val="000F2ECB"/>
    <w:rsid w:val="000F304F"/>
    <w:rsid w:val="000F357E"/>
    <w:rsid w:val="00101B0F"/>
    <w:rsid w:val="00104493"/>
    <w:rsid w:val="00104C76"/>
    <w:rsid w:val="00105D81"/>
    <w:rsid w:val="00107ADA"/>
    <w:rsid w:val="00112221"/>
    <w:rsid w:val="00113ED2"/>
    <w:rsid w:val="00116F2D"/>
    <w:rsid w:val="001204BA"/>
    <w:rsid w:val="00120AF9"/>
    <w:rsid w:val="0012497F"/>
    <w:rsid w:val="00127B64"/>
    <w:rsid w:val="001325C7"/>
    <w:rsid w:val="00132E23"/>
    <w:rsid w:val="00137CDD"/>
    <w:rsid w:val="0014105A"/>
    <w:rsid w:val="00141898"/>
    <w:rsid w:val="001435CB"/>
    <w:rsid w:val="001551C7"/>
    <w:rsid w:val="00155ACA"/>
    <w:rsid w:val="00161494"/>
    <w:rsid w:val="00173EBE"/>
    <w:rsid w:val="00180477"/>
    <w:rsid w:val="00180EE2"/>
    <w:rsid w:val="00190034"/>
    <w:rsid w:val="001904A9"/>
    <w:rsid w:val="00193904"/>
    <w:rsid w:val="001A129A"/>
    <w:rsid w:val="001A2435"/>
    <w:rsid w:val="001A2453"/>
    <w:rsid w:val="001A4D32"/>
    <w:rsid w:val="001A4DB2"/>
    <w:rsid w:val="001A6F35"/>
    <w:rsid w:val="001B16DF"/>
    <w:rsid w:val="001B7D12"/>
    <w:rsid w:val="001C48AC"/>
    <w:rsid w:val="001C5083"/>
    <w:rsid w:val="001C63AA"/>
    <w:rsid w:val="001D13CB"/>
    <w:rsid w:val="001D3DBA"/>
    <w:rsid w:val="001D4B48"/>
    <w:rsid w:val="001D53FB"/>
    <w:rsid w:val="001D64F1"/>
    <w:rsid w:val="001D7AFA"/>
    <w:rsid w:val="001E0637"/>
    <w:rsid w:val="001E096A"/>
    <w:rsid w:val="001E634A"/>
    <w:rsid w:val="001E7A00"/>
    <w:rsid w:val="001F1154"/>
    <w:rsid w:val="001F1EC0"/>
    <w:rsid w:val="001F230D"/>
    <w:rsid w:val="001F367F"/>
    <w:rsid w:val="001F5FFE"/>
    <w:rsid w:val="0020324F"/>
    <w:rsid w:val="0020450F"/>
    <w:rsid w:val="00204FC2"/>
    <w:rsid w:val="002249C0"/>
    <w:rsid w:val="00233F01"/>
    <w:rsid w:val="00236B7F"/>
    <w:rsid w:val="00236C9C"/>
    <w:rsid w:val="00242479"/>
    <w:rsid w:val="00242C53"/>
    <w:rsid w:val="00250521"/>
    <w:rsid w:val="00253AA3"/>
    <w:rsid w:val="002554EA"/>
    <w:rsid w:val="002561C1"/>
    <w:rsid w:val="00260073"/>
    <w:rsid w:val="0026389C"/>
    <w:rsid w:val="00263B03"/>
    <w:rsid w:val="002650BA"/>
    <w:rsid w:val="002745B4"/>
    <w:rsid w:val="00274D02"/>
    <w:rsid w:val="00274E4B"/>
    <w:rsid w:val="0027648E"/>
    <w:rsid w:val="002770E8"/>
    <w:rsid w:val="00280E70"/>
    <w:rsid w:val="00282FE9"/>
    <w:rsid w:val="002878F4"/>
    <w:rsid w:val="0029241A"/>
    <w:rsid w:val="002957F4"/>
    <w:rsid w:val="00297890"/>
    <w:rsid w:val="002A034E"/>
    <w:rsid w:val="002B0128"/>
    <w:rsid w:val="002B039E"/>
    <w:rsid w:val="002B31D5"/>
    <w:rsid w:val="002B4674"/>
    <w:rsid w:val="002B5AC6"/>
    <w:rsid w:val="002B637A"/>
    <w:rsid w:val="002C2C40"/>
    <w:rsid w:val="002C4F42"/>
    <w:rsid w:val="002D1B3A"/>
    <w:rsid w:val="002D3630"/>
    <w:rsid w:val="002D386C"/>
    <w:rsid w:val="002E7661"/>
    <w:rsid w:val="002E7961"/>
    <w:rsid w:val="002F0804"/>
    <w:rsid w:val="00300E19"/>
    <w:rsid w:val="0030507B"/>
    <w:rsid w:val="0030778C"/>
    <w:rsid w:val="0031456F"/>
    <w:rsid w:val="00315D65"/>
    <w:rsid w:val="00316741"/>
    <w:rsid w:val="00320214"/>
    <w:rsid w:val="003254D3"/>
    <w:rsid w:val="00332B3F"/>
    <w:rsid w:val="003337D7"/>
    <w:rsid w:val="0033503A"/>
    <w:rsid w:val="003371BE"/>
    <w:rsid w:val="003428DF"/>
    <w:rsid w:val="00351CC9"/>
    <w:rsid w:val="00353DEA"/>
    <w:rsid w:val="00361449"/>
    <w:rsid w:val="003631E6"/>
    <w:rsid w:val="00364EA1"/>
    <w:rsid w:val="00370B51"/>
    <w:rsid w:val="00371002"/>
    <w:rsid w:val="00376BD8"/>
    <w:rsid w:val="003778AE"/>
    <w:rsid w:val="00394693"/>
    <w:rsid w:val="00396614"/>
    <w:rsid w:val="00397021"/>
    <w:rsid w:val="003A0058"/>
    <w:rsid w:val="003A38E4"/>
    <w:rsid w:val="003A575E"/>
    <w:rsid w:val="003A650C"/>
    <w:rsid w:val="003A6C2F"/>
    <w:rsid w:val="003B0D6D"/>
    <w:rsid w:val="003B4566"/>
    <w:rsid w:val="003B625E"/>
    <w:rsid w:val="003C2C43"/>
    <w:rsid w:val="003C3618"/>
    <w:rsid w:val="003C5B38"/>
    <w:rsid w:val="003D7889"/>
    <w:rsid w:val="003E0047"/>
    <w:rsid w:val="003E10B3"/>
    <w:rsid w:val="00405385"/>
    <w:rsid w:val="00410326"/>
    <w:rsid w:val="0041068C"/>
    <w:rsid w:val="00411E08"/>
    <w:rsid w:val="00412CB5"/>
    <w:rsid w:val="00417201"/>
    <w:rsid w:val="00417DDA"/>
    <w:rsid w:val="0042061A"/>
    <w:rsid w:val="00427307"/>
    <w:rsid w:val="00433721"/>
    <w:rsid w:val="0043474B"/>
    <w:rsid w:val="00435D1F"/>
    <w:rsid w:val="00443CF7"/>
    <w:rsid w:val="00450841"/>
    <w:rsid w:val="00455E47"/>
    <w:rsid w:val="00464898"/>
    <w:rsid w:val="004648D6"/>
    <w:rsid w:val="004651EF"/>
    <w:rsid w:val="004658FC"/>
    <w:rsid w:val="00467226"/>
    <w:rsid w:val="00467A7C"/>
    <w:rsid w:val="00467FAD"/>
    <w:rsid w:val="0047778A"/>
    <w:rsid w:val="00484C27"/>
    <w:rsid w:val="0048788B"/>
    <w:rsid w:val="004933FD"/>
    <w:rsid w:val="0049362F"/>
    <w:rsid w:val="00493BEF"/>
    <w:rsid w:val="00493FD8"/>
    <w:rsid w:val="004942DC"/>
    <w:rsid w:val="00495BF0"/>
    <w:rsid w:val="00497818"/>
    <w:rsid w:val="004A6039"/>
    <w:rsid w:val="004A7169"/>
    <w:rsid w:val="004C0F0D"/>
    <w:rsid w:val="004C67FE"/>
    <w:rsid w:val="004D3536"/>
    <w:rsid w:val="004D3EE8"/>
    <w:rsid w:val="004D7C74"/>
    <w:rsid w:val="004E3800"/>
    <w:rsid w:val="004E4E0F"/>
    <w:rsid w:val="004E777F"/>
    <w:rsid w:val="004F4AE3"/>
    <w:rsid w:val="004F5107"/>
    <w:rsid w:val="004F7964"/>
    <w:rsid w:val="00501A54"/>
    <w:rsid w:val="00501AB4"/>
    <w:rsid w:val="00502072"/>
    <w:rsid w:val="0050677E"/>
    <w:rsid w:val="00520759"/>
    <w:rsid w:val="005268BF"/>
    <w:rsid w:val="00526954"/>
    <w:rsid w:val="00526F13"/>
    <w:rsid w:val="00532776"/>
    <w:rsid w:val="00534017"/>
    <w:rsid w:val="00540155"/>
    <w:rsid w:val="00540CA6"/>
    <w:rsid w:val="005506FD"/>
    <w:rsid w:val="00552860"/>
    <w:rsid w:val="005614BD"/>
    <w:rsid w:val="00562F90"/>
    <w:rsid w:val="005630E9"/>
    <w:rsid w:val="0056673A"/>
    <w:rsid w:val="005678C3"/>
    <w:rsid w:val="00572B28"/>
    <w:rsid w:val="00575304"/>
    <w:rsid w:val="00575AEC"/>
    <w:rsid w:val="00577F0F"/>
    <w:rsid w:val="005837AD"/>
    <w:rsid w:val="005863BE"/>
    <w:rsid w:val="00586DB8"/>
    <w:rsid w:val="0059217D"/>
    <w:rsid w:val="00593B06"/>
    <w:rsid w:val="0059406D"/>
    <w:rsid w:val="00594F8B"/>
    <w:rsid w:val="00597078"/>
    <w:rsid w:val="00597C1C"/>
    <w:rsid w:val="005B24D3"/>
    <w:rsid w:val="005B7D7D"/>
    <w:rsid w:val="005C131B"/>
    <w:rsid w:val="005C2E62"/>
    <w:rsid w:val="005C3A1B"/>
    <w:rsid w:val="005C422F"/>
    <w:rsid w:val="005D414B"/>
    <w:rsid w:val="005D4FDF"/>
    <w:rsid w:val="005D6031"/>
    <w:rsid w:val="005E485A"/>
    <w:rsid w:val="005F265F"/>
    <w:rsid w:val="005F79CC"/>
    <w:rsid w:val="005F7E94"/>
    <w:rsid w:val="00600365"/>
    <w:rsid w:val="00602119"/>
    <w:rsid w:val="00605FF7"/>
    <w:rsid w:val="006066B2"/>
    <w:rsid w:val="006125A0"/>
    <w:rsid w:val="006130BE"/>
    <w:rsid w:val="006137EE"/>
    <w:rsid w:val="0061600B"/>
    <w:rsid w:val="00622649"/>
    <w:rsid w:val="006229F7"/>
    <w:rsid w:val="00626231"/>
    <w:rsid w:val="00631D33"/>
    <w:rsid w:val="00632BC2"/>
    <w:rsid w:val="006343DB"/>
    <w:rsid w:val="00635139"/>
    <w:rsid w:val="0063655B"/>
    <w:rsid w:val="0064158E"/>
    <w:rsid w:val="0064211E"/>
    <w:rsid w:val="00644E3D"/>
    <w:rsid w:val="00652FC8"/>
    <w:rsid w:val="0065483E"/>
    <w:rsid w:val="00655ABB"/>
    <w:rsid w:val="00661015"/>
    <w:rsid w:val="006615AB"/>
    <w:rsid w:val="00663E3C"/>
    <w:rsid w:val="006670B8"/>
    <w:rsid w:val="0067719F"/>
    <w:rsid w:val="00677581"/>
    <w:rsid w:val="00680CE1"/>
    <w:rsid w:val="00683E15"/>
    <w:rsid w:val="00686D34"/>
    <w:rsid w:val="0069686B"/>
    <w:rsid w:val="006A7B09"/>
    <w:rsid w:val="006B1097"/>
    <w:rsid w:val="006B5681"/>
    <w:rsid w:val="006B6820"/>
    <w:rsid w:val="006B6B84"/>
    <w:rsid w:val="006C03E0"/>
    <w:rsid w:val="006C2583"/>
    <w:rsid w:val="006C60B3"/>
    <w:rsid w:val="006C75C6"/>
    <w:rsid w:val="006D56A2"/>
    <w:rsid w:val="006D780F"/>
    <w:rsid w:val="006D7E44"/>
    <w:rsid w:val="006E04DE"/>
    <w:rsid w:val="006E300D"/>
    <w:rsid w:val="006E433F"/>
    <w:rsid w:val="006E6F39"/>
    <w:rsid w:val="006F5E59"/>
    <w:rsid w:val="006F7747"/>
    <w:rsid w:val="0070341A"/>
    <w:rsid w:val="007139F7"/>
    <w:rsid w:val="00720E34"/>
    <w:rsid w:val="00721F22"/>
    <w:rsid w:val="00725E64"/>
    <w:rsid w:val="00734753"/>
    <w:rsid w:val="007449F8"/>
    <w:rsid w:val="0075673A"/>
    <w:rsid w:val="00764CD2"/>
    <w:rsid w:val="00770E46"/>
    <w:rsid w:val="007866D4"/>
    <w:rsid w:val="00786AA5"/>
    <w:rsid w:val="007872F8"/>
    <w:rsid w:val="0079250B"/>
    <w:rsid w:val="00793082"/>
    <w:rsid w:val="00796EC6"/>
    <w:rsid w:val="007A7259"/>
    <w:rsid w:val="007B00D8"/>
    <w:rsid w:val="007B41A2"/>
    <w:rsid w:val="007B5A88"/>
    <w:rsid w:val="007C1D5F"/>
    <w:rsid w:val="007C4377"/>
    <w:rsid w:val="007C4DFD"/>
    <w:rsid w:val="007D233E"/>
    <w:rsid w:val="007D7BD2"/>
    <w:rsid w:val="007F18B9"/>
    <w:rsid w:val="007F2D32"/>
    <w:rsid w:val="007F61B8"/>
    <w:rsid w:val="007F701C"/>
    <w:rsid w:val="007F7253"/>
    <w:rsid w:val="00803E81"/>
    <w:rsid w:val="0080500A"/>
    <w:rsid w:val="00805953"/>
    <w:rsid w:val="00806B45"/>
    <w:rsid w:val="0081207F"/>
    <w:rsid w:val="00812C0C"/>
    <w:rsid w:val="00813C44"/>
    <w:rsid w:val="0082306C"/>
    <w:rsid w:val="00842081"/>
    <w:rsid w:val="0084263A"/>
    <w:rsid w:val="00851966"/>
    <w:rsid w:val="0085290B"/>
    <w:rsid w:val="00861146"/>
    <w:rsid w:val="00864E3B"/>
    <w:rsid w:val="00865AAD"/>
    <w:rsid w:val="008804CD"/>
    <w:rsid w:val="00881BCB"/>
    <w:rsid w:val="008925F2"/>
    <w:rsid w:val="008928C4"/>
    <w:rsid w:val="00893340"/>
    <w:rsid w:val="008A2499"/>
    <w:rsid w:val="008A2675"/>
    <w:rsid w:val="008B1749"/>
    <w:rsid w:val="008B27E7"/>
    <w:rsid w:val="008B49C9"/>
    <w:rsid w:val="008C03F0"/>
    <w:rsid w:val="008C0D7D"/>
    <w:rsid w:val="008C6E90"/>
    <w:rsid w:val="008D04A5"/>
    <w:rsid w:val="008E7D4A"/>
    <w:rsid w:val="008F0FF2"/>
    <w:rsid w:val="008F2795"/>
    <w:rsid w:val="008F6FE0"/>
    <w:rsid w:val="008F7EBE"/>
    <w:rsid w:val="009062CD"/>
    <w:rsid w:val="009107A7"/>
    <w:rsid w:val="009111E4"/>
    <w:rsid w:val="009128F9"/>
    <w:rsid w:val="00912F78"/>
    <w:rsid w:val="00917D50"/>
    <w:rsid w:val="009218A3"/>
    <w:rsid w:val="009273F1"/>
    <w:rsid w:val="009303F2"/>
    <w:rsid w:val="0093142D"/>
    <w:rsid w:val="00932D88"/>
    <w:rsid w:val="009361F6"/>
    <w:rsid w:val="00940D27"/>
    <w:rsid w:val="00951171"/>
    <w:rsid w:val="00951707"/>
    <w:rsid w:val="00952839"/>
    <w:rsid w:val="00952E05"/>
    <w:rsid w:val="00956051"/>
    <w:rsid w:val="0095667F"/>
    <w:rsid w:val="0095745C"/>
    <w:rsid w:val="00957818"/>
    <w:rsid w:val="00971642"/>
    <w:rsid w:val="00971810"/>
    <w:rsid w:val="00971C69"/>
    <w:rsid w:val="00985706"/>
    <w:rsid w:val="00994CE3"/>
    <w:rsid w:val="00997F63"/>
    <w:rsid w:val="009A1486"/>
    <w:rsid w:val="009A4019"/>
    <w:rsid w:val="009A48F3"/>
    <w:rsid w:val="009A511E"/>
    <w:rsid w:val="009B212B"/>
    <w:rsid w:val="009B2ACD"/>
    <w:rsid w:val="009B3807"/>
    <w:rsid w:val="009B46B1"/>
    <w:rsid w:val="009B5AB8"/>
    <w:rsid w:val="009B6DE4"/>
    <w:rsid w:val="009C2521"/>
    <w:rsid w:val="009C2D69"/>
    <w:rsid w:val="009C39FB"/>
    <w:rsid w:val="009C3EB5"/>
    <w:rsid w:val="009D0F0F"/>
    <w:rsid w:val="009D2F7C"/>
    <w:rsid w:val="009D7CB1"/>
    <w:rsid w:val="009D7FBD"/>
    <w:rsid w:val="009E03CE"/>
    <w:rsid w:val="009E39DB"/>
    <w:rsid w:val="009E4E9A"/>
    <w:rsid w:val="009F1CF8"/>
    <w:rsid w:val="009F2358"/>
    <w:rsid w:val="009F2ABA"/>
    <w:rsid w:val="009F7954"/>
    <w:rsid w:val="00A002BF"/>
    <w:rsid w:val="00A01F20"/>
    <w:rsid w:val="00A039BD"/>
    <w:rsid w:val="00A14BC6"/>
    <w:rsid w:val="00A15888"/>
    <w:rsid w:val="00A15BB1"/>
    <w:rsid w:val="00A20159"/>
    <w:rsid w:val="00A21673"/>
    <w:rsid w:val="00A23327"/>
    <w:rsid w:val="00A2477F"/>
    <w:rsid w:val="00A256DB"/>
    <w:rsid w:val="00A25786"/>
    <w:rsid w:val="00A307BF"/>
    <w:rsid w:val="00A3125B"/>
    <w:rsid w:val="00A33C52"/>
    <w:rsid w:val="00A3665A"/>
    <w:rsid w:val="00A36CCA"/>
    <w:rsid w:val="00A4714F"/>
    <w:rsid w:val="00A52E7D"/>
    <w:rsid w:val="00A52EDA"/>
    <w:rsid w:val="00A55EFC"/>
    <w:rsid w:val="00A56262"/>
    <w:rsid w:val="00A60530"/>
    <w:rsid w:val="00A608AE"/>
    <w:rsid w:val="00A62EEF"/>
    <w:rsid w:val="00A6512F"/>
    <w:rsid w:val="00A67548"/>
    <w:rsid w:val="00A81622"/>
    <w:rsid w:val="00A83F9A"/>
    <w:rsid w:val="00A8611D"/>
    <w:rsid w:val="00A907D0"/>
    <w:rsid w:val="00AA268B"/>
    <w:rsid w:val="00AA471D"/>
    <w:rsid w:val="00AA4BC5"/>
    <w:rsid w:val="00AB236C"/>
    <w:rsid w:val="00AB3C18"/>
    <w:rsid w:val="00AB4A4C"/>
    <w:rsid w:val="00AB6E7B"/>
    <w:rsid w:val="00AB77F0"/>
    <w:rsid w:val="00AC3E31"/>
    <w:rsid w:val="00AD1946"/>
    <w:rsid w:val="00AD2B02"/>
    <w:rsid w:val="00AD2E97"/>
    <w:rsid w:val="00AD7B49"/>
    <w:rsid w:val="00AE1173"/>
    <w:rsid w:val="00AF56AC"/>
    <w:rsid w:val="00AF5CEF"/>
    <w:rsid w:val="00AF678C"/>
    <w:rsid w:val="00B0047D"/>
    <w:rsid w:val="00B03803"/>
    <w:rsid w:val="00B03FB5"/>
    <w:rsid w:val="00B10194"/>
    <w:rsid w:val="00B116EF"/>
    <w:rsid w:val="00B1294C"/>
    <w:rsid w:val="00B13F0A"/>
    <w:rsid w:val="00B14A3B"/>
    <w:rsid w:val="00B26443"/>
    <w:rsid w:val="00B27277"/>
    <w:rsid w:val="00B31420"/>
    <w:rsid w:val="00B34577"/>
    <w:rsid w:val="00B416D0"/>
    <w:rsid w:val="00B42248"/>
    <w:rsid w:val="00B43AF9"/>
    <w:rsid w:val="00B451FA"/>
    <w:rsid w:val="00B45584"/>
    <w:rsid w:val="00B52E0C"/>
    <w:rsid w:val="00B5636F"/>
    <w:rsid w:val="00B56A50"/>
    <w:rsid w:val="00B57511"/>
    <w:rsid w:val="00B578DA"/>
    <w:rsid w:val="00B60278"/>
    <w:rsid w:val="00B6385F"/>
    <w:rsid w:val="00B7017D"/>
    <w:rsid w:val="00B75518"/>
    <w:rsid w:val="00B7687F"/>
    <w:rsid w:val="00B82135"/>
    <w:rsid w:val="00B87DAE"/>
    <w:rsid w:val="00B93823"/>
    <w:rsid w:val="00BA0119"/>
    <w:rsid w:val="00BA1917"/>
    <w:rsid w:val="00BB12A7"/>
    <w:rsid w:val="00BB7377"/>
    <w:rsid w:val="00BB78C8"/>
    <w:rsid w:val="00BC0E48"/>
    <w:rsid w:val="00BC3B40"/>
    <w:rsid w:val="00BD4B38"/>
    <w:rsid w:val="00BD5174"/>
    <w:rsid w:val="00BD595D"/>
    <w:rsid w:val="00BE05DA"/>
    <w:rsid w:val="00BE0CB0"/>
    <w:rsid w:val="00BE609A"/>
    <w:rsid w:val="00BF456F"/>
    <w:rsid w:val="00BF5EC1"/>
    <w:rsid w:val="00C0139E"/>
    <w:rsid w:val="00C015FF"/>
    <w:rsid w:val="00C051C1"/>
    <w:rsid w:val="00C07405"/>
    <w:rsid w:val="00C27F87"/>
    <w:rsid w:val="00C312BF"/>
    <w:rsid w:val="00C316E7"/>
    <w:rsid w:val="00C372D1"/>
    <w:rsid w:val="00C40E3A"/>
    <w:rsid w:val="00C50EC2"/>
    <w:rsid w:val="00C544B2"/>
    <w:rsid w:val="00C549CF"/>
    <w:rsid w:val="00C54B98"/>
    <w:rsid w:val="00C56178"/>
    <w:rsid w:val="00C56DCE"/>
    <w:rsid w:val="00C605FA"/>
    <w:rsid w:val="00C62F48"/>
    <w:rsid w:val="00C63A6A"/>
    <w:rsid w:val="00C65E25"/>
    <w:rsid w:val="00C74BC2"/>
    <w:rsid w:val="00C80F7B"/>
    <w:rsid w:val="00C8126C"/>
    <w:rsid w:val="00C812D3"/>
    <w:rsid w:val="00C81CB9"/>
    <w:rsid w:val="00C842D8"/>
    <w:rsid w:val="00C91B2D"/>
    <w:rsid w:val="00C923BA"/>
    <w:rsid w:val="00C94569"/>
    <w:rsid w:val="00C94FB8"/>
    <w:rsid w:val="00C97971"/>
    <w:rsid w:val="00CA3CEA"/>
    <w:rsid w:val="00CA58C5"/>
    <w:rsid w:val="00CB47B6"/>
    <w:rsid w:val="00CB74FA"/>
    <w:rsid w:val="00CC139F"/>
    <w:rsid w:val="00CC720D"/>
    <w:rsid w:val="00CD0F58"/>
    <w:rsid w:val="00CD164E"/>
    <w:rsid w:val="00CD7636"/>
    <w:rsid w:val="00CE3A85"/>
    <w:rsid w:val="00CE59B5"/>
    <w:rsid w:val="00CF0709"/>
    <w:rsid w:val="00CF5A59"/>
    <w:rsid w:val="00D02712"/>
    <w:rsid w:val="00D100F5"/>
    <w:rsid w:val="00D12622"/>
    <w:rsid w:val="00D154D2"/>
    <w:rsid w:val="00D274A2"/>
    <w:rsid w:val="00D306C6"/>
    <w:rsid w:val="00D31682"/>
    <w:rsid w:val="00D32943"/>
    <w:rsid w:val="00D351EC"/>
    <w:rsid w:val="00D401C1"/>
    <w:rsid w:val="00D440AA"/>
    <w:rsid w:val="00D444C7"/>
    <w:rsid w:val="00D53345"/>
    <w:rsid w:val="00D53827"/>
    <w:rsid w:val="00D53BF8"/>
    <w:rsid w:val="00D54EEB"/>
    <w:rsid w:val="00D560E8"/>
    <w:rsid w:val="00D56A17"/>
    <w:rsid w:val="00D57D91"/>
    <w:rsid w:val="00D6045E"/>
    <w:rsid w:val="00D65B4A"/>
    <w:rsid w:val="00D66FB9"/>
    <w:rsid w:val="00D7238E"/>
    <w:rsid w:val="00D74024"/>
    <w:rsid w:val="00D74049"/>
    <w:rsid w:val="00D8397B"/>
    <w:rsid w:val="00D85717"/>
    <w:rsid w:val="00D858E1"/>
    <w:rsid w:val="00D919B0"/>
    <w:rsid w:val="00D92E89"/>
    <w:rsid w:val="00D95B35"/>
    <w:rsid w:val="00D97CF4"/>
    <w:rsid w:val="00DB0EDF"/>
    <w:rsid w:val="00DB104B"/>
    <w:rsid w:val="00DB10EB"/>
    <w:rsid w:val="00DB3394"/>
    <w:rsid w:val="00DB41D2"/>
    <w:rsid w:val="00DB61A2"/>
    <w:rsid w:val="00DB7552"/>
    <w:rsid w:val="00DC6402"/>
    <w:rsid w:val="00DD29E3"/>
    <w:rsid w:val="00DD311A"/>
    <w:rsid w:val="00DD5C8A"/>
    <w:rsid w:val="00DD68AF"/>
    <w:rsid w:val="00DD6F08"/>
    <w:rsid w:val="00DE3DE8"/>
    <w:rsid w:val="00DE76B1"/>
    <w:rsid w:val="00DE7C65"/>
    <w:rsid w:val="00DF3BAB"/>
    <w:rsid w:val="00E06883"/>
    <w:rsid w:val="00E06C0D"/>
    <w:rsid w:val="00E0779F"/>
    <w:rsid w:val="00E15EC4"/>
    <w:rsid w:val="00E16DE9"/>
    <w:rsid w:val="00E210C6"/>
    <w:rsid w:val="00E22426"/>
    <w:rsid w:val="00E25CAC"/>
    <w:rsid w:val="00E25F5B"/>
    <w:rsid w:val="00E36420"/>
    <w:rsid w:val="00E463AE"/>
    <w:rsid w:val="00E467C1"/>
    <w:rsid w:val="00E46BD9"/>
    <w:rsid w:val="00E5222A"/>
    <w:rsid w:val="00E52A36"/>
    <w:rsid w:val="00E65E3E"/>
    <w:rsid w:val="00E73B2A"/>
    <w:rsid w:val="00E768F1"/>
    <w:rsid w:val="00E80FE7"/>
    <w:rsid w:val="00E8222F"/>
    <w:rsid w:val="00E8269F"/>
    <w:rsid w:val="00E84F2B"/>
    <w:rsid w:val="00E86CB3"/>
    <w:rsid w:val="00E87878"/>
    <w:rsid w:val="00E9057B"/>
    <w:rsid w:val="00E91122"/>
    <w:rsid w:val="00EA1BA7"/>
    <w:rsid w:val="00EA2BBA"/>
    <w:rsid w:val="00EB6686"/>
    <w:rsid w:val="00EC310A"/>
    <w:rsid w:val="00EC4CA1"/>
    <w:rsid w:val="00EC565D"/>
    <w:rsid w:val="00ED2C61"/>
    <w:rsid w:val="00ED37CD"/>
    <w:rsid w:val="00ED7DB8"/>
    <w:rsid w:val="00EF41E6"/>
    <w:rsid w:val="00EF5018"/>
    <w:rsid w:val="00F0363B"/>
    <w:rsid w:val="00F06306"/>
    <w:rsid w:val="00F065AB"/>
    <w:rsid w:val="00F14BBF"/>
    <w:rsid w:val="00F1554D"/>
    <w:rsid w:val="00F27078"/>
    <w:rsid w:val="00F447A0"/>
    <w:rsid w:val="00F44ECF"/>
    <w:rsid w:val="00F50D1F"/>
    <w:rsid w:val="00F644AF"/>
    <w:rsid w:val="00F65910"/>
    <w:rsid w:val="00F744D4"/>
    <w:rsid w:val="00F76E64"/>
    <w:rsid w:val="00F77A59"/>
    <w:rsid w:val="00F81807"/>
    <w:rsid w:val="00F831BD"/>
    <w:rsid w:val="00F84671"/>
    <w:rsid w:val="00F8499C"/>
    <w:rsid w:val="00F852B3"/>
    <w:rsid w:val="00F8592C"/>
    <w:rsid w:val="00F936DA"/>
    <w:rsid w:val="00FA0849"/>
    <w:rsid w:val="00FA1D33"/>
    <w:rsid w:val="00FA2A7B"/>
    <w:rsid w:val="00FA4A39"/>
    <w:rsid w:val="00FA4E28"/>
    <w:rsid w:val="00FA50AA"/>
    <w:rsid w:val="00FA62EC"/>
    <w:rsid w:val="00FB3726"/>
    <w:rsid w:val="00FB5B5D"/>
    <w:rsid w:val="00FB69B7"/>
    <w:rsid w:val="00FC2557"/>
    <w:rsid w:val="00FC4408"/>
    <w:rsid w:val="00FC6705"/>
    <w:rsid w:val="00FD257C"/>
    <w:rsid w:val="00FD37F0"/>
    <w:rsid w:val="00FD4204"/>
    <w:rsid w:val="00FD6CA9"/>
    <w:rsid w:val="00FD7AAB"/>
    <w:rsid w:val="00FE0116"/>
    <w:rsid w:val="00FE02FC"/>
    <w:rsid w:val="00FE221D"/>
    <w:rsid w:val="00FE409F"/>
    <w:rsid w:val="00FE7B3B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D1F7564-A6E9-4E9D-A0A0-64062EFC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7AA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0">
    <w:name w:val="@STANDARDOWY"/>
    <w:basedOn w:val="Normalny"/>
    <w:uiPriority w:val="99"/>
    <w:rsid w:val="00D56A17"/>
    <w:pPr>
      <w:tabs>
        <w:tab w:val="left" w:pos="567"/>
      </w:tabs>
      <w:spacing w:line="360" w:lineRule="auto"/>
      <w:ind w:firstLine="397"/>
      <w:jc w:val="both"/>
    </w:pPr>
    <w:rPr>
      <w:sz w:val="28"/>
    </w:rPr>
  </w:style>
  <w:style w:type="paragraph" w:styleId="Tytu">
    <w:name w:val="Title"/>
    <w:basedOn w:val="Normalny"/>
    <w:link w:val="TytuZnak"/>
    <w:uiPriority w:val="99"/>
    <w:qFormat/>
    <w:rsid w:val="00D56A17"/>
    <w:pPr>
      <w:spacing w:line="360" w:lineRule="auto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wcity">
    <w:name w:val="Body Text Indent"/>
    <w:basedOn w:val="Normalny"/>
    <w:link w:val="TekstpodstawowywcityZnak"/>
    <w:uiPriority w:val="99"/>
    <w:rsid w:val="00D56A1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ekstpodstawowy">
    <w:name w:val="Body Text"/>
    <w:aliases w:val="pomniejszony,Tekst wcięty 2 st,Tekst wci,b,ęty 2 st,bt,szaro,b1,Tekst podstawowy Znak Znak Znak Znak Znak Znak Znak Znak"/>
    <w:basedOn w:val="Normalny"/>
    <w:link w:val="TekstpodstawowyZnak"/>
    <w:uiPriority w:val="99"/>
    <w:rsid w:val="00D56A17"/>
    <w:pPr>
      <w:autoSpaceDE w:val="0"/>
      <w:autoSpaceDN w:val="0"/>
      <w:jc w:val="center"/>
    </w:pPr>
  </w:style>
  <w:style w:type="character" w:customStyle="1" w:styleId="TekstpodstawowyZnak">
    <w:name w:val="Tekst podstawowy Znak"/>
    <w:aliases w:val="pomniejszony Znak,Tekst wcięty 2 st Znak,Tekst wci Znak,b Znak,ęty 2 st Znak,bt Znak,szaro Znak,b1 Znak,Tekst podstawowy Znak Znak Znak Znak Znak Znak Znak Znak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1"/>
    <w:uiPriority w:val="99"/>
    <w:rsid w:val="00D56A17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Tekstpodstawowywcity3Znak1">
    <w:name w:val="Tekst podstawowy wcięty 3 Znak1"/>
    <w:link w:val="Tekstpodstawowywcity3"/>
    <w:uiPriority w:val="99"/>
    <w:semiHidden/>
    <w:locked/>
    <w:rPr>
      <w:rFonts w:cs="Times New Roman"/>
      <w:sz w:val="16"/>
      <w:szCs w:val="16"/>
    </w:rPr>
  </w:style>
  <w:style w:type="character" w:customStyle="1" w:styleId="Tekstpodstawowywcity3Znak">
    <w:name w:val="Tekst podstawowy wcięty 3 Znak"/>
    <w:uiPriority w:val="99"/>
    <w:rsid w:val="00D56A17"/>
    <w:rPr>
      <w:rFonts w:ascii="Calibri" w:hAnsi="Calibri" w:cs="Times New Roman"/>
      <w:sz w:val="16"/>
      <w:szCs w:val="16"/>
      <w:lang w:eastAsia="en-US"/>
    </w:rPr>
  </w:style>
  <w:style w:type="paragraph" w:styleId="Nagwek">
    <w:name w:val="header"/>
    <w:basedOn w:val="Normalny"/>
    <w:link w:val="Nagwek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link w:val="Nagwek"/>
    <w:uiPriority w:val="99"/>
    <w:semiHidden/>
    <w:locked/>
    <w:rPr>
      <w:rFonts w:cs="Times New Roman"/>
      <w:sz w:val="24"/>
      <w:szCs w:val="24"/>
    </w:rPr>
  </w:style>
  <w:style w:type="character" w:customStyle="1" w:styleId="NagwekZnak">
    <w:name w:val="Nagłówek Znak"/>
    <w:uiPriority w:val="99"/>
    <w:semiHidden/>
    <w:rsid w:val="00D56A17"/>
    <w:rPr>
      <w:rFonts w:cs="Times New Roman"/>
      <w:sz w:val="24"/>
      <w:szCs w:val="24"/>
    </w:rPr>
  </w:style>
  <w:style w:type="paragraph" w:styleId="Stopka">
    <w:name w:val="footer"/>
    <w:basedOn w:val="Normalny"/>
    <w:link w:val="StopkaZnak1"/>
    <w:uiPriority w:val="99"/>
    <w:rsid w:val="00D56A17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semiHidden/>
    <w:locked/>
    <w:rPr>
      <w:rFonts w:cs="Times New Roman"/>
      <w:sz w:val="24"/>
      <w:szCs w:val="24"/>
    </w:rPr>
  </w:style>
  <w:style w:type="character" w:customStyle="1" w:styleId="StopkaZnak">
    <w:name w:val="Stopka Znak"/>
    <w:uiPriority w:val="99"/>
    <w:rsid w:val="00D56A17"/>
    <w:rPr>
      <w:rFonts w:cs="Times New Roman"/>
      <w:sz w:val="24"/>
      <w:szCs w:val="24"/>
    </w:rPr>
  </w:style>
  <w:style w:type="paragraph" w:styleId="NormalnyWeb">
    <w:name w:val="Normal (Web)"/>
    <w:basedOn w:val="Normalny"/>
    <w:uiPriority w:val="99"/>
    <w:rsid w:val="00D56A17"/>
    <w:pPr>
      <w:spacing w:before="100" w:beforeAutospacing="1" w:after="100" w:afterAutospacing="1"/>
    </w:pPr>
    <w:rPr>
      <w:color w:val="000000"/>
    </w:rPr>
  </w:style>
  <w:style w:type="character" w:styleId="Odwoaniedokomentarza">
    <w:name w:val="annotation reference"/>
    <w:uiPriority w:val="99"/>
    <w:semiHidden/>
    <w:rsid w:val="00D56A1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rsid w:val="00D56A17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locked/>
    <w:rPr>
      <w:rFonts w:cs="Times New Roman"/>
    </w:rPr>
  </w:style>
  <w:style w:type="character" w:customStyle="1" w:styleId="TekstkomentarzaZnak">
    <w:name w:val="Tekst komentarza Znak"/>
    <w:uiPriority w:val="99"/>
    <w:semiHidden/>
    <w:rsid w:val="00D56A17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rsid w:val="00D56A17"/>
    <w:rPr>
      <w:b/>
      <w:bCs/>
    </w:rPr>
  </w:style>
  <w:style w:type="character" w:customStyle="1" w:styleId="TematkomentarzaZnak1">
    <w:name w:val="Temat komentarza Znak1"/>
    <w:link w:val="Tematkomentarza"/>
    <w:uiPriority w:val="99"/>
    <w:semiHidden/>
    <w:locked/>
    <w:rPr>
      <w:rFonts w:cs="Times New Roman"/>
      <w:b/>
      <w:bCs/>
    </w:rPr>
  </w:style>
  <w:style w:type="character" w:customStyle="1" w:styleId="TematkomentarzaZnak">
    <w:name w:val="Temat komentarza Znak"/>
    <w:uiPriority w:val="99"/>
    <w:semiHidden/>
    <w:rsid w:val="00D56A17"/>
    <w:rPr>
      <w:rFonts w:cs="Times New Roman"/>
      <w:b/>
      <w:bCs/>
    </w:rPr>
  </w:style>
  <w:style w:type="paragraph" w:styleId="Tekstdymka">
    <w:name w:val="Balloon Text"/>
    <w:basedOn w:val="Normalny"/>
    <w:link w:val="TekstdymkaZnak1"/>
    <w:uiPriority w:val="99"/>
    <w:semiHidden/>
    <w:rsid w:val="00D56A17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locked/>
    <w:rPr>
      <w:rFonts w:cs="Times New Roman"/>
      <w:sz w:val="2"/>
    </w:rPr>
  </w:style>
  <w:style w:type="character" w:customStyle="1" w:styleId="TekstdymkaZnak">
    <w:name w:val="Tekst dymka Znak"/>
    <w:uiPriority w:val="99"/>
    <w:semiHidden/>
    <w:rsid w:val="00D56A1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56A17"/>
    <w:pPr>
      <w:ind w:left="720"/>
      <w:contextualSpacing/>
    </w:pPr>
    <w:rPr>
      <w:sz w:val="20"/>
      <w:szCs w:val="20"/>
    </w:rPr>
  </w:style>
  <w:style w:type="character" w:styleId="Numerstrony">
    <w:name w:val="page number"/>
    <w:uiPriority w:val="99"/>
    <w:rsid w:val="004D3536"/>
    <w:rPr>
      <w:rFonts w:cs="Times New Roman"/>
    </w:rPr>
  </w:style>
  <w:style w:type="paragraph" w:customStyle="1" w:styleId="Default">
    <w:name w:val="Default"/>
    <w:uiPriority w:val="99"/>
    <w:rsid w:val="00F936D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STustnpkodeksu">
    <w:name w:val="UST(§) – ust. (§ np. kodeksu)"/>
    <w:basedOn w:val="Normalny"/>
    <w:uiPriority w:val="99"/>
    <w:rsid w:val="00C015FF"/>
    <w:pPr>
      <w:suppressAutoHyphens/>
      <w:autoSpaceDE w:val="0"/>
      <w:autoSpaceDN w:val="0"/>
      <w:adjustRightInd w:val="0"/>
      <w:spacing w:line="360" w:lineRule="auto"/>
      <w:ind w:firstLine="510"/>
      <w:jc w:val="both"/>
    </w:pPr>
    <w:rPr>
      <w:rFonts w:ascii="Times" w:hAnsi="Times" w:cs="Arial"/>
      <w:bCs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D6CA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FD6CA9"/>
    <w:rPr>
      <w:rFonts w:cs="Times New Roman"/>
    </w:rPr>
  </w:style>
  <w:style w:type="character" w:styleId="Odwoanieprzypisudolnego">
    <w:name w:val="footnote reference"/>
    <w:uiPriority w:val="99"/>
    <w:semiHidden/>
    <w:rsid w:val="00FD6CA9"/>
    <w:rPr>
      <w:rFonts w:cs="Times New Roman"/>
      <w:vertAlign w:val="superscript"/>
    </w:rPr>
  </w:style>
  <w:style w:type="character" w:styleId="Pogrubienie">
    <w:name w:val="Strong"/>
    <w:uiPriority w:val="99"/>
    <w:qFormat/>
    <w:rsid w:val="001D64F1"/>
    <w:rPr>
      <w:rFonts w:cs="Times New Roman"/>
      <w:b/>
      <w:bCs/>
    </w:rPr>
  </w:style>
  <w:style w:type="table" w:styleId="Tabela-Siatka">
    <w:name w:val="Table Grid"/>
    <w:basedOn w:val="Standardowy"/>
    <w:uiPriority w:val="99"/>
    <w:rsid w:val="001D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Normalny"/>
    <w:uiPriority w:val="99"/>
    <w:qFormat/>
    <w:rsid w:val="00250521"/>
    <w:pPr>
      <w:spacing w:line="360" w:lineRule="auto"/>
      <w:ind w:left="986" w:hanging="476"/>
      <w:jc w:val="both"/>
    </w:pPr>
    <w:rPr>
      <w:rFonts w:ascii="Times" w:hAnsi="Times" w:cs="Arial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4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2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0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86">
          <w:marLeft w:val="0"/>
          <w:marRight w:val="0"/>
          <w:marTop w:val="0"/>
          <w:marBottom w:val="0"/>
          <w:divBdr>
            <w:top w:val="single" w:sz="2" w:space="0" w:color="D7D7D7"/>
            <w:left w:val="single" w:sz="6" w:space="15" w:color="D7D7D7"/>
            <w:bottom w:val="single" w:sz="2" w:space="0" w:color="D7D7D7"/>
            <w:right w:val="single" w:sz="6" w:space="15" w:color="D7D7D7"/>
          </w:divBdr>
          <w:divsChild>
            <w:div w:id="5054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8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8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4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485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5EAF7-7461-4FCA-B428-438C049D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5236</Words>
  <Characters>31417</Characters>
  <Application>Microsoft Office Word</Application>
  <DocSecurity>0</DocSecurity>
  <Lines>261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 28.12</vt:lpstr>
    </vt:vector>
  </TitlesOfParts>
  <Company>MPiPS</Company>
  <LinksUpToDate>false</LinksUpToDate>
  <CharactersWithSpaces>36580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 28.12</dc:title>
  <dc:creator>Eliza_Wiśniewska</dc:creator>
  <cp:lastModifiedBy>Grażyna D. Grabowska</cp:lastModifiedBy>
  <cp:revision>2</cp:revision>
  <cp:lastPrinted>2019-04-23T10:37:00Z</cp:lastPrinted>
  <dcterms:created xsi:type="dcterms:W3CDTF">2019-05-09T07:48:00Z</dcterms:created>
  <dcterms:modified xsi:type="dcterms:W3CDTF">2019-05-09T07:48:00Z</dcterms:modified>
</cp:coreProperties>
</file>