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9F9" w:rsidRPr="005D1C11" w:rsidRDefault="003629F9" w:rsidP="00006ECD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</w:pPr>
      <w:r w:rsidRPr="005D1C11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Projekt</w:t>
      </w:r>
    </w:p>
    <w:p w:rsidR="003629F9" w:rsidRPr="005D1C11" w:rsidRDefault="003629F9" w:rsidP="003629F9">
      <w:pPr>
        <w:keepNext/>
        <w:suppressAutoHyphens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</w:p>
    <w:p w:rsidR="003629F9" w:rsidRPr="005D1C11" w:rsidRDefault="003629F9" w:rsidP="003629F9">
      <w:pPr>
        <w:keepNext/>
        <w:suppressAutoHyphens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5D1C11">
        <w:rPr>
          <w:rFonts w:ascii="Times New Roman" w:eastAsia="Times New Roman" w:hAnsi="Times New Roman" w:cs="Times New Roman"/>
          <w:b/>
          <w:bCs/>
          <w:caps/>
          <w:spacing w:val="54"/>
          <w:kern w:val="24"/>
          <w:sz w:val="24"/>
          <w:szCs w:val="24"/>
          <w:lang w:eastAsia="pl-PL"/>
        </w:rPr>
        <w:t>UstAwa</w:t>
      </w:r>
    </w:p>
    <w:p w:rsidR="003629F9" w:rsidRPr="005D1C11" w:rsidRDefault="003629F9" w:rsidP="003629F9">
      <w:pPr>
        <w:keepNext/>
        <w:suppressAutoHyphens/>
        <w:spacing w:before="120" w:after="12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1C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</w:t>
      </w:r>
      <w:r w:rsidR="008C30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</w:t>
      </w:r>
    </w:p>
    <w:p w:rsidR="003629F9" w:rsidRPr="005D1C11" w:rsidRDefault="003629F9" w:rsidP="003629F9">
      <w:pPr>
        <w:keepNext/>
        <w:suppressAutoHyphens/>
        <w:spacing w:before="120" w:after="3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D1C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zmianie ustawy o samorządzie gminnym</w:t>
      </w:r>
    </w:p>
    <w:p w:rsidR="003629F9" w:rsidRPr="005D1C11" w:rsidRDefault="003629F9" w:rsidP="003629F9">
      <w:pPr>
        <w:keepNext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5D1C11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Art. 1. </w:t>
      </w:r>
      <w:r w:rsidRPr="005D1C11">
        <w:rPr>
          <w:rFonts w:ascii="Times New Roman" w:eastAsia="Times New Roman" w:hAnsi="Times New Roman" w:cs="Times New Roman"/>
          <w:sz w:val="24"/>
          <w:szCs w:val="20"/>
          <w:lang w:eastAsia="pl-PL"/>
        </w:rPr>
        <w:t>W ustawie z dnia 8 marca 1990 r. o samorządzie gminnym (Dz. U. z 2018 r. poz. 994, 1000, 1349 i 1432) wprowadza się następujące zmiany:</w:t>
      </w:r>
    </w:p>
    <w:p w:rsidR="003629F9" w:rsidRPr="005D1C11" w:rsidRDefault="003629F9" w:rsidP="003629F9">
      <w:pPr>
        <w:keepNext/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D1C1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1)</w:t>
      </w:r>
      <w:r w:rsidRPr="005D1C1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  <w:t>art. 4 ust. 5 otrzymuje brzmienie: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 xml:space="preserve">„5. Zmiany, o których mowa w ust. 1, następują </w:t>
      </w:r>
      <w:r w:rsidR="00E11B7B">
        <w:rPr>
          <w:rFonts w:ascii="Times New Roman" w:hAnsi="Times New Roman" w:cs="Times New Roman"/>
        </w:rPr>
        <w:t xml:space="preserve">z </w:t>
      </w:r>
      <w:r w:rsidRPr="005D1C11">
        <w:rPr>
          <w:rFonts w:ascii="Times New Roman" w:hAnsi="Times New Roman" w:cs="Times New Roman"/>
        </w:rPr>
        <w:t xml:space="preserve">dniem </w:t>
      </w:r>
      <w:r w:rsidR="00E11B7B">
        <w:rPr>
          <w:rFonts w:ascii="Times New Roman" w:hAnsi="Times New Roman" w:cs="Times New Roman"/>
        </w:rPr>
        <w:t xml:space="preserve">1 stycznia </w:t>
      </w:r>
      <w:r w:rsidR="00F74A09">
        <w:rPr>
          <w:rFonts w:ascii="Times New Roman" w:hAnsi="Times New Roman" w:cs="Times New Roman"/>
        </w:rPr>
        <w:t>roku następującego po roku, w którym rozpoczęła swoją kadencję rada gminy</w:t>
      </w:r>
      <w:r w:rsidRPr="005D1C11">
        <w:rPr>
          <w:rFonts w:ascii="Times New Roman" w:hAnsi="Times New Roman" w:cs="Times New Roman"/>
        </w:rPr>
        <w:t>.”;</w:t>
      </w:r>
    </w:p>
    <w:p w:rsidR="003629F9" w:rsidRPr="005D1C11" w:rsidRDefault="003629F9" w:rsidP="003629F9">
      <w:pPr>
        <w:keepNext/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D1C1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2)</w:t>
      </w:r>
      <w:r w:rsidRPr="005D1C1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  <w:t>art. 4b otrzymuje brzmienie:</w:t>
      </w:r>
    </w:p>
    <w:p w:rsidR="003629F9" w:rsidRPr="005D1C11" w:rsidRDefault="003629F9" w:rsidP="003629F9">
      <w:pPr>
        <w:pStyle w:val="ARTartustawynprozporzdzenia"/>
        <w:ind w:left="567"/>
        <w:rPr>
          <w:rFonts w:ascii="Times New Roman" w:hAnsi="Times New Roman" w:cs="Times New Roman"/>
        </w:rPr>
      </w:pPr>
      <w:r w:rsidRPr="005D1C11">
        <w:rPr>
          <w:rStyle w:val="Ppogrubienie"/>
          <w:rFonts w:ascii="Times New Roman" w:hAnsi="Times New Roman" w:cs="Times New Roman"/>
        </w:rPr>
        <w:t>„Art. 4b.</w:t>
      </w:r>
      <w:r w:rsidRPr="005D1C11">
        <w:rPr>
          <w:rFonts w:ascii="Times New Roman" w:hAnsi="Times New Roman" w:cs="Times New Roman"/>
        </w:rPr>
        <w:t> 1. Wydanie rozporządzenia, o którym mowa w art. 4 ust. 1, na wniosek rady gminy wymaga:</w:t>
      </w:r>
    </w:p>
    <w:p w:rsidR="003629F9" w:rsidRPr="005D1C11" w:rsidRDefault="003629F9" w:rsidP="003629F9">
      <w:pPr>
        <w:pStyle w:val="PKTpunkt"/>
        <w:ind w:left="1276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1)</w:t>
      </w:r>
      <w:r w:rsidRPr="005D1C11">
        <w:rPr>
          <w:rFonts w:ascii="Times New Roman" w:hAnsi="Times New Roman" w:cs="Times New Roman"/>
        </w:rPr>
        <w:tab/>
        <w:t>wniosku rady gminy poprzedzonego przeprowadzeniem przez tę radę konsultacji z mieszkańcami, wraz z uzasadnieniem oraz niezbędnymi dokumentami, mapami i informacjami potwierdzającymi zasadność wniosku;</w:t>
      </w:r>
    </w:p>
    <w:p w:rsidR="003629F9" w:rsidRPr="005D1C11" w:rsidRDefault="003629F9" w:rsidP="003629F9">
      <w:pPr>
        <w:pStyle w:val="PKTpunkt"/>
        <w:ind w:left="1276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2)</w:t>
      </w:r>
      <w:r w:rsidRPr="005D1C11">
        <w:rPr>
          <w:rFonts w:ascii="Times New Roman" w:hAnsi="Times New Roman" w:cs="Times New Roman"/>
        </w:rPr>
        <w:tab/>
        <w:t>opinii wojewody właściwego dla gminy lub gmin objętych wnioskiem.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 xml:space="preserve">2. Wydanie rozporządzenia, o którym mowa w art. 4 ust. 1 pkt 1, na wniosek rady gminy dodatkowo wymaga pozytywnych opinii rad gmin objętych wnioskiem, poprzedzonych przeprowadzeniem przez te rady konsultacji z mieszkańcami, a w przypadku zmiany granic gminy naruszającej granice powiatów lub województw – pozytywnych opinii odpowiednich rad powiatów lub sejmików województw. 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3. Wydanie rozporządzenia, o którym mowa w art. 4 ust. 1 pkt 2 i 3, na wniosek rady gminy dodatkowo wymaga opinii rad gmin objętych wnioskiem, poprzedzonych przeprowadzeniem przez te rady konsultacji z mieszkańcami, a w przypadku zmiany granic gminy naruszającej granice powiatów lub województw – opinii odpowiednich rad powiatów lub sejmików województw.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4. W przypadku przeprowadzenia referendum lokalnego w sprawie utworzenia, połączenia, podziału i zniesienia gminy oraz ustalenia granic gminy, o którym mowa w art. 4c, konsultacji z mieszkańcami, o których mowa w ust. 2, nie przeprowadza.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 xml:space="preserve">5. W przypadku gdy referendum lokalne w sprawie utworzenia, połączenia, podziału i zniesienia gminy oraz ustalenia granic gminy, o którym mowa w art. 4c, jest </w:t>
      </w:r>
      <w:r w:rsidRPr="005D1C11">
        <w:rPr>
          <w:rFonts w:ascii="Times New Roman" w:hAnsi="Times New Roman" w:cs="Times New Roman"/>
        </w:rPr>
        <w:lastRenderedPageBreak/>
        <w:t>ważne</w:t>
      </w:r>
      <w:r w:rsidR="00230461">
        <w:rPr>
          <w:rFonts w:ascii="Times New Roman" w:hAnsi="Times New Roman" w:cs="Times New Roman"/>
        </w:rPr>
        <w:t xml:space="preserve"> </w:t>
      </w:r>
      <w:r w:rsidR="00230461">
        <w:t xml:space="preserve">w rozumieniu art. 55 ust. 1 ustawy z dnia 15 września 2000 r. (tj. Dz. U. z 2016 r. poz. 400 ze zm.), </w:t>
      </w:r>
      <w:r w:rsidRPr="005D1C11">
        <w:rPr>
          <w:rFonts w:ascii="Times New Roman" w:hAnsi="Times New Roman" w:cs="Times New Roman"/>
        </w:rPr>
        <w:t>rada gminy nie przedstawia opinii, o której mowa w ust. 2.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6. W przypadku gdy w referendum, o którym mowa w ust. 5 za zaproponowanymi zmianami w podziale terytorialnym państwa:</w:t>
      </w:r>
    </w:p>
    <w:p w:rsidR="003629F9" w:rsidRPr="005D1C11" w:rsidRDefault="003629F9" w:rsidP="003629F9">
      <w:pPr>
        <w:pStyle w:val="PKTpunkt"/>
        <w:ind w:left="1276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1) oddano więcej niż połowę ważnych głosów wynik referendum uważa się za pozytywną opinię, o której mowa w ust. 2;</w:t>
      </w:r>
    </w:p>
    <w:p w:rsidR="003629F9" w:rsidRPr="005D1C11" w:rsidRDefault="003629F9" w:rsidP="003629F9">
      <w:pPr>
        <w:pStyle w:val="PKTpunkt"/>
        <w:ind w:left="1276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2) nie oddano więcej niż połowę ważnych głosów wynik referendum uważa się za negatywną opinię, o której mowa w ust. 2.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7. Do konsultacji z mieszkańcami, o których mowa w ust. 1-3, przepisy art. 4a ust. 2 i 2a stosuje się odpowiednio.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8. Do opinii, o których mowa w ust. 1 pkt 2 i ust. 3, przepisy art. 4a ust. 3 stosuje się odpowiednio.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9. W przypadku niewyrażenia opinii, o której mowa w ust. 2, w terminie 3 miesięcy od dnia otrzymania wystąpienia o opinię, uznaje się, że została wyrażona opinia negatywna.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10. Rada gminy występuje z wnioskiem, o którym mowa w ust. 1 pkt 1, do ministra właściwego do spraw administracji publicznej za pośrednictwem wojewody, w terminie do dnia 31 marca.</w:t>
      </w:r>
    </w:p>
    <w:p w:rsidR="003629F9" w:rsidRPr="005D1C11" w:rsidRDefault="003629F9" w:rsidP="003629F9">
      <w:pPr>
        <w:pStyle w:val="USTustnpkodeksu"/>
        <w:ind w:left="567"/>
        <w:rPr>
          <w:rFonts w:ascii="Times New Roman" w:hAnsi="Times New Roman" w:cs="Times New Roman"/>
        </w:rPr>
      </w:pPr>
      <w:r w:rsidRPr="005D1C11">
        <w:rPr>
          <w:rFonts w:ascii="Times New Roman" w:hAnsi="Times New Roman" w:cs="Times New Roman"/>
        </w:rPr>
        <w:t>11. Rada Ministrów określi, w drodze rozporządzenia, tryb postępowania przy składaniu wniosków, o których mowa w ust. 1 pkt 1, oraz dokumenty, które należy dołączyć do wniosku.”.</w:t>
      </w:r>
    </w:p>
    <w:p w:rsidR="003629F9" w:rsidRPr="005D1C11" w:rsidRDefault="003629F9" w:rsidP="003629F9">
      <w:pPr>
        <w:pStyle w:val="USTustnpkodeksu"/>
        <w:rPr>
          <w:rFonts w:ascii="Times New Roman" w:hAnsi="Times New Roman" w:cs="Times New Roman"/>
          <w:b/>
        </w:rPr>
      </w:pPr>
    </w:p>
    <w:p w:rsidR="003629F9" w:rsidRPr="00B83786" w:rsidRDefault="003629F9" w:rsidP="003629F9">
      <w:pPr>
        <w:pStyle w:val="USTustnpkodeksu"/>
        <w:rPr>
          <w:rFonts w:ascii="Times New Roman" w:hAnsi="Times New Roman" w:cs="Times New Roman"/>
          <w:b/>
        </w:rPr>
      </w:pPr>
      <w:r w:rsidRPr="00E86851">
        <w:rPr>
          <w:rStyle w:val="Ppogrubienie"/>
          <w:rFonts w:ascii="Times New Roman" w:hAnsi="Times New Roman" w:cs="Times New Roman"/>
        </w:rPr>
        <w:t>Art. 2.</w:t>
      </w:r>
      <w:r w:rsidRPr="00B83786">
        <w:rPr>
          <w:rStyle w:val="Ppogrubienie"/>
          <w:rFonts w:ascii="Times New Roman" w:hAnsi="Times New Roman" w:cs="Times New Roman"/>
          <w:b w:val="0"/>
        </w:rPr>
        <w:t xml:space="preserve"> Dotychczasowe przepisy wykonawcze wydane na podstawie art. 4b ust. 4 ustawy zmienianej w art. 1 zachowują moc do dnia wejścia w życie przepisów wykonawczych wydanych na podstawie art. 4b ust. 10 ustawy zmienianej w art. 1.</w:t>
      </w:r>
    </w:p>
    <w:p w:rsidR="003629F9" w:rsidRPr="005D1C11" w:rsidRDefault="003629F9" w:rsidP="003629F9">
      <w:pPr>
        <w:pStyle w:val="ARTartustawynprozporzdzenia"/>
        <w:rPr>
          <w:rFonts w:ascii="Times New Roman" w:hAnsi="Times New Roman" w:cs="Times New Roman"/>
        </w:rPr>
      </w:pPr>
      <w:r w:rsidRPr="005D1C11">
        <w:rPr>
          <w:rStyle w:val="Ppogrubienie"/>
          <w:rFonts w:ascii="Times New Roman" w:hAnsi="Times New Roman" w:cs="Times New Roman"/>
        </w:rPr>
        <w:t xml:space="preserve">Art. 3. </w:t>
      </w:r>
      <w:r w:rsidRPr="005D1C11">
        <w:rPr>
          <w:rFonts w:ascii="Times New Roman" w:hAnsi="Times New Roman" w:cs="Times New Roman"/>
        </w:rPr>
        <w:t>Ustawa wchodzi w życie z dniem …...</w:t>
      </w:r>
    </w:p>
    <w:p w:rsidR="00CF516C" w:rsidRDefault="00CF516C" w:rsidP="003D0F37">
      <w:pPr>
        <w:rPr>
          <w:sz w:val="24"/>
          <w:szCs w:val="24"/>
        </w:rPr>
      </w:pPr>
    </w:p>
    <w:p w:rsidR="008C30AD" w:rsidRDefault="008C30AD" w:rsidP="003D0F37">
      <w:pPr>
        <w:rPr>
          <w:sz w:val="24"/>
          <w:szCs w:val="24"/>
        </w:rPr>
      </w:pPr>
    </w:p>
    <w:p w:rsidR="008C30AD" w:rsidRDefault="008C30AD" w:rsidP="003D0F37">
      <w:pPr>
        <w:rPr>
          <w:sz w:val="24"/>
          <w:szCs w:val="24"/>
        </w:rPr>
      </w:pPr>
    </w:p>
    <w:p w:rsidR="008C30AD" w:rsidRDefault="008C30AD" w:rsidP="003D0F37">
      <w:pPr>
        <w:rPr>
          <w:sz w:val="24"/>
          <w:szCs w:val="24"/>
        </w:rPr>
      </w:pPr>
    </w:p>
    <w:p w:rsidR="00E11B7B" w:rsidRDefault="00E11B7B" w:rsidP="008C3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7B" w:rsidRDefault="00E11B7B" w:rsidP="008C3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DD5" w:rsidRDefault="00D02DD5" w:rsidP="008C30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02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F95A43"/>
    <w:multiLevelType w:val="hybridMultilevel"/>
    <w:tmpl w:val="C64E46F2"/>
    <w:lvl w:ilvl="0" w:tplc="020CEB8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7A"/>
    <w:rsid w:val="00006ECD"/>
    <w:rsid w:val="00084F89"/>
    <w:rsid w:val="000B1EAE"/>
    <w:rsid w:val="000D671F"/>
    <w:rsid w:val="00140C08"/>
    <w:rsid w:val="00182AF6"/>
    <w:rsid w:val="001911D5"/>
    <w:rsid w:val="001F4F9D"/>
    <w:rsid w:val="0020087A"/>
    <w:rsid w:val="00214DA5"/>
    <w:rsid w:val="00230461"/>
    <w:rsid w:val="00235385"/>
    <w:rsid w:val="00240880"/>
    <w:rsid w:val="002C0F0F"/>
    <w:rsid w:val="002F0E8F"/>
    <w:rsid w:val="00330BEE"/>
    <w:rsid w:val="003629F9"/>
    <w:rsid w:val="0036433D"/>
    <w:rsid w:val="003944F7"/>
    <w:rsid w:val="003D0F37"/>
    <w:rsid w:val="003F5D58"/>
    <w:rsid w:val="00420744"/>
    <w:rsid w:val="004512C8"/>
    <w:rsid w:val="004A3D76"/>
    <w:rsid w:val="004B01B8"/>
    <w:rsid w:val="004B72CB"/>
    <w:rsid w:val="004C2C16"/>
    <w:rsid w:val="005D1C11"/>
    <w:rsid w:val="005F0575"/>
    <w:rsid w:val="005F1822"/>
    <w:rsid w:val="006537D8"/>
    <w:rsid w:val="00684B5F"/>
    <w:rsid w:val="006F363F"/>
    <w:rsid w:val="00705C98"/>
    <w:rsid w:val="007641DB"/>
    <w:rsid w:val="00771F4A"/>
    <w:rsid w:val="00773C88"/>
    <w:rsid w:val="00865A45"/>
    <w:rsid w:val="00882095"/>
    <w:rsid w:val="008C30AD"/>
    <w:rsid w:val="008D6FCD"/>
    <w:rsid w:val="00923907"/>
    <w:rsid w:val="00943F09"/>
    <w:rsid w:val="00A3240E"/>
    <w:rsid w:val="00B83786"/>
    <w:rsid w:val="00BB7647"/>
    <w:rsid w:val="00BC7263"/>
    <w:rsid w:val="00C6539A"/>
    <w:rsid w:val="00CA3E8A"/>
    <w:rsid w:val="00CF1F34"/>
    <w:rsid w:val="00CF516C"/>
    <w:rsid w:val="00D02DD5"/>
    <w:rsid w:val="00D129F7"/>
    <w:rsid w:val="00D5297D"/>
    <w:rsid w:val="00DE5B3B"/>
    <w:rsid w:val="00DF6A36"/>
    <w:rsid w:val="00E11B7B"/>
    <w:rsid w:val="00E35DDD"/>
    <w:rsid w:val="00E86851"/>
    <w:rsid w:val="00E96843"/>
    <w:rsid w:val="00EB6DB2"/>
    <w:rsid w:val="00F108DD"/>
    <w:rsid w:val="00F74A09"/>
    <w:rsid w:val="00F8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7B62F-4ACD-4F5F-B22A-40CE1A0A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3629F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629F9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629F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3629F9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29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29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29F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2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9F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C30AD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Grzegorz Molesztak</cp:lastModifiedBy>
  <cp:revision>3</cp:revision>
  <cp:lastPrinted>2019-01-30T09:00:00Z</cp:lastPrinted>
  <dcterms:created xsi:type="dcterms:W3CDTF">2019-03-14T14:28:00Z</dcterms:created>
  <dcterms:modified xsi:type="dcterms:W3CDTF">2019-03-18T07:58:00Z</dcterms:modified>
</cp:coreProperties>
</file>