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95A10" w14:textId="77777777" w:rsidR="00FE3B3A" w:rsidRDefault="00564110">
      <w:pPr>
        <w:spacing w:after="0" w:line="360" w:lineRule="auto"/>
        <w:jc w:val="center"/>
        <w:rPr>
          <w:rFonts w:ascii="Times New Roman" w:eastAsia="Times New Roman" w:hAnsi="Times New Roman"/>
          <w:spacing w:val="4"/>
          <w:lang w:eastAsia="pl-PL"/>
        </w:rPr>
      </w:pPr>
      <w:bookmarkStart w:id="0" w:name="_GoBack"/>
      <w:bookmarkEnd w:id="0"/>
      <w:r>
        <w:rPr>
          <w:rFonts w:ascii="Times New Roman" w:eastAsia="Times New Roman" w:hAnsi="Times New Roman"/>
          <w:spacing w:val="4"/>
          <w:lang w:eastAsia="pl-PL"/>
        </w:rPr>
        <w:t>UZASADNIENIE</w:t>
      </w:r>
    </w:p>
    <w:p w14:paraId="4360C91B" w14:textId="3271CC2C"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Jednym z głównych celów projektowanej regulacji jest dostosowanie systemu handlu uprawnieniami do emisji gazów cieplarnianych do </w:t>
      </w:r>
      <w:r w:rsidR="004875B2">
        <w:rPr>
          <w:rFonts w:ascii="Times New Roman" w:hAnsi="Times New Roman"/>
          <w:color w:val="000000"/>
        </w:rPr>
        <w:t>panujących warunków gospodarczo</w:t>
      </w:r>
      <w:r w:rsidR="004875B2">
        <w:rPr>
          <w:rFonts w:ascii="Times New Roman" w:hAnsi="Times New Roman"/>
          <w:color w:val="000000"/>
        </w:rPr>
        <w:noBreakHyphen/>
      </w:r>
      <w:r>
        <w:rPr>
          <w:rFonts w:ascii="Times New Roman" w:hAnsi="Times New Roman"/>
          <w:color w:val="000000"/>
        </w:rPr>
        <w:t>społecznych. Dwuletni okres stosowania ustawy z dnia 12 czerwca 2015 r. o systemie handlu uprawnieniami do emisji gazów cieplarnianych (Dz.</w:t>
      </w:r>
      <w:r w:rsidR="00572860">
        <w:rPr>
          <w:rFonts w:ascii="Times New Roman" w:hAnsi="Times New Roman"/>
          <w:color w:val="000000"/>
        </w:rPr>
        <w:t xml:space="preserve"> </w:t>
      </w:r>
      <w:r>
        <w:rPr>
          <w:rFonts w:ascii="Times New Roman" w:hAnsi="Times New Roman"/>
          <w:color w:val="000000"/>
        </w:rPr>
        <w:t>U. z 2018 r. poz.</w:t>
      </w:r>
      <w:r w:rsidR="00572860">
        <w:rPr>
          <w:rFonts w:ascii="Times New Roman" w:hAnsi="Times New Roman"/>
          <w:color w:val="000000"/>
        </w:rPr>
        <w:t xml:space="preserve"> </w:t>
      </w:r>
      <w:r>
        <w:rPr>
          <w:rFonts w:ascii="Times New Roman" w:hAnsi="Times New Roman"/>
          <w:color w:val="000000"/>
        </w:rPr>
        <w:t>1201, z późn. zm.), zwanej dalej „USHE”</w:t>
      </w:r>
      <w:r w:rsidR="00086113">
        <w:rPr>
          <w:rFonts w:ascii="Times New Roman" w:hAnsi="Times New Roman"/>
          <w:color w:val="000000"/>
        </w:rPr>
        <w:t>,</w:t>
      </w:r>
      <w:r>
        <w:rPr>
          <w:rFonts w:ascii="Times New Roman" w:hAnsi="Times New Roman"/>
          <w:color w:val="000000"/>
        </w:rPr>
        <w:t xml:space="preserve"> zweryfikował obowiązujące regulacje prawne, ujawniając problemy praktyczne, które wymagają zmian. Opisany stan wymaga w szczególności usunięcia licznych wątpliwości interpretacyjnych, dostosowania terminów przewidzianych ww. ustawą do panujących realiów, zwiększenia wsparcia ministra właściwego</w:t>
      </w:r>
      <w:r w:rsidR="00944997">
        <w:rPr>
          <w:rFonts w:ascii="Times New Roman" w:hAnsi="Times New Roman"/>
          <w:color w:val="000000"/>
        </w:rPr>
        <w:t xml:space="preserve"> </w:t>
      </w:r>
      <w:r w:rsidR="00572860">
        <w:rPr>
          <w:rFonts w:ascii="Times New Roman" w:hAnsi="Times New Roman"/>
          <w:color w:val="000000"/>
        </w:rPr>
        <w:t>do spraw</w:t>
      </w:r>
      <w:r>
        <w:rPr>
          <w:rFonts w:ascii="Times New Roman" w:hAnsi="Times New Roman"/>
          <w:color w:val="000000"/>
        </w:rPr>
        <w:t xml:space="preserve"> środowiska przez jednostki nadzorowane, dostosowania obowiązków informacyjnych i przepływu informacji między prowadzącymi instalację a organami, a także między samymi organami. Dodatkowo zaproponowano ułatwienia dla podmiotów realizujących zadania wynikające z krajowego planu inwestycyjnego. Na potrzebę wprowadzenia zmian wskazują zarówno podmioty prowadzące instalacje, jak i organy administracji publicznej. </w:t>
      </w:r>
    </w:p>
    <w:p w14:paraId="730FEF54" w14:textId="73717F16" w:rsidR="00FE3B3A" w:rsidRDefault="00564110">
      <w:pPr>
        <w:spacing w:after="0" w:line="360" w:lineRule="auto"/>
        <w:jc w:val="both"/>
      </w:pPr>
      <w:r>
        <w:rPr>
          <w:rFonts w:ascii="Times New Roman" w:hAnsi="Times New Roman"/>
          <w:color w:val="000000"/>
        </w:rPr>
        <w:t xml:space="preserve">System handlu uprawnieniami do emisji gazów cieplarnianych funkcjonuje w szerszych ramach prawnych i oprócz </w:t>
      </w:r>
      <w:r>
        <w:rPr>
          <w:rFonts w:ascii="Times New Roman" w:eastAsia="Times New Roman" w:hAnsi="Times New Roman"/>
          <w:lang w:eastAsia="pl-PL"/>
        </w:rPr>
        <w:t>USHE,</w:t>
      </w:r>
      <w:r>
        <w:rPr>
          <w:rFonts w:ascii="Times New Roman" w:hAnsi="Times New Roman"/>
          <w:color w:val="000000"/>
        </w:rPr>
        <w:t xml:space="preserve"> obejmuje </w:t>
      </w:r>
      <w:r>
        <w:rPr>
          <w:rFonts w:ascii="Times New Roman" w:eastAsia="Times New Roman" w:hAnsi="Times New Roman"/>
          <w:lang w:eastAsia="pl-PL"/>
        </w:rPr>
        <w:t>ustawę z dnia 17 lipca 2009 r. o systemie zarządzania emisjami gazów cieplarnianych i innych substancji (Dz.</w:t>
      </w:r>
      <w:r w:rsidR="00944997">
        <w:rPr>
          <w:rFonts w:ascii="Times New Roman" w:eastAsia="Times New Roman" w:hAnsi="Times New Roman"/>
          <w:lang w:eastAsia="pl-PL"/>
        </w:rPr>
        <w:t xml:space="preserve"> </w:t>
      </w:r>
      <w:r>
        <w:rPr>
          <w:rFonts w:ascii="Times New Roman" w:eastAsia="Times New Roman" w:hAnsi="Times New Roman"/>
          <w:lang w:eastAsia="pl-PL"/>
        </w:rPr>
        <w:t>U. z 2018 r. poz. 1271, z późn.</w:t>
      </w:r>
      <w:r w:rsidR="006A4D78">
        <w:rPr>
          <w:rFonts w:ascii="Times New Roman" w:eastAsia="Times New Roman" w:hAnsi="Times New Roman"/>
          <w:lang w:eastAsia="pl-PL"/>
        </w:rPr>
        <w:t xml:space="preserve"> </w:t>
      </w:r>
      <w:r>
        <w:rPr>
          <w:rFonts w:ascii="Times New Roman" w:eastAsia="Times New Roman" w:hAnsi="Times New Roman"/>
          <w:lang w:eastAsia="pl-PL"/>
        </w:rPr>
        <w:t>zm.), zwan</w:t>
      </w:r>
      <w:r w:rsidR="00451436">
        <w:rPr>
          <w:rFonts w:ascii="Times New Roman" w:eastAsia="Times New Roman" w:hAnsi="Times New Roman"/>
          <w:lang w:eastAsia="pl-PL"/>
        </w:rPr>
        <w:t>ą</w:t>
      </w:r>
      <w:r>
        <w:rPr>
          <w:rFonts w:ascii="Times New Roman" w:eastAsia="Times New Roman" w:hAnsi="Times New Roman"/>
          <w:lang w:eastAsia="pl-PL"/>
        </w:rPr>
        <w:t xml:space="preserve"> dalej „USZE”</w:t>
      </w:r>
      <w:r w:rsidR="006A4D78">
        <w:rPr>
          <w:rFonts w:ascii="Times New Roman" w:eastAsia="Times New Roman" w:hAnsi="Times New Roman"/>
          <w:lang w:eastAsia="pl-PL"/>
        </w:rPr>
        <w:t>,</w:t>
      </w:r>
      <w:r>
        <w:rPr>
          <w:rFonts w:ascii="Times New Roman" w:eastAsia="Times New Roman" w:hAnsi="Times New Roman"/>
          <w:lang w:eastAsia="pl-PL"/>
        </w:rPr>
        <w:t xml:space="preserve"> oraz ustawę z dnia 27 kwietnia 2001 r. – Prawo ochrony środowiska (Dz.</w:t>
      </w:r>
      <w:r w:rsidR="006A4D78">
        <w:rPr>
          <w:rFonts w:ascii="Times New Roman" w:eastAsia="Times New Roman" w:hAnsi="Times New Roman"/>
          <w:lang w:eastAsia="pl-PL"/>
        </w:rPr>
        <w:t xml:space="preserve"> </w:t>
      </w:r>
      <w:r>
        <w:rPr>
          <w:rFonts w:ascii="Times New Roman" w:eastAsia="Times New Roman" w:hAnsi="Times New Roman"/>
          <w:lang w:eastAsia="pl-PL"/>
        </w:rPr>
        <w:t>U. z 2018 r. poz. 799, z późn. zm.), zwaną dalej „ustawą POŚ”. Liczne powiązania i odesłania do wskazanych ustaw sprawiają, że nowelizacja USHE wymaga zmiany m.in.</w:t>
      </w:r>
      <w:r w:rsidR="002058A4">
        <w:rPr>
          <w:rFonts w:ascii="Times New Roman" w:eastAsia="Times New Roman" w:hAnsi="Times New Roman"/>
          <w:lang w:eastAsia="pl-PL"/>
        </w:rPr>
        <w:t xml:space="preserve"> </w:t>
      </w:r>
      <w:r>
        <w:rPr>
          <w:rFonts w:ascii="Times New Roman" w:eastAsia="Times New Roman" w:hAnsi="Times New Roman"/>
          <w:lang w:eastAsia="pl-PL"/>
        </w:rPr>
        <w:t xml:space="preserve">niektórych przepisów wskazanych ustaw odnoszących się do funkcjonowania systemu. </w:t>
      </w:r>
    </w:p>
    <w:p w14:paraId="455D5BDB" w14:textId="49FBA769" w:rsidR="00FE3B3A" w:rsidRDefault="00564110">
      <w:pPr>
        <w:spacing w:after="0" w:line="360" w:lineRule="auto"/>
        <w:jc w:val="both"/>
        <w:rPr>
          <w:rFonts w:ascii="Times New Roman" w:hAnsi="Times New Roman"/>
          <w:color w:val="000000"/>
        </w:rPr>
      </w:pPr>
      <w:r>
        <w:rPr>
          <w:rFonts w:ascii="Times New Roman" w:hAnsi="Times New Roman"/>
          <w:color w:val="000000"/>
        </w:rPr>
        <w:t>Dotychczas obowiązująca USHE zawierała liczne braki regulacyjne, jak chociażby brak definicji eksploatacji instalacji, która rozstrzygałaby o momencie, od którego zależy obowiązek uzyskania zezwolenia i monitorowania wielkości emisji. W projekcie zmiany rozwiązano ten problem przez dodanie w art. 3 definicji „eksploatacji instalacji”, która w sw</w:t>
      </w:r>
      <w:r w:rsidR="00944997">
        <w:rPr>
          <w:rFonts w:ascii="Times New Roman" w:hAnsi="Times New Roman"/>
          <w:color w:val="000000"/>
        </w:rPr>
        <w:t>oj</w:t>
      </w:r>
      <w:r>
        <w:rPr>
          <w:rFonts w:ascii="Times New Roman" w:hAnsi="Times New Roman"/>
          <w:color w:val="000000"/>
        </w:rPr>
        <w:t>ej istocie nawiązuje do ustawy POŚ oraz regulacji europejskich, tj. art. 20 ust. 1 rozporządzenia Komisji (UE) nr 601/2012 z dnia 21 czerwca 2012 r. w sprawie monitorowania i raportowania w zakresie emisji gazów cieplarnianych zgodnie z dyrektywą 2003/87/WE Parlamentu Europejskiego i Rady (Dz. Urz. UE L 181 z 12.07.2012, str. 30, z późn. zm.), zwanego dalej „</w:t>
      </w:r>
      <w:r w:rsidR="004875B2">
        <w:rPr>
          <w:rFonts w:ascii="Times New Roman" w:hAnsi="Times New Roman"/>
          <w:color w:val="000000"/>
        </w:rPr>
        <w:t>rozporządzeniem Komisji (UE) nr </w:t>
      </w:r>
      <w:r>
        <w:rPr>
          <w:rFonts w:ascii="Times New Roman" w:hAnsi="Times New Roman"/>
          <w:color w:val="000000"/>
        </w:rPr>
        <w:t>601/2012”.</w:t>
      </w:r>
    </w:p>
    <w:p w14:paraId="2999C198" w14:textId="52B28249"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Znaczna część nowelizacji </w:t>
      </w:r>
      <w:r w:rsidR="00944997">
        <w:rPr>
          <w:rFonts w:ascii="Times New Roman" w:hAnsi="Times New Roman"/>
          <w:color w:val="000000"/>
        </w:rPr>
        <w:t xml:space="preserve">jest </w:t>
      </w:r>
      <w:r>
        <w:rPr>
          <w:rFonts w:ascii="Times New Roman" w:hAnsi="Times New Roman"/>
          <w:color w:val="000000"/>
        </w:rPr>
        <w:t xml:space="preserve">poświęcona dostosowaniu stanu prawnego do rzeczywistości społeczno-gospodarczej. W tym celu pomniejszono niektóre obciążenia, zarówno dla podmiotów prowadzących instalację, jak i organów administracyjnych. Do takich należy zwłaszcza zwolnienie prowadzącego instalację z obowiązku wnoszenia opłaty rocznej za prowadzenie rachunku w rejestrze Unii od roku następującego po roku, w którym złożył wniosek o zamknięcie rachunku, ponieważ faktyczne zamknięcie rachunku często następuje później. Regulacja ta będzie </w:t>
      </w:r>
      <w:r>
        <w:rPr>
          <w:rFonts w:ascii="Times New Roman" w:hAnsi="Times New Roman"/>
          <w:color w:val="000000"/>
        </w:rPr>
        <w:lastRenderedPageBreak/>
        <w:t xml:space="preserve">miała znaczenie dla podmiotów, które złożyły wniosek przed zakończeniem roku kalendarzowego, jednak został on rozpatrzony przez Administratora Rejestru po rozpoczęciu nowego roku. </w:t>
      </w:r>
    </w:p>
    <w:p w14:paraId="0AA4A051" w14:textId="2FCBFB62" w:rsidR="00FE3B3A" w:rsidRDefault="00564110">
      <w:pPr>
        <w:spacing w:after="0" w:line="360" w:lineRule="auto"/>
        <w:jc w:val="both"/>
        <w:rPr>
          <w:rFonts w:ascii="Times New Roman" w:hAnsi="Times New Roman"/>
          <w:color w:val="000000"/>
        </w:rPr>
      </w:pPr>
      <w:r>
        <w:rPr>
          <w:rFonts w:ascii="Times New Roman" w:hAnsi="Times New Roman"/>
          <w:color w:val="000000"/>
        </w:rPr>
        <w:t>Projekt zakłada dostosowanie też obowiązków informacyjnych między organami administracyjnymi. Dotychczas Krajowy Ośrodek Bilansowania i Zarządzania Emisjami, zwany dalej</w:t>
      </w:r>
      <w:r w:rsidR="002058A4">
        <w:rPr>
          <w:rFonts w:ascii="Times New Roman" w:hAnsi="Times New Roman"/>
          <w:color w:val="000000"/>
        </w:rPr>
        <w:t xml:space="preserve"> </w:t>
      </w:r>
      <w:r>
        <w:rPr>
          <w:rFonts w:ascii="Times New Roman" w:hAnsi="Times New Roman"/>
          <w:color w:val="000000"/>
        </w:rPr>
        <w:t>„Krajowym ośrodkiem”</w:t>
      </w:r>
      <w:r w:rsidR="00086113">
        <w:rPr>
          <w:rFonts w:ascii="Times New Roman" w:hAnsi="Times New Roman"/>
          <w:color w:val="000000"/>
        </w:rPr>
        <w:t>,</w:t>
      </w:r>
      <w:r>
        <w:rPr>
          <w:rFonts w:ascii="Times New Roman" w:hAnsi="Times New Roman"/>
          <w:color w:val="000000"/>
        </w:rPr>
        <w:t xml:space="preserve"> przekazywał Narodowemu Funduszowi Ochrony Środowiska i Gospodarki Wodnej, zwanemu dalej „NFOŚiGW”, informacje o otwartych rachunkach w terminie 30 dni od dokonania czynności. W projektowanej zmianie informacja będzie przekazywana zbiorczo do </w:t>
      </w:r>
      <w:r w:rsidR="003E1C65">
        <w:rPr>
          <w:rFonts w:ascii="Times New Roman" w:hAnsi="Times New Roman"/>
          <w:color w:val="000000"/>
        </w:rPr>
        <w:t xml:space="preserve">dnia </w:t>
      </w:r>
      <w:r>
        <w:rPr>
          <w:rFonts w:ascii="Times New Roman" w:hAnsi="Times New Roman"/>
          <w:color w:val="000000"/>
        </w:rPr>
        <w:t xml:space="preserve">15 lutego każdego roku o </w:t>
      </w:r>
      <w:r w:rsidR="004875B2">
        <w:rPr>
          <w:rFonts w:ascii="Times New Roman" w:hAnsi="Times New Roman"/>
          <w:color w:val="000000"/>
        </w:rPr>
        <w:t>otwartych rachunkach na dzień 1 </w:t>
      </w:r>
      <w:r>
        <w:rPr>
          <w:rFonts w:ascii="Times New Roman" w:hAnsi="Times New Roman"/>
          <w:color w:val="000000"/>
        </w:rPr>
        <w:t xml:space="preserve">stycznia tego roku. </w:t>
      </w:r>
    </w:p>
    <w:p w14:paraId="68A6EA76" w14:textId="3F77997F"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Jednocześnie zmodyfikowano zakres informacji przekazywanej przez NFOŚiGW do Krajowego ośrodka dotyczącej opłaty rocznej w ten sposób, że informacja </w:t>
      </w:r>
      <w:r w:rsidR="00944997">
        <w:rPr>
          <w:rFonts w:ascii="Times New Roman" w:hAnsi="Times New Roman"/>
          <w:color w:val="000000"/>
        </w:rPr>
        <w:t xml:space="preserve">będzie </w:t>
      </w:r>
      <w:r>
        <w:rPr>
          <w:rFonts w:ascii="Times New Roman" w:hAnsi="Times New Roman"/>
          <w:color w:val="000000"/>
        </w:rPr>
        <w:t>zawierać listę rachunków, za które opłata roczna nie została wniesiona. Ponieważ przypadki uchylania się od obowiązku wniesienia opłaty mają charakter incydentalny, Administratorowi łatwiej jest przetworzyć informację, która wskazuje podmioty niewykonujące obowiązku i wobec nich zastosować określone środki dyscyplinujące.</w:t>
      </w:r>
    </w:p>
    <w:p w14:paraId="667DA30E" w14:textId="77B5F5C0" w:rsidR="00FE3B3A" w:rsidRDefault="00564110">
      <w:pPr>
        <w:spacing w:after="0" w:line="360" w:lineRule="auto"/>
        <w:jc w:val="both"/>
      </w:pPr>
      <w:r>
        <w:rPr>
          <w:rFonts w:ascii="Times New Roman" w:hAnsi="Times New Roman"/>
          <w:color w:val="000000"/>
        </w:rPr>
        <w:t xml:space="preserve">Zmianie ulegają również ogólne zasady przydzielania instalacjom uprawnień do emisji. W znacznej mierze przepisy te mają charakter doprecyzowujący i mają na celu wyeliminowanie stwierdzonych w trakcie stosowania USHE luk w obowiązujących przepisach. Taki charakter ma również regulacja wprowadzana w dodawanym art. 25a ww. ustawy, która ma na celu wprowadzenie podstawy do korygowania całkowitej rocznej liczby uprawnień do emisji w dwóch przypadkach. Po pierwsze w sytuacji, gdy zmianie ulegają </w:t>
      </w:r>
      <w:r>
        <w:rPr>
          <w:rFonts w:ascii="Times New Roman" w:hAnsi="Times New Roman"/>
        </w:rPr>
        <w:t>przepisy odnoszące się do zasad obliczania całkowitej rocznej liczby uprawnień do emisji</w:t>
      </w:r>
      <w:r w:rsidR="00944997">
        <w:rPr>
          <w:rFonts w:ascii="Times New Roman" w:hAnsi="Times New Roman"/>
        </w:rPr>
        <w:t>,</w:t>
      </w:r>
      <w:r>
        <w:rPr>
          <w:rFonts w:ascii="Times New Roman" w:hAnsi="Times New Roman"/>
          <w:color w:val="000000"/>
        </w:rPr>
        <w:t xml:space="preserve"> i po drugie, gdy pierwotnie przedłożone do rozpatrzenia wnioski dotyczące przydziału uprawnień do emisji dla instalacji nowej lub informacje składane na skutek znaczącego zmniejszenia zdolności produkcyjnej ujawnią istnienie błędów, w wyniku których całkowita roczna liczba uprawnień do emisji dla danej instalacji została pierwotnie dokonana w sposób wadliwy. Należy przy tym zauważyć, że podstawą do weryfikacji liczby uprawnień do emisji będą jedynie takie błędy, które maj</w:t>
      </w:r>
      <w:r w:rsidR="00944997">
        <w:rPr>
          <w:rFonts w:ascii="Times New Roman" w:hAnsi="Times New Roman"/>
          <w:color w:val="000000"/>
        </w:rPr>
        <w:t>ą</w:t>
      </w:r>
      <w:r>
        <w:rPr>
          <w:rFonts w:ascii="Times New Roman" w:hAnsi="Times New Roman"/>
          <w:color w:val="000000"/>
        </w:rPr>
        <w:t xml:space="preserve"> charakter rażący i nie zostały zawinione przez prowadzącego instalację. Zastosowanie takich kryteriów zawężających ma uzasadnienie w praktyce działania Komisji Europejskiej, która ocenia zasadność korekt przydziałów uprawnień do emisji w sytuacji błędów popełnianych na etapie opracowywania i weryfikacji wniosków o przydział. Komisja nie zawsze aprobuje propozycje zmian przedstawianych przez państwa członkowskie.</w:t>
      </w:r>
      <w:r w:rsidR="002058A4">
        <w:rPr>
          <w:rFonts w:ascii="Times New Roman" w:hAnsi="Times New Roman"/>
          <w:color w:val="000000"/>
        </w:rPr>
        <w:t xml:space="preserve"> </w:t>
      </w:r>
    </w:p>
    <w:p w14:paraId="7CE54964" w14:textId="51200B93" w:rsidR="00FE3B3A" w:rsidRDefault="00564110">
      <w:pPr>
        <w:spacing w:after="0" w:line="360" w:lineRule="auto"/>
        <w:jc w:val="both"/>
      </w:pPr>
      <w:r>
        <w:rPr>
          <w:rFonts w:ascii="Times New Roman" w:hAnsi="Times New Roman"/>
          <w:color w:val="000000"/>
        </w:rPr>
        <w:t xml:space="preserve">W obu przypadkach, w których zajdzie podstawa do skorygowania całkowitej rocznej liczby uprawnień do emisji, prowadzący instalacje zostaną wezwani do złożenia skorygowanych wniosków o przydział uprawnień do emisji. Wnioski te zostaną poddane procedurze sprawdzania </w:t>
      </w:r>
      <w:r>
        <w:rPr>
          <w:rFonts w:ascii="Times New Roman" w:hAnsi="Times New Roman"/>
          <w:color w:val="000000"/>
        </w:rPr>
        <w:lastRenderedPageBreak/>
        <w:t xml:space="preserve">i akceptacji przez Komisję Europejską, tak jak ma to miejsce przy rozpatrywaniu wniosków o przydział uprawnień do emisji na dany okres rozliczeniowy. Należy dodać, że ujawnienie błędów przy wyznaczeniu całkowitej rocznej liczby uprawnień do emisji przy okazji prowadzenia postępowania w sprawie zmiany liczby uprawnień do emisji przydzielonych instalacji (znaczące zwiększenie lub zmniejszenie zdolności produkcyjnych w instalacji) doprowadzi do wstrzymania tego postępowania. Postępowanie zostanie podjęte po zaakceptowaniu korekty całkowitej rocznej liczby uprawnień do emisji przez Komisję Europejską. </w:t>
      </w:r>
      <w:r>
        <w:rPr>
          <w:rFonts w:ascii="Times New Roman" w:hAnsi="Times New Roman"/>
        </w:rPr>
        <w:t xml:space="preserve">W związku z przyjęciem zmian do dyrektywy 2003/87/WE Parlamentu Europejskiego i Rady z dnia 13 października 2003 r. </w:t>
      </w:r>
      <w:r>
        <w:rPr>
          <w:rFonts w:ascii="Times New Roman" w:hAnsi="Times New Roman"/>
          <w:iCs/>
        </w:rPr>
        <w:t>ustanawiającej system handlu przydziałami</w:t>
      </w:r>
      <w:r w:rsidR="002058A4">
        <w:rPr>
          <w:rFonts w:ascii="Times New Roman" w:hAnsi="Times New Roman"/>
          <w:iCs/>
        </w:rPr>
        <w:t xml:space="preserve"> </w:t>
      </w:r>
      <w:r>
        <w:rPr>
          <w:rFonts w:ascii="Times New Roman" w:hAnsi="Times New Roman"/>
          <w:iCs/>
        </w:rPr>
        <w:t>do emisji gazów cieplarnianych we Wspólnocie oraz zmieniającej dyrektywę Rady 96/91/WE</w:t>
      </w:r>
      <w:r>
        <w:rPr>
          <w:rFonts w:ascii="Times New Roman" w:hAnsi="Times New Roman"/>
        </w:rPr>
        <w:t xml:space="preserve"> (Dz. Urz. UE L 275 z 25.10.2003, str. 32, z późn. zm.</w:t>
      </w:r>
      <w:r w:rsidR="003E1C65">
        <w:rPr>
          <w:rFonts w:ascii="Times New Roman" w:hAnsi="Times New Roman"/>
        </w:rPr>
        <w:t xml:space="preserve"> </w:t>
      </w:r>
      <w:r w:rsidR="002058A4">
        <w:rPr>
          <w:rFonts w:ascii="Times New Roman" w:hAnsi="Times New Roman"/>
        </w:rPr>
        <w:t>–</w:t>
      </w:r>
      <w:r>
        <w:rPr>
          <w:rFonts w:ascii="Times New Roman" w:hAnsi="Times New Roman"/>
        </w:rPr>
        <w:t xml:space="preserve"> Dz. Urz. UE Polskie wydanie specjalne, rozdz. 15, t. 7, str.</w:t>
      </w:r>
      <w:r w:rsidR="003E1C65">
        <w:rPr>
          <w:rFonts w:ascii="Times New Roman" w:hAnsi="Times New Roman"/>
        </w:rPr>
        <w:t xml:space="preserve"> </w:t>
      </w:r>
      <w:r>
        <w:rPr>
          <w:rFonts w:ascii="Times New Roman" w:hAnsi="Times New Roman"/>
        </w:rPr>
        <w:t xml:space="preserve">631), zwanej dalej </w:t>
      </w:r>
      <w:r w:rsidR="00086113">
        <w:rPr>
          <w:rFonts w:ascii="Times New Roman" w:hAnsi="Times New Roman"/>
        </w:rPr>
        <w:t>„</w:t>
      </w:r>
      <w:r>
        <w:rPr>
          <w:rFonts w:ascii="Times New Roman" w:hAnsi="Times New Roman"/>
        </w:rPr>
        <w:t>dyrektywą 2003/87/WE”</w:t>
      </w:r>
      <w:r w:rsidR="00086113">
        <w:rPr>
          <w:rFonts w:ascii="Times New Roman" w:hAnsi="Times New Roman"/>
        </w:rPr>
        <w:t>,</w:t>
      </w:r>
      <w:r>
        <w:rPr>
          <w:rFonts w:ascii="Times New Roman" w:hAnsi="Times New Roman"/>
        </w:rPr>
        <w:t xml:space="preserve"> wprowadzonych dyrektywą Parlamentu Europejskiego i Rady (UE) 2018/410 z dnia 14 marca 2018 r. </w:t>
      </w:r>
      <w:r w:rsidR="00944997">
        <w:rPr>
          <w:rFonts w:ascii="Times New Roman" w:hAnsi="Times New Roman"/>
          <w:iCs/>
        </w:rPr>
        <w:t>zmieniającą</w:t>
      </w:r>
      <w:r>
        <w:rPr>
          <w:rFonts w:ascii="Times New Roman" w:hAnsi="Times New Roman"/>
          <w:iCs/>
        </w:rPr>
        <w:t xml:space="preserve"> dyrektyw</w:t>
      </w:r>
      <w:r w:rsidR="00944997">
        <w:rPr>
          <w:rFonts w:ascii="Times New Roman" w:hAnsi="Times New Roman"/>
          <w:iCs/>
        </w:rPr>
        <w:t>ę</w:t>
      </w:r>
      <w:r>
        <w:rPr>
          <w:rFonts w:ascii="Times New Roman" w:hAnsi="Times New Roman"/>
          <w:iCs/>
        </w:rPr>
        <w:t xml:space="preserve"> 2003/87/WE w celu wzmocnienia efektywnych pod względem kosztów redukcji emisji oraz inwestycji niskoemisyjnych oraz decyzję (UE) 2015/1814 (Dz. Urz. UE L 334 z 31.12.2018, str. 94), zwanej dalej „dyrektywą 2018/410”</w:t>
      </w:r>
      <w:r w:rsidR="00086113">
        <w:rPr>
          <w:rFonts w:ascii="Times New Roman" w:hAnsi="Times New Roman"/>
          <w:iCs/>
        </w:rPr>
        <w:t>,</w:t>
      </w:r>
      <w:r>
        <w:rPr>
          <w:rFonts w:ascii="Times New Roman" w:hAnsi="Times New Roman"/>
          <w:i/>
          <w:iCs/>
        </w:rPr>
        <w:t xml:space="preserve"> </w:t>
      </w:r>
      <w:r>
        <w:rPr>
          <w:rFonts w:ascii="Times New Roman" w:hAnsi="Times New Roman"/>
        </w:rPr>
        <w:t>zachodzi potrzeba wprowadzenia nowych regulacji dotyczących zbierania danych na potrzeby zharmonizowanego bezpłatnego przydziału uprawnień do emisji na okres 2021</w:t>
      </w:r>
      <w:r w:rsidR="002058A4">
        <w:rPr>
          <w:rFonts w:ascii="Times New Roman" w:hAnsi="Times New Roman"/>
        </w:rPr>
        <w:t>–</w:t>
      </w:r>
      <w:r>
        <w:rPr>
          <w:rFonts w:ascii="Times New Roman" w:hAnsi="Times New Roman"/>
        </w:rPr>
        <w:t xml:space="preserve">2030. Zmiany zawarte w dyrektywie 2018/410 dotyczą w szczególności zasad przydziału bezpłatnych uprawnień do emisji. Aby polskie podmioty mogły wystąpić o ich przydział, konieczne jest wprowadzanie do prawa krajowego nowych zasad związanych z procesem zbierania danych na potrzeby ustalenia wysokości przydziału zawartych w ww. dyrektywie. W dyrektywie 2018/410 został </w:t>
      </w:r>
      <w:r w:rsidR="00944997">
        <w:rPr>
          <w:rFonts w:ascii="Times New Roman" w:hAnsi="Times New Roman"/>
        </w:rPr>
        <w:t xml:space="preserve">określony </w:t>
      </w:r>
      <w:r>
        <w:rPr>
          <w:rFonts w:ascii="Times New Roman" w:hAnsi="Times New Roman"/>
        </w:rPr>
        <w:t xml:space="preserve">termin na złożenie wykazu instalacji zawierającego informacje na temat poziomów działalności produkcyjnej, przepływów ciepła i gazów, wytwarzania energii elektrycznej oraz emisji na poziomie podinstalacji (nie jak do tej pory wykazu instalacji wraz z proponowaną wstępną całkowitą roczną liczbą uprawnień do emisji). Termin przekazania wykazu przez państwa członkowskie upływa dnia 30 września 2019 r., dlatego też wcześniej należy wprowadzić podstawy do zbierania i przekazywania danych w nowym układzie co do treści i formy. W ten sposób polskie przedsiębiorstwa będą mogły złożyć odpowiednie informacje, a co za tym </w:t>
      </w:r>
      <w:r w:rsidR="00944997">
        <w:rPr>
          <w:rFonts w:ascii="Times New Roman" w:hAnsi="Times New Roman"/>
        </w:rPr>
        <w:t xml:space="preserve">idzie </w:t>
      </w:r>
      <w:r>
        <w:rPr>
          <w:rFonts w:ascii="Times New Roman" w:hAnsi="Times New Roman"/>
        </w:rPr>
        <w:t xml:space="preserve">mieć możliwość uzyskania przydziału bezpłatnych uprawnień do emisji. Obowiązek składania wniosków o przydział uprawnień do emisji istnieje w USHE, w rozdziale 5, jednakże zmiany wprowadzane ww. dyrektywą powodują, iż przepisy te są nieadekwatne do nowych wymagań. Proponowane zmiany nie obciążają podmiotów objętych systemem nowymi wymaganiami i obowiązkami, ale je redefiniują. </w:t>
      </w:r>
    </w:p>
    <w:p w14:paraId="033D8475" w14:textId="6BA254E7" w:rsidR="00FE3B3A" w:rsidRDefault="00564110">
      <w:pPr>
        <w:spacing w:after="0" w:line="360" w:lineRule="auto"/>
        <w:jc w:val="both"/>
        <w:rPr>
          <w:rFonts w:ascii="Times New Roman" w:hAnsi="Times New Roman"/>
        </w:rPr>
      </w:pPr>
      <w:r>
        <w:rPr>
          <w:rFonts w:ascii="Times New Roman" w:hAnsi="Times New Roman"/>
        </w:rPr>
        <w:t>Z uwagi na to, że dotychczasowe przepisy zawarte w rozdziale 5 USHE odnoszą się do okresu 2013</w:t>
      </w:r>
      <w:r w:rsidR="002058A4">
        <w:rPr>
          <w:rFonts w:ascii="Times New Roman" w:hAnsi="Times New Roman"/>
        </w:rPr>
        <w:t>–</w:t>
      </w:r>
      <w:r>
        <w:rPr>
          <w:rFonts w:ascii="Times New Roman" w:hAnsi="Times New Roman"/>
        </w:rPr>
        <w:t>2020 (proponowana zmiana tytułu rozdziału) i w da</w:t>
      </w:r>
      <w:r w:rsidR="004875B2">
        <w:rPr>
          <w:rFonts w:ascii="Times New Roman" w:hAnsi="Times New Roman"/>
        </w:rPr>
        <w:t xml:space="preserve">lszym ciągu będą one stosowane </w:t>
      </w:r>
      <w:r>
        <w:rPr>
          <w:rFonts w:ascii="Times New Roman" w:hAnsi="Times New Roman"/>
        </w:rPr>
        <w:t>w odniesieniu do spraw dotyczących przydziału uprawnień do emisji w bieżącym okresie rozliczeniowym, proponuje się, aby te nowe zasady ująć w nowym rozdziale 5a w ww. ustawie.</w:t>
      </w:r>
    </w:p>
    <w:p w14:paraId="6A0F2B2F" w14:textId="5568DDD8" w:rsidR="00FE3B3A" w:rsidRDefault="00564110">
      <w:pPr>
        <w:spacing w:after="0" w:line="360" w:lineRule="auto"/>
        <w:jc w:val="both"/>
      </w:pPr>
      <w:r>
        <w:rPr>
          <w:rFonts w:ascii="Times New Roman" w:hAnsi="Times New Roman"/>
        </w:rPr>
        <w:t>Wejście w życie z dniem 28 lutego 2019 r. nowego rozporządzenia delegowanego Komisji (UE) 2019/331 z dnia 19 grudnia 2018 r. w sprawie ustanowienia przejściowych zasad dotyczących zharmonizowanego przydziału bezpłatnych uprawnień do emisji</w:t>
      </w:r>
      <w:r w:rsidR="004875B2">
        <w:rPr>
          <w:rFonts w:ascii="Times New Roman" w:hAnsi="Times New Roman"/>
        </w:rPr>
        <w:t xml:space="preserve"> w całej Unii na podstawie art. </w:t>
      </w:r>
      <w:r>
        <w:rPr>
          <w:rFonts w:ascii="Times New Roman" w:hAnsi="Times New Roman"/>
        </w:rPr>
        <w:t>10a dyrektywy 2003/87/WE Parlamentu Europejskiego i Rad</w:t>
      </w:r>
      <w:r>
        <w:rPr>
          <w:rFonts w:ascii="Times New Roman" w:hAnsi="Times New Roman"/>
          <w:i/>
        </w:rPr>
        <w:t xml:space="preserve">y </w:t>
      </w:r>
      <w:r>
        <w:rPr>
          <w:rFonts w:ascii="Times New Roman" w:hAnsi="Times New Roman"/>
        </w:rPr>
        <w:t>(Dz. Urz. UE L 59 z 27.02.2019, str. 8), zwane dalej „rozporządzeniem Komisji (UE) 2019/331”, które zastępuje dotychczasową decyzję Komisji 2011/278/UE z dnia 27 kwietnia 2011 r. w sprawie ustanowienia przejściowych zasad dotyczących zharmonizowanego przydziału bezpłatnych uprawnień do emisji w całej Unii na mocy art. 10a dyrektywy 2003/87/WE Parlamentu Europejskiego i Rady (Dz. Urz. UE L 130 z 17.05.2011, str. 1, z późn. zm.)</w:t>
      </w:r>
      <w:r w:rsidR="003E1C65">
        <w:rPr>
          <w:rFonts w:ascii="Times New Roman" w:hAnsi="Times New Roman"/>
        </w:rPr>
        <w:t>,</w:t>
      </w:r>
      <w:r>
        <w:rPr>
          <w:rFonts w:ascii="Times New Roman" w:hAnsi="Times New Roman"/>
        </w:rPr>
        <w:t xml:space="preserve"> spowodowało potrzebę wprowadzenia zmodyfikowanych rozwiązań w zakresie metodyki zbierania danych na potrzeby opracowania wniosku o przydział uprawnień do emisji.</w:t>
      </w:r>
    </w:p>
    <w:p w14:paraId="62F88A22" w14:textId="646C8DE4" w:rsidR="00FE3B3A" w:rsidRDefault="00564110">
      <w:pPr>
        <w:spacing w:after="0" w:line="360" w:lineRule="auto"/>
        <w:jc w:val="both"/>
        <w:rPr>
          <w:rFonts w:ascii="Times New Roman" w:hAnsi="Times New Roman"/>
        </w:rPr>
      </w:pPr>
      <w:r>
        <w:rPr>
          <w:rFonts w:ascii="Times New Roman" w:hAnsi="Times New Roman"/>
        </w:rPr>
        <w:t>Nowością normatywną wprowadzoną rozporządzeniem Komisji (UE) 2019/331 jest obowiązek opracowywania i przedkładania przez prowadzących instalację do zatwierdzenia przez właściwy organ planów metodyki monitorowania. Plany metodyki monitorowania muszą zostać zatwierdzone przez właściwy organ w terminie do dnia 31 grudnia 2020 r. (art. 6 rozporządzenia Komisji (UE) 2019/331). Przedmiotowe plany są największą nowością normatywną wynikającą z wejścia w życie rozporządzenia Komisji (UE) 2019/331. Przepisy dostosowujące w tym zakresie USHE do rozporządzenia Komisji (UE) 2019/331 zostały przewidziane w nowym rozdziale 5b. Przyjęto, że organem właściwym do zatwierdzenia planów metodyki monitorowania będzie organ właściwy do wydania zezwolenia na emisję gazów cieplarnianych. W świetle obowiązujących przepisów organ właściwy do spraw zezwolenia zatwierdza w zezwoleniu plan monitorowania wielkości emisji. Projektodawcy wyszli z założenia, że zasadne jest zatem powierzenie tym właśnie organom zatwierdzania także planów metodyki monitorowania. Krajowy ośrodek, ze względu na posiadane doświadczenie i wiedzę, będzie opiniował te plany, oceniając ich treść z punktu widzenia kompletności, przejrzystości i zgodności z przepisami rozporządzenia Komisji (UE) 2019/331. Należy zauważyć, że zakres merytoryczny planów metodyki monitorowania jest powiązany z materią wniosków o przydział uprawnień do emisji i wymaga weryfikacji szeregu informacji dotyczących wytyczania podinstalacji w obrębie instalacji objętej systemem, poziomów działalności, przepływów energii i emisji na poziomie podinstalacji. Informacje takie są gromadzone w Krajowym ośrodku i przetwarzane w procesie analizowania i weryfikowania wniosków o przydział uprawnień do emisji i opracowywania wykazów instalacji wraz z proponowanymi wielkościami przydziałów uprawnień do emisji w okresie rozliczeniowym. Decyzja o powierzeniu Krajowemu ośrodkowi zadania polegającego na opiniowaniu planów metodyki monitorowania jest uzasadniona tym, że jest to jednostka przygotowana merytorycznie do realizacji tego zadania. Ze względu na potrzebę ograniczenia obciążeń administracyjnych tak po stronie organu właściwego do spraw zezwolenia</w:t>
      </w:r>
      <w:r w:rsidR="00944997">
        <w:rPr>
          <w:rFonts w:ascii="Times New Roman" w:hAnsi="Times New Roman"/>
        </w:rPr>
        <w:t>,</w:t>
      </w:r>
      <w:r>
        <w:rPr>
          <w:rFonts w:ascii="Times New Roman" w:hAnsi="Times New Roman"/>
        </w:rPr>
        <w:t xml:space="preserve"> jak i po stronie prowadzącego instalację oraz ze względu na skrócenie czasu trwania postępowania przewidziano procedurę, w której Krajowy ośrodek będzie kontaktował się bezpośrednio z prowadzącym instalację w celu wyeliminowania uchybień i błędów stwierdzonych w planach, niemniej organ prowadzący postępowanie otrzyma na każdym etapie informację o uchybieniach stwierdzonych we wniosku i o zakresie niezbędnych uzupełnień i zmian. Rozwiązanie to ma na celu, jak wspomniano, skrócenie czasu załatwienia wniosku (wyeliminowanie pośrednictwa organu przy pozyskiwaniu specjalistycznych informacji niezbędnych do oceny wniosku i ewentualnych zniekształceń tych informacji, które gwarantuje bezpośredni kontakt wyspecjalizowanego organu i wnioskodawcy) i przedstawienia opinii przez Krajowy ośrodek, a dodatkowo jest obliczone na ograniczenie liczby negatywnych opinii w sprawie planu metodyki przedstawionego do zatwierdzenia przez organ. Bezpośredni kontakt z prowadzącym instalację i przewidziana w USHE procedura wyjaśniania wątpliwości oraz uzupełniania braków stwierdzonych we wniosku ma na celu (przy założeniu, że prowadzący instalację będzie współpracował na rzecz wyjaśnienia tych wątpliwości)</w:t>
      </w:r>
      <w:r w:rsidR="002058A4">
        <w:rPr>
          <w:rFonts w:ascii="Times New Roman" w:hAnsi="Times New Roman"/>
        </w:rPr>
        <w:t xml:space="preserve"> </w:t>
      </w:r>
      <w:r>
        <w:rPr>
          <w:rFonts w:ascii="Times New Roman" w:hAnsi="Times New Roman"/>
        </w:rPr>
        <w:t>doprowadzić do uzyskania takiej postaci planu, który uzyska pozytywną opinię Krajowego ośrodka.</w:t>
      </w:r>
    </w:p>
    <w:p w14:paraId="73D825F2" w14:textId="29EF4F36" w:rsidR="00FE3B3A" w:rsidRDefault="00564110">
      <w:pPr>
        <w:spacing w:after="0" w:line="360" w:lineRule="auto"/>
        <w:jc w:val="both"/>
        <w:rPr>
          <w:rFonts w:ascii="Times New Roman" w:hAnsi="Times New Roman"/>
        </w:rPr>
      </w:pPr>
      <w:r>
        <w:rPr>
          <w:rFonts w:ascii="Times New Roman" w:hAnsi="Times New Roman"/>
        </w:rPr>
        <w:t>Organem odwoławczym od decyzji organu właściwego do spraw zezwolenia będzie na podstawie art. 6 USHE</w:t>
      </w:r>
      <w:r w:rsidR="002058A4">
        <w:rPr>
          <w:rFonts w:ascii="Times New Roman" w:hAnsi="Times New Roman"/>
        </w:rPr>
        <w:t xml:space="preserve"> </w:t>
      </w:r>
      <w:r>
        <w:rPr>
          <w:rFonts w:ascii="Times New Roman" w:hAnsi="Times New Roman"/>
        </w:rPr>
        <w:t xml:space="preserve">minister właściwy do spraw środowiska. </w:t>
      </w:r>
    </w:p>
    <w:p w14:paraId="4634AED3" w14:textId="77777777" w:rsidR="00FE3B3A" w:rsidRDefault="00564110">
      <w:pPr>
        <w:spacing w:after="0" w:line="360" w:lineRule="auto"/>
        <w:jc w:val="both"/>
        <w:rPr>
          <w:rFonts w:ascii="Times New Roman" w:hAnsi="Times New Roman"/>
        </w:rPr>
      </w:pPr>
      <w:r>
        <w:rPr>
          <w:rFonts w:ascii="Times New Roman" w:hAnsi="Times New Roman"/>
        </w:rPr>
        <w:t xml:space="preserve">Ponadto w projektowanych przepisach zawarto regulacje przejściową, która zobowiązuje prowadzących instalację do przedłożenia planu metodyki monitorowania w terminie 30 dni od dnia wejścia w życie ustawy. </w:t>
      </w:r>
    </w:p>
    <w:p w14:paraId="6E239C82" w14:textId="77777777" w:rsidR="00FE3B3A" w:rsidRDefault="00564110">
      <w:pPr>
        <w:spacing w:after="0" w:line="360" w:lineRule="auto"/>
        <w:jc w:val="both"/>
        <w:rPr>
          <w:rFonts w:ascii="Times New Roman" w:hAnsi="Times New Roman"/>
        </w:rPr>
      </w:pPr>
      <w:r>
        <w:rPr>
          <w:rFonts w:ascii="Times New Roman" w:hAnsi="Times New Roman"/>
        </w:rPr>
        <w:t>Przewidziana jest również regulacja przejściowa dotycząca ponoszenia przez prowadzących instalacje, którzy występują z wnioskiem o przydział uprawnień do emisji w nowym okresie rozliczeniowym rozpoczynającym się od 2021 r., kosztów weryfikacji planów metodyki monitorowania. Należy zauważyć, że zasadniczo plany metodyki monitorowania nie są objęte obowiązkiem weryfikacji, natomiast podlegają one zatwierdzeniu przez właściwy organ. Rozporządzenie Komisji (UE) 2019/331 przewiduje wyjątek w tym względzie polegający na tym, że plany metodyki przedkładane w 2019 r. jako element wniosku o przydział uprawnień do emisji powinny zostać zweryfikowane, jeśli nie zostały wcześniej zatwierdzone. Ponieważ przepisy stanowiące podstawę zatwierdzenia planów metodyki monitorowania wprowadza dopiero projektowana ustawa, należało dopuścić możliwość przedkładania planów metodyki zweryfikowanych przez niezależnych weryfikatorów oraz przesądzić o tym, kto poniesie koszty tej weryfikacji.</w:t>
      </w:r>
    </w:p>
    <w:p w14:paraId="6738087B" w14:textId="4B89C7C6" w:rsidR="00FE3B3A" w:rsidRDefault="00564110">
      <w:pPr>
        <w:spacing w:after="0" w:line="360" w:lineRule="auto"/>
        <w:jc w:val="both"/>
        <w:rPr>
          <w:rFonts w:ascii="Times New Roman" w:hAnsi="Times New Roman"/>
          <w:color w:val="000000"/>
        </w:rPr>
      </w:pPr>
      <w:r>
        <w:rPr>
          <w:rFonts w:ascii="Times New Roman" w:hAnsi="Times New Roman"/>
          <w:color w:val="000000"/>
        </w:rPr>
        <w:t>Ponadto w projekcie wprowadzono szereg przepisów zmierzających w kierunku zapewnienia inwestorom większej swobody przy podejmowaniu decyzji strategicznych. Projektowane zmiany dotyczą rozliczania kosztów inwestycyjnych poszczególnych zadań ujętych w krajowym planie inwestycyjnym. Polegają one w szczególności na możliwości bilansowania wydanych uprawnień do emisji kosztami innych zadań inwestycyjnych w przypadku, gdyby inwestor zaprzestał realizacji jakiegoś zadania lub nie osiągnął zatwierdzonych wskaźników zgodności (zmiany zawarte w dodanym art. 40a w USHE). Dodatkowo zaproponowano zablokowanie możliwości przekraczania limitu kosztów inwestycyjnych określonego dla zadań w krajowym planie inwestycyjnym. W przypadku złożenia wniosku o zbilansowanie wartości</w:t>
      </w:r>
      <w:r w:rsidR="002058A4">
        <w:rPr>
          <w:rFonts w:ascii="Times New Roman" w:hAnsi="Times New Roman"/>
          <w:color w:val="000000"/>
        </w:rPr>
        <w:t xml:space="preserve"> </w:t>
      </w:r>
      <w:r>
        <w:rPr>
          <w:rFonts w:ascii="Times New Roman" w:hAnsi="Times New Roman"/>
          <w:color w:val="000000"/>
        </w:rPr>
        <w:t xml:space="preserve">wydanych uprawnień do emisji zdecydowano się na zawieszenie postępowania w sprawie zwrotu uprawnień do emisji. Po wyrażeniu zgody przez ministra właściwego do spraw środowiska postępowanie to będzie podlegało umorzeniu jako bezprzedmiotowe. Jednocześnie wprowadzano podstawę do zwrotu równowartości uprawnień w wysokości różnicy między wydanymi a zbilansowanymi uprawnieniami do emisji w przypadku, gdy wartość wydanych uprawnień w związku z realizacją zadania (którego realizacji zaprzestano lub którego realizacja nie doprowadziła do osiągnięcia zatwierdzonego wskaźnika zgodności) będzie wyższa niż wysokość kosztów możliwych do zbilansowania. Równocześnie uchylone zostanie rozporządzenie wydane na podstawie art. 36 ust. 6 USHE. Wspomniane rozporządzenie zawiera wzór formularzy, które w projektowanej zmianie będą podlegały publikacji w Biuletynie Informacji Publicznej. Rozwiązanie to pozwoli na szybkie dostosowanie formularzy do zmian wprowadzanych przez niniejszy projekt, a także ułatwi dostęp i wyszukiwanie obowiązujących formularzy. Ponadto został dodany przepis dostosowujący, zgodnie z którym podmioty realizujące zadania inwestycyjne </w:t>
      </w:r>
      <w:r w:rsidR="00944997">
        <w:rPr>
          <w:rFonts w:ascii="Times New Roman" w:hAnsi="Times New Roman"/>
          <w:color w:val="000000"/>
        </w:rPr>
        <w:t xml:space="preserve">będą </w:t>
      </w:r>
      <w:r>
        <w:rPr>
          <w:rFonts w:ascii="Times New Roman" w:hAnsi="Times New Roman"/>
          <w:color w:val="000000"/>
        </w:rPr>
        <w:t>obowiązane w 2019 r. do złożenia sprawozdań wraz z opinią biegłego rewidenta lub informacji o nieponiesieniu kosztów na formularzach, których wzory zostały określone w przepisach wydanych na podstawie art. 36 ust. 6 ustawy zmienianej w art. 1 w brzmieniu dotychczasowym. Należy również zauważyć, że ustawa wprowadza wymóg przedkładania przez podmiot realizujący zadanie inwestycyjne zbiorczego zestawienia instalacji otrzymujących uprawnienia do emisji, który</w:t>
      </w:r>
      <w:r w:rsidR="00944997">
        <w:rPr>
          <w:rFonts w:ascii="Times New Roman" w:hAnsi="Times New Roman"/>
          <w:color w:val="000000"/>
        </w:rPr>
        <w:t>,</w:t>
      </w:r>
      <w:r>
        <w:rPr>
          <w:rFonts w:ascii="Times New Roman" w:hAnsi="Times New Roman"/>
          <w:color w:val="000000"/>
        </w:rPr>
        <w:t xml:space="preserve"> podobnie jak sprawozdanie rzeczowo-finansowe</w:t>
      </w:r>
      <w:r w:rsidR="00944997">
        <w:rPr>
          <w:rFonts w:ascii="Times New Roman" w:hAnsi="Times New Roman"/>
          <w:color w:val="000000"/>
        </w:rPr>
        <w:t>,</w:t>
      </w:r>
      <w:r>
        <w:rPr>
          <w:rFonts w:ascii="Times New Roman" w:hAnsi="Times New Roman"/>
          <w:color w:val="000000"/>
        </w:rPr>
        <w:t xml:space="preserve"> podmiot ten będzie musiał przedkładać co roku na formularzu, którego wzór zostanie zamieszczony w Biuletynie Informacji Publicznej na stronie podmiotowej urzędu obsługującego Ministra Środowiska. Wymóg posługiwania się tym formularzem nie jest jednak całkowicie nowym obowiązkiem podmiotów </w:t>
      </w:r>
      <w:r w:rsidR="003E1C65">
        <w:rPr>
          <w:rFonts w:ascii="Times New Roman" w:hAnsi="Times New Roman"/>
          <w:color w:val="000000"/>
        </w:rPr>
        <w:t xml:space="preserve">realizujących </w:t>
      </w:r>
      <w:r>
        <w:rPr>
          <w:rFonts w:ascii="Times New Roman" w:hAnsi="Times New Roman"/>
          <w:color w:val="000000"/>
        </w:rPr>
        <w:t>zadania inwestycyjne. Formularz ten został wyodrębniony z treści dotychczasowego sprawozdania rzeczowo-finansowego. Z uwagi na wprowadzenie mechanizmu bilansowania wydanych uprawnień do emisji kosztami innych zadań inwestycyjnych, w przypadku uprawnień do emisji, które zostały wydane instalacjom z tytułu poniesienia kosztów inwestycyjnych</w:t>
      </w:r>
      <w:r w:rsidR="00AC1A46">
        <w:rPr>
          <w:rFonts w:ascii="Times New Roman" w:hAnsi="Times New Roman"/>
          <w:color w:val="000000"/>
        </w:rPr>
        <w:t>,</w:t>
      </w:r>
      <w:r>
        <w:rPr>
          <w:rFonts w:ascii="Times New Roman" w:hAnsi="Times New Roman"/>
          <w:color w:val="000000"/>
        </w:rPr>
        <w:t xml:space="preserve"> na zadanie, którego realizacji zaprzestano lub które nie osiągnęły zatwierdzonych wskaźników zgodności, koniecznym będzie złożenie wraz z wnioskiem o zbilansowanie korekty zbiorczego zestawienia, które będzie zawierało oprócz danych identyfikujących podmiot także dane o rozdziale uprawnień w podziale na wszystkie instalacje i poniesionych kosztach wszystkich zadań inwestycyjnych. W celu zapewnienia podmiotom realizującym zadania inwestycyjne ujęte w krajowym planie inwestycyjnym jak największej elastyczności w USHE dodano art. 40b, który umożliwiłby ministrowi właściwemu do spraw środowiska podejmowanie decyzji o wyrażeniu zgody na bilansowanie wartości wydanych uprawnień do emisji kosztami inwestycyjnymi poniesionymi w związku z</w:t>
      </w:r>
      <w:r w:rsidR="002058A4">
        <w:rPr>
          <w:rFonts w:ascii="Times New Roman" w:hAnsi="Times New Roman"/>
          <w:color w:val="000000"/>
        </w:rPr>
        <w:t xml:space="preserve"> </w:t>
      </w:r>
      <w:r>
        <w:rPr>
          <w:rFonts w:ascii="Times New Roman" w:hAnsi="Times New Roman"/>
          <w:color w:val="000000"/>
        </w:rPr>
        <w:t>realizacją przez</w:t>
      </w:r>
      <w:r w:rsidR="002058A4">
        <w:rPr>
          <w:rFonts w:ascii="Times New Roman" w:hAnsi="Times New Roman"/>
          <w:color w:val="000000"/>
        </w:rPr>
        <w:t xml:space="preserve"> </w:t>
      </w:r>
      <w:r>
        <w:rPr>
          <w:rFonts w:ascii="Times New Roman" w:hAnsi="Times New Roman"/>
          <w:color w:val="000000"/>
        </w:rPr>
        <w:t>podmiot innego zadania inwestycyjnego (znajdującego się w krajowym planie inwestycyjnym), w przypadkach innych niż wskazane w art. 40a ust. 1, w ramach przysługującego organowi uznania administracyjnego. Poprawka ma na celu optymalne wykorzystanie środków przeznaczonych na finansowanie zadań znajdujących się w krajowym planie inwestycyjnym, których głównym celem jest modernizacja i poprawa infrastruktury, wspieranie czystych technologii, a także dywersyfikacja struktury energetycznej i źródeł dostaw. Powyższe zmiany nie ingerują w zatwierdzony przez Komisję Europejską krajowy plan inwestycyjny, umożliwiają jedynie większą efektywność i możliwość pozyskania środków przez podmioty. Jednocześnie w art. 32 zaproponowano zmiany w zakresie rozszerzenia podstawy do wydania decyzji odmownej w zakresie zatwierdzenia wskaźnika lub wskaźników zgodności. Organ będzie zobligowany odmówić zatwierdzenia wskaźnika w przypadku</w:t>
      </w:r>
      <w:r w:rsidR="00604DF1">
        <w:rPr>
          <w:rFonts w:ascii="Times New Roman" w:hAnsi="Times New Roman"/>
          <w:color w:val="000000"/>
        </w:rPr>
        <w:t>,</w:t>
      </w:r>
      <w:r>
        <w:rPr>
          <w:rFonts w:ascii="Times New Roman" w:hAnsi="Times New Roman"/>
          <w:color w:val="000000"/>
        </w:rPr>
        <w:t xml:space="preserve"> gdy wybór wskaźnika przez podmiot realizujący zadanie wskaże, że realizacja tego zadania nie przyniesie efektu ekologicznego. Powyższe pozwoli uniknąć sytuacji, w których podmioty wnioskowały o zatwierdzenie wskaźnika (np. emisyjności) po realizacji zadania inwestycyjnego, domagając się zatwierdzenia wskaźnika na poziomie wyższym niż przed rozpoczęciem zadania, co byłoby niezgodne z celami krajowego planu inwestycyjnego. Jednocześnie w obowiązujących przepisach brakowało wyraźnej podstawy prawnej do odmowy zatwierdzenia wskaźników w przypadku</w:t>
      </w:r>
      <w:r w:rsidR="00AC1A46">
        <w:rPr>
          <w:rFonts w:ascii="Times New Roman" w:hAnsi="Times New Roman"/>
          <w:color w:val="000000"/>
        </w:rPr>
        <w:t>,</w:t>
      </w:r>
      <w:r>
        <w:rPr>
          <w:rFonts w:ascii="Times New Roman" w:hAnsi="Times New Roman"/>
          <w:color w:val="000000"/>
        </w:rPr>
        <w:t xml:space="preserve"> gdy dane zadanie, dla którego złożono wniosek</w:t>
      </w:r>
      <w:r w:rsidR="00604DF1">
        <w:rPr>
          <w:rFonts w:ascii="Times New Roman" w:hAnsi="Times New Roman"/>
          <w:color w:val="000000"/>
        </w:rPr>
        <w:t>,</w:t>
      </w:r>
      <w:r>
        <w:rPr>
          <w:rFonts w:ascii="Times New Roman" w:hAnsi="Times New Roman"/>
          <w:color w:val="000000"/>
        </w:rPr>
        <w:t xml:space="preserve"> nie odpowiadało charakterem zadaniu ujętemu w krajowym planie inwestycyjnym. W związku z powyższym wprowadzono podstawę do wydania decyzji odmownej w przypadku</w:t>
      </w:r>
      <w:r w:rsidR="00AC1A46">
        <w:rPr>
          <w:rFonts w:ascii="Times New Roman" w:hAnsi="Times New Roman"/>
          <w:color w:val="000000"/>
        </w:rPr>
        <w:t>,</w:t>
      </w:r>
      <w:r>
        <w:rPr>
          <w:rFonts w:ascii="Times New Roman" w:hAnsi="Times New Roman"/>
          <w:color w:val="000000"/>
        </w:rPr>
        <w:t xml:space="preserve"> gdy dane zadanie</w:t>
      </w:r>
      <w:r w:rsidR="00AC1A46">
        <w:rPr>
          <w:rFonts w:ascii="Times New Roman" w:hAnsi="Times New Roman"/>
          <w:color w:val="000000"/>
        </w:rPr>
        <w:t>,</w:t>
      </w:r>
      <w:r>
        <w:rPr>
          <w:rFonts w:ascii="Times New Roman" w:hAnsi="Times New Roman"/>
          <w:color w:val="000000"/>
        </w:rPr>
        <w:t xml:space="preserve"> dla którego złożono wniosek, nie odpowiada charakterowi zadania ujętego w krajowym planie inwestycyjnym. </w:t>
      </w:r>
    </w:p>
    <w:p w14:paraId="6BAA4E31" w14:textId="4E5B2591" w:rsidR="00FE3B3A" w:rsidRDefault="00564110">
      <w:pPr>
        <w:spacing w:after="0" w:line="360" w:lineRule="auto"/>
        <w:jc w:val="both"/>
        <w:rPr>
          <w:rFonts w:ascii="Times New Roman" w:hAnsi="Times New Roman"/>
          <w:color w:val="000000"/>
        </w:rPr>
      </w:pPr>
      <w:r>
        <w:rPr>
          <w:rFonts w:ascii="Times New Roman" w:hAnsi="Times New Roman"/>
          <w:color w:val="000000"/>
        </w:rPr>
        <w:t>W celu zwiększenia sprawności przyznawania uprawnień do emisji z rezerwy uprawnień zaproponowano nowe brzmienie przepisów art. 68 oraz art. 70 USHE. Zmieniona procedura wprowadza ułatwienia dla przedsiębiorców w zakresie składania wyjaśnień oraz poprawiania wniosku, o którym mowa w art. 68 ust. 1. Dodatkowo dostosowano do realiów termin dla Krajowego ośrodka na wydanie opinii, o której mowa w art. 70 ust. 1. Zaproponowane zmiany są analogiczne do regulacji zawartych w dodawanym rozdziale 5b. Zrezygnowano z udziału ministra właściwego do spraw środowiska w zakresie wzywania do uzupełnienia prowadzących instalację, co ma skrócić i uprościć procedurę w zakresie oceny wniosku o przydział uprawnień do emisji z rezerwy. Podmiotem, który będzie odpowiedzialny za realizację procedury wyjaśniającej z prowadzącym instalację</w:t>
      </w:r>
      <w:r w:rsidR="00AC1A46">
        <w:rPr>
          <w:rFonts w:ascii="Times New Roman" w:hAnsi="Times New Roman"/>
          <w:color w:val="000000"/>
        </w:rPr>
        <w:t>,</w:t>
      </w:r>
      <w:r>
        <w:rPr>
          <w:rFonts w:ascii="Times New Roman" w:hAnsi="Times New Roman"/>
          <w:color w:val="000000"/>
        </w:rPr>
        <w:t xml:space="preserve"> będzie Krajowy ośrodek, natomiast minister właściwy do spraw środowiska będzie otrzymywał informacje na każdym etapie prowadzonego postępowania. </w:t>
      </w:r>
    </w:p>
    <w:p w14:paraId="7F86A323" w14:textId="38C67072" w:rsidR="00FE3B3A" w:rsidRDefault="00564110">
      <w:pPr>
        <w:spacing w:after="0" w:line="360" w:lineRule="auto"/>
        <w:jc w:val="both"/>
        <w:rPr>
          <w:rFonts w:ascii="Times New Roman" w:hAnsi="Times New Roman"/>
        </w:rPr>
      </w:pPr>
      <w:r>
        <w:rPr>
          <w:rFonts w:ascii="Times New Roman" w:hAnsi="Times New Roman"/>
        </w:rPr>
        <w:t>Osobną grupę zmian stanowią przepisy wykonujące przepisy rozporządzenia Parlamentu Europejskiego i Rady (UE) 2017/2392 z dnia 13 grudnia 2017 r. zmieniającego dyrektywę 2003/87/WE w celu utrzymania obecnych ograniczeń zakresu zastosowania w odniesieniu do działań lotniczych i w celu przygotowania wdrożenia globalnego środka rynkowego po 2021 r. (Dz. Urz. UE L 350 z 19.12.2017</w:t>
      </w:r>
      <w:r w:rsidR="00BC25C9">
        <w:rPr>
          <w:rFonts w:ascii="Times New Roman" w:hAnsi="Times New Roman"/>
        </w:rPr>
        <w:t>,</w:t>
      </w:r>
      <w:r>
        <w:rPr>
          <w:rFonts w:ascii="Times New Roman" w:hAnsi="Times New Roman"/>
        </w:rPr>
        <w:t xml:space="preserve"> str. 7), zwanego dalej „rozporządzeniem 2017/2392”. Wskazane rozporządzenie przedłuża okres derogacji (wprowadzonej uprzednio rozporządzeniem Parlamentu Europejskiego i Rady (UE) nr 421/2014 z dnia 16 kwietnia 2014 r. zmieniającym dyrektywę 2003/87/WE ustanawiającą system handlu przydziałami do emisji gazów cieplarnianych we Wspólnocie, w celu wprowadzenia w życie do 2020 r. porozumienia międzynarodowego w sprawie stosowania jednego międzynarodowego środka rynkowego do</w:t>
      </w:r>
      <w:r w:rsidR="002058A4">
        <w:rPr>
          <w:rFonts w:ascii="Times New Roman" w:hAnsi="Times New Roman"/>
        </w:rPr>
        <w:t xml:space="preserve"> </w:t>
      </w:r>
      <w:r>
        <w:rPr>
          <w:rFonts w:ascii="Times New Roman" w:hAnsi="Times New Roman"/>
        </w:rPr>
        <w:t>emisji z międzynarodowego lotnictwa (Dz. Urz. UE L 129 z 30.04.2014, str.</w:t>
      </w:r>
      <w:r w:rsidR="00BC25C9">
        <w:rPr>
          <w:rFonts w:ascii="Times New Roman" w:hAnsi="Times New Roman"/>
        </w:rPr>
        <w:t xml:space="preserve"> </w:t>
      </w:r>
      <w:r>
        <w:rPr>
          <w:rFonts w:ascii="Times New Roman" w:hAnsi="Times New Roman"/>
        </w:rPr>
        <w:t>1, z późn. zm.)) polegającej na ograniczeniu w latach 2013</w:t>
      </w:r>
      <w:r w:rsidR="002058A4">
        <w:rPr>
          <w:rFonts w:ascii="Times New Roman" w:hAnsi="Times New Roman"/>
        </w:rPr>
        <w:t>–</w:t>
      </w:r>
      <w:r>
        <w:rPr>
          <w:rFonts w:ascii="Times New Roman" w:hAnsi="Times New Roman"/>
        </w:rPr>
        <w:t>2023 obowiązków związanych z uczestnictwem w systemie sektora lotniczego wyłącznie do wykonywanych przez operatorów statków powietrznych lotów wewnątrz Europejskiego Obszaru Gospodarczego. Tym samym liczba uprawnień wydawanych operatorom korzystającym z tego odstępstwa zostanie dostosowana do ograniczonego obowiązku rozliczania emisji, tj. emisji pochodzącej z lotów wewnątrz Europejskiego Obszaru Gospodarczego. Dodatkowo od dnia 1 stycznia 2021 r. na mocy rozporządzenia 2017/2392 liczba uprawnień wydawanych operatorom statków powietrznych ulegnie zmniejszeniu na skutek zastosowania współczynnika liniowego. W celu przeniesienia na grunt prawa krajowego rozwiązań przewidzianych w rozporządzeniu 2017/2392 przewidziano dwa rodzaje zmian w projektowanej ustawie. Po pierwsze wprowadzono odpowiednie przepisy w rozdziale 7 USHE określającym zasady przydziału uprawnień do emisji operatorom statków powietrznych, które przewidują podstawę do korygowania przydziału uprawnień do emisji stosownie do ograniczenia obowiązku monitorowania i rozliczania emisji z operacji lotniczych wykonywanych przez tych operatorów, przy czym podstawa taka została wprowadzona zarówno w procedurze obliczania całkowitej rocznej liczby uprawnień do emisji przydzielanych operatorom statków powietrznych, jak i w procedurze przydziału uprawnień do emisji ze specjalnej rezerwy, z której przydzielane są uprawnienia do emisji w związku ze zwiększeniem działalności prowadzonej przez operatora lotniczego. Przepisy te wprowadzają również podstawę do korygowania przydziału uprawnień do emisji przez zastosowanie tzw. współczynnika liniowego. Drugi kierunek zmian polega na dodaniu w USHE w art. 141 nowego przepisu przejściowego w ust. 1a, który pozwoli na wydłużenie stosowania odstępstw w zakresie raportowania i rozliczania emisji przez operatorów statków powietrznych stosownie do ograniczenia tego obowiązku wprowadzonego przepisami rozporządzenia 2017/2392 do 2023 r. Odstępstwa stosowane na mocy przepisów przejściowych ustawy z 2015 r. wyczerpały się z końcem 2016 r., należało zatem w ślad za przepisami rozporządzenia 2017/2392 wydłużyć ich stosowanie w taki sposób, aby usankcjonować sposób opracowywania raportów i rozliczania emisji przez operatorów statków powietrznych po zakończeniu przewidzianego w USHE okresu derogacji.</w:t>
      </w:r>
      <w:r w:rsidR="002058A4">
        <w:rPr>
          <w:rFonts w:ascii="Times New Roman" w:hAnsi="Times New Roman"/>
        </w:rPr>
        <w:t xml:space="preserve"> </w:t>
      </w:r>
    </w:p>
    <w:p w14:paraId="6B2D60EF" w14:textId="18D0A306" w:rsidR="00FE3B3A" w:rsidRDefault="00564110">
      <w:pPr>
        <w:spacing w:after="0" w:line="360" w:lineRule="auto"/>
        <w:jc w:val="both"/>
      </w:pPr>
      <w:r>
        <w:rPr>
          <w:rFonts w:ascii="Times New Roman" w:hAnsi="Times New Roman"/>
        </w:rPr>
        <w:t>Warto zauważyć, że rozporządzenie 2017/2392 modyfikuje zasady wydatkowania środków pochodzących ze sprzedaży aukcyjnej uprawnień lotniczych oraz przewiduje uproszczenie zasad w zakresie obowiązków związanych z monitorowaniem i raportowaniem emisji dla tych operatorów, których roczne emisje nie przekraczają określonych w tym rozporządzeniu wartości. Proponowane w projekcie ustawy zmiany zapewnią zgodność polskich przepisów z wymaganiami wskazanego rozporządzenia.</w:t>
      </w:r>
      <w:r w:rsidR="002058A4">
        <w:rPr>
          <w:rFonts w:ascii="Times New Roman" w:hAnsi="Times New Roman"/>
        </w:rPr>
        <w:t xml:space="preserve"> </w:t>
      </w:r>
    </w:p>
    <w:p w14:paraId="46ECAE54" w14:textId="114F054A" w:rsidR="00FE3B3A" w:rsidRDefault="00564110">
      <w:pPr>
        <w:spacing w:after="0" w:line="360" w:lineRule="auto"/>
        <w:jc w:val="both"/>
      </w:pPr>
      <w:r>
        <w:rPr>
          <w:rFonts w:ascii="Times New Roman" w:eastAsia="Times New Roman" w:hAnsi="Times New Roman"/>
          <w:lang w:eastAsia="pl-PL"/>
        </w:rPr>
        <w:t xml:space="preserve">Wejście w życie z dniem 1 stycznia 2019 r. rozporządzenia wykonawczego Komisji (UE) 2018/2067 z dnia 19 grudnia 2018 r. </w:t>
      </w:r>
      <w:r>
        <w:rPr>
          <w:rFonts w:ascii="Times New Roman" w:eastAsia="Times New Roman" w:hAnsi="Times New Roman"/>
          <w:iCs/>
          <w:lang w:eastAsia="pl-PL"/>
        </w:rPr>
        <w:t>w sprawie weryfikacji danych oraz akredytacji weryfikatorów na podstawie dyrektywy 2003/87/WE Parlamentu Europejskiego i Rady (Dz. Urz. UE L 334 z 31.12.2018, str. 94),</w:t>
      </w:r>
      <w:r>
        <w:rPr>
          <w:rFonts w:ascii="Times New Roman" w:eastAsia="Times New Roman" w:hAnsi="Times New Roman"/>
          <w:lang w:eastAsia="pl-PL"/>
        </w:rPr>
        <w:t xml:space="preserve"> </w:t>
      </w:r>
      <w:r>
        <w:rPr>
          <w:rFonts w:ascii="Times New Roman" w:eastAsia="Times New Roman" w:hAnsi="Times New Roman"/>
          <w:iCs/>
          <w:lang w:eastAsia="pl-PL"/>
        </w:rPr>
        <w:t xml:space="preserve">zwanego dalej </w:t>
      </w:r>
      <w:r w:rsidR="00BC25C9">
        <w:rPr>
          <w:rFonts w:ascii="Times New Roman" w:eastAsia="Times New Roman" w:hAnsi="Times New Roman"/>
          <w:iCs/>
          <w:lang w:eastAsia="pl-PL"/>
        </w:rPr>
        <w:t>„</w:t>
      </w:r>
      <w:r>
        <w:rPr>
          <w:rFonts w:ascii="Times New Roman" w:eastAsia="Times New Roman" w:hAnsi="Times New Roman"/>
          <w:iCs/>
          <w:lang w:eastAsia="pl-PL"/>
        </w:rPr>
        <w:t>rozporządzeniem wykonawczym Komisji (UE) 2018/2067</w:t>
      </w:r>
      <w:r w:rsidR="00BC25C9">
        <w:rPr>
          <w:rFonts w:ascii="Times New Roman" w:eastAsia="Times New Roman" w:hAnsi="Times New Roman"/>
          <w:iCs/>
          <w:lang w:eastAsia="pl-PL"/>
        </w:rPr>
        <w:t>”</w:t>
      </w:r>
      <w:r>
        <w:rPr>
          <w:rFonts w:ascii="Times New Roman" w:eastAsia="Times New Roman" w:hAnsi="Times New Roman"/>
          <w:iCs/>
          <w:lang w:eastAsia="pl-PL"/>
        </w:rPr>
        <w:t xml:space="preserve">, </w:t>
      </w:r>
      <w:r>
        <w:rPr>
          <w:rFonts w:ascii="Times New Roman" w:eastAsia="Times New Roman" w:hAnsi="Times New Roman"/>
          <w:lang w:eastAsia="pl-PL"/>
        </w:rPr>
        <w:t xml:space="preserve">wymusza konieczność wprowadzenia w USHE zmian w zakresie wprowadzenia poprawnych odesłań wynikających z rzeczowego rozporządzenia. Przedmiotowa ustawa regulowała wykonanie postanowień rozporządzenia Komisji (UE) nr 600/2012 z dnia 21 czerwca 2012 r. </w:t>
      </w:r>
      <w:r>
        <w:rPr>
          <w:rFonts w:ascii="Times New Roman" w:hAnsi="Times New Roman"/>
        </w:rPr>
        <w:t>w sprawie weryfikacji raportów na temat wielkości emisji gazów cieplarnianych i raportów dotyczących tonokilometrów oraz akredytacji weryfikatorów zgodnie z dyrektywą 2003/87/WE Parlamentu Europejskiego i Rady</w:t>
      </w:r>
      <w:r>
        <w:rPr>
          <w:rFonts w:ascii="Times New Roman" w:eastAsia="Times New Roman" w:hAnsi="Times New Roman"/>
          <w:lang w:eastAsia="pl-PL"/>
        </w:rPr>
        <w:t xml:space="preserve"> (Dz. U</w:t>
      </w:r>
      <w:r w:rsidR="00BC25C9">
        <w:rPr>
          <w:rFonts w:ascii="Times New Roman" w:eastAsia="Times New Roman" w:hAnsi="Times New Roman"/>
          <w:lang w:eastAsia="pl-PL"/>
        </w:rPr>
        <w:t>rz</w:t>
      </w:r>
      <w:r>
        <w:rPr>
          <w:rFonts w:ascii="Times New Roman" w:eastAsia="Times New Roman" w:hAnsi="Times New Roman"/>
          <w:lang w:eastAsia="pl-PL"/>
        </w:rPr>
        <w:t xml:space="preserve">. </w:t>
      </w:r>
      <w:r w:rsidR="00BC25C9">
        <w:rPr>
          <w:rFonts w:ascii="Times New Roman" w:eastAsia="Times New Roman" w:hAnsi="Times New Roman"/>
          <w:lang w:eastAsia="pl-PL"/>
        </w:rPr>
        <w:t xml:space="preserve">UE </w:t>
      </w:r>
      <w:r>
        <w:rPr>
          <w:rFonts w:ascii="Times New Roman" w:eastAsia="Times New Roman" w:hAnsi="Times New Roman"/>
          <w:lang w:eastAsia="pl-PL"/>
        </w:rPr>
        <w:t>L 181 z 12.07.2012, str. 1), które zostało zastąpione rozporządzeniem wykonawczym Komisji (UE) 2018/2067.</w:t>
      </w:r>
      <w:r w:rsidR="002058A4">
        <w:rPr>
          <w:rFonts w:ascii="Times New Roman" w:eastAsia="Times New Roman" w:hAnsi="Times New Roman"/>
          <w:lang w:eastAsia="pl-PL"/>
        </w:rPr>
        <w:t xml:space="preserve"> </w:t>
      </w:r>
    </w:p>
    <w:p w14:paraId="00E8AFF3" w14:textId="3B981B95" w:rsidR="00FE3B3A" w:rsidRDefault="00564110">
      <w:pPr>
        <w:spacing w:after="0" w:line="360" w:lineRule="auto"/>
        <w:jc w:val="both"/>
        <w:rPr>
          <w:rFonts w:ascii="Times New Roman" w:hAnsi="Times New Roman"/>
        </w:rPr>
      </w:pPr>
      <w:r>
        <w:rPr>
          <w:rFonts w:ascii="Times New Roman" w:hAnsi="Times New Roman"/>
        </w:rPr>
        <w:t>W ostatnich latach nastąpił zasadniczy spadek środków NFOŚIGW, o których mowa w art. 402 ust. 4a ustawy POŚ, co powoduje realne zagrożenia dla możliwości realizowania przez Krajowy ośrodek jego zadań. Wzrost deficytu środków wynika głównie stąd, że ich wysokość jest ściśle uzależniona od wysokości opłat za wprowadzanie do powietrza dwutlenku siarki i tlenków azotu (art. 401c ust. 8 w zw. z art. 401 ust. 7 pkt 7a i art. 402 ust. 4a ustawy POŚ), które stopniowo zmniejszają się w związku z ograniczaniem wielkości emisji tych zanieczyszczeń. Tytułem przykładu można wskazać, że emisja dwutlenku siarki związana z procesami spalania w sektorze produkcji i transformacji energii w latach 2015</w:t>
      </w:r>
      <w:r w:rsidR="002058A4">
        <w:rPr>
          <w:rFonts w:ascii="Times New Roman" w:hAnsi="Times New Roman"/>
        </w:rPr>
        <w:t>–</w:t>
      </w:r>
      <w:r>
        <w:rPr>
          <w:rFonts w:ascii="Times New Roman" w:hAnsi="Times New Roman"/>
        </w:rPr>
        <w:t xml:space="preserve">2016 spadła o ok. 30%. Ponadto w ciągu najbliższych lat skala redukcji emisji wzrośnie jeszcze bardziej pod wpływem coraz surowszych wymagań nakładanych przepisami prawa Unii Europejskiej. Mowa tu zwłaszcza o następujących rozwiązaniach unijnych: </w:t>
      </w:r>
    </w:p>
    <w:p w14:paraId="79B2B22C" w14:textId="3B764290" w:rsidR="00FE3B3A" w:rsidRDefault="00564110">
      <w:pPr>
        <w:numPr>
          <w:ilvl w:val="0"/>
          <w:numId w:val="1"/>
        </w:numPr>
        <w:spacing w:after="0" w:line="360" w:lineRule="auto"/>
        <w:jc w:val="both"/>
        <w:rPr>
          <w:rFonts w:ascii="Times New Roman" w:hAnsi="Times New Roman"/>
        </w:rPr>
      </w:pPr>
      <w:r>
        <w:rPr>
          <w:rFonts w:ascii="Times New Roman" w:hAnsi="Times New Roman"/>
        </w:rPr>
        <w:t>zobowiązaniach redukcyjnych przewidzianych dyrektywą Parlamentu Europejskiego i Rady 2016/2284 z dnia 14 grudnia 2016 r. w sprawie redukcji krajowych emisji niektórych rodzajów zanieczyszczeń atmosferycznych, zmiany dyrektywy 2003/35/WE oraz uchylenia dyrektywy 2001/81/WE (Dz. Urz. UE L 344 z 17.12.2016, str. 1);</w:t>
      </w:r>
    </w:p>
    <w:p w14:paraId="576A4B54" w14:textId="767B6441" w:rsidR="00FE3B3A" w:rsidRDefault="00564110">
      <w:pPr>
        <w:numPr>
          <w:ilvl w:val="0"/>
          <w:numId w:val="1"/>
        </w:numPr>
        <w:spacing w:after="0" w:line="360" w:lineRule="auto"/>
        <w:jc w:val="both"/>
        <w:rPr>
          <w:rFonts w:ascii="Times New Roman" w:hAnsi="Times New Roman"/>
        </w:rPr>
      </w:pPr>
      <w:r>
        <w:rPr>
          <w:rFonts w:ascii="Times New Roman" w:hAnsi="Times New Roman"/>
        </w:rPr>
        <w:t>ograniczeniach emisji ze średnich obiektów energetycznego spalania ustanowionych dyrektywą Parlamentu Europejskiego i Rady 2015/2193 z dnia 25 listopada 2015 r. w sprawie ograniczenia emisji niektórych zanieczyszczeń do powietrza ze średnich obiektów energetycznego spalania (Dz. Urz. UE L 313 z 28.11.2015, str. 1);</w:t>
      </w:r>
    </w:p>
    <w:p w14:paraId="23D8B8F3" w14:textId="50F2F361" w:rsidR="00FE3B3A" w:rsidRDefault="00564110">
      <w:pPr>
        <w:numPr>
          <w:ilvl w:val="0"/>
          <w:numId w:val="1"/>
        </w:numPr>
        <w:spacing w:after="0" w:line="360" w:lineRule="auto"/>
        <w:jc w:val="both"/>
      </w:pPr>
      <w:r>
        <w:rPr>
          <w:rFonts w:ascii="Times New Roman" w:hAnsi="Times New Roman"/>
        </w:rPr>
        <w:t>modernizacji instalacji podyktowanej decyzją wykonawczą Komisji 2017/1442 z dnia 31 lipca 2017 r</w:t>
      </w:r>
      <w:r>
        <w:rPr>
          <w:rFonts w:ascii="Times New Roman" w:hAnsi="Times New Roman"/>
          <w:i/>
        </w:rPr>
        <w:t xml:space="preserve">. </w:t>
      </w:r>
      <w:r>
        <w:rPr>
          <w:rFonts w:ascii="Times New Roman" w:hAnsi="Times New Roman"/>
        </w:rPr>
        <w:t>ustanawiającą konkluzje dotyczące najlepszych dostępnych technik (BAT) w odniesieniu do dużych obiektów energetycznego spalania zgodnie z dyrektywą Parlamentu Europejskiego i Rady 2010/75/UE</w:t>
      </w:r>
      <w:r>
        <w:rPr>
          <w:rFonts w:ascii="Times New Roman" w:hAnsi="Times New Roman"/>
          <w:i/>
        </w:rPr>
        <w:t xml:space="preserve"> </w:t>
      </w:r>
      <w:r>
        <w:rPr>
          <w:rFonts w:ascii="Times New Roman" w:hAnsi="Times New Roman"/>
        </w:rPr>
        <w:t>(Dz. Urz. UE L 212 z 17.08.2017, str. 1).</w:t>
      </w:r>
    </w:p>
    <w:p w14:paraId="4C3BF72D" w14:textId="4B2913BC" w:rsidR="00FE3B3A" w:rsidRDefault="00564110">
      <w:pPr>
        <w:spacing w:after="0" w:line="360" w:lineRule="auto"/>
        <w:jc w:val="both"/>
      </w:pPr>
      <w:r>
        <w:rPr>
          <w:rFonts w:ascii="Times New Roman" w:hAnsi="Times New Roman"/>
        </w:rPr>
        <w:t>Wyraźne obniżenie poziomu emisji tych zanieczyszczeń (</w:t>
      </w:r>
      <w:r>
        <w:rPr>
          <w:rFonts w:ascii="Times New Roman" w:hAnsi="Times New Roman"/>
          <w:i/>
        </w:rPr>
        <w:t>Ochrona Środowiska 2016</w:t>
      </w:r>
      <w:r>
        <w:rPr>
          <w:rFonts w:ascii="Times New Roman" w:hAnsi="Times New Roman"/>
        </w:rPr>
        <w:t xml:space="preserve">, Główny Urząd Statystyczny, Warszawa 2016, str. 36; </w:t>
      </w:r>
      <w:r>
        <w:rPr>
          <w:rFonts w:ascii="Times New Roman" w:hAnsi="Times New Roman"/>
          <w:i/>
        </w:rPr>
        <w:t>Krajowy Program Ochrony Powietrza do Roku 2020 (z perspektywą do 2030)</w:t>
      </w:r>
      <w:r>
        <w:rPr>
          <w:rFonts w:ascii="Times New Roman" w:hAnsi="Times New Roman"/>
        </w:rPr>
        <w:t>, Ministerstwo Środowiska Departament Ochrony Powietrza, Warszawa 2015 r., str. 36)</w:t>
      </w:r>
      <w:r w:rsidR="00AC1A46">
        <w:rPr>
          <w:rFonts w:ascii="Times New Roman" w:hAnsi="Times New Roman"/>
        </w:rPr>
        <w:t>,</w:t>
      </w:r>
      <w:r>
        <w:rPr>
          <w:rFonts w:ascii="Times New Roman" w:hAnsi="Times New Roman"/>
        </w:rPr>
        <w:t xml:space="preserve"> chociaż jest konieczne z powodu obowiązku wykonania przez Polskę powyższych aktów prawa Unii Europejskiej, ale przede wszystkim z powodu ochrony zdrowia ludzi i jakości środowiska spowoduje jednocześnie zmniejszenie środków finansowych, z których finansowana jest realizacja zadań Krajowego ośrodka. Aby nie dopuścić do powstania realnego zagrożenia dla płynnego i efektywnego wykonywania tych zadań, które w znaczącym stopniu wpływają na realizację unijnych i międzynarodowych zobowiązań Polski, należy zapewnić zabezpieczanie źródła ich finansowania. Proponuje się w związku z tym przeznaczenie na ten cel 8 mln złotych rocznie. Środki te pochodziłyby z</w:t>
      </w:r>
      <w:r w:rsidR="002058A4">
        <w:rPr>
          <w:rFonts w:ascii="Times New Roman" w:hAnsi="Times New Roman"/>
        </w:rPr>
        <w:t xml:space="preserve"> </w:t>
      </w:r>
      <w:r>
        <w:rPr>
          <w:rFonts w:ascii="Times New Roman" w:hAnsi="Times New Roman"/>
        </w:rPr>
        <w:t>wpływów uzyskiwanych ze sprzedaży uprawnień do emisji w drodze aukcji.</w:t>
      </w:r>
    </w:p>
    <w:p w14:paraId="33865C54" w14:textId="4534F07C" w:rsidR="00FE3B3A" w:rsidRDefault="00564110">
      <w:pPr>
        <w:spacing w:after="0" w:line="360" w:lineRule="auto"/>
        <w:jc w:val="both"/>
      </w:pPr>
      <w:r>
        <w:rPr>
          <w:rFonts w:ascii="Times New Roman" w:hAnsi="Times New Roman"/>
        </w:rPr>
        <w:t>Konieczność zapewnienia odpowiedniego finansowania Krajowego ośrodka wynika również ze znacznego zakresu zadań realizowanych przez Krajowy ośrodek. W ostatnich latach nastąpił rozwój i duży wzrost znaczenia unijnej polityki klimatycznej i unijnej polityki ochrony powietrza, zarówno w Unii Europejskiej, jak i na arenie międzynarodowej. Obowiązki Polski wynikające z realizacji tych polityk w dużej mierze faktycznie realizuje Krajowy ośrodek, który jest wyspecjalizowanym podmiotem posiadającym kompleksową wiedzę dotyczącą polityk ochrony jakości powietrza i klimatu. Z tego względu Krajowy ośrodek pełni istotną rolę w zakresie: monitorowania, bilansowania i prognozowania emisji wielu substancji i zanieczyszczeń; funkcjonowania systemu handlu uprawnieniami do emisji gazów cieplarnianych; realizacji aktów prawa Unii Europejskiej dotyczących ochrony powietrza czy opracowywania raportów i sprawozdań, które są podstawą do stosowania i projektowania skutecznych narzędzi służących spełnianiu przez Polskę unijnych i międzynarodowych zobowiązań środowiskowych klimatycznych (art. 3 USZE). Projektowana ustawa zwiększa katalog zadań realizowanych przez Krajowy ośrodek m.in. o zadanie polegające na opracowywaniu prognoz zmian aktywności dla wszystkich sektorów polskiej gospodarki. Prognozy te zgodnie z dotychczasowym brzmieniem USZE miały opracowywać poszczególne resorty, jednak dyspozycja ustawy w tym względzie nie była do tej pory przez nie realizowana z uwagi na niedostatki kadrowe i finansowe w tych resortach. Dodatkowo należy zauważyć, iż zakres tych zadań w najbliższym czasie ulegnie dalszemu rozszerzeniu (reforma systemu handlu uprawnieniami do emisji gazów cieplarnianych, nowe obowiązki sprawozdawcze dotyczące jakości powietrza wynikające z prawa Unii Europejskiej, powierzenie Krajowemu ośrodkowi dużej części zadań w zakresie zatwierdzania planów metodyki monitorowania wprowadzonych rozporządzeniem Komisji (UE) 2019/331/UE</w:t>
      </w:r>
      <w:r w:rsidR="00AC1A46">
        <w:rPr>
          <w:rFonts w:ascii="Times New Roman" w:hAnsi="Times New Roman"/>
        </w:rPr>
        <w:t>,</w:t>
      </w:r>
      <w:r>
        <w:rPr>
          <w:rFonts w:ascii="Times New Roman" w:hAnsi="Times New Roman"/>
        </w:rPr>
        <w:t xml:space="preserve"> czy opracowywania krajowych programów ograniczania zanieczyszczeń powietrza). Z tego względu zapewnienie adekwatnego do zakresu zadań finansowania Krajowego ośrodka jest warunkiem niezbędnym do zapewnienia ciągłości realizacji zadań państwa we wszystkich wymienionych obszarach. </w:t>
      </w:r>
    </w:p>
    <w:p w14:paraId="4490DA55" w14:textId="77777777" w:rsidR="00FE3B3A" w:rsidRDefault="00564110">
      <w:pPr>
        <w:spacing w:after="0" w:line="360" w:lineRule="auto"/>
        <w:jc w:val="both"/>
        <w:rPr>
          <w:rFonts w:ascii="Times New Roman" w:hAnsi="Times New Roman"/>
        </w:rPr>
      </w:pPr>
      <w:r>
        <w:rPr>
          <w:rFonts w:ascii="Times New Roman" w:hAnsi="Times New Roman"/>
        </w:rPr>
        <w:t>W tym celu należy znowelizować art. 49 USHE oraz art. 401 i art. 401c ust. 8 ustawy POŚ. Skorzystanie z niewielkiej części wpływów, jakie przyniesie sprzedaż uprawnień do emisji w ramach aukcji, a jednocześnie czasowo rozwiąże problem rosnącego deficytu środków przeznaczanych na realizację zadań przez Krajowy ośrodek.</w:t>
      </w:r>
    </w:p>
    <w:p w14:paraId="0414C43A" w14:textId="77777777" w:rsidR="00FE3B3A" w:rsidRDefault="00564110" w:rsidP="006C1652">
      <w:pPr>
        <w:spacing w:after="0" w:line="360" w:lineRule="auto"/>
        <w:jc w:val="both"/>
        <w:rPr>
          <w:rFonts w:ascii="Times New Roman" w:hAnsi="Times New Roman"/>
        </w:rPr>
      </w:pPr>
      <w:r>
        <w:rPr>
          <w:rFonts w:ascii="Times New Roman" w:hAnsi="Times New Roman"/>
        </w:rPr>
        <w:t xml:space="preserve">W wyniku tej zmiany zwiększą się przychody NFOŚiGW. Szacuje się, że w okresie 2019–2030 przychody te zwiększą się łącznie o 96 mln zł. </w:t>
      </w:r>
    </w:p>
    <w:p w14:paraId="2BB89447" w14:textId="01E6FE13" w:rsidR="00FE3B3A" w:rsidRDefault="00564110" w:rsidP="006C1652">
      <w:pPr>
        <w:spacing w:after="0" w:line="360" w:lineRule="auto"/>
        <w:jc w:val="both"/>
      </w:pPr>
      <w:r>
        <w:rPr>
          <w:rFonts w:ascii="Times New Roman" w:hAnsi="Times New Roman"/>
        </w:rPr>
        <w:t>W związku z powyższym dokonano zmiany art. 150 USHE</w:t>
      </w:r>
      <w:r>
        <w:rPr>
          <w:rFonts w:ascii="Times New Roman" w:hAnsi="Times New Roman"/>
          <w:i/>
        </w:rPr>
        <w:t xml:space="preserve"> </w:t>
      </w:r>
      <w:r>
        <w:rPr>
          <w:rFonts w:ascii="Times New Roman" w:hAnsi="Times New Roman"/>
        </w:rPr>
        <w:t xml:space="preserve">przez zwiększenie maksymalnego limitu wydatków NFOŚiGW przeznaczonych na finansowanie Krajowego ośrodka. Mechanizm wydatkowania środków na realizację zadań powierzonych Krajowemu ośrodkowi jest precyzyjnie określony w trójstronnym porozumieniu zawieranym między Instytutem Ochrony Środowiska – Państwowym Instytutem Badawczym (IOŚ-PIB), NFOŚiGW i Ministrem Środowiska. W ramach określonego preliminarza kosztów i wydatków przeznaczonych na realizację zadań ustawowych Minister Środowiska dokonuje merytorycznej akceptacji poniesionych wydatków, a dodatkowo NFOŚiGW co kwartał prowadzi kontrolę rozliczeniową tych wydatków. Organy państwa sprawują na wielu poziomach nadzór nad realizacją zadań Krajowego ośrodka wykonywanymi w związku z tym wydatkami. </w:t>
      </w:r>
    </w:p>
    <w:p w14:paraId="631D2BE7" w14:textId="77777777" w:rsidR="00FE3B3A" w:rsidRDefault="00564110">
      <w:pPr>
        <w:spacing w:after="0" w:line="360" w:lineRule="auto"/>
        <w:jc w:val="both"/>
        <w:rPr>
          <w:rFonts w:ascii="Times New Roman" w:hAnsi="Times New Roman"/>
        </w:rPr>
      </w:pPr>
      <w:r>
        <w:rPr>
          <w:rFonts w:ascii="Times New Roman" w:hAnsi="Times New Roman"/>
        </w:rPr>
        <w:t>Procedowana zmiana zakłada, że Krajowy ośrodek będzie odpowiedzialny za przygotowanie informacji i danych niezbędnych dla realizacji obowiązków sprawozdawczych wynikających z decyzji wykonawczej Komisji (UE) 2018/1135 z dnia 10 sierpnia 2018 r. ustanawiającej rodzaj, format i częstotliwość przekazywania informacji, które mają być udostępniane przez państwa członkowskie na potrzeby sprawozdań z wdrożenia dyrektywy Parlamentu Europejskiego i Rady 2010/75/UE w sprawie emisji przemysłowych (Dz. Urz. UE L 205 z 14.08.2018, str. 40).</w:t>
      </w:r>
    </w:p>
    <w:p w14:paraId="712A1B06" w14:textId="1DAAB41F" w:rsidR="00FE3B3A" w:rsidRDefault="00564110">
      <w:pPr>
        <w:spacing w:after="0" w:line="360" w:lineRule="auto"/>
        <w:jc w:val="both"/>
        <w:rPr>
          <w:rFonts w:ascii="Times New Roman" w:hAnsi="Times New Roman"/>
        </w:rPr>
      </w:pPr>
      <w:r>
        <w:rPr>
          <w:rFonts w:ascii="Times New Roman" w:hAnsi="Times New Roman"/>
        </w:rPr>
        <w:t>W obszarze systemu handlu uprawnieniami do emisji gazów cieplarnianych zwiększenie liczby zadań Krajowego ośrodka obejmuje po pierwsze przewidziane projektowaną ustawą nowe obowiązki wprowadzone dyrektywą 2018/410, a także przepisami rozporządzenia Komisji (UE) 2019/331, które dotyczą nowych zasad przydziału uprawnień dla instalacji. W okresie rozliczeniowym 2013</w:t>
      </w:r>
      <w:r w:rsidR="002058A4">
        <w:rPr>
          <w:rFonts w:ascii="Times New Roman" w:hAnsi="Times New Roman"/>
        </w:rPr>
        <w:t>–</w:t>
      </w:r>
      <w:r>
        <w:rPr>
          <w:rFonts w:ascii="Times New Roman" w:hAnsi="Times New Roman"/>
        </w:rPr>
        <w:t>2020 przydział uprawnień w ramach Krajowych Środków Wykonawczych był określany raz na 8-letni okres czasu, a następnie dostosowywany w przypadku zmian zachodzących w instalacji. W kolejnym, nowym okresie rozlicz</w:t>
      </w:r>
      <w:r w:rsidR="004875B2">
        <w:rPr>
          <w:rFonts w:ascii="Times New Roman" w:hAnsi="Times New Roman"/>
        </w:rPr>
        <w:t>eniowym, to jest w latach 2021–</w:t>
      </w:r>
      <w:r>
        <w:rPr>
          <w:rFonts w:ascii="Times New Roman" w:hAnsi="Times New Roman"/>
        </w:rPr>
        <w:t>2030 (wynikającym z dyrektywy 2018/410), przydział uprawnień będzie odbywał się dwukrotnie na 5-letnie przedziały czasu, dlatego też prowadzący instalację będzie obowiązany do opracowania i przedłożenia wniosku do Krajowego ośrodka dwukrotnie w okresie rozliczeniowym, a Krajowy ośrodek będzie dwukrotnie przeprowadzał ocenę złożonych danych i informacji zawartych we wnioskach. Ponadto zasady przydziału uprawnień do emisji zostały zmienione i w każdym z 5-letnich okresów będą składać się z dwóch etapów. W pierwszym etapie prowadzący instalację będzie składał wniosek o przydział uprawnień do emisji, który podlega sprawdzeniu i ocenie przez Krajowy ośrodek. Do wniosku muszą zostać załączone tzw. plany metodyki monitorowania. Poprawne dane zostaną przedłożone Komisji Europejskiej, na podstawie których to danych określone zostaną wskaźniki emisyjności (benchmarki). Po określeniu tych wskaźników Krajowy ośrodek obliczy przydzieloną dla każdej instalacji liczbę uprawnień do emisji. Szczegółowe regulacje w tym względzie przewidują przepisy rozporządzenia Komisji (UE) 2019/331.</w:t>
      </w:r>
    </w:p>
    <w:p w14:paraId="775BBAC6" w14:textId="729596F6" w:rsidR="00FE3B3A" w:rsidRDefault="00564110">
      <w:pPr>
        <w:spacing w:line="360" w:lineRule="auto"/>
        <w:jc w:val="both"/>
      </w:pPr>
      <w:r>
        <w:rPr>
          <w:rFonts w:ascii="Times New Roman" w:hAnsi="Times New Roman"/>
        </w:rPr>
        <w:t>Co do zasady przedmiotowe rozporządzenie będzie miało zastosowanie do przydziału bezpłatnych uprawnień</w:t>
      </w:r>
      <w:r w:rsidR="002058A4">
        <w:rPr>
          <w:rFonts w:ascii="Times New Roman" w:hAnsi="Times New Roman"/>
        </w:rPr>
        <w:t xml:space="preserve"> </w:t>
      </w:r>
      <w:r>
        <w:rPr>
          <w:rFonts w:ascii="Times New Roman" w:hAnsi="Times New Roman"/>
        </w:rPr>
        <w:t>do emisji, począwszy od 2021 r., z wyjątkiem przejściowego przydziału uprawnień</w:t>
      </w:r>
      <w:r w:rsidR="002058A4">
        <w:rPr>
          <w:rFonts w:ascii="Times New Roman" w:hAnsi="Times New Roman"/>
        </w:rPr>
        <w:t xml:space="preserve"> </w:t>
      </w:r>
      <w:r>
        <w:rPr>
          <w:rFonts w:ascii="Times New Roman" w:hAnsi="Times New Roman"/>
        </w:rPr>
        <w:t>do emisji na modernizację wytwarzania energii elektrycznej na podstawie art. 10c dyrektywy 2003/87/WE, jednak zważywszy na fakt, że przedłożenie i opracowanie wykazu instalacji kwalifikujących się do bezpłatnego przydziału uprawnień do emisji w nowym okresie rozliczeniowym i jego przedłożenie Komisji Europejskiej musi na</w:t>
      </w:r>
      <w:r w:rsidR="004875B2">
        <w:rPr>
          <w:rFonts w:ascii="Times New Roman" w:hAnsi="Times New Roman"/>
        </w:rPr>
        <w:t>stąpić do dnia 30 września 2019 </w:t>
      </w:r>
      <w:r>
        <w:rPr>
          <w:rFonts w:ascii="Times New Roman" w:hAnsi="Times New Roman"/>
        </w:rPr>
        <w:t>r.</w:t>
      </w:r>
      <w:r w:rsidR="002A5A7A">
        <w:rPr>
          <w:rFonts w:ascii="Times New Roman" w:hAnsi="Times New Roman"/>
        </w:rPr>
        <w:t>,</w:t>
      </w:r>
      <w:r>
        <w:rPr>
          <w:rFonts w:ascii="Times New Roman" w:hAnsi="Times New Roman"/>
        </w:rPr>
        <w:t xml:space="preserve"> już </w:t>
      </w:r>
      <w:r w:rsidR="002A5A7A">
        <w:rPr>
          <w:rFonts w:ascii="Times New Roman" w:hAnsi="Times New Roman"/>
        </w:rPr>
        <w:t xml:space="preserve">obecnie </w:t>
      </w:r>
      <w:r>
        <w:rPr>
          <w:rFonts w:ascii="Times New Roman" w:hAnsi="Times New Roman"/>
        </w:rPr>
        <w:t>koniecznym jest wykonanie pewnych przepisów rozporządzenia Komisji (UE) 2019/331 w akcie rangi ustawowej. Zważywszy na fakt, że przedmiotowe kwestie uregulowane są w akcie</w:t>
      </w:r>
      <w:r w:rsidR="002058A4">
        <w:rPr>
          <w:rFonts w:ascii="Times New Roman" w:hAnsi="Times New Roman"/>
        </w:rPr>
        <w:t xml:space="preserve"> </w:t>
      </w:r>
      <w:r>
        <w:rPr>
          <w:rFonts w:ascii="Times New Roman" w:hAnsi="Times New Roman"/>
        </w:rPr>
        <w:t>prawa unijnego, który wiąże w całości i jest bezpośrednio stosowany w państwach członkowskich, zachodzi konieczność wykonania tylko niektórych przepisów rozporządz</w:t>
      </w:r>
      <w:r w:rsidR="002A5A7A">
        <w:rPr>
          <w:rFonts w:ascii="Times New Roman" w:hAnsi="Times New Roman"/>
        </w:rPr>
        <w:t>e</w:t>
      </w:r>
      <w:r>
        <w:rPr>
          <w:rFonts w:ascii="Times New Roman" w:hAnsi="Times New Roman"/>
        </w:rPr>
        <w:t>nia Komisji (UE) 2019/331, tak aby m.in. dookreślić organy właściwe w zakresie zbierania danych od prowadzących instalacje na potrzeby przydziału uprawnień do emisji w okresie rozliczeniowym (zmieniony rozdział 5a USHE). Co do zasady przyjęto, że minister właściwy do spraw środowiska będzie organem właściwym w rozumieniu rozporządzenia Komisji (UE) 2019/331. Podmiotem, do którego kierowane są wnioski o przydział uprawnień do emisji</w:t>
      </w:r>
      <w:r w:rsidR="002A5A7A">
        <w:rPr>
          <w:rFonts w:ascii="Times New Roman" w:hAnsi="Times New Roman"/>
        </w:rPr>
        <w:t>,</w:t>
      </w:r>
      <w:r>
        <w:rPr>
          <w:rFonts w:ascii="Times New Roman" w:hAnsi="Times New Roman"/>
        </w:rPr>
        <w:t xml:space="preserve"> będzie Krajowy ośrodek. Krajowy ośrodek będzie oceniał wniosek pod kątem zgodności z rozporządzeniem Komisji (UE) 2019/331, w zakresie kompletności danych oraz zgodności z przepisami tego rozporządzenia. Krajowy ośrodek będzie odpowiedzialny za przygotowanie wykazu instalacji</w:t>
      </w:r>
      <w:r w:rsidR="00F42C9C">
        <w:rPr>
          <w:rFonts w:ascii="Times New Roman" w:hAnsi="Times New Roman"/>
        </w:rPr>
        <w:t>,</w:t>
      </w:r>
      <w:r>
        <w:rPr>
          <w:rFonts w:ascii="Times New Roman" w:hAnsi="Times New Roman"/>
        </w:rPr>
        <w:t xml:space="preserve"> dla których planowany jest przydział uprawnień do emisji, za obliczenie wstępnej liczby uprawnień do emisji oraz ostatecznej rocznej liczby uprawnień do emisji dla każdej instalacji. Minister właściwy do spraw środowiska będzie odpowiedzialny za przekazanie wykazu Komisji Europejskiej.</w:t>
      </w:r>
    </w:p>
    <w:p w14:paraId="1519390A" w14:textId="49274DD9" w:rsidR="00FE3B3A" w:rsidRDefault="00564110">
      <w:pPr>
        <w:spacing w:after="0" w:line="360" w:lineRule="auto"/>
        <w:jc w:val="both"/>
      </w:pPr>
      <w:r>
        <w:rPr>
          <w:rFonts w:ascii="Times New Roman" w:hAnsi="Times New Roman"/>
        </w:rPr>
        <w:t xml:space="preserve">W ramach nowych zadań, które wynikają z już przyjętych aktów prawnych Unii Europejskiej lub prawa międzynarodowego i zostaną przypisane Krajowemu ośrodkowi, należy zwrócić uwagę na obowiązki wynikające z </w:t>
      </w:r>
      <w:r>
        <w:rPr>
          <w:rFonts w:ascii="Times New Roman" w:hAnsi="Times New Roman"/>
          <w:bCs/>
        </w:rPr>
        <w:t xml:space="preserve">rozporządzenia Parlamentu Europejskiego i Rady 2018/842 </w:t>
      </w:r>
      <w:r w:rsidR="004875B2">
        <w:rPr>
          <w:rFonts w:ascii="Times New Roman" w:hAnsi="Times New Roman"/>
          <w:bCs/>
        </w:rPr>
        <w:t>z dnia 30 </w:t>
      </w:r>
      <w:r>
        <w:rPr>
          <w:rFonts w:ascii="Times New Roman" w:hAnsi="Times New Roman"/>
          <w:bCs/>
        </w:rPr>
        <w:t xml:space="preserve">maja 2018 r. </w:t>
      </w:r>
      <w:r>
        <w:rPr>
          <w:rFonts w:ascii="Times New Roman" w:hAnsi="Times New Roman"/>
        </w:rPr>
        <w:t>w sprawie wiążących rocznych redukcji emisji gazów cieplarnianych przez państwa członkowskie od 2021 r. do 2030 r. przyczyniających się do działań na rzecz klimatu w celu wywiązania się z zobowiązań wynikających z Porozumienia paryskiego oraz zmieniające</w:t>
      </w:r>
      <w:r w:rsidR="00F42C9C">
        <w:rPr>
          <w:rFonts w:ascii="Times New Roman" w:hAnsi="Times New Roman"/>
        </w:rPr>
        <w:t>go</w:t>
      </w:r>
      <w:r>
        <w:rPr>
          <w:rFonts w:ascii="Times New Roman" w:hAnsi="Times New Roman"/>
        </w:rPr>
        <w:t xml:space="preserve"> rozporządzenie (UE) nr 525/2013 (Dz. </w:t>
      </w:r>
      <w:r>
        <w:rPr>
          <w:rFonts w:ascii="Times New Roman" w:hAnsi="Times New Roman"/>
          <w:bCs/>
        </w:rPr>
        <w:t>Urz. UE</w:t>
      </w:r>
      <w:r>
        <w:rPr>
          <w:rFonts w:ascii="Times New Roman" w:hAnsi="Times New Roman"/>
        </w:rPr>
        <w:t xml:space="preserve"> L 156 z 19.</w:t>
      </w:r>
      <w:r>
        <w:rPr>
          <w:rFonts w:ascii="Times New Roman" w:hAnsi="Times New Roman"/>
          <w:bCs/>
        </w:rPr>
        <w:t>06</w:t>
      </w:r>
      <w:r>
        <w:rPr>
          <w:rFonts w:ascii="Times New Roman" w:hAnsi="Times New Roman"/>
        </w:rPr>
        <w:t>.2018, str. 26, z późn. zm.),</w:t>
      </w:r>
      <w:r>
        <w:rPr>
          <w:rFonts w:ascii="Times New Roman" w:hAnsi="Times New Roman"/>
          <w:bCs/>
          <w:i/>
        </w:rPr>
        <w:t xml:space="preserve"> </w:t>
      </w:r>
      <w:r>
        <w:rPr>
          <w:rFonts w:ascii="Times New Roman" w:hAnsi="Times New Roman"/>
          <w:bCs/>
        </w:rPr>
        <w:t>zwanego dalej</w:t>
      </w:r>
      <w:r w:rsidR="002058A4">
        <w:rPr>
          <w:rFonts w:ascii="Times New Roman" w:hAnsi="Times New Roman"/>
          <w:bCs/>
        </w:rPr>
        <w:t xml:space="preserve"> </w:t>
      </w:r>
      <w:r w:rsidR="00086113">
        <w:rPr>
          <w:rFonts w:ascii="Times New Roman" w:hAnsi="Times New Roman"/>
          <w:bCs/>
        </w:rPr>
        <w:t>„</w:t>
      </w:r>
      <w:r>
        <w:rPr>
          <w:rFonts w:ascii="Times New Roman" w:hAnsi="Times New Roman"/>
          <w:bCs/>
        </w:rPr>
        <w:t xml:space="preserve">ESR”, które weszło w życie dnia 9 lipca 2018 r. W związku z przyjęciem ESR konieczna będzie kontynuacja większości zadań realizowanych w związku z wdrażaniem poprzednio obowiązującej decyzji </w:t>
      </w:r>
      <w:r>
        <w:rPr>
          <w:rFonts w:ascii="Times New Roman" w:hAnsi="Times New Roman"/>
        </w:rPr>
        <w:t>Parlamentu Europejskiego i Rady nr 2009/406/WE z dnia 23 kwietnia 2009 r. w sprawie wysiłków podjętych przez państwa członkowskie, zmierzających do zmniejszenia emisji gazów cieplarnianych w celu realizacji do roku 2020 zobowiązań Wspólnoty dotyczących redukcji emisji gazów cieplarnianych</w:t>
      </w:r>
      <w:r>
        <w:rPr>
          <w:rFonts w:ascii="Times New Roman" w:hAnsi="Times New Roman"/>
          <w:bCs/>
        </w:rPr>
        <w:t xml:space="preserve"> (Dz. Urz. UE L 140 z 05.06.2009, str. 136, z późn. zm.), zwanej dalej „ESD”</w:t>
      </w:r>
      <w:r w:rsidR="00086113">
        <w:rPr>
          <w:rFonts w:ascii="Times New Roman" w:hAnsi="Times New Roman"/>
          <w:bCs/>
        </w:rPr>
        <w:t>,</w:t>
      </w:r>
      <w:r>
        <w:rPr>
          <w:rFonts w:ascii="Times New Roman" w:hAnsi="Times New Roman"/>
          <w:bCs/>
        </w:rPr>
        <w:t xml:space="preserve"> oraz podjęcie nowych, wynikających z wprowadzenia zupełnie nowych rozwiązań, takich jak rezerwy bezpieczeństwa czy nowy mechanizm elastyczności związany możliwością wykorzystania jednostek z sektora LULUCF (użytkowanie gruntów, zmiana użytkowania gruntów i leśnictwo </w:t>
      </w:r>
      <w:r w:rsidR="002058A4">
        <w:rPr>
          <w:rFonts w:ascii="Times New Roman" w:hAnsi="Times New Roman"/>
          <w:bCs/>
        </w:rPr>
        <w:t>–</w:t>
      </w:r>
      <w:r>
        <w:rPr>
          <w:rFonts w:ascii="Times New Roman" w:hAnsi="Times New Roman"/>
          <w:bCs/>
        </w:rPr>
        <w:t xml:space="preserve"> ang. </w:t>
      </w:r>
      <w:r>
        <w:rPr>
          <w:rFonts w:ascii="Times New Roman" w:hAnsi="Times New Roman"/>
          <w:bCs/>
          <w:i/>
        </w:rPr>
        <w:t>land use, land use change and forestry</w:t>
      </w:r>
      <w:r>
        <w:rPr>
          <w:rFonts w:ascii="Times New Roman" w:hAnsi="Times New Roman"/>
          <w:bCs/>
        </w:rPr>
        <w:t xml:space="preserve">) do rozliczenia emisji w obszarze ESR w ramach ustanowionego limitu. Nowe obowiązki będą wynikać również z wymogów w zakresie zintegrowanego planowania i raportowania emisji określonych w projektowanym </w:t>
      </w:r>
      <w:r>
        <w:rPr>
          <w:rFonts w:ascii="Times New Roman" w:hAnsi="Times New Roman"/>
        </w:rPr>
        <w:t>rozporządzeniu Parlamentu Europejskiego i Rady w sprawie zarządzania unią energetyczną</w:t>
      </w:r>
      <w:r>
        <w:rPr>
          <w:rFonts w:ascii="Times New Roman" w:hAnsi="Times New Roman"/>
          <w:bCs/>
        </w:rPr>
        <w:t xml:space="preserve"> (obecnie projekt rozporządzenia jest na zaawansowanym etapie procedury prawodawczej w Unii Europejskiej). Należy również zauważyć, iż znacząco zwiększony wysiłek redukcyjny może oznaczać konieczność podejmowania dodatkowych polityk i działań, które doprowadzą do realizacji celu ESR. Wiąże się z tym szerszy zakres działań planistycznych, które Polska będzie musiała realizować, częściowo wynikających z przepisów unijnych, takich jak Krajowy Plan na rzecz Energii i Klimatu (KPEiK), </w:t>
      </w:r>
      <w:r>
        <w:rPr>
          <w:rFonts w:ascii="Times New Roman" w:hAnsi="Times New Roman"/>
        </w:rPr>
        <w:t>długoterminowa strategia niskoemisyjna, Plan Działań Korygujących (</w:t>
      </w:r>
      <w:r>
        <w:rPr>
          <w:rFonts w:ascii="Times New Roman" w:hAnsi="Times New Roman"/>
          <w:bCs/>
        </w:rPr>
        <w:t xml:space="preserve">PDK), a częściowo będących wynikiem przepisów lub dobrowolnych działań krajowych (np. strategia zarządzania krajowym limitem jednostek rocznych limitów emisji, zwanych dalej „AEA”). W realizacji wszystkich tych obowiązków państwa członkowskiego kluczowe znaczenie będą miały zadania realizowane przez Krajowy ośrodek. W przypadku PDK, który już obecnie (na bazie ESD) jest zadaniem przypisanym Krajowemu ośrodkowi, ze względu na zaostrzenie kryterium, na podstawie którego istnieje konieczność przygotowania PDK (brak wystarczających postępów danego państwa członkowskiego według corocznej oceny Komisji Europejskiej) oraz ambitny cel redukcyjny, istnieje duże prawdopodobieństwo, że plan taki trzeba będzie przygotować (lub plany). Katalog zadań rozszerza się także ze względu na powiązania z dwoma pozostałymi filarami polityki klimatycznej Unii Europejskiej (unijny system handlu uprawnieniami do emisji, zwany dalej „EU ETS”, i LULUCF), dla których stworzono osobne elastyczności (konieczność monitorowania ich wpływu na system ESR). </w:t>
      </w:r>
    </w:p>
    <w:p w14:paraId="03ADF8E6" w14:textId="77777777" w:rsidR="00FE3B3A" w:rsidRDefault="00564110">
      <w:pPr>
        <w:spacing w:after="0" w:line="360" w:lineRule="auto"/>
        <w:jc w:val="both"/>
        <w:rPr>
          <w:rFonts w:ascii="Times New Roman" w:hAnsi="Times New Roman"/>
          <w:bCs/>
        </w:rPr>
      </w:pPr>
      <w:r>
        <w:rPr>
          <w:rFonts w:ascii="Times New Roman" w:hAnsi="Times New Roman"/>
          <w:bCs/>
        </w:rPr>
        <w:t>Poza zwiększonym zakresem zadań strategiczno–analitycznych Krajowy ośrodek będzie prawdopodobnie realizował także szerszy zakres zadań w zakresie monitorowania realizacji celu ESR, w tym np.:</w:t>
      </w:r>
    </w:p>
    <w:p w14:paraId="44322EE0" w14:textId="6FCD3FB2" w:rsidR="00FE3B3A" w:rsidRDefault="00564110">
      <w:pPr>
        <w:numPr>
          <w:ilvl w:val="0"/>
          <w:numId w:val="2"/>
        </w:numPr>
        <w:spacing w:after="0" w:line="360" w:lineRule="auto"/>
        <w:jc w:val="both"/>
        <w:rPr>
          <w:rFonts w:ascii="Times New Roman" w:hAnsi="Times New Roman"/>
        </w:rPr>
      </w:pPr>
      <w:r>
        <w:rPr>
          <w:rFonts w:ascii="Times New Roman" w:hAnsi="Times New Roman"/>
        </w:rPr>
        <w:t>bieżące coroczne monitorowanie poziomu emisji gazów cieplarnianych w celu przygotowania się na rozliczanie okresów 5-letnich oraz oceny konieczności wykorzystania dostępnych w ESR elastyczności czy przygotowania PDK;</w:t>
      </w:r>
    </w:p>
    <w:p w14:paraId="543D1E5E" w14:textId="77777777" w:rsidR="00FE3B3A" w:rsidRDefault="00564110">
      <w:pPr>
        <w:numPr>
          <w:ilvl w:val="0"/>
          <w:numId w:val="2"/>
        </w:numPr>
        <w:spacing w:after="0" w:line="360" w:lineRule="auto"/>
        <w:jc w:val="both"/>
        <w:rPr>
          <w:rFonts w:ascii="Times New Roman" w:hAnsi="Times New Roman"/>
        </w:rPr>
      </w:pPr>
      <w:r>
        <w:rPr>
          <w:rFonts w:ascii="Times New Roman" w:hAnsi="Times New Roman"/>
        </w:rPr>
        <w:t>monitorowanie emisji i pochłaniania w LULUCF w celu oceny potencjału wykorzystania elastyczności LULUCF lub ryzyka pomniejszenia budżetu AEA ze względu na wystąpienie emisji netto w sektorze LULUCF;</w:t>
      </w:r>
    </w:p>
    <w:p w14:paraId="47C2D191" w14:textId="3172C213" w:rsidR="00FE3B3A" w:rsidRDefault="00564110">
      <w:pPr>
        <w:numPr>
          <w:ilvl w:val="0"/>
          <w:numId w:val="2"/>
        </w:numPr>
        <w:spacing w:after="0" w:line="360" w:lineRule="auto"/>
        <w:jc w:val="both"/>
        <w:rPr>
          <w:rFonts w:ascii="Times New Roman" w:hAnsi="Times New Roman"/>
        </w:rPr>
      </w:pPr>
      <w:r>
        <w:rPr>
          <w:rFonts w:ascii="Times New Roman" w:hAnsi="Times New Roman"/>
        </w:rPr>
        <w:t>określanie planowanego</w:t>
      </w:r>
      <w:r w:rsidR="002058A4">
        <w:rPr>
          <w:rFonts w:ascii="Times New Roman" w:hAnsi="Times New Roman"/>
        </w:rPr>
        <w:t xml:space="preserve"> </w:t>
      </w:r>
      <w:r>
        <w:rPr>
          <w:rFonts w:ascii="Times New Roman" w:hAnsi="Times New Roman"/>
        </w:rPr>
        <w:t>wykorzystania elastyczności LULUCF w ramach realizacji celu ESR;</w:t>
      </w:r>
    </w:p>
    <w:p w14:paraId="17EE8437" w14:textId="4551C386" w:rsidR="00FE3B3A" w:rsidRDefault="00564110">
      <w:pPr>
        <w:numPr>
          <w:ilvl w:val="0"/>
          <w:numId w:val="2"/>
        </w:numPr>
        <w:spacing w:after="0" w:line="360" w:lineRule="auto"/>
        <w:jc w:val="both"/>
        <w:rPr>
          <w:rFonts w:ascii="Times New Roman" w:hAnsi="Times New Roman"/>
        </w:rPr>
      </w:pPr>
      <w:r>
        <w:rPr>
          <w:rFonts w:ascii="Times New Roman" w:hAnsi="Times New Roman"/>
        </w:rPr>
        <w:t>monitorowanie potencjału wykorzystania rezerwy bezpieczeństwa przez Polskę</w:t>
      </w:r>
      <w:r w:rsidR="004961CB">
        <w:rPr>
          <w:rFonts w:ascii="Times New Roman" w:hAnsi="Times New Roman"/>
        </w:rPr>
        <w:t>;</w:t>
      </w:r>
    </w:p>
    <w:p w14:paraId="3452F1F8" w14:textId="77777777" w:rsidR="00FE3B3A" w:rsidRDefault="00564110">
      <w:pPr>
        <w:numPr>
          <w:ilvl w:val="0"/>
          <w:numId w:val="2"/>
        </w:numPr>
        <w:spacing w:after="0" w:line="360" w:lineRule="auto"/>
        <w:jc w:val="both"/>
        <w:rPr>
          <w:rFonts w:ascii="Times New Roman" w:hAnsi="Times New Roman"/>
        </w:rPr>
      </w:pPr>
      <w:r>
        <w:rPr>
          <w:rFonts w:ascii="Times New Roman" w:hAnsi="Times New Roman"/>
        </w:rPr>
        <w:t>monitorowanie funkcjonowania rynku AEA oraz jego powiązania z EU ETS i LULUCF (cena jednostek AEA, bilans podaży i popytu, możliwości realizacji projektów, ocena wykorzystania i wpływu elastyczności z EU ETS i LULUCF na rynek AEA);</w:t>
      </w:r>
    </w:p>
    <w:p w14:paraId="6D199593" w14:textId="77777777" w:rsidR="00FE3B3A" w:rsidRDefault="00564110">
      <w:pPr>
        <w:numPr>
          <w:ilvl w:val="0"/>
          <w:numId w:val="2"/>
        </w:numPr>
        <w:spacing w:after="0" w:line="360" w:lineRule="auto"/>
        <w:jc w:val="both"/>
        <w:rPr>
          <w:rFonts w:ascii="Times New Roman" w:hAnsi="Times New Roman"/>
        </w:rPr>
      </w:pPr>
      <w:r>
        <w:rPr>
          <w:rFonts w:ascii="Times New Roman" w:hAnsi="Times New Roman"/>
        </w:rPr>
        <w:t>przygotowywanie analiz w zakresie realizacji celu ESR na potrzeby opracowania KPEiK;</w:t>
      </w:r>
    </w:p>
    <w:p w14:paraId="098C2A7B" w14:textId="77777777" w:rsidR="00FE3B3A" w:rsidRDefault="00564110">
      <w:pPr>
        <w:numPr>
          <w:ilvl w:val="0"/>
          <w:numId w:val="2"/>
        </w:numPr>
        <w:spacing w:after="0" w:line="360" w:lineRule="auto"/>
        <w:jc w:val="both"/>
        <w:rPr>
          <w:rFonts w:ascii="Times New Roman" w:hAnsi="Times New Roman"/>
        </w:rPr>
      </w:pPr>
      <w:r>
        <w:rPr>
          <w:rFonts w:ascii="Times New Roman" w:hAnsi="Times New Roman"/>
        </w:rPr>
        <w:t>przygotowywanie analiz rekomendacji Komisji Europejskiej do KPEiK w zakresie realizacji celu ESR i propozycji ich ujęcia w finalnych planach;</w:t>
      </w:r>
    </w:p>
    <w:p w14:paraId="614670BF" w14:textId="77777777" w:rsidR="00FE3B3A" w:rsidRDefault="00564110">
      <w:pPr>
        <w:numPr>
          <w:ilvl w:val="0"/>
          <w:numId w:val="2"/>
        </w:numPr>
        <w:spacing w:after="0" w:line="360" w:lineRule="auto"/>
        <w:jc w:val="both"/>
        <w:rPr>
          <w:rFonts w:ascii="Times New Roman" w:hAnsi="Times New Roman"/>
        </w:rPr>
      </w:pPr>
      <w:r>
        <w:rPr>
          <w:rFonts w:ascii="Times New Roman" w:hAnsi="Times New Roman"/>
        </w:rPr>
        <w:t>przygotowywanie odpowiednich analiz w zakresie realizacji celu ESR na potrzeby raportów z postępu realizacji KPEiK (co 2 lata), jak i aktualizacji KPEiK (co 5 lat).</w:t>
      </w:r>
    </w:p>
    <w:p w14:paraId="666034D6" w14:textId="301171E5" w:rsidR="00FE3B3A" w:rsidRDefault="00564110">
      <w:pPr>
        <w:spacing w:after="0" w:line="360" w:lineRule="auto"/>
        <w:jc w:val="both"/>
        <w:rPr>
          <w:rFonts w:ascii="Times New Roman" w:hAnsi="Times New Roman"/>
        </w:rPr>
      </w:pPr>
      <w:r>
        <w:rPr>
          <w:rFonts w:ascii="Times New Roman" w:hAnsi="Times New Roman"/>
        </w:rPr>
        <w:t>Należy jednocześnie zauważyć, iż ESR nie został jeszcze transponowany do krajowego porządku prawnego. Jednak w związku z tym, że ESR jest aktem prawnym, który obowiązuje wprost i bezpośrednio w krajowym porządku prawnym, oraz w związku z tym, że Krajowy ośrodek realizuje część zadań wynikających z decyzji ESD i jest przy tym jednostką wyspecjalizowaną w monitorowaniu działań w zakresie polityki klimatycznej, przygotowywaniu analiz, przeglądów i ocen jej funkcjonowania oraz prognozowania skutków realizacji ww. polityki, nie ma wątpliwości, że główna rola w realizowaniu tych obowiązków przypadnie Krajowemu ośrodkowi. Stąd należy już teraz zabezpieczyć jego źródło finansowania, aby uniknąć zagrożenia dla realizacji przez Krajowy ośrodek jego zadań, a w konsekwencji</w:t>
      </w:r>
      <w:r w:rsidR="002058A4">
        <w:rPr>
          <w:rFonts w:ascii="Times New Roman" w:hAnsi="Times New Roman"/>
        </w:rPr>
        <w:t xml:space="preserve"> </w:t>
      </w:r>
      <w:r>
        <w:rPr>
          <w:rFonts w:ascii="Times New Roman" w:hAnsi="Times New Roman"/>
        </w:rPr>
        <w:t>ryzyka niewykonywania przez Polskę jej zobowiązań wynikających z członkostwa w Unii Europejskiej.</w:t>
      </w:r>
    </w:p>
    <w:p w14:paraId="13D7F3B3" w14:textId="148ADD52" w:rsidR="00FE3B3A" w:rsidRDefault="00564110">
      <w:pPr>
        <w:spacing w:after="0" w:line="360" w:lineRule="auto"/>
        <w:jc w:val="both"/>
      </w:pPr>
      <w:r>
        <w:rPr>
          <w:rFonts w:ascii="Times New Roman" w:hAnsi="Times New Roman"/>
        </w:rPr>
        <w:t xml:space="preserve">Wspomniany wyżej rozwój polityki klimatycznej oraz polityki ochrony powietrza spowodował rozszerzenie zakresu raportowania projekcji emisji gazów cieplarnianych w powiązaniu z innymi politykami i działaniami (krajowymi oraz unijnymi wdrażanymi w kraju), na potrzeby raportów rządowych i dwuletnich do Ramowej konwencji Narodów Zjednoczonych w sprawie zmian klimatu (UNFCCC) [decyzja 9/CP.16 </w:t>
      </w:r>
      <w:r w:rsidR="002058A4">
        <w:rPr>
          <w:rFonts w:ascii="Times New Roman" w:hAnsi="Times New Roman"/>
        </w:rPr>
        <w:t>–</w:t>
      </w:r>
      <w:r>
        <w:rPr>
          <w:rFonts w:ascii="Times New Roman" w:hAnsi="Times New Roman"/>
        </w:rPr>
        <w:t xml:space="preserve"> Ósmy Raport Rządowy (NC8 – termin złożenia 1 stycznia 2022 r.) oraz decyzja 2/CP.17 </w:t>
      </w:r>
      <w:r w:rsidR="002058A4">
        <w:rPr>
          <w:rFonts w:ascii="Times New Roman" w:hAnsi="Times New Roman"/>
        </w:rPr>
        <w:t>–</w:t>
      </w:r>
      <w:r>
        <w:rPr>
          <w:rFonts w:ascii="Times New Roman" w:hAnsi="Times New Roman"/>
        </w:rPr>
        <w:t xml:space="preserve"> Czwarty raport dwuletni (BR4 – termin złożenia 1stycznia 2020 r.) oraz kolejne raporty opracowywane na potrzeby konwencji klimatycznej UNFCCC] oraz na potrzeby Unii Europejskiej (rozporządzenie Parlamentu Europejskiego i Rady (UE) nr 525/2013 z dnia 21 maja 2013 r. w sprawie mechanizmu monitorowania i sprawozdawczości w zakresie emisji gazów cieplarnianych oraz zgłaszania innych informacji na poziomie krajowym i unijnym, mających znaczenie dla zmiany klimatu, oraz uchylające decyzję 280/2004/WE; oraz po 2020 r.: rozporządzenie Parlamentu Europejskiego i Rady w sprawie zarządzania unią energetyczną (wynegocjowane, ale jeszcze nie przyjęte przez Radę i Parlament Europejskiej) – obejmie po 2020 r. zintegrowane raportowanie klimatyczne i energetyczne. </w:t>
      </w:r>
    </w:p>
    <w:p w14:paraId="5EACDA77" w14:textId="77777777" w:rsidR="00FE3B3A" w:rsidRDefault="00564110">
      <w:pPr>
        <w:spacing w:after="0" w:line="360" w:lineRule="auto"/>
        <w:jc w:val="both"/>
        <w:rPr>
          <w:rFonts w:ascii="Times New Roman" w:hAnsi="Times New Roman"/>
        </w:rPr>
      </w:pPr>
      <w:r>
        <w:rPr>
          <w:rFonts w:ascii="Times New Roman" w:hAnsi="Times New Roman"/>
        </w:rPr>
        <w:t xml:space="preserve">Z innych zadań Krajowego ośrodka należy wspomnieć jeszcze o: </w:t>
      </w:r>
    </w:p>
    <w:p w14:paraId="2845E92A" w14:textId="2A82C0A9" w:rsidR="00FE3B3A" w:rsidRDefault="00564110">
      <w:pPr>
        <w:numPr>
          <w:ilvl w:val="0"/>
          <w:numId w:val="3"/>
        </w:numPr>
        <w:spacing w:after="0" w:line="360" w:lineRule="auto"/>
        <w:jc w:val="both"/>
      </w:pPr>
      <w:r>
        <w:rPr>
          <w:rFonts w:ascii="Times New Roman" w:hAnsi="Times New Roman"/>
        </w:rPr>
        <w:t>udziale Krajowego ośrodka w programie Głównego Urzędu Statystycznego (</w:t>
      </w:r>
      <w:r>
        <w:rPr>
          <w:rFonts w:ascii="Times New Roman" w:hAnsi="Times New Roman"/>
          <w:bCs/>
        </w:rPr>
        <w:t xml:space="preserve">GUS) </w:t>
      </w:r>
      <w:r w:rsidR="002058A4">
        <w:rPr>
          <w:rFonts w:ascii="Times New Roman" w:hAnsi="Times New Roman"/>
          <w:bCs/>
        </w:rPr>
        <w:t>–</w:t>
      </w:r>
      <w:r>
        <w:rPr>
          <w:rFonts w:ascii="Times New Roman" w:hAnsi="Times New Roman"/>
          <w:bCs/>
        </w:rPr>
        <w:t xml:space="preserve"> Program Badań Statystycznych Statystyki Publicznej</w:t>
      </w:r>
      <w:r>
        <w:rPr>
          <w:rFonts w:ascii="Times New Roman" w:hAnsi="Times New Roman"/>
        </w:rPr>
        <w:t xml:space="preserve"> (PBSSP). Jest to nowe zadanie realizowane od 2018 r. polegające na corocznym opracowywaniu przez Krajowy ośrodek podziału emisji wybranych substancji (3 gazy cieplarniane + 3 prekursory gazów cieplarnianych) na województwa. Zadanie to będzie wymagało corocznej aktualizacji metodyki podziału do dostępnych danych oraz zmian wprowadzonych w inwentaryzacji; </w:t>
      </w:r>
    </w:p>
    <w:p w14:paraId="1D0EB33F" w14:textId="6974D3C8" w:rsidR="00FE3B3A" w:rsidRDefault="00564110">
      <w:pPr>
        <w:numPr>
          <w:ilvl w:val="0"/>
          <w:numId w:val="3"/>
        </w:numPr>
        <w:spacing w:after="0" w:line="360" w:lineRule="auto"/>
        <w:jc w:val="both"/>
      </w:pPr>
      <w:r>
        <w:rPr>
          <w:rFonts w:ascii="Times New Roman" w:hAnsi="Times New Roman"/>
        </w:rPr>
        <w:t>realizowanym od września 2017 r. projekcie budowy trwałego i kompleksowego systemu tworzenia i wymiany informacji i wiedzy, wspomagającego opracowywanie przekrojowych analiz wpływu różnych rozwiązań w zakresie polityki klimatyczno-energetycznej (projekt pn.:</w:t>
      </w:r>
      <w:r>
        <w:rPr>
          <w:rFonts w:ascii="Times New Roman" w:hAnsi="Times New Roman"/>
          <w:i/>
        </w:rPr>
        <w:t xml:space="preserve"> System dostarczania i wymiany informacji w celu strategicznego wspierania wdrażania polityki klimatyczno-energetycznej (LIFE Climate CAKE PL</w:t>
      </w:r>
      <w:r>
        <w:rPr>
          <w:rFonts w:ascii="Times New Roman" w:hAnsi="Times New Roman"/>
        </w:rPr>
        <w:t>), projekt współfinansowany przez Komisję Europejską oraz NFOŚiGW). Informacje te powstaną w wyniku wykorzystania powstałego w ramach projektu warsztatu analitycznego uwzględniającego modele sektorowe energii, rolnictwa i transportu. W ramach projektu przygotowane zostaną kompleksowe analizy, które posłużą przy określaniu krajowych strategii, planów działań i innych dokumentów rządowych. Dla zapewnienia trwałości efektów projektu po zakończeniu trwania realizacji projektu IOŚ-PIB (który wykonuje zadania Krajowego ośrodka – art. 4 USZE) planuje dalszy rozwój warsztatu modelowego, w miarę potrzeb wynikających z nowych propozycji legislacyjnych lub zmieniających się warunków otoczenia gospodarczego – w obszarze polityki klimatycznej, energetycznej i środowiskowej. Planuje się, że warsztat ten będzie rozbudowywany i doskonalony w miarę potrzeb i oczekiwań pojawiających się ze strony administracji rządowej, stanowiącej grupę docelową projektu, i innych interesariuszy. Już obecnie można zidentyfikować obszary, które rozwijany warsztat modelowy powinien objąć w przyszłości. Na przykład uwzględnienie większej liczby gazów cieplarnianych (poza CO</w:t>
      </w:r>
      <w:r>
        <w:rPr>
          <w:rFonts w:ascii="Times New Roman" w:hAnsi="Times New Roman"/>
          <w:vertAlign w:val="subscript"/>
        </w:rPr>
        <w:t>2</w:t>
      </w:r>
      <w:r>
        <w:rPr>
          <w:rFonts w:ascii="Times New Roman" w:hAnsi="Times New Roman"/>
        </w:rPr>
        <w:t xml:space="preserve">) i zanieczyszczeń przemysłowych, emisji pyłów z indywidualnych urządzeń grzewczych oraz przede wszystkim uwzględnienie kosztów zewnętrznych w analizach optymalizacyjnych ma ogromne znaczenie przy szacowaniu skutków przyjmowanych rozwiązań w ramach prowadzonej polityki energetyczno-klimatycznej. Szczególnie ten ostatni temat jest potencjalnie istotny, gdyż może zmieniać perspektywę i ocenę niektórych rozwiązań technologicznych i logistycznych – dzisiaj uznawanych za nieefektywne ekonomicznie. Rozwój warsztatu modelowego będzie wymagał zapewnienia finansowania po zakończeniu obecnie prowadzonego projektu. </w:t>
      </w:r>
    </w:p>
    <w:p w14:paraId="57FF3A32" w14:textId="77777777" w:rsidR="00FE3B3A" w:rsidRDefault="00564110">
      <w:pPr>
        <w:spacing w:after="0" w:line="360" w:lineRule="auto"/>
        <w:jc w:val="both"/>
        <w:rPr>
          <w:rFonts w:ascii="Times New Roman" w:hAnsi="Times New Roman"/>
        </w:rPr>
      </w:pPr>
      <w:r>
        <w:rPr>
          <w:rFonts w:ascii="Times New Roman" w:hAnsi="Times New Roman"/>
        </w:rPr>
        <w:t>Należy zauważyć, że rozwój polityki klimatycznej i polityki ochrony powietrza oraz coraz większe wymogi w zakresie zintegrowania tych polityk z politykami w innych obszarach działań państwa powodują, że kluczowa jest współpraca Krajowego ośrodka z organami administracji publicznej. Stąd znacznie zwiększa się zakres zadania ustawowego Krajowego ośrodka, o którym mowa w art. 3 ust. 2 pkt 10 lit. o USZE.</w:t>
      </w:r>
    </w:p>
    <w:p w14:paraId="756886D9" w14:textId="77777777" w:rsidR="00FE3B3A" w:rsidRDefault="00564110">
      <w:pPr>
        <w:spacing w:after="0" w:line="360" w:lineRule="auto"/>
        <w:jc w:val="both"/>
        <w:rPr>
          <w:rFonts w:ascii="Times New Roman" w:hAnsi="Times New Roman"/>
        </w:rPr>
      </w:pPr>
      <w:r>
        <w:rPr>
          <w:rFonts w:ascii="Times New Roman" w:hAnsi="Times New Roman"/>
        </w:rPr>
        <w:t>Wobec powyższego zapewnienie stabilnego źródła finansowania Krajowego ośrodka jest kluczowe dla zapewnienia realizacji zadań publicznych z zakresu polityki klimatycznej i polityki ochrony jakości powietrza.</w:t>
      </w:r>
    </w:p>
    <w:p w14:paraId="460A283F" w14:textId="1DC58A1D" w:rsidR="00FE3B3A" w:rsidRDefault="00564110">
      <w:pPr>
        <w:spacing w:after="0" w:line="360" w:lineRule="auto"/>
        <w:jc w:val="both"/>
      </w:pPr>
      <w:r>
        <w:rPr>
          <w:rFonts w:ascii="Times New Roman" w:hAnsi="Times New Roman"/>
          <w:color w:val="000000"/>
        </w:rPr>
        <w:t>Zmian również wymaga system opłat za korzystanie ze środowiska uregulowany w ustawie POŚ. Zidentyfikowano niejasność związaną z metodyką obliczania wysokości opłaty za przydzielone uprawnienia do emisji. Wysokość opłaty obecnie jest uzależniona od liczby wydanych uprawnień do emisji, jednak stawkę jednostkową opłaty przyjmowało się według roku, na który uprawnienia zostały przydzielone</w:t>
      </w:r>
      <w:r w:rsidR="002A5A7A">
        <w:rPr>
          <w:rFonts w:ascii="Times New Roman" w:hAnsi="Times New Roman"/>
          <w:color w:val="000000"/>
        </w:rPr>
        <w:t>,</w:t>
      </w:r>
      <w:r>
        <w:rPr>
          <w:rFonts w:ascii="Times New Roman" w:hAnsi="Times New Roman"/>
          <w:color w:val="000000"/>
        </w:rPr>
        <w:t xml:space="preserve"> a nie według roku, w którym uprawnienia te zostały faktycznie wydane. </w:t>
      </w:r>
    </w:p>
    <w:p w14:paraId="0EB6C4A4" w14:textId="77777777" w:rsidR="00FE3B3A" w:rsidRDefault="00564110">
      <w:pPr>
        <w:spacing w:after="0" w:line="360" w:lineRule="auto"/>
        <w:jc w:val="both"/>
      </w:pPr>
      <w:r>
        <w:rPr>
          <w:rFonts w:ascii="Times New Roman" w:hAnsi="Times New Roman"/>
          <w:color w:val="000000"/>
        </w:rPr>
        <w:t xml:space="preserve">Projektowany charakter zmiany polega na usunięciu wątpliwości interpretacyjnych oraz zwiększeniu przejrzystości procedur, z tego względu </w:t>
      </w:r>
      <w:r>
        <w:rPr>
          <w:rFonts w:ascii="Times New Roman" w:eastAsia="Times New Roman" w:hAnsi="Times New Roman"/>
          <w:lang w:eastAsia="pl-PL"/>
        </w:rPr>
        <w:t xml:space="preserve">projekt nie wywiera istotnego wpływu na działalność mikro-, małych i średnich przedsiębiorców. Głównym celem projektowanej zmiany jest zmniejszenie obciążeń zarówno po stronie administracji publicznej, jak i prowadzących instalacje. </w:t>
      </w:r>
      <w:r>
        <w:rPr>
          <w:rFonts w:ascii="Times New Roman" w:hAnsi="Times New Roman"/>
          <w:color w:val="000000"/>
        </w:rPr>
        <w:t>Z wyżej wymienionych względów zaproponowano, żeby stawkę opłaty odnieść jednoznacznie do roku wydania uprawnień. Uprości to system opłat i usunie niekonsekwencję systemową wynikającą z wyżej opisanej rozbieżności czasowej.</w:t>
      </w:r>
    </w:p>
    <w:p w14:paraId="14A2938F"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Dodatkowo w ustawie POŚ w zakresie opłat za korzystanie ze środowiska zaproponowano zmiany legislacyjne i porządkujące, tj.:</w:t>
      </w:r>
    </w:p>
    <w:p w14:paraId="3C038F78" w14:textId="393AA1E9" w:rsidR="00FE3B3A" w:rsidRDefault="002058A4">
      <w:pPr>
        <w:spacing w:after="0" w:line="360" w:lineRule="auto"/>
        <w:jc w:val="both"/>
        <w:rPr>
          <w:rFonts w:ascii="Times New Roman" w:hAnsi="Times New Roman"/>
          <w:color w:val="000000"/>
        </w:rPr>
      </w:pPr>
      <w:r>
        <w:rPr>
          <w:rFonts w:ascii="Times New Roman" w:hAnsi="Times New Roman"/>
          <w:color w:val="000000"/>
        </w:rPr>
        <w:t>–</w:t>
      </w:r>
      <w:r w:rsidR="00564110">
        <w:rPr>
          <w:rFonts w:ascii="Times New Roman" w:hAnsi="Times New Roman"/>
          <w:color w:val="000000"/>
        </w:rPr>
        <w:t xml:space="preserve"> art. 6 pkt 5 projektu zmienia się art. 285 ustawy POŚ przez uchylenie jego ust. 4. Ust. 4 jest powtórzeniem normy zawartej w ust. 2 ww. przepisu. Podmiot korzystający ze środowiska zobowiązany do uiszczenia opłaty za składowanie odpadów będzie zobowiązany do jej wniesienia w terminie wynikającym z normy ogólnej, tj. do dnia 31 marca następnego roku. Brak jest podstawy do utrzymywania dwóch przepisów o identycznej treści.</w:t>
      </w:r>
    </w:p>
    <w:p w14:paraId="6FA3C31C" w14:textId="08C2D800" w:rsidR="00FE3B3A" w:rsidRDefault="002058A4">
      <w:pPr>
        <w:spacing w:after="0" w:line="360" w:lineRule="auto"/>
        <w:jc w:val="both"/>
        <w:rPr>
          <w:rFonts w:ascii="Times New Roman" w:hAnsi="Times New Roman"/>
          <w:color w:val="000000"/>
        </w:rPr>
      </w:pPr>
      <w:r>
        <w:rPr>
          <w:rFonts w:ascii="Times New Roman" w:hAnsi="Times New Roman"/>
          <w:color w:val="000000"/>
        </w:rPr>
        <w:t>–</w:t>
      </w:r>
      <w:r w:rsidR="00564110">
        <w:rPr>
          <w:rFonts w:ascii="Times New Roman" w:hAnsi="Times New Roman"/>
          <w:color w:val="000000"/>
        </w:rPr>
        <w:t xml:space="preserve"> w art. 6 pkt 9 projektu uchyla się m.in. art. 287 ustawy POŚ. Zmiana ta ma charakter czyszczący. Podstawa do sporządzania wykazu w zakresie opłaty za składowanie odpadów na podstawie dokumentów ewidencji odpadów znajduje się w zaproponowanym brzmieniu art. 286 ust</w:t>
      </w:r>
      <w:r w:rsidR="00235ACE">
        <w:rPr>
          <w:rFonts w:ascii="Times New Roman" w:hAnsi="Times New Roman"/>
          <w:color w:val="000000"/>
        </w:rPr>
        <w:t>.</w:t>
      </w:r>
      <w:r w:rsidR="00564110">
        <w:rPr>
          <w:rFonts w:ascii="Times New Roman" w:hAnsi="Times New Roman"/>
          <w:color w:val="000000"/>
        </w:rPr>
        <w:t xml:space="preserve"> 3 ustawy POŚ.</w:t>
      </w:r>
    </w:p>
    <w:p w14:paraId="7881052D" w14:textId="64D88FB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Dodatkowo w związku ze zmianą ustawy POŚ wynikającymi m.in. z ustawy z dnia 20 lipca </w:t>
      </w:r>
      <w:r w:rsidR="004875B2">
        <w:rPr>
          <w:rFonts w:ascii="Times New Roman" w:hAnsi="Times New Roman"/>
          <w:color w:val="000000"/>
        </w:rPr>
        <w:t>2017 </w:t>
      </w:r>
      <w:r>
        <w:rPr>
          <w:rFonts w:ascii="Times New Roman" w:hAnsi="Times New Roman"/>
          <w:color w:val="000000"/>
        </w:rPr>
        <w:t>r. – Prawo wodne (Dz.</w:t>
      </w:r>
      <w:r w:rsidR="004961CB">
        <w:rPr>
          <w:rFonts w:ascii="Times New Roman" w:hAnsi="Times New Roman"/>
          <w:color w:val="000000"/>
        </w:rPr>
        <w:t xml:space="preserve"> </w:t>
      </w:r>
      <w:r>
        <w:rPr>
          <w:rFonts w:ascii="Times New Roman" w:hAnsi="Times New Roman"/>
          <w:color w:val="000000"/>
        </w:rPr>
        <w:t>U</w:t>
      </w:r>
      <w:r w:rsidR="004961CB">
        <w:rPr>
          <w:rFonts w:ascii="Times New Roman" w:hAnsi="Times New Roman"/>
          <w:color w:val="000000"/>
        </w:rPr>
        <w:t>.</w:t>
      </w:r>
      <w:r>
        <w:rPr>
          <w:rFonts w:ascii="Times New Roman" w:hAnsi="Times New Roman"/>
          <w:color w:val="000000"/>
        </w:rPr>
        <w:t xml:space="preserve"> z 2018 r. poz. 2268, z późn. zm.) usunięty zostaje art. 286a ustawy POŚ.</w:t>
      </w:r>
    </w:p>
    <w:p w14:paraId="08B080DE" w14:textId="5248E18B" w:rsidR="00FE3B3A" w:rsidRDefault="00564110">
      <w:pPr>
        <w:spacing w:after="0" w:line="360" w:lineRule="auto"/>
        <w:jc w:val="both"/>
      </w:pPr>
      <w:r>
        <w:rPr>
          <w:rFonts w:ascii="Times New Roman" w:hAnsi="Times New Roman"/>
        </w:rPr>
        <w:t>Uchylenie art. 286a ustawy POŚ ma na celu ukrócenie systemu dublowania danych gromadzonych przez organy administracji publicznej. Na skutek zmian wprowadzonych ustawą z dnia 20 lipca 2017 r.</w:t>
      </w:r>
      <w:r w:rsidR="004961CB">
        <w:rPr>
          <w:rFonts w:ascii="Times New Roman" w:hAnsi="Times New Roman"/>
        </w:rPr>
        <w:t xml:space="preserve"> </w:t>
      </w:r>
      <w:r w:rsidR="002A5A7A">
        <w:rPr>
          <w:rFonts w:ascii="Times New Roman" w:hAnsi="Times New Roman"/>
        </w:rPr>
        <w:t>–</w:t>
      </w:r>
      <w:r>
        <w:rPr>
          <w:rFonts w:ascii="Times New Roman" w:hAnsi="Times New Roman"/>
        </w:rPr>
        <w:t xml:space="preserve"> Prawo wodne dane dotyczące ilości i jakości pobranej wody oraz ilości, stanu i składu ścieków wprowadzanych do wód lub do ziemi gromadzone są przez Państwowe Gospodarstwo Wodne Wody Polskie i nie wchodzą w zakres korzystania ze środowiska</w:t>
      </w:r>
      <w:r w:rsidR="004961CB">
        <w:rPr>
          <w:rFonts w:ascii="Times New Roman" w:hAnsi="Times New Roman"/>
        </w:rPr>
        <w:t>,</w:t>
      </w:r>
      <w:r>
        <w:rPr>
          <w:rFonts w:ascii="Times New Roman" w:hAnsi="Times New Roman"/>
        </w:rPr>
        <w:t xml:space="preserve"> o którym mowa w ustawie POŚ.</w:t>
      </w:r>
      <w:r w:rsidR="002058A4">
        <w:rPr>
          <w:rFonts w:ascii="Times New Roman" w:hAnsi="Times New Roman"/>
        </w:rPr>
        <w:t xml:space="preserve"> </w:t>
      </w:r>
      <w:r>
        <w:rPr>
          <w:rFonts w:ascii="Times New Roman" w:hAnsi="Times New Roman"/>
        </w:rPr>
        <w:t>Dane o</w:t>
      </w:r>
      <w:r w:rsidR="002058A4">
        <w:rPr>
          <w:rFonts w:ascii="Times New Roman" w:hAnsi="Times New Roman"/>
        </w:rPr>
        <w:t xml:space="preserve"> </w:t>
      </w:r>
      <w:r>
        <w:rPr>
          <w:rFonts w:ascii="Times New Roman" w:hAnsi="Times New Roman"/>
        </w:rPr>
        <w:t>ilości i rodzajach gazów lub pyłów wprowadzanych do powietrza gromadzone są przez Krajowy ośrodek, w ramach systemu Krajowej bazy o emisjach gazów cieplarnianych.</w:t>
      </w:r>
      <w:r w:rsidR="002058A4">
        <w:rPr>
          <w:rFonts w:ascii="Times New Roman" w:hAnsi="Times New Roman"/>
        </w:rPr>
        <w:t xml:space="preserve"> </w:t>
      </w:r>
      <w:r>
        <w:rPr>
          <w:rFonts w:ascii="Times New Roman" w:hAnsi="Times New Roman"/>
        </w:rPr>
        <w:t>Brak jest zatem podstawy do utrzymywania obowiązku sporządzania raportu wojewódzkiego w zakresie korzystania ze środowiska przez wojewódzkich inspektorów ochrony środowiska i</w:t>
      </w:r>
      <w:r w:rsidR="002058A4">
        <w:rPr>
          <w:rFonts w:ascii="Times New Roman" w:hAnsi="Times New Roman"/>
        </w:rPr>
        <w:t xml:space="preserve"> </w:t>
      </w:r>
      <w:r>
        <w:rPr>
          <w:rFonts w:ascii="Times New Roman" w:hAnsi="Times New Roman"/>
        </w:rPr>
        <w:t xml:space="preserve">przekazywania go ministrowi właściwemu do spraw środowiska. </w:t>
      </w:r>
    </w:p>
    <w:p w14:paraId="764C7F50" w14:textId="51017A52" w:rsidR="00FE3B3A" w:rsidRDefault="00564110">
      <w:pPr>
        <w:pStyle w:val="Akapitzlist"/>
        <w:spacing w:after="0" w:line="360" w:lineRule="auto"/>
        <w:ind w:left="0"/>
        <w:jc w:val="both"/>
      </w:pPr>
      <w:r>
        <w:rPr>
          <w:rFonts w:ascii="Times New Roman" w:hAnsi="Times New Roman"/>
          <w:color w:val="000000"/>
        </w:rPr>
        <w:t xml:space="preserve">W USZE projektowana zmiana rozszerza zadania Krajowego ośrodka, m.in. o zadania związane z monitorowaniem działań w zakresie polityki ochrony powietrza, a także przygotowywaniem analiz, przeglądów i ocen jej funkcjonowania. Dodanie tego zadania umożliwi wsparcie Ministerstwa Środowiska przy realizacji licznych zadań związanych z ochroną powietrza (m.in. z wdrażaniem dyrektywy Parlamentu Europejskiego i Rady 2010/75/UE z dnia 24 listopada </w:t>
      </w:r>
      <w:r w:rsidR="004875B2">
        <w:rPr>
          <w:rFonts w:ascii="Times New Roman" w:hAnsi="Times New Roman"/>
          <w:color w:val="000000"/>
        </w:rPr>
        <w:t>2010 </w:t>
      </w:r>
      <w:r>
        <w:rPr>
          <w:rFonts w:ascii="Times New Roman" w:hAnsi="Times New Roman"/>
          <w:color w:val="000000"/>
        </w:rPr>
        <w:t>r. w sprawie emisji przemysłowych (zintegrowane zapobieganie zanieczyszczeniom i ich kontrola) (Dz. Urz. UE L 334 z 17.12.2010, str. 17, z późn. zm.), dyrektywy Parlamentu Europejskiego i Rady (UE) 2015/2193 z dnia 25 listopada 2015 r. w sprawie ograniczenia emisji niektórych zanieczyszczeń do powietrza ze średnich obiektów energetycznego spalania (Dz. Urz. UE L 313 z 28.11.2015, str. 1), zwanej dalej „dyrektywą 2015/2193”, dyrektywa Parlamentu Europejskiego i Rady (UE) 2016/2284 z dnia 14 grudnia 2016 r. w sprawie redukcji krajowych emisji niektórych rodzajów zanieczyszczeń atmosferycznych, zmiany dyrektywy 2003/35/WE oraz uchylenia dyrektywy 2001/81/WE (Dz. Urz. UE L 344</w:t>
      </w:r>
      <w:r w:rsidR="00BA62E1">
        <w:rPr>
          <w:rFonts w:ascii="Times New Roman" w:hAnsi="Times New Roman"/>
          <w:color w:val="000000"/>
        </w:rPr>
        <w:t xml:space="preserve"> </w:t>
      </w:r>
      <w:r>
        <w:rPr>
          <w:rFonts w:ascii="Times New Roman" w:hAnsi="Times New Roman"/>
          <w:color w:val="000000"/>
        </w:rPr>
        <w:t xml:space="preserve">z 17.12.2016, str. 1). Dodatkowo zaproponowano przepis umożliwiający przekazywanie danych statystycznych Krajowemu ośrodkowi bezpośrednio przez GUS. Zmiana ma na celu wprowadzenie stałego obowiązku przekazywania przez GUS wszystkich danych niezbędnych do opracowywania </w:t>
      </w:r>
      <w:r>
        <w:rPr>
          <w:rFonts w:ascii="Times New Roman" w:hAnsi="Times New Roman"/>
        </w:rPr>
        <w:t>projektów inwentaryzacji emisji oraz projektów raportów na temat emisji, których sporządzanie stanowi obowiązek państwa jako państwa członkowskiego Unii Europejskiej lub strony umów międzynarodowych. Dostęp do danych będących w posiadaniu GUS jest tym bardziej uzasadniony, że w wielu przypadkach jest on jedyną instytucją, która dysponuje danymi pochodzącymi bezpośrednio od podmiotów emitujących zanieczyszczenia, przy czym dane te zbierane są od największej liczby podmiotów. Z punktu widzenia wymagań sprawozdawczości międzynarodowej oraz wynikającej z prawa unijnego są to dane najbardziej wiarygodne. Obecnie GUS nie ma obowiązku przekazywania takich danych. Krajowy ośrodek zwraca się o przekazanie danych</w:t>
      </w:r>
      <w:r w:rsidR="002A5A7A">
        <w:rPr>
          <w:rFonts w:ascii="Times New Roman" w:hAnsi="Times New Roman"/>
        </w:rPr>
        <w:t>,</w:t>
      </w:r>
      <w:r>
        <w:rPr>
          <w:rFonts w:ascii="Times New Roman" w:hAnsi="Times New Roman"/>
        </w:rPr>
        <w:t xml:space="preserve"> natomiast wystąpieniu temu nie odpowiada obowiązek ich przekazania, sytuacja ta jest niezrozumiała</w:t>
      </w:r>
      <w:r w:rsidR="00BA62E1">
        <w:rPr>
          <w:rFonts w:ascii="Times New Roman" w:hAnsi="Times New Roman"/>
        </w:rPr>
        <w:t>,</w:t>
      </w:r>
      <w:r>
        <w:rPr>
          <w:rFonts w:ascii="Times New Roman" w:hAnsi="Times New Roman"/>
        </w:rPr>
        <w:t xml:space="preserve"> mając na uwadze publicznoprawny charakter wykonywanych przez Krajowy ośrodek zadań. Dlatego zaproponowano wprowadzenie zmiany, która wyeliminuje możliwe utrudnienia w dostępie do danych będących w posiadaniu GUS i przyspieszy pozyskiwanie tych danych. </w:t>
      </w:r>
    </w:p>
    <w:p w14:paraId="6FBD28E1" w14:textId="428366BD" w:rsidR="00FE3B3A" w:rsidRDefault="00564110">
      <w:pPr>
        <w:pStyle w:val="Akapitzlist"/>
        <w:spacing w:after="0" w:line="360" w:lineRule="auto"/>
        <w:ind w:left="0"/>
        <w:jc w:val="both"/>
        <w:rPr>
          <w:rFonts w:ascii="Times New Roman" w:hAnsi="Times New Roman"/>
        </w:rPr>
      </w:pPr>
      <w:r>
        <w:rPr>
          <w:rFonts w:ascii="Times New Roman" w:hAnsi="Times New Roman"/>
        </w:rPr>
        <w:t>Zmiany w USZE</w:t>
      </w:r>
      <w:r w:rsidR="002058A4">
        <w:rPr>
          <w:rFonts w:ascii="Times New Roman" w:hAnsi="Times New Roman"/>
        </w:rPr>
        <w:t xml:space="preserve"> </w:t>
      </w:r>
      <w:r>
        <w:rPr>
          <w:rFonts w:ascii="Times New Roman" w:hAnsi="Times New Roman"/>
        </w:rPr>
        <w:t>dokonują kluczowej zmiany w obszarze regulacji dotyczących sporządzania prognoz zmian aktywności. Przez blisko 10 lat obowiązywania tej ustawy nie zostało wydane rozporządzenie określające wymagania dotyczące prognoz zmian aktywności. Resorty odpowiedzialne za ich przygotowanie zgłaszały szereg zastrzeżeń dotyczących braku zasobów kadrowych i finansowych niezbędnych do ich przygotowania. W świetle tego zadanie związane z opracowywaniem prognoz zmian aktywności zostało powierzone Krajowemu ośrodkowi, który ma prognozy opracowywać we współpracy z właściwymi rzeczowo ministrami i w oparciu o założenia, które przygotują odpowiednie resorty. Należy również zauważyć, że w związku z powyższym brak jest konieczności wprowadzania regulacji dostosowującej, ponieważ nie ma aktualnie żadnych prognoz zmian aktywności, których status prawny wymagałby dostosowania do nowej sytuacji prawnej. Regulacja przejściowa dotycząca pierwszych prognoz zmian aktywności rozstrzyga, że Krajowy ośrodek przygotuje pierwsze prognozy zmian aktywności w terminie do dnia 31 grudnia 2021 r. (na podstawie danych przekazanych mu w terminie do dnia 31 grudnia 2020</w:t>
      </w:r>
      <w:r w:rsidR="002A5A7A">
        <w:rPr>
          <w:rFonts w:ascii="Times New Roman" w:hAnsi="Times New Roman"/>
        </w:rPr>
        <w:t xml:space="preserve"> r.</w:t>
      </w:r>
      <w:r>
        <w:rPr>
          <w:rFonts w:ascii="Times New Roman" w:hAnsi="Times New Roman"/>
        </w:rPr>
        <w:t>).</w:t>
      </w:r>
    </w:p>
    <w:p w14:paraId="46D633A7" w14:textId="2814CBB6" w:rsidR="00FE3B3A" w:rsidRDefault="00564110">
      <w:pPr>
        <w:pStyle w:val="Akapitzlist"/>
        <w:spacing w:after="0" w:line="360" w:lineRule="auto"/>
        <w:ind w:left="0"/>
        <w:jc w:val="both"/>
      </w:pPr>
      <w:r>
        <w:rPr>
          <w:rFonts w:ascii="Times New Roman" w:hAnsi="Times New Roman"/>
        </w:rPr>
        <w:t xml:space="preserve">W ocenie </w:t>
      </w:r>
      <w:r w:rsidR="002A5A7A">
        <w:rPr>
          <w:rFonts w:ascii="Times New Roman" w:hAnsi="Times New Roman"/>
        </w:rPr>
        <w:t>r</w:t>
      </w:r>
      <w:r>
        <w:rPr>
          <w:rFonts w:ascii="Times New Roman" w:hAnsi="Times New Roman"/>
        </w:rPr>
        <w:t xml:space="preserve">esortu </w:t>
      </w:r>
      <w:r w:rsidR="002A5A7A">
        <w:rPr>
          <w:rFonts w:ascii="Times New Roman" w:hAnsi="Times New Roman"/>
        </w:rPr>
        <w:t>ś</w:t>
      </w:r>
      <w:r>
        <w:rPr>
          <w:rFonts w:ascii="Times New Roman" w:hAnsi="Times New Roman"/>
        </w:rPr>
        <w:t>rodowiska znaczenie tych prognoz jest szczególnie istotne z punktu widzenia nowych wyzwań w dziedzinie czystości powietrza wynikających z prawa Unii Europejskiej, a także wzmacniania i operacjonalizacji polityki państwa w tym zakresie. Stojące przed Polską wyzwania w zakresie zobowiązań redukcyjnych dotyczących emisji zanieczyszczeń do powietrza wymagają od administracji publicznej, w tym Ministra Środowiska, wiedzy nie tylko o bieżących wielkościach emisj</w:t>
      </w:r>
      <w:r w:rsidR="002A5A7A">
        <w:rPr>
          <w:rFonts w:ascii="Times New Roman" w:hAnsi="Times New Roman"/>
        </w:rPr>
        <w:t>i</w:t>
      </w:r>
      <w:r>
        <w:rPr>
          <w:rFonts w:ascii="Times New Roman" w:hAnsi="Times New Roman"/>
        </w:rPr>
        <w:t xml:space="preserve"> gazów cieplarnianych i innych substancji, ale także o trendach i kierunkach zmian w tym zakresie. Źródłem tej wiedzy powinny być projekcje zmian aktywności (w tym produkcja, zużycie paliw) opracowywane przez poszczególne resorty. Brak wiedzy na temat zmian jest szczególnie dotkliwy i często wywołuje negatywne skutki w procesie negocjacji i prac związanych z przyjmowaniem nowych aktów określających zobowiązania zarówno na poziomie Unii Europejskiej</w:t>
      </w:r>
      <w:r w:rsidR="002A5A7A">
        <w:rPr>
          <w:rFonts w:ascii="Times New Roman" w:hAnsi="Times New Roman"/>
        </w:rPr>
        <w:t>,</w:t>
      </w:r>
      <w:r>
        <w:rPr>
          <w:rFonts w:ascii="Times New Roman" w:hAnsi="Times New Roman"/>
        </w:rPr>
        <w:t xml:space="preserve"> jak również międzynarodowym. Jednocześnie prognozy nie mogą być przygotowywane bez udziału właściwych resortów. Skoro na ich podstawie ocenia się potencjał redukcyjny państwa w zakresie ograniczania emisji zanieczyszczeń powietrza, który przełoży się na zobowiązania Rzecz</w:t>
      </w:r>
      <w:r w:rsidR="002A5A7A">
        <w:rPr>
          <w:rFonts w:ascii="Times New Roman" w:hAnsi="Times New Roman"/>
        </w:rPr>
        <w:t>y</w:t>
      </w:r>
      <w:r>
        <w:rPr>
          <w:rFonts w:ascii="Times New Roman" w:hAnsi="Times New Roman"/>
        </w:rPr>
        <w:t>pospolitej Polskiej na gruncie prawa międzynarodowego lub prawa Unii Europejskiej</w:t>
      </w:r>
      <w:r w:rsidR="002A5A7A">
        <w:rPr>
          <w:rFonts w:ascii="Times New Roman" w:hAnsi="Times New Roman"/>
        </w:rPr>
        <w:t>,</w:t>
      </w:r>
      <w:r>
        <w:rPr>
          <w:rFonts w:ascii="Times New Roman" w:hAnsi="Times New Roman"/>
        </w:rPr>
        <w:t xml:space="preserve"> muszą być one opracowywane na podstawie ustalanych przez właściwe resorty założeń. Dodatkowo świadomość projekcji zmian aktywności i bieżącej sytuacji emisyjnej w kontekście zobowiązań dotyczących ograniczania emisji jest niezbędnym warunkiem odpowiedzialnego kreowania mechanizmów i kierunków rozwoju poszczególnych sektorów. </w:t>
      </w:r>
    </w:p>
    <w:p w14:paraId="22886782" w14:textId="40D7C0E9" w:rsidR="00FE3B3A" w:rsidRDefault="00564110">
      <w:pPr>
        <w:pStyle w:val="Akapitzlist"/>
        <w:spacing w:after="0" w:line="360" w:lineRule="auto"/>
        <w:ind w:left="0"/>
        <w:jc w:val="both"/>
        <w:rPr>
          <w:rFonts w:ascii="Times New Roman" w:hAnsi="Times New Roman"/>
          <w:color w:val="000000"/>
        </w:rPr>
      </w:pPr>
      <w:r>
        <w:rPr>
          <w:rFonts w:ascii="Times New Roman" w:hAnsi="Times New Roman"/>
          <w:color w:val="000000"/>
        </w:rPr>
        <w:t>Ponadto drugą główną przyczyną wprowadzenia regulacji jest konieczność transpozycji dyrektywy Parlamentu Europejskiego i Rady (UE) 2016/2284 z dnia 14 grudnia 2016 r. w sprawie redukcji krajowych emisji niektórych rodzajów zanieczyszczeń atmosferycznych, zmiany dyrektywy 2003/35/WE oraz uchylenia dyrektywy 2001/81/WE</w:t>
      </w:r>
      <w:r w:rsidR="00FC0C12">
        <w:rPr>
          <w:rFonts w:ascii="Times New Roman" w:hAnsi="Times New Roman"/>
          <w:color w:val="000000"/>
        </w:rPr>
        <w:t>,</w:t>
      </w:r>
      <w:r>
        <w:rPr>
          <w:rFonts w:ascii="Times New Roman" w:hAnsi="Times New Roman"/>
          <w:color w:val="000000"/>
        </w:rPr>
        <w:t xml:space="preserve"> zwanej dalej „dyrektywą NEC” (art. 2, art. 7, art. 8 oraz art. 10</w:t>
      </w:r>
      <w:r w:rsidR="002A5A7A">
        <w:rPr>
          <w:rFonts w:ascii="Times New Roman" w:hAnsi="Times New Roman"/>
          <w:color w:val="000000"/>
        </w:rPr>
        <w:t>–</w:t>
      </w:r>
      <w:r>
        <w:rPr>
          <w:rFonts w:ascii="Times New Roman" w:hAnsi="Times New Roman"/>
          <w:color w:val="000000"/>
        </w:rPr>
        <w:t>11 projektowanej ustawy).</w:t>
      </w:r>
    </w:p>
    <w:p w14:paraId="65F7B7E5" w14:textId="4DEB151D" w:rsidR="00FE3B3A" w:rsidRDefault="00564110">
      <w:pPr>
        <w:pStyle w:val="Akapitzlist"/>
        <w:spacing w:after="0" w:line="360" w:lineRule="auto"/>
        <w:ind w:left="0"/>
        <w:jc w:val="both"/>
        <w:rPr>
          <w:rFonts w:ascii="Times New Roman" w:hAnsi="Times New Roman"/>
          <w:color w:val="000000"/>
          <w:lang w:eastAsia="pl-PL"/>
        </w:rPr>
      </w:pPr>
      <w:r>
        <w:rPr>
          <w:rFonts w:ascii="Times New Roman" w:hAnsi="Times New Roman"/>
          <w:color w:val="000000"/>
          <w:lang w:eastAsia="pl-PL"/>
        </w:rPr>
        <w:t xml:space="preserve">Należy wskazać, że w ciągu ostatnich 20 lat poczyniono w Unii Europejskiej znaczne postępy w dziedzinie ograniczenia emisji antropogenicznych do powietrza i poprawy jakości powietrza. W latach 1990–2010 emisje dwutlenku siarki zostały zmniejszone o 82%, emisje tlenków azotu – o 47%, emisje niemetanowych lotnych związków organicznych – o 56%, a emisje amoniaku – o 28%. Jak jednak wskazano w komunikacie Komisji Europejskiej z dnia 18 grudnia 2013 r. pt. „Czyste powietrze dla Europy”, nadal występują znaczące negatywne skutki i zagrożenia dla zdrowia ludzkiego i środowiska. W siódmym unijnym programie działań w zakresie środowiska potwierdzono długofalowy cel polityki Unii Europejskiej w zakresie jakości powietrza, polegający na osiągnięciu poziomów jakości powietrza, które nie powodują znacznych negatywnych skutków ani zagrożenia dla zdrowia ludzkiego i środowiska, i dlatego wezwano do zapewnienia pełnej zgodności z obowiązującymi przepisami Unii Europejskiej dotyczącymi jakości powietrza oraz do wzmocnienia synergii między przepisami dotyczącymi jakości powietrza a ustanowionymi celami polityki Unii Europejskiej, w szczególności w odniesieniu do różnorodności biologicznej i zmiany klimatu. Zmieniona strategia tematyczna dotycząca zanieczyszczenia powietrza określa nowe cele strategiczne na okres do 2030 r. w celu zbliżenia się do realizacji długoterminowego celu Unii Europejskiej w zakresie jakości powietrza. </w:t>
      </w:r>
    </w:p>
    <w:p w14:paraId="6B56CBF1" w14:textId="44487C57" w:rsidR="00FE3B3A" w:rsidRDefault="00564110">
      <w:pPr>
        <w:pStyle w:val="Akapitzlist"/>
        <w:spacing w:after="0" w:line="360" w:lineRule="auto"/>
        <w:ind w:left="0"/>
        <w:jc w:val="both"/>
      </w:pPr>
      <w:r>
        <w:rPr>
          <w:rFonts w:ascii="Times New Roman" w:hAnsi="Times New Roman"/>
          <w:color w:val="000000"/>
          <w:lang w:eastAsia="pl-PL"/>
        </w:rPr>
        <w:t xml:space="preserve">Ponadto </w:t>
      </w:r>
      <w:r w:rsidR="002A5A7A">
        <w:rPr>
          <w:rFonts w:ascii="Times New Roman" w:hAnsi="Times New Roman"/>
          <w:color w:val="000000"/>
          <w:lang w:eastAsia="pl-PL"/>
        </w:rPr>
        <w:t>p</w:t>
      </w:r>
      <w:r>
        <w:rPr>
          <w:rFonts w:ascii="Times New Roman" w:hAnsi="Times New Roman"/>
          <w:color w:val="000000"/>
          <w:lang w:eastAsia="pl-PL"/>
        </w:rPr>
        <w:t>aństwa członkowskie, w tym Polska, i Unia Europejska są stronami Konwencji Europejskiej Komisji Gospodarczej Organizacji Narodów Zjednoczonych (EKG ONZ) z 1979 r. w sprawie transgranicznego zanieczyszczania powietrza na dalekie odległości sporządzonej w Genewie dnia 13 listopada 1979 r. (Dz. U. z 1985 r.</w:t>
      </w:r>
      <w:r>
        <w:rPr>
          <w:rFonts w:ascii="Times New Roman" w:hAnsi="Times New Roman"/>
          <w:color w:val="000000"/>
        </w:rPr>
        <w:t xml:space="preserve"> poz. </w:t>
      </w:r>
      <w:r>
        <w:rPr>
          <w:rFonts w:ascii="Times New Roman" w:hAnsi="Times New Roman"/>
          <w:color w:val="000000"/>
          <w:lang w:eastAsia="pl-PL"/>
        </w:rPr>
        <w:t xml:space="preserve">311, z późn. zm.), zwanej dalej „konwencją LRTAP”, oraz kilku protokołów do niej, w tym protokołu z 1999 r. w sprawie przeciwdziałania zakwaszeniu, eutrofizacji i powstawaniu ozonu w warstwie przyziemnej, zmienionego w 2012 r. Jeżeli chodzi o 2020 r. i lata następne, w zmienionym protokole z Göteborga dla każdej strony określa się, przyjmując 2005 r. za rok odniesienia, nowe zobowiązania w zakresie redukcji emisji dwutlenku siarki, tlenków azotu, niemetanowych lotnych związków organicznych, amoniaku i pyłu drobnego, wspiera się redukcję emisji sadzy i wzywa się do gromadzenia i przechowywania informacji dotyczących negatywnych skutków stężeń i depozycji zanieczyszczeń powietrza dla zdrowia ludzkiego i środowiska oraz do uczestnictwa w programach zorientowanych na wyniki w ramach konwencji LRTAP. </w:t>
      </w:r>
    </w:p>
    <w:p w14:paraId="7BDAD123" w14:textId="45247592" w:rsidR="00FE3B3A" w:rsidRDefault="00564110">
      <w:pPr>
        <w:pStyle w:val="Akapitzlist"/>
        <w:spacing w:after="0" w:line="360" w:lineRule="auto"/>
        <w:ind w:left="0"/>
        <w:jc w:val="both"/>
      </w:pPr>
      <w:r>
        <w:rPr>
          <w:rFonts w:ascii="Times New Roman" w:hAnsi="Times New Roman"/>
          <w:color w:val="000000"/>
        </w:rPr>
        <w:t>Dlatego też dyrektywa NEC ma na celu wsparcie państw członkowskich w osiągnięciu poprawy jakości powietrza, która zniweluje negatywne skutki i zagrożenia dla zdrowia ludzkiego i środowiska. Dyrektywa ta ustanowiła zobowiązania państw członkowskich w zakresie redukcji emisji antropogenicznych zanieczyszczeń do atmosfery: dwutlenku siarki (SO</w:t>
      </w:r>
      <w:r>
        <w:rPr>
          <w:rFonts w:ascii="Times New Roman" w:hAnsi="Times New Roman"/>
          <w:color w:val="000000"/>
          <w:vertAlign w:val="subscript"/>
        </w:rPr>
        <w:t>2</w:t>
      </w:r>
      <w:r>
        <w:rPr>
          <w:rFonts w:ascii="Times New Roman" w:hAnsi="Times New Roman"/>
          <w:color w:val="000000"/>
        </w:rPr>
        <w:t>), tlenków azotu (NO</w:t>
      </w:r>
      <w:r>
        <w:rPr>
          <w:rFonts w:ascii="Times New Roman" w:hAnsi="Times New Roman"/>
          <w:color w:val="000000"/>
          <w:vertAlign w:val="subscript"/>
        </w:rPr>
        <w:t>x</w:t>
      </w:r>
      <w:r>
        <w:rPr>
          <w:rFonts w:ascii="Times New Roman" w:hAnsi="Times New Roman"/>
          <w:color w:val="000000"/>
        </w:rPr>
        <w:t>), niemetanowych lotnych związków organicznych (NMLZO), amoniaku (NH</w:t>
      </w:r>
      <w:r>
        <w:rPr>
          <w:rFonts w:ascii="Times New Roman" w:hAnsi="Times New Roman"/>
          <w:color w:val="000000"/>
          <w:vertAlign w:val="subscript"/>
        </w:rPr>
        <w:t>3</w:t>
      </w:r>
      <w:r>
        <w:rPr>
          <w:rFonts w:ascii="Times New Roman" w:hAnsi="Times New Roman"/>
          <w:color w:val="000000"/>
        </w:rPr>
        <w:t>) i pyłu drobnego (PM</w:t>
      </w:r>
      <w:r>
        <w:rPr>
          <w:rFonts w:ascii="Times New Roman" w:hAnsi="Times New Roman"/>
          <w:color w:val="000000"/>
          <w:vertAlign w:val="subscript"/>
        </w:rPr>
        <w:t>2,5</w:t>
      </w:r>
      <w:r>
        <w:rPr>
          <w:rFonts w:ascii="Times New Roman" w:hAnsi="Times New Roman"/>
          <w:color w:val="000000"/>
        </w:rPr>
        <w:t xml:space="preserve">), a także zawiera wymóg sporządzania, przyjmowania i wdrażania krajowych programów ograniczania zanieczyszczenia powietrza oraz monitorowania i raportowania informacji o emisji zanieczyszczeń do powietrza. </w:t>
      </w:r>
    </w:p>
    <w:p w14:paraId="14961DD5" w14:textId="2BD6E03C" w:rsidR="00FE3B3A" w:rsidRDefault="00564110">
      <w:pPr>
        <w:pStyle w:val="Akapitzlist"/>
        <w:spacing w:after="0" w:line="360" w:lineRule="auto"/>
        <w:ind w:left="0"/>
        <w:jc w:val="both"/>
      </w:pPr>
      <w:r>
        <w:rPr>
          <w:rFonts w:ascii="Times New Roman" w:hAnsi="Times New Roman"/>
          <w:color w:val="000000"/>
        </w:rPr>
        <w:t xml:space="preserve">Zgodnie z intencją wyrażoną w dyrektywie NEC przepisy w niej zawarte powinny przyczyniać się do stopniowego zmniejszania zanieczyszczenia powietrza, opierając się na redukcjach emisji określonych substancji wynikających z przepisów Unii Europejskiej w zakresie ograniczania zanieczyszczeń powietrza u źródła. Zgodnie z wymaganiami dyrektywy NEC państwa członkowskie mają obowiązek ograniczać emisje zanieczyszczeń związanych z działalnością człowieka w zakresie dwutlenku siarki, tlenków azotu, niemetanowych lotnych związków organicznych, amoniaku i pyłu drobnego i zrealizować cele redukcyjne określone w tej dyrektywie. Zobowiązania Polski w zakresie redukcji emisji odnoszą się do dwóch okresów, które obejmują lata od 2020 r. do 2029 r. i od 2030 r. Zobowiązania redukcyjne ustala się przez odniesienie do emisji w roku referencyjnym </w:t>
      </w:r>
      <w:r w:rsidR="002058A4">
        <w:rPr>
          <w:rFonts w:ascii="Times New Roman" w:hAnsi="Times New Roman"/>
          <w:color w:val="000000"/>
        </w:rPr>
        <w:t>–</w:t>
      </w:r>
      <w:r>
        <w:rPr>
          <w:rFonts w:ascii="Times New Roman" w:hAnsi="Times New Roman"/>
          <w:color w:val="000000"/>
        </w:rPr>
        <w:t xml:space="preserve"> 2005. Zobowiązania te zostały określone odpowiednio dla obu wskazanych wyżej okresów dla SO</w:t>
      </w:r>
      <w:r>
        <w:rPr>
          <w:rFonts w:ascii="Times New Roman" w:hAnsi="Times New Roman"/>
          <w:color w:val="000000"/>
          <w:vertAlign w:val="subscript"/>
        </w:rPr>
        <w:t>2</w:t>
      </w:r>
      <w:r>
        <w:rPr>
          <w:rFonts w:ascii="Times New Roman" w:hAnsi="Times New Roman"/>
          <w:color w:val="000000"/>
        </w:rPr>
        <w:t xml:space="preserve"> o 59% i 70%, dla NO</w:t>
      </w:r>
      <w:r>
        <w:rPr>
          <w:rFonts w:ascii="Times New Roman" w:hAnsi="Times New Roman"/>
          <w:color w:val="000000"/>
          <w:vertAlign w:val="subscript"/>
        </w:rPr>
        <w:t xml:space="preserve">x </w:t>
      </w:r>
      <w:r>
        <w:rPr>
          <w:rFonts w:ascii="Times New Roman" w:hAnsi="Times New Roman"/>
          <w:color w:val="000000"/>
        </w:rPr>
        <w:t>o 30% i 39%, dla NMLZO o 25% i 26%, dla NH</w:t>
      </w:r>
      <w:r>
        <w:rPr>
          <w:rFonts w:ascii="Times New Roman" w:hAnsi="Times New Roman"/>
          <w:color w:val="000000"/>
          <w:vertAlign w:val="subscript"/>
        </w:rPr>
        <w:t>3</w:t>
      </w:r>
      <w:r>
        <w:rPr>
          <w:rFonts w:ascii="Times New Roman" w:hAnsi="Times New Roman"/>
          <w:color w:val="000000"/>
        </w:rPr>
        <w:t xml:space="preserve"> o 1% i 17% oraz dla PM</w:t>
      </w:r>
      <w:r>
        <w:rPr>
          <w:rFonts w:ascii="Times New Roman" w:hAnsi="Times New Roman"/>
          <w:color w:val="000000"/>
          <w:vertAlign w:val="subscript"/>
        </w:rPr>
        <w:t>2,5</w:t>
      </w:r>
      <w:r>
        <w:rPr>
          <w:rFonts w:ascii="Times New Roman" w:hAnsi="Times New Roman"/>
          <w:color w:val="000000"/>
        </w:rPr>
        <w:t xml:space="preserve"> o 16% i 58%.</w:t>
      </w:r>
    </w:p>
    <w:p w14:paraId="5E03406E" w14:textId="3E26D42B" w:rsidR="00FE3B3A" w:rsidRDefault="00564110">
      <w:pPr>
        <w:pStyle w:val="Akapitzlist"/>
        <w:spacing w:after="0" w:line="360" w:lineRule="auto"/>
        <w:ind w:left="0"/>
        <w:jc w:val="both"/>
      </w:pPr>
      <w:r>
        <w:rPr>
          <w:rFonts w:ascii="Times New Roman" w:hAnsi="Times New Roman"/>
          <w:color w:val="000000"/>
        </w:rPr>
        <w:t xml:space="preserve">Transpozycja dyrektywy NEC w USZE (art. 12 omawianej ustawy) jest uzasadniona z uwagi na jej obecne uregulowania. Obowiązujące przepisy tej ustawy stanowią, że Krajowy ośrodek wykonuje inwentaryzację emisji substancji, dla których poziomy emisji lub stężeń zostały określone w przepisach prawa Unii Europejskiej. W związku z tym wydaje się zasadne rozszerzenie ww. inwentaryzacji o substancje, których dotyczą również, wynikające z dyrektywy NEC, krajowe zobowiązania w zakresie redukcji emisji, zwłaszcza że Krajowy ośrodek już obecnie dysponuje systemem gromadzenia i przetwarzania danych, które będą wykorzystywane przy tym zadaniu. Transpozycja części przepisów dotyczących sprawozdawczości (art. 10 dyrektywy NEC oraz załącznik IV) jest możliwa przez odpowiednie doprecyzowanie przepisów art. 11 oraz art. 11b w zakresie raportów metodycznych IIR (ang. </w:t>
      </w:r>
      <w:r>
        <w:rPr>
          <w:rFonts w:ascii="Times New Roman" w:hAnsi="Times New Roman"/>
          <w:i/>
          <w:color w:val="000000"/>
        </w:rPr>
        <w:t>informative inventory report</w:t>
      </w:r>
      <w:r>
        <w:rPr>
          <w:rFonts w:ascii="Times New Roman" w:hAnsi="Times New Roman"/>
          <w:color w:val="000000"/>
        </w:rPr>
        <w:t xml:space="preserve">). W załączniku nr 2 </w:t>
      </w:r>
      <w:r w:rsidR="00A943D4">
        <w:rPr>
          <w:rFonts w:ascii="Times New Roman" w:hAnsi="Times New Roman"/>
          <w:color w:val="000000"/>
        </w:rPr>
        <w:t xml:space="preserve">do </w:t>
      </w:r>
      <w:r>
        <w:rPr>
          <w:rFonts w:ascii="Times New Roman" w:hAnsi="Times New Roman"/>
          <w:color w:val="000000"/>
        </w:rPr>
        <w:t>USZE wprowadzono wymagania dotyczące zawartości przekazywanych przez Polskę inwentaryzacji emisji.</w:t>
      </w:r>
    </w:p>
    <w:p w14:paraId="3DCBA3D0" w14:textId="61228F90" w:rsidR="00FE3B3A" w:rsidRDefault="00564110">
      <w:pPr>
        <w:pStyle w:val="Akapitzlist"/>
        <w:spacing w:after="0" w:line="360" w:lineRule="auto"/>
        <w:ind w:left="0"/>
        <w:jc w:val="both"/>
      </w:pPr>
      <w:r>
        <w:rPr>
          <w:rFonts w:ascii="Times New Roman" w:hAnsi="Times New Roman"/>
          <w:color w:val="000000"/>
        </w:rPr>
        <w:t xml:space="preserve">Zgodnie z dyrektywą NEC państwa członkowskie powinny przygotować i przekazywać krajowe bilanse i prognozy emisji oraz raporty metodyczne IIR dla wszystkich zanieczyszczeń powietrza nią objętych, dzięki czemu Unia Europejska będzie mogła wykonywać swoje obowiązki dotyczące sprawozdawczości na mocy Konwencji LRTAP i protokołów do niej. Dlatego ważną częścią zobowiązań państw członkowskich wynikających z dyrektywy NEC są obowiązki sprawozdawcze dotyczące przekazywania Komisji Europejskiej i Europejskiej Agencji Środowiska krajowych bilansów i prognoz emisji, krajowych bilansów emisji w układzie przestrzennym, bilansów dużych źródeł punktowych oraz raportów metodycznych IIR </w:t>
      </w:r>
      <w:r w:rsidR="002058A4">
        <w:rPr>
          <w:rFonts w:ascii="Times New Roman" w:hAnsi="Times New Roman"/>
          <w:color w:val="000000"/>
        </w:rPr>
        <w:t>–</w:t>
      </w:r>
      <w:r>
        <w:rPr>
          <w:rFonts w:ascii="Times New Roman" w:hAnsi="Times New Roman"/>
          <w:color w:val="000000"/>
        </w:rPr>
        <w:t xml:space="preserve"> zgodnie z terminami przedkładania sprawozdań określonymi w załączniku I do dyrektywy.</w:t>
      </w:r>
    </w:p>
    <w:p w14:paraId="485832F6" w14:textId="466912AB" w:rsidR="00FE3B3A" w:rsidRDefault="00564110">
      <w:pPr>
        <w:spacing w:after="0" w:line="360" w:lineRule="auto"/>
        <w:jc w:val="both"/>
      </w:pPr>
      <w:r>
        <w:rPr>
          <w:rFonts w:ascii="Times New Roman" w:hAnsi="Times New Roman"/>
          <w:color w:val="000000"/>
        </w:rPr>
        <w:t>Mechanizm wprowadzony w art. 11b USZE ma umożliwić Polsce sporządzanie wymaganych przez dyrektywę NEC raportów metodycznych IIR, które będą towarzyszyć inwentaryzacjom i prognozom emisji (zgodnie z wymogami określonymi w części 2 pkt 2 załącznika nr 2 do USZE). Raport metodyczny IIR będzie sporządzany przez Krajowy ośrodek zgodnie z instrukcją wskazaną w załączniku nr 2 do USZE.</w:t>
      </w:r>
    </w:p>
    <w:p w14:paraId="7AA7DD62" w14:textId="77777777" w:rsidR="00FE3B3A" w:rsidRDefault="00564110">
      <w:pPr>
        <w:pStyle w:val="ARTartustawynprozporzdzenia"/>
        <w:ind w:firstLine="0"/>
      </w:pPr>
      <w:r>
        <w:rPr>
          <w:rFonts w:ascii="Times New Roman" w:hAnsi="Times New Roman" w:cs="Times New Roman"/>
          <w:color w:val="000000"/>
          <w:sz w:val="22"/>
          <w:szCs w:val="22"/>
        </w:rPr>
        <w:t>Art. 16a wprowadzany do USZE wskazuje na konieczność osiągnięcia k</w:t>
      </w:r>
      <w:r>
        <w:rPr>
          <w:rFonts w:ascii="Times New Roman" w:hAnsi="Times New Roman" w:cs="Times New Roman"/>
          <w:sz w:val="22"/>
          <w:szCs w:val="22"/>
        </w:rPr>
        <w:t>rajowych zobowiązań w zakresie redukcji emisji. Oznaczają one minimalne ograniczenie krajowej emisji danej substancji, jakie powinno zostać osiągnięte w docelowym roku kalendarzowym, wyrażone jako wielkość procentowa całkowitej ilości emisji tej substancji, która została uwolniona w 2005 r. jako roku odniesienia. Krajowe zobowiązania w zakresie redukcji emisji substancji zostały określone w załączniku nr 3 do USZE.</w:t>
      </w:r>
    </w:p>
    <w:p w14:paraId="14E4E686" w14:textId="6CBF7F07" w:rsidR="00FE3B3A" w:rsidRDefault="00564110">
      <w:pPr>
        <w:spacing w:after="0" w:line="360" w:lineRule="auto"/>
        <w:jc w:val="both"/>
      </w:pPr>
      <w:r>
        <w:rPr>
          <w:rFonts w:ascii="Times New Roman" w:hAnsi="Times New Roman"/>
        </w:rPr>
        <w:t>Ponadto w art. 16a ust. 2 USZE wskazano, że obowiązane do podejmowania działań umożliwiających osiągnięcie krajowych zobowiązań w zakresie redukcji emisji substancji są organy administracji rządowej i samorządowej</w:t>
      </w:r>
      <w:r w:rsidR="001252EE">
        <w:rPr>
          <w:rFonts w:ascii="Times New Roman" w:hAnsi="Times New Roman"/>
        </w:rPr>
        <w:t>,</w:t>
      </w:r>
      <w:r>
        <w:rPr>
          <w:rFonts w:ascii="Times New Roman" w:hAnsi="Times New Roman"/>
        </w:rPr>
        <w:t xml:space="preserve"> jak i osoby fizyczne oraz prawne. Nie powinno ulegać wątpliwości, że źródłem tych obowiązków będą inne przepisy prawa powszechnie obowiązującego, a nie sam art. 16a USZE. Krajowy program ograniczania zanieczyszczenia powietrza nie implikuje żadnych dodatkowych</w:t>
      </w:r>
      <w:r w:rsidR="002058A4">
        <w:rPr>
          <w:rFonts w:ascii="Times New Roman" w:hAnsi="Times New Roman"/>
        </w:rPr>
        <w:t xml:space="preserve"> </w:t>
      </w:r>
      <w:r>
        <w:rPr>
          <w:rFonts w:ascii="Times New Roman" w:hAnsi="Times New Roman"/>
        </w:rPr>
        <w:t>obowiązków po stronie jednostek</w:t>
      </w:r>
      <w:r w:rsidR="001252EE">
        <w:rPr>
          <w:rFonts w:ascii="Times New Roman" w:hAnsi="Times New Roman"/>
        </w:rPr>
        <w:t>,</w:t>
      </w:r>
      <w:r>
        <w:rPr>
          <w:rFonts w:ascii="Times New Roman" w:hAnsi="Times New Roman"/>
        </w:rPr>
        <w:t xml:space="preserve"> jak i organów administracji publicznej. Zbiera natomiast informacje o działaniach i środkach podejmowanych na gruncie innych przepisów prawa, których efektem może być ograniczenie emisji substancji, dla których określono krajowe zobowiązania w zakresie redukcji emisji.</w:t>
      </w:r>
    </w:p>
    <w:p w14:paraId="2C6C6824" w14:textId="0546ED01"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Zgodnie z art. 6 dyrektywy NEC każde państwo członkowskie powinno przyjąć i wdrożyć krajowy program ograniczania zanieczyszczenia powietrza, który ma zapewnić wykonywanie przez państwa ich zobowiązań w zakresie redukcji emisji, a także skutecznie przyczynić się do realizacji celów dotyczących jakości powietrza. Program ten ma być okresowo aktualizowany. Dokument ten ma skoordynować działania państw członkowskich w zakresie redukcji emisji wynikających z krajowych ram polityki dotyczącej jakości powietrza w powiązaniu z obszarami polityk odnoszących się do rolnictwa, przemysłu czy transportu. Państwa członkowskie mają za zadanie zapewnić aktywne i systematyczne podawanie do publicznej wiadomości, w szczególności przez publikowanie na ogólnie dostępnej stronie internetowej krajowych programów ograniczania zanieczyszczenia powietrza i ich wszystkich aktualizacji. </w:t>
      </w:r>
    </w:p>
    <w:p w14:paraId="55E3EF2A" w14:textId="4B6EA8F2"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Krajowy program ograniczania zanieczyszczenia powietrza powinien zostać opracowany w oparciu o m.in. wiedzę na temat prognozowanych zmian sytuacji emisyjnej. Pozwoli ona na optymalne dostosowanie opracowywanych w programie środków i strategii związanych z redukcją emisji. Do opracowania programu powinny być wykorzystywane informacje dotyczące prognoz zmian aktywności. Prognozy zmian aktywności pozwolą również na przygotowanie ww. raportów i prognoz emisji i zrealizowanie obowiązków sprawozdawczych do Komisji Europejskiej i Europejskiej Agencji Środowiska. </w:t>
      </w:r>
    </w:p>
    <w:p w14:paraId="245B000B" w14:textId="6D653456" w:rsidR="00FE3B3A" w:rsidRDefault="00564110">
      <w:pPr>
        <w:spacing w:after="0" w:line="360" w:lineRule="auto"/>
        <w:jc w:val="both"/>
        <w:rPr>
          <w:rFonts w:ascii="Times New Roman" w:hAnsi="Times New Roman"/>
          <w:color w:val="000000"/>
        </w:rPr>
      </w:pPr>
      <w:r>
        <w:rPr>
          <w:rFonts w:ascii="Times New Roman" w:hAnsi="Times New Roman"/>
          <w:color w:val="000000"/>
        </w:rPr>
        <w:t>Krajowy program ograniczania zanieczyszczenia powietrza oraz wszelkie jego aktualizacje powinny być poddawane konsultacjom publicznym oraz konsultacjom z właściwymi organami na wszystkich poziomach. Konsultacje te powinny być prowadzone w czasie, gdy możliwe są wszystkie warianty dotyczące strategii i środków. Udział społeczeństwa w opracowywaniu Krajowego programu ograniczania zanieczyszczeń powietrza, na zasadach i trybach ustawy z dnia 3 października 2008 r. o udostępnianiu informacji o środowisku i jego ochronie, udziale społeczeństwa w ochronie środowiska oraz o ocenach oddziaływania na środowisko (Dz.</w:t>
      </w:r>
      <w:r w:rsidR="00BC6960">
        <w:rPr>
          <w:rFonts w:ascii="Times New Roman" w:hAnsi="Times New Roman"/>
          <w:color w:val="000000"/>
        </w:rPr>
        <w:t xml:space="preserve"> </w:t>
      </w:r>
      <w:r>
        <w:rPr>
          <w:rFonts w:ascii="Times New Roman" w:hAnsi="Times New Roman"/>
          <w:color w:val="000000"/>
        </w:rPr>
        <w:t xml:space="preserve">U. z 2018 r. poz. 2081, z późn. zm.), jest zapewniony na etapie następującym po przedłożeniu jego projektu przez Krajowy ośrodek ministrowi właściwemu do spraw środowiska. </w:t>
      </w:r>
    </w:p>
    <w:p w14:paraId="521D5B0B"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Dyrektywa NEC określa minimalne wymagania dotyczące treści krajowego programu ograniczania zanieczyszczenia powietrza (załącznik nr III część 1 dyrektywy NEC).</w:t>
      </w:r>
    </w:p>
    <w:p w14:paraId="4B3AA5EA" w14:textId="3CBA5A70" w:rsidR="00FE3B3A" w:rsidRDefault="00564110">
      <w:pPr>
        <w:spacing w:after="0" w:line="360" w:lineRule="auto"/>
        <w:jc w:val="both"/>
        <w:rPr>
          <w:rFonts w:ascii="Times New Roman" w:hAnsi="Times New Roman"/>
          <w:color w:val="000000"/>
        </w:rPr>
      </w:pPr>
      <w:r>
        <w:rPr>
          <w:rFonts w:ascii="Times New Roman" w:hAnsi="Times New Roman"/>
          <w:color w:val="000000"/>
        </w:rPr>
        <w:t>Proponowany art. 16b USZE stanowi transpozycję postanowień dyrektywy NEC w tym zakresie i wprowadza do polskiego porządku prawnego podstawę do sporządzania Krajowego programu ograniczania zanieczyszczenia powietrza. Jego obecność w przepisach projektowanej ustawy uzasadnia po pierwsze to, że jest on powiązany treściowo z mechanizmami, które przewiduje USZE, m.in. wykorzystując dane z inwentaryzacji, o której mo</w:t>
      </w:r>
      <w:r w:rsidR="004875B2">
        <w:rPr>
          <w:rFonts w:ascii="Times New Roman" w:hAnsi="Times New Roman"/>
          <w:color w:val="000000"/>
        </w:rPr>
        <w:t>wa w projektowanym art. 11 ust. </w:t>
      </w:r>
      <w:r>
        <w:rPr>
          <w:rFonts w:ascii="Times New Roman" w:hAnsi="Times New Roman"/>
          <w:color w:val="000000"/>
        </w:rPr>
        <w:t>1 pkt 3 USZE, po drugie ww. ustawa tworzy podstawy systemu zarządzania emisjami gazów cieplarnianych i innych substancji, którego częścią będą rozwiązania instytucjonalne związane z osiąganiem poziomów redukcji emisji wymaganych postanowieniami dyrektywy NEC. Ustawa USZE powołała też Krajowy ośrodek, który wyposażyła w szereg narzędzi związanych z organizacją systemu zarządzania emisjami. Na gruncie projektowanej ustawy zmieniającej USZE Krajowy ośrodek będzie miał za zadanie opracowanie projektu programu ograniczania zanieczyszczenia powietrza dla substancji, dla których w przepisach prawa Unii Europejskiej określono krajowe zobowiązania w zakresie redukcji emisji. W celu sporządzenia projektu Krajowemu ośrodkowi będą potrzebne informacje i opinie organów administracji publicznej, w szczególności tych, które wykonują zadania publiczne z zakresu ochrony powietrza. Z tego względu przewidziano możliwość złożenia przez Krajowy ośrodek wniosku o te informacje lub opinie, na który odpowiedź powinna zostać udzielona w terminie 30 dni od dnia doręczenia wniosku (art. 16b ust. 5). Projekt programu ograniczania zanieczyszczenia powietrza zostanie następnie przekazany Ministrowi Środowiska do dalszych prac. Proponuje się, aby krajowy program był przyjęty przez Radę Ministrów w formie uchwały, na wniosek ministra właściwego do spraw środowiska. Należy zwrócić uwagę, że obowiązki organów administracji, które będą wymienione w krajowym programie ograniczania zanieczyszczenia powietrza (chociażby na podstawie art. 16b ust. 3 pkt 1 lit. b i pkt 4)</w:t>
      </w:r>
      <w:r w:rsidR="001252EE">
        <w:rPr>
          <w:rFonts w:ascii="Times New Roman" w:hAnsi="Times New Roman"/>
          <w:color w:val="000000"/>
        </w:rPr>
        <w:t>,</w:t>
      </w:r>
      <w:r>
        <w:rPr>
          <w:rFonts w:ascii="Times New Roman" w:hAnsi="Times New Roman"/>
          <w:color w:val="000000"/>
        </w:rPr>
        <w:t xml:space="preserve"> będą stanowić jedynie ich kompilację na potrzeby opisanych w tym programie strategii i planów, natomiast źródło tych obowiązków znajdować się będzie w przepisach prawa powszechnie obowiązującego. </w:t>
      </w:r>
    </w:p>
    <w:p w14:paraId="23FBD195"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Jak wspomniano, dyrektywa NEC nakłada zobowiązanie na państwa członkowskie do wykonywania aktualizacji krajowych programów ograniczania zanieczyszczenia powietrza nie rzadziej niż co cztery lata. Wymóg ten znalazł także odzwierciedlenie w przepisach zawartych w art. 16b USZE. Niezależnie od wymogu okresowej aktualizacji krajowego planu strategie i środki dotyczące redukcji emisji zawarte w krajowych programach ograniczania zanieczyszczenia powietrza mają być aktualizowane w ciągu 18 miesięcy od przekazania najnowszego krajowego bilansu emisji lub prognoz emisji, jeżeli zgodnie z przekazanymi danymi krajowe zobowiązania w zakresie redukcji emisji nie są spełnione lub istnieje ryzyko ich niespełnienia.</w:t>
      </w:r>
    </w:p>
    <w:p w14:paraId="0EA4173A"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Dyrektywa NEC daje Komisji Europejskiej uprawnienia do przyjęcia wytycznych dotyczących opracowywania i wdrażania krajowych programów ograniczania zanieczyszczenia powietrza. Ponadto zgodnie z jej przepisami Komisja Europejska określa również w drodze aktów wykonawczych format krajowych programów ograniczania zanieczyszczenia powietrza. Format dokumentu krajowego programu ograniczania zanieczyszczenia powietrza został przyjęty we wrześniu 2018 r.</w:t>
      </w:r>
    </w:p>
    <w:p w14:paraId="481BB43B"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Mając na uwadze spełnienie odpowiednich krajowych zobowiązań w zakresie redukcji emisji, państwa członkowskie włączają do swoich krajowych programów ograniczania zanieczyszczenia powietrza środki redukcji emisji, które załącznik III dyrektywy NEC dzieli na obowiązkowe lub opcjonalne. </w:t>
      </w:r>
    </w:p>
    <w:p w14:paraId="69DE230F"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Pierwszy krajowy program ograniczania zanieczyszczenia powietrza powinien zostać przekazany Komisji Europejskiej w terminie do dnia 1 kwietnia 2019 r.</w:t>
      </w:r>
    </w:p>
    <w:p w14:paraId="09F3D84F" w14:textId="5E95BF93" w:rsidR="00FE3B3A" w:rsidRDefault="00564110">
      <w:pPr>
        <w:pStyle w:val="ARTartustawynprozporzdzenia"/>
        <w:spacing w:before="0"/>
        <w:ind w:firstLine="0"/>
      </w:pPr>
      <w:r>
        <w:rPr>
          <w:rStyle w:val="Ppogrubienie"/>
          <w:rFonts w:ascii="Times New Roman" w:hAnsi="Times New Roman" w:cs="Times New Roman"/>
          <w:b w:val="0"/>
          <w:sz w:val="22"/>
          <w:szCs w:val="22"/>
        </w:rPr>
        <w:t>Natomiast w art. 16c USZE wskazano, zgodnie z art. 4 ust. 2 dyrektywy NEC,</w:t>
      </w:r>
      <w:r w:rsidR="002058A4">
        <w:rPr>
          <w:rStyle w:val="Ppogrubienie"/>
          <w:rFonts w:ascii="Times New Roman" w:hAnsi="Times New Roman" w:cs="Times New Roman"/>
          <w:b w:val="0"/>
          <w:sz w:val="22"/>
          <w:szCs w:val="22"/>
        </w:rPr>
        <w:t xml:space="preserve"> </w:t>
      </w:r>
      <w:r>
        <w:rPr>
          <w:rFonts w:ascii="Times New Roman" w:hAnsi="Times New Roman" w:cs="Times New Roman"/>
          <w:sz w:val="22"/>
          <w:szCs w:val="22"/>
        </w:rPr>
        <w:t>prawidłową ścieżk</w:t>
      </w:r>
      <w:r w:rsidR="001252EE">
        <w:rPr>
          <w:rFonts w:ascii="Times New Roman" w:hAnsi="Times New Roman" w:cs="Times New Roman"/>
          <w:sz w:val="22"/>
          <w:szCs w:val="22"/>
        </w:rPr>
        <w:t>ę</w:t>
      </w:r>
      <w:r>
        <w:rPr>
          <w:rFonts w:ascii="Times New Roman" w:hAnsi="Times New Roman" w:cs="Times New Roman"/>
          <w:sz w:val="22"/>
          <w:szCs w:val="22"/>
        </w:rPr>
        <w:t xml:space="preserve"> redukcji emisji, która jest wyznaczana jako liniowe zmniejszanie wielkości emisji substancji, dla której zostały określone krajowe zobowiązania w zakresie redukcji emisji, w którym górny punkt wyznacza poziom redukcji emisji danej substancji wyznaczony jako krajowe zobowiązanie w zakresie redukcji emisji dla 2020 r., a dolny punkt stanowi poziom redukcji emisji tej substancji wyznaczony jako krajowe zobowiązanie w zakresie redukcji emisji dla 2030 r. W liniowej ścieżce redukcji emisji musi zostać wyznaczony również poziom redukcji emisji danej substancji dla 2025 r. </w:t>
      </w:r>
    </w:p>
    <w:p w14:paraId="6ABE0AB7" w14:textId="77777777" w:rsidR="00FE3B3A" w:rsidRDefault="00564110">
      <w:pPr>
        <w:pStyle w:val="USTustnpkodeksu"/>
        <w:ind w:firstLine="0"/>
      </w:pPr>
      <w:r>
        <w:rPr>
          <w:rFonts w:ascii="Times New Roman" w:hAnsi="Times New Roman" w:cs="Times New Roman"/>
          <w:sz w:val="22"/>
          <w:szCs w:val="22"/>
        </w:rPr>
        <w:t xml:space="preserve">Art. 16c </w:t>
      </w:r>
      <w:r>
        <w:rPr>
          <w:rStyle w:val="Ppogrubienie"/>
          <w:rFonts w:ascii="Times New Roman" w:hAnsi="Times New Roman" w:cs="Times New Roman"/>
          <w:b w:val="0"/>
          <w:sz w:val="22"/>
          <w:szCs w:val="22"/>
        </w:rPr>
        <w:t>USZE</w:t>
      </w:r>
      <w:r>
        <w:rPr>
          <w:rFonts w:ascii="Times New Roman" w:hAnsi="Times New Roman" w:cs="Times New Roman"/>
          <w:sz w:val="22"/>
          <w:szCs w:val="22"/>
        </w:rPr>
        <w:t xml:space="preserve"> stanowi także, że w przypadku gdy osiąganie poziomów zmniejszania wielkości emisji substancji w sposób wyznaczony liniową ścieżką redukcji emisji jest nieefektywne pod względem ekonomicznym i technologicznym, można je wyznaczyć w sposób nieliniowy, pod warunkiem, że od 2025 r. wybrana trajektoria będzie się stopniowo zbliżała do trajektorii wyznaczonej liniową ścieżką redukcji emisji oraz że nie wpłynie to na żadne z krajowych zobowiązań w zakresie redukcji w 2030 r.</w:t>
      </w:r>
    </w:p>
    <w:p w14:paraId="17ADFB47" w14:textId="7CD3A847" w:rsidR="00FE3B3A" w:rsidRDefault="00564110">
      <w:pPr>
        <w:pStyle w:val="ARTartustawynprozporzdzenia"/>
        <w:spacing w:before="0"/>
        <w:ind w:firstLine="0"/>
        <w:rPr>
          <w:rFonts w:ascii="Times New Roman" w:hAnsi="Times New Roman" w:cs="Times New Roman"/>
          <w:sz w:val="22"/>
          <w:szCs w:val="22"/>
        </w:rPr>
      </w:pPr>
      <w:r>
        <w:rPr>
          <w:rFonts w:ascii="Times New Roman" w:hAnsi="Times New Roman" w:cs="Times New Roman"/>
          <w:sz w:val="22"/>
          <w:szCs w:val="22"/>
        </w:rPr>
        <w:t>W przypadku gdy przyjęty w Krajowym programie ograniczania zanieczyszczenia powietrza poziom redukcji emisji substancji wynikający ze ścieżki redukcji emisji nie zostanie osiągnięty lub zajdzie ryzyko, że nie zostanie osiągnięty, Minister Środowiska, w oparciu o informacje wynikające z inwentaryzacji, o której mowa w art. 11 ust. 1 pkt 3 USZE, na podstawie art. 16d ust. 1 USZE, poinformuje właściwych ministrów odpowiedzialnych za politykę państwa w tych sektorach, w których powstają emisje substancji, których poziomy redukcji emisji nie zostały dotrzymane lub istnieje ryzyko ich niedotrzymania, o wystąpieniu tych przekroczeń lub ryzyka. Właściwi ministrowie będą wówczas zobowiązani do opracowania propozycji dodatkowych działań i środków oraz do przekazania ich ministrowi właściwemu do spraw środowiska w terminie 6 miesięcy od dnia otrzymania takiej informacji.</w:t>
      </w:r>
    </w:p>
    <w:p w14:paraId="088DA2BF" w14:textId="1E0A88CE" w:rsidR="00FE3B3A" w:rsidRDefault="00564110">
      <w:pPr>
        <w:pStyle w:val="USTustnpkodeksu"/>
        <w:ind w:firstLine="0"/>
        <w:rPr>
          <w:rFonts w:ascii="Times New Roman" w:hAnsi="Times New Roman" w:cs="Times New Roman"/>
          <w:sz w:val="22"/>
          <w:szCs w:val="22"/>
        </w:rPr>
      </w:pPr>
      <w:r>
        <w:rPr>
          <w:rFonts w:ascii="Times New Roman" w:hAnsi="Times New Roman" w:cs="Times New Roman"/>
          <w:sz w:val="22"/>
          <w:szCs w:val="22"/>
        </w:rPr>
        <w:t>W art. 16d ust</w:t>
      </w:r>
      <w:r w:rsidR="006828D1">
        <w:rPr>
          <w:rFonts w:ascii="Times New Roman" w:hAnsi="Times New Roman" w:cs="Times New Roman"/>
          <w:sz w:val="22"/>
          <w:szCs w:val="22"/>
        </w:rPr>
        <w:t>.</w:t>
      </w:r>
      <w:r>
        <w:rPr>
          <w:rFonts w:ascii="Times New Roman" w:hAnsi="Times New Roman" w:cs="Times New Roman"/>
          <w:sz w:val="22"/>
          <w:szCs w:val="22"/>
        </w:rPr>
        <w:t xml:space="preserve"> 3</w:t>
      </w:r>
      <w:r w:rsidR="002058A4">
        <w:rPr>
          <w:rFonts w:ascii="Times New Roman" w:hAnsi="Times New Roman" w:cs="Times New Roman"/>
          <w:sz w:val="22"/>
          <w:szCs w:val="22"/>
        </w:rPr>
        <w:t>–</w:t>
      </w:r>
      <w:r>
        <w:rPr>
          <w:rFonts w:ascii="Times New Roman" w:hAnsi="Times New Roman" w:cs="Times New Roman"/>
          <w:sz w:val="22"/>
          <w:szCs w:val="22"/>
        </w:rPr>
        <w:t xml:space="preserve">5 USZE przedstawiono również sytuacje, w których będzie możliwe odstąpienie od powyżej opisanej procedury. </w:t>
      </w:r>
    </w:p>
    <w:p w14:paraId="3CA92598" w14:textId="494C6F0D" w:rsidR="00FE3B3A" w:rsidRDefault="00564110">
      <w:pPr>
        <w:spacing w:after="0" w:line="360" w:lineRule="auto"/>
        <w:jc w:val="both"/>
        <w:rPr>
          <w:rFonts w:ascii="Times New Roman" w:hAnsi="Times New Roman"/>
        </w:rPr>
      </w:pPr>
      <w:r>
        <w:rPr>
          <w:rFonts w:ascii="Times New Roman" w:hAnsi="Times New Roman"/>
        </w:rPr>
        <w:t>Przepisy określone w art. 16d ust. 3</w:t>
      </w:r>
      <w:r w:rsidR="002058A4">
        <w:rPr>
          <w:rFonts w:ascii="Times New Roman" w:hAnsi="Times New Roman"/>
        </w:rPr>
        <w:t>–</w:t>
      </w:r>
      <w:r>
        <w:rPr>
          <w:rFonts w:ascii="Times New Roman" w:hAnsi="Times New Roman"/>
        </w:rPr>
        <w:t>5 USZE zawierają transpozycję art. 5 dyrektywy 2016/2284 w zakresie wprowadzenia mechanizmów elastyczności, które implikują swojego rodzaju odstępstwa od przyjętych ogólnych zasad związanych z warunkami dotrzymywania krajowych zobowiązań w zakresie redukcji emisji substancji. Przedmiotowa dyrektywa w art. 5 zidentyfikowała cztery rodzaje odstępstw, przy czym należy zauważyć, że wszystkie te odstępstwa mają swoje źródło w postanowieniach Protokołu z Göteborga do konwencji LRTAP. Odstępstwa te polegają na tym, że zidentyfikowanie w określonych okolicznościach niedotrzymywania przez Polskę poziomu redukcji emisji substancji wynikającego z określonej ścieżki redukcji emisji lub ryzyka jego niedotrzymywania nie będzie implikowało konieczności podejmowania przez nią dodatkowych działań i środków zmierzających do ograniczenia poziomu emisji danej substancji.</w:t>
      </w:r>
    </w:p>
    <w:p w14:paraId="40141880" w14:textId="6E14053B" w:rsidR="00FE3B3A" w:rsidRDefault="00564110">
      <w:pPr>
        <w:spacing w:after="0" w:line="360" w:lineRule="auto"/>
        <w:jc w:val="both"/>
        <w:rPr>
          <w:rFonts w:ascii="Times New Roman" w:hAnsi="Times New Roman"/>
        </w:rPr>
      </w:pPr>
      <w:r>
        <w:rPr>
          <w:rFonts w:ascii="Times New Roman" w:hAnsi="Times New Roman"/>
        </w:rPr>
        <w:t>Art.16d ust. 3 pkt 1 USZE wprowadza odstępstwo, które wskazuje na odbiegające od norm zmiany meteorologiczne podlegające na wystąpieniu „wyjątkowo chłodnej zimy” albo „wyjątkowo suchego lata”, które to warunki będą skutkować wzrostem wielkości emisji w roku, w którym one zaistniały. Zastosowanie nieostrych sformułowań określonych jako „wyjątkowo” chłodna zima albo suche lato będzie weryfikowane przez analizę danych z corocznych inwentaryzacji emisji odnoszących się do roku poprzedzającego i roku następującego po zaistnieniu odbiegających od normy zmian meteorologicznych, po odsianiu czynników standardowych. Oznaczać będzie to, że wielkości emisji przed zaistnieniem niekorzystnych warunków i w następnym roku po roku, w którym wystąpiły te warunki, nie będą przekraczały krajowego zobowiązania w zakresie redukcji emisji substancji dla wskazanego okresu, tj. lat 2020</w:t>
      </w:r>
      <w:r w:rsidR="002058A4">
        <w:rPr>
          <w:rFonts w:ascii="Times New Roman" w:hAnsi="Times New Roman"/>
        </w:rPr>
        <w:t>–</w:t>
      </w:r>
      <w:r>
        <w:rPr>
          <w:rFonts w:ascii="Times New Roman" w:hAnsi="Times New Roman"/>
        </w:rPr>
        <w:t xml:space="preserve">2029 albo 2030 r. i lat następnych. </w:t>
      </w:r>
    </w:p>
    <w:p w14:paraId="5DFCCFFF" w14:textId="77777777" w:rsidR="00FE3B3A" w:rsidRDefault="00564110">
      <w:pPr>
        <w:spacing w:after="0" w:line="360" w:lineRule="auto"/>
        <w:jc w:val="both"/>
        <w:rPr>
          <w:rFonts w:ascii="Times New Roman" w:hAnsi="Times New Roman"/>
        </w:rPr>
      </w:pPr>
      <w:r>
        <w:rPr>
          <w:rFonts w:ascii="Times New Roman" w:hAnsi="Times New Roman"/>
        </w:rPr>
        <w:t>Art. 16 ust. 3 pkt 2 lit</w:t>
      </w:r>
      <w:r w:rsidR="00966CB1">
        <w:rPr>
          <w:rFonts w:ascii="Times New Roman" w:hAnsi="Times New Roman"/>
        </w:rPr>
        <w:t>.</w:t>
      </w:r>
      <w:r>
        <w:rPr>
          <w:rFonts w:ascii="Times New Roman" w:hAnsi="Times New Roman"/>
        </w:rPr>
        <w:t xml:space="preserve"> a oraz b USZE przewiduje odstępstwo związane z racjonalnością kosztową dotrzymywania krajowych zobowiązań w zakresie redukcji emisji substancji. Zastosowanie tego odstępstwa implikuje potrzebę wykazania, że redukcja emisji substancji do poziomu określonego w krajowym zobowiązaniu w zakresie redukcji emisji substancji jest nieracjonalna pod względem kosztów dla danej substancji. W takim przypadku państwo powinno wykazać większą redukcję niż przyjęta w krajowym zobowiązaniu w zakresie redukcji emisji substancji w odniesieniu do innej substancji i wykazać nieracjonalne koszty redukcji dla substancji, dla której nie został osiągnięty poziom określany w krajowych zobowiązaniach. </w:t>
      </w:r>
    </w:p>
    <w:p w14:paraId="46C46040" w14:textId="77777777" w:rsidR="00FE3B3A" w:rsidRDefault="00564110">
      <w:pPr>
        <w:spacing w:after="0" w:line="360" w:lineRule="auto"/>
        <w:jc w:val="both"/>
        <w:rPr>
          <w:rFonts w:ascii="Times New Roman" w:hAnsi="Times New Roman"/>
        </w:rPr>
      </w:pPr>
      <w:r>
        <w:rPr>
          <w:rFonts w:ascii="Times New Roman" w:hAnsi="Times New Roman"/>
        </w:rPr>
        <w:t xml:space="preserve">Art. 16d ust. 3 pkt 3 USZE wprowadza odstępstwo powiązane z wystąpieniem zakłóceń lub spadku mocy w systemie wytwarzania lub dostaw energii elektrycznej lub ciepła w danym państwie. Także w tym przypadku należy wykazać, że niedotrzymanie pułapów emisji wynika z zaistnienia warunków, na które państwo nie ma wpływu, a wdrażanie działań i środków w zakresie redukcji emisji poszczególnych substancji przebiega zgodnie z przyjętym w Krajowym programie ograniczania zanieczyszczania powietrza harmonogramem i redukcja emisji z tych działań jest osiągana. </w:t>
      </w:r>
    </w:p>
    <w:p w14:paraId="76AD3F54" w14:textId="77777777" w:rsidR="00FE3B3A" w:rsidRDefault="00564110">
      <w:pPr>
        <w:spacing w:after="0" w:line="360" w:lineRule="auto"/>
        <w:jc w:val="both"/>
        <w:rPr>
          <w:rFonts w:ascii="Times New Roman" w:hAnsi="Times New Roman"/>
        </w:rPr>
      </w:pPr>
      <w:r>
        <w:rPr>
          <w:rFonts w:ascii="Times New Roman" w:hAnsi="Times New Roman"/>
        </w:rPr>
        <w:t>Dyrektywa NEC wprowadziła te mechanizmy (odstępstwa), aby uwzględnić problem niepewności nierozerwalnie związanej z określaniem krajowych zobowiązań w zakresie redukcji emisji, przez wprowadzenie pewnej elastyczności, która umożliwia korygowanie inwentaryzacji emisji i uśrednianie krajowych rocznych emisji przez maksymalnie 3 lata albo 5 lat</w:t>
      </w:r>
      <w:r w:rsidR="00F02CB9">
        <w:rPr>
          <w:rFonts w:ascii="Times New Roman" w:hAnsi="Times New Roman"/>
        </w:rPr>
        <w:t>,</w:t>
      </w:r>
      <w:r>
        <w:rPr>
          <w:rFonts w:ascii="Times New Roman" w:hAnsi="Times New Roman"/>
        </w:rPr>
        <w:t xml:space="preserve"> w przypadku gdy spełnione są warunki określone w przepisach.</w:t>
      </w:r>
    </w:p>
    <w:p w14:paraId="6F636FAD" w14:textId="77777777" w:rsidR="00FE3B3A" w:rsidRDefault="00564110">
      <w:pPr>
        <w:spacing w:after="0" w:line="360" w:lineRule="auto"/>
        <w:jc w:val="both"/>
        <w:rPr>
          <w:rFonts w:ascii="Times New Roman" w:hAnsi="Times New Roman"/>
        </w:rPr>
      </w:pPr>
      <w:r>
        <w:rPr>
          <w:rFonts w:ascii="Times New Roman" w:hAnsi="Times New Roman"/>
        </w:rPr>
        <w:t>Ostatnie z odstępstw wprowadza art. 16d ust. 5 USZE. Odnosi się ono do wprowadzenia istotnych zmian w stosowanej metodyce lub wskaźnikach przyjętych na potrzeby opracowania inwentaryzacji emisji. Jeżeli państwo wykaże, że przekroczenie wielkości emisji substancji, dla której określono krajowe zobowiązania w zakresie redukcji emisji wykazane w inwentaryzacji, jest następstwem zmiany metodyki lub wskaźników, a nie zwiększenia emisji substancji, nie zajdzie wtedy potrzeba stosowania dodatkowych działań i środków, natomiast państwo będzie upoważnione do opracowania skorygowanej inwentaryzacji.</w:t>
      </w:r>
    </w:p>
    <w:p w14:paraId="54C02AEB" w14:textId="15C56544" w:rsidR="00FE3B3A" w:rsidRDefault="00564110">
      <w:pPr>
        <w:spacing w:after="0" w:line="360" w:lineRule="auto"/>
        <w:jc w:val="both"/>
        <w:rPr>
          <w:rFonts w:ascii="Times New Roman" w:hAnsi="Times New Roman"/>
        </w:rPr>
      </w:pPr>
      <w:r>
        <w:rPr>
          <w:rFonts w:ascii="Times New Roman" w:hAnsi="Times New Roman"/>
        </w:rPr>
        <w:t>Korzystanie przez Polskę z odstępstw jest nadzorowane przez Komisję Europejską. Komisja w drodze decyzji może nie wyrazić zgody na zastosowanie danego odstępstwa. W tej sytuacji państwo będzie zmuszone do podjęcia działań i środków korygujących wielkość emisji, tj. zmierzających do ograniczenia poziomu emisji danej substancji, w stosunku do której krajowe zobowiązania w zakresie redukcji emisji zostały przekroczone lub występuje ryzyko ich przekroczenia.</w:t>
      </w:r>
      <w:r w:rsidR="002058A4">
        <w:rPr>
          <w:rFonts w:ascii="Times New Roman" w:hAnsi="Times New Roman"/>
        </w:rPr>
        <w:t xml:space="preserve"> </w:t>
      </w:r>
    </w:p>
    <w:p w14:paraId="6B3B68F0" w14:textId="77777777" w:rsidR="00FE3B3A" w:rsidRDefault="00564110">
      <w:pPr>
        <w:pStyle w:val="USTustnpkodeksu"/>
        <w:ind w:firstLine="0"/>
      </w:pPr>
      <w:r>
        <w:rPr>
          <w:rFonts w:ascii="Times New Roman" w:hAnsi="Times New Roman" w:cs="Times New Roman"/>
          <w:sz w:val="22"/>
          <w:szCs w:val="22"/>
        </w:rPr>
        <w:t>Minister Środowiska będzie musiał poinformować w terminie do dnia 15 lutego roku, za który opracowywana jest inwentaryzacja, Komisję Europejską o zastosowaniu odstępstw wskazanych w art. 16d</w:t>
      </w:r>
      <w:r w:rsidR="00F02CB9">
        <w:rPr>
          <w:rFonts w:ascii="Times New Roman" w:hAnsi="Times New Roman" w:cs="Times New Roman"/>
          <w:sz w:val="22"/>
          <w:szCs w:val="22"/>
        </w:rPr>
        <w:t xml:space="preserve"> USZE</w:t>
      </w:r>
      <w:r>
        <w:rPr>
          <w:rFonts w:ascii="Times New Roman" w:hAnsi="Times New Roman" w:cs="Times New Roman"/>
          <w:sz w:val="22"/>
          <w:szCs w:val="22"/>
        </w:rPr>
        <w:t>, wskazując zanieczyszczenia, dla których poziom krajowych zobowiązań w zakresie redukcji emisji nie zostanie dotrzymany.</w:t>
      </w:r>
    </w:p>
    <w:p w14:paraId="6135AAC8" w14:textId="77777777" w:rsidR="00FE3B3A" w:rsidRDefault="00564110">
      <w:pPr>
        <w:pStyle w:val="ARTartustawynprozporzdzenia"/>
        <w:spacing w:before="0"/>
        <w:ind w:firstLine="0"/>
      </w:pPr>
      <w:r>
        <w:rPr>
          <w:rStyle w:val="Ppogrubienie"/>
          <w:rFonts w:ascii="Times New Roman" w:hAnsi="Times New Roman" w:cs="Times New Roman"/>
          <w:b w:val="0"/>
          <w:sz w:val="22"/>
          <w:szCs w:val="22"/>
        </w:rPr>
        <w:t>W celu prawidłowego monitorowania wprowadzania działań wskazanych w Krajowym programie ograniczania zanieczyszczenia powietrza, zgodnie z art. 16e USZE, właściwi ministrowie</w:t>
      </w:r>
      <w:r>
        <w:rPr>
          <w:rFonts w:ascii="Times New Roman" w:hAnsi="Times New Roman" w:cs="Times New Roman"/>
          <w:sz w:val="22"/>
          <w:szCs w:val="22"/>
        </w:rPr>
        <w:t xml:space="preserve"> będą zobowiązani sporządzać i przekazywać Ministrowi Środowiska informacje dotyczące stosowanych działań i środków ujętych w Krajowym programie ograniczania zanieczyszczenia powietrza. Informacje te powinny być przedkładane do dnia 31 stycznia każdego roku, rozpoczynając od 2020 r. </w:t>
      </w:r>
    </w:p>
    <w:p w14:paraId="62E5B490" w14:textId="77777777" w:rsidR="00FE3B3A" w:rsidRDefault="00564110">
      <w:pPr>
        <w:pStyle w:val="USTustnpkodeksu"/>
        <w:ind w:firstLine="0"/>
        <w:rPr>
          <w:rFonts w:ascii="Times New Roman" w:hAnsi="Times New Roman" w:cs="Times New Roman"/>
          <w:sz w:val="22"/>
          <w:szCs w:val="22"/>
        </w:rPr>
      </w:pPr>
      <w:r>
        <w:rPr>
          <w:rFonts w:ascii="Times New Roman" w:hAnsi="Times New Roman" w:cs="Times New Roman"/>
          <w:sz w:val="22"/>
          <w:szCs w:val="22"/>
        </w:rPr>
        <w:t xml:space="preserve">Na podstawie powyższych informacji Minister Środowiska będzie przygotowywał sprawozdanie o stosowanych działaniach i środkach, które mają zapewnić dotrzymanie krajowych zobowiązań w zakresie redukcji emisji oraz o redukcji emisji uzyskanej w wyniku stosowania tych działań i środków. Minister Środowiska będzie następnie przedkładał sprawozdanie z podjętych działań Radzie Ministrów. </w:t>
      </w:r>
    </w:p>
    <w:p w14:paraId="214CE676"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Bardzo istotnym aspektem w regulowanej tematyce jest rolnictwo, które w dużym stopniu odpowiada za emisje amoniaku do atmosfery. W celu zmniejszenia tych emisji do krajowych programów ograniczania zanieczyszczenia powietrza należy włączyć środki mające zastosowanie w sektorze rolnym. W tym celu transpozycja wprowadza nowe obowiązki i sankcje za ich nieprzestrzeganie w ustawie z dnia 20 lipca 2007 r. o nawozach i nawożeniu (Dz. U. z 2018 r. poz. 1259). </w:t>
      </w:r>
    </w:p>
    <w:p w14:paraId="1E31F0CB" w14:textId="77777777" w:rsidR="00FE3B3A" w:rsidRDefault="00564110">
      <w:pPr>
        <w:spacing w:after="0" w:line="360" w:lineRule="auto"/>
        <w:jc w:val="both"/>
      </w:pPr>
      <w:r>
        <w:rPr>
          <w:rFonts w:ascii="Times New Roman" w:hAnsi="Times New Roman"/>
          <w:color w:val="000000"/>
        </w:rPr>
        <w:t xml:space="preserve">Ze względu na istotne znaczenie sektora rolnictwa w emisjach amoniaku, w art. 9 omawianej ustawy zaproponowano zmianę ustawy z dnia 20 lipca 2007 r. o nawozach i nawożeniu. Proponowane przepisy art. 20a transponują wymogi zawarte w załączniku III część 2 dyrektywy NEC dotyczące wprowadzenia zakazu stosowania nawozów amonowo-węglanowych. Jako nawozy amonowo-węglanowe rozumie się </w:t>
      </w:r>
      <w:r>
        <w:rPr>
          <w:rFonts w:ascii="Times New Roman" w:hAnsi="Times New Roman"/>
          <w:iCs/>
        </w:rPr>
        <w:t>węglan amonu i wodorowęglan amonu.</w:t>
      </w:r>
    </w:p>
    <w:p w14:paraId="7CEF70DC" w14:textId="1119A3C5" w:rsidR="00FE3B3A" w:rsidRDefault="00564110">
      <w:pPr>
        <w:spacing w:after="0" w:line="360" w:lineRule="auto"/>
        <w:jc w:val="both"/>
      </w:pPr>
      <w:r>
        <w:rPr>
          <w:rFonts w:ascii="Times New Roman" w:hAnsi="Times New Roman"/>
          <w:color w:val="000000"/>
          <w:lang w:eastAsia="pl-PL"/>
        </w:rPr>
        <w:t xml:space="preserve">Ponadto w ustawie </w:t>
      </w:r>
      <w:r>
        <w:rPr>
          <w:rFonts w:ascii="Times New Roman" w:hAnsi="Times New Roman"/>
          <w:color w:val="000000"/>
        </w:rPr>
        <w:t>z dnia 20 lipca 2007 r.</w:t>
      </w:r>
      <w:r>
        <w:rPr>
          <w:rFonts w:ascii="Times New Roman" w:hAnsi="Times New Roman"/>
          <w:color w:val="000000"/>
          <w:lang w:eastAsia="pl-PL"/>
        </w:rPr>
        <w:t xml:space="preserve"> o nawozach i nawożeniu wprowadza się delegację ustawową dla ministra właściwego do spraw rolnictwa do opracowania kodeksu dobrej praktyki rolniczej w zakresie ograniczania emisji amoniaku, zwanego dalej „Kodeksem”. W Kodeksie wskazywane będą najlepsze praktyki dotyczące zarządzania azotem, sposobów używania, przechowywania nawozów oraz zasad związanych z chowem zwierząt, które pozwalają ograniczać emisję amoniaku. Konieczność przygotowania Kodeksu jest związana z faktem, że rolnictwo jest głównym źródłem emisji amoniaku (ok. 94% emisji NH</w:t>
      </w:r>
      <w:r>
        <w:rPr>
          <w:rFonts w:ascii="Times New Roman" w:hAnsi="Times New Roman"/>
          <w:color w:val="000000"/>
          <w:vertAlign w:val="subscript"/>
          <w:lang w:eastAsia="pl-PL"/>
        </w:rPr>
        <w:t>3</w:t>
      </w:r>
      <w:r>
        <w:rPr>
          <w:rFonts w:ascii="Times New Roman" w:hAnsi="Times New Roman"/>
          <w:color w:val="000000"/>
          <w:lang w:eastAsia="pl-PL"/>
        </w:rPr>
        <w:t xml:space="preserve"> pochodzi z działalności rolniczej). Natomiast amoniak wpływa na eutrofizację oraz jest jednym z prekursorów pyłu</w:t>
      </w:r>
      <w:r w:rsidR="001252EE">
        <w:rPr>
          <w:rFonts w:ascii="Times New Roman" w:hAnsi="Times New Roman"/>
          <w:color w:val="000000"/>
          <w:lang w:eastAsia="pl-PL"/>
        </w:rPr>
        <w:t>,</w:t>
      </w:r>
      <w:r>
        <w:rPr>
          <w:rFonts w:ascii="Times New Roman" w:hAnsi="Times New Roman"/>
          <w:color w:val="000000"/>
          <w:lang w:eastAsia="pl-PL"/>
        </w:rPr>
        <w:t xml:space="preserve"> wobec czego pośrednio wpływa na pogorszenie zdrowia ludzi spowodowane zanieczyszczeniem powietrza pyłami PM</w:t>
      </w:r>
      <w:r>
        <w:rPr>
          <w:rFonts w:ascii="Times New Roman" w:hAnsi="Times New Roman"/>
          <w:color w:val="000000"/>
          <w:vertAlign w:val="subscript"/>
        </w:rPr>
        <w:t>10</w:t>
      </w:r>
      <w:r>
        <w:rPr>
          <w:rFonts w:ascii="Times New Roman" w:hAnsi="Times New Roman"/>
          <w:color w:val="000000"/>
          <w:lang w:eastAsia="pl-PL"/>
        </w:rPr>
        <w:t xml:space="preserve"> oraz PM</w:t>
      </w:r>
      <w:r>
        <w:rPr>
          <w:rFonts w:ascii="Times New Roman" w:hAnsi="Times New Roman"/>
          <w:color w:val="000000"/>
          <w:vertAlign w:val="subscript"/>
        </w:rPr>
        <w:t>2,5</w:t>
      </w:r>
      <w:r>
        <w:rPr>
          <w:rFonts w:ascii="Times New Roman" w:hAnsi="Times New Roman"/>
          <w:color w:val="000000"/>
          <w:lang w:eastAsia="pl-PL"/>
        </w:rPr>
        <w:t xml:space="preserve">. </w:t>
      </w:r>
    </w:p>
    <w:p w14:paraId="08C9B551" w14:textId="6DBDD541" w:rsidR="00FE3B3A" w:rsidRDefault="00564110">
      <w:pPr>
        <w:spacing w:after="0" w:line="360" w:lineRule="auto"/>
        <w:jc w:val="both"/>
        <w:rPr>
          <w:rFonts w:ascii="Times New Roman" w:hAnsi="Times New Roman"/>
          <w:color w:val="000000"/>
          <w:lang w:eastAsia="pl-PL"/>
        </w:rPr>
      </w:pPr>
      <w:r>
        <w:rPr>
          <w:rFonts w:ascii="Times New Roman" w:hAnsi="Times New Roman"/>
          <w:color w:val="000000"/>
          <w:lang w:eastAsia="pl-PL"/>
        </w:rPr>
        <w:t>Ponadto dodano przepis wskazujący na konieczność uwzględnienia w Kodeksie zapisów kodeksu ramowego EKG ONZ z 2014 r. dotyczącego dobrej praktyki rolniczej na rzecz redukcji emisji amoniaku. Jednocześnie proponuje się odpowiednią zmianę w art. 4 ust. 2 pkt 1 ustawy z dnia 22 października 2004 r. o jednostkach doradztwa rolniczego (Dz. U. z 2018 r. poz. 711</w:t>
      </w:r>
      <w:r w:rsidR="009747ED">
        <w:rPr>
          <w:rFonts w:ascii="Times New Roman" w:hAnsi="Times New Roman"/>
          <w:color w:val="000000"/>
          <w:lang w:eastAsia="pl-PL"/>
        </w:rPr>
        <w:t>, z późn. zm.</w:t>
      </w:r>
      <w:r>
        <w:rPr>
          <w:rFonts w:ascii="Times New Roman" w:hAnsi="Times New Roman"/>
          <w:color w:val="000000"/>
          <w:lang w:eastAsia="pl-PL"/>
        </w:rPr>
        <w:t>) odwołującą się do kodeksu dobrej praktyki rolniczej w zakresie ograniczania emisji amoniaku. Przygotowany Kodeks będzie dokumentem do dobrowolnego stosowania przez rolników.</w:t>
      </w:r>
    </w:p>
    <w:p w14:paraId="3D3D8E9C" w14:textId="61EC4271" w:rsidR="00FE3B3A" w:rsidRDefault="00564110">
      <w:pPr>
        <w:spacing w:after="0" w:line="360" w:lineRule="auto"/>
        <w:jc w:val="both"/>
      </w:pPr>
      <w:r>
        <w:rPr>
          <w:rFonts w:ascii="Times New Roman" w:hAnsi="Times New Roman"/>
          <w:color w:val="000000"/>
          <w:lang w:eastAsia="pl-PL"/>
        </w:rPr>
        <w:t>Natomiast w art. 3 projektu ustawy wprowadza się zmiany do ustawy z dnia 20 lipca 1991 r.</w:t>
      </w:r>
      <w:r w:rsidR="004875B2">
        <w:rPr>
          <w:rFonts w:ascii="Times New Roman" w:hAnsi="Times New Roman"/>
          <w:color w:val="000000"/>
          <w:lang w:eastAsia="pl-PL"/>
        </w:rPr>
        <w:t xml:space="preserve"> </w:t>
      </w:r>
      <w:r>
        <w:rPr>
          <w:rFonts w:ascii="Times New Roman" w:hAnsi="Times New Roman"/>
          <w:color w:val="000000"/>
          <w:lang w:eastAsia="pl-PL"/>
        </w:rPr>
        <w:t xml:space="preserve">o Inspekcji </w:t>
      </w:r>
      <w:r w:rsidR="00A4543D">
        <w:rPr>
          <w:rFonts w:ascii="Times New Roman" w:hAnsi="Times New Roman"/>
          <w:color w:val="000000"/>
          <w:lang w:eastAsia="pl-PL"/>
        </w:rPr>
        <w:t>O</w:t>
      </w:r>
      <w:r>
        <w:rPr>
          <w:rFonts w:ascii="Times New Roman" w:hAnsi="Times New Roman"/>
          <w:color w:val="000000"/>
          <w:lang w:eastAsia="pl-PL"/>
        </w:rPr>
        <w:t xml:space="preserve">chrony </w:t>
      </w:r>
      <w:r w:rsidR="00A4543D">
        <w:rPr>
          <w:rFonts w:ascii="Times New Roman" w:hAnsi="Times New Roman"/>
          <w:color w:val="000000"/>
          <w:lang w:eastAsia="pl-PL"/>
        </w:rPr>
        <w:t>Ś</w:t>
      </w:r>
      <w:r>
        <w:rPr>
          <w:rFonts w:ascii="Times New Roman" w:hAnsi="Times New Roman"/>
          <w:color w:val="000000"/>
          <w:lang w:eastAsia="pl-PL"/>
        </w:rPr>
        <w:t xml:space="preserve">rodowiska (Dz. U. z 2018 r. poz. 1471, z późn. zm.) wynikające z wprowadzanego obowiązku monitorowania wpływu zanieczyszczenia powietrza na ekosystemy. Oznacza to konieczność monitorowania wpływu zanieczyszczenia powietrza na poszczególne ekosystemy przynajmniej w dwóch lokalizacjach w kraju. Ustalono, że badania te będą prowadzone w lokalizacji Storkowo (województwo </w:t>
      </w:r>
      <w:r>
        <w:rPr>
          <w:rFonts w:ascii="Times New Roman" w:hAnsi="Times New Roman"/>
          <w:color w:val="000000"/>
        </w:rPr>
        <w:t>zachodniopomorskie) i Szymbark (województwo małopolskie) ze względu zarówno na ich reprezentatywność</w:t>
      </w:r>
      <w:r w:rsidR="001252EE">
        <w:rPr>
          <w:rFonts w:ascii="Times New Roman" w:hAnsi="Times New Roman"/>
          <w:color w:val="000000"/>
        </w:rPr>
        <w:t>,</w:t>
      </w:r>
      <w:r>
        <w:rPr>
          <w:rFonts w:ascii="Times New Roman" w:hAnsi="Times New Roman"/>
          <w:color w:val="000000"/>
        </w:rPr>
        <w:t xml:space="preserve"> jak i stosunkowo najniższe koszty – w porównaniu z innymi rozważanymi lokalizacjami. W tym celu proponuje się zmianę brzmienia art. 23 ust. 11 pkt 1 oraz dodanie w tym artykule ust. 18a. Należy wskazać, że przyjmowane w wieloletnich strategicznych programach państwowego monitoringu środowiska rozwiązania i działania dotyczące badania negatywnego wpływu zanieczyszczenia powietrza na ekosystemy będą musiały, zgodnie z dyrektywą NEC, być wpisywane racjonalnie i bazować na zrobionej ocenie ryzyka podejmowanych działań.</w:t>
      </w:r>
    </w:p>
    <w:p w14:paraId="7D94DA9F" w14:textId="6D87A026" w:rsidR="00FE3B3A" w:rsidRDefault="00564110">
      <w:pPr>
        <w:spacing w:after="0" w:line="360" w:lineRule="auto"/>
        <w:jc w:val="both"/>
      </w:pPr>
      <w:r>
        <w:rPr>
          <w:rFonts w:ascii="Times New Roman" w:hAnsi="Times New Roman"/>
          <w:color w:val="000000"/>
          <w:lang w:eastAsia="pl-PL"/>
        </w:rPr>
        <w:t xml:space="preserve">Powiązana z tym tematem jest kwestia przygotowania raportów dotyczących prowadzenia badań monitoringowych wpływu zanieczyszczenia powietrza na ekosystemy oraz ich wyników dla Komisji Europejskiej oraz Europejskiej Agencji Środowiska. Raporty takie mają być przekazywane odpowiednio do dnia 1 lipca (raport przewidziany w okresie do dnia 1 lipca </w:t>
      </w:r>
      <w:r w:rsidR="004875B2">
        <w:rPr>
          <w:rFonts w:ascii="Times New Roman" w:hAnsi="Times New Roman"/>
          <w:color w:val="000000"/>
          <w:lang w:eastAsia="pl-PL"/>
        </w:rPr>
        <w:t>2018 </w:t>
      </w:r>
      <w:r>
        <w:rPr>
          <w:rFonts w:ascii="Times New Roman" w:hAnsi="Times New Roman"/>
          <w:color w:val="000000"/>
          <w:lang w:eastAsia="pl-PL"/>
        </w:rPr>
        <w:t xml:space="preserve">r. przekazany został w terminie do Komisji Europejskiej) i następnie co 4 lata (następny raport zostanie przygotowany do dnia 1 lipca 2022 r.) – raport dotyczący lokalizacji, w których prowadzone są badania monitoringowe, do dnia 1 lipca 2019 r. i następnie co 4 lata – raport dotyczący wyników badań prowadzonych w tych lokalizacjach. Wobec powyższego do ustawy z dnia 20 lipca 1991 r. o </w:t>
      </w:r>
      <w:r w:rsidR="000269BA">
        <w:rPr>
          <w:rFonts w:ascii="Times New Roman" w:hAnsi="Times New Roman"/>
          <w:color w:val="000000"/>
          <w:lang w:eastAsia="pl-PL"/>
        </w:rPr>
        <w:t>I</w:t>
      </w:r>
      <w:r>
        <w:rPr>
          <w:rFonts w:ascii="Times New Roman" w:hAnsi="Times New Roman"/>
          <w:color w:val="000000"/>
          <w:lang w:eastAsia="pl-PL"/>
        </w:rPr>
        <w:t xml:space="preserve">nspekcji </w:t>
      </w:r>
      <w:r w:rsidR="000269BA">
        <w:rPr>
          <w:rFonts w:ascii="Times New Roman" w:hAnsi="Times New Roman"/>
          <w:color w:val="000000"/>
          <w:lang w:eastAsia="pl-PL"/>
        </w:rPr>
        <w:t>O</w:t>
      </w:r>
      <w:r>
        <w:rPr>
          <w:rFonts w:ascii="Times New Roman" w:hAnsi="Times New Roman"/>
          <w:color w:val="000000"/>
          <w:lang w:eastAsia="pl-PL"/>
        </w:rPr>
        <w:t xml:space="preserve">chrony </w:t>
      </w:r>
      <w:r w:rsidR="000269BA">
        <w:rPr>
          <w:rFonts w:ascii="Times New Roman" w:hAnsi="Times New Roman"/>
          <w:color w:val="000000"/>
          <w:lang w:eastAsia="pl-PL"/>
        </w:rPr>
        <w:t>Ś</w:t>
      </w:r>
      <w:r>
        <w:rPr>
          <w:rFonts w:ascii="Times New Roman" w:hAnsi="Times New Roman"/>
          <w:color w:val="000000"/>
          <w:lang w:eastAsia="pl-PL"/>
        </w:rPr>
        <w:t>rodowiska wprowadza się w dodawanym art. 25c obowiązek dla Głównego Inspektora Ochrony Środowiska przygotowania odpowiednich raportów. Raport dotyczący lokalizacji badań monitoringowych oraz wskaźników używanych do badania wpływu zanieczyszczenia powietrza na ekosystemy zostanie po raz pierwszy przekazany do Komisji Europejskiej oraz Europejskiej Agencji Środowiska zgodnie z przepisami ustawy do dnia 1 lipca 2022 r. Natomiast raport dotyczący danych uzyskanych w wyniku tych badań zostanie po raz pierwszy przekazany do Komisji Europejskiej oraz Europejskiej Agencji Środowiska zgodnie z przepisami ustawy do dnia 1 lipca 2023 r.</w:t>
      </w:r>
    </w:p>
    <w:p w14:paraId="529411CD" w14:textId="77777777" w:rsidR="00FE3B3A" w:rsidRDefault="00564110">
      <w:pPr>
        <w:spacing w:after="0" w:line="360" w:lineRule="auto"/>
        <w:jc w:val="both"/>
      </w:pPr>
      <w:r>
        <w:rPr>
          <w:rFonts w:ascii="Times New Roman" w:hAnsi="Times New Roman"/>
          <w:color w:val="000000"/>
        </w:rPr>
        <w:t>W związku z koniecznością prowadzenia monitoringu wpływu zanieczyszczeń powietrza na ekosystemy w lokalizacji Szymbark (woj. małopolskie) prowadzone będą badania – podstawowe oraz biologii w wodach powierzchniowych wynikających z dyrektywy NEC na stacji zintegrowanego monitoringu, jak i pomiary jakości powietrza w zakresie takich zanieczyszczeń jak O</w:t>
      </w:r>
      <w:r>
        <w:rPr>
          <w:rFonts w:ascii="Times New Roman" w:hAnsi="Times New Roman"/>
          <w:color w:val="000000"/>
          <w:vertAlign w:val="subscript"/>
        </w:rPr>
        <w:t>3</w:t>
      </w:r>
      <w:r>
        <w:rPr>
          <w:rFonts w:ascii="Times New Roman" w:hAnsi="Times New Roman"/>
          <w:color w:val="000000"/>
        </w:rPr>
        <w:t>, NO</w:t>
      </w:r>
      <w:r>
        <w:rPr>
          <w:rFonts w:ascii="Times New Roman" w:hAnsi="Times New Roman"/>
          <w:color w:val="000000"/>
          <w:vertAlign w:val="subscript"/>
        </w:rPr>
        <w:t>x</w:t>
      </w:r>
      <w:r>
        <w:rPr>
          <w:rFonts w:ascii="Times New Roman" w:hAnsi="Times New Roman"/>
          <w:color w:val="000000"/>
        </w:rPr>
        <w:t>, SO</w:t>
      </w:r>
      <w:r>
        <w:rPr>
          <w:rFonts w:ascii="Times New Roman" w:hAnsi="Times New Roman"/>
          <w:color w:val="000000"/>
          <w:vertAlign w:val="subscript"/>
        </w:rPr>
        <w:t>2</w:t>
      </w:r>
      <w:r>
        <w:rPr>
          <w:rFonts w:ascii="Times New Roman" w:hAnsi="Times New Roman"/>
          <w:color w:val="000000"/>
        </w:rPr>
        <w:t xml:space="preserve"> na istniejącej stacji jakości powietrza. </w:t>
      </w:r>
    </w:p>
    <w:p w14:paraId="157BD20C"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W lokalizacji Storkowo (woj. zachodniopomorskie) niezbędna jest budowa stacji monitoringu jakości powietrza oraz zapewnienie jej obsługi wraz z bieżącą i roczną weryfikacją wyników pomiarów prowadzonych tam badań jakości powietrza. </w:t>
      </w:r>
    </w:p>
    <w:p w14:paraId="4A35D167"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Po stronie Głównego Inspektoratu Ochrony Środowiska co 4 lata będą się również pojawiać koszty związane z koniecznością przygotowania sprawozdania z punktów pomiarowych oraz wyników badań prowadzonych w wybranych lokalizacjach. Koszty te wynikają z konieczności weryfikacji wszystkich danych, które podlegać będą raportowaniu do Komisji Europejskiej, a następnie przygotowania raportów w formatach, które zostaną określone przez Komisję Europejską. Koszty uwzględniają również wykonanie analizy i oceny skutków wprowadzania przepisów dyrektywy NEC na ekosystemy. Ponieważ docelowe formaty raportów nie zostały jeszcze określone, na potrzeby kalkulacji kosztów przyjęto, że będą to raporty w postaci plików XML. </w:t>
      </w:r>
    </w:p>
    <w:p w14:paraId="0DAF3B5B"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Koszty związane z monitoringiem wpływu jakości powietrza na ekosystemy oraz raportowaniem jego wyników do Komisji Europejskiej powinny być finansowane w ramach obecnych limitów dla części budżetowej – środowisko.</w:t>
      </w:r>
    </w:p>
    <w:p w14:paraId="1684CADB" w14:textId="5A8C7AE0"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Wyniki przeprowadzonej co </w:t>
      </w:r>
      <w:r w:rsidR="00524F65">
        <w:rPr>
          <w:rFonts w:ascii="Times New Roman" w:hAnsi="Times New Roman"/>
          <w:color w:val="000000"/>
        </w:rPr>
        <w:t xml:space="preserve">4 </w:t>
      </w:r>
      <w:r>
        <w:rPr>
          <w:rFonts w:ascii="Times New Roman" w:hAnsi="Times New Roman"/>
          <w:color w:val="000000"/>
        </w:rPr>
        <w:t>lata oceny będą wykorzystywane w aktualizacji Krajowego programu ograniczania zanieczyszczenia powietrza oraz przy ewentualnych pracach nad zmianą dyrektywy NEC.</w:t>
      </w:r>
    </w:p>
    <w:p w14:paraId="7F670141" w14:textId="7263CD10" w:rsidR="00FE3B3A" w:rsidRDefault="00564110">
      <w:pPr>
        <w:spacing w:after="0" w:line="360" w:lineRule="auto"/>
        <w:jc w:val="both"/>
      </w:pPr>
      <w:r>
        <w:rPr>
          <w:rFonts w:ascii="Times New Roman" w:hAnsi="Times New Roman"/>
          <w:color w:val="000000"/>
        </w:rPr>
        <w:t>W ustawie z dnia 15 lipca 2011 r. o krajowym systemie ekozarządzania i audytu (EMAS) (Dz. U. poz. 1060) dodano przepisy określające limit wydatków do 2030 r. Środki tam wskazane, których źródłem finansowania jest Generalna Dyrekcja Ochrony Środowiska, pozwalają na zapewnienie funkcjonowania i rozwoju krajowego systemu ekozarządzania i audytu EMAS (działanie 12.1.2.2). Miernikiem określającym to działanie jest liczba organizacji zarejestrowanych w krajowym systemie ekozarządzania i audytu (EMAS) na koniec danego roku w stosunku do poprzedniego roku (szt./szt.).</w:t>
      </w:r>
    </w:p>
    <w:p w14:paraId="2DA828AE" w14:textId="68D32A69" w:rsidR="00FE3B3A" w:rsidRDefault="00564110">
      <w:pPr>
        <w:spacing w:after="0" w:line="360" w:lineRule="auto"/>
        <w:jc w:val="both"/>
      </w:pPr>
      <w:r>
        <w:rPr>
          <w:rFonts w:ascii="Times New Roman" w:hAnsi="Times New Roman"/>
          <w:color w:val="000000"/>
        </w:rPr>
        <w:t xml:space="preserve">Zmiany w ustawie z dnia 20 czerwca 1997 r. </w:t>
      </w:r>
      <w:r w:rsidR="002058A4">
        <w:rPr>
          <w:rFonts w:ascii="Times New Roman" w:hAnsi="Times New Roman"/>
          <w:color w:val="000000"/>
        </w:rPr>
        <w:t>–</w:t>
      </w:r>
      <w:r>
        <w:rPr>
          <w:rFonts w:ascii="Times New Roman" w:hAnsi="Times New Roman"/>
          <w:color w:val="000000"/>
        </w:rPr>
        <w:t xml:space="preserve"> Prawo o ruchu drogowym (Dz. U. z 2018 r. poz. 1990, z późn. zm.) dotyczą rozszerzenia katalogu podmiotów, którym są udostępniane dane z Centralnej Ewidencji Pojazdów i Kierowców. </w:t>
      </w:r>
      <w:r>
        <w:rPr>
          <w:rFonts w:ascii="Times New Roman" w:hAnsi="Times New Roman"/>
        </w:rPr>
        <w:t xml:space="preserve">Informacje z </w:t>
      </w:r>
      <w:r w:rsidR="00524F65">
        <w:rPr>
          <w:rFonts w:ascii="Times New Roman" w:hAnsi="Times New Roman"/>
        </w:rPr>
        <w:t>tej ewidencji</w:t>
      </w:r>
      <w:r>
        <w:rPr>
          <w:rFonts w:ascii="Times New Roman" w:hAnsi="Times New Roman"/>
        </w:rPr>
        <w:t xml:space="preserve"> będą wykorzystywane przez </w:t>
      </w:r>
      <w:r w:rsidR="00834719">
        <w:rPr>
          <w:rFonts w:ascii="Times New Roman" w:hAnsi="Times New Roman"/>
        </w:rPr>
        <w:t>Krajowy ośrodek</w:t>
      </w:r>
      <w:r>
        <w:rPr>
          <w:rFonts w:ascii="Times New Roman" w:hAnsi="Times New Roman"/>
        </w:rPr>
        <w:t xml:space="preserve"> do opracowywania corocznych krajowych raportów o emisjach gazów cieplarnianych oraz innych substancji, w tym o emisji z sektora transportu drogowego, co wynika z obowiązków określonych w art. 11 USZE. Raporty te opracowywane są na potrzeby wymagań międzynarodowych w zakresie raportowania emisji do Unii Europejskiej oraz konwencji ONZ (UNFCCC i LRTAP) oraz Programu Badań Statystycznych Statystyki Publicznej.</w:t>
      </w:r>
    </w:p>
    <w:p w14:paraId="272D5DAD" w14:textId="77777777" w:rsidR="00FE3B3A" w:rsidRDefault="00564110">
      <w:pPr>
        <w:spacing w:after="0" w:line="360" w:lineRule="auto"/>
        <w:jc w:val="both"/>
      </w:pPr>
      <w:r>
        <w:rPr>
          <w:rFonts w:ascii="Times New Roman" w:hAnsi="Times New Roman"/>
          <w:color w:val="000000"/>
        </w:rPr>
        <w:t>W ustawie z dnia 29 sierpnia 1997 r. – Prawo bankowe (Dz. U. z 2018 r. poz. 2187, z późn. zm.) przyznano Krajowemu Administratorowi, którym jest Krajowy ośrodek, możliwość żądania od banku udzielenia informacji stanowiących tajemnicę bankową na temat prowadzących instalacje oraz operatorów statków. Analiza obowiązków Krajowego Administratora, określonych w prawie Unii Europejskiej oraz w regulacjach krajowych, nie wskazuje na dalszą zasadność utrzymywania tej kompetencji, gdyż nie znajduje ona zastosowania w zadaniach wykonywanych względem prowadzących instalacje i operatorów statków.</w:t>
      </w:r>
    </w:p>
    <w:p w14:paraId="126F6DBF" w14:textId="4E07EEBC" w:rsidR="00FE3B3A" w:rsidRDefault="00564110">
      <w:pPr>
        <w:spacing w:after="0" w:line="360" w:lineRule="auto"/>
        <w:jc w:val="both"/>
        <w:rPr>
          <w:rFonts w:ascii="Times New Roman" w:hAnsi="Times New Roman"/>
          <w:color w:val="000000"/>
        </w:rPr>
      </w:pPr>
      <w:r>
        <w:rPr>
          <w:rFonts w:ascii="Times New Roman" w:hAnsi="Times New Roman"/>
          <w:color w:val="000000"/>
        </w:rPr>
        <w:t>W ustawie z dnia 6 grudnia 2008 r. o podatku akcyzowym (Dz. U. z 2018 r. poz. 1114, z późn. zm.), w art. 31c pkt 1 zwrot „Europejski System Handlu emisjami” zastępuje się zwrotem „system handlu uprawnieniami do emisji gazów cieplarnianych”. Powyższa zmiana wynika z wejścia w życie USHE, wprowadzającej w art. 1 ust. 2 wyrażenie „system handlu uprawnieniami do emisji gazów cieplarnianych”. Ma to na celu dostosowanie ustawy o podatku akcyzowym do siatki pojęciowej używanej w USHE.</w:t>
      </w:r>
    </w:p>
    <w:p w14:paraId="57D1FF31" w14:textId="0879EFEF" w:rsidR="00FE3B3A" w:rsidRDefault="00564110">
      <w:pPr>
        <w:spacing w:line="360" w:lineRule="auto"/>
        <w:jc w:val="both"/>
        <w:rPr>
          <w:rFonts w:ascii="Times New Roman" w:hAnsi="Times New Roman"/>
          <w:color w:val="000000"/>
        </w:rPr>
      </w:pPr>
      <w:r>
        <w:rPr>
          <w:rFonts w:ascii="Times New Roman" w:hAnsi="Times New Roman"/>
          <w:color w:val="000000"/>
        </w:rPr>
        <w:t>Zmiany wprowadzone do ustawy z dnia 17 czerwca 1966 r. o postępowaniu egzekucyjnym w administracji (Dz.</w:t>
      </w:r>
      <w:r w:rsidR="002B0794">
        <w:rPr>
          <w:rFonts w:ascii="Times New Roman" w:hAnsi="Times New Roman"/>
          <w:color w:val="000000"/>
        </w:rPr>
        <w:t xml:space="preserve"> </w:t>
      </w:r>
      <w:r>
        <w:rPr>
          <w:rFonts w:ascii="Times New Roman" w:hAnsi="Times New Roman"/>
          <w:color w:val="000000"/>
        </w:rPr>
        <w:t>U. z 2018 r.</w:t>
      </w:r>
      <w:r w:rsidR="002F11AF">
        <w:rPr>
          <w:rFonts w:ascii="Times New Roman" w:hAnsi="Times New Roman"/>
          <w:color w:val="000000"/>
        </w:rPr>
        <w:t xml:space="preserve"> poz. </w:t>
      </w:r>
      <w:r>
        <w:rPr>
          <w:rFonts w:ascii="Times New Roman" w:hAnsi="Times New Roman"/>
          <w:color w:val="000000"/>
        </w:rPr>
        <w:t>1314, z późn. zm.) mają charakter uzupełniający. Egzekucja opłat za korzystanie ze środowiska odbywała się na podstawie ustawy z dnia 17 czerwca 1966 r. o postępowaniu egzekucyjnym w administracji. Ustawa POŚ stanowi, że do zobowiązań z tytułu opłat za korzystanie ze środowiska stosuje się przepisy ustawy z dnia 17 czerwca 1966 r. o postępowaniu egzekucyjnym w administracji, jeżeli wynikają one z wykazu o wysokości należnych opłat. W związku z powyższym w ustawie z dnia 17 czerwca 1966 r. o postępowaniu egzekucyjnym w administracji należało także uzupełnić przepisy ogólne dotyczące prowadzenia egzekucji administracyjnej w przypadku opłat za korzystanie ze środowiska.</w:t>
      </w:r>
    </w:p>
    <w:p w14:paraId="2E37ED98"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Zmiany wprowadzone w pozostałych ustawach mają charakter legislacyjny.</w:t>
      </w:r>
    </w:p>
    <w:p w14:paraId="32A29E30"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 xml:space="preserve">Projekt zmiany przewiduje również inne zmiany w USZE. </w:t>
      </w:r>
    </w:p>
    <w:p w14:paraId="239B533B"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Zmiany w art. 7 ust. 1a dotyczą określenia katalogu podmiotów zobowiązanych do wprowadzenia raportów do Krajowej bazy i mają na celu doprecyzowanie tego obowiązku względem szczególnej kategorii podmiotów – osób fizycznych niebędących przedsiębiorcami (pkt 1).</w:t>
      </w:r>
    </w:p>
    <w:p w14:paraId="18D4D654" w14:textId="6EC7AFB8" w:rsidR="00FE3B3A" w:rsidRDefault="00564110">
      <w:pPr>
        <w:spacing w:after="0" w:line="360" w:lineRule="auto"/>
        <w:jc w:val="both"/>
        <w:rPr>
          <w:rFonts w:ascii="Times New Roman" w:hAnsi="Times New Roman"/>
          <w:color w:val="000000"/>
        </w:rPr>
      </w:pPr>
      <w:r>
        <w:rPr>
          <w:rFonts w:ascii="Times New Roman" w:hAnsi="Times New Roman"/>
          <w:color w:val="000000"/>
        </w:rPr>
        <w:t>Kategoria tych podmiotów zwolniona jest zasadniczo z wnoszenia opłat za korzystanie ze środowiska. Przesłankami, które implikują potrzebę wnoszenia opłat przez tę kategorię podmiotów</w:t>
      </w:r>
      <w:r w:rsidR="001252EE">
        <w:rPr>
          <w:rFonts w:ascii="Times New Roman" w:hAnsi="Times New Roman"/>
          <w:color w:val="000000"/>
        </w:rPr>
        <w:t>,</w:t>
      </w:r>
      <w:r>
        <w:rPr>
          <w:rFonts w:ascii="Times New Roman" w:hAnsi="Times New Roman"/>
          <w:color w:val="000000"/>
        </w:rPr>
        <w:t xml:space="preserve"> jest fakt prowadzenia instalacji, która objęta jest obowiązkiem uzyskania pozwolenia, o którym mowa w art. 181 ustawy POŚ, przy czym opłaty za korzystanie ze środowiska podmiot taki wnosi jedynie w zakresie, który dotyczy eksploatacji tej instalacji. W tym kierunku zmierza propozycja doprecyzowania obowiązku sporządzenia i wprowadzenia raportu, z uwagi na to, że raport wprowadzany do Krajowej bazy jest od początku 2019 r. podstawą do opracowania przez podmioty korzystające ze środowiska tzw. wykazu opłatowego. </w:t>
      </w:r>
    </w:p>
    <w:p w14:paraId="382F0A77"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Druga propozycja (pkt 2) odnosi się do osób fizycznych niebędących przedsiębiorcami, które eksploatują źródła spalania objęte procedurą zgłoszenia, o której mowa w art. 152 ustawy POŚ. Ta propozycja z kolei ma uzasadnienie w tym, że Krajowy ośrodek jest zobowiązany do zbierania i przekazywania informacji i danych dotyczących wszystkich średnich źródeł spalania. Źródłem tego obowiązku są przepisy dyrektywy 2015/2193. Przepis ten ma na celu uszczelnienie obowiązku raportowego w taki sposób, aby wszystkie podmioty prowadzące tego rodzaju instalacje spalania paliw były objęte obowiązkiem przekazywania informacji o emisjach z tego typu obiektów.</w:t>
      </w:r>
    </w:p>
    <w:p w14:paraId="7FB148AD" w14:textId="77777777" w:rsidR="00FE3B3A" w:rsidRDefault="00564110">
      <w:pPr>
        <w:spacing w:after="0" w:line="360" w:lineRule="auto"/>
        <w:jc w:val="both"/>
        <w:rPr>
          <w:rFonts w:ascii="Times New Roman" w:hAnsi="Times New Roman"/>
          <w:color w:val="000000"/>
        </w:rPr>
      </w:pPr>
      <w:r>
        <w:rPr>
          <w:rFonts w:ascii="Times New Roman" w:hAnsi="Times New Roman"/>
          <w:color w:val="000000"/>
        </w:rPr>
        <w:t>Nowe brzmienie art. 21a ust. 2 USZE ma na celu poprawienie błędu legislacyjnego, bowiem przepis ten w aktualnym brzmieniu odwołuje się do jednostek, „o których mowa w art. 21b”, mimo że art. 21b nie wprowadza nowej kategorii jednostek, tylko odwołuje się do już istniejących. Odwołanie się jedynie do jednostek rocznych limitów emisji lub jednostek, o których mowa w art. 21c ust. 1, należy uznać za wystarczające.</w:t>
      </w:r>
    </w:p>
    <w:p w14:paraId="4F3DFFB2" w14:textId="77777777" w:rsidR="00FE3B3A" w:rsidRDefault="00564110">
      <w:pPr>
        <w:spacing w:after="0" w:line="360" w:lineRule="auto"/>
        <w:jc w:val="both"/>
      </w:pPr>
      <w:r>
        <w:rPr>
          <w:rFonts w:ascii="Times New Roman" w:hAnsi="Times New Roman"/>
          <w:color w:val="000000"/>
        </w:rPr>
        <w:t xml:space="preserve">Zmiana proponowana w art. 38 USZE (dodanie ust. 2b) ma na celu wprowadzenie nowej negatywnej przesłanki do wydania przez ministra właściwego do spraw środowiska listów popierających i listów zatwierdzających. Zmiana wskazuje, że warunkiem realizacji projektów wspólnych wdrożeń w drugim okresie zobowiązań Protokołu z Kioto, które skutkują wydawaniem jednostek ERU, które powstają w wyniku przekonwertowania jednostek przyznanej emisji – AAU, jest dostępność puli jednostek AAU w drugim okresie rozliczeniowym Protokołu z Kioto (CP2) oraz możliwość dysponowania nimi przez Polskę, jako państwo, które wydaje wspominane listy (popierające i zatwierdzające). Obecnie Polska nie dysponuje jednostkami AAU na drugi okres rozliczeniowy Protokołu z Kioto CP2, ze względu na brak wejścia w życie poprawki dauhańskiej do tego protokołu. Przepisy USZE w obecnym kształcie nie dają podstawy do odmowy wydania listu popierającego lub zatwierdzającego, jeżeli zostaną spełnione przesłanki ustawowe (które nie są związane z dostępnością dla Polski odpowiednich jednostek), wobec czego minister właściwy do spraw środowiska byłby obowiązany do wydania listu popierającego lub zatwierdzającego, jeżeli taki wniosek zostałby prawidłowo złożony – mimo niedysponowania odpowiednią pulą jednostek AAU potrzebnych do wydania i przekazania nabywcy jednostek ERU. Stąd proponowane dodanie przesłanki do wydania decyzji odmownej wydaje się być zasadne. </w:t>
      </w:r>
    </w:p>
    <w:p w14:paraId="18872A68" w14:textId="77777777" w:rsidR="00FE3B3A" w:rsidRDefault="00FE3B3A">
      <w:pPr>
        <w:spacing w:after="0" w:line="360" w:lineRule="auto"/>
        <w:jc w:val="both"/>
        <w:rPr>
          <w:rFonts w:ascii="Times New Roman" w:hAnsi="Times New Roman"/>
          <w:color w:val="000000"/>
        </w:rPr>
      </w:pPr>
    </w:p>
    <w:p w14:paraId="147289FC" w14:textId="1FAC6F72" w:rsidR="00FE3B3A" w:rsidRDefault="00564110">
      <w:pPr>
        <w:spacing w:after="0" w:line="360" w:lineRule="auto"/>
        <w:jc w:val="both"/>
        <w:rPr>
          <w:rFonts w:ascii="Times New Roman" w:hAnsi="Times New Roman"/>
          <w:color w:val="000000"/>
          <w:u w:val="single"/>
        </w:rPr>
      </w:pPr>
      <w:r>
        <w:rPr>
          <w:rFonts w:ascii="Times New Roman" w:hAnsi="Times New Roman"/>
          <w:color w:val="000000"/>
          <w:u w:val="single"/>
        </w:rPr>
        <w:t>Ocena przewidywanego wpływu projektu ustawy na działalność mikroprzedsiębiorców, małych i średnich przedsiębiorców</w:t>
      </w:r>
    </w:p>
    <w:p w14:paraId="092456DA" w14:textId="7DAD169B" w:rsidR="00FE3B3A" w:rsidRDefault="00564110">
      <w:pPr>
        <w:spacing w:after="0" w:line="360" w:lineRule="auto"/>
        <w:jc w:val="both"/>
      </w:pPr>
      <w:r>
        <w:rPr>
          <w:rFonts w:ascii="Times New Roman" w:hAnsi="Times New Roman"/>
          <w:color w:val="000000"/>
        </w:rPr>
        <w:t>Ustawa przewiduje zmiany, które mają charakter uniwersalny i nie są adresowane konkretnie do grupy mikro-, małych i średnich przedsiębiorców. Systemem handlu uprawnieniami do emisji gazów cieplarnianych objęte są zasadniczo duże przedsiębiorstwa</w:t>
      </w:r>
      <w:r w:rsidR="001252EE">
        <w:rPr>
          <w:rFonts w:ascii="Times New Roman" w:hAnsi="Times New Roman"/>
          <w:color w:val="000000"/>
        </w:rPr>
        <w:t>,</w:t>
      </w:r>
      <w:r>
        <w:rPr>
          <w:rFonts w:ascii="Times New Roman" w:hAnsi="Times New Roman"/>
          <w:color w:val="000000"/>
        </w:rPr>
        <w:t xml:space="preserve"> niemniej może się zdarzyć, iż jakaś ich część może stanowić średnie przedsiębiorstwa. Projektowana ustawa przewiduje zmiany dwukierunkowe polegające na zmniejszeniu</w:t>
      </w:r>
      <w:r>
        <w:rPr>
          <w:rFonts w:ascii="Times New Roman" w:hAnsi="Times New Roman"/>
        </w:rPr>
        <w:t xml:space="preserve"> obciążeń dla podmiotów objętych systemem (prowadzących instalację i operatorów statków powietrznych), a także zmiany, które na skutek doprecyzowania przepisów będą dla tych podmiotów mniej korzystne, jakkolwiek ich wprowadzenie jest wymuszone potrzebą stosowania środków dyscyplinujących, koniecznych dla właściwego funkcjonowania systemu handlu uprawnieniami do emisji. </w:t>
      </w:r>
    </w:p>
    <w:p w14:paraId="5224958D" w14:textId="283938F4" w:rsidR="00FE3B3A" w:rsidRDefault="00564110">
      <w:pPr>
        <w:spacing w:after="0" w:line="360" w:lineRule="auto"/>
        <w:jc w:val="both"/>
      </w:pPr>
      <w:r>
        <w:rPr>
          <w:rFonts w:ascii="Times New Roman" w:hAnsi="Times New Roman"/>
        </w:rPr>
        <w:t xml:space="preserve">Zmiany polegające na wprowadzeniu ułatwień i zmniejszeniu obciążeń związanych z funkcjonowaniem systemu są jednak w przewadze w projektowanej ustawie. Będą one polegały m.in. na: </w:t>
      </w:r>
    </w:p>
    <w:p w14:paraId="608A3071" w14:textId="5E35506A"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podtrzymaniu do 2023 r. dotychczasowych okresowych zwolnień z obowiązku rozliczania emisji przez operatorów statków powietrznych wykonujących operacje lotnicze poza obszar państw Europejskiego Obszaru Gospodarczego</w:t>
      </w:r>
      <w:r w:rsidR="001674A2">
        <w:rPr>
          <w:rFonts w:ascii="Times New Roman" w:hAnsi="Times New Roman"/>
        </w:rPr>
        <w:t>,</w:t>
      </w:r>
      <w:r>
        <w:rPr>
          <w:rFonts w:ascii="Times New Roman" w:hAnsi="Times New Roman"/>
        </w:rPr>
        <w:t xml:space="preserve"> a także ułatwień w zakresie sprawozdawczości i weryfikacji w zakresie emisji (stosowanie uproszczonych zasad dla małych operatorów) – dotychczasowe zwolnienie wygasło z końcem 2016 r.;</w:t>
      </w:r>
    </w:p>
    <w:p w14:paraId="3071404F" w14:textId="5FF25562"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zawieszeniu obowiązku zwrotu równowartości uprawnień do emisji w przypadku zaprzestania realizacji zadania inwestycyjnego lub w przypadku nieosiągnięcia zatwierdzonego wskaźnika lub wskaźników zgodności w związku z dopuszczeniem możliwości bilansowania wydanych uprawnień w odniesieniu do takiego zadania inwestycyjnego kosztami inwestycyjnym i innego zadania – obecnie brak takiego rozwiązania;</w:t>
      </w:r>
    </w:p>
    <w:p w14:paraId="03BCE7B3" w14:textId="221E1CD7"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 xml:space="preserve">uproszczeniu i przyspieszeniu procedury ubiegania się o przydział uprawnień do emisji w przypadku instalacji nowej </w:t>
      </w:r>
      <w:r w:rsidR="002058A4">
        <w:rPr>
          <w:rFonts w:ascii="Times New Roman" w:hAnsi="Times New Roman"/>
        </w:rPr>
        <w:t>–</w:t>
      </w:r>
      <w:r>
        <w:rPr>
          <w:rFonts w:ascii="Times New Roman" w:hAnsi="Times New Roman"/>
        </w:rPr>
        <w:t xml:space="preserve"> przez przyznanie </w:t>
      </w:r>
      <w:r w:rsidR="008E498F">
        <w:rPr>
          <w:rFonts w:ascii="Times New Roman" w:hAnsi="Times New Roman"/>
        </w:rPr>
        <w:t xml:space="preserve">Krajowemu ośrodkowi </w:t>
      </w:r>
      <w:r>
        <w:rPr>
          <w:rFonts w:ascii="Times New Roman" w:hAnsi="Times New Roman"/>
        </w:rPr>
        <w:t>prawa do kierowania wystąpień o wyjaśnienia i uzupełnienia danych przekazanych we wniosku o przydział – obecnie uwagi były kierowane do Ministra, minister kierował je do prowadzącego instalację, po czym odpowiedź prowadzącego instalację kierowana była przez ministra do Krajowego ośrodka;</w:t>
      </w:r>
    </w:p>
    <w:p w14:paraId="01117F12" w14:textId="6779A273"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wydłużeniu do 30 dni terminu zwrotu nadmiarowo wydanych uprawnień (obecnie 14</w:t>
      </w:r>
      <w:r w:rsidR="004875B2">
        <w:rPr>
          <w:rFonts w:ascii="Times New Roman" w:hAnsi="Times New Roman"/>
        </w:rPr>
        <w:t> </w:t>
      </w:r>
      <w:r>
        <w:rPr>
          <w:rFonts w:ascii="Times New Roman" w:hAnsi="Times New Roman"/>
        </w:rPr>
        <w:t>dni);</w:t>
      </w:r>
    </w:p>
    <w:p w14:paraId="17447C21" w14:textId="6EC28231" w:rsidR="00FE3B3A" w:rsidRDefault="00564110">
      <w:pPr>
        <w:pStyle w:val="Akapitzlist"/>
        <w:numPr>
          <w:ilvl w:val="0"/>
          <w:numId w:val="4"/>
        </w:numPr>
        <w:spacing w:after="0" w:line="360" w:lineRule="auto"/>
        <w:jc w:val="both"/>
        <w:rPr>
          <w:rFonts w:ascii="Times New Roman" w:hAnsi="Times New Roman"/>
          <w:color w:val="000000"/>
        </w:rPr>
      </w:pPr>
      <w:r>
        <w:rPr>
          <w:rFonts w:ascii="Times New Roman" w:hAnsi="Times New Roman"/>
          <w:color w:val="000000"/>
        </w:rPr>
        <w:t>doprecyzowani</w:t>
      </w:r>
      <w:r w:rsidR="000A2444">
        <w:rPr>
          <w:rFonts w:ascii="Times New Roman" w:hAnsi="Times New Roman"/>
          <w:color w:val="000000"/>
        </w:rPr>
        <w:t>u</w:t>
      </w:r>
      <w:r>
        <w:rPr>
          <w:rFonts w:ascii="Times New Roman" w:hAnsi="Times New Roman"/>
          <w:color w:val="000000"/>
        </w:rPr>
        <w:t xml:space="preserve"> wymagań formalnych związanych z zatwierdzaniem planu monitorowania wielkości emisji w związku z wymogiem wskazania daty, od której obowiązuje plan monitorowania (brak tego wymogu powoduje szereg niejasności</w:t>
      </w:r>
      <w:r w:rsidR="004875B2">
        <w:rPr>
          <w:rFonts w:ascii="Times New Roman" w:hAnsi="Times New Roman"/>
          <w:color w:val="000000"/>
        </w:rPr>
        <w:t xml:space="preserve"> </w:t>
      </w:r>
      <w:r>
        <w:rPr>
          <w:rFonts w:ascii="Times New Roman" w:hAnsi="Times New Roman"/>
          <w:color w:val="000000"/>
        </w:rPr>
        <w:t>i trudności w ustaleniu</w:t>
      </w:r>
      <w:r w:rsidR="000A2444">
        <w:rPr>
          <w:rFonts w:ascii="Times New Roman" w:hAnsi="Times New Roman"/>
          <w:color w:val="000000"/>
        </w:rPr>
        <w:t>,</w:t>
      </w:r>
      <w:r>
        <w:rPr>
          <w:rFonts w:ascii="Times New Roman" w:hAnsi="Times New Roman"/>
          <w:color w:val="000000"/>
        </w:rPr>
        <w:t xml:space="preserve"> od którego momentu zaczynają obowiązywać nowe zatwierdzone przez organ wymagania w zakresie monitorowania wielkości emisji);</w:t>
      </w:r>
    </w:p>
    <w:p w14:paraId="395AC65F" w14:textId="370979BA"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doprecyzowani</w:t>
      </w:r>
      <w:r w:rsidR="000A2444">
        <w:rPr>
          <w:rFonts w:ascii="Times New Roman" w:hAnsi="Times New Roman"/>
        </w:rPr>
        <w:t>u</w:t>
      </w:r>
      <w:r>
        <w:rPr>
          <w:rFonts w:ascii="Times New Roman" w:hAnsi="Times New Roman"/>
        </w:rPr>
        <w:t xml:space="preserve"> wymagań dotyczących warunków formalnych podziału lub łączenia instalacji;</w:t>
      </w:r>
    </w:p>
    <w:p w14:paraId="6A78FB52" w14:textId="018FAC04" w:rsidR="00FE3B3A" w:rsidRDefault="00564110">
      <w:pPr>
        <w:pStyle w:val="Akapitzlist"/>
        <w:numPr>
          <w:ilvl w:val="0"/>
          <w:numId w:val="4"/>
        </w:numPr>
        <w:spacing w:after="0" w:line="360" w:lineRule="auto"/>
        <w:jc w:val="both"/>
        <w:rPr>
          <w:rFonts w:ascii="Times New Roman" w:hAnsi="Times New Roman"/>
        </w:rPr>
      </w:pPr>
      <w:r>
        <w:rPr>
          <w:rFonts w:ascii="Times New Roman" w:hAnsi="Times New Roman"/>
        </w:rPr>
        <w:t>doprecyzowani</w:t>
      </w:r>
      <w:r w:rsidR="000A2444">
        <w:rPr>
          <w:rFonts w:ascii="Times New Roman" w:hAnsi="Times New Roman"/>
        </w:rPr>
        <w:t>u</w:t>
      </w:r>
      <w:r>
        <w:rPr>
          <w:rFonts w:ascii="Times New Roman" w:hAnsi="Times New Roman"/>
        </w:rPr>
        <w:t xml:space="preserve"> wymagań formalnych związanych z zatwierdzaniem planów metodyki monitorowania przez prowadzących instalacje występujących o przydział uprawnień do emisji; </w:t>
      </w:r>
    </w:p>
    <w:p w14:paraId="3E4E61FD" w14:textId="7FC6C7F4" w:rsidR="00FE3B3A" w:rsidRDefault="00564110">
      <w:pPr>
        <w:pStyle w:val="doc-ti"/>
        <w:numPr>
          <w:ilvl w:val="0"/>
          <w:numId w:val="4"/>
        </w:numPr>
        <w:spacing w:before="0" w:after="0" w:line="360" w:lineRule="auto"/>
        <w:jc w:val="both"/>
      </w:pPr>
      <w:r>
        <w:rPr>
          <w:sz w:val="22"/>
          <w:szCs w:val="22"/>
        </w:rPr>
        <w:t>upoważnieni</w:t>
      </w:r>
      <w:r w:rsidR="000A2444">
        <w:rPr>
          <w:sz w:val="22"/>
          <w:szCs w:val="22"/>
        </w:rPr>
        <w:t>u</w:t>
      </w:r>
      <w:r>
        <w:rPr>
          <w:sz w:val="22"/>
          <w:szCs w:val="22"/>
        </w:rPr>
        <w:t xml:space="preserve"> nabywców tytułu prawnego do instalacji do kierowania wniosków do administratora rejestru o zawieszenie dostępu do rachunku w rejestrze dotychczasowych upoważnionych przedstawicieli (zwiększenie bezpieczeństwa zdeponowanych na rachunku uprawnień do emisji).</w:t>
      </w:r>
    </w:p>
    <w:p w14:paraId="601201A6" w14:textId="77777777" w:rsidR="00FE3B3A" w:rsidRDefault="00564110">
      <w:pPr>
        <w:spacing w:after="0" w:line="360" w:lineRule="auto"/>
        <w:jc w:val="both"/>
      </w:pPr>
      <w:r>
        <w:rPr>
          <w:rFonts w:ascii="Times New Roman" w:hAnsi="Times New Roman"/>
        </w:rPr>
        <w:t xml:space="preserve">Istotną dla wielu </w:t>
      </w:r>
      <w:r>
        <w:rPr>
          <w:rFonts w:ascii="Times New Roman" w:hAnsi="Times New Roman"/>
          <w:color w:val="000000"/>
        </w:rPr>
        <w:t>mikro-, małych i średnich przedsiębiorców</w:t>
      </w:r>
      <w:r>
        <w:rPr>
          <w:rFonts w:ascii="Times New Roman" w:hAnsi="Times New Roman"/>
        </w:rPr>
        <w:t xml:space="preserve"> zmianą jest natomiast ograniczenie czasowe (do 5 lat wstecz) obowiązku sporządzania i wprowadzania do Krajowej bazy raportów o wielkości emisji wprowadzone w USZE (obecnie brak takiego ograniczenia).</w:t>
      </w:r>
    </w:p>
    <w:p w14:paraId="2DD615DF" w14:textId="16A6D6A5" w:rsidR="00FE3B3A" w:rsidRDefault="00564110">
      <w:pPr>
        <w:spacing w:after="0" w:line="360" w:lineRule="auto"/>
        <w:jc w:val="both"/>
      </w:pPr>
      <w:r>
        <w:rPr>
          <w:rFonts w:ascii="Times New Roman" w:hAnsi="Times New Roman"/>
          <w:color w:val="000000"/>
        </w:rPr>
        <w:t>Projektowana ustawa nie zawiera przepisów technicznych, w związku z tym nie podlega notyfikacji w rozumieniu przepisów rozporządzenia Rady Ministrów z dnia 23 grudnia 2002 r. w sprawie sposobu funkcjonowania krajowego systemu notyfikacji norm i aktów prawnych (Dz. U. poz. 2039).</w:t>
      </w:r>
    </w:p>
    <w:p w14:paraId="0911DA51" w14:textId="520AB7B4" w:rsidR="00FE3B3A" w:rsidRDefault="00564110">
      <w:pPr>
        <w:pStyle w:val="doc-ti"/>
        <w:spacing w:before="0" w:after="0" w:line="360" w:lineRule="auto"/>
        <w:jc w:val="both"/>
        <w:rPr>
          <w:rFonts w:eastAsia="Calibri"/>
          <w:sz w:val="22"/>
          <w:szCs w:val="22"/>
          <w:lang w:eastAsia="en-US"/>
        </w:rPr>
      </w:pPr>
      <w:r>
        <w:rPr>
          <w:rFonts w:eastAsia="Calibri"/>
          <w:sz w:val="22"/>
          <w:szCs w:val="22"/>
          <w:lang w:eastAsia="en-US"/>
        </w:rPr>
        <w:t>Projekt został podany do publicznej wiadomości przez zamieszczenie, zgodnie z art. 5 ustawy z dnia 7 lipca 2005 r. o działalności lobbingowej w procesie stanowienia prawa (Dz. U. z 2017 r. poz. 248), projekt został opublikowany na stronach Rządowego Centrum Legislacji oraz skonsultowany z organizacjami branżowymi i zainteresowanymi podmiotami. Wyniki przeprowadzonych konsultacji publicznych i opiniowania zostały omówione w raporcie z konsultacji publicznych.</w:t>
      </w:r>
    </w:p>
    <w:p w14:paraId="0CF101C9" w14:textId="77777777" w:rsidR="00FE3B3A" w:rsidRDefault="00564110">
      <w:pPr>
        <w:autoSpaceDE w:val="0"/>
        <w:spacing w:after="0" w:line="360" w:lineRule="auto"/>
        <w:jc w:val="both"/>
        <w:rPr>
          <w:rFonts w:ascii="Times New Roman" w:hAnsi="Times New Roman"/>
          <w:lang w:eastAsia="pl-PL"/>
        </w:rPr>
      </w:pPr>
      <w:r>
        <w:rPr>
          <w:rFonts w:ascii="Times New Roman" w:hAnsi="Times New Roman"/>
          <w:lang w:eastAsia="pl-PL"/>
        </w:rPr>
        <w:t>PKN Orlen i Towarzystwo Gospodarcze Polskie Elektrownie zgłosiły zainteresowanie pracami nad projektem w trybie przepisów o działalności lobbingowej w procesie stanowienia prawa (zgłoszenie z dnia 7 marca 2018 r.).</w:t>
      </w:r>
    </w:p>
    <w:p w14:paraId="14DE43E1" w14:textId="77777777" w:rsidR="00FE3B3A" w:rsidRDefault="00564110">
      <w:pPr>
        <w:pStyle w:val="doc-ti"/>
        <w:spacing w:before="0" w:after="0" w:line="360" w:lineRule="auto"/>
        <w:jc w:val="both"/>
        <w:rPr>
          <w:rFonts w:eastAsia="Calibri"/>
          <w:color w:val="000000"/>
          <w:sz w:val="22"/>
          <w:szCs w:val="22"/>
          <w:lang w:eastAsia="en-US"/>
        </w:rPr>
      </w:pPr>
      <w:r>
        <w:rPr>
          <w:rFonts w:eastAsia="Calibri"/>
          <w:color w:val="000000"/>
          <w:sz w:val="22"/>
          <w:szCs w:val="22"/>
          <w:lang w:eastAsia="en-US"/>
        </w:rPr>
        <w:t>Projektowana regulacja nie jest sprzeczna z prawem UE.</w:t>
      </w:r>
    </w:p>
    <w:p w14:paraId="2DDEC9A2" w14:textId="77777777" w:rsidR="00FE3B3A" w:rsidRDefault="00564110">
      <w:pPr>
        <w:spacing w:after="0" w:line="360" w:lineRule="auto"/>
        <w:jc w:val="both"/>
        <w:rPr>
          <w:rFonts w:ascii="Times New Roman" w:eastAsia="Times New Roman" w:hAnsi="Times New Roman"/>
          <w:lang w:eastAsia="pl-PL"/>
        </w:rPr>
      </w:pPr>
      <w:r>
        <w:rPr>
          <w:rFonts w:ascii="Times New Roman" w:eastAsia="Times New Roman" w:hAnsi="Times New Roman"/>
          <w:lang w:eastAsia="pl-PL"/>
        </w:rPr>
        <w:t>Projekt nie wymagał przedstawienia właściwym organom i instytucjom Unii Europejskiej, w tym Europejskiemu Bankowi Centralnemu, w celu uzyskania opinii, dokonania powiadomienia, konsultacji albo uzgodnienia.</w:t>
      </w:r>
    </w:p>
    <w:p w14:paraId="56EA1CD9" w14:textId="07F1C5D2" w:rsidR="00FE3B3A" w:rsidRDefault="00564110">
      <w:pPr>
        <w:spacing w:after="0" w:line="360" w:lineRule="auto"/>
        <w:jc w:val="both"/>
      </w:pPr>
      <w:r>
        <w:rPr>
          <w:rFonts w:ascii="Times New Roman" w:eastAsia="Times New Roman" w:hAnsi="Times New Roman"/>
          <w:lang w:eastAsia="pl-PL"/>
        </w:rPr>
        <w:t xml:space="preserve">Projekt przewiduje </w:t>
      </w:r>
      <w:r>
        <w:rPr>
          <w:rFonts w:ascii="Times New Roman" w:hAnsi="Times New Roman"/>
          <w:color w:val="000000"/>
        </w:rPr>
        <w:t>wejście w życie ustawy po upływie 14 dni od dnia ogłoszenia. Konieczność wejści</w:t>
      </w:r>
      <w:r w:rsidR="000A2444">
        <w:rPr>
          <w:rFonts w:ascii="Times New Roman" w:hAnsi="Times New Roman"/>
          <w:color w:val="000000"/>
        </w:rPr>
        <w:t>a</w:t>
      </w:r>
      <w:r>
        <w:rPr>
          <w:rFonts w:ascii="Times New Roman" w:hAnsi="Times New Roman"/>
          <w:color w:val="000000"/>
        </w:rPr>
        <w:t xml:space="preserve"> w życie ustawy we wskazanym terminie wynika z konieczności pilnego wdrożenia dyrektywy NEC, dlatego też zasadne jest odstąpienie </w:t>
      </w:r>
      <w:r>
        <w:rPr>
          <w:rFonts w:ascii="Times New Roman" w:eastAsia="Times New Roman" w:hAnsi="Times New Roman"/>
          <w:lang w:eastAsia="pl-PL"/>
        </w:rPr>
        <w:t>od zasady określonej w</w:t>
      </w:r>
      <w:r>
        <w:rPr>
          <w:rFonts w:ascii="Times New Roman" w:hAnsi="Times New Roman"/>
          <w:color w:val="000000"/>
        </w:rPr>
        <w:t xml:space="preserve"> uchwale nr 20 Rady Ministrów z dnia 18 lutego 2014 r. w sprawie zaleceń ujednolicenia terminów wejścia w życie niektórych aktów normatywnych (M.P. z 2014 r. poz. 205).</w:t>
      </w:r>
      <w:r>
        <w:rPr>
          <w:rFonts w:ascii="Times New Roman" w:eastAsia="Times New Roman" w:hAnsi="Times New Roman"/>
          <w:lang w:eastAsia="pl-PL"/>
        </w:rPr>
        <w:t xml:space="preserve"> </w:t>
      </w:r>
    </w:p>
    <w:sectPr w:rsidR="00FE3B3A">
      <w:footerReference w:type="default" r:id="rId8"/>
      <w:pgSz w:w="11906" w:h="16838"/>
      <w:pgMar w:top="1588" w:right="1418" w:bottom="1418" w:left="1985"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0C187" w14:textId="77777777" w:rsidR="00E91A2B" w:rsidRDefault="00E91A2B">
      <w:pPr>
        <w:spacing w:after="0" w:line="240" w:lineRule="auto"/>
      </w:pPr>
      <w:r>
        <w:separator/>
      </w:r>
    </w:p>
  </w:endnote>
  <w:endnote w:type="continuationSeparator" w:id="0">
    <w:p w14:paraId="28DABBF1" w14:textId="77777777" w:rsidR="00E91A2B" w:rsidRDefault="00E91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FE4E4" w14:textId="5670F9EF" w:rsidR="00BD40A6" w:rsidRDefault="00564110">
    <w:pPr>
      <w:pStyle w:val="Stopka"/>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B64329">
      <w:rPr>
        <w:rFonts w:ascii="Times New Roman" w:hAnsi="Times New Roman"/>
        <w:noProof/>
        <w:sz w:val="24"/>
        <w:szCs w:val="24"/>
      </w:rPr>
      <w:t>21</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6B1B3" w14:textId="77777777" w:rsidR="00E91A2B" w:rsidRDefault="00E91A2B">
      <w:pPr>
        <w:spacing w:after="0" w:line="240" w:lineRule="auto"/>
      </w:pPr>
      <w:r>
        <w:rPr>
          <w:color w:val="000000"/>
        </w:rPr>
        <w:separator/>
      </w:r>
    </w:p>
  </w:footnote>
  <w:footnote w:type="continuationSeparator" w:id="0">
    <w:p w14:paraId="65435136" w14:textId="77777777" w:rsidR="00E91A2B" w:rsidRDefault="00E91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817E2"/>
    <w:multiLevelType w:val="multilevel"/>
    <w:tmpl w:val="FAA067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1D67A47"/>
    <w:multiLevelType w:val="multilevel"/>
    <w:tmpl w:val="8D1282F0"/>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D32380C"/>
    <w:multiLevelType w:val="multilevel"/>
    <w:tmpl w:val="C28C109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F456EA1"/>
    <w:multiLevelType w:val="multilevel"/>
    <w:tmpl w:val="E6A4A4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B3A"/>
    <w:rsid w:val="000269BA"/>
    <w:rsid w:val="00086113"/>
    <w:rsid w:val="000A2444"/>
    <w:rsid w:val="000E2AD1"/>
    <w:rsid w:val="001252EE"/>
    <w:rsid w:val="001674A2"/>
    <w:rsid w:val="0019096A"/>
    <w:rsid w:val="002058A4"/>
    <w:rsid w:val="00235ACE"/>
    <w:rsid w:val="002409DA"/>
    <w:rsid w:val="00266832"/>
    <w:rsid w:val="002A0323"/>
    <w:rsid w:val="002A5A7A"/>
    <w:rsid w:val="002B0794"/>
    <w:rsid w:val="002F11AF"/>
    <w:rsid w:val="0035013C"/>
    <w:rsid w:val="003B15D7"/>
    <w:rsid w:val="003E1C65"/>
    <w:rsid w:val="00413F5E"/>
    <w:rsid w:val="00451436"/>
    <w:rsid w:val="004875B2"/>
    <w:rsid w:val="004961CB"/>
    <w:rsid w:val="00524F65"/>
    <w:rsid w:val="0055437B"/>
    <w:rsid w:val="00564110"/>
    <w:rsid w:val="00572860"/>
    <w:rsid w:val="005C39F7"/>
    <w:rsid w:val="00604DF1"/>
    <w:rsid w:val="006438F4"/>
    <w:rsid w:val="00656E34"/>
    <w:rsid w:val="006828D1"/>
    <w:rsid w:val="006A4D78"/>
    <w:rsid w:val="006C1652"/>
    <w:rsid w:val="006F708C"/>
    <w:rsid w:val="0077485E"/>
    <w:rsid w:val="00783149"/>
    <w:rsid w:val="00834719"/>
    <w:rsid w:val="008C2813"/>
    <w:rsid w:val="008E498F"/>
    <w:rsid w:val="00944997"/>
    <w:rsid w:val="00966CB1"/>
    <w:rsid w:val="009747ED"/>
    <w:rsid w:val="00A4543D"/>
    <w:rsid w:val="00A87E65"/>
    <w:rsid w:val="00A943D4"/>
    <w:rsid w:val="00AC1A46"/>
    <w:rsid w:val="00AD4642"/>
    <w:rsid w:val="00B64329"/>
    <w:rsid w:val="00BA62E1"/>
    <w:rsid w:val="00BC25C9"/>
    <w:rsid w:val="00BC6960"/>
    <w:rsid w:val="00BF7BA0"/>
    <w:rsid w:val="00C213AB"/>
    <w:rsid w:val="00C8265C"/>
    <w:rsid w:val="00CF086E"/>
    <w:rsid w:val="00D60AAF"/>
    <w:rsid w:val="00DC0945"/>
    <w:rsid w:val="00E56A60"/>
    <w:rsid w:val="00E91A2B"/>
    <w:rsid w:val="00F02CB9"/>
    <w:rsid w:val="00F42C9C"/>
    <w:rsid w:val="00F450EF"/>
    <w:rsid w:val="00F76152"/>
    <w:rsid w:val="00FC0C12"/>
    <w:rsid w:val="00FE3B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74F2"/>
  <w15:docId w15:val="{028CFE8D-EE4B-411E-BC7B-67D71DB1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character" w:styleId="Odwoanieprzypisudolnego">
    <w:name w:val="footnote reference"/>
    <w:rPr>
      <w:rFonts w:cs="Times New Roman"/>
      <w:position w:val="0"/>
      <w:vertAlign w:val="superscript"/>
    </w:rPr>
  </w:style>
  <w:style w:type="paragraph" w:styleId="Tekstprzypisudolnego">
    <w:name w:val="footnote text"/>
    <w:basedOn w:val="Normalny"/>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rPr>
      <w:rFonts w:ascii="Times New Roman" w:eastAsia="Times New Roman" w:hAnsi="Times New Roman" w:cs="Times New Roman"/>
      <w:sz w:val="20"/>
      <w:szCs w:val="20"/>
      <w:lang w:eastAsia="pl-PL"/>
    </w:rPr>
  </w:style>
  <w:style w:type="paragraph" w:styleId="Akapitzlist">
    <w:name w:val="List Paragraph"/>
    <w:basedOn w:val="Normalny"/>
    <w:pPr>
      <w:ind w:left="720"/>
    </w:pPr>
  </w:style>
  <w:style w:type="character" w:customStyle="1" w:styleId="st">
    <w:name w:val="st"/>
    <w:basedOn w:val="Domylnaczcionkaakapitu"/>
  </w:style>
  <w:style w:type="character" w:styleId="Uwydatnienie">
    <w:name w:val="Emphasis"/>
    <w:rPr>
      <w:i/>
      <w:iCs/>
    </w:rPr>
  </w:style>
  <w:style w:type="character" w:customStyle="1" w:styleId="luchili">
    <w:name w:val="luc_hili"/>
    <w:basedOn w:val="Domylnaczcionkaakapitu"/>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Tekstdymka">
    <w:name w:val="Balloon Text"/>
    <w:basedOn w:val="Normalny"/>
    <w:pPr>
      <w:spacing w:after="0" w:line="240" w:lineRule="auto"/>
    </w:pPr>
    <w:rPr>
      <w:rFonts w:ascii="Tahoma" w:hAnsi="Tahoma" w:cs="Tahoma"/>
      <w:sz w:val="16"/>
      <w:szCs w:val="16"/>
    </w:rPr>
  </w:style>
  <w:style w:type="character" w:customStyle="1" w:styleId="TekstdymkaZnak">
    <w:name w:val="Tekst dymka Znak"/>
    <w:rPr>
      <w:rFonts w:ascii="Tahoma" w:hAnsi="Tahoma" w:cs="Tahoma"/>
      <w:sz w:val="16"/>
      <w:szCs w:val="16"/>
    </w:rPr>
  </w:style>
  <w:style w:type="paragraph" w:customStyle="1" w:styleId="doc-ti">
    <w:name w:val="doc-ti"/>
    <w:basedOn w:val="Normalny"/>
    <w:pPr>
      <w:spacing w:before="100" w:after="100" w:line="240" w:lineRule="auto"/>
    </w:pPr>
    <w:rPr>
      <w:rFonts w:ascii="Times New Roman" w:eastAsia="Times New Roman" w:hAnsi="Times New Roman"/>
      <w:sz w:val="24"/>
      <w:szCs w:val="24"/>
      <w:lang w:eastAsia="pl-PL"/>
    </w:rPr>
  </w:style>
  <w:style w:type="paragraph" w:styleId="Tekstpodstawowy">
    <w:name w:val="Body Text"/>
    <w:basedOn w:val="Normalny"/>
    <w:pPr>
      <w:spacing w:after="0" w:line="240" w:lineRule="auto"/>
      <w:jc w:val="both"/>
    </w:pPr>
    <w:rPr>
      <w:rFonts w:eastAsia="Times New Roman"/>
      <w:color w:val="000000"/>
      <w:sz w:val="24"/>
      <w:szCs w:val="24"/>
    </w:rPr>
  </w:style>
  <w:style w:type="character" w:customStyle="1" w:styleId="TekstpodstawowyZnak">
    <w:name w:val="Tekst podstawowy Znak"/>
    <w:rPr>
      <w:rFonts w:ascii="Calibri" w:eastAsia="Times New Roman" w:hAnsi="Calibri" w:cs="Times New Roman"/>
      <w:color w:val="000000"/>
      <w:sz w:val="24"/>
      <w:szCs w:val="24"/>
    </w:rPr>
  </w:style>
  <w:style w:type="character" w:styleId="Odwoaniedokomentarza">
    <w:name w:val="annotation reference"/>
    <w:rPr>
      <w:sz w:val="16"/>
      <w:szCs w:val="16"/>
    </w:rPr>
  </w:style>
  <w:style w:type="paragraph" w:styleId="Tekstkomentarza">
    <w:name w:val="annotation text"/>
    <w:basedOn w:val="Normalny"/>
    <w:pPr>
      <w:spacing w:line="240" w:lineRule="auto"/>
    </w:pPr>
    <w:rPr>
      <w:sz w:val="20"/>
      <w:szCs w:val="20"/>
    </w:rPr>
  </w:style>
  <w:style w:type="character" w:customStyle="1" w:styleId="TekstkomentarzaZnak">
    <w:name w:val="Tekst komentarza Znak"/>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rPr>
      <w:b/>
      <w:bCs/>
      <w:sz w:val="20"/>
      <w:szCs w:val="20"/>
    </w:rPr>
  </w:style>
  <w:style w:type="paragraph" w:customStyle="1" w:styleId="ZLITUSTzmustliter">
    <w:name w:val="Z_LIT/UST(§) – zm. ust. (§) literą"/>
    <w:basedOn w:val="Normalny"/>
    <w:pPr>
      <w:autoSpaceDE w:val="0"/>
      <w:spacing w:after="0" w:line="360" w:lineRule="auto"/>
      <w:ind w:left="987" w:firstLine="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pPr>
      <w:autoSpaceDE w:val="0"/>
      <w:spacing w:after="0" w:line="360" w:lineRule="auto"/>
      <w:ind w:left="510" w:firstLine="510"/>
      <w:jc w:val="both"/>
    </w:pPr>
    <w:rPr>
      <w:rFonts w:ascii="Times" w:eastAsia="Times New Roman" w:hAnsi="Times" w:cs="Arial"/>
      <w:sz w:val="24"/>
      <w:szCs w:val="20"/>
      <w:lang w:eastAsia="pl-PL"/>
    </w:rPr>
  </w:style>
  <w:style w:type="paragraph" w:customStyle="1" w:styleId="TIRtiret">
    <w:name w:val="TIR – tiret"/>
    <w:basedOn w:val="Normalny"/>
    <w:pPr>
      <w:spacing w:after="0" w:line="360" w:lineRule="auto"/>
      <w:ind w:left="1384" w:hanging="397"/>
      <w:jc w:val="both"/>
    </w:pPr>
    <w:rPr>
      <w:rFonts w:ascii="Times" w:eastAsia="Times New Roman" w:hAnsi="Times" w:cs="Arial"/>
      <w:bCs/>
      <w:sz w:val="24"/>
      <w:szCs w:val="20"/>
      <w:lang w:eastAsia="pl-PL"/>
    </w:rPr>
  </w:style>
  <w:style w:type="character" w:styleId="Pogrubienie">
    <w:name w:val="Strong"/>
    <w:basedOn w:val="Domylnaczcionkaakapitu"/>
    <w:rPr>
      <w:b/>
      <w:bCs/>
    </w:rPr>
  </w:style>
  <w:style w:type="paragraph" w:customStyle="1" w:styleId="ARTartustawynprozporzdzenia">
    <w:name w:val="ART(§) – art. ustawy (§ np. rozporządzenia)"/>
    <w:pPr>
      <w:suppressAutoHyphens/>
      <w:autoSpaceDE w:val="0"/>
      <w:spacing w:before="120" w:line="360" w:lineRule="auto"/>
      <w:ind w:firstLine="510"/>
      <w:jc w:val="both"/>
    </w:pPr>
    <w:rPr>
      <w:rFonts w:ascii="Times" w:eastAsia="Times New Roman" w:hAnsi="Times" w:cs="Arial"/>
      <w:sz w:val="24"/>
    </w:rPr>
  </w:style>
  <w:style w:type="paragraph" w:customStyle="1" w:styleId="USTustnpkodeksu">
    <w:name w:val="UST(§) – ust. (§ np. kodeksu)"/>
    <w:basedOn w:val="ARTartustawynprozporzdzenia"/>
    <w:pPr>
      <w:spacing w:before="0"/>
    </w:pPr>
    <w:rPr>
      <w:bCs/>
    </w:rPr>
  </w:style>
  <w:style w:type="character" w:customStyle="1" w:styleId="Ppogrubienie">
    <w:name w:val="_P_ – pogrubienie"/>
    <w:basedOn w:val="Domylnaczcionkaakapitu"/>
    <w:rPr>
      <w:b/>
    </w:rPr>
  </w:style>
  <w:style w:type="character" w:customStyle="1" w:styleId="IDindeksdolny">
    <w:name w:val="_ID_ – indeks dolny"/>
    <w:basedOn w:val="Domylnaczcionkaakapitu"/>
    <w:rPr>
      <w:b w:val="0"/>
      <w:i w:val="0"/>
      <w:vanish w:val="0"/>
      <w:spacing w:val="0"/>
      <w:position w:val="0"/>
      <w:vertAlign w:val="subscript"/>
    </w:rPr>
  </w:style>
  <w:style w:type="character" w:customStyle="1" w:styleId="object">
    <w:name w:val="object"/>
    <w:basedOn w:val="Domylnaczcionkaakapitu"/>
  </w:style>
  <w:style w:type="paragraph" w:styleId="Tekstprzypisukocowego">
    <w:name w:val="endnote text"/>
    <w:basedOn w:val="Normalny"/>
    <w:pPr>
      <w:spacing w:after="0" w:line="240" w:lineRule="auto"/>
    </w:pPr>
    <w:rPr>
      <w:sz w:val="20"/>
      <w:szCs w:val="20"/>
    </w:rPr>
  </w:style>
  <w:style w:type="character" w:customStyle="1" w:styleId="TekstprzypisukocowegoZnak">
    <w:name w:val="Tekst przypisu końcowego Znak"/>
    <w:basedOn w:val="Domylnaczcionkaakapitu"/>
    <w:rPr>
      <w:lang w:eastAsia="en-US"/>
    </w:rPr>
  </w:style>
  <w:style w:type="character" w:styleId="Odwoanieprzypisukocowego">
    <w:name w:val="endnote reference"/>
    <w:basedOn w:val="Domylnaczcionkaakapitu"/>
    <w:rPr>
      <w:position w:val="0"/>
      <w:vertAlign w:val="superscript"/>
    </w:rPr>
  </w:style>
  <w:style w:type="paragraph" w:styleId="Bezodstpw">
    <w:name w:val="No Spacing"/>
    <w:pPr>
      <w:widowControl w:val="0"/>
      <w:suppressAutoHyphens/>
      <w:spacing w:line="360" w:lineRule="auto"/>
    </w:pPr>
    <w:rPr>
      <w:rFonts w:ascii="Times" w:eastAsia="Times New Roman" w:hAnsi="Times"/>
      <w:kern w:val="3"/>
      <w:sz w:val="24"/>
      <w:szCs w:val="24"/>
      <w:lang w:eastAsia="ar-SA"/>
    </w:rPr>
  </w:style>
  <w:style w:type="paragraph" w:styleId="Poprawka">
    <w:name w:val="Revision"/>
    <w:pPr>
      <w:suppressAutoHyphens/>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365F7-B019-40A5-8322-7E9F17BA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13673</Words>
  <Characters>82043</Characters>
  <Application>Microsoft Office Word</Application>
  <DocSecurity>0</DocSecurity>
  <Lines>683</Lines>
  <Paragraphs>191</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95525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2019-01-16T07:50:00Z</cp:lastPrinted>
  <dcterms:created xsi:type="dcterms:W3CDTF">2019-05-24T08:24:00Z</dcterms:created>
  <dcterms:modified xsi:type="dcterms:W3CDTF">2019-05-24T08:24:00Z</dcterms:modified>
</cp:coreProperties>
</file>