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0646" w:rsidRDefault="00F1622A" w:rsidP="0090354A">
      <w:pPr>
        <w:pStyle w:val="OZNPROJEKTUwskazaniedatylubwersjiprojektu"/>
        <w:spacing w:after="600" w:line="720" w:lineRule="auto"/>
      </w:pPr>
      <w:r>
        <w:t xml:space="preserve"> </w:t>
      </w:r>
    </w:p>
    <w:p w:rsidR="00E17E74" w:rsidRPr="001330AF" w:rsidRDefault="00E17E74" w:rsidP="00191EA8">
      <w:pPr>
        <w:pStyle w:val="OZNRODZAKTUtznustawalubrozporzdzenieiorganwydajcy"/>
        <w:spacing w:after="360"/>
      </w:pPr>
      <w:r w:rsidRPr="001330AF">
        <w:t>UZASADNIENIE</w:t>
      </w:r>
    </w:p>
    <w:p w:rsidR="00E17E74" w:rsidRPr="001330AF" w:rsidRDefault="00E17E74" w:rsidP="001D5D48">
      <w:pPr>
        <w:pStyle w:val="Tekstpodstawowy"/>
        <w:keepNext/>
        <w:spacing w:before="360" w:after="0"/>
        <w:rPr>
          <w:b/>
          <w:szCs w:val="24"/>
        </w:rPr>
      </w:pPr>
      <w:r w:rsidRPr="001330AF">
        <w:rPr>
          <w:b/>
          <w:szCs w:val="24"/>
        </w:rPr>
        <w:t>1. Cel projektowanej ustawy</w:t>
      </w:r>
    </w:p>
    <w:p w:rsidR="00E17E74" w:rsidRDefault="00E17E74" w:rsidP="005B1117">
      <w:pPr>
        <w:pStyle w:val="NIEARTTEKSTtekstnieartykuowanynppreambua"/>
      </w:pPr>
      <w:r w:rsidRPr="001330AF">
        <w:t>Celem projektu jest</w:t>
      </w:r>
      <w:r>
        <w:t xml:space="preserve"> uzależnienie </w:t>
      </w:r>
      <w:r w:rsidRPr="00AF0262">
        <w:t>udzielenia społecznemu inspektorowi pracy informacji oraz okazania mu dokumentów</w:t>
      </w:r>
      <w:r>
        <w:t>,</w:t>
      </w:r>
      <w:r w:rsidRPr="00AF0262">
        <w:t xml:space="preserve"> w </w:t>
      </w:r>
      <w:r>
        <w:t>przypadkach</w:t>
      </w:r>
      <w:r w:rsidRPr="00AF0262">
        <w:t xml:space="preserve">, </w:t>
      </w:r>
      <w:r>
        <w:t>gdy wiązałoby się to</w:t>
      </w:r>
      <w:r w:rsidRPr="00AF0262">
        <w:t xml:space="preserve"> z udostępnieniem danych osobowych </w:t>
      </w:r>
      <w:r>
        <w:t xml:space="preserve">pracownika, </w:t>
      </w:r>
      <w:r w:rsidRPr="00AF0262">
        <w:t>od uzyskania zgody tego pracownika</w:t>
      </w:r>
      <w:r>
        <w:t>.</w:t>
      </w:r>
    </w:p>
    <w:p w:rsidR="00E17E74" w:rsidRPr="001330AF" w:rsidRDefault="00E17E74" w:rsidP="00484C52">
      <w:pPr>
        <w:pStyle w:val="NIEARTTEKSTtekstnieartykuowanynppreambua"/>
      </w:pPr>
      <w:r w:rsidRPr="001330AF">
        <w:t xml:space="preserve">Projekt dostosowuje system prawa do </w:t>
      </w:r>
      <w:r>
        <w:t>wyroku</w:t>
      </w:r>
      <w:r w:rsidRPr="001330AF">
        <w:t xml:space="preserve"> Trybunału Konstytucyjnego z dnia </w:t>
      </w:r>
      <w:r w:rsidRPr="00484C52">
        <w:t xml:space="preserve">z </w:t>
      </w:r>
      <w:r w:rsidRPr="00345DB1">
        <w:t>26 kwietnia 2018 r. (sygn. akt K 6/15</w:t>
      </w:r>
      <w:r w:rsidRPr="001330AF">
        <w:t>)</w:t>
      </w:r>
      <w:r>
        <w:t xml:space="preserve">. </w:t>
      </w:r>
      <w:r w:rsidRPr="00345DB1">
        <w:t>Jego sentencja została ogłoszona 2 maja 2018 r. w Dz. U. poz. 830, a pełna treść wraz z uzasadnieniem w OTK ZU A z 2018 r. poz. 24</w:t>
      </w:r>
      <w:r w:rsidRPr="001330AF">
        <w:t>.</w:t>
      </w:r>
    </w:p>
    <w:p w:rsidR="00E17E74" w:rsidRPr="001330AF" w:rsidRDefault="00E17E74" w:rsidP="001D5D48">
      <w:pPr>
        <w:pStyle w:val="Tekstpodstawowy"/>
        <w:keepNext/>
        <w:spacing w:before="360" w:after="0"/>
        <w:rPr>
          <w:b/>
          <w:szCs w:val="24"/>
        </w:rPr>
      </w:pPr>
      <w:r w:rsidRPr="001330AF">
        <w:rPr>
          <w:b/>
          <w:szCs w:val="24"/>
        </w:rPr>
        <w:t>2. Przedmiot i istota rozstrzygnięcia Trybunału Konstytucyjnego</w:t>
      </w:r>
    </w:p>
    <w:p w:rsidR="00E17E74" w:rsidRPr="00CB1123" w:rsidRDefault="00E17E74" w:rsidP="00CB1123">
      <w:pPr>
        <w:pStyle w:val="ARTartustawynprozporzdzenia"/>
        <w:rPr>
          <w:bCs/>
        </w:rPr>
      </w:pPr>
      <w:r>
        <w:rPr>
          <w:bCs/>
        </w:rPr>
        <w:t xml:space="preserve">2.1. </w:t>
      </w:r>
      <w:r w:rsidRPr="00345DB1">
        <w:rPr>
          <w:bCs/>
        </w:rPr>
        <w:t>TK orzekł, że art. 8 ust. 2 ustawy o społecznej inspekcji pracy w zakresie, w jakim nie uzależnia obowiązku udzielenia społecznemu inspektorowi pracy informacji oraz okazania mu dokumentów od uzyskania zgody pracownika w wypadkach, w których realizacja tego obowiązku wiązałaby się z udostępnieniem danych osobowych tego pracownika, jest niezgodny z art. 47 Konstytucji</w:t>
      </w:r>
      <w:r w:rsidRPr="00CB1123">
        <w:rPr>
          <w:bCs/>
        </w:rPr>
        <w:t>.</w:t>
      </w:r>
    </w:p>
    <w:p w:rsidR="00E17E74" w:rsidRPr="00CB1123" w:rsidRDefault="00E17E74" w:rsidP="00CB1123">
      <w:pPr>
        <w:pStyle w:val="ARTartustawynprozporzdzenia"/>
        <w:rPr>
          <w:bCs/>
        </w:rPr>
      </w:pPr>
      <w:r w:rsidRPr="00CB1123">
        <w:rPr>
          <w:bCs/>
        </w:rPr>
        <w:t>2.</w:t>
      </w:r>
      <w:r>
        <w:rPr>
          <w:bCs/>
        </w:rPr>
        <w:t>2</w:t>
      </w:r>
      <w:r w:rsidRPr="00CB1123">
        <w:rPr>
          <w:bCs/>
        </w:rPr>
        <w:t xml:space="preserve">. </w:t>
      </w:r>
      <w:r w:rsidRPr="00D54E4A">
        <w:rPr>
          <w:bCs/>
        </w:rPr>
        <w:t>Społeczna inspekcja pracy jest służbą społeczną pełnioną przez pracowników, mającą na celu zapewnienie przez zakład pracy bezpiecznych i higienicznych warunków pracy oraz ochronę uprawnień pracowniczych, określonych w przepisach prawa pracy. Społecznych inspektorów pracy wybierają i odwołują pracownicy zakładu pracy spośród pracowników danego zakładu pracy. Zgodnie z zakwestionowanym przepisem społeczny inspektor pracy ma prawo żądać od kierownika zakładu pracy oraz oddziału (wydziału) i od pracowników informacji oraz okazania dokumentów w sprawach wchodzących w zakres jego działania</w:t>
      </w:r>
      <w:r w:rsidRPr="00CB1123">
        <w:rPr>
          <w:bCs/>
        </w:rPr>
        <w:t>.</w:t>
      </w:r>
    </w:p>
    <w:p w:rsidR="00E17E74" w:rsidRPr="001F07F6" w:rsidRDefault="00E17E74" w:rsidP="001F07F6">
      <w:pPr>
        <w:pStyle w:val="ARTartustawynprozporzdzenia"/>
        <w:rPr>
          <w:bCs/>
        </w:rPr>
      </w:pPr>
      <w:r>
        <w:rPr>
          <w:bCs/>
        </w:rPr>
        <w:t>Konstytucja RP stanowi, że k</w:t>
      </w:r>
      <w:r w:rsidRPr="001F07F6">
        <w:rPr>
          <w:bCs/>
        </w:rPr>
        <w:t>ażdy ma prawo do ochrony prawnej życia prywatnego, rodzinnego, czci i dobrego imienia oraz do decydowania o swoim życiu o</w:t>
      </w:r>
      <w:r>
        <w:rPr>
          <w:bCs/>
        </w:rPr>
        <w:t>sobistym (art. 47</w:t>
      </w:r>
      <w:r w:rsidRPr="001F07F6">
        <w:rPr>
          <w:bCs/>
        </w:rPr>
        <w:t>). Ochrona życia prywatnego obejmuje m.in. „autonomię informacyjną, która oznacza prawo do samodzielnego decydowania o ujawnianiu innym informacji dotyczących siebie, jak również prawo do kontrolowania tych informacji, jeżeli znajdują się w dyspozycji innych podmiotów”. „[Z]akres autonomii informacyjnej jednostki nie ogranicza się do ochrony danych o charakterze stricte personalnym (osobowym), ale też obejmuje dane dotyczące sfery majątkowej”.</w:t>
      </w:r>
      <w:r>
        <w:rPr>
          <w:bCs/>
        </w:rPr>
        <w:t xml:space="preserve"> </w:t>
      </w:r>
      <w:r w:rsidRPr="001F07F6">
        <w:rPr>
          <w:bCs/>
        </w:rPr>
        <w:t xml:space="preserve">W tym kontekście pojawia się problem czy uprawnienie inspektora do dostępu do dokumentów pracowniczych nie godzi „w konstytucyjne prawo innych pracowników do </w:t>
      </w:r>
      <w:r w:rsidRPr="001F07F6">
        <w:rPr>
          <w:bCs/>
        </w:rPr>
        <w:lastRenderedPageBreak/>
        <w:t>ochrony ich życia prywatnego (…). Elementem ochrony życia prywatnego jest autonomia informacyjna każdego człowieka, która oznacza możność decydowania o zakresie dostępu do danych jego dotyczących. Podstawowe znaczenie ma zgoda zainteresowanej osoby na udostępnienie informacji innemu podmiotowi”.</w:t>
      </w:r>
    </w:p>
    <w:p w:rsidR="00E17E74" w:rsidRPr="001F07F6" w:rsidRDefault="00E17E74" w:rsidP="001F07F6">
      <w:pPr>
        <w:pStyle w:val="ARTartustawynprozporzdzenia"/>
        <w:rPr>
          <w:bCs/>
        </w:rPr>
      </w:pPr>
      <w:r w:rsidRPr="001F07F6">
        <w:rPr>
          <w:bCs/>
        </w:rPr>
        <w:t>Zakres danych osobowych, jakich sam pracodawca może żądać od osoby ubiegającej się o zatrudnienie, a następnie od pracownika, określa art. 22</w:t>
      </w:r>
      <w:r w:rsidRPr="00017B6B">
        <w:rPr>
          <w:bCs/>
          <w:vertAlign w:val="superscript"/>
        </w:rPr>
        <w:t>1</w:t>
      </w:r>
      <w:r w:rsidRPr="001F07F6">
        <w:rPr>
          <w:bCs/>
        </w:rPr>
        <w:t xml:space="preserve"> § 1, 2 i 4 Kodeksu pracy. „Udostępnienie wymienionych w tym przepisie danych osobowych następuje - z założenia po podjęciu przez osobę zainteresowaną dobrowolnej decyzji o ubieganie się o pracę lub nawiązanie stosunku pracy”.</w:t>
      </w:r>
    </w:p>
    <w:p w:rsidR="00E17E74" w:rsidRPr="001F07F6" w:rsidRDefault="00E17E74" w:rsidP="001F07F6">
      <w:pPr>
        <w:pStyle w:val="ARTartustawynprozporzdzenia"/>
        <w:rPr>
          <w:bCs/>
        </w:rPr>
      </w:pPr>
      <w:r>
        <w:rPr>
          <w:bCs/>
        </w:rPr>
        <w:t>„</w:t>
      </w:r>
      <w:r w:rsidRPr="001F07F6">
        <w:rPr>
          <w:bCs/>
        </w:rPr>
        <w:t>Problemy z zachowaniem prawa do prywatności pracownika przebiegają wielotorowo. Nie jest to bowiem jedynie problem zabezpieczenia pracownika przed nadmierną ingerencją pracodawcy w jego sferę prywatną, ale także konieczność zabezpieczenia owej prywatności przed prasą i związkami zawodowymi, które powołują się na własne wolności i prawa do informacji, żądając wiadomości na temat pracowników. Powstaje tu zatem zawsze konflikt dwóch istotnych wolności i praw”. Przed s</w:t>
      </w:r>
      <w:r>
        <w:rPr>
          <w:bCs/>
        </w:rPr>
        <w:t xml:space="preserve">ądami pojawiał się już problem </w:t>
      </w:r>
      <w:r w:rsidRPr="001F07F6">
        <w:rPr>
          <w:bCs/>
        </w:rPr>
        <w:t>dopuszczalności udostępnienia związkom zawodowym danych dotyczących ustalania wysokości wynagrodzeń pracown</w:t>
      </w:r>
      <w:r>
        <w:rPr>
          <w:bCs/>
        </w:rPr>
        <w:t>iczych. Zgodnie z art. 28 ustawy o związkach zawodowych</w:t>
      </w:r>
      <w:r w:rsidRPr="001F07F6">
        <w:rPr>
          <w:bCs/>
        </w:rPr>
        <w:t xml:space="preserve">, pracodawca ma obowiązek udzielić związkowi zawodowemu informacji niezbędnych do prowadzenia działalności związkowej, w szczególności informacji na temat warunków </w:t>
      </w:r>
      <w:r>
        <w:rPr>
          <w:bCs/>
        </w:rPr>
        <w:t>pracy i zasad wynagradzania.</w:t>
      </w:r>
      <w:r w:rsidRPr="001F07F6">
        <w:rPr>
          <w:bCs/>
        </w:rPr>
        <w:t xml:space="preserve"> </w:t>
      </w:r>
      <w:r>
        <w:rPr>
          <w:bCs/>
        </w:rPr>
        <w:t>„</w:t>
      </w:r>
      <w:r w:rsidRPr="001F07F6">
        <w:rPr>
          <w:bCs/>
        </w:rPr>
        <w:t>Sąd Najwyższy stwierdził, że wynikające z ustawy o związkach zawodowych uprawnienie do kontrolowania przez związki zawodowe przestrzegania prawa pracy nie oznacza uprawnienia do żądania od pracodawcy udzielenia informacji o wysokości wynagrodzenia konkretnego pracownika bez jego zgody.</w:t>
      </w:r>
      <w:r>
        <w:rPr>
          <w:bCs/>
        </w:rPr>
        <w:t xml:space="preserve"> (…) Dopóty [zaś] można mówić o </w:t>
      </w:r>
      <w:r w:rsidRPr="001F07F6">
        <w:rPr>
          <w:bCs/>
        </w:rPr>
        <w:t>«informacji o zasadach wynagradzania», dopóki nie pozwala ona na indywidualizację informacji, tzn. przypisanie konkretnego wynagrodzenia za pracę poszczególnym, personalnie określonym pracownikom”.</w:t>
      </w:r>
    </w:p>
    <w:p w:rsidR="00E17E74" w:rsidRPr="001F07F6" w:rsidRDefault="00E17E74" w:rsidP="001F07F6">
      <w:pPr>
        <w:pStyle w:val="ARTartustawynprozporzdzenia"/>
        <w:rPr>
          <w:bCs/>
        </w:rPr>
      </w:pPr>
      <w:r w:rsidRPr="001F07F6">
        <w:rPr>
          <w:bCs/>
        </w:rPr>
        <w:t>Zdaniem TK, pogląd przedstawiony przez SN „należałoby odnieść odpowiednio także do problemu ochrony autonomii informacyjnej pracownika w kontekście realizacji funkcji kontrolnej przez społecznych inspektorów pracy. Art. 8 ust. 2 u.s.i.p. zobowiązuje pracodawcę i pracowników do udzielenia informacji oraz okazania dokumentów we wszystkich sprawach objętych zakresem działania inspektora. W myśl zaś art. 4 pkt 2 u.s.i.p., społeczny inspektor pracy ma prawo kontrolować przestrz</w:t>
      </w:r>
      <w:r>
        <w:rPr>
          <w:bCs/>
        </w:rPr>
        <w:t>eganie przepisów prawa pracy, w </w:t>
      </w:r>
      <w:r w:rsidRPr="001F07F6">
        <w:rPr>
          <w:bCs/>
        </w:rPr>
        <w:t xml:space="preserve">tym w zakresie uprawnień pracowniczych związanych z rodzicielstwem, pracy młodocianych i osób niepełnosprawnych, urlopów czy świadczeń z tytułu wypadków przy pracy i chorób zawodowych. Uprawienie przewidziane w art. 8 ust. 2 u.s.i.p. </w:t>
      </w:r>
      <w:r w:rsidRPr="00BA18FD">
        <w:rPr>
          <w:bCs/>
          <w:i/>
        </w:rPr>
        <w:t>prima facie</w:t>
      </w:r>
      <w:r w:rsidRPr="001F07F6">
        <w:rPr>
          <w:bCs/>
        </w:rPr>
        <w:t xml:space="preserve"> obejmuje więc także możność żądania przez społecznego inspektora pracy w pewnych sytuacjach informacji i dokumentów zawierających dane osobowe pracownika.</w:t>
      </w:r>
    </w:p>
    <w:p w:rsidR="00E17E74" w:rsidRPr="001F07F6" w:rsidRDefault="00E17E74" w:rsidP="001F07F6">
      <w:pPr>
        <w:pStyle w:val="ARTartustawynprozporzdzenia"/>
        <w:rPr>
          <w:bCs/>
        </w:rPr>
      </w:pPr>
      <w:r w:rsidRPr="001F07F6">
        <w:rPr>
          <w:bCs/>
        </w:rPr>
        <w:lastRenderedPageBreak/>
        <w:t>Jak już wyjaśniał Trybunał, podstawowym wymogiem składającym się na treść zasady autonomii informacyjnej każdego człowieka jest przesłanka uzyskania zgody osoby zainteresowanej na udostępnienie dotyczących jej informacji (…). Przesłanki takiej nie przewiduje art. 8 ust. 2 u.s.i.p.</w:t>
      </w:r>
      <w:r>
        <w:rPr>
          <w:bCs/>
        </w:rPr>
        <w:t>”. Dlatego jest on niezgodny z art. 47 Konstytucji RP.</w:t>
      </w:r>
    </w:p>
    <w:p w:rsidR="00E17E74" w:rsidRPr="001330AF" w:rsidRDefault="00E17E74" w:rsidP="0018591E">
      <w:pPr>
        <w:pStyle w:val="Tekstpodstawowy"/>
        <w:keepNext/>
        <w:spacing w:before="360" w:after="0"/>
        <w:rPr>
          <w:b/>
          <w:szCs w:val="24"/>
        </w:rPr>
      </w:pPr>
      <w:r w:rsidRPr="001330AF">
        <w:rPr>
          <w:b/>
          <w:szCs w:val="24"/>
        </w:rPr>
        <w:t>3. Różnice między dotychczasowym a projektowanym stanem prawnym</w:t>
      </w:r>
    </w:p>
    <w:p w:rsidR="00E17E74" w:rsidRDefault="00E17E74" w:rsidP="00D81ACC">
      <w:pPr>
        <w:pStyle w:val="ARTartustawynprozporzdzenia"/>
      </w:pPr>
      <w:r>
        <w:t>Proponowane w</w:t>
      </w:r>
      <w:r w:rsidRPr="001F07F6">
        <w:t>ykonanie wyroku polega na uzupełnien</w:t>
      </w:r>
      <w:r>
        <w:t>iu zakwestionowanej regulacji o </w:t>
      </w:r>
      <w:r w:rsidRPr="001F07F6">
        <w:t>przepis (art. 8 ust. 2a) prz</w:t>
      </w:r>
      <w:r>
        <w:t xml:space="preserve">ewidujący, że żądanie przez społecznego inspektora pracy udzielenia </w:t>
      </w:r>
      <w:r w:rsidRPr="00696A17">
        <w:t>informacji oraz okazania dokumentów</w:t>
      </w:r>
      <w:r w:rsidRPr="001F07F6">
        <w:t xml:space="preserve"> w zakresie dotyczącym danych osobowych, może zostać spełnione za zgod</w:t>
      </w:r>
      <w:r>
        <w:t>ą osób, których te dane dotyczą.</w:t>
      </w:r>
    </w:p>
    <w:p w:rsidR="00E17E74" w:rsidRPr="00700E57" w:rsidRDefault="00E17E74" w:rsidP="00700E57">
      <w:pPr>
        <w:pStyle w:val="Tekstpodstawowy"/>
        <w:keepNext/>
        <w:spacing w:before="360" w:after="0"/>
        <w:rPr>
          <w:b/>
          <w:szCs w:val="24"/>
        </w:rPr>
      </w:pPr>
      <w:r w:rsidRPr="00700E57">
        <w:rPr>
          <w:b/>
          <w:szCs w:val="24"/>
        </w:rPr>
        <w:t>4. Konsultacje</w:t>
      </w:r>
    </w:p>
    <w:p w:rsidR="00E17E74" w:rsidRPr="002D2E8C" w:rsidRDefault="00E17E74" w:rsidP="002D2E8C">
      <w:pPr>
        <w:suppressAutoHyphens/>
        <w:spacing w:before="120"/>
        <w:ind w:firstLine="510"/>
        <w:rPr>
          <w:rFonts w:ascii="Times" w:hAnsi="Times"/>
          <w:b/>
        </w:rPr>
      </w:pPr>
      <w:r w:rsidRPr="002D2E8C">
        <w:rPr>
          <w:rFonts w:ascii="Times" w:hAnsi="Times"/>
          <w:bCs/>
        </w:rPr>
        <w:t>Nadesłane w ramach konsultacji opinie i uwagi są zamieszczone na senackiej stronie internetowej. Wyniki konsultacji przedstawiono w Ocenie Skutków Regulacji.</w:t>
      </w:r>
    </w:p>
    <w:p w:rsidR="00E17E74" w:rsidRPr="001330AF" w:rsidRDefault="00E17E74" w:rsidP="00C62C0C">
      <w:pPr>
        <w:pStyle w:val="akapit"/>
        <w:keepNext/>
        <w:spacing w:before="240"/>
        <w:ind w:firstLine="0"/>
        <w:rPr>
          <w:b/>
          <w:szCs w:val="24"/>
        </w:rPr>
      </w:pPr>
      <w:r>
        <w:rPr>
          <w:b/>
          <w:szCs w:val="24"/>
        </w:rPr>
        <w:t>5</w:t>
      </w:r>
      <w:r w:rsidRPr="001330AF">
        <w:rPr>
          <w:b/>
          <w:szCs w:val="24"/>
        </w:rPr>
        <w:t>. Oświadczenie o zgodności z prawem Unii Europejskiej</w:t>
      </w:r>
    </w:p>
    <w:p w:rsidR="00E17E74" w:rsidRPr="001330AF" w:rsidRDefault="00E17E74" w:rsidP="00A254B4">
      <w:pPr>
        <w:pStyle w:val="NIEARTTEKSTtekstnieartykuowanynppreambua"/>
      </w:pPr>
      <w:r w:rsidRPr="001330AF">
        <w:t xml:space="preserve">Projektowana ustawa jest </w:t>
      </w:r>
      <w:r>
        <w:t>zgodna z</w:t>
      </w:r>
      <w:r w:rsidRPr="001330AF">
        <w:t xml:space="preserve"> prawem Unii Europejskiej.</w:t>
      </w:r>
    </w:p>
    <w:p w:rsidR="00C70646" w:rsidRPr="001B342E" w:rsidRDefault="00C70646" w:rsidP="00C70646">
      <w:bookmarkStart w:id="0" w:name="_GoBack"/>
      <w:bookmarkEnd w:id="0"/>
    </w:p>
    <w:sectPr w:rsidR="00C70646" w:rsidRPr="001B342E" w:rsidSect="00312028">
      <w:headerReference w:type="first" r:id="rId7"/>
      <w:footerReference w:type="first" r:id="rId8"/>
      <w:pgSz w:w="11906" w:h="16838"/>
      <w:pgMar w:top="20" w:right="1434" w:bottom="851" w:left="1418" w:header="0" w:footer="259" w:gutter="0"/>
      <w:pgNumType w:start="1"/>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4184" w:rsidRDefault="00D94184">
      <w:r>
        <w:separator/>
      </w:r>
    </w:p>
  </w:endnote>
  <w:endnote w:type="continuationSeparator" w:id="0">
    <w:p w:rsidR="00D94184" w:rsidRDefault="00D94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4FE" w:rsidRPr="00312028" w:rsidRDefault="005564FE">
    <w:pPr>
      <w:pStyle w:val="Stopka"/>
      <w:rPr>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4184" w:rsidRDefault="00D94184">
      <w:r>
        <w:separator/>
      </w:r>
    </w:p>
  </w:footnote>
  <w:footnote w:type="continuationSeparator" w:id="0">
    <w:p w:rsidR="00D94184" w:rsidRDefault="00D941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4FE" w:rsidRPr="002C1930" w:rsidRDefault="005564FE">
    <w:pPr>
      <w:pStyle w:val="Nagwek"/>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8CAD4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8C87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BE7A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97E3D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6EA7D8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AA7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DDC2E4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20012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6056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77684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793FCB"/>
    <w:multiLevelType w:val="hybridMultilevel"/>
    <w:tmpl w:val="45ECF3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2" w15:restartNumberingAfterBreak="0">
    <w:nsid w:val="07E1671D"/>
    <w:multiLevelType w:val="hybridMultilevel"/>
    <w:tmpl w:val="44364344"/>
    <w:lvl w:ilvl="0" w:tplc="04150001">
      <w:start w:val="1"/>
      <w:numFmt w:val="bullet"/>
      <w:lvlText w:val=""/>
      <w:lvlJc w:val="left"/>
      <w:pPr>
        <w:ind w:left="753" w:hanging="360"/>
      </w:pPr>
      <w:rPr>
        <w:rFonts w:ascii="Symbol" w:hAnsi="Symbol" w:hint="default"/>
      </w:rPr>
    </w:lvl>
    <w:lvl w:ilvl="1" w:tplc="04150003" w:tentative="1">
      <w:start w:val="1"/>
      <w:numFmt w:val="bullet"/>
      <w:lvlText w:val="o"/>
      <w:lvlJc w:val="left"/>
      <w:pPr>
        <w:ind w:left="1473" w:hanging="360"/>
      </w:pPr>
      <w:rPr>
        <w:rFonts w:ascii="Courier New" w:hAnsi="Courier New" w:cs="Courier New" w:hint="default"/>
      </w:rPr>
    </w:lvl>
    <w:lvl w:ilvl="2" w:tplc="04150005" w:tentative="1">
      <w:start w:val="1"/>
      <w:numFmt w:val="bullet"/>
      <w:lvlText w:val=""/>
      <w:lvlJc w:val="left"/>
      <w:pPr>
        <w:ind w:left="2193" w:hanging="360"/>
      </w:pPr>
      <w:rPr>
        <w:rFonts w:ascii="Wingdings" w:hAnsi="Wingdings" w:hint="default"/>
      </w:rPr>
    </w:lvl>
    <w:lvl w:ilvl="3" w:tplc="04150001" w:tentative="1">
      <w:start w:val="1"/>
      <w:numFmt w:val="bullet"/>
      <w:lvlText w:val=""/>
      <w:lvlJc w:val="left"/>
      <w:pPr>
        <w:ind w:left="2913" w:hanging="360"/>
      </w:pPr>
      <w:rPr>
        <w:rFonts w:ascii="Symbol" w:hAnsi="Symbol" w:hint="default"/>
      </w:rPr>
    </w:lvl>
    <w:lvl w:ilvl="4" w:tplc="04150003" w:tentative="1">
      <w:start w:val="1"/>
      <w:numFmt w:val="bullet"/>
      <w:lvlText w:val="o"/>
      <w:lvlJc w:val="left"/>
      <w:pPr>
        <w:ind w:left="3633" w:hanging="360"/>
      </w:pPr>
      <w:rPr>
        <w:rFonts w:ascii="Courier New" w:hAnsi="Courier New" w:cs="Courier New" w:hint="default"/>
      </w:rPr>
    </w:lvl>
    <w:lvl w:ilvl="5" w:tplc="04150005" w:tentative="1">
      <w:start w:val="1"/>
      <w:numFmt w:val="bullet"/>
      <w:lvlText w:val=""/>
      <w:lvlJc w:val="left"/>
      <w:pPr>
        <w:ind w:left="4353" w:hanging="360"/>
      </w:pPr>
      <w:rPr>
        <w:rFonts w:ascii="Wingdings" w:hAnsi="Wingdings" w:hint="default"/>
      </w:rPr>
    </w:lvl>
    <w:lvl w:ilvl="6" w:tplc="04150001" w:tentative="1">
      <w:start w:val="1"/>
      <w:numFmt w:val="bullet"/>
      <w:lvlText w:val=""/>
      <w:lvlJc w:val="left"/>
      <w:pPr>
        <w:ind w:left="5073" w:hanging="360"/>
      </w:pPr>
      <w:rPr>
        <w:rFonts w:ascii="Symbol" w:hAnsi="Symbol" w:hint="default"/>
      </w:rPr>
    </w:lvl>
    <w:lvl w:ilvl="7" w:tplc="04150003" w:tentative="1">
      <w:start w:val="1"/>
      <w:numFmt w:val="bullet"/>
      <w:lvlText w:val="o"/>
      <w:lvlJc w:val="left"/>
      <w:pPr>
        <w:ind w:left="5793" w:hanging="360"/>
      </w:pPr>
      <w:rPr>
        <w:rFonts w:ascii="Courier New" w:hAnsi="Courier New" w:cs="Courier New" w:hint="default"/>
      </w:rPr>
    </w:lvl>
    <w:lvl w:ilvl="8" w:tplc="04150005" w:tentative="1">
      <w:start w:val="1"/>
      <w:numFmt w:val="bullet"/>
      <w:lvlText w:val=""/>
      <w:lvlJc w:val="left"/>
      <w:pPr>
        <w:ind w:left="6513" w:hanging="360"/>
      </w:pPr>
      <w:rPr>
        <w:rFonts w:ascii="Wingdings" w:hAnsi="Wingdings" w:hint="default"/>
      </w:rPr>
    </w:lvl>
  </w:abstractNum>
  <w:abstractNum w:abstractNumId="13"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6"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7"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8"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1"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4"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6"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30"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15:restartNumberingAfterBreak="0">
    <w:nsid w:val="55711CE1"/>
    <w:multiLevelType w:val="hybridMultilevel"/>
    <w:tmpl w:val="A13863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4"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6"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9"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0"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5"/>
  </w:num>
  <w:num w:numId="2">
    <w:abstractNumId w:val="25"/>
  </w:num>
  <w:num w:numId="3">
    <w:abstractNumId w:val="20"/>
  </w:num>
  <w:num w:numId="4">
    <w:abstractNumId w:val="20"/>
  </w:num>
  <w:num w:numId="5">
    <w:abstractNumId w:val="39"/>
  </w:num>
  <w:num w:numId="6">
    <w:abstractNumId w:val="35"/>
  </w:num>
  <w:num w:numId="7">
    <w:abstractNumId w:val="39"/>
  </w:num>
  <w:num w:numId="8">
    <w:abstractNumId w:val="35"/>
  </w:num>
  <w:num w:numId="9">
    <w:abstractNumId w:val="39"/>
  </w:num>
  <w:num w:numId="10">
    <w:abstractNumId w:val="35"/>
  </w:num>
  <w:num w:numId="11">
    <w:abstractNumId w:val="16"/>
  </w:num>
  <w:num w:numId="12">
    <w:abstractNumId w:val="11"/>
  </w:num>
  <w:num w:numId="13">
    <w:abstractNumId w:val="17"/>
  </w:num>
  <w:num w:numId="14">
    <w:abstractNumId w:val="29"/>
  </w:num>
  <w:num w:numId="15">
    <w:abstractNumId w:val="16"/>
  </w:num>
  <w:num w:numId="16">
    <w:abstractNumId w:val="18"/>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7"/>
  </w:num>
  <w:num w:numId="28">
    <w:abstractNumId w:val="28"/>
  </w:num>
  <w:num w:numId="29">
    <w:abstractNumId w:val="40"/>
  </w:num>
  <w:num w:numId="30">
    <w:abstractNumId w:val="36"/>
  </w:num>
  <w:num w:numId="31">
    <w:abstractNumId w:val="21"/>
  </w:num>
  <w:num w:numId="32">
    <w:abstractNumId w:val="13"/>
  </w:num>
  <w:num w:numId="33">
    <w:abstractNumId w:val="34"/>
  </w:num>
  <w:num w:numId="34">
    <w:abstractNumId w:val="22"/>
  </w:num>
  <w:num w:numId="35">
    <w:abstractNumId w:val="19"/>
  </w:num>
  <w:num w:numId="36">
    <w:abstractNumId w:val="24"/>
  </w:num>
  <w:num w:numId="37">
    <w:abstractNumId w:val="30"/>
  </w:num>
  <w:num w:numId="38">
    <w:abstractNumId w:val="27"/>
  </w:num>
  <w:num w:numId="39">
    <w:abstractNumId w:val="15"/>
  </w:num>
  <w:num w:numId="40">
    <w:abstractNumId w:val="33"/>
  </w:num>
  <w:num w:numId="41">
    <w:abstractNumId w:val="31"/>
  </w:num>
  <w:num w:numId="42">
    <w:abstractNumId w:val="23"/>
  </w:num>
  <w:num w:numId="43">
    <w:abstractNumId w:val="38"/>
  </w:num>
  <w:num w:numId="44">
    <w:abstractNumId w:val="14"/>
  </w:num>
  <w:num w:numId="45">
    <w:abstractNumId w:val="32"/>
  </w:num>
  <w:num w:numId="46">
    <w:abstractNumId w:val="10"/>
  </w:num>
  <w:num w:numId="47">
    <w:abstractNumId w:val="26"/>
  </w:num>
  <w:num w:numId="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47F"/>
    <w:rsid w:val="000012DA"/>
    <w:rsid w:val="0000246E"/>
    <w:rsid w:val="00012A35"/>
    <w:rsid w:val="00016099"/>
    <w:rsid w:val="00017DC2"/>
    <w:rsid w:val="00023471"/>
    <w:rsid w:val="00023F13"/>
    <w:rsid w:val="00030634"/>
    <w:rsid w:val="0003362F"/>
    <w:rsid w:val="00037E1A"/>
    <w:rsid w:val="00047312"/>
    <w:rsid w:val="0005339C"/>
    <w:rsid w:val="0005571B"/>
    <w:rsid w:val="00057AB3"/>
    <w:rsid w:val="00060076"/>
    <w:rsid w:val="00060432"/>
    <w:rsid w:val="00060D87"/>
    <w:rsid w:val="00064644"/>
    <w:rsid w:val="00064E4C"/>
    <w:rsid w:val="00066901"/>
    <w:rsid w:val="000736CD"/>
    <w:rsid w:val="0007533B"/>
    <w:rsid w:val="000760BF"/>
    <w:rsid w:val="0007613E"/>
    <w:rsid w:val="000814A7"/>
    <w:rsid w:val="0008557B"/>
    <w:rsid w:val="00091BA2"/>
    <w:rsid w:val="000944EF"/>
    <w:rsid w:val="000973F0"/>
    <w:rsid w:val="000A1C27"/>
    <w:rsid w:val="000A1DAD"/>
    <w:rsid w:val="000A2649"/>
    <w:rsid w:val="000A323B"/>
    <w:rsid w:val="000B298D"/>
    <w:rsid w:val="000B472B"/>
    <w:rsid w:val="000B5B2D"/>
    <w:rsid w:val="000B5DCE"/>
    <w:rsid w:val="000C05BA"/>
    <w:rsid w:val="000C0E8F"/>
    <w:rsid w:val="000D318A"/>
    <w:rsid w:val="000D6173"/>
    <w:rsid w:val="000E25CC"/>
    <w:rsid w:val="000E55B4"/>
    <w:rsid w:val="000E72BC"/>
    <w:rsid w:val="000F3D0D"/>
    <w:rsid w:val="000F6ED4"/>
    <w:rsid w:val="000F7A6E"/>
    <w:rsid w:val="00101307"/>
    <w:rsid w:val="001042BA"/>
    <w:rsid w:val="00106D03"/>
    <w:rsid w:val="00110465"/>
    <w:rsid w:val="00110628"/>
    <w:rsid w:val="0011245A"/>
    <w:rsid w:val="0011493E"/>
    <w:rsid w:val="00115B72"/>
    <w:rsid w:val="00120A9E"/>
    <w:rsid w:val="00125A9C"/>
    <w:rsid w:val="00134CA0"/>
    <w:rsid w:val="0014026F"/>
    <w:rsid w:val="0015742A"/>
    <w:rsid w:val="0016347F"/>
    <w:rsid w:val="00164C57"/>
    <w:rsid w:val="00164C9D"/>
    <w:rsid w:val="00172F7A"/>
    <w:rsid w:val="00173150"/>
    <w:rsid w:val="00173BB3"/>
    <w:rsid w:val="001740D0"/>
    <w:rsid w:val="00174F2C"/>
    <w:rsid w:val="00180F2A"/>
    <w:rsid w:val="00186E4C"/>
    <w:rsid w:val="00186EC1"/>
    <w:rsid w:val="00191E1F"/>
    <w:rsid w:val="00197649"/>
    <w:rsid w:val="001A10E9"/>
    <w:rsid w:val="001A183D"/>
    <w:rsid w:val="001A3CD3"/>
    <w:rsid w:val="001A5BEF"/>
    <w:rsid w:val="001A7F15"/>
    <w:rsid w:val="001B342E"/>
    <w:rsid w:val="001C1832"/>
    <w:rsid w:val="001C188C"/>
    <w:rsid w:val="001D1783"/>
    <w:rsid w:val="001D55A3"/>
    <w:rsid w:val="001E4E0C"/>
    <w:rsid w:val="001E526D"/>
    <w:rsid w:val="001F220F"/>
    <w:rsid w:val="001F6616"/>
    <w:rsid w:val="00202BD4"/>
    <w:rsid w:val="00204A97"/>
    <w:rsid w:val="002114EF"/>
    <w:rsid w:val="002166AD"/>
    <w:rsid w:val="00217871"/>
    <w:rsid w:val="00221ED8"/>
    <w:rsid w:val="00223FDF"/>
    <w:rsid w:val="002279C0"/>
    <w:rsid w:val="00242081"/>
    <w:rsid w:val="002501A3"/>
    <w:rsid w:val="0025166C"/>
    <w:rsid w:val="00264EC6"/>
    <w:rsid w:val="00271013"/>
    <w:rsid w:val="002765B4"/>
    <w:rsid w:val="00276A94"/>
    <w:rsid w:val="0029405D"/>
    <w:rsid w:val="00295A6F"/>
    <w:rsid w:val="002A20C4"/>
    <w:rsid w:val="002A570F"/>
    <w:rsid w:val="002A7358"/>
    <w:rsid w:val="002A7902"/>
    <w:rsid w:val="002B0F6B"/>
    <w:rsid w:val="002B23B8"/>
    <w:rsid w:val="002B68A6"/>
    <w:rsid w:val="002C1930"/>
    <w:rsid w:val="002E1DE3"/>
    <w:rsid w:val="002E2AB6"/>
    <w:rsid w:val="002E3F34"/>
    <w:rsid w:val="002E64FA"/>
    <w:rsid w:val="002F0A00"/>
    <w:rsid w:val="002F669F"/>
    <w:rsid w:val="0031004C"/>
    <w:rsid w:val="003113BE"/>
    <w:rsid w:val="00312028"/>
    <w:rsid w:val="003148FD"/>
    <w:rsid w:val="00321080"/>
    <w:rsid w:val="00325A1F"/>
    <w:rsid w:val="00330BAF"/>
    <w:rsid w:val="00334E3A"/>
    <w:rsid w:val="003361DD"/>
    <w:rsid w:val="00354EB9"/>
    <w:rsid w:val="00360929"/>
    <w:rsid w:val="003674B0"/>
    <w:rsid w:val="0037727C"/>
    <w:rsid w:val="00380904"/>
    <w:rsid w:val="003823EE"/>
    <w:rsid w:val="00382960"/>
    <w:rsid w:val="003846F7"/>
    <w:rsid w:val="00385B39"/>
    <w:rsid w:val="00386785"/>
    <w:rsid w:val="00391B1A"/>
    <w:rsid w:val="00394423"/>
    <w:rsid w:val="00396942"/>
    <w:rsid w:val="00396B49"/>
    <w:rsid w:val="00396E3E"/>
    <w:rsid w:val="003A0D05"/>
    <w:rsid w:val="003A306E"/>
    <w:rsid w:val="003A6A46"/>
    <w:rsid w:val="003A7A63"/>
    <w:rsid w:val="003B0F1D"/>
    <w:rsid w:val="003C0AD9"/>
    <w:rsid w:val="003C0ED0"/>
    <w:rsid w:val="003C35C4"/>
    <w:rsid w:val="003D2857"/>
    <w:rsid w:val="003D31B9"/>
    <w:rsid w:val="003E2DA3"/>
    <w:rsid w:val="003F03D9"/>
    <w:rsid w:val="003F2FBE"/>
    <w:rsid w:val="00401C84"/>
    <w:rsid w:val="004035BB"/>
    <w:rsid w:val="004140F2"/>
    <w:rsid w:val="00421085"/>
    <w:rsid w:val="00424DF7"/>
    <w:rsid w:val="00432B76"/>
    <w:rsid w:val="00435D26"/>
    <w:rsid w:val="00440C99"/>
    <w:rsid w:val="00445F4D"/>
    <w:rsid w:val="004504C0"/>
    <w:rsid w:val="00462946"/>
    <w:rsid w:val="00464B94"/>
    <w:rsid w:val="004653A8"/>
    <w:rsid w:val="00465A0B"/>
    <w:rsid w:val="0047077C"/>
    <w:rsid w:val="00472CD6"/>
    <w:rsid w:val="00480A58"/>
    <w:rsid w:val="00485FAD"/>
    <w:rsid w:val="00492A3F"/>
    <w:rsid w:val="00494F62"/>
    <w:rsid w:val="004B00A7"/>
    <w:rsid w:val="004B25E2"/>
    <w:rsid w:val="004B34D7"/>
    <w:rsid w:val="004B5037"/>
    <w:rsid w:val="004B5B2F"/>
    <w:rsid w:val="004B626A"/>
    <w:rsid w:val="004B6AAB"/>
    <w:rsid w:val="004C05BD"/>
    <w:rsid w:val="004C3F97"/>
    <w:rsid w:val="004D2E1F"/>
    <w:rsid w:val="004D7FD9"/>
    <w:rsid w:val="004E1324"/>
    <w:rsid w:val="004E37E5"/>
    <w:rsid w:val="004E3FDB"/>
    <w:rsid w:val="004F296D"/>
    <w:rsid w:val="004F508B"/>
    <w:rsid w:val="004F695F"/>
    <w:rsid w:val="00500752"/>
    <w:rsid w:val="00501A50"/>
    <w:rsid w:val="0050222D"/>
    <w:rsid w:val="005067C5"/>
    <w:rsid w:val="0050696D"/>
    <w:rsid w:val="00511D99"/>
    <w:rsid w:val="005128D3"/>
    <w:rsid w:val="005158F2"/>
    <w:rsid w:val="00526DFC"/>
    <w:rsid w:val="00527651"/>
    <w:rsid w:val="005363AB"/>
    <w:rsid w:val="00544EF4"/>
    <w:rsid w:val="00545E53"/>
    <w:rsid w:val="005479D9"/>
    <w:rsid w:val="005564FE"/>
    <w:rsid w:val="005572BD"/>
    <w:rsid w:val="00557A12"/>
    <w:rsid w:val="00560AC7"/>
    <w:rsid w:val="00561AFB"/>
    <w:rsid w:val="00562429"/>
    <w:rsid w:val="005635ED"/>
    <w:rsid w:val="00570191"/>
    <w:rsid w:val="00570570"/>
    <w:rsid w:val="00572512"/>
    <w:rsid w:val="00573EE6"/>
    <w:rsid w:val="00574F92"/>
    <w:rsid w:val="0057547F"/>
    <w:rsid w:val="0057617E"/>
    <w:rsid w:val="00576497"/>
    <w:rsid w:val="005835E7"/>
    <w:rsid w:val="0058397F"/>
    <w:rsid w:val="00585F33"/>
    <w:rsid w:val="00597024"/>
    <w:rsid w:val="005A669D"/>
    <w:rsid w:val="005A75D8"/>
    <w:rsid w:val="005B713E"/>
    <w:rsid w:val="005C03B6"/>
    <w:rsid w:val="005D3763"/>
    <w:rsid w:val="005D55E1"/>
    <w:rsid w:val="005E19F7"/>
    <w:rsid w:val="005E62C2"/>
    <w:rsid w:val="005F0349"/>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678AF"/>
    <w:rsid w:val="00680058"/>
    <w:rsid w:val="006840EA"/>
    <w:rsid w:val="00685267"/>
    <w:rsid w:val="006872AE"/>
    <w:rsid w:val="006946BB"/>
    <w:rsid w:val="006969FA"/>
    <w:rsid w:val="006C4A31"/>
    <w:rsid w:val="006D45B2"/>
    <w:rsid w:val="006E0FCC"/>
    <w:rsid w:val="006E5E21"/>
    <w:rsid w:val="006F2648"/>
    <w:rsid w:val="006F2F10"/>
    <w:rsid w:val="006F482B"/>
    <w:rsid w:val="006F6311"/>
    <w:rsid w:val="0070277E"/>
    <w:rsid w:val="00711221"/>
    <w:rsid w:val="00712675"/>
    <w:rsid w:val="00713808"/>
    <w:rsid w:val="007151B6"/>
    <w:rsid w:val="0071520D"/>
    <w:rsid w:val="00715EDB"/>
    <w:rsid w:val="007160D5"/>
    <w:rsid w:val="00717C2E"/>
    <w:rsid w:val="007204FA"/>
    <w:rsid w:val="0072457F"/>
    <w:rsid w:val="0072621B"/>
    <w:rsid w:val="00730555"/>
    <w:rsid w:val="007312CC"/>
    <w:rsid w:val="007410B6"/>
    <w:rsid w:val="00744C6F"/>
    <w:rsid w:val="00745ABB"/>
    <w:rsid w:val="00746E38"/>
    <w:rsid w:val="00753B51"/>
    <w:rsid w:val="00757B4F"/>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BB7"/>
    <w:rsid w:val="007D1C64"/>
    <w:rsid w:val="007D32C4"/>
    <w:rsid w:val="007D6DCE"/>
    <w:rsid w:val="007E2CFE"/>
    <w:rsid w:val="007F0072"/>
    <w:rsid w:val="007F2EB6"/>
    <w:rsid w:val="007F54C3"/>
    <w:rsid w:val="00802949"/>
    <w:rsid w:val="00812BE5"/>
    <w:rsid w:val="00817429"/>
    <w:rsid w:val="00827820"/>
    <w:rsid w:val="00831B8B"/>
    <w:rsid w:val="008352D4"/>
    <w:rsid w:val="008415B0"/>
    <w:rsid w:val="00842028"/>
    <w:rsid w:val="008460B6"/>
    <w:rsid w:val="00852B59"/>
    <w:rsid w:val="00855558"/>
    <w:rsid w:val="00856C0D"/>
    <w:rsid w:val="008611DD"/>
    <w:rsid w:val="00866867"/>
    <w:rsid w:val="00872257"/>
    <w:rsid w:val="0087738C"/>
    <w:rsid w:val="008802AF"/>
    <w:rsid w:val="0088318F"/>
    <w:rsid w:val="0088331D"/>
    <w:rsid w:val="008852B0"/>
    <w:rsid w:val="00885AE7"/>
    <w:rsid w:val="00886B60"/>
    <w:rsid w:val="00887889"/>
    <w:rsid w:val="008920FF"/>
    <w:rsid w:val="00896A10"/>
    <w:rsid w:val="008971B5"/>
    <w:rsid w:val="008A3C09"/>
    <w:rsid w:val="008A5D26"/>
    <w:rsid w:val="008A6B13"/>
    <w:rsid w:val="008B3859"/>
    <w:rsid w:val="008B4E49"/>
    <w:rsid w:val="008B7B26"/>
    <w:rsid w:val="008C4229"/>
    <w:rsid w:val="008C5BE0"/>
    <w:rsid w:val="008C7233"/>
    <w:rsid w:val="008D2434"/>
    <w:rsid w:val="008E171D"/>
    <w:rsid w:val="008E2785"/>
    <w:rsid w:val="008F0654"/>
    <w:rsid w:val="008F06CB"/>
    <w:rsid w:val="008F612A"/>
    <w:rsid w:val="0090293D"/>
    <w:rsid w:val="009034DE"/>
    <w:rsid w:val="0090354A"/>
    <w:rsid w:val="0090605D"/>
    <w:rsid w:val="00912889"/>
    <w:rsid w:val="00913A42"/>
    <w:rsid w:val="009143DB"/>
    <w:rsid w:val="00917CE5"/>
    <w:rsid w:val="00925241"/>
    <w:rsid w:val="00925CEC"/>
    <w:rsid w:val="0092794E"/>
    <w:rsid w:val="009332A2"/>
    <w:rsid w:val="0093790B"/>
    <w:rsid w:val="00946DD0"/>
    <w:rsid w:val="00952018"/>
    <w:rsid w:val="00952800"/>
    <w:rsid w:val="0095300D"/>
    <w:rsid w:val="00956812"/>
    <w:rsid w:val="0095719A"/>
    <w:rsid w:val="009623E9"/>
    <w:rsid w:val="009648BC"/>
    <w:rsid w:val="00965F88"/>
    <w:rsid w:val="00984E03"/>
    <w:rsid w:val="00987E85"/>
    <w:rsid w:val="00991F8B"/>
    <w:rsid w:val="009A0D12"/>
    <w:rsid w:val="009A1987"/>
    <w:rsid w:val="009A2BEE"/>
    <w:rsid w:val="009A5289"/>
    <w:rsid w:val="009B0402"/>
    <w:rsid w:val="009B0B75"/>
    <w:rsid w:val="009B16DF"/>
    <w:rsid w:val="009B6EF7"/>
    <w:rsid w:val="009B7000"/>
    <w:rsid w:val="009B739C"/>
    <w:rsid w:val="009C4444"/>
    <w:rsid w:val="009C7CA6"/>
    <w:rsid w:val="009D3316"/>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78"/>
    <w:rsid w:val="00A7436E"/>
    <w:rsid w:val="00A74E96"/>
    <w:rsid w:val="00A75A8E"/>
    <w:rsid w:val="00A83676"/>
    <w:rsid w:val="00A83B7B"/>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0E65"/>
    <w:rsid w:val="00AD2BF2"/>
    <w:rsid w:val="00AD4E90"/>
    <w:rsid w:val="00AD5422"/>
    <w:rsid w:val="00AE4425"/>
    <w:rsid w:val="00AE650F"/>
    <w:rsid w:val="00AE7D16"/>
    <w:rsid w:val="00AF4CAA"/>
    <w:rsid w:val="00AF571A"/>
    <w:rsid w:val="00B07700"/>
    <w:rsid w:val="00B1528C"/>
    <w:rsid w:val="00B21487"/>
    <w:rsid w:val="00B245A8"/>
    <w:rsid w:val="00B24DB5"/>
    <w:rsid w:val="00B31F9E"/>
    <w:rsid w:val="00B3268F"/>
    <w:rsid w:val="00B33A1A"/>
    <w:rsid w:val="00B371CC"/>
    <w:rsid w:val="00B41CD9"/>
    <w:rsid w:val="00B427E6"/>
    <w:rsid w:val="00B43E1F"/>
    <w:rsid w:val="00B45FBC"/>
    <w:rsid w:val="00B51A7D"/>
    <w:rsid w:val="00B535C2"/>
    <w:rsid w:val="00B55544"/>
    <w:rsid w:val="00B642FC"/>
    <w:rsid w:val="00B70E22"/>
    <w:rsid w:val="00B774CB"/>
    <w:rsid w:val="00B80402"/>
    <w:rsid w:val="00B80B9A"/>
    <w:rsid w:val="00B830B7"/>
    <w:rsid w:val="00B84B2B"/>
    <w:rsid w:val="00B935A4"/>
    <w:rsid w:val="00BB1E19"/>
    <w:rsid w:val="00BB21D1"/>
    <w:rsid w:val="00BB32F2"/>
    <w:rsid w:val="00BB4338"/>
    <w:rsid w:val="00BB6C0E"/>
    <w:rsid w:val="00BC52FD"/>
    <w:rsid w:val="00BC6E62"/>
    <w:rsid w:val="00BC7443"/>
    <w:rsid w:val="00BD0648"/>
    <w:rsid w:val="00BD1040"/>
    <w:rsid w:val="00BD34AA"/>
    <w:rsid w:val="00BE41EC"/>
    <w:rsid w:val="00BE56FB"/>
    <w:rsid w:val="00BF3DDE"/>
    <w:rsid w:val="00BF6589"/>
    <w:rsid w:val="00BF6F7F"/>
    <w:rsid w:val="00C00647"/>
    <w:rsid w:val="00C02764"/>
    <w:rsid w:val="00C04CEF"/>
    <w:rsid w:val="00C12E96"/>
    <w:rsid w:val="00C236C8"/>
    <w:rsid w:val="00C260B1"/>
    <w:rsid w:val="00C26E56"/>
    <w:rsid w:val="00C31406"/>
    <w:rsid w:val="00C40637"/>
    <w:rsid w:val="00C40F6C"/>
    <w:rsid w:val="00C44426"/>
    <w:rsid w:val="00C451F4"/>
    <w:rsid w:val="00C45EB1"/>
    <w:rsid w:val="00C54A3A"/>
    <w:rsid w:val="00C55566"/>
    <w:rsid w:val="00C70646"/>
    <w:rsid w:val="00C72223"/>
    <w:rsid w:val="00C76417"/>
    <w:rsid w:val="00C7726F"/>
    <w:rsid w:val="00C823DA"/>
    <w:rsid w:val="00C8259F"/>
    <w:rsid w:val="00C844AB"/>
    <w:rsid w:val="00C84C47"/>
    <w:rsid w:val="00C86AFA"/>
    <w:rsid w:val="00CB24F5"/>
    <w:rsid w:val="00CB2663"/>
    <w:rsid w:val="00CB59E9"/>
    <w:rsid w:val="00CC0D6A"/>
    <w:rsid w:val="00CC3831"/>
    <w:rsid w:val="00CD5973"/>
    <w:rsid w:val="00CE31A6"/>
    <w:rsid w:val="00CF09AA"/>
    <w:rsid w:val="00CF4813"/>
    <w:rsid w:val="00CF5233"/>
    <w:rsid w:val="00D029B8"/>
    <w:rsid w:val="00D02F60"/>
    <w:rsid w:val="00D07A7B"/>
    <w:rsid w:val="00D10E06"/>
    <w:rsid w:val="00D16820"/>
    <w:rsid w:val="00D32721"/>
    <w:rsid w:val="00D328DC"/>
    <w:rsid w:val="00D402FB"/>
    <w:rsid w:val="00D47D7A"/>
    <w:rsid w:val="00D6046A"/>
    <w:rsid w:val="00D676F3"/>
    <w:rsid w:val="00D70EF5"/>
    <w:rsid w:val="00D71A25"/>
    <w:rsid w:val="00D71FCF"/>
    <w:rsid w:val="00D72A54"/>
    <w:rsid w:val="00D72CC1"/>
    <w:rsid w:val="00D80E7D"/>
    <w:rsid w:val="00D81397"/>
    <w:rsid w:val="00D848B9"/>
    <w:rsid w:val="00D90E69"/>
    <w:rsid w:val="00D93106"/>
    <w:rsid w:val="00D933E9"/>
    <w:rsid w:val="00D94184"/>
    <w:rsid w:val="00D9505D"/>
    <w:rsid w:val="00D953D0"/>
    <w:rsid w:val="00D959F5"/>
    <w:rsid w:val="00DB1AD2"/>
    <w:rsid w:val="00DB5206"/>
    <w:rsid w:val="00DB6276"/>
    <w:rsid w:val="00DB63F5"/>
    <w:rsid w:val="00DC1C6B"/>
    <w:rsid w:val="00DC2C2E"/>
    <w:rsid w:val="00DC4AF0"/>
    <w:rsid w:val="00DC7886"/>
    <w:rsid w:val="00DD0CF2"/>
    <w:rsid w:val="00DE0931"/>
    <w:rsid w:val="00DE1554"/>
    <w:rsid w:val="00DE590F"/>
    <w:rsid w:val="00DE7DC1"/>
    <w:rsid w:val="00DF7648"/>
    <w:rsid w:val="00E02BAB"/>
    <w:rsid w:val="00E04CEB"/>
    <w:rsid w:val="00E060BC"/>
    <w:rsid w:val="00E11420"/>
    <w:rsid w:val="00E170B7"/>
    <w:rsid w:val="00E177DD"/>
    <w:rsid w:val="00E17E74"/>
    <w:rsid w:val="00E20900"/>
    <w:rsid w:val="00E20C7F"/>
    <w:rsid w:val="00E2396E"/>
    <w:rsid w:val="00E34A35"/>
    <w:rsid w:val="00E46308"/>
    <w:rsid w:val="00E51E17"/>
    <w:rsid w:val="00E539B0"/>
    <w:rsid w:val="00E55994"/>
    <w:rsid w:val="00E6164D"/>
    <w:rsid w:val="00E618C9"/>
    <w:rsid w:val="00E6307C"/>
    <w:rsid w:val="00E636FA"/>
    <w:rsid w:val="00E66C50"/>
    <w:rsid w:val="00E679D3"/>
    <w:rsid w:val="00E71208"/>
    <w:rsid w:val="00E71444"/>
    <w:rsid w:val="00E773E8"/>
    <w:rsid w:val="00E84F38"/>
    <w:rsid w:val="00E85623"/>
    <w:rsid w:val="00E91FAE"/>
    <w:rsid w:val="00E936D1"/>
    <w:rsid w:val="00E96E3F"/>
    <w:rsid w:val="00EA532E"/>
    <w:rsid w:val="00EB19ED"/>
    <w:rsid w:val="00EC4CEB"/>
    <w:rsid w:val="00ED2072"/>
    <w:rsid w:val="00ED5553"/>
    <w:rsid w:val="00ED5E36"/>
    <w:rsid w:val="00ED6961"/>
    <w:rsid w:val="00EF0B96"/>
    <w:rsid w:val="00EF47AF"/>
    <w:rsid w:val="00F00B73"/>
    <w:rsid w:val="00F115CA"/>
    <w:rsid w:val="00F1510F"/>
    <w:rsid w:val="00F15E5A"/>
    <w:rsid w:val="00F1622A"/>
    <w:rsid w:val="00F17F0A"/>
    <w:rsid w:val="00F2668F"/>
    <w:rsid w:val="00F340B2"/>
    <w:rsid w:val="00F43390"/>
    <w:rsid w:val="00F50237"/>
    <w:rsid w:val="00F53596"/>
    <w:rsid w:val="00F55BA8"/>
    <w:rsid w:val="00F56ACA"/>
    <w:rsid w:val="00F600FE"/>
    <w:rsid w:val="00F62E4D"/>
    <w:rsid w:val="00F711C9"/>
    <w:rsid w:val="00F831CB"/>
    <w:rsid w:val="00F848A3"/>
    <w:rsid w:val="00F85BF8"/>
    <w:rsid w:val="00F871CE"/>
    <w:rsid w:val="00F87802"/>
    <w:rsid w:val="00F92C0A"/>
    <w:rsid w:val="00F9415B"/>
    <w:rsid w:val="00FA13C2"/>
    <w:rsid w:val="00FB121C"/>
    <w:rsid w:val="00FB2C2F"/>
    <w:rsid w:val="00FB305C"/>
    <w:rsid w:val="00FC2E3D"/>
    <w:rsid w:val="00FC5ED6"/>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BF9FE80-E755-4768-8373-F65129B17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844AB"/>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qFormat/>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1"/>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99"/>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3"/>
    <w:qFormat/>
    <w:rsid w:val="00217871"/>
    <w:pPr>
      <w:ind w:left="1020"/>
    </w:pPr>
  </w:style>
  <w:style w:type="paragraph" w:customStyle="1" w:styleId="ZARTzmartartykuempunktem">
    <w:name w:val="Z/ART(§) – zm. art. (§) artykułem (punktem)"/>
    <w:basedOn w:val="ARTartustawynprozporzdzenia"/>
    <w:uiPriority w:val="32"/>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99"/>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99"/>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1"/>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5"/>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6"/>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7"/>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4"/>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25"/>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0"/>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99"/>
    <w:semiHidden/>
    <w:rsid w:val="00C70646"/>
    <w:pPr>
      <w:ind w:left="720"/>
      <w:contextualSpacing/>
    </w:pPr>
  </w:style>
  <w:style w:type="character" w:customStyle="1" w:styleId="Ppogrubienie">
    <w:name w:val="_P_ – pogrubienie"/>
    <w:basedOn w:val="Domylnaczcionkaakapitu"/>
    <w:uiPriority w:val="1"/>
    <w:qFormat/>
    <w:rsid w:val="00E17E74"/>
    <w:rPr>
      <w:b/>
    </w:rPr>
  </w:style>
  <w:style w:type="paragraph" w:styleId="Tekstpodstawowy">
    <w:name w:val="Body Text"/>
    <w:basedOn w:val="Normalny"/>
    <w:link w:val="TekstpodstawowyZnak"/>
    <w:uiPriority w:val="99"/>
    <w:semiHidden/>
    <w:rsid w:val="00E17E74"/>
    <w:pPr>
      <w:spacing w:after="120"/>
    </w:pPr>
  </w:style>
  <w:style w:type="character" w:customStyle="1" w:styleId="TekstpodstawowyZnak">
    <w:name w:val="Tekst podstawowy Znak"/>
    <w:basedOn w:val="Domylnaczcionkaakapitu"/>
    <w:link w:val="Tekstpodstawowy"/>
    <w:uiPriority w:val="99"/>
    <w:semiHidden/>
    <w:rsid w:val="00E17E74"/>
    <w:rPr>
      <w:rFonts w:ascii="Times New Roman" w:eastAsiaTheme="minorEastAsia" w:hAnsi="Times New Roman" w:cs="Arial"/>
      <w:szCs w:val="20"/>
    </w:rPr>
  </w:style>
  <w:style w:type="paragraph" w:customStyle="1" w:styleId="akapit">
    <w:name w:val="akapit"/>
    <w:basedOn w:val="Normalny"/>
    <w:uiPriority w:val="99"/>
    <w:rsid w:val="00E17E74"/>
    <w:pPr>
      <w:widowControl/>
      <w:autoSpaceDE/>
      <w:autoSpaceDN/>
      <w:adjustRightInd/>
      <w:ind w:firstLine="851"/>
    </w:pPr>
    <w:rPr>
      <w:rFonts w:eastAsia="Times New Roman" w:cs="Times New Roman"/>
    </w:rPr>
  </w:style>
  <w:style w:type="paragraph" w:customStyle="1" w:styleId="POPIERAJCYPOPRAWKZAMIESZCZONWZESTAWIENIUWNIOSKW">
    <w:name w:val="POPIERAJĄCY POPRAWKĘ ZAMIESZCZONĄ W ZESTAWIENIU WNIOSKÓW"/>
    <w:basedOn w:val="Normalny"/>
    <w:qFormat/>
    <w:rsid w:val="00B245A8"/>
    <w:pPr>
      <w:widowControl/>
      <w:autoSpaceDE/>
      <w:autoSpaceDN/>
      <w:adjustRightInd/>
      <w:spacing w:line="240" w:lineRule="auto"/>
      <w:contextualSpacing/>
      <w:jc w:val="left"/>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wniesienie</Template>
  <TotalTime>31</TotalTime>
  <Pages>3</Pages>
  <Words>898</Words>
  <Characters>5390</Characters>
  <Application>Microsoft Office Word</Application>
  <DocSecurity>0</DocSecurity>
  <Lines>44</Lines>
  <Paragraphs>12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6276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zawislak</dc:creator>
  <cp:lastModifiedBy>Grzegorz Molesztak</cp:lastModifiedBy>
  <cp:revision>16</cp:revision>
  <cp:lastPrinted>2019-05-10T07:19:00Z</cp:lastPrinted>
  <dcterms:created xsi:type="dcterms:W3CDTF">2019-05-09T13:28:00Z</dcterms:created>
  <dcterms:modified xsi:type="dcterms:W3CDTF">2019-05-10T12:47:00Z</dcterms:modified>
</cp:coreProperties>
</file>