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646" w:rsidRDefault="00F1622A" w:rsidP="0090354A">
      <w:pPr>
        <w:pStyle w:val="OZNPROJEKTUwskazaniedatylubwersjiprojektu"/>
        <w:spacing w:after="600" w:line="720" w:lineRule="auto"/>
      </w:pPr>
      <w:r>
        <w:t xml:space="preserve"> </w:t>
      </w:r>
    </w:p>
    <w:p w:rsidR="0092159A" w:rsidRPr="00613011" w:rsidRDefault="0092159A" w:rsidP="00613011">
      <w:pPr>
        <w:pStyle w:val="OZNRODZAKTUtznustawalubrozporzdzenieiorganwydajcy"/>
      </w:pPr>
      <w:r w:rsidRPr="00613011">
        <w:t>UZASADNIENIE</w:t>
      </w:r>
    </w:p>
    <w:p w:rsidR="0092159A" w:rsidRPr="0015321A" w:rsidRDefault="0092159A" w:rsidP="0015321A">
      <w:pPr>
        <w:pStyle w:val="NIEARTTEKSTtekstnieartykuowanynppodstprawnarozplubpreambua"/>
        <w:ind w:firstLine="0"/>
        <w:rPr>
          <w:rStyle w:val="Ppogrubienie"/>
        </w:rPr>
      </w:pPr>
      <w:r w:rsidRPr="0015321A">
        <w:rPr>
          <w:rStyle w:val="Ppogrubienie"/>
        </w:rPr>
        <w:t>1. Cel projektowanej ustawy</w:t>
      </w:r>
    </w:p>
    <w:p w:rsidR="0092159A" w:rsidRDefault="0092159A" w:rsidP="00221CC4">
      <w:pPr>
        <w:pStyle w:val="NIEARTTEKSTtekstnieartykuowanynppodstprawnarozplubpreambua"/>
      </w:pPr>
      <w:r w:rsidRPr="00B14E14">
        <w:t xml:space="preserve">Projektowana ustawa o zmianie ustawy </w:t>
      </w:r>
      <w:r>
        <w:t xml:space="preserve">– Kodeks rodzinny i opiekuńczy </w:t>
      </w:r>
      <w:r w:rsidRPr="00B14E14">
        <w:t xml:space="preserve">ma na celu </w:t>
      </w:r>
      <w:r>
        <w:t>dostosowanie systemu prawa do</w:t>
      </w:r>
      <w:r w:rsidRPr="00B14E14">
        <w:t xml:space="preserve"> wyroku Trybunału Konstytucyjnego</w:t>
      </w:r>
      <w:r w:rsidRPr="00510A18">
        <w:t xml:space="preserve"> z dnia </w:t>
      </w:r>
      <w:r>
        <w:t>16 maja 2018 r.</w:t>
      </w:r>
      <w:r w:rsidRPr="00510A18">
        <w:t xml:space="preserve"> (sygn. akt </w:t>
      </w:r>
      <w:r>
        <w:t>SK</w:t>
      </w:r>
      <w:r w:rsidRPr="00510A18">
        <w:t xml:space="preserve"> </w:t>
      </w:r>
      <w:r>
        <w:t>18/17</w:t>
      </w:r>
      <w:r w:rsidRPr="00510A18">
        <w:t>)</w:t>
      </w:r>
      <w:r>
        <w:t xml:space="preserve">, </w:t>
      </w:r>
      <w:r w:rsidRPr="00B14E14">
        <w:t>stwierdzając</w:t>
      </w:r>
      <w:r>
        <w:t>ego</w:t>
      </w:r>
      <w:r w:rsidRPr="00B14E14">
        <w:t xml:space="preserve"> niezgodność</w:t>
      </w:r>
      <w:r>
        <w:t xml:space="preserve"> </w:t>
      </w:r>
      <w:r w:rsidRPr="005259D4">
        <w:t xml:space="preserve">art. </w:t>
      </w:r>
      <w:r>
        <w:t>70 § 1</w:t>
      </w:r>
      <w:r w:rsidRPr="005259D4">
        <w:t xml:space="preserve"> </w:t>
      </w:r>
      <w:r w:rsidRPr="00221CC4">
        <w:t xml:space="preserve">ustawy z dnia </w:t>
      </w:r>
      <w:r>
        <w:t>25</w:t>
      </w:r>
      <w:r w:rsidRPr="00221CC4">
        <w:t xml:space="preserve"> </w:t>
      </w:r>
      <w:r>
        <w:t>lutego</w:t>
      </w:r>
      <w:r w:rsidRPr="00221CC4">
        <w:t xml:space="preserve"> 19</w:t>
      </w:r>
      <w:r>
        <w:t>64</w:t>
      </w:r>
      <w:r w:rsidRPr="00221CC4">
        <w:t xml:space="preserve"> r. – Kodeks </w:t>
      </w:r>
      <w:r>
        <w:t>rodzinny i opiekuńczy</w:t>
      </w:r>
      <w:r w:rsidRPr="00221CC4">
        <w:t xml:space="preserve"> (Dz. U. z 2017 r. poz. </w:t>
      </w:r>
      <w:r>
        <w:t>682</w:t>
      </w:r>
      <w:r w:rsidRPr="00221CC4">
        <w:t>; dalej jako k.</w:t>
      </w:r>
      <w:r>
        <w:t>r</w:t>
      </w:r>
      <w:r w:rsidRPr="00221CC4">
        <w:t>.</w:t>
      </w:r>
      <w:r>
        <w:t>o</w:t>
      </w:r>
      <w:r w:rsidRPr="00221CC4">
        <w:t>.)</w:t>
      </w:r>
      <w:r>
        <w:t xml:space="preserve"> z Konstytucją. </w:t>
      </w:r>
      <w:r w:rsidRPr="00510A18">
        <w:t xml:space="preserve">Sentencja </w:t>
      </w:r>
      <w:r>
        <w:t>powołanego orzeczenia</w:t>
      </w:r>
      <w:r w:rsidRPr="00510A18">
        <w:t xml:space="preserve"> została opublikowana w Dz. U. </w:t>
      </w:r>
      <w:r>
        <w:t xml:space="preserve">z dnia 19 maja 2018 r. </w:t>
      </w:r>
      <w:r w:rsidRPr="00510A18">
        <w:t>poz.</w:t>
      </w:r>
      <w:r>
        <w:t> 950</w:t>
      </w:r>
      <w:r w:rsidRPr="00510A18">
        <w:t xml:space="preserve">. Pełny tekst </w:t>
      </w:r>
      <w:r>
        <w:t xml:space="preserve">rozstrzygnięcia wraz z </w:t>
      </w:r>
      <w:r w:rsidRPr="00510A18">
        <w:t>uzasadnieniem ukazał się w</w:t>
      </w:r>
      <w:r>
        <w:t xml:space="preserve"> </w:t>
      </w:r>
      <w:r w:rsidRPr="00510A18">
        <w:t xml:space="preserve">OTK ZU </w:t>
      </w:r>
      <w:r>
        <w:t>A poz. 25</w:t>
      </w:r>
      <w:r w:rsidRPr="00510A18">
        <w:t>.</w:t>
      </w:r>
    </w:p>
    <w:p w:rsidR="0092159A" w:rsidRPr="0015321A" w:rsidRDefault="0092159A" w:rsidP="0015321A"/>
    <w:p w:rsidR="0092159A" w:rsidRPr="0015321A" w:rsidRDefault="0092159A" w:rsidP="00C50587">
      <w:pPr>
        <w:rPr>
          <w:rStyle w:val="Ppogrubienie"/>
        </w:rPr>
      </w:pPr>
      <w:r w:rsidRPr="0015321A">
        <w:rPr>
          <w:rStyle w:val="Ppogrubienie"/>
        </w:rPr>
        <w:t>2. Przedmiot i istota wypowiedzi Trybunału Konstytucyjnego</w:t>
      </w:r>
    </w:p>
    <w:p w:rsidR="0092159A" w:rsidRDefault="0092159A" w:rsidP="000C244F">
      <w:pPr>
        <w:pStyle w:val="NIEARTTEKSTtekstnieartykuowanynppodstprawnarozplubpreambua"/>
      </w:pPr>
      <w:r>
        <w:t xml:space="preserve">2.1. Trybunał orzekł, że </w:t>
      </w:r>
      <w:r>
        <w:rPr>
          <w:spacing w:val="-2"/>
        </w:rPr>
        <w:t xml:space="preserve">art. 70 § 1 k.r.o. </w:t>
      </w:r>
      <w:r w:rsidRPr="00394A1B">
        <w:rPr>
          <w:spacing w:val="-2"/>
        </w:rPr>
        <w:t>w zakresie, w jakim określa termin do</w:t>
      </w:r>
      <w:r>
        <w:rPr>
          <w:spacing w:val="-2"/>
        </w:rPr>
        <w:t> </w:t>
      </w:r>
      <w:r w:rsidRPr="00394A1B">
        <w:rPr>
          <w:spacing w:val="-2"/>
        </w:rPr>
        <w:t>wytoczenia powództwa o zaprzeczenie ojcostwa męża matki niezależnie od daty powzięcia wiadomości przez pełnoletnie dziecko o tym, że nie pochodzi od męża matki,</w:t>
      </w:r>
      <w:r>
        <w:rPr>
          <w:spacing w:val="-2"/>
        </w:rPr>
        <w:t xml:space="preserve"> jest </w:t>
      </w:r>
      <w:r w:rsidRPr="00926F0E">
        <w:t>niezgodn</w:t>
      </w:r>
      <w:r>
        <w:t>y z </w:t>
      </w:r>
      <w:r w:rsidRPr="00926F0E">
        <w:t xml:space="preserve">art. </w:t>
      </w:r>
      <w:r>
        <w:t xml:space="preserve">30 w zw. z art. 47 w zw. z art. 31 ust. 3 </w:t>
      </w:r>
      <w:r w:rsidRPr="00926F0E">
        <w:t xml:space="preserve">Konstytucji </w:t>
      </w:r>
      <w:r>
        <w:t>Rzeczypospolitej Polskiej</w:t>
      </w:r>
      <w:r w:rsidRPr="000C244F">
        <w:t>.</w:t>
      </w:r>
    </w:p>
    <w:p w:rsidR="0092159A" w:rsidRDefault="0092159A" w:rsidP="0093030F">
      <w:pPr>
        <w:pStyle w:val="NIEARTTEKSTtekstnieartykuowanynppodstprawnarozplubpreambua"/>
      </w:pPr>
      <w:r>
        <w:t>2.2. Art. 70 § 1 k.r.o. brzmi następująco: „Dziecko po dojściu do pełnoletności może wytoczyć powództwo o zaprzeczenie ojcostwa męża swojej matki, nie później jednak niż w ciągu trzech lat od osiągnięcia pełnoletności.”</w:t>
      </w:r>
    </w:p>
    <w:p w:rsidR="0092159A" w:rsidRDefault="0092159A" w:rsidP="0093030F">
      <w:pPr>
        <w:pStyle w:val="NIEARTTEKSTtekstnieartykuowanynppodstprawnarozplubpreambua"/>
      </w:pPr>
      <w:r>
        <w:t xml:space="preserve">Podstawowym sposobem ustalenia ojcostwa dziecka jest przyjęte w art. 62 § 1 k.r.o. domniemanie pochodzenia dziecka od męża matki. Dotyczy to dzieci urodzonych w czasie trwania małżeństwa albo przed upływem trzystu dni od jego ustania lub unieważnienia, z wyjątkiem wszakże sytuacji, gdy dziecko urodziło się po upływie trzystu dni od orzeczenia separacji. Z kolei art. 62 § 2 k.r.o. statuuje domniemanie prawne, które znajduje zastosowanie </w:t>
      </w:r>
      <w:r w:rsidRPr="00E36A20">
        <w:rPr>
          <w:spacing w:val="-2"/>
        </w:rPr>
        <w:t>w przypadku zawarcia przez matkę nowego małżeństwa przed upływem wyżej wymienionego</w:t>
      </w:r>
      <w:r>
        <w:t xml:space="preserve"> terminu trzystu dni od ustania bądź unieważnienia pierwszego małżeństwa. Zgodnie z nim, prawna więź filiacji powstaje wówczas między dzieckiem i drugim mężem matki, chyba że dziecko urodziło się w następstwie procedury medycznie wspomaganej prokreacji, na którą wyraził zgodę pierwszy mąż matki. Stosownie do art. 62 § 3 k.r.o. domniemania z art. 62 § 1 i 2 k.r.o. mogą zostać obalone wyłącznie na skutek powództwa o zaprzeczenie ojcostwa.</w:t>
      </w:r>
    </w:p>
    <w:p w:rsidR="0092159A" w:rsidRDefault="0092159A" w:rsidP="0093030F">
      <w:pPr>
        <w:pStyle w:val="NIEARTTEKSTtekstnieartykuowanynppodstprawnarozplubpreambua"/>
      </w:pPr>
      <w:r>
        <w:t xml:space="preserve">Zaprzeczenie ojcostwa następuje przez wykazanie, że mąż matki nie jest ojcem dziecka (art. 67 k.r.o.). Legitymacja do wytoczenia omawianego powództwa przysługuje mężowi matki (art. 63 k.r.o.), matce (art. 69 § 1 k.r.o.), dziecku, a także prokuratorowi (art. 86 k.r.o.). Podobnie jak w przypadku dziecka, możliwość wystąpienia z tego typu żądaniem przez męża matki oraz przez samą matkę jest ograniczone terminem (6 miesięcy, odpowiednio, od dnia </w:t>
      </w:r>
      <w:r>
        <w:lastRenderedPageBreak/>
        <w:t>dowiedzenia się o urodzeniu dziecka i od urodzenia dziecka). Tylko prokurator może skutecznie wytoczyć powództwo w każdym czasie.</w:t>
      </w:r>
    </w:p>
    <w:p w:rsidR="0092159A" w:rsidRDefault="0092159A" w:rsidP="0093030F">
      <w:pPr>
        <w:pStyle w:val="NIEARTTEKSTtekstnieartykuowanynppodstprawnarozplubpreambua"/>
      </w:pPr>
      <w:r>
        <w:t>Od uprzedniego obalenia domniemania pochodzenia dziecka od męża matki uzależnione jest ustalenie ojcostwa zgodnie z prawdą biologiczną. Dzieje się to przez uznanie ojcostwa albo na mocy orzeczenia sądu (art. 72 § 1 k.r.o.). Co ważne: dochodzenie przez pełnoletnie dziecko sądowego ustalenia ojcostwa, w odróżnieniu od zaprzeczenia ojcostwa, nie jest już obwarowane żadnym terminem ustawowym (art. 84 k.r.o.).</w:t>
      </w:r>
    </w:p>
    <w:p w:rsidR="0092159A" w:rsidRDefault="0092159A" w:rsidP="0093030F">
      <w:pPr>
        <w:pStyle w:val="NIEARTTEKSTtekstnieartykuowanynppodstprawnarozplubpreambua"/>
      </w:pPr>
      <w:r>
        <w:t>Reasumując: powództwo o zaprzeczenie ojcostwa stanowi jedyny prawem przewidziany mechanizm obalenia domniemania prawnego pochodzenia od męża matki. Jeżeli powodem ma być dziecko, to powództwo to musi zostać wytoczone przed upływem terminu zawitego, określonego w art. 70 § 1 k.r.o.</w:t>
      </w:r>
    </w:p>
    <w:p w:rsidR="0092159A" w:rsidRDefault="0092159A" w:rsidP="0093030F">
      <w:pPr>
        <w:pStyle w:val="NIEARTTEKSTtekstnieartykuowanynppodstprawnarozplubpreambua"/>
        <w:rPr>
          <w:rFonts w:eastAsia="MS Mincho"/>
          <w:spacing w:val="-2"/>
        </w:rPr>
      </w:pPr>
      <w:r>
        <w:t xml:space="preserve">2.3. Na gruncie konstytucyjnym można mówić o istnieniu prawa podmiotowego każdego człowieka do poznania i prawnego uznania własnej tożsamości biologicznej. Prawo to jest „szczególnym, osobistym konstytucyjnym prawem podmiotowym” (tak TK w wyroku wydanym w sprawie K 18/02). Pozostaje ono w ścisłym związku z prawem do prawnej ochrony godności człowieka (art. 30 Konstytucji), a także z prawem do prawnej ochrony życia prywatnego i rodzinnego (art. 47 Konstytucji). „Możliwość ustalenia swoich korzeni i  zidentyfikowania przodków zgodnie </w:t>
      </w:r>
      <w:r w:rsidRPr="00680061">
        <w:rPr>
          <w:spacing w:val="-4"/>
        </w:rPr>
        <w:t>z</w:t>
      </w:r>
      <w:r>
        <w:rPr>
          <w:spacing w:val="-4"/>
        </w:rPr>
        <w:t xml:space="preserve"> </w:t>
      </w:r>
      <w:r w:rsidRPr="00680061">
        <w:rPr>
          <w:spacing w:val="-4"/>
        </w:rPr>
        <w:t>prawdą biologiczną warunkuje (…) możliwość rozwijania swojej osobowości i relacji z innymi</w:t>
      </w:r>
      <w:r>
        <w:t xml:space="preserve"> osobami przy pełnym rozeznaniu co do okoliczności poczęcia i narodzin oraz pochodzenia biologicznego. Ostatecznie bowiem świadomość swojej rzeczywistej tożsamości biologicznej wpływa na decyzje, jakie jednostka podejmuje się w sferze życia osobistego, prywatnego i rodzinnego [pisownia oryginalna]. Wpływa ponadto na jakość stosunków emocjonalnych w rodzinie”.</w:t>
      </w:r>
    </w:p>
    <w:p w:rsidR="0092159A" w:rsidRDefault="0092159A" w:rsidP="0093030F">
      <w:pPr>
        <w:pStyle w:val="NIEARTTEKSTtekstnieartykuowanynppodstprawnarozplubpreambua"/>
        <w:rPr>
          <w:rFonts w:eastAsia="MS Mincho"/>
        </w:rPr>
      </w:pPr>
      <w:r>
        <w:t xml:space="preserve">Aczkolwiek – jak zaznaczył Trybunał – „zasada </w:t>
      </w:r>
      <w:r>
        <w:rPr>
          <w:rFonts w:eastAsia="MS Mincho"/>
        </w:rPr>
        <w:t xml:space="preserve">prymatu rodziny naturalnej i więzi biologicznych jako podstawy kształtowania stosunków rodzinnych nie ma charakteru bezwzględnego. Nie w każdych okolicznościach musi ona przeważyć nad wartością, jaką są relacje rodzinne ukształtowane już według innego rodzaju kryteriów i zapewniające realizację wartości, takich jak bliskość i </w:t>
      </w:r>
      <w:r w:rsidRPr="001C395A">
        <w:rPr>
          <w:rFonts w:eastAsia="MS Mincho"/>
          <w:spacing w:val="-2"/>
        </w:rPr>
        <w:t>stabilność (…) [więzów], bezpieczeństwo dziecka, a także godziwe warunki jego wychowania</w:t>
      </w:r>
      <w:r>
        <w:rPr>
          <w:rFonts w:eastAsia="MS Mincho"/>
        </w:rPr>
        <w:t xml:space="preserve"> i rozwoju”.</w:t>
      </w:r>
    </w:p>
    <w:p w:rsidR="0092159A" w:rsidRDefault="0092159A" w:rsidP="0093030F">
      <w:pPr>
        <w:pStyle w:val="NIEARTTEKSTtekstnieartykuowanynppodstprawnarozplubpreambua"/>
      </w:pPr>
      <w:r w:rsidRPr="0050395C">
        <w:t>Rozwiązanie prawne przewidziane w zaskarżonym art. 70 § 1 k.r.o., polegające na</w:t>
      </w:r>
      <w:r>
        <w:t>  </w:t>
      </w:r>
      <w:r w:rsidRPr="004669A3">
        <w:rPr>
          <w:spacing w:val="-2"/>
        </w:rPr>
        <w:t>zamknięciu drogi dochodzenia zaprzeczenia ojcostwa po upływie 3-letniego terminu zawitego,</w:t>
      </w:r>
      <w:r w:rsidRPr="0050395C">
        <w:t xml:space="preserve"> stanowi niewątpliwie ograniczenie konstytucyjnego prawa do poznania własnych </w:t>
      </w:r>
      <w:r w:rsidRPr="009C0A71">
        <w:rPr>
          <w:spacing w:val="-2"/>
        </w:rPr>
        <w:t>korzeni biologicznych. Niemniej problemem nie jest w tym przypadku fakt, że wraz z upływem</w:t>
      </w:r>
      <w:r w:rsidRPr="0050395C">
        <w:t xml:space="preserve"> trzech </w:t>
      </w:r>
      <w:r w:rsidRPr="00396249">
        <w:rPr>
          <w:spacing w:val="-3"/>
        </w:rPr>
        <w:t>lat od osiągnięcia pełnoletności dziecko definitywnie traci możliwość podważenia domniemania</w:t>
      </w:r>
      <w:r w:rsidRPr="0050395C">
        <w:t xml:space="preserve"> prawnego z art. 62 § 1 lub 2 k.r.o., lecz </w:t>
      </w:r>
      <w:r>
        <w:t xml:space="preserve">okoliczność, że bieg tego terminu jest </w:t>
      </w:r>
      <w:r>
        <w:lastRenderedPageBreak/>
        <w:t>całkowicie oderwany od momentu, w którym zainteresowany dowiedział się o tym, iż nie pochodzi od męża matki.</w:t>
      </w:r>
    </w:p>
    <w:p w:rsidR="0092159A" w:rsidRDefault="0092159A" w:rsidP="00D850F5">
      <w:pPr>
        <w:pStyle w:val="NIEARTTEKSTtekstnieartykuowanynppodstprawnarozplubpreambua"/>
      </w:pPr>
      <w:r>
        <w:t xml:space="preserve">Według TK, „przyjęcie daty osiągnięcia pełnoletności jako początku terminu zawitego </w:t>
      </w:r>
      <w:r w:rsidRPr="004F1F16">
        <w:rPr>
          <w:spacing w:val="-2"/>
        </w:rPr>
        <w:t>do wytoczenia przez dziecko powództwa o zaprzeczenie ojcostwa wyraża zamiar ustawodawcy</w:t>
      </w:r>
      <w:r>
        <w:t xml:space="preserve"> ustabilizowania – możliwie szybko i ostatecznie – prawnego statusu dziecka oraz osób pozostających z nim w relacji rodzinnej. Zamiar ten nie jest do końca pozbawiony konstytucyjnego uzasadnienia, ponieważ pewność prawa w zakresie dotyczącym praw stanu [jako składnik porządku publicznego] jest wartością konstytucyjną.” Tyle że p</w:t>
      </w:r>
      <w:r w:rsidRPr="00095A59">
        <w:t xml:space="preserve">ewność prawa </w:t>
      </w:r>
      <w:r>
        <w:t>r</w:t>
      </w:r>
      <w:r w:rsidRPr="00095A59">
        <w:t xml:space="preserve">ozumiana jako </w:t>
      </w:r>
      <w:r>
        <w:t xml:space="preserve">brak </w:t>
      </w:r>
      <w:r w:rsidRPr="00095A59">
        <w:t>moż</w:t>
      </w:r>
      <w:r>
        <w:t>liwo</w:t>
      </w:r>
      <w:r w:rsidRPr="00095A59">
        <w:t>ś</w:t>
      </w:r>
      <w:r>
        <w:t>ci</w:t>
      </w:r>
      <w:r w:rsidRPr="00095A59">
        <w:t xml:space="preserve"> zmiany stanu prawnego po upływie pewnego czasu nie powinna </w:t>
      </w:r>
      <w:r>
        <w:t>automatycznie</w:t>
      </w:r>
      <w:r w:rsidRPr="00095A59">
        <w:t xml:space="preserve"> przeważać nad konstytucyjnym prawem do poznania i prawnego uznania swojego pochodzenia w zgodzie z prawdą biologiczną</w:t>
      </w:r>
      <w:r>
        <w:t>. „P</w:t>
      </w:r>
      <w:r w:rsidRPr="00095A59">
        <w:t>etryfikowanie stanów prawnych niezgodnych z prawdą biologiczną</w:t>
      </w:r>
      <w:r>
        <w:t>,</w:t>
      </w:r>
      <w:r w:rsidRPr="00095A59">
        <w:t xml:space="preserve"> zwłaszcza w sy</w:t>
      </w:r>
      <w:r>
        <w:t>tuacjach, w których strony są w </w:t>
      </w:r>
      <w:r w:rsidRPr="00095A59">
        <w:t>stanie wykazać, że stan prawny jest z nią niezgodny, może w niektórych okolicznościach godzić w poczucie sprawiedliwości oraz prowadzić do p</w:t>
      </w:r>
      <w:r>
        <w:t>odważenia zaufania do państwa i </w:t>
      </w:r>
      <w:r w:rsidRPr="00095A59">
        <w:t>stanowionego przez nie prawa.</w:t>
      </w:r>
      <w:r>
        <w:t>”</w:t>
      </w:r>
    </w:p>
    <w:p w:rsidR="0092159A" w:rsidRDefault="0092159A" w:rsidP="00D850F5">
      <w:pPr>
        <w:pStyle w:val="NIEARTTEKSTtekstnieartykuowanynppodstprawnarozplubpreambua"/>
      </w:pPr>
      <w:r>
        <w:t xml:space="preserve">Trybunał zastrzegł przy tym, że </w:t>
      </w:r>
      <w:r w:rsidRPr="00095A59">
        <w:t>wynikającego z art. 70 § 1 k.r.o. ograniczenia nie</w:t>
      </w:r>
      <w:r>
        <w:t> </w:t>
      </w:r>
      <w:r w:rsidRPr="00102778">
        <w:rPr>
          <w:spacing w:val="-2"/>
        </w:rPr>
        <w:t>rekompensuje kompetencja prokuratora (w istocie nielimitowana żadnym terminem) w</w:t>
      </w:r>
      <w:r>
        <w:rPr>
          <w:spacing w:val="-2"/>
        </w:rPr>
        <w:t> </w:t>
      </w:r>
      <w:r w:rsidRPr="00102778">
        <w:rPr>
          <w:spacing w:val="-2"/>
        </w:rPr>
        <w:t>zakresie</w:t>
      </w:r>
      <w:r w:rsidRPr="00095A59">
        <w:t xml:space="preserve"> wytoczenia powództwa </w:t>
      </w:r>
      <w:r>
        <w:t xml:space="preserve">o zaprzeczenie ojcostwa </w:t>
      </w:r>
      <w:r w:rsidRPr="00095A59">
        <w:t xml:space="preserve">na mocy art. 86 k.r.o. Przeciwnie, treść art. 86 k.r.o. tylko </w:t>
      </w:r>
      <w:r w:rsidRPr="00102778">
        <w:rPr>
          <w:spacing w:val="-2"/>
        </w:rPr>
        <w:t>potwierdza tezę o arbitralności rozwiązania ustawowego uniemożliwiającego samemu dziecku</w:t>
      </w:r>
      <w:r w:rsidRPr="00095A59">
        <w:t xml:space="preserve"> wytoczenie </w:t>
      </w:r>
      <w:r>
        <w:t xml:space="preserve">takiego </w:t>
      </w:r>
      <w:r w:rsidRPr="00095A59">
        <w:t>powództwa po upływie 3-letniego terminu zawitego, który w tym przypadku zaczyna biec niezależnie od tego, kiedy dziecko dowiedziało się, że nie pochodzi od męża matki</w:t>
      </w:r>
      <w:r>
        <w:t xml:space="preserve">. Nie można mówić o racjonalności rozwiązania ustawowego, skoro stabilizacja sytuacji prawnej, która ma zostać osiągnięta przez odebranie bezpośrednio zainteresowanym, w tym pełnoletniemu dziecku, możliwości wytoczenia powództwa o zaprzeczenie ojcostwa, może być w każdym czasie przekreślona z inicjatywy prokuratora. </w:t>
      </w:r>
      <w:r w:rsidRPr="00412A16">
        <w:rPr>
          <w:spacing w:val="-2"/>
        </w:rPr>
        <w:t>Ponadto decyzja o wytoczeniu powództwa przez prokuratora zależy wyłącznie od samodzielnie</w:t>
      </w:r>
      <w:r w:rsidRPr="00095A59">
        <w:t xml:space="preserve"> przez niego dokonanej oceny przesłanek alternatywnych, jakimi są „dobro dziecka” </w:t>
      </w:r>
      <w:r>
        <w:t>oraz</w:t>
      </w:r>
      <w:r w:rsidRPr="00095A59">
        <w:t xml:space="preserve"> „ochrona interesu społecznego”. Organ ten nie jest </w:t>
      </w:r>
      <w:r>
        <w:t xml:space="preserve">do tego </w:t>
      </w:r>
      <w:r w:rsidRPr="00095A59">
        <w:t>w żaden spo</w:t>
      </w:r>
      <w:r>
        <w:t>sób związany stanowiskiem osoby, która zwróciła się do niego z wnioskiem w tym przedmiocie</w:t>
      </w:r>
      <w:r w:rsidRPr="00095A59">
        <w:t>.</w:t>
      </w:r>
      <w:r>
        <w:t xml:space="preserve"> I wreszcie, „</w:t>
      </w:r>
      <w:r w:rsidRPr="00095A59">
        <w:t>już sama konieczność ujawniania prokuratorowi faktów z życia rodzinnego, które miałyby świadczyć o pochodzeniu od mężczyzny innego niż mąż matki, wiąże się z ingerencją władzy publicznej w sferę życia prywatnego i rodzinnego.</w:t>
      </w:r>
      <w:r>
        <w:t>”</w:t>
      </w:r>
    </w:p>
    <w:p w:rsidR="0092159A" w:rsidRDefault="0092159A" w:rsidP="00D850F5">
      <w:pPr>
        <w:pStyle w:val="NIEARTTEKSTtekstnieartykuowanynppodstprawnarozplubpreambua"/>
        <w:rPr>
          <w:rFonts w:eastAsia="MS Mincho"/>
        </w:rPr>
      </w:pPr>
      <w:r w:rsidRPr="00095A59">
        <w:t xml:space="preserve">Na tle art. 70 § 1 k.r.o. prawo do wytoczenia powództwa o zaprzeczenie ojcostwa staje się teoretyczne we wszystkich </w:t>
      </w:r>
      <w:r>
        <w:t xml:space="preserve">tych </w:t>
      </w:r>
      <w:r w:rsidRPr="00095A59">
        <w:t xml:space="preserve">sytuacjach, kiedy przed osiągnięciem pełnoletności </w:t>
      </w:r>
      <w:r>
        <w:t xml:space="preserve">bądź </w:t>
      </w:r>
      <w:r w:rsidRPr="00095A59">
        <w:t>w</w:t>
      </w:r>
      <w:r>
        <w:t> </w:t>
      </w:r>
      <w:r w:rsidRPr="00095A59">
        <w:t>ciągu 3 lat, licząc od tej daty, dziecko nie uzyskało wiedzy o okolicznościach mogących świadczyć o tym, że nie pochodzi od męża swojej matki.</w:t>
      </w:r>
      <w:r>
        <w:t xml:space="preserve"> Przyznany prawem instrument staje się w takim układzie czysto iluzoryczny. Tymczasem, co sąd konstytucyjny wielokrotnie </w:t>
      </w:r>
      <w:r>
        <w:lastRenderedPageBreak/>
        <w:t xml:space="preserve">podnosił, </w:t>
      </w:r>
      <w:r w:rsidRPr="00095A59">
        <w:rPr>
          <w:rFonts w:eastAsia="MS Mincho"/>
        </w:rPr>
        <w:t>ustawodawc</w:t>
      </w:r>
      <w:r>
        <w:rPr>
          <w:rFonts w:eastAsia="MS Mincho"/>
        </w:rPr>
        <w:t>a nie może</w:t>
      </w:r>
      <w:r w:rsidRPr="00095A59">
        <w:rPr>
          <w:rFonts w:eastAsia="MS Mincho"/>
        </w:rPr>
        <w:t xml:space="preserve"> tworzyć konstrukcji normatywnych, które są niewykonalne, stanowią złudzenie prawa i w konsekwencji dają jedynie pozór ochrony interesów jednostki. </w:t>
      </w:r>
      <w:r>
        <w:rPr>
          <w:rFonts w:eastAsia="MS Mincho"/>
        </w:rPr>
        <w:t>N</w:t>
      </w:r>
      <w:r w:rsidRPr="00095A59">
        <w:rPr>
          <w:rFonts w:eastAsia="MS Mincho"/>
        </w:rPr>
        <w:t xml:space="preserve">ie może </w:t>
      </w:r>
      <w:r>
        <w:rPr>
          <w:rFonts w:eastAsia="MS Mincho"/>
        </w:rPr>
        <w:t xml:space="preserve">on więc </w:t>
      </w:r>
      <w:r w:rsidRPr="00095A59">
        <w:rPr>
          <w:rFonts w:eastAsia="MS Mincho"/>
        </w:rPr>
        <w:t xml:space="preserve">doprowadzać do istotnego zawężenia możliwości realizacji formalnie przyznanego jednostce prawa podmiotowego, tak że prowadzi to do powstania swoistego </w:t>
      </w:r>
      <w:r w:rsidRPr="00095A59">
        <w:rPr>
          <w:rFonts w:eastAsia="MS Mincho"/>
          <w:i/>
          <w:iCs/>
        </w:rPr>
        <w:t>nudum ius</w:t>
      </w:r>
      <w:r w:rsidRPr="00095A59">
        <w:rPr>
          <w:rFonts w:eastAsia="MS Mincho"/>
        </w:rPr>
        <w:t>, które wskutek tego staje się prawem bezprzedmiotowym</w:t>
      </w:r>
      <w:r>
        <w:rPr>
          <w:rFonts w:eastAsia="MS Mincho"/>
        </w:rPr>
        <w:t>.</w:t>
      </w:r>
    </w:p>
    <w:p w:rsidR="0092159A" w:rsidRDefault="0092159A" w:rsidP="00D850F5">
      <w:pPr>
        <w:pStyle w:val="NIEARTTEKSTtekstnieartykuowanynppodstprawnarozplubpreambua"/>
      </w:pPr>
      <w:r>
        <w:t xml:space="preserve">Z tych względów Trybunał uznał, że art. 70 § 1 k.r.o. </w:t>
      </w:r>
      <w:r w:rsidRPr="00095A59">
        <w:t>nie zapewnia należytej ochrony prawnej życia prywatnego i rodzinnego oraz godzi w istotę prawa do decydowania o życiu osobistym</w:t>
      </w:r>
      <w:r>
        <w:t>, a tym samym jest</w:t>
      </w:r>
      <w:r w:rsidRPr="00095A59">
        <w:t xml:space="preserve"> niezgodny z art. 47 w zw</w:t>
      </w:r>
      <w:r>
        <w:t>.</w:t>
      </w:r>
      <w:r w:rsidRPr="00095A59">
        <w:t xml:space="preserve"> z art. 31 ust. 3 Konstytucji</w:t>
      </w:r>
      <w:r>
        <w:t>. Jednocześnie przepis ten, jako zawierający arbitralną regulację prawną, która jest barierą dla </w:t>
      </w:r>
      <w:r w:rsidRPr="00095A59">
        <w:t>poznania i prawnego uznania prawdziwej tożsamości biologicznej</w:t>
      </w:r>
      <w:r>
        <w:t xml:space="preserve"> jednostki</w:t>
      </w:r>
      <w:r w:rsidRPr="00095A59">
        <w:t>, narusza prawo do ochrony godności</w:t>
      </w:r>
      <w:r>
        <w:t xml:space="preserve"> zagwarantowane w art. 30 Konstytucji.</w:t>
      </w:r>
    </w:p>
    <w:p w:rsidR="0092159A" w:rsidRPr="0015321A" w:rsidRDefault="0092159A" w:rsidP="0015321A"/>
    <w:p w:rsidR="0092159A" w:rsidRPr="0015321A" w:rsidRDefault="0092159A" w:rsidP="00457372">
      <w:pPr>
        <w:keepNext/>
        <w:rPr>
          <w:rStyle w:val="Ppogrubienie"/>
        </w:rPr>
      </w:pPr>
      <w:r w:rsidRPr="0015321A">
        <w:rPr>
          <w:rStyle w:val="Ppogrubienie"/>
        </w:rPr>
        <w:t>3. Różnice między dotychczasowym a projektowanym stanem prawnym</w:t>
      </w:r>
    </w:p>
    <w:p w:rsidR="0092159A" w:rsidRDefault="0092159A" w:rsidP="00D850F5">
      <w:pPr>
        <w:pStyle w:val="NIEARTTEKSTtekstnieartykuowanynppodstprawnarozplubpreambua"/>
      </w:pPr>
      <w:r>
        <w:t xml:space="preserve">W końcowym fragmencie uzasadnienia Trybunał podniósł, że „[p]o wejściu w </w:t>
      </w:r>
      <w:r w:rsidRPr="00095A59">
        <w:t xml:space="preserve">życie </w:t>
      </w:r>
      <w:r>
        <w:t>(…)</w:t>
      </w:r>
      <w:r w:rsidRPr="00095A59">
        <w:t xml:space="preserve"> wyroku termin do wytoczenia przez pełnoletnie dziecko powództwa o zaprzeczenie ojcostwa będzie musiał być liczony od daty, w której dziecko to dowiedziało się, że nie</w:t>
      </w:r>
      <w:r>
        <w:t> </w:t>
      </w:r>
      <w:r w:rsidRPr="00095A59">
        <w:t>pochodzi od męża swojej matki. W przypadku natomiast dziecka, które dowiedziało się o</w:t>
      </w:r>
      <w:r>
        <w:t> </w:t>
      </w:r>
      <w:r w:rsidRPr="00095A59">
        <w:t>swoim rzeczywistym pochodzeniu przed dojściem do pełnoletności, termin liczony będzie nadal od dnia osiągnięcia przez nie pełnoletności</w:t>
      </w:r>
      <w:r>
        <w:t>”.</w:t>
      </w:r>
    </w:p>
    <w:p w:rsidR="0092159A" w:rsidRDefault="0092159A" w:rsidP="00D850F5">
      <w:pPr>
        <w:pStyle w:val="NIEARTTEKSTtekstnieartykuowanynppodstprawnarozplubpreambua"/>
      </w:pPr>
      <w:r>
        <w:t xml:space="preserve">Nie oznacza to jednak, że ustawodawca może czuć się zwolniony z obowiązku </w:t>
      </w:r>
      <w:r w:rsidRPr="00E17DEB">
        <w:rPr>
          <w:spacing w:val="-3"/>
        </w:rPr>
        <w:t>prawidłowego, tj. zgodnego z Konstytucją, u</w:t>
      </w:r>
      <w:r>
        <w:rPr>
          <w:spacing w:val="-3"/>
        </w:rPr>
        <w:t>normow</w:t>
      </w:r>
      <w:r w:rsidRPr="00E17DEB">
        <w:rPr>
          <w:spacing w:val="-3"/>
        </w:rPr>
        <w:t>ania początku biegu terminu do wytoczenia</w:t>
      </w:r>
      <w:r w:rsidRPr="001A0ECE">
        <w:rPr>
          <w:spacing w:val="-2"/>
        </w:rPr>
        <w:t xml:space="preserve"> przez dziecko powództwa o zaprzeczenie</w:t>
      </w:r>
      <w:r>
        <w:t xml:space="preserve"> ojcostwa. Wymaga tego bowiem nade wszystko wzgląd na zasadę ochrony zaufania obywateli do państwa i stanowionego przez nie prawa. </w:t>
      </w:r>
      <w:r w:rsidRPr="00872567">
        <w:rPr>
          <w:spacing w:val="-2"/>
        </w:rPr>
        <w:t>W szczególności chodzi o to, że adresatami regulacji z art. 70 § 1 k.r.o.</w:t>
      </w:r>
      <w:r>
        <w:rPr>
          <w:spacing w:val="-2"/>
        </w:rPr>
        <w:t xml:space="preserve"> –</w:t>
      </w:r>
      <w:r w:rsidRPr="00872567">
        <w:rPr>
          <w:spacing w:val="-2"/>
        </w:rPr>
        <w:t xml:space="preserve"> </w:t>
      </w:r>
      <w:r>
        <w:rPr>
          <w:spacing w:val="-2"/>
        </w:rPr>
        <w:t xml:space="preserve">co do zasady – </w:t>
      </w:r>
      <w:r w:rsidRPr="00872567">
        <w:rPr>
          <w:spacing w:val="-2"/>
        </w:rPr>
        <w:t>nie są osoby, od których</w:t>
      </w:r>
      <w:r>
        <w:t xml:space="preserve"> można by wymagać znajomości orzecznictwa Trybunału Konstytucyjnego. Równocześnie nie da się pominąć tego, że zrekonstruowana przez TK norma prawna dotyczy żywotnych interesów takich osób.</w:t>
      </w:r>
    </w:p>
    <w:p w:rsidR="0092159A" w:rsidRDefault="0092159A" w:rsidP="00D850F5">
      <w:pPr>
        <w:pStyle w:val="NIEARTTEKSTtekstnieartykuowanynppodstprawnarozplubpreambua"/>
      </w:pPr>
      <w:r>
        <w:t xml:space="preserve">Dodatkowym argumentem za podjęciem prac legislacyjnych jest to, że analogiczne rozwiązanie prawne związane z terminem zawitym liczonym </w:t>
      </w:r>
      <w:r>
        <w:rPr>
          <w:rStyle w:val="Kkursywa"/>
        </w:rPr>
        <w:t>a tempore facti</w:t>
      </w:r>
      <w:r>
        <w:t xml:space="preserve"> występuje jeszcze w dwóch innych przepisach k.r.o., a mianowicie:</w:t>
      </w:r>
    </w:p>
    <w:p w:rsidR="0092159A" w:rsidRDefault="0092159A" w:rsidP="00C25504">
      <w:r>
        <w:t>– art. 61</w:t>
      </w:r>
      <w:r>
        <w:rPr>
          <w:rStyle w:val="IGindeksgrny"/>
        </w:rPr>
        <w:t>14</w:t>
      </w:r>
      <w:r>
        <w:t xml:space="preserve"> § 1 determinującym termin do wytoczenia przez pełnoletnie dziecko powództwa o zaprzeczenie macierzyństwa w sytuacji, gdy w jego akcie urodzenia jest wpisana jako matka kobieta, która go nie urodziła (por. art. 61</w:t>
      </w:r>
      <w:r>
        <w:rPr>
          <w:rStyle w:val="IGindeksgrny"/>
        </w:rPr>
        <w:t>12</w:t>
      </w:r>
      <w:r>
        <w:t xml:space="preserve"> § 1 k.r.o.) oraz</w:t>
      </w:r>
    </w:p>
    <w:p w:rsidR="0092159A" w:rsidRDefault="0092159A" w:rsidP="009C035E">
      <w:r>
        <w:t>– art. 81 § 2 określającym z kolei termin do wytoczenia przez pełnoletnie dziecko powództwa o ustalenie bezskuteczności uznania ojcostwa dokonanego przez mężczyznę, który nie jest jego ojcem (art. 81 § 1).</w:t>
      </w:r>
    </w:p>
    <w:p w:rsidR="0092159A" w:rsidRDefault="0092159A" w:rsidP="009C035E">
      <w:r>
        <w:t xml:space="preserve">Zważywszy na charakter zarzutów, jakie zostały postawione art. 70 § 1 k.r.o., można przyjąć, </w:t>
      </w:r>
      <w:r>
        <w:lastRenderedPageBreak/>
        <w:t>że również w razie zaskarżenia wskazanych norm prawnych doszłoby do ich derogacji.</w:t>
      </w:r>
    </w:p>
    <w:p w:rsidR="0092159A" w:rsidRPr="008C3F0E" w:rsidRDefault="0092159A" w:rsidP="00D850F5">
      <w:pPr>
        <w:pStyle w:val="NIEARTTEKSTtekstnieartykuowanynppodstprawnarozplubpreambua"/>
      </w:pPr>
      <w:r>
        <w:t>Dlatego też proponuje się, aby bieg 3-letniego terminu do wytoczenia przez dziecko powództwa o zaprzeczenie macierzyństwa albo ustalenie bezskuteczności uznania ojcostwa został określony w identyczny sposób, jak w przypadku zaprzeczenia ojcostwa, a przy tym by znowelizowane art. 61</w:t>
      </w:r>
      <w:r>
        <w:rPr>
          <w:rStyle w:val="IGindeksgrny"/>
        </w:rPr>
        <w:t>14</w:t>
      </w:r>
      <w:r>
        <w:t xml:space="preserve"> § 1, art. 70 § 1 i art. 81 § 2 k.r.o. uwzględniały w pełni sugestię sformułowaną w wypowiedzi Trybunału. Termin 3-letni będzie zatem liczony od osiągnięcia przez dziecko pełnoletności, chyba że o rozbieżności między prawnie ustaloną więzią filiacji a więzią biologiczną dziecko dowie się dopiero po osiągnięciu pełnoletności. W takiej sytuacji dla rozpoczęcia biegu terminu miarodajna będzie data </w:t>
      </w:r>
      <w:r w:rsidRPr="00D850F5">
        <w:t>dowiedzenia</w:t>
      </w:r>
      <w:r>
        <w:t xml:space="preserve"> się przez zainteresowanego o okoliczności stanowiącej podstawę do wytoczenia powództwa.</w:t>
      </w:r>
    </w:p>
    <w:p w:rsidR="0092159A" w:rsidRDefault="0092159A" w:rsidP="00F501D9">
      <w:pPr>
        <w:pStyle w:val="NIEARTTEKSTtekstnieartykuowanynppodstprawnarozplubpreambua"/>
      </w:pPr>
      <w:r>
        <w:t xml:space="preserve">Ponieważ wskazania TK powinny być możliwie szybko zrealizowane w odniesieniu do instytucji zaprzeczenia macierzyństwa oraz ustalenia bezskuteczności uznania ojcostwa, w art. 2 projektowanej ustawy zaproponowano standardową </w:t>
      </w:r>
      <w:r w:rsidRPr="00A95F23">
        <w:rPr>
          <w:rStyle w:val="Kkursywa"/>
        </w:rPr>
        <w:t>vacatio legis</w:t>
      </w:r>
      <w:r>
        <w:t>.</w:t>
      </w:r>
    </w:p>
    <w:p w:rsidR="0092159A" w:rsidRDefault="0092159A" w:rsidP="00A81C8D">
      <w:pPr>
        <w:rPr>
          <w:rStyle w:val="Ppogrubienie"/>
        </w:rPr>
      </w:pPr>
    </w:p>
    <w:p w:rsidR="0092159A" w:rsidRDefault="0092159A" w:rsidP="00F501D9">
      <w:pPr>
        <w:keepNext/>
        <w:rPr>
          <w:rStyle w:val="Ppogrubienie"/>
        </w:rPr>
      </w:pPr>
      <w:r>
        <w:rPr>
          <w:rStyle w:val="Ppogrubienie"/>
        </w:rPr>
        <w:t>4</w:t>
      </w:r>
      <w:r w:rsidRPr="00487F59">
        <w:rPr>
          <w:rStyle w:val="Ppogrubienie"/>
        </w:rPr>
        <w:t>. Konsultacje</w:t>
      </w:r>
    </w:p>
    <w:p w:rsidR="0092159A" w:rsidRDefault="0092159A" w:rsidP="00A81C8D">
      <w:pPr>
        <w:pStyle w:val="NIEARTTEKSTtekstnieartykuowanynppodstprawnarozplubpreambua"/>
      </w:pPr>
      <w:r>
        <w:t>Nadesłane w ramach konsultacji opinie i uwagi są zamieszczone na senackiej stronie internetowej.</w:t>
      </w:r>
    </w:p>
    <w:p w:rsidR="0092159A" w:rsidRDefault="0092159A" w:rsidP="00A81C8D">
      <w:pPr>
        <w:pStyle w:val="NIEARTTEKSTtekstnieartykuowanynppodstprawnarozplubpreambua"/>
      </w:pPr>
      <w:r>
        <w:t>Wyniki konsultacji przedstawiono w Ocenie Skutków Regulacji.</w:t>
      </w:r>
    </w:p>
    <w:p w:rsidR="0092159A" w:rsidRDefault="0092159A" w:rsidP="0015321A">
      <w:pPr>
        <w:rPr>
          <w:rStyle w:val="Ppogrubienie"/>
        </w:rPr>
      </w:pPr>
    </w:p>
    <w:p w:rsidR="0092159A" w:rsidRPr="0015321A" w:rsidRDefault="0092159A" w:rsidP="0015321A">
      <w:pPr>
        <w:rPr>
          <w:rStyle w:val="Ppogrubienie"/>
        </w:rPr>
      </w:pPr>
      <w:r>
        <w:rPr>
          <w:rStyle w:val="Ppogrubienie"/>
        </w:rPr>
        <w:t xml:space="preserve">5. </w:t>
      </w:r>
      <w:r w:rsidRPr="0015321A">
        <w:rPr>
          <w:rStyle w:val="Ppogrubienie"/>
        </w:rPr>
        <w:t>Oświadczenie o zgodności z prawem Unii Europejskiej</w:t>
      </w:r>
    </w:p>
    <w:p w:rsidR="0092159A" w:rsidRPr="00613011" w:rsidRDefault="0092159A" w:rsidP="00730DA0">
      <w:pPr>
        <w:pStyle w:val="NIEARTTEKSTtekstnieartykuowanynppodstprawnarozplubpreambua"/>
      </w:pPr>
      <w:r w:rsidRPr="0015321A">
        <w:t>Zakres przedmiotowy projektowanej ustawy nie jest objęty prawem Unii Europejskiej.</w:t>
      </w:r>
    </w:p>
    <w:p w:rsidR="00152DF4" w:rsidRPr="001B342E" w:rsidRDefault="00152DF4" w:rsidP="00C70646">
      <w:bookmarkStart w:id="0" w:name="_GoBack"/>
      <w:bookmarkEnd w:id="0"/>
    </w:p>
    <w:sectPr w:rsidR="00152DF4" w:rsidRPr="001B342E" w:rsidSect="0092159A">
      <w:headerReference w:type="default" r:id="rId8"/>
      <w:headerReference w:type="first" r:id="rId9"/>
      <w:footerReference w:type="first" r:id="rId10"/>
      <w:pgSz w:w="11906" w:h="16838"/>
      <w:pgMar w:top="426" w:right="1434" w:bottom="426" w:left="1418" w:header="227" w:footer="0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34F2" w:rsidRDefault="009334F2">
      <w:r>
        <w:separator/>
      </w:r>
    </w:p>
  </w:endnote>
  <w:endnote w:type="continuationSeparator" w:id="0">
    <w:p w:rsidR="009334F2" w:rsidRDefault="00933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inherit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59A" w:rsidRDefault="0092159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34F2" w:rsidRDefault="009334F2">
      <w:r>
        <w:separator/>
      </w:r>
    </w:p>
  </w:footnote>
  <w:footnote w:type="continuationSeparator" w:id="0">
    <w:p w:rsidR="009334F2" w:rsidRDefault="009334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59A" w:rsidRPr="0092159A" w:rsidRDefault="0092159A" w:rsidP="0092159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59A" w:rsidRDefault="0092159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01E1B"/>
    <w:multiLevelType w:val="hybridMultilevel"/>
    <w:tmpl w:val="4B88F7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25"/>
  </w:num>
  <w:num w:numId="3">
    <w:abstractNumId w:val="19"/>
  </w:num>
  <w:num w:numId="4">
    <w:abstractNumId w:val="19"/>
  </w:num>
  <w:num w:numId="5">
    <w:abstractNumId w:val="39"/>
  </w:num>
  <w:num w:numId="6">
    <w:abstractNumId w:val="35"/>
  </w:num>
  <w:num w:numId="7">
    <w:abstractNumId w:val="39"/>
  </w:num>
  <w:num w:numId="8">
    <w:abstractNumId w:val="35"/>
  </w:num>
  <w:num w:numId="9">
    <w:abstractNumId w:val="39"/>
  </w:num>
  <w:num w:numId="10">
    <w:abstractNumId w:val="35"/>
  </w:num>
  <w:num w:numId="11">
    <w:abstractNumId w:val="15"/>
  </w:num>
  <w:num w:numId="12">
    <w:abstractNumId w:val="11"/>
  </w:num>
  <w:num w:numId="13">
    <w:abstractNumId w:val="16"/>
  </w:num>
  <w:num w:numId="14">
    <w:abstractNumId w:val="29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7"/>
  </w:num>
  <w:num w:numId="28">
    <w:abstractNumId w:val="28"/>
  </w:num>
  <w:num w:numId="29">
    <w:abstractNumId w:val="40"/>
  </w:num>
  <w:num w:numId="30">
    <w:abstractNumId w:val="36"/>
  </w:num>
  <w:num w:numId="31">
    <w:abstractNumId w:val="20"/>
  </w:num>
  <w:num w:numId="32">
    <w:abstractNumId w:val="12"/>
  </w:num>
  <w:num w:numId="33">
    <w:abstractNumId w:val="34"/>
  </w:num>
  <w:num w:numId="34">
    <w:abstractNumId w:val="21"/>
  </w:num>
  <w:num w:numId="35">
    <w:abstractNumId w:val="18"/>
  </w:num>
  <w:num w:numId="36">
    <w:abstractNumId w:val="24"/>
  </w:num>
  <w:num w:numId="37">
    <w:abstractNumId w:val="30"/>
  </w:num>
  <w:num w:numId="38">
    <w:abstractNumId w:val="27"/>
  </w:num>
  <w:num w:numId="39">
    <w:abstractNumId w:val="14"/>
  </w:num>
  <w:num w:numId="40">
    <w:abstractNumId w:val="33"/>
  </w:num>
  <w:num w:numId="41">
    <w:abstractNumId w:val="31"/>
  </w:num>
  <w:num w:numId="42">
    <w:abstractNumId w:val="23"/>
  </w:num>
  <w:num w:numId="43">
    <w:abstractNumId w:val="38"/>
  </w:num>
  <w:num w:numId="44">
    <w:abstractNumId w:val="13"/>
  </w:num>
  <w:num w:numId="45">
    <w:abstractNumId w:val="32"/>
  </w:num>
  <w:num w:numId="46">
    <w:abstractNumId w:val="10"/>
  </w:num>
  <w:num w:numId="47">
    <w:abstractNumId w:val="26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47F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2DF4"/>
    <w:rsid w:val="0015742A"/>
    <w:rsid w:val="0016347F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0CA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D520E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159A"/>
    <w:rsid w:val="00925241"/>
    <w:rsid w:val="00925CEC"/>
    <w:rsid w:val="0092794E"/>
    <w:rsid w:val="009332A2"/>
    <w:rsid w:val="009334F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703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622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  <w:rsid w:val="00FF73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FA0F741-3EE0-489D-B9CD-8E0BEE312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44AB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34"/>
    <w:qFormat/>
    <w:rsid w:val="00C70646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unhideWhenUsed/>
    <w:rsid w:val="00152DF4"/>
    <w:pPr>
      <w:widowControl/>
      <w:autoSpaceDE/>
      <w:autoSpaceDN/>
      <w:adjustRightInd/>
    </w:pPr>
    <w:rPr>
      <w:rFonts w:eastAsia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52DF4"/>
    <w:rPr>
      <w:rFonts w:ascii="Times New Roman" w:hAnsi="Times New Roman"/>
      <w:szCs w:val="20"/>
    </w:rPr>
  </w:style>
  <w:style w:type="character" w:customStyle="1" w:styleId="IGindeksgrny">
    <w:name w:val="_IG_ – indeks górny"/>
    <w:basedOn w:val="Domylnaczcionkaakapitu"/>
    <w:uiPriority w:val="2"/>
    <w:qFormat/>
    <w:rsid w:val="0092159A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92159A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92159A"/>
    <w:rPr>
      <w:bCs/>
    </w:rPr>
  </w:style>
  <w:style w:type="character" w:customStyle="1" w:styleId="Kkursywa">
    <w:name w:val="_K_ – kursywa"/>
    <w:basedOn w:val="Domylnaczcionkaakapitu"/>
    <w:uiPriority w:val="1"/>
    <w:qFormat/>
    <w:rsid w:val="0092159A"/>
    <w:rPr>
      <w:i/>
    </w:rPr>
  </w:style>
  <w:style w:type="table" w:styleId="Tabela-Siatka">
    <w:name w:val="Table Grid"/>
    <w:basedOn w:val="Standardowy"/>
    <w:uiPriority w:val="99"/>
    <w:locked/>
    <w:rsid w:val="0092159A"/>
    <w:pPr>
      <w:spacing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esc">
    <w:name w:val="tresc"/>
    <w:basedOn w:val="Normalny"/>
    <w:rsid w:val="0092159A"/>
    <w:pPr>
      <w:widowControl/>
      <w:autoSpaceDE/>
      <w:autoSpaceDN/>
      <w:adjustRightInd/>
      <w:spacing w:after="300" w:line="240" w:lineRule="auto"/>
      <w:jc w:val="left"/>
    </w:pPr>
    <w:rPr>
      <w:rFonts w:ascii="inherit" w:eastAsia="Times New Roman" w:hAnsi="inherit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B6AC5-D38B-430B-9940-B1D530A31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15</TotalTime>
  <Pages>5</Pages>
  <Words>1818</Words>
  <Characters>10912</Characters>
  <Application>Microsoft Office Word</Application>
  <DocSecurity>0</DocSecurity>
  <Lines>90</Lines>
  <Paragraphs>25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12705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zawislak</dc:creator>
  <cp:lastModifiedBy>Grzegorz Molesztak</cp:lastModifiedBy>
  <cp:revision>7</cp:revision>
  <cp:lastPrinted>2012-07-23T08:40:00Z</cp:lastPrinted>
  <dcterms:created xsi:type="dcterms:W3CDTF">2019-05-09T13:25:00Z</dcterms:created>
  <dcterms:modified xsi:type="dcterms:W3CDTF">2019-05-10T12:32:00Z</dcterms:modified>
</cp:coreProperties>
</file>