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B72CF" w14:textId="21A3901C" w:rsidR="00F07569" w:rsidRPr="007452C6" w:rsidRDefault="00F07569" w:rsidP="00332B8B">
      <w:pPr>
        <w:spacing w:line="360" w:lineRule="auto"/>
        <w:jc w:val="center"/>
        <w:rPr>
          <w:rFonts w:ascii="Times New Roman" w:hAnsi="Times New Roman" w:cs="Times New Roman"/>
          <w:b/>
          <w:sz w:val="24"/>
          <w:szCs w:val="24"/>
        </w:rPr>
      </w:pPr>
      <w:bookmarkStart w:id="0" w:name="_GoBack"/>
      <w:bookmarkEnd w:id="0"/>
      <w:r w:rsidRPr="007452C6">
        <w:rPr>
          <w:rFonts w:ascii="Times New Roman" w:hAnsi="Times New Roman" w:cs="Times New Roman"/>
          <w:b/>
          <w:sz w:val="24"/>
          <w:szCs w:val="24"/>
        </w:rPr>
        <w:t>U Z A S A D N I E N I E</w:t>
      </w:r>
    </w:p>
    <w:p w14:paraId="1ADC3F8A" w14:textId="4240464C" w:rsidR="002C22E9" w:rsidRPr="007452C6" w:rsidRDefault="002C22E9" w:rsidP="00D81F50">
      <w:pPr>
        <w:pStyle w:val="Akapitzlist"/>
        <w:numPr>
          <w:ilvl w:val="0"/>
          <w:numId w:val="26"/>
        </w:numPr>
        <w:spacing w:line="360" w:lineRule="auto"/>
        <w:rPr>
          <w:rFonts w:ascii="Times New Roman" w:hAnsi="Times New Roman" w:cs="Times New Roman"/>
          <w:b/>
          <w:sz w:val="24"/>
          <w:szCs w:val="24"/>
        </w:rPr>
      </w:pPr>
      <w:r w:rsidRPr="007452C6">
        <w:rPr>
          <w:rFonts w:ascii="Times New Roman" w:hAnsi="Times New Roman" w:cs="Times New Roman"/>
          <w:b/>
          <w:sz w:val="24"/>
          <w:szCs w:val="24"/>
        </w:rPr>
        <w:t>Wprowadzenie</w:t>
      </w:r>
    </w:p>
    <w:p w14:paraId="0C3383D7" w14:textId="41A2C510" w:rsidR="00A91389" w:rsidRPr="007452C6" w:rsidRDefault="001E64C1"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W dniu </w:t>
      </w:r>
      <w:r w:rsidR="006A326E" w:rsidRPr="007452C6">
        <w:rPr>
          <w:rFonts w:ascii="Times New Roman" w:hAnsi="Times New Roman" w:cs="Times New Roman"/>
          <w:sz w:val="24"/>
          <w:szCs w:val="24"/>
        </w:rPr>
        <w:t>26 lutego 2019</w:t>
      </w:r>
      <w:r w:rsidRPr="007452C6">
        <w:rPr>
          <w:rFonts w:ascii="Times New Roman" w:hAnsi="Times New Roman" w:cs="Times New Roman"/>
          <w:sz w:val="24"/>
          <w:szCs w:val="24"/>
        </w:rPr>
        <w:t xml:space="preserve"> r. Sejm RP uchwalił ustawę o zmianie d</w:t>
      </w:r>
      <w:r w:rsidR="006A326E" w:rsidRPr="007452C6">
        <w:rPr>
          <w:rFonts w:ascii="Times New Roman" w:hAnsi="Times New Roman" w:cs="Times New Roman"/>
          <w:sz w:val="24"/>
          <w:szCs w:val="24"/>
        </w:rPr>
        <w:t>o ustawy z dnia 28 grudnia 2018 </w:t>
      </w:r>
      <w:r w:rsidRPr="007452C6">
        <w:rPr>
          <w:rFonts w:ascii="Times New Roman" w:hAnsi="Times New Roman" w:cs="Times New Roman"/>
          <w:sz w:val="24"/>
          <w:szCs w:val="24"/>
        </w:rPr>
        <w:t>r. o zmianie ustawy o podatku akcyzowym oraz niektórych innych ustaw, której c</w:t>
      </w:r>
      <w:r w:rsidR="00191709" w:rsidRPr="007452C6">
        <w:rPr>
          <w:rFonts w:ascii="Times New Roman" w:hAnsi="Times New Roman" w:cs="Times New Roman"/>
          <w:sz w:val="24"/>
          <w:szCs w:val="24"/>
        </w:rPr>
        <w:t>elem była</w:t>
      </w:r>
      <w:r w:rsidRPr="007452C6">
        <w:rPr>
          <w:rFonts w:ascii="Times New Roman" w:hAnsi="Times New Roman" w:cs="Times New Roman"/>
          <w:sz w:val="24"/>
          <w:szCs w:val="24"/>
        </w:rPr>
        <w:t xml:space="preserve"> ochrona polskich gospodarstw domowych, samorządów oraz przedsiębiorstw przed skokowymi wzrostami cen energii elektrycznej. Przede wszystkim należy wskazać, że w chwili obecnej (</w:t>
      </w:r>
      <w:r w:rsidR="005744E6" w:rsidRPr="007452C6">
        <w:rPr>
          <w:rFonts w:ascii="Times New Roman" w:hAnsi="Times New Roman" w:cs="Times New Roman"/>
          <w:sz w:val="24"/>
          <w:szCs w:val="24"/>
        </w:rPr>
        <w:t>czerwiec</w:t>
      </w:r>
      <w:r w:rsidRPr="007452C6">
        <w:rPr>
          <w:rFonts w:ascii="Times New Roman" w:hAnsi="Times New Roman" w:cs="Times New Roman"/>
          <w:sz w:val="24"/>
          <w:szCs w:val="24"/>
        </w:rPr>
        <w:t xml:space="preserve"> 2019 r.) </w:t>
      </w:r>
      <w:r w:rsidRPr="007452C6">
        <w:rPr>
          <w:rFonts w:ascii="Times New Roman" w:hAnsi="Times New Roman" w:cs="Times New Roman"/>
          <w:b/>
          <w:sz w:val="24"/>
          <w:szCs w:val="24"/>
        </w:rPr>
        <w:t xml:space="preserve">już ponad </w:t>
      </w:r>
      <w:r w:rsidR="005744E6" w:rsidRPr="007452C6">
        <w:rPr>
          <w:rFonts w:ascii="Times New Roman" w:hAnsi="Times New Roman" w:cs="Times New Roman"/>
          <w:b/>
          <w:sz w:val="24"/>
          <w:szCs w:val="24"/>
        </w:rPr>
        <w:t>90</w:t>
      </w:r>
      <w:r w:rsidRPr="007452C6">
        <w:rPr>
          <w:rFonts w:ascii="Times New Roman" w:hAnsi="Times New Roman" w:cs="Times New Roman"/>
          <w:b/>
          <w:sz w:val="24"/>
          <w:szCs w:val="24"/>
        </w:rPr>
        <w:t>% odbiorców końcowych nie płaci wyż</w:t>
      </w:r>
      <w:r w:rsidR="006A326E" w:rsidRPr="007452C6">
        <w:rPr>
          <w:rFonts w:ascii="Times New Roman" w:hAnsi="Times New Roman" w:cs="Times New Roman"/>
          <w:b/>
          <w:sz w:val="24"/>
          <w:szCs w:val="24"/>
        </w:rPr>
        <w:t>sz</w:t>
      </w:r>
      <w:r w:rsidRPr="007452C6">
        <w:rPr>
          <w:rFonts w:ascii="Times New Roman" w:hAnsi="Times New Roman" w:cs="Times New Roman"/>
          <w:b/>
          <w:sz w:val="24"/>
          <w:szCs w:val="24"/>
        </w:rPr>
        <w:t>ej ceny za energię elektryczną,</w:t>
      </w:r>
      <w:r w:rsidR="00191709" w:rsidRPr="007452C6">
        <w:rPr>
          <w:rFonts w:ascii="Times New Roman" w:hAnsi="Times New Roman" w:cs="Times New Roman"/>
          <w:b/>
          <w:sz w:val="24"/>
          <w:szCs w:val="24"/>
        </w:rPr>
        <w:t xml:space="preserve"> niż płaciło 30 czerwca 2018 r.</w:t>
      </w:r>
      <w:r w:rsidR="00191709" w:rsidRPr="007452C6">
        <w:rPr>
          <w:rFonts w:ascii="Times New Roman" w:hAnsi="Times New Roman" w:cs="Times New Roman"/>
          <w:sz w:val="24"/>
          <w:szCs w:val="24"/>
        </w:rPr>
        <w:t xml:space="preserve"> Sytuacj</w:t>
      </w:r>
      <w:r w:rsidR="006A326E" w:rsidRPr="007452C6">
        <w:rPr>
          <w:rFonts w:ascii="Times New Roman" w:hAnsi="Times New Roman" w:cs="Times New Roman"/>
          <w:sz w:val="24"/>
          <w:szCs w:val="24"/>
        </w:rPr>
        <w:t>a jeszcze korzystniej wygląda w </w:t>
      </w:r>
      <w:r w:rsidR="00191709" w:rsidRPr="007452C6">
        <w:rPr>
          <w:rFonts w:ascii="Times New Roman" w:hAnsi="Times New Roman" w:cs="Times New Roman"/>
          <w:sz w:val="24"/>
          <w:szCs w:val="24"/>
        </w:rPr>
        <w:t>przypadku najbardziej wrażliwej społecznie grupy odbiorców, czyli gospodars</w:t>
      </w:r>
      <w:r w:rsidR="005744E6" w:rsidRPr="007452C6">
        <w:rPr>
          <w:rFonts w:ascii="Times New Roman" w:hAnsi="Times New Roman" w:cs="Times New Roman"/>
          <w:sz w:val="24"/>
          <w:szCs w:val="24"/>
        </w:rPr>
        <w:t>tw domowych, ponieważ już ok. 98</w:t>
      </w:r>
      <w:r w:rsidR="00191709" w:rsidRPr="007452C6">
        <w:rPr>
          <w:rFonts w:ascii="Times New Roman" w:hAnsi="Times New Roman" w:cs="Times New Roman"/>
          <w:sz w:val="24"/>
          <w:szCs w:val="24"/>
        </w:rPr>
        <w:t>% gospodarstw domowych w Polsce nie doznało podwyżek cen energii elektrycznej. W przypadku pozostałych odbiorców energii elektrycznej, którzy płacą obecnie pomimo obniżenia opłaty przejściowej o 9</w:t>
      </w:r>
      <w:r w:rsidR="006A326E" w:rsidRPr="007452C6">
        <w:rPr>
          <w:rFonts w:ascii="Times New Roman" w:hAnsi="Times New Roman" w:cs="Times New Roman"/>
          <w:sz w:val="24"/>
          <w:szCs w:val="24"/>
        </w:rPr>
        <w:t>5% oraz akcyzy z 20 zł/MWh na 5 </w:t>
      </w:r>
      <w:r w:rsidR="00191709" w:rsidRPr="007452C6">
        <w:rPr>
          <w:rFonts w:ascii="Times New Roman" w:hAnsi="Times New Roman" w:cs="Times New Roman"/>
          <w:sz w:val="24"/>
          <w:szCs w:val="24"/>
        </w:rPr>
        <w:t xml:space="preserve">zł/MWh, wyższe ceny za energię elektryczną niż w 2018 r. szacuje się, że ich umowy zostaną odpowiednio dostosowane </w:t>
      </w:r>
      <w:r w:rsidR="005744E6" w:rsidRPr="007452C6">
        <w:rPr>
          <w:rFonts w:ascii="Times New Roman" w:hAnsi="Times New Roman" w:cs="Times New Roman"/>
          <w:sz w:val="24"/>
          <w:szCs w:val="24"/>
        </w:rPr>
        <w:t>do końca lipca</w:t>
      </w:r>
      <w:r w:rsidR="00191709" w:rsidRPr="007452C6">
        <w:rPr>
          <w:rFonts w:ascii="Times New Roman" w:hAnsi="Times New Roman" w:cs="Times New Roman"/>
          <w:sz w:val="24"/>
          <w:szCs w:val="24"/>
        </w:rPr>
        <w:t xml:space="preserve"> 2019, ze skutkiem od 1 stycznia 2019 r., co</w:t>
      </w:r>
      <w:r w:rsidR="006A326E" w:rsidRPr="007452C6">
        <w:rPr>
          <w:rFonts w:ascii="Times New Roman" w:hAnsi="Times New Roman" w:cs="Times New Roman"/>
          <w:sz w:val="24"/>
          <w:szCs w:val="24"/>
        </w:rPr>
        <w:t xml:space="preserve"> oznacza, że finalnie odbiorcy c</w:t>
      </w:r>
      <w:r w:rsidR="00191709" w:rsidRPr="007452C6">
        <w:rPr>
          <w:rFonts w:ascii="Times New Roman" w:hAnsi="Times New Roman" w:cs="Times New Roman"/>
          <w:sz w:val="24"/>
          <w:szCs w:val="24"/>
        </w:rPr>
        <w:t>i również nie zapłacą w I półroczu 2019 r. wyższych cen, niż 30 czerwca 2018 r.</w:t>
      </w:r>
    </w:p>
    <w:p w14:paraId="4D40303B" w14:textId="45B6E287" w:rsidR="00B655F4" w:rsidRPr="007452C6" w:rsidRDefault="00B655F4"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Wprowadzone ww. ustawą z dnia 28 grudnia 2018 r. </w:t>
      </w:r>
      <w:r w:rsidR="00693C94" w:rsidRPr="007452C6">
        <w:rPr>
          <w:rFonts w:ascii="Times New Roman" w:hAnsi="Times New Roman" w:cs="Times New Roman"/>
          <w:sz w:val="24"/>
          <w:szCs w:val="24"/>
        </w:rPr>
        <w:t xml:space="preserve">mechanizmy </w:t>
      </w:r>
      <w:r w:rsidR="00BC410E" w:rsidRPr="007452C6">
        <w:rPr>
          <w:rFonts w:ascii="Times New Roman" w:hAnsi="Times New Roman" w:cs="Times New Roman"/>
          <w:sz w:val="24"/>
          <w:szCs w:val="24"/>
        </w:rPr>
        <w:t>obejmują</w:t>
      </w:r>
      <w:r w:rsidR="006A326E" w:rsidRPr="007452C6">
        <w:rPr>
          <w:rFonts w:ascii="Times New Roman" w:hAnsi="Times New Roman" w:cs="Times New Roman"/>
          <w:sz w:val="24"/>
          <w:szCs w:val="24"/>
        </w:rPr>
        <w:t>:</w:t>
      </w:r>
    </w:p>
    <w:p w14:paraId="06C227F2" w14:textId="41BD8DB4" w:rsidR="00B655F4" w:rsidRPr="007452C6" w:rsidRDefault="00B655F4" w:rsidP="00A54374">
      <w:pPr>
        <w:spacing w:line="360" w:lineRule="auto"/>
        <w:jc w:val="center"/>
        <w:rPr>
          <w:rFonts w:ascii="Times New Roman" w:hAnsi="Times New Roman" w:cs="Times New Roman"/>
          <w:sz w:val="24"/>
          <w:szCs w:val="24"/>
        </w:rPr>
      </w:pPr>
      <w:r w:rsidRPr="007452C6">
        <w:rPr>
          <w:noProof/>
          <w:lang w:eastAsia="pl-PL"/>
        </w:rPr>
        <w:drawing>
          <wp:inline distT="0" distB="0" distL="0" distR="0" wp14:anchorId="6C1F3AB3" wp14:editId="138EDF85">
            <wp:extent cx="4623759" cy="2544317"/>
            <wp:effectExtent l="0" t="0" r="5715" b="8890"/>
            <wp:docPr id="3" name="Obraz 3" descr="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y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0179" cy="2547850"/>
                    </a:xfrm>
                    <a:prstGeom prst="rect">
                      <a:avLst/>
                    </a:prstGeom>
                    <a:noFill/>
                    <a:ln>
                      <a:noFill/>
                    </a:ln>
                  </pic:spPr>
                </pic:pic>
              </a:graphicData>
            </a:graphic>
          </wp:inline>
        </w:drawing>
      </w:r>
    </w:p>
    <w:p w14:paraId="72C6FC38" w14:textId="2D3C8B8B" w:rsidR="001E64C1" w:rsidRPr="007452C6" w:rsidRDefault="007A1D6C"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Z perspektywy </w:t>
      </w:r>
      <w:r w:rsidR="005308CB" w:rsidRPr="007452C6">
        <w:rPr>
          <w:rFonts w:ascii="Times New Roman" w:hAnsi="Times New Roman" w:cs="Times New Roman"/>
          <w:sz w:val="24"/>
          <w:szCs w:val="24"/>
        </w:rPr>
        <w:t>pięciu</w:t>
      </w:r>
      <w:r w:rsidRPr="007452C6">
        <w:rPr>
          <w:rFonts w:ascii="Times New Roman" w:hAnsi="Times New Roman" w:cs="Times New Roman"/>
          <w:sz w:val="24"/>
          <w:szCs w:val="24"/>
        </w:rPr>
        <w:t xml:space="preserve"> miesięcy 2019 r. oraz obserwacji sytuacji na rynku energii elektrycznej należy stwierdzić, że:</w:t>
      </w:r>
    </w:p>
    <w:p w14:paraId="32376136" w14:textId="725B44C3" w:rsidR="007A1D6C" w:rsidRPr="007452C6" w:rsidRDefault="007A1D6C" w:rsidP="007A1D6C">
      <w:pPr>
        <w:pStyle w:val="Akapitzlist"/>
        <w:numPr>
          <w:ilvl w:val="0"/>
          <w:numId w:val="17"/>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Bez ustawy z dnia 28 grudnia 2018 r. odbiorców energi</w:t>
      </w:r>
      <w:r w:rsidR="006A326E" w:rsidRPr="007452C6">
        <w:rPr>
          <w:rFonts w:ascii="Times New Roman" w:hAnsi="Times New Roman" w:cs="Times New Roman"/>
          <w:sz w:val="24"/>
          <w:szCs w:val="24"/>
        </w:rPr>
        <w:t>i elektrycznej w Polsce dotknęły</w:t>
      </w:r>
      <w:r w:rsidRPr="007452C6">
        <w:rPr>
          <w:rFonts w:ascii="Times New Roman" w:hAnsi="Times New Roman" w:cs="Times New Roman"/>
          <w:sz w:val="24"/>
          <w:szCs w:val="24"/>
        </w:rPr>
        <w:t>by podwyżk</w:t>
      </w:r>
      <w:r w:rsidR="008D2115" w:rsidRPr="007452C6">
        <w:rPr>
          <w:rFonts w:ascii="Times New Roman" w:hAnsi="Times New Roman" w:cs="Times New Roman"/>
          <w:sz w:val="24"/>
          <w:szCs w:val="24"/>
        </w:rPr>
        <w:t>i</w:t>
      </w:r>
      <w:r w:rsidRPr="007452C6">
        <w:rPr>
          <w:rFonts w:ascii="Times New Roman" w:hAnsi="Times New Roman" w:cs="Times New Roman"/>
          <w:sz w:val="24"/>
          <w:szCs w:val="24"/>
        </w:rPr>
        <w:t xml:space="preserve"> cen energii elektrycznej w zakresie 10÷100%. Wzrost ten nie </w:t>
      </w:r>
      <w:r w:rsidRPr="007452C6">
        <w:rPr>
          <w:rFonts w:ascii="Times New Roman" w:hAnsi="Times New Roman" w:cs="Times New Roman"/>
          <w:sz w:val="24"/>
          <w:szCs w:val="24"/>
        </w:rPr>
        <w:lastRenderedPageBreak/>
        <w:t>przełożyłby się na wzrost rachunków za energ</w:t>
      </w:r>
      <w:r w:rsidR="008D2115" w:rsidRPr="007452C6">
        <w:rPr>
          <w:rFonts w:ascii="Times New Roman" w:hAnsi="Times New Roman" w:cs="Times New Roman"/>
          <w:sz w:val="24"/>
          <w:szCs w:val="24"/>
        </w:rPr>
        <w:t>ię elektryczną jeden do jednego</w:t>
      </w:r>
      <w:r w:rsidRPr="007452C6">
        <w:rPr>
          <w:rFonts w:ascii="Times New Roman" w:hAnsi="Times New Roman" w:cs="Times New Roman"/>
          <w:sz w:val="24"/>
          <w:szCs w:val="24"/>
        </w:rPr>
        <w:t xml:space="preserve"> ze względu na fakt, że koszt zakupu energii e</w:t>
      </w:r>
      <w:r w:rsidR="006A326E" w:rsidRPr="007452C6">
        <w:rPr>
          <w:rFonts w:ascii="Times New Roman" w:hAnsi="Times New Roman" w:cs="Times New Roman"/>
          <w:sz w:val="24"/>
          <w:szCs w:val="24"/>
        </w:rPr>
        <w:t>lektrycznej to jedna ze składowych</w:t>
      </w:r>
      <w:r w:rsidRPr="007452C6">
        <w:rPr>
          <w:rFonts w:ascii="Times New Roman" w:hAnsi="Times New Roman" w:cs="Times New Roman"/>
          <w:sz w:val="24"/>
          <w:szCs w:val="24"/>
        </w:rPr>
        <w:t xml:space="preserve"> całego rachunku</w:t>
      </w:r>
      <w:r w:rsidR="008D2115" w:rsidRPr="007452C6">
        <w:rPr>
          <w:rFonts w:ascii="Times New Roman" w:hAnsi="Times New Roman" w:cs="Times New Roman"/>
          <w:sz w:val="24"/>
          <w:szCs w:val="24"/>
        </w:rPr>
        <w:t xml:space="preserve"> za energię elektryczną</w:t>
      </w:r>
      <w:r w:rsidR="005308CB" w:rsidRPr="007452C6">
        <w:rPr>
          <w:rFonts w:ascii="Times New Roman" w:hAnsi="Times New Roman" w:cs="Times New Roman"/>
          <w:sz w:val="24"/>
          <w:szCs w:val="24"/>
        </w:rPr>
        <w:t>, lecz w niektórych</w:t>
      </w:r>
      <w:r w:rsidRPr="007452C6">
        <w:rPr>
          <w:rFonts w:ascii="Times New Roman" w:hAnsi="Times New Roman" w:cs="Times New Roman"/>
          <w:sz w:val="24"/>
          <w:szCs w:val="24"/>
        </w:rPr>
        <w:t xml:space="preserve"> przypadkach stanowiłby problem dla budżetów gospod</w:t>
      </w:r>
      <w:r w:rsidR="008D2115" w:rsidRPr="007452C6">
        <w:rPr>
          <w:rFonts w:ascii="Times New Roman" w:hAnsi="Times New Roman" w:cs="Times New Roman"/>
          <w:sz w:val="24"/>
          <w:szCs w:val="24"/>
        </w:rPr>
        <w:t xml:space="preserve">arstw domowych, </w:t>
      </w:r>
      <w:r w:rsidRPr="007452C6">
        <w:rPr>
          <w:rFonts w:ascii="Times New Roman" w:hAnsi="Times New Roman" w:cs="Times New Roman"/>
          <w:sz w:val="24"/>
          <w:szCs w:val="24"/>
        </w:rPr>
        <w:t>przedsiębiorstw,</w:t>
      </w:r>
      <w:r w:rsidR="006A326E" w:rsidRPr="007452C6">
        <w:rPr>
          <w:rFonts w:ascii="Times New Roman" w:hAnsi="Times New Roman" w:cs="Times New Roman"/>
          <w:sz w:val="24"/>
          <w:szCs w:val="24"/>
        </w:rPr>
        <w:t xml:space="preserve"> szpitali lub samorządów.</w:t>
      </w:r>
    </w:p>
    <w:p w14:paraId="448BFCD7" w14:textId="538EFDE7" w:rsidR="008D2115" w:rsidRPr="007452C6" w:rsidRDefault="007A1D6C" w:rsidP="007A1D6C">
      <w:pPr>
        <w:pStyle w:val="Akapitzlist"/>
        <w:numPr>
          <w:ilvl w:val="0"/>
          <w:numId w:val="17"/>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Ze względu na skomplikowaną materię regulacji</w:t>
      </w:r>
      <w:r w:rsidR="0056609F" w:rsidRPr="007452C6">
        <w:rPr>
          <w:rFonts w:ascii="Times New Roman" w:hAnsi="Times New Roman" w:cs="Times New Roman"/>
          <w:sz w:val="24"/>
          <w:szCs w:val="24"/>
        </w:rPr>
        <w:t>, różne sposoby zawierania umów oraz skalę (ponad 17 mln odbiorców końcowych)</w:t>
      </w:r>
      <w:r w:rsidRPr="007452C6">
        <w:rPr>
          <w:rFonts w:ascii="Times New Roman" w:hAnsi="Times New Roman" w:cs="Times New Roman"/>
          <w:sz w:val="24"/>
          <w:szCs w:val="24"/>
        </w:rPr>
        <w:t xml:space="preserve"> </w:t>
      </w:r>
      <w:r w:rsidR="007A2607" w:rsidRPr="007452C6">
        <w:rPr>
          <w:rFonts w:ascii="Times New Roman" w:hAnsi="Times New Roman" w:cs="Times New Roman"/>
          <w:sz w:val="24"/>
          <w:szCs w:val="24"/>
        </w:rPr>
        <w:t xml:space="preserve">wystąpiły przypadki, </w:t>
      </w:r>
      <w:r w:rsidRPr="007452C6">
        <w:rPr>
          <w:rFonts w:ascii="Times New Roman" w:hAnsi="Times New Roman" w:cs="Times New Roman"/>
          <w:sz w:val="24"/>
          <w:szCs w:val="24"/>
        </w:rPr>
        <w:t>w których</w:t>
      </w:r>
      <w:r w:rsidR="0056609F" w:rsidRPr="007452C6">
        <w:rPr>
          <w:rFonts w:ascii="Times New Roman" w:hAnsi="Times New Roman" w:cs="Times New Roman"/>
          <w:sz w:val="24"/>
          <w:szCs w:val="24"/>
        </w:rPr>
        <w:t xml:space="preserve"> bez wydania rozporządzenia do ustawy z dnia 28 grudnia 2018 r (art. 7 ust. 2)</w:t>
      </w:r>
      <w:r w:rsidR="008D2115" w:rsidRPr="007452C6">
        <w:rPr>
          <w:rFonts w:ascii="Times New Roman" w:hAnsi="Times New Roman" w:cs="Times New Roman"/>
          <w:sz w:val="24"/>
          <w:szCs w:val="24"/>
        </w:rPr>
        <w:t>:</w:t>
      </w:r>
    </w:p>
    <w:p w14:paraId="0DE060D8" w14:textId="521BD29A" w:rsidR="007A1D6C" w:rsidRPr="007452C6" w:rsidRDefault="005308CB" w:rsidP="008D2115">
      <w:pPr>
        <w:pStyle w:val="Akapitzlist"/>
        <w:numPr>
          <w:ilvl w:val="0"/>
          <w:numId w:val="18"/>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nie jest</w:t>
      </w:r>
      <w:r w:rsidR="007A1D6C" w:rsidRPr="007452C6">
        <w:rPr>
          <w:rFonts w:ascii="Times New Roman" w:hAnsi="Times New Roman" w:cs="Times New Roman"/>
          <w:sz w:val="24"/>
          <w:szCs w:val="24"/>
        </w:rPr>
        <w:t xml:space="preserve"> możliwe ustalenie ceny jaką płacił odbiorca energii elektrycznej w dniu 30 czerwca 2018 r.</w:t>
      </w:r>
      <w:r w:rsidR="008D2115" w:rsidRPr="007452C6">
        <w:rPr>
          <w:rFonts w:ascii="Times New Roman" w:hAnsi="Times New Roman" w:cs="Times New Roman"/>
          <w:sz w:val="24"/>
          <w:szCs w:val="24"/>
        </w:rPr>
        <w:t>, a więc przedsiębiorstwo obrotu nie było w stanie dostosować umów już obowiązujących,</w:t>
      </w:r>
    </w:p>
    <w:p w14:paraId="359BE7E9" w14:textId="6C99BDE2" w:rsidR="008D2115" w:rsidRPr="007452C6" w:rsidRDefault="0056609F" w:rsidP="008D2115">
      <w:pPr>
        <w:pStyle w:val="Akapitzlist"/>
        <w:numPr>
          <w:ilvl w:val="0"/>
          <w:numId w:val="18"/>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w organizowanych </w:t>
      </w:r>
      <w:r w:rsidR="00BA0610" w:rsidRPr="007452C6">
        <w:rPr>
          <w:rFonts w:ascii="Times New Roman" w:hAnsi="Times New Roman" w:cs="Times New Roman"/>
          <w:sz w:val="24"/>
          <w:szCs w:val="24"/>
        </w:rPr>
        <w:t xml:space="preserve">niektórych </w:t>
      </w:r>
      <w:r w:rsidRPr="007452C6">
        <w:rPr>
          <w:rFonts w:ascii="Times New Roman" w:hAnsi="Times New Roman" w:cs="Times New Roman"/>
          <w:sz w:val="24"/>
          <w:szCs w:val="24"/>
        </w:rPr>
        <w:t>przetargach na zakup energii elektrycznej nie było oferentów.</w:t>
      </w:r>
    </w:p>
    <w:p w14:paraId="7D90C96C" w14:textId="24D16F82" w:rsidR="000800B3" w:rsidRPr="007452C6" w:rsidRDefault="000800B3" w:rsidP="000800B3">
      <w:pPr>
        <w:pStyle w:val="Akapitzlist"/>
        <w:numPr>
          <w:ilvl w:val="0"/>
          <w:numId w:val="17"/>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Uchwalenie przez Sejm RP obecnie procedowanego przez Rząd RP projektu ustawy o systemie rekompensat dla sektorów i podsektorów energochłonnych </w:t>
      </w:r>
      <w:r w:rsidR="00BA0610" w:rsidRPr="007452C6">
        <w:rPr>
          <w:rFonts w:ascii="Times New Roman" w:hAnsi="Times New Roman" w:cs="Times New Roman"/>
          <w:sz w:val="24"/>
          <w:szCs w:val="24"/>
        </w:rPr>
        <w:t xml:space="preserve">w pierwotnym kształcie </w:t>
      </w:r>
      <w:r w:rsidRPr="007452C6">
        <w:rPr>
          <w:rFonts w:ascii="Times New Roman" w:hAnsi="Times New Roman" w:cs="Times New Roman"/>
          <w:sz w:val="24"/>
          <w:szCs w:val="24"/>
        </w:rPr>
        <w:t>mogłoby spowodować kumu</w:t>
      </w:r>
      <w:r w:rsidR="006A326E" w:rsidRPr="007452C6">
        <w:rPr>
          <w:rFonts w:ascii="Times New Roman" w:hAnsi="Times New Roman" w:cs="Times New Roman"/>
          <w:sz w:val="24"/>
          <w:szCs w:val="24"/>
        </w:rPr>
        <w:t>lację pomocy dla tych odbiorców.</w:t>
      </w:r>
    </w:p>
    <w:p w14:paraId="18D4189E" w14:textId="313F4C37" w:rsidR="006A326E" w:rsidRPr="007452C6" w:rsidRDefault="000800B3" w:rsidP="007452C6">
      <w:pPr>
        <w:pStyle w:val="Akapitzlist"/>
        <w:numPr>
          <w:ilvl w:val="0"/>
          <w:numId w:val="17"/>
        </w:numPr>
        <w:spacing w:after="120" w:line="360" w:lineRule="auto"/>
        <w:ind w:left="714" w:hanging="357"/>
        <w:contextualSpacing w:val="0"/>
        <w:jc w:val="both"/>
        <w:rPr>
          <w:rFonts w:ascii="Times New Roman" w:hAnsi="Times New Roman" w:cs="Times New Roman"/>
          <w:sz w:val="24"/>
          <w:szCs w:val="24"/>
        </w:rPr>
      </w:pPr>
      <w:r w:rsidRPr="007452C6">
        <w:rPr>
          <w:rFonts w:ascii="Times New Roman" w:hAnsi="Times New Roman" w:cs="Times New Roman"/>
          <w:sz w:val="24"/>
          <w:szCs w:val="24"/>
        </w:rPr>
        <w:t xml:space="preserve"> </w:t>
      </w:r>
      <w:r w:rsidR="005E14B8" w:rsidRPr="007452C6">
        <w:rPr>
          <w:rFonts w:ascii="Times New Roman" w:hAnsi="Times New Roman" w:cs="Times New Roman"/>
          <w:sz w:val="24"/>
          <w:szCs w:val="24"/>
        </w:rPr>
        <w:t>Wymagane są korekty przyjętego mechanizmu</w:t>
      </w:r>
      <w:r w:rsidR="00BA0610" w:rsidRPr="007452C6">
        <w:rPr>
          <w:rFonts w:ascii="Times New Roman" w:hAnsi="Times New Roman" w:cs="Times New Roman"/>
          <w:sz w:val="24"/>
          <w:szCs w:val="24"/>
        </w:rPr>
        <w:t xml:space="preserve"> i przepisów ustawy z dnia 28 grudnia 2018 r.</w:t>
      </w:r>
      <w:r w:rsidR="005E14B8" w:rsidRPr="007452C6">
        <w:rPr>
          <w:rFonts w:ascii="Times New Roman" w:hAnsi="Times New Roman" w:cs="Times New Roman"/>
          <w:sz w:val="24"/>
          <w:szCs w:val="24"/>
        </w:rPr>
        <w:t xml:space="preserve"> w celu </w:t>
      </w:r>
      <w:r w:rsidR="006A326E" w:rsidRPr="007452C6">
        <w:rPr>
          <w:rFonts w:ascii="Times New Roman" w:hAnsi="Times New Roman" w:cs="Times New Roman"/>
          <w:sz w:val="24"/>
          <w:szCs w:val="24"/>
        </w:rPr>
        <w:t>usunięcia</w:t>
      </w:r>
      <w:r w:rsidR="005E14B8" w:rsidRPr="007452C6">
        <w:rPr>
          <w:rFonts w:ascii="Times New Roman" w:hAnsi="Times New Roman" w:cs="Times New Roman"/>
          <w:sz w:val="24"/>
          <w:szCs w:val="24"/>
        </w:rPr>
        <w:t xml:space="preserve"> wszelkich wątpliwości, co do zgodności ustawy z prawem europejskim.</w:t>
      </w:r>
    </w:p>
    <w:p w14:paraId="157DF941" w14:textId="6735DFB5" w:rsidR="00D81F50" w:rsidRPr="007452C6" w:rsidRDefault="006A326E" w:rsidP="00D81F50">
      <w:pPr>
        <w:pStyle w:val="Akapitzlist"/>
        <w:numPr>
          <w:ilvl w:val="0"/>
          <w:numId w:val="26"/>
        </w:numPr>
        <w:spacing w:before="120" w:after="120" w:line="360" w:lineRule="auto"/>
        <w:ind w:left="357" w:hanging="357"/>
        <w:contextualSpacing w:val="0"/>
        <w:jc w:val="both"/>
        <w:rPr>
          <w:rFonts w:ascii="Times New Roman" w:hAnsi="Times New Roman" w:cs="Times New Roman"/>
          <w:b/>
          <w:sz w:val="24"/>
          <w:szCs w:val="24"/>
        </w:rPr>
      </w:pPr>
      <w:r w:rsidRPr="007452C6">
        <w:rPr>
          <w:rFonts w:ascii="Times New Roman" w:hAnsi="Times New Roman" w:cs="Times New Roman"/>
          <w:b/>
          <w:sz w:val="24"/>
          <w:szCs w:val="24"/>
        </w:rPr>
        <w:t>Kształt mechanizmu</w:t>
      </w:r>
      <w:r w:rsidR="002C22E9" w:rsidRPr="007452C6">
        <w:rPr>
          <w:rFonts w:ascii="Times New Roman" w:hAnsi="Times New Roman" w:cs="Times New Roman"/>
          <w:b/>
          <w:sz w:val="24"/>
          <w:szCs w:val="24"/>
        </w:rPr>
        <w:t xml:space="preserve"> stabilizacji cen po nowelizacji</w:t>
      </w:r>
    </w:p>
    <w:p w14:paraId="69876B55" w14:textId="3E1E9E7C" w:rsidR="00D81F50" w:rsidRPr="007452C6" w:rsidRDefault="00D81F50" w:rsidP="00D81F50">
      <w:pPr>
        <w:pStyle w:val="Akapitzlist"/>
        <w:numPr>
          <w:ilvl w:val="1"/>
          <w:numId w:val="26"/>
        </w:numPr>
        <w:spacing w:before="240" w:after="0"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Opis kluczowych zmian</w:t>
      </w:r>
    </w:p>
    <w:p w14:paraId="4DE4A4F2" w14:textId="5243FE42" w:rsidR="005E14B8" w:rsidRPr="007452C6" w:rsidRDefault="00F72696" w:rsidP="007452C6">
      <w:pPr>
        <w:spacing w:after="0" w:line="360" w:lineRule="auto"/>
        <w:jc w:val="both"/>
        <w:rPr>
          <w:rFonts w:ascii="Times New Roman" w:hAnsi="Times New Roman" w:cs="Times New Roman"/>
          <w:sz w:val="24"/>
          <w:szCs w:val="24"/>
        </w:rPr>
      </w:pPr>
      <w:r w:rsidRPr="007452C6">
        <w:rPr>
          <w:rFonts w:ascii="Times New Roman" w:hAnsi="Times New Roman" w:cs="Times New Roman"/>
          <w:sz w:val="24"/>
          <w:szCs w:val="24"/>
        </w:rPr>
        <w:t>Mając na uwadze powyższe, w tabeli przedstawiono zakres beneficjentów oraz mechanizm stabilizacji</w:t>
      </w:r>
      <w:r w:rsidR="0058282D" w:rsidRPr="007452C6">
        <w:rPr>
          <w:rFonts w:ascii="Times New Roman" w:hAnsi="Times New Roman" w:cs="Times New Roman"/>
          <w:sz w:val="24"/>
          <w:szCs w:val="24"/>
        </w:rPr>
        <w:t xml:space="preserve"> cen, który będzie miał zastosowanie po wejściu w życie proponowanej nowelizacji:</w:t>
      </w:r>
    </w:p>
    <w:p w14:paraId="59ADCCD7" w14:textId="18127484" w:rsidR="00CE4BC4" w:rsidRPr="007452C6" w:rsidRDefault="00425BB0" w:rsidP="007452C6">
      <w:pPr>
        <w:spacing w:line="360" w:lineRule="auto"/>
        <w:jc w:val="center"/>
        <w:rPr>
          <w:rFonts w:ascii="Times New Roman" w:hAnsi="Times New Roman" w:cs="Times New Roman"/>
          <w:sz w:val="24"/>
          <w:szCs w:val="24"/>
        </w:rPr>
      </w:pPr>
      <w:r w:rsidRPr="007452C6">
        <w:rPr>
          <w:rFonts w:ascii="Times New Roman" w:hAnsi="Times New Roman" w:cs="Times New Roman"/>
          <w:noProof/>
          <w:sz w:val="24"/>
          <w:szCs w:val="24"/>
          <w:lang w:eastAsia="pl-PL"/>
        </w:rPr>
        <w:drawing>
          <wp:inline distT="0" distB="0" distL="0" distR="0" wp14:anchorId="5F22EFE7" wp14:editId="228A7EF6">
            <wp:extent cx="5305425" cy="2914774"/>
            <wp:effectExtent l="0" t="0" r="0" b="0"/>
            <wp:docPr id="1" name="Obraz 1" descr="C:\Users\Komar Damian\Desktop\Energa Plus\projekty ustaw\nowelizacja 2\uzasadnienie\ceny energii_uzasadni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mar Damian\Desktop\Energa Plus\projekty ustaw\nowelizacja 2\uzasadnienie\ceny energii_uzasadnieni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1320" cy="2923506"/>
                    </a:xfrm>
                    <a:prstGeom prst="rect">
                      <a:avLst/>
                    </a:prstGeom>
                    <a:noFill/>
                    <a:ln>
                      <a:noFill/>
                    </a:ln>
                  </pic:spPr>
                </pic:pic>
              </a:graphicData>
            </a:graphic>
          </wp:inline>
        </w:drawing>
      </w:r>
    </w:p>
    <w:p w14:paraId="11B8467F" w14:textId="1523DD01" w:rsidR="00F72696" w:rsidRPr="007452C6" w:rsidRDefault="00F35470" w:rsidP="005E14B8">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Po przyj</w:t>
      </w:r>
      <w:r w:rsidR="00CE4BC4" w:rsidRPr="007452C6">
        <w:rPr>
          <w:rFonts w:ascii="Times New Roman" w:hAnsi="Times New Roman" w:cs="Times New Roman"/>
          <w:sz w:val="24"/>
          <w:szCs w:val="24"/>
        </w:rPr>
        <w:t>ęciu nowelizacji sytuacja ok. 98</w:t>
      </w:r>
      <w:r w:rsidRPr="007452C6">
        <w:rPr>
          <w:rFonts w:ascii="Times New Roman" w:hAnsi="Times New Roman" w:cs="Times New Roman"/>
          <w:sz w:val="24"/>
          <w:szCs w:val="24"/>
        </w:rPr>
        <w:t>% odbiorców końcowych nie zmieni się w drugim półroczu 2019 r. w porównaniu do sytuacji z pierwszego półrocza 2019</w:t>
      </w:r>
      <w:r w:rsidR="009A1138" w:rsidRPr="007452C6">
        <w:rPr>
          <w:rFonts w:ascii="Times New Roman" w:hAnsi="Times New Roman" w:cs="Times New Roman"/>
          <w:sz w:val="24"/>
          <w:szCs w:val="24"/>
        </w:rPr>
        <w:t>,</w:t>
      </w:r>
      <w:r w:rsidRPr="007452C6">
        <w:rPr>
          <w:rFonts w:ascii="Times New Roman" w:hAnsi="Times New Roman" w:cs="Times New Roman"/>
          <w:sz w:val="24"/>
          <w:szCs w:val="24"/>
        </w:rPr>
        <w:t xml:space="preserve"> tzn. odb</w:t>
      </w:r>
      <w:r w:rsidR="009A1138" w:rsidRPr="007452C6">
        <w:rPr>
          <w:rFonts w:ascii="Times New Roman" w:hAnsi="Times New Roman" w:cs="Times New Roman"/>
          <w:sz w:val="24"/>
          <w:szCs w:val="24"/>
        </w:rPr>
        <w:t>iorcy c</w:t>
      </w:r>
      <w:r w:rsidR="00C3218B" w:rsidRPr="007452C6">
        <w:rPr>
          <w:rFonts w:ascii="Times New Roman" w:hAnsi="Times New Roman" w:cs="Times New Roman"/>
          <w:sz w:val="24"/>
          <w:szCs w:val="24"/>
        </w:rPr>
        <w:t>i będą płacili</w:t>
      </w:r>
      <w:r w:rsidR="00DF75B4" w:rsidRPr="007452C6">
        <w:rPr>
          <w:rFonts w:ascii="Times New Roman" w:hAnsi="Times New Roman" w:cs="Times New Roman"/>
          <w:sz w:val="24"/>
          <w:szCs w:val="24"/>
        </w:rPr>
        <w:t xml:space="preserve"> przez cały rok 2019</w:t>
      </w:r>
      <w:r w:rsidR="00C3218B" w:rsidRPr="007452C6">
        <w:rPr>
          <w:rFonts w:ascii="Times New Roman" w:hAnsi="Times New Roman" w:cs="Times New Roman"/>
          <w:sz w:val="24"/>
          <w:szCs w:val="24"/>
        </w:rPr>
        <w:t xml:space="preserve"> </w:t>
      </w:r>
      <w:r w:rsidR="00CE4BC4" w:rsidRPr="007452C6">
        <w:rPr>
          <w:rFonts w:ascii="Times New Roman" w:hAnsi="Times New Roman" w:cs="Times New Roman"/>
          <w:sz w:val="24"/>
          <w:szCs w:val="24"/>
        </w:rPr>
        <w:t xml:space="preserve">obniżoną cenę (cenę z </w:t>
      </w:r>
      <w:r w:rsidRPr="007452C6">
        <w:rPr>
          <w:rFonts w:ascii="Times New Roman" w:hAnsi="Times New Roman" w:cs="Times New Roman"/>
          <w:sz w:val="24"/>
          <w:szCs w:val="24"/>
        </w:rPr>
        <w:t>2018 r.</w:t>
      </w:r>
      <w:r w:rsidR="00CE4BC4" w:rsidRPr="007452C6">
        <w:rPr>
          <w:rFonts w:ascii="Times New Roman" w:hAnsi="Times New Roman" w:cs="Times New Roman"/>
          <w:sz w:val="24"/>
          <w:szCs w:val="24"/>
        </w:rPr>
        <w:t>).</w:t>
      </w:r>
      <w:r w:rsidRPr="007452C6">
        <w:rPr>
          <w:rFonts w:ascii="Times New Roman" w:hAnsi="Times New Roman" w:cs="Times New Roman"/>
          <w:sz w:val="24"/>
          <w:szCs w:val="24"/>
        </w:rPr>
        <w:t xml:space="preserve"> Śr</w:t>
      </w:r>
      <w:r w:rsidR="009A1138" w:rsidRPr="007452C6">
        <w:rPr>
          <w:rFonts w:ascii="Times New Roman" w:hAnsi="Times New Roman" w:cs="Times New Roman"/>
          <w:sz w:val="24"/>
          <w:szCs w:val="24"/>
        </w:rPr>
        <w:t>ednie i duże przedsiębiorstwa w drugim półroczu 2019 </w:t>
      </w:r>
      <w:r w:rsidRPr="007452C6">
        <w:rPr>
          <w:rFonts w:ascii="Times New Roman" w:hAnsi="Times New Roman" w:cs="Times New Roman"/>
          <w:sz w:val="24"/>
          <w:szCs w:val="24"/>
        </w:rPr>
        <w:t>r. będą</w:t>
      </w:r>
      <w:r w:rsidR="00C3218B" w:rsidRPr="007452C6">
        <w:rPr>
          <w:rFonts w:ascii="Times New Roman" w:hAnsi="Times New Roman" w:cs="Times New Roman"/>
          <w:sz w:val="24"/>
          <w:szCs w:val="24"/>
        </w:rPr>
        <w:t xml:space="preserve"> objęte dofinansowanie</w:t>
      </w:r>
      <w:r w:rsidR="009A1138" w:rsidRPr="007452C6">
        <w:rPr>
          <w:rFonts w:ascii="Times New Roman" w:hAnsi="Times New Roman" w:cs="Times New Roman"/>
          <w:sz w:val="24"/>
          <w:szCs w:val="24"/>
        </w:rPr>
        <w:t>m</w:t>
      </w:r>
      <w:r w:rsidR="00C3218B" w:rsidRPr="007452C6">
        <w:rPr>
          <w:rFonts w:ascii="Times New Roman" w:hAnsi="Times New Roman" w:cs="Times New Roman"/>
          <w:sz w:val="24"/>
          <w:szCs w:val="24"/>
        </w:rPr>
        <w:t xml:space="preserve"> w ramach</w:t>
      </w:r>
      <w:r w:rsidR="00DF75B4" w:rsidRPr="007452C6">
        <w:rPr>
          <w:rFonts w:ascii="Times New Roman" w:hAnsi="Times New Roman" w:cs="Times New Roman"/>
          <w:sz w:val="24"/>
          <w:szCs w:val="24"/>
        </w:rPr>
        <w:t xml:space="preserve"> pomoc</w:t>
      </w:r>
      <w:r w:rsidR="00AB41B8" w:rsidRPr="007452C6">
        <w:rPr>
          <w:rFonts w:ascii="Times New Roman" w:hAnsi="Times New Roman" w:cs="Times New Roman"/>
          <w:sz w:val="24"/>
          <w:szCs w:val="24"/>
        </w:rPr>
        <w:t>y</w:t>
      </w:r>
      <w:r w:rsidR="00DF75B4" w:rsidRPr="007452C6">
        <w:rPr>
          <w:rFonts w:ascii="Times New Roman" w:hAnsi="Times New Roman" w:cs="Times New Roman"/>
          <w:sz w:val="24"/>
          <w:szCs w:val="24"/>
        </w:rPr>
        <w:t xml:space="preserve"> de </w:t>
      </w:r>
      <w:proofErr w:type="spellStart"/>
      <w:r w:rsidR="00DF75B4" w:rsidRPr="007452C6">
        <w:rPr>
          <w:rFonts w:ascii="Times New Roman" w:hAnsi="Times New Roman" w:cs="Times New Roman"/>
          <w:sz w:val="24"/>
          <w:szCs w:val="24"/>
        </w:rPr>
        <w:t>minimis</w:t>
      </w:r>
      <w:proofErr w:type="spellEnd"/>
      <w:r w:rsidR="00DF75B4" w:rsidRPr="007452C6">
        <w:rPr>
          <w:rFonts w:ascii="Times New Roman" w:hAnsi="Times New Roman" w:cs="Times New Roman"/>
          <w:sz w:val="24"/>
          <w:szCs w:val="24"/>
        </w:rPr>
        <w:t>, a </w:t>
      </w:r>
      <w:r w:rsidR="00C3218B" w:rsidRPr="007452C6">
        <w:rPr>
          <w:rFonts w:ascii="Times New Roman" w:hAnsi="Times New Roman" w:cs="Times New Roman"/>
          <w:sz w:val="24"/>
          <w:szCs w:val="24"/>
        </w:rPr>
        <w:t>przedsiębiorstwa energochłonne będą beneficjentem mechanizmu, który zostanie wprowadzony ustawą o systemie rekompensat dla sektorów i podsektorów energochłonnych.</w:t>
      </w:r>
    </w:p>
    <w:p w14:paraId="42BB4F78" w14:textId="3ACF9672" w:rsidR="00D94565" w:rsidRPr="007452C6" w:rsidRDefault="00D94565" w:rsidP="00D81F50">
      <w:pPr>
        <w:pStyle w:val="Akapitzlist"/>
        <w:numPr>
          <w:ilvl w:val="1"/>
          <w:numId w:val="26"/>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Zmiany z punktu widzenia przedsiębiorstw obrotu i odbiorców końcowych kupujących energię elektryczną bezpośrednio na giełdzie energii</w:t>
      </w:r>
    </w:p>
    <w:p w14:paraId="48CB6E3A" w14:textId="3C5F6A89" w:rsidR="00051413" w:rsidRPr="007452C6" w:rsidRDefault="00051413"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Ze względu na podział roku 2019 na dwa półrocza oraz korekty w mechanizmu wymagane jest uwzględnienie tej sytuacji w rozliczeniach pomiędzy </w:t>
      </w:r>
      <w:r w:rsidR="00E750F2" w:rsidRPr="007452C6">
        <w:rPr>
          <w:rFonts w:ascii="Times New Roman" w:hAnsi="Times New Roman" w:cs="Times New Roman"/>
          <w:sz w:val="24"/>
          <w:szCs w:val="24"/>
        </w:rPr>
        <w:t>Funduszem Wypłaty Różnicy Ceny</w:t>
      </w:r>
      <w:r w:rsidR="00BC410E" w:rsidRPr="007452C6">
        <w:rPr>
          <w:rFonts w:ascii="Times New Roman" w:hAnsi="Times New Roman" w:cs="Times New Roman"/>
          <w:sz w:val="24"/>
          <w:szCs w:val="24"/>
        </w:rPr>
        <w:t xml:space="preserve"> a </w:t>
      </w:r>
      <w:r w:rsidRPr="007452C6">
        <w:rPr>
          <w:rFonts w:ascii="Times New Roman" w:hAnsi="Times New Roman" w:cs="Times New Roman"/>
          <w:sz w:val="24"/>
          <w:szCs w:val="24"/>
        </w:rPr>
        <w:t>przedsiębiorstwami</w:t>
      </w:r>
      <w:r w:rsidR="009A1138" w:rsidRPr="007452C6">
        <w:rPr>
          <w:rFonts w:ascii="Times New Roman" w:hAnsi="Times New Roman" w:cs="Times New Roman"/>
          <w:sz w:val="24"/>
          <w:szCs w:val="24"/>
        </w:rPr>
        <w:t xml:space="preserve"> obrotu oraz przedsiębiorstwami</w:t>
      </w:r>
      <w:r w:rsidRPr="007452C6">
        <w:rPr>
          <w:rFonts w:ascii="Times New Roman" w:hAnsi="Times New Roman" w:cs="Times New Roman"/>
          <w:sz w:val="24"/>
          <w:szCs w:val="24"/>
        </w:rPr>
        <w:t xml:space="preserve"> będącymi</w:t>
      </w:r>
      <w:r w:rsidR="009A1138" w:rsidRPr="007452C6">
        <w:rPr>
          <w:rFonts w:ascii="Times New Roman" w:hAnsi="Times New Roman" w:cs="Times New Roman"/>
          <w:sz w:val="24"/>
          <w:szCs w:val="24"/>
        </w:rPr>
        <w:t xml:space="preserve"> odbiorcami końcowymi, którzy </w:t>
      </w:r>
      <w:r w:rsidRPr="007452C6">
        <w:rPr>
          <w:rFonts w:ascii="Times New Roman" w:hAnsi="Times New Roman" w:cs="Times New Roman"/>
          <w:sz w:val="24"/>
          <w:szCs w:val="24"/>
        </w:rPr>
        <w:t xml:space="preserve">kupują energię elektryczną </w:t>
      </w:r>
      <w:r w:rsidR="009A1138" w:rsidRPr="007452C6">
        <w:rPr>
          <w:rFonts w:ascii="Times New Roman" w:hAnsi="Times New Roman" w:cs="Times New Roman"/>
          <w:sz w:val="24"/>
          <w:szCs w:val="24"/>
        </w:rPr>
        <w:t xml:space="preserve">na giełdzie </w:t>
      </w:r>
      <w:r w:rsidRPr="007452C6">
        <w:rPr>
          <w:rFonts w:ascii="Times New Roman" w:hAnsi="Times New Roman" w:cs="Times New Roman"/>
          <w:sz w:val="24"/>
          <w:szCs w:val="24"/>
        </w:rPr>
        <w:t>z pominięciem przedsiębiorstwa obrotu. Zmiany obrazuje poniższy schemat.</w:t>
      </w:r>
    </w:p>
    <w:p w14:paraId="4703F7B5" w14:textId="140C94CE" w:rsidR="003C0200" w:rsidRPr="007452C6" w:rsidRDefault="003C0200" w:rsidP="00332B8B">
      <w:pPr>
        <w:spacing w:line="360" w:lineRule="auto"/>
        <w:jc w:val="both"/>
        <w:rPr>
          <w:rFonts w:ascii="Times New Roman" w:hAnsi="Times New Roman" w:cs="Times New Roman"/>
          <w:sz w:val="24"/>
          <w:szCs w:val="24"/>
        </w:rPr>
      </w:pPr>
      <w:r w:rsidRPr="007452C6">
        <w:rPr>
          <w:rFonts w:ascii="Times New Roman" w:hAnsi="Times New Roman" w:cs="Times New Roman"/>
          <w:noProof/>
          <w:sz w:val="24"/>
          <w:szCs w:val="24"/>
          <w:lang w:eastAsia="pl-PL"/>
        </w:rPr>
        <w:drawing>
          <wp:inline distT="0" distB="0" distL="0" distR="0" wp14:anchorId="7B1E08DB" wp14:editId="43868E26">
            <wp:extent cx="5589917" cy="3614468"/>
            <wp:effectExtent l="0" t="0" r="0" b="2413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4DE7188" w14:textId="49B132F3" w:rsidR="00E750F2" w:rsidRPr="007452C6" w:rsidRDefault="00E750F2" w:rsidP="00332B8B">
      <w:pPr>
        <w:spacing w:line="360" w:lineRule="auto"/>
        <w:jc w:val="both"/>
        <w:rPr>
          <w:rFonts w:ascii="Times New Roman" w:hAnsi="Times New Roman" w:cs="Times New Roman"/>
          <w:sz w:val="24"/>
          <w:szCs w:val="24"/>
        </w:rPr>
      </w:pPr>
      <w:r w:rsidRPr="007452C6">
        <w:rPr>
          <w:rFonts w:ascii="Times New Roman" w:hAnsi="Times New Roman" w:cs="Times New Roman"/>
          <w:b/>
          <w:sz w:val="24"/>
          <w:szCs w:val="24"/>
        </w:rPr>
        <w:t>Kwota różnicy cen</w:t>
      </w:r>
      <w:r w:rsidR="009A1138" w:rsidRPr="007452C6">
        <w:rPr>
          <w:rFonts w:ascii="Times New Roman" w:hAnsi="Times New Roman" w:cs="Times New Roman"/>
          <w:b/>
          <w:sz w:val="24"/>
          <w:szCs w:val="24"/>
        </w:rPr>
        <w:t>y</w:t>
      </w:r>
      <w:r w:rsidR="00F23BDB" w:rsidRPr="007452C6">
        <w:rPr>
          <w:rFonts w:ascii="Times New Roman" w:hAnsi="Times New Roman" w:cs="Times New Roman"/>
          <w:sz w:val="24"/>
          <w:szCs w:val="24"/>
        </w:rPr>
        <w:t xml:space="preserve"> –</w:t>
      </w:r>
      <w:r w:rsidR="00B52828" w:rsidRPr="007452C6">
        <w:rPr>
          <w:rFonts w:ascii="Times New Roman" w:hAnsi="Times New Roman" w:cs="Times New Roman"/>
          <w:sz w:val="24"/>
          <w:szCs w:val="24"/>
        </w:rPr>
        <w:t xml:space="preserve"> </w:t>
      </w:r>
      <w:r w:rsidRPr="007452C6">
        <w:rPr>
          <w:rFonts w:ascii="Times New Roman" w:hAnsi="Times New Roman" w:cs="Times New Roman"/>
          <w:sz w:val="24"/>
          <w:szCs w:val="24"/>
        </w:rPr>
        <w:t>jest to rekompensata z tytułu obowiązku nałożonego na przedsiębiorstwa obrotu</w:t>
      </w:r>
      <w:r w:rsidR="009A1138" w:rsidRPr="007452C6">
        <w:rPr>
          <w:rFonts w:ascii="Times New Roman" w:hAnsi="Times New Roman" w:cs="Times New Roman"/>
          <w:sz w:val="24"/>
          <w:szCs w:val="24"/>
        </w:rPr>
        <w:t>, polegającego na</w:t>
      </w:r>
      <w:r w:rsidRPr="007452C6">
        <w:rPr>
          <w:rFonts w:ascii="Times New Roman" w:hAnsi="Times New Roman" w:cs="Times New Roman"/>
          <w:sz w:val="24"/>
          <w:szCs w:val="24"/>
        </w:rPr>
        <w:t xml:space="preserve"> sprzedaży energii elektrycznej odbiorcom końcowych po cenach obowiązujących w roku 2018 oraz rekompensata dla odbiorców końcowych</w:t>
      </w:r>
      <w:r w:rsidR="009A1138" w:rsidRPr="007452C6">
        <w:rPr>
          <w:rFonts w:ascii="Times New Roman" w:hAnsi="Times New Roman" w:cs="Times New Roman"/>
          <w:sz w:val="24"/>
          <w:szCs w:val="24"/>
        </w:rPr>
        <w:t xml:space="preserve"> energii elektrycznej, którzy kupują energię </w:t>
      </w:r>
      <w:r w:rsidRPr="007452C6">
        <w:rPr>
          <w:rFonts w:ascii="Times New Roman" w:hAnsi="Times New Roman" w:cs="Times New Roman"/>
          <w:sz w:val="24"/>
          <w:szCs w:val="24"/>
        </w:rPr>
        <w:t>elektryczn</w:t>
      </w:r>
      <w:r w:rsidR="009A1138" w:rsidRPr="007452C6">
        <w:rPr>
          <w:rFonts w:ascii="Times New Roman" w:hAnsi="Times New Roman" w:cs="Times New Roman"/>
          <w:sz w:val="24"/>
          <w:szCs w:val="24"/>
        </w:rPr>
        <w:t>ą na giełdzie z pominięciem przedsiębiorstw</w:t>
      </w:r>
      <w:r w:rsidRPr="007452C6">
        <w:rPr>
          <w:rFonts w:ascii="Times New Roman" w:hAnsi="Times New Roman" w:cs="Times New Roman"/>
          <w:sz w:val="24"/>
          <w:szCs w:val="24"/>
        </w:rPr>
        <w:t xml:space="preserve"> obrotu po cenach wyższych niż </w:t>
      </w:r>
      <w:r w:rsidR="009A1138" w:rsidRPr="007452C6">
        <w:rPr>
          <w:rFonts w:ascii="Times New Roman" w:hAnsi="Times New Roman" w:cs="Times New Roman"/>
          <w:sz w:val="24"/>
          <w:szCs w:val="24"/>
        </w:rPr>
        <w:t xml:space="preserve">ich </w:t>
      </w:r>
      <w:r w:rsidRPr="007452C6">
        <w:rPr>
          <w:rFonts w:ascii="Times New Roman" w:hAnsi="Times New Roman" w:cs="Times New Roman"/>
          <w:sz w:val="24"/>
          <w:szCs w:val="24"/>
        </w:rPr>
        <w:t>ceny nab</w:t>
      </w:r>
      <w:r w:rsidR="009A1138" w:rsidRPr="007452C6">
        <w:rPr>
          <w:rFonts w:ascii="Times New Roman" w:hAnsi="Times New Roman" w:cs="Times New Roman"/>
          <w:sz w:val="24"/>
          <w:szCs w:val="24"/>
        </w:rPr>
        <w:t>ycia w dniu 30 czerwca 2018 r.</w:t>
      </w:r>
    </w:p>
    <w:p w14:paraId="4BD5D7BE" w14:textId="5EF555A0" w:rsidR="00CB6487" w:rsidRPr="007452C6" w:rsidRDefault="00CB6487" w:rsidP="00332B8B">
      <w:pPr>
        <w:spacing w:line="360" w:lineRule="auto"/>
        <w:jc w:val="both"/>
        <w:rPr>
          <w:rFonts w:ascii="Times New Roman" w:hAnsi="Times New Roman" w:cs="Times New Roman"/>
          <w:sz w:val="24"/>
          <w:szCs w:val="24"/>
        </w:rPr>
      </w:pPr>
      <w:r w:rsidRPr="007452C6">
        <w:rPr>
          <w:rFonts w:ascii="Times New Roman" w:hAnsi="Times New Roman" w:cs="Times New Roman"/>
          <w:b/>
          <w:sz w:val="24"/>
          <w:szCs w:val="24"/>
        </w:rPr>
        <w:t>Rekompensata finansowa</w:t>
      </w:r>
      <w:r w:rsidRPr="007452C6">
        <w:rPr>
          <w:rFonts w:ascii="Times New Roman" w:hAnsi="Times New Roman" w:cs="Times New Roman"/>
          <w:sz w:val="24"/>
          <w:szCs w:val="24"/>
        </w:rPr>
        <w:t xml:space="preserve"> </w:t>
      </w:r>
      <w:r w:rsidR="00F25753" w:rsidRPr="007452C6">
        <w:rPr>
          <w:rFonts w:ascii="Times New Roman" w:hAnsi="Times New Roman" w:cs="Times New Roman"/>
          <w:sz w:val="24"/>
          <w:szCs w:val="24"/>
        </w:rPr>
        <w:t>–</w:t>
      </w:r>
      <w:r w:rsidRPr="007452C6">
        <w:rPr>
          <w:rFonts w:ascii="Times New Roman" w:hAnsi="Times New Roman" w:cs="Times New Roman"/>
          <w:sz w:val="24"/>
          <w:szCs w:val="24"/>
        </w:rPr>
        <w:t xml:space="preserve"> </w:t>
      </w:r>
      <w:r w:rsidR="00F25753" w:rsidRPr="007452C6">
        <w:rPr>
          <w:rFonts w:ascii="Times New Roman" w:hAnsi="Times New Roman" w:cs="Times New Roman"/>
          <w:sz w:val="24"/>
          <w:szCs w:val="24"/>
        </w:rPr>
        <w:t>rek</w:t>
      </w:r>
      <w:r w:rsidR="009A1138" w:rsidRPr="007452C6">
        <w:rPr>
          <w:rFonts w:ascii="Times New Roman" w:hAnsi="Times New Roman" w:cs="Times New Roman"/>
          <w:sz w:val="24"/>
          <w:szCs w:val="24"/>
        </w:rPr>
        <w:t>ompensata finansowa przysługuje</w:t>
      </w:r>
      <w:r w:rsidR="00F25753" w:rsidRPr="007452C6">
        <w:rPr>
          <w:rFonts w:ascii="Times New Roman" w:hAnsi="Times New Roman" w:cs="Times New Roman"/>
          <w:sz w:val="24"/>
          <w:szCs w:val="24"/>
        </w:rPr>
        <w:t xml:space="preserve"> przedsiębiorstwom obrotu </w:t>
      </w:r>
      <w:r w:rsidR="009A1138" w:rsidRPr="007452C6">
        <w:rPr>
          <w:rFonts w:ascii="Times New Roman" w:hAnsi="Times New Roman" w:cs="Times New Roman"/>
          <w:sz w:val="24"/>
          <w:szCs w:val="24"/>
        </w:rPr>
        <w:t>w drugim półroczu</w:t>
      </w:r>
      <w:r w:rsidR="00F25753" w:rsidRPr="007452C6">
        <w:rPr>
          <w:rFonts w:ascii="Times New Roman" w:hAnsi="Times New Roman" w:cs="Times New Roman"/>
          <w:sz w:val="24"/>
          <w:szCs w:val="24"/>
        </w:rPr>
        <w:t xml:space="preserve"> 2019 r. w związku ze świadczeniem usługi w ogólnym interesie</w:t>
      </w:r>
      <w:r w:rsidR="00D11E39" w:rsidRPr="007452C6">
        <w:rPr>
          <w:rFonts w:ascii="Times New Roman" w:hAnsi="Times New Roman" w:cs="Times New Roman"/>
          <w:sz w:val="24"/>
          <w:szCs w:val="24"/>
        </w:rPr>
        <w:t xml:space="preserve"> publicznym (usługa publiczna).</w:t>
      </w:r>
      <w:r w:rsidR="00D11E39" w:rsidRPr="007452C6">
        <w:t xml:space="preserve"> </w:t>
      </w:r>
      <w:r w:rsidR="00D11E39" w:rsidRPr="007452C6">
        <w:rPr>
          <w:rFonts w:ascii="Times New Roman" w:hAnsi="Times New Roman" w:cs="Times New Roman"/>
          <w:sz w:val="24"/>
          <w:szCs w:val="24"/>
        </w:rPr>
        <w:t>Możliwość nałożenia przez państwo członkowskie na przedsiębiorstwa elektroenergetyczne w ogólnym interesie gospodarczym obowiązku użyteczności publicznej została przewidziana w art. 3 ust. 2 Dyrektywy Parlamentu</w:t>
      </w:r>
      <w:r w:rsidR="009A1138" w:rsidRPr="007452C6">
        <w:rPr>
          <w:rFonts w:ascii="Times New Roman" w:hAnsi="Times New Roman" w:cs="Times New Roman"/>
          <w:sz w:val="24"/>
          <w:szCs w:val="24"/>
        </w:rPr>
        <w:t xml:space="preserve"> Europejskiego i Rady 2009/72 z </w:t>
      </w:r>
      <w:r w:rsidR="00D11E39" w:rsidRPr="007452C6">
        <w:rPr>
          <w:rFonts w:ascii="Times New Roman" w:hAnsi="Times New Roman" w:cs="Times New Roman"/>
          <w:sz w:val="24"/>
          <w:szCs w:val="24"/>
        </w:rPr>
        <w:t xml:space="preserve">dnia 13 lipca 2009 roku dotyczącej wspólnych zasad rynku wewnętrznego energii elektrycznej i uchylającej dyrektywę 2003/54/WE (Dz.Urz.UE.L.2009.211.55 z dnia 2009.08.14 z </w:t>
      </w:r>
      <w:proofErr w:type="spellStart"/>
      <w:r w:rsidR="00D11E39" w:rsidRPr="007452C6">
        <w:rPr>
          <w:rFonts w:ascii="Times New Roman" w:hAnsi="Times New Roman" w:cs="Times New Roman"/>
          <w:sz w:val="24"/>
          <w:szCs w:val="24"/>
        </w:rPr>
        <w:t>późn</w:t>
      </w:r>
      <w:proofErr w:type="spellEnd"/>
      <w:r w:rsidR="00D11E39" w:rsidRPr="007452C6">
        <w:rPr>
          <w:rFonts w:ascii="Times New Roman" w:hAnsi="Times New Roman" w:cs="Times New Roman"/>
          <w:sz w:val="24"/>
          <w:szCs w:val="24"/>
        </w:rPr>
        <w:t>. zm.).</w:t>
      </w:r>
      <w:r w:rsidR="009269E9" w:rsidRPr="007452C6">
        <w:rPr>
          <w:rFonts w:ascii="Times New Roman" w:hAnsi="Times New Roman" w:cs="Times New Roman"/>
          <w:sz w:val="24"/>
          <w:szCs w:val="24"/>
        </w:rPr>
        <w:t xml:space="preserve"> Usługa publiczna jest realizowana w interesie ogólnym społeczeństwa</w:t>
      </w:r>
      <w:r w:rsidR="009A1138" w:rsidRPr="007452C6">
        <w:rPr>
          <w:rFonts w:ascii="Times New Roman" w:hAnsi="Times New Roman" w:cs="Times New Roman"/>
          <w:sz w:val="24"/>
          <w:szCs w:val="24"/>
        </w:rPr>
        <w:t>, zaspokaja</w:t>
      </w:r>
      <w:r w:rsidR="009269E9" w:rsidRPr="007452C6">
        <w:rPr>
          <w:rFonts w:ascii="Times New Roman" w:hAnsi="Times New Roman" w:cs="Times New Roman"/>
          <w:sz w:val="24"/>
          <w:szCs w:val="24"/>
        </w:rPr>
        <w:t xml:space="preserve"> eg</w:t>
      </w:r>
      <w:r w:rsidR="009A1138" w:rsidRPr="007452C6">
        <w:rPr>
          <w:rFonts w:ascii="Times New Roman" w:hAnsi="Times New Roman" w:cs="Times New Roman"/>
          <w:sz w:val="24"/>
          <w:szCs w:val="24"/>
        </w:rPr>
        <w:t xml:space="preserve">zystencjalne potrzeby ludzkie, </w:t>
      </w:r>
      <w:r w:rsidR="009269E9" w:rsidRPr="007452C6">
        <w:rPr>
          <w:rFonts w:ascii="Times New Roman" w:hAnsi="Times New Roman" w:cs="Times New Roman"/>
          <w:sz w:val="24"/>
          <w:szCs w:val="24"/>
        </w:rPr>
        <w:t>służąc rozwojowi przedsiębiorstw oraz całej gospodarki. Niewątpliwie energia elektryczna jest takim dobrem, bez którego egzystencja społeczeństwa oraz rozwój gospodarki nie mógłby być realizowany.</w:t>
      </w:r>
    </w:p>
    <w:p w14:paraId="402230A7" w14:textId="4BB40BA6" w:rsidR="00A91ADF" w:rsidRPr="007452C6" w:rsidRDefault="00A91ADF"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Istotną zmianą dla przedsiębiorstw obrotu jest dodanie przepisów, które umożliwiają ubieganie się u Prezesa Urzędu Regulacji Energetyki o określenie indywidualnych jednostkowych kosztów własnych, bilansowania oraz kolorowania używanych do określenia wysokości wypłaty kwoty różnicy cen</w:t>
      </w:r>
      <w:r w:rsidR="00A206E8" w:rsidRPr="007452C6">
        <w:rPr>
          <w:rFonts w:ascii="Times New Roman" w:hAnsi="Times New Roman" w:cs="Times New Roman"/>
          <w:sz w:val="24"/>
          <w:szCs w:val="24"/>
        </w:rPr>
        <w:t>y</w:t>
      </w:r>
      <w:r w:rsidRPr="007452C6">
        <w:rPr>
          <w:rFonts w:ascii="Times New Roman" w:hAnsi="Times New Roman" w:cs="Times New Roman"/>
          <w:sz w:val="24"/>
          <w:szCs w:val="24"/>
        </w:rPr>
        <w:t xml:space="preserve">. </w:t>
      </w:r>
    </w:p>
    <w:p w14:paraId="6D2F80CA" w14:textId="7548409F" w:rsidR="00D11E39" w:rsidRPr="007452C6" w:rsidRDefault="00D11E39" w:rsidP="00D11E39">
      <w:pPr>
        <w:pStyle w:val="Akapitzlist"/>
        <w:numPr>
          <w:ilvl w:val="1"/>
          <w:numId w:val="26"/>
        </w:numPr>
        <w:rPr>
          <w:rFonts w:ascii="Times New Roman" w:hAnsi="Times New Roman" w:cs="Times New Roman"/>
          <w:b/>
          <w:sz w:val="24"/>
          <w:szCs w:val="24"/>
        </w:rPr>
      </w:pPr>
      <w:r w:rsidRPr="007452C6">
        <w:rPr>
          <w:rFonts w:ascii="Times New Roman" w:hAnsi="Times New Roman" w:cs="Times New Roman"/>
          <w:b/>
          <w:sz w:val="24"/>
          <w:szCs w:val="24"/>
        </w:rPr>
        <w:t>Zmiany z punktu widzenia odbiorców energii elektrycznej</w:t>
      </w:r>
      <w:r w:rsidR="00D60DA8" w:rsidRPr="007452C6">
        <w:rPr>
          <w:rFonts w:ascii="Times New Roman" w:hAnsi="Times New Roman" w:cs="Times New Roman"/>
          <w:b/>
          <w:sz w:val="24"/>
          <w:szCs w:val="24"/>
        </w:rPr>
        <w:t>, innych niż średnie i duże przedsiębiorstwa</w:t>
      </w:r>
    </w:p>
    <w:p w14:paraId="0072D732" w14:textId="3316024B" w:rsidR="00D60DA8" w:rsidRPr="007452C6" w:rsidRDefault="00D11E39" w:rsidP="00D60DA8">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Dzięki ustawie z dnia 28 grudnia 2018 r. oraz przedstawionej nowelizacji aż 98% obiorców energii elektrycznej zostanie ochronione przed wzr</w:t>
      </w:r>
      <w:r w:rsidR="00EF649F" w:rsidRPr="007452C6">
        <w:rPr>
          <w:rFonts w:ascii="Times New Roman" w:hAnsi="Times New Roman" w:cs="Times New Roman"/>
          <w:sz w:val="24"/>
          <w:szCs w:val="24"/>
        </w:rPr>
        <w:t>os</w:t>
      </w:r>
      <w:r w:rsidR="009A1138" w:rsidRPr="007452C6">
        <w:rPr>
          <w:rFonts w:ascii="Times New Roman" w:hAnsi="Times New Roman" w:cs="Times New Roman"/>
          <w:sz w:val="24"/>
          <w:szCs w:val="24"/>
        </w:rPr>
        <w:t>tami cen energii elektrycznej w </w:t>
      </w:r>
      <w:r w:rsidR="00EF649F" w:rsidRPr="007452C6">
        <w:rPr>
          <w:rFonts w:ascii="Times New Roman" w:hAnsi="Times New Roman" w:cs="Times New Roman"/>
          <w:sz w:val="24"/>
          <w:szCs w:val="24"/>
        </w:rPr>
        <w:t xml:space="preserve">ciągu całego roku 2019. </w:t>
      </w:r>
      <w:r w:rsidR="006C056F" w:rsidRPr="007452C6">
        <w:rPr>
          <w:rFonts w:ascii="Times New Roman" w:hAnsi="Times New Roman" w:cs="Times New Roman"/>
          <w:sz w:val="24"/>
          <w:szCs w:val="24"/>
        </w:rPr>
        <w:t>Niemiej jednak, część odbiorców</w:t>
      </w:r>
      <w:r w:rsidR="009A1138" w:rsidRPr="007452C6">
        <w:rPr>
          <w:rFonts w:ascii="Times New Roman" w:hAnsi="Times New Roman" w:cs="Times New Roman"/>
          <w:sz w:val="24"/>
          <w:szCs w:val="24"/>
        </w:rPr>
        <w:t>, aby móc w drugiej połowie 2019 </w:t>
      </w:r>
      <w:r w:rsidR="006C056F" w:rsidRPr="007452C6">
        <w:rPr>
          <w:rFonts w:ascii="Times New Roman" w:hAnsi="Times New Roman" w:cs="Times New Roman"/>
          <w:sz w:val="24"/>
          <w:szCs w:val="24"/>
        </w:rPr>
        <w:t xml:space="preserve">r. korzystać z obniżonych cen musi złożyć w przeciągu 28 dni od dnia wejścia w życie nowelizacji </w:t>
      </w:r>
      <w:r w:rsidR="00FD122E" w:rsidRPr="007452C6">
        <w:rPr>
          <w:rFonts w:ascii="Times New Roman" w:hAnsi="Times New Roman" w:cs="Times New Roman"/>
          <w:sz w:val="24"/>
          <w:szCs w:val="24"/>
        </w:rPr>
        <w:t>oświadczenia</w:t>
      </w:r>
      <w:r w:rsidR="006C056F" w:rsidRPr="007452C6">
        <w:rPr>
          <w:rFonts w:ascii="Times New Roman" w:hAnsi="Times New Roman" w:cs="Times New Roman"/>
          <w:sz w:val="24"/>
          <w:szCs w:val="24"/>
        </w:rPr>
        <w:t xml:space="preserve">, którego wzór stanowi załącznik do ustawy. Wprowadzenie </w:t>
      </w:r>
      <w:r w:rsidR="009A1138" w:rsidRPr="007452C6">
        <w:rPr>
          <w:rFonts w:ascii="Times New Roman" w:hAnsi="Times New Roman" w:cs="Times New Roman"/>
          <w:sz w:val="24"/>
          <w:szCs w:val="24"/>
        </w:rPr>
        <w:t xml:space="preserve">procedury składania </w:t>
      </w:r>
      <w:r w:rsidR="006C056F" w:rsidRPr="007452C6">
        <w:rPr>
          <w:rFonts w:ascii="Times New Roman" w:hAnsi="Times New Roman" w:cs="Times New Roman"/>
          <w:sz w:val="24"/>
          <w:szCs w:val="24"/>
        </w:rPr>
        <w:t>tego oświadczenia stało się niezbędne, ze względu na wyłączenie</w:t>
      </w:r>
      <w:r w:rsidR="00FD122E" w:rsidRPr="007452C6">
        <w:rPr>
          <w:rFonts w:ascii="Times New Roman" w:hAnsi="Times New Roman" w:cs="Times New Roman"/>
          <w:sz w:val="24"/>
          <w:szCs w:val="24"/>
        </w:rPr>
        <w:t xml:space="preserve"> od 1 lipca 2019 r.</w:t>
      </w:r>
      <w:r w:rsidR="006C056F" w:rsidRPr="007452C6">
        <w:rPr>
          <w:rFonts w:ascii="Times New Roman" w:hAnsi="Times New Roman" w:cs="Times New Roman"/>
          <w:sz w:val="24"/>
          <w:szCs w:val="24"/>
        </w:rPr>
        <w:t xml:space="preserve"> </w:t>
      </w:r>
      <w:r w:rsidR="00FD122E" w:rsidRPr="007452C6">
        <w:rPr>
          <w:rFonts w:ascii="Times New Roman" w:hAnsi="Times New Roman" w:cs="Times New Roman"/>
          <w:sz w:val="24"/>
          <w:szCs w:val="24"/>
        </w:rPr>
        <w:t>spod</w:t>
      </w:r>
      <w:r w:rsidR="006C056F" w:rsidRPr="007452C6">
        <w:rPr>
          <w:rFonts w:ascii="Times New Roman" w:hAnsi="Times New Roman" w:cs="Times New Roman"/>
          <w:sz w:val="24"/>
          <w:szCs w:val="24"/>
        </w:rPr>
        <w:t xml:space="preserve"> obowiązku </w:t>
      </w:r>
      <w:r w:rsidR="00FD122E" w:rsidRPr="007452C6">
        <w:rPr>
          <w:rFonts w:ascii="Times New Roman" w:hAnsi="Times New Roman" w:cs="Times New Roman"/>
          <w:sz w:val="24"/>
          <w:szCs w:val="24"/>
        </w:rPr>
        <w:t>art. 5 ust. 1</w:t>
      </w:r>
      <w:r w:rsidR="006C056F" w:rsidRPr="007452C6">
        <w:rPr>
          <w:rFonts w:ascii="Times New Roman" w:hAnsi="Times New Roman" w:cs="Times New Roman"/>
          <w:sz w:val="24"/>
          <w:szCs w:val="24"/>
        </w:rPr>
        <w:t xml:space="preserve"> średnich i dużych przedsiębiorstw, w tym prz</w:t>
      </w:r>
      <w:r w:rsidR="009A1138" w:rsidRPr="007452C6">
        <w:rPr>
          <w:rFonts w:ascii="Times New Roman" w:hAnsi="Times New Roman" w:cs="Times New Roman"/>
          <w:sz w:val="24"/>
          <w:szCs w:val="24"/>
        </w:rPr>
        <w:t>edsiębiorstw energochłonnych. Z </w:t>
      </w:r>
      <w:r w:rsidR="006C056F" w:rsidRPr="007452C6">
        <w:rPr>
          <w:rFonts w:ascii="Times New Roman" w:hAnsi="Times New Roman" w:cs="Times New Roman"/>
          <w:sz w:val="24"/>
          <w:szCs w:val="24"/>
        </w:rPr>
        <w:t>uwagi na fakt, że przedsiębiorstwa obrotu nie posiadają informacji, czy dany odbiorca końcowy jest np. małym przedsiębiorstwem lub dużym przedsiębiorstwem, wymagane jest zastosowanie oświadczenia.</w:t>
      </w:r>
      <w:r w:rsidR="003A7C47" w:rsidRPr="007452C6">
        <w:rPr>
          <w:rFonts w:ascii="Times New Roman" w:hAnsi="Times New Roman" w:cs="Times New Roman"/>
          <w:sz w:val="24"/>
          <w:szCs w:val="24"/>
        </w:rPr>
        <w:t xml:space="preserve"> Mając na uwadze obciążenie dla obywateli jakim będzie złożenie oświadczenia do przedsiębiorstwa energetycznego zdecydowano, że oświadczenie to nie będzie wymagane dla odbiorców z grupy taryfowej G, czyli najbardziej licznej grupy odbiorców energii elektrycznej, w której mieszczą się gospodarstwa domowe. Założono, że żadne średnie lub duże </w:t>
      </w:r>
      <w:r w:rsidR="009A1138" w:rsidRPr="007452C6">
        <w:rPr>
          <w:rFonts w:ascii="Times New Roman" w:hAnsi="Times New Roman" w:cs="Times New Roman"/>
          <w:sz w:val="24"/>
          <w:szCs w:val="24"/>
        </w:rPr>
        <w:t>przedsiębiorstwo nie korzysta z grupy taryfowej G</w:t>
      </w:r>
      <w:r w:rsidR="003A7C47" w:rsidRPr="007452C6">
        <w:rPr>
          <w:rFonts w:ascii="Times New Roman" w:hAnsi="Times New Roman" w:cs="Times New Roman"/>
          <w:sz w:val="24"/>
          <w:szCs w:val="24"/>
        </w:rPr>
        <w:t xml:space="preserve">. </w:t>
      </w:r>
    </w:p>
    <w:p w14:paraId="3E27A772" w14:textId="6EF39FE5" w:rsidR="00D11E39" w:rsidRPr="007452C6" w:rsidRDefault="00D60DA8" w:rsidP="00D60DA8">
      <w:pPr>
        <w:pStyle w:val="Akapitzlist"/>
        <w:numPr>
          <w:ilvl w:val="0"/>
          <w:numId w:val="22"/>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Zmiany z punktu widzenia średnich i dużych przedsiębiorstw</w:t>
      </w:r>
    </w:p>
    <w:p w14:paraId="3102D4BE" w14:textId="7D7A2978" w:rsidR="00D60DA8" w:rsidRPr="007452C6" w:rsidRDefault="00D60DA8"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Średnie i duże przedsiębi</w:t>
      </w:r>
      <w:r w:rsidR="009A1138" w:rsidRPr="007452C6">
        <w:rPr>
          <w:rFonts w:ascii="Times New Roman" w:hAnsi="Times New Roman" w:cs="Times New Roman"/>
          <w:sz w:val="24"/>
          <w:szCs w:val="24"/>
        </w:rPr>
        <w:t>orstwa w pierwszej połowie 2019 </w:t>
      </w:r>
      <w:r w:rsidRPr="007452C6">
        <w:rPr>
          <w:rFonts w:ascii="Times New Roman" w:hAnsi="Times New Roman" w:cs="Times New Roman"/>
          <w:sz w:val="24"/>
          <w:szCs w:val="24"/>
        </w:rPr>
        <w:t>r., zgodnie z przepisami obowiązującego od 1 stycznia 2019 r. art. 5, zostali objęci obowiązkiem oferowania przez przedsiębiorstwa obrotu cen i stawek opłat na poziomie nie wyższym, niż ce</w:t>
      </w:r>
      <w:r w:rsidR="009A1138" w:rsidRPr="007452C6">
        <w:rPr>
          <w:rFonts w:ascii="Times New Roman" w:hAnsi="Times New Roman" w:cs="Times New Roman"/>
          <w:sz w:val="24"/>
          <w:szCs w:val="24"/>
        </w:rPr>
        <w:t>ny i stawki opłat obowiązujące</w:t>
      </w:r>
      <w:r w:rsidRPr="007452C6">
        <w:rPr>
          <w:rFonts w:ascii="Times New Roman" w:hAnsi="Times New Roman" w:cs="Times New Roman"/>
          <w:sz w:val="24"/>
          <w:szCs w:val="24"/>
        </w:rPr>
        <w:t xml:space="preserve"> 30 czerwca 2019 r. Zatem</w:t>
      </w:r>
      <w:r w:rsidR="009A1138" w:rsidRPr="007452C6">
        <w:rPr>
          <w:rFonts w:ascii="Times New Roman" w:hAnsi="Times New Roman" w:cs="Times New Roman"/>
          <w:sz w:val="24"/>
          <w:szCs w:val="24"/>
        </w:rPr>
        <w:t>,</w:t>
      </w:r>
      <w:r w:rsidRPr="007452C6">
        <w:rPr>
          <w:rFonts w:ascii="Times New Roman" w:hAnsi="Times New Roman" w:cs="Times New Roman"/>
          <w:sz w:val="24"/>
          <w:szCs w:val="24"/>
        </w:rPr>
        <w:t xml:space="preserve"> podobni</w:t>
      </w:r>
      <w:r w:rsidR="009A1138" w:rsidRPr="007452C6">
        <w:rPr>
          <w:rFonts w:ascii="Times New Roman" w:hAnsi="Times New Roman" w:cs="Times New Roman"/>
          <w:sz w:val="24"/>
          <w:szCs w:val="24"/>
        </w:rPr>
        <w:t>e jak pozostali odbiorcy końcowi</w:t>
      </w:r>
      <w:r w:rsidRPr="007452C6">
        <w:rPr>
          <w:rFonts w:ascii="Times New Roman" w:hAnsi="Times New Roman" w:cs="Times New Roman"/>
          <w:sz w:val="24"/>
          <w:szCs w:val="24"/>
        </w:rPr>
        <w:t xml:space="preserve"> energii elektrycznej</w:t>
      </w:r>
      <w:r w:rsidR="009A1138" w:rsidRPr="007452C6">
        <w:rPr>
          <w:rFonts w:ascii="Times New Roman" w:hAnsi="Times New Roman" w:cs="Times New Roman"/>
          <w:sz w:val="24"/>
          <w:szCs w:val="24"/>
        </w:rPr>
        <w:t>,</w:t>
      </w:r>
      <w:r w:rsidRPr="007452C6">
        <w:rPr>
          <w:rFonts w:ascii="Times New Roman" w:hAnsi="Times New Roman" w:cs="Times New Roman"/>
          <w:sz w:val="24"/>
          <w:szCs w:val="24"/>
        </w:rPr>
        <w:t xml:space="preserve"> przeds</w:t>
      </w:r>
      <w:r w:rsidR="009A1138" w:rsidRPr="007452C6">
        <w:rPr>
          <w:rFonts w:ascii="Times New Roman" w:hAnsi="Times New Roman" w:cs="Times New Roman"/>
          <w:sz w:val="24"/>
          <w:szCs w:val="24"/>
        </w:rPr>
        <w:t>iębiorstwa te będą beneficjentami</w:t>
      </w:r>
      <w:r w:rsidRPr="007452C6">
        <w:rPr>
          <w:rFonts w:ascii="Times New Roman" w:hAnsi="Times New Roman" w:cs="Times New Roman"/>
          <w:sz w:val="24"/>
          <w:szCs w:val="24"/>
        </w:rPr>
        <w:t xml:space="preserve"> przepisów art. 5 za okres od 1 stycznia 2019 r. do 30 czerwca 2019 r.</w:t>
      </w:r>
    </w:p>
    <w:p w14:paraId="2346C936" w14:textId="248C24B2" w:rsidR="00D60DA8" w:rsidRDefault="00D60DA8" w:rsidP="00332B8B">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Sytuacja średnich i dużych przedsiębio</w:t>
      </w:r>
      <w:r w:rsidR="009A1138" w:rsidRPr="007452C6">
        <w:rPr>
          <w:rFonts w:ascii="Times New Roman" w:hAnsi="Times New Roman" w:cs="Times New Roman"/>
          <w:sz w:val="24"/>
          <w:szCs w:val="24"/>
        </w:rPr>
        <w:t>rstw zmieni się od 1 lipca 2019 </w:t>
      </w:r>
      <w:r w:rsidRPr="007452C6">
        <w:rPr>
          <w:rFonts w:ascii="Times New Roman" w:hAnsi="Times New Roman" w:cs="Times New Roman"/>
          <w:sz w:val="24"/>
          <w:szCs w:val="24"/>
        </w:rPr>
        <w:t>r., ponieważ przeds</w:t>
      </w:r>
      <w:r w:rsidR="009A1138" w:rsidRPr="007452C6">
        <w:rPr>
          <w:rFonts w:ascii="Times New Roman" w:hAnsi="Times New Roman" w:cs="Times New Roman"/>
          <w:sz w:val="24"/>
          <w:szCs w:val="24"/>
        </w:rPr>
        <w:t>iębiorstwa obrotu nie będą miały</w:t>
      </w:r>
      <w:r w:rsidRPr="007452C6">
        <w:rPr>
          <w:rFonts w:ascii="Times New Roman" w:hAnsi="Times New Roman" w:cs="Times New Roman"/>
          <w:sz w:val="24"/>
          <w:szCs w:val="24"/>
        </w:rPr>
        <w:t xml:space="preserve"> już obowiązku oferowania cen energii elektrycznej </w:t>
      </w:r>
      <w:r w:rsidR="009A1138" w:rsidRPr="007452C6">
        <w:rPr>
          <w:rFonts w:ascii="Times New Roman" w:hAnsi="Times New Roman" w:cs="Times New Roman"/>
          <w:sz w:val="24"/>
          <w:szCs w:val="24"/>
        </w:rPr>
        <w:t>na poziomie z 30 czerwca 2018</w:t>
      </w:r>
      <w:r w:rsidRPr="007452C6">
        <w:rPr>
          <w:rFonts w:ascii="Times New Roman" w:hAnsi="Times New Roman" w:cs="Times New Roman"/>
          <w:sz w:val="24"/>
          <w:szCs w:val="24"/>
        </w:rPr>
        <w:t xml:space="preserve"> r.</w:t>
      </w:r>
      <w:r w:rsidR="00681DD6" w:rsidRPr="007452C6">
        <w:rPr>
          <w:rFonts w:ascii="Times New Roman" w:hAnsi="Times New Roman" w:cs="Times New Roman"/>
          <w:sz w:val="24"/>
          <w:szCs w:val="24"/>
        </w:rPr>
        <w:t xml:space="preserve"> Niemniej jednak </w:t>
      </w:r>
      <w:r w:rsidR="003506DB" w:rsidRPr="007452C6">
        <w:rPr>
          <w:rFonts w:ascii="Times New Roman" w:hAnsi="Times New Roman" w:cs="Times New Roman"/>
          <w:sz w:val="24"/>
          <w:szCs w:val="24"/>
        </w:rPr>
        <w:t xml:space="preserve">średnie i duże </w:t>
      </w:r>
      <w:r w:rsidR="00681DD6" w:rsidRPr="007452C6">
        <w:rPr>
          <w:rFonts w:ascii="Times New Roman" w:hAnsi="Times New Roman" w:cs="Times New Roman"/>
          <w:sz w:val="24"/>
          <w:szCs w:val="24"/>
        </w:rPr>
        <w:t>przedsiębiorstwa w drugim półroczu będą korzystały z obniżonej stawki na akcyzę oraz obniżonej opłaty przejściowej.</w:t>
      </w:r>
      <w:r w:rsidRPr="007452C6">
        <w:rPr>
          <w:rFonts w:ascii="Times New Roman" w:hAnsi="Times New Roman" w:cs="Times New Roman"/>
          <w:sz w:val="24"/>
          <w:szCs w:val="24"/>
        </w:rPr>
        <w:t xml:space="preserve"> Patrząc obiektywnie na sytuację na hurtowym rynku energii elektrycznej w całej Europie, </w:t>
      </w:r>
      <w:r w:rsidR="00476F33" w:rsidRPr="007452C6">
        <w:rPr>
          <w:rFonts w:ascii="Times New Roman" w:hAnsi="Times New Roman" w:cs="Times New Roman"/>
          <w:sz w:val="24"/>
          <w:szCs w:val="24"/>
        </w:rPr>
        <w:t xml:space="preserve">istnieje duże prawdopodobieństwo, że </w:t>
      </w:r>
      <w:r w:rsidRPr="007452C6">
        <w:rPr>
          <w:rFonts w:ascii="Times New Roman" w:hAnsi="Times New Roman" w:cs="Times New Roman"/>
          <w:sz w:val="24"/>
          <w:szCs w:val="24"/>
        </w:rPr>
        <w:t xml:space="preserve">od lipca 2019 r. przedsiębiorstwa obrotu zaoferują podwyżki cen energii elektrycznej tym odbiorcom. </w:t>
      </w:r>
      <w:r w:rsidR="003506DB" w:rsidRPr="007452C6">
        <w:rPr>
          <w:rFonts w:ascii="Times New Roman" w:hAnsi="Times New Roman" w:cs="Times New Roman"/>
          <w:sz w:val="24"/>
          <w:szCs w:val="24"/>
        </w:rPr>
        <w:t xml:space="preserve">Należy stwierdzić, że </w:t>
      </w:r>
      <w:r w:rsidRPr="007452C6">
        <w:rPr>
          <w:rFonts w:ascii="Times New Roman" w:hAnsi="Times New Roman" w:cs="Times New Roman"/>
          <w:sz w:val="24"/>
          <w:szCs w:val="24"/>
        </w:rPr>
        <w:t>średnie i duże przedsiębiorstwa nie zostaną bez pomocy państwa w związk</w:t>
      </w:r>
      <w:r w:rsidR="003506DB" w:rsidRPr="007452C6">
        <w:rPr>
          <w:rFonts w:ascii="Times New Roman" w:hAnsi="Times New Roman" w:cs="Times New Roman"/>
          <w:sz w:val="24"/>
          <w:szCs w:val="24"/>
        </w:rPr>
        <w:t>u z tą sytuacją. Dla średnich i </w:t>
      </w:r>
      <w:r w:rsidRPr="007452C6">
        <w:rPr>
          <w:rFonts w:ascii="Times New Roman" w:hAnsi="Times New Roman" w:cs="Times New Roman"/>
          <w:sz w:val="24"/>
          <w:szCs w:val="24"/>
        </w:rPr>
        <w:t>dużych przedsiębiorstw nowelizacja ustawy wprowadza możliwość ubiegania się o dopłatę do każdej zakupionej i zużytej kilowatogodziny energii elek</w:t>
      </w:r>
      <w:r w:rsidR="003506DB" w:rsidRPr="007452C6">
        <w:rPr>
          <w:rFonts w:ascii="Times New Roman" w:hAnsi="Times New Roman" w:cs="Times New Roman"/>
          <w:sz w:val="24"/>
          <w:szCs w:val="24"/>
        </w:rPr>
        <w:t>trycznej w II połowie 2019 r. w </w:t>
      </w:r>
      <w:r w:rsidRPr="007452C6">
        <w:rPr>
          <w:rFonts w:ascii="Times New Roman" w:hAnsi="Times New Roman" w:cs="Times New Roman"/>
          <w:sz w:val="24"/>
          <w:szCs w:val="24"/>
        </w:rPr>
        <w:t xml:space="preserve">ramach dozwolonej pomocy </w:t>
      </w:r>
      <w:r w:rsidRPr="007452C6">
        <w:rPr>
          <w:rFonts w:ascii="Times New Roman" w:hAnsi="Times New Roman" w:cs="Times New Roman"/>
          <w:i/>
          <w:sz w:val="24"/>
          <w:szCs w:val="24"/>
        </w:rPr>
        <w:t xml:space="preserve">de </w:t>
      </w:r>
      <w:proofErr w:type="spellStart"/>
      <w:r w:rsidRPr="007452C6">
        <w:rPr>
          <w:rFonts w:ascii="Times New Roman" w:hAnsi="Times New Roman" w:cs="Times New Roman"/>
          <w:i/>
          <w:sz w:val="24"/>
          <w:szCs w:val="24"/>
        </w:rPr>
        <w:t>minimis</w:t>
      </w:r>
      <w:proofErr w:type="spellEnd"/>
      <w:r w:rsidRPr="007452C6">
        <w:rPr>
          <w:rFonts w:ascii="Times New Roman" w:hAnsi="Times New Roman" w:cs="Times New Roman"/>
          <w:sz w:val="24"/>
          <w:szCs w:val="24"/>
        </w:rPr>
        <w:t xml:space="preserve">. </w:t>
      </w:r>
      <w:r w:rsidR="00FD7AB5" w:rsidRPr="007452C6">
        <w:rPr>
          <w:rFonts w:ascii="Times New Roman" w:hAnsi="Times New Roman" w:cs="Times New Roman"/>
          <w:sz w:val="24"/>
          <w:szCs w:val="24"/>
        </w:rPr>
        <w:t>Wartość tej pomocy</w:t>
      </w:r>
      <w:r w:rsidR="003506DB" w:rsidRPr="007452C6">
        <w:rPr>
          <w:rFonts w:ascii="Times New Roman" w:hAnsi="Times New Roman" w:cs="Times New Roman"/>
          <w:sz w:val="24"/>
          <w:szCs w:val="24"/>
        </w:rPr>
        <w:t xml:space="preserve"> obwarowana jest limitami, który</w:t>
      </w:r>
      <w:r w:rsidR="00FD7AB5" w:rsidRPr="007452C6">
        <w:rPr>
          <w:rFonts w:ascii="Times New Roman" w:hAnsi="Times New Roman" w:cs="Times New Roman"/>
          <w:sz w:val="24"/>
          <w:szCs w:val="24"/>
        </w:rPr>
        <w:t xml:space="preserve"> w największej liczbie przypadków wynosi 200 tys. €</w:t>
      </w:r>
      <w:r w:rsidR="00FE2580" w:rsidRPr="007452C6">
        <w:rPr>
          <w:rFonts w:ascii="Times New Roman" w:hAnsi="Times New Roman" w:cs="Times New Roman"/>
          <w:sz w:val="24"/>
          <w:szCs w:val="24"/>
        </w:rPr>
        <w:t xml:space="preserve"> (ok. 860</w:t>
      </w:r>
      <w:r w:rsidR="00476F33" w:rsidRPr="007452C6">
        <w:rPr>
          <w:rFonts w:ascii="Times New Roman" w:hAnsi="Times New Roman" w:cs="Times New Roman"/>
          <w:sz w:val="24"/>
          <w:szCs w:val="24"/>
        </w:rPr>
        <w:t xml:space="preserve"> tys.</w:t>
      </w:r>
      <w:r w:rsidR="00FE2580" w:rsidRPr="007452C6">
        <w:rPr>
          <w:rFonts w:ascii="Times New Roman" w:hAnsi="Times New Roman" w:cs="Times New Roman"/>
          <w:sz w:val="24"/>
          <w:szCs w:val="24"/>
        </w:rPr>
        <w:t xml:space="preserve"> PLN) otrzymanej pomocy w bieżącym roku podatkowym oraz w dwóch poprzedzających go latach podatkowych. Jest to pewnego rodzaju ograniczenie, lecz z uzyskanych danych </w:t>
      </w:r>
      <w:r w:rsidR="004A02A2" w:rsidRPr="007452C6">
        <w:rPr>
          <w:rFonts w:ascii="Times New Roman" w:hAnsi="Times New Roman" w:cs="Times New Roman"/>
          <w:sz w:val="24"/>
          <w:szCs w:val="24"/>
        </w:rPr>
        <w:t xml:space="preserve">z Urzędu Ochrony Konkurencji i </w:t>
      </w:r>
      <w:r w:rsidR="00FE2580" w:rsidRPr="007452C6">
        <w:rPr>
          <w:rFonts w:ascii="Times New Roman" w:hAnsi="Times New Roman" w:cs="Times New Roman"/>
          <w:sz w:val="24"/>
          <w:szCs w:val="24"/>
        </w:rPr>
        <w:t>Konsumentów wynika, że średnie i du</w:t>
      </w:r>
      <w:r w:rsidR="003506DB" w:rsidRPr="007452C6">
        <w:rPr>
          <w:rFonts w:ascii="Times New Roman" w:hAnsi="Times New Roman" w:cs="Times New Roman"/>
          <w:sz w:val="24"/>
          <w:szCs w:val="24"/>
        </w:rPr>
        <w:t>że przedsiębiorstwa jak dotąd w </w:t>
      </w:r>
      <w:r w:rsidR="00FE2580" w:rsidRPr="007452C6">
        <w:rPr>
          <w:rFonts w:ascii="Times New Roman" w:hAnsi="Times New Roman" w:cs="Times New Roman"/>
          <w:sz w:val="24"/>
          <w:szCs w:val="24"/>
        </w:rPr>
        <w:t xml:space="preserve">ograniczonym stopniu korzystały z tej pomocy. </w:t>
      </w:r>
      <w:r w:rsidR="004A02A2" w:rsidRPr="007452C6">
        <w:rPr>
          <w:rFonts w:ascii="Times New Roman" w:hAnsi="Times New Roman" w:cs="Times New Roman"/>
          <w:sz w:val="24"/>
          <w:szCs w:val="24"/>
        </w:rPr>
        <w:t xml:space="preserve"> </w:t>
      </w:r>
      <w:r w:rsidR="003506DB" w:rsidRPr="007452C6">
        <w:rPr>
          <w:rFonts w:ascii="Times New Roman" w:hAnsi="Times New Roman" w:cs="Times New Roman"/>
          <w:sz w:val="24"/>
          <w:szCs w:val="24"/>
        </w:rPr>
        <w:t>Dane te mówią</w:t>
      </w:r>
      <w:r w:rsidR="00A54374" w:rsidRPr="007452C6">
        <w:rPr>
          <w:rFonts w:ascii="Times New Roman" w:hAnsi="Times New Roman" w:cs="Times New Roman"/>
          <w:sz w:val="24"/>
          <w:szCs w:val="24"/>
        </w:rPr>
        <w:t xml:space="preserve">, że w latach 2017-2018 jedynie 9 przedsiębiorstw średnich (jest ich ponad 15 tys.) oraz 7 dużych przedsiębiorstw (jest ich ponad 3,5 tys.) otrzymało pomoc de </w:t>
      </w:r>
      <w:proofErr w:type="spellStart"/>
      <w:r w:rsidR="00A54374" w:rsidRPr="007452C6">
        <w:rPr>
          <w:rFonts w:ascii="Times New Roman" w:hAnsi="Times New Roman" w:cs="Times New Roman"/>
          <w:sz w:val="24"/>
          <w:szCs w:val="24"/>
        </w:rPr>
        <w:t>minimis</w:t>
      </w:r>
      <w:proofErr w:type="spellEnd"/>
      <w:r w:rsidR="00A54374" w:rsidRPr="007452C6">
        <w:rPr>
          <w:rFonts w:ascii="Times New Roman" w:hAnsi="Times New Roman" w:cs="Times New Roman"/>
          <w:sz w:val="24"/>
          <w:szCs w:val="24"/>
        </w:rPr>
        <w:t xml:space="preserve"> wyczerpując limit</w:t>
      </w:r>
      <w:r w:rsidR="003506DB" w:rsidRPr="007452C6">
        <w:rPr>
          <w:rFonts w:ascii="Times New Roman" w:hAnsi="Times New Roman" w:cs="Times New Roman"/>
          <w:sz w:val="24"/>
          <w:szCs w:val="24"/>
        </w:rPr>
        <w:t xml:space="preserve"> 200 tys. €. Dodatkowo z </w:t>
      </w:r>
      <w:r w:rsidR="00A54374" w:rsidRPr="007452C6">
        <w:rPr>
          <w:rFonts w:ascii="Times New Roman" w:hAnsi="Times New Roman" w:cs="Times New Roman"/>
          <w:sz w:val="24"/>
          <w:szCs w:val="24"/>
        </w:rPr>
        <w:t xml:space="preserve">przeprowadzonych obliczeń wynika, biorąc pod uwagę wartość udzielonej pomocy de </w:t>
      </w:r>
      <w:proofErr w:type="spellStart"/>
      <w:r w:rsidR="00A54374" w:rsidRPr="007452C6">
        <w:rPr>
          <w:rFonts w:ascii="Times New Roman" w:hAnsi="Times New Roman" w:cs="Times New Roman"/>
          <w:sz w:val="24"/>
          <w:szCs w:val="24"/>
        </w:rPr>
        <w:t>minimis</w:t>
      </w:r>
      <w:proofErr w:type="spellEnd"/>
      <w:r w:rsidR="00A54374" w:rsidRPr="007452C6">
        <w:rPr>
          <w:rFonts w:ascii="Times New Roman" w:hAnsi="Times New Roman" w:cs="Times New Roman"/>
          <w:sz w:val="24"/>
          <w:szCs w:val="24"/>
        </w:rPr>
        <w:t xml:space="preserve"> średnim i dużym przedsiębiorstwom w roku 2017 i 2018, że w roku 2019 </w:t>
      </w:r>
      <w:r w:rsidR="003506DB" w:rsidRPr="007452C6">
        <w:rPr>
          <w:rFonts w:ascii="Times New Roman" w:hAnsi="Times New Roman" w:cs="Times New Roman"/>
          <w:sz w:val="24"/>
          <w:szCs w:val="24"/>
        </w:rPr>
        <w:t xml:space="preserve">niewykorzystany limit przekracza </w:t>
      </w:r>
      <w:r w:rsidR="00A54374" w:rsidRPr="007452C6">
        <w:rPr>
          <w:rFonts w:ascii="Times New Roman" w:hAnsi="Times New Roman" w:cs="Times New Roman"/>
          <w:sz w:val="24"/>
          <w:szCs w:val="24"/>
        </w:rPr>
        <w:t>kwotę 10 mld zł.</w:t>
      </w:r>
    </w:p>
    <w:p w14:paraId="2F688B72" w14:textId="2417A6CE" w:rsidR="007452C6" w:rsidRDefault="007452C6" w:rsidP="00332B8B">
      <w:pPr>
        <w:spacing w:line="360" w:lineRule="auto"/>
        <w:jc w:val="both"/>
        <w:rPr>
          <w:rFonts w:ascii="Times New Roman" w:hAnsi="Times New Roman" w:cs="Times New Roman"/>
          <w:sz w:val="24"/>
          <w:szCs w:val="24"/>
        </w:rPr>
      </w:pPr>
    </w:p>
    <w:p w14:paraId="3A67022E" w14:textId="2217DBAE" w:rsidR="007452C6" w:rsidRDefault="007452C6" w:rsidP="00332B8B">
      <w:pPr>
        <w:spacing w:line="360" w:lineRule="auto"/>
        <w:jc w:val="both"/>
        <w:rPr>
          <w:rFonts w:ascii="Times New Roman" w:hAnsi="Times New Roman" w:cs="Times New Roman"/>
          <w:sz w:val="24"/>
          <w:szCs w:val="24"/>
        </w:rPr>
      </w:pPr>
    </w:p>
    <w:p w14:paraId="08535F0E" w14:textId="77777777" w:rsidR="007452C6" w:rsidRPr="007452C6" w:rsidRDefault="007452C6" w:rsidP="00332B8B">
      <w:pPr>
        <w:spacing w:line="360" w:lineRule="auto"/>
        <w:jc w:val="both"/>
        <w:rPr>
          <w:rFonts w:ascii="Times New Roman" w:hAnsi="Times New Roman" w:cs="Times New Roman"/>
          <w:sz w:val="24"/>
          <w:szCs w:val="24"/>
        </w:rPr>
      </w:pPr>
    </w:p>
    <w:p w14:paraId="27D984D9" w14:textId="3D075F7F" w:rsidR="003A7C47" w:rsidRPr="007452C6" w:rsidRDefault="003A7C47" w:rsidP="00332B8B">
      <w:pPr>
        <w:spacing w:line="360" w:lineRule="auto"/>
        <w:jc w:val="both"/>
        <w:rPr>
          <w:rFonts w:ascii="Times New Roman" w:hAnsi="Times New Roman" w:cs="Times New Roman"/>
          <w:sz w:val="24"/>
          <w:szCs w:val="24"/>
        </w:rPr>
      </w:pPr>
      <w:r w:rsidRPr="007452C6">
        <w:rPr>
          <w:rFonts w:ascii="Times New Roman" w:hAnsi="Times New Roman" w:cs="Times New Roman"/>
          <w:b/>
          <w:sz w:val="24"/>
          <w:szCs w:val="24"/>
        </w:rPr>
        <w:t>Podsumowanie sposobu realizacji obniżenia cen w II półroczu 2019 r</w:t>
      </w:r>
      <w:r w:rsidRPr="007452C6">
        <w:rPr>
          <w:rFonts w:ascii="Times New Roman" w:hAnsi="Times New Roman" w:cs="Times New Roman"/>
          <w:sz w:val="24"/>
          <w:szCs w:val="24"/>
        </w:rPr>
        <w:t>.</w:t>
      </w:r>
    </w:p>
    <w:p w14:paraId="4990AE8A" w14:textId="1F85A722" w:rsidR="003A7C47" w:rsidRPr="007452C6" w:rsidRDefault="00425BB0" w:rsidP="00332B8B">
      <w:pPr>
        <w:spacing w:line="360" w:lineRule="auto"/>
        <w:jc w:val="both"/>
        <w:rPr>
          <w:rFonts w:ascii="Times New Roman" w:hAnsi="Times New Roman" w:cs="Times New Roman"/>
          <w:sz w:val="24"/>
          <w:szCs w:val="24"/>
        </w:rPr>
      </w:pPr>
      <w:r w:rsidRPr="007452C6">
        <w:rPr>
          <w:rFonts w:ascii="Times New Roman" w:hAnsi="Times New Roman" w:cs="Times New Roman"/>
          <w:noProof/>
          <w:sz w:val="24"/>
          <w:szCs w:val="24"/>
          <w:lang w:eastAsia="pl-PL"/>
        </w:rPr>
        <w:drawing>
          <wp:inline distT="0" distB="0" distL="0" distR="0" wp14:anchorId="2867DC47" wp14:editId="0E3B9CDC">
            <wp:extent cx="5760720" cy="2572522"/>
            <wp:effectExtent l="0" t="0" r="0" b="0"/>
            <wp:docPr id="5" name="Obraz 5" descr="C:\Users\Komar Damian\Desktop\Energa Plus\projekty ustaw\nowelizacja 2\uzasadnienie\ceny energii2_uzasadni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ar Damian\Desktop\Energa Plus\projekty ustaw\nowelizacja 2\uzasadnienie\ceny energii2_uzasadnieni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572522"/>
                    </a:xfrm>
                    <a:prstGeom prst="rect">
                      <a:avLst/>
                    </a:prstGeom>
                    <a:noFill/>
                    <a:ln>
                      <a:noFill/>
                    </a:ln>
                  </pic:spPr>
                </pic:pic>
              </a:graphicData>
            </a:graphic>
          </wp:inline>
        </w:drawing>
      </w:r>
    </w:p>
    <w:p w14:paraId="055ABAB2" w14:textId="0D33EE74" w:rsidR="008F764B" w:rsidRPr="007452C6" w:rsidRDefault="00AB41B8" w:rsidP="008F764B">
      <w:pPr>
        <w:pStyle w:val="Akapitzlist"/>
        <w:numPr>
          <w:ilvl w:val="0"/>
          <w:numId w:val="22"/>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Szczegółowy opis przepisów projektu nowelizacji</w:t>
      </w:r>
      <w:r w:rsidR="008F764B" w:rsidRPr="007452C6">
        <w:rPr>
          <w:rFonts w:ascii="Times New Roman" w:hAnsi="Times New Roman" w:cs="Times New Roman"/>
          <w:b/>
          <w:sz w:val="24"/>
          <w:szCs w:val="24"/>
        </w:rPr>
        <w:t xml:space="preserve"> ustawy o zmianie ustawy o podatku akcyzowy</w:t>
      </w:r>
      <w:r w:rsidR="00572B44" w:rsidRPr="007452C6">
        <w:rPr>
          <w:rFonts w:ascii="Times New Roman" w:hAnsi="Times New Roman" w:cs="Times New Roman"/>
          <w:b/>
          <w:sz w:val="24"/>
          <w:szCs w:val="24"/>
        </w:rPr>
        <w:t xml:space="preserve">m oraz niektórych innych ustaw (art. 1 </w:t>
      </w:r>
      <w:r w:rsidR="00D368E6" w:rsidRPr="007452C6">
        <w:rPr>
          <w:rFonts w:ascii="Times New Roman" w:hAnsi="Times New Roman" w:cs="Times New Roman"/>
          <w:b/>
          <w:sz w:val="24"/>
          <w:szCs w:val="24"/>
        </w:rPr>
        <w:t>ustawy zmieniającej</w:t>
      </w:r>
      <w:r w:rsidR="00572B44" w:rsidRPr="007452C6">
        <w:rPr>
          <w:rFonts w:ascii="Times New Roman" w:hAnsi="Times New Roman" w:cs="Times New Roman"/>
          <w:b/>
          <w:sz w:val="24"/>
          <w:szCs w:val="24"/>
        </w:rPr>
        <w:t>)</w:t>
      </w:r>
    </w:p>
    <w:p w14:paraId="6BDC84B3" w14:textId="35E52A0D" w:rsidR="007B5DC4" w:rsidRPr="007452C6" w:rsidRDefault="007B5DC4" w:rsidP="00681DD6">
      <w:pPr>
        <w:pStyle w:val="Akapitzlist"/>
        <w:spacing w:line="360" w:lineRule="auto"/>
        <w:ind w:left="0" w:firstLine="720"/>
        <w:jc w:val="both"/>
        <w:rPr>
          <w:rFonts w:ascii="Times New Roman" w:hAnsi="Times New Roman" w:cs="Times New Roman"/>
          <w:sz w:val="24"/>
          <w:szCs w:val="24"/>
        </w:rPr>
      </w:pPr>
      <w:r w:rsidRPr="007452C6">
        <w:rPr>
          <w:rFonts w:ascii="Times New Roman" w:hAnsi="Times New Roman" w:cs="Times New Roman"/>
          <w:sz w:val="24"/>
          <w:szCs w:val="24"/>
        </w:rPr>
        <w:t>W art. 1 pkt 1 dokonywana jest zmiana art. 5 ustawy o zmianie ustawy o podatku akcyzowym oraz niektórych innych ustaw poprzez określenie, że obowiązek</w:t>
      </w:r>
      <w:r w:rsidR="00930F11" w:rsidRPr="007452C6">
        <w:rPr>
          <w:rFonts w:ascii="Times New Roman" w:hAnsi="Times New Roman" w:cs="Times New Roman"/>
          <w:sz w:val="24"/>
          <w:szCs w:val="24"/>
        </w:rPr>
        <w:t xml:space="preserve">, o którym mowa w art. 5 ust 1 </w:t>
      </w:r>
      <w:r w:rsidRPr="007452C6">
        <w:rPr>
          <w:rFonts w:ascii="Times New Roman" w:hAnsi="Times New Roman" w:cs="Times New Roman"/>
          <w:sz w:val="24"/>
          <w:szCs w:val="24"/>
        </w:rPr>
        <w:t xml:space="preserve">przedsiębiorstwa obrotu stosują przez cały rok 2019 dla odbiorców wskazanych w ust. 1a oraz przez pierwsze półrocze roku 2019 dla pozostałych odbiorców. Ponadto w art. 1 pkt 1 definiowana jest lista odbiorców końcowych, </w:t>
      </w:r>
      <w:r w:rsidR="00930F11" w:rsidRPr="007452C6">
        <w:rPr>
          <w:rFonts w:ascii="Times New Roman" w:hAnsi="Times New Roman" w:cs="Times New Roman"/>
          <w:sz w:val="24"/>
          <w:szCs w:val="24"/>
        </w:rPr>
        <w:t>w stosunku do któr</w:t>
      </w:r>
      <w:r w:rsidR="003506DB" w:rsidRPr="007452C6">
        <w:rPr>
          <w:rFonts w:ascii="Times New Roman" w:hAnsi="Times New Roman" w:cs="Times New Roman"/>
          <w:sz w:val="24"/>
          <w:szCs w:val="24"/>
        </w:rPr>
        <w:t>y</w:t>
      </w:r>
      <w:r w:rsidR="00930F11" w:rsidRPr="007452C6">
        <w:rPr>
          <w:rFonts w:ascii="Times New Roman" w:hAnsi="Times New Roman" w:cs="Times New Roman"/>
          <w:sz w:val="24"/>
          <w:szCs w:val="24"/>
        </w:rPr>
        <w:t>ch</w:t>
      </w:r>
      <w:r w:rsidR="003506DB" w:rsidRPr="007452C6">
        <w:rPr>
          <w:rFonts w:ascii="Times New Roman" w:hAnsi="Times New Roman" w:cs="Times New Roman"/>
          <w:sz w:val="24"/>
          <w:szCs w:val="24"/>
        </w:rPr>
        <w:t xml:space="preserve"> </w:t>
      </w:r>
      <w:r w:rsidR="00930F11" w:rsidRPr="007452C6">
        <w:rPr>
          <w:rFonts w:ascii="Times New Roman" w:hAnsi="Times New Roman" w:cs="Times New Roman"/>
          <w:sz w:val="24"/>
          <w:szCs w:val="24"/>
        </w:rPr>
        <w:t>odnosi się obowiązek przedsiębiorstw obrotu</w:t>
      </w:r>
      <w:r w:rsidR="003506DB" w:rsidRPr="007452C6">
        <w:rPr>
          <w:rFonts w:ascii="Times New Roman" w:hAnsi="Times New Roman" w:cs="Times New Roman"/>
          <w:sz w:val="24"/>
          <w:szCs w:val="24"/>
        </w:rPr>
        <w:t>, o </w:t>
      </w:r>
      <w:r w:rsidRPr="007452C6">
        <w:rPr>
          <w:rFonts w:ascii="Times New Roman" w:hAnsi="Times New Roman" w:cs="Times New Roman"/>
          <w:sz w:val="24"/>
          <w:szCs w:val="24"/>
        </w:rPr>
        <w:t>którym mowa w art. 5 ust. 1 przez cały rok. Są to:</w:t>
      </w:r>
    </w:p>
    <w:p w14:paraId="61D1F787" w14:textId="17C70575" w:rsidR="007B5DC4" w:rsidRPr="007452C6" w:rsidRDefault="007B5DC4" w:rsidP="003506DB">
      <w:pPr>
        <w:pStyle w:val="Akapitzlist"/>
        <w:numPr>
          <w:ilvl w:val="0"/>
          <w:numId w:val="29"/>
        </w:numPr>
        <w:spacing w:line="360" w:lineRule="auto"/>
        <w:ind w:left="426" w:hanging="426"/>
        <w:jc w:val="both"/>
        <w:rPr>
          <w:rFonts w:ascii="Times New Roman" w:hAnsi="Times New Roman" w:cs="Times New Roman"/>
          <w:sz w:val="24"/>
          <w:szCs w:val="24"/>
        </w:rPr>
      </w:pPr>
      <w:r w:rsidRPr="007452C6">
        <w:rPr>
          <w:rFonts w:ascii="Times New Roman" w:hAnsi="Times New Roman" w:cs="Times New Roman"/>
          <w:sz w:val="24"/>
          <w:szCs w:val="24"/>
        </w:rPr>
        <w:t>odbiorcy z grupy taryfowej G, w tym gospodarstwa domowe,</w:t>
      </w:r>
    </w:p>
    <w:p w14:paraId="025B4E39" w14:textId="46DFDB27" w:rsidR="007B5DC4" w:rsidRPr="007452C6" w:rsidRDefault="007B5DC4" w:rsidP="003506DB">
      <w:pPr>
        <w:pStyle w:val="Akapitzlist"/>
        <w:numPr>
          <w:ilvl w:val="0"/>
          <w:numId w:val="29"/>
        </w:numPr>
        <w:spacing w:line="360" w:lineRule="auto"/>
        <w:ind w:left="426" w:hanging="426"/>
        <w:jc w:val="both"/>
        <w:rPr>
          <w:rFonts w:ascii="Times New Roman" w:hAnsi="Times New Roman" w:cs="Times New Roman"/>
          <w:sz w:val="24"/>
          <w:szCs w:val="24"/>
        </w:rPr>
      </w:pPr>
      <w:r w:rsidRPr="007452C6">
        <w:rPr>
          <w:rFonts w:ascii="Times New Roman" w:hAnsi="Times New Roman" w:cs="Times New Roman"/>
          <w:sz w:val="24"/>
          <w:szCs w:val="24"/>
        </w:rPr>
        <w:t>mikro przedsiębiorca oraz małe przedsiębiorstwa,</w:t>
      </w:r>
    </w:p>
    <w:p w14:paraId="14E75205" w14:textId="4C6A3426" w:rsidR="007B5DC4" w:rsidRPr="007452C6" w:rsidRDefault="007B5DC4" w:rsidP="003506DB">
      <w:pPr>
        <w:pStyle w:val="Akapitzlist"/>
        <w:numPr>
          <w:ilvl w:val="0"/>
          <w:numId w:val="29"/>
        </w:numPr>
        <w:spacing w:line="360" w:lineRule="auto"/>
        <w:ind w:left="426" w:hanging="426"/>
        <w:jc w:val="both"/>
        <w:rPr>
          <w:rFonts w:ascii="Times New Roman" w:hAnsi="Times New Roman" w:cs="Times New Roman"/>
          <w:sz w:val="24"/>
          <w:szCs w:val="24"/>
        </w:rPr>
      </w:pPr>
      <w:r w:rsidRPr="007452C6">
        <w:rPr>
          <w:rFonts w:ascii="Times New Roman" w:hAnsi="Times New Roman" w:cs="Times New Roman"/>
          <w:sz w:val="24"/>
          <w:szCs w:val="24"/>
        </w:rPr>
        <w:t>szpitale,</w:t>
      </w:r>
    </w:p>
    <w:p w14:paraId="215F6621" w14:textId="3472D913" w:rsidR="007B5DC4" w:rsidRPr="007452C6" w:rsidRDefault="007B5DC4" w:rsidP="003506DB">
      <w:pPr>
        <w:pStyle w:val="Akapitzlist"/>
        <w:numPr>
          <w:ilvl w:val="0"/>
          <w:numId w:val="29"/>
        </w:numPr>
        <w:spacing w:line="360" w:lineRule="auto"/>
        <w:ind w:left="426" w:hanging="426"/>
        <w:jc w:val="both"/>
        <w:rPr>
          <w:rFonts w:ascii="Times New Roman" w:hAnsi="Times New Roman" w:cs="Times New Roman"/>
          <w:sz w:val="24"/>
          <w:szCs w:val="24"/>
        </w:rPr>
      </w:pPr>
      <w:r w:rsidRPr="007452C6">
        <w:rPr>
          <w:rFonts w:ascii="Times New Roman" w:hAnsi="Times New Roman" w:cs="Times New Roman"/>
          <w:sz w:val="24"/>
          <w:szCs w:val="24"/>
        </w:rPr>
        <w:t>jednostki sektora finansów publicznych, w tym samorządy,</w:t>
      </w:r>
    </w:p>
    <w:p w14:paraId="63732E0C" w14:textId="39992C26" w:rsidR="007B5DC4" w:rsidRPr="007452C6" w:rsidRDefault="007B5DC4" w:rsidP="003506DB">
      <w:pPr>
        <w:pStyle w:val="Akapitzlist"/>
        <w:numPr>
          <w:ilvl w:val="0"/>
          <w:numId w:val="29"/>
        </w:numPr>
        <w:spacing w:after="120" w:line="360" w:lineRule="auto"/>
        <w:ind w:left="426" w:hanging="426"/>
        <w:jc w:val="both"/>
        <w:rPr>
          <w:rFonts w:ascii="Times New Roman" w:hAnsi="Times New Roman" w:cs="Times New Roman"/>
          <w:sz w:val="24"/>
          <w:szCs w:val="24"/>
        </w:rPr>
      </w:pPr>
      <w:r w:rsidRPr="007452C6">
        <w:rPr>
          <w:rFonts w:ascii="Times New Roman" w:hAnsi="Times New Roman" w:cs="Times New Roman"/>
          <w:sz w:val="24"/>
          <w:szCs w:val="24"/>
        </w:rPr>
        <w:t>państwowe jednostki organizacyjnymi nieposiadającymi osobowości prawnej (np. lasy państwowe).</w:t>
      </w:r>
    </w:p>
    <w:p w14:paraId="443F743D" w14:textId="495782A5" w:rsidR="00321A01" w:rsidRPr="007452C6" w:rsidRDefault="00321A01" w:rsidP="00321A01">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       W art. 1 pkt 1</w:t>
      </w:r>
      <w:r w:rsidR="003506DB" w:rsidRPr="007452C6">
        <w:rPr>
          <w:rFonts w:ascii="Times New Roman" w:hAnsi="Times New Roman" w:cs="Times New Roman"/>
          <w:sz w:val="24"/>
          <w:szCs w:val="24"/>
        </w:rPr>
        <w:t xml:space="preserve"> wprowadzono</w:t>
      </w:r>
      <w:r w:rsidR="000E5FCE" w:rsidRPr="007452C6">
        <w:rPr>
          <w:rFonts w:ascii="Times New Roman" w:hAnsi="Times New Roman" w:cs="Times New Roman"/>
          <w:sz w:val="24"/>
          <w:szCs w:val="24"/>
        </w:rPr>
        <w:t xml:space="preserve"> </w:t>
      </w:r>
      <w:r w:rsidR="00ED5C27" w:rsidRPr="007452C6">
        <w:rPr>
          <w:rFonts w:ascii="Times New Roman" w:hAnsi="Times New Roman" w:cs="Times New Roman"/>
          <w:sz w:val="24"/>
          <w:szCs w:val="24"/>
        </w:rPr>
        <w:t xml:space="preserve">między innymi </w:t>
      </w:r>
      <w:r w:rsidR="000E5FCE" w:rsidRPr="007452C6">
        <w:rPr>
          <w:rFonts w:ascii="Times New Roman" w:hAnsi="Times New Roman" w:cs="Times New Roman"/>
          <w:sz w:val="24"/>
          <w:szCs w:val="24"/>
        </w:rPr>
        <w:t xml:space="preserve">nowe ust. 1b do 1d w </w:t>
      </w:r>
      <w:r w:rsidR="003506DB" w:rsidRPr="007452C6">
        <w:rPr>
          <w:rFonts w:ascii="Times New Roman" w:hAnsi="Times New Roman" w:cs="Times New Roman"/>
          <w:sz w:val="24"/>
          <w:szCs w:val="24"/>
        </w:rPr>
        <w:t xml:space="preserve">art. 5 </w:t>
      </w:r>
      <w:r w:rsidRPr="007452C6">
        <w:rPr>
          <w:rFonts w:ascii="Times New Roman" w:hAnsi="Times New Roman" w:cs="Times New Roman"/>
          <w:sz w:val="24"/>
          <w:szCs w:val="24"/>
        </w:rPr>
        <w:t xml:space="preserve">ustawy zmienianej, które </w:t>
      </w:r>
      <w:r w:rsidR="000E5FCE" w:rsidRPr="007452C6">
        <w:rPr>
          <w:rFonts w:ascii="Times New Roman" w:hAnsi="Times New Roman" w:cs="Times New Roman"/>
          <w:sz w:val="24"/>
          <w:szCs w:val="24"/>
        </w:rPr>
        <w:t xml:space="preserve">nakładają na odbiorcę końcowego </w:t>
      </w:r>
      <w:r w:rsidRPr="007452C6">
        <w:rPr>
          <w:rFonts w:ascii="Times New Roman" w:hAnsi="Times New Roman" w:cs="Times New Roman"/>
          <w:sz w:val="24"/>
          <w:szCs w:val="24"/>
        </w:rPr>
        <w:t>obowiązek złożenia przedsiębiorstwu energetycznemu wykonującemu działalność gospodarczą w zakresie obrotu energią elektryczną, będącemu stroną umowy sprzedaży energii elektrycznej albo umowy kompleksow</w:t>
      </w:r>
      <w:r w:rsidR="003506DB" w:rsidRPr="007452C6">
        <w:rPr>
          <w:rFonts w:ascii="Times New Roman" w:hAnsi="Times New Roman" w:cs="Times New Roman"/>
          <w:sz w:val="24"/>
          <w:szCs w:val="24"/>
        </w:rPr>
        <w:t>ej z danym</w:t>
      </w:r>
      <w:r w:rsidRPr="007452C6">
        <w:rPr>
          <w:rFonts w:ascii="Times New Roman" w:hAnsi="Times New Roman" w:cs="Times New Roman"/>
          <w:sz w:val="24"/>
          <w:szCs w:val="24"/>
        </w:rPr>
        <w:t xml:space="preserve"> odbiorcą, oświadczenia</w:t>
      </w:r>
      <w:r w:rsidR="000E5FCE" w:rsidRPr="007452C6">
        <w:rPr>
          <w:rFonts w:ascii="Times New Roman" w:hAnsi="Times New Roman" w:cs="Times New Roman"/>
          <w:sz w:val="24"/>
          <w:szCs w:val="24"/>
        </w:rPr>
        <w:t>,</w:t>
      </w:r>
      <w:r w:rsidRPr="007452C6">
        <w:rPr>
          <w:rFonts w:ascii="Times New Roman" w:hAnsi="Times New Roman" w:cs="Times New Roman"/>
          <w:sz w:val="24"/>
          <w:szCs w:val="24"/>
        </w:rPr>
        <w:t xml:space="preserve"> które</w:t>
      </w:r>
      <w:r w:rsidR="003506DB" w:rsidRPr="007452C6">
        <w:rPr>
          <w:rFonts w:ascii="Times New Roman" w:hAnsi="Times New Roman" w:cs="Times New Roman"/>
          <w:sz w:val="24"/>
          <w:szCs w:val="24"/>
        </w:rPr>
        <w:t>go wzór</w:t>
      </w:r>
      <w:r w:rsidRPr="007452C6">
        <w:rPr>
          <w:rFonts w:ascii="Times New Roman" w:hAnsi="Times New Roman" w:cs="Times New Roman"/>
          <w:sz w:val="24"/>
          <w:szCs w:val="24"/>
        </w:rPr>
        <w:t xml:space="preserve"> stanowi załącznik nr 1 do ustawy zmieniającej. Ze względu na fakt, że po złożeniu oświadczenia mogą wystąpić przesłanki, które nie będą uprawniały lub </w:t>
      </w:r>
      <w:r w:rsidR="000E5FCE" w:rsidRPr="007452C6">
        <w:rPr>
          <w:rFonts w:ascii="Times New Roman" w:hAnsi="Times New Roman" w:cs="Times New Roman"/>
          <w:sz w:val="24"/>
          <w:szCs w:val="24"/>
        </w:rPr>
        <w:t>pojawią się okoliczności uprawniające</w:t>
      </w:r>
      <w:r w:rsidRPr="007452C6">
        <w:rPr>
          <w:rFonts w:ascii="Times New Roman" w:hAnsi="Times New Roman" w:cs="Times New Roman"/>
          <w:sz w:val="24"/>
          <w:szCs w:val="24"/>
        </w:rPr>
        <w:t xml:space="preserve"> danego odbiorcę do korzystania z przepisów art. 5 ust. 1 ustawy zmienianej</w:t>
      </w:r>
      <w:r w:rsidR="000E5FCE" w:rsidRPr="007452C6">
        <w:rPr>
          <w:rFonts w:ascii="Times New Roman" w:hAnsi="Times New Roman" w:cs="Times New Roman"/>
          <w:sz w:val="24"/>
          <w:szCs w:val="24"/>
        </w:rPr>
        <w:t>,</w:t>
      </w:r>
      <w:r w:rsidRPr="007452C6">
        <w:rPr>
          <w:rFonts w:ascii="Times New Roman" w:hAnsi="Times New Roman" w:cs="Times New Roman"/>
          <w:sz w:val="24"/>
          <w:szCs w:val="24"/>
        </w:rPr>
        <w:t xml:space="preserve"> wprowadzono obowiązek dla odbiorcy końcowego informowania przedsiębiorstwa energetycznego o utracie takiego uprawnienia lub </w:t>
      </w:r>
      <w:r w:rsidR="003506DB" w:rsidRPr="007452C6">
        <w:rPr>
          <w:rFonts w:ascii="Times New Roman" w:hAnsi="Times New Roman" w:cs="Times New Roman"/>
          <w:sz w:val="24"/>
          <w:szCs w:val="24"/>
        </w:rPr>
        <w:t xml:space="preserve">jego </w:t>
      </w:r>
      <w:r w:rsidR="00057BE6" w:rsidRPr="007452C6">
        <w:rPr>
          <w:rFonts w:ascii="Times New Roman" w:hAnsi="Times New Roman" w:cs="Times New Roman"/>
          <w:sz w:val="24"/>
          <w:szCs w:val="24"/>
        </w:rPr>
        <w:t>uzyskaniu</w:t>
      </w:r>
      <w:r w:rsidRPr="007452C6">
        <w:rPr>
          <w:rFonts w:ascii="Times New Roman" w:hAnsi="Times New Roman" w:cs="Times New Roman"/>
          <w:sz w:val="24"/>
          <w:szCs w:val="24"/>
        </w:rPr>
        <w:t>. Rów</w:t>
      </w:r>
      <w:r w:rsidR="000E5FCE" w:rsidRPr="007452C6">
        <w:rPr>
          <w:rFonts w:ascii="Times New Roman" w:hAnsi="Times New Roman" w:cs="Times New Roman"/>
          <w:sz w:val="24"/>
          <w:szCs w:val="24"/>
        </w:rPr>
        <w:t>nież każde zawarcie kolejnej umowy ze</w:t>
      </w:r>
      <w:r w:rsidRPr="007452C6">
        <w:rPr>
          <w:rFonts w:ascii="Times New Roman" w:hAnsi="Times New Roman" w:cs="Times New Roman"/>
          <w:sz w:val="24"/>
          <w:szCs w:val="24"/>
        </w:rPr>
        <w:t xml:space="preserve"> </w:t>
      </w:r>
      <w:r w:rsidR="000E5FCE" w:rsidRPr="007452C6">
        <w:rPr>
          <w:rFonts w:ascii="Times New Roman" w:hAnsi="Times New Roman" w:cs="Times New Roman"/>
          <w:sz w:val="24"/>
          <w:szCs w:val="24"/>
        </w:rPr>
        <w:t>sprzedawcą (dotychczasowym lub nowym) musi być poprzedzone</w:t>
      </w:r>
      <w:r w:rsidRPr="007452C6">
        <w:rPr>
          <w:rFonts w:ascii="Times New Roman" w:hAnsi="Times New Roman" w:cs="Times New Roman"/>
          <w:sz w:val="24"/>
          <w:szCs w:val="24"/>
        </w:rPr>
        <w:t xml:space="preserve"> złożeniem </w:t>
      </w:r>
      <w:r w:rsidR="000E5FCE" w:rsidRPr="007452C6">
        <w:rPr>
          <w:rFonts w:ascii="Times New Roman" w:hAnsi="Times New Roman" w:cs="Times New Roman"/>
          <w:sz w:val="24"/>
          <w:szCs w:val="24"/>
        </w:rPr>
        <w:t xml:space="preserve">ww. </w:t>
      </w:r>
      <w:r w:rsidRPr="007452C6">
        <w:rPr>
          <w:rFonts w:ascii="Times New Roman" w:hAnsi="Times New Roman" w:cs="Times New Roman"/>
          <w:sz w:val="24"/>
          <w:szCs w:val="24"/>
        </w:rPr>
        <w:t>oświadczenia, tak aby przedsiębiorstwo ene</w:t>
      </w:r>
      <w:r w:rsidR="000E5FCE" w:rsidRPr="007452C6">
        <w:rPr>
          <w:rFonts w:ascii="Times New Roman" w:hAnsi="Times New Roman" w:cs="Times New Roman"/>
          <w:sz w:val="24"/>
          <w:szCs w:val="24"/>
        </w:rPr>
        <w:t xml:space="preserve">rgetyczne miało wiedzę, czy danego odbiorcy dotyczy </w:t>
      </w:r>
      <w:r w:rsidRPr="007452C6">
        <w:rPr>
          <w:rFonts w:ascii="Times New Roman" w:hAnsi="Times New Roman" w:cs="Times New Roman"/>
          <w:sz w:val="24"/>
          <w:szCs w:val="24"/>
        </w:rPr>
        <w:t xml:space="preserve">obowiązek </w:t>
      </w:r>
      <w:r w:rsidR="000E5FCE" w:rsidRPr="007452C6">
        <w:rPr>
          <w:rFonts w:ascii="Times New Roman" w:hAnsi="Times New Roman" w:cs="Times New Roman"/>
          <w:sz w:val="24"/>
          <w:szCs w:val="24"/>
        </w:rPr>
        <w:t xml:space="preserve">przedsiębiorstwa obrotu </w:t>
      </w:r>
      <w:r w:rsidRPr="007452C6">
        <w:rPr>
          <w:rFonts w:ascii="Times New Roman" w:hAnsi="Times New Roman" w:cs="Times New Roman"/>
          <w:sz w:val="24"/>
          <w:szCs w:val="24"/>
        </w:rPr>
        <w:t>zaoferowania cen zgodnie z art. 5 ust. 1 ustawy zmienianej.</w:t>
      </w:r>
    </w:p>
    <w:p w14:paraId="4F92D397" w14:textId="53576850" w:rsidR="00A452E5" w:rsidRPr="007452C6" w:rsidRDefault="00057BE6" w:rsidP="000E5FCE">
      <w:pPr>
        <w:spacing w:line="360" w:lineRule="auto"/>
        <w:ind w:firstLine="708"/>
        <w:jc w:val="both"/>
        <w:rPr>
          <w:rFonts w:ascii="Times New Roman" w:hAnsi="Times New Roman" w:cs="Times New Roman"/>
          <w:sz w:val="24"/>
          <w:szCs w:val="24"/>
        </w:rPr>
      </w:pPr>
      <w:r w:rsidRPr="007452C6">
        <w:rPr>
          <w:rFonts w:ascii="Times New Roman" w:hAnsi="Times New Roman" w:cs="Times New Roman"/>
          <w:sz w:val="24"/>
          <w:szCs w:val="24"/>
        </w:rPr>
        <w:t xml:space="preserve">Nowy ust. 1e w art. 5 ustawy zmienianej </w:t>
      </w:r>
      <w:r w:rsidR="00A452E5" w:rsidRPr="007452C6">
        <w:rPr>
          <w:rFonts w:ascii="Times New Roman" w:hAnsi="Times New Roman" w:cs="Times New Roman"/>
          <w:sz w:val="24"/>
          <w:szCs w:val="24"/>
        </w:rPr>
        <w:t>– jako przepis epizodyczny – reguluje kwestie stosowania przez przedsiębiorstwo energetyczne ceny energii elektrycznej w zakresie obrotu energią elektryczną do odbiorców grup G (co do zasady gospodarstwa domowe) przyłączonych do ich sieci, w przypadku, gdy posiada ono koncesje na obrót oraz dystrybucję energii elektrycznej, a koncesja na obrót została udzielona po 31 grudnia 2018 r. Art. 5 ustawy nie reguluje tej kwestii. Przedsiębiorstwa takie są zobowiązane do ustalenia i przedłożenia do zatwierdzenia Prezesowi URE taryfy dla tej grupy odbiorców. Odbiorcy nie mieli</w:t>
      </w:r>
      <w:r w:rsidRPr="007452C6">
        <w:rPr>
          <w:rFonts w:ascii="Times New Roman" w:hAnsi="Times New Roman" w:cs="Times New Roman"/>
          <w:sz w:val="24"/>
          <w:szCs w:val="24"/>
        </w:rPr>
        <w:t xml:space="preserve"> </w:t>
      </w:r>
      <w:r w:rsidR="00A452E5" w:rsidRPr="007452C6">
        <w:rPr>
          <w:rFonts w:ascii="Times New Roman" w:hAnsi="Times New Roman" w:cs="Times New Roman"/>
          <w:sz w:val="24"/>
          <w:szCs w:val="24"/>
        </w:rPr>
        <w:t xml:space="preserve">/ nie mają (co do zasady) możliwości wyboru przedsiębiorstwa energetycznego do którego sieci przyłączone zostały ich nieruchomości (z reguły są to nowobudowane przez deweloperów osiedla mieszkaniowe), zatem za celowe należy uznać objęcie ich ochroną przewidzianą w ustawie zmienianej niniejsza ustawą. Gdyby odbiorcy przyłączeni byli do sieci dystrybucyjnej w taki sposób, że mieliby uprawnienie do zawarcia umowy i stosowania wobec nich w rozliczeniach taryfy dla obrotu energią elektryczną </w:t>
      </w:r>
      <w:r w:rsidRPr="007452C6">
        <w:rPr>
          <w:rFonts w:ascii="Times New Roman" w:hAnsi="Times New Roman" w:cs="Times New Roman"/>
          <w:sz w:val="24"/>
          <w:szCs w:val="24"/>
        </w:rPr>
        <w:t>s</w:t>
      </w:r>
      <w:r w:rsidR="00A452E5" w:rsidRPr="007452C6">
        <w:rPr>
          <w:rFonts w:ascii="Times New Roman" w:hAnsi="Times New Roman" w:cs="Times New Roman"/>
          <w:sz w:val="24"/>
          <w:szCs w:val="24"/>
        </w:rPr>
        <w:t xml:space="preserve">przedawcy z urzędu zatwierdzanej przez Prezesa URE, sprzedawca byłby zobowiązany do stosowania ceny energii elektrycznej z taryfy obowiązującej w dniu 31 grudnia 2018 r. W konsekwencji za zasadne należy uznać rozwiązanie polegające na zapewnieniu aby na terenie działania Sprzedawcy z urzędu, posiadającego zatwierdzoną przez Prezesa URE, ww. odbiorcy z grup taryfowych G mieli stosowane ceny energii elektrycznej na tym samym poziomie jak odbiorcy Sprzedawcy z urzędu.  </w:t>
      </w:r>
    </w:p>
    <w:p w14:paraId="60958B10" w14:textId="62B4C690" w:rsidR="00A27391" w:rsidRPr="007452C6" w:rsidRDefault="00A27391" w:rsidP="00426CBA">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W art.</w:t>
      </w:r>
      <w:r w:rsidR="000C7E0A" w:rsidRPr="007452C6">
        <w:rPr>
          <w:rFonts w:ascii="Times New Roman" w:hAnsi="Times New Roman" w:cs="Times New Roman"/>
          <w:sz w:val="24"/>
          <w:szCs w:val="24"/>
        </w:rPr>
        <w:t xml:space="preserve"> 1 pkt 2</w:t>
      </w:r>
      <w:r w:rsidRPr="007452C6">
        <w:rPr>
          <w:rFonts w:ascii="Times New Roman" w:hAnsi="Times New Roman" w:cs="Times New Roman"/>
          <w:sz w:val="24"/>
          <w:szCs w:val="24"/>
        </w:rPr>
        <w:t xml:space="preserve"> dokonywana jest zmiana przepisów art. 6 ustawy zmienianej, poprzez doszczegółowienie terminów, które są wynikiem zmian termi</w:t>
      </w:r>
      <w:r w:rsidR="003506DB" w:rsidRPr="007452C6">
        <w:rPr>
          <w:rFonts w:ascii="Times New Roman" w:hAnsi="Times New Roman" w:cs="Times New Roman"/>
          <w:sz w:val="24"/>
          <w:szCs w:val="24"/>
        </w:rPr>
        <w:t>nów w art. 5 oraz poprzez doda</w:t>
      </w:r>
      <w:r w:rsidRPr="007452C6">
        <w:rPr>
          <w:rFonts w:ascii="Times New Roman" w:hAnsi="Times New Roman" w:cs="Times New Roman"/>
          <w:sz w:val="24"/>
          <w:szCs w:val="24"/>
        </w:rPr>
        <w:t>nie nowych ust. 3 i 4. W ust. 3 określa się, kiedy należy uznać, że dane przedsiębiorstwo obrotu wypełniło obowiązek z art. 5 ust. 1. Przepi</w:t>
      </w:r>
      <w:r w:rsidR="003506DB" w:rsidRPr="007452C6">
        <w:rPr>
          <w:rFonts w:ascii="Times New Roman" w:hAnsi="Times New Roman" w:cs="Times New Roman"/>
          <w:sz w:val="24"/>
          <w:szCs w:val="24"/>
        </w:rPr>
        <w:t xml:space="preserve">sy te będą szczególnie użyteczne </w:t>
      </w:r>
      <w:r w:rsidRPr="007452C6">
        <w:rPr>
          <w:rFonts w:ascii="Times New Roman" w:hAnsi="Times New Roman" w:cs="Times New Roman"/>
          <w:sz w:val="24"/>
          <w:szCs w:val="24"/>
        </w:rPr>
        <w:t>przy ewentualnych postępowaniach Prezesa Urzędu Regulacji Energetyki w zakresie wymierzenia kary za niewypełnienie obowiązku, o którym mowa w art. 5 ust 1. ustawy zmienianej.</w:t>
      </w:r>
      <w:r w:rsidR="00D75F2F" w:rsidRPr="007452C6">
        <w:rPr>
          <w:rFonts w:ascii="Times New Roman" w:hAnsi="Times New Roman" w:cs="Times New Roman"/>
          <w:sz w:val="24"/>
          <w:szCs w:val="24"/>
        </w:rPr>
        <w:t xml:space="preserve"> Warto wskazać, że przepisy dodawanego ust. 3 pkt 2</w:t>
      </w:r>
      <w:r w:rsidR="003A74B5" w:rsidRPr="007452C6">
        <w:rPr>
          <w:rFonts w:ascii="Times New Roman" w:hAnsi="Times New Roman" w:cs="Times New Roman"/>
          <w:sz w:val="24"/>
          <w:szCs w:val="24"/>
        </w:rPr>
        <w:t xml:space="preserve"> i pkt 5</w:t>
      </w:r>
      <w:r w:rsidR="00D75F2F" w:rsidRPr="007452C6">
        <w:rPr>
          <w:rFonts w:ascii="Times New Roman" w:hAnsi="Times New Roman" w:cs="Times New Roman"/>
          <w:sz w:val="24"/>
          <w:szCs w:val="24"/>
        </w:rPr>
        <w:t xml:space="preserve"> dają odbiorcy końcowemu </w:t>
      </w:r>
      <w:r w:rsidR="00930F11" w:rsidRPr="007452C6">
        <w:rPr>
          <w:rFonts w:ascii="Times New Roman" w:hAnsi="Times New Roman" w:cs="Times New Roman"/>
          <w:sz w:val="24"/>
          <w:szCs w:val="24"/>
        </w:rPr>
        <w:t xml:space="preserve">możliwość </w:t>
      </w:r>
      <w:r w:rsidR="00D75F2F" w:rsidRPr="007452C6">
        <w:rPr>
          <w:rFonts w:ascii="Times New Roman" w:hAnsi="Times New Roman" w:cs="Times New Roman"/>
          <w:sz w:val="24"/>
          <w:szCs w:val="24"/>
        </w:rPr>
        <w:t xml:space="preserve">odmówienia </w:t>
      </w:r>
      <w:r w:rsidR="00930F11" w:rsidRPr="007452C6">
        <w:rPr>
          <w:rFonts w:ascii="Times New Roman" w:hAnsi="Times New Roman" w:cs="Times New Roman"/>
          <w:sz w:val="24"/>
          <w:szCs w:val="24"/>
        </w:rPr>
        <w:t>s</w:t>
      </w:r>
      <w:r w:rsidR="00D75F2F" w:rsidRPr="007452C6">
        <w:rPr>
          <w:rFonts w:ascii="Times New Roman" w:hAnsi="Times New Roman" w:cs="Times New Roman"/>
          <w:sz w:val="24"/>
          <w:szCs w:val="24"/>
        </w:rPr>
        <w:t>korzystania z ceny energii elektrycznej określonej zgodnie z art.</w:t>
      </w:r>
      <w:r w:rsidR="00426CBA" w:rsidRPr="007452C6">
        <w:rPr>
          <w:rFonts w:ascii="Times New Roman" w:hAnsi="Times New Roman" w:cs="Times New Roman"/>
          <w:sz w:val="24"/>
          <w:szCs w:val="24"/>
        </w:rPr>
        <w:t xml:space="preserve"> 5 ust. 1 ustawy zmienianej. W </w:t>
      </w:r>
      <w:r w:rsidR="00D75F2F" w:rsidRPr="007452C6">
        <w:rPr>
          <w:rFonts w:ascii="Times New Roman" w:hAnsi="Times New Roman" w:cs="Times New Roman"/>
          <w:sz w:val="24"/>
          <w:szCs w:val="24"/>
        </w:rPr>
        <w:t xml:space="preserve">takim przypadku odbiorca końcowy musi poinformować </w:t>
      </w:r>
      <w:r w:rsidR="00C56034" w:rsidRPr="007452C6">
        <w:rPr>
          <w:rFonts w:ascii="Times New Roman" w:hAnsi="Times New Roman" w:cs="Times New Roman"/>
          <w:sz w:val="24"/>
          <w:szCs w:val="24"/>
        </w:rPr>
        <w:t>przedsiębiorstwo energetyczne o </w:t>
      </w:r>
      <w:r w:rsidR="00426CBA" w:rsidRPr="007452C6">
        <w:rPr>
          <w:rFonts w:ascii="Times New Roman" w:hAnsi="Times New Roman" w:cs="Times New Roman"/>
          <w:sz w:val="24"/>
          <w:szCs w:val="24"/>
        </w:rPr>
        <w:t>braku akceptacji zmian</w:t>
      </w:r>
      <w:r w:rsidR="00426CBA" w:rsidRPr="007452C6">
        <w:t xml:space="preserve"> </w:t>
      </w:r>
      <w:r w:rsidR="00426CBA" w:rsidRPr="007452C6">
        <w:rPr>
          <w:rFonts w:ascii="Times New Roman" w:hAnsi="Times New Roman" w:cs="Times New Roman"/>
          <w:sz w:val="24"/>
          <w:szCs w:val="24"/>
        </w:rPr>
        <w:t>umowy</w:t>
      </w:r>
      <w:r w:rsidR="00C56034" w:rsidRPr="007452C6">
        <w:rPr>
          <w:rFonts w:ascii="Times New Roman" w:hAnsi="Times New Roman" w:cs="Times New Roman"/>
          <w:sz w:val="24"/>
          <w:szCs w:val="24"/>
        </w:rPr>
        <w:t xml:space="preserve"> w zakresie cen lub</w:t>
      </w:r>
      <w:r w:rsidR="00426CBA" w:rsidRPr="007452C6">
        <w:rPr>
          <w:rFonts w:ascii="Times New Roman" w:hAnsi="Times New Roman" w:cs="Times New Roman"/>
          <w:sz w:val="24"/>
          <w:szCs w:val="24"/>
        </w:rPr>
        <w:t xml:space="preserve"> stawek opłat za energię elektryczną. Przepis ten nie zmienia dotychczas stosowanej praktyki przedsiębiorstw energetycznych, wynikającej z przepisów </w:t>
      </w:r>
      <w:r w:rsidR="00D75F2F" w:rsidRPr="007452C6">
        <w:rPr>
          <w:rFonts w:ascii="Times New Roman" w:hAnsi="Times New Roman" w:cs="Times New Roman"/>
          <w:sz w:val="24"/>
          <w:szCs w:val="24"/>
        </w:rPr>
        <w:t>art. 5 ust. 5 ustawy</w:t>
      </w:r>
      <w:r w:rsidR="00C56034" w:rsidRPr="007452C6">
        <w:rPr>
          <w:rFonts w:ascii="Times New Roman" w:hAnsi="Times New Roman" w:cs="Times New Roman"/>
          <w:sz w:val="24"/>
          <w:szCs w:val="24"/>
        </w:rPr>
        <w:t xml:space="preserve"> </w:t>
      </w:r>
      <w:r w:rsidR="00D75F2F" w:rsidRPr="007452C6">
        <w:rPr>
          <w:rFonts w:ascii="Times New Roman" w:hAnsi="Times New Roman" w:cs="Times New Roman"/>
          <w:sz w:val="24"/>
          <w:szCs w:val="24"/>
        </w:rPr>
        <w:t>- Prawo energetyczne</w:t>
      </w:r>
      <w:r w:rsidR="00C56034" w:rsidRPr="007452C6">
        <w:rPr>
          <w:rFonts w:ascii="Times New Roman" w:hAnsi="Times New Roman" w:cs="Times New Roman"/>
          <w:sz w:val="24"/>
          <w:szCs w:val="24"/>
        </w:rPr>
        <w:t>,</w:t>
      </w:r>
      <w:r w:rsidR="00426CBA" w:rsidRPr="007452C6">
        <w:rPr>
          <w:rFonts w:ascii="Times New Roman" w:hAnsi="Times New Roman" w:cs="Times New Roman"/>
          <w:sz w:val="24"/>
          <w:szCs w:val="24"/>
        </w:rPr>
        <w:t xml:space="preserve"> tzn. przedsiębiorstwa obrotu mogą nadal korzystać z tzw. milczącej zgody, która polega na przesłaniu propozycji zmian umowy wraz ze wskazaniem terminu, po którym zmiany te wejdą w życie, chyba że dany odbiorca końcowy przed upływem wyznaczonego terminu </w:t>
      </w:r>
      <w:r w:rsidR="00C56034" w:rsidRPr="007452C6">
        <w:rPr>
          <w:rFonts w:ascii="Times New Roman" w:hAnsi="Times New Roman" w:cs="Times New Roman"/>
          <w:sz w:val="24"/>
          <w:szCs w:val="24"/>
        </w:rPr>
        <w:t>odmówi</w:t>
      </w:r>
      <w:r w:rsidR="00426CBA" w:rsidRPr="007452C6">
        <w:rPr>
          <w:rFonts w:ascii="Times New Roman" w:hAnsi="Times New Roman" w:cs="Times New Roman"/>
          <w:sz w:val="24"/>
          <w:szCs w:val="24"/>
        </w:rPr>
        <w:t xml:space="preserve"> przyjęcia nowych warunków. Ważnym jest, aby termin ten nie był krótszy niż 7 dni od dnia otrzymania nowego cennika energii elektrycznej.</w:t>
      </w:r>
      <w:r w:rsidR="007772CE" w:rsidRPr="007452C6">
        <w:rPr>
          <w:rFonts w:ascii="Times New Roman" w:hAnsi="Times New Roman" w:cs="Times New Roman"/>
          <w:sz w:val="24"/>
          <w:szCs w:val="24"/>
        </w:rPr>
        <w:t xml:space="preserve"> Dodatkowo w dodawanym ust. 3 pkt 3 oraz pkt 4 przewiduje się, że nie jest winą przedsiębiorstwa obrotu, że nie doszło do zm</w:t>
      </w:r>
      <w:r w:rsidR="00F01355" w:rsidRPr="007452C6">
        <w:rPr>
          <w:rFonts w:ascii="Times New Roman" w:hAnsi="Times New Roman" w:cs="Times New Roman"/>
          <w:sz w:val="24"/>
          <w:szCs w:val="24"/>
        </w:rPr>
        <w:t>iany umowy i dostosowania cen i </w:t>
      </w:r>
      <w:r w:rsidR="007772CE" w:rsidRPr="007452C6">
        <w:rPr>
          <w:rFonts w:ascii="Times New Roman" w:hAnsi="Times New Roman" w:cs="Times New Roman"/>
          <w:sz w:val="24"/>
          <w:szCs w:val="24"/>
        </w:rPr>
        <w:t xml:space="preserve">stawek opłat do cen i stawek opłat obowiązujących w dniu 30 czerwca 2018 r. w przypadku, gdy to odbiorca końcowy nie dostarczył </w:t>
      </w:r>
      <w:r w:rsidR="00F01355" w:rsidRPr="007452C6">
        <w:rPr>
          <w:rFonts w:ascii="Times New Roman" w:hAnsi="Times New Roman" w:cs="Times New Roman"/>
          <w:sz w:val="24"/>
          <w:szCs w:val="24"/>
        </w:rPr>
        <w:t xml:space="preserve">dokumentów </w:t>
      </w:r>
      <w:r w:rsidR="007772CE" w:rsidRPr="007452C6">
        <w:rPr>
          <w:rFonts w:ascii="Times New Roman" w:hAnsi="Times New Roman" w:cs="Times New Roman"/>
          <w:sz w:val="24"/>
          <w:szCs w:val="24"/>
        </w:rPr>
        <w:t xml:space="preserve">wymaganych do zmiany </w:t>
      </w:r>
      <w:r w:rsidR="00F01355" w:rsidRPr="007452C6">
        <w:rPr>
          <w:rFonts w:ascii="Times New Roman" w:hAnsi="Times New Roman" w:cs="Times New Roman"/>
          <w:sz w:val="24"/>
          <w:szCs w:val="24"/>
        </w:rPr>
        <w:t>umowy</w:t>
      </w:r>
      <w:r w:rsidR="007772CE" w:rsidRPr="007452C6">
        <w:rPr>
          <w:rFonts w:ascii="Times New Roman" w:hAnsi="Times New Roman" w:cs="Times New Roman"/>
          <w:sz w:val="24"/>
          <w:szCs w:val="24"/>
        </w:rPr>
        <w:t>.</w:t>
      </w:r>
    </w:p>
    <w:p w14:paraId="4C3262D2" w14:textId="65C85E2E" w:rsidR="003A74B5" w:rsidRPr="007452C6" w:rsidRDefault="003A74B5" w:rsidP="005C7C0B">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 xml:space="preserve">Ze względu na nietypową konstrukcję niektórych umów, w których to sam odbiorca końcowy decyduje o momencie zakupu dla niego energii elektrycznej na giełdzie oraz biorąc pod uwagę obowiązek założony na przedsiębiorstwa obrotu, o którym mowa w art. 5 ust. 1 kwestia ta wymaga dodatkowego uregulowania, poprzez stosowne zmiany umowa. Przewidziano, że umowa ta zostanie zmieniona na umowę ze stałą ceną, na okres do końca roku 2019. W przypadku, gdy odbiorca końcowi nie wyrazi zgody na zmianę umowy z umowy indeksowanej na umowę ze stałą ceną, należy uznać, że przedsiębiorstwo obrotu wypełniło obowiązek, o którym mowa w art. 5 ust 1. w stosunku do tego odbiorcy. Uregulowanie to jest o tyle ważne, że teoretycznie mogłoby dochodzić do sytuacji, w której odbiorca końcowy w kontraktach miesięcznych lub kwartalnych decydowałby o zakupie energii elektrycznej po jak najwyższych cenach, a nie po zenach jak najniższych, a przedsiębiorstwo obrotu i tak zobowiązane byłoby do stosowanie cen i stawek opłat z 30 czerwca 2018 r. </w:t>
      </w:r>
    </w:p>
    <w:p w14:paraId="2177D458" w14:textId="77A99263" w:rsidR="000C7E0A" w:rsidRPr="007452C6" w:rsidRDefault="000C7E0A" w:rsidP="000C7E0A">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 xml:space="preserve">W art. 1 pkt 3 dodaje się art. 6a do ustawy zmienianej, który </w:t>
      </w:r>
      <w:r w:rsidR="00F01355" w:rsidRPr="007452C6">
        <w:rPr>
          <w:rFonts w:ascii="Times New Roman" w:hAnsi="Times New Roman" w:cs="Times New Roman"/>
          <w:sz w:val="24"/>
          <w:szCs w:val="24"/>
        </w:rPr>
        <w:t>nakłada</w:t>
      </w:r>
      <w:r w:rsidRPr="007452C6">
        <w:rPr>
          <w:rFonts w:ascii="Times New Roman" w:hAnsi="Times New Roman" w:cs="Times New Roman"/>
          <w:sz w:val="24"/>
          <w:szCs w:val="24"/>
        </w:rPr>
        <w:t xml:space="preserve"> </w:t>
      </w:r>
      <w:r w:rsidR="00F01355" w:rsidRPr="007452C6">
        <w:rPr>
          <w:rFonts w:ascii="Times New Roman" w:hAnsi="Times New Roman" w:cs="Times New Roman"/>
          <w:sz w:val="24"/>
          <w:szCs w:val="24"/>
        </w:rPr>
        <w:t xml:space="preserve">na przedsiębiorstwa obrotu </w:t>
      </w:r>
      <w:r w:rsidRPr="007452C6">
        <w:rPr>
          <w:rFonts w:ascii="Times New Roman" w:hAnsi="Times New Roman" w:cs="Times New Roman"/>
          <w:sz w:val="24"/>
          <w:szCs w:val="24"/>
        </w:rPr>
        <w:t>obowiązek ponownego wystawienia faktury za energię elektryczną</w:t>
      </w:r>
      <w:r w:rsidR="00F01355" w:rsidRPr="007452C6">
        <w:rPr>
          <w:rFonts w:ascii="Times New Roman" w:hAnsi="Times New Roman" w:cs="Times New Roman"/>
          <w:sz w:val="24"/>
          <w:szCs w:val="24"/>
        </w:rPr>
        <w:t>. W </w:t>
      </w:r>
      <w:r w:rsidRPr="007452C6">
        <w:rPr>
          <w:rFonts w:ascii="Times New Roman" w:hAnsi="Times New Roman" w:cs="Times New Roman"/>
          <w:sz w:val="24"/>
          <w:szCs w:val="24"/>
        </w:rPr>
        <w:t xml:space="preserve">przypadku części odbiorców końcowych, do tej porty przedsiębiorstwa obrotu nie zmieniły umowy zgodnie z art. 5 ust. 1 ustawy zmienianej, ponieważ przedsiębiorstwa te nie posiadały informacji o cenie i stawkach opłat, które obowiązywały tego odbiorcę </w:t>
      </w:r>
      <w:r w:rsidR="00F01355" w:rsidRPr="007452C6">
        <w:rPr>
          <w:rFonts w:ascii="Times New Roman" w:hAnsi="Times New Roman" w:cs="Times New Roman"/>
          <w:sz w:val="24"/>
          <w:szCs w:val="24"/>
        </w:rPr>
        <w:t xml:space="preserve">w umowie </w:t>
      </w:r>
      <w:r w:rsidRPr="007452C6">
        <w:rPr>
          <w:rFonts w:ascii="Times New Roman" w:hAnsi="Times New Roman" w:cs="Times New Roman"/>
          <w:sz w:val="24"/>
          <w:szCs w:val="24"/>
        </w:rPr>
        <w:t xml:space="preserve">z poprzednim przedsiębiorstwem obrotu. Sytuacja </w:t>
      </w:r>
      <w:r w:rsidR="00F01355" w:rsidRPr="007452C6">
        <w:rPr>
          <w:rFonts w:ascii="Times New Roman" w:hAnsi="Times New Roman" w:cs="Times New Roman"/>
          <w:sz w:val="24"/>
          <w:szCs w:val="24"/>
        </w:rPr>
        <w:t xml:space="preserve">taka </w:t>
      </w:r>
      <w:r w:rsidRPr="007452C6">
        <w:rPr>
          <w:rFonts w:ascii="Times New Roman" w:hAnsi="Times New Roman" w:cs="Times New Roman"/>
          <w:sz w:val="24"/>
          <w:szCs w:val="24"/>
        </w:rPr>
        <w:t>występuje wtedy, gdy doszło po 30 czerwca 2018 r. lub dojdzie do zmiany sprzedawcy energii elektrycznej.</w:t>
      </w:r>
      <w:r w:rsidR="00C960CB" w:rsidRPr="007452C6">
        <w:rPr>
          <w:rFonts w:ascii="Times New Roman" w:hAnsi="Times New Roman" w:cs="Times New Roman"/>
          <w:sz w:val="24"/>
          <w:szCs w:val="24"/>
        </w:rPr>
        <w:t xml:space="preserve"> </w:t>
      </w:r>
    </w:p>
    <w:p w14:paraId="5B690426" w14:textId="03E7F993" w:rsidR="00223E7E" w:rsidRPr="007452C6" w:rsidRDefault="00223E7E" w:rsidP="00223E7E">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 xml:space="preserve">W art. 1 pkt 4 </w:t>
      </w:r>
      <w:r w:rsidR="00926C25" w:rsidRPr="007452C6">
        <w:rPr>
          <w:rFonts w:ascii="Times New Roman" w:hAnsi="Times New Roman" w:cs="Times New Roman"/>
          <w:sz w:val="24"/>
          <w:szCs w:val="24"/>
        </w:rPr>
        <w:t>dokonana jest zmiana w art. 7 ust. 1</w:t>
      </w:r>
      <w:r w:rsidR="00535297" w:rsidRPr="007452C6">
        <w:rPr>
          <w:rFonts w:ascii="Times New Roman" w:hAnsi="Times New Roman" w:cs="Times New Roman"/>
          <w:sz w:val="24"/>
          <w:szCs w:val="24"/>
        </w:rPr>
        <w:t xml:space="preserve"> </w:t>
      </w:r>
      <w:r w:rsidR="00F01355" w:rsidRPr="007452C6">
        <w:rPr>
          <w:rFonts w:ascii="Times New Roman" w:hAnsi="Times New Roman" w:cs="Times New Roman"/>
          <w:sz w:val="24"/>
          <w:szCs w:val="24"/>
        </w:rPr>
        <w:t xml:space="preserve">ustawy zmienianej </w:t>
      </w:r>
      <w:r w:rsidR="00926C25" w:rsidRPr="007452C6">
        <w:rPr>
          <w:rFonts w:ascii="Times New Roman" w:hAnsi="Times New Roman" w:cs="Times New Roman"/>
          <w:sz w:val="24"/>
          <w:szCs w:val="24"/>
        </w:rPr>
        <w:t>poprzez zmianę brzmienia części wspólnej oraz zmiany sposobu określania kwoty różnicy cen</w:t>
      </w:r>
      <w:r w:rsidR="008869BF" w:rsidRPr="007452C6">
        <w:rPr>
          <w:rFonts w:ascii="Times New Roman" w:hAnsi="Times New Roman" w:cs="Times New Roman"/>
          <w:sz w:val="24"/>
          <w:szCs w:val="24"/>
        </w:rPr>
        <w:t>y</w:t>
      </w:r>
      <w:r w:rsidR="00926C25" w:rsidRPr="007452C6">
        <w:rPr>
          <w:rFonts w:ascii="Times New Roman" w:hAnsi="Times New Roman" w:cs="Times New Roman"/>
          <w:sz w:val="24"/>
          <w:szCs w:val="24"/>
        </w:rPr>
        <w:t xml:space="preserve"> dla</w:t>
      </w:r>
      <w:r w:rsidR="00F01355" w:rsidRPr="007452C6">
        <w:rPr>
          <w:rFonts w:ascii="Times New Roman" w:hAnsi="Times New Roman" w:cs="Times New Roman"/>
          <w:sz w:val="24"/>
          <w:szCs w:val="24"/>
        </w:rPr>
        <w:t xml:space="preserve"> odbiorcy</w:t>
      </w:r>
      <w:r w:rsidR="00926C25" w:rsidRPr="007452C6">
        <w:rPr>
          <w:rFonts w:ascii="Times New Roman" w:hAnsi="Times New Roman" w:cs="Times New Roman"/>
          <w:sz w:val="24"/>
          <w:szCs w:val="24"/>
        </w:rPr>
        <w:t xml:space="preserve"> końcowego kupującego energię elektryczną na własne potrzeby z pominięciem przedsiębiorstw obrotu. Zdecydowano, że w tym przypadku kwota różnicy cen</w:t>
      </w:r>
      <w:r w:rsidR="008869BF" w:rsidRPr="007452C6">
        <w:rPr>
          <w:rFonts w:ascii="Times New Roman" w:hAnsi="Times New Roman" w:cs="Times New Roman"/>
          <w:sz w:val="24"/>
          <w:szCs w:val="24"/>
        </w:rPr>
        <w:t>y</w:t>
      </w:r>
      <w:r w:rsidR="00926C25" w:rsidRPr="007452C6">
        <w:rPr>
          <w:rFonts w:ascii="Times New Roman" w:hAnsi="Times New Roman" w:cs="Times New Roman"/>
          <w:sz w:val="24"/>
          <w:szCs w:val="24"/>
        </w:rPr>
        <w:t xml:space="preserve"> zostanie obliczona </w:t>
      </w:r>
      <w:r w:rsidR="00F01355" w:rsidRPr="007452C6">
        <w:rPr>
          <w:rFonts w:ascii="Times New Roman" w:hAnsi="Times New Roman" w:cs="Times New Roman"/>
          <w:sz w:val="24"/>
          <w:szCs w:val="24"/>
        </w:rPr>
        <w:t>na podstawie  różnicy</w:t>
      </w:r>
      <w:r w:rsidR="00926C25" w:rsidRPr="007452C6">
        <w:rPr>
          <w:rFonts w:ascii="Times New Roman" w:hAnsi="Times New Roman" w:cs="Times New Roman"/>
          <w:sz w:val="24"/>
          <w:szCs w:val="24"/>
        </w:rPr>
        <w:t xml:space="preserve"> cen na hurtowym rynku energii elektrycznej, która będzie stanowiła jednostkową dopłatę do zużytej energii elektrycznej. Szczegółowy sposób obliczania kwoty różnicy cen określi rozporządzenie wydane na podstawie art. 7 ust. 2 ustawy zmienianej.</w:t>
      </w:r>
      <w:r w:rsidR="00535297" w:rsidRPr="007452C6">
        <w:rPr>
          <w:rFonts w:ascii="Times New Roman" w:hAnsi="Times New Roman" w:cs="Times New Roman"/>
          <w:sz w:val="24"/>
          <w:szCs w:val="24"/>
        </w:rPr>
        <w:t xml:space="preserve"> Ponadto </w:t>
      </w:r>
      <w:r w:rsidRPr="007452C6">
        <w:rPr>
          <w:rFonts w:ascii="Times New Roman" w:hAnsi="Times New Roman" w:cs="Times New Roman"/>
          <w:sz w:val="24"/>
          <w:szCs w:val="24"/>
        </w:rPr>
        <w:t>dodaje się ust. 1</w:t>
      </w:r>
      <w:r w:rsidR="00641B08" w:rsidRPr="007452C6">
        <w:rPr>
          <w:rFonts w:ascii="Times New Roman" w:hAnsi="Times New Roman" w:cs="Times New Roman"/>
          <w:sz w:val="24"/>
          <w:szCs w:val="24"/>
        </w:rPr>
        <w:t xml:space="preserve">b, </w:t>
      </w:r>
      <w:r w:rsidRPr="007452C6">
        <w:rPr>
          <w:rFonts w:ascii="Times New Roman" w:hAnsi="Times New Roman" w:cs="Times New Roman"/>
          <w:sz w:val="24"/>
          <w:szCs w:val="24"/>
        </w:rPr>
        <w:t>który jest efektem dokona</w:t>
      </w:r>
      <w:r w:rsidR="00F01355" w:rsidRPr="007452C6">
        <w:rPr>
          <w:rFonts w:ascii="Times New Roman" w:hAnsi="Times New Roman" w:cs="Times New Roman"/>
          <w:sz w:val="24"/>
          <w:szCs w:val="24"/>
        </w:rPr>
        <w:t>nych zmian w art. 5, polegających</w:t>
      </w:r>
      <w:r w:rsidRPr="007452C6">
        <w:rPr>
          <w:rFonts w:ascii="Times New Roman" w:hAnsi="Times New Roman" w:cs="Times New Roman"/>
          <w:sz w:val="24"/>
          <w:szCs w:val="24"/>
        </w:rPr>
        <w:t xml:space="preserve"> na objęciu obowiązkiem oferowania cen zgodnie z art. 5 ust. 1 </w:t>
      </w:r>
      <w:r w:rsidR="00F01355" w:rsidRPr="007452C6">
        <w:rPr>
          <w:rFonts w:ascii="Times New Roman" w:hAnsi="Times New Roman" w:cs="Times New Roman"/>
          <w:sz w:val="24"/>
          <w:szCs w:val="24"/>
        </w:rPr>
        <w:t>ustawy zmienianej nie wszystkim odbiorcom końcowym</w:t>
      </w:r>
      <w:r w:rsidRPr="007452C6">
        <w:rPr>
          <w:rFonts w:ascii="Times New Roman" w:hAnsi="Times New Roman" w:cs="Times New Roman"/>
          <w:sz w:val="24"/>
          <w:szCs w:val="24"/>
        </w:rPr>
        <w:t xml:space="preserve"> energii elektrycznej. </w:t>
      </w:r>
      <w:r w:rsidR="004A143D" w:rsidRPr="007452C6">
        <w:rPr>
          <w:rFonts w:ascii="Times New Roman" w:hAnsi="Times New Roman" w:cs="Times New Roman"/>
          <w:sz w:val="24"/>
          <w:szCs w:val="24"/>
        </w:rPr>
        <w:t xml:space="preserve">W związku z dokonanymi zmianami nazewnictwa oraz podziału roku 2019 na dwa półrocza, dokonano </w:t>
      </w:r>
      <w:r w:rsidR="00F01355" w:rsidRPr="007452C6">
        <w:rPr>
          <w:rFonts w:ascii="Times New Roman" w:hAnsi="Times New Roman" w:cs="Times New Roman"/>
          <w:sz w:val="24"/>
          <w:szCs w:val="24"/>
        </w:rPr>
        <w:t>odpowiednich</w:t>
      </w:r>
      <w:r w:rsidR="004A143D" w:rsidRPr="007452C6">
        <w:rPr>
          <w:rFonts w:ascii="Times New Roman" w:hAnsi="Times New Roman" w:cs="Times New Roman"/>
          <w:sz w:val="24"/>
          <w:szCs w:val="24"/>
        </w:rPr>
        <w:t xml:space="preserve"> zmian w upoważnieniu do wydania rozporządzenia dla ministra właściwego do spraw energii.</w:t>
      </w:r>
    </w:p>
    <w:p w14:paraId="5FB52A9F" w14:textId="607010EA" w:rsidR="00223E7E" w:rsidRPr="007452C6" w:rsidRDefault="00223E7E" w:rsidP="00402890">
      <w:pPr>
        <w:spacing w:line="360" w:lineRule="auto"/>
        <w:ind w:firstLine="708"/>
        <w:jc w:val="both"/>
        <w:rPr>
          <w:rFonts w:ascii="Times New Roman" w:hAnsi="Times New Roman" w:cs="Times New Roman"/>
          <w:sz w:val="24"/>
          <w:szCs w:val="24"/>
        </w:rPr>
      </w:pPr>
      <w:r w:rsidRPr="007452C6">
        <w:rPr>
          <w:rFonts w:ascii="Times New Roman" w:hAnsi="Times New Roman" w:cs="Times New Roman"/>
          <w:sz w:val="24"/>
          <w:szCs w:val="24"/>
        </w:rPr>
        <w:t xml:space="preserve">Dodatkowo w art. 1 pkt 4 dodaje się </w:t>
      </w:r>
      <w:r w:rsidR="004A143D" w:rsidRPr="007452C6">
        <w:rPr>
          <w:rFonts w:ascii="Times New Roman" w:hAnsi="Times New Roman" w:cs="Times New Roman"/>
          <w:sz w:val="24"/>
          <w:szCs w:val="24"/>
        </w:rPr>
        <w:t xml:space="preserve">w </w:t>
      </w:r>
      <w:r w:rsidRPr="007452C6">
        <w:rPr>
          <w:rFonts w:ascii="Times New Roman" w:hAnsi="Times New Roman" w:cs="Times New Roman"/>
          <w:sz w:val="24"/>
          <w:szCs w:val="24"/>
        </w:rPr>
        <w:t xml:space="preserve">art. </w:t>
      </w:r>
      <w:r w:rsidR="004A143D" w:rsidRPr="007452C6">
        <w:rPr>
          <w:rFonts w:ascii="Times New Roman" w:hAnsi="Times New Roman" w:cs="Times New Roman"/>
          <w:sz w:val="24"/>
          <w:szCs w:val="24"/>
        </w:rPr>
        <w:t xml:space="preserve">7 ustawy zmienianej ustępy </w:t>
      </w:r>
      <w:r w:rsidRPr="007452C6">
        <w:rPr>
          <w:rFonts w:ascii="Times New Roman" w:hAnsi="Times New Roman" w:cs="Times New Roman"/>
          <w:sz w:val="24"/>
          <w:szCs w:val="24"/>
        </w:rPr>
        <w:t xml:space="preserve">4a–4d, które wprowadzają </w:t>
      </w:r>
      <w:r w:rsidR="00F01355" w:rsidRPr="007452C6">
        <w:rPr>
          <w:rFonts w:ascii="Times New Roman" w:hAnsi="Times New Roman" w:cs="Times New Roman"/>
          <w:sz w:val="24"/>
          <w:szCs w:val="24"/>
        </w:rPr>
        <w:t xml:space="preserve">uprawnienie </w:t>
      </w:r>
      <w:r w:rsidRPr="007452C6">
        <w:rPr>
          <w:rFonts w:ascii="Times New Roman" w:hAnsi="Times New Roman" w:cs="Times New Roman"/>
          <w:sz w:val="24"/>
          <w:szCs w:val="24"/>
        </w:rPr>
        <w:t>o ubieganie się o dofinansowanie</w:t>
      </w:r>
      <w:r w:rsidR="009B0486" w:rsidRPr="007452C6">
        <w:rPr>
          <w:rFonts w:ascii="Times New Roman" w:hAnsi="Times New Roman" w:cs="Times New Roman"/>
          <w:sz w:val="24"/>
          <w:szCs w:val="24"/>
        </w:rPr>
        <w:t xml:space="preserve"> w ramach</w:t>
      </w:r>
      <w:r w:rsidRPr="007452C6">
        <w:rPr>
          <w:rFonts w:ascii="Times New Roman" w:hAnsi="Times New Roman" w:cs="Times New Roman"/>
          <w:sz w:val="24"/>
          <w:szCs w:val="24"/>
        </w:rPr>
        <w:t xml:space="preserve"> pomoc</w:t>
      </w:r>
      <w:r w:rsidR="009B0486" w:rsidRPr="007452C6">
        <w:rPr>
          <w:rFonts w:ascii="Times New Roman" w:hAnsi="Times New Roman" w:cs="Times New Roman"/>
          <w:sz w:val="24"/>
          <w:szCs w:val="24"/>
        </w:rPr>
        <w:t>y</w:t>
      </w:r>
      <w:r w:rsidRPr="007452C6">
        <w:rPr>
          <w:rFonts w:ascii="Times New Roman" w:hAnsi="Times New Roman" w:cs="Times New Roman"/>
          <w:sz w:val="24"/>
          <w:szCs w:val="24"/>
        </w:rPr>
        <w:t xml:space="preserve"> de </w:t>
      </w:r>
      <w:proofErr w:type="spellStart"/>
      <w:r w:rsidRPr="007452C6">
        <w:rPr>
          <w:rFonts w:ascii="Times New Roman" w:hAnsi="Times New Roman" w:cs="Times New Roman"/>
          <w:sz w:val="24"/>
          <w:szCs w:val="24"/>
        </w:rPr>
        <w:t>minimis</w:t>
      </w:r>
      <w:proofErr w:type="spellEnd"/>
      <w:r w:rsidR="00F01355" w:rsidRPr="007452C6">
        <w:rPr>
          <w:rFonts w:ascii="Times New Roman" w:hAnsi="Times New Roman" w:cs="Times New Roman"/>
          <w:sz w:val="24"/>
          <w:szCs w:val="24"/>
        </w:rPr>
        <w:t xml:space="preserve"> dla średnich i dużych przedsiębiorstw</w:t>
      </w:r>
      <w:r w:rsidR="009B0486" w:rsidRPr="007452C6">
        <w:rPr>
          <w:rFonts w:ascii="Times New Roman" w:hAnsi="Times New Roman" w:cs="Times New Roman"/>
          <w:sz w:val="24"/>
          <w:szCs w:val="24"/>
        </w:rPr>
        <w:t xml:space="preserve">. Dofinansowanie to będzie obliczane jako iloczyn jednostkowej stawki dofinansowania, określonej w obwieszczeniu ministra właściwego do spraw energii i wolumenu energii elektrycznej zakupionej przez odbiorcę końcowego w okresie do dnia 31 grudnia 2019 r. i zużytej w okresie od dnia 1 lipca </w:t>
      </w:r>
      <w:r w:rsidR="00F01355" w:rsidRPr="007452C6">
        <w:rPr>
          <w:rFonts w:ascii="Times New Roman" w:hAnsi="Times New Roman" w:cs="Times New Roman"/>
          <w:sz w:val="24"/>
          <w:szCs w:val="24"/>
        </w:rPr>
        <w:t>2019 r. do dnia 31 grudnia 2019 </w:t>
      </w:r>
      <w:r w:rsidR="009B0486" w:rsidRPr="007452C6">
        <w:rPr>
          <w:rFonts w:ascii="Times New Roman" w:hAnsi="Times New Roman" w:cs="Times New Roman"/>
          <w:sz w:val="24"/>
          <w:szCs w:val="24"/>
        </w:rPr>
        <w:t xml:space="preserve">r. </w:t>
      </w:r>
      <w:r w:rsidR="00F01355" w:rsidRPr="007452C6">
        <w:rPr>
          <w:rFonts w:ascii="Times New Roman" w:hAnsi="Times New Roman" w:cs="Times New Roman"/>
          <w:sz w:val="24"/>
          <w:szCs w:val="24"/>
        </w:rPr>
        <w:t>Zakłada się z</w:t>
      </w:r>
      <w:r w:rsidR="009B0486" w:rsidRPr="007452C6">
        <w:rPr>
          <w:rFonts w:ascii="Times New Roman" w:hAnsi="Times New Roman" w:cs="Times New Roman"/>
          <w:sz w:val="24"/>
          <w:szCs w:val="24"/>
        </w:rPr>
        <w:t>atem</w:t>
      </w:r>
      <w:r w:rsidR="00F01355" w:rsidRPr="007452C6">
        <w:rPr>
          <w:rFonts w:ascii="Times New Roman" w:hAnsi="Times New Roman" w:cs="Times New Roman"/>
          <w:sz w:val="24"/>
          <w:szCs w:val="24"/>
        </w:rPr>
        <w:t>, że</w:t>
      </w:r>
      <w:r w:rsidR="009B0486" w:rsidRPr="007452C6">
        <w:rPr>
          <w:rFonts w:ascii="Times New Roman" w:hAnsi="Times New Roman" w:cs="Times New Roman"/>
          <w:sz w:val="24"/>
          <w:szCs w:val="24"/>
        </w:rPr>
        <w:t xml:space="preserve"> energia zakupiona mogła być również w 2018</w:t>
      </w:r>
      <w:r w:rsidR="00F01355" w:rsidRPr="007452C6">
        <w:rPr>
          <w:rFonts w:ascii="Times New Roman" w:hAnsi="Times New Roman" w:cs="Times New Roman"/>
          <w:sz w:val="24"/>
          <w:szCs w:val="24"/>
        </w:rPr>
        <w:t xml:space="preserve"> r.</w:t>
      </w:r>
      <w:r w:rsidR="009B0486" w:rsidRPr="007452C6">
        <w:rPr>
          <w:rFonts w:ascii="Times New Roman" w:hAnsi="Times New Roman" w:cs="Times New Roman"/>
          <w:sz w:val="24"/>
          <w:szCs w:val="24"/>
        </w:rPr>
        <w:t xml:space="preserve"> lub wcześniej</w:t>
      </w:r>
      <w:r w:rsidR="00F01355" w:rsidRPr="007452C6">
        <w:rPr>
          <w:rFonts w:ascii="Times New Roman" w:hAnsi="Times New Roman" w:cs="Times New Roman"/>
          <w:sz w:val="24"/>
          <w:szCs w:val="24"/>
        </w:rPr>
        <w:t>,</w:t>
      </w:r>
      <w:r w:rsidR="009B0486" w:rsidRPr="007452C6">
        <w:rPr>
          <w:rFonts w:ascii="Times New Roman" w:hAnsi="Times New Roman" w:cs="Times New Roman"/>
          <w:sz w:val="24"/>
          <w:szCs w:val="24"/>
        </w:rPr>
        <w:t xml:space="preserve"> z okresem dostaw obej</w:t>
      </w:r>
      <w:r w:rsidR="00281A45" w:rsidRPr="007452C6">
        <w:rPr>
          <w:rFonts w:ascii="Times New Roman" w:hAnsi="Times New Roman" w:cs="Times New Roman"/>
          <w:sz w:val="24"/>
          <w:szCs w:val="24"/>
        </w:rPr>
        <w:t>mującym drugie półrocze 2019</w:t>
      </w:r>
      <w:r w:rsidR="00F01355" w:rsidRPr="007452C6">
        <w:rPr>
          <w:rFonts w:ascii="Times New Roman" w:hAnsi="Times New Roman" w:cs="Times New Roman"/>
          <w:sz w:val="24"/>
          <w:szCs w:val="24"/>
        </w:rPr>
        <w:t xml:space="preserve"> r.</w:t>
      </w:r>
      <w:r w:rsidR="00281A45" w:rsidRPr="007452C6">
        <w:rPr>
          <w:rFonts w:ascii="Times New Roman" w:hAnsi="Times New Roman" w:cs="Times New Roman"/>
          <w:sz w:val="24"/>
          <w:szCs w:val="24"/>
        </w:rPr>
        <w:t xml:space="preserve">, niemniej jednak </w:t>
      </w:r>
      <w:r w:rsidR="00F01355" w:rsidRPr="007452C6">
        <w:rPr>
          <w:rFonts w:ascii="Times New Roman" w:hAnsi="Times New Roman" w:cs="Times New Roman"/>
          <w:sz w:val="24"/>
          <w:szCs w:val="24"/>
        </w:rPr>
        <w:t xml:space="preserve">omawiany przepis </w:t>
      </w:r>
      <w:r w:rsidR="00281A45" w:rsidRPr="007452C6">
        <w:rPr>
          <w:rFonts w:ascii="Times New Roman" w:hAnsi="Times New Roman" w:cs="Times New Roman"/>
          <w:sz w:val="24"/>
          <w:szCs w:val="24"/>
        </w:rPr>
        <w:t>nie obejmie energii elektrycznej zakupionej w drugim półroczu 2019 r., lecz z okresem dostaw</w:t>
      </w:r>
      <w:r w:rsidR="00F01355" w:rsidRPr="007452C6">
        <w:rPr>
          <w:rFonts w:ascii="Times New Roman" w:hAnsi="Times New Roman" w:cs="Times New Roman"/>
          <w:sz w:val="24"/>
          <w:szCs w:val="24"/>
        </w:rPr>
        <w:t xml:space="preserve"> innym niż drugie półrocze 2019 </w:t>
      </w:r>
      <w:r w:rsidR="00281A45" w:rsidRPr="007452C6">
        <w:rPr>
          <w:rFonts w:ascii="Times New Roman" w:hAnsi="Times New Roman" w:cs="Times New Roman"/>
          <w:sz w:val="24"/>
          <w:szCs w:val="24"/>
        </w:rPr>
        <w:t xml:space="preserve">r. </w:t>
      </w:r>
      <w:r w:rsidR="004A143D" w:rsidRPr="007452C6">
        <w:rPr>
          <w:rFonts w:ascii="Times New Roman" w:hAnsi="Times New Roman" w:cs="Times New Roman"/>
          <w:sz w:val="24"/>
          <w:szCs w:val="24"/>
        </w:rPr>
        <w:t xml:space="preserve">Wykluczeni z ubiegania się o pomoc de </w:t>
      </w:r>
      <w:proofErr w:type="spellStart"/>
      <w:r w:rsidR="004A143D" w:rsidRPr="007452C6">
        <w:rPr>
          <w:rFonts w:ascii="Times New Roman" w:hAnsi="Times New Roman" w:cs="Times New Roman"/>
          <w:sz w:val="24"/>
          <w:szCs w:val="24"/>
        </w:rPr>
        <w:t>minimis</w:t>
      </w:r>
      <w:proofErr w:type="spellEnd"/>
      <w:r w:rsidR="004A143D" w:rsidRPr="007452C6">
        <w:rPr>
          <w:rFonts w:ascii="Times New Roman" w:hAnsi="Times New Roman" w:cs="Times New Roman"/>
          <w:sz w:val="24"/>
          <w:szCs w:val="24"/>
        </w:rPr>
        <w:t xml:space="preserve"> będą tzw. przedsiębiorstwa energochłonne, które zostały zdefiniowane w ust. 4c. </w:t>
      </w:r>
      <w:r w:rsidR="00882657" w:rsidRPr="007452C6">
        <w:rPr>
          <w:rFonts w:ascii="Times New Roman" w:hAnsi="Times New Roman" w:cs="Times New Roman"/>
          <w:sz w:val="24"/>
          <w:szCs w:val="24"/>
        </w:rPr>
        <w:t>Pon</w:t>
      </w:r>
      <w:r w:rsidR="00F01355" w:rsidRPr="007452C6">
        <w:rPr>
          <w:rFonts w:ascii="Times New Roman" w:hAnsi="Times New Roman" w:cs="Times New Roman"/>
          <w:sz w:val="24"/>
          <w:szCs w:val="24"/>
        </w:rPr>
        <w:t>adto w celu określenia dokumentu</w:t>
      </w:r>
      <w:r w:rsidR="00882657" w:rsidRPr="007452C6">
        <w:rPr>
          <w:rFonts w:ascii="Times New Roman" w:hAnsi="Times New Roman" w:cs="Times New Roman"/>
          <w:sz w:val="24"/>
          <w:szCs w:val="24"/>
        </w:rPr>
        <w:t xml:space="preserve">, w którym ogłaszana będzie jednostkowa stawka pomocy de </w:t>
      </w:r>
      <w:proofErr w:type="spellStart"/>
      <w:r w:rsidR="00882657" w:rsidRPr="007452C6">
        <w:rPr>
          <w:rFonts w:ascii="Times New Roman" w:hAnsi="Times New Roman" w:cs="Times New Roman"/>
          <w:sz w:val="24"/>
          <w:szCs w:val="24"/>
        </w:rPr>
        <w:t>minimis</w:t>
      </w:r>
      <w:proofErr w:type="spellEnd"/>
      <w:r w:rsidR="00882657" w:rsidRPr="007452C6">
        <w:rPr>
          <w:rFonts w:ascii="Times New Roman" w:hAnsi="Times New Roman" w:cs="Times New Roman"/>
          <w:sz w:val="24"/>
          <w:szCs w:val="24"/>
        </w:rPr>
        <w:t xml:space="preserve"> dokonano zmiany przepisów dotyczących obwieszczenia ministra właściwego do spraw energii.</w:t>
      </w:r>
    </w:p>
    <w:p w14:paraId="20FFD537" w14:textId="7D44D424" w:rsidR="00C960CB" w:rsidRPr="007452C6" w:rsidRDefault="00BB3E4D" w:rsidP="00BB3E4D">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W art. 1 pkt 5 dodaje s</w:t>
      </w:r>
      <w:r w:rsidR="00F01355" w:rsidRPr="007452C6">
        <w:rPr>
          <w:rFonts w:ascii="Times New Roman" w:hAnsi="Times New Roman" w:cs="Times New Roman"/>
          <w:sz w:val="24"/>
          <w:szCs w:val="24"/>
        </w:rPr>
        <w:t>ię nowy</w:t>
      </w:r>
      <w:r w:rsidRPr="007452C6">
        <w:rPr>
          <w:rFonts w:ascii="Times New Roman" w:hAnsi="Times New Roman" w:cs="Times New Roman"/>
          <w:sz w:val="24"/>
          <w:szCs w:val="24"/>
        </w:rPr>
        <w:t xml:space="preserve"> art. 7a</w:t>
      </w:r>
      <w:r w:rsidR="00F01355" w:rsidRPr="007452C6">
        <w:rPr>
          <w:rFonts w:ascii="Times New Roman" w:hAnsi="Times New Roman" w:cs="Times New Roman"/>
          <w:sz w:val="24"/>
          <w:szCs w:val="24"/>
        </w:rPr>
        <w:t xml:space="preserve"> ustawy zmienianej</w:t>
      </w:r>
      <w:r w:rsidRPr="007452C6">
        <w:rPr>
          <w:rFonts w:ascii="Times New Roman" w:hAnsi="Times New Roman" w:cs="Times New Roman"/>
          <w:sz w:val="24"/>
          <w:szCs w:val="24"/>
        </w:rPr>
        <w:t xml:space="preserve">, </w:t>
      </w:r>
      <w:r w:rsidR="00402890" w:rsidRPr="007452C6">
        <w:rPr>
          <w:rFonts w:ascii="Times New Roman" w:hAnsi="Times New Roman" w:cs="Times New Roman"/>
          <w:sz w:val="24"/>
          <w:szCs w:val="24"/>
        </w:rPr>
        <w:t>który wprowadza istotne z </w:t>
      </w:r>
      <w:r w:rsidR="00223E7E" w:rsidRPr="007452C6">
        <w:rPr>
          <w:rFonts w:ascii="Times New Roman" w:hAnsi="Times New Roman" w:cs="Times New Roman"/>
          <w:sz w:val="24"/>
          <w:szCs w:val="24"/>
        </w:rPr>
        <w:t>punktu widzenia prz</w:t>
      </w:r>
      <w:r w:rsidR="00F01355" w:rsidRPr="007452C6">
        <w:rPr>
          <w:rFonts w:ascii="Times New Roman" w:hAnsi="Times New Roman" w:cs="Times New Roman"/>
          <w:sz w:val="24"/>
          <w:szCs w:val="24"/>
        </w:rPr>
        <w:t>edsiębiorstw obrotu uprawnienie</w:t>
      </w:r>
      <w:r w:rsidR="00402890" w:rsidRPr="007452C6">
        <w:rPr>
          <w:rFonts w:ascii="Times New Roman" w:hAnsi="Times New Roman" w:cs="Times New Roman"/>
          <w:sz w:val="24"/>
          <w:szCs w:val="24"/>
        </w:rPr>
        <w:t xml:space="preserve"> występowania do Prezesa URE o </w:t>
      </w:r>
      <w:r w:rsidR="00223E7E" w:rsidRPr="007452C6">
        <w:rPr>
          <w:rFonts w:ascii="Times New Roman" w:hAnsi="Times New Roman" w:cs="Times New Roman"/>
          <w:sz w:val="24"/>
          <w:szCs w:val="24"/>
        </w:rPr>
        <w:t>określenie</w:t>
      </w:r>
      <w:r w:rsidRPr="007452C6">
        <w:rPr>
          <w:rFonts w:ascii="Times New Roman" w:hAnsi="Times New Roman" w:cs="Times New Roman"/>
          <w:sz w:val="24"/>
          <w:szCs w:val="24"/>
        </w:rPr>
        <w:t xml:space="preserve"> </w:t>
      </w:r>
      <w:r w:rsidR="00430FF7" w:rsidRPr="007452C6">
        <w:rPr>
          <w:rFonts w:ascii="Times New Roman" w:hAnsi="Times New Roman" w:cs="Times New Roman"/>
          <w:sz w:val="24"/>
          <w:szCs w:val="24"/>
        </w:rPr>
        <w:t xml:space="preserve">indywidualnych pozostałych kosztów jednostkowych, o których mowa w art. 7 ust. 4 pkt 1 lit. a–c </w:t>
      </w:r>
      <w:r w:rsidRPr="007452C6">
        <w:rPr>
          <w:rFonts w:ascii="Times New Roman" w:hAnsi="Times New Roman" w:cs="Times New Roman"/>
          <w:sz w:val="24"/>
          <w:szCs w:val="24"/>
        </w:rPr>
        <w:t xml:space="preserve">oraz art. 7b, który reguluje </w:t>
      </w:r>
      <w:r w:rsidR="00430FF7" w:rsidRPr="007452C6">
        <w:rPr>
          <w:rFonts w:ascii="Times New Roman" w:hAnsi="Times New Roman" w:cs="Times New Roman"/>
          <w:sz w:val="24"/>
          <w:szCs w:val="24"/>
        </w:rPr>
        <w:t xml:space="preserve">sposób ubiegania się o pomoc de </w:t>
      </w:r>
      <w:proofErr w:type="spellStart"/>
      <w:r w:rsidR="00430FF7" w:rsidRPr="007452C6">
        <w:rPr>
          <w:rFonts w:ascii="Times New Roman" w:hAnsi="Times New Roman" w:cs="Times New Roman"/>
          <w:sz w:val="24"/>
          <w:szCs w:val="24"/>
        </w:rPr>
        <w:t>minimis</w:t>
      </w:r>
      <w:proofErr w:type="spellEnd"/>
      <w:r w:rsidR="00430FF7" w:rsidRPr="007452C6">
        <w:rPr>
          <w:rFonts w:ascii="Times New Roman" w:hAnsi="Times New Roman" w:cs="Times New Roman"/>
          <w:sz w:val="24"/>
          <w:szCs w:val="24"/>
        </w:rPr>
        <w:t xml:space="preserve">. </w:t>
      </w:r>
      <w:r w:rsidR="00402890" w:rsidRPr="007452C6">
        <w:rPr>
          <w:rFonts w:ascii="Times New Roman" w:hAnsi="Times New Roman" w:cs="Times New Roman"/>
          <w:sz w:val="24"/>
          <w:szCs w:val="24"/>
        </w:rPr>
        <w:t>Średnie i </w:t>
      </w:r>
      <w:r w:rsidR="00334760" w:rsidRPr="007452C6">
        <w:rPr>
          <w:rFonts w:ascii="Times New Roman" w:hAnsi="Times New Roman" w:cs="Times New Roman"/>
          <w:sz w:val="24"/>
          <w:szCs w:val="24"/>
        </w:rPr>
        <w:t>duże przedsiębiorstwa będą mogły złożyć dwa wnioski</w:t>
      </w:r>
      <w:r w:rsidR="00F01355" w:rsidRPr="007452C6">
        <w:rPr>
          <w:rFonts w:ascii="Times New Roman" w:hAnsi="Times New Roman" w:cs="Times New Roman"/>
          <w:sz w:val="24"/>
          <w:szCs w:val="24"/>
        </w:rPr>
        <w:t>,</w:t>
      </w:r>
      <w:r w:rsidR="00334760" w:rsidRPr="007452C6">
        <w:rPr>
          <w:rFonts w:ascii="Times New Roman" w:hAnsi="Times New Roman" w:cs="Times New Roman"/>
          <w:sz w:val="24"/>
          <w:szCs w:val="24"/>
        </w:rPr>
        <w:t xml:space="preserve"> tzn. wniosek za okres od lipca do września oraz wniosek za okres od października do grudnia. Przyjęcie takich okresów nie będzie stanowiło </w:t>
      </w:r>
      <w:r w:rsidR="00F01355" w:rsidRPr="007452C6">
        <w:rPr>
          <w:rFonts w:ascii="Times New Roman" w:hAnsi="Times New Roman" w:cs="Times New Roman"/>
          <w:sz w:val="24"/>
          <w:szCs w:val="24"/>
        </w:rPr>
        <w:t xml:space="preserve">nadmiernego </w:t>
      </w:r>
      <w:r w:rsidR="00334760" w:rsidRPr="007452C6">
        <w:rPr>
          <w:rFonts w:ascii="Times New Roman" w:hAnsi="Times New Roman" w:cs="Times New Roman"/>
          <w:sz w:val="24"/>
          <w:szCs w:val="24"/>
        </w:rPr>
        <w:t xml:space="preserve">obciążenia dla tych przedsiębiorstw oraz umożliwi prawidłowe rozpatrzenie tych wniosków przez Zarządcę Rozliczeń S.A. </w:t>
      </w:r>
      <w:r w:rsidR="00A266F6" w:rsidRPr="007452C6">
        <w:rPr>
          <w:rFonts w:ascii="Times New Roman" w:hAnsi="Times New Roman" w:cs="Times New Roman"/>
          <w:sz w:val="24"/>
          <w:szCs w:val="24"/>
        </w:rPr>
        <w:t xml:space="preserve">Ostatnim dniem na złożenie wniosku o pomoc de </w:t>
      </w:r>
      <w:proofErr w:type="spellStart"/>
      <w:r w:rsidR="00A266F6" w:rsidRPr="007452C6">
        <w:rPr>
          <w:rFonts w:ascii="Times New Roman" w:hAnsi="Times New Roman" w:cs="Times New Roman"/>
          <w:sz w:val="24"/>
          <w:szCs w:val="24"/>
        </w:rPr>
        <w:t>minimis</w:t>
      </w:r>
      <w:proofErr w:type="spellEnd"/>
      <w:r w:rsidR="00A266F6" w:rsidRPr="007452C6">
        <w:rPr>
          <w:rFonts w:ascii="Times New Roman" w:hAnsi="Times New Roman" w:cs="Times New Roman"/>
          <w:sz w:val="24"/>
          <w:szCs w:val="24"/>
        </w:rPr>
        <w:t xml:space="preserve"> jest 30 czerwca 2020 r.</w:t>
      </w:r>
    </w:p>
    <w:p w14:paraId="2EB8795E" w14:textId="37E6AF55" w:rsidR="002C13D1" w:rsidRPr="007452C6" w:rsidRDefault="002C13D1" w:rsidP="002C13D1">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W art. 1 pkt 6 wprowadza się zmiany do art. 8</w:t>
      </w:r>
      <w:r w:rsidR="00F01355" w:rsidRPr="007452C6">
        <w:rPr>
          <w:rFonts w:ascii="Times New Roman" w:hAnsi="Times New Roman" w:cs="Times New Roman"/>
          <w:sz w:val="24"/>
          <w:szCs w:val="24"/>
        </w:rPr>
        <w:t xml:space="preserve"> ustawy zmienianej</w:t>
      </w:r>
      <w:r w:rsidRPr="007452C6">
        <w:rPr>
          <w:rFonts w:ascii="Times New Roman" w:hAnsi="Times New Roman" w:cs="Times New Roman"/>
          <w:sz w:val="24"/>
          <w:szCs w:val="24"/>
        </w:rPr>
        <w:t>. Zmiany te głównie są następstwem dokonanych zmian w art. 7 oraz uszczegółowiają techniczne aspekty składa</w:t>
      </w:r>
      <w:r w:rsidR="00F01355" w:rsidRPr="007452C6">
        <w:rPr>
          <w:rFonts w:ascii="Times New Roman" w:hAnsi="Times New Roman" w:cs="Times New Roman"/>
          <w:sz w:val="24"/>
          <w:szCs w:val="24"/>
        </w:rPr>
        <w:t>nia wniosku oraz jego zawartość</w:t>
      </w:r>
      <w:r w:rsidRPr="007452C6">
        <w:rPr>
          <w:rFonts w:ascii="Times New Roman" w:hAnsi="Times New Roman" w:cs="Times New Roman"/>
          <w:sz w:val="24"/>
          <w:szCs w:val="24"/>
        </w:rPr>
        <w:t>. Istotną zmianą</w:t>
      </w:r>
      <w:r w:rsidR="00F01355" w:rsidRPr="007452C6">
        <w:rPr>
          <w:rFonts w:ascii="Times New Roman" w:hAnsi="Times New Roman" w:cs="Times New Roman"/>
          <w:sz w:val="24"/>
          <w:szCs w:val="24"/>
        </w:rPr>
        <w:t xml:space="preserve"> jest zmiana ust. 4a, który daje</w:t>
      </w:r>
      <w:r w:rsidRPr="007452C6">
        <w:rPr>
          <w:rFonts w:ascii="Times New Roman" w:hAnsi="Times New Roman" w:cs="Times New Roman"/>
          <w:sz w:val="24"/>
          <w:szCs w:val="24"/>
        </w:rPr>
        <w:t xml:space="preserve"> uprawnienie Zarządcy Rozliczeń S.A. do wystąpienia o przedstawienie dokumentów lub informacji mających znaczenie dla oceny prawidłowości </w:t>
      </w:r>
      <w:r w:rsidR="00F01355" w:rsidRPr="007452C6">
        <w:rPr>
          <w:rFonts w:ascii="Times New Roman" w:hAnsi="Times New Roman" w:cs="Times New Roman"/>
          <w:sz w:val="24"/>
          <w:szCs w:val="24"/>
        </w:rPr>
        <w:t xml:space="preserve">wielkości </w:t>
      </w:r>
      <w:r w:rsidRPr="007452C6">
        <w:rPr>
          <w:rFonts w:ascii="Times New Roman" w:hAnsi="Times New Roman" w:cs="Times New Roman"/>
          <w:sz w:val="24"/>
          <w:szCs w:val="24"/>
        </w:rPr>
        <w:t>wolumenu energii elektr</w:t>
      </w:r>
      <w:r w:rsidR="00402890" w:rsidRPr="007452C6">
        <w:rPr>
          <w:rFonts w:ascii="Times New Roman" w:hAnsi="Times New Roman" w:cs="Times New Roman"/>
          <w:sz w:val="24"/>
          <w:szCs w:val="24"/>
        </w:rPr>
        <w:t>ycznej, w </w:t>
      </w:r>
      <w:r w:rsidRPr="007452C6">
        <w:rPr>
          <w:rFonts w:ascii="Times New Roman" w:hAnsi="Times New Roman" w:cs="Times New Roman"/>
          <w:sz w:val="24"/>
          <w:szCs w:val="24"/>
        </w:rPr>
        <w:t>stosunku do którego dane przedsiębiorstwo obrotu ubiega się o wypłatę z Funduszu Wypłaty Różnicy Cen</w:t>
      </w:r>
      <w:r w:rsidR="00F01355" w:rsidRPr="007452C6">
        <w:rPr>
          <w:rFonts w:ascii="Times New Roman" w:hAnsi="Times New Roman" w:cs="Times New Roman"/>
          <w:sz w:val="24"/>
          <w:szCs w:val="24"/>
        </w:rPr>
        <w:t>y</w:t>
      </w:r>
      <w:r w:rsidRPr="007452C6">
        <w:rPr>
          <w:rFonts w:ascii="Times New Roman" w:hAnsi="Times New Roman" w:cs="Times New Roman"/>
          <w:sz w:val="24"/>
          <w:szCs w:val="24"/>
        </w:rPr>
        <w:t xml:space="preserve">. Z uwagi na fakt, że przedsiębiorstwa obrotu wnioski o wypłatę mogą składać </w:t>
      </w:r>
      <w:r w:rsidR="004E326E" w:rsidRPr="007452C6">
        <w:rPr>
          <w:rFonts w:ascii="Times New Roman" w:hAnsi="Times New Roman" w:cs="Times New Roman"/>
          <w:sz w:val="24"/>
          <w:szCs w:val="24"/>
        </w:rPr>
        <w:t>na podstawie</w:t>
      </w:r>
      <w:r w:rsidRPr="007452C6">
        <w:rPr>
          <w:rFonts w:ascii="Times New Roman" w:hAnsi="Times New Roman" w:cs="Times New Roman"/>
          <w:sz w:val="24"/>
          <w:szCs w:val="24"/>
        </w:rPr>
        <w:t xml:space="preserve"> </w:t>
      </w:r>
      <w:r w:rsidR="004E326E" w:rsidRPr="007452C6">
        <w:rPr>
          <w:rFonts w:ascii="Times New Roman" w:hAnsi="Times New Roman" w:cs="Times New Roman"/>
          <w:sz w:val="24"/>
          <w:szCs w:val="24"/>
        </w:rPr>
        <w:t>wielkości prognozowanego wolumenu zużycia energii</w:t>
      </w:r>
      <w:r w:rsidRPr="007452C6">
        <w:rPr>
          <w:rFonts w:ascii="Times New Roman" w:hAnsi="Times New Roman" w:cs="Times New Roman"/>
          <w:sz w:val="24"/>
          <w:szCs w:val="24"/>
        </w:rPr>
        <w:t>, wymagane jest zachowanie szczególnej ostrożności w tym zakresie.</w:t>
      </w:r>
      <w:r w:rsidR="00AC621D" w:rsidRPr="007452C6">
        <w:rPr>
          <w:rFonts w:ascii="Times New Roman" w:hAnsi="Times New Roman" w:cs="Times New Roman"/>
          <w:sz w:val="24"/>
          <w:szCs w:val="24"/>
        </w:rPr>
        <w:t xml:space="preserve"> </w:t>
      </w:r>
    </w:p>
    <w:p w14:paraId="1457AF9F" w14:textId="4B5E0527" w:rsidR="00AC621D" w:rsidRPr="007452C6" w:rsidRDefault="00AC621D" w:rsidP="00402890">
      <w:pPr>
        <w:spacing w:line="360" w:lineRule="auto"/>
        <w:ind w:firstLine="708"/>
        <w:jc w:val="both"/>
        <w:rPr>
          <w:rFonts w:ascii="Times New Roman" w:hAnsi="Times New Roman" w:cs="Times New Roman"/>
          <w:sz w:val="24"/>
          <w:szCs w:val="24"/>
        </w:rPr>
      </w:pPr>
      <w:r w:rsidRPr="007452C6">
        <w:rPr>
          <w:rFonts w:ascii="Times New Roman" w:hAnsi="Times New Roman" w:cs="Times New Roman"/>
          <w:sz w:val="24"/>
          <w:szCs w:val="24"/>
        </w:rPr>
        <w:t>W art. 1 pkt 6 dodaje się ust. 11, która ma rozwiać pojawiające się wątpliwości, co do braku obowiązku obciążania kwot wypłacanych z Funduszu Wypłaty Różnicy Cen podatkiem od towarów i usług (VAT). Przepis ten został skonstruowany na wzór funkcjonującego już przepisu w ustawie o zasadach pokrywania kosztów powstałych u wytwórców w związku z przedterminowym rozwiązaniem umów długoterminowych sprzedaży mocy i energii elektrycznej.</w:t>
      </w:r>
    </w:p>
    <w:p w14:paraId="3082DC0E" w14:textId="4961B3ED" w:rsidR="00223E7E" w:rsidRPr="007452C6" w:rsidRDefault="00F76336" w:rsidP="00F76336">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W art. 1 pkt 7 wprowadza się zmiany w art. 9 ustawy zmienianej, który dotyczy korekt otrzymanych wypłat z Funduszu Wypłaty Różnicy Cen</w:t>
      </w:r>
      <w:r w:rsidR="004E326E" w:rsidRPr="007452C6">
        <w:rPr>
          <w:rFonts w:ascii="Times New Roman" w:hAnsi="Times New Roman" w:cs="Times New Roman"/>
          <w:sz w:val="24"/>
          <w:szCs w:val="24"/>
        </w:rPr>
        <w:t>y</w:t>
      </w:r>
      <w:r w:rsidRPr="007452C6">
        <w:rPr>
          <w:rFonts w:ascii="Times New Roman" w:hAnsi="Times New Roman" w:cs="Times New Roman"/>
          <w:sz w:val="24"/>
          <w:szCs w:val="24"/>
        </w:rPr>
        <w:t>. Zmiany te są głównie podyktowane wprowadzeniem nowego terminu</w:t>
      </w:r>
      <w:r w:rsidR="004E326E" w:rsidRPr="007452C6">
        <w:rPr>
          <w:rFonts w:ascii="Times New Roman" w:hAnsi="Times New Roman" w:cs="Times New Roman"/>
          <w:sz w:val="24"/>
          <w:szCs w:val="24"/>
        </w:rPr>
        <w:t>,</w:t>
      </w:r>
      <w:r w:rsidRPr="007452C6">
        <w:rPr>
          <w:rFonts w:ascii="Times New Roman" w:hAnsi="Times New Roman" w:cs="Times New Roman"/>
          <w:sz w:val="24"/>
          <w:szCs w:val="24"/>
        </w:rPr>
        <w:t xml:space="preserve"> tzn. </w:t>
      </w:r>
      <w:r w:rsidR="004E326E" w:rsidRPr="007452C6">
        <w:rPr>
          <w:rFonts w:ascii="Times New Roman" w:hAnsi="Times New Roman" w:cs="Times New Roman"/>
          <w:sz w:val="24"/>
          <w:szCs w:val="24"/>
        </w:rPr>
        <w:t>„</w:t>
      </w:r>
      <w:r w:rsidRPr="007452C6">
        <w:rPr>
          <w:rFonts w:ascii="Times New Roman" w:hAnsi="Times New Roman" w:cs="Times New Roman"/>
          <w:sz w:val="24"/>
          <w:szCs w:val="24"/>
        </w:rPr>
        <w:t>rekompensaty finansowej</w:t>
      </w:r>
      <w:r w:rsidR="004E326E" w:rsidRPr="007452C6">
        <w:rPr>
          <w:rFonts w:ascii="Times New Roman" w:hAnsi="Times New Roman" w:cs="Times New Roman"/>
          <w:sz w:val="24"/>
          <w:szCs w:val="24"/>
        </w:rPr>
        <w:t>”</w:t>
      </w:r>
      <w:r w:rsidRPr="007452C6">
        <w:rPr>
          <w:rFonts w:ascii="Times New Roman" w:hAnsi="Times New Roman" w:cs="Times New Roman"/>
          <w:sz w:val="24"/>
          <w:szCs w:val="24"/>
        </w:rPr>
        <w:t xml:space="preserve"> oraz </w:t>
      </w:r>
      <w:r w:rsidR="004E326E" w:rsidRPr="007452C6">
        <w:rPr>
          <w:rFonts w:ascii="Times New Roman" w:hAnsi="Times New Roman" w:cs="Times New Roman"/>
          <w:sz w:val="24"/>
          <w:szCs w:val="24"/>
        </w:rPr>
        <w:t>umożliwieniem przedsiębiorstwom obrotu występowania</w:t>
      </w:r>
      <w:r w:rsidRPr="007452C6">
        <w:rPr>
          <w:rFonts w:ascii="Times New Roman" w:hAnsi="Times New Roman" w:cs="Times New Roman"/>
          <w:sz w:val="24"/>
          <w:szCs w:val="24"/>
        </w:rPr>
        <w:t xml:space="preserve"> do Prezesa URE o określenie indywidualne pozostałych kosztów jednostkowych w przypadku ubiegania się w wypłatę kwoty różnicy cen</w:t>
      </w:r>
      <w:r w:rsidR="004E326E" w:rsidRPr="007452C6">
        <w:rPr>
          <w:rFonts w:ascii="Times New Roman" w:hAnsi="Times New Roman" w:cs="Times New Roman"/>
          <w:sz w:val="24"/>
          <w:szCs w:val="24"/>
        </w:rPr>
        <w:t>y</w:t>
      </w:r>
      <w:r w:rsidRPr="007452C6">
        <w:rPr>
          <w:rFonts w:ascii="Times New Roman" w:hAnsi="Times New Roman" w:cs="Times New Roman"/>
          <w:sz w:val="24"/>
          <w:szCs w:val="24"/>
        </w:rPr>
        <w:t xml:space="preserve">. Ważnym jest, że jeżeli Prezes URE wydał decyzję określającą takie koszty, to przedsiębiorstwo obrotu musi dokonać korekty </w:t>
      </w:r>
      <w:r w:rsidR="004E326E" w:rsidRPr="007452C6">
        <w:rPr>
          <w:rFonts w:ascii="Times New Roman" w:hAnsi="Times New Roman" w:cs="Times New Roman"/>
          <w:sz w:val="24"/>
          <w:szCs w:val="24"/>
        </w:rPr>
        <w:t>rozliczenia na podstawie tych kosztów</w:t>
      </w:r>
      <w:r w:rsidRPr="007452C6">
        <w:rPr>
          <w:rFonts w:ascii="Times New Roman" w:hAnsi="Times New Roman" w:cs="Times New Roman"/>
          <w:sz w:val="24"/>
          <w:szCs w:val="24"/>
        </w:rPr>
        <w:t>, które wówczas mają pierwszeństwo przed jednostkowymi kosztami określonymi w obwieszczeniu ministra właściwego do spraw energii.</w:t>
      </w:r>
    </w:p>
    <w:p w14:paraId="190D3657" w14:textId="3D3BDD11" w:rsidR="0044241A" w:rsidRPr="007452C6" w:rsidRDefault="002837FC" w:rsidP="00C732C2">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W art. 1 pkt 9-16 dokonuje się zmian, które są wynikiem dokonanych zmian w pkt 1-8.</w:t>
      </w:r>
      <w:r w:rsidR="002876AA" w:rsidRPr="007452C6">
        <w:rPr>
          <w:rFonts w:ascii="Times New Roman" w:hAnsi="Times New Roman" w:cs="Times New Roman"/>
          <w:sz w:val="24"/>
          <w:szCs w:val="24"/>
        </w:rPr>
        <w:t xml:space="preserve"> Przepisy art. 11-16 ustawy zmienianej dotyczą Funduszu Wypłaty Różnicy Cen</w:t>
      </w:r>
      <w:r w:rsidR="004E326E" w:rsidRPr="007452C6">
        <w:rPr>
          <w:rFonts w:ascii="Times New Roman" w:hAnsi="Times New Roman" w:cs="Times New Roman"/>
          <w:sz w:val="24"/>
          <w:szCs w:val="24"/>
        </w:rPr>
        <w:t>y</w:t>
      </w:r>
      <w:r w:rsidR="002876AA" w:rsidRPr="007452C6">
        <w:rPr>
          <w:rFonts w:ascii="Times New Roman" w:hAnsi="Times New Roman" w:cs="Times New Roman"/>
          <w:sz w:val="24"/>
          <w:szCs w:val="24"/>
        </w:rPr>
        <w:t xml:space="preserve">, </w:t>
      </w:r>
      <w:r w:rsidR="004E326E" w:rsidRPr="007452C6">
        <w:rPr>
          <w:rFonts w:ascii="Times New Roman" w:hAnsi="Times New Roman" w:cs="Times New Roman"/>
          <w:sz w:val="24"/>
          <w:szCs w:val="24"/>
        </w:rPr>
        <w:t xml:space="preserve">zadań </w:t>
      </w:r>
      <w:r w:rsidR="002876AA" w:rsidRPr="007452C6">
        <w:rPr>
          <w:rFonts w:ascii="Times New Roman" w:hAnsi="Times New Roman" w:cs="Times New Roman"/>
          <w:sz w:val="24"/>
          <w:szCs w:val="24"/>
        </w:rPr>
        <w:t xml:space="preserve">Zarządcy Rozliczeń S.A. </w:t>
      </w:r>
      <w:r w:rsidR="005B2C91" w:rsidRPr="007452C6">
        <w:rPr>
          <w:rFonts w:ascii="Times New Roman" w:hAnsi="Times New Roman" w:cs="Times New Roman"/>
          <w:sz w:val="24"/>
          <w:szCs w:val="24"/>
        </w:rPr>
        <w:t>i</w:t>
      </w:r>
      <w:r w:rsidR="002876AA" w:rsidRPr="007452C6">
        <w:rPr>
          <w:rFonts w:ascii="Times New Roman" w:hAnsi="Times New Roman" w:cs="Times New Roman"/>
          <w:sz w:val="24"/>
          <w:szCs w:val="24"/>
        </w:rPr>
        <w:t xml:space="preserve"> ministra właściwego do spraw energii</w:t>
      </w:r>
      <w:r w:rsidR="005B2C91" w:rsidRPr="007452C6">
        <w:rPr>
          <w:rFonts w:ascii="Times New Roman" w:hAnsi="Times New Roman" w:cs="Times New Roman"/>
          <w:sz w:val="24"/>
          <w:szCs w:val="24"/>
        </w:rPr>
        <w:t xml:space="preserve"> oraz zmieniają przepisy dotyczące kar</w:t>
      </w:r>
      <w:r w:rsidR="002876AA" w:rsidRPr="007452C6">
        <w:rPr>
          <w:rFonts w:ascii="Times New Roman" w:hAnsi="Times New Roman" w:cs="Times New Roman"/>
          <w:sz w:val="24"/>
          <w:szCs w:val="24"/>
        </w:rPr>
        <w:t>.</w:t>
      </w:r>
      <w:r w:rsidR="005B2C91" w:rsidRPr="007452C6">
        <w:rPr>
          <w:rFonts w:ascii="Times New Roman" w:hAnsi="Times New Roman" w:cs="Times New Roman"/>
          <w:sz w:val="24"/>
          <w:szCs w:val="24"/>
        </w:rPr>
        <w:t xml:space="preserve"> Ważną zmianą jest wprowadzenie kary za niewystawienie faktury zgodnie z dodawanym art. 6a. Ponowne wystawienie faktury w wyznaczonym terminie jest o tyle ważne, że pozwoli ono na zmianę umów z odbiorcami końcowymi, tak gdzie do zmiany wymagane będzie przedstawienie faktury obejmującej dzień 30 czerwca 2018 r. Szczegóły określi rozporządzenia wydane na podstawie art. 7 ust. 2 ustawy zmienianej.</w:t>
      </w:r>
      <w:r w:rsidR="0068476A" w:rsidRPr="007452C6">
        <w:rPr>
          <w:rFonts w:ascii="Times New Roman" w:hAnsi="Times New Roman" w:cs="Times New Roman"/>
          <w:sz w:val="24"/>
          <w:szCs w:val="24"/>
        </w:rPr>
        <w:t xml:space="preserve"> </w:t>
      </w:r>
    </w:p>
    <w:p w14:paraId="4A49C48F" w14:textId="7A3051D0" w:rsidR="00402890" w:rsidRPr="007452C6" w:rsidRDefault="00402890" w:rsidP="00402890">
      <w:pPr>
        <w:pStyle w:val="ARTartustawynprozporzdzenia"/>
        <w:spacing w:after="240"/>
        <w:ind w:firstLine="709"/>
        <w:rPr>
          <w:rFonts w:ascii="Times New Roman" w:eastAsiaTheme="minorHAnsi" w:hAnsi="Times New Roman" w:cs="Times New Roman"/>
          <w:szCs w:val="24"/>
          <w:lang w:eastAsia="en-US"/>
        </w:rPr>
      </w:pPr>
      <w:r w:rsidRPr="007452C6">
        <w:rPr>
          <w:rFonts w:ascii="Times New Roman" w:eastAsiaTheme="minorHAnsi" w:hAnsi="Times New Roman" w:cs="Times New Roman"/>
          <w:szCs w:val="24"/>
          <w:lang w:eastAsia="en-US"/>
        </w:rPr>
        <w:t xml:space="preserve">Do decyzji wydawanych przez zarządcę rozliczeń cen (art. 10 ust 1a ustawy zmienianej) stosuje się przepisy ustawy z dnia 14 czerwca 1960 r. – Kodeks postępowania administracyjnego. Do decyzji wydawanych przez Prezesa URE (art. 7a ust 3 ustawy zmienianej) stosuje się przepisy art. 30 ustawy z dnia 10 kwietnia 1997 r. – Prawo energetyczne. </w:t>
      </w:r>
    </w:p>
    <w:p w14:paraId="46B3357B" w14:textId="31AF9D9C" w:rsidR="008F764B" w:rsidRPr="007452C6" w:rsidRDefault="008F764B" w:rsidP="008F764B">
      <w:pPr>
        <w:pStyle w:val="Akapitzlist"/>
        <w:numPr>
          <w:ilvl w:val="0"/>
          <w:numId w:val="22"/>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Szczegółowy opis przepisów projektu nowelizacji ustaw</w:t>
      </w:r>
      <w:r w:rsidR="003A7C47" w:rsidRPr="007452C6">
        <w:rPr>
          <w:rFonts w:ascii="Times New Roman" w:hAnsi="Times New Roman" w:cs="Times New Roman"/>
          <w:b/>
          <w:sz w:val="24"/>
          <w:szCs w:val="24"/>
        </w:rPr>
        <w:t>ę o efektywności energetycznej</w:t>
      </w:r>
      <w:r w:rsidR="00572B44" w:rsidRPr="007452C6">
        <w:rPr>
          <w:rFonts w:ascii="Times New Roman" w:hAnsi="Times New Roman" w:cs="Times New Roman"/>
          <w:b/>
          <w:sz w:val="24"/>
          <w:szCs w:val="24"/>
        </w:rPr>
        <w:t xml:space="preserve"> (art.</w:t>
      </w:r>
      <w:r w:rsidR="00D368E6" w:rsidRPr="007452C6">
        <w:rPr>
          <w:rFonts w:ascii="Times New Roman" w:hAnsi="Times New Roman" w:cs="Times New Roman"/>
          <w:b/>
          <w:sz w:val="24"/>
          <w:szCs w:val="24"/>
        </w:rPr>
        <w:t xml:space="preserve"> 2</w:t>
      </w:r>
      <w:r w:rsidR="00572B44" w:rsidRPr="007452C6">
        <w:rPr>
          <w:rFonts w:ascii="Times New Roman" w:hAnsi="Times New Roman" w:cs="Times New Roman"/>
          <w:b/>
          <w:sz w:val="24"/>
          <w:szCs w:val="24"/>
        </w:rPr>
        <w:t xml:space="preserve"> </w:t>
      </w:r>
      <w:r w:rsidR="00D368E6" w:rsidRPr="007452C6">
        <w:rPr>
          <w:rFonts w:ascii="Times New Roman" w:hAnsi="Times New Roman" w:cs="Times New Roman"/>
          <w:b/>
          <w:sz w:val="24"/>
          <w:szCs w:val="24"/>
        </w:rPr>
        <w:t>ustawy zmieniającej</w:t>
      </w:r>
      <w:r w:rsidR="00572B44" w:rsidRPr="007452C6">
        <w:rPr>
          <w:rFonts w:ascii="Times New Roman" w:hAnsi="Times New Roman" w:cs="Times New Roman"/>
          <w:b/>
          <w:sz w:val="24"/>
          <w:szCs w:val="24"/>
        </w:rPr>
        <w:t>)</w:t>
      </w:r>
      <w:r w:rsidR="003A7C47" w:rsidRPr="007452C6">
        <w:rPr>
          <w:rFonts w:ascii="Times New Roman" w:hAnsi="Times New Roman" w:cs="Times New Roman"/>
          <w:b/>
          <w:sz w:val="24"/>
          <w:szCs w:val="24"/>
        </w:rPr>
        <w:t>.</w:t>
      </w:r>
    </w:p>
    <w:p w14:paraId="34C6224D" w14:textId="6D33825B" w:rsidR="002C2AB5" w:rsidRPr="007452C6" w:rsidRDefault="002C2AB5" w:rsidP="00057BE6">
      <w:pPr>
        <w:pStyle w:val="Akapitzlist"/>
        <w:spacing w:after="240" w:line="360" w:lineRule="auto"/>
        <w:ind w:left="0"/>
        <w:contextualSpacing w:val="0"/>
        <w:jc w:val="both"/>
        <w:rPr>
          <w:rFonts w:ascii="Times New Roman" w:hAnsi="Times New Roman" w:cs="Times New Roman"/>
          <w:sz w:val="24"/>
          <w:szCs w:val="24"/>
        </w:rPr>
      </w:pPr>
      <w:r w:rsidRPr="007452C6">
        <w:rPr>
          <w:rFonts w:ascii="Times New Roman" w:hAnsi="Times New Roman" w:cs="Times New Roman"/>
          <w:sz w:val="24"/>
          <w:szCs w:val="24"/>
        </w:rPr>
        <w:t>W art. 2 ustawy zmieniającej dokonuje się zmiany ustawy z dnia 20 maja 2016 r. o efektywności energetycznej w zakresie wykreślenia zasad opracowania krajowego planu działań dotyczącego efektywności energetycznej, zwanego dalej „krajowym planem” oraz w zakresie przedłużenia ważności obowiązywania świadectw efektywności energetycznej.</w:t>
      </w:r>
    </w:p>
    <w:p w14:paraId="6C1CBE77" w14:textId="6E1B9DBE" w:rsidR="002C2AB5" w:rsidRPr="007452C6" w:rsidRDefault="002C2AB5" w:rsidP="002C2AB5">
      <w:pPr>
        <w:pStyle w:val="Akapitzlist"/>
        <w:spacing w:line="360" w:lineRule="auto"/>
        <w:ind w:left="0"/>
        <w:jc w:val="both"/>
        <w:rPr>
          <w:rFonts w:ascii="Times New Roman" w:hAnsi="Times New Roman" w:cs="Times New Roman"/>
          <w:b/>
          <w:sz w:val="24"/>
          <w:szCs w:val="24"/>
        </w:rPr>
      </w:pPr>
      <w:r w:rsidRPr="007452C6">
        <w:rPr>
          <w:rFonts w:ascii="Times New Roman" w:hAnsi="Times New Roman" w:cs="Times New Roman"/>
          <w:b/>
          <w:sz w:val="24"/>
          <w:szCs w:val="24"/>
        </w:rPr>
        <w:t>Krajowy Plan Działań (KPD)</w:t>
      </w:r>
    </w:p>
    <w:p w14:paraId="2EC7A8D7" w14:textId="5B00478F" w:rsidR="002C2AB5" w:rsidRPr="007452C6" w:rsidRDefault="002C2AB5" w:rsidP="002C2AB5">
      <w:pPr>
        <w:pStyle w:val="Akapitzlist"/>
        <w:spacing w:line="360" w:lineRule="auto"/>
        <w:ind w:left="0"/>
        <w:jc w:val="both"/>
        <w:rPr>
          <w:rFonts w:ascii="Times New Roman" w:hAnsi="Times New Roman" w:cs="Times New Roman"/>
          <w:sz w:val="24"/>
          <w:szCs w:val="24"/>
        </w:rPr>
      </w:pPr>
      <w:r w:rsidRPr="007452C6">
        <w:rPr>
          <w:rFonts w:ascii="Times New Roman" w:hAnsi="Times New Roman" w:cs="Times New Roman"/>
          <w:sz w:val="24"/>
          <w:szCs w:val="24"/>
        </w:rPr>
        <w:t>Organem odpowiedzialnym za dotychczasowe sporządzenie krajowego planu jest Minister Energii, który po przyjęciu krajowego planu przez Radę Ministrów, przekazuje go Komisji Europejskiej, w terminie do dnia 30 kwietnia. Przepisy regulujące krajowy plan wdrażały art. 24 ust. 2 i Załącznik XIV dyrektywy 2012/27/UE.</w:t>
      </w:r>
    </w:p>
    <w:p w14:paraId="3CA50018" w14:textId="77777777" w:rsidR="002C2AB5" w:rsidRPr="007452C6" w:rsidRDefault="002C2AB5" w:rsidP="002C2AB5">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Obecnie podjęte są prace nad dokumentem pt.  „Krajowy plan na rzecz energii i klimatu na lata 2021-2030” (</w:t>
      </w:r>
      <w:proofErr w:type="spellStart"/>
      <w:r w:rsidRPr="007452C6">
        <w:rPr>
          <w:rFonts w:ascii="Times New Roman" w:hAnsi="Times New Roman" w:cs="Times New Roman"/>
          <w:sz w:val="24"/>
          <w:szCs w:val="24"/>
        </w:rPr>
        <w:t>KPEiK</w:t>
      </w:r>
      <w:proofErr w:type="spellEnd"/>
      <w:r w:rsidRPr="007452C6">
        <w:rPr>
          <w:rFonts w:ascii="Times New Roman" w:hAnsi="Times New Roman" w:cs="Times New Roman"/>
          <w:sz w:val="24"/>
          <w:szCs w:val="24"/>
        </w:rPr>
        <w:t xml:space="preserve">), którego opracowanie wynika z obowiązku nałożonego na państwa członkowskie UE rozporządzeniem Parlamentu Europejskiego i Rady (UE) 2018/1999 z dnia 11 grudnia 2018 r. w sprawie zarządzania unią energetyczną i działaniami w dziedzinie klimatu, zmiany dyrektywy 94/22/WE, dyrektywy 98/70/WE, dyrektywy 2009/31/WE, rozporządzenia (WE) nr 663/2009, rozporządzenia (WE) nr 715/2009, dyrektywy 2009/73/WE, dyrektywy 2009/119/WE, dyrektywy 2010/31/UE, dyrektywy 2012/27/UE, dyrektywy 2013/30/UE i dyrektywy 2015/652 oraz uchylenia rozporządzenia (UE) nr 525/2013. Projekt </w:t>
      </w:r>
      <w:proofErr w:type="spellStart"/>
      <w:r w:rsidRPr="007452C6">
        <w:rPr>
          <w:rFonts w:ascii="Times New Roman" w:hAnsi="Times New Roman" w:cs="Times New Roman"/>
          <w:sz w:val="24"/>
          <w:szCs w:val="24"/>
        </w:rPr>
        <w:t>KPEiK</w:t>
      </w:r>
      <w:proofErr w:type="spellEnd"/>
      <w:r w:rsidRPr="007452C6">
        <w:rPr>
          <w:rFonts w:ascii="Times New Roman" w:hAnsi="Times New Roman" w:cs="Times New Roman"/>
          <w:sz w:val="24"/>
          <w:szCs w:val="24"/>
        </w:rPr>
        <w:t xml:space="preserve"> przedstawia założenia i cele oraz polityki i działania na rzecz realizacji 5 wymiarów unii energetycznej tj. </w:t>
      </w:r>
    </w:p>
    <w:p w14:paraId="21017735" w14:textId="77777777" w:rsidR="002C2AB5" w:rsidRPr="007452C6" w:rsidRDefault="002C2AB5" w:rsidP="002C2AB5">
      <w:pPr>
        <w:pStyle w:val="Akapitzlist"/>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1.</w:t>
      </w:r>
      <w:r w:rsidRPr="007452C6">
        <w:rPr>
          <w:rFonts w:ascii="Times New Roman" w:hAnsi="Times New Roman" w:cs="Times New Roman"/>
          <w:sz w:val="24"/>
          <w:szCs w:val="24"/>
        </w:rPr>
        <w:tab/>
        <w:t>bezpieczeństwa energetycznego,</w:t>
      </w:r>
    </w:p>
    <w:p w14:paraId="5046E19A" w14:textId="77777777" w:rsidR="002C2AB5" w:rsidRPr="007452C6" w:rsidRDefault="002C2AB5" w:rsidP="002C2AB5">
      <w:pPr>
        <w:pStyle w:val="Akapitzlist"/>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2.</w:t>
      </w:r>
      <w:r w:rsidRPr="007452C6">
        <w:rPr>
          <w:rFonts w:ascii="Times New Roman" w:hAnsi="Times New Roman" w:cs="Times New Roman"/>
          <w:sz w:val="24"/>
          <w:szCs w:val="24"/>
        </w:rPr>
        <w:tab/>
        <w:t>wewnętrznego rynku energii,</w:t>
      </w:r>
    </w:p>
    <w:p w14:paraId="4A49B75F" w14:textId="77777777" w:rsidR="002C2AB5" w:rsidRPr="007452C6" w:rsidRDefault="002C2AB5" w:rsidP="002C2AB5">
      <w:pPr>
        <w:pStyle w:val="Akapitzlist"/>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3.</w:t>
      </w:r>
      <w:r w:rsidRPr="007452C6">
        <w:rPr>
          <w:rFonts w:ascii="Times New Roman" w:hAnsi="Times New Roman" w:cs="Times New Roman"/>
          <w:sz w:val="24"/>
          <w:szCs w:val="24"/>
        </w:rPr>
        <w:tab/>
      </w:r>
      <w:r w:rsidRPr="007452C6">
        <w:rPr>
          <w:rFonts w:ascii="Times New Roman" w:hAnsi="Times New Roman" w:cs="Times New Roman"/>
          <w:b/>
          <w:sz w:val="24"/>
          <w:szCs w:val="24"/>
        </w:rPr>
        <w:t>efektywności energetycznej,</w:t>
      </w:r>
    </w:p>
    <w:p w14:paraId="090C9CF8" w14:textId="77777777" w:rsidR="002C2AB5" w:rsidRPr="007452C6" w:rsidRDefault="002C2AB5" w:rsidP="002C2AB5">
      <w:pPr>
        <w:pStyle w:val="Akapitzlist"/>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4.</w:t>
      </w:r>
      <w:r w:rsidRPr="007452C6">
        <w:rPr>
          <w:rFonts w:ascii="Times New Roman" w:hAnsi="Times New Roman" w:cs="Times New Roman"/>
          <w:sz w:val="24"/>
          <w:szCs w:val="24"/>
        </w:rPr>
        <w:tab/>
        <w:t xml:space="preserve">obniżenia emisyjności oraz </w:t>
      </w:r>
    </w:p>
    <w:p w14:paraId="43EE8752" w14:textId="77777777" w:rsidR="002C2AB5" w:rsidRPr="007452C6" w:rsidRDefault="002C2AB5" w:rsidP="002C2AB5">
      <w:pPr>
        <w:pStyle w:val="Akapitzlist"/>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5.</w:t>
      </w:r>
      <w:r w:rsidRPr="007452C6">
        <w:rPr>
          <w:rFonts w:ascii="Times New Roman" w:hAnsi="Times New Roman" w:cs="Times New Roman"/>
          <w:sz w:val="24"/>
          <w:szCs w:val="24"/>
        </w:rPr>
        <w:tab/>
        <w:t>badań naukowych, innowacji i konkurencyjności.</w:t>
      </w:r>
    </w:p>
    <w:p w14:paraId="30CA3B98" w14:textId="385B8DFE" w:rsidR="002C2AB5" w:rsidRPr="007452C6" w:rsidRDefault="002C2AB5" w:rsidP="002C2AB5">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Mając na względzie potrzebę uniknięcia podwójnej regulacji, konieczne jest uchylenie części krajowych przepisów ustawowych dotyczących obowiązków w zakresi</w:t>
      </w:r>
      <w:r w:rsidR="00057BE6" w:rsidRPr="007452C6">
        <w:rPr>
          <w:rFonts w:ascii="Times New Roman" w:hAnsi="Times New Roman" w:cs="Times New Roman"/>
          <w:sz w:val="24"/>
          <w:szCs w:val="24"/>
        </w:rPr>
        <w:t>e sporządzania krajowych planów</w:t>
      </w:r>
      <w:r w:rsidRPr="007452C6">
        <w:rPr>
          <w:rFonts w:ascii="Times New Roman" w:hAnsi="Times New Roman" w:cs="Times New Roman"/>
          <w:sz w:val="24"/>
          <w:szCs w:val="24"/>
        </w:rPr>
        <w:t xml:space="preserve"> w związku z faktem, iż obowiązki te zostały określone już we wspomnianym wyżej unijnym rozporządzeniu. Przedmiotowe rozporządzenie</w:t>
      </w:r>
      <w:r w:rsidR="00057BE6" w:rsidRPr="007452C6">
        <w:rPr>
          <w:rFonts w:ascii="Times New Roman" w:hAnsi="Times New Roman" w:cs="Times New Roman"/>
          <w:sz w:val="24"/>
          <w:szCs w:val="24"/>
        </w:rPr>
        <w:t>,</w:t>
      </w:r>
      <w:r w:rsidRPr="007452C6">
        <w:rPr>
          <w:rFonts w:ascii="Times New Roman" w:hAnsi="Times New Roman" w:cs="Times New Roman"/>
          <w:sz w:val="24"/>
          <w:szCs w:val="24"/>
        </w:rPr>
        <w:t xml:space="preserve"> choć obowiązuje bezpośrednio, to jednak w celu ujednolicenia prawa, niezbędne jest uchwalenie stosownych zmian na poziomie ustawowym.</w:t>
      </w:r>
    </w:p>
    <w:p w14:paraId="07C4A9DB" w14:textId="5C8FD723" w:rsidR="002C2AB5" w:rsidRPr="007452C6" w:rsidRDefault="002C2AB5" w:rsidP="002C2AB5">
      <w:p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Przedłużenie ważności świadectw efektywności energetycznej</w:t>
      </w:r>
    </w:p>
    <w:p w14:paraId="6FB68AE9" w14:textId="77777777" w:rsidR="00192057" w:rsidRPr="007452C6" w:rsidRDefault="00192057" w:rsidP="00192057">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Przedmiotowy projekt ustawy zmienia ustawę z dnia 20 maja 2016 r. o efektywności energetycznej w zakresie </w:t>
      </w:r>
      <w:r w:rsidRPr="007452C6">
        <w:rPr>
          <w:rFonts w:ascii="Times New Roman" w:hAnsi="Times New Roman" w:cs="Times New Roman"/>
          <w:sz w:val="24"/>
          <w:szCs w:val="24"/>
          <w:u w:val="single"/>
        </w:rPr>
        <w:t>wydłużenia terminu ważności wszystkich świadectw przetargowych do 30 czerwca 2021 roku.</w:t>
      </w:r>
      <w:r w:rsidRPr="007452C6">
        <w:rPr>
          <w:rFonts w:ascii="Times New Roman" w:hAnsi="Times New Roman" w:cs="Times New Roman"/>
          <w:sz w:val="24"/>
          <w:szCs w:val="24"/>
        </w:rPr>
        <w:t xml:space="preserve"> </w:t>
      </w:r>
    </w:p>
    <w:p w14:paraId="48FBF4A5" w14:textId="77777777" w:rsidR="00192057" w:rsidRPr="007452C6" w:rsidRDefault="00192057" w:rsidP="00192057">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Do polskiego porządku prawnego system zobowiązujący do efektywności energetycznej został wprowadzony na podstawie ustawy z dnia 15 kwietnia 2011 roku </w:t>
      </w:r>
      <w:r w:rsidRPr="007452C6">
        <w:rPr>
          <w:rFonts w:ascii="Times New Roman" w:hAnsi="Times New Roman" w:cs="Times New Roman"/>
          <w:i/>
          <w:sz w:val="24"/>
          <w:szCs w:val="24"/>
        </w:rPr>
        <w:t xml:space="preserve">o efektywności energetycznej </w:t>
      </w:r>
      <w:r w:rsidRPr="007452C6">
        <w:rPr>
          <w:rFonts w:ascii="Times New Roman" w:hAnsi="Times New Roman" w:cs="Times New Roman"/>
          <w:sz w:val="24"/>
          <w:szCs w:val="24"/>
        </w:rPr>
        <w:t xml:space="preserve">(stara ustawa). Zaczął on funkcjonować od dnia 1 stycznia 2013 roku. </w:t>
      </w:r>
    </w:p>
    <w:p w14:paraId="050F82BF" w14:textId="77777777" w:rsidR="005C7C0B" w:rsidRPr="007452C6" w:rsidRDefault="00192057" w:rsidP="002C2AB5">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Jednocześnie w ustawie z 2016 r. ustawodawca wprowadził przepisy przejściowe, przewidujące, że za okres od dnia 1 stycznia do dnia 30 września 2016 r. realizacja obowiązku uzyskiwania oszczędności odbywać się będzie na zasadach określonych w ustawie z dnia 15 kwietnia 2011 r</w:t>
      </w:r>
      <w:r w:rsidRPr="007452C6">
        <w:rPr>
          <w:rFonts w:ascii="Times New Roman" w:hAnsi="Times New Roman" w:cs="Times New Roman"/>
          <w:i/>
          <w:sz w:val="24"/>
          <w:szCs w:val="24"/>
        </w:rPr>
        <w:t>. o efektywności energetycznej</w:t>
      </w:r>
      <w:r w:rsidRPr="007452C6">
        <w:rPr>
          <w:rFonts w:ascii="Times New Roman" w:hAnsi="Times New Roman" w:cs="Times New Roman"/>
          <w:sz w:val="24"/>
          <w:szCs w:val="24"/>
        </w:rPr>
        <w:t xml:space="preserve">. Natomiast za okres od dnia 1 października 2016 r. na zasadach określonych w ustawie z dnia 20 maja 2016 r. </w:t>
      </w:r>
      <w:r w:rsidRPr="007452C6">
        <w:rPr>
          <w:rFonts w:ascii="Times New Roman" w:hAnsi="Times New Roman" w:cs="Times New Roman"/>
          <w:i/>
          <w:sz w:val="24"/>
          <w:szCs w:val="24"/>
        </w:rPr>
        <w:t>o efektywności energetycznej</w:t>
      </w:r>
      <w:r w:rsidRPr="007452C6">
        <w:rPr>
          <w:rFonts w:ascii="Times New Roman" w:hAnsi="Times New Roman" w:cs="Times New Roman"/>
          <w:sz w:val="24"/>
          <w:szCs w:val="24"/>
        </w:rPr>
        <w:t>. Wprowadzony został także wyjątek, dotyczący sytuacji, w której przedsięwzięcie lub przedsięwzięcia służące poprawie efektywności energetycznej zakończone zostały maksymalnie przed dniem wejścia w życie nowej ustawy o efektywności energetycznej (czyli przed dniem 1 października 2016 r.), ale też nie wcześniej niż przed 2014 rokiem.</w:t>
      </w:r>
    </w:p>
    <w:p w14:paraId="5DB4955E" w14:textId="13791D4E" w:rsidR="002C2AB5" w:rsidRPr="007452C6" w:rsidRDefault="00192057" w:rsidP="002C2AB5">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 </w:t>
      </w:r>
      <w:r w:rsidR="002C2AB5" w:rsidRPr="007452C6">
        <w:rPr>
          <w:rFonts w:ascii="Times New Roman" w:hAnsi="Times New Roman" w:cs="Times New Roman"/>
          <w:sz w:val="24"/>
          <w:szCs w:val="24"/>
        </w:rPr>
        <w:t>W związku z takim stanem prawnym, obecnie w obrocie są trzy grupy białych certyfikatów:</w:t>
      </w:r>
    </w:p>
    <w:p w14:paraId="73D31FD2" w14:textId="3DD23E58" w:rsidR="002C2AB5" w:rsidRPr="007452C6" w:rsidRDefault="002C2AB5" w:rsidP="002C2AB5">
      <w:pPr>
        <w:pStyle w:val="Akapitzlist"/>
        <w:numPr>
          <w:ilvl w:val="0"/>
          <w:numId w:val="30"/>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świadectwa „przetargowe”, tzw. PMEF (wydane na podstawie „starej” ustawy o </w:t>
      </w:r>
      <w:proofErr w:type="spellStart"/>
      <w:r w:rsidRPr="007452C6">
        <w:rPr>
          <w:rFonts w:ascii="Times New Roman" w:hAnsi="Times New Roman" w:cs="Times New Roman"/>
          <w:sz w:val="24"/>
          <w:szCs w:val="24"/>
        </w:rPr>
        <w:t>ee</w:t>
      </w:r>
      <w:proofErr w:type="spellEnd"/>
      <w:r w:rsidRPr="007452C6">
        <w:rPr>
          <w:rFonts w:ascii="Times New Roman" w:hAnsi="Times New Roman" w:cs="Times New Roman"/>
          <w:sz w:val="24"/>
          <w:szCs w:val="24"/>
        </w:rPr>
        <w:t>),</w:t>
      </w:r>
    </w:p>
    <w:p w14:paraId="0578B1FB" w14:textId="664E73C5" w:rsidR="002C2AB5" w:rsidRPr="007452C6" w:rsidRDefault="002C2AB5" w:rsidP="002C2AB5">
      <w:pPr>
        <w:pStyle w:val="Akapitzlist"/>
        <w:numPr>
          <w:ilvl w:val="0"/>
          <w:numId w:val="30"/>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świadectwa „roczne”, (PMEF_18 lub PMEF_19 – wydane na nowych zasadach, ale dla zakończonych przedsięwzięć bez sprawdzenia efektu zachęty),</w:t>
      </w:r>
    </w:p>
    <w:p w14:paraId="025092E0" w14:textId="715BB92C" w:rsidR="002C2AB5" w:rsidRPr="007452C6" w:rsidRDefault="002C2AB5" w:rsidP="002C2AB5">
      <w:pPr>
        <w:pStyle w:val="Akapitzlist"/>
        <w:numPr>
          <w:ilvl w:val="0"/>
          <w:numId w:val="30"/>
        </w:num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świadectwa bezterminowe.(PMEF_F – wydawane na podstawie „nowej” ustawy </w:t>
      </w:r>
      <w:proofErr w:type="spellStart"/>
      <w:r w:rsidRPr="007452C6">
        <w:rPr>
          <w:rFonts w:ascii="Times New Roman" w:hAnsi="Times New Roman" w:cs="Times New Roman"/>
          <w:sz w:val="24"/>
          <w:szCs w:val="24"/>
        </w:rPr>
        <w:t>ee</w:t>
      </w:r>
      <w:proofErr w:type="spellEnd"/>
      <w:r w:rsidRPr="007452C6">
        <w:rPr>
          <w:rFonts w:ascii="Times New Roman" w:hAnsi="Times New Roman" w:cs="Times New Roman"/>
          <w:sz w:val="24"/>
          <w:szCs w:val="24"/>
        </w:rPr>
        <w:t>).</w:t>
      </w:r>
    </w:p>
    <w:p w14:paraId="66E6163C" w14:textId="77777777" w:rsidR="00192057" w:rsidRPr="007452C6" w:rsidRDefault="00192057" w:rsidP="007452C6">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Spośród tych trzech typów certyfikatów, tylko świadectwa przetargowe mają zostać przedstawione do umorzenia Prezesowi Urzędu Regulacji Energetyki najpóźniej do dnia 30 czerwca 2019 r., co zostało uregulowane w ustawie z 20 maja 2016 r. przepisami przejściowymi.</w:t>
      </w:r>
    </w:p>
    <w:p w14:paraId="23EFE3B9" w14:textId="756BFA18" w:rsidR="00192057" w:rsidRPr="007452C6" w:rsidRDefault="00192057" w:rsidP="007452C6">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Zgodnie z art. 14 ustawy o efektywności energetycznej, przedsiębiorstwa energetyczne jako podmioty zobowiązane muszą uzyskać w każdym roku oszczędność energii finalnej w wysokości 1,5% ilości energii elektrycznej lub gazu ziemnego, wyrażonej w </w:t>
      </w:r>
      <w:proofErr w:type="spellStart"/>
      <w:r w:rsidRPr="007452C6">
        <w:rPr>
          <w:rFonts w:ascii="Times New Roman" w:hAnsi="Times New Roman" w:cs="Times New Roman"/>
          <w:sz w:val="24"/>
          <w:szCs w:val="24"/>
        </w:rPr>
        <w:t>toe</w:t>
      </w:r>
      <w:proofErr w:type="spellEnd"/>
      <w:r w:rsidRPr="007452C6">
        <w:rPr>
          <w:rFonts w:ascii="Times New Roman" w:hAnsi="Times New Roman" w:cs="Times New Roman"/>
          <w:sz w:val="24"/>
          <w:szCs w:val="24"/>
        </w:rPr>
        <w:t xml:space="preserve">, sprzedanych w danym roku odbiorcom końcowym przyłączonym do sieci na terytorium RP. </w:t>
      </w:r>
    </w:p>
    <w:p w14:paraId="45000793" w14:textId="77777777" w:rsidR="00192057" w:rsidRPr="007452C6" w:rsidRDefault="00192057" w:rsidP="007452C6">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Szacuje się, że z uwagi na znaczne opóźnienia w wydawaniu świadectw efektywności energetycznej na podstawie przepisów ustawy z 2016 r. o efektywności energetycznej i liczbę nierozpatrzonych wniosków, obowiązek za rok 2019 (realizowany w terminie do 30 czerwca 2020 r.), nie będzie mógł zostać pokryty tymi świadectwami (PMEF_2019 i PMEF_F).</w:t>
      </w:r>
    </w:p>
    <w:p w14:paraId="2EFA1A32" w14:textId="77777777" w:rsidR="005C7C0B" w:rsidRPr="007452C6" w:rsidRDefault="00192057" w:rsidP="007452C6">
      <w:pPr>
        <w:pStyle w:val="Akapitzlist"/>
        <w:spacing w:line="360" w:lineRule="auto"/>
        <w:ind w:left="0"/>
        <w:jc w:val="both"/>
        <w:rPr>
          <w:rFonts w:ascii="Times New Roman" w:hAnsi="Times New Roman" w:cs="Times New Roman"/>
          <w:sz w:val="24"/>
          <w:szCs w:val="24"/>
        </w:rPr>
      </w:pPr>
      <w:r w:rsidRPr="007452C6">
        <w:rPr>
          <w:rFonts w:ascii="Times New Roman" w:hAnsi="Times New Roman" w:cs="Times New Roman"/>
          <w:sz w:val="24"/>
          <w:szCs w:val="24"/>
        </w:rPr>
        <w:t xml:space="preserve">Nowelizacja idąca w kierunku wydłużenia terminu ważności świadectw przetargowych pozwoli zniwelować opóźnienia w rozpatrywaniu wniosków o wydanie świadectw przez URE, a także uniknąć niedoborów na rynku świadectw w roku 2020. Wdrożenie proponowanej zmiany ma również na celu stopniowe przejście od systemu wsparcia efektywności energetycznej z wieloma rodzajami świadectw efektywności energetycznej, do  systemu z bezterminowymi świadectwami efektywności energetycznej (PMEF_F), których na rynku jest obecnie bardzo mało. Nie przewiduje się natomiast dużego wpływu proponowanych zmian na ceny energii. </w:t>
      </w:r>
    </w:p>
    <w:p w14:paraId="588F957B" w14:textId="0213D5FB" w:rsidR="008442C6" w:rsidRPr="007452C6" w:rsidRDefault="008F764B" w:rsidP="007452C6">
      <w:pPr>
        <w:pStyle w:val="Akapitzlist"/>
        <w:numPr>
          <w:ilvl w:val="0"/>
          <w:numId w:val="17"/>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 xml:space="preserve">Szczegółowy opis przepisów projektu nowelizacji </w:t>
      </w:r>
      <w:r w:rsidR="00822509" w:rsidRPr="007452C6">
        <w:rPr>
          <w:rFonts w:ascii="Times New Roman" w:hAnsi="Times New Roman" w:cs="Times New Roman"/>
          <w:b/>
          <w:sz w:val="24"/>
          <w:szCs w:val="24"/>
        </w:rPr>
        <w:t>ustawy</w:t>
      </w:r>
      <w:r w:rsidRPr="007452C6">
        <w:rPr>
          <w:rFonts w:ascii="Times New Roman" w:hAnsi="Times New Roman" w:cs="Times New Roman"/>
          <w:b/>
          <w:sz w:val="24"/>
          <w:szCs w:val="24"/>
        </w:rPr>
        <w:t xml:space="preserve"> o biokomponentach i biopaliwach ciekłych</w:t>
      </w:r>
      <w:r w:rsidR="00572B44" w:rsidRPr="007452C6">
        <w:rPr>
          <w:rFonts w:ascii="Times New Roman" w:hAnsi="Times New Roman" w:cs="Times New Roman"/>
          <w:b/>
          <w:sz w:val="24"/>
          <w:szCs w:val="24"/>
        </w:rPr>
        <w:t xml:space="preserve"> (art. 3 </w:t>
      </w:r>
      <w:r w:rsidR="00D368E6" w:rsidRPr="007452C6">
        <w:rPr>
          <w:rFonts w:ascii="Times New Roman" w:hAnsi="Times New Roman" w:cs="Times New Roman"/>
          <w:b/>
          <w:sz w:val="24"/>
          <w:szCs w:val="24"/>
        </w:rPr>
        <w:t>ustawy zmieniającej</w:t>
      </w:r>
      <w:r w:rsidR="00572B44" w:rsidRPr="007452C6">
        <w:rPr>
          <w:rFonts w:ascii="Times New Roman" w:hAnsi="Times New Roman" w:cs="Times New Roman"/>
          <w:b/>
          <w:sz w:val="24"/>
          <w:szCs w:val="24"/>
        </w:rPr>
        <w:t>)</w:t>
      </w:r>
      <w:r w:rsidR="003A7C47" w:rsidRPr="007452C6">
        <w:rPr>
          <w:rFonts w:ascii="Times New Roman" w:hAnsi="Times New Roman" w:cs="Times New Roman"/>
          <w:b/>
          <w:sz w:val="24"/>
          <w:szCs w:val="24"/>
        </w:rPr>
        <w:t>.</w:t>
      </w:r>
    </w:p>
    <w:p w14:paraId="2A2F20B8" w14:textId="6AF1D55B" w:rsidR="00B7582E" w:rsidRPr="007452C6" w:rsidRDefault="00B7582E" w:rsidP="00B7582E">
      <w:pPr>
        <w:spacing w:line="360" w:lineRule="auto"/>
        <w:ind w:firstLine="851"/>
        <w:jc w:val="both"/>
        <w:rPr>
          <w:rFonts w:ascii="Times New Roman" w:hAnsi="Times New Roman" w:cs="Times New Roman"/>
          <w:sz w:val="24"/>
          <w:szCs w:val="24"/>
        </w:rPr>
      </w:pPr>
      <w:r w:rsidRPr="007452C6">
        <w:rPr>
          <w:rFonts w:ascii="Times New Roman" w:hAnsi="Times New Roman" w:cs="Times New Roman"/>
          <w:sz w:val="24"/>
          <w:szCs w:val="24"/>
        </w:rPr>
        <w:t>Celem proponowanej zmiany jest rozszerzenie o osoby fizyczne nieprowadzące działalności gospodarczej katalogu podmiotów jakie mogą uzyskać wsparcie na zakup pojazdów osobowych (kategoria pojazdu zgodnie z ustawa prawo o ruchu drogowym - M1)  zasilanych wył</w:t>
      </w:r>
      <w:r w:rsidR="00822509" w:rsidRPr="007452C6">
        <w:rPr>
          <w:rFonts w:ascii="Times New Roman" w:hAnsi="Times New Roman" w:cs="Times New Roman"/>
          <w:sz w:val="24"/>
          <w:szCs w:val="24"/>
        </w:rPr>
        <w:t>ącznie wodorem lub energią</w:t>
      </w:r>
      <w:r w:rsidRPr="007452C6">
        <w:rPr>
          <w:rFonts w:ascii="Times New Roman" w:hAnsi="Times New Roman" w:cs="Times New Roman"/>
          <w:sz w:val="24"/>
          <w:szCs w:val="24"/>
        </w:rPr>
        <w:t xml:space="preserve"> elektryczną. Aktualne brzmienie przepisów ustawy z dnia 25 sierpnia 2006 r. o biokomponentach i biopaliwach ciekłych wskazuje, że o wsparcie na zakup pojazdów występować mogą jedynie przedsiębiorcy i jednostki samorządu terytorialnego. Wsparcie dla tych podmiotów udzielane jest w trybie konkursowym dla pro</w:t>
      </w:r>
      <w:r w:rsidR="00822509" w:rsidRPr="007452C6">
        <w:rPr>
          <w:rFonts w:ascii="Times New Roman" w:hAnsi="Times New Roman" w:cs="Times New Roman"/>
          <w:sz w:val="24"/>
          <w:szCs w:val="24"/>
        </w:rPr>
        <w:t>jektów, które uzyskają najwyższą</w:t>
      </w:r>
      <w:r w:rsidRPr="007452C6">
        <w:rPr>
          <w:rFonts w:ascii="Times New Roman" w:hAnsi="Times New Roman" w:cs="Times New Roman"/>
          <w:sz w:val="24"/>
          <w:szCs w:val="24"/>
        </w:rPr>
        <w:t xml:space="preserve"> ilość punktów w danym postępowaniu. </w:t>
      </w:r>
    </w:p>
    <w:p w14:paraId="6D070616" w14:textId="77777777" w:rsidR="00B7582E" w:rsidRPr="007452C6" w:rsidRDefault="00B7582E" w:rsidP="00B7582E">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 xml:space="preserve">Wsparcie dla osób fizycznych nieprowadzących działalności gospodarczej udzielane będzie na wniosek, w trybie ciągłym do momentu wyczerpania alokacji przewidzianej dla tego działania na dany rok. W związku z tym wsparcie dla osób fizycznych nieprowadzących działalności gospodarczej udzielane będzie bez konkursu, co zdecydowanie ułatwi dostępność pojazdów elektrycznych i napędzanych wodorem dla wielu obywateli Polski. </w:t>
      </w:r>
    </w:p>
    <w:p w14:paraId="3093B855" w14:textId="54485966" w:rsidR="00B7582E" w:rsidRPr="007452C6" w:rsidRDefault="00B7582E" w:rsidP="00B7582E">
      <w:pPr>
        <w:spacing w:line="360" w:lineRule="auto"/>
        <w:jc w:val="both"/>
        <w:rPr>
          <w:rFonts w:ascii="Times New Roman" w:hAnsi="Times New Roman" w:cs="Times New Roman"/>
          <w:sz w:val="24"/>
          <w:szCs w:val="24"/>
        </w:rPr>
      </w:pPr>
      <w:r w:rsidRPr="007452C6">
        <w:rPr>
          <w:rFonts w:ascii="Times New Roman" w:hAnsi="Times New Roman" w:cs="Times New Roman"/>
          <w:sz w:val="24"/>
          <w:szCs w:val="24"/>
        </w:rPr>
        <w:t>Zgodnie z wprowadzanym art. 28zga ust. 4 Minister Energii w drodze rozporządzenia określi szczegółowe warunki udzielania i rozliczania dotacji dla osób fizycznych nieprowadzących działalności gospodarczej, w tym wysokość d</w:t>
      </w:r>
      <w:r w:rsidR="00822509" w:rsidRPr="007452C6">
        <w:rPr>
          <w:rFonts w:ascii="Times New Roman" w:hAnsi="Times New Roman" w:cs="Times New Roman"/>
          <w:sz w:val="24"/>
          <w:szCs w:val="24"/>
        </w:rPr>
        <w:t>otacji biorąc pod uwagę sytuację</w:t>
      </w:r>
      <w:r w:rsidRPr="007452C6">
        <w:rPr>
          <w:rFonts w:ascii="Times New Roman" w:hAnsi="Times New Roman" w:cs="Times New Roman"/>
          <w:sz w:val="24"/>
          <w:szCs w:val="24"/>
        </w:rPr>
        <w:t xml:space="preserve"> finansową Funduszu oraz rozwój rynku pojazdów elektrycznych.</w:t>
      </w:r>
    </w:p>
    <w:p w14:paraId="029B51DA" w14:textId="7AB114BC" w:rsidR="00D94565" w:rsidRPr="007452C6" w:rsidRDefault="00D94565" w:rsidP="00ED0DFF">
      <w:pPr>
        <w:pStyle w:val="Akapitzlist"/>
        <w:numPr>
          <w:ilvl w:val="0"/>
          <w:numId w:val="35"/>
        </w:numPr>
        <w:spacing w:line="360" w:lineRule="auto"/>
        <w:jc w:val="both"/>
        <w:rPr>
          <w:rFonts w:ascii="Times New Roman" w:hAnsi="Times New Roman" w:cs="Times New Roman"/>
          <w:b/>
          <w:sz w:val="24"/>
          <w:szCs w:val="24"/>
        </w:rPr>
      </w:pPr>
      <w:r w:rsidRPr="007452C6">
        <w:rPr>
          <w:rFonts w:ascii="Times New Roman" w:hAnsi="Times New Roman" w:cs="Times New Roman"/>
          <w:b/>
          <w:sz w:val="24"/>
          <w:szCs w:val="24"/>
        </w:rPr>
        <w:t>Przepisy przejściowe</w:t>
      </w:r>
      <w:r w:rsidR="00572B44" w:rsidRPr="007452C6">
        <w:rPr>
          <w:rFonts w:ascii="Times New Roman" w:hAnsi="Times New Roman" w:cs="Times New Roman"/>
          <w:b/>
          <w:sz w:val="24"/>
          <w:szCs w:val="24"/>
        </w:rPr>
        <w:t xml:space="preserve"> </w:t>
      </w:r>
      <w:r w:rsidR="004C264D" w:rsidRPr="007452C6">
        <w:rPr>
          <w:rFonts w:ascii="Times New Roman" w:hAnsi="Times New Roman" w:cs="Times New Roman"/>
          <w:b/>
          <w:sz w:val="24"/>
          <w:szCs w:val="24"/>
        </w:rPr>
        <w:t xml:space="preserve">i inne </w:t>
      </w:r>
      <w:r w:rsidR="00572B44" w:rsidRPr="007452C6">
        <w:rPr>
          <w:rFonts w:ascii="Times New Roman" w:hAnsi="Times New Roman" w:cs="Times New Roman"/>
          <w:b/>
          <w:sz w:val="24"/>
          <w:szCs w:val="24"/>
        </w:rPr>
        <w:t>(art. 4÷</w:t>
      </w:r>
      <w:r w:rsidR="00D368E6" w:rsidRPr="007452C6">
        <w:rPr>
          <w:rFonts w:ascii="Times New Roman" w:hAnsi="Times New Roman" w:cs="Times New Roman"/>
          <w:b/>
          <w:sz w:val="24"/>
          <w:szCs w:val="24"/>
        </w:rPr>
        <w:t>6 ustawy zmieniającej)</w:t>
      </w:r>
    </w:p>
    <w:p w14:paraId="515D2359" w14:textId="6A5E0FBC" w:rsidR="004C264D" w:rsidRPr="007452C6" w:rsidRDefault="004C264D" w:rsidP="004C264D">
      <w:pPr>
        <w:pStyle w:val="Akapitzlist"/>
        <w:spacing w:line="360" w:lineRule="auto"/>
        <w:ind w:left="0" w:firstLine="720"/>
        <w:jc w:val="both"/>
        <w:rPr>
          <w:rFonts w:ascii="Times New Roman" w:hAnsi="Times New Roman" w:cs="Times New Roman"/>
          <w:sz w:val="24"/>
          <w:szCs w:val="24"/>
        </w:rPr>
      </w:pPr>
      <w:r w:rsidRPr="007452C6">
        <w:rPr>
          <w:rFonts w:ascii="Times New Roman" w:hAnsi="Times New Roman" w:cs="Times New Roman"/>
          <w:sz w:val="24"/>
          <w:szCs w:val="24"/>
        </w:rPr>
        <w:t xml:space="preserve">Przepisy Art. </w:t>
      </w:r>
      <w:r w:rsidR="00802220" w:rsidRPr="007452C6">
        <w:rPr>
          <w:rFonts w:ascii="Times New Roman" w:hAnsi="Times New Roman" w:cs="Times New Roman"/>
          <w:sz w:val="24"/>
          <w:szCs w:val="24"/>
        </w:rPr>
        <w:t>4</w:t>
      </w:r>
      <w:r w:rsidRPr="007452C6">
        <w:rPr>
          <w:rFonts w:ascii="Times New Roman" w:hAnsi="Times New Roman" w:cs="Times New Roman"/>
          <w:sz w:val="24"/>
          <w:szCs w:val="24"/>
        </w:rPr>
        <w:t xml:space="preserve"> ustawy wprowadzają obowiązek sporządzenia korekty planu finansowego Funduszu Wypłaty Różnicy Ceny na rok 2019</w:t>
      </w:r>
      <w:r w:rsidR="00822509" w:rsidRPr="007452C6">
        <w:rPr>
          <w:rFonts w:ascii="Times New Roman" w:hAnsi="Times New Roman" w:cs="Times New Roman"/>
          <w:sz w:val="24"/>
          <w:szCs w:val="24"/>
        </w:rPr>
        <w:t>, którą</w:t>
      </w:r>
      <w:r w:rsidRPr="007452C6">
        <w:rPr>
          <w:rFonts w:ascii="Times New Roman" w:hAnsi="Times New Roman" w:cs="Times New Roman"/>
          <w:sz w:val="24"/>
          <w:szCs w:val="24"/>
        </w:rPr>
        <w:t xml:space="preserve"> dysponent Funduszu sporządza w terminie 30 dni od dnia wejścia w życie niniejszej ustawy.</w:t>
      </w:r>
    </w:p>
    <w:p w14:paraId="12BE6594" w14:textId="358E7FCE" w:rsidR="004C264D" w:rsidRPr="007452C6" w:rsidRDefault="004C264D" w:rsidP="004C264D">
      <w:pPr>
        <w:pStyle w:val="Akapitzlist"/>
        <w:spacing w:line="360" w:lineRule="auto"/>
        <w:ind w:left="0" w:firstLine="720"/>
        <w:jc w:val="both"/>
        <w:rPr>
          <w:rFonts w:ascii="Times New Roman" w:hAnsi="Times New Roman" w:cs="Times New Roman"/>
          <w:sz w:val="24"/>
          <w:szCs w:val="24"/>
        </w:rPr>
      </w:pPr>
      <w:r w:rsidRPr="007452C6">
        <w:rPr>
          <w:rFonts w:ascii="Times New Roman" w:hAnsi="Times New Roman" w:cs="Times New Roman"/>
          <w:sz w:val="24"/>
          <w:szCs w:val="24"/>
        </w:rPr>
        <w:t xml:space="preserve">Przepisy art. </w:t>
      </w:r>
      <w:r w:rsidR="00802220" w:rsidRPr="007452C6">
        <w:rPr>
          <w:rFonts w:ascii="Times New Roman" w:hAnsi="Times New Roman" w:cs="Times New Roman"/>
          <w:sz w:val="24"/>
          <w:szCs w:val="24"/>
        </w:rPr>
        <w:t>5</w:t>
      </w:r>
      <w:r w:rsidRPr="007452C6">
        <w:rPr>
          <w:rFonts w:ascii="Times New Roman" w:hAnsi="Times New Roman" w:cs="Times New Roman"/>
          <w:sz w:val="24"/>
          <w:szCs w:val="24"/>
        </w:rPr>
        <w:t xml:space="preserve"> nakładają obowiązek na ministra właściwego do spraw energii monitorowania wykorzystania środków finansowych zgromadzonych na rachunku bankowym Funduszu Wypłaty Różnicy Ceny.</w:t>
      </w:r>
    </w:p>
    <w:p w14:paraId="369F6F8D" w14:textId="309CF171" w:rsidR="00681DD6" w:rsidRPr="007452C6" w:rsidRDefault="001F14DB" w:rsidP="007452C6">
      <w:pPr>
        <w:pStyle w:val="Akapitzlist"/>
        <w:spacing w:line="360" w:lineRule="auto"/>
        <w:ind w:left="0" w:firstLine="720"/>
        <w:jc w:val="both"/>
        <w:rPr>
          <w:rFonts w:ascii="Times New Roman" w:hAnsi="Times New Roman" w:cs="Times New Roman"/>
          <w:sz w:val="24"/>
          <w:szCs w:val="24"/>
        </w:rPr>
      </w:pPr>
      <w:r w:rsidRPr="007452C6">
        <w:rPr>
          <w:rFonts w:ascii="Times New Roman" w:hAnsi="Times New Roman" w:cs="Times New Roman"/>
          <w:sz w:val="24"/>
          <w:szCs w:val="24"/>
        </w:rPr>
        <w:t xml:space="preserve">Przepisy art. </w:t>
      </w:r>
      <w:r w:rsidR="00802220" w:rsidRPr="007452C6">
        <w:rPr>
          <w:rFonts w:ascii="Times New Roman" w:hAnsi="Times New Roman" w:cs="Times New Roman"/>
          <w:sz w:val="24"/>
          <w:szCs w:val="24"/>
        </w:rPr>
        <w:t>6</w:t>
      </w:r>
      <w:r w:rsidRPr="007452C6">
        <w:rPr>
          <w:rFonts w:ascii="Times New Roman" w:hAnsi="Times New Roman" w:cs="Times New Roman"/>
          <w:sz w:val="24"/>
          <w:szCs w:val="24"/>
        </w:rPr>
        <w:t xml:space="preserve"> nakładają na ministra właściwego do spraw energii obowiązek wydania przepisów rozporządzenia</w:t>
      </w:r>
      <w:r w:rsidR="00822509" w:rsidRPr="007452C6">
        <w:rPr>
          <w:rFonts w:ascii="Times New Roman" w:hAnsi="Times New Roman" w:cs="Times New Roman"/>
          <w:sz w:val="24"/>
          <w:szCs w:val="24"/>
        </w:rPr>
        <w:t>, o których mowa w art. 7 ust. 2</w:t>
      </w:r>
      <w:r w:rsidRPr="007452C6">
        <w:rPr>
          <w:rFonts w:ascii="Times New Roman" w:hAnsi="Times New Roman" w:cs="Times New Roman"/>
          <w:sz w:val="24"/>
          <w:szCs w:val="24"/>
        </w:rPr>
        <w:t xml:space="preserve"> ustawy z dnia 28 grudnia 2018</w:t>
      </w:r>
      <w:r w:rsidR="00822509" w:rsidRPr="007452C6">
        <w:rPr>
          <w:rFonts w:ascii="Times New Roman" w:hAnsi="Times New Roman" w:cs="Times New Roman"/>
          <w:sz w:val="24"/>
          <w:szCs w:val="24"/>
        </w:rPr>
        <w:t> </w:t>
      </w:r>
      <w:r w:rsidRPr="007452C6">
        <w:rPr>
          <w:rFonts w:ascii="Times New Roman" w:hAnsi="Times New Roman" w:cs="Times New Roman"/>
          <w:sz w:val="24"/>
          <w:szCs w:val="24"/>
        </w:rPr>
        <w:t xml:space="preserve">r . </w:t>
      </w:r>
      <w:r w:rsidR="00822509" w:rsidRPr="007452C6">
        <w:rPr>
          <w:rFonts w:ascii="Times New Roman" w:hAnsi="Times New Roman" w:cs="Times New Roman"/>
          <w:sz w:val="24"/>
          <w:szCs w:val="24"/>
        </w:rPr>
        <w:t>o </w:t>
      </w:r>
      <w:r w:rsidRPr="007452C6">
        <w:rPr>
          <w:rFonts w:ascii="Times New Roman" w:hAnsi="Times New Roman" w:cs="Times New Roman"/>
          <w:sz w:val="24"/>
          <w:szCs w:val="24"/>
        </w:rPr>
        <w:t>zmianie ustawy o podatku akcyzowym oraz niektórych innych ustaw w terminie 21 dni od dnia wejścia w życie niniejszej ustawy.</w:t>
      </w:r>
    </w:p>
    <w:p w14:paraId="2ACD0B4F" w14:textId="51F9D354" w:rsidR="002B6434" w:rsidRPr="007452C6" w:rsidRDefault="00E11134" w:rsidP="00332B8B">
      <w:pPr>
        <w:pStyle w:val="ARTartustawynprozporzdzenia"/>
        <w:rPr>
          <w:rFonts w:ascii="Times New Roman" w:hAnsi="Times New Roman" w:cs="Times New Roman"/>
          <w:b/>
          <w:szCs w:val="24"/>
        </w:rPr>
      </w:pPr>
      <w:r w:rsidRPr="007452C6">
        <w:rPr>
          <w:rFonts w:ascii="Times New Roman" w:hAnsi="Times New Roman" w:cs="Times New Roman"/>
          <w:b/>
          <w:szCs w:val="24"/>
        </w:rPr>
        <w:t>7. Przepis</w:t>
      </w:r>
      <w:r w:rsidR="002B6434" w:rsidRPr="007452C6">
        <w:rPr>
          <w:rFonts w:ascii="Times New Roman" w:hAnsi="Times New Roman" w:cs="Times New Roman"/>
          <w:b/>
          <w:szCs w:val="24"/>
        </w:rPr>
        <w:t xml:space="preserve"> o wejściu w życie</w:t>
      </w:r>
      <w:r w:rsidR="00D368E6" w:rsidRPr="007452C6">
        <w:rPr>
          <w:rFonts w:ascii="Times New Roman" w:hAnsi="Times New Roman" w:cs="Times New Roman"/>
          <w:b/>
          <w:szCs w:val="24"/>
        </w:rPr>
        <w:t xml:space="preserve"> (art. </w:t>
      </w:r>
      <w:r w:rsidR="00802220" w:rsidRPr="007452C6">
        <w:rPr>
          <w:rFonts w:ascii="Times New Roman" w:hAnsi="Times New Roman" w:cs="Times New Roman"/>
          <w:b/>
          <w:szCs w:val="24"/>
        </w:rPr>
        <w:t>7</w:t>
      </w:r>
      <w:r w:rsidR="00D368E6" w:rsidRPr="007452C6">
        <w:rPr>
          <w:rFonts w:ascii="Times New Roman" w:hAnsi="Times New Roman" w:cs="Times New Roman"/>
          <w:b/>
          <w:szCs w:val="24"/>
        </w:rPr>
        <w:t xml:space="preserve"> i </w:t>
      </w:r>
      <w:r w:rsidR="00802220" w:rsidRPr="007452C6">
        <w:rPr>
          <w:rFonts w:ascii="Times New Roman" w:hAnsi="Times New Roman" w:cs="Times New Roman"/>
          <w:b/>
          <w:szCs w:val="24"/>
        </w:rPr>
        <w:t>8</w:t>
      </w:r>
      <w:r w:rsidR="00D368E6" w:rsidRPr="007452C6">
        <w:rPr>
          <w:rFonts w:ascii="Times New Roman" w:hAnsi="Times New Roman" w:cs="Times New Roman"/>
          <w:b/>
          <w:szCs w:val="24"/>
        </w:rPr>
        <w:t xml:space="preserve"> ustawy zmieniającej)</w:t>
      </w:r>
    </w:p>
    <w:p w14:paraId="4C7F8E7E" w14:textId="3E7EB8B3" w:rsidR="001F14DB" w:rsidRPr="007452C6" w:rsidRDefault="002B6434" w:rsidP="00F35A97">
      <w:pPr>
        <w:pStyle w:val="ARTartustawynprozporzdzenia"/>
        <w:rPr>
          <w:rFonts w:ascii="Times New Roman" w:hAnsi="Times New Roman" w:cs="Times New Roman"/>
          <w:szCs w:val="24"/>
        </w:rPr>
      </w:pPr>
      <w:r w:rsidRPr="007452C6">
        <w:rPr>
          <w:rFonts w:ascii="Times New Roman" w:hAnsi="Times New Roman" w:cs="Times New Roman"/>
          <w:szCs w:val="24"/>
        </w:rPr>
        <w:t xml:space="preserve">Zdecydowano, że ustawa wejdzie w życie </w:t>
      </w:r>
      <w:r w:rsidR="001F14DB" w:rsidRPr="007452C6">
        <w:t>z życie z dniem następującym po dniu ogłoszenia</w:t>
      </w:r>
      <w:r w:rsidRPr="007452C6">
        <w:rPr>
          <w:rFonts w:ascii="Times New Roman" w:hAnsi="Times New Roman" w:cs="Times New Roman"/>
          <w:szCs w:val="24"/>
        </w:rPr>
        <w:t xml:space="preserve">, z wyjątkiem </w:t>
      </w:r>
      <w:r w:rsidR="001F14DB" w:rsidRPr="007452C6">
        <w:rPr>
          <w:rFonts w:ascii="Times New Roman" w:hAnsi="Times New Roman" w:cs="Times New Roman"/>
          <w:szCs w:val="24"/>
        </w:rPr>
        <w:t>przepisów art. 55 ust. 1 ustawy zmienianej w art. 2, które stosuje się od dnia 30 czerwca 2019 r.</w:t>
      </w:r>
    </w:p>
    <w:p w14:paraId="57D6F5D5" w14:textId="77ADA030" w:rsidR="001F14DB" w:rsidRPr="007452C6" w:rsidRDefault="00BF05FD" w:rsidP="00F35A97">
      <w:pPr>
        <w:pStyle w:val="ARTartustawynprozporzdzenia"/>
        <w:rPr>
          <w:rFonts w:ascii="Times New Roman" w:hAnsi="Times New Roman" w:cs="Times New Roman"/>
          <w:szCs w:val="24"/>
        </w:rPr>
      </w:pPr>
      <w:r w:rsidRPr="007452C6">
        <w:rPr>
          <w:rFonts w:ascii="Times New Roman" w:hAnsi="Times New Roman" w:cs="Times New Roman"/>
          <w:szCs w:val="24"/>
        </w:rPr>
        <w:t xml:space="preserve">Wejście w życie </w:t>
      </w:r>
      <w:r w:rsidR="001F14DB" w:rsidRPr="007452C6">
        <w:rPr>
          <w:rFonts w:ascii="Times New Roman" w:hAnsi="Times New Roman" w:cs="Times New Roman"/>
          <w:szCs w:val="24"/>
        </w:rPr>
        <w:t>ustawy</w:t>
      </w:r>
      <w:r w:rsidR="00822509" w:rsidRPr="007452C6">
        <w:rPr>
          <w:rFonts w:ascii="Times New Roman" w:hAnsi="Times New Roman" w:cs="Times New Roman"/>
          <w:szCs w:val="24"/>
        </w:rPr>
        <w:t xml:space="preserve"> w</w:t>
      </w:r>
      <w:r w:rsidRPr="007452C6">
        <w:rPr>
          <w:rFonts w:ascii="Times New Roman" w:hAnsi="Times New Roman" w:cs="Times New Roman"/>
          <w:szCs w:val="24"/>
        </w:rPr>
        <w:t xml:space="preserve"> dniu </w:t>
      </w:r>
      <w:r w:rsidR="00822509" w:rsidRPr="007452C6">
        <w:rPr>
          <w:rFonts w:ascii="Times New Roman" w:hAnsi="Times New Roman" w:cs="Times New Roman"/>
          <w:szCs w:val="24"/>
        </w:rPr>
        <w:t>następującym po dniu ogłoszenia</w:t>
      </w:r>
      <w:r w:rsidRPr="007452C6">
        <w:rPr>
          <w:rFonts w:ascii="Times New Roman" w:hAnsi="Times New Roman" w:cs="Times New Roman"/>
          <w:szCs w:val="24"/>
        </w:rPr>
        <w:t xml:space="preserve"> ma swoje uzasadnienie ze względu </w:t>
      </w:r>
      <w:r w:rsidR="00822509" w:rsidRPr="007452C6">
        <w:rPr>
          <w:rFonts w:ascii="Times New Roman" w:hAnsi="Times New Roman" w:cs="Times New Roman"/>
          <w:szCs w:val="24"/>
        </w:rPr>
        <w:t xml:space="preserve">na </w:t>
      </w:r>
      <w:r w:rsidR="001F14DB" w:rsidRPr="007452C6">
        <w:rPr>
          <w:rFonts w:ascii="Times New Roman" w:hAnsi="Times New Roman" w:cs="Times New Roman"/>
          <w:szCs w:val="24"/>
        </w:rPr>
        <w:t xml:space="preserve">podział roku 2019 na dwa mechanizmy stabilizacji cen energii elektrycznej dla odbiorców końcowych, których okres trwania będzie obowiązywał odpowiednio </w:t>
      </w:r>
      <w:r w:rsidR="00822509" w:rsidRPr="007452C6">
        <w:rPr>
          <w:rFonts w:ascii="Times New Roman" w:hAnsi="Times New Roman" w:cs="Times New Roman"/>
          <w:szCs w:val="24"/>
        </w:rPr>
        <w:t xml:space="preserve">przez </w:t>
      </w:r>
      <w:r w:rsidR="001F14DB" w:rsidRPr="007452C6">
        <w:rPr>
          <w:rFonts w:ascii="Times New Roman" w:hAnsi="Times New Roman" w:cs="Times New Roman"/>
          <w:szCs w:val="24"/>
        </w:rPr>
        <w:t>pierwsze oraz drugie półrocze 2019 r. Zatem przepisy ustawy powinny wejść w życie przed 1 lipca 2019 r.</w:t>
      </w:r>
    </w:p>
    <w:p w14:paraId="0DB8B224" w14:textId="7DC1D242" w:rsidR="008F325A" w:rsidRPr="007452C6" w:rsidRDefault="008F325A" w:rsidP="00F35A97">
      <w:pPr>
        <w:pStyle w:val="ARTartustawynprozporzdzenia"/>
        <w:rPr>
          <w:rFonts w:ascii="Times New Roman" w:hAnsi="Times New Roman" w:cs="Times New Roman"/>
          <w:szCs w:val="24"/>
        </w:rPr>
      </w:pPr>
      <w:r w:rsidRPr="007452C6">
        <w:rPr>
          <w:rFonts w:ascii="Times New Roman" w:hAnsi="Times New Roman" w:cs="Times New Roman"/>
          <w:szCs w:val="24"/>
        </w:rPr>
        <w:t>Projekt ustawy nie pociąga za sobą obciążenia budżetu państwa lub budżetów jednostek samorządu terytorialnego.</w:t>
      </w:r>
    </w:p>
    <w:p w14:paraId="57B82CFD" w14:textId="745BC53A" w:rsidR="008C281F" w:rsidRPr="007452C6" w:rsidRDefault="008C281F" w:rsidP="00332B8B">
      <w:pPr>
        <w:pStyle w:val="ARTartustawynprozporzdzenia"/>
        <w:rPr>
          <w:rFonts w:ascii="Times New Roman" w:eastAsia="Times New Roman" w:hAnsi="Times New Roman" w:cs="Times New Roman"/>
          <w:color w:val="191919"/>
          <w:szCs w:val="24"/>
        </w:rPr>
      </w:pPr>
      <w:r w:rsidRPr="007452C6">
        <w:rPr>
          <w:rFonts w:ascii="Times New Roman" w:eastAsia="Times New Roman" w:hAnsi="Times New Roman" w:cs="Times New Roman"/>
          <w:color w:val="191919"/>
          <w:szCs w:val="24"/>
        </w:rPr>
        <w:t>Projekt ustawy jest zgodny z prawem Unii Europejskiej.</w:t>
      </w:r>
    </w:p>
    <w:p w14:paraId="4FA2BA47" w14:textId="7498F053" w:rsidR="008C281F" w:rsidRPr="007452C6" w:rsidRDefault="008C281F" w:rsidP="00332B8B">
      <w:pPr>
        <w:pStyle w:val="ARTartustawynprozporzdzenia"/>
        <w:rPr>
          <w:rFonts w:ascii="Times New Roman" w:eastAsia="Times New Roman" w:hAnsi="Times New Roman" w:cs="Times New Roman"/>
          <w:color w:val="191919"/>
          <w:szCs w:val="24"/>
        </w:rPr>
      </w:pPr>
      <w:r w:rsidRPr="007452C6">
        <w:rPr>
          <w:rFonts w:ascii="Times New Roman" w:eastAsia="Times New Roman" w:hAnsi="Times New Roman" w:cs="Times New Roman"/>
          <w:color w:val="191919"/>
          <w:szCs w:val="24"/>
        </w:rPr>
        <w:t>Projekt ustawy nie zawiera przepisów technicznych, w związku z powyższym nie podlega procedurze noty</w:t>
      </w:r>
      <w:r w:rsidR="00822509" w:rsidRPr="007452C6">
        <w:rPr>
          <w:rFonts w:ascii="Times New Roman" w:eastAsia="Times New Roman" w:hAnsi="Times New Roman" w:cs="Times New Roman"/>
          <w:color w:val="191919"/>
          <w:szCs w:val="24"/>
        </w:rPr>
        <w:t>fikacji w rozumieniu przepisów R</w:t>
      </w:r>
      <w:r w:rsidRPr="007452C6">
        <w:rPr>
          <w:rFonts w:ascii="Times New Roman" w:eastAsia="Times New Roman" w:hAnsi="Times New Roman" w:cs="Times New Roman"/>
          <w:color w:val="191919"/>
          <w:szCs w:val="24"/>
        </w:rPr>
        <w:t>ozporządzenia Rady Ministrów z dnia 23 grudnia 2002 r. w sprawie sposobu funkcjonowania krajo</w:t>
      </w:r>
      <w:r w:rsidR="009F4C21" w:rsidRPr="007452C6">
        <w:rPr>
          <w:rFonts w:ascii="Times New Roman" w:eastAsia="Times New Roman" w:hAnsi="Times New Roman" w:cs="Times New Roman"/>
          <w:color w:val="191919"/>
          <w:szCs w:val="24"/>
        </w:rPr>
        <w:t>wego systemu notyfikacji norm i </w:t>
      </w:r>
      <w:r w:rsidRPr="007452C6">
        <w:rPr>
          <w:rFonts w:ascii="Times New Roman" w:eastAsia="Times New Roman" w:hAnsi="Times New Roman" w:cs="Times New Roman"/>
          <w:color w:val="191919"/>
          <w:szCs w:val="24"/>
        </w:rPr>
        <w:t>aktów prawnych (Dz. U. poz. 2039 oraz z 2004 r. poz. 597).</w:t>
      </w:r>
    </w:p>
    <w:p w14:paraId="30D123DD" w14:textId="3FC3AECD" w:rsidR="008C281F" w:rsidRPr="00332B8B" w:rsidRDefault="008C281F" w:rsidP="00332B8B">
      <w:pPr>
        <w:pStyle w:val="ARTartustawynprozporzdzenia"/>
        <w:rPr>
          <w:rFonts w:ascii="Times New Roman" w:eastAsia="Times New Roman" w:hAnsi="Times New Roman" w:cs="Times New Roman"/>
          <w:color w:val="191919"/>
          <w:szCs w:val="24"/>
        </w:rPr>
      </w:pPr>
      <w:r w:rsidRPr="007452C6">
        <w:rPr>
          <w:rFonts w:ascii="Times New Roman" w:eastAsia="Times New Roman" w:hAnsi="Times New Roman" w:cs="Times New Roman"/>
          <w:color w:val="191919"/>
          <w:szCs w:val="24"/>
        </w:rPr>
        <w:t>Projekt ustawy wpływa na działalność</w:t>
      </w:r>
      <w:r w:rsidR="00822509" w:rsidRPr="007452C6">
        <w:rPr>
          <w:rFonts w:ascii="Times New Roman" w:eastAsia="Times New Roman" w:hAnsi="Times New Roman" w:cs="Times New Roman"/>
          <w:color w:val="191919"/>
          <w:szCs w:val="24"/>
        </w:rPr>
        <w:t xml:space="preserve"> </w:t>
      </w:r>
      <w:proofErr w:type="spellStart"/>
      <w:r w:rsidR="00822509" w:rsidRPr="007452C6">
        <w:rPr>
          <w:rFonts w:ascii="Times New Roman" w:eastAsia="Times New Roman" w:hAnsi="Times New Roman" w:cs="Times New Roman"/>
          <w:color w:val="191919"/>
          <w:szCs w:val="24"/>
        </w:rPr>
        <w:t>mikroprzedsiębiorców</w:t>
      </w:r>
      <w:proofErr w:type="spellEnd"/>
      <w:r w:rsidR="00822509" w:rsidRPr="007452C6">
        <w:rPr>
          <w:rFonts w:ascii="Times New Roman" w:eastAsia="Times New Roman" w:hAnsi="Times New Roman" w:cs="Times New Roman"/>
          <w:color w:val="191919"/>
          <w:szCs w:val="24"/>
        </w:rPr>
        <w:t xml:space="preserve">, małych, </w:t>
      </w:r>
      <w:r w:rsidRPr="007452C6">
        <w:rPr>
          <w:rFonts w:ascii="Times New Roman" w:eastAsia="Times New Roman" w:hAnsi="Times New Roman" w:cs="Times New Roman"/>
          <w:color w:val="191919"/>
          <w:szCs w:val="24"/>
        </w:rPr>
        <w:t xml:space="preserve">średnich </w:t>
      </w:r>
      <w:r w:rsidR="001F14DB" w:rsidRPr="007452C6">
        <w:rPr>
          <w:rFonts w:ascii="Times New Roman" w:eastAsia="Times New Roman" w:hAnsi="Times New Roman" w:cs="Times New Roman"/>
          <w:color w:val="191919"/>
          <w:szCs w:val="24"/>
        </w:rPr>
        <w:t xml:space="preserve">i dużych </w:t>
      </w:r>
      <w:r w:rsidRPr="007452C6">
        <w:rPr>
          <w:rFonts w:ascii="Times New Roman" w:eastAsia="Times New Roman" w:hAnsi="Times New Roman" w:cs="Times New Roman"/>
          <w:color w:val="191919"/>
          <w:szCs w:val="24"/>
        </w:rPr>
        <w:t>przedsiębiorców poprzez wyeliminowanie ryzyka narażenia ich na gwałtowny wzrost cen energii elektrycznej w 2019 roku. Projekt nie określa zasad podejmowania, wykonywania lub zakończenia działalności gospodarczej w rozumieniu ustawy z dnia 6 marca 2018 r. – Prawo przedsiębiorców (Dz. U. poz. 646, 1479, 1629 i 1633).</w:t>
      </w:r>
    </w:p>
    <w:p w14:paraId="4925AF6F" w14:textId="77777777" w:rsidR="009F4C21" w:rsidRPr="00332B8B" w:rsidRDefault="009F4C21" w:rsidP="00332B8B">
      <w:pPr>
        <w:pStyle w:val="ARTartustawynprozporzdzenia"/>
        <w:rPr>
          <w:rFonts w:ascii="Times New Roman" w:eastAsia="Times New Roman" w:hAnsi="Times New Roman" w:cs="Times New Roman"/>
          <w:color w:val="191919"/>
          <w:szCs w:val="24"/>
        </w:rPr>
      </w:pPr>
    </w:p>
    <w:sectPr w:rsidR="009F4C21" w:rsidRPr="00332B8B" w:rsidSect="009F4C21">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4AAEE" w14:textId="77777777" w:rsidR="0034081F" w:rsidRDefault="0034081F" w:rsidP="0006154D">
      <w:pPr>
        <w:spacing w:after="0" w:line="240" w:lineRule="auto"/>
      </w:pPr>
      <w:r>
        <w:separator/>
      </w:r>
    </w:p>
  </w:endnote>
  <w:endnote w:type="continuationSeparator" w:id="0">
    <w:p w14:paraId="474DA65B" w14:textId="77777777" w:rsidR="0034081F" w:rsidRDefault="0034081F" w:rsidP="00061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4308694"/>
      <w:docPartObj>
        <w:docPartGallery w:val="Page Numbers (Bottom of Page)"/>
        <w:docPartUnique/>
      </w:docPartObj>
    </w:sdtPr>
    <w:sdtEndPr/>
    <w:sdtContent>
      <w:p w14:paraId="205443B7" w14:textId="5D6BD3C8" w:rsidR="007C104F" w:rsidRDefault="007C104F">
        <w:pPr>
          <w:pStyle w:val="Stopka"/>
          <w:jc w:val="right"/>
        </w:pPr>
        <w:r>
          <w:fldChar w:fldCharType="begin"/>
        </w:r>
        <w:r>
          <w:instrText>PAGE   \* MERGEFORMAT</w:instrText>
        </w:r>
        <w:r>
          <w:fldChar w:fldCharType="separate"/>
        </w:r>
        <w:r w:rsidR="00B65080">
          <w:rPr>
            <w:noProof/>
          </w:rPr>
          <w:t>15</w:t>
        </w:r>
        <w:r>
          <w:fldChar w:fldCharType="end"/>
        </w:r>
      </w:p>
    </w:sdtContent>
  </w:sdt>
  <w:p w14:paraId="5BB67CE0" w14:textId="77777777" w:rsidR="007C104F" w:rsidRDefault="007C104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DE94ED" w14:textId="77777777" w:rsidR="0034081F" w:rsidRDefault="0034081F" w:rsidP="0006154D">
      <w:pPr>
        <w:spacing w:after="0" w:line="240" w:lineRule="auto"/>
      </w:pPr>
      <w:r>
        <w:separator/>
      </w:r>
    </w:p>
  </w:footnote>
  <w:footnote w:type="continuationSeparator" w:id="0">
    <w:p w14:paraId="582116AC" w14:textId="77777777" w:rsidR="0034081F" w:rsidRDefault="0034081F" w:rsidP="000615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7209"/>
    <w:multiLevelType w:val="hybridMultilevel"/>
    <w:tmpl w:val="242AAE5C"/>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2E37D33"/>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 w15:restartNumberingAfterBreak="0">
    <w:nsid w:val="04795208"/>
    <w:multiLevelType w:val="hybridMultilevel"/>
    <w:tmpl w:val="99ACE730"/>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A333E0"/>
    <w:multiLevelType w:val="multilevel"/>
    <w:tmpl w:val="041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D162BAD"/>
    <w:multiLevelType w:val="hybridMultilevel"/>
    <w:tmpl w:val="A3A813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EBF7022"/>
    <w:multiLevelType w:val="hybridMultilevel"/>
    <w:tmpl w:val="277C3F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4C03BB"/>
    <w:multiLevelType w:val="hybridMultilevel"/>
    <w:tmpl w:val="334E81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683754"/>
    <w:multiLevelType w:val="multilevel"/>
    <w:tmpl w:val="6AE8C228"/>
    <w:lvl w:ilvl="0">
      <w:start w:val="2"/>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06F34CD"/>
    <w:multiLevelType w:val="hybridMultilevel"/>
    <w:tmpl w:val="D36EA67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3653278"/>
    <w:multiLevelType w:val="hybridMultilevel"/>
    <w:tmpl w:val="D79406F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 w15:restartNumberingAfterBreak="0">
    <w:nsid w:val="221F3422"/>
    <w:multiLevelType w:val="hybridMultilevel"/>
    <w:tmpl w:val="50DA2C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120FC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E778E4"/>
    <w:multiLevelType w:val="multilevel"/>
    <w:tmpl w:val="912E291A"/>
    <w:lvl w:ilvl="0">
      <w:start w:val="1"/>
      <w:numFmt w:val="decimal"/>
      <w:lvlText w:val="%1)"/>
      <w:lvlJc w:val="left"/>
      <w:pPr>
        <w:ind w:left="1074" w:hanging="360"/>
      </w:pPr>
      <w:rPr>
        <w:rFonts w:hint="default"/>
      </w:rPr>
    </w:lvl>
    <w:lvl w:ilvl="1">
      <w:start w:val="1"/>
      <w:numFmt w:val="decimal"/>
      <w:lvlText w:val="%2)"/>
      <w:lvlJc w:val="left"/>
      <w:pPr>
        <w:ind w:left="1434" w:hanging="360"/>
      </w:pPr>
      <w:rPr>
        <w:rFonts w:hint="default"/>
      </w:rPr>
    </w:lvl>
    <w:lvl w:ilvl="2">
      <w:start w:val="1"/>
      <w:numFmt w:val="lowerRoman"/>
      <w:lvlText w:val="%3)"/>
      <w:lvlJc w:val="left"/>
      <w:pPr>
        <w:ind w:left="1794" w:hanging="360"/>
      </w:pPr>
      <w:rPr>
        <w:rFonts w:hint="default"/>
      </w:rPr>
    </w:lvl>
    <w:lvl w:ilvl="3">
      <w:start w:val="1"/>
      <w:numFmt w:val="decimal"/>
      <w:lvlText w:val="(%4)"/>
      <w:lvlJc w:val="left"/>
      <w:pPr>
        <w:ind w:left="2154" w:hanging="360"/>
      </w:pPr>
      <w:rPr>
        <w:rFonts w:hint="default"/>
      </w:rPr>
    </w:lvl>
    <w:lvl w:ilvl="4">
      <w:start w:val="1"/>
      <w:numFmt w:val="lowerLetter"/>
      <w:lvlText w:val="(%5)"/>
      <w:lvlJc w:val="left"/>
      <w:pPr>
        <w:ind w:left="2514" w:hanging="360"/>
      </w:pPr>
      <w:rPr>
        <w:rFonts w:hint="default"/>
      </w:rPr>
    </w:lvl>
    <w:lvl w:ilvl="5">
      <w:start w:val="1"/>
      <w:numFmt w:val="lowerRoman"/>
      <w:lvlText w:val="(%6)"/>
      <w:lvlJc w:val="left"/>
      <w:pPr>
        <w:ind w:left="2874" w:hanging="360"/>
      </w:pPr>
      <w:rPr>
        <w:rFonts w:hint="default"/>
      </w:rPr>
    </w:lvl>
    <w:lvl w:ilvl="6">
      <w:start w:val="1"/>
      <w:numFmt w:val="decimal"/>
      <w:lvlText w:val="%7."/>
      <w:lvlJc w:val="left"/>
      <w:pPr>
        <w:ind w:left="3234" w:hanging="360"/>
      </w:pPr>
      <w:rPr>
        <w:rFonts w:hint="default"/>
      </w:rPr>
    </w:lvl>
    <w:lvl w:ilvl="7">
      <w:start w:val="1"/>
      <w:numFmt w:val="lowerLetter"/>
      <w:lvlText w:val="%8."/>
      <w:lvlJc w:val="left"/>
      <w:pPr>
        <w:ind w:left="3594" w:hanging="360"/>
      </w:pPr>
      <w:rPr>
        <w:rFonts w:hint="default"/>
      </w:rPr>
    </w:lvl>
    <w:lvl w:ilvl="8">
      <w:start w:val="1"/>
      <w:numFmt w:val="lowerRoman"/>
      <w:lvlText w:val="%9."/>
      <w:lvlJc w:val="left"/>
      <w:pPr>
        <w:ind w:left="3954" w:hanging="360"/>
      </w:pPr>
      <w:rPr>
        <w:rFonts w:hint="default"/>
      </w:rPr>
    </w:lvl>
  </w:abstractNum>
  <w:abstractNum w:abstractNumId="13" w15:restartNumberingAfterBreak="0">
    <w:nsid w:val="29957D09"/>
    <w:multiLevelType w:val="hybridMultilevel"/>
    <w:tmpl w:val="35B03004"/>
    <w:lvl w:ilvl="0" w:tplc="04150011">
      <w:start w:val="1"/>
      <w:numFmt w:val="decimal"/>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14" w15:restartNumberingAfterBreak="0">
    <w:nsid w:val="2D891857"/>
    <w:multiLevelType w:val="hybridMultilevel"/>
    <w:tmpl w:val="052838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7743C8"/>
    <w:multiLevelType w:val="hybridMultilevel"/>
    <w:tmpl w:val="357C56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8A7191"/>
    <w:multiLevelType w:val="hybridMultilevel"/>
    <w:tmpl w:val="268060C0"/>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14AF1"/>
    <w:multiLevelType w:val="hybridMultilevel"/>
    <w:tmpl w:val="A7E46E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70B2DE8"/>
    <w:multiLevelType w:val="hybridMultilevel"/>
    <w:tmpl w:val="CDAAACAC"/>
    <w:lvl w:ilvl="0" w:tplc="04150005">
      <w:start w:val="1"/>
      <w:numFmt w:val="bullet"/>
      <w:lvlText w:val=""/>
      <w:lvlJc w:val="left"/>
      <w:pPr>
        <w:ind w:left="1230" w:hanging="360"/>
      </w:pPr>
      <w:rPr>
        <w:rFonts w:ascii="Wingdings" w:hAnsi="Wingdings"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19" w15:restartNumberingAfterBreak="0">
    <w:nsid w:val="486812EF"/>
    <w:multiLevelType w:val="hybridMultilevel"/>
    <w:tmpl w:val="0C289E66"/>
    <w:lvl w:ilvl="0" w:tplc="108C3AA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1B7DEB"/>
    <w:multiLevelType w:val="hybridMultilevel"/>
    <w:tmpl w:val="8D7C4664"/>
    <w:lvl w:ilvl="0" w:tplc="DFECE75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4C5D3FE4"/>
    <w:multiLevelType w:val="hybridMultilevel"/>
    <w:tmpl w:val="9A38D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42548FC"/>
    <w:multiLevelType w:val="hybridMultilevel"/>
    <w:tmpl w:val="71B00B32"/>
    <w:lvl w:ilvl="0" w:tplc="0415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30445"/>
    <w:multiLevelType w:val="hybridMultilevel"/>
    <w:tmpl w:val="D0C492A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604A3194"/>
    <w:multiLevelType w:val="hybridMultilevel"/>
    <w:tmpl w:val="5EB26C94"/>
    <w:lvl w:ilvl="0" w:tplc="0415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FD7AEA"/>
    <w:multiLevelType w:val="hybridMultilevel"/>
    <w:tmpl w:val="5B58A1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3C1222A"/>
    <w:multiLevelType w:val="hybridMultilevel"/>
    <w:tmpl w:val="D0FAA8E0"/>
    <w:lvl w:ilvl="0" w:tplc="04150001">
      <w:start w:val="1"/>
      <w:numFmt w:val="bullet"/>
      <w:lvlText w:val=""/>
      <w:lvlJc w:val="left"/>
      <w:pPr>
        <w:ind w:left="1416" w:hanging="360"/>
      </w:pPr>
      <w:rPr>
        <w:rFonts w:ascii="Symbol" w:hAnsi="Symbol" w:hint="default"/>
      </w:rPr>
    </w:lvl>
    <w:lvl w:ilvl="1" w:tplc="04150003" w:tentative="1">
      <w:start w:val="1"/>
      <w:numFmt w:val="bullet"/>
      <w:lvlText w:val="o"/>
      <w:lvlJc w:val="left"/>
      <w:pPr>
        <w:ind w:left="2136" w:hanging="360"/>
      </w:pPr>
      <w:rPr>
        <w:rFonts w:ascii="Courier New" w:hAnsi="Courier New" w:cs="Courier New" w:hint="default"/>
      </w:rPr>
    </w:lvl>
    <w:lvl w:ilvl="2" w:tplc="04150005" w:tentative="1">
      <w:start w:val="1"/>
      <w:numFmt w:val="bullet"/>
      <w:lvlText w:val=""/>
      <w:lvlJc w:val="left"/>
      <w:pPr>
        <w:ind w:left="2856" w:hanging="360"/>
      </w:pPr>
      <w:rPr>
        <w:rFonts w:ascii="Wingdings" w:hAnsi="Wingdings" w:hint="default"/>
      </w:rPr>
    </w:lvl>
    <w:lvl w:ilvl="3" w:tplc="04150001" w:tentative="1">
      <w:start w:val="1"/>
      <w:numFmt w:val="bullet"/>
      <w:lvlText w:val=""/>
      <w:lvlJc w:val="left"/>
      <w:pPr>
        <w:ind w:left="3576" w:hanging="360"/>
      </w:pPr>
      <w:rPr>
        <w:rFonts w:ascii="Symbol" w:hAnsi="Symbol" w:hint="default"/>
      </w:rPr>
    </w:lvl>
    <w:lvl w:ilvl="4" w:tplc="04150003" w:tentative="1">
      <w:start w:val="1"/>
      <w:numFmt w:val="bullet"/>
      <w:lvlText w:val="o"/>
      <w:lvlJc w:val="left"/>
      <w:pPr>
        <w:ind w:left="4296" w:hanging="360"/>
      </w:pPr>
      <w:rPr>
        <w:rFonts w:ascii="Courier New" w:hAnsi="Courier New" w:cs="Courier New" w:hint="default"/>
      </w:rPr>
    </w:lvl>
    <w:lvl w:ilvl="5" w:tplc="04150005" w:tentative="1">
      <w:start w:val="1"/>
      <w:numFmt w:val="bullet"/>
      <w:lvlText w:val=""/>
      <w:lvlJc w:val="left"/>
      <w:pPr>
        <w:ind w:left="5016" w:hanging="360"/>
      </w:pPr>
      <w:rPr>
        <w:rFonts w:ascii="Wingdings" w:hAnsi="Wingdings" w:hint="default"/>
      </w:rPr>
    </w:lvl>
    <w:lvl w:ilvl="6" w:tplc="04150001" w:tentative="1">
      <w:start w:val="1"/>
      <w:numFmt w:val="bullet"/>
      <w:lvlText w:val=""/>
      <w:lvlJc w:val="left"/>
      <w:pPr>
        <w:ind w:left="5736" w:hanging="360"/>
      </w:pPr>
      <w:rPr>
        <w:rFonts w:ascii="Symbol" w:hAnsi="Symbol" w:hint="default"/>
      </w:rPr>
    </w:lvl>
    <w:lvl w:ilvl="7" w:tplc="04150003" w:tentative="1">
      <w:start w:val="1"/>
      <w:numFmt w:val="bullet"/>
      <w:lvlText w:val="o"/>
      <w:lvlJc w:val="left"/>
      <w:pPr>
        <w:ind w:left="6456" w:hanging="360"/>
      </w:pPr>
      <w:rPr>
        <w:rFonts w:ascii="Courier New" w:hAnsi="Courier New" w:cs="Courier New" w:hint="default"/>
      </w:rPr>
    </w:lvl>
    <w:lvl w:ilvl="8" w:tplc="04150005" w:tentative="1">
      <w:start w:val="1"/>
      <w:numFmt w:val="bullet"/>
      <w:lvlText w:val=""/>
      <w:lvlJc w:val="left"/>
      <w:pPr>
        <w:ind w:left="7176" w:hanging="360"/>
      </w:pPr>
      <w:rPr>
        <w:rFonts w:ascii="Wingdings" w:hAnsi="Wingdings" w:hint="default"/>
      </w:rPr>
    </w:lvl>
  </w:abstractNum>
  <w:abstractNum w:abstractNumId="27" w15:restartNumberingAfterBreak="0">
    <w:nsid w:val="68252D16"/>
    <w:multiLevelType w:val="hybridMultilevel"/>
    <w:tmpl w:val="C47ED034"/>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15:restartNumberingAfterBreak="0">
    <w:nsid w:val="707C0816"/>
    <w:multiLevelType w:val="hybridMultilevel"/>
    <w:tmpl w:val="D0F60972"/>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9" w15:restartNumberingAfterBreak="0">
    <w:nsid w:val="716A4BB2"/>
    <w:multiLevelType w:val="hybridMultilevel"/>
    <w:tmpl w:val="6632E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3AB441A"/>
    <w:multiLevelType w:val="hybridMultilevel"/>
    <w:tmpl w:val="C89491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73C21AE4"/>
    <w:multiLevelType w:val="multilevel"/>
    <w:tmpl w:val="041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2" w15:restartNumberingAfterBreak="0">
    <w:nsid w:val="75493B22"/>
    <w:multiLevelType w:val="hybridMultilevel"/>
    <w:tmpl w:val="7C9E1EF6"/>
    <w:lvl w:ilvl="0" w:tplc="04150017">
      <w:start w:val="1"/>
      <w:numFmt w:val="low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3" w15:restartNumberingAfterBreak="0">
    <w:nsid w:val="76155A96"/>
    <w:multiLevelType w:val="hybridMultilevel"/>
    <w:tmpl w:val="D07220DC"/>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4" w15:restartNumberingAfterBreak="0">
    <w:nsid w:val="76DA6328"/>
    <w:multiLevelType w:val="hybridMultilevel"/>
    <w:tmpl w:val="6466F5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6FE4F33"/>
    <w:multiLevelType w:val="hybridMultilevel"/>
    <w:tmpl w:val="D540BAC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8BC16D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6"/>
  </w:num>
  <w:num w:numId="3">
    <w:abstractNumId w:val="24"/>
  </w:num>
  <w:num w:numId="4">
    <w:abstractNumId w:val="22"/>
  </w:num>
  <w:num w:numId="5">
    <w:abstractNumId w:val="25"/>
  </w:num>
  <w:num w:numId="6">
    <w:abstractNumId w:val="18"/>
  </w:num>
  <w:num w:numId="7">
    <w:abstractNumId w:val="17"/>
  </w:num>
  <w:num w:numId="8">
    <w:abstractNumId w:val="32"/>
  </w:num>
  <w:num w:numId="9">
    <w:abstractNumId w:val="29"/>
  </w:num>
  <w:num w:numId="10">
    <w:abstractNumId w:val="4"/>
  </w:num>
  <w:num w:numId="11">
    <w:abstractNumId w:val="2"/>
  </w:num>
  <w:num w:numId="12">
    <w:abstractNumId w:val="33"/>
  </w:num>
  <w:num w:numId="13">
    <w:abstractNumId w:val="9"/>
  </w:num>
  <w:num w:numId="14">
    <w:abstractNumId w:val="27"/>
  </w:num>
  <w:num w:numId="15">
    <w:abstractNumId w:val="26"/>
  </w:num>
  <w:num w:numId="16">
    <w:abstractNumId w:val="0"/>
  </w:num>
  <w:num w:numId="17">
    <w:abstractNumId w:val="6"/>
  </w:num>
  <w:num w:numId="18">
    <w:abstractNumId w:val="28"/>
  </w:num>
  <w:num w:numId="19">
    <w:abstractNumId w:val="14"/>
  </w:num>
  <w:num w:numId="20">
    <w:abstractNumId w:val="35"/>
  </w:num>
  <w:num w:numId="21">
    <w:abstractNumId w:val="21"/>
  </w:num>
  <w:num w:numId="22">
    <w:abstractNumId w:val="7"/>
  </w:num>
  <w:num w:numId="23">
    <w:abstractNumId w:val="12"/>
  </w:num>
  <w:num w:numId="24">
    <w:abstractNumId w:val="1"/>
  </w:num>
  <w:num w:numId="25">
    <w:abstractNumId w:val="3"/>
  </w:num>
  <w:num w:numId="26">
    <w:abstractNumId w:val="36"/>
  </w:num>
  <w:num w:numId="27">
    <w:abstractNumId w:val="31"/>
  </w:num>
  <w:num w:numId="28">
    <w:abstractNumId w:val="11"/>
  </w:num>
  <w:num w:numId="29">
    <w:abstractNumId w:val="30"/>
  </w:num>
  <w:num w:numId="30">
    <w:abstractNumId w:val="8"/>
  </w:num>
  <w:num w:numId="31">
    <w:abstractNumId w:val="13"/>
  </w:num>
  <w:num w:numId="32">
    <w:abstractNumId w:val="15"/>
  </w:num>
  <w:num w:numId="33">
    <w:abstractNumId w:val="5"/>
  </w:num>
  <w:num w:numId="34">
    <w:abstractNumId w:val="34"/>
  </w:num>
  <w:num w:numId="35">
    <w:abstractNumId w:val="19"/>
  </w:num>
  <w:num w:numId="36">
    <w:abstractNumId w:val="23"/>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569"/>
    <w:rsid w:val="00037A36"/>
    <w:rsid w:val="00045F5F"/>
    <w:rsid w:val="00051413"/>
    <w:rsid w:val="00055936"/>
    <w:rsid w:val="00057BE6"/>
    <w:rsid w:val="0006154D"/>
    <w:rsid w:val="000800B3"/>
    <w:rsid w:val="0008542F"/>
    <w:rsid w:val="000879C8"/>
    <w:rsid w:val="000C7E0A"/>
    <w:rsid w:val="000D1E97"/>
    <w:rsid w:val="000E5FCE"/>
    <w:rsid w:val="000F570B"/>
    <w:rsid w:val="00114BF2"/>
    <w:rsid w:val="00115225"/>
    <w:rsid w:val="001163F9"/>
    <w:rsid w:val="00184D93"/>
    <w:rsid w:val="00191709"/>
    <w:rsid w:val="00192057"/>
    <w:rsid w:val="001A2DBB"/>
    <w:rsid w:val="001B2F68"/>
    <w:rsid w:val="001B32DC"/>
    <w:rsid w:val="001B6257"/>
    <w:rsid w:val="001D63C1"/>
    <w:rsid w:val="001E64C1"/>
    <w:rsid w:val="001F0962"/>
    <w:rsid w:val="001F14DB"/>
    <w:rsid w:val="002079A9"/>
    <w:rsid w:val="00221E7E"/>
    <w:rsid w:val="00223E7E"/>
    <w:rsid w:val="00237DAB"/>
    <w:rsid w:val="00242F71"/>
    <w:rsid w:val="00245F09"/>
    <w:rsid w:val="00256277"/>
    <w:rsid w:val="00260331"/>
    <w:rsid w:val="00264539"/>
    <w:rsid w:val="00267B10"/>
    <w:rsid w:val="002706E3"/>
    <w:rsid w:val="00273DA7"/>
    <w:rsid w:val="00281A45"/>
    <w:rsid w:val="002837FC"/>
    <w:rsid w:val="002876AA"/>
    <w:rsid w:val="002B4C94"/>
    <w:rsid w:val="002B6434"/>
    <w:rsid w:val="002C13D1"/>
    <w:rsid w:val="002C22E9"/>
    <w:rsid w:val="002C2AB5"/>
    <w:rsid w:val="002D0BC3"/>
    <w:rsid w:val="002E140B"/>
    <w:rsid w:val="002E34DD"/>
    <w:rsid w:val="002F530F"/>
    <w:rsid w:val="0030646B"/>
    <w:rsid w:val="00310804"/>
    <w:rsid w:val="00315731"/>
    <w:rsid w:val="00320A16"/>
    <w:rsid w:val="00321A01"/>
    <w:rsid w:val="00332B8B"/>
    <w:rsid w:val="00334760"/>
    <w:rsid w:val="0034081F"/>
    <w:rsid w:val="00342B14"/>
    <w:rsid w:val="00344430"/>
    <w:rsid w:val="003506DB"/>
    <w:rsid w:val="00356422"/>
    <w:rsid w:val="003612DF"/>
    <w:rsid w:val="00370C3C"/>
    <w:rsid w:val="003767DD"/>
    <w:rsid w:val="00396943"/>
    <w:rsid w:val="003A3516"/>
    <w:rsid w:val="003A3A09"/>
    <w:rsid w:val="003A74B5"/>
    <w:rsid w:val="003A7C47"/>
    <w:rsid w:val="003B0990"/>
    <w:rsid w:val="003C0200"/>
    <w:rsid w:val="003C4323"/>
    <w:rsid w:val="003D0736"/>
    <w:rsid w:val="003F273F"/>
    <w:rsid w:val="00402890"/>
    <w:rsid w:val="00420AE2"/>
    <w:rsid w:val="00425BB0"/>
    <w:rsid w:val="00426CBA"/>
    <w:rsid w:val="00430FF7"/>
    <w:rsid w:val="0044241A"/>
    <w:rsid w:val="00443678"/>
    <w:rsid w:val="00453208"/>
    <w:rsid w:val="0045350F"/>
    <w:rsid w:val="00463E80"/>
    <w:rsid w:val="004754C8"/>
    <w:rsid w:val="00476F33"/>
    <w:rsid w:val="004847C4"/>
    <w:rsid w:val="004A02A2"/>
    <w:rsid w:val="004A06ED"/>
    <w:rsid w:val="004A143D"/>
    <w:rsid w:val="004B29DC"/>
    <w:rsid w:val="004B5BF9"/>
    <w:rsid w:val="004C264D"/>
    <w:rsid w:val="004C673F"/>
    <w:rsid w:val="004D3EE5"/>
    <w:rsid w:val="004E326E"/>
    <w:rsid w:val="004E3719"/>
    <w:rsid w:val="004F20FB"/>
    <w:rsid w:val="00501FE3"/>
    <w:rsid w:val="00502C82"/>
    <w:rsid w:val="00510ADF"/>
    <w:rsid w:val="00527B65"/>
    <w:rsid w:val="005308CB"/>
    <w:rsid w:val="00532D54"/>
    <w:rsid w:val="00535297"/>
    <w:rsid w:val="00536F91"/>
    <w:rsid w:val="00544485"/>
    <w:rsid w:val="00546ED2"/>
    <w:rsid w:val="0056609F"/>
    <w:rsid w:val="00572B44"/>
    <w:rsid w:val="0057409D"/>
    <w:rsid w:val="005744E6"/>
    <w:rsid w:val="0058282D"/>
    <w:rsid w:val="005A4496"/>
    <w:rsid w:val="005B2C91"/>
    <w:rsid w:val="005C7C0B"/>
    <w:rsid w:val="005D3FFC"/>
    <w:rsid w:val="005E14B8"/>
    <w:rsid w:val="00603713"/>
    <w:rsid w:val="00605612"/>
    <w:rsid w:val="006131D1"/>
    <w:rsid w:val="00623A87"/>
    <w:rsid w:val="00640339"/>
    <w:rsid w:val="00641B08"/>
    <w:rsid w:val="006531E7"/>
    <w:rsid w:val="00663706"/>
    <w:rsid w:val="006668B6"/>
    <w:rsid w:val="0067019C"/>
    <w:rsid w:val="00681DD6"/>
    <w:rsid w:val="0068476A"/>
    <w:rsid w:val="00693C94"/>
    <w:rsid w:val="006A326E"/>
    <w:rsid w:val="006B07AE"/>
    <w:rsid w:val="006B36D1"/>
    <w:rsid w:val="006C0068"/>
    <w:rsid w:val="006C056F"/>
    <w:rsid w:val="006D6672"/>
    <w:rsid w:val="00715C7C"/>
    <w:rsid w:val="00717BE1"/>
    <w:rsid w:val="007202C2"/>
    <w:rsid w:val="00720C5B"/>
    <w:rsid w:val="007331D7"/>
    <w:rsid w:val="00741F53"/>
    <w:rsid w:val="00742D27"/>
    <w:rsid w:val="007452C6"/>
    <w:rsid w:val="00750F54"/>
    <w:rsid w:val="00754C2F"/>
    <w:rsid w:val="007772CE"/>
    <w:rsid w:val="00787664"/>
    <w:rsid w:val="007A1D6C"/>
    <w:rsid w:val="007A2607"/>
    <w:rsid w:val="007B5DC4"/>
    <w:rsid w:val="007C104F"/>
    <w:rsid w:val="007D1E8D"/>
    <w:rsid w:val="007D51E8"/>
    <w:rsid w:val="007F3F78"/>
    <w:rsid w:val="00802220"/>
    <w:rsid w:val="00815930"/>
    <w:rsid w:val="00821BE8"/>
    <w:rsid w:val="00822509"/>
    <w:rsid w:val="00822A9D"/>
    <w:rsid w:val="008442C6"/>
    <w:rsid w:val="0084553E"/>
    <w:rsid w:val="00846BF6"/>
    <w:rsid w:val="008708D5"/>
    <w:rsid w:val="008733C8"/>
    <w:rsid w:val="008800C6"/>
    <w:rsid w:val="00882657"/>
    <w:rsid w:val="008869BF"/>
    <w:rsid w:val="00892D9D"/>
    <w:rsid w:val="008C281F"/>
    <w:rsid w:val="008D2115"/>
    <w:rsid w:val="008D6332"/>
    <w:rsid w:val="008E1863"/>
    <w:rsid w:val="008E472B"/>
    <w:rsid w:val="008F325A"/>
    <w:rsid w:val="008F764B"/>
    <w:rsid w:val="009037BB"/>
    <w:rsid w:val="00903C98"/>
    <w:rsid w:val="009049D3"/>
    <w:rsid w:val="009269E9"/>
    <w:rsid w:val="00926C25"/>
    <w:rsid w:val="00930F11"/>
    <w:rsid w:val="009312C1"/>
    <w:rsid w:val="00943F03"/>
    <w:rsid w:val="0094423A"/>
    <w:rsid w:val="00952497"/>
    <w:rsid w:val="0097123F"/>
    <w:rsid w:val="00984ED2"/>
    <w:rsid w:val="009A1138"/>
    <w:rsid w:val="009B0486"/>
    <w:rsid w:val="009C6570"/>
    <w:rsid w:val="009D2072"/>
    <w:rsid w:val="009D2969"/>
    <w:rsid w:val="009E0855"/>
    <w:rsid w:val="009E13F9"/>
    <w:rsid w:val="009E514E"/>
    <w:rsid w:val="009F4C21"/>
    <w:rsid w:val="009F5D30"/>
    <w:rsid w:val="00A102B8"/>
    <w:rsid w:val="00A206E8"/>
    <w:rsid w:val="00A266F6"/>
    <w:rsid w:val="00A27391"/>
    <w:rsid w:val="00A312A3"/>
    <w:rsid w:val="00A31460"/>
    <w:rsid w:val="00A3193A"/>
    <w:rsid w:val="00A452E5"/>
    <w:rsid w:val="00A5022E"/>
    <w:rsid w:val="00A54020"/>
    <w:rsid w:val="00A54374"/>
    <w:rsid w:val="00A615CB"/>
    <w:rsid w:val="00A84B2A"/>
    <w:rsid w:val="00A8702E"/>
    <w:rsid w:val="00A90082"/>
    <w:rsid w:val="00A90C99"/>
    <w:rsid w:val="00A91389"/>
    <w:rsid w:val="00A91ADF"/>
    <w:rsid w:val="00AA3A44"/>
    <w:rsid w:val="00AA5502"/>
    <w:rsid w:val="00AB41B8"/>
    <w:rsid w:val="00AB5542"/>
    <w:rsid w:val="00AC3ADF"/>
    <w:rsid w:val="00AC621D"/>
    <w:rsid w:val="00AD0DBF"/>
    <w:rsid w:val="00AD13BD"/>
    <w:rsid w:val="00AD1446"/>
    <w:rsid w:val="00AE159B"/>
    <w:rsid w:val="00AF31A9"/>
    <w:rsid w:val="00B176C2"/>
    <w:rsid w:val="00B24B98"/>
    <w:rsid w:val="00B24BF6"/>
    <w:rsid w:val="00B32161"/>
    <w:rsid w:val="00B43FD3"/>
    <w:rsid w:val="00B52828"/>
    <w:rsid w:val="00B535AA"/>
    <w:rsid w:val="00B563BC"/>
    <w:rsid w:val="00B64F28"/>
    <w:rsid w:val="00B65080"/>
    <w:rsid w:val="00B655F4"/>
    <w:rsid w:val="00B674C6"/>
    <w:rsid w:val="00B70836"/>
    <w:rsid w:val="00B7582E"/>
    <w:rsid w:val="00B94320"/>
    <w:rsid w:val="00B96C5B"/>
    <w:rsid w:val="00BA0610"/>
    <w:rsid w:val="00BA2F00"/>
    <w:rsid w:val="00BA75CD"/>
    <w:rsid w:val="00BB3311"/>
    <w:rsid w:val="00BB3E4D"/>
    <w:rsid w:val="00BB5959"/>
    <w:rsid w:val="00BC410E"/>
    <w:rsid w:val="00BC47FE"/>
    <w:rsid w:val="00BD0CB7"/>
    <w:rsid w:val="00BF05FD"/>
    <w:rsid w:val="00BF17A0"/>
    <w:rsid w:val="00BF3C25"/>
    <w:rsid w:val="00C01843"/>
    <w:rsid w:val="00C16AAD"/>
    <w:rsid w:val="00C16FB1"/>
    <w:rsid w:val="00C17608"/>
    <w:rsid w:val="00C3218B"/>
    <w:rsid w:val="00C4237E"/>
    <w:rsid w:val="00C42EBC"/>
    <w:rsid w:val="00C45517"/>
    <w:rsid w:val="00C4641C"/>
    <w:rsid w:val="00C46756"/>
    <w:rsid w:val="00C56034"/>
    <w:rsid w:val="00C5616F"/>
    <w:rsid w:val="00C567D1"/>
    <w:rsid w:val="00C732C2"/>
    <w:rsid w:val="00C960CB"/>
    <w:rsid w:val="00CA629D"/>
    <w:rsid w:val="00CB6487"/>
    <w:rsid w:val="00CC0D2D"/>
    <w:rsid w:val="00CE4BC4"/>
    <w:rsid w:val="00D11E39"/>
    <w:rsid w:val="00D13E26"/>
    <w:rsid w:val="00D167D5"/>
    <w:rsid w:val="00D368E6"/>
    <w:rsid w:val="00D47F42"/>
    <w:rsid w:val="00D60DA8"/>
    <w:rsid w:val="00D620B0"/>
    <w:rsid w:val="00D70C43"/>
    <w:rsid w:val="00D735DC"/>
    <w:rsid w:val="00D754A5"/>
    <w:rsid w:val="00D75F2F"/>
    <w:rsid w:val="00D81F50"/>
    <w:rsid w:val="00D93822"/>
    <w:rsid w:val="00D94565"/>
    <w:rsid w:val="00D96EE8"/>
    <w:rsid w:val="00DB21D4"/>
    <w:rsid w:val="00DB29E7"/>
    <w:rsid w:val="00DB52BA"/>
    <w:rsid w:val="00DB59EF"/>
    <w:rsid w:val="00DC33B6"/>
    <w:rsid w:val="00DD1DDD"/>
    <w:rsid w:val="00DD4ACC"/>
    <w:rsid w:val="00DD6B1E"/>
    <w:rsid w:val="00DE17A7"/>
    <w:rsid w:val="00DF405D"/>
    <w:rsid w:val="00DF520D"/>
    <w:rsid w:val="00DF75B4"/>
    <w:rsid w:val="00E03D74"/>
    <w:rsid w:val="00E07CA4"/>
    <w:rsid w:val="00E11134"/>
    <w:rsid w:val="00E404BE"/>
    <w:rsid w:val="00E43D73"/>
    <w:rsid w:val="00E5433E"/>
    <w:rsid w:val="00E750F2"/>
    <w:rsid w:val="00E84CCD"/>
    <w:rsid w:val="00E936DC"/>
    <w:rsid w:val="00E946A8"/>
    <w:rsid w:val="00EA7FE5"/>
    <w:rsid w:val="00EB5ABF"/>
    <w:rsid w:val="00EC0A7A"/>
    <w:rsid w:val="00ED0DFF"/>
    <w:rsid w:val="00ED5C27"/>
    <w:rsid w:val="00EF11E3"/>
    <w:rsid w:val="00EF1E02"/>
    <w:rsid w:val="00EF649F"/>
    <w:rsid w:val="00F01355"/>
    <w:rsid w:val="00F07569"/>
    <w:rsid w:val="00F17C1F"/>
    <w:rsid w:val="00F23040"/>
    <w:rsid w:val="00F23BDB"/>
    <w:rsid w:val="00F25753"/>
    <w:rsid w:val="00F35470"/>
    <w:rsid w:val="00F35A97"/>
    <w:rsid w:val="00F44EB5"/>
    <w:rsid w:val="00F66CE4"/>
    <w:rsid w:val="00F72696"/>
    <w:rsid w:val="00F76336"/>
    <w:rsid w:val="00F83614"/>
    <w:rsid w:val="00F8490D"/>
    <w:rsid w:val="00FA0C97"/>
    <w:rsid w:val="00FB336A"/>
    <w:rsid w:val="00FD122E"/>
    <w:rsid w:val="00FD1AF8"/>
    <w:rsid w:val="00FD7AB5"/>
    <w:rsid w:val="00FE2580"/>
    <w:rsid w:val="00FE3921"/>
    <w:rsid w:val="00FF6372"/>
    <w:rsid w:val="00FF76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EA8CDF"/>
  <w15:docId w15:val="{0B8BB85E-ABE2-4605-B30A-3DFE5BB59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07569"/>
  </w:style>
  <w:style w:type="paragraph" w:styleId="Nagwek1">
    <w:name w:val="heading 1"/>
    <w:basedOn w:val="Normalny"/>
    <w:next w:val="Normalny"/>
    <w:link w:val="Nagwek1Znak"/>
    <w:uiPriority w:val="9"/>
    <w:qFormat/>
    <w:rsid w:val="00D81F50"/>
    <w:pPr>
      <w:keepNext/>
      <w:keepLines/>
      <w:numPr>
        <w:numId w:val="2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D81F50"/>
    <w:pPr>
      <w:keepNext/>
      <w:keepLines/>
      <w:numPr>
        <w:ilvl w:val="1"/>
        <w:numId w:val="24"/>
      </w:numPr>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D81F50"/>
    <w:pPr>
      <w:keepNext/>
      <w:keepLines/>
      <w:numPr>
        <w:ilvl w:val="2"/>
        <w:numId w:val="24"/>
      </w:numPr>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D81F50"/>
    <w:pPr>
      <w:keepNext/>
      <w:keepLines/>
      <w:numPr>
        <w:ilvl w:val="3"/>
        <w:numId w:val="24"/>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D81F50"/>
    <w:pPr>
      <w:keepNext/>
      <w:keepLines/>
      <w:numPr>
        <w:ilvl w:val="4"/>
        <w:numId w:val="24"/>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D81F50"/>
    <w:pPr>
      <w:keepNext/>
      <w:keepLines/>
      <w:numPr>
        <w:ilvl w:val="5"/>
        <w:numId w:val="24"/>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D81F50"/>
    <w:pPr>
      <w:keepNext/>
      <w:keepLines/>
      <w:numPr>
        <w:ilvl w:val="6"/>
        <w:numId w:val="24"/>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D81F50"/>
    <w:pPr>
      <w:keepNext/>
      <w:keepLines/>
      <w:numPr>
        <w:ilvl w:val="7"/>
        <w:numId w:val="24"/>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D81F50"/>
    <w:pPr>
      <w:keepNext/>
      <w:keepLines/>
      <w:numPr>
        <w:ilvl w:val="8"/>
        <w:numId w:val="2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F075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99"/>
    <w:qFormat/>
    <w:rsid w:val="00F07569"/>
    <w:rPr>
      <w:b/>
    </w:rPr>
  </w:style>
  <w:style w:type="paragraph" w:styleId="Legenda">
    <w:name w:val="caption"/>
    <w:basedOn w:val="Normalny"/>
    <w:next w:val="Normalny"/>
    <w:uiPriority w:val="35"/>
    <w:unhideWhenUsed/>
    <w:qFormat/>
    <w:rsid w:val="00E404BE"/>
    <w:pPr>
      <w:spacing w:after="200" w:line="240" w:lineRule="auto"/>
    </w:pPr>
    <w:rPr>
      <w:i/>
      <w:iCs/>
      <w:color w:val="44546A" w:themeColor="text2"/>
      <w:sz w:val="18"/>
      <w:szCs w:val="18"/>
    </w:rPr>
  </w:style>
  <w:style w:type="paragraph" w:styleId="Nagwek">
    <w:name w:val="header"/>
    <w:basedOn w:val="Normalny"/>
    <w:link w:val="NagwekZnak"/>
    <w:uiPriority w:val="99"/>
    <w:unhideWhenUsed/>
    <w:rsid w:val="000615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154D"/>
  </w:style>
  <w:style w:type="paragraph" w:styleId="Stopka">
    <w:name w:val="footer"/>
    <w:basedOn w:val="Normalny"/>
    <w:link w:val="StopkaZnak"/>
    <w:uiPriority w:val="99"/>
    <w:unhideWhenUsed/>
    <w:rsid w:val="000615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154D"/>
  </w:style>
  <w:style w:type="table" w:styleId="Tabela-Siatka">
    <w:name w:val="Table Grid"/>
    <w:basedOn w:val="Standardowy"/>
    <w:uiPriority w:val="39"/>
    <w:rsid w:val="00242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D3E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3EE5"/>
    <w:rPr>
      <w:rFonts w:ascii="Segoe UI" w:hAnsi="Segoe UI" w:cs="Segoe UI"/>
      <w:sz w:val="18"/>
      <w:szCs w:val="18"/>
    </w:rPr>
  </w:style>
  <w:style w:type="character" w:styleId="Odwoaniedokomentarza">
    <w:name w:val="annotation reference"/>
    <w:basedOn w:val="Domylnaczcionkaakapitu"/>
    <w:uiPriority w:val="99"/>
    <w:semiHidden/>
    <w:unhideWhenUsed/>
    <w:rsid w:val="005D3FFC"/>
    <w:rPr>
      <w:sz w:val="16"/>
      <w:szCs w:val="16"/>
    </w:rPr>
  </w:style>
  <w:style w:type="paragraph" w:styleId="Tekstkomentarza">
    <w:name w:val="annotation text"/>
    <w:basedOn w:val="Normalny"/>
    <w:link w:val="TekstkomentarzaZnak"/>
    <w:uiPriority w:val="99"/>
    <w:unhideWhenUsed/>
    <w:rsid w:val="005D3FFC"/>
    <w:pPr>
      <w:spacing w:line="240" w:lineRule="auto"/>
    </w:pPr>
    <w:rPr>
      <w:sz w:val="20"/>
      <w:szCs w:val="20"/>
    </w:rPr>
  </w:style>
  <w:style w:type="character" w:customStyle="1" w:styleId="TekstkomentarzaZnak">
    <w:name w:val="Tekst komentarza Znak"/>
    <w:basedOn w:val="Domylnaczcionkaakapitu"/>
    <w:link w:val="Tekstkomentarza"/>
    <w:uiPriority w:val="99"/>
    <w:rsid w:val="005D3FFC"/>
    <w:rPr>
      <w:sz w:val="20"/>
      <w:szCs w:val="20"/>
    </w:rPr>
  </w:style>
  <w:style w:type="paragraph" w:styleId="Tematkomentarza">
    <w:name w:val="annotation subject"/>
    <w:basedOn w:val="Tekstkomentarza"/>
    <w:next w:val="Tekstkomentarza"/>
    <w:link w:val="TematkomentarzaZnak"/>
    <w:uiPriority w:val="99"/>
    <w:semiHidden/>
    <w:unhideWhenUsed/>
    <w:rsid w:val="005D3FFC"/>
    <w:rPr>
      <w:b/>
      <w:bCs/>
    </w:rPr>
  </w:style>
  <w:style w:type="character" w:customStyle="1" w:styleId="TematkomentarzaZnak">
    <w:name w:val="Temat komentarza Znak"/>
    <w:basedOn w:val="TekstkomentarzaZnak"/>
    <w:link w:val="Tematkomentarza"/>
    <w:uiPriority w:val="99"/>
    <w:semiHidden/>
    <w:rsid w:val="005D3FFC"/>
    <w:rPr>
      <w:b/>
      <w:bCs/>
      <w:sz w:val="20"/>
      <w:szCs w:val="20"/>
    </w:rPr>
  </w:style>
  <w:style w:type="paragraph" w:styleId="Akapitzlist">
    <w:name w:val="List Paragraph"/>
    <w:basedOn w:val="Normalny"/>
    <w:uiPriority w:val="34"/>
    <w:qFormat/>
    <w:rsid w:val="00D754A5"/>
    <w:pPr>
      <w:spacing w:after="200" w:line="276" w:lineRule="auto"/>
      <w:ind w:left="720"/>
      <w:contextualSpacing/>
    </w:pPr>
  </w:style>
  <w:style w:type="paragraph" w:styleId="Tekstprzypisudolnego">
    <w:name w:val="footnote text"/>
    <w:basedOn w:val="Normalny"/>
    <w:link w:val="TekstprzypisudolnegoZnak"/>
    <w:uiPriority w:val="99"/>
    <w:unhideWhenUsed/>
    <w:rsid w:val="00D754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754A5"/>
    <w:rPr>
      <w:sz w:val="20"/>
      <w:szCs w:val="20"/>
    </w:rPr>
  </w:style>
  <w:style w:type="character" w:styleId="Odwoanieprzypisudolnego">
    <w:name w:val="footnote reference"/>
    <w:basedOn w:val="Domylnaczcionkaakapitu"/>
    <w:uiPriority w:val="99"/>
    <w:semiHidden/>
    <w:unhideWhenUsed/>
    <w:rsid w:val="00BB3311"/>
    <w:rPr>
      <w:vertAlign w:val="superscript"/>
    </w:rPr>
  </w:style>
  <w:style w:type="paragraph" w:customStyle="1" w:styleId="PKTpunkt">
    <w:name w:val="PKT – punkt"/>
    <w:uiPriority w:val="13"/>
    <w:qFormat/>
    <w:rsid w:val="00D93822"/>
    <w:pPr>
      <w:spacing w:after="0" w:line="360" w:lineRule="auto"/>
      <w:ind w:left="510" w:hanging="510"/>
      <w:jc w:val="both"/>
    </w:pPr>
    <w:rPr>
      <w:rFonts w:ascii="Times" w:eastAsia="Times New Roman" w:hAnsi="Times" w:cs="Arial"/>
      <w:bCs/>
      <w:sz w:val="24"/>
      <w:szCs w:val="20"/>
      <w:lang w:eastAsia="pl-PL"/>
    </w:rPr>
  </w:style>
  <w:style w:type="paragraph" w:customStyle="1" w:styleId="trescpisma">
    <w:name w:val="tresc.pisma"/>
    <w:basedOn w:val="Normalny"/>
    <w:qFormat/>
    <w:rsid w:val="00D93822"/>
    <w:pPr>
      <w:spacing w:after="0" w:line="360" w:lineRule="auto"/>
      <w:ind w:firstLine="709"/>
      <w:jc w:val="both"/>
    </w:pPr>
    <w:rPr>
      <w:rFonts w:ascii="Times New Roman" w:eastAsia="Calibri" w:hAnsi="Times New Roman" w:cs="Times New Roman"/>
      <w:sz w:val="24"/>
      <w:szCs w:val="24"/>
      <w:lang w:eastAsia="pl-PL"/>
    </w:rPr>
  </w:style>
  <w:style w:type="paragraph" w:styleId="Bezodstpw">
    <w:name w:val="No Spacing"/>
    <w:uiPriority w:val="1"/>
    <w:qFormat/>
    <w:rsid w:val="00F66CE4"/>
    <w:pPr>
      <w:spacing w:after="0" w:line="240" w:lineRule="auto"/>
    </w:pPr>
  </w:style>
  <w:style w:type="paragraph" w:styleId="Tekstprzypisukocowego">
    <w:name w:val="endnote text"/>
    <w:basedOn w:val="Normalny"/>
    <w:link w:val="TekstprzypisukocowegoZnak"/>
    <w:uiPriority w:val="99"/>
    <w:semiHidden/>
    <w:unhideWhenUsed/>
    <w:rsid w:val="008442C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42C6"/>
    <w:rPr>
      <w:sz w:val="20"/>
      <w:szCs w:val="20"/>
    </w:rPr>
  </w:style>
  <w:style w:type="character" w:styleId="Odwoanieprzypisukocowego">
    <w:name w:val="endnote reference"/>
    <w:basedOn w:val="Domylnaczcionkaakapitu"/>
    <w:uiPriority w:val="99"/>
    <w:semiHidden/>
    <w:unhideWhenUsed/>
    <w:rsid w:val="008442C6"/>
    <w:rPr>
      <w:vertAlign w:val="superscript"/>
    </w:rPr>
  </w:style>
  <w:style w:type="paragraph" w:customStyle="1" w:styleId="USTustnpkodeksu">
    <w:name w:val="UST(§) – ust. (§ np. kodeksu)"/>
    <w:basedOn w:val="ARTartustawynprozporzdzenia"/>
    <w:uiPriority w:val="12"/>
    <w:qFormat/>
    <w:rsid w:val="009D2969"/>
    <w:pPr>
      <w:spacing w:before="0"/>
    </w:pPr>
    <w:rPr>
      <w:bCs/>
    </w:rPr>
  </w:style>
  <w:style w:type="character" w:customStyle="1" w:styleId="Nagwek1Znak">
    <w:name w:val="Nagłówek 1 Znak"/>
    <w:basedOn w:val="Domylnaczcionkaakapitu"/>
    <w:link w:val="Nagwek1"/>
    <w:uiPriority w:val="9"/>
    <w:rsid w:val="00D81F50"/>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semiHidden/>
    <w:rsid w:val="00D81F50"/>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D81F50"/>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D81F50"/>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D81F50"/>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D81F50"/>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D81F50"/>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D81F50"/>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D81F50"/>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28219">
      <w:bodyDiv w:val="1"/>
      <w:marLeft w:val="0"/>
      <w:marRight w:val="0"/>
      <w:marTop w:val="0"/>
      <w:marBottom w:val="0"/>
      <w:divBdr>
        <w:top w:val="none" w:sz="0" w:space="0" w:color="auto"/>
        <w:left w:val="none" w:sz="0" w:space="0" w:color="auto"/>
        <w:bottom w:val="none" w:sz="0" w:space="0" w:color="auto"/>
        <w:right w:val="none" w:sz="0" w:space="0" w:color="auto"/>
      </w:divBdr>
      <w:divsChild>
        <w:div w:id="278529649">
          <w:marLeft w:val="0"/>
          <w:marRight w:val="0"/>
          <w:marTop w:val="0"/>
          <w:marBottom w:val="0"/>
          <w:divBdr>
            <w:top w:val="none" w:sz="0" w:space="0" w:color="auto"/>
            <w:left w:val="none" w:sz="0" w:space="0" w:color="auto"/>
            <w:bottom w:val="none" w:sz="0" w:space="0" w:color="auto"/>
            <w:right w:val="none" w:sz="0" w:space="0" w:color="auto"/>
          </w:divBdr>
        </w:div>
        <w:div w:id="662853828">
          <w:marLeft w:val="0"/>
          <w:marRight w:val="0"/>
          <w:marTop w:val="0"/>
          <w:marBottom w:val="0"/>
          <w:divBdr>
            <w:top w:val="none" w:sz="0" w:space="0" w:color="auto"/>
            <w:left w:val="none" w:sz="0" w:space="0" w:color="auto"/>
            <w:bottom w:val="none" w:sz="0" w:space="0" w:color="auto"/>
            <w:right w:val="none" w:sz="0" w:space="0" w:color="auto"/>
          </w:divBdr>
        </w:div>
        <w:div w:id="2051417998">
          <w:marLeft w:val="0"/>
          <w:marRight w:val="0"/>
          <w:marTop w:val="0"/>
          <w:marBottom w:val="0"/>
          <w:divBdr>
            <w:top w:val="none" w:sz="0" w:space="0" w:color="auto"/>
            <w:left w:val="none" w:sz="0" w:space="0" w:color="auto"/>
            <w:bottom w:val="none" w:sz="0" w:space="0" w:color="auto"/>
            <w:right w:val="none" w:sz="0" w:space="0" w:color="auto"/>
          </w:divBdr>
        </w:div>
        <w:div w:id="81878187">
          <w:marLeft w:val="0"/>
          <w:marRight w:val="0"/>
          <w:marTop w:val="0"/>
          <w:marBottom w:val="0"/>
          <w:divBdr>
            <w:top w:val="none" w:sz="0" w:space="0" w:color="auto"/>
            <w:left w:val="none" w:sz="0" w:space="0" w:color="auto"/>
            <w:bottom w:val="none" w:sz="0" w:space="0" w:color="auto"/>
            <w:right w:val="none" w:sz="0" w:space="0" w:color="auto"/>
          </w:divBdr>
        </w:div>
        <w:div w:id="856692564">
          <w:marLeft w:val="0"/>
          <w:marRight w:val="0"/>
          <w:marTop w:val="0"/>
          <w:marBottom w:val="0"/>
          <w:divBdr>
            <w:top w:val="none" w:sz="0" w:space="0" w:color="auto"/>
            <w:left w:val="none" w:sz="0" w:space="0" w:color="auto"/>
            <w:bottom w:val="none" w:sz="0" w:space="0" w:color="auto"/>
            <w:right w:val="none" w:sz="0" w:space="0" w:color="auto"/>
          </w:divBdr>
        </w:div>
      </w:divsChild>
    </w:div>
    <w:div w:id="1236011406">
      <w:bodyDiv w:val="1"/>
      <w:marLeft w:val="0"/>
      <w:marRight w:val="0"/>
      <w:marTop w:val="0"/>
      <w:marBottom w:val="0"/>
      <w:divBdr>
        <w:top w:val="none" w:sz="0" w:space="0" w:color="auto"/>
        <w:left w:val="none" w:sz="0" w:space="0" w:color="auto"/>
        <w:bottom w:val="none" w:sz="0" w:space="0" w:color="auto"/>
        <w:right w:val="none" w:sz="0" w:space="0" w:color="auto"/>
      </w:divBdr>
      <w:divsChild>
        <w:div w:id="177814760">
          <w:marLeft w:val="0"/>
          <w:marRight w:val="0"/>
          <w:marTop w:val="0"/>
          <w:marBottom w:val="0"/>
          <w:divBdr>
            <w:top w:val="none" w:sz="0" w:space="0" w:color="auto"/>
            <w:left w:val="none" w:sz="0" w:space="0" w:color="auto"/>
            <w:bottom w:val="none" w:sz="0" w:space="0" w:color="auto"/>
            <w:right w:val="none" w:sz="0" w:space="0" w:color="auto"/>
          </w:divBdr>
        </w:div>
        <w:div w:id="947935426">
          <w:marLeft w:val="0"/>
          <w:marRight w:val="0"/>
          <w:marTop w:val="0"/>
          <w:marBottom w:val="0"/>
          <w:divBdr>
            <w:top w:val="none" w:sz="0" w:space="0" w:color="auto"/>
            <w:left w:val="none" w:sz="0" w:space="0" w:color="auto"/>
            <w:bottom w:val="none" w:sz="0" w:space="0" w:color="auto"/>
            <w:right w:val="none" w:sz="0" w:space="0" w:color="auto"/>
          </w:divBdr>
        </w:div>
        <w:div w:id="982806495">
          <w:marLeft w:val="0"/>
          <w:marRight w:val="0"/>
          <w:marTop w:val="0"/>
          <w:marBottom w:val="0"/>
          <w:divBdr>
            <w:top w:val="none" w:sz="0" w:space="0" w:color="auto"/>
            <w:left w:val="none" w:sz="0" w:space="0" w:color="auto"/>
            <w:bottom w:val="none" w:sz="0" w:space="0" w:color="auto"/>
            <w:right w:val="none" w:sz="0" w:space="0" w:color="auto"/>
          </w:divBdr>
        </w:div>
        <w:div w:id="1994095567">
          <w:marLeft w:val="0"/>
          <w:marRight w:val="0"/>
          <w:marTop w:val="0"/>
          <w:marBottom w:val="0"/>
          <w:divBdr>
            <w:top w:val="none" w:sz="0" w:space="0" w:color="auto"/>
            <w:left w:val="none" w:sz="0" w:space="0" w:color="auto"/>
            <w:bottom w:val="none" w:sz="0" w:space="0" w:color="auto"/>
            <w:right w:val="none" w:sz="0" w:space="0" w:color="auto"/>
          </w:divBdr>
        </w:div>
        <w:div w:id="1640576292">
          <w:marLeft w:val="0"/>
          <w:marRight w:val="0"/>
          <w:marTop w:val="0"/>
          <w:marBottom w:val="0"/>
          <w:divBdr>
            <w:top w:val="none" w:sz="0" w:space="0" w:color="auto"/>
            <w:left w:val="none" w:sz="0" w:space="0" w:color="auto"/>
            <w:bottom w:val="none" w:sz="0" w:space="0" w:color="auto"/>
            <w:right w:val="none" w:sz="0" w:space="0" w:color="auto"/>
          </w:divBdr>
        </w:div>
      </w:divsChild>
    </w:div>
    <w:div w:id="1835224098">
      <w:bodyDiv w:val="1"/>
      <w:marLeft w:val="0"/>
      <w:marRight w:val="0"/>
      <w:marTop w:val="0"/>
      <w:marBottom w:val="0"/>
      <w:divBdr>
        <w:top w:val="none" w:sz="0" w:space="0" w:color="auto"/>
        <w:left w:val="none" w:sz="0" w:space="0" w:color="auto"/>
        <w:bottom w:val="none" w:sz="0" w:space="0" w:color="auto"/>
        <w:right w:val="none" w:sz="0" w:space="0" w:color="auto"/>
      </w:divBdr>
    </w:div>
    <w:div w:id="201753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A70F97-1369-42C9-8208-E3F37119E2A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pl-PL"/>
        </a:p>
      </dgm:t>
    </dgm:pt>
    <dgm:pt modelId="{BE34DE84-5224-43CF-854C-55F569F1535F}">
      <dgm:prSet phldrT="[Tekst]"/>
      <dgm:spPr/>
      <dgm:t>
        <a:bodyPr/>
        <a:lstStyle/>
        <a:p>
          <a:r>
            <a:rPr lang="pl-PL" dirty="0" smtClean="0"/>
            <a:t>Mechanizm wypłat </a:t>
          </a:r>
          <a:r>
            <a:rPr lang="pl-PL" smtClean="0"/>
            <a:t>z funduszu </a:t>
          </a:r>
          <a:r>
            <a:rPr lang="pl-PL" dirty="0" smtClean="0"/>
            <a:t>po nowelizacji </a:t>
          </a:r>
          <a:endParaRPr lang="pl-PL" dirty="0"/>
        </a:p>
      </dgm:t>
    </dgm:pt>
    <dgm:pt modelId="{6F10E2DC-E99B-4C8F-AD43-B9639EA55D61}" type="parTrans" cxnId="{13D2740E-45F2-48AB-BA36-06D0F4525A48}">
      <dgm:prSet/>
      <dgm:spPr/>
      <dgm:t>
        <a:bodyPr/>
        <a:lstStyle/>
        <a:p>
          <a:endParaRPr lang="pl-PL"/>
        </a:p>
      </dgm:t>
    </dgm:pt>
    <dgm:pt modelId="{364E96B3-DE02-43BE-A3DB-2E51AAB72338}" type="sibTrans" cxnId="{13D2740E-45F2-48AB-BA36-06D0F4525A48}">
      <dgm:prSet/>
      <dgm:spPr/>
      <dgm:t>
        <a:bodyPr/>
        <a:lstStyle/>
        <a:p>
          <a:endParaRPr lang="pl-PL"/>
        </a:p>
      </dgm:t>
    </dgm:pt>
    <dgm:pt modelId="{B3A539FC-82FB-466C-BA06-65AF314DB824}">
      <dgm:prSet phldrT="[Tekst]"/>
      <dgm:spPr/>
      <dgm:t>
        <a:bodyPr/>
        <a:lstStyle/>
        <a:p>
          <a:r>
            <a:rPr lang="pl-PL" dirty="0" smtClean="0"/>
            <a:t>Kwota róznicy ceny</a:t>
          </a:r>
          <a:endParaRPr lang="pl-PL" dirty="0"/>
        </a:p>
      </dgm:t>
    </dgm:pt>
    <dgm:pt modelId="{50493069-EB5D-454C-8C77-2D30EDF01BFC}" type="parTrans" cxnId="{F3A7CB8D-3932-48E2-B14E-6D49ED6E6369}">
      <dgm:prSet/>
      <dgm:spPr/>
      <dgm:t>
        <a:bodyPr/>
        <a:lstStyle/>
        <a:p>
          <a:endParaRPr lang="pl-PL"/>
        </a:p>
      </dgm:t>
    </dgm:pt>
    <dgm:pt modelId="{021027C9-876F-42EC-8AC1-335D4702CB75}" type="sibTrans" cxnId="{F3A7CB8D-3932-48E2-B14E-6D49ED6E6369}">
      <dgm:prSet/>
      <dgm:spPr/>
      <dgm:t>
        <a:bodyPr/>
        <a:lstStyle/>
        <a:p>
          <a:endParaRPr lang="pl-PL"/>
        </a:p>
      </dgm:t>
    </dgm:pt>
    <dgm:pt modelId="{9C804613-275E-40D2-ABD2-7D5950163756}">
      <dgm:prSet/>
      <dgm:spPr/>
      <dgm:t>
        <a:bodyPr/>
        <a:lstStyle/>
        <a:p>
          <a:r>
            <a:rPr lang="pl-PL" dirty="0" smtClean="0"/>
            <a:t>Rekompensata finansowa z tytułu świadczenia usługi publicznej</a:t>
          </a:r>
          <a:endParaRPr lang="pl-PL" dirty="0"/>
        </a:p>
      </dgm:t>
    </dgm:pt>
    <dgm:pt modelId="{7178582D-D70A-4072-A599-CDB2830F7D77}" type="parTrans" cxnId="{FC41CC90-8CF4-48FC-88E9-09B43AF3AD75}">
      <dgm:prSet/>
      <dgm:spPr/>
      <dgm:t>
        <a:bodyPr/>
        <a:lstStyle/>
        <a:p>
          <a:endParaRPr lang="pl-PL"/>
        </a:p>
      </dgm:t>
    </dgm:pt>
    <dgm:pt modelId="{748E0542-416A-4E1B-A44F-67353A09468B}" type="sibTrans" cxnId="{FC41CC90-8CF4-48FC-88E9-09B43AF3AD75}">
      <dgm:prSet/>
      <dgm:spPr/>
      <dgm:t>
        <a:bodyPr/>
        <a:lstStyle/>
        <a:p>
          <a:endParaRPr lang="pl-PL"/>
        </a:p>
      </dgm:t>
    </dgm:pt>
    <dgm:pt modelId="{D5A0F182-814D-4DA5-916F-E7E9385E9AD4}">
      <dgm:prSet/>
      <dgm:spPr/>
      <dgm:t>
        <a:bodyPr/>
        <a:lstStyle/>
        <a:p>
          <a:r>
            <a:rPr lang="pl-PL" dirty="0" smtClean="0"/>
            <a:t>Za okres od 1 stycznia do 30 czerwca</a:t>
          </a:r>
        </a:p>
      </dgm:t>
    </dgm:pt>
    <dgm:pt modelId="{1A355B4D-B0D1-487A-90C8-6DEF36C43243}" type="parTrans" cxnId="{332C7C8F-27EF-4F65-A812-58E33ED10582}">
      <dgm:prSet/>
      <dgm:spPr/>
      <dgm:t>
        <a:bodyPr/>
        <a:lstStyle/>
        <a:p>
          <a:endParaRPr lang="pl-PL"/>
        </a:p>
      </dgm:t>
    </dgm:pt>
    <dgm:pt modelId="{0485373E-72D1-4859-910A-73E9E527DB85}" type="sibTrans" cxnId="{332C7C8F-27EF-4F65-A812-58E33ED10582}">
      <dgm:prSet/>
      <dgm:spPr/>
      <dgm:t>
        <a:bodyPr/>
        <a:lstStyle/>
        <a:p>
          <a:endParaRPr lang="pl-PL"/>
        </a:p>
      </dgm:t>
    </dgm:pt>
    <dgm:pt modelId="{622860C4-558E-41F1-BC19-499B56B5E1A1}">
      <dgm:prSet/>
      <dgm:spPr/>
      <dgm:t>
        <a:bodyPr/>
        <a:lstStyle/>
        <a:p>
          <a:r>
            <a:rPr lang="pl-PL" dirty="0" smtClean="0"/>
            <a:t>Przedsiębiorstwa obrotu</a:t>
          </a:r>
          <a:endParaRPr lang="pl-PL" dirty="0"/>
        </a:p>
      </dgm:t>
    </dgm:pt>
    <dgm:pt modelId="{DC126A36-C9E4-4113-84A3-23F465813100}" type="parTrans" cxnId="{6A9D65A6-5A50-4217-ADDC-58E010A050E4}">
      <dgm:prSet/>
      <dgm:spPr/>
      <dgm:t>
        <a:bodyPr/>
        <a:lstStyle/>
        <a:p>
          <a:endParaRPr lang="pl-PL"/>
        </a:p>
      </dgm:t>
    </dgm:pt>
    <dgm:pt modelId="{2BD3E710-8EF1-4EDE-8618-893A366AD1E3}" type="sibTrans" cxnId="{6A9D65A6-5A50-4217-ADDC-58E010A050E4}">
      <dgm:prSet/>
      <dgm:spPr/>
      <dgm:t>
        <a:bodyPr/>
        <a:lstStyle/>
        <a:p>
          <a:endParaRPr lang="pl-PL"/>
        </a:p>
      </dgm:t>
    </dgm:pt>
    <dgm:pt modelId="{B23FD31C-62C1-4B16-AE34-15363C3AD516}">
      <dgm:prSet/>
      <dgm:spPr/>
      <dgm:t>
        <a:bodyPr/>
        <a:lstStyle/>
        <a:p>
          <a:r>
            <a:rPr lang="pl-PL" dirty="0" smtClean="0"/>
            <a:t>Za okres od 1 lipca do 31 grudnia</a:t>
          </a:r>
          <a:endParaRPr lang="pl-PL" dirty="0"/>
        </a:p>
      </dgm:t>
    </dgm:pt>
    <dgm:pt modelId="{0A01F625-2FD3-41D9-80D6-15D330DD9DBD}" type="parTrans" cxnId="{E0C2E8DB-DA6A-4D4A-9305-FF2E49634B99}">
      <dgm:prSet/>
      <dgm:spPr/>
      <dgm:t>
        <a:bodyPr/>
        <a:lstStyle/>
        <a:p>
          <a:endParaRPr lang="pl-PL"/>
        </a:p>
      </dgm:t>
    </dgm:pt>
    <dgm:pt modelId="{86FBA795-7BB7-482B-864D-3F5A9827C69E}" type="sibTrans" cxnId="{E0C2E8DB-DA6A-4D4A-9305-FF2E49634B99}">
      <dgm:prSet/>
      <dgm:spPr/>
      <dgm:t>
        <a:bodyPr/>
        <a:lstStyle/>
        <a:p>
          <a:endParaRPr lang="pl-PL"/>
        </a:p>
      </dgm:t>
    </dgm:pt>
    <dgm:pt modelId="{6B72734C-D992-4483-A5A3-CB6AD94E9A1A}">
      <dgm:prSet/>
      <dgm:spPr/>
      <dgm:t>
        <a:bodyPr/>
        <a:lstStyle/>
        <a:p>
          <a:r>
            <a:rPr lang="pl-PL" dirty="0" smtClean="0"/>
            <a:t>Przedsiębiorstwa obrotu</a:t>
          </a:r>
          <a:endParaRPr lang="pl-PL" dirty="0"/>
        </a:p>
      </dgm:t>
    </dgm:pt>
    <dgm:pt modelId="{95DF07BC-1BC1-41DB-B9AE-D7F9AD49E61E}" type="parTrans" cxnId="{B1C1EA0E-BAB8-4280-8444-7B7DA91EEE90}">
      <dgm:prSet/>
      <dgm:spPr/>
      <dgm:t>
        <a:bodyPr/>
        <a:lstStyle/>
        <a:p>
          <a:endParaRPr lang="pl-PL"/>
        </a:p>
      </dgm:t>
    </dgm:pt>
    <dgm:pt modelId="{6CB475CB-304F-43C2-9823-C9326DD7275B}" type="sibTrans" cxnId="{B1C1EA0E-BAB8-4280-8444-7B7DA91EEE90}">
      <dgm:prSet/>
      <dgm:spPr/>
      <dgm:t>
        <a:bodyPr/>
        <a:lstStyle/>
        <a:p>
          <a:endParaRPr lang="pl-PL"/>
        </a:p>
      </dgm:t>
    </dgm:pt>
    <dgm:pt modelId="{597E11A8-018C-4A86-BB0C-469B3166CAB0}">
      <dgm:prSet/>
      <dgm:spPr/>
      <dgm:t>
        <a:bodyPr/>
        <a:lstStyle/>
        <a:p>
          <a:r>
            <a:rPr lang="pl-PL" dirty="0" smtClean="0"/>
            <a:t>Odbiorcy kupujący energię na giełdzie</a:t>
          </a:r>
          <a:endParaRPr lang="pl-PL" dirty="0"/>
        </a:p>
      </dgm:t>
    </dgm:pt>
    <dgm:pt modelId="{F9DE4E24-C7A6-4B7F-B7D5-C26C014E4FAA}" type="parTrans" cxnId="{41AFE9FE-B683-4A5B-B884-52F98EFB9361}">
      <dgm:prSet/>
      <dgm:spPr/>
      <dgm:t>
        <a:bodyPr/>
        <a:lstStyle/>
        <a:p>
          <a:endParaRPr lang="pl-PL"/>
        </a:p>
      </dgm:t>
    </dgm:pt>
    <dgm:pt modelId="{AF9DD6F7-0396-4EF2-8659-A2C26AE4C3B3}" type="sibTrans" cxnId="{41AFE9FE-B683-4A5B-B884-52F98EFB9361}">
      <dgm:prSet/>
      <dgm:spPr/>
      <dgm:t>
        <a:bodyPr/>
        <a:lstStyle/>
        <a:p>
          <a:endParaRPr lang="pl-PL"/>
        </a:p>
      </dgm:t>
    </dgm:pt>
    <dgm:pt modelId="{4FD2101A-40CA-46D1-BF20-F86ACC530F09}" type="pres">
      <dgm:prSet presAssocID="{0BA70F97-1369-42C9-8208-E3F37119E2AF}" presName="hierChild1" presStyleCnt="0">
        <dgm:presLayoutVars>
          <dgm:orgChart val="1"/>
          <dgm:chPref val="1"/>
          <dgm:dir/>
          <dgm:animOne val="branch"/>
          <dgm:animLvl val="lvl"/>
          <dgm:resizeHandles/>
        </dgm:presLayoutVars>
      </dgm:prSet>
      <dgm:spPr/>
      <dgm:t>
        <a:bodyPr/>
        <a:lstStyle/>
        <a:p>
          <a:endParaRPr lang="pl-PL"/>
        </a:p>
      </dgm:t>
    </dgm:pt>
    <dgm:pt modelId="{09790401-ECE8-4D59-8C9A-4B5F2F4FD82D}" type="pres">
      <dgm:prSet presAssocID="{BE34DE84-5224-43CF-854C-55F569F1535F}" presName="hierRoot1" presStyleCnt="0">
        <dgm:presLayoutVars>
          <dgm:hierBranch val="init"/>
        </dgm:presLayoutVars>
      </dgm:prSet>
      <dgm:spPr/>
    </dgm:pt>
    <dgm:pt modelId="{5F244B78-7EBE-47A2-A310-4660E8F5D0AC}" type="pres">
      <dgm:prSet presAssocID="{BE34DE84-5224-43CF-854C-55F569F1535F}" presName="rootComposite1" presStyleCnt="0"/>
      <dgm:spPr/>
    </dgm:pt>
    <dgm:pt modelId="{B990B52E-54AF-4033-9E9A-89E7C6177E31}" type="pres">
      <dgm:prSet presAssocID="{BE34DE84-5224-43CF-854C-55F569F1535F}" presName="rootText1" presStyleLbl="node0" presStyleIdx="0" presStyleCnt="1">
        <dgm:presLayoutVars>
          <dgm:chPref val="3"/>
        </dgm:presLayoutVars>
      </dgm:prSet>
      <dgm:spPr/>
      <dgm:t>
        <a:bodyPr/>
        <a:lstStyle/>
        <a:p>
          <a:endParaRPr lang="pl-PL"/>
        </a:p>
      </dgm:t>
    </dgm:pt>
    <dgm:pt modelId="{D3BFEFE5-233D-4D10-8001-133103D6311F}" type="pres">
      <dgm:prSet presAssocID="{BE34DE84-5224-43CF-854C-55F569F1535F}" presName="rootConnector1" presStyleLbl="node1" presStyleIdx="0" presStyleCnt="0"/>
      <dgm:spPr/>
      <dgm:t>
        <a:bodyPr/>
        <a:lstStyle/>
        <a:p>
          <a:endParaRPr lang="pl-PL"/>
        </a:p>
      </dgm:t>
    </dgm:pt>
    <dgm:pt modelId="{4814388E-E546-4633-9195-05C82A20943B}" type="pres">
      <dgm:prSet presAssocID="{BE34DE84-5224-43CF-854C-55F569F1535F}" presName="hierChild2" presStyleCnt="0"/>
      <dgm:spPr/>
    </dgm:pt>
    <dgm:pt modelId="{36822728-3D00-426D-A767-E65D92E22454}" type="pres">
      <dgm:prSet presAssocID="{50493069-EB5D-454C-8C77-2D30EDF01BFC}" presName="Name37" presStyleLbl="parChTrans1D2" presStyleIdx="0" presStyleCnt="2"/>
      <dgm:spPr/>
      <dgm:t>
        <a:bodyPr/>
        <a:lstStyle/>
        <a:p>
          <a:endParaRPr lang="pl-PL"/>
        </a:p>
      </dgm:t>
    </dgm:pt>
    <dgm:pt modelId="{6FFA2B46-2FB8-419A-9896-50D7782928E1}" type="pres">
      <dgm:prSet presAssocID="{B3A539FC-82FB-466C-BA06-65AF314DB824}" presName="hierRoot2" presStyleCnt="0">
        <dgm:presLayoutVars>
          <dgm:hierBranch val="init"/>
        </dgm:presLayoutVars>
      </dgm:prSet>
      <dgm:spPr/>
    </dgm:pt>
    <dgm:pt modelId="{48022ED9-6B6A-459F-A5B5-4D660E582C41}" type="pres">
      <dgm:prSet presAssocID="{B3A539FC-82FB-466C-BA06-65AF314DB824}" presName="rootComposite" presStyleCnt="0"/>
      <dgm:spPr/>
    </dgm:pt>
    <dgm:pt modelId="{88FDF3C4-BBD3-4F14-B9A9-33DD67CF1EB3}" type="pres">
      <dgm:prSet presAssocID="{B3A539FC-82FB-466C-BA06-65AF314DB824}" presName="rootText" presStyleLbl="node2" presStyleIdx="0" presStyleCnt="2">
        <dgm:presLayoutVars>
          <dgm:chPref val="3"/>
        </dgm:presLayoutVars>
      </dgm:prSet>
      <dgm:spPr/>
      <dgm:t>
        <a:bodyPr/>
        <a:lstStyle/>
        <a:p>
          <a:endParaRPr lang="pl-PL"/>
        </a:p>
      </dgm:t>
    </dgm:pt>
    <dgm:pt modelId="{224A75AD-D75C-4C26-A863-20151EB5B4E3}" type="pres">
      <dgm:prSet presAssocID="{B3A539FC-82FB-466C-BA06-65AF314DB824}" presName="rootConnector" presStyleLbl="node2" presStyleIdx="0" presStyleCnt="2"/>
      <dgm:spPr/>
      <dgm:t>
        <a:bodyPr/>
        <a:lstStyle/>
        <a:p>
          <a:endParaRPr lang="pl-PL"/>
        </a:p>
      </dgm:t>
    </dgm:pt>
    <dgm:pt modelId="{067572AC-085E-43CD-A93A-C6BC33951055}" type="pres">
      <dgm:prSet presAssocID="{B3A539FC-82FB-466C-BA06-65AF314DB824}" presName="hierChild4" presStyleCnt="0"/>
      <dgm:spPr/>
    </dgm:pt>
    <dgm:pt modelId="{E02601E1-33DB-4965-9722-81CE37DC6FD3}" type="pres">
      <dgm:prSet presAssocID="{1A355B4D-B0D1-487A-90C8-6DEF36C43243}" presName="Name37" presStyleLbl="parChTrans1D3" presStyleIdx="0" presStyleCnt="2"/>
      <dgm:spPr/>
      <dgm:t>
        <a:bodyPr/>
        <a:lstStyle/>
        <a:p>
          <a:endParaRPr lang="pl-PL"/>
        </a:p>
      </dgm:t>
    </dgm:pt>
    <dgm:pt modelId="{DBE675D0-728D-4641-BA98-676E374EB1CA}" type="pres">
      <dgm:prSet presAssocID="{D5A0F182-814D-4DA5-916F-E7E9385E9AD4}" presName="hierRoot2" presStyleCnt="0">
        <dgm:presLayoutVars>
          <dgm:hierBranch val="init"/>
        </dgm:presLayoutVars>
      </dgm:prSet>
      <dgm:spPr/>
    </dgm:pt>
    <dgm:pt modelId="{10F84927-12F2-4E38-B90B-3FE6700AAC46}" type="pres">
      <dgm:prSet presAssocID="{D5A0F182-814D-4DA5-916F-E7E9385E9AD4}" presName="rootComposite" presStyleCnt="0"/>
      <dgm:spPr/>
    </dgm:pt>
    <dgm:pt modelId="{8BFDA35B-192A-4B03-956C-A1616A3FDE29}" type="pres">
      <dgm:prSet presAssocID="{D5A0F182-814D-4DA5-916F-E7E9385E9AD4}" presName="rootText" presStyleLbl="node3" presStyleIdx="0" presStyleCnt="2">
        <dgm:presLayoutVars>
          <dgm:chPref val="3"/>
        </dgm:presLayoutVars>
      </dgm:prSet>
      <dgm:spPr/>
      <dgm:t>
        <a:bodyPr/>
        <a:lstStyle/>
        <a:p>
          <a:endParaRPr lang="pl-PL"/>
        </a:p>
      </dgm:t>
    </dgm:pt>
    <dgm:pt modelId="{5C7703F4-26E6-4DF5-8EE4-89A4495BF7DB}" type="pres">
      <dgm:prSet presAssocID="{D5A0F182-814D-4DA5-916F-E7E9385E9AD4}" presName="rootConnector" presStyleLbl="node3" presStyleIdx="0" presStyleCnt="2"/>
      <dgm:spPr/>
      <dgm:t>
        <a:bodyPr/>
        <a:lstStyle/>
        <a:p>
          <a:endParaRPr lang="pl-PL"/>
        </a:p>
      </dgm:t>
    </dgm:pt>
    <dgm:pt modelId="{EB36E5FD-F14E-49DA-BECB-DB5D4E5C3024}" type="pres">
      <dgm:prSet presAssocID="{D5A0F182-814D-4DA5-916F-E7E9385E9AD4}" presName="hierChild4" presStyleCnt="0"/>
      <dgm:spPr/>
    </dgm:pt>
    <dgm:pt modelId="{2900FEF5-652B-44FE-A63D-478A7EC28404}" type="pres">
      <dgm:prSet presAssocID="{DC126A36-C9E4-4113-84A3-23F465813100}" presName="Name37" presStyleLbl="parChTrans1D4" presStyleIdx="0" presStyleCnt="3"/>
      <dgm:spPr/>
      <dgm:t>
        <a:bodyPr/>
        <a:lstStyle/>
        <a:p>
          <a:endParaRPr lang="pl-PL"/>
        </a:p>
      </dgm:t>
    </dgm:pt>
    <dgm:pt modelId="{0868D135-AF03-48FC-9CF4-290E777FA4E2}" type="pres">
      <dgm:prSet presAssocID="{622860C4-558E-41F1-BC19-499B56B5E1A1}" presName="hierRoot2" presStyleCnt="0">
        <dgm:presLayoutVars>
          <dgm:hierBranch val="init"/>
        </dgm:presLayoutVars>
      </dgm:prSet>
      <dgm:spPr/>
    </dgm:pt>
    <dgm:pt modelId="{A0AB6E3E-E686-4318-91F2-3F09BDF812D0}" type="pres">
      <dgm:prSet presAssocID="{622860C4-558E-41F1-BC19-499B56B5E1A1}" presName="rootComposite" presStyleCnt="0"/>
      <dgm:spPr/>
    </dgm:pt>
    <dgm:pt modelId="{20C07CF2-C7C5-4FAF-B803-FCD91B772BF3}" type="pres">
      <dgm:prSet presAssocID="{622860C4-558E-41F1-BC19-499B56B5E1A1}" presName="rootText" presStyleLbl="node4" presStyleIdx="0" presStyleCnt="3">
        <dgm:presLayoutVars>
          <dgm:chPref val="3"/>
        </dgm:presLayoutVars>
      </dgm:prSet>
      <dgm:spPr/>
      <dgm:t>
        <a:bodyPr/>
        <a:lstStyle/>
        <a:p>
          <a:endParaRPr lang="pl-PL"/>
        </a:p>
      </dgm:t>
    </dgm:pt>
    <dgm:pt modelId="{F258CFA0-86F6-4FB5-8000-0AAF31786DA0}" type="pres">
      <dgm:prSet presAssocID="{622860C4-558E-41F1-BC19-499B56B5E1A1}" presName="rootConnector" presStyleLbl="node4" presStyleIdx="0" presStyleCnt="3"/>
      <dgm:spPr/>
      <dgm:t>
        <a:bodyPr/>
        <a:lstStyle/>
        <a:p>
          <a:endParaRPr lang="pl-PL"/>
        </a:p>
      </dgm:t>
    </dgm:pt>
    <dgm:pt modelId="{BB376416-2A16-446D-A101-58D8BA2D5B84}" type="pres">
      <dgm:prSet presAssocID="{622860C4-558E-41F1-BC19-499B56B5E1A1}" presName="hierChild4" presStyleCnt="0"/>
      <dgm:spPr/>
    </dgm:pt>
    <dgm:pt modelId="{7C38B85B-EB6D-4E11-90B0-F0FFD7F89196}" type="pres">
      <dgm:prSet presAssocID="{622860C4-558E-41F1-BC19-499B56B5E1A1}" presName="hierChild5" presStyleCnt="0"/>
      <dgm:spPr/>
    </dgm:pt>
    <dgm:pt modelId="{333EE26A-BAF1-4957-8D33-8DE79A8DA89C}" type="pres">
      <dgm:prSet presAssocID="{F9DE4E24-C7A6-4B7F-B7D5-C26C014E4FAA}" presName="Name37" presStyleLbl="parChTrans1D4" presStyleIdx="1" presStyleCnt="3"/>
      <dgm:spPr/>
      <dgm:t>
        <a:bodyPr/>
        <a:lstStyle/>
        <a:p>
          <a:endParaRPr lang="pl-PL"/>
        </a:p>
      </dgm:t>
    </dgm:pt>
    <dgm:pt modelId="{198DB0C8-5C16-4FB9-9FF1-F51BCA3E4B67}" type="pres">
      <dgm:prSet presAssocID="{597E11A8-018C-4A86-BB0C-469B3166CAB0}" presName="hierRoot2" presStyleCnt="0">
        <dgm:presLayoutVars>
          <dgm:hierBranch val="init"/>
        </dgm:presLayoutVars>
      </dgm:prSet>
      <dgm:spPr/>
    </dgm:pt>
    <dgm:pt modelId="{B0A7FA3B-4CF3-42D8-9851-965BAB1E6DC3}" type="pres">
      <dgm:prSet presAssocID="{597E11A8-018C-4A86-BB0C-469B3166CAB0}" presName="rootComposite" presStyleCnt="0"/>
      <dgm:spPr/>
    </dgm:pt>
    <dgm:pt modelId="{2C491FD0-79A2-4370-B9E4-F0E4A3F276C8}" type="pres">
      <dgm:prSet presAssocID="{597E11A8-018C-4A86-BB0C-469B3166CAB0}" presName="rootText" presStyleLbl="node4" presStyleIdx="1" presStyleCnt="3">
        <dgm:presLayoutVars>
          <dgm:chPref val="3"/>
        </dgm:presLayoutVars>
      </dgm:prSet>
      <dgm:spPr/>
      <dgm:t>
        <a:bodyPr/>
        <a:lstStyle/>
        <a:p>
          <a:endParaRPr lang="pl-PL"/>
        </a:p>
      </dgm:t>
    </dgm:pt>
    <dgm:pt modelId="{796E22A5-BABF-4EAE-BFE5-A10754E7A64B}" type="pres">
      <dgm:prSet presAssocID="{597E11A8-018C-4A86-BB0C-469B3166CAB0}" presName="rootConnector" presStyleLbl="node4" presStyleIdx="1" presStyleCnt="3"/>
      <dgm:spPr/>
      <dgm:t>
        <a:bodyPr/>
        <a:lstStyle/>
        <a:p>
          <a:endParaRPr lang="pl-PL"/>
        </a:p>
      </dgm:t>
    </dgm:pt>
    <dgm:pt modelId="{10AD0AB4-41BB-4883-A95C-2230E2A2E97D}" type="pres">
      <dgm:prSet presAssocID="{597E11A8-018C-4A86-BB0C-469B3166CAB0}" presName="hierChild4" presStyleCnt="0"/>
      <dgm:spPr/>
    </dgm:pt>
    <dgm:pt modelId="{152B5F91-A69B-4722-B827-A5BBE338B0C7}" type="pres">
      <dgm:prSet presAssocID="{597E11A8-018C-4A86-BB0C-469B3166CAB0}" presName="hierChild5" presStyleCnt="0"/>
      <dgm:spPr/>
    </dgm:pt>
    <dgm:pt modelId="{B4485661-EE82-43F5-A203-DB2863A0A8D5}" type="pres">
      <dgm:prSet presAssocID="{D5A0F182-814D-4DA5-916F-E7E9385E9AD4}" presName="hierChild5" presStyleCnt="0"/>
      <dgm:spPr/>
    </dgm:pt>
    <dgm:pt modelId="{BBF0627A-1B6B-449E-AF09-4F4A30DA4372}" type="pres">
      <dgm:prSet presAssocID="{B3A539FC-82FB-466C-BA06-65AF314DB824}" presName="hierChild5" presStyleCnt="0"/>
      <dgm:spPr/>
    </dgm:pt>
    <dgm:pt modelId="{A88DDE3B-AD6A-433C-80BC-53EB58CE7A5D}" type="pres">
      <dgm:prSet presAssocID="{7178582D-D70A-4072-A599-CDB2830F7D77}" presName="Name37" presStyleLbl="parChTrans1D2" presStyleIdx="1" presStyleCnt="2"/>
      <dgm:spPr/>
      <dgm:t>
        <a:bodyPr/>
        <a:lstStyle/>
        <a:p>
          <a:endParaRPr lang="pl-PL"/>
        </a:p>
      </dgm:t>
    </dgm:pt>
    <dgm:pt modelId="{A1DF053A-D22B-4DEB-86D5-7A45D96EDDE5}" type="pres">
      <dgm:prSet presAssocID="{9C804613-275E-40D2-ABD2-7D5950163756}" presName="hierRoot2" presStyleCnt="0">
        <dgm:presLayoutVars>
          <dgm:hierBranch val="init"/>
        </dgm:presLayoutVars>
      </dgm:prSet>
      <dgm:spPr/>
    </dgm:pt>
    <dgm:pt modelId="{14D610D2-AE70-4D27-94EA-9153C3D38EF5}" type="pres">
      <dgm:prSet presAssocID="{9C804613-275E-40D2-ABD2-7D5950163756}" presName="rootComposite" presStyleCnt="0"/>
      <dgm:spPr/>
    </dgm:pt>
    <dgm:pt modelId="{D269CD0E-5CF5-474F-8024-65B65C5AF8F5}" type="pres">
      <dgm:prSet presAssocID="{9C804613-275E-40D2-ABD2-7D5950163756}" presName="rootText" presStyleLbl="node2" presStyleIdx="1" presStyleCnt="2">
        <dgm:presLayoutVars>
          <dgm:chPref val="3"/>
        </dgm:presLayoutVars>
      </dgm:prSet>
      <dgm:spPr/>
      <dgm:t>
        <a:bodyPr/>
        <a:lstStyle/>
        <a:p>
          <a:endParaRPr lang="pl-PL"/>
        </a:p>
      </dgm:t>
    </dgm:pt>
    <dgm:pt modelId="{B0E6B438-408B-4838-9DA0-BEED96F35DCF}" type="pres">
      <dgm:prSet presAssocID="{9C804613-275E-40D2-ABD2-7D5950163756}" presName="rootConnector" presStyleLbl="node2" presStyleIdx="1" presStyleCnt="2"/>
      <dgm:spPr/>
      <dgm:t>
        <a:bodyPr/>
        <a:lstStyle/>
        <a:p>
          <a:endParaRPr lang="pl-PL"/>
        </a:p>
      </dgm:t>
    </dgm:pt>
    <dgm:pt modelId="{A006A7E3-2115-4B30-ADBE-8048E4560EA8}" type="pres">
      <dgm:prSet presAssocID="{9C804613-275E-40D2-ABD2-7D5950163756}" presName="hierChild4" presStyleCnt="0"/>
      <dgm:spPr/>
    </dgm:pt>
    <dgm:pt modelId="{146E533B-5423-4D1C-A655-C1ACCD3AB082}" type="pres">
      <dgm:prSet presAssocID="{0A01F625-2FD3-41D9-80D6-15D330DD9DBD}" presName="Name37" presStyleLbl="parChTrans1D3" presStyleIdx="1" presStyleCnt="2"/>
      <dgm:spPr/>
      <dgm:t>
        <a:bodyPr/>
        <a:lstStyle/>
        <a:p>
          <a:endParaRPr lang="pl-PL"/>
        </a:p>
      </dgm:t>
    </dgm:pt>
    <dgm:pt modelId="{F92D6478-F8DF-4CEA-BD1F-0BFADB32832A}" type="pres">
      <dgm:prSet presAssocID="{B23FD31C-62C1-4B16-AE34-15363C3AD516}" presName="hierRoot2" presStyleCnt="0">
        <dgm:presLayoutVars>
          <dgm:hierBranch val="init"/>
        </dgm:presLayoutVars>
      </dgm:prSet>
      <dgm:spPr/>
    </dgm:pt>
    <dgm:pt modelId="{F2DF5B9B-3B49-4C9C-9DDE-ECCE27F6342B}" type="pres">
      <dgm:prSet presAssocID="{B23FD31C-62C1-4B16-AE34-15363C3AD516}" presName="rootComposite" presStyleCnt="0"/>
      <dgm:spPr/>
    </dgm:pt>
    <dgm:pt modelId="{B014D1E9-B259-4153-8EB5-C5334373FF5B}" type="pres">
      <dgm:prSet presAssocID="{B23FD31C-62C1-4B16-AE34-15363C3AD516}" presName="rootText" presStyleLbl="node3" presStyleIdx="1" presStyleCnt="2">
        <dgm:presLayoutVars>
          <dgm:chPref val="3"/>
        </dgm:presLayoutVars>
      </dgm:prSet>
      <dgm:spPr/>
      <dgm:t>
        <a:bodyPr/>
        <a:lstStyle/>
        <a:p>
          <a:endParaRPr lang="pl-PL"/>
        </a:p>
      </dgm:t>
    </dgm:pt>
    <dgm:pt modelId="{6F7C50C9-D4EA-496F-AFB3-5A53B324BA4E}" type="pres">
      <dgm:prSet presAssocID="{B23FD31C-62C1-4B16-AE34-15363C3AD516}" presName="rootConnector" presStyleLbl="node3" presStyleIdx="1" presStyleCnt="2"/>
      <dgm:spPr/>
      <dgm:t>
        <a:bodyPr/>
        <a:lstStyle/>
        <a:p>
          <a:endParaRPr lang="pl-PL"/>
        </a:p>
      </dgm:t>
    </dgm:pt>
    <dgm:pt modelId="{3D1C7AAF-5921-49F6-ABF1-27A048F61FF9}" type="pres">
      <dgm:prSet presAssocID="{B23FD31C-62C1-4B16-AE34-15363C3AD516}" presName="hierChild4" presStyleCnt="0"/>
      <dgm:spPr/>
    </dgm:pt>
    <dgm:pt modelId="{1EC707FC-2A73-40BD-A329-BFEEAD267FD4}" type="pres">
      <dgm:prSet presAssocID="{95DF07BC-1BC1-41DB-B9AE-D7F9AD49E61E}" presName="Name37" presStyleLbl="parChTrans1D4" presStyleIdx="2" presStyleCnt="3"/>
      <dgm:spPr/>
      <dgm:t>
        <a:bodyPr/>
        <a:lstStyle/>
        <a:p>
          <a:endParaRPr lang="pl-PL"/>
        </a:p>
      </dgm:t>
    </dgm:pt>
    <dgm:pt modelId="{1353BFEB-F1B0-46CC-AD8E-FD2C3DAA6CDE}" type="pres">
      <dgm:prSet presAssocID="{6B72734C-D992-4483-A5A3-CB6AD94E9A1A}" presName="hierRoot2" presStyleCnt="0">
        <dgm:presLayoutVars>
          <dgm:hierBranch val="init"/>
        </dgm:presLayoutVars>
      </dgm:prSet>
      <dgm:spPr/>
    </dgm:pt>
    <dgm:pt modelId="{D9CBA3DB-398A-427A-83F0-9925CF53A9D1}" type="pres">
      <dgm:prSet presAssocID="{6B72734C-D992-4483-A5A3-CB6AD94E9A1A}" presName="rootComposite" presStyleCnt="0"/>
      <dgm:spPr/>
    </dgm:pt>
    <dgm:pt modelId="{3B33A6E3-8A7C-4E89-BF07-B96C68F257D3}" type="pres">
      <dgm:prSet presAssocID="{6B72734C-D992-4483-A5A3-CB6AD94E9A1A}" presName="rootText" presStyleLbl="node4" presStyleIdx="2" presStyleCnt="3">
        <dgm:presLayoutVars>
          <dgm:chPref val="3"/>
        </dgm:presLayoutVars>
      </dgm:prSet>
      <dgm:spPr/>
      <dgm:t>
        <a:bodyPr/>
        <a:lstStyle/>
        <a:p>
          <a:endParaRPr lang="pl-PL"/>
        </a:p>
      </dgm:t>
    </dgm:pt>
    <dgm:pt modelId="{66F53FAC-4961-497B-9DA6-DA6785234A24}" type="pres">
      <dgm:prSet presAssocID="{6B72734C-D992-4483-A5A3-CB6AD94E9A1A}" presName="rootConnector" presStyleLbl="node4" presStyleIdx="2" presStyleCnt="3"/>
      <dgm:spPr/>
      <dgm:t>
        <a:bodyPr/>
        <a:lstStyle/>
        <a:p>
          <a:endParaRPr lang="pl-PL"/>
        </a:p>
      </dgm:t>
    </dgm:pt>
    <dgm:pt modelId="{232D7D47-161F-4E22-BB92-5C50F0772ABB}" type="pres">
      <dgm:prSet presAssocID="{6B72734C-D992-4483-A5A3-CB6AD94E9A1A}" presName="hierChild4" presStyleCnt="0"/>
      <dgm:spPr/>
    </dgm:pt>
    <dgm:pt modelId="{9784C44F-50EF-4257-A72C-DCCBD47C30E6}" type="pres">
      <dgm:prSet presAssocID="{6B72734C-D992-4483-A5A3-CB6AD94E9A1A}" presName="hierChild5" presStyleCnt="0"/>
      <dgm:spPr/>
    </dgm:pt>
    <dgm:pt modelId="{7EA9D6C2-8E0F-4A6B-8636-4D0DDD1C8422}" type="pres">
      <dgm:prSet presAssocID="{B23FD31C-62C1-4B16-AE34-15363C3AD516}" presName="hierChild5" presStyleCnt="0"/>
      <dgm:spPr/>
    </dgm:pt>
    <dgm:pt modelId="{1E04D08C-3C13-409E-85E3-4E9C3D4647BD}" type="pres">
      <dgm:prSet presAssocID="{9C804613-275E-40D2-ABD2-7D5950163756}" presName="hierChild5" presStyleCnt="0"/>
      <dgm:spPr/>
    </dgm:pt>
    <dgm:pt modelId="{03B9DDC6-601E-404A-83E5-9962F383B5E2}" type="pres">
      <dgm:prSet presAssocID="{BE34DE84-5224-43CF-854C-55F569F1535F}" presName="hierChild3" presStyleCnt="0"/>
      <dgm:spPr/>
    </dgm:pt>
  </dgm:ptLst>
  <dgm:cxnLst>
    <dgm:cxn modelId="{5E7959B0-A750-447F-AB49-DED4A82A9539}" type="presOf" srcId="{1A355B4D-B0D1-487A-90C8-6DEF36C43243}" destId="{E02601E1-33DB-4965-9722-81CE37DC6FD3}" srcOrd="0" destOrd="0" presId="urn:microsoft.com/office/officeart/2005/8/layout/orgChart1"/>
    <dgm:cxn modelId="{E55ADD97-B93D-4F0F-A9F0-330713AFB121}" type="presOf" srcId="{6B72734C-D992-4483-A5A3-CB6AD94E9A1A}" destId="{66F53FAC-4961-497B-9DA6-DA6785234A24}" srcOrd="1" destOrd="0" presId="urn:microsoft.com/office/officeart/2005/8/layout/orgChart1"/>
    <dgm:cxn modelId="{F3A7CB8D-3932-48E2-B14E-6D49ED6E6369}" srcId="{BE34DE84-5224-43CF-854C-55F569F1535F}" destId="{B3A539FC-82FB-466C-BA06-65AF314DB824}" srcOrd="0" destOrd="0" parTransId="{50493069-EB5D-454C-8C77-2D30EDF01BFC}" sibTransId="{021027C9-876F-42EC-8AC1-335D4702CB75}"/>
    <dgm:cxn modelId="{6A9D65A6-5A50-4217-ADDC-58E010A050E4}" srcId="{D5A0F182-814D-4DA5-916F-E7E9385E9AD4}" destId="{622860C4-558E-41F1-BC19-499B56B5E1A1}" srcOrd="0" destOrd="0" parTransId="{DC126A36-C9E4-4113-84A3-23F465813100}" sibTransId="{2BD3E710-8EF1-4EDE-8618-893A366AD1E3}"/>
    <dgm:cxn modelId="{27973C0F-AC8A-4BDF-9C57-4BB2384B0D0D}" type="presOf" srcId="{7178582D-D70A-4072-A599-CDB2830F7D77}" destId="{A88DDE3B-AD6A-433C-80BC-53EB58CE7A5D}" srcOrd="0" destOrd="0" presId="urn:microsoft.com/office/officeart/2005/8/layout/orgChart1"/>
    <dgm:cxn modelId="{99CC0A7D-6760-4DD2-8A5F-ED1199FDA329}" type="presOf" srcId="{95DF07BC-1BC1-41DB-B9AE-D7F9AD49E61E}" destId="{1EC707FC-2A73-40BD-A329-BFEEAD267FD4}" srcOrd="0" destOrd="0" presId="urn:microsoft.com/office/officeart/2005/8/layout/orgChart1"/>
    <dgm:cxn modelId="{177D1202-F4A0-4C36-A8A4-29E56CCC4104}" type="presOf" srcId="{B23FD31C-62C1-4B16-AE34-15363C3AD516}" destId="{B014D1E9-B259-4153-8EB5-C5334373FF5B}" srcOrd="0" destOrd="0" presId="urn:microsoft.com/office/officeart/2005/8/layout/orgChart1"/>
    <dgm:cxn modelId="{B7E452DD-59D0-4CAF-AA2B-703A95FF2C4F}" type="presOf" srcId="{622860C4-558E-41F1-BC19-499B56B5E1A1}" destId="{F258CFA0-86F6-4FB5-8000-0AAF31786DA0}" srcOrd="1" destOrd="0" presId="urn:microsoft.com/office/officeart/2005/8/layout/orgChart1"/>
    <dgm:cxn modelId="{4C9B5A2C-B626-42C4-8C13-ECB11E890826}" type="presOf" srcId="{9C804613-275E-40D2-ABD2-7D5950163756}" destId="{B0E6B438-408B-4838-9DA0-BEED96F35DCF}" srcOrd="1" destOrd="0" presId="urn:microsoft.com/office/officeart/2005/8/layout/orgChart1"/>
    <dgm:cxn modelId="{332C7C8F-27EF-4F65-A812-58E33ED10582}" srcId="{B3A539FC-82FB-466C-BA06-65AF314DB824}" destId="{D5A0F182-814D-4DA5-916F-E7E9385E9AD4}" srcOrd="0" destOrd="0" parTransId="{1A355B4D-B0D1-487A-90C8-6DEF36C43243}" sibTransId="{0485373E-72D1-4859-910A-73E9E527DB85}"/>
    <dgm:cxn modelId="{EACC147E-754C-42F6-83BD-1662425C8FEC}" type="presOf" srcId="{0A01F625-2FD3-41D9-80D6-15D330DD9DBD}" destId="{146E533B-5423-4D1C-A655-C1ACCD3AB082}" srcOrd="0" destOrd="0" presId="urn:microsoft.com/office/officeart/2005/8/layout/orgChart1"/>
    <dgm:cxn modelId="{CB8EBEFB-9668-4254-8B2C-2CC6750FEB8F}" type="presOf" srcId="{B23FD31C-62C1-4B16-AE34-15363C3AD516}" destId="{6F7C50C9-D4EA-496F-AFB3-5A53B324BA4E}" srcOrd="1" destOrd="0" presId="urn:microsoft.com/office/officeart/2005/8/layout/orgChart1"/>
    <dgm:cxn modelId="{628A5186-5C17-40F9-9F8A-2BD683B3A952}" type="presOf" srcId="{622860C4-558E-41F1-BC19-499B56B5E1A1}" destId="{20C07CF2-C7C5-4FAF-B803-FCD91B772BF3}" srcOrd="0" destOrd="0" presId="urn:microsoft.com/office/officeart/2005/8/layout/orgChart1"/>
    <dgm:cxn modelId="{4D8FD2C5-B79D-4A0C-AF07-0DE00FA96F7E}" type="presOf" srcId="{BE34DE84-5224-43CF-854C-55F569F1535F}" destId="{D3BFEFE5-233D-4D10-8001-133103D6311F}" srcOrd="1" destOrd="0" presId="urn:microsoft.com/office/officeart/2005/8/layout/orgChart1"/>
    <dgm:cxn modelId="{E0C2E8DB-DA6A-4D4A-9305-FF2E49634B99}" srcId="{9C804613-275E-40D2-ABD2-7D5950163756}" destId="{B23FD31C-62C1-4B16-AE34-15363C3AD516}" srcOrd="0" destOrd="0" parTransId="{0A01F625-2FD3-41D9-80D6-15D330DD9DBD}" sibTransId="{86FBA795-7BB7-482B-864D-3F5A9827C69E}"/>
    <dgm:cxn modelId="{A1501BC4-F7C1-4618-AC88-00B2F66BC1ED}" type="presOf" srcId="{F9DE4E24-C7A6-4B7F-B7D5-C26C014E4FAA}" destId="{333EE26A-BAF1-4957-8D33-8DE79A8DA89C}" srcOrd="0" destOrd="0" presId="urn:microsoft.com/office/officeart/2005/8/layout/orgChart1"/>
    <dgm:cxn modelId="{506C21EA-BC2A-4B50-88C2-5CB22226C3EE}" type="presOf" srcId="{6B72734C-D992-4483-A5A3-CB6AD94E9A1A}" destId="{3B33A6E3-8A7C-4E89-BF07-B96C68F257D3}" srcOrd="0" destOrd="0" presId="urn:microsoft.com/office/officeart/2005/8/layout/orgChart1"/>
    <dgm:cxn modelId="{03207704-7C52-44E0-A906-51D36CB7B873}" type="presOf" srcId="{DC126A36-C9E4-4113-84A3-23F465813100}" destId="{2900FEF5-652B-44FE-A63D-478A7EC28404}" srcOrd="0" destOrd="0" presId="urn:microsoft.com/office/officeart/2005/8/layout/orgChart1"/>
    <dgm:cxn modelId="{13D2740E-45F2-48AB-BA36-06D0F4525A48}" srcId="{0BA70F97-1369-42C9-8208-E3F37119E2AF}" destId="{BE34DE84-5224-43CF-854C-55F569F1535F}" srcOrd="0" destOrd="0" parTransId="{6F10E2DC-E99B-4C8F-AD43-B9639EA55D61}" sibTransId="{364E96B3-DE02-43BE-A3DB-2E51AAB72338}"/>
    <dgm:cxn modelId="{730257E5-EAE0-4FCD-A496-D213CA0D8780}" type="presOf" srcId="{597E11A8-018C-4A86-BB0C-469B3166CAB0}" destId="{2C491FD0-79A2-4370-B9E4-F0E4A3F276C8}" srcOrd="0" destOrd="0" presId="urn:microsoft.com/office/officeart/2005/8/layout/orgChart1"/>
    <dgm:cxn modelId="{B1C1EA0E-BAB8-4280-8444-7B7DA91EEE90}" srcId="{B23FD31C-62C1-4B16-AE34-15363C3AD516}" destId="{6B72734C-D992-4483-A5A3-CB6AD94E9A1A}" srcOrd="0" destOrd="0" parTransId="{95DF07BC-1BC1-41DB-B9AE-D7F9AD49E61E}" sibTransId="{6CB475CB-304F-43C2-9823-C9326DD7275B}"/>
    <dgm:cxn modelId="{41AFE9FE-B683-4A5B-B884-52F98EFB9361}" srcId="{D5A0F182-814D-4DA5-916F-E7E9385E9AD4}" destId="{597E11A8-018C-4A86-BB0C-469B3166CAB0}" srcOrd="1" destOrd="0" parTransId="{F9DE4E24-C7A6-4B7F-B7D5-C26C014E4FAA}" sibTransId="{AF9DD6F7-0396-4EF2-8659-A2C26AE4C3B3}"/>
    <dgm:cxn modelId="{FC41CC90-8CF4-48FC-88E9-09B43AF3AD75}" srcId="{BE34DE84-5224-43CF-854C-55F569F1535F}" destId="{9C804613-275E-40D2-ABD2-7D5950163756}" srcOrd="1" destOrd="0" parTransId="{7178582D-D70A-4072-A599-CDB2830F7D77}" sibTransId="{748E0542-416A-4E1B-A44F-67353A09468B}"/>
    <dgm:cxn modelId="{71E2592D-5CEA-40B9-8E3F-1845EF38B596}" type="presOf" srcId="{597E11A8-018C-4A86-BB0C-469B3166CAB0}" destId="{796E22A5-BABF-4EAE-BFE5-A10754E7A64B}" srcOrd="1" destOrd="0" presId="urn:microsoft.com/office/officeart/2005/8/layout/orgChart1"/>
    <dgm:cxn modelId="{C177B16E-8DAF-483A-8C66-8D9EAA6E8F14}" type="presOf" srcId="{BE34DE84-5224-43CF-854C-55F569F1535F}" destId="{B990B52E-54AF-4033-9E9A-89E7C6177E31}" srcOrd="0" destOrd="0" presId="urn:microsoft.com/office/officeart/2005/8/layout/orgChart1"/>
    <dgm:cxn modelId="{FF0BE0AF-5BAF-4DFD-B263-AAF295A59E16}" type="presOf" srcId="{D5A0F182-814D-4DA5-916F-E7E9385E9AD4}" destId="{8BFDA35B-192A-4B03-956C-A1616A3FDE29}" srcOrd="0" destOrd="0" presId="urn:microsoft.com/office/officeart/2005/8/layout/orgChart1"/>
    <dgm:cxn modelId="{EE86E2E2-E8C0-440D-BE2C-83A3AA85F9E2}" type="presOf" srcId="{9C804613-275E-40D2-ABD2-7D5950163756}" destId="{D269CD0E-5CF5-474F-8024-65B65C5AF8F5}" srcOrd="0" destOrd="0" presId="urn:microsoft.com/office/officeart/2005/8/layout/orgChart1"/>
    <dgm:cxn modelId="{9FED2B95-EE6F-4997-A086-682CEF2599D7}" type="presOf" srcId="{D5A0F182-814D-4DA5-916F-E7E9385E9AD4}" destId="{5C7703F4-26E6-4DF5-8EE4-89A4495BF7DB}" srcOrd="1" destOrd="0" presId="urn:microsoft.com/office/officeart/2005/8/layout/orgChart1"/>
    <dgm:cxn modelId="{AD231607-F25C-4B7A-8D01-B1D5E5B02152}" type="presOf" srcId="{B3A539FC-82FB-466C-BA06-65AF314DB824}" destId="{224A75AD-D75C-4C26-A863-20151EB5B4E3}" srcOrd="1" destOrd="0" presId="urn:microsoft.com/office/officeart/2005/8/layout/orgChart1"/>
    <dgm:cxn modelId="{FB0BE243-71AD-47DD-899E-9BE6F9494CB3}" type="presOf" srcId="{50493069-EB5D-454C-8C77-2D30EDF01BFC}" destId="{36822728-3D00-426D-A767-E65D92E22454}" srcOrd="0" destOrd="0" presId="urn:microsoft.com/office/officeart/2005/8/layout/orgChart1"/>
    <dgm:cxn modelId="{B04C0C62-0C8B-4112-9D25-57A42B80653B}" type="presOf" srcId="{B3A539FC-82FB-466C-BA06-65AF314DB824}" destId="{88FDF3C4-BBD3-4F14-B9A9-33DD67CF1EB3}" srcOrd="0" destOrd="0" presId="urn:microsoft.com/office/officeart/2005/8/layout/orgChart1"/>
    <dgm:cxn modelId="{D91F1E5F-6314-4CC6-8203-F84644AC71F0}" type="presOf" srcId="{0BA70F97-1369-42C9-8208-E3F37119E2AF}" destId="{4FD2101A-40CA-46D1-BF20-F86ACC530F09}" srcOrd="0" destOrd="0" presId="urn:microsoft.com/office/officeart/2005/8/layout/orgChart1"/>
    <dgm:cxn modelId="{1C65E380-0CF4-48BD-B97F-77CA7619D083}" type="presParOf" srcId="{4FD2101A-40CA-46D1-BF20-F86ACC530F09}" destId="{09790401-ECE8-4D59-8C9A-4B5F2F4FD82D}" srcOrd="0" destOrd="0" presId="urn:microsoft.com/office/officeart/2005/8/layout/orgChart1"/>
    <dgm:cxn modelId="{73BD42A9-20BA-4915-BE5B-C94EA135176D}" type="presParOf" srcId="{09790401-ECE8-4D59-8C9A-4B5F2F4FD82D}" destId="{5F244B78-7EBE-47A2-A310-4660E8F5D0AC}" srcOrd="0" destOrd="0" presId="urn:microsoft.com/office/officeart/2005/8/layout/orgChart1"/>
    <dgm:cxn modelId="{EE1D8DF8-AD79-40B2-8E91-CA3190203503}" type="presParOf" srcId="{5F244B78-7EBE-47A2-A310-4660E8F5D0AC}" destId="{B990B52E-54AF-4033-9E9A-89E7C6177E31}" srcOrd="0" destOrd="0" presId="urn:microsoft.com/office/officeart/2005/8/layout/orgChart1"/>
    <dgm:cxn modelId="{275BE6C6-F550-4038-A3B2-E64AC7353939}" type="presParOf" srcId="{5F244B78-7EBE-47A2-A310-4660E8F5D0AC}" destId="{D3BFEFE5-233D-4D10-8001-133103D6311F}" srcOrd="1" destOrd="0" presId="urn:microsoft.com/office/officeart/2005/8/layout/orgChart1"/>
    <dgm:cxn modelId="{CAD171B9-47A9-4D9E-BCFA-FEC1D8B42434}" type="presParOf" srcId="{09790401-ECE8-4D59-8C9A-4B5F2F4FD82D}" destId="{4814388E-E546-4633-9195-05C82A20943B}" srcOrd="1" destOrd="0" presId="urn:microsoft.com/office/officeart/2005/8/layout/orgChart1"/>
    <dgm:cxn modelId="{6DF5A0F0-E9EB-4F08-B50A-704FAC50DC27}" type="presParOf" srcId="{4814388E-E546-4633-9195-05C82A20943B}" destId="{36822728-3D00-426D-A767-E65D92E22454}" srcOrd="0" destOrd="0" presId="urn:microsoft.com/office/officeart/2005/8/layout/orgChart1"/>
    <dgm:cxn modelId="{B93FB092-788E-436B-8430-43BF392EA47C}" type="presParOf" srcId="{4814388E-E546-4633-9195-05C82A20943B}" destId="{6FFA2B46-2FB8-419A-9896-50D7782928E1}" srcOrd="1" destOrd="0" presId="urn:microsoft.com/office/officeart/2005/8/layout/orgChart1"/>
    <dgm:cxn modelId="{85E31699-565A-4B46-93D4-A5431ECA5793}" type="presParOf" srcId="{6FFA2B46-2FB8-419A-9896-50D7782928E1}" destId="{48022ED9-6B6A-459F-A5B5-4D660E582C41}" srcOrd="0" destOrd="0" presId="urn:microsoft.com/office/officeart/2005/8/layout/orgChart1"/>
    <dgm:cxn modelId="{A601C7A9-FD96-4FD3-B725-E0F9F9454CC6}" type="presParOf" srcId="{48022ED9-6B6A-459F-A5B5-4D660E582C41}" destId="{88FDF3C4-BBD3-4F14-B9A9-33DD67CF1EB3}" srcOrd="0" destOrd="0" presId="urn:microsoft.com/office/officeart/2005/8/layout/orgChart1"/>
    <dgm:cxn modelId="{87EDC783-F0CE-4364-B1E2-FE119701D6D3}" type="presParOf" srcId="{48022ED9-6B6A-459F-A5B5-4D660E582C41}" destId="{224A75AD-D75C-4C26-A863-20151EB5B4E3}" srcOrd="1" destOrd="0" presId="urn:microsoft.com/office/officeart/2005/8/layout/orgChart1"/>
    <dgm:cxn modelId="{9263821C-B757-496F-8818-9B8A14660E25}" type="presParOf" srcId="{6FFA2B46-2FB8-419A-9896-50D7782928E1}" destId="{067572AC-085E-43CD-A93A-C6BC33951055}" srcOrd="1" destOrd="0" presId="urn:microsoft.com/office/officeart/2005/8/layout/orgChart1"/>
    <dgm:cxn modelId="{AFBBE8CB-72AD-435D-8DD6-C278D2D74F03}" type="presParOf" srcId="{067572AC-085E-43CD-A93A-C6BC33951055}" destId="{E02601E1-33DB-4965-9722-81CE37DC6FD3}" srcOrd="0" destOrd="0" presId="urn:microsoft.com/office/officeart/2005/8/layout/orgChart1"/>
    <dgm:cxn modelId="{9FBAE6D2-6F8D-4820-A0B3-8686CC0F521F}" type="presParOf" srcId="{067572AC-085E-43CD-A93A-C6BC33951055}" destId="{DBE675D0-728D-4641-BA98-676E374EB1CA}" srcOrd="1" destOrd="0" presId="urn:microsoft.com/office/officeart/2005/8/layout/orgChart1"/>
    <dgm:cxn modelId="{9267BFED-105B-43A8-A191-FA8725DA2AAB}" type="presParOf" srcId="{DBE675D0-728D-4641-BA98-676E374EB1CA}" destId="{10F84927-12F2-4E38-B90B-3FE6700AAC46}" srcOrd="0" destOrd="0" presId="urn:microsoft.com/office/officeart/2005/8/layout/orgChart1"/>
    <dgm:cxn modelId="{9E9BB45A-1DE7-43B3-8DF2-C18EFD54F5C2}" type="presParOf" srcId="{10F84927-12F2-4E38-B90B-3FE6700AAC46}" destId="{8BFDA35B-192A-4B03-956C-A1616A3FDE29}" srcOrd="0" destOrd="0" presId="urn:microsoft.com/office/officeart/2005/8/layout/orgChart1"/>
    <dgm:cxn modelId="{9506150B-7043-4992-A82D-58E7F961FE49}" type="presParOf" srcId="{10F84927-12F2-4E38-B90B-3FE6700AAC46}" destId="{5C7703F4-26E6-4DF5-8EE4-89A4495BF7DB}" srcOrd="1" destOrd="0" presId="urn:microsoft.com/office/officeart/2005/8/layout/orgChart1"/>
    <dgm:cxn modelId="{28A4D825-4C6B-4C70-8898-3063AA612BF6}" type="presParOf" srcId="{DBE675D0-728D-4641-BA98-676E374EB1CA}" destId="{EB36E5FD-F14E-49DA-BECB-DB5D4E5C3024}" srcOrd="1" destOrd="0" presId="urn:microsoft.com/office/officeart/2005/8/layout/orgChart1"/>
    <dgm:cxn modelId="{F2C885EA-E76B-4626-AE48-9164E741ECB0}" type="presParOf" srcId="{EB36E5FD-F14E-49DA-BECB-DB5D4E5C3024}" destId="{2900FEF5-652B-44FE-A63D-478A7EC28404}" srcOrd="0" destOrd="0" presId="urn:microsoft.com/office/officeart/2005/8/layout/orgChart1"/>
    <dgm:cxn modelId="{BF23E995-FF7A-492D-9D0D-2903C0FA7243}" type="presParOf" srcId="{EB36E5FD-F14E-49DA-BECB-DB5D4E5C3024}" destId="{0868D135-AF03-48FC-9CF4-290E777FA4E2}" srcOrd="1" destOrd="0" presId="urn:microsoft.com/office/officeart/2005/8/layout/orgChart1"/>
    <dgm:cxn modelId="{61572CE8-E136-4897-A770-8F0EE5C666AA}" type="presParOf" srcId="{0868D135-AF03-48FC-9CF4-290E777FA4E2}" destId="{A0AB6E3E-E686-4318-91F2-3F09BDF812D0}" srcOrd="0" destOrd="0" presId="urn:microsoft.com/office/officeart/2005/8/layout/orgChart1"/>
    <dgm:cxn modelId="{B7F27267-2B5B-4704-B51E-4641140EC68B}" type="presParOf" srcId="{A0AB6E3E-E686-4318-91F2-3F09BDF812D0}" destId="{20C07CF2-C7C5-4FAF-B803-FCD91B772BF3}" srcOrd="0" destOrd="0" presId="urn:microsoft.com/office/officeart/2005/8/layout/orgChart1"/>
    <dgm:cxn modelId="{E08FC11B-B81A-4918-828B-5A74117FA938}" type="presParOf" srcId="{A0AB6E3E-E686-4318-91F2-3F09BDF812D0}" destId="{F258CFA0-86F6-4FB5-8000-0AAF31786DA0}" srcOrd="1" destOrd="0" presId="urn:microsoft.com/office/officeart/2005/8/layout/orgChart1"/>
    <dgm:cxn modelId="{E38F805E-AE56-482A-BB95-C114FD1315FA}" type="presParOf" srcId="{0868D135-AF03-48FC-9CF4-290E777FA4E2}" destId="{BB376416-2A16-446D-A101-58D8BA2D5B84}" srcOrd="1" destOrd="0" presId="urn:microsoft.com/office/officeart/2005/8/layout/orgChart1"/>
    <dgm:cxn modelId="{73071959-95E1-4C40-9C20-4B104711F6EF}" type="presParOf" srcId="{0868D135-AF03-48FC-9CF4-290E777FA4E2}" destId="{7C38B85B-EB6D-4E11-90B0-F0FFD7F89196}" srcOrd="2" destOrd="0" presId="urn:microsoft.com/office/officeart/2005/8/layout/orgChart1"/>
    <dgm:cxn modelId="{C04704CF-C0B7-4DC9-9A9C-61673E99E9C7}" type="presParOf" srcId="{EB36E5FD-F14E-49DA-BECB-DB5D4E5C3024}" destId="{333EE26A-BAF1-4957-8D33-8DE79A8DA89C}" srcOrd="2" destOrd="0" presId="urn:microsoft.com/office/officeart/2005/8/layout/orgChart1"/>
    <dgm:cxn modelId="{2B9AC4DB-614E-474C-978D-F724561C0771}" type="presParOf" srcId="{EB36E5FD-F14E-49DA-BECB-DB5D4E5C3024}" destId="{198DB0C8-5C16-4FB9-9FF1-F51BCA3E4B67}" srcOrd="3" destOrd="0" presId="urn:microsoft.com/office/officeart/2005/8/layout/orgChart1"/>
    <dgm:cxn modelId="{5198623C-8E97-41E7-8BD6-23F358D1A8BC}" type="presParOf" srcId="{198DB0C8-5C16-4FB9-9FF1-F51BCA3E4B67}" destId="{B0A7FA3B-4CF3-42D8-9851-965BAB1E6DC3}" srcOrd="0" destOrd="0" presId="urn:microsoft.com/office/officeart/2005/8/layout/orgChart1"/>
    <dgm:cxn modelId="{94665034-447E-4232-A2E9-DBF22E40142F}" type="presParOf" srcId="{B0A7FA3B-4CF3-42D8-9851-965BAB1E6DC3}" destId="{2C491FD0-79A2-4370-B9E4-F0E4A3F276C8}" srcOrd="0" destOrd="0" presId="urn:microsoft.com/office/officeart/2005/8/layout/orgChart1"/>
    <dgm:cxn modelId="{9F5DF0E5-4FEA-45C0-81F7-357C63DBDFBA}" type="presParOf" srcId="{B0A7FA3B-4CF3-42D8-9851-965BAB1E6DC3}" destId="{796E22A5-BABF-4EAE-BFE5-A10754E7A64B}" srcOrd="1" destOrd="0" presId="urn:microsoft.com/office/officeart/2005/8/layout/orgChart1"/>
    <dgm:cxn modelId="{51609398-21DE-460E-BCA1-3A2FACD40943}" type="presParOf" srcId="{198DB0C8-5C16-4FB9-9FF1-F51BCA3E4B67}" destId="{10AD0AB4-41BB-4883-A95C-2230E2A2E97D}" srcOrd="1" destOrd="0" presId="urn:microsoft.com/office/officeart/2005/8/layout/orgChart1"/>
    <dgm:cxn modelId="{C92C463D-B6AB-46D1-B5F7-FB4D8633F5BA}" type="presParOf" srcId="{198DB0C8-5C16-4FB9-9FF1-F51BCA3E4B67}" destId="{152B5F91-A69B-4722-B827-A5BBE338B0C7}" srcOrd="2" destOrd="0" presId="urn:microsoft.com/office/officeart/2005/8/layout/orgChart1"/>
    <dgm:cxn modelId="{F19EDB13-159F-4E92-BC9C-9C04C6051A65}" type="presParOf" srcId="{DBE675D0-728D-4641-BA98-676E374EB1CA}" destId="{B4485661-EE82-43F5-A203-DB2863A0A8D5}" srcOrd="2" destOrd="0" presId="urn:microsoft.com/office/officeart/2005/8/layout/orgChart1"/>
    <dgm:cxn modelId="{BB910399-C296-42A5-BA5F-D26BF3A46DDB}" type="presParOf" srcId="{6FFA2B46-2FB8-419A-9896-50D7782928E1}" destId="{BBF0627A-1B6B-449E-AF09-4F4A30DA4372}" srcOrd="2" destOrd="0" presId="urn:microsoft.com/office/officeart/2005/8/layout/orgChart1"/>
    <dgm:cxn modelId="{790BEC31-6E55-41A6-9BEC-F6580EC7A0A2}" type="presParOf" srcId="{4814388E-E546-4633-9195-05C82A20943B}" destId="{A88DDE3B-AD6A-433C-80BC-53EB58CE7A5D}" srcOrd="2" destOrd="0" presId="urn:microsoft.com/office/officeart/2005/8/layout/orgChart1"/>
    <dgm:cxn modelId="{F92A3E6C-8771-4FED-B211-BCFA2EAC4FB9}" type="presParOf" srcId="{4814388E-E546-4633-9195-05C82A20943B}" destId="{A1DF053A-D22B-4DEB-86D5-7A45D96EDDE5}" srcOrd="3" destOrd="0" presId="urn:microsoft.com/office/officeart/2005/8/layout/orgChart1"/>
    <dgm:cxn modelId="{56FA796C-5395-43FE-9977-43F8D377C2E7}" type="presParOf" srcId="{A1DF053A-D22B-4DEB-86D5-7A45D96EDDE5}" destId="{14D610D2-AE70-4D27-94EA-9153C3D38EF5}" srcOrd="0" destOrd="0" presId="urn:microsoft.com/office/officeart/2005/8/layout/orgChart1"/>
    <dgm:cxn modelId="{11922F5F-C124-4FC0-BC54-9DC56C0AF1DB}" type="presParOf" srcId="{14D610D2-AE70-4D27-94EA-9153C3D38EF5}" destId="{D269CD0E-5CF5-474F-8024-65B65C5AF8F5}" srcOrd="0" destOrd="0" presId="urn:microsoft.com/office/officeart/2005/8/layout/orgChart1"/>
    <dgm:cxn modelId="{E6838A59-9449-4B86-A31B-F6E0AD3C7F88}" type="presParOf" srcId="{14D610D2-AE70-4D27-94EA-9153C3D38EF5}" destId="{B0E6B438-408B-4838-9DA0-BEED96F35DCF}" srcOrd="1" destOrd="0" presId="urn:microsoft.com/office/officeart/2005/8/layout/orgChart1"/>
    <dgm:cxn modelId="{96D319D7-DFB1-4E84-8A03-9262CBD18CE2}" type="presParOf" srcId="{A1DF053A-D22B-4DEB-86D5-7A45D96EDDE5}" destId="{A006A7E3-2115-4B30-ADBE-8048E4560EA8}" srcOrd="1" destOrd="0" presId="urn:microsoft.com/office/officeart/2005/8/layout/orgChart1"/>
    <dgm:cxn modelId="{6C70973C-642A-4E1C-AD0D-D3C58EB58790}" type="presParOf" srcId="{A006A7E3-2115-4B30-ADBE-8048E4560EA8}" destId="{146E533B-5423-4D1C-A655-C1ACCD3AB082}" srcOrd="0" destOrd="0" presId="urn:microsoft.com/office/officeart/2005/8/layout/orgChart1"/>
    <dgm:cxn modelId="{44FAE14E-4C68-493B-9930-544F27048F37}" type="presParOf" srcId="{A006A7E3-2115-4B30-ADBE-8048E4560EA8}" destId="{F92D6478-F8DF-4CEA-BD1F-0BFADB32832A}" srcOrd="1" destOrd="0" presId="urn:microsoft.com/office/officeart/2005/8/layout/orgChart1"/>
    <dgm:cxn modelId="{78C9A805-D51B-4D12-B032-6608F5443EB4}" type="presParOf" srcId="{F92D6478-F8DF-4CEA-BD1F-0BFADB32832A}" destId="{F2DF5B9B-3B49-4C9C-9DDE-ECCE27F6342B}" srcOrd="0" destOrd="0" presId="urn:microsoft.com/office/officeart/2005/8/layout/orgChart1"/>
    <dgm:cxn modelId="{1453B15A-0977-4C58-8DF4-9D2525574F07}" type="presParOf" srcId="{F2DF5B9B-3B49-4C9C-9DDE-ECCE27F6342B}" destId="{B014D1E9-B259-4153-8EB5-C5334373FF5B}" srcOrd="0" destOrd="0" presId="urn:microsoft.com/office/officeart/2005/8/layout/orgChart1"/>
    <dgm:cxn modelId="{495F000A-BFF7-4973-8DE6-7B330CE2B5DE}" type="presParOf" srcId="{F2DF5B9B-3B49-4C9C-9DDE-ECCE27F6342B}" destId="{6F7C50C9-D4EA-496F-AFB3-5A53B324BA4E}" srcOrd="1" destOrd="0" presId="urn:microsoft.com/office/officeart/2005/8/layout/orgChart1"/>
    <dgm:cxn modelId="{F947BF90-058C-4967-98BE-C37F8F5D1735}" type="presParOf" srcId="{F92D6478-F8DF-4CEA-BD1F-0BFADB32832A}" destId="{3D1C7AAF-5921-49F6-ABF1-27A048F61FF9}" srcOrd="1" destOrd="0" presId="urn:microsoft.com/office/officeart/2005/8/layout/orgChart1"/>
    <dgm:cxn modelId="{30D286E6-8297-4F0D-867D-64909B6E2BF7}" type="presParOf" srcId="{3D1C7AAF-5921-49F6-ABF1-27A048F61FF9}" destId="{1EC707FC-2A73-40BD-A329-BFEEAD267FD4}" srcOrd="0" destOrd="0" presId="urn:microsoft.com/office/officeart/2005/8/layout/orgChart1"/>
    <dgm:cxn modelId="{1EB46B88-3423-4626-B6EA-88E2758D51E7}" type="presParOf" srcId="{3D1C7AAF-5921-49F6-ABF1-27A048F61FF9}" destId="{1353BFEB-F1B0-46CC-AD8E-FD2C3DAA6CDE}" srcOrd="1" destOrd="0" presId="urn:microsoft.com/office/officeart/2005/8/layout/orgChart1"/>
    <dgm:cxn modelId="{8A3436AD-F7C1-44B0-B388-0CEEA1D1BA17}" type="presParOf" srcId="{1353BFEB-F1B0-46CC-AD8E-FD2C3DAA6CDE}" destId="{D9CBA3DB-398A-427A-83F0-9925CF53A9D1}" srcOrd="0" destOrd="0" presId="urn:microsoft.com/office/officeart/2005/8/layout/orgChart1"/>
    <dgm:cxn modelId="{EBD5F58D-705D-489D-AEF2-1C1517EEFB7B}" type="presParOf" srcId="{D9CBA3DB-398A-427A-83F0-9925CF53A9D1}" destId="{3B33A6E3-8A7C-4E89-BF07-B96C68F257D3}" srcOrd="0" destOrd="0" presId="urn:microsoft.com/office/officeart/2005/8/layout/orgChart1"/>
    <dgm:cxn modelId="{123DAECF-797C-4C95-B1A6-82972B476E73}" type="presParOf" srcId="{D9CBA3DB-398A-427A-83F0-9925CF53A9D1}" destId="{66F53FAC-4961-497B-9DA6-DA6785234A24}" srcOrd="1" destOrd="0" presId="urn:microsoft.com/office/officeart/2005/8/layout/orgChart1"/>
    <dgm:cxn modelId="{126A4DB4-3F76-4FCF-A4CB-A27490DEE119}" type="presParOf" srcId="{1353BFEB-F1B0-46CC-AD8E-FD2C3DAA6CDE}" destId="{232D7D47-161F-4E22-BB92-5C50F0772ABB}" srcOrd="1" destOrd="0" presId="urn:microsoft.com/office/officeart/2005/8/layout/orgChart1"/>
    <dgm:cxn modelId="{834B51ED-E1DF-46B0-967A-ACD88C1B62E5}" type="presParOf" srcId="{1353BFEB-F1B0-46CC-AD8E-FD2C3DAA6CDE}" destId="{9784C44F-50EF-4257-A72C-DCCBD47C30E6}" srcOrd="2" destOrd="0" presId="urn:microsoft.com/office/officeart/2005/8/layout/orgChart1"/>
    <dgm:cxn modelId="{55F85615-83CA-4C3E-8C8A-3DA9D50C66B6}" type="presParOf" srcId="{F92D6478-F8DF-4CEA-BD1F-0BFADB32832A}" destId="{7EA9D6C2-8E0F-4A6B-8636-4D0DDD1C8422}" srcOrd="2" destOrd="0" presId="urn:microsoft.com/office/officeart/2005/8/layout/orgChart1"/>
    <dgm:cxn modelId="{570A9382-3302-495A-93B9-464BF9F75412}" type="presParOf" srcId="{A1DF053A-D22B-4DEB-86D5-7A45D96EDDE5}" destId="{1E04D08C-3C13-409E-85E3-4E9C3D4647BD}" srcOrd="2" destOrd="0" presId="urn:microsoft.com/office/officeart/2005/8/layout/orgChart1"/>
    <dgm:cxn modelId="{94F3044D-6E23-4361-B9A6-BD554047946F}" type="presParOf" srcId="{09790401-ECE8-4D59-8C9A-4B5F2F4FD82D}" destId="{03B9DDC6-601E-404A-83E5-9962F383B5E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C707FC-2A73-40BD-A329-BFEEAD267FD4}">
      <dsp:nvSpPr>
        <dsp:cNvPr id="0" name=""/>
        <dsp:cNvSpPr/>
      </dsp:nvSpPr>
      <dsp:spPr>
        <a:xfrm>
          <a:off x="2881482" y="2077620"/>
          <a:ext cx="162231" cy="497510"/>
        </a:xfrm>
        <a:custGeom>
          <a:avLst/>
          <a:gdLst/>
          <a:ahLst/>
          <a:cxnLst/>
          <a:rect l="0" t="0" r="0" b="0"/>
          <a:pathLst>
            <a:path>
              <a:moveTo>
                <a:pt x="0" y="0"/>
              </a:moveTo>
              <a:lnTo>
                <a:pt x="0" y="497510"/>
              </a:lnTo>
              <a:lnTo>
                <a:pt x="162231" y="4975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6E533B-5423-4D1C-A655-C1ACCD3AB082}">
      <dsp:nvSpPr>
        <dsp:cNvPr id="0" name=""/>
        <dsp:cNvSpPr/>
      </dsp:nvSpPr>
      <dsp:spPr>
        <a:xfrm>
          <a:off x="3268380" y="1309723"/>
          <a:ext cx="91440" cy="227124"/>
        </a:xfrm>
        <a:custGeom>
          <a:avLst/>
          <a:gdLst/>
          <a:ahLst/>
          <a:cxnLst/>
          <a:rect l="0" t="0" r="0" b="0"/>
          <a:pathLst>
            <a:path>
              <a:moveTo>
                <a:pt x="45720" y="0"/>
              </a:moveTo>
              <a:lnTo>
                <a:pt x="45720" y="2271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8DDE3B-AD6A-433C-80BC-53EB58CE7A5D}">
      <dsp:nvSpPr>
        <dsp:cNvPr id="0" name=""/>
        <dsp:cNvSpPr/>
      </dsp:nvSpPr>
      <dsp:spPr>
        <a:xfrm>
          <a:off x="2659765" y="541826"/>
          <a:ext cx="654334" cy="227124"/>
        </a:xfrm>
        <a:custGeom>
          <a:avLst/>
          <a:gdLst/>
          <a:ahLst/>
          <a:cxnLst/>
          <a:rect l="0" t="0" r="0" b="0"/>
          <a:pathLst>
            <a:path>
              <a:moveTo>
                <a:pt x="0" y="0"/>
              </a:moveTo>
              <a:lnTo>
                <a:pt x="0" y="113562"/>
              </a:lnTo>
              <a:lnTo>
                <a:pt x="654334" y="113562"/>
              </a:lnTo>
              <a:lnTo>
                <a:pt x="654334" y="2271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3EE26A-BAF1-4957-8D33-8DE79A8DA89C}">
      <dsp:nvSpPr>
        <dsp:cNvPr id="0" name=""/>
        <dsp:cNvSpPr/>
      </dsp:nvSpPr>
      <dsp:spPr>
        <a:xfrm>
          <a:off x="1572812" y="2077620"/>
          <a:ext cx="162231" cy="1265407"/>
        </a:xfrm>
        <a:custGeom>
          <a:avLst/>
          <a:gdLst/>
          <a:ahLst/>
          <a:cxnLst/>
          <a:rect l="0" t="0" r="0" b="0"/>
          <a:pathLst>
            <a:path>
              <a:moveTo>
                <a:pt x="0" y="0"/>
              </a:moveTo>
              <a:lnTo>
                <a:pt x="0" y="1265407"/>
              </a:lnTo>
              <a:lnTo>
                <a:pt x="162231" y="126540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00FEF5-652B-44FE-A63D-478A7EC28404}">
      <dsp:nvSpPr>
        <dsp:cNvPr id="0" name=""/>
        <dsp:cNvSpPr/>
      </dsp:nvSpPr>
      <dsp:spPr>
        <a:xfrm>
          <a:off x="1572812" y="2077620"/>
          <a:ext cx="162231" cy="497510"/>
        </a:xfrm>
        <a:custGeom>
          <a:avLst/>
          <a:gdLst/>
          <a:ahLst/>
          <a:cxnLst/>
          <a:rect l="0" t="0" r="0" b="0"/>
          <a:pathLst>
            <a:path>
              <a:moveTo>
                <a:pt x="0" y="0"/>
              </a:moveTo>
              <a:lnTo>
                <a:pt x="0" y="497510"/>
              </a:lnTo>
              <a:lnTo>
                <a:pt x="162231" y="4975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2601E1-33DB-4965-9722-81CE37DC6FD3}">
      <dsp:nvSpPr>
        <dsp:cNvPr id="0" name=""/>
        <dsp:cNvSpPr/>
      </dsp:nvSpPr>
      <dsp:spPr>
        <a:xfrm>
          <a:off x="1959710" y="1309723"/>
          <a:ext cx="91440" cy="227124"/>
        </a:xfrm>
        <a:custGeom>
          <a:avLst/>
          <a:gdLst/>
          <a:ahLst/>
          <a:cxnLst/>
          <a:rect l="0" t="0" r="0" b="0"/>
          <a:pathLst>
            <a:path>
              <a:moveTo>
                <a:pt x="45720" y="0"/>
              </a:moveTo>
              <a:lnTo>
                <a:pt x="45720" y="2271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822728-3D00-426D-A767-E65D92E22454}">
      <dsp:nvSpPr>
        <dsp:cNvPr id="0" name=""/>
        <dsp:cNvSpPr/>
      </dsp:nvSpPr>
      <dsp:spPr>
        <a:xfrm>
          <a:off x="2005430" y="541826"/>
          <a:ext cx="654334" cy="227124"/>
        </a:xfrm>
        <a:custGeom>
          <a:avLst/>
          <a:gdLst/>
          <a:ahLst/>
          <a:cxnLst/>
          <a:rect l="0" t="0" r="0" b="0"/>
          <a:pathLst>
            <a:path>
              <a:moveTo>
                <a:pt x="654334" y="0"/>
              </a:moveTo>
              <a:lnTo>
                <a:pt x="654334" y="113562"/>
              </a:lnTo>
              <a:lnTo>
                <a:pt x="0" y="113562"/>
              </a:lnTo>
              <a:lnTo>
                <a:pt x="0" y="2271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90B52E-54AF-4033-9E9A-89E7C6177E31}">
      <dsp:nvSpPr>
        <dsp:cNvPr id="0" name=""/>
        <dsp:cNvSpPr/>
      </dsp:nvSpPr>
      <dsp:spPr>
        <a:xfrm>
          <a:off x="2118992" y="1053"/>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Mechanizm wypłat </a:t>
          </a:r>
          <a:r>
            <a:rPr lang="pl-PL" sz="900" kern="1200" smtClean="0"/>
            <a:t>z funduszu </a:t>
          </a:r>
          <a:r>
            <a:rPr lang="pl-PL" sz="900" kern="1200" dirty="0" smtClean="0"/>
            <a:t>po nowelizacji </a:t>
          </a:r>
          <a:endParaRPr lang="pl-PL" sz="900" kern="1200" dirty="0"/>
        </a:p>
      </dsp:txBody>
      <dsp:txXfrm>
        <a:off x="2118992" y="1053"/>
        <a:ext cx="1081545" cy="540772"/>
      </dsp:txXfrm>
    </dsp:sp>
    <dsp:sp modelId="{88FDF3C4-BBD3-4F14-B9A9-33DD67CF1EB3}">
      <dsp:nvSpPr>
        <dsp:cNvPr id="0" name=""/>
        <dsp:cNvSpPr/>
      </dsp:nvSpPr>
      <dsp:spPr>
        <a:xfrm>
          <a:off x="1464657" y="768950"/>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Kwota róznicy ceny</a:t>
          </a:r>
          <a:endParaRPr lang="pl-PL" sz="900" kern="1200" dirty="0"/>
        </a:p>
      </dsp:txBody>
      <dsp:txXfrm>
        <a:off x="1464657" y="768950"/>
        <a:ext cx="1081545" cy="540772"/>
      </dsp:txXfrm>
    </dsp:sp>
    <dsp:sp modelId="{8BFDA35B-192A-4B03-956C-A1616A3FDE29}">
      <dsp:nvSpPr>
        <dsp:cNvPr id="0" name=""/>
        <dsp:cNvSpPr/>
      </dsp:nvSpPr>
      <dsp:spPr>
        <a:xfrm>
          <a:off x="1464657" y="1536847"/>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Za okres od 1 stycznia do 30 czerwca</a:t>
          </a:r>
        </a:p>
      </dsp:txBody>
      <dsp:txXfrm>
        <a:off x="1464657" y="1536847"/>
        <a:ext cx="1081545" cy="540772"/>
      </dsp:txXfrm>
    </dsp:sp>
    <dsp:sp modelId="{20C07CF2-C7C5-4FAF-B803-FCD91B772BF3}">
      <dsp:nvSpPr>
        <dsp:cNvPr id="0" name=""/>
        <dsp:cNvSpPr/>
      </dsp:nvSpPr>
      <dsp:spPr>
        <a:xfrm>
          <a:off x="1735044" y="2304744"/>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Przedsiębiorstwa obrotu</a:t>
          </a:r>
          <a:endParaRPr lang="pl-PL" sz="900" kern="1200" dirty="0"/>
        </a:p>
      </dsp:txBody>
      <dsp:txXfrm>
        <a:off x="1735044" y="2304744"/>
        <a:ext cx="1081545" cy="540772"/>
      </dsp:txXfrm>
    </dsp:sp>
    <dsp:sp modelId="{2C491FD0-79A2-4370-B9E4-F0E4A3F276C8}">
      <dsp:nvSpPr>
        <dsp:cNvPr id="0" name=""/>
        <dsp:cNvSpPr/>
      </dsp:nvSpPr>
      <dsp:spPr>
        <a:xfrm>
          <a:off x="1735044" y="3072641"/>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Odbiorcy kupujący energię na giełdzie</a:t>
          </a:r>
          <a:endParaRPr lang="pl-PL" sz="900" kern="1200" dirty="0"/>
        </a:p>
      </dsp:txBody>
      <dsp:txXfrm>
        <a:off x="1735044" y="3072641"/>
        <a:ext cx="1081545" cy="540772"/>
      </dsp:txXfrm>
    </dsp:sp>
    <dsp:sp modelId="{D269CD0E-5CF5-474F-8024-65B65C5AF8F5}">
      <dsp:nvSpPr>
        <dsp:cNvPr id="0" name=""/>
        <dsp:cNvSpPr/>
      </dsp:nvSpPr>
      <dsp:spPr>
        <a:xfrm>
          <a:off x="2773327" y="768950"/>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Rekompensata finansowa z tytułu świadczenia usługi publicznej</a:t>
          </a:r>
          <a:endParaRPr lang="pl-PL" sz="900" kern="1200" dirty="0"/>
        </a:p>
      </dsp:txBody>
      <dsp:txXfrm>
        <a:off x="2773327" y="768950"/>
        <a:ext cx="1081545" cy="540772"/>
      </dsp:txXfrm>
    </dsp:sp>
    <dsp:sp modelId="{B014D1E9-B259-4153-8EB5-C5334373FF5B}">
      <dsp:nvSpPr>
        <dsp:cNvPr id="0" name=""/>
        <dsp:cNvSpPr/>
      </dsp:nvSpPr>
      <dsp:spPr>
        <a:xfrm>
          <a:off x="2773327" y="1536847"/>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Za okres od 1 lipca do 31 grudnia</a:t>
          </a:r>
          <a:endParaRPr lang="pl-PL" sz="900" kern="1200" dirty="0"/>
        </a:p>
      </dsp:txBody>
      <dsp:txXfrm>
        <a:off x="2773327" y="1536847"/>
        <a:ext cx="1081545" cy="540772"/>
      </dsp:txXfrm>
    </dsp:sp>
    <dsp:sp modelId="{3B33A6E3-8A7C-4E89-BF07-B96C68F257D3}">
      <dsp:nvSpPr>
        <dsp:cNvPr id="0" name=""/>
        <dsp:cNvSpPr/>
      </dsp:nvSpPr>
      <dsp:spPr>
        <a:xfrm>
          <a:off x="3043713" y="2304744"/>
          <a:ext cx="1081545" cy="5407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pl-PL" sz="900" kern="1200" dirty="0" smtClean="0"/>
            <a:t>Przedsiębiorstwa obrotu</a:t>
          </a:r>
          <a:endParaRPr lang="pl-PL" sz="900" kern="1200" dirty="0"/>
        </a:p>
      </dsp:txBody>
      <dsp:txXfrm>
        <a:off x="3043713" y="2304744"/>
        <a:ext cx="1081545" cy="5407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E0BB8-068C-480D-9E5E-C7D7E8BB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4481</Words>
  <Characters>26886</Characters>
  <Application>Microsoft Office Word</Application>
  <DocSecurity>0</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Emilia Celińska</cp:lastModifiedBy>
  <cp:revision>2</cp:revision>
  <cp:lastPrinted>2019-02-14T08:44:00Z</cp:lastPrinted>
  <dcterms:created xsi:type="dcterms:W3CDTF">2019-06-07T13:03:00Z</dcterms:created>
  <dcterms:modified xsi:type="dcterms:W3CDTF">2019-06-07T13:03:00Z</dcterms:modified>
</cp:coreProperties>
</file>