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3C33E" w14:textId="46294CEA" w:rsidR="006B7B7A" w:rsidRPr="00D06F20" w:rsidRDefault="004E5772" w:rsidP="00CD3D8E">
      <w:pPr>
        <w:spacing w:after="0" w:line="360" w:lineRule="auto"/>
        <w:jc w:val="center"/>
        <w:rPr>
          <w:rFonts w:ascii="Times New Roman" w:hAnsi="Times New Roman"/>
          <w:b/>
          <w:spacing w:val="26"/>
          <w:sz w:val="24"/>
          <w:szCs w:val="24"/>
        </w:rPr>
      </w:pPr>
      <w:bookmarkStart w:id="0" w:name="_GoBack"/>
      <w:bookmarkEnd w:id="0"/>
      <w:r w:rsidRPr="00D06F20">
        <w:rPr>
          <w:rFonts w:ascii="Times New Roman" w:eastAsia="Times New Roman" w:hAnsi="Times New Roman"/>
          <w:b/>
          <w:caps/>
          <w:spacing w:val="26"/>
          <w:sz w:val="24"/>
          <w:szCs w:val="24"/>
          <w:lang w:eastAsia="pl-PL"/>
        </w:rPr>
        <w:t>Uzasadnienie</w:t>
      </w:r>
    </w:p>
    <w:p w14:paraId="0E160DE0" w14:textId="77777777" w:rsidR="006B7B7A" w:rsidRPr="0070741E" w:rsidRDefault="006B7B7A" w:rsidP="00CD3D8E">
      <w:pPr>
        <w:spacing w:after="0" w:line="360" w:lineRule="auto"/>
        <w:jc w:val="both"/>
        <w:rPr>
          <w:rFonts w:ascii="Times New Roman" w:hAnsi="Times New Roman"/>
          <w:b/>
          <w:sz w:val="24"/>
          <w:szCs w:val="24"/>
        </w:rPr>
      </w:pPr>
    </w:p>
    <w:p w14:paraId="7F1EF083" w14:textId="77777777" w:rsidR="006B7B7A" w:rsidRPr="0070741E" w:rsidRDefault="004E5772" w:rsidP="00CD3D8E">
      <w:pPr>
        <w:spacing w:after="0" w:line="360" w:lineRule="auto"/>
        <w:jc w:val="both"/>
        <w:rPr>
          <w:rFonts w:ascii="Times New Roman" w:hAnsi="Times New Roman"/>
          <w:b/>
          <w:sz w:val="24"/>
          <w:szCs w:val="24"/>
          <w:u w:val="single"/>
        </w:rPr>
      </w:pPr>
      <w:r w:rsidRPr="0070741E">
        <w:rPr>
          <w:rFonts w:ascii="Times New Roman" w:hAnsi="Times New Roman"/>
          <w:b/>
          <w:sz w:val="24"/>
          <w:szCs w:val="24"/>
          <w:u w:val="single"/>
        </w:rPr>
        <w:t>I. Wprowadzenie</w:t>
      </w:r>
    </w:p>
    <w:p w14:paraId="60FDBCE3" w14:textId="77777777" w:rsidR="00DA5BF0" w:rsidRPr="0070741E" w:rsidRDefault="00DA5BF0" w:rsidP="00CD3D8E">
      <w:pPr>
        <w:spacing w:after="0" w:line="360" w:lineRule="auto"/>
        <w:jc w:val="both"/>
        <w:rPr>
          <w:rFonts w:ascii="Times New Roman" w:hAnsi="Times New Roman"/>
          <w:sz w:val="24"/>
          <w:szCs w:val="24"/>
        </w:rPr>
      </w:pPr>
    </w:p>
    <w:p w14:paraId="01442E81" w14:textId="7E2151C7" w:rsidR="006B7B7A" w:rsidRPr="0070741E" w:rsidRDefault="004E5772" w:rsidP="00CD3D8E">
      <w:pPr>
        <w:spacing w:after="0" w:line="360" w:lineRule="auto"/>
        <w:jc w:val="both"/>
        <w:rPr>
          <w:rFonts w:ascii="Times New Roman" w:hAnsi="Times New Roman"/>
          <w:spacing w:val="-2"/>
          <w:sz w:val="24"/>
          <w:szCs w:val="24"/>
        </w:rPr>
      </w:pPr>
      <w:r w:rsidRPr="0070741E">
        <w:rPr>
          <w:rFonts w:ascii="Times New Roman" w:hAnsi="Times New Roman"/>
          <w:sz w:val="24"/>
          <w:szCs w:val="24"/>
        </w:rPr>
        <w:t xml:space="preserve">W ramach tego projektu proponuje się zmiany w ustawie z dnia 11 marca 2004 r. o podatku od towarów i usług </w:t>
      </w:r>
      <w:r w:rsidR="007E6970" w:rsidRPr="0070741E">
        <w:rPr>
          <w:rFonts w:ascii="Times New Roman" w:eastAsia="Times New Roman" w:hAnsi="Times New Roman"/>
          <w:sz w:val="24"/>
          <w:szCs w:val="24"/>
          <w:lang w:eastAsia="pl-PL"/>
        </w:rPr>
        <w:t>(</w:t>
      </w:r>
      <w:r w:rsidR="002F0E29" w:rsidRPr="0070741E">
        <w:rPr>
          <w:rFonts w:ascii="Times New Roman" w:eastAsia="Times New Roman" w:hAnsi="Times New Roman"/>
          <w:sz w:val="24"/>
          <w:szCs w:val="24"/>
          <w:lang w:eastAsia="pl-PL"/>
        </w:rPr>
        <w:t xml:space="preserve">Dz. U. z 2018 r. poz. 2174, </w:t>
      </w:r>
      <w:r w:rsidR="00EB150A" w:rsidRPr="0070741E">
        <w:rPr>
          <w:rFonts w:ascii="Times New Roman" w:eastAsia="Times New Roman" w:hAnsi="Times New Roman"/>
          <w:sz w:val="24"/>
          <w:szCs w:val="24"/>
          <w:lang w:eastAsia="pl-PL"/>
        </w:rPr>
        <w:t>ze zm.</w:t>
      </w:r>
      <w:r w:rsidR="007E6970" w:rsidRPr="0070741E">
        <w:rPr>
          <w:rFonts w:ascii="Times New Roman" w:eastAsia="Times New Roman" w:hAnsi="Times New Roman"/>
          <w:sz w:val="24"/>
          <w:szCs w:val="24"/>
          <w:lang w:eastAsia="pl-PL"/>
        </w:rPr>
        <w:t>)</w:t>
      </w:r>
      <w:r w:rsidRPr="0070741E">
        <w:rPr>
          <w:rFonts w:ascii="Times New Roman" w:hAnsi="Times New Roman"/>
          <w:sz w:val="24"/>
          <w:szCs w:val="24"/>
        </w:rPr>
        <w:t xml:space="preserve"> –</w:t>
      </w:r>
      <w:r w:rsidR="006B3F91" w:rsidRPr="0070741E">
        <w:rPr>
          <w:rFonts w:ascii="Times New Roman" w:hAnsi="Times New Roman"/>
          <w:sz w:val="24"/>
          <w:szCs w:val="24"/>
        </w:rPr>
        <w:t xml:space="preserve"> </w:t>
      </w:r>
      <w:r w:rsidRPr="0070741E">
        <w:rPr>
          <w:rFonts w:ascii="Times New Roman" w:hAnsi="Times New Roman"/>
          <w:sz w:val="24"/>
          <w:szCs w:val="24"/>
        </w:rPr>
        <w:t>dalej: ustaw</w:t>
      </w:r>
      <w:r w:rsidR="00DB3EF9" w:rsidRPr="0070741E">
        <w:rPr>
          <w:rFonts w:ascii="Times New Roman" w:hAnsi="Times New Roman"/>
          <w:sz w:val="24"/>
          <w:szCs w:val="24"/>
        </w:rPr>
        <w:t>a</w:t>
      </w:r>
      <w:r w:rsidRPr="0070741E">
        <w:rPr>
          <w:rFonts w:ascii="Times New Roman" w:hAnsi="Times New Roman"/>
          <w:sz w:val="24"/>
          <w:szCs w:val="24"/>
        </w:rPr>
        <w:t xml:space="preserve"> </w:t>
      </w:r>
      <w:r w:rsidRPr="0070741E">
        <w:rPr>
          <w:rFonts w:ascii="Times New Roman" w:hAnsi="Times New Roman"/>
          <w:spacing w:val="-2"/>
          <w:sz w:val="24"/>
          <w:szCs w:val="24"/>
        </w:rPr>
        <w:t xml:space="preserve">o VAT, </w:t>
      </w:r>
      <w:r w:rsidR="00032948" w:rsidRPr="0070741E">
        <w:rPr>
          <w:rFonts w:ascii="Times New Roman" w:hAnsi="Times New Roman"/>
          <w:spacing w:val="-2"/>
          <w:sz w:val="24"/>
          <w:szCs w:val="24"/>
        </w:rPr>
        <w:t>w </w:t>
      </w:r>
      <w:r w:rsidR="00792429">
        <w:rPr>
          <w:rFonts w:ascii="Times New Roman" w:hAnsi="Times New Roman"/>
          <w:spacing w:val="-2"/>
          <w:sz w:val="24"/>
          <w:szCs w:val="24"/>
        </w:rPr>
        <w:t>ustawie z </w:t>
      </w:r>
      <w:r w:rsidR="006D78E8" w:rsidRPr="0070741E">
        <w:rPr>
          <w:rFonts w:ascii="Times New Roman" w:hAnsi="Times New Roman"/>
          <w:spacing w:val="-2"/>
          <w:sz w:val="24"/>
          <w:szCs w:val="24"/>
        </w:rPr>
        <w:t>dnia 6 grudnia 2008 r. o podatku akcyzowym (</w:t>
      </w:r>
      <w:r w:rsidR="00BD7B40" w:rsidRPr="0070741E">
        <w:rPr>
          <w:rFonts w:ascii="Times New Roman" w:hAnsi="Times New Roman"/>
          <w:spacing w:val="-2"/>
          <w:sz w:val="24"/>
          <w:szCs w:val="24"/>
        </w:rPr>
        <w:t>Dz. U. z 201</w:t>
      </w:r>
      <w:r w:rsidR="00FF70EF">
        <w:rPr>
          <w:rFonts w:ascii="Times New Roman" w:hAnsi="Times New Roman"/>
          <w:spacing w:val="-2"/>
          <w:sz w:val="24"/>
          <w:szCs w:val="24"/>
        </w:rPr>
        <w:t>9</w:t>
      </w:r>
      <w:r w:rsidR="00BD7B40" w:rsidRPr="0070741E">
        <w:rPr>
          <w:rFonts w:ascii="Times New Roman" w:hAnsi="Times New Roman"/>
          <w:spacing w:val="-2"/>
          <w:sz w:val="24"/>
          <w:szCs w:val="24"/>
        </w:rPr>
        <w:t xml:space="preserve"> r. poz. </w:t>
      </w:r>
      <w:r w:rsidR="00FF70EF">
        <w:rPr>
          <w:rFonts w:ascii="Times New Roman" w:hAnsi="Times New Roman"/>
          <w:spacing w:val="-2"/>
          <w:sz w:val="24"/>
          <w:szCs w:val="24"/>
        </w:rPr>
        <w:t>864</w:t>
      </w:r>
      <w:r w:rsidR="006D78E8" w:rsidRPr="0070741E">
        <w:rPr>
          <w:rFonts w:ascii="Times New Roman" w:hAnsi="Times New Roman"/>
          <w:spacing w:val="-2"/>
          <w:sz w:val="24"/>
          <w:szCs w:val="24"/>
        </w:rPr>
        <w:t xml:space="preserve">) </w:t>
      </w:r>
      <w:r w:rsidR="006D78E8" w:rsidRPr="0070741E">
        <w:rPr>
          <w:rFonts w:ascii="Times New Roman" w:hAnsi="Times New Roman"/>
          <w:sz w:val="24"/>
          <w:szCs w:val="24"/>
        </w:rPr>
        <w:t>–</w:t>
      </w:r>
      <w:r w:rsidR="006B3F91" w:rsidRPr="0070741E">
        <w:rPr>
          <w:rFonts w:ascii="Times New Roman" w:hAnsi="Times New Roman"/>
          <w:sz w:val="24"/>
          <w:szCs w:val="24"/>
        </w:rPr>
        <w:t xml:space="preserve"> </w:t>
      </w:r>
      <w:r w:rsidR="006D78E8" w:rsidRPr="0070741E">
        <w:rPr>
          <w:rFonts w:ascii="Times New Roman" w:hAnsi="Times New Roman"/>
          <w:sz w:val="24"/>
          <w:szCs w:val="24"/>
        </w:rPr>
        <w:t xml:space="preserve">dalej: </w:t>
      </w:r>
      <w:r w:rsidR="00BA513D" w:rsidRPr="0070741E">
        <w:rPr>
          <w:rFonts w:ascii="Times New Roman" w:hAnsi="Times New Roman"/>
          <w:spacing w:val="-2"/>
          <w:sz w:val="24"/>
          <w:szCs w:val="24"/>
        </w:rPr>
        <w:t>ustawa o </w:t>
      </w:r>
      <w:r w:rsidR="006D78E8" w:rsidRPr="0070741E">
        <w:rPr>
          <w:rFonts w:ascii="Times New Roman" w:hAnsi="Times New Roman"/>
          <w:spacing w:val="-2"/>
          <w:sz w:val="24"/>
          <w:szCs w:val="24"/>
        </w:rPr>
        <w:t xml:space="preserve">podatku akcyzowym, w </w:t>
      </w:r>
      <w:r w:rsidR="006D78E8" w:rsidRPr="0070741E">
        <w:rPr>
          <w:rFonts w:ascii="Times New Roman" w:eastAsia="Times New Roman" w:hAnsi="Times New Roman"/>
          <w:sz w:val="24"/>
          <w:szCs w:val="24"/>
          <w:lang w:eastAsia="pl-PL"/>
        </w:rPr>
        <w:t>ustawie z dnia 29 sierpnia 1997 r. – Ordynacja podatkowa (</w:t>
      </w:r>
      <w:r w:rsidR="00BA513D" w:rsidRPr="0070741E">
        <w:rPr>
          <w:rFonts w:ascii="Times New Roman" w:eastAsia="Times New Roman" w:hAnsi="Times New Roman"/>
          <w:sz w:val="24"/>
          <w:szCs w:val="24"/>
          <w:lang w:eastAsia="pl-PL"/>
        </w:rPr>
        <w:t>Dz. U. z </w:t>
      </w:r>
      <w:r w:rsidR="00BD7B40" w:rsidRPr="0070741E">
        <w:rPr>
          <w:rFonts w:ascii="Times New Roman" w:eastAsia="Times New Roman" w:hAnsi="Times New Roman"/>
          <w:sz w:val="24"/>
          <w:szCs w:val="24"/>
          <w:lang w:eastAsia="pl-PL"/>
        </w:rPr>
        <w:t>201</w:t>
      </w:r>
      <w:r w:rsidR="00407955">
        <w:rPr>
          <w:rFonts w:ascii="Times New Roman" w:eastAsia="Times New Roman" w:hAnsi="Times New Roman"/>
          <w:sz w:val="24"/>
          <w:szCs w:val="24"/>
          <w:lang w:eastAsia="pl-PL"/>
        </w:rPr>
        <w:t>9</w:t>
      </w:r>
      <w:r w:rsidR="00BD7B40" w:rsidRPr="0070741E">
        <w:rPr>
          <w:rFonts w:ascii="Times New Roman" w:eastAsia="Times New Roman" w:hAnsi="Times New Roman"/>
          <w:sz w:val="24"/>
          <w:szCs w:val="24"/>
          <w:lang w:eastAsia="pl-PL"/>
        </w:rPr>
        <w:t xml:space="preserve"> r. poz. </w:t>
      </w:r>
      <w:r w:rsidR="00407955">
        <w:rPr>
          <w:rFonts w:ascii="Times New Roman" w:eastAsia="Times New Roman" w:hAnsi="Times New Roman"/>
          <w:sz w:val="24"/>
          <w:szCs w:val="24"/>
          <w:lang w:eastAsia="pl-PL"/>
        </w:rPr>
        <w:t>900</w:t>
      </w:r>
      <w:r w:rsidR="006D78E8" w:rsidRPr="0070741E">
        <w:rPr>
          <w:rFonts w:ascii="Times New Roman" w:eastAsia="Times New Roman" w:hAnsi="Times New Roman"/>
          <w:sz w:val="24"/>
          <w:szCs w:val="24"/>
          <w:lang w:eastAsia="pl-PL"/>
        </w:rPr>
        <w:t>)</w:t>
      </w:r>
      <w:r w:rsidR="00204424" w:rsidRPr="0070741E">
        <w:rPr>
          <w:rFonts w:ascii="Times New Roman" w:eastAsia="Times New Roman" w:hAnsi="Times New Roman"/>
          <w:sz w:val="24"/>
          <w:szCs w:val="24"/>
          <w:lang w:eastAsia="pl-PL"/>
        </w:rPr>
        <w:t xml:space="preserve"> </w:t>
      </w:r>
      <w:r w:rsidRPr="0070741E">
        <w:rPr>
          <w:rFonts w:ascii="Times New Roman" w:hAnsi="Times New Roman"/>
          <w:spacing w:val="-2"/>
          <w:sz w:val="24"/>
          <w:szCs w:val="24"/>
        </w:rPr>
        <w:t>–</w:t>
      </w:r>
      <w:r w:rsidR="006B3F91" w:rsidRPr="0070741E">
        <w:rPr>
          <w:rFonts w:ascii="Times New Roman" w:hAnsi="Times New Roman"/>
          <w:sz w:val="24"/>
          <w:szCs w:val="24"/>
        </w:rPr>
        <w:t xml:space="preserve"> </w:t>
      </w:r>
      <w:r w:rsidR="006D78E8" w:rsidRPr="0070741E">
        <w:rPr>
          <w:rFonts w:ascii="Times New Roman" w:hAnsi="Times New Roman"/>
          <w:sz w:val="24"/>
          <w:szCs w:val="24"/>
        </w:rPr>
        <w:t xml:space="preserve">dalej: </w:t>
      </w:r>
      <w:r w:rsidR="00032948" w:rsidRPr="0070741E">
        <w:rPr>
          <w:rFonts w:ascii="Times New Roman" w:hAnsi="Times New Roman"/>
          <w:spacing w:val="-2"/>
          <w:sz w:val="24"/>
          <w:szCs w:val="24"/>
        </w:rPr>
        <w:t>Ordynacja podatkowa</w:t>
      </w:r>
      <w:r w:rsidR="007E6970" w:rsidRPr="0070741E">
        <w:rPr>
          <w:rFonts w:ascii="Times New Roman" w:hAnsi="Times New Roman"/>
          <w:spacing w:val="-2"/>
          <w:sz w:val="24"/>
          <w:szCs w:val="24"/>
        </w:rPr>
        <w:t xml:space="preserve">, </w:t>
      </w:r>
      <w:r w:rsidR="008F441C">
        <w:rPr>
          <w:rFonts w:ascii="Times New Roman" w:hAnsi="Times New Roman"/>
          <w:spacing w:val="-2"/>
          <w:sz w:val="24"/>
          <w:szCs w:val="24"/>
        </w:rPr>
        <w:t>w ustawie z dnia 20 lipca 2018 r. o zmianie ustawy o podatku akcyzowym oraz ustawy –</w:t>
      </w:r>
      <w:r w:rsidR="007941D4">
        <w:rPr>
          <w:rFonts w:ascii="Times New Roman" w:hAnsi="Times New Roman"/>
          <w:spacing w:val="-2"/>
          <w:sz w:val="24"/>
          <w:szCs w:val="24"/>
        </w:rPr>
        <w:t xml:space="preserve"> </w:t>
      </w:r>
      <w:r w:rsidR="008F441C">
        <w:rPr>
          <w:rFonts w:ascii="Times New Roman" w:hAnsi="Times New Roman"/>
          <w:spacing w:val="-2"/>
          <w:sz w:val="24"/>
          <w:szCs w:val="24"/>
        </w:rPr>
        <w:t>Prawo celne (Dz.U. poz.</w:t>
      </w:r>
      <w:r w:rsidR="00FF70EF">
        <w:rPr>
          <w:rFonts w:ascii="Times New Roman" w:hAnsi="Times New Roman"/>
          <w:spacing w:val="-2"/>
          <w:sz w:val="24"/>
          <w:szCs w:val="24"/>
        </w:rPr>
        <w:t xml:space="preserve"> </w:t>
      </w:r>
      <w:r w:rsidR="008F441C">
        <w:rPr>
          <w:rFonts w:ascii="Times New Roman" w:hAnsi="Times New Roman"/>
          <w:spacing w:val="-2"/>
          <w:sz w:val="24"/>
          <w:szCs w:val="24"/>
        </w:rPr>
        <w:t xml:space="preserve">1697 i 2511) </w:t>
      </w:r>
      <w:r w:rsidR="00FF70EF">
        <w:rPr>
          <w:rFonts w:ascii="Times New Roman" w:hAnsi="Times New Roman"/>
          <w:spacing w:val="-2"/>
          <w:sz w:val="24"/>
          <w:szCs w:val="24"/>
        </w:rPr>
        <w:t>– dalej: ustawa o </w:t>
      </w:r>
      <w:r w:rsidR="00745424">
        <w:rPr>
          <w:rFonts w:ascii="Times New Roman" w:hAnsi="Times New Roman"/>
          <w:spacing w:val="-2"/>
          <w:sz w:val="24"/>
          <w:szCs w:val="24"/>
        </w:rPr>
        <w:t xml:space="preserve">zmianie ustawy o podatku akcyzowym oraz ustawy – Prawo celne </w:t>
      </w:r>
      <w:r w:rsidR="006F6521" w:rsidRPr="0070741E">
        <w:rPr>
          <w:rFonts w:ascii="Times New Roman" w:hAnsi="Times New Roman"/>
          <w:spacing w:val="-2"/>
          <w:sz w:val="24"/>
          <w:szCs w:val="24"/>
        </w:rPr>
        <w:t>oraz</w:t>
      </w:r>
      <w:r w:rsidRPr="0070741E">
        <w:rPr>
          <w:rFonts w:ascii="Times New Roman" w:hAnsi="Times New Roman"/>
          <w:spacing w:val="-2"/>
          <w:sz w:val="24"/>
          <w:szCs w:val="24"/>
        </w:rPr>
        <w:t xml:space="preserve"> zmiany w tzw. pakiecie paliwowym.</w:t>
      </w:r>
    </w:p>
    <w:p w14:paraId="2FB8BCC4" w14:textId="77777777" w:rsidR="006B7B7A" w:rsidRPr="0070741E" w:rsidRDefault="004E5772" w:rsidP="00CD3D8E">
      <w:pPr>
        <w:spacing w:after="0" w:line="360" w:lineRule="auto"/>
        <w:jc w:val="both"/>
        <w:rPr>
          <w:rFonts w:ascii="Times New Roman" w:hAnsi="Times New Roman"/>
          <w:spacing w:val="-2"/>
          <w:sz w:val="24"/>
          <w:szCs w:val="24"/>
        </w:rPr>
      </w:pPr>
      <w:r w:rsidRPr="0070741E">
        <w:rPr>
          <w:rFonts w:ascii="Times New Roman" w:hAnsi="Times New Roman"/>
          <w:spacing w:val="-2"/>
          <w:sz w:val="24"/>
          <w:szCs w:val="24"/>
        </w:rPr>
        <w:t xml:space="preserve">Zmiany proponowane w zakresie ustawy o podatku od towarów i usług polegają zasadniczo na: </w:t>
      </w:r>
    </w:p>
    <w:p w14:paraId="5D2E83FE" w14:textId="77777777" w:rsidR="00F502BE" w:rsidRPr="0070741E" w:rsidRDefault="00F502BE" w:rsidP="00F502BE">
      <w:pPr>
        <w:pStyle w:val="Akapitzlist"/>
        <w:numPr>
          <w:ilvl w:val="0"/>
          <w:numId w:val="1"/>
        </w:numPr>
        <w:spacing w:after="0" w:line="360" w:lineRule="auto"/>
        <w:jc w:val="both"/>
        <w:rPr>
          <w:rFonts w:ascii="Times New Roman" w:hAnsi="Times New Roman"/>
          <w:spacing w:val="-2"/>
          <w:sz w:val="24"/>
          <w:szCs w:val="24"/>
        </w:rPr>
      </w:pPr>
      <w:r w:rsidRPr="0070741E">
        <w:rPr>
          <w:rFonts w:ascii="Times New Roman" w:hAnsi="Times New Roman"/>
          <w:bCs/>
          <w:spacing w:val="-2"/>
          <w:sz w:val="24"/>
          <w:szCs w:val="24"/>
        </w:rPr>
        <w:t>modyfikacji przesłanek stosowania zwolnienia</w:t>
      </w:r>
      <w:r w:rsidR="00792429">
        <w:rPr>
          <w:rFonts w:ascii="Times New Roman" w:hAnsi="Times New Roman"/>
          <w:bCs/>
          <w:spacing w:val="-2"/>
          <w:sz w:val="24"/>
          <w:szCs w:val="24"/>
        </w:rPr>
        <w:t xml:space="preserve"> dla dostaw budynków, budowli i </w:t>
      </w:r>
      <w:r w:rsidRPr="0070741E">
        <w:rPr>
          <w:rFonts w:ascii="Times New Roman" w:hAnsi="Times New Roman"/>
          <w:bCs/>
          <w:spacing w:val="-2"/>
          <w:sz w:val="24"/>
          <w:szCs w:val="24"/>
        </w:rPr>
        <w:t xml:space="preserve">ich części, poprzez likwidację warunku, że ich zasiedlenie nastąpiło w ramach czynności podlegającej opodatkowaniu </w:t>
      </w:r>
      <w:r w:rsidRPr="0070741E">
        <w:rPr>
          <w:rFonts w:ascii="Times New Roman" w:hAnsi="Times New Roman"/>
          <w:spacing w:val="-2"/>
          <w:sz w:val="24"/>
          <w:szCs w:val="24"/>
        </w:rPr>
        <w:t xml:space="preserve">– zmiana ta stanowi realizację wyroku </w:t>
      </w:r>
      <w:r w:rsidRPr="0070741E">
        <w:rPr>
          <w:rFonts w:ascii="Times New Roman" w:hAnsi="Times New Roman"/>
          <w:bCs/>
          <w:spacing w:val="-2"/>
          <w:sz w:val="24"/>
          <w:szCs w:val="24"/>
        </w:rPr>
        <w:t xml:space="preserve">Trybunału Sprawiedliwości Unii Europejskiej (dalej: TSUE) z dnia 16 listopada 2017 r. w sprawie C-308/16 Kozuba Premium </w:t>
      </w:r>
      <w:proofErr w:type="spellStart"/>
      <w:r w:rsidRPr="0070741E">
        <w:rPr>
          <w:rFonts w:ascii="Times New Roman" w:hAnsi="Times New Roman"/>
          <w:bCs/>
          <w:spacing w:val="-2"/>
          <w:sz w:val="24"/>
          <w:szCs w:val="24"/>
        </w:rPr>
        <w:t>Selection</w:t>
      </w:r>
      <w:proofErr w:type="spellEnd"/>
      <w:r w:rsidRPr="0070741E">
        <w:rPr>
          <w:rFonts w:ascii="Times New Roman" w:hAnsi="Times New Roman"/>
          <w:bCs/>
          <w:spacing w:val="-2"/>
          <w:sz w:val="24"/>
          <w:szCs w:val="24"/>
        </w:rPr>
        <w:t xml:space="preserve"> Sp. z o.o.;</w:t>
      </w:r>
    </w:p>
    <w:p w14:paraId="5C8A95FB" w14:textId="77777777" w:rsidR="006B7B7A" w:rsidRPr="0070741E" w:rsidRDefault="004E5772" w:rsidP="00CD3D8E">
      <w:pPr>
        <w:pStyle w:val="Akapitzlist"/>
        <w:numPr>
          <w:ilvl w:val="0"/>
          <w:numId w:val="1"/>
        </w:numPr>
        <w:spacing w:after="0" w:line="360" w:lineRule="auto"/>
        <w:jc w:val="both"/>
        <w:rPr>
          <w:rFonts w:ascii="Times New Roman" w:hAnsi="Times New Roman"/>
          <w:spacing w:val="-2"/>
          <w:sz w:val="24"/>
          <w:szCs w:val="24"/>
        </w:rPr>
      </w:pPr>
      <w:r w:rsidRPr="0070741E">
        <w:rPr>
          <w:rFonts w:ascii="Times New Roman" w:hAnsi="Times New Roman"/>
          <w:spacing w:val="-2"/>
          <w:sz w:val="24"/>
          <w:szCs w:val="24"/>
        </w:rPr>
        <w:t>wyłączeniu z opodatkowania podatkiem VAT importu towarów w przypadku zawarcia umów między Rzecząpospolitą Polską a państwem trzecim dotyczących budowy lub utrzymania mostów transgranicznych lub wspólnych odcinków dróg (jeżeli w odniesieniu do tej umowy została wydana stosowna decyzja derogacyjna);</w:t>
      </w:r>
    </w:p>
    <w:p w14:paraId="4BA89327" w14:textId="77777777" w:rsidR="006B7B7A" w:rsidRPr="0070741E" w:rsidRDefault="004E5772" w:rsidP="00CD3D8E">
      <w:pPr>
        <w:pStyle w:val="Akapitzlist"/>
        <w:numPr>
          <w:ilvl w:val="0"/>
          <w:numId w:val="1"/>
        </w:numPr>
        <w:spacing w:after="0" w:line="360" w:lineRule="auto"/>
        <w:jc w:val="both"/>
        <w:rPr>
          <w:rFonts w:ascii="Times New Roman" w:hAnsi="Times New Roman"/>
          <w:sz w:val="24"/>
          <w:szCs w:val="24"/>
        </w:rPr>
      </w:pPr>
      <w:r w:rsidRPr="0070741E">
        <w:rPr>
          <w:rFonts w:ascii="Times New Roman" w:hAnsi="Times New Roman"/>
          <w:bCs/>
          <w:spacing w:val="-2"/>
          <w:sz w:val="24"/>
          <w:szCs w:val="24"/>
        </w:rPr>
        <w:t xml:space="preserve">dostosowaniu niektórych przepisów do </w:t>
      </w:r>
      <w:r w:rsidRPr="0070741E">
        <w:rPr>
          <w:rFonts w:ascii="Times New Roman" w:hAnsi="Times New Roman"/>
          <w:spacing w:val="-2"/>
          <w:sz w:val="24"/>
          <w:szCs w:val="24"/>
        </w:rPr>
        <w:t xml:space="preserve">wprowadzanego od 1 stycznia 2018 r. obowiązku składania deklaracji podatkowych </w:t>
      </w:r>
      <w:r w:rsidR="00F027F5" w:rsidRPr="0070741E">
        <w:rPr>
          <w:rFonts w:ascii="Times New Roman" w:hAnsi="Times New Roman"/>
          <w:spacing w:val="-2"/>
          <w:sz w:val="24"/>
          <w:szCs w:val="24"/>
        </w:rPr>
        <w:t xml:space="preserve">wyłącznie </w:t>
      </w:r>
      <w:r w:rsidRPr="0070741E">
        <w:rPr>
          <w:rFonts w:ascii="Times New Roman" w:hAnsi="Times New Roman"/>
          <w:bCs/>
          <w:spacing w:val="-2"/>
          <w:sz w:val="24"/>
          <w:szCs w:val="24"/>
        </w:rPr>
        <w:t>za pomocą środków komunikacji elektronicznej</w:t>
      </w:r>
      <w:r w:rsidRPr="0070741E">
        <w:rPr>
          <w:rFonts w:ascii="Times New Roman" w:hAnsi="Times New Roman"/>
          <w:spacing w:val="-2"/>
          <w:sz w:val="24"/>
          <w:szCs w:val="24"/>
        </w:rPr>
        <w:t xml:space="preserve"> i braku możliwości składania </w:t>
      </w:r>
      <w:r w:rsidR="00F027F5" w:rsidRPr="0070741E">
        <w:rPr>
          <w:rFonts w:ascii="Times New Roman" w:hAnsi="Times New Roman"/>
          <w:spacing w:val="-2"/>
          <w:sz w:val="24"/>
          <w:szCs w:val="24"/>
        </w:rPr>
        <w:t>tą drogą</w:t>
      </w:r>
      <w:r w:rsidRPr="0070741E">
        <w:rPr>
          <w:rFonts w:ascii="Times New Roman" w:hAnsi="Times New Roman"/>
          <w:spacing w:val="-2"/>
          <w:sz w:val="24"/>
          <w:szCs w:val="24"/>
        </w:rPr>
        <w:t xml:space="preserve"> wraz z deklaracją innych dokumentów</w:t>
      </w:r>
      <w:r w:rsidRPr="0070741E">
        <w:rPr>
          <w:rFonts w:ascii="Times New Roman" w:hAnsi="Times New Roman"/>
          <w:bCs/>
          <w:spacing w:val="-2"/>
          <w:sz w:val="24"/>
          <w:szCs w:val="24"/>
        </w:rPr>
        <w:t>;</w:t>
      </w:r>
    </w:p>
    <w:p w14:paraId="1D221843" w14:textId="77777777" w:rsidR="006B7B7A" w:rsidRPr="0070741E" w:rsidRDefault="004E5772" w:rsidP="00CD3D8E">
      <w:pPr>
        <w:pStyle w:val="Akapitzlist"/>
        <w:numPr>
          <w:ilvl w:val="0"/>
          <w:numId w:val="1"/>
        </w:numPr>
        <w:spacing w:after="0" w:line="360" w:lineRule="auto"/>
        <w:jc w:val="both"/>
        <w:rPr>
          <w:rFonts w:ascii="Times New Roman" w:hAnsi="Times New Roman"/>
          <w:spacing w:val="-2"/>
          <w:sz w:val="24"/>
          <w:szCs w:val="24"/>
        </w:rPr>
      </w:pPr>
      <w:r w:rsidRPr="0070741E">
        <w:rPr>
          <w:rFonts w:ascii="Times New Roman" w:hAnsi="Times New Roman"/>
          <w:spacing w:val="-2"/>
          <w:sz w:val="24"/>
          <w:szCs w:val="24"/>
        </w:rPr>
        <w:t xml:space="preserve">wprowadzeniu ułatwień dla komorników </w:t>
      </w:r>
      <w:r w:rsidR="00F027F5" w:rsidRPr="0070741E">
        <w:rPr>
          <w:rFonts w:ascii="Times New Roman" w:hAnsi="Times New Roman"/>
          <w:spacing w:val="-2"/>
          <w:sz w:val="24"/>
          <w:szCs w:val="24"/>
        </w:rPr>
        <w:t xml:space="preserve">oraz organów egzekucyjnych </w:t>
      </w:r>
      <w:r w:rsidR="00FA0466" w:rsidRPr="0070741E">
        <w:rPr>
          <w:rFonts w:ascii="Times New Roman" w:hAnsi="Times New Roman"/>
          <w:spacing w:val="-2"/>
          <w:sz w:val="24"/>
          <w:szCs w:val="24"/>
        </w:rPr>
        <w:t>w </w:t>
      </w:r>
      <w:r w:rsidRPr="0070741E">
        <w:rPr>
          <w:rFonts w:ascii="Times New Roman" w:hAnsi="Times New Roman"/>
          <w:sz w:val="24"/>
          <w:szCs w:val="24"/>
        </w:rPr>
        <w:t>wywiązywani</w:t>
      </w:r>
      <w:r w:rsidR="00F027F5" w:rsidRPr="0070741E">
        <w:rPr>
          <w:rFonts w:ascii="Times New Roman" w:hAnsi="Times New Roman"/>
          <w:sz w:val="24"/>
          <w:szCs w:val="24"/>
        </w:rPr>
        <w:t>u</w:t>
      </w:r>
      <w:r w:rsidRPr="0070741E">
        <w:rPr>
          <w:rFonts w:ascii="Times New Roman" w:hAnsi="Times New Roman"/>
          <w:sz w:val="24"/>
          <w:szCs w:val="24"/>
        </w:rPr>
        <w:t xml:space="preserve"> się przez nich z obowiązkó</w:t>
      </w:r>
      <w:r w:rsidR="00FA0466" w:rsidRPr="0070741E">
        <w:rPr>
          <w:rFonts w:ascii="Times New Roman" w:hAnsi="Times New Roman"/>
          <w:sz w:val="24"/>
          <w:szCs w:val="24"/>
        </w:rPr>
        <w:t>w płatnika podatku od towarów i </w:t>
      </w:r>
      <w:r w:rsidRPr="0070741E">
        <w:rPr>
          <w:rFonts w:ascii="Times New Roman" w:hAnsi="Times New Roman"/>
          <w:sz w:val="24"/>
          <w:szCs w:val="24"/>
        </w:rPr>
        <w:t>usług w szczególności w sytuacjach gdy kontakt z podatnikiem – dłużnikiem jest utrudniony;</w:t>
      </w:r>
    </w:p>
    <w:p w14:paraId="400974B1" w14:textId="77777777" w:rsidR="000669C4" w:rsidRPr="0070741E" w:rsidRDefault="00B0133A" w:rsidP="00CD3D8E">
      <w:pPr>
        <w:pStyle w:val="Akapitzlist"/>
        <w:numPr>
          <w:ilvl w:val="0"/>
          <w:numId w:val="1"/>
        </w:numPr>
        <w:spacing w:after="0" w:line="360" w:lineRule="auto"/>
        <w:jc w:val="both"/>
        <w:rPr>
          <w:rFonts w:ascii="Times New Roman" w:hAnsi="Times New Roman"/>
          <w:spacing w:val="-2"/>
          <w:sz w:val="24"/>
          <w:szCs w:val="24"/>
        </w:rPr>
      </w:pPr>
      <w:r w:rsidRPr="0070741E">
        <w:rPr>
          <w:rFonts w:ascii="Times New Roman" w:hAnsi="Times New Roman"/>
          <w:spacing w:val="-2"/>
          <w:sz w:val="24"/>
          <w:szCs w:val="24"/>
        </w:rPr>
        <w:t xml:space="preserve">umożliwieniu podatnikowi obliczenia i wykazania kwoty podatku VAT z tytułu importu towarów w rozliczeniu zamknięcia, o którym mowa w art. 175 </w:t>
      </w:r>
      <w:r w:rsidRPr="0070741E">
        <w:rPr>
          <w:rFonts w:ascii="Times New Roman" w:hAnsi="Times New Roman"/>
          <w:spacing w:val="-2"/>
          <w:sz w:val="24"/>
          <w:szCs w:val="24"/>
        </w:rPr>
        <w:lastRenderedPageBreak/>
        <w:t>rozporządzenia delegowanego Komisji (UE) 2015/2446 z dnia 28 lipca 2015 r. uzupełniającego rozporządzenie Parlamentu Europejskiego i Rady (UE) nr 952/2013 w odniesieniu do szczegółowych zasad dotyczących niektórych przepisów unijnych kodeksu celnego (Dz. Urz. UE L 343 z 29.12</w:t>
      </w:r>
      <w:r w:rsidR="00792429">
        <w:rPr>
          <w:rFonts w:ascii="Times New Roman" w:hAnsi="Times New Roman"/>
          <w:spacing w:val="-2"/>
          <w:sz w:val="24"/>
          <w:szCs w:val="24"/>
        </w:rPr>
        <w:t>.2015, str. 1, z </w:t>
      </w:r>
      <w:r w:rsidR="00D75D89" w:rsidRPr="0070741E">
        <w:rPr>
          <w:rFonts w:ascii="Times New Roman" w:hAnsi="Times New Roman"/>
          <w:spacing w:val="-2"/>
          <w:sz w:val="24"/>
          <w:szCs w:val="24"/>
        </w:rPr>
        <w:t>późn</w:t>
      </w:r>
      <w:r w:rsidR="00FA0466" w:rsidRPr="0070741E">
        <w:rPr>
          <w:rFonts w:ascii="Times New Roman" w:hAnsi="Times New Roman"/>
          <w:spacing w:val="-2"/>
          <w:sz w:val="24"/>
          <w:szCs w:val="24"/>
        </w:rPr>
        <w:t>. zm.), w </w:t>
      </w:r>
      <w:r w:rsidRPr="0070741E">
        <w:rPr>
          <w:rFonts w:ascii="Times New Roman" w:hAnsi="Times New Roman"/>
          <w:spacing w:val="-2"/>
          <w:sz w:val="24"/>
          <w:szCs w:val="24"/>
        </w:rPr>
        <w:t>przypadkach, o których mowa w art. 324 i art. 325 rozporządzenia 2015/2447</w:t>
      </w:r>
      <w:r w:rsidR="00BF061C" w:rsidRPr="0070741E">
        <w:rPr>
          <w:rFonts w:ascii="Times New Roman" w:hAnsi="Times New Roman"/>
          <w:spacing w:val="-2"/>
          <w:sz w:val="24"/>
          <w:szCs w:val="24"/>
        </w:rPr>
        <w:t>;</w:t>
      </w:r>
    </w:p>
    <w:p w14:paraId="45CE868A" w14:textId="77777777" w:rsidR="006B7B7A" w:rsidRPr="0070741E" w:rsidRDefault="004E5772" w:rsidP="00CD3D8E">
      <w:pPr>
        <w:pStyle w:val="Akapitzlist"/>
        <w:numPr>
          <w:ilvl w:val="0"/>
          <w:numId w:val="1"/>
        </w:numPr>
        <w:spacing w:after="0" w:line="360" w:lineRule="auto"/>
        <w:jc w:val="both"/>
        <w:rPr>
          <w:rFonts w:ascii="Times New Roman" w:hAnsi="Times New Roman"/>
          <w:spacing w:val="-2"/>
          <w:sz w:val="24"/>
          <w:szCs w:val="24"/>
        </w:rPr>
      </w:pPr>
      <w:r w:rsidRPr="0070741E">
        <w:rPr>
          <w:rFonts w:ascii="Times New Roman" w:hAnsi="Times New Roman"/>
          <w:spacing w:val="-2"/>
          <w:sz w:val="24"/>
          <w:szCs w:val="24"/>
        </w:rPr>
        <w:t>dostosowaniu zwolnienia dla gier hazardowych do no</w:t>
      </w:r>
      <w:r w:rsidR="00792429">
        <w:rPr>
          <w:rFonts w:ascii="Times New Roman" w:hAnsi="Times New Roman"/>
          <w:spacing w:val="-2"/>
          <w:sz w:val="24"/>
          <w:szCs w:val="24"/>
        </w:rPr>
        <w:t>wych przepisów ustawy o </w:t>
      </w:r>
      <w:r w:rsidRPr="0070741E">
        <w:rPr>
          <w:rFonts w:ascii="Times New Roman" w:hAnsi="Times New Roman"/>
          <w:spacing w:val="-2"/>
          <w:sz w:val="24"/>
          <w:szCs w:val="24"/>
        </w:rPr>
        <w:t>grach hazardowych (obowiązujących od 1 kwietnia 2017 r.);</w:t>
      </w:r>
    </w:p>
    <w:p w14:paraId="30321DA4" w14:textId="77777777" w:rsidR="00F027F5" w:rsidRPr="0070741E" w:rsidRDefault="00BF061C" w:rsidP="00CD3D8E">
      <w:pPr>
        <w:pStyle w:val="Akapitzlist"/>
        <w:numPr>
          <w:ilvl w:val="0"/>
          <w:numId w:val="1"/>
        </w:numPr>
        <w:spacing w:after="0" w:line="360" w:lineRule="auto"/>
        <w:jc w:val="both"/>
        <w:rPr>
          <w:rFonts w:ascii="Times New Roman" w:hAnsi="Times New Roman"/>
          <w:sz w:val="24"/>
          <w:szCs w:val="24"/>
        </w:rPr>
      </w:pPr>
      <w:r w:rsidRPr="0070741E">
        <w:rPr>
          <w:rFonts w:ascii="Times New Roman" w:hAnsi="Times New Roman"/>
          <w:sz w:val="24"/>
          <w:szCs w:val="24"/>
        </w:rPr>
        <w:t>modyfikacji systemu korekt w przypadku, gdy podatnicy VAT czynni podejmą decyzję o ponownym skorzystaniu ze zwolnień, o których mowa w art. 43 ust. 1 pkt 3 albo art. 113 ust. 1 ustawy o VAT;</w:t>
      </w:r>
    </w:p>
    <w:p w14:paraId="0DA7F6CC" w14:textId="77777777" w:rsidR="006B7B7A" w:rsidRPr="0070741E" w:rsidRDefault="00392BF8" w:rsidP="00CD3D8E">
      <w:pPr>
        <w:pStyle w:val="Akapitzlist"/>
        <w:numPr>
          <w:ilvl w:val="0"/>
          <w:numId w:val="1"/>
        </w:numPr>
        <w:spacing w:after="0" w:line="360" w:lineRule="auto"/>
        <w:jc w:val="both"/>
        <w:rPr>
          <w:rFonts w:ascii="Times New Roman" w:hAnsi="Times New Roman"/>
          <w:spacing w:val="-2"/>
          <w:sz w:val="24"/>
          <w:szCs w:val="24"/>
        </w:rPr>
      </w:pPr>
      <w:r w:rsidRPr="0070741E">
        <w:rPr>
          <w:rFonts w:ascii="Times New Roman" w:hAnsi="Times New Roman"/>
          <w:sz w:val="24"/>
          <w:szCs w:val="24"/>
        </w:rPr>
        <w:t xml:space="preserve">zmiany w przepisach dotyczących rejestracji </w:t>
      </w:r>
      <w:r w:rsidR="004E5772" w:rsidRPr="0070741E">
        <w:rPr>
          <w:rFonts w:ascii="Times New Roman" w:hAnsi="Times New Roman"/>
          <w:sz w:val="24"/>
          <w:szCs w:val="24"/>
        </w:rPr>
        <w:t>podatników;</w:t>
      </w:r>
    </w:p>
    <w:p w14:paraId="7FB397E5" w14:textId="77777777" w:rsidR="00494F9A" w:rsidRPr="0070741E" w:rsidRDefault="00494F9A" w:rsidP="00494F9A">
      <w:pPr>
        <w:pStyle w:val="Akapitzlist"/>
        <w:numPr>
          <w:ilvl w:val="0"/>
          <w:numId w:val="1"/>
        </w:numPr>
        <w:spacing w:after="0" w:line="360" w:lineRule="auto"/>
        <w:jc w:val="both"/>
        <w:rPr>
          <w:rFonts w:ascii="Times New Roman" w:hAnsi="Times New Roman"/>
          <w:spacing w:val="-2"/>
          <w:sz w:val="24"/>
          <w:szCs w:val="24"/>
        </w:rPr>
      </w:pPr>
      <w:r w:rsidRPr="0070741E">
        <w:rPr>
          <w:rFonts w:ascii="Times New Roman" w:hAnsi="Times New Roman"/>
          <w:bCs/>
          <w:spacing w:val="-2"/>
          <w:sz w:val="24"/>
          <w:szCs w:val="24"/>
        </w:rPr>
        <w:t xml:space="preserve">uzależnieniu możliwości wystawienia dla nabywcy (podatnika podatku VAT) faktury VAT z tytułu sprzedaży zarejestrowanej przy zastosowaniu kasy rejestrującej od wymienienia na paragonie dokumentującym tę sprzedaż numeru za pomocą którego </w:t>
      </w:r>
      <w:r w:rsidR="00392BF8" w:rsidRPr="0070741E">
        <w:rPr>
          <w:rFonts w:ascii="Times New Roman" w:hAnsi="Times New Roman"/>
          <w:bCs/>
          <w:spacing w:val="-2"/>
          <w:sz w:val="24"/>
          <w:szCs w:val="24"/>
        </w:rPr>
        <w:t xml:space="preserve">nabywca </w:t>
      </w:r>
      <w:r w:rsidRPr="0070741E">
        <w:rPr>
          <w:rFonts w:ascii="Times New Roman" w:hAnsi="Times New Roman"/>
          <w:bCs/>
          <w:spacing w:val="-2"/>
          <w:sz w:val="24"/>
          <w:szCs w:val="24"/>
        </w:rPr>
        <w:t xml:space="preserve">jest zidentyfikowany na potrzeby </w:t>
      </w:r>
      <w:r w:rsidR="00392BF8" w:rsidRPr="0070741E">
        <w:rPr>
          <w:rFonts w:ascii="Times New Roman" w:hAnsi="Times New Roman"/>
          <w:bCs/>
          <w:spacing w:val="-2"/>
          <w:sz w:val="24"/>
          <w:szCs w:val="24"/>
        </w:rPr>
        <w:t>podatku lub podatku od wartości dodanej</w:t>
      </w:r>
      <w:r w:rsidRPr="0070741E">
        <w:rPr>
          <w:rFonts w:ascii="Times New Roman" w:hAnsi="Times New Roman"/>
          <w:spacing w:val="-2"/>
          <w:sz w:val="24"/>
          <w:szCs w:val="24"/>
        </w:rPr>
        <w:t>;</w:t>
      </w:r>
    </w:p>
    <w:p w14:paraId="27D71757" w14:textId="77777777" w:rsidR="006B7B7A" w:rsidRPr="0070741E" w:rsidRDefault="004E5772" w:rsidP="00CD3D8E">
      <w:pPr>
        <w:pStyle w:val="Akapitzlist"/>
        <w:numPr>
          <w:ilvl w:val="0"/>
          <w:numId w:val="1"/>
        </w:numPr>
        <w:spacing w:after="0" w:line="360" w:lineRule="auto"/>
        <w:jc w:val="both"/>
        <w:rPr>
          <w:rFonts w:ascii="Times New Roman" w:hAnsi="Times New Roman"/>
          <w:spacing w:val="-2"/>
          <w:sz w:val="24"/>
          <w:szCs w:val="24"/>
        </w:rPr>
      </w:pPr>
      <w:r w:rsidRPr="0070741E">
        <w:rPr>
          <w:rFonts w:ascii="Times New Roman" w:hAnsi="Times New Roman"/>
          <w:spacing w:val="-2"/>
          <w:sz w:val="24"/>
          <w:szCs w:val="24"/>
        </w:rPr>
        <w:t>obniżeniu wysokości dodatkowego zo</w:t>
      </w:r>
      <w:r w:rsidR="00FA0466" w:rsidRPr="0070741E">
        <w:rPr>
          <w:rFonts w:ascii="Times New Roman" w:hAnsi="Times New Roman"/>
          <w:spacing w:val="-2"/>
          <w:sz w:val="24"/>
          <w:szCs w:val="24"/>
        </w:rPr>
        <w:t>bowiązania podatkowego do 15% w </w:t>
      </w:r>
      <w:r w:rsidRPr="0070741E">
        <w:rPr>
          <w:rFonts w:ascii="Times New Roman" w:hAnsi="Times New Roman"/>
          <w:spacing w:val="-2"/>
          <w:sz w:val="24"/>
          <w:szCs w:val="24"/>
        </w:rPr>
        <w:t>przypadku, gdy podatnik złoży korektę deklaracji podatkowej w trakcie kontroli celno-skarbowej;</w:t>
      </w:r>
    </w:p>
    <w:p w14:paraId="01A734DC" w14:textId="77777777" w:rsidR="006B7B7A" w:rsidRPr="0070741E" w:rsidRDefault="004E5772" w:rsidP="00CD3D8E">
      <w:pPr>
        <w:pStyle w:val="Akapitzlist"/>
        <w:numPr>
          <w:ilvl w:val="0"/>
          <w:numId w:val="1"/>
        </w:numPr>
        <w:spacing w:after="0" w:line="360" w:lineRule="auto"/>
        <w:jc w:val="both"/>
        <w:rPr>
          <w:rFonts w:ascii="Times New Roman" w:hAnsi="Times New Roman"/>
          <w:spacing w:val="-2"/>
          <w:sz w:val="24"/>
          <w:szCs w:val="24"/>
        </w:rPr>
      </w:pPr>
      <w:r w:rsidRPr="0070741E">
        <w:rPr>
          <w:rFonts w:ascii="Times New Roman" w:hAnsi="Times New Roman"/>
          <w:spacing w:val="-2"/>
          <w:sz w:val="24"/>
          <w:szCs w:val="24"/>
        </w:rPr>
        <w:t>wyłączeniu możliwości korzystania ze zwolnienia podmiotowego w V</w:t>
      </w:r>
      <w:r w:rsidR="007D5A6F" w:rsidRPr="0070741E">
        <w:rPr>
          <w:rFonts w:ascii="Times New Roman" w:hAnsi="Times New Roman"/>
          <w:spacing w:val="-2"/>
          <w:sz w:val="24"/>
          <w:szCs w:val="24"/>
        </w:rPr>
        <w:t>AT (do 200 tys. </w:t>
      </w:r>
      <w:r w:rsidRPr="0070741E">
        <w:rPr>
          <w:rFonts w:ascii="Times New Roman" w:hAnsi="Times New Roman"/>
          <w:spacing w:val="-2"/>
          <w:sz w:val="24"/>
          <w:szCs w:val="24"/>
        </w:rPr>
        <w:t>zł rocznego obrotu) przez niektóre grupy podatników</w:t>
      </w:r>
      <w:r w:rsidRPr="0070741E">
        <w:rPr>
          <w:rFonts w:ascii="Times New Roman" w:hAnsi="Times New Roman"/>
          <w:bCs/>
          <w:spacing w:val="-2"/>
          <w:sz w:val="24"/>
          <w:szCs w:val="24"/>
        </w:rPr>
        <w:t>;</w:t>
      </w:r>
    </w:p>
    <w:p w14:paraId="06A37DA5" w14:textId="77777777" w:rsidR="006B7B7A" w:rsidRPr="002559A1" w:rsidRDefault="004E5772" w:rsidP="00CD3D8E">
      <w:pPr>
        <w:pStyle w:val="Akapitzlist"/>
        <w:numPr>
          <w:ilvl w:val="0"/>
          <w:numId w:val="1"/>
        </w:numPr>
        <w:spacing w:after="0" w:line="360" w:lineRule="auto"/>
        <w:jc w:val="both"/>
        <w:rPr>
          <w:rFonts w:ascii="Times New Roman" w:hAnsi="Times New Roman"/>
          <w:spacing w:val="-2"/>
          <w:sz w:val="24"/>
          <w:szCs w:val="24"/>
        </w:rPr>
      </w:pPr>
      <w:r w:rsidRPr="002559A1">
        <w:rPr>
          <w:rFonts w:ascii="Times New Roman" w:hAnsi="Times New Roman"/>
          <w:spacing w:val="-2"/>
          <w:sz w:val="24"/>
          <w:szCs w:val="24"/>
        </w:rPr>
        <w:t>zmianie warunków odliczenia kwoty zryczałtowanego zwrotu podatku zapłaconego za nabyte od rolnika ryczałtowego produkty rolne i usługi rolnicze;</w:t>
      </w:r>
    </w:p>
    <w:p w14:paraId="4917CC61" w14:textId="77777777" w:rsidR="006B7B7A" w:rsidRPr="0070741E" w:rsidRDefault="004E5772" w:rsidP="00CD3D8E">
      <w:pPr>
        <w:pStyle w:val="Akapitzlist"/>
        <w:numPr>
          <w:ilvl w:val="0"/>
          <w:numId w:val="1"/>
        </w:numPr>
        <w:spacing w:after="0" w:line="360" w:lineRule="auto"/>
        <w:jc w:val="both"/>
        <w:rPr>
          <w:rFonts w:ascii="Times New Roman" w:hAnsi="Times New Roman"/>
          <w:spacing w:val="-2"/>
          <w:sz w:val="24"/>
          <w:szCs w:val="24"/>
        </w:rPr>
      </w:pPr>
      <w:r w:rsidRPr="0070741E">
        <w:rPr>
          <w:rFonts w:ascii="Times New Roman" w:hAnsi="Times New Roman"/>
          <w:spacing w:val="-2"/>
          <w:sz w:val="24"/>
          <w:szCs w:val="24"/>
        </w:rPr>
        <w:t>uproszczeniu dla podatników polegającym na zmianie zakresu danych umieszczanych na dokumencie wystawianym p</w:t>
      </w:r>
      <w:r w:rsidR="00792429">
        <w:rPr>
          <w:rFonts w:ascii="Times New Roman" w:hAnsi="Times New Roman"/>
          <w:spacing w:val="-2"/>
          <w:sz w:val="24"/>
          <w:szCs w:val="24"/>
        </w:rPr>
        <w:t>rzy nabyciu produktów rolnych i </w:t>
      </w:r>
      <w:r w:rsidRPr="0070741E">
        <w:rPr>
          <w:rFonts w:ascii="Times New Roman" w:hAnsi="Times New Roman"/>
          <w:spacing w:val="-2"/>
          <w:sz w:val="24"/>
          <w:szCs w:val="24"/>
        </w:rPr>
        <w:t>usług rolniczych od rolników ryczałtowych (fakturze VAT RR) oraz wprowadzeniu możliwości wystawiania i przesyłania tych dokumentów w formie elektronicznej.</w:t>
      </w:r>
    </w:p>
    <w:p w14:paraId="3108755F"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 </w:t>
      </w:r>
    </w:p>
    <w:p w14:paraId="2C8B86B8"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Zmiany w tzw. pakiecie paliwowym polegają zasadniczo na wprowadzeniu do ustawy o VAT katalogu wyrobów co do których podatnik jest obowiązany bez wezwania naczelnika urzędu skarbowego, do obliczania i wpłacania kwot podatku na rachunek urzędu skarbowego </w:t>
      </w:r>
      <w:r w:rsidRPr="0070741E">
        <w:rPr>
          <w:rFonts w:ascii="Times New Roman" w:hAnsi="Times New Roman"/>
          <w:sz w:val="24"/>
          <w:szCs w:val="24"/>
        </w:rPr>
        <w:lastRenderedPageBreak/>
        <w:t xml:space="preserve">właściwego w zakresie wpłat podatku akcyzowego, co zapobiegnie wątpliwościom co do zakresu stosowania przepisów ustawy o podatku akcyzowym </w:t>
      </w:r>
      <w:r w:rsidR="00FA0466" w:rsidRPr="0070741E">
        <w:rPr>
          <w:rFonts w:ascii="Times New Roman" w:hAnsi="Times New Roman"/>
          <w:sz w:val="24"/>
          <w:szCs w:val="24"/>
        </w:rPr>
        <w:t>i ustawy o podatku od towarów i </w:t>
      </w:r>
      <w:r w:rsidRPr="0070741E">
        <w:rPr>
          <w:rFonts w:ascii="Times New Roman" w:hAnsi="Times New Roman"/>
          <w:sz w:val="24"/>
          <w:szCs w:val="24"/>
        </w:rPr>
        <w:t xml:space="preserve">usług w odniesieniu do produktów ropopochodnych, które mogą być stosowane zarówno do napędu pojazdów, jak i stanowić surowiec do produkcji innych wyrobów. </w:t>
      </w:r>
    </w:p>
    <w:p w14:paraId="7FBC0613" w14:textId="16753AB3" w:rsidR="008F441C" w:rsidRPr="003B5F69" w:rsidRDefault="004E5772" w:rsidP="003B5F69">
      <w:pPr>
        <w:spacing w:after="0" w:line="360" w:lineRule="auto"/>
        <w:jc w:val="both"/>
        <w:rPr>
          <w:rFonts w:ascii="Times New Roman" w:hAnsi="Times New Roman"/>
          <w:sz w:val="24"/>
          <w:szCs w:val="24"/>
        </w:rPr>
      </w:pPr>
      <w:r w:rsidRPr="0070741E">
        <w:rPr>
          <w:rFonts w:ascii="Times New Roman" w:hAnsi="Times New Roman"/>
          <w:sz w:val="24"/>
          <w:szCs w:val="24"/>
        </w:rPr>
        <w:t>Zmiany w ustawie o podatku akcyzowym dotyczą w głównej mierze opodatkowania akcyzą preparatów smarowych klasyfikowanych do poz. CN 3403 na podobnych zasadach na jakich opodatkowane akcyzą są</w:t>
      </w:r>
      <w:r w:rsidR="007D5A6F" w:rsidRPr="0070741E">
        <w:rPr>
          <w:rFonts w:ascii="Times New Roman" w:hAnsi="Times New Roman"/>
          <w:sz w:val="24"/>
          <w:szCs w:val="24"/>
        </w:rPr>
        <w:t xml:space="preserve"> </w:t>
      </w:r>
      <w:r w:rsidRPr="0070741E">
        <w:rPr>
          <w:rFonts w:ascii="Times New Roman" w:hAnsi="Times New Roman"/>
          <w:sz w:val="24"/>
          <w:szCs w:val="24"/>
        </w:rPr>
        <w:t>obecnie oleje smarowe klasyfikowane do poz. CN 2710. Ponadto zmierzają do uszczelnienia obrotu wyrobami akc</w:t>
      </w:r>
      <w:r w:rsidR="00FA0466" w:rsidRPr="0070741E">
        <w:rPr>
          <w:rFonts w:ascii="Times New Roman" w:hAnsi="Times New Roman"/>
          <w:sz w:val="24"/>
          <w:szCs w:val="24"/>
        </w:rPr>
        <w:t>yzowymi innymi niż wymienione w </w:t>
      </w:r>
      <w:r w:rsidRPr="0070741E">
        <w:rPr>
          <w:rFonts w:ascii="Times New Roman" w:hAnsi="Times New Roman"/>
          <w:sz w:val="24"/>
          <w:szCs w:val="24"/>
        </w:rPr>
        <w:t xml:space="preserve">załączniku nr 2 do ustawy, objętymi stawką </w:t>
      </w:r>
      <w:r w:rsidR="00FA0466" w:rsidRPr="0070741E">
        <w:rPr>
          <w:rFonts w:ascii="Times New Roman" w:hAnsi="Times New Roman"/>
          <w:sz w:val="24"/>
          <w:szCs w:val="24"/>
        </w:rPr>
        <w:t>akcyzy inną niż stawka zerowa i </w:t>
      </w:r>
      <w:r w:rsidR="00CF1BB8" w:rsidRPr="0070741E">
        <w:rPr>
          <w:rFonts w:ascii="Times New Roman" w:hAnsi="Times New Roman"/>
          <w:sz w:val="24"/>
          <w:szCs w:val="24"/>
        </w:rPr>
        <w:t xml:space="preserve">wyeliminowania </w:t>
      </w:r>
      <w:r w:rsidRPr="0070741E">
        <w:rPr>
          <w:rFonts w:ascii="Times New Roman" w:hAnsi="Times New Roman"/>
          <w:sz w:val="24"/>
          <w:szCs w:val="24"/>
        </w:rPr>
        <w:t>nieprawidłowości występujących w obrocie tymi wyrobami (zwłaszcza olejami smarowymi) – poprzez rozszerzenie warunków stosowania procedury zawieszenia poboru akcyzy przy przemieszczaniu tych wyrobów na terytorium kraju w ramach nabycia wewnątrzwspólnotowego lub dostawy wewnątrzwspólnotowej.</w:t>
      </w:r>
      <w:r w:rsidR="008F441C">
        <w:rPr>
          <w:rFonts w:ascii="Times New Roman" w:hAnsi="Times New Roman"/>
          <w:sz w:val="24"/>
          <w:szCs w:val="24"/>
        </w:rPr>
        <w:t xml:space="preserve"> </w:t>
      </w:r>
      <w:r w:rsidR="008F441C" w:rsidRPr="003B5F69">
        <w:rPr>
          <w:rFonts w:ascii="Times New Roman" w:hAnsi="Times New Roman"/>
          <w:sz w:val="24"/>
          <w:szCs w:val="24"/>
        </w:rPr>
        <w:t xml:space="preserve">Dodatkowo </w:t>
      </w:r>
      <w:r w:rsidR="00810EB2" w:rsidRPr="00AF2051">
        <w:rPr>
          <w:rFonts w:ascii="Times New Roman" w:hAnsi="Times New Roman"/>
          <w:sz w:val="24"/>
          <w:szCs w:val="24"/>
        </w:rPr>
        <w:t xml:space="preserve">w ustawie o podatku akcyzowym </w:t>
      </w:r>
      <w:r w:rsidR="00810EB2" w:rsidRPr="003B5F69">
        <w:rPr>
          <w:rFonts w:ascii="Times New Roman" w:hAnsi="Times New Roman"/>
          <w:color w:val="000000"/>
          <w:sz w:val="24"/>
          <w:szCs w:val="24"/>
        </w:rPr>
        <w:t xml:space="preserve">zaproponowano </w:t>
      </w:r>
      <w:r w:rsidR="008F441C" w:rsidRPr="003B5F69">
        <w:rPr>
          <w:rFonts w:ascii="Times New Roman" w:hAnsi="Times New Roman"/>
          <w:sz w:val="24"/>
          <w:szCs w:val="24"/>
        </w:rPr>
        <w:t xml:space="preserve">rozwiązanie polegające na zastąpieniu warunku ogłoszenia pozytywnej decyzji Komisji Europejskiej o zgodności pomocy publicznej ze wspólnym rynkiem dla stosowana zerowej stawki akcyzy wobec </w:t>
      </w:r>
      <w:r w:rsidR="00AF2051" w:rsidRPr="003B5F69">
        <w:rPr>
          <w:rFonts w:ascii="Times New Roman" w:hAnsi="Times New Roman"/>
          <w:sz w:val="24"/>
          <w:szCs w:val="24"/>
        </w:rPr>
        <w:t>g</w:t>
      </w:r>
      <w:r w:rsidR="00AF2051" w:rsidRPr="00AF2051">
        <w:rPr>
          <w:rFonts w:ascii="Times New Roman" w:hAnsi="Times New Roman"/>
          <w:sz w:val="24"/>
          <w:szCs w:val="24"/>
        </w:rPr>
        <w:t xml:space="preserve">azu ziemnego przeznaczonego do napędu silników spalinowych, tj. skroplonego gazu ziemnego (LNG) oraz sprężonego gazu ziemnego (CNG) oraz biogazu, wodoru i </w:t>
      </w:r>
      <w:proofErr w:type="spellStart"/>
      <w:r w:rsidR="00AF2051" w:rsidRPr="00AF2051">
        <w:rPr>
          <w:rFonts w:ascii="Times New Roman" w:hAnsi="Times New Roman"/>
          <w:sz w:val="24"/>
          <w:szCs w:val="24"/>
        </w:rPr>
        <w:t>biowodoru</w:t>
      </w:r>
      <w:proofErr w:type="spellEnd"/>
      <w:r w:rsidR="00AF2051" w:rsidRPr="00AF2051">
        <w:rPr>
          <w:rFonts w:ascii="Times New Roman" w:hAnsi="Times New Roman"/>
          <w:sz w:val="24"/>
          <w:szCs w:val="24"/>
        </w:rPr>
        <w:t xml:space="preserve">, </w:t>
      </w:r>
      <w:r w:rsidR="008F441C" w:rsidRPr="003B5F69">
        <w:rPr>
          <w:rFonts w:ascii="Times New Roman" w:hAnsi="Times New Roman"/>
          <w:sz w:val="24"/>
          <w:szCs w:val="24"/>
        </w:rPr>
        <w:t xml:space="preserve">regulacją przewidującą warunek poinformowania o tym środku pomocowym (tj. zerowej stawce akcyzy) Komisji Europejskiej przy zastosowaniu art. 44 rozporządzenia Komisji (UE) nr 651/2014 </w:t>
      </w:r>
      <w:r w:rsidR="008F441C" w:rsidRPr="003B5F69">
        <w:rPr>
          <w:rFonts w:ascii="Times New Roman" w:hAnsi="Times New Roman"/>
          <w:i/>
          <w:sz w:val="24"/>
          <w:szCs w:val="24"/>
        </w:rPr>
        <w:t>uznającego niektóre rodzaje pomocy za zgodne z rynkiem wewnętrznym w zastosowaniu art. 107 i 108 Traktatu</w:t>
      </w:r>
      <w:r w:rsidR="008F441C" w:rsidRPr="003B5F69">
        <w:rPr>
          <w:rFonts w:ascii="Times New Roman" w:hAnsi="Times New Roman"/>
          <w:sz w:val="24"/>
          <w:szCs w:val="24"/>
        </w:rPr>
        <w:t xml:space="preserve">. </w:t>
      </w:r>
      <w:r w:rsidR="00810EB2" w:rsidRPr="003B5F69">
        <w:rPr>
          <w:rFonts w:ascii="Times New Roman" w:hAnsi="Times New Roman"/>
          <w:sz w:val="24"/>
          <w:szCs w:val="24"/>
        </w:rPr>
        <w:t>Jednocześnie,</w:t>
      </w:r>
      <w:r w:rsidR="00745424" w:rsidRPr="003B5F69">
        <w:rPr>
          <w:rFonts w:ascii="Times New Roman" w:hAnsi="Times New Roman"/>
          <w:sz w:val="24"/>
          <w:szCs w:val="24"/>
        </w:rPr>
        <w:t xml:space="preserve"> dla ułatwienia stosowania podmiotom </w:t>
      </w:r>
      <w:r w:rsidR="00810EB2" w:rsidRPr="003B5F69">
        <w:rPr>
          <w:rFonts w:ascii="Times New Roman" w:hAnsi="Times New Roman"/>
          <w:sz w:val="24"/>
          <w:szCs w:val="24"/>
        </w:rPr>
        <w:t xml:space="preserve">zerowej stawki akcyzy wobec niektórych gazów przeznaczonych do napędu silników spalinowych, wprowadzono zmianę do ustawy </w:t>
      </w:r>
      <w:r w:rsidR="00745424" w:rsidRPr="003B5F69">
        <w:rPr>
          <w:rFonts w:ascii="Times New Roman" w:hAnsi="Times New Roman"/>
          <w:sz w:val="24"/>
          <w:szCs w:val="24"/>
        </w:rPr>
        <w:t xml:space="preserve">o </w:t>
      </w:r>
      <w:r w:rsidR="00810EB2" w:rsidRPr="003B5F69">
        <w:rPr>
          <w:rFonts w:ascii="Times New Roman" w:hAnsi="Times New Roman"/>
          <w:sz w:val="24"/>
          <w:szCs w:val="24"/>
        </w:rPr>
        <w:t xml:space="preserve">zmianie ustawy </w:t>
      </w:r>
      <w:r w:rsidR="00745424" w:rsidRPr="003B5F69">
        <w:rPr>
          <w:rFonts w:ascii="Times New Roman" w:hAnsi="Times New Roman"/>
          <w:sz w:val="24"/>
          <w:szCs w:val="24"/>
        </w:rPr>
        <w:t>o podatku akcyzowym oraz ustawy – Prawo celne.</w:t>
      </w:r>
      <w:r w:rsidR="00E93E24">
        <w:rPr>
          <w:rFonts w:ascii="Times New Roman" w:hAnsi="Times New Roman"/>
          <w:sz w:val="24"/>
          <w:szCs w:val="24"/>
        </w:rPr>
        <w:t xml:space="preserve"> </w:t>
      </w:r>
    </w:p>
    <w:p w14:paraId="6B4200CF"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Zmiana w Ordynacji podatkowej polega na dołączeni</w:t>
      </w:r>
      <w:r w:rsidR="00095793" w:rsidRPr="0070741E">
        <w:rPr>
          <w:rFonts w:ascii="Times New Roman" w:hAnsi="Times New Roman"/>
          <w:sz w:val="24"/>
          <w:szCs w:val="24"/>
        </w:rPr>
        <w:t>u</w:t>
      </w:r>
      <w:r w:rsidRPr="0070741E">
        <w:rPr>
          <w:rFonts w:ascii="Times New Roman" w:hAnsi="Times New Roman"/>
          <w:sz w:val="24"/>
          <w:szCs w:val="24"/>
        </w:rPr>
        <w:t xml:space="preserve"> Prezesa URE do katalogu podmiotów, którym mogą być udostępniane </w:t>
      </w:r>
      <w:r w:rsidR="001D53F6" w:rsidRPr="0070741E">
        <w:rPr>
          <w:rFonts w:ascii="Times New Roman" w:hAnsi="Times New Roman"/>
          <w:sz w:val="24"/>
          <w:szCs w:val="24"/>
        </w:rPr>
        <w:t>informacje</w:t>
      </w:r>
      <w:r w:rsidR="0018526C" w:rsidRPr="0070741E">
        <w:rPr>
          <w:rFonts w:ascii="Times New Roman" w:hAnsi="Times New Roman"/>
          <w:sz w:val="24"/>
          <w:szCs w:val="24"/>
        </w:rPr>
        <w:t xml:space="preserve"> objęte</w:t>
      </w:r>
      <w:r w:rsidRPr="0070741E">
        <w:rPr>
          <w:rFonts w:ascii="Times New Roman" w:hAnsi="Times New Roman"/>
          <w:sz w:val="24"/>
          <w:szCs w:val="24"/>
        </w:rPr>
        <w:t xml:space="preserve"> tajemnicą skarbową, w zakresie, w jakim to jest konieczne d</w:t>
      </w:r>
      <w:r w:rsidR="00FA0466" w:rsidRPr="0070741E">
        <w:rPr>
          <w:rFonts w:ascii="Times New Roman" w:hAnsi="Times New Roman"/>
          <w:sz w:val="24"/>
          <w:szCs w:val="24"/>
        </w:rPr>
        <w:t xml:space="preserve">o realizacji </w:t>
      </w:r>
      <w:r w:rsidR="001D53F6" w:rsidRPr="0070741E">
        <w:rPr>
          <w:rFonts w:ascii="Times New Roman" w:hAnsi="Times New Roman"/>
          <w:sz w:val="24"/>
          <w:szCs w:val="24"/>
        </w:rPr>
        <w:t xml:space="preserve">jego </w:t>
      </w:r>
      <w:r w:rsidR="00FA0466" w:rsidRPr="0070741E">
        <w:rPr>
          <w:rFonts w:ascii="Times New Roman" w:hAnsi="Times New Roman"/>
          <w:sz w:val="24"/>
          <w:szCs w:val="24"/>
        </w:rPr>
        <w:t xml:space="preserve">zadań </w:t>
      </w:r>
      <w:r w:rsidR="001D53F6" w:rsidRPr="0070741E">
        <w:rPr>
          <w:rFonts w:ascii="Times New Roman" w:hAnsi="Times New Roman"/>
          <w:sz w:val="24"/>
          <w:szCs w:val="24"/>
        </w:rPr>
        <w:t>ustawowych</w:t>
      </w:r>
      <w:r w:rsidRPr="0070741E">
        <w:rPr>
          <w:rFonts w:ascii="Times New Roman" w:hAnsi="Times New Roman"/>
          <w:sz w:val="24"/>
          <w:szCs w:val="24"/>
        </w:rPr>
        <w:t>.</w:t>
      </w:r>
    </w:p>
    <w:p w14:paraId="5E25F36B" w14:textId="77777777" w:rsidR="006B7B7A" w:rsidRPr="0070741E" w:rsidRDefault="006B7B7A" w:rsidP="00CD3D8E">
      <w:pPr>
        <w:spacing w:after="0" w:line="360" w:lineRule="auto"/>
        <w:jc w:val="both"/>
        <w:rPr>
          <w:rFonts w:ascii="Times New Roman" w:hAnsi="Times New Roman"/>
          <w:sz w:val="24"/>
          <w:szCs w:val="24"/>
        </w:rPr>
      </w:pPr>
    </w:p>
    <w:p w14:paraId="70F83133" w14:textId="77777777" w:rsidR="006B7B7A" w:rsidRPr="0070741E" w:rsidRDefault="004E5772" w:rsidP="00BC6C5F">
      <w:pPr>
        <w:keepNext/>
        <w:keepLines/>
        <w:spacing w:after="0" w:line="360" w:lineRule="auto"/>
        <w:jc w:val="both"/>
        <w:rPr>
          <w:rFonts w:ascii="Times New Roman" w:eastAsia="Times New Roman" w:hAnsi="Times New Roman"/>
          <w:b/>
          <w:bCs/>
          <w:sz w:val="24"/>
          <w:szCs w:val="24"/>
          <w:u w:val="single"/>
          <w:lang w:eastAsia="pl-PL"/>
        </w:rPr>
      </w:pPr>
      <w:r w:rsidRPr="0070741E">
        <w:rPr>
          <w:rFonts w:ascii="Times New Roman" w:eastAsia="Times New Roman" w:hAnsi="Times New Roman"/>
          <w:b/>
          <w:bCs/>
          <w:sz w:val="24"/>
          <w:szCs w:val="24"/>
          <w:u w:val="single"/>
          <w:lang w:eastAsia="pl-PL"/>
        </w:rPr>
        <w:lastRenderedPageBreak/>
        <w:t>II. Zmiany w ustawie o podatku od towarów i usług</w:t>
      </w:r>
    </w:p>
    <w:p w14:paraId="7C846FDA" w14:textId="77777777" w:rsidR="00C01883" w:rsidRPr="0070741E" w:rsidRDefault="00C01883" w:rsidP="00BC6C5F">
      <w:pPr>
        <w:keepNext/>
        <w:keepLines/>
        <w:spacing w:after="0" w:line="360" w:lineRule="auto"/>
        <w:jc w:val="both"/>
        <w:rPr>
          <w:rFonts w:ascii="Times New Roman" w:eastAsia="Times New Roman" w:hAnsi="Times New Roman"/>
          <w:bCs/>
          <w:sz w:val="24"/>
          <w:szCs w:val="24"/>
          <w:lang w:eastAsia="pl-PL"/>
        </w:rPr>
      </w:pPr>
    </w:p>
    <w:p w14:paraId="7FC407FC" w14:textId="77777777" w:rsidR="00F502BE" w:rsidRPr="0070741E" w:rsidRDefault="00F502BE" w:rsidP="00BC6C5F">
      <w:pPr>
        <w:keepNext/>
        <w:keepLines/>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u w:val="single"/>
          <w:lang w:eastAsia="pl-PL"/>
        </w:rPr>
        <w:t>Zmiana w art. 2 pkt 14</w:t>
      </w:r>
    </w:p>
    <w:p w14:paraId="1E735040" w14:textId="77777777" w:rsidR="00F502BE" w:rsidRPr="0070741E" w:rsidRDefault="00F502BE" w:rsidP="00F502BE">
      <w:pPr>
        <w:spacing w:after="0" w:line="360" w:lineRule="auto"/>
        <w:jc w:val="both"/>
        <w:rPr>
          <w:rFonts w:ascii="Times New Roman" w:eastAsia="Times New Roman" w:hAnsi="Times New Roman"/>
          <w:sz w:val="24"/>
          <w:szCs w:val="24"/>
          <w:lang w:eastAsia="pl-PL"/>
        </w:rPr>
      </w:pPr>
      <w:r w:rsidRPr="0070741E">
        <w:rPr>
          <w:rFonts w:ascii="Times New Roman" w:eastAsia="Times New Roman" w:hAnsi="Times New Roman"/>
          <w:sz w:val="24"/>
          <w:szCs w:val="24"/>
          <w:lang w:eastAsia="pl-PL"/>
        </w:rPr>
        <w:t>Aktualnie przepis art. 2 pkt 14 ustawy o VAT stanowi, że ilekroć w dalszych przepisach jest mowa o pierwszym zasiedleniu – rozumie się przez to oddanie do użytkowania, w wykonaniu czynności podlegających opodatkowaniu, pierwszemu nabywcy lub użytkownikowi budynków, budowli lub ich części, po ich:</w:t>
      </w:r>
    </w:p>
    <w:p w14:paraId="48DA6AE9" w14:textId="77777777" w:rsidR="00F502BE" w:rsidRPr="0070741E" w:rsidRDefault="00F502BE" w:rsidP="00F502BE">
      <w:pPr>
        <w:spacing w:after="0" w:line="360" w:lineRule="auto"/>
        <w:jc w:val="both"/>
        <w:rPr>
          <w:rFonts w:ascii="Times New Roman" w:eastAsia="Times New Roman" w:hAnsi="Times New Roman"/>
          <w:sz w:val="24"/>
          <w:szCs w:val="24"/>
          <w:lang w:eastAsia="pl-PL"/>
        </w:rPr>
      </w:pPr>
      <w:r w:rsidRPr="0070741E">
        <w:rPr>
          <w:rFonts w:ascii="Times New Roman" w:eastAsia="Times New Roman" w:hAnsi="Times New Roman"/>
          <w:sz w:val="24"/>
          <w:szCs w:val="24"/>
          <w:lang w:eastAsia="pl-PL"/>
        </w:rPr>
        <w:t xml:space="preserve">a) wybudowaniu lub </w:t>
      </w:r>
    </w:p>
    <w:p w14:paraId="7E44474E" w14:textId="77777777" w:rsidR="00F502BE" w:rsidRPr="0070741E" w:rsidRDefault="00F502BE" w:rsidP="00F502BE">
      <w:pPr>
        <w:spacing w:after="0" w:line="360" w:lineRule="auto"/>
        <w:jc w:val="both"/>
        <w:rPr>
          <w:rFonts w:ascii="Times New Roman" w:eastAsia="Times New Roman" w:hAnsi="Times New Roman"/>
          <w:sz w:val="24"/>
          <w:szCs w:val="24"/>
          <w:lang w:eastAsia="pl-PL"/>
        </w:rPr>
      </w:pPr>
      <w:r w:rsidRPr="0070741E">
        <w:rPr>
          <w:rFonts w:ascii="Times New Roman" w:eastAsia="Times New Roman" w:hAnsi="Times New Roman"/>
          <w:sz w:val="24"/>
          <w:szCs w:val="24"/>
          <w:lang w:eastAsia="pl-PL"/>
        </w:rPr>
        <w:t>b) ulepszeniu, jeżeli wydatki poniesione na ulepszenie, w rozumieniu przepisów o podatku dochodowym, stanowiły co najmniej 30% wartości początkowej.</w:t>
      </w:r>
    </w:p>
    <w:p w14:paraId="1C70734C" w14:textId="77777777" w:rsidR="00F502BE" w:rsidRPr="0070741E" w:rsidRDefault="00F502BE" w:rsidP="00F502B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sz w:val="24"/>
          <w:szCs w:val="24"/>
          <w:lang w:eastAsia="pl-PL"/>
        </w:rPr>
        <w:t xml:space="preserve">W wyroku z dnia 16 listopada 2017 r. w sprawie C-308/16 Kozuba Premium </w:t>
      </w:r>
      <w:proofErr w:type="spellStart"/>
      <w:r w:rsidRPr="0070741E">
        <w:rPr>
          <w:rFonts w:ascii="Times New Roman" w:eastAsia="Times New Roman" w:hAnsi="Times New Roman"/>
          <w:sz w:val="24"/>
          <w:szCs w:val="24"/>
          <w:lang w:eastAsia="pl-PL"/>
        </w:rPr>
        <w:t>Selection</w:t>
      </w:r>
      <w:proofErr w:type="spellEnd"/>
      <w:r w:rsidRPr="0070741E">
        <w:rPr>
          <w:rFonts w:ascii="Times New Roman" w:eastAsia="Times New Roman" w:hAnsi="Times New Roman"/>
          <w:sz w:val="24"/>
          <w:szCs w:val="24"/>
          <w:lang w:eastAsia="pl-PL"/>
        </w:rPr>
        <w:t xml:space="preserve"> Sp. z o.o., TSUE w kontekście analizy ww. przepisu orzekł: „A</w:t>
      </w:r>
      <w:r w:rsidRPr="0070741E">
        <w:rPr>
          <w:rFonts w:ascii="Times New Roman" w:eastAsia="Times New Roman" w:hAnsi="Times New Roman"/>
          <w:bCs/>
          <w:sz w:val="24"/>
          <w:szCs w:val="24"/>
          <w:lang w:eastAsia="pl-PL"/>
        </w:rPr>
        <w:t xml:space="preserve">rtykuł 12 ust. 1 i 2 oraz art. 135 ust. 1 lit. j) dyrektywy Rady 2006/112/WE z dnia 28 listopada 2006 r. w sprawie wspólnego systemu podatku od wartości dodanej należy interpretować w ten sposób, że sprzeciwiają się one przepisom krajowym, takim jak będące przedmiotem postępowania głównego, które uzależniają zwolnienie z podatku od wartości dodanej w związku z dostawą budynków od spełnienia warunku, zgodnie z którym pierwsze zasiedlenie tych budynków następuje w ramach czynności podlegającej opodatkowaniu. Wskazane przepisy tejże dyrektywy należy interpretować w ten sposób, że nie sprzeciwiają się one, aby takie przepisy krajowe uzależniały owo zwolnienie od warunku, zgodnie z którym w wypadku „ulepszenia” istniejącego budynku poniesione wydatki nie mogą przekroczyć 30% początkowej wartości tego budynku, o ile rzeczone pojęcie „ulepszenia” jest interpretowane w taki sam sposób jak pojęcie „przebudowy” zawarte w art. 12 ust. 2 dyrektywy 2006/112, to znaczy tak, że odnośny budynek powinien być przedmiotem istotnych zmian przeprowadzonych w celu zmiany jego wykorzystania lub w celu znaczącej zmiany warunków jego zasiedlenia”. </w:t>
      </w:r>
    </w:p>
    <w:p w14:paraId="2103FD1C" w14:textId="77777777" w:rsidR="00F502BE" w:rsidRPr="0070741E" w:rsidRDefault="00F502BE" w:rsidP="00F502BE">
      <w:pPr>
        <w:spacing w:after="0" w:line="360" w:lineRule="auto"/>
        <w:jc w:val="both"/>
        <w:rPr>
          <w:rFonts w:ascii="Times New Roman" w:hAnsi="Times New Roman"/>
          <w:sz w:val="24"/>
          <w:szCs w:val="24"/>
        </w:rPr>
      </w:pPr>
      <w:r w:rsidRPr="0070741E">
        <w:rPr>
          <w:rFonts w:ascii="Times New Roman" w:eastAsia="Times New Roman" w:hAnsi="Times New Roman"/>
          <w:bCs/>
          <w:sz w:val="24"/>
          <w:szCs w:val="24"/>
          <w:lang w:eastAsia="pl-PL"/>
        </w:rPr>
        <w:t>Dostosowując przepisy do ww. orzeczenia TSUE odstąpiono w art. 2 pkt 14 od warunku, zgodnie z którym pierwsze zasiedlenie budynków, budowli lub ich części następuje w wykonaniu czynności podlegającej opodatkowaniu. Ponadto doprecyzowano, że pierwsze zasiedlenie poza oddaniem do użytkowania pierwszemu nabywcy lub użytkownikowi budynków, budowli lub ich części, obejmuje również rozpoczęcie użytkowania na potrzeby własne tych budynków, budowli lub ich części, po ich wybudowaniu lub ulepszeniu, które spełnia warunki określone w art. 2 pkt 14 lit. b ustawy.</w:t>
      </w:r>
    </w:p>
    <w:p w14:paraId="3111CE20" w14:textId="77777777" w:rsidR="00F502BE" w:rsidRPr="0070741E" w:rsidRDefault="00F502BE" w:rsidP="00F502BE">
      <w:pPr>
        <w:pStyle w:val="Tekstpodstawowy"/>
        <w:spacing w:after="0" w:line="360" w:lineRule="auto"/>
        <w:jc w:val="both"/>
        <w:rPr>
          <w:rFonts w:ascii="Times New Roman" w:hAnsi="Times New Roman"/>
          <w:sz w:val="24"/>
          <w:szCs w:val="24"/>
        </w:rPr>
      </w:pPr>
      <w:r w:rsidRPr="0070741E">
        <w:rPr>
          <w:rFonts w:ascii="Times New Roman" w:hAnsi="Times New Roman"/>
          <w:sz w:val="24"/>
          <w:szCs w:val="24"/>
        </w:rPr>
        <w:lastRenderedPageBreak/>
        <w:t>Definicja pierwszego zasiedlenia jest istotna z punktu widzenia możliwości zastosowania zwolnienia z art. 43 ust. 1 pkt 10 i w tym zakresie brzmienie przepisu na dzień powstania obowiązku podatkowego przesądza o zastosowaniu zwolnienia lub jego niezastosowaniu.</w:t>
      </w:r>
    </w:p>
    <w:p w14:paraId="131D68E3" w14:textId="77777777" w:rsidR="00F502BE" w:rsidRPr="0070741E" w:rsidRDefault="00F502BE" w:rsidP="00F502BE">
      <w:pPr>
        <w:pStyle w:val="Tekstpodstawowy"/>
        <w:spacing w:after="0" w:line="360" w:lineRule="auto"/>
        <w:jc w:val="both"/>
        <w:rPr>
          <w:rFonts w:ascii="Times New Roman" w:hAnsi="Times New Roman"/>
          <w:sz w:val="24"/>
          <w:szCs w:val="24"/>
        </w:rPr>
      </w:pPr>
      <w:r w:rsidRPr="0070741E">
        <w:rPr>
          <w:rFonts w:ascii="Times New Roman" w:hAnsi="Times New Roman"/>
          <w:sz w:val="24"/>
          <w:szCs w:val="24"/>
        </w:rPr>
        <w:t xml:space="preserve">Zmiana art. 2 ust. 1 pkt 14 nie wymaga regulacji przejściowych. </w:t>
      </w:r>
    </w:p>
    <w:p w14:paraId="6A4D75F9" w14:textId="77777777" w:rsidR="00F502BE" w:rsidRPr="0070741E" w:rsidRDefault="00F502BE" w:rsidP="00F502BE">
      <w:pPr>
        <w:pStyle w:val="Tekstpodstawowy"/>
        <w:spacing w:after="0" w:line="360" w:lineRule="auto"/>
        <w:jc w:val="both"/>
        <w:rPr>
          <w:rFonts w:ascii="Times New Roman" w:hAnsi="Times New Roman"/>
          <w:sz w:val="24"/>
          <w:szCs w:val="24"/>
        </w:rPr>
      </w:pPr>
      <w:r w:rsidRPr="0070741E">
        <w:rPr>
          <w:rFonts w:ascii="Times New Roman" w:hAnsi="Times New Roman"/>
          <w:sz w:val="24"/>
          <w:szCs w:val="24"/>
        </w:rPr>
        <w:t>Odstąpienie od powiązania pojęcia „pierwszego zasiedlenia” z wykonywaniem czynności podlegających opodatkowaniu będzie skutkować w niektórych wypadkach wcześniejszym pierwszym zasiedleniem budynku, budowli lub ich części (np. w przypadku, gdy ich oddanie do użytkowania pierwszemu nabywcy lub użytkownikowi nie następowało w wykonaniu czynności opodatkowanych, albo gdy właściciel po ich wybudowaniu lub ulepszeniu wykorzystywał je na własne potrzeby, a w konsekwencji wpłynie na stosowanie zwolnienia przedmiotowego, o którym mowa w art. 43 ust. 1 pkt 10 i 10a – wprowadzona zmiana wynika z konieczności zapewnienia zgodności wskazanego przepisu z dyrektywą interpretowaną w </w:t>
      </w:r>
      <w:r w:rsidR="00FF42C8" w:rsidRPr="0070741E">
        <w:rPr>
          <w:rFonts w:ascii="Times New Roman" w:hAnsi="Times New Roman"/>
          <w:sz w:val="24"/>
          <w:szCs w:val="24"/>
        </w:rPr>
        <w:t>świetle wyroku C-308/16.</w:t>
      </w:r>
    </w:p>
    <w:p w14:paraId="38B3C36C" w14:textId="77777777" w:rsidR="00F502BE" w:rsidRPr="0070741E" w:rsidRDefault="00F502BE" w:rsidP="00F502B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Projektowana ustawa nie wprowadza zmian w art. 2 pkt 14 lit. b ustawy o VAT. Należy wskazać, że w wyroku w sprawie C-308/16, TSUE nie zakwestionował istniejącego w art. 2 pkt 14 lit. b ustawy o VAT warunku wiążącego istnienie ulepszenia z poniesieniem wydatków stanowiących 30% wartości początkowej.</w:t>
      </w:r>
    </w:p>
    <w:p w14:paraId="635CEAA3" w14:textId="77777777" w:rsidR="00F502BE" w:rsidRPr="0070741E" w:rsidRDefault="00F502BE" w:rsidP="00F502B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TSUE odnosząc się w ww. wyroku do regulacji krajowej związanej z pojęciem "ulepszenia" budynku lub budowli stwierdził, że przepisy dyrektywy 2006/112/WE należy interpretować w ten sposób, że nie sprzeciwiają się one, aby takie przepisy krajowe uzależniały owo zwolnienie od warunku, zgodnie z którym w wypadku „ulepszenia” istniejącego budynku poniesione wydatki nie mogą przekroczyć 30% początkowej wartości tego budynku, o ile rzeczone pojęcie „ulepszenia” jest interpretowane w taki sam sposób jak pojęcie „przebudowy” zawarte w art. 12 ust. 2 dyrektywy 2006/112, to znaczy tak, że odnośny budynek powinien być przedmiotem istotnych zmian przeprowadzonych w celu zmiany jego wykorzystania lub w celu znaczącej zmiany warunków jego zasiedlenia.</w:t>
      </w:r>
    </w:p>
    <w:p w14:paraId="7EA25856" w14:textId="77777777" w:rsidR="00F502BE" w:rsidRPr="0070741E" w:rsidRDefault="00F502BE" w:rsidP="00F502B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Zastosowane w obecnym brzmieniu przepisu art. 2 pkt 14 lit. b ustawy o VAT dla zdefiniowania „ulepszenia” połączenie kwalifikacji rzeczowej czynności (poprzez odesłanie do przepisów o podatku dochodowym) z kwalifikacją wartościową (30% wartości początkowej) pozwala na przyjęcie, że w przypadku wypełnienia tej definicji przesłanka istotności (znaczności) zmiany jest każdorazowo spełniona, a tym samym przepis ten odpowiada wymogom stawianym przez TSUE w ww. wyroku. Jednocześnie wspomniane </w:t>
      </w:r>
      <w:r w:rsidRPr="0070741E">
        <w:rPr>
          <w:rFonts w:ascii="Times New Roman" w:eastAsia="Times New Roman" w:hAnsi="Times New Roman"/>
          <w:bCs/>
          <w:sz w:val="24"/>
          <w:szCs w:val="24"/>
          <w:lang w:eastAsia="pl-PL"/>
        </w:rPr>
        <w:lastRenderedPageBreak/>
        <w:t xml:space="preserve">połączenie kwalifikacji rzeczowej z kwalifikacją wartościową umożliwia jednoznaczne </w:t>
      </w:r>
      <w:r w:rsidR="0070741E" w:rsidRPr="0070741E">
        <w:rPr>
          <w:rFonts w:ascii="Times New Roman" w:eastAsia="Times New Roman" w:hAnsi="Times New Roman"/>
          <w:bCs/>
          <w:sz w:val="24"/>
          <w:szCs w:val="24"/>
          <w:lang w:eastAsia="pl-PL"/>
        </w:rPr>
        <w:t>określenie, kiedy</w:t>
      </w:r>
      <w:r w:rsidRPr="0070741E">
        <w:rPr>
          <w:rFonts w:ascii="Times New Roman" w:eastAsia="Times New Roman" w:hAnsi="Times New Roman"/>
          <w:bCs/>
          <w:sz w:val="24"/>
          <w:szCs w:val="24"/>
          <w:lang w:eastAsia="pl-PL"/>
        </w:rPr>
        <w:t xml:space="preserve"> dochodzi do „ulepszenia” (pewność prawa dla podatników). </w:t>
      </w:r>
    </w:p>
    <w:p w14:paraId="3523D560" w14:textId="77777777" w:rsidR="00F502BE" w:rsidRPr="0070741E" w:rsidRDefault="00F502BE" w:rsidP="00F502B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Jednocześnie podkreślić należy, że użyte przez TSUE określenia „istotne zmiany” i „znacząca zmiana” są pojęciami nieostrymi i nie zostały przez TSUE zdefiniowane. W konsekwencji niecelowym byłoby konstruowanie wskazanego przepisu z użyciem tego rodzaju pojęć (należy w tym kontekście również pamiętać, że interpretowana w świetle orzecznictwa TSUE dyrektywa wiąże dane państwo członkowskie co do rezultatu, w efekcie nie ma konieczności (uzasadnienia) dla kopiowania treści dyrektywy lub orzeczenia do przepisu krajowego). Ewentualne użycie tych pojęć wprost w przepisach skutkowałoby niepewnością podatników co do prawidłowości dokonanej kwalifikacji zmian jako istotnych lub nieistotnych oraz prowadziłoby do licznych sporów podatników z organami podatkowymi na tym tle. Problemy te eliminuje pozostawienie art. 2 pkt 14 lit. b ustawy o VAT w obecnym brzmieniu, co nie pozostaje również w sprzeczności z wyrokiem TSUE w sprawie C- 308/16. Obecna definicja poprzez zawarcie wskazanego warunku umożliwia w sposób jednoznaczny określenie kiedy dochodzi do ulepszenia, a przez to zapewnia podatnikom pewność prawa.</w:t>
      </w:r>
    </w:p>
    <w:p w14:paraId="3ABDA0B6" w14:textId="77777777" w:rsidR="00957C6C" w:rsidRPr="0070741E" w:rsidRDefault="00957C6C" w:rsidP="00CD3D8E">
      <w:pPr>
        <w:spacing w:after="0" w:line="360" w:lineRule="auto"/>
        <w:jc w:val="both"/>
        <w:rPr>
          <w:rFonts w:ascii="Times New Roman" w:eastAsia="Times New Roman" w:hAnsi="Times New Roman"/>
          <w:bCs/>
          <w:sz w:val="24"/>
          <w:szCs w:val="24"/>
          <w:u w:val="single"/>
          <w:lang w:eastAsia="pl-PL"/>
        </w:rPr>
      </w:pPr>
    </w:p>
    <w:p w14:paraId="17CB41FB" w14:textId="77777777"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Zmiana w art. 5</w:t>
      </w:r>
    </w:p>
    <w:p w14:paraId="6BAF082E" w14:textId="77777777"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Dodanie ust. 6 do art. 5 ustawy związane jest z </w:t>
      </w:r>
      <w:r w:rsidR="00B10B1E" w:rsidRPr="0070741E">
        <w:rPr>
          <w:rFonts w:ascii="Times New Roman" w:eastAsia="Times New Roman" w:hAnsi="Times New Roman"/>
          <w:bCs/>
          <w:sz w:val="24"/>
          <w:szCs w:val="24"/>
          <w:lang w:eastAsia="pl-PL"/>
        </w:rPr>
        <w:t xml:space="preserve">zawartą </w:t>
      </w:r>
      <w:r w:rsidRPr="0070741E">
        <w:rPr>
          <w:rFonts w:ascii="Times New Roman" w:eastAsia="Times New Roman" w:hAnsi="Times New Roman"/>
          <w:bCs/>
          <w:sz w:val="24"/>
          <w:szCs w:val="24"/>
          <w:lang w:eastAsia="pl-PL"/>
        </w:rPr>
        <w:t xml:space="preserve">umową między Rządem Rzeczypospolitej Polskiej a Gabinetem Ministrów Ukrainy o utrzymaniu drogowych granicznych obiektów mostowych na polsko-ukraińskiej granicy państwowej oraz otrzymaną decyzją wykonawczą Rady upoważniającą Rzeczpospolitą Polską do zawarcia z Republiką Ukrainy ww. umowy obejmującej środki stanowiące odstępstwo od art. 2 ust. 1 lit. d) oraz art. 5 dyrektywy 2006/112/WE Rady z dnia 28 listopada 2006 r. w sprawie wspólnego systemu podatku od wartości dodanej (Dz. Urz. UE L 347 z 11.12.2006, str. 1, z późn. zm.) – dalej: „dyrektywa 2006/112/WE”, w odniesieniu do utrzymania mostów drogowych na granicy Rzeczypospolitej Polskiej i Ukrainy. </w:t>
      </w:r>
    </w:p>
    <w:p w14:paraId="34D9D049" w14:textId="77777777"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Proponowana zmiana ma na celu wyłączenie z opodatkowania podatkiem VAT importu towarów w przypadku zawarcia umów między Rzecząpospolitą Polską a państwem trzecim, dotyczących budowy lub utrzymania mostów transgranicznych lub wspólnych odcinków dróg oraz uzyskania stosownych decyzji Rady upoważniających do stosowania środków stanowiących odstępstwo od art. 2 ust. 1 lit. d dyrektywy 2006/112/WE.</w:t>
      </w:r>
      <w:r w:rsidR="007D5A6F" w:rsidRPr="0070741E">
        <w:rPr>
          <w:rFonts w:ascii="Times New Roman" w:eastAsia="Times New Roman" w:hAnsi="Times New Roman"/>
          <w:bCs/>
          <w:sz w:val="24"/>
          <w:szCs w:val="24"/>
          <w:lang w:eastAsia="pl-PL"/>
        </w:rPr>
        <w:t xml:space="preserve"> </w:t>
      </w:r>
    </w:p>
    <w:p w14:paraId="231858DD" w14:textId="77777777"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lastRenderedPageBreak/>
        <w:t>Powyższa zmiana uwzględnia postanowienia decyzji wykonawczej Rady upoważniającej Rzeczpospolitą Polską do zawarcia z Republiką Ukrainy umowy obejmującej środki stanowiące odstępstwo od art. 2 ust. 1 lit. d) oraz</w:t>
      </w:r>
      <w:r w:rsidR="00792429">
        <w:rPr>
          <w:rFonts w:ascii="Times New Roman" w:eastAsia="Times New Roman" w:hAnsi="Times New Roman"/>
          <w:bCs/>
          <w:sz w:val="24"/>
          <w:szCs w:val="24"/>
          <w:lang w:eastAsia="pl-PL"/>
        </w:rPr>
        <w:t xml:space="preserve"> art. 5 dyrektywy 2006/112/WE w </w:t>
      </w:r>
      <w:r w:rsidRPr="0070741E">
        <w:rPr>
          <w:rFonts w:ascii="Times New Roman" w:eastAsia="Times New Roman" w:hAnsi="Times New Roman"/>
          <w:bCs/>
          <w:sz w:val="24"/>
          <w:szCs w:val="24"/>
          <w:lang w:eastAsia="pl-PL"/>
        </w:rPr>
        <w:t>odniesieniu do utrzymania mostów drogowych na gran</w:t>
      </w:r>
      <w:r w:rsidR="00792429">
        <w:rPr>
          <w:rFonts w:ascii="Times New Roman" w:eastAsia="Times New Roman" w:hAnsi="Times New Roman"/>
          <w:bCs/>
          <w:sz w:val="24"/>
          <w:szCs w:val="24"/>
          <w:lang w:eastAsia="pl-PL"/>
        </w:rPr>
        <w:t>icy Rzeczypospolitej Polskiej i </w:t>
      </w:r>
      <w:r w:rsidRPr="0070741E">
        <w:rPr>
          <w:rFonts w:ascii="Times New Roman" w:eastAsia="Times New Roman" w:hAnsi="Times New Roman"/>
          <w:bCs/>
          <w:sz w:val="24"/>
          <w:szCs w:val="24"/>
          <w:lang w:eastAsia="pl-PL"/>
        </w:rPr>
        <w:t>Ukrainy. Wprowadzana zmiana umożliwia również realizację postanowień innych umów dotyczących budowy i utrzymania mostów transgranicznych lub wspólnych obiektów drogowych, które mogą zostać zawarte w przyszłości z państwami trzecimi.</w:t>
      </w:r>
    </w:p>
    <w:p w14:paraId="7815CFAD" w14:textId="77777777" w:rsidR="006B7B7A" w:rsidRPr="0070741E" w:rsidRDefault="006B7B7A" w:rsidP="00CD3D8E">
      <w:pPr>
        <w:spacing w:after="0" w:line="360" w:lineRule="auto"/>
        <w:jc w:val="both"/>
        <w:rPr>
          <w:rFonts w:ascii="Times New Roman" w:eastAsia="Times New Roman" w:hAnsi="Times New Roman"/>
          <w:b/>
          <w:bCs/>
          <w:sz w:val="24"/>
          <w:szCs w:val="24"/>
          <w:lang w:eastAsia="pl-PL"/>
        </w:rPr>
      </w:pPr>
    </w:p>
    <w:p w14:paraId="77CD254B" w14:textId="78F3701B"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Zmiana w art. 14 ust. 5, 9b</w:t>
      </w:r>
      <w:r w:rsidR="00415FF0">
        <w:rPr>
          <w:rFonts w:ascii="Times New Roman" w:eastAsia="Times New Roman" w:hAnsi="Times New Roman"/>
          <w:bCs/>
          <w:sz w:val="24"/>
          <w:szCs w:val="24"/>
          <w:u w:val="single"/>
          <w:lang w:eastAsia="pl-PL"/>
        </w:rPr>
        <w:t>, 9c,</w:t>
      </w:r>
      <w:r w:rsidR="001E4638">
        <w:rPr>
          <w:rFonts w:ascii="Times New Roman" w:eastAsia="Times New Roman" w:hAnsi="Times New Roman"/>
          <w:bCs/>
          <w:sz w:val="24"/>
          <w:szCs w:val="24"/>
          <w:u w:val="single"/>
          <w:lang w:eastAsia="pl-PL"/>
        </w:rPr>
        <w:t xml:space="preserve"> </w:t>
      </w:r>
      <w:r w:rsidR="00B83738" w:rsidRPr="0070741E">
        <w:rPr>
          <w:rFonts w:ascii="Times New Roman" w:eastAsia="Times New Roman" w:hAnsi="Times New Roman"/>
          <w:bCs/>
          <w:sz w:val="24"/>
          <w:szCs w:val="24"/>
          <w:u w:val="single"/>
          <w:lang w:eastAsia="pl-PL"/>
        </w:rPr>
        <w:t>9ca</w:t>
      </w:r>
      <w:r w:rsidR="00415FF0">
        <w:rPr>
          <w:rFonts w:ascii="Times New Roman" w:eastAsia="Times New Roman" w:hAnsi="Times New Roman"/>
          <w:bCs/>
          <w:sz w:val="24"/>
          <w:szCs w:val="24"/>
          <w:u w:val="single"/>
          <w:lang w:eastAsia="pl-PL"/>
        </w:rPr>
        <w:t xml:space="preserve"> i 9cb</w:t>
      </w:r>
    </w:p>
    <w:p w14:paraId="141C9B6B" w14:textId="3A8E7D2E"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imes New Roman" w:hAnsi="Times New Roman"/>
          <w:bCs/>
          <w:sz w:val="24"/>
          <w:szCs w:val="24"/>
          <w:lang w:eastAsia="pl-PL"/>
        </w:rPr>
        <w:t xml:space="preserve">Z dniem 1 styczna 2018 r. wszedł w życie obowiązek składania deklaracji podatkowych wyłącznie za pomocą środków komunikacji elektronicznej. Brak jest jednak możliwości złożenia tą drogą, wraz z deklaracją podatkową, innych dokumentów. Proponowane zmiany </w:t>
      </w:r>
      <w:r w:rsidR="00C01883" w:rsidRPr="0070741E">
        <w:rPr>
          <w:rFonts w:ascii="Times New Roman" w:eastAsia="Times New Roman" w:hAnsi="Times New Roman"/>
          <w:bCs/>
          <w:sz w:val="24"/>
          <w:szCs w:val="24"/>
          <w:lang w:eastAsia="pl-PL"/>
        </w:rPr>
        <w:t>umożliwiają dokonanie takiej czynności</w:t>
      </w:r>
      <w:r w:rsidRPr="0070741E">
        <w:rPr>
          <w:rFonts w:ascii="Times New Roman" w:eastAsia="Times New Roman" w:hAnsi="Times New Roman"/>
          <w:bCs/>
          <w:sz w:val="24"/>
          <w:szCs w:val="24"/>
          <w:lang w:eastAsia="pl-PL"/>
        </w:rPr>
        <w:t>.</w:t>
      </w:r>
      <w:r w:rsidR="007D5A6F" w:rsidRPr="0070741E">
        <w:rPr>
          <w:rFonts w:ascii="Times New Roman" w:eastAsia="Times New Roman" w:hAnsi="Times New Roman"/>
          <w:bCs/>
          <w:sz w:val="24"/>
          <w:szCs w:val="24"/>
          <w:lang w:eastAsia="pl-PL"/>
        </w:rPr>
        <w:t xml:space="preserve"> </w:t>
      </w:r>
      <w:r w:rsidRPr="0070741E">
        <w:rPr>
          <w:rFonts w:ascii="Times New Roman" w:eastAsia="Times New Roman" w:hAnsi="Times New Roman"/>
          <w:bCs/>
          <w:sz w:val="24"/>
          <w:szCs w:val="24"/>
          <w:lang w:eastAsia="pl-PL"/>
        </w:rPr>
        <w:t>Zmiany w art. 14 ust. 5 zdanie drugie oraz 9b</w:t>
      </w:r>
      <w:r w:rsidR="00415FF0">
        <w:rPr>
          <w:rFonts w:ascii="Times New Roman" w:eastAsia="Times New Roman" w:hAnsi="Times New Roman"/>
          <w:bCs/>
          <w:sz w:val="24"/>
          <w:szCs w:val="24"/>
          <w:lang w:eastAsia="pl-PL"/>
        </w:rPr>
        <w:t>, 9c,</w:t>
      </w:r>
      <w:r w:rsidRPr="0070741E">
        <w:rPr>
          <w:rFonts w:ascii="Times New Roman" w:eastAsia="Times New Roman" w:hAnsi="Times New Roman"/>
          <w:bCs/>
          <w:sz w:val="24"/>
          <w:szCs w:val="24"/>
          <w:lang w:eastAsia="pl-PL"/>
        </w:rPr>
        <w:t xml:space="preserve"> 9ca </w:t>
      </w:r>
      <w:r w:rsidR="00415FF0">
        <w:rPr>
          <w:rFonts w:ascii="Times New Roman" w:eastAsia="Times New Roman" w:hAnsi="Times New Roman"/>
          <w:bCs/>
          <w:sz w:val="24"/>
          <w:szCs w:val="24"/>
          <w:lang w:eastAsia="pl-PL"/>
        </w:rPr>
        <w:t xml:space="preserve">i 9cb </w:t>
      </w:r>
      <w:r w:rsidRPr="0070741E">
        <w:rPr>
          <w:rFonts w:ascii="Times New Roman" w:eastAsia="Times New Roman" w:hAnsi="Times New Roman"/>
          <w:bCs/>
          <w:sz w:val="24"/>
          <w:szCs w:val="24"/>
          <w:lang w:eastAsia="pl-PL"/>
        </w:rPr>
        <w:t xml:space="preserve">polegają na doprecyzowaniu, że dokumenty, o których mowa w tych przepisach, powinny być złożone nie później niż w dniu </w:t>
      </w:r>
      <w:r w:rsidR="00415FF0">
        <w:rPr>
          <w:rFonts w:ascii="Times New Roman" w:eastAsia="Times New Roman" w:hAnsi="Times New Roman"/>
          <w:bCs/>
          <w:sz w:val="24"/>
          <w:szCs w:val="24"/>
          <w:lang w:eastAsia="pl-PL"/>
        </w:rPr>
        <w:t>złożenia deklaracji podatkowej.</w:t>
      </w:r>
    </w:p>
    <w:p w14:paraId="28832460" w14:textId="77777777" w:rsidR="0099036D" w:rsidRPr="0070741E" w:rsidRDefault="0099036D" w:rsidP="00CD3D8E">
      <w:pPr>
        <w:spacing w:after="0" w:line="360" w:lineRule="auto"/>
        <w:jc w:val="both"/>
        <w:rPr>
          <w:rFonts w:ascii="Times New Roman" w:eastAsia="Times New Roman" w:hAnsi="Times New Roman"/>
          <w:bCs/>
          <w:sz w:val="24"/>
          <w:szCs w:val="24"/>
          <w:u w:val="single"/>
          <w:lang w:eastAsia="pl-PL"/>
        </w:rPr>
      </w:pPr>
    </w:p>
    <w:p w14:paraId="4A173BCF" w14:textId="77777777" w:rsidR="00424B3D" w:rsidRPr="0070741E" w:rsidRDefault="00424B3D"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30a</w:t>
      </w:r>
    </w:p>
    <w:p w14:paraId="785E523B" w14:textId="77777777" w:rsidR="00424B3D" w:rsidRPr="0070741E" w:rsidRDefault="00424B3D" w:rsidP="00424B3D">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Uzasadnienie zmian w art. 30a zawarte jest w części dotyczącej zmian w pakiecie paliwowym.</w:t>
      </w:r>
    </w:p>
    <w:p w14:paraId="5585A010" w14:textId="77777777" w:rsidR="00424B3D" w:rsidRPr="0070741E" w:rsidRDefault="00424B3D" w:rsidP="00CD3D8E">
      <w:pPr>
        <w:spacing w:after="0" w:line="360" w:lineRule="auto"/>
        <w:jc w:val="both"/>
        <w:rPr>
          <w:rFonts w:ascii="Times New Roman" w:eastAsia="Times New Roman" w:hAnsi="Times New Roman"/>
          <w:bCs/>
          <w:sz w:val="24"/>
          <w:szCs w:val="24"/>
          <w:u w:val="single"/>
          <w:lang w:eastAsia="pl-PL"/>
        </w:rPr>
      </w:pPr>
    </w:p>
    <w:p w14:paraId="025A5EC2" w14:textId="77777777"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33</w:t>
      </w:r>
      <w:r w:rsidR="00032948" w:rsidRPr="0070741E">
        <w:rPr>
          <w:rFonts w:ascii="Times New Roman" w:eastAsia="Times New Roman" w:hAnsi="Times New Roman"/>
          <w:bCs/>
          <w:sz w:val="24"/>
          <w:szCs w:val="24"/>
          <w:u w:val="single"/>
          <w:lang w:eastAsia="pl-PL"/>
        </w:rPr>
        <w:t xml:space="preserve"> </w:t>
      </w:r>
      <w:r w:rsidRPr="0070741E">
        <w:rPr>
          <w:rFonts w:ascii="Times New Roman" w:eastAsia="Times New Roman" w:hAnsi="Times New Roman"/>
          <w:bCs/>
          <w:sz w:val="24"/>
          <w:szCs w:val="24"/>
          <w:u w:val="single"/>
          <w:lang w:eastAsia="pl-PL"/>
        </w:rPr>
        <w:t>i art. 37</w:t>
      </w:r>
    </w:p>
    <w:p w14:paraId="5FF1DCE4" w14:textId="77777777" w:rsidR="006B7B7A" w:rsidRPr="0070741E" w:rsidRDefault="004E5772" w:rsidP="00CD3D8E">
      <w:pPr>
        <w:spacing w:after="0" w:line="360" w:lineRule="auto"/>
        <w:jc w:val="both"/>
        <w:rPr>
          <w:rFonts w:ascii="Times New Roman" w:eastAsiaTheme="minorHAnsi" w:hAnsi="Times New Roman"/>
          <w:sz w:val="24"/>
          <w:szCs w:val="24"/>
          <w:lang w:eastAsia="pl-PL"/>
        </w:rPr>
      </w:pPr>
      <w:r w:rsidRPr="0070741E">
        <w:rPr>
          <w:rFonts w:ascii="Times New Roman" w:eastAsiaTheme="minorHAnsi" w:hAnsi="Times New Roman"/>
          <w:sz w:val="24"/>
          <w:szCs w:val="24"/>
          <w:lang w:eastAsia="pl-PL"/>
        </w:rPr>
        <w:t xml:space="preserve">Proponowana zmiana ma na celu umożliwienie podatnikowi </w:t>
      </w:r>
      <w:r w:rsidRPr="0070741E">
        <w:rPr>
          <w:rFonts w:ascii="Times New Roman" w:eastAsiaTheme="minorHAnsi" w:hAnsi="Times New Roman"/>
          <w:sz w:val="24"/>
          <w:szCs w:val="24"/>
        </w:rPr>
        <w:t>obliczeni</w:t>
      </w:r>
      <w:r w:rsidR="00B842B3" w:rsidRPr="0070741E">
        <w:rPr>
          <w:rFonts w:ascii="Times New Roman" w:eastAsiaTheme="minorHAnsi" w:hAnsi="Times New Roman"/>
          <w:sz w:val="24"/>
          <w:szCs w:val="24"/>
        </w:rPr>
        <w:t>e</w:t>
      </w:r>
      <w:r w:rsidRPr="0070741E">
        <w:rPr>
          <w:rFonts w:ascii="Times New Roman" w:eastAsiaTheme="minorHAnsi" w:hAnsi="Times New Roman"/>
          <w:sz w:val="24"/>
          <w:szCs w:val="24"/>
        </w:rPr>
        <w:t xml:space="preserve"> i wykazani</w:t>
      </w:r>
      <w:r w:rsidR="00B842B3" w:rsidRPr="0070741E">
        <w:rPr>
          <w:rFonts w:ascii="Times New Roman" w:eastAsiaTheme="minorHAnsi" w:hAnsi="Times New Roman"/>
          <w:sz w:val="24"/>
          <w:szCs w:val="24"/>
        </w:rPr>
        <w:t>e</w:t>
      </w:r>
      <w:r w:rsidRPr="0070741E">
        <w:rPr>
          <w:rFonts w:ascii="Times New Roman" w:eastAsiaTheme="minorHAnsi" w:hAnsi="Times New Roman"/>
          <w:sz w:val="24"/>
          <w:szCs w:val="24"/>
        </w:rPr>
        <w:t xml:space="preserve"> kwoty podatku VAT z tytułu importu towarów w rozliczeniu zamknięcia, o którym mowa w art. 175 rozporządzenia delegowanego Komisji (UE) 2015/2446 z dnia 28 lipca 2015 r. uzupełniającego rozporządzenie Parlamentu Europejs</w:t>
      </w:r>
      <w:r w:rsidR="00792429">
        <w:rPr>
          <w:rFonts w:ascii="Times New Roman" w:eastAsiaTheme="minorHAnsi" w:hAnsi="Times New Roman"/>
          <w:sz w:val="24"/>
          <w:szCs w:val="24"/>
        </w:rPr>
        <w:t>kiego i Rady (UE) nr 952/2013 w </w:t>
      </w:r>
      <w:r w:rsidRPr="0070741E">
        <w:rPr>
          <w:rFonts w:ascii="Times New Roman" w:eastAsiaTheme="minorHAnsi" w:hAnsi="Times New Roman"/>
          <w:sz w:val="24"/>
          <w:szCs w:val="24"/>
        </w:rPr>
        <w:t>odniesieniu do szczegółowych zasad dotyczących niektórych przepisów unijnego kodeksu celnego (Dz. Urz. UE L 343 z 29.12.2015, str. 1, z późn. zm.), zwanego dalej „rozporządzeniem 2015/2446”, w</w:t>
      </w:r>
      <w:r w:rsidR="007C24B0" w:rsidRPr="0070741E">
        <w:rPr>
          <w:rFonts w:ascii="Times New Roman" w:eastAsiaTheme="minorHAnsi" w:hAnsi="Times New Roman"/>
          <w:sz w:val="24"/>
          <w:szCs w:val="24"/>
        </w:rPr>
        <w:t> </w:t>
      </w:r>
      <w:r w:rsidRPr="0070741E">
        <w:rPr>
          <w:rFonts w:ascii="Times New Roman" w:eastAsiaTheme="minorHAnsi" w:hAnsi="Times New Roman"/>
          <w:sz w:val="24"/>
          <w:szCs w:val="24"/>
        </w:rPr>
        <w:t>przypadkach określonych w art. 324 i art. 325 rozporządzenia wykonawczego Komisji (UE) 2015/2447 z dnia 24 listopada 2015 r. ustanawiającego szczegółowe zasady wykonania niektórych przepisów rozporządzenia Parlamentu Europejskiego i Rady (UE) nr 952/2013 ustanawia</w:t>
      </w:r>
      <w:r w:rsidR="00792429">
        <w:rPr>
          <w:rFonts w:ascii="Times New Roman" w:eastAsiaTheme="minorHAnsi" w:hAnsi="Times New Roman"/>
          <w:sz w:val="24"/>
          <w:szCs w:val="24"/>
        </w:rPr>
        <w:t>jącego unijny kodeks celny (Dz. </w:t>
      </w:r>
      <w:r w:rsidRPr="0070741E">
        <w:rPr>
          <w:rFonts w:ascii="Times New Roman" w:eastAsiaTheme="minorHAnsi" w:hAnsi="Times New Roman"/>
          <w:sz w:val="24"/>
          <w:szCs w:val="24"/>
        </w:rPr>
        <w:t xml:space="preserve">Urz. UE L 343 z 29.12.2015, str. 558, z późn. zm.), zwanego dalej „rozporządzeniem </w:t>
      </w:r>
      <w:r w:rsidRPr="0070741E">
        <w:rPr>
          <w:rFonts w:ascii="Times New Roman" w:eastAsiaTheme="minorHAnsi" w:hAnsi="Times New Roman"/>
          <w:sz w:val="24"/>
          <w:szCs w:val="24"/>
        </w:rPr>
        <w:lastRenderedPageBreak/>
        <w:t>2015/2447”. Zgodnie z obecnie obowiązującymi przepisami podatnicy zobowiązani są do obliczenia i wykazania podatku VAT z tytułu importu towarów</w:t>
      </w:r>
      <w:r w:rsidR="007C24B0" w:rsidRPr="0070741E">
        <w:rPr>
          <w:rFonts w:ascii="Times New Roman" w:eastAsiaTheme="minorHAnsi" w:hAnsi="Times New Roman"/>
          <w:sz w:val="24"/>
          <w:szCs w:val="24"/>
        </w:rPr>
        <w:t>,</w:t>
      </w:r>
      <w:r w:rsidRPr="0070741E">
        <w:rPr>
          <w:rFonts w:ascii="Times New Roman" w:eastAsiaTheme="minorHAnsi" w:hAnsi="Times New Roman"/>
          <w:sz w:val="24"/>
          <w:szCs w:val="24"/>
        </w:rPr>
        <w:t xml:space="preserve"> co do zasady</w:t>
      </w:r>
      <w:r w:rsidR="007C24B0" w:rsidRPr="0070741E">
        <w:rPr>
          <w:rFonts w:ascii="Times New Roman" w:eastAsiaTheme="minorHAnsi" w:hAnsi="Times New Roman"/>
          <w:sz w:val="24"/>
          <w:szCs w:val="24"/>
        </w:rPr>
        <w:t>,</w:t>
      </w:r>
      <w:r w:rsidRPr="0070741E">
        <w:rPr>
          <w:rFonts w:ascii="Times New Roman" w:eastAsiaTheme="minorHAnsi" w:hAnsi="Times New Roman"/>
          <w:sz w:val="24"/>
          <w:szCs w:val="24"/>
        </w:rPr>
        <w:t xml:space="preserve"> w zgłoszeniu celnym. </w:t>
      </w:r>
      <w:r w:rsidRPr="0070741E">
        <w:rPr>
          <w:rFonts w:ascii="Times New Roman" w:eastAsiaTheme="minorHAnsi" w:hAnsi="Times New Roman"/>
          <w:sz w:val="24"/>
          <w:szCs w:val="24"/>
          <w:lang w:eastAsia="pl-PL"/>
        </w:rPr>
        <w:t>W przypadku, gdy kwota podatku nie została wykazana w</w:t>
      </w:r>
      <w:r w:rsidR="007C24B0" w:rsidRPr="0070741E">
        <w:rPr>
          <w:rFonts w:ascii="Times New Roman" w:eastAsiaTheme="minorHAnsi" w:hAnsi="Times New Roman"/>
          <w:sz w:val="24"/>
          <w:szCs w:val="24"/>
          <w:lang w:eastAsia="pl-PL"/>
        </w:rPr>
        <w:t> </w:t>
      </w:r>
      <w:r w:rsidRPr="0070741E">
        <w:rPr>
          <w:rFonts w:ascii="Times New Roman" w:eastAsiaTheme="minorHAnsi" w:hAnsi="Times New Roman"/>
          <w:sz w:val="24"/>
          <w:szCs w:val="24"/>
          <w:lang w:eastAsia="pl-PL"/>
        </w:rPr>
        <w:t>zgłoszeniu celnym lub wykazana została nieprawidłowo, podatek w prawidłowej wysokości jest określany w decyzji wydanej przez naczelnika urzędu celno-skarbowego. Okr</w:t>
      </w:r>
      <w:r w:rsidR="00792429">
        <w:rPr>
          <w:rFonts w:ascii="Times New Roman" w:eastAsiaTheme="minorHAnsi" w:hAnsi="Times New Roman"/>
          <w:sz w:val="24"/>
          <w:szCs w:val="24"/>
          <w:lang w:eastAsia="pl-PL"/>
        </w:rPr>
        <w:t>eślenie należnego podatku VAT w </w:t>
      </w:r>
      <w:r w:rsidRPr="0070741E">
        <w:rPr>
          <w:rFonts w:ascii="Times New Roman" w:eastAsiaTheme="minorHAnsi" w:hAnsi="Times New Roman"/>
          <w:sz w:val="24"/>
          <w:szCs w:val="24"/>
          <w:lang w:eastAsia="pl-PL"/>
        </w:rPr>
        <w:t xml:space="preserve">drodze decyzji wiąże się z koniecznością zapłaty odsetek na podstawie art. 37 ust. 1a-1ab ustawy o VAT. </w:t>
      </w:r>
    </w:p>
    <w:p w14:paraId="5CB3FB4F" w14:textId="77777777" w:rsidR="006B7B7A" w:rsidRPr="0070741E" w:rsidRDefault="004E5772" w:rsidP="00CD3D8E">
      <w:pPr>
        <w:spacing w:after="0" w:line="360" w:lineRule="auto"/>
        <w:jc w:val="both"/>
        <w:rPr>
          <w:rFonts w:ascii="Times New Roman" w:eastAsiaTheme="minorHAnsi" w:hAnsi="Times New Roman"/>
          <w:sz w:val="24"/>
          <w:szCs w:val="24"/>
        </w:rPr>
      </w:pPr>
      <w:r w:rsidRPr="0070741E">
        <w:rPr>
          <w:rFonts w:ascii="Times New Roman" w:eastAsiaTheme="minorHAnsi" w:hAnsi="Times New Roman"/>
          <w:sz w:val="24"/>
          <w:szCs w:val="24"/>
        </w:rPr>
        <w:t>Zgodnie z regulacjami celnymi, w niektórych sytuacjach nie występuje w ogóle lub fizycznie zgłoszenie celne zamykające procedurę celną natomiast na importera nałożony jest, co do zasady, obowiązek przedstawienia rozliczenia zamknięcia. Dotyczy to towarów objętych procedurą uszlachetniania czynnego w sytuacji, gdy następuje uproszczone zakończenie tej procedury, zgodnie z przepisami art. 324 i art. 325 rozporządzenia 2015/2447</w:t>
      </w:r>
      <w:r w:rsidRPr="0070741E">
        <w:rPr>
          <w:rFonts w:ascii="Times New Roman" w:hAnsi="Times New Roman"/>
          <w:sz w:val="24"/>
          <w:szCs w:val="24"/>
        </w:rPr>
        <w:t xml:space="preserve">. </w:t>
      </w:r>
      <w:r w:rsidRPr="0070741E">
        <w:rPr>
          <w:rFonts w:ascii="Times New Roman" w:eastAsiaTheme="minorHAnsi" w:hAnsi="Times New Roman"/>
          <w:sz w:val="24"/>
          <w:szCs w:val="24"/>
          <w:lang w:eastAsia="pl-PL"/>
        </w:rPr>
        <w:t>Ponieważ przepisy ustawy o VAT nie wymieniają rozliczenia zamknięcia jako dokumentu, w którym może być obliczony i wykazany podatek VAT z tytułu importu towarów, podatek VAT określany jest przez naczelnika urzędu celno-skarbowego w decyzji.</w:t>
      </w:r>
      <w:r w:rsidR="007D5A6F" w:rsidRPr="0070741E">
        <w:rPr>
          <w:rFonts w:ascii="Times New Roman" w:eastAsiaTheme="minorHAnsi" w:hAnsi="Times New Roman"/>
          <w:sz w:val="24"/>
          <w:szCs w:val="24"/>
          <w:lang w:eastAsia="pl-PL"/>
        </w:rPr>
        <w:t xml:space="preserve"> </w:t>
      </w:r>
      <w:r w:rsidRPr="0070741E">
        <w:rPr>
          <w:rFonts w:ascii="Times New Roman" w:eastAsiaTheme="minorHAnsi" w:hAnsi="Times New Roman"/>
          <w:sz w:val="24"/>
          <w:szCs w:val="24"/>
        </w:rPr>
        <w:t xml:space="preserve">W konsekwencji podatnik musi zapłacić podatek wraz z odsetkami. </w:t>
      </w:r>
    </w:p>
    <w:p w14:paraId="7FBCE66E" w14:textId="77777777" w:rsidR="006B7B7A" w:rsidRPr="0070741E" w:rsidRDefault="004E5772" w:rsidP="00CD3D8E">
      <w:pPr>
        <w:tabs>
          <w:tab w:val="left" w:pos="709"/>
        </w:tabs>
        <w:spacing w:after="0" w:line="360" w:lineRule="auto"/>
        <w:jc w:val="both"/>
        <w:rPr>
          <w:rFonts w:ascii="Times New Roman" w:eastAsiaTheme="minorHAnsi" w:hAnsi="Times New Roman"/>
          <w:sz w:val="24"/>
          <w:szCs w:val="24"/>
          <w:lang w:eastAsia="pl-PL"/>
        </w:rPr>
      </w:pPr>
      <w:r w:rsidRPr="0070741E">
        <w:rPr>
          <w:rFonts w:ascii="Times New Roman" w:eastAsiaTheme="minorHAnsi" w:hAnsi="Times New Roman"/>
          <w:sz w:val="24"/>
          <w:szCs w:val="24"/>
          <w:lang w:eastAsia="pl-PL"/>
        </w:rPr>
        <w:t xml:space="preserve">W związku z powyższym, </w:t>
      </w:r>
      <w:r w:rsidRPr="0070741E">
        <w:rPr>
          <w:rFonts w:ascii="Times New Roman" w:eastAsiaTheme="minorHAnsi" w:hAnsi="Times New Roman"/>
          <w:sz w:val="24"/>
          <w:szCs w:val="24"/>
        </w:rPr>
        <w:t>proponuje się uznać rozliczenie zamknięcia, o którym w art. 175 rozporządzenia 2015/2446, jako dokument, w którym podatnik obowiązany będzie do obliczenia i wykazania kwoty podatku VAT z tytułu importu towarów w przypadkach określonych w art. 324 i art. 325 rozporządzenia 2015/2447. Rozwiązanie to znacznie uprości rozliczanie podatku VAT z tytułu importu towarów bez konieczności wydawania każdorazowo decyzji określającej ten podatek i zapłaty odsetek</w:t>
      </w:r>
      <w:r w:rsidRPr="0070741E">
        <w:rPr>
          <w:rFonts w:ascii="Times New Roman" w:eastAsiaTheme="minorHAnsi" w:hAnsi="Times New Roman"/>
          <w:sz w:val="24"/>
          <w:szCs w:val="24"/>
          <w:lang w:eastAsia="pl-PL"/>
        </w:rPr>
        <w:t>.</w:t>
      </w:r>
    </w:p>
    <w:p w14:paraId="0CE0F6E9" w14:textId="77777777" w:rsidR="006B7B7A" w:rsidRPr="0070741E" w:rsidRDefault="004E5772" w:rsidP="00945381">
      <w:pPr>
        <w:spacing w:before="120" w:after="0" w:line="360" w:lineRule="auto"/>
        <w:jc w:val="both"/>
        <w:rPr>
          <w:rFonts w:ascii="Times New Roman" w:eastAsiaTheme="minorHAnsi" w:hAnsi="Times New Roman"/>
          <w:sz w:val="24"/>
          <w:szCs w:val="24"/>
        </w:rPr>
      </w:pPr>
      <w:r w:rsidRPr="0070741E">
        <w:rPr>
          <w:rFonts w:ascii="Times New Roman" w:eastAsiaTheme="minorHAnsi" w:hAnsi="Times New Roman"/>
          <w:sz w:val="24"/>
          <w:szCs w:val="24"/>
        </w:rPr>
        <w:t>Proponuje się zatem dokonanie następujących zmian:</w:t>
      </w:r>
    </w:p>
    <w:p w14:paraId="2D6D0051" w14:textId="77777777"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Art. 33 ust. 1-3</w:t>
      </w:r>
    </w:p>
    <w:p w14:paraId="49B1FBB1" w14:textId="77777777" w:rsidR="006B7B7A" w:rsidRPr="0070741E" w:rsidRDefault="004E5772" w:rsidP="00CD3D8E">
      <w:pPr>
        <w:spacing w:after="0" w:line="360" w:lineRule="auto"/>
        <w:jc w:val="both"/>
        <w:rPr>
          <w:rFonts w:ascii="Times New Roman" w:eastAsiaTheme="minorHAnsi" w:hAnsi="Times New Roman"/>
          <w:sz w:val="24"/>
          <w:szCs w:val="24"/>
          <w:lang w:eastAsia="pl-PL"/>
        </w:rPr>
      </w:pPr>
      <w:r w:rsidRPr="0070741E">
        <w:rPr>
          <w:rFonts w:ascii="Times New Roman" w:eastAsiaTheme="minorHAnsi" w:hAnsi="Times New Roman"/>
          <w:sz w:val="24"/>
          <w:szCs w:val="24"/>
          <w:lang w:eastAsia="pl-PL"/>
        </w:rPr>
        <w:t>Proponuje się zobowiązać podatników do obliczenia i wykazania kwoty p</w:t>
      </w:r>
      <w:r w:rsidR="00792429">
        <w:rPr>
          <w:rFonts w:ascii="Times New Roman" w:eastAsiaTheme="minorHAnsi" w:hAnsi="Times New Roman"/>
          <w:sz w:val="24"/>
          <w:szCs w:val="24"/>
          <w:lang w:eastAsia="pl-PL"/>
        </w:rPr>
        <w:t>odatku VAT z </w:t>
      </w:r>
      <w:r w:rsidRPr="0070741E">
        <w:rPr>
          <w:rFonts w:ascii="Times New Roman" w:eastAsiaTheme="minorHAnsi" w:hAnsi="Times New Roman"/>
          <w:sz w:val="24"/>
          <w:szCs w:val="24"/>
          <w:lang w:eastAsia="pl-PL"/>
        </w:rPr>
        <w:t>tytułu importu towarów również w rozliczeniu zamknięcia (art. 33 ust. 1 ustawy o VAT). Rozliczenie zamknięcia nie jest obecnie wskazane w przepisach ustawy o VAT jako dokument celny, w</w:t>
      </w:r>
      <w:r w:rsidR="00467734" w:rsidRPr="0070741E">
        <w:rPr>
          <w:rFonts w:ascii="Times New Roman" w:eastAsiaTheme="minorHAnsi" w:hAnsi="Times New Roman"/>
          <w:sz w:val="24"/>
          <w:szCs w:val="24"/>
          <w:lang w:eastAsia="pl-PL"/>
        </w:rPr>
        <w:t> </w:t>
      </w:r>
      <w:r w:rsidRPr="0070741E">
        <w:rPr>
          <w:rFonts w:ascii="Times New Roman" w:eastAsiaTheme="minorHAnsi" w:hAnsi="Times New Roman"/>
          <w:sz w:val="24"/>
          <w:szCs w:val="24"/>
          <w:lang w:eastAsia="pl-PL"/>
        </w:rPr>
        <w:t>którym ma być obliczony i wykazany podatek VAT z tytułu importu towarów, jak to ma miejsce w przypadku zgłoszenia celnego, dlatego proponuje się umożliwić podatnikom obliczanie i wykaz</w:t>
      </w:r>
      <w:r w:rsidR="00B842B3" w:rsidRPr="0070741E">
        <w:rPr>
          <w:rFonts w:ascii="Times New Roman" w:eastAsiaTheme="minorHAnsi" w:hAnsi="Times New Roman"/>
          <w:sz w:val="24"/>
          <w:szCs w:val="24"/>
          <w:lang w:eastAsia="pl-PL"/>
        </w:rPr>
        <w:t>yw</w:t>
      </w:r>
      <w:r w:rsidRPr="0070741E">
        <w:rPr>
          <w:rFonts w:ascii="Times New Roman" w:eastAsiaTheme="minorHAnsi" w:hAnsi="Times New Roman"/>
          <w:sz w:val="24"/>
          <w:szCs w:val="24"/>
          <w:lang w:eastAsia="pl-PL"/>
        </w:rPr>
        <w:t>anie kwoty podatku VAT z t</w:t>
      </w:r>
      <w:r w:rsidR="00792429">
        <w:rPr>
          <w:rFonts w:ascii="Times New Roman" w:eastAsiaTheme="minorHAnsi" w:hAnsi="Times New Roman"/>
          <w:sz w:val="24"/>
          <w:szCs w:val="24"/>
          <w:lang w:eastAsia="pl-PL"/>
        </w:rPr>
        <w:t>ytułu importu towarów również w </w:t>
      </w:r>
      <w:r w:rsidRPr="0070741E">
        <w:rPr>
          <w:rFonts w:ascii="Times New Roman" w:eastAsiaTheme="minorHAnsi" w:hAnsi="Times New Roman"/>
          <w:sz w:val="24"/>
          <w:szCs w:val="24"/>
          <w:lang w:eastAsia="pl-PL"/>
        </w:rPr>
        <w:t xml:space="preserve">rozliczeniu zamknięcia. </w:t>
      </w:r>
    </w:p>
    <w:p w14:paraId="4C118E17" w14:textId="77777777" w:rsidR="006B7B7A" w:rsidRPr="0070741E" w:rsidRDefault="004E5772" w:rsidP="00CD3D8E">
      <w:pPr>
        <w:spacing w:after="0" w:line="360" w:lineRule="auto"/>
        <w:jc w:val="both"/>
        <w:rPr>
          <w:rFonts w:ascii="Times New Roman" w:eastAsiaTheme="minorHAnsi" w:hAnsi="Times New Roman"/>
          <w:sz w:val="24"/>
          <w:szCs w:val="24"/>
          <w:lang w:eastAsia="pl-PL"/>
        </w:rPr>
      </w:pPr>
      <w:r w:rsidRPr="0070741E">
        <w:rPr>
          <w:rFonts w:ascii="Times New Roman" w:eastAsiaTheme="minorHAnsi" w:hAnsi="Times New Roman"/>
          <w:sz w:val="24"/>
          <w:szCs w:val="24"/>
          <w:lang w:eastAsia="pl-PL"/>
        </w:rPr>
        <w:lastRenderedPageBreak/>
        <w:t>Propozycje zmian art. 33 ust. 2 i 3 ustawy o VAT są konsekwencją zmiany ust. 1, umożliwiają one wydanie decyzji określającej podatek w prawidłowej wysokości przez naczelnika urzędu celno-skarbowego w sytuacji, gdy organ celny stwierdzi, że w rozliczeniu zamknięcia kwota tego podatku została wykazana nieprawidłowo oraz umożliwiają podatnikowi wystąpienie do naczelnika urzędu celno-skarbowego o korektę kwoty podatku VAT z tytułu importu towarów również po przedstawieniu rozliczenia zamknięcia.</w:t>
      </w:r>
    </w:p>
    <w:p w14:paraId="5884EB8F" w14:textId="77777777" w:rsidR="006B7B7A" w:rsidRPr="0070741E" w:rsidRDefault="006B7B7A" w:rsidP="00CD3D8E">
      <w:pPr>
        <w:spacing w:after="0" w:line="360" w:lineRule="auto"/>
        <w:jc w:val="both"/>
        <w:rPr>
          <w:rFonts w:ascii="Times New Roman" w:eastAsia="Times New Roman" w:hAnsi="Times New Roman"/>
          <w:bCs/>
          <w:sz w:val="24"/>
          <w:szCs w:val="24"/>
          <w:u w:val="single"/>
          <w:lang w:eastAsia="pl-PL"/>
        </w:rPr>
      </w:pPr>
    </w:p>
    <w:p w14:paraId="7E4DB9AB" w14:textId="77777777"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Art. 33 ust. 7a pkt 2</w:t>
      </w:r>
    </w:p>
    <w:p w14:paraId="06D8C478" w14:textId="77777777" w:rsidR="006B7B7A" w:rsidRPr="0070741E" w:rsidRDefault="004E5772" w:rsidP="00CD3D8E">
      <w:pPr>
        <w:spacing w:after="0" w:line="360" w:lineRule="auto"/>
        <w:jc w:val="both"/>
        <w:rPr>
          <w:rFonts w:ascii="Times New Roman" w:eastAsiaTheme="minorHAnsi" w:hAnsi="Times New Roman"/>
          <w:sz w:val="24"/>
          <w:szCs w:val="24"/>
          <w:lang w:eastAsia="pl-PL"/>
        </w:rPr>
      </w:pPr>
      <w:r w:rsidRPr="0070741E">
        <w:rPr>
          <w:rFonts w:ascii="Times New Roman" w:eastAsiaTheme="minorHAnsi" w:hAnsi="Times New Roman"/>
          <w:sz w:val="24"/>
          <w:szCs w:val="24"/>
          <w:lang w:eastAsia="pl-PL"/>
        </w:rPr>
        <w:t>Proponowana zmiana wykorzystuje zastosowanie skrótu zawartego w</w:t>
      </w:r>
      <w:r w:rsidR="007D5A6F" w:rsidRPr="0070741E">
        <w:rPr>
          <w:rFonts w:ascii="Times New Roman" w:eastAsiaTheme="minorHAnsi" w:hAnsi="Times New Roman"/>
          <w:sz w:val="24"/>
          <w:szCs w:val="24"/>
          <w:lang w:eastAsia="pl-PL"/>
        </w:rPr>
        <w:t xml:space="preserve"> </w:t>
      </w:r>
      <w:r w:rsidR="007E71EC" w:rsidRPr="0070741E">
        <w:rPr>
          <w:rFonts w:ascii="Times New Roman" w:eastAsiaTheme="minorHAnsi" w:hAnsi="Times New Roman"/>
          <w:sz w:val="24"/>
          <w:szCs w:val="24"/>
          <w:lang w:eastAsia="pl-PL"/>
        </w:rPr>
        <w:t>art. 33 w ust. 1 ustawy o </w:t>
      </w:r>
      <w:r w:rsidRPr="0070741E">
        <w:rPr>
          <w:rFonts w:ascii="Times New Roman" w:eastAsiaTheme="minorHAnsi" w:hAnsi="Times New Roman"/>
          <w:sz w:val="24"/>
          <w:szCs w:val="24"/>
          <w:lang w:eastAsia="pl-PL"/>
        </w:rPr>
        <w:t>VAT. Jest to zmiana techniczna.</w:t>
      </w:r>
    </w:p>
    <w:p w14:paraId="44F5E013" w14:textId="77777777" w:rsidR="006B7B7A" w:rsidRPr="0070741E" w:rsidRDefault="006B7B7A" w:rsidP="00CD3D8E">
      <w:pPr>
        <w:spacing w:after="0" w:line="360" w:lineRule="auto"/>
        <w:jc w:val="both"/>
        <w:rPr>
          <w:rFonts w:ascii="Times New Roman" w:eastAsiaTheme="minorHAnsi" w:hAnsi="Times New Roman"/>
          <w:sz w:val="24"/>
          <w:szCs w:val="24"/>
          <w:lang w:eastAsia="pl-PL"/>
        </w:rPr>
      </w:pPr>
    </w:p>
    <w:p w14:paraId="27A20063" w14:textId="77777777" w:rsidR="006B7B7A" w:rsidRPr="0070741E" w:rsidRDefault="004E5772" w:rsidP="00CD3D8E">
      <w:pPr>
        <w:spacing w:after="0" w:line="360" w:lineRule="auto"/>
        <w:jc w:val="both"/>
        <w:rPr>
          <w:rFonts w:ascii="Times New Roman" w:eastAsiaTheme="minorHAnsi" w:hAnsi="Times New Roman"/>
          <w:sz w:val="24"/>
          <w:szCs w:val="24"/>
          <w:u w:val="single"/>
          <w:lang w:eastAsia="pl-PL"/>
        </w:rPr>
      </w:pPr>
      <w:r w:rsidRPr="0070741E">
        <w:rPr>
          <w:rFonts w:ascii="Times New Roman" w:eastAsiaTheme="minorHAnsi" w:hAnsi="Times New Roman"/>
          <w:sz w:val="24"/>
          <w:szCs w:val="24"/>
          <w:u w:val="single"/>
          <w:lang w:eastAsia="pl-PL"/>
        </w:rPr>
        <w:t>Art. 37 ust. 1aa pkt 1 lit. a i b i pkt 2</w:t>
      </w:r>
    </w:p>
    <w:p w14:paraId="0CF59462" w14:textId="77777777" w:rsidR="006B7B7A" w:rsidRPr="0070741E" w:rsidRDefault="004E5772" w:rsidP="00CD3D8E">
      <w:pPr>
        <w:spacing w:after="0" w:line="360" w:lineRule="auto"/>
        <w:jc w:val="both"/>
        <w:rPr>
          <w:rFonts w:ascii="Times New Roman" w:eastAsiaTheme="minorHAnsi" w:hAnsi="Times New Roman"/>
          <w:sz w:val="24"/>
          <w:szCs w:val="24"/>
          <w:lang w:eastAsia="pl-PL"/>
        </w:rPr>
      </w:pPr>
      <w:r w:rsidRPr="0070741E">
        <w:rPr>
          <w:rFonts w:ascii="Times New Roman" w:eastAsiaTheme="minorHAnsi" w:hAnsi="Times New Roman"/>
          <w:sz w:val="24"/>
          <w:szCs w:val="24"/>
          <w:lang w:eastAsia="pl-PL"/>
        </w:rPr>
        <w:t>Określenie należnego podatku VAT w drodze decyzji wiązać się będzie z koniecznością zapłaty różnicy między podatkiem wynikającym z tej decyzji a podatkiem należnym z tytułu importu towarów wykazanym przez podatnika również w rozliczeniu zamknięcia, jak również z</w:t>
      </w:r>
      <w:r w:rsidR="00FA42A3" w:rsidRPr="0070741E">
        <w:rPr>
          <w:rFonts w:ascii="Times New Roman" w:eastAsiaTheme="minorHAnsi" w:hAnsi="Times New Roman"/>
          <w:sz w:val="24"/>
          <w:szCs w:val="24"/>
          <w:lang w:eastAsia="pl-PL"/>
        </w:rPr>
        <w:t> </w:t>
      </w:r>
      <w:r w:rsidRPr="0070741E">
        <w:rPr>
          <w:rFonts w:ascii="Times New Roman" w:eastAsiaTheme="minorHAnsi" w:hAnsi="Times New Roman"/>
          <w:sz w:val="24"/>
          <w:szCs w:val="24"/>
          <w:lang w:eastAsia="pl-PL"/>
        </w:rPr>
        <w:t xml:space="preserve">koniecznością naliczenia i zapłacenia odsetek. </w:t>
      </w:r>
    </w:p>
    <w:p w14:paraId="444A32D7" w14:textId="77777777" w:rsidR="006B7B7A" w:rsidRPr="0070741E" w:rsidRDefault="006B7B7A" w:rsidP="00CD3D8E">
      <w:pPr>
        <w:tabs>
          <w:tab w:val="left" w:pos="408"/>
        </w:tabs>
        <w:spacing w:after="0" w:line="360" w:lineRule="auto"/>
        <w:jc w:val="both"/>
        <w:rPr>
          <w:rFonts w:ascii="Times New Roman" w:eastAsia="Times New Roman" w:hAnsi="Times New Roman"/>
          <w:sz w:val="24"/>
          <w:szCs w:val="24"/>
          <w:lang w:eastAsia="pl-PL"/>
        </w:rPr>
      </w:pPr>
    </w:p>
    <w:p w14:paraId="6D8D47A1" w14:textId="77777777" w:rsidR="00EA121B" w:rsidRPr="0070741E" w:rsidRDefault="00EA121B" w:rsidP="00EA121B">
      <w:pPr>
        <w:spacing w:after="0" w:line="360" w:lineRule="auto"/>
        <w:jc w:val="both"/>
        <w:rPr>
          <w:rFonts w:ascii="Times New Roman" w:hAnsi="Times New Roman"/>
          <w:sz w:val="24"/>
          <w:szCs w:val="24"/>
        </w:rPr>
      </w:pPr>
      <w:r w:rsidRPr="0070741E">
        <w:rPr>
          <w:rFonts w:ascii="Times New Roman" w:eastAsiaTheme="minorHAnsi" w:hAnsi="Times New Roman"/>
          <w:sz w:val="24"/>
          <w:szCs w:val="24"/>
          <w:u w:val="single"/>
          <w:lang w:eastAsia="pl-PL"/>
        </w:rPr>
        <w:t>Art. 33b ust. 5 pkt 2</w:t>
      </w:r>
    </w:p>
    <w:p w14:paraId="6001F069" w14:textId="77777777" w:rsidR="00EA121B" w:rsidRPr="0070741E" w:rsidRDefault="00EA121B" w:rsidP="00EA121B">
      <w:pPr>
        <w:spacing w:after="0" w:line="360" w:lineRule="auto"/>
        <w:jc w:val="both"/>
        <w:rPr>
          <w:rFonts w:ascii="Times New Roman" w:eastAsiaTheme="minorHAnsi" w:hAnsi="Times New Roman"/>
          <w:sz w:val="24"/>
          <w:szCs w:val="24"/>
        </w:rPr>
      </w:pPr>
      <w:r w:rsidRPr="0070741E">
        <w:rPr>
          <w:rFonts w:ascii="Times New Roman" w:eastAsiaTheme="minorHAnsi" w:hAnsi="Times New Roman"/>
          <w:sz w:val="24"/>
          <w:szCs w:val="24"/>
        </w:rPr>
        <w:t>Zmiana w art. 33b ust. 5 ma charakter porządkujący. Od 20 sierpnia 2016 r. przepisy art. 33b dotyczą odprawy scentralizowanej. Od 2016 r. nie funkcjonują w systemie prawa „</w:t>
      </w:r>
      <w:r w:rsidRPr="0070741E">
        <w:rPr>
          <w:rFonts w:ascii="Times New Roman" w:eastAsiaTheme="minorHAnsi" w:hAnsi="Times New Roman"/>
          <w:i/>
          <w:iCs/>
          <w:sz w:val="24"/>
          <w:szCs w:val="24"/>
        </w:rPr>
        <w:t>pojedyncze pozwolenia</w:t>
      </w:r>
      <w:r w:rsidRPr="0070741E">
        <w:rPr>
          <w:rFonts w:ascii="Times New Roman" w:eastAsiaTheme="minorHAnsi" w:hAnsi="Times New Roman"/>
          <w:sz w:val="24"/>
          <w:szCs w:val="24"/>
        </w:rPr>
        <w:t>”, do których odwołuje się pkt 2. „</w:t>
      </w:r>
      <w:r w:rsidRPr="0070741E">
        <w:rPr>
          <w:rFonts w:ascii="Times New Roman" w:eastAsiaTheme="minorHAnsi" w:hAnsi="Times New Roman"/>
          <w:i/>
          <w:iCs/>
          <w:sz w:val="24"/>
          <w:szCs w:val="24"/>
        </w:rPr>
        <w:t>Pojedyncze pozwolenia</w:t>
      </w:r>
      <w:r w:rsidRPr="0070741E">
        <w:rPr>
          <w:rFonts w:ascii="Times New Roman" w:eastAsiaTheme="minorHAnsi" w:hAnsi="Times New Roman"/>
          <w:sz w:val="24"/>
          <w:szCs w:val="24"/>
        </w:rPr>
        <w:t>” zostały zastąpione „</w:t>
      </w:r>
      <w:r w:rsidRPr="0070741E">
        <w:rPr>
          <w:rFonts w:ascii="Times New Roman" w:eastAsiaTheme="minorHAnsi" w:hAnsi="Times New Roman"/>
          <w:i/>
          <w:iCs/>
          <w:sz w:val="24"/>
          <w:szCs w:val="24"/>
        </w:rPr>
        <w:t>odprawą scentralizowaną</w:t>
      </w:r>
      <w:r w:rsidRPr="0070741E">
        <w:rPr>
          <w:rFonts w:ascii="Times New Roman" w:eastAsiaTheme="minorHAnsi" w:hAnsi="Times New Roman"/>
          <w:sz w:val="24"/>
          <w:szCs w:val="24"/>
        </w:rPr>
        <w:t>”, o której mowa w art. 33b ust. 1 ustawy o VAT.</w:t>
      </w:r>
    </w:p>
    <w:p w14:paraId="4570CEFA" w14:textId="77777777" w:rsidR="00EA121B" w:rsidRPr="0070741E" w:rsidRDefault="00EA121B" w:rsidP="00EA121B">
      <w:pPr>
        <w:spacing w:after="0" w:line="360" w:lineRule="auto"/>
        <w:jc w:val="both"/>
        <w:rPr>
          <w:rFonts w:ascii="Times New Roman" w:eastAsiaTheme="minorHAnsi" w:hAnsi="Times New Roman"/>
          <w:sz w:val="24"/>
          <w:szCs w:val="24"/>
          <w:lang w:eastAsia="pl-PL"/>
        </w:rPr>
      </w:pPr>
      <w:r w:rsidRPr="0070741E">
        <w:rPr>
          <w:rFonts w:ascii="Times New Roman" w:eastAsiaTheme="minorHAnsi" w:hAnsi="Times New Roman"/>
          <w:sz w:val="24"/>
          <w:szCs w:val="24"/>
        </w:rPr>
        <w:t xml:space="preserve">Należy zatem pojedyncze pozwolenia zastąpić odprawą scentralizowaną, tak jak to już jest w ust. 1 tego artykułu. </w:t>
      </w:r>
      <w:r w:rsidRPr="0070741E">
        <w:rPr>
          <w:rFonts w:ascii="Times New Roman" w:eastAsiaTheme="minorHAnsi" w:hAnsi="Times New Roman"/>
          <w:sz w:val="24"/>
          <w:szCs w:val="24"/>
          <w:lang w:eastAsia="pl-PL"/>
        </w:rPr>
        <w:t>Zmiana ta polegającą na zmianie delegacji ustawowej powoduje konieczności wydania nowego rozporządzenia.</w:t>
      </w:r>
    </w:p>
    <w:p w14:paraId="13C116B4" w14:textId="77777777" w:rsidR="00957C6C" w:rsidRDefault="009C3E4B" w:rsidP="00957C6C">
      <w:pPr>
        <w:pStyle w:val="USTustnpkodeksu"/>
        <w:ind w:firstLine="0"/>
        <w:rPr>
          <w:rFonts w:ascii="Times New Roman" w:hAnsi="Times New Roman" w:cs="Times New Roman"/>
          <w:szCs w:val="24"/>
        </w:rPr>
      </w:pPr>
      <w:r w:rsidRPr="0070741E">
        <w:rPr>
          <w:rFonts w:ascii="Times New Roman" w:hAnsi="Times New Roman" w:cs="Times New Roman"/>
          <w:szCs w:val="24"/>
        </w:rPr>
        <w:t>Dotychczasowe przepisy wykonawcze wydane na podstawie art.</w:t>
      </w:r>
      <w:r w:rsidR="00933CE8" w:rsidRPr="0070741E">
        <w:rPr>
          <w:rFonts w:ascii="Times New Roman" w:hAnsi="Times New Roman" w:cs="Times New Roman"/>
          <w:szCs w:val="24"/>
        </w:rPr>
        <w:t xml:space="preserve"> </w:t>
      </w:r>
      <w:r w:rsidRPr="0070741E">
        <w:rPr>
          <w:rFonts w:ascii="Times New Roman" w:hAnsi="Times New Roman" w:cs="Times New Roman"/>
          <w:szCs w:val="24"/>
        </w:rPr>
        <w:t>33b ust.</w:t>
      </w:r>
      <w:r w:rsidR="00933CE8" w:rsidRPr="0070741E">
        <w:rPr>
          <w:rFonts w:ascii="Times New Roman" w:hAnsi="Times New Roman" w:cs="Times New Roman"/>
          <w:szCs w:val="24"/>
        </w:rPr>
        <w:t xml:space="preserve"> </w:t>
      </w:r>
      <w:r w:rsidRPr="0070741E">
        <w:rPr>
          <w:rFonts w:ascii="Times New Roman" w:hAnsi="Times New Roman" w:cs="Times New Roman"/>
          <w:szCs w:val="24"/>
        </w:rPr>
        <w:t>5</w:t>
      </w:r>
      <w:r w:rsidR="00933CE8" w:rsidRPr="0070741E">
        <w:rPr>
          <w:rFonts w:ascii="Times New Roman" w:hAnsi="Times New Roman" w:cs="Times New Roman"/>
          <w:szCs w:val="24"/>
        </w:rPr>
        <w:t xml:space="preserve"> </w:t>
      </w:r>
      <w:r w:rsidRPr="0070741E">
        <w:rPr>
          <w:rFonts w:ascii="Times New Roman" w:hAnsi="Times New Roman" w:cs="Times New Roman"/>
          <w:szCs w:val="24"/>
        </w:rPr>
        <w:t xml:space="preserve">ustawy zmienianej w art. 1, zachowają moc do dnia wejścia w życie </w:t>
      </w:r>
      <w:r w:rsidR="002903A2" w:rsidRPr="0070741E">
        <w:rPr>
          <w:rFonts w:ascii="Times New Roman" w:hAnsi="Times New Roman" w:cs="Times New Roman"/>
          <w:szCs w:val="24"/>
        </w:rPr>
        <w:t xml:space="preserve">nowych </w:t>
      </w:r>
      <w:r w:rsidRPr="0070741E">
        <w:rPr>
          <w:rFonts w:ascii="Times New Roman" w:hAnsi="Times New Roman" w:cs="Times New Roman"/>
          <w:szCs w:val="24"/>
        </w:rPr>
        <w:t>przepisów wykonawczych</w:t>
      </w:r>
      <w:r w:rsidR="002903A2" w:rsidRPr="0070741E">
        <w:rPr>
          <w:rFonts w:ascii="Times New Roman" w:hAnsi="Times New Roman" w:cs="Times New Roman"/>
          <w:szCs w:val="24"/>
        </w:rPr>
        <w:t>,</w:t>
      </w:r>
      <w:r w:rsidRPr="0070741E">
        <w:rPr>
          <w:rFonts w:ascii="Times New Roman" w:hAnsi="Times New Roman" w:cs="Times New Roman"/>
          <w:szCs w:val="24"/>
        </w:rPr>
        <w:t xml:space="preserve"> jednak nie dłużej niż przez 12 miesięcy od dnia wejścia w życie niniejszej ustawy</w:t>
      </w:r>
      <w:r w:rsidR="002903A2" w:rsidRPr="0070741E">
        <w:rPr>
          <w:rFonts w:ascii="Times New Roman" w:hAnsi="Times New Roman" w:cs="Times New Roman"/>
          <w:szCs w:val="24"/>
        </w:rPr>
        <w:t xml:space="preserve"> (art. 17 ust. 2 projektu ustawy)</w:t>
      </w:r>
      <w:r w:rsidRPr="0070741E">
        <w:rPr>
          <w:rFonts w:ascii="Times New Roman" w:hAnsi="Times New Roman" w:cs="Times New Roman"/>
          <w:szCs w:val="24"/>
        </w:rPr>
        <w:t>.</w:t>
      </w:r>
    </w:p>
    <w:p w14:paraId="7190AE9C" w14:textId="77777777" w:rsidR="00957C6C" w:rsidRDefault="00957C6C" w:rsidP="00957C6C">
      <w:pPr>
        <w:pStyle w:val="USTustnpkodeksu"/>
        <w:ind w:firstLine="0"/>
        <w:rPr>
          <w:rFonts w:ascii="Times New Roman" w:eastAsia="Times New Roman" w:hAnsi="Times New Roman"/>
          <w:szCs w:val="24"/>
          <w:u w:val="single"/>
        </w:rPr>
      </w:pPr>
    </w:p>
    <w:p w14:paraId="568791DA" w14:textId="77777777" w:rsidR="006B7B7A" w:rsidRPr="00957C6C" w:rsidRDefault="004E5772" w:rsidP="00BC6C5F">
      <w:pPr>
        <w:pStyle w:val="USTustnpkodeksu"/>
        <w:keepNext/>
        <w:keepLines/>
        <w:ind w:firstLine="0"/>
        <w:rPr>
          <w:rFonts w:ascii="Times New Roman" w:hAnsi="Times New Roman" w:cs="Times New Roman"/>
          <w:szCs w:val="24"/>
        </w:rPr>
      </w:pPr>
      <w:r w:rsidRPr="0070741E">
        <w:rPr>
          <w:rFonts w:ascii="Times New Roman" w:eastAsia="Times New Roman" w:hAnsi="Times New Roman"/>
          <w:szCs w:val="24"/>
          <w:u w:val="single"/>
        </w:rPr>
        <w:lastRenderedPageBreak/>
        <w:t>Zmiany w art. 43 ust. 1 pkt 15</w:t>
      </w:r>
    </w:p>
    <w:p w14:paraId="29F349B7" w14:textId="1FC010CC"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Obowiązujący od 1 kwietnia 2017 r. nowy przepis art. 1 ust. 2 ustawy z dnia 19 listopada 2009</w:t>
      </w:r>
      <w:r w:rsidR="00FA42A3" w:rsidRPr="0070741E">
        <w:rPr>
          <w:rFonts w:ascii="Times New Roman" w:hAnsi="Times New Roman"/>
          <w:sz w:val="24"/>
          <w:szCs w:val="24"/>
        </w:rPr>
        <w:t> </w:t>
      </w:r>
      <w:r w:rsidRPr="0070741E">
        <w:rPr>
          <w:rFonts w:ascii="Times New Roman" w:hAnsi="Times New Roman"/>
          <w:sz w:val="24"/>
          <w:szCs w:val="24"/>
        </w:rPr>
        <w:t>r. o grach hazardowych (Dz. U. z 201</w:t>
      </w:r>
      <w:r w:rsidR="007941D4">
        <w:rPr>
          <w:rFonts w:ascii="Times New Roman" w:hAnsi="Times New Roman"/>
          <w:sz w:val="24"/>
          <w:szCs w:val="24"/>
        </w:rPr>
        <w:t>9</w:t>
      </w:r>
      <w:r w:rsidR="00A44BC8" w:rsidRPr="0070741E">
        <w:rPr>
          <w:rFonts w:ascii="Times New Roman" w:hAnsi="Times New Roman"/>
          <w:sz w:val="24"/>
          <w:szCs w:val="24"/>
        </w:rPr>
        <w:t xml:space="preserve"> r. poz. </w:t>
      </w:r>
      <w:r w:rsidR="007941D4">
        <w:rPr>
          <w:rFonts w:ascii="Times New Roman" w:hAnsi="Times New Roman"/>
          <w:sz w:val="24"/>
          <w:szCs w:val="24"/>
        </w:rPr>
        <w:t>847</w:t>
      </w:r>
      <w:r w:rsidRPr="0070741E">
        <w:rPr>
          <w:rFonts w:ascii="Times New Roman" w:hAnsi="Times New Roman"/>
          <w:sz w:val="24"/>
          <w:szCs w:val="24"/>
        </w:rPr>
        <w:t>) wprowadził definicję gier hazardowych którymi są: gry losowe, zakłady wzajemne, gry w karty, gry na automatach.</w:t>
      </w:r>
    </w:p>
    <w:p w14:paraId="755FAC12"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Jednocześnie przepisy nowelizujące ww. ustawę (ustawa z dnia 15 grudnia 2016 r. o zmianie ustawy o grach hazardowych oraz niektórych innych ustaw – Dz. U. z 2017 r. poz. 88) wyłączyły z zakresu gier losowych gry w karty – </w:t>
      </w:r>
      <w:proofErr w:type="spellStart"/>
      <w:r w:rsidRPr="0070741E">
        <w:rPr>
          <w:rFonts w:ascii="Times New Roman" w:hAnsi="Times New Roman"/>
          <w:sz w:val="24"/>
          <w:szCs w:val="24"/>
        </w:rPr>
        <w:t>black</w:t>
      </w:r>
      <w:proofErr w:type="spellEnd"/>
      <w:r w:rsidRPr="0070741E">
        <w:rPr>
          <w:rFonts w:ascii="Times New Roman" w:hAnsi="Times New Roman"/>
          <w:sz w:val="24"/>
          <w:szCs w:val="24"/>
        </w:rPr>
        <w:t xml:space="preserve"> </w:t>
      </w:r>
      <w:proofErr w:type="spellStart"/>
      <w:r w:rsidRPr="0070741E">
        <w:rPr>
          <w:rFonts w:ascii="Times New Roman" w:hAnsi="Times New Roman"/>
          <w:sz w:val="24"/>
          <w:szCs w:val="24"/>
        </w:rPr>
        <w:t>jack</w:t>
      </w:r>
      <w:proofErr w:type="spellEnd"/>
      <w:r w:rsidRPr="0070741E">
        <w:rPr>
          <w:rFonts w:ascii="Times New Roman" w:hAnsi="Times New Roman"/>
          <w:sz w:val="24"/>
          <w:szCs w:val="24"/>
        </w:rPr>
        <w:t xml:space="preserve">, poker, </w:t>
      </w:r>
      <w:proofErr w:type="spellStart"/>
      <w:r w:rsidRPr="0070741E">
        <w:rPr>
          <w:rFonts w:ascii="Times New Roman" w:hAnsi="Times New Roman"/>
          <w:sz w:val="24"/>
          <w:szCs w:val="24"/>
        </w:rPr>
        <w:t>baccarat</w:t>
      </w:r>
      <w:proofErr w:type="spellEnd"/>
      <w:r w:rsidRPr="0070741E">
        <w:rPr>
          <w:rFonts w:ascii="Times New Roman" w:hAnsi="Times New Roman"/>
          <w:sz w:val="24"/>
          <w:szCs w:val="24"/>
        </w:rPr>
        <w:t xml:space="preserve"> (do dnia 31 marca 2017 r. objęte tą kategorią gier) oraz ustanowiły odrębną kategorię tego rodzaju gier hazardowych.</w:t>
      </w:r>
    </w:p>
    <w:p w14:paraId="72593063"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Sytuacja ta wymaga odpowiedniego dostosowania przepisów dotyczących podatku VAT w zakresie ustanowionego w przepisach ustawy o VAT zwolnienia dla gier hazardowych.</w:t>
      </w:r>
    </w:p>
    <w:p w14:paraId="62A23DEC"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Zgodnie z obecnym brzmieniem art. 43 ust. 1 pkt 15 ww. ustawy</w:t>
      </w:r>
      <w:r w:rsidR="008F7CF8" w:rsidRPr="0070741E">
        <w:rPr>
          <w:rFonts w:ascii="Times New Roman" w:hAnsi="Times New Roman"/>
          <w:sz w:val="24"/>
          <w:szCs w:val="24"/>
        </w:rPr>
        <w:t>,</w:t>
      </w:r>
      <w:r w:rsidRPr="0070741E">
        <w:rPr>
          <w:rFonts w:ascii="Times New Roman" w:hAnsi="Times New Roman"/>
          <w:sz w:val="24"/>
          <w:szCs w:val="24"/>
        </w:rPr>
        <w:t xml:space="preserve"> zwolniona od podatku jest działalność w zakresie gier losowych, zakładów wzajemnych i gier na automatach, podlegająca opodatkowaniu podatkiem od gier na zasadach określonych w odrębnej ustawie. </w:t>
      </w:r>
    </w:p>
    <w:p w14:paraId="052E7F99"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iCs/>
          <w:sz w:val="24"/>
          <w:szCs w:val="24"/>
        </w:rPr>
        <w:t>Zmiana przepisu w zaproponowanym brzmieniu ma charakter dostosowawczy przez generalne odwołanie się do wszystkich rodzajów gier hazardowych objętych ustawą o grach hazardowych.</w:t>
      </w:r>
      <w:r w:rsidR="008F7CF8" w:rsidRPr="0070741E">
        <w:rPr>
          <w:rFonts w:ascii="Times New Roman" w:hAnsi="Times New Roman"/>
          <w:iCs/>
          <w:sz w:val="24"/>
          <w:szCs w:val="24"/>
        </w:rPr>
        <w:t xml:space="preserve"> </w:t>
      </w:r>
      <w:r w:rsidRPr="0070741E">
        <w:rPr>
          <w:rFonts w:ascii="Times New Roman" w:hAnsi="Times New Roman"/>
          <w:iCs/>
          <w:sz w:val="24"/>
          <w:szCs w:val="24"/>
        </w:rPr>
        <w:t>Jednocześnie</w:t>
      </w:r>
      <w:r w:rsidR="008F7CF8" w:rsidRPr="0070741E">
        <w:rPr>
          <w:rFonts w:ascii="Times New Roman" w:hAnsi="Times New Roman"/>
          <w:iCs/>
          <w:sz w:val="24"/>
          <w:szCs w:val="24"/>
        </w:rPr>
        <w:t xml:space="preserve"> </w:t>
      </w:r>
      <w:r w:rsidRPr="0070741E">
        <w:rPr>
          <w:rFonts w:ascii="Times New Roman" w:hAnsi="Times New Roman"/>
          <w:iCs/>
          <w:sz w:val="24"/>
          <w:szCs w:val="24"/>
        </w:rPr>
        <w:t xml:space="preserve">projektowany przepis, w sposób niebudzący wątpliwości, zapewnia realizację zasady </w:t>
      </w:r>
      <w:r w:rsidRPr="0070741E">
        <w:rPr>
          <w:rFonts w:ascii="Times New Roman" w:hAnsi="Times New Roman"/>
          <w:sz w:val="24"/>
          <w:szCs w:val="24"/>
        </w:rPr>
        <w:t>dychotomicznego podziału na</w:t>
      </w:r>
      <w:r w:rsidR="007D5A6F" w:rsidRPr="0070741E">
        <w:rPr>
          <w:rFonts w:ascii="Times New Roman" w:hAnsi="Times New Roman"/>
          <w:sz w:val="24"/>
          <w:szCs w:val="24"/>
        </w:rPr>
        <w:t xml:space="preserve"> </w:t>
      </w:r>
      <w:r w:rsidRPr="0070741E">
        <w:rPr>
          <w:rFonts w:ascii="Times New Roman" w:hAnsi="Times New Roman"/>
          <w:sz w:val="24"/>
          <w:szCs w:val="24"/>
        </w:rPr>
        <w:t>sferę działalności</w:t>
      </w:r>
      <w:r w:rsidR="007D5A6F" w:rsidRPr="0070741E">
        <w:rPr>
          <w:rFonts w:ascii="Times New Roman" w:hAnsi="Times New Roman"/>
          <w:sz w:val="24"/>
          <w:szCs w:val="24"/>
        </w:rPr>
        <w:t xml:space="preserve"> </w:t>
      </w:r>
      <w:r w:rsidRPr="0070741E">
        <w:rPr>
          <w:rFonts w:ascii="Times New Roman" w:hAnsi="Times New Roman"/>
          <w:sz w:val="24"/>
          <w:szCs w:val="24"/>
        </w:rPr>
        <w:t>objętą przepisami o grach hazardowych oraz opodatkowaną podatkiem VAT</w:t>
      </w:r>
      <w:r w:rsidRPr="0070741E">
        <w:rPr>
          <w:rFonts w:ascii="Times New Roman" w:hAnsi="Times New Roman"/>
          <w:iCs/>
          <w:sz w:val="24"/>
          <w:szCs w:val="24"/>
        </w:rPr>
        <w:t>.</w:t>
      </w:r>
    </w:p>
    <w:p w14:paraId="63E1C388" w14:textId="77777777" w:rsidR="006B7B7A" w:rsidRPr="0070741E" w:rsidRDefault="006B7B7A" w:rsidP="00D95A2B">
      <w:pPr>
        <w:spacing w:after="0" w:line="360" w:lineRule="auto"/>
        <w:jc w:val="both"/>
        <w:rPr>
          <w:rFonts w:ascii="Times New Roman" w:hAnsi="Times New Roman"/>
          <w:sz w:val="24"/>
          <w:szCs w:val="24"/>
        </w:rPr>
      </w:pPr>
    </w:p>
    <w:p w14:paraId="67172606" w14:textId="77777777" w:rsidR="00D95A2B" w:rsidRPr="0070741E" w:rsidRDefault="00D95A2B" w:rsidP="00D95A2B">
      <w:pPr>
        <w:spacing w:after="0" w:line="360" w:lineRule="auto"/>
        <w:jc w:val="both"/>
        <w:rPr>
          <w:rFonts w:ascii="Times New Roman" w:hAnsi="Times New Roman"/>
          <w:sz w:val="24"/>
          <w:szCs w:val="24"/>
          <w:u w:val="single"/>
        </w:rPr>
      </w:pPr>
      <w:r w:rsidRPr="0070741E">
        <w:rPr>
          <w:rFonts w:ascii="Times New Roman" w:hAnsi="Times New Roman"/>
          <w:sz w:val="24"/>
          <w:szCs w:val="24"/>
          <w:u w:val="single"/>
        </w:rPr>
        <w:t>Art. 43 ust. 7a</w:t>
      </w:r>
    </w:p>
    <w:p w14:paraId="7E1AAA6A" w14:textId="77777777" w:rsidR="00D95A2B" w:rsidRPr="0070741E" w:rsidRDefault="00D95A2B" w:rsidP="00D95A2B">
      <w:pPr>
        <w:spacing w:after="0" w:line="360" w:lineRule="auto"/>
        <w:jc w:val="both"/>
        <w:rPr>
          <w:rFonts w:ascii="Times New Roman" w:hAnsi="Times New Roman"/>
          <w:sz w:val="24"/>
          <w:szCs w:val="24"/>
        </w:rPr>
      </w:pPr>
      <w:r w:rsidRPr="0070741E">
        <w:rPr>
          <w:rFonts w:ascii="Times New Roman" w:hAnsi="Times New Roman"/>
          <w:sz w:val="24"/>
          <w:szCs w:val="24"/>
        </w:rPr>
        <w:t>Obecnie zgodnie z ustawą o VAT w przypadku sprzedaży nieruchomości jeśli nie zostały spełnione przesłanki zastosowania zwolnienia z art. 43 ust. 1 pkt 10 należy ocenić zasadność zastosowania zwolnienia od podatku VAT na podstawie art. 43 ust. 1 pkt 10a w powiązaniu z ust. 7a ustawy o VAT.</w:t>
      </w:r>
    </w:p>
    <w:p w14:paraId="60089679" w14:textId="77777777" w:rsidR="00D95A2B" w:rsidRPr="0070741E" w:rsidRDefault="00D95A2B" w:rsidP="00D95A2B">
      <w:pPr>
        <w:spacing w:after="0" w:line="360" w:lineRule="auto"/>
        <w:jc w:val="both"/>
        <w:rPr>
          <w:rFonts w:ascii="Times New Roman" w:hAnsi="Times New Roman"/>
          <w:sz w:val="24"/>
          <w:szCs w:val="24"/>
        </w:rPr>
      </w:pPr>
      <w:r w:rsidRPr="0070741E">
        <w:rPr>
          <w:rFonts w:ascii="Times New Roman" w:hAnsi="Times New Roman"/>
          <w:sz w:val="24"/>
          <w:szCs w:val="24"/>
        </w:rPr>
        <w:t xml:space="preserve">Zgodnie z art. 43 ust. 1 pkt 10a lit. b zwalnia się od podatku dostawę budynków, budowli lub ich części nieobjętą zwolnieniem, o którym mowa w pkt 10, pod warunkiem, że: dokonujący ich dostawy nie ponosił wydatków na ich ulepszenie, w stosunku do których miał prawo do obniżenia kwoty podatku należnego o kwotę podatku naliczonego, a jeżeli ponosił takie wydatki, to były one niższe niż 30% wartości początkowej tych obiektów. Stosownie zaś do art. 43 ust. 7a warunku, o którym mowa w ust. 1 pkt 10a lit. b, nie stosuje się, jeżeli budynki, </w:t>
      </w:r>
      <w:r w:rsidRPr="0070741E">
        <w:rPr>
          <w:rFonts w:ascii="Times New Roman" w:hAnsi="Times New Roman"/>
          <w:sz w:val="24"/>
          <w:szCs w:val="24"/>
        </w:rPr>
        <w:lastRenderedPageBreak/>
        <w:t xml:space="preserve">budowle lub ich części w stanie ulepszonym były wykorzystywane przez podatnika do czynności opodatkowanych przez co najmniej 5 lat. </w:t>
      </w:r>
    </w:p>
    <w:p w14:paraId="44818470" w14:textId="77777777" w:rsidR="00D95A2B" w:rsidRPr="0070741E" w:rsidRDefault="00D95A2B" w:rsidP="00D95A2B">
      <w:pPr>
        <w:spacing w:after="0" w:line="360" w:lineRule="auto"/>
        <w:jc w:val="both"/>
        <w:rPr>
          <w:rFonts w:ascii="Times New Roman" w:hAnsi="Times New Roman"/>
          <w:sz w:val="24"/>
          <w:szCs w:val="24"/>
        </w:rPr>
      </w:pPr>
      <w:r w:rsidRPr="0070741E">
        <w:rPr>
          <w:rFonts w:ascii="Times New Roman" w:hAnsi="Times New Roman"/>
          <w:sz w:val="24"/>
          <w:szCs w:val="24"/>
        </w:rPr>
        <w:t>W związku ze zmianą definicji pierwszego zasiedlenia zasadne stało się uchylenie ust. 7a w art. 43. W sytuacji bowiem ulepszenia nieruchomości, pierwsze zasiedlenie nastąpi wcześniej (przed upływem 5 lat) na podstawie art. 43 ust. 1 pkt 10 ustawy o VAT.</w:t>
      </w:r>
    </w:p>
    <w:p w14:paraId="37C2866B" w14:textId="77777777" w:rsidR="00032948" w:rsidRPr="0070741E" w:rsidRDefault="00032948" w:rsidP="00D95A2B">
      <w:pPr>
        <w:spacing w:after="0" w:line="360" w:lineRule="auto"/>
        <w:jc w:val="both"/>
        <w:rPr>
          <w:rFonts w:ascii="Times New Roman" w:hAnsi="Times New Roman"/>
          <w:sz w:val="24"/>
          <w:szCs w:val="24"/>
        </w:rPr>
      </w:pPr>
    </w:p>
    <w:p w14:paraId="3CAB8685" w14:textId="77777777" w:rsidR="0056403C" w:rsidRPr="0070741E" w:rsidRDefault="0056403C" w:rsidP="0056403C">
      <w:pPr>
        <w:spacing w:after="0" w:line="360" w:lineRule="auto"/>
        <w:jc w:val="both"/>
        <w:rPr>
          <w:rFonts w:ascii="Times New Roman" w:hAnsi="Times New Roman"/>
          <w:sz w:val="24"/>
          <w:szCs w:val="24"/>
          <w:u w:val="single"/>
        </w:rPr>
      </w:pPr>
      <w:r w:rsidRPr="0070741E">
        <w:rPr>
          <w:rFonts w:ascii="Times New Roman" w:hAnsi="Times New Roman"/>
          <w:sz w:val="24"/>
          <w:szCs w:val="24"/>
          <w:u w:val="single"/>
        </w:rPr>
        <w:t xml:space="preserve">Art. 43 ust. </w:t>
      </w:r>
      <w:r w:rsidR="00D0197B" w:rsidRPr="0070741E">
        <w:rPr>
          <w:rFonts w:ascii="Times New Roman" w:hAnsi="Times New Roman"/>
          <w:sz w:val="24"/>
          <w:szCs w:val="24"/>
          <w:u w:val="single"/>
        </w:rPr>
        <w:t>21</w:t>
      </w:r>
    </w:p>
    <w:p w14:paraId="1B547961" w14:textId="77777777" w:rsidR="00D0197B" w:rsidRPr="0070741E" w:rsidRDefault="00D0197B" w:rsidP="00D0197B">
      <w:pPr>
        <w:spacing w:after="0" w:line="360" w:lineRule="auto"/>
        <w:jc w:val="both"/>
        <w:rPr>
          <w:rFonts w:ascii="Times New Roman" w:hAnsi="Times New Roman"/>
          <w:sz w:val="24"/>
          <w:szCs w:val="24"/>
        </w:rPr>
      </w:pPr>
      <w:r w:rsidRPr="0070741E">
        <w:rPr>
          <w:rFonts w:ascii="Times New Roman" w:hAnsi="Times New Roman"/>
          <w:sz w:val="24"/>
          <w:szCs w:val="24"/>
        </w:rPr>
        <w:t>Komornicy sądowi wykonujący czynności egzekucyjne w rozumieniu</w:t>
      </w:r>
      <w:r w:rsidR="00792429">
        <w:rPr>
          <w:rFonts w:ascii="Times New Roman" w:hAnsi="Times New Roman"/>
          <w:sz w:val="24"/>
          <w:szCs w:val="24"/>
        </w:rPr>
        <w:t xml:space="preserve"> przepisów ustawy z </w:t>
      </w:r>
      <w:r w:rsidRPr="0070741E">
        <w:rPr>
          <w:rFonts w:ascii="Times New Roman" w:hAnsi="Times New Roman"/>
          <w:sz w:val="24"/>
          <w:szCs w:val="24"/>
        </w:rPr>
        <w:t xml:space="preserve">dnia 17 listopada 1964 r. – Kodeks postępowania cywilnego (Dz. U. z 2018 r. poz. </w:t>
      </w:r>
      <w:r w:rsidR="00E14DE3" w:rsidRPr="0070741E">
        <w:rPr>
          <w:rFonts w:ascii="Times New Roman" w:hAnsi="Times New Roman"/>
          <w:sz w:val="24"/>
          <w:szCs w:val="24"/>
        </w:rPr>
        <w:t>1360, ze zm.</w:t>
      </w:r>
      <w:r w:rsidRPr="0070741E">
        <w:rPr>
          <w:rFonts w:ascii="Times New Roman" w:hAnsi="Times New Roman"/>
          <w:sz w:val="24"/>
          <w:szCs w:val="24"/>
        </w:rPr>
        <w:t xml:space="preserve">), oraz organy egzekucyjne określone w ustawie z dnia 17 czerwca 1966 r. o postępowaniu egzekucyjnymi w administracji, zgodnie z art. 18 ustawy o VAT, są płatnikami podatku od towarów i usług od dostawy, dokonywanej w trybie egzekucji, towarów będących własnością dłużnika lub posiadanych przez niego z naruszeniem obowiązujących przepisów. </w:t>
      </w:r>
    </w:p>
    <w:p w14:paraId="12C148A5" w14:textId="77777777" w:rsidR="00D0197B" w:rsidRPr="0070741E" w:rsidRDefault="00D0197B" w:rsidP="00D0197B">
      <w:pPr>
        <w:spacing w:after="0" w:line="360" w:lineRule="auto"/>
        <w:jc w:val="both"/>
        <w:rPr>
          <w:rFonts w:ascii="Times New Roman" w:hAnsi="Times New Roman"/>
          <w:sz w:val="24"/>
          <w:szCs w:val="24"/>
        </w:rPr>
      </w:pPr>
      <w:r w:rsidRPr="0070741E">
        <w:rPr>
          <w:rFonts w:ascii="Times New Roman" w:hAnsi="Times New Roman"/>
          <w:sz w:val="24"/>
          <w:szCs w:val="24"/>
        </w:rPr>
        <w:t xml:space="preserve">Komornicy sądowi oraz organy egzekucyjne mają obowiązek obliczenia podatku, pobrania podatku oraz wpłacenia go we właściwym terminie organowi podatkowemu (art. 8 ustawy – Ordynacja podatkowa). Płatnicy dokonujący dostawy towarów w trybie egzekucji, podejmują działania w celu ustalenia statusu podatkowego podatnika – dłużnika oraz okoliczności dotyczących sprzedaży skutkujących w sferze prawa podatkowego (m.in. warunków zastosowania zwolnień od podatku tzw. przedmiotowych, podmiotowych). </w:t>
      </w:r>
    </w:p>
    <w:p w14:paraId="1C0CA395" w14:textId="77777777" w:rsidR="00D0197B" w:rsidRPr="0070741E" w:rsidRDefault="00D0197B" w:rsidP="00D0197B">
      <w:pPr>
        <w:spacing w:after="0" w:line="360" w:lineRule="auto"/>
        <w:jc w:val="both"/>
        <w:rPr>
          <w:rFonts w:ascii="Times New Roman" w:hAnsi="Times New Roman"/>
          <w:sz w:val="24"/>
          <w:szCs w:val="24"/>
        </w:rPr>
      </w:pPr>
      <w:r w:rsidRPr="0070741E">
        <w:rPr>
          <w:rFonts w:ascii="Times New Roman" w:hAnsi="Times New Roman"/>
          <w:sz w:val="24"/>
          <w:szCs w:val="24"/>
        </w:rPr>
        <w:t>Zgłaszane przez komorników sądowych problemy dotycz</w:t>
      </w:r>
      <w:r w:rsidR="00605474" w:rsidRPr="0070741E">
        <w:rPr>
          <w:rFonts w:ascii="Times New Roman" w:hAnsi="Times New Roman"/>
          <w:sz w:val="24"/>
          <w:szCs w:val="24"/>
        </w:rPr>
        <w:t>ą wywiązywania się przez nich z </w:t>
      </w:r>
      <w:r w:rsidRPr="0070741E">
        <w:rPr>
          <w:rFonts w:ascii="Times New Roman" w:hAnsi="Times New Roman"/>
          <w:sz w:val="24"/>
          <w:szCs w:val="24"/>
        </w:rPr>
        <w:t xml:space="preserve">obowiązków płatnika podatku od towarów i usług w szczególności w sytuacjach gdy kontakt z podatnikiem – dłużnikiem jest utrudniony z uwagi np. na przebywanie dłużnika za granicą oraz ograniczone informacje uzyskane z dokumentacji podatnika i instytucji zewnętrznych. </w:t>
      </w:r>
    </w:p>
    <w:p w14:paraId="2BEC431A" w14:textId="77777777" w:rsidR="00D0197B" w:rsidRPr="0070741E" w:rsidRDefault="00D0197B" w:rsidP="00D0197B">
      <w:pPr>
        <w:spacing w:after="0" w:line="360" w:lineRule="auto"/>
        <w:jc w:val="both"/>
        <w:rPr>
          <w:rFonts w:ascii="Times New Roman" w:hAnsi="Times New Roman"/>
          <w:sz w:val="24"/>
          <w:szCs w:val="24"/>
        </w:rPr>
      </w:pPr>
      <w:r w:rsidRPr="0070741E">
        <w:rPr>
          <w:rFonts w:ascii="Times New Roman" w:hAnsi="Times New Roman"/>
          <w:sz w:val="24"/>
          <w:szCs w:val="24"/>
        </w:rPr>
        <w:t>Wprawdzie kluczowe wątpliwości komorników dotyczą trybu postępowania w przypadku braku możliwości potwierdzenia spełnienia warunków zastosowania zwolnień, o których mowa w</w:t>
      </w:r>
      <w:r w:rsidR="004A4C7E" w:rsidRPr="0070741E">
        <w:rPr>
          <w:rFonts w:ascii="Times New Roman" w:hAnsi="Times New Roman"/>
          <w:sz w:val="24"/>
          <w:szCs w:val="24"/>
        </w:rPr>
        <w:t xml:space="preserve"> </w:t>
      </w:r>
      <w:r w:rsidRPr="0070741E">
        <w:rPr>
          <w:rFonts w:ascii="Times New Roman" w:hAnsi="Times New Roman"/>
          <w:sz w:val="24"/>
          <w:szCs w:val="24"/>
        </w:rPr>
        <w:t>art. 43 ust. 1 pkt 10 i 10a ustawy, jednak mając na uwadze, że ko</w:t>
      </w:r>
      <w:r w:rsidR="00792429">
        <w:rPr>
          <w:rFonts w:ascii="Times New Roman" w:hAnsi="Times New Roman"/>
          <w:sz w:val="24"/>
          <w:szCs w:val="24"/>
        </w:rPr>
        <w:t>mornicy sądowi i </w:t>
      </w:r>
      <w:r w:rsidRPr="0070741E">
        <w:rPr>
          <w:rFonts w:ascii="Times New Roman" w:hAnsi="Times New Roman"/>
          <w:sz w:val="24"/>
          <w:szCs w:val="24"/>
        </w:rPr>
        <w:t xml:space="preserve">organy egzekucyjne dokonują sprzedaży także innych towarów, co może rodzić podobne problemy, proponuje wprowadzenie do ustawy o VAT przepisów o charakterze ogólnym (projektowany art. 43 ust. 21, art. 82a i art. 113 ust. 10a). </w:t>
      </w:r>
    </w:p>
    <w:p w14:paraId="21D70A39" w14:textId="34FED41C" w:rsidR="00D73A30" w:rsidRPr="0070741E" w:rsidRDefault="00D73A30" w:rsidP="00D73A30">
      <w:pPr>
        <w:spacing w:after="0" w:line="360" w:lineRule="auto"/>
        <w:jc w:val="both"/>
        <w:rPr>
          <w:rFonts w:ascii="Times New Roman" w:hAnsi="Times New Roman"/>
          <w:sz w:val="24"/>
          <w:szCs w:val="24"/>
        </w:rPr>
      </w:pPr>
      <w:r w:rsidRPr="0070741E">
        <w:rPr>
          <w:rFonts w:ascii="Times New Roman" w:hAnsi="Times New Roman"/>
          <w:sz w:val="24"/>
          <w:szCs w:val="24"/>
        </w:rPr>
        <w:t xml:space="preserve">W art. 43 ustawy o VAT proponuje się dodanie ust. 21, zgodnie z którym jeżeli udokumentowane działania organów egzekucyjnych lub komorników sądowych, o których </w:t>
      </w:r>
      <w:r w:rsidRPr="0070741E">
        <w:rPr>
          <w:rFonts w:ascii="Times New Roman" w:hAnsi="Times New Roman"/>
          <w:sz w:val="24"/>
          <w:szCs w:val="24"/>
        </w:rPr>
        <w:lastRenderedPageBreak/>
        <w:t xml:space="preserve">mowa w art. 18, nie doprowadziły na skutek braku możliwości uzyskania </w:t>
      </w:r>
      <w:r w:rsidR="00095329">
        <w:rPr>
          <w:rFonts w:ascii="Times New Roman" w:hAnsi="Times New Roman"/>
          <w:sz w:val="24"/>
          <w:szCs w:val="24"/>
        </w:rPr>
        <w:t xml:space="preserve">niezbędnych </w:t>
      </w:r>
      <w:r w:rsidRPr="0070741E">
        <w:rPr>
          <w:rFonts w:ascii="Times New Roman" w:hAnsi="Times New Roman"/>
          <w:sz w:val="24"/>
          <w:szCs w:val="24"/>
        </w:rPr>
        <w:t>informacji od dłużnika, do potwierdzenia spełnienia warunków zastosowania do dostawy towarów, o</w:t>
      </w:r>
      <w:r w:rsidR="00366916" w:rsidRPr="0070741E">
        <w:rPr>
          <w:rFonts w:ascii="Times New Roman" w:hAnsi="Times New Roman"/>
          <w:sz w:val="24"/>
          <w:szCs w:val="24"/>
        </w:rPr>
        <w:t> </w:t>
      </w:r>
      <w:r w:rsidRPr="0070741E">
        <w:rPr>
          <w:rFonts w:ascii="Times New Roman" w:hAnsi="Times New Roman"/>
          <w:sz w:val="24"/>
          <w:szCs w:val="24"/>
        </w:rPr>
        <w:t>której mowa w art. 18, zwolnień od podatku, o których mowa w ust. 1 pkt 2, 3 i 9-10a, przyjmuje się, że warunki zastosowania zwolnień od podatku nie są spełnione.</w:t>
      </w:r>
    </w:p>
    <w:p w14:paraId="51AFF503" w14:textId="62BB7F80" w:rsidR="00D73A30" w:rsidRPr="0070741E" w:rsidRDefault="00D73A30" w:rsidP="00D73A30">
      <w:pPr>
        <w:spacing w:after="0" w:line="360" w:lineRule="auto"/>
        <w:jc w:val="both"/>
        <w:rPr>
          <w:rFonts w:ascii="Times New Roman" w:hAnsi="Times New Roman"/>
          <w:sz w:val="24"/>
          <w:szCs w:val="24"/>
        </w:rPr>
      </w:pPr>
      <w:r w:rsidRPr="0070741E">
        <w:rPr>
          <w:rFonts w:ascii="Times New Roman" w:hAnsi="Times New Roman"/>
          <w:sz w:val="24"/>
          <w:szCs w:val="24"/>
        </w:rPr>
        <w:t>Podobnie, jeżeli udokumentowane działania organów egzekucyjnych lub komorników sądowych, o których mowa w art. 18, nie doprowadziły na skutek braku możliwości uzyskania</w:t>
      </w:r>
      <w:r w:rsidR="00E93E24">
        <w:rPr>
          <w:rFonts w:ascii="Times New Roman" w:hAnsi="Times New Roman"/>
          <w:sz w:val="24"/>
          <w:szCs w:val="24"/>
        </w:rPr>
        <w:t xml:space="preserve"> </w:t>
      </w:r>
      <w:r w:rsidR="00095329">
        <w:rPr>
          <w:rFonts w:ascii="Times New Roman" w:hAnsi="Times New Roman"/>
          <w:sz w:val="24"/>
          <w:szCs w:val="24"/>
        </w:rPr>
        <w:t>niezbędnych</w:t>
      </w:r>
      <w:r w:rsidR="00E93E24">
        <w:rPr>
          <w:rFonts w:ascii="Times New Roman" w:hAnsi="Times New Roman"/>
          <w:sz w:val="24"/>
          <w:szCs w:val="24"/>
        </w:rPr>
        <w:t xml:space="preserve"> </w:t>
      </w:r>
      <w:r w:rsidRPr="0070741E">
        <w:rPr>
          <w:rFonts w:ascii="Times New Roman" w:hAnsi="Times New Roman"/>
          <w:sz w:val="24"/>
          <w:szCs w:val="24"/>
        </w:rPr>
        <w:t>informacji od dłużnika, czy w związku z dostawą dokonywaną w trybie egzekucji spełnione zostaną warunki do zastosowania zwolnienia</w:t>
      </w:r>
      <w:r w:rsidR="00792429">
        <w:rPr>
          <w:rFonts w:ascii="Times New Roman" w:hAnsi="Times New Roman"/>
          <w:sz w:val="24"/>
          <w:szCs w:val="24"/>
        </w:rPr>
        <w:t xml:space="preserve"> na podstawie art. 113 ust. 1 i </w:t>
      </w:r>
      <w:r w:rsidRPr="0070741E">
        <w:rPr>
          <w:rFonts w:ascii="Times New Roman" w:hAnsi="Times New Roman"/>
          <w:sz w:val="24"/>
          <w:szCs w:val="24"/>
        </w:rPr>
        <w:t>9, proponuje się przyjęcie, że warunki te nie są spełnione (projektowany art. 113 ust. 10a).</w:t>
      </w:r>
    </w:p>
    <w:p w14:paraId="665758CB" w14:textId="6CE317E0" w:rsidR="00D73A30" w:rsidRPr="0070741E" w:rsidRDefault="00D73A30" w:rsidP="00D73A30">
      <w:pPr>
        <w:spacing w:after="0" w:line="360" w:lineRule="auto"/>
        <w:jc w:val="both"/>
        <w:rPr>
          <w:rFonts w:ascii="Times New Roman" w:hAnsi="Times New Roman"/>
          <w:sz w:val="24"/>
          <w:szCs w:val="24"/>
        </w:rPr>
      </w:pPr>
      <w:r w:rsidRPr="0070741E">
        <w:rPr>
          <w:rFonts w:ascii="Times New Roman" w:hAnsi="Times New Roman"/>
          <w:sz w:val="24"/>
          <w:szCs w:val="24"/>
        </w:rPr>
        <w:t>Analogiczne założenie będzie przyjęte, w przypadku gdy udokumentowane działania organów egzekucyjnych lub komorników sądowych, o których mowa w art. 18, nie doprowadziły na skutek braku możliwości uzyskania</w:t>
      </w:r>
      <w:r w:rsidR="00E93E24">
        <w:rPr>
          <w:rFonts w:ascii="Times New Roman" w:hAnsi="Times New Roman"/>
          <w:sz w:val="24"/>
          <w:szCs w:val="24"/>
        </w:rPr>
        <w:t xml:space="preserve"> </w:t>
      </w:r>
      <w:r w:rsidR="00095329">
        <w:rPr>
          <w:rFonts w:ascii="Times New Roman" w:hAnsi="Times New Roman"/>
          <w:sz w:val="24"/>
          <w:szCs w:val="24"/>
        </w:rPr>
        <w:t>niezbędnych</w:t>
      </w:r>
      <w:r w:rsidRPr="0070741E">
        <w:rPr>
          <w:rFonts w:ascii="Times New Roman" w:hAnsi="Times New Roman"/>
          <w:sz w:val="24"/>
          <w:szCs w:val="24"/>
        </w:rPr>
        <w:t xml:space="preserve"> informacji od dłużnika, do potwierdzenia spełnienia warunków zastosowania do dostawy towarów, o której mowa w art. 18, zwolnień od podatku, na podstawie art. 82 ust. 2 i 3 (przyjmuje się, że warunki zastosowania zwolnień od podatku nie są spełnione) – projektowany art. 82a.</w:t>
      </w:r>
    </w:p>
    <w:p w14:paraId="3FF64261" w14:textId="77777777" w:rsidR="009B56F5" w:rsidRPr="0070741E" w:rsidRDefault="00D73A30" w:rsidP="009B56F5">
      <w:pPr>
        <w:spacing w:after="0" w:line="360" w:lineRule="auto"/>
        <w:jc w:val="both"/>
        <w:rPr>
          <w:rFonts w:ascii="Times New Roman" w:hAnsi="Times New Roman"/>
          <w:sz w:val="24"/>
          <w:szCs w:val="24"/>
        </w:rPr>
      </w:pPr>
      <w:r w:rsidRPr="0070741E">
        <w:rPr>
          <w:rFonts w:ascii="Times New Roman" w:hAnsi="Times New Roman"/>
          <w:sz w:val="24"/>
          <w:szCs w:val="24"/>
        </w:rPr>
        <w:t xml:space="preserve">Konsekwencją powyższych zmian będzie to, że dokonane w takich przypadkach w trybie egzekucji dostawy towarów, będą opodatkowane podatkiem od towarów i usług, jeżeli udokumentowane działania w celu potwierdzenia zwolnienia podjęte przez komornika lub organ egzekucyjny były z powodu dłużnika bezskuteczne. </w:t>
      </w:r>
    </w:p>
    <w:p w14:paraId="655D6CE3" w14:textId="77777777" w:rsidR="00D73A30" w:rsidRPr="0070741E" w:rsidRDefault="00D73A30" w:rsidP="00D73A30">
      <w:pPr>
        <w:spacing w:after="0" w:line="360" w:lineRule="auto"/>
        <w:jc w:val="both"/>
        <w:rPr>
          <w:rFonts w:ascii="Times New Roman" w:hAnsi="Times New Roman"/>
          <w:sz w:val="24"/>
          <w:szCs w:val="24"/>
        </w:rPr>
      </w:pPr>
      <w:r w:rsidRPr="0070741E">
        <w:rPr>
          <w:rFonts w:ascii="Times New Roman" w:hAnsi="Times New Roman"/>
          <w:sz w:val="24"/>
          <w:szCs w:val="24"/>
        </w:rPr>
        <w:t>Proponowane zmiany dają pewność zarówno płatnikom, którzy mają obowiązek obliczenia, pobrania i wpłacenia podatku VAT w prawidłowej wysokości ale również zapewnią ochronę podatnikom dokonującym nabycia towarów w trybie egzekucji, którzy w związku z takim nabyciem skorzystali z prawa do odliczenia podatku wykazanego w fakturze (możliwość odliczenia VAT brali pod uwagę, dokonując nabycia w trybie egzekucji).</w:t>
      </w:r>
    </w:p>
    <w:p w14:paraId="4C271EA6" w14:textId="1AA8CD1B" w:rsidR="006839DE" w:rsidRDefault="009B56F5" w:rsidP="006839DE">
      <w:pPr>
        <w:spacing w:after="0" w:line="360" w:lineRule="auto"/>
        <w:jc w:val="both"/>
        <w:rPr>
          <w:rFonts w:ascii="Times New Roman" w:hAnsi="Times New Roman"/>
          <w:sz w:val="24"/>
          <w:szCs w:val="24"/>
        </w:rPr>
      </w:pPr>
      <w:r w:rsidRPr="0070741E">
        <w:rPr>
          <w:rFonts w:ascii="Times New Roman" w:hAnsi="Times New Roman"/>
          <w:sz w:val="24"/>
          <w:szCs w:val="24"/>
        </w:rPr>
        <w:t>Dodaje się przepis przejściowy</w:t>
      </w:r>
      <w:r w:rsidR="00BA25A3">
        <w:rPr>
          <w:rFonts w:ascii="Times New Roman" w:hAnsi="Times New Roman"/>
          <w:sz w:val="24"/>
          <w:szCs w:val="24"/>
        </w:rPr>
        <w:t xml:space="preserve"> (art.</w:t>
      </w:r>
      <w:r w:rsidR="00095329">
        <w:rPr>
          <w:rFonts w:ascii="Times New Roman" w:hAnsi="Times New Roman"/>
          <w:sz w:val="24"/>
          <w:szCs w:val="24"/>
        </w:rPr>
        <w:t xml:space="preserve"> 6</w:t>
      </w:r>
      <w:r w:rsidR="00BA25A3">
        <w:rPr>
          <w:rFonts w:ascii="Times New Roman" w:hAnsi="Times New Roman"/>
          <w:sz w:val="24"/>
          <w:szCs w:val="24"/>
        </w:rPr>
        <w:t xml:space="preserve"> projektu ustawy)</w:t>
      </w:r>
      <w:r w:rsidRPr="0070741E">
        <w:rPr>
          <w:rFonts w:ascii="Times New Roman" w:hAnsi="Times New Roman"/>
          <w:sz w:val="24"/>
          <w:szCs w:val="24"/>
        </w:rPr>
        <w:t>, zgodnie z którym przepi</w:t>
      </w:r>
      <w:r w:rsidR="00366916" w:rsidRPr="0070741E">
        <w:rPr>
          <w:rFonts w:ascii="Times New Roman" w:hAnsi="Times New Roman"/>
          <w:sz w:val="24"/>
          <w:szCs w:val="24"/>
        </w:rPr>
        <w:t>sów art. 43 ust. 21, art. 82a i </w:t>
      </w:r>
      <w:r w:rsidRPr="0070741E">
        <w:rPr>
          <w:rFonts w:ascii="Times New Roman" w:hAnsi="Times New Roman"/>
          <w:sz w:val="24"/>
          <w:szCs w:val="24"/>
        </w:rPr>
        <w:t>art. 113 ust. 10a nie stosuje się do dostaw, o których mowa art. 18</w:t>
      </w:r>
      <w:r w:rsidR="00976615">
        <w:rPr>
          <w:rFonts w:ascii="Times New Roman" w:hAnsi="Times New Roman"/>
          <w:sz w:val="24"/>
          <w:szCs w:val="24"/>
        </w:rPr>
        <w:t xml:space="preserve"> ustawy o VAT</w:t>
      </w:r>
      <w:r w:rsidRPr="0070741E">
        <w:rPr>
          <w:rFonts w:ascii="Times New Roman" w:hAnsi="Times New Roman"/>
          <w:sz w:val="24"/>
          <w:szCs w:val="24"/>
        </w:rPr>
        <w:t>, dokonanych przed dniem wejścia w życie niniejszej ustawy.</w:t>
      </w:r>
      <w:r w:rsidR="00BA25A3">
        <w:rPr>
          <w:rFonts w:ascii="Times New Roman" w:hAnsi="Times New Roman"/>
          <w:sz w:val="24"/>
          <w:szCs w:val="24"/>
        </w:rPr>
        <w:t xml:space="preserve"> Przepisy do których odnosi się regulacja przejściowa dotyczą</w:t>
      </w:r>
      <w:r w:rsidR="006839DE" w:rsidRPr="006839DE">
        <w:rPr>
          <w:rFonts w:ascii="Times New Roman" w:hAnsi="Times New Roman"/>
          <w:sz w:val="24"/>
          <w:szCs w:val="24"/>
        </w:rPr>
        <w:t xml:space="preserve"> działań organów egzekucyjnych podjętych w celu ustalenia opodatkowania i sposobu rozliczenia dostawy realizowanej w trybie egzekucji na podstawie art. 18 ustawy o VAT. Czynności podejmowane przez organy egzekucyjne w stosunku do dłużników (w tym szereg działań podejmowanych w celu ustalenia np. statusu </w:t>
      </w:r>
      <w:r w:rsidR="006839DE" w:rsidRPr="006839DE">
        <w:rPr>
          <w:rFonts w:ascii="Times New Roman" w:hAnsi="Times New Roman"/>
          <w:sz w:val="24"/>
          <w:szCs w:val="24"/>
        </w:rPr>
        <w:lastRenderedPageBreak/>
        <w:t xml:space="preserve">podmiotowego dłużnika na gruncie przepisów o VAT, zakresu przedmiotowego dostawy, a co za tym idzie przesłanek do ustalenia sposobu opodatkowania VAT dostawy) stanowią pewien proces, który zasadniczo jest rozłożony w czasie, zaś finalizowany </w:t>
      </w:r>
      <w:r w:rsidR="00976615">
        <w:rPr>
          <w:rFonts w:ascii="Times New Roman" w:hAnsi="Times New Roman"/>
          <w:sz w:val="24"/>
          <w:szCs w:val="24"/>
        </w:rPr>
        <w:t>powinien być</w:t>
      </w:r>
      <w:r w:rsidR="006839DE" w:rsidRPr="006839DE">
        <w:rPr>
          <w:rFonts w:ascii="Times New Roman" w:hAnsi="Times New Roman"/>
          <w:sz w:val="24"/>
          <w:szCs w:val="24"/>
        </w:rPr>
        <w:t xml:space="preserve"> zasadniczo z momentem dokonania dostawy w trybie egzekucji. Do tego procesu organy egzekucyjne będą mogły stosować wprowadzane nowe rozwią</w:t>
      </w:r>
      <w:r w:rsidR="00BA25A3">
        <w:rPr>
          <w:rFonts w:ascii="Times New Roman" w:hAnsi="Times New Roman"/>
          <w:sz w:val="24"/>
          <w:szCs w:val="24"/>
        </w:rPr>
        <w:t>zania w ustawie o VAT, tj. art. </w:t>
      </w:r>
      <w:r w:rsidR="006839DE" w:rsidRPr="006839DE">
        <w:rPr>
          <w:rFonts w:ascii="Times New Roman" w:hAnsi="Times New Roman"/>
          <w:sz w:val="24"/>
          <w:szCs w:val="24"/>
        </w:rPr>
        <w:t>43 ust. 21, art. 82a i art. 113 ust. 10a proponowane w p</w:t>
      </w:r>
      <w:r w:rsidR="00BA25A3">
        <w:rPr>
          <w:rFonts w:ascii="Times New Roman" w:hAnsi="Times New Roman"/>
          <w:sz w:val="24"/>
          <w:szCs w:val="24"/>
        </w:rPr>
        <w:t xml:space="preserve">rojekcie ustawy nowelizującej. </w:t>
      </w:r>
      <w:r w:rsidR="006839DE" w:rsidRPr="006839DE">
        <w:rPr>
          <w:rFonts w:ascii="Times New Roman" w:hAnsi="Times New Roman"/>
          <w:sz w:val="24"/>
          <w:szCs w:val="24"/>
        </w:rPr>
        <w:t xml:space="preserve">Celem projektowanego przepisu art. </w:t>
      </w:r>
      <w:r w:rsidR="00E4084A">
        <w:rPr>
          <w:rFonts w:ascii="Times New Roman" w:hAnsi="Times New Roman"/>
          <w:sz w:val="24"/>
          <w:szCs w:val="24"/>
        </w:rPr>
        <w:t>6</w:t>
      </w:r>
      <w:r w:rsidR="006839DE" w:rsidRPr="006839DE">
        <w:rPr>
          <w:rFonts w:ascii="Times New Roman" w:hAnsi="Times New Roman"/>
          <w:sz w:val="24"/>
          <w:szCs w:val="24"/>
        </w:rPr>
        <w:t xml:space="preserve"> projektu ustawy jest ustalenie do jakiego horyzontu czasowego wskazane przepisy art. 43 ust. 21, art. 82a i art. 113 ust. 10a ustawy o VAT nie znajdą zastosowania</w:t>
      </w:r>
      <w:r w:rsidR="00B62AEC">
        <w:rPr>
          <w:rFonts w:ascii="Times New Roman" w:hAnsi="Times New Roman"/>
          <w:sz w:val="24"/>
          <w:szCs w:val="24"/>
        </w:rPr>
        <w:t>.</w:t>
      </w:r>
    </w:p>
    <w:p w14:paraId="13CFAC83" w14:textId="77777777" w:rsidR="009B56F5" w:rsidRPr="0070741E" w:rsidRDefault="009B56F5" w:rsidP="00D0197B">
      <w:pPr>
        <w:spacing w:after="0" w:line="360" w:lineRule="auto"/>
        <w:jc w:val="both"/>
        <w:rPr>
          <w:rFonts w:ascii="Times New Roman" w:eastAsia="Times New Roman" w:hAnsi="Times New Roman"/>
          <w:bCs/>
          <w:sz w:val="24"/>
          <w:szCs w:val="24"/>
          <w:u w:val="single"/>
          <w:lang w:eastAsia="pl-PL"/>
        </w:rPr>
      </w:pPr>
    </w:p>
    <w:p w14:paraId="2119C7C7" w14:textId="77777777" w:rsidR="00D0197B" w:rsidRPr="0070741E" w:rsidRDefault="00D0197B" w:rsidP="00D0197B">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82a</w:t>
      </w:r>
    </w:p>
    <w:p w14:paraId="7511DAE2" w14:textId="77777777" w:rsidR="00921E68" w:rsidRPr="0070741E" w:rsidRDefault="00921E68" w:rsidP="00921E68">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Uzasadnienie zmiany w art. 82a zawarte jest w części dotyczącej zmian w art. 43 ust. 21.</w:t>
      </w:r>
    </w:p>
    <w:p w14:paraId="4906F5C7" w14:textId="77777777" w:rsidR="00D0197B" w:rsidRPr="0070741E" w:rsidRDefault="00D0197B" w:rsidP="00D95A2B">
      <w:pPr>
        <w:spacing w:after="0" w:line="360" w:lineRule="auto"/>
        <w:jc w:val="both"/>
        <w:rPr>
          <w:rFonts w:ascii="Times New Roman" w:hAnsi="Times New Roman"/>
          <w:sz w:val="24"/>
          <w:szCs w:val="24"/>
        </w:rPr>
      </w:pPr>
    </w:p>
    <w:p w14:paraId="2B0FBFDE" w14:textId="77777777" w:rsidR="00675C3E" w:rsidRDefault="00675C3E" w:rsidP="00675C3E">
      <w:pPr>
        <w:keepNext/>
        <w:spacing w:after="0" w:line="360" w:lineRule="auto"/>
        <w:jc w:val="both"/>
        <w:rPr>
          <w:rFonts w:ascii="Times New Roman" w:eastAsia="Times New Roman" w:hAnsi="Times New Roman"/>
          <w:bCs/>
          <w:color w:val="auto"/>
          <w:sz w:val="24"/>
          <w:szCs w:val="24"/>
          <w:lang w:eastAsia="pl-PL"/>
        </w:rPr>
      </w:pPr>
      <w:r>
        <w:rPr>
          <w:rFonts w:ascii="Times New Roman" w:eastAsia="Times New Roman" w:hAnsi="Times New Roman"/>
          <w:bCs/>
          <w:sz w:val="24"/>
          <w:szCs w:val="24"/>
          <w:u w:val="single"/>
          <w:lang w:eastAsia="pl-PL"/>
        </w:rPr>
        <w:t>Zmiany w art. 87</w:t>
      </w:r>
      <w:r>
        <w:rPr>
          <w:rFonts w:ascii="Times New Roman" w:hAnsi="Times New Roman"/>
          <w:sz w:val="24"/>
          <w:szCs w:val="24"/>
        </w:rPr>
        <w:t xml:space="preserve"> </w:t>
      </w:r>
    </w:p>
    <w:p w14:paraId="1921CC2C" w14:textId="55097EC7" w:rsidR="006B7B7A" w:rsidRPr="00FE273D" w:rsidRDefault="005B5AED" w:rsidP="00675C3E">
      <w:pPr>
        <w:spacing w:after="0" w:line="360" w:lineRule="auto"/>
        <w:jc w:val="both"/>
        <w:rPr>
          <w:rFonts w:ascii="Times New Roman" w:hAnsi="Times New Roman"/>
          <w:i/>
          <w:sz w:val="24"/>
        </w:rPr>
      </w:pPr>
      <w:bookmarkStart w:id="1" w:name="mip39113137"/>
      <w:bookmarkEnd w:id="1"/>
      <w:r>
        <w:rPr>
          <w:rFonts w:ascii="Times New Roman" w:hAnsi="Times New Roman"/>
          <w:sz w:val="24"/>
          <w:szCs w:val="24"/>
        </w:rPr>
        <w:t>Z</w:t>
      </w:r>
      <w:r w:rsidR="00675C3E">
        <w:rPr>
          <w:rFonts w:ascii="Times New Roman" w:hAnsi="Times New Roman"/>
          <w:sz w:val="24"/>
          <w:szCs w:val="24"/>
        </w:rPr>
        <w:t xml:space="preserve">miana projektowana w </w:t>
      </w:r>
      <w:r w:rsidR="00675C3E">
        <w:rPr>
          <w:rFonts w:ascii="Times New Roman" w:hAnsi="Times New Roman"/>
          <w:b/>
          <w:sz w:val="24"/>
          <w:szCs w:val="24"/>
        </w:rPr>
        <w:t>art. 87 ust. 6 pkt 3</w:t>
      </w:r>
      <w:r w:rsidR="00675C3E">
        <w:rPr>
          <w:rFonts w:ascii="Times New Roman" w:hAnsi="Times New Roman"/>
          <w:sz w:val="24"/>
          <w:szCs w:val="24"/>
        </w:rPr>
        <w:t xml:space="preserve"> ustawy o VAT doprecyzowuje jeden z warunków uzyskania zwrotu różnicy podatku w terminie przyśpieszonym 25 dni. Zmiana polega na wskazaniu, że podatnik, aby uzyskać zwrot w terminie 25-dniowym, musi złożyć w urzędzie skarbowym, w odniesieniu do faktur ujętych w deklaracji podatkowej, potwierdzenie zapłaty wynikających z tych faktur należności w całości za pośrednictwem rachunku bankowego podatnika w banku mającym siedzibę na terytorium kraju albo rachunku podatnika w spółdzielczej kasie oszczędnościowo-kredytowej, której jest członkiem, wskazanego w zgłoszeniu indentyfikacyjnym. Potwierdzenie zapłaty tych należności podatnik musi złożyć nie później niż w dniu złożenia deklaracji</w:t>
      </w:r>
      <w:r w:rsidR="00675C3E">
        <w:rPr>
          <w:rFonts w:ascii="Times New Roman" w:hAnsi="Times New Roman"/>
          <w:i/>
          <w:sz w:val="24"/>
          <w:szCs w:val="24"/>
        </w:rPr>
        <w:t>.</w:t>
      </w:r>
    </w:p>
    <w:p w14:paraId="40A26237" w14:textId="77777777" w:rsidR="00EC5499" w:rsidRPr="0070741E" w:rsidRDefault="00EC5499" w:rsidP="00675C3E">
      <w:pPr>
        <w:spacing w:after="0" w:line="360" w:lineRule="auto"/>
        <w:jc w:val="both"/>
        <w:rPr>
          <w:rFonts w:ascii="Times New Roman" w:eastAsia="Times New Roman" w:hAnsi="Times New Roman"/>
          <w:bCs/>
          <w:sz w:val="24"/>
          <w:szCs w:val="24"/>
          <w:u w:val="single"/>
          <w:lang w:eastAsia="pl-PL"/>
        </w:rPr>
      </w:pPr>
    </w:p>
    <w:p w14:paraId="309EB498" w14:textId="77777777"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91</w:t>
      </w:r>
    </w:p>
    <w:p w14:paraId="5382F22D" w14:textId="77777777"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Proponowana zmiana umożliwia podatnikom, którzy ponownie skorzystają ze zwolnienia określonego w art. 43 ust. </w:t>
      </w:r>
      <w:r w:rsidR="006C6C82" w:rsidRPr="0070741E">
        <w:rPr>
          <w:rFonts w:ascii="Times New Roman" w:eastAsia="Times New Roman" w:hAnsi="Times New Roman"/>
          <w:bCs/>
          <w:sz w:val="24"/>
          <w:szCs w:val="24"/>
          <w:lang w:eastAsia="pl-PL"/>
        </w:rPr>
        <w:t>1 pkt 3</w:t>
      </w:r>
      <w:r w:rsidRPr="0070741E">
        <w:rPr>
          <w:rFonts w:ascii="Times New Roman" w:eastAsia="Times New Roman" w:hAnsi="Times New Roman"/>
          <w:bCs/>
          <w:sz w:val="24"/>
          <w:szCs w:val="24"/>
          <w:lang w:eastAsia="pl-PL"/>
        </w:rPr>
        <w:t xml:space="preserve"> lub w art. 113 ust. 1, dokonania korekty podatku naliczonego za pozostający okres korekty w deklaracji podatkowej składanej za ostatni okres rozliczeniowy</w:t>
      </w:r>
      <w:r w:rsidR="006C6C82" w:rsidRPr="0070741E">
        <w:rPr>
          <w:rFonts w:ascii="Times New Roman" w:eastAsia="Times New Roman" w:hAnsi="Times New Roman"/>
          <w:bCs/>
          <w:sz w:val="24"/>
          <w:szCs w:val="24"/>
          <w:lang w:eastAsia="pl-PL"/>
        </w:rPr>
        <w:t>, w którym podatnik był podatnikiem VAT czynnym</w:t>
      </w:r>
      <w:r w:rsidRPr="0070741E">
        <w:rPr>
          <w:rFonts w:ascii="Times New Roman" w:eastAsia="Times New Roman" w:hAnsi="Times New Roman"/>
          <w:bCs/>
          <w:sz w:val="24"/>
          <w:szCs w:val="24"/>
          <w:lang w:eastAsia="pl-PL"/>
        </w:rPr>
        <w:t>. Powyższe ma na celu</w:t>
      </w:r>
      <w:r w:rsidR="007D5A6F" w:rsidRPr="0070741E">
        <w:rPr>
          <w:rFonts w:ascii="Times New Roman" w:eastAsia="Times New Roman" w:hAnsi="Times New Roman"/>
          <w:bCs/>
          <w:sz w:val="24"/>
          <w:szCs w:val="24"/>
          <w:lang w:eastAsia="pl-PL"/>
        </w:rPr>
        <w:t xml:space="preserve"> </w:t>
      </w:r>
      <w:r w:rsidRPr="0070741E">
        <w:rPr>
          <w:rFonts w:ascii="Times New Roman" w:eastAsia="Times New Roman" w:hAnsi="Times New Roman"/>
          <w:bCs/>
          <w:sz w:val="24"/>
          <w:szCs w:val="24"/>
          <w:lang w:eastAsia="pl-PL"/>
        </w:rPr>
        <w:t xml:space="preserve">uproszczenie systemu korekt, a w związku z czym ułatwienie </w:t>
      </w:r>
      <w:r w:rsidR="005E7446" w:rsidRPr="0070741E">
        <w:rPr>
          <w:rFonts w:ascii="Times New Roman" w:eastAsia="Times New Roman" w:hAnsi="Times New Roman"/>
          <w:bCs/>
          <w:sz w:val="24"/>
          <w:szCs w:val="24"/>
          <w:lang w:eastAsia="pl-PL"/>
        </w:rPr>
        <w:t>prowadzenia</w:t>
      </w:r>
      <w:r w:rsidR="00A404CA" w:rsidRPr="0070741E">
        <w:rPr>
          <w:rFonts w:ascii="Times New Roman" w:eastAsia="Times New Roman" w:hAnsi="Times New Roman"/>
          <w:bCs/>
          <w:sz w:val="24"/>
          <w:szCs w:val="24"/>
          <w:lang w:eastAsia="pl-PL"/>
        </w:rPr>
        <w:t xml:space="preserve"> działalności gospodarczej i </w:t>
      </w:r>
      <w:r w:rsidR="005E7446" w:rsidRPr="0070741E">
        <w:rPr>
          <w:rFonts w:ascii="Times New Roman" w:eastAsia="Times New Roman" w:hAnsi="Times New Roman"/>
          <w:bCs/>
          <w:sz w:val="24"/>
          <w:szCs w:val="24"/>
          <w:lang w:eastAsia="pl-PL"/>
        </w:rPr>
        <w:t xml:space="preserve">stosowania </w:t>
      </w:r>
      <w:r w:rsidRPr="0070741E">
        <w:rPr>
          <w:rFonts w:ascii="Times New Roman" w:eastAsia="Times New Roman" w:hAnsi="Times New Roman"/>
          <w:bCs/>
          <w:sz w:val="24"/>
          <w:szCs w:val="24"/>
          <w:lang w:eastAsia="pl-PL"/>
        </w:rPr>
        <w:t>przez podatników przepisów podatkowych poprzez zmniejszenie obowiązków podatkowych („biurokratycznych”) dla podatników którzy będą mogli od tej pory (charakter fakultatywny) dokonać jed</w:t>
      </w:r>
      <w:r w:rsidR="007E71EC" w:rsidRPr="0070741E">
        <w:rPr>
          <w:rFonts w:ascii="Times New Roman" w:eastAsia="Times New Roman" w:hAnsi="Times New Roman"/>
          <w:bCs/>
          <w:sz w:val="24"/>
          <w:szCs w:val="24"/>
          <w:lang w:eastAsia="pl-PL"/>
        </w:rPr>
        <w:t>nokrotnie ostatecznej korekty w </w:t>
      </w:r>
      <w:r w:rsidR="00A404CA" w:rsidRPr="0070741E">
        <w:rPr>
          <w:rFonts w:ascii="Times New Roman" w:eastAsia="Times New Roman" w:hAnsi="Times New Roman"/>
          <w:bCs/>
          <w:sz w:val="24"/>
          <w:szCs w:val="24"/>
          <w:lang w:eastAsia="pl-PL"/>
        </w:rPr>
        <w:t xml:space="preserve">deklaracji za </w:t>
      </w:r>
      <w:r w:rsidR="00A404CA" w:rsidRPr="0070741E">
        <w:rPr>
          <w:rFonts w:ascii="Times New Roman" w:eastAsia="Times New Roman" w:hAnsi="Times New Roman"/>
          <w:bCs/>
          <w:sz w:val="24"/>
          <w:szCs w:val="24"/>
          <w:lang w:eastAsia="pl-PL"/>
        </w:rPr>
        <w:lastRenderedPageBreak/>
        <w:t>ostatni okres, w </w:t>
      </w:r>
      <w:r w:rsidRPr="0070741E">
        <w:rPr>
          <w:rFonts w:ascii="Times New Roman" w:eastAsia="Times New Roman" w:hAnsi="Times New Roman"/>
          <w:bCs/>
          <w:sz w:val="24"/>
          <w:szCs w:val="24"/>
          <w:lang w:eastAsia="pl-PL"/>
        </w:rPr>
        <w:t>którym podatnik był podatnikiem</w:t>
      </w:r>
      <w:r w:rsidR="00D45F95" w:rsidRPr="0070741E">
        <w:rPr>
          <w:rFonts w:ascii="Times New Roman" w:eastAsia="Times New Roman" w:hAnsi="Times New Roman"/>
          <w:bCs/>
          <w:sz w:val="24"/>
          <w:szCs w:val="24"/>
          <w:lang w:eastAsia="pl-PL"/>
        </w:rPr>
        <w:t xml:space="preserve"> VAT</w:t>
      </w:r>
      <w:r w:rsidRPr="0070741E">
        <w:rPr>
          <w:rFonts w:ascii="Times New Roman" w:eastAsia="Times New Roman" w:hAnsi="Times New Roman"/>
          <w:bCs/>
          <w:sz w:val="24"/>
          <w:szCs w:val="24"/>
          <w:lang w:eastAsia="pl-PL"/>
        </w:rPr>
        <w:t xml:space="preserve"> czynnym. Przed zmianą można było tego dokonać jedynie w deklaracjach za styczeń każdego roku następującego po roku, za który dokonywano korekty, przez kolejne pozostałe lata tego okresu.</w:t>
      </w:r>
    </w:p>
    <w:p w14:paraId="619182B6" w14:textId="77777777" w:rsidR="006B7B7A" w:rsidRPr="0070741E" w:rsidRDefault="006B7B7A" w:rsidP="00CD3D8E">
      <w:pPr>
        <w:spacing w:after="0" w:line="360" w:lineRule="auto"/>
        <w:jc w:val="both"/>
        <w:rPr>
          <w:rFonts w:ascii="Times New Roman" w:eastAsia="Times New Roman" w:hAnsi="Times New Roman"/>
          <w:bCs/>
          <w:sz w:val="24"/>
          <w:szCs w:val="24"/>
          <w:u w:val="single"/>
          <w:lang w:eastAsia="pl-PL"/>
        </w:rPr>
      </w:pPr>
    </w:p>
    <w:p w14:paraId="26505C35" w14:textId="77777777" w:rsidR="000F5BAA" w:rsidRPr="0070741E" w:rsidRDefault="000F5BAA" w:rsidP="000F5BAA">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96 i art. 97</w:t>
      </w:r>
    </w:p>
    <w:p w14:paraId="73EE19CB" w14:textId="77777777" w:rsidR="000F5BAA" w:rsidRPr="0070741E" w:rsidRDefault="000F5BAA" w:rsidP="000F5BAA">
      <w:pPr>
        <w:spacing w:after="0" w:line="360" w:lineRule="auto"/>
        <w:jc w:val="both"/>
        <w:rPr>
          <w:rFonts w:ascii="Times New Roman" w:hAnsi="Times New Roman"/>
          <w:bCs/>
          <w:sz w:val="24"/>
          <w:szCs w:val="24"/>
        </w:rPr>
      </w:pPr>
      <w:r w:rsidRPr="0070741E">
        <w:rPr>
          <w:rFonts w:ascii="Times New Roman" w:hAnsi="Times New Roman"/>
          <w:sz w:val="24"/>
          <w:szCs w:val="24"/>
        </w:rPr>
        <w:t xml:space="preserve">Od dnia 1 stycznia 2017 r. naczelnik urzędu skarbowego wykreśla z urzędu z rejestru podatników VAT podatników, którzy m.in. </w:t>
      </w:r>
      <w:r w:rsidRPr="0070741E">
        <w:rPr>
          <w:rFonts w:ascii="Times New Roman" w:hAnsi="Times New Roman"/>
          <w:bCs/>
          <w:sz w:val="24"/>
          <w:szCs w:val="24"/>
        </w:rPr>
        <w:t xml:space="preserve">składali przez 6 kolejnych miesięcy lub 2 kolejne kwartały deklaracje, w których nie wykazali sprzedaży </w:t>
      </w:r>
      <w:r w:rsidRPr="0070741E">
        <w:rPr>
          <w:rFonts w:ascii="Times New Roman" w:hAnsi="Times New Roman"/>
          <w:bCs/>
          <w:sz w:val="24"/>
          <w:szCs w:val="24"/>
          <w:u w:val="single"/>
        </w:rPr>
        <w:t>lub</w:t>
      </w:r>
      <w:r w:rsidRPr="0070741E">
        <w:rPr>
          <w:rFonts w:ascii="Times New Roman" w:hAnsi="Times New Roman"/>
          <w:bCs/>
          <w:sz w:val="24"/>
          <w:szCs w:val="24"/>
        </w:rPr>
        <w:t xml:space="preserve"> nabycia towarów lub usług z kwotami podatku do odliczenia (art. 96 ust. 9a pkt 3 ustawy o VAT).</w:t>
      </w:r>
    </w:p>
    <w:p w14:paraId="106077F6" w14:textId="77777777" w:rsidR="000F5BAA" w:rsidRPr="0070741E" w:rsidRDefault="000F5BAA" w:rsidP="000F5BAA">
      <w:pPr>
        <w:spacing w:after="0" w:line="360" w:lineRule="auto"/>
        <w:jc w:val="both"/>
        <w:rPr>
          <w:rFonts w:ascii="Times New Roman" w:hAnsi="Times New Roman"/>
          <w:bCs/>
          <w:sz w:val="24"/>
          <w:szCs w:val="24"/>
        </w:rPr>
      </w:pPr>
      <w:r w:rsidRPr="0070741E">
        <w:rPr>
          <w:rFonts w:ascii="Times New Roman" w:hAnsi="Times New Roman"/>
          <w:bCs/>
          <w:sz w:val="24"/>
          <w:szCs w:val="24"/>
        </w:rPr>
        <w:t xml:space="preserve">Analogicznie sytuacja wygląda z wykreślaniem z urzędu z rejestru jako podatnika VAT UE. Wykreślenie z rejestru następuje w przypadku, gdy podmiot złoży za 3 kolejne miesiące lub kwartał deklaracje, w których nie wykazał sprzedaży </w:t>
      </w:r>
      <w:r w:rsidRPr="0070741E">
        <w:rPr>
          <w:rFonts w:ascii="Times New Roman" w:hAnsi="Times New Roman"/>
          <w:bCs/>
          <w:sz w:val="24"/>
          <w:szCs w:val="24"/>
          <w:u w:val="single"/>
        </w:rPr>
        <w:t>lub</w:t>
      </w:r>
      <w:r w:rsidRPr="0070741E">
        <w:rPr>
          <w:rFonts w:ascii="Times New Roman" w:hAnsi="Times New Roman"/>
          <w:bCs/>
          <w:sz w:val="24"/>
          <w:szCs w:val="24"/>
        </w:rPr>
        <w:t xml:space="preserve"> nabycia towarów lub usług z kwotami podatku do odliczenia (art. 97 ust. 15 ustawy o VAT). </w:t>
      </w:r>
    </w:p>
    <w:p w14:paraId="5FE6CB8B" w14:textId="77777777" w:rsidR="000F5BAA" w:rsidRDefault="000F5BAA" w:rsidP="000F5BAA">
      <w:pPr>
        <w:spacing w:after="0" w:line="360" w:lineRule="auto"/>
        <w:jc w:val="both"/>
        <w:rPr>
          <w:rFonts w:ascii="Times New Roman" w:hAnsi="Times New Roman"/>
          <w:bCs/>
          <w:sz w:val="24"/>
          <w:szCs w:val="24"/>
        </w:rPr>
      </w:pPr>
      <w:r w:rsidRPr="0070741E">
        <w:rPr>
          <w:rFonts w:ascii="Times New Roman" w:hAnsi="Times New Roman"/>
          <w:bCs/>
          <w:sz w:val="24"/>
          <w:szCs w:val="24"/>
        </w:rPr>
        <w:t>W związku z pojawiającymi się wątpliwościami, czy wykreślenie z ww. rejestrów następuje w wyniku złożenia tzw. deklaracji „zerowych”, czy wystarczającym jest, że w składanych deklaracjach odpowiednio za 6 miesięcy/2 kwartały lub 3 miesiące/kwartał podatnik nie wykaże np. podatku z tytułu nabycia towarów (mimo wykazania sprzedaży), proponuje się zastosowanie w ww. przepisach spójnika „ani” celem wyeliminowania wątpliwości, że wykreślenie powinno dotyczyć podatników składających „zerowe” deklaracje (czyli takie, w których nie została wykazana ani sprzedaż, ani zakupy).</w:t>
      </w:r>
    </w:p>
    <w:p w14:paraId="341B6FA9" w14:textId="3FA6DD0A" w:rsidR="000F5BAA" w:rsidRPr="0070741E" w:rsidRDefault="000F5BAA" w:rsidP="000F5BAA">
      <w:pPr>
        <w:spacing w:after="0" w:line="360" w:lineRule="auto"/>
        <w:jc w:val="both"/>
        <w:rPr>
          <w:rFonts w:ascii="Times New Roman" w:hAnsi="Times New Roman"/>
          <w:bCs/>
          <w:sz w:val="24"/>
          <w:szCs w:val="24"/>
        </w:rPr>
      </w:pPr>
      <w:r>
        <w:rPr>
          <w:rFonts w:ascii="Times New Roman" w:hAnsi="Times New Roman"/>
          <w:bCs/>
          <w:sz w:val="24"/>
          <w:szCs w:val="24"/>
        </w:rPr>
        <w:t>Ponadto zmiana przewiduje dodanie importu towarów do pozycji których wykazanie w deklaracji skutkuje brakiem wystąpienia przesłanki do wykreślenia podatnika z rejestru VAT – zmiany w art. 96 ust. 9a pkt 3 (w konsekwencji również zmiana w art. 96 ust. 9e) oraz art. 97 ust. 15 ustawy o VAT.</w:t>
      </w:r>
    </w:p>
    <w:p w14:paraId="1B9769E8" w14:textId="307D6250" w:rsidR="003E6A61" w:rsidRPr="003E6A61" w:rsidRDefault="000F5BAA" w:rsidP="000F5BAA">
      <w:pPr>
        <w:spacing w:after="0" w:line="360" w:lineRule="auto"/>
        <w:jc w:val="both"/>
        <w:rPr>
          <w:rFonts w:ascii="Times New Roman" w:hAnsi="Times New Roman"/>
          <w:sz w:val="24"/>
          <w:szCs w:val="24"/>
        </w:rPr>
      </w:pPr>
      <w:r w:rsidRPr="0070741E">
        <w:rPr>
          <w:rFonts w:ascii="Times New Roman" w:hAnsi="Times New Roman"/>
          <w:bCs/>
          <w:sz w:val="24"/>
          <w:szCs w:val="24"/>
        </w:rPr>
        <w:t>Proponowana zmiana treści zapisu art. 96 ust. 9h ustawy o VAT</w:t>
      </w:r>
      <w:r w:rsidR="00E93E24">
        <w:rPr>
          <w:rFonts w:ascii="Times New Roman" w:hAnsi="Times New Roman"/>
          <w:bCs/>
          <w:sz w:val="24"/>
          <w:szCs w:val="24"/>
        </w:rPr>
        <w:t xml:space="preserve"> </w:t>
      </w:r>
      <w:r w:rsidR="005B5AED">
        <w:rPr>
          <w:rFonts w:ascii="Times New Roman" w:hAnsi="Times New Roman"/>
          <w:bCs/>
          <w:sz w:val="24"/>
          <w:szCs w:val="24"/>
        </w:rPr>
        <w:t xml:space="preserve">przewiduje warunek </w:t>
      </w:r>
      <w:r w:rsidRPr="0070741E">
        <w:rPr>
          <w:rFonts w:ascii="Times New Roman" w:hAnsi="Times New Roman"/>
          <w:bCs/>
          <w:sz w:val="24"/>
          <w:szCs w:val="24"/>
        </w:rPr>
        <w:t>złoż</w:t>
      </w:r>
      <w:r w:rsidR="005B5AED">
        <w:rPr>
          <w:rFonts w:ascii="Times New Roman" w:hAnsi="Times New Roman"/>
          <w:bCs/>
          <w:sz w:val="24"/>
          <w:szCs w:val="24"/>
        </w:rPr>
        <w:t>enia</w:t>
      </w:r>
      <w:r w:rsidRPr="0070741E">
        <w:rPr>
          <w:rFonts w:ascii="Times New Roman" w:hAnsi="Times New Roman"/>
          <w:bCs/>
          <w:sz w:val="24"/>
          <w:szCs w:val="24"/>
        </w:rPr>
        <w:t xml:space="preserve"> wniosk</w:t>
      </w:r>
      <w:r w:rsidR="005B5AED">
        <w:rPr>
          <w:rFonts w:ascii="Times New Roman" w:hAnsi="Times New Roman"/>
          <w:bCs/>
          <w:sz w:val="24"/>
          <w:szCs w:val="24"/>
        </w:rPr>
        <w:t>u o przywrócenie</w:t>
      </w:r>
      <w:r w:rsidRPr="0070741E">
        <w:rPr>
          <w:rFonts w:ascii="Times New Roman" w:hAnsi="Times New Roman"/>
          <w:bCs/>
          <w:sz w:val="24"/>
          <w:szCs w:val="24"/>
        </w:rPr>
        <w:t xml:space="preserve"> nie później niż </w:t>
      </w:r>
      <w:r w:rsidRPr="0070741E">
        <w:rPr>
          <w:rFonts w:ascii="Times New Roman" w:hAnsi="Times New Roman"/>
          <w:sz w:val="24"/>
          <w:szCs w:val="24"/>
        </w:rPr>
        <w:t>w terminie dwóch miesięcy od dnia wykreślenia z rejestru jako podatnika VAT</w:t>
      </w:r>
      <w:r w:rsidR="003E6A61">
        <w:rPr>
          <w:rFonts w:ascii="Times New Roman" w:hAnsi="Times New Roman"/>
          <w:sz w:val="24"/>
          <w:szCs w:val="24"/>
        </w:rPr>
        <w:t>,</w:t>
      </w:r>
      <w:r w:rsidRPr="0070741E">
        <w:rPr>
          <w:rFonts w:ascii="Times New Roman" w:hAnsi="Times New Roman"/>
          <w:sz w:val="24"/>
          <w:szCs w:val="24"/>
        </w:rPr>
        <w:t xml:space="preserve"> </w:t>
      </w:r>
      <w:r w:rsidR="003E6A61" w:rsidRPr="003E6A61">
        <w:rPr>
          <w:rFonts w:ascii="Times New Roman" w:hAnsi="Times New Roman"/>
          <w:sz w:val="24"/>
          <w:szCs w:val="24"/>
        </w:rPr>
        <w:t>a w przypadku nieskładania deklaracji pomimo takiego obowiązku, jeżeli najpóźniej wraz ze złożeniem wniosku o przywrócenie rejestracji podmiot złoży</w:t>
      </w:r>
      <w:r w:rsidR="003E6A61">
        <w:rPr>
          <w:rFonts w:ascii="Times New Roman" w:hAnsi="Times New Roman"/>
          <w:sz w:val="24"/>
          <w:szCs w:val="24"/>
        </w:rPr>
        <w:t xml:space="preserve"> wszystkie brakujące deklaracje.</w:t>
      </w:r>
    </w:p>
    <w:p w14:paraId="4887DA6F" w14:textId="6E71C3E5" w:rsidR="000F5BAA" w:rsidRPr="0070741E" w:rsidRDefault="000F5BAA" w:rsidP="000F5BAA">
      <w:pPr>
        <w:spacing w:after="0" w:line="360" w:lineRule="auto"/>
        <w:jc w:val="both"/>
        <w:rPr>
          <w:rFonts w:ascii="Times New Roman" w:hAnsi="Times New Roman"/>
          <w:bCs/>
          <w:sz w:val="24"/>
          <w:szCs w:val="24"/>
        </w:rPr>
      </w:pPr>
      <w:r w:rsidRPr="0070741E">
        <w:rPr>
          <w:rFonts w:ascii="Times New Roman" w:hAnsi="Times New Roman"/>
          <w:bCs/>
          <w:sz w:val="24"/>
          <w:szCs w:val="24"/>
        </w:rPr>
        <w:t>Proponowany termin dwóch miesięcy daje możliwość</w:t>
      </w:r>
      <w:r>
        <w:rPr>
          <w:rFonts w:ascii="Times New Roman" w:hAnsi="Times New Roman"/>
          <w:bCs/>
          <w:sz w:val="24"/>
          <w:szCs w:val="24"/>
        </w:rPr>
        <w:t xml:space="preserve"> przywrócenia zarejestrowania w </w:t>
      </w:r>
      <w:r w:rsidRPr="0070741E">
        <w:rPr>
          <w:rFonts w:ascii="Times New Roman" w:hAnsi="Times New Roman"/>
          <w:bCs/>
          <w:sz w:val="24"/>
          <w:szCs w:val="24"/>
        </w:rPr>
        <w:t>krótkim terminie po wykreśleniu z rejestru</w:t>
      </w:r>
      <w:r>
        <w:rPr>
          <w:rFonts w:ascii="Times New Roman" w:hAnsi="Times New Roman"/>
          <w:bCs/>
          <w:sz w:val="24"/>
          <w:szCs w:val="24"/>
        </w:rPr>
        <w:t>. Z </w:t>
      </w:r>
      <w:r w:rsidRPr="0070741E">
        <w:rPr>
          <w:rFonts w:ascii="Times New Roman" w:hAnsi="Times New Roman"/>
          <w:bCs/>
          <w:sz w:val="24"/>
          <w:szCs w:val="24"/>
        </w:rPr>
        <w:t xml:space="preserve">drugiej </w:t>
      </w:r>
      <w:r w:rsidR="003E6A61">
        <w:rPr>
          <w:rFonts w:ascii="Times New Roman" w:hAnsi="Times New Roman"/>
          <w:bCs/>
          <w:sz w:val="24"/>
          <w:szCs w:val="24"/>
        </w:rPr>
        <w:t xml:space="preserve">jednak </w:t>
      </w:r>
      <w:r w:rsidRPr="0070741E">
        <w:rPr>
          <w:rFonts w:ascii="Times New Roman" w:hAnsi="Times New Roman"/>
          <w:bCs/>
          <w:sz w:val="24"/>
          <w:szCs w:val="24"/>
        </w:rPr>
        <w:t xml:space="preserve">strony pozwoli </w:t>
      </w:r>
      <w:r w:rsidR="003E6A61">
        <w:rPr>
          <w:rFonts w:ascii="Times New Roman" w:hAnsi="Times New Roman"/>
          <w:bCs/>
          <w:sz w:val="24"/>
          <w:szCs w:val="24"/>
        </w:rPr>
        <w:t xml:space="preserve">to </w:t>
      </w:r>
      <w:r w:rsidRPr="0070741E">
        <w:rPr>
          <w:rFonts w:ascii="Times New Roman" w:hAnsi="Times New Roman"/>
          <w:bCs/>
          <w:sz w:val="24"/>
          <w:szCs w:val="24"/>
        </w:rPr>
        <w:t xml:space="preserve">utrzymać </w:t>
      </w:r>
      <w:r w:rsidRPr="0070741E">
        <w:rPr>
          <w:rFonts w:ascii="Times New Roman" w:hAnsi="Times New Roman"/>
          <w:bCs/>
          <w:sz w:val="24"/>
          <w:szCs w:val="24"/>
        </w:rPr>
        <w:lastRenderedPageBreak/>
        <w:t>rejestr w miarę aktualnym stanie i na rzetelnym poziomie, aby chronić interesy rzetelnych podatników.</w:t>
      </w:r>
    </w:p>
    <w:p w14:paraId="1ED3A014" w14:textId="77777777" w:rsidR="000F5BAA" w:rsidRPr="0070741E" w:rsidRDefault="000F5BAA" w:rsidP="000F5BAA">
      <w:pPr>
        <w:spacing w:after="0" w:line="360" w:lineRule="auto"/>
        <w:jc w:val="both"/>
        <w:rPr>
          <w:rFonts w:ascii="Times New Roman" w:hAnsi="Times New Roman"/>
          <w:bCs/>
          <w:sz w:val="24"/>
          <w:szCs w:val="24"/>
        </w:rPr>
      </w:pPr>
      <w:r w:rsidRPr="0070741E">
        <w:rPr>
          <w:rFonts w:ascii="Times New Roman" w:hAnsi="Times New Roman"/>
          <w:bCs/>
          <w:sz w:val="24"/>
          <w:szCs w:val="24"/>
        </w:rPr>
        <w:t>W innych przypadkach podatnik może ponownie dokonać rejestracji jako czynny podatnik VAT.</w:t>
      </w:r>
    </w:p>
    <w:p w14:paraId="37B0EB3E" w14:textId="77777777" w:rsidR="005B5AED" w:rsidRPr="0070741E" w:rsidRDefault="005B5AED" w:rsidP="005B5AED">
      <w:pPr>
        <w:spacing w:after="0" w:line="360" w:lineRule="auto"/>
        <w:jc w:val="both"/>
        <w:rPr>
          <w:rFonts w:ascii="Times New Roman" w:hAnsi="Times New Roman"/>
          <w:sz w:val="24"/>
          <w:szCs w:val="24"/>
        </w:rPr>
      </w:pPr>
      <w:r w:rsidRPr="0070741E">
        <w:rPr>
          <w:rFonts w:ascii="Times New Roman" w:hAnsi="Times New Roman"/>
          <w:bCs/>
          <w:sz w:val="24"/>
          <w:szCs w:val="24"/>
        </w:rPr>
        <w:t xml:space="preserve">Zgodnie z proponowanym przepisem art. 96 ust. 9ha zarejestrowanie zostanie przywrócone również w przypadku, gdy złożone przez podatnika deklaracje będą deklaracjami „zerowymi” (czyli takimi, w których nie została wykazana ani sprzedaż, ani zakupy), co będzie wynikać ze specyfiki prowadzonej działalności gospodarczej. </w:t>
      </w:r>
      <w:r w:rsidRPr="0070741E">
        <w:rPr>
          <w:rFonts w:ascii="Times New Roman" w:hAnsi="Times New Roman"/>
          <w:sz w:val="24"/>
          <w:szCs w:val="24"/>
        </w:rPr>
        <w:t xml:space="preserve">Rozpatrzenie wniosku podatnika nastąpi na zasadach ogólnych. </w:t>
      </w:r>
    </w:p>
    <w:p w14:paraId="193D8A69" w14:textId="77777777" w:rsidR="000F5BAA" w:rsidRPr="0070741E" w:rsidRDefault="000F5BAA" w:rsidP="000F5BAA">
      <w:pPr>
        <w:spacing w:after="0" w:line="360" w:lineRule="auto"/>
        <w:jc w:val="both"/>
        <w:rPr>
          <w:rFonts w:ascii="Times New Roman" w:hAnsi="Times New Roman"/>
          <w:sz w:val="24"/>
          <w:szCs w:val="24"/>
        </w:rPr>
      </w:pPr>
      <w:r w:rsidRPr="0070741E">
        <w:rPr>
          <w:rFonts w:ascii="Times New Roman" w:hAnsi="Times New Roman"/>
          <w:sz w:val="24"/>
          <w:szCs w:val="24"/>
        </w:rPr>
        <w:t>Dodaje się przepis przejściowy, zgodnie z którym przepisów art. 96 ust. 9a pkt 2 i 3, nie stosuje się do okresów rozliczeniowych przypadających przed dniem wejścia w życie niniejszej ustawy.</w:t>
      </w:r>
    </w:p>
    <w:p w14:paraId="68F38C4C" w14:textId="77777777" w:rsidR="0046029B" w:rsidRPr="0070741E" w:rsidRDefault="0046029B" w:rsidP="00CD3D8E">
      <w:pPr>
        <w:spacing w:after="0" w:line="360" w:lineRule="auto"/>
        <w:jc w:val="both"/>
        <w:rPr>
          <w:rFonts w:ascii="Times New Roman" w:hAnsi="Times New Roman"/>
          <w:bCs/>
          <w:sz w:val="24"/>
          <w:szCs w:val="24"/>
        </w:rPr>
      </w:pPr>
    </w:p>
    <w:p w14:paraId="625A3B9D" w14:textId="77777777"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103</w:t>
      </w:r>
    </w:p>
    <w:p w14:paraId="3AADE77A" w14:textId="77777777"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Uzasadnienie zmiany w art. 103 zawarte jest w części dotyczącej zmian w pakiecie paliwowym.</w:t>
      </w:r>
    </w:p>
    <w:p w14:paraId="3C960D4F" w14:textId="77777777" w:rsidR="006B7B7A" w:rsidRPr="0070741E" w:rsidRDefault="006B7B7A" w:rsidP="00CD3D8E">
      <w:pPr>
        <w:spacing w:after="0" w:line="360" w:lineRule="auto"/>
        <w:jc w:val="both"/>
        <w:rPr>
          <w:rFonts w:ascii="Times New Roman" w:eastAsia="Times New Roman" w:hAnsi="Times New Roman"/>
          <w:bCs/>
          <w:sz w:val="24"/>
          <w:szCs w:val="24"/>
          <w:u w:val="single"/>
          <w:lang w:eastAsia="pl-PL"/>
        </w:rPr>
      </w:pPr>
    </w:p>
    <w:p w14:paraId="63896F4E" w14:textId="77777777"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106b</w:t>
      </w:r>
    </w:p>
    <w:p w14:paraId="2A7FFAD9" w14:textId="77777777"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W związku ze zgłaszanymi znacznymi nadużyciami w zakresie wystawiania faktur, które nie mają odzwierciedlenia w istniejącym stanie faktycznym – tzw. „pustych faktur” – do paragonów fiskalnych, proponuje się ograniczyć prawo do wystawiania faktur na rzecz nabywcy posługującego się numerem, za pomocą którego jest zidentyfikowany na potrzeby </w:t>
      </w:r>
      <w:r w:rsidR="00E816A1" w:rsidRPr="0070741E">
        <w:rPr>
          <w:rFonts w:ascii="Times New Roman" w:eastAsia="Times New Roman" w:hAnsi="Times New Roman"/>
          <w:bCs/>
          <w:sz w:val="24"/>
          <w:szCs w:val="24"/>
          <w:lang w:eastAsia="pl-PL"/>
        </w:rPr>
        <w:t xml:space="preserve">podatku lub </w:t>
      </w:r>
      <w:r w:rsidRPr="0070741E">
        <w:rPr>
          <w:rFonts w:ascii="Times New Roman" w:eastAsia="Times New Roman" w:hAnsi="Times New Roman"/>
          <w:bCs/>
          <w:sz w:val="24"/>
          <w:szCs w:val="24"/>
          <w:lang w:eastAsia="pl-PL"/>
        </w:rPr>
        <w:t>podatku od wartości dodanej, do paragonów potwierdzających dokonanie tej sprzedaży, które będą zawierały ten numer. Regulacja ta pozwoli na eliminację procederu wystawiania faktur na podstawie zebranych paragonów pozostawionych przez innych klientów.</w:t>
      </w:r>
    </w:p>
    <w:p w14:paraId="0AC725CF" w14:textId="77777777"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W projektowanym art. 106b dodaje się ust. </w:t>
      </w:r>
      <w:r w:rsidR="00A207E5">
        <w:rPr>
          <w:rFonts w:ascii="Times New Roman" w:eastAsia="Times New Roman" w:hAnsi="Times New Roman"/>
          <w:bCs/>
          <w:sz w:val="24"/>
          <w:szCs w:val="24"/>
          <w:lang w:eastAsia="pl-PL"/>
        </w:rPr>
        <w:t>5</w:t>
      </w:r>
      <w:r w:rsidRPr="0070741E">
        <w:rPr>
          <w:rFonts w:ascii="Times New Roman" w:eastAsia="Times New Roman" w:hAnsi="Times New Roman"/>
          <w:bCs/>
          <w:sz w:val="24"/>
          <w:szCs w:val="24"/>
          <w:lang w:eastAsia="pl-PL"/>
        </w:rPr>
        <w:t xml:space="preserve"> ustawy o VAT wprowadzający zasadę, że w przypadku sprzedaży zarejestrowanej przy zastosowaniu kasy rejestrującej, fakturę </w:t>
      </w:r>
      <w:r w:rsidRPr="0070741E">
        <w:rPr>
          <w:rFonts w:ascii="Times New Roman" w:hAnsi="Times New Roman"/>
          <w:sz w:val="24"/>
          <w:szCs w:val="24"/>
        </w:rPr>
        <w:t xml:space="preserve">do paragonu fiskalnego na rzecz nabywcy posługującego się </w:t>
      </w:r>
      <w:r w:rsidR="00E816A1" w:rsidRPr="0070741E">
        <w:rPr>
          <w:rFonts w:ascii="Times New Roman" w:eastAsia="Times New Roman" w:hAnsi="Times New Roman"/>
          <w:bCs/>
          <w:sz w:val="24"/>
          <w:szCs w:val="24"/>
          <w:lang w:eastAsia="pl-PL"/>
        </w:rPr>
        <w:t xml:space="preserve">numerem identyfikującym </w:t>
      </w:r>
      <w:r w:rsidRPr="0070741E">
        <w:rPr>
          <w:rFonts w:ascii="Times New Roman" w:eastAsia="Times New Roman" w:hAnsi="Times New Roman"/>
          <w:bCs/>
          <w:sz w:val="24"/>
          <w:szCs w:val="24"/>
          <w:lang w:eastAsia="pl-PL"/>
        </w:rPr>
        <w:t xml:space="preserve">wystawia się tylko w przypadku, gdy paragon dokumentujący tę sprzedaż zawiera ten numer. Zmiany te są reakcją na zaobserwowany nieuczciwy proceder polegający na wystawianiu faktur na zaprzyjaźnione firmy, w zamian za korzyść majątkową, do paragonów fiskalnych </w:t>
      </w:r>
      <w:r w:rsidRPr="0070741E">
        <w:rPr>
          <w:rFonts w:ascii="Times New Roman" w:eastAsia="Times New Roman" w:hAnsi="Times New Roman"/>
          <w:bCs/>
          <w:sz w:val="24"/>
          <w:szCs w:val="24"/>
          <w:lang w:eastAsia="pl-PL"/>
        </w:rPr>
        <w:lastRenderedPageBreak/>
        <w:t>wygenerowanych przez kasę, a nie odebranych przez klientów. Firmy na podstawie wystawionych faktur dokonują odliczenia podatku VAT, mimo że w rzeczywistości nie nabyły towarów lub usług, a tym samym zawyżają koszty podatkowe.</w:t>
      </w:r>
    </w:p>
    <w:p w14:paraId="15023AE9" w14:textId="77777777" w:rsidR="00DF4AD0" w:rsidRPr="0070741E" w:rsidRDefault="004E5772" w:rsidP="002A3E67">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Wprowadzenie przepisów uniemożliwiających prowadzenie takiego procederu jest zatem niezbędne, w świetle prowadzonych działań zmierzających do uszczelnienia systemu podatku VAT. Napływające sygnały dotyczą wprawdzie nadużyć głównie w branży paliwowej (nabycie paliwa na stacjach paliw) oraz budowlanej (zakupy materiałów budowlanych), jednakże zasadne jest wprowadzenie regulacji zapobi</w:t>
      </w:r>
      <w:r w:rsidR="00792429">
        <w:rPr>
          <w:rFonts w:ascii="Times New Roman" w:eastAsia="Times New Roman" w:hAnsi="Times New Roman"/>
          <w:bCs/>
          <w:sz w:val="24"/>
          <w:szCs w:val="24"/>
          <w:lang w:eastAsia="pl-PL"/>
        </w:rPr>
        <w:t>egających takiemu procederowi o </w:t>
      </w:r>
      <w:r w:rsidRPr="0070741E">
        <w:rPr>
          <w:rFonts w:ascii="Times New Roman" w:eastAsia="Times New Roman" w:hAnsi="Times New Roman"/>
          <w:bCs/>
          <w:sz w:val="24"/>
          <w:szCs w:val="24"/>
          <w:lang w:eastAsia="pl-PL"/>
        </w:rPr>
        <w:t>charakterze ogólnym, obejmującym wszystkie transakcje na rynku (które potencjalnie mogłyby stać się przedmiotem nadużyć). Proponowana zmiana</w:t>
      </w:r>
      <w:r w:rsidR="007D5A6F" w:rsidRPr="0070741E">
        <w:rPr>
          <w:rFonts w:ascii="Times New Roman" w:eastAsia="Times New Roman" w:hAnsi="Times New Roman"/>
          <w:bCs/>
          <w:sz w:val="24"/>
          <w:szCs w:val="24"/>
          <w:lang w:eastAsia="pl-PL"/>
        </w:rPr>
        <w:t xml:space="preserve"> </w:t>
      </w:r>
      <w:r w:rsidRPr="0070741E">
        <w:rPr>
          <w:rFonts w:ascii="Times New Roman" w:eastAsia="Times New Roman" w:hAnsi="Times New Roman"/>
          <w:bCs/>
          <w:sz w:val="24"/>
          <w:szCs w:val="24"/>
          <w:lang w:eastAsia="pl-PL"/>
        </w:rPr>
        <w:t>pozwoli na wyeliminowanie przypadków wystawiania faktur na podstawie pozostawionych prze</w:t>
      </w:r>
      <w:r w:rsidR="002A3E67" w:rsidRPr="0070741E">
        <w:rPr>
          <w:rFonts w:ascii="Times New Roman" w:eastAsia="Times New Roman" w:hAnsi="Times New Roman"/>
          <w:bCs/>
          <w:sz w:val="24"/>
          <w:szCs w:val="24"/>
          <w:lang w:eastAsia="pl-PL"/>
        </w:rPr>
        <w:t>z nabywcę paragonów fiskalnych.</w:t>
      </w:r>
    </w:p>
    <w:p w14:paraId="119AC5C7" w14:textId="77777777" w:rsidR="00CA12F9" w:rsidRPr="0070741E" w:rsidRDefault="00DF4AD0" w:rsidP="002A3E67">
      <w:pPr>
        <w:spacing w:after="0" w:line="360" w:lineRule="auto"/>
        <w:jc w:val="both"/>
        <w:rPr>
          <w:rFonts w:ascii="Times New Roman" w:hAnsi="Times New Roman"/>
          <w:sz w:val="24"/>
          <w:szCs w:val="24"/>
        </w:rPr>
      </w:pPr>
      <w:r w:rsidRPr="0070741E">
        <w:rPr>
          <w:rFonts w:ascii="Times New Roman" w:hAnsi="Times New Roman"/>
          <w:sz w:val="24"/>
          <w:szCs w:val="24"/>
        </w:rPr>
        <w:t>Podkreślić należy, że zasadą jest dokumentowanie transakcji pomiędzy podatnikami</w:t>
      </w:r>
      <w:r w:rsidR="0074753B" w:rsidRPr="0070741E">
        <w:rPr>
          <w:rFonts w:ascii="Times New Roman" w:hAnsi="Times New Roman"/>
          <w:sz w:val="24"/>
          <w:szCs w:val="24"/>
        </w:rPr>
        <w:t xml:space="preserve"> za pomocą faktur VAT i tego zakresu obrotu gospodarczego przedmiotowe regulacje nie dotyczą.</w:t>
      </w:r>
      <w:r w:rsidR="00933CE8" w:rsidRPr="0070741E">
        <w:rPr>
          <w:rFonts w:ascii="Times New Roman" w:hAnsi="Times New Roman"/>
          <w:sz w:val="24"/>
          <w:szCs w:val="24"/>
        </w:rPr>
        <w:t xml:space="preserve"> </w:t>
      </w:r>
      <w:r w:rsidR="002A3E67" w:rsidRPr="0070741E">
        <w:rPr>
          <w:rFonts w:ascii="Times New Roman" w:hAnsi="Times New Roman"/>
          <w:sz w:val="24"/>
          <w:szCs w:val="24"/>
        </w:rPr>
        <w:t xml:space="preserve">Projektowane regulacje nie ograniczają prawa do wystawienia faktury, a jedynie regulują szczegółowo kwestie dokumentowania transakcji, które zostały uprzednio zewidencjonowane przy zastosowaniu kasy rejestrującej. </w:t>
      </w:r>
      <w:r w:rsidR="00CA12F9" w:rsidRPr="0070741E">
        <w:rPr>
          <w:rFonts w:ascii="Times New Roman" w:hAnsi="Times New Roman"/>
          <w:sz w:val="24"/>
          <w:szCs w:val="24"/>
        </w:rPr>
        <w:t xml:space="preserve">Jeżeli podatnik chce otrzymać fakturę, to będzie mógł to zrobić. Proponowane przepisy wymuszają wyłącznie pewną konsekwencję podatnika. To znaczy, jeżeli dokonuje on zakupu jako podatnik, a nie jako konsument, to powinien o tym fakcie poinformować sprzedawcę w momencie dokonywania zakupu. </w:t>
      </w:r>
    </w:p>
    <w:p w14:paraId="79A2218E" w14:textId="77777777" w:rsidR="002A3E67" w:rsidRPr="0070741E" w:rsidRDefault="002A3E67" w:rsidP="002A3E67">
      <w:pPr>
        <w:spacing w:after="0" w:line="360" w:lineRule="auto"/>
        <w:jc w:val="both"/>
        <w:rPr>
          <w:rFonts w:ascii="Times New Roman" w:hAnsi="Times New Roman"/>
          <w:sz w:val="24"/>
          <w:szCs w:val="24"/>
        </w:rPr>
      </w:pPr>
      <w:r w:rsidRPr="0070741E">
        <w:rPr>
          <w:rFonts w:ascii="Times New Roman" w:hAnsi="Times New Roman"/>
          <w:sz w:val="24"/>
          <w:szCs w:val="24"/>
        </w:rPr>
        <w:t xml:space="preserve">Należy zauważyć, że co do zasady na kasie rejestrującej ewidencjonuje się obrót tylko na rzecz osób fizycznych nieprowadzących działalności gospodarczej oraz rolników ryczałtowych. Zgodnie z art. 106b ust. 3 ustawy o VAT na żądanie tych podmiotów podatnik jest obowiązany wystawić fakturę dokumentującą dokonaną sprzedaż. Faktury te mogą służyć do udokumentowania poniesionych wydatków i nie będą zawierały </w:t>
      </w:r>
      <w:r w:rsidR="00DF4AD0" w:rsidRPr="0070741E">
        <w:rPr>
          <w:rFonts w:ascii="Times New Roman" w:hAnsi="Times New Roman"/>
          <w:sz w:val="24"/>
          <w:szCs w:val="24"/>
        </w:rPr>
        <w:t>numeru identyfikującego nabywcę</w:t>
      </w:r>
      <w:r w:rsidRPr="0070741E">
        <w:rPr>
          <w:rFonts w:ascii="Times New Roman" w:hAnsi="Times New Roman"/>
          <w:sz w:val="24"/>
          <w:szCs w:val="24"/>
        </w:rPr>
        <w:t xml:space="preserve">. </w:t>
      </w:r>
    </w:p>
    <w:p w14:paraId="5BEE429D" w14:textId="77777777" w:rsidR="00CA12F9" w:rsidRPr="0070741E" w:rsidRDefault="00CA12F9" w:rsidP="002A3E67">
      <w:pPr>
        <w:spacing w:after="0" w:line="360" w:lineRule="auto"/>
        <w:jc w:val="both"/>
        <w:rPr>
          <w:rFonts w:ascii="Times New Roman" w:eastAsia="Times New Roman" w:hAnsi="Times New Roman"/>
          <w:bCs/>
          <w:sz w:val="24"/>
          <w:szCs w:val="24"/>
          <w:lang w:eastAsia="pl-PL"/>
        </w:rPr>
      </w:pPr>
      <w:r w:rsidRPr="0070741E">
        <w:rPr>
          <w:rFonts w:ascii="Times New Roman" w:hAnsi="Times New Roman"/>
          <w:sz w:val="24"/>
          <w:szCs w:val="24"/>
        </w:rPr>
        <w:t xml:space="preserve">Należy również zauważyć, że podatnik nie może dowolnie wybierać, czy dokonuje zakupu na potrzeby prowadzonej działalności gospodarczej, czy też występuje w charakterze konsumenta. To znaczy, jeżeli w momencie dokonywania </w:t>
      </w:r>
      <w:r w:rsidR="00792429">
        <w:rPr>
          <w:rFonts w:ascii="Times New Roman" w:hAnsi="Times New Roman"/>
          <w:sz w:val="24"/>
          <w:szCs w:val="24"/>
        </w:rPr>
        <w:t>zakupu dany podmiot występuje w </w:t>
      </w:r>
      <w:r w:rsidRPr="0070741E">
        <w:rPr>
          <w:rFonts w:ascii="Times New Roman" w:hAnsi="Times New Roman"/>
          <w:sz w:val="24"/>
          <w:szCs w:val="24"/>
        </w:rPr>
        <w:t xml:space="preserve">charakterze konsumenta i nabywa określony towar, jako konsument, wówczas nie ma możliwości późniejszej zmiany tego charakteru zakupu. Towar lub usługa nabyta na potrzeby </w:t>
      </w:r>
      <w:r w:rsidRPr="0070741E">
        <w:rPr>
          <w:rFonts w:ascii="Times New Roman" w:hAnsi="Times New Roman"/>
          <w:sz w:val="24"/>
          <w:szCs w:val="24"/>
        </w:rPr>
        <w:lastRenderedPageBreak/>
        <w:t>osobiste lub prywatne nie może z czasem przekształcić się w zakup służ</w:t>
      </w:r>
      <w:r w:rsidR="00792429">
        <w:rPr>
          <w:rFonts w:ascii="Times New Roman" w:hAnsi="Times New Roman"/>
          <w:sz w:val="24"/>
          <w:szCs w:val="24"/>
        </w:rPr>
        <w:t>ący działalności gospodarczej z </w:t>
      </w:r>
      <w:r w:rsidRPr="0070741E">
        <w:rPr>
          <w:rFonts w:ascii="Times New Roman" w:hAnsi="Times New Roman"/>
          <w:sz w:val="24"/>
          <w:szCs w:val="24"/>
        </w:rPr>
        <w:t>punktu widzenia VAT. Podatnik nie nabędzie prawa do odliczenia VAT naliczonego od zakupu dokonanego w charakterze konsumenta. Z tego punktu widzenia proponowane regulacje odzwierciedlają tylko obowiązujące zasady s</w:t>
      </w:r>
      <w:r w:rsidR="00792429">
        <w:rPr>
          <w:rFonts w:ascii="Times New Roman" w:hAnsi="Times New Roman"/>
          <w:sz w:val="24"/>
          <w:szCs w:val="24"/>
        </w:rPr>
        <w:t>ystemu VAT, są z nimi zbieżne i </w:t>
      </w:r>
      <w:r w:rsidRPr="0070741E">
        <w:rPr>
          <w:rFonts w:ascii="Times New Roman" w:hAnsi="Times New Roman"/>
          <w:sz w:val="24"/>
          <w:szCs w:val="24"/>
        </w:rPr>
        <w:t xml:space="preserve">konsekwentne. </w:t>
      </w:r>
    </w:p>
    <w:p w14:paraId="5E7E6EF4" w14:textId="77777777"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W związku z tym, że nie wszystkie obecnie funkcjonujące na rynku kasy rejestrujące posiadają możliwość umieszczenia na paragonie </w:t>
      </w:r>
      <w:r w:rsidR="00E816A1" w:rsidRPr="0070741E">
        <w:rPr>
          <w:rFonts w:ascii="Times New Roman" w:eastAsia="Times New Roman" w:hAnsi="Times New Roman"/>
          <w:bCs/>
          <w:sz w:val="24"/>
          <w:szCs w:val="24"/>
          <w:lang w:eastAsia="pl-PL"/>
        </w:rPr>
        <w:t>numeru</w:t>
      </w:r>
      <w:r w:rsidRPr="0070741E">
        <w:rPr>
          <w:rFonts w:ascii="Times New Roman" w:eastAsia="Times New Roman" w:hAnsi="Times New Roman"/>
          <w:bCs/>
          <w:sz w:val="24"/>
          <w:szCs w:val="24"/>
          <w:lang w:eastAsia="pl-PL"/>
        </w:rPr>
        <w:t xml:space="preserve"> </w:t>
      </w:r>
      <w:r w:rsidR="00E816A1" w:rsidRPr="0070741E">
        <w:rPr>
          <w:rFonts w:ascii="Times New Roman" w:eastAsia="Times New Roman" w:hAnsi="Times New Roman"/>
          <w:bCs/>
          <w:sz w:val="24"/>
          <w:szCs w:val="24"/>
          <w:lang w:eastAsia="pl-PL"/>
        </w:rPr>
        <w:t>identyfikującego nabywcę</w:t>
      </w:r>
      <w:r w:rsidRPr="0070741E">
        <w:rPr>
          <w:rFonts w:ascii="Times New Roman" w:eastAsia="Times New Roman" w:hAnsi="Times New Roman"/>
          <w:bCs/>
          <w:sz w:val="24"/>
          <w:szCs w:val="24"/>
          <w:lang w:eastAsia="pl-PL"/>
        </w:rPr>
        <w:t>, wystawianie faktur w oparciu o paragony na rzecz nabywców posługujących się takim numerem będzie ograniczone do tej grupy kas, któ</w:t>
      </w:r>
      <w:r w:rsidR="00933CE8" w:rsidRPr="0070741E">
        <w:rPr>
          <w:rFonts w:ascii="Times New Roman" w:eastAsia="Times New Roman" w:hAnsi="Times New Roman"/>
          <w:bCs/>
          <w:sz w:val="24"/>
          <w:szCs w:val="24"/>
          <w:lang w:eastAsia="pl-PL"/>
        </w:rPr>
        <w:t>re posiadają tą funkcjonalność.</w:t>
      </w:r>
    </w:p>
    <w:p w14:paraId="33737263" w14:textId="77777777" w:rsidR="00635D53" w:rsidRPr="0070741E" w:rsidRDefault="004E5772" w:rsidP="009A22AC">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W sytuacji, gdy podatnik dokonujący sprzedaży nie będzie miał technicznej możliwości wpisania numeru </w:t>
      </w:r>
      <w:r w:rsidR="00E816A1" w:rsidRPr="0070741E">
        <w:rPr>
          <w:rFonts w:ascii="Times New Roman" w:eastAsia="Times New Roman" w:hAnsi="Times New Roman"/>
          <w:bCs/>
          <w:sz w:val="24"/>
          <w:szCs w:val="24"/>
          <w:lang w:eastAsia="pl-PL"/>
        </w:rPr>
        <w:t>identyfikującego</w:t>
      </w:r>
      <w:r w:rsidRPr="0070741E">
        <w:rPr>
          <w:rFonts w:ascii="Times New Roman" w:eastAsia="Times New Roman" w:hAnsi="Times New Roman"/>
          <w:bCs/>
          <w:sz w:val="24"/>
          <w:szCs w:val="24"/>
          <w:lang w:eastAsia="pl-PL"/>
        </w:rPr>
        <w:t xml:space="preserve"> na paragonie, </w:t>
      </w:r>
      <w:r w:rsidR="0074753B" w:rsidRPr="0070741E">
        <w:rPr>
          <w:rFonts w:ascii="Times New Roman" w:eastAsia="Times New Roman" w:hAnsi="Times New Roman"/>
          <w:bCs/>
          <w:sz w:val="24"/>
          <w:szCs w:val="24"/>
          <w:lang w:eastAsia="pl-PL"/>
        </w:rPr>
        <w:t>nabywca powinien zadeklarować w </w:t>
      </w:r>
      <w:r w:rsidRPr="0070741E">
        <w:rPr>
          <w:rFonts w:ascii="Times New Roman" w:eastAsia="Times New Roman" w:hAnsi="Times New Roman"/>
          <w:bCs/>
          <w:sz w:val="24"/>
          <w:szCs w:val="24"/>
          <w:lang w:eastAsia="pl-PL"/>
        </w:rPr>
        <w:t>momencie dokonywania zakupu, że nabywa towar lub usługę, jako podatnik – w takiej sytuacji sprzedawca nie powinien rejestrować zakupu na kasie rejestrującej, tylko powinien od razu wystawić fakturę.</w:t>
      </w:r>
      <w:r w:rsidR="00387F59" w:rsidRPr="0070741E">
        <w:rPr>
          <w:rFonts w:ascii="Times New Roman" w:eastAsia="Times New Roman" w:hAnsi="Times New Roman"/>
          <w:bCs/>
          <w:sz w:val="24"/>
          <w:szCs w:val="24"/>
          <w:lang w:eastAsia="pl-PL"/>
        </w:rPr>
        <w:t xml:space="preserve"> Proponowana zmiana przepisów nie będzie zatem skutkowała koniecznością wymiany kas rejestrujących przez podatników, natomiast </w:t>
      </w:r>
      <w:r w:rsidR="005E4BB9" w:rsidRPr="0070741E">
        <w:rPr>
          <w:rFonts w:ascii="Times New Roman" w:eastAsia="Times New Roman" w:hAnsi="Times New Roman"/>
          <w:bCs/>
          <w:sz w:val="24"/>
          <w:szCs w:val="24"/>
          <w:lang w:eastAsia="pl-PL"/>
        </w:rPr>
        <w:t xml:space="preserve">konieczna </w:t>
      </w:r>
      <w:r w:rsidR="00387F59" w:rsidRPr="0070741E">
        <w:rPr>
          <w:rFonts w:ascii="Times New Roman" w:eastAsia="Times New Roman" w:hAnsi="Times New Roman"/>
          <w:bCs/>
          <w:sz w:val="24"/>
          <w:szCs w:val="24"/>
          <w:lang w:eastAsia="pl-PL"/>
        </w:rPr>
        <w:t xml:space="preserve">może </w:t>
      </w:r>
      <w:r w:rsidR="005E4BB9" w:rsidRPr="0070741E">
        <w:rPr>
          <w:rFonts w:ascii="Times New Roman" w:eastAsia="Times New Roman" w:hAnsi="Times New Roman"/>
          <w:bCs/>
          <w:sz w:val="24"/>
          <w:szCs w:val="24"/>
          <w:lang w:eastAsia="pl-PL"/>
        </w:rPr>
        <w:t xml:space="preserve">się </w:t>
      </w:r>
      <w:r w:rsidR="00387F59" w:rsidRPr="0070741E">
        <w:rPr>
          <w:rFonts w:ascii="Times New Roman" w:eastAsia="Times New Roman" w:hAnsi="Times New Roman"/>
          <w:bCs/>
          <w:sz w:val="24"/>
          <w:szCs w:val="24"/>
          <w:lang w:eastAsia="pl-PL"/>
        </w:rPr>
        <w:t xml:space="preserve">okazać zmiana procedur stosowanych przez podatników. Zaznaczyć jednak należy, że procedura zgodnie z którą nabywca, który </w:t>
      </w:r>
      <w:r w:rsidR="00792429">
        <w:rPr>
          <w:rFonts w:ascii="Times New Roman" w:eastAsia="Times New Roman" w:hAnsi="Times New Roman"/>
          <w:bCs/>
          <w:sz w:val="24"/>
          <w:szCs w:val="24"/>
          <w:lang w:eastAsia="pl-PL"/>
        </w:rPr>
        <w:t>w związku z prowadzoną działalnością</w:t>
      </w:r>
      <w:r w:rsidR="00792429" w:rsidRPr="0070741E">
        <w:rPr>
          <w:rFonts w:ascii="Times New Roman" w:eastAsia="Times New Roman" w:hAnsi="Times New Roman"/>
          <w:bCs/>
          <w:sz w:val="24"/>
          <w:szCs w:val="24"/>
          <w:lang w:eastAsia="pl-PL"/>
        </w:rPr>
        <w:t xml:space="preserve"> </w:t>
      </w:r>
      <w:r w:rsidR="00387F59" w:rsidRPr="0070741E">
        <w:rPr>
          <w:rFonts w:ascii="Times New Roman" w:eastAsia="Times New Roman" w:hAnsi="Times New Roman"/>
          <w:bCs/>
          <w:sz w:val="24"/>
          <w:szCs w:val="24"/>
          <w:lang w:eastAsia="pl-PL"/>
        </w:rPr>
        <w:t>chce otrzymać fakturę</w:t>
      </w:r>
      <w:r w:rsidR="00D34A68" w:rsidRPr="0070741E">
        <w:rPr>
          <w:rFonts w:ascii="Times New Roman" w:eastAsia="Times New Roman" w:hAnsi="Times New Roman"/>
          <w:bCs/>
          <w:sz w:val="24"/>
          <w:szCs w:val="24"/>
          <w:lang w:eastAsia="pl-PL"/>
        </w:rPr>
        <w:t xml:space="preserve">, powinien </w:t>
      </w:r>
      <w:r w:rsidR="00792429">
        <w:rPr>
          <w:rFonts w:ascii="Times New Roman" w:eastAsia="Times New Roman" w:hAnsi="Times New Roman"/>
          <w:bCs/>
          <w:sz w:val="24"/>
          <w:szCs w:val="24"/>
          <w:lang w:eastAsia="pl-PL"/>
        </w:rPr>
        <w:t>poinformować o </w:t>
      </w:r>
      <w:r w:rsidR="00635D53" w:rsidRPr="0070741E">
        <w:rPr>
          <w:rFonts w:ascii="Times New Roman" w:eastAsia="Times New Roman" w:hAnsi="Times New Roman"/>
          <w:bCs/>
          <w:sz w:val="24"/>
          <w:szCs w:val="24"/>
          <w:lang w:eastAsia="pl-PL"/>
        </w:rPr>
        <w:t xml:space="preserve">tym sprzedawcę w momencie dokonywania zakupów, tak żeby sprzedawca nie zarejestrował sprzedaży za pomocą kasy fiskalnej, tylko wystawił fakturę, jest w pełnej zgodzie z przepisami ustawy o VAT, w szczególności z </w:t>
      </w:r>
      <w:r w:rsidR="00792429">
        <w:rPr>
          <w:rFonts w:ascii="Times New Roman" w:eastAsia="Times New Roman" w:hAnsi="Times New Roman"/>
          <w:bCs/>
          <w:sz w:val="24"/>
          <w:szCs w:val="24"/>
          <w:lang w:eastAsia="pl-PL"/>
        </w:rPr>
        <w:t>art. 111 ust. 1 ustawy o VAT. Z </w:t>
      </w:r>
      <w:r w:rsidR="00635D53" w:rsidRPr="0070741E">
        <w:rPr>
          <w:rFonts w:ascii="Times New Roman" w:eastAsia="Times New Roman" w:hAnsi="Times New Roman"/>
          <w:bCs/>
          <w:sz w:val="24"/>
          <w:szCs w:val="24"/>
          <w:lang w:eastAsia="pl-PL"/>
        </w:rPr>
        <w:t>przepisu tego wynika jasno, że za pomocą kas rejestrujących ewidencjonuje się wyłącznie sprzedaż na rzecz osób fizycznych nieprowadzących działalności gospodarczej.</w:t>
      </w:r>
      <w:r w:rsidR="00387F59" w:rsidRPr="0070741E">
        <w:rPr>
          <w:rFonts w:ascii="Times New Roman" w:eastAsia="Times New Roman" w:hAnsi="Times New Roman"/>
          <w:bCs/>
          <w:sz w:val="24"/>
          <w:szCs w:val="24"/>
          <w:lang w:eastAsia="pl-PL"/>
        </w:rPr>
        <w:t xml:space="preserve"> </w:t>
      </w:r>
    </w:p>
    <w:p w14:paraId="6EF82172" w14:textId="77777777" w:rsidR="009A22AC" w:rsidRPr="0070741E" w:rsidRDefault="009A22AC" w:rsidP="009A22AC">
      <w:pPr>
        <w:spacing w:after="0" w:line="360" w:lineRule="auto"/>
        <w:jc w:val="both"/>
        <w:rPr>
          <w:rFonts w:ascii="Times New Roman" w:eastAsia="Times New Roman" w:hAnsi="Times New Roman"/>
          <w:bCs/>
          <w:sz w:val="24"/>
          <w:szCs w:val="24"/>
          <w:lang w:eastAsia="pl-PL"/>
        </w:rPr>
      </w:pPr>
      <w:r w:rsidRPr="0070741E">
        <w:rPr>
          <w:rFonts w:ascii="Times New Roman" w:hAnsi="Times New Roman"/>
          <w:sz w:val="24"/>
          <w:szCs w:val="24"/>
        </w:rPr>
        <w:t>Oceniając zatem wpływ regulacji na</w:t>
      </w:r>
      <w:r w:rsidR="00792429">
        <w:rPr>
          <w:rFonts w:ascii="Times New Roman" w:hAnsi="Times New Roman"/>
          <w:sz w:val="24"/>
          <w:szCs w:val="24"/>
        </w:rPr>
        <w:t xml:space="preserve"> mikroprzedsiębiorców, małych i </w:t>
      </w:r>
      <w:r w:rsidRPr="0070741E">
        <w:rPr>
          <w:rFonts w:ascii="Times New Roman" w:hAnsi="Times New Roman"/>
          <w:sz w:val="24"/>
          <w:szCs w:val="24"/>
        </w:rPr>
        <w:t>średnich przedsiębiorców, którzy użytkują kasy bez możliwości umieszczania na dokumencie sprzedaży numeru identyfikującego nabywcę należy wskazać, że wprowadzenie nowych regulacji nie będzie się wiązało z koniecznością wymiany kas. Przedsiębiorcy będą mogli wykorzystać inne sposoby wystawiania faktury, jak np. faktury z bloczka.</w:t>
      </w:r>
    </w:p>
    <w:p w14:paraId="4027F851" w14:textId="77777777" w:rsidR="002A3E67"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W dodanym </w:t>
      </w:r>
      <w:r w:rsidR="00A207E5">
        <w:rPr>
          <w:rFonts w:ascii="Times New Roman" w:eastAsia="Times New Roman" w:hAnsi="Times New Roman"/>
          <w:bCs/>
          <w:sz w:val="24"/>
          <w:szCs w:val="24"/>
          <w:lang w:eastAsia="pl-PL"/>
        </w:rPr>
        <w:t xml:space="preserve">art. 106b </w:t>
      </w:r>
      <w:r w:rsidRPr="0070741E">
        <w:rPr>
          <w:rFonts w:ascii="Times New Roman" w:eastAsia="Times New Roman" w:hAnsi="Times New Roman"/>
          <w:bCs/>
          <w:sz w:val="24"/>
          <w:szCs w:val="24"/>
          <w:lang w:eastAsia="pl-PL"/>
        </w:rPr>
        <w:t xml:space="preserve">ust. </w:t>
      </w:r>
      <w:r w:rsidR="00A207E5">
        <w:rPr>
          <w:rFonts w:ascii="Times New Roman" w:eastAsia="Times New Roman" w:hAnsi="Times New Roman"/>
          <w:bCs/>
          <w:sz w:val="24"/>
          <w:szCs w:val="24"/>
          <w:lang w:eastAsia="pl-PL"/>
        </w:rPr>
        <w:t>6</w:t>
      </w:r>
      <w:r w:rsidRPr="0070741E">
        <w:rPr>
          <w:rFonts w:ascii="Times New Roman" w:eastAsia="Times New Roman" w:hAnsi="Times New Roman"/>
          <w:bCs/>
          <w:sz w:val="24"/>
          <w:szCs w:val="24"/>
          <w:lang w:eastAsia="pl-PL"/>
        </w:rPr>
        <w:t xml:space="preserve"> przedmiotowego artykułu zaproponowano wprowadzenie sankcji za niestosowanie się podatników do ww. przepisu. Organ podatkowy będzie ustalał dodatkowe zobowiązanie podatkowe w wysokości odpowiadającej 100% kwoty podatku VAT wykazanego na tej fakturze. Przewidziano jednak, że w stosunku do osób fizycznych, </w:t>
      </w:r>
      <w:r w:rsidRPr="0070741E">
        <w:rPr>
          <w:rFonts w:ascii="Times New Roman" w:eastAsia="Times New Roman" w:hAnsi="Times New Roman"/>
          <w:bCs/>
          <w:sz w:val="24"/>
          <w:szCs w:val="24"/>
          <w:lang w:eastAsia="pl-PL"/>
        </w:rPr>
        <w:lastRenderedPageBreak/>
        <w:t>które za ten sam czyn ponoszą odpowiedzialność za wykroczenie skarbowe albo za przestępstwo skarbowe, dodatkowego zobowiązania podatkowego nie ustala się.</w:t>
      </w:r>
    </w:p>
    <w:p w14:paraId="586E1676" w14:textId="77777777" w:rsidR="009A22AC" w:rsidRPr="0070741E" w:rsidRDefault="001755F4" w:rsidP="009A22AC">
      <w:pPr>
        <w:spacing w:after="0" w:line="360" w:lineRule="auto"/>
        <w:jc w:val="both"/>
        <w:rPr>
          <w:rFonts w:ascii="Times New Roman" w:hAnsi="Times New Roman"/>
          <w:sz w:val="24"/>
          <w:szCs w:val="24"/>
        </w:rPr>
      </w:pPr>
      <w:r w:rsidRPr="0070741E">
        <w:rPr>
          <w:rFonts w:ascii="Times New Roman" w:hAnsi="Times New Roman"/>
          <w:sz w:val="24"/>
          <w:szCs w:val="24"/>
        </w:rPr>
        <w:t>Powyższa sankcja ma stanowić narzędzie mające na celu likwidację występującego mechanizmu nadużycia</w:t>
      </w:r>
      <w:r w:rsidR="00CA12F9" w:rsidRPr="0070741E">
        <w:rPr>
          <w:rFonts w:ascii="Times New Roman" w:hAnsi="Times New Roman"/>
          <w:sz w:val="24"/>
          <w:szCs w:val="24"/>
        </w:rPr>
        <w:t xml:space="preserve">, ma w założeniu mieć przede wszystkim wymiar prewencyjny oraz ma być dotkliwością za </w:t>
      </w:r>
      <w:r w:rsidR="00A22910" w:rsidRPr="0070741E">
        <w:rPr>
          <w:rFonts w:ascii="Times New Roman" w:hAnsi="Times New Roman"/>
          <w:sz w:val="24"/>
          <w:szCs w:val="24"/>
        </w:rPr>
        <w:t>nieprzestrzeganie formalnych zasad wystawiania i ewidencjonowania faktur, tak dla sprzedawcy, jak i dla nabywcy</w:t>
      </w:r>
      <w:r w:rsidRPr="0070741E">
        <w:rPr>
          <w:rFonts w:ascii="Times New Roman" w:hAnsi="Times New Roman"/>
          <w:sz w:val="24"/>
          <w:szCs w:val="24"/>
        </w:rPr>
        <w:t>. Istotna pozostaje okoliczność, iż w przypadku przedmiotowego nadużycia nieuprawniony zysk opiewa na wysokość odliczonego nienależnie podatku VAT zatem, aby sankcja pozostała skuteczna jej wysokość powinna kore</w:t>
      </w:r>
      <w:r w:rsidR="000F5BAA">
        <w:rPr>
          <w:rFonts w:ascii="Times New Roman" w:hAnsi="Times New Roman"/>
          <w:sz w:val="24"/>
          <w:szCs w:val="24"/>
        </w:rPr>
        <w:t>spondować z </w:t>
      </w:r>
      <w:r w:rsidRPr="0070741E">
        <w:rPr>
          <w:rFonts w:ascii="Times New Roman" w:hAnsi="Times New Roman"/>
          <w:sz w:val="24"/>
          <w:szCs w:val="24"/>
        </w:rPr>
        <w:t>wysokością uzyskiwanego nienależnie przysporzenia. Stąd potrzeba b</w:t>
      </w:r>
      <w:r w:rsidR="00635D53" w:rsidRPr="0070741E">
        <w:rPr>
          <w:rFonts w:ascii="Times New Roman" w:hAnsi="Times New Roman"/>
          <w:sz w:val="24"/>
          <w:szCs w:val="24"/>
        </w:rPr>
        <w:t>y wysokość sankcji wynosiła 100</w:t>
      </w:r>
      <w:r w:rsidRPr="0070741E">
        <w:rPr>
          <w:rFonts w:ascii="Times New Roman" w:hAnsi="Times New Roman"/>
          <w:sz w:val="24"/>
          <w:szCs w:val="24"/>
        </w:rPr>
        <w:t>% podatku VAT.</w:t>
      </w:r>
      <w:r w:rsidR="009A22AC" w:rsidRPr="0070741E">
        <w:rPr>
          <w:rFonts w:ascii="Times New Roman" w:hAnsi="Times New Roman"/>
          <w:sz w:val="24"/>
          <w:szCs w:val="24"/>
        </w:rPr>
        <w:t xml:space="preserve"> Zasadność sankcji w tej wysokości uzasadnia również skala nadużyć w tym zakresie oraz fakt, że nadużycia te mają charakter, co do za</w:t>
      </w:r>
      <w:r w:rsidR="00635D53" w:rsidRPr="0070741E">
        <w:rPr>
          <w:rFonts w:ascii="Times New Roman" w:hAnsi="Times New Roman"/>
          <w:sz w:val="24"/>
          <w:szCs w:val="24"/>
        </w:rPr>
        <w:t>sady, świadomy. St</w:t>
      </w:r>
      <w:r w:rsidR="009A22AC" w:rsidRPr="0070741E">
        <w:rPr>
          <w:rFonts w:ascii="Times New Roman" w:hAnsi="Times New Roman"/>
          <w:sz w:val="24"/>
          <w:szCs w:val="24"/>
        </w:rPr>
        <w:t>ąd istotne jest aby wysokość proponowanej sankcji miała charakter dotkliwy i prewencyjny.</w:t>
      </w:r>
      <w:r w:rsidR="00635D53" w:rsidRPr="0070741E">
        <w:rPr>
          <w:rFonts w:ascii="Times New Roman" w:hAnsi="Times New Roman"/>
          <w:sz w:val="24"/>
          <w:szCs w:val="24"/>
        </w:rPr>
        <w:t xml:space="preserve"> </w:t>
      </w:r>
    </w:p>
    <w:p w14:paraId="1260A14F" w14:textId="77777777" w:rsidR="00635D53" w:rsidRPr="0070741E" w:rsidRDefault="00635D53" w:rsidP="009A22AC">
      <w:pPr>
        <w:spacing w:after="0" w:line="360" w:lineRule="auto"/>
        <w:jc w:val="both"/>
        <w:rPr>
          <w:rFonts w:ascii="Times New Roman" w:hAnsi="Times New Roman"/>
          <w:sz w:val="24"/>
          <w:szCs w:val="24"/>
        </w:rPr>
      </w:pPr>
      <w:r w:rsidRPr="0070741E">
        <w:rPr>
          <w:rFonts w:ascii="Times New Roman" w:hAnsi="Times New Roman"/>
          <w:sz w:val="24"/>
          <w:szCs w:val="24"/>
        </w:rPr>
        <w:t xml:space="preserve">Wprowadzenie sankcji na niższym poziomie oznaczałoby, że </w:t>
      </w:r>
      <w:r w:rsidR="0046029B" w:rsidRPr="0070741E">
        <w:rPr>
          <w:rFonts w:ascii="Times New Roman" w:hAnsi="Times New Roman"/>
          <w:sz w:val="24"/>
          <w:szCs w:val="24"/>
        </w:rPr>
        <w:t>podatnik i tak miałby korzyść w </w:t>
      </w:r>
      <w:r w:rsidRPr="0070741E">
        <w:rPr>
          <w:rFonts w:ascii="Times New Roman" w:hAnsi="Times New Roman"/>
          <w:sz w:val="24"/>
          <w:szCs w:val="24"/>
        </w:rPr>
        <w:t>tym, żeby ewidencjonować faktury uzyskiwane poprzez to nadużycie, ponieważ w razie wykrycia j</w:t>
      </w:r>
      <w:r w:rsidR="0046029B" w:rsidRPr="0070741E">
        <w:rPr>
          <w:rFonts w:ascii="Times New Roman" w:hAnsi="Times New Roman"/>
          <w:sz w:val="24"/>
          <w:szCs w:val="24"/>
        </w:rPr>
        <w:t>ego procederu i nałożenia niższej sankcji podatnik nadal uzyskiwałby korzyść tyle, że w niższej wysokości.</w:t>
      </w:r>
    </w:p>
    <w:p w14:paraId="20191184" w14:textId="77777777" w:rsidR="002A3E67" w:rsidRPr="0070741E" w:rsidRDefault="002A3E67" w:rsidP="002A3E67">
      <w:pPr>
        <w:spacing w:after="0" w:line="360" w:lineRule="auto"/>
        <w:jc w:val="both"/>
        <w:rPr>
          <w:rFonts w:ascii="Times New Roman" w:hAnsi="Times New Roman"/>
          <w:sz w:val="24"/>
          <w:szCs w:val="24"/>
        </w:rPr>
      </w:pPr>
      <w:r w:rsidRPr="0070741E">
        <w:rPr>
          <w:rFonts w:ascii="Times New Roman" w:hAnsi="Times New Roman"/>
          <w:sz w:val="24"/>
          <w:szCs w:val="24"/>
        </w:rPr>
        <w:t>Należy podkreślić, iż powyższej sankcji nie należy łączyć z dodatkowym zobowiązaniem podatkowym określonym w art. 112b i 112c ustawy o VAT, gdyż jest ona stosowana w innej sytuacji i jest w inny sposób naliczana. Wprowadzana sankcja dotyczy konkretnych transakcji objętej konkretną nieprawidłowością wskazaną w projektowanych regulacjach natomiast sankcja w art. 112b i 112c ustawy o VAT wiąże się z zaniżeniem lub też zawyżeniem pewnych kwot w składanych przez Podatnika deklaracjach VAT i nie odnosi się do konkretnej transakcji, ale do całkowitej kwoty stwierdzonych w decyzji nieprawidłowości. Wprowadzana sankcja ma zatem na celu precyzyjne przeciwdziałanie konkretnej formie nadużyć w odróżnieniu od sankcji w art. 112b i 112c ustawy o VAT stanowiącej mechanizm mający przeciwdziałać wszystkim rodzajom nadużyć.</w:t>
      </w:r>
    </w:p>
    <w:p w14:paraId="7CC1C92B" w14:textId="77777777"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Ponadto proponuje się wprowadzenie przepisu przejściowego, zgodnie z którym przepisy dodawane w </w:t>
      </w:r>
      <w:r w:rsidRPr="0070741E">
        <w:rPr>
          <w:rFonts w:ascii="Times New Roman" w:hAnsi="Times New Roman"/>
          <w:sz w:val="24"/>
          <w:szCs w:val="24"/>
        </w:rPr>
        <w:t xml:space="preserve">art. 106b (ust. </w:t>
      </w:r>
      <w:r w:rsidR="00A207E5">
        <w:rPr>
          <w:rFonts w:ascii="Times New Roman" w:hAnsi="Times New Roman"/>
          <w:sz w:val="24"/>
          <w:szCs w:val="24"/>
        </w:rPr>
        <w:t>5 i 6</w:t>
      </w:r>
      <w:r w:rsidRPr="0070741E">
        <w:rPr>
          <w:rFonts w:ascii="Times New Roman" w:hAnsi="Times New Roman"/>
          <w:sz w:val="24"/>
          <w:szCs w:val="24"/>
        </w:rPr>
        <w:t>), nie będą miały zastosowania w przypadku sprzedaży zaewidencjonowanej przy zastosowaniu kasy rejestrującej przed dnie</w:t>
      </w:r>
      <w:r w:rsidR="00792429">
        <w:rPr>
          <w:rFonts w:ascii="Times New Roman" w:hAnsi="Times New Roman"/>
          <w:sz w:val="24"/>
          <w:szCs w:val="24"/>
        </w:rPr>
        <w:t>m wejścia w </w:t>
      </w:r>
      <w:r w:rsidRPr="0070741E">
        <w:rPr>
          <w:rFonts w:ascii="Times New Roman" w:hAnsi="Times New Roman"/>
          <w:sz w:val="24"/>
          <w:szCs w:val="24"/>
        </w:rPr>
        <w:t xml:space="preserve">życie projektowanej ustawy. </w:t>
      </w:r>
    </w:p>
    <w:p w14:paraId="517FC389" w14:textId="77777777" w:rsidR="00BA20C5" w:rsidRDefault="008C170A" w:rsidP="008C170A">
      <w:pPr>
        <w:spacing w:after="0" w:line="360" w:lineRule="auto"/>
        <w:jc w:val="both"/>
        <w:rPr>
          <w:rFonts w:ascii="Times New Roman" w:hAnsi="Times New Roman"/>
          <w:sz w:val="24"/>
          <w:szCs w:val="24"/>
        </w:rPr>
      </w:pPr>
      <w:r w:rsidRPr="0070741E">
        <w:rPr>
          <w:rFonts w:ascii="Times New Roman" w:hAnsi="Times New Roman"/>
          <w:sz w:val="24"/>
          <w:szCs w:val="24"/>
        </w:rPr>
        <w:lastRenderedPageBreak/>
        <w:t xml:space="preserve">W odniesieniu do art. 106b ust. </w:t>
      </w:r>
      <w:r w:rsidR="00A207E5">
        <w:rPr>
          <w:rFonts w:ascii="Times New Roman" w:hAnsi="Times New Roman"/>
          <w:sz w:val="24"/>
          <w:szCs w:val="24"/>
        </w:rPr>
        <w:t>7</w:t>
      </w:r>
      <w:r w:rsidRPr="0070741E">
        <w:rPr>
          <w:rFonts w:ascii="Times New Roman" w:hAnsi="Times New Roman"/>
          <w:sz w:val="24"/>
          <w:szCs w:val="24"/>
        </w:rPr>
        <w:t xml:space="preserve"> należy wskazać, iż kasa o zastosowaniu specjalnym przeznaczona do prowadzenia ewidencji przy świadczeniu usług przewozu osób oraz ich bagażu podręcznego taksówkami, poza kryteriami mającymi zastosowanie do wszystkich kas, musi m.in. także być połączona z taksometrem w sposób nierozłączny lub przez system złącza zabezpieczonego przed ingerencją użytkownika kasy lub osób trzecich, zapewniający transmisję danych rejestrowanych przez taksometr do kasy. Każdy kurs musi być zakończony wydrukiem paragonu fiskalnego. </w:t>
      </w:r>
    </w:p>
    <w:p w14:paraId="2D7D3E3B" w14:textId="77777777" w:rsidR="00BA20C5" w:rsidRDefault="008C170A" w:rsidP="008C170A">
      <w:pPr>
        <w:spacing w:after="0" w:line="360" w:lineRule="auto"/>
        <w:jc w:val="both"/>
        <w:rPr>
          <w:rFonts w:ascii="Times New Roman" w:hAnsi="Times New Roman"/>
          <w:sz w:val="24"/>
          <w:szCs w:val="24"/>
        </w:rPr>
      </w:pPr>
      <w:r w:rsidRPr="0070741E">
        <w:rPr>
          <w:rFonts w:ascii="Times New Roman" w:hAnsi="Times New Roman"/>
          <w:sz w:val="24"/>
          <w:szCs w:val="24"/>
        </w:rPr>
        <w:t>Dodatkowo należy wskazać, że kasy "taksówkowe" nie posiadają funkcji wystawiania faktur. Mając na uwadze powyższe, kasa rejestrująca, która nie posiada funkcji: numeru identyfikacji podatkowej nabywcy (NIP nabywcy) – na żądanie nabywcy, tj. kasa "starszego" typu, będzie stała na przeszkodzie podatnikowi posiadającemu taką kasę do wystawienia faktury n</w:t>
      </w:r>
      <w:r w:rsidR="00BA20C5">
        <w:rPr>
          <w:rFonts w:ascii="Times New Roman" w:hAnsi="Times New Roman"/>
          <w:sz w:val="24"/>
          <w:szCs w:val="24"/>
        </w:rPr>
        <w:t>a rzecz podmiotu gospodarczego.</w:t>
      </w:r>
    </w:p>
    <w:p w14:paraId="38C920A5" w14:textId="614CE78D" w:rsidR="00983397" w:rsidRDefault="00BA20C5" w:rsidP="00BA20C5">
      <w:pPr>
        <w:spacing w:after="0" w:line="360" w:lineRule="auto"/>
        <w:jc w:val="both"/>
        <w:rPr>
          <w:rFonts w:ascii="Times New Roman" w:hAnsi="Times New Roman"/>
          <w:sz w:val="24"/>
          <w:szCs w:val="24"/>
        </w:rPr>
      </w:pPr>
      <w:r>
        <w:rPr>
          <w:rFonts w:ascii="Times New Roman" w:hAnsi="Times New Roman"/>
          <w:sz w:val="24"/>
          <w:szCs w:val="24"/>
        </w:rPr>
        <w:t>W</w:t>
      </w:r>
      <w:r w:rsidRPr="00BA20C5">
        <w:rPr>
          <w:rFonts w:ascii="Times New Roman" w:hAnsi="Times New Roman"/>
          <w:sz w:val="24"/>
          <w:szCs w:val="24"/>
        </w:rPr>
        <w:t xml:space="preserve">iększość tych kas (kasy starego typu) nie posiada możliwości wpisania NIP na paragonie, jedynie 3 typy kas posiadają taką funkcjonalność (i tylko w kasach wyprodukowanych po 2015 roku), zasadnym jest aby zgodnie z ust. </w:t>
      </w:r>
      <w:r w:rsidR="00A207E5">
        <w:rPr>
          <w:rFonts w:ascii="Times New Roman" w:hAnsi="Times New Roman"/>
          <w:sz w:val="24"/>
          <w:szCs w:val="24"/>
        </w:rPr>
        <w:t>7</w:t>
      </w:r>
      <w:r w:rsidRPr="00BA20C5">
        <w:rPr>
          <w:rFonts w:ascii="Times New Roman" w:hAnsi="Times New Roman"/>
          <w:sz w:val="24"/>
          <w:szCs w:val="24"/>
        </w:rPr>
        <w:t xml:space="preserve"> zmienianego art. 106b nie stosować ust. </w:t>
      </w:r>
      <w:r w:rsidR="00A207E5">
        <w:rPr>
          <w:rFonts w:ascii="Times New Roman" w:hAnsi="Times New Roman"/>
          <w:sz w:val="24"/>
          <w:szCs w:val="24"/>
        </w:rPr>
        <w:t>5</w:t>
      </w:r>
      <w:r w:rsidRPr="00BA20C5">
        <w:rPr>
          <w:rFonts w:ascii="Times New Roman" w:hAnsi="Times New Roman"/>
          <w:sz w:val="24"/>
          <w:szCs w:val="24"/>
        </w:rPr>
        <w:t xml:space="preserve"> i </w:t>
      </w:r>
      <w:r w:rsidR="00A207E5">
        <w:rPr>
          <w:rFonts w:ascii="Times New Roman" w:hAnsi="Times New Roman"/>
          <w:sz w:val="24"/>
          <w:szCs w:val="24"/>
        </w:rPr>
        <w:t>6</w:t>
      </w:r>
      <w:r w:rsidR="00E93E24">
        <w:rPr>
          <w:rFonts w:ascii="Times New Roman" w:hAnsi="Times New Roman"/>
          <w:sz w:val="24"/>
          <w:szCs w:val="24"/>
        </w:rPr>
        <w:t xml:space="preserve"> </w:t>
      </w:r>
      <w:r w:rsidRPr="00BA20C5">
        <w:rPr>
          <w:rFonts w:ascii="Times New Roman" w:hAnsi="Times New Roman"/>
          <w:sz w:val="24"/>
          <w:szCs w:val="24"/>
        </w:rPr>
        <w:t>do podatników świadczących</w:t>
      </w:r>
      <w:r>
        <w:rPr>
          <w:rFonts w:ascii="Times New Roman" w:hAnsi="Times New Roman"/>
          <w:sz w:val="24"/>
          <w:szCs w:val="24"/>
        </w:rPr>
        <w:t xml:space="preserve"> usługi taksówek osobowych. W braku powyższego uregulowania</w:t>
      </w:r>
      <w:r w:rsidRPr="0070741E">
        <w:rPr>
          <w:rFonts w:ascii="Times New Roman" w:hAnsi="Times New Roman"/>
          <w:sz w:val="24"/>
          <w:szCs w:val="24"/>
        </w:rPr>
        <w:t xml:space="preserve"> podatnik chcący prowadzić działalność na rzecz podmiotów gospodarczych (chcący wystawiać faktury) musiałby, po wejściu w życie przedmiotowego projektu wymienić kasę na "nowy" typ </w:t>
      </w:r>
      <w:r w:rsidR="00983397">
        <w:rPr>
          <w:rFonts w:ascii="Times New Roman" w:hAnsi="Times New Roman"/>
          <w:sz w:val="24"/>
          <w:szCs w:val="24"/>
        </w:rPr>
        <w:t>posiadający taką funkcję.</w:t>
      </w:r>
    </w:p>
    <w:p w14:paraId="16F63129" w14:textId="77777777" w:rsidR="00983397" w:rsidRDefault="00983397" w:rsidP="00983397">
      <w:pPr>
        <w:spacing w:after="0" w:line="360" w:lineRule="auto"/>
        <w:jc w:val="both"/>
        <w:rPr>
          <w:rFonts w:ascii="Times New Roman" w:hAnsi="Times New Roman"/>
          <w:sz w:val="24"/>
          <w:szCs w:val="24"/>
        </w:rPr>
      </w:pPr>
      <w:r>
        <w:rPr>
          <w:rFonts w:ascii="Times New Roman" w:hAnsi="Times New Roman"/>
          <w:sz w:val="24"/>
          <w:szCs w:val="24"/>
        </w:rPr>
        <w:t>P</w:t>
      </w:r>
      <w:r w:rsidR="00BA20C5" w:rsidRPr="00BA20C5">
        <w:rPr>
          <w:rFonts w:ascii="Times New Roman" w:hAnsi="Times New Roman"/>
          <w:sz w:val="24"/>
          <w:szCs w:val="24"/>
        </w:rPr>
        <w:t>odatnicy świadczący usługi taksówek osobowych, z uwagi na ograniczenie funkcjonalności kas rejestrujących starego typu, które dominują na rynku, tj. braku możliwości drukowania NIP na paragonie, powinni</w:t>
      </w:r>
      <w:r>
        <w:rPr>
          <w:rFonts w:ascii="Times New Roman" w:hAnsi="Times New Roman"/>
          <w:sz w:val="24"/>
          <w:szCs w:val="24"/>
        </w:rPr>
        <w:t xml:space="preserve"> zatem</w:t>
      </w:r>
      <w:r w:rsidR="00BA20C5" w:rsidRPr="00BA20C5">
        <w:rPr>
          <w:rFonts w:ascii="Times New Roman" w:hAnsi="Times New Roman"/>
          <w:sz w:val="24"/>
          <w:szCs w:val="24"/>
        </w:rPr>
        <w:t xml:space="preserve"> móc wystawiać faktury do paragonów nieposiadających NIP nabywcy.</w:t>
      </w:r>
      <w:r w:rsidRPr="00983397">
        <w:rPr>
          <w:rFonts w:ascii="Times New Roman" w:hAnsi="Times New Roman"/>
          <w:sz w:val="24"/>
          <w:szCs w:val="24"/>
        </w:rPr>
        <w:t xml:space="preserve"> </w:t>
      </w:r>
      <w:r w:rsidRPr="0070741E">
        <w:rPr>
          <w:rFonts w:ascii="Times New Roman" w:hAnsi="Times New Roman"/>
          <w:sz w:val="24"/>
          <w:szCs w:val="24"/>
        </w:rPr>
        <w:t xml:space="preserve">W związku z tym, należy wyłączyć ten rodzaj działalności z obowiązku wskazanego w art. 106b ust. </w:t>
      </w:r>
      <w:r w:rsidR="00A207E5">
        <w:rPr>
          <w:rFonts w:ascii="Times New Roman" w:hAnsi="Times New Roman"/>
          <w:sz w:val="24"/>
          <w:szCs w:val="24"/>
        </w:rPr>
        <w:t>5</w:t>
      </w:r>
      <w:r w:rsidRPr="0070741E">
        <w:rPr>
          <w:rFonts w:ascii="Times New Roman" w:hAnsi="Times New Roman"/>
          <w:sz w:val="24"/>
          <w:szCs w:val="24"/>
        </w:rPr>
        <w:t>.</w:t>
      </w:r>
    </w:p>
    <w:p w14:paraId="23325ACF" w14:textId="77777777" w:rsidR="0099036D" w:rsidRPr="0070741E" w:rsidRDefault="0099036D" w:rsidP="00CD3D8E">
      <w:pPr>
        <w:spacing w:after="0" w:line="360" w:lineRule="auto"/>
        <w:jc w:val="both"/>
        <w:rPr>
          <w:rFonts w:ascii="Times New Roman" w:eastAsia="Times New Roman" w:hAnsi="Times New Roman"/>
          <w:bCs/>
          <w:sz w:val="24"/>
          <w:szCs w:val="24"/>
          <w:u w:val="single"/>
          <w:lang w:eastAsia="pl-PL"/>
        </w:rPr>
      </w:pPr>
    </w:p>
    <w:p w14:paraId="5DD27337" w14:textId="689255BB"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109</w:t>
      </w:r>
      <w:r w:rsidR="00D00EFA">
        <w:rPr>
          <w:rFonts w:ascii="Times New Roman" w:eastAsia="Times New Roman" w:hAnsi="Times New Roman"/>
          <w:bCs/>
          <w:sz w:val="24"/>
          <w:szCs w:val="24"/>
          <w:u w:val="single"/>
          <w:lang w:eastAsia="pl-PL"/>
        </w:rPr>
        <w:t>a</w:t>
      </w:r>
    </w:p>
    <w:p w14:paraId="6D9AF1C6" w14:textId="1236B450"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imes New Roman" w:hAnsi="Times New Roman"/>
          <w:bCs/>
          <w:sz w:val="24"/>
          <w:szCs w:val="24"/>
          <w:lang w:eastAsia="pl-PL"/>
        </w:rPr>
        <w:t>W projektowanym art. 109</w:t>
      </w:r>
      <w:r w:rsidR="00D00EFA">
        <w:rPr>
          <w:rFonts w:ascii="Times New Roman" w:eastAsia="Times New Roman" w:hAnsi="Times New Roman"/>
          <w:bCs/>
          <w:sz w:val="24"/>
          <w:szCs w:val="24"/>
          <w:lang w:eastAsia="pl-PL"/>
        </w:rPr>
        <w:t>a</w:t>
      </w:r>
      <w:r w:rsidRPr="0070741E">
        <w:rPr>
          <w:rFonts w:ascii="Times New Roman" w:eastAsia="Times New Roman" w:hAnsi="Times New Roman"/>
          <w:bCs/>
          <w:sz w:val="24"/>
          <w:szCs w:val="24"/>
          <w:lang w:eastAsia="pl-PL"/>
        </w:rPr>
        <w:t xml:space="preserve"> ustawy VAT wprowadza się sankcję dla poda</w:t>
      </w:r>
      <w:r w:rsidR="00E75C5A" w:rsidRPr="0070741E">
        <w:rPr>
          <w:rFonts w:ascii="Times New Roman" w:eastAsia="Times New Roman" w:hAnsi="Times New Roman"/>
          <w:bCs/>
          <w:sz w:val="24"/>
          <w:szCs w:val="24"/>
          <w:lang w:eastAsia="pl-PL"/>
        </w:rPr>
        <w:t>tników, którzy ujmą w ewidencji wystawioną dla nich</w:t>
      </w:r>
      <w:r w:rsidRPr="0070741E">
        <w:rPr>
          <w:rFonts w:ascii="Times New Roman" w:eastAsia="Times New Roman" w:hAnsi="Times New Roman"/>
          <w:bCs/>
          <w:sz w:val="24"/>
          <w:szCs w:val="24"/>
          <w:lang w:eastAsia="pl-PL"/>
        </w:rPr>
        <w:t xml:space="preserve"> </w:t>
      </w:r>
      <w:r w:rsidR="00E75C5A" w:rsidRPr="0070741E">
        <w:rPr>
          <w:rFonts w:ascii="Times New Roman" w:eastAsia="Times New Roman" w:hAnsi="Times New Roman"/>
          <w:bCs/>
          <w:sz w:val="24"/>
          <w:szCs w:val="24"/>
          <w:lang w:eastAsia="pl-PL"/>
        </w:rPr>
        <w:t>fakturę</w:t>
      </w:r>
      <w:r w:rsidRPr="0070741E">
        <w:rPr>
          <w:rFonts w:ascii="Times New Roman" w:eastAsia="Times New Roman" w:hAnsi="Times New Roman"/>
          <w:bCs/>
          <w:sz w:val="24"/>
          <w:szCs w:val="24"/>
          <w:lang w:eastAsia="pl-PL"/>
        </w:rPr>
        <w:t xml:space="preserve"> dotycząc</w:t>
      </w:r>
      <w:r w:rsidR="00E75C5A" w:rsidRPr="0070741E">
        <w:rPr>
          <w:rFonts w:ascii="Times New Roman" w:eastAsia="Times New Roman" w:hAnsi="Times New Roman"/>
          <w:bCs/>
          <w:sz w:val="24"/>
          <w:szCs w:val="24"/>
          <w:lang w:eastAsia="pl-PL"/>
        </w:rPr>
        <w:t>ą</w:t>
      </w:r>
      <w:r w:rsidRPr="0070741E">
        <w:rPr>
          <w:rFonts w:ascii="Times New Roman" w:eastAsia="Times New Roman" w:hAnsi="Times New Roman"/>
          <w:bCs/>
          <w:sz w:val="24"/>
          <w:szCs w:val="24"/>
          <w:lang w:eastAsia="pl-PL"/>
        </w:rPr>
        <w:t xml:space="preserve"> sprzedaży udokumentowanej paragonem, który nie zawiera</w:t>
      </w:r>
      <w:r w:rsidR="00E75C5A" w:rsidRPr="0070741E">
        <w:rPr>
          <w:rFonts w:ascii="Times New Roman" w:eastAsia="Times New Roman" w:hAnsi="Times New Roman"/>
          <w:bCs/>
          <w:sz w:val="24"/>
          <w:szCs w:val="24"/>
          <w:lang w:eastAsia="pl-PL"/>
        </w:rPr>
        <w:t>ł numeru identyfikującego tego podatnika na potrzeby podatku</w:t>
      </w:r>
      <w:r w:rsidRPr="0070741E">
        <w:rPr>
          <w:rFonts w:ascii="Times New Roman" w:eastAsia="Times New Roman" w:hAnsi="Times New Roman"/>
          <w:bCs/>
          <w:sz w:val="24"/>
          <w:szCs w:val="24"/>
          <w:lang w:eastAsia="pl-PL"/>
        </w:rPr>
        <w:t>. Organ podatkowy będzie ustalał dod</w:t>
      </w:r>
      <w:r w:rsidR="0074753B" w:rsidRPr="0070741E">
        <w:rPr>
          <w:rFonts w:ascii="Times New Roman" w:eastAsia="Times New Roman" w:hAnsi="Times New Roman"/>
          <w:bCs/>
          <w:sz w:val="24"/>
          <w:szCs w:val="24"/>
          <w:lang w:eastAsia="pl-PL"/>
        </w:rPr>
        <w:t>atkowe zobowiązanie podatkowe w </w:t>
      </w:r>
      <w:r w:rsidRPr="0070741E">
        <w:rPr>
          <w:rFonts w:ascii="Times New Roman" w:eastAsia="Times New Roman" w:hAnsi="Times New Roman"/>
          <w:bCs/>
          <w:sz w:val="24"/>
          <w:szCs w:val="24"/>
          <w:lang w:eastAsia="pl-PL"/>
        </w:rPr>
        <w:t xml:space="preserve">wysokości odpowiadającej 100% kwoty podatku VAT wykazanego na tej fakturze. Przewidziano jednak, że w stosunku do osób fizycznych, które za ten sam czyn ponoszą odpowiedzialność za </w:t>
      </w:r>
      <w:r w:rsidRPr="0070741E">
        <w:rPr>
          <w:rFonts w:ascii="Times New Roman" w:eastAsia="Times New Roman" w:hAnsi="Times New Roman"/>
          <w:bCs/>
          <w:sz w:val="24"/>
          <w:szCs w:val="24"/>
          <w:lang w:eastAsia="pl-PL"/>
        </w:rPr>
        <w:lastRenderedPageBreak/>
        <w:t xml:space="preserve">wykroczenie skarbowe albo za przestępstwo skarbowe, dodatkowego zobowiązania podatkowego nie ustala się. Regulacja ta ma zapobiegać procederowi nieuprawnionego ujmowania w prowadzonej przez podatnika ewidencji dla celów podatkowych (ma ona zawierać dane niezbędne do prawidłowego sporządzania deklaracji podatkowej) faktur, które nie są związane z prowadzoną przez podatnika działalnością. </w:t>
      </w:r>
    </w:p>
    <w:p w14:paraId="6C3A2F3D" w14:textId="77777777" w:rsidR="001755F4" w:rsidRPr="0070741E" w:rsidRDefault="001755F4" w:rsidP="001755F4">
      <w:pPr>
        <w:spacing w:after="0" w:line="360" w:lineRule="auto"/>
        <w:jc w:val="both"/>
        <w:rPr>
          <w:rFonts w:ascii="Times New Roman" w:hAnsi="Times New Roman"/>
          <w:sz w:val="24"/>
          <w:szCs w:val="24"/>
        </w:rPr>
      </w:pPr>
      <w:r w:rsidRPr="0070741E">
        <w:rPr>
          <w:rFonts w:ascii="Times New Roman" w:hAnsi="Times New Roman"/>
          <w:sz w:val="24"/>
          <w:szCs w:val="24"/>
        </w:rPr>
        <w:t>Należy podkreślić, iż powyższej sankcji nie należy łączyć z dodatkowym zobowiązaniem podatkowym określonym w art. 112b i 112c ustawy o VAT, gdyż jest ona stosowana w innej sytuacji i jest w inny sposób naliczana. Wprowadzana sankcja dotyczy konkretnych transakcji objętej konkretną nieprawidłowością wskazaną w projektowanych regulacjach natomiast sankcja w art. 112b i 112c ustawy o VAT wiąże się z zaniżeniem lub też zawyżeniem pewnych kwot w składanych przez Podatnika deklaracjach VAT i nie odnosi się do konkretnej transakcji, ale do całkowitej kwoty stwierdzonych w decyzji nieprawidłowości. Wprowadzana sankcja ma zatem na celu precyzyjne przeciwdziałanie konkretnej formie nadużyć w odróżnieniu od sankcji w art. 112b i 112c ustawy o VAT stanowiącej mechanizm mający przeciwdziałać wszystkim rodzajom nadużyć.</w:t>
      </w:r>
    </w:p>
    <w:p w14:paraId="0F33302C" w14:textId="77777777"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W chwili nabycia towarów i usług przez podatnika, wskazuje </w:t>
      </w:r>
      <w:r w:rsidR="0033370A" w:rsidRPr="0070741E">
        <w:rPr>
          <w:rFonts w:ascii="Times New Roman" w:eastAsia="Times New Roman" w:hAnsi="Times New Roman"/>
          <w:bCs/>
          <w:sz w:val="24"/>
          <w:szCs w:val="24"/>
          <w:lang w:eastAsia="pl-PL"/>
        </w:rPr>
        <w:t xml:space="preserve">on </w:t>
      </w:r>
      <w:r w:rsidRPr="0070741E">
        <w:rPr>
          <w:rFonts w:ascii="Times New Roman" w:eastAsia="Times New Roman" w:hAnsi="Times New Roman"/>
          <w:bCs/>
          <w:sz w:val="24"/>
          <w:szCs w:val="24"/>
          <w:lang w:eastAsia="pl-PL"/>
        </w:rPr>
        <w:t xml:space="preserve">w jakim charakterze dokonuje tego nabycia. Jeśli występuje on jako podatnik VAT, to przedstawia sprzedawcy swój numer </w:t>
      </w:r>
      <w:r w:rsidR="00E75C5A" w:rsidRPr="0070741E">
        <w:rPr>
          <w:rFonts w:ascii="Times New Roman" w:eastAsia="Times New Roman" w:hAnsi="Times New Roman"/>
          <w:bCs/>
          <w:sz w:val="24"/>
          <w:szCs w:val="24"/>
          <w:lang w:eastAsia="pl-PL"/>
        </w:rPr>
        <w:t>identyfikujący go na potrzeby podatku</w:t>
      </w:r>
      <w:r w:rsidRPr="0070741E">
        <w:rPr>
          <w:rFonts w:ascii="Times New Roman" w:eastAsia="Times New Roman" w:hAnsi="Times New Roman"/>
          <w:bCs/>
          <w:sz w:val="24"/>
          <w:szCs w:val="24"/>
          <w:lang w:eastAsia="pl-PL"/>
        </w:rPr>
        <w:t xml:space="preserve"> w taki sposób, aby sprzedaż towarów lub usług była właściwie udokumentowana – albo fakturą VAT albo paragonem z </w:t>
      </w:r>
      <w:r w:rsidR="00E75C5A" w:rsidRPr="0070741E">
        <w:rPr>
          <w:rFonts w:ascii="Times New Roman" w:eastAsia="Times New Roman" w:hAnsi="Times New Roman"/>
          <w:bCs/>
          <w:sz w:val="24"/>
          <w:szCs w:val="24"/>
          <w:lang w:eastAsia="pl-PL"/>
        </w:rPr>
        <w:t xml:space="preserve">tym </w:t>
      </w:r>
      <w:r w:rsidRPr="0070741E">
        <w:rPr>
          <w:rFonts w:ascii="Times New Roman" w:eastAsia="Times New Roman" w:hAnsi="Times New Roman"/>
          <w:bCs/>
          <w:sz w:val="24"/>
          <w:szCs w:val="24"/>
          <w:lang w:eastAsia="pl-PL"/>
        </w:rPr>
        <w:t xml:space="preserve">numerem pozwalającym na ewentualne późniejsze prawidłowe wystawienia do tego paragonu faktury zawierającej ten numer. Jeżeli sprzedawca nie będzie dysponował kasą rejestrującą umożliwiającą wystawienie paragonu z numerem </w:t>
      </w:r>
      <w:r w:rsidR="00E75C5A" w:rsidRPr="0070741E">
        <w:rPr>
          <w:rFonts w:ascii="Times New Roman" w:eastAsia="Times New Roman" w:hAnsi="Times New Roman"/>
          <w:bCs/>
          <w:sz w:val="24"/>
          <w:szCs w:val="24"/>
          <w:lang w:eastAsia="pl-PL"/>
        </w:rPr>
        <w:t>identyfikującym nabywcę</w:t>
      </w:r>
      <w:r w:rsidRPr="0070741E">
        <w:rPr>
          <w:rFonts w:ascii="Times New Roman" w:eastAsia="Times New Roman" w:hAnsi="Times New Roman"/>
          <w:bCs/>
          <w:sz w:val="24"/>
          <w:szCs w:val="24"/>
          <w:lang w:eastAsia="pl-PL"/>
        </w:rPr>
        <w:t xml:space="preserve"> (w celu późniejszego wystawienia z tym numerem faktury), wystawi od razu fakturę.</w:t>
      </w:r>
    </w:p>
    <w:p w14:paraId="39CBC8F3" w14:textId="57B01CA1"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lang w:eastAsia="pl-PL"/>
        </w:rPr>
        <w:t xml:space="preserve">Ponadto proponuje się wprowadzenie przepisu przejściowego, zgodnie z którym </w:t>
      </w:r>
      <w:r w:rsidR="00792429">
        <w:rPr>
          <w:rFonts w:ascii="Times New Roman" w:hAnsi="Times New Roman"/>
          <w:sz w:val="24"/>
          <w:szCs w:val="24"/>
        </w:rPr>
        <w:t>art. </w:t>
      </w:r>
      <w:r w:rsidRPr="0070741E">
        <w:rPr>
          <w:rFonts w:ascii="Times New Roman" w:hAnsi="Times New Roman"/>
          <w:sz w:val="24"/>
          <w:szCs w:val="24"/>
        </w:rPr>
        <w:t>109</w:t>
      </w:r>
      <w:r w:rsidR="00D00EFA">
        <w:rPr>
          <w:rFonts w:ascii="Times New Roman" w:hAnsi="Times New Roman"/>
          <w:sz w:val="24"/>
          <w:szCs w:val="24"/>
        </w:rPr>
        <w:t>a</w:t>
      </w:r>
      <w:r w:rsidRPr="0070741E">
        <w:rPr>
          <w:rFonts w:ascii="Times New Roman" w:hAnsi="Times New Roman"/>
          <w:sz w:val="24"/>
          <w:szCs w:val="24"/>
        </w:rPr>
        <w:t xml:space="preserve"> nie będzie miały zastosowania w przypadku sprzedaży zaewidencjonowanej przy zastosowaniu kasy rejestrującej przed dniem wejścia w życie projektowanej ustawy. </w:t>
      </w:r>
    </w:p>
    <w:p w14:paraId="59E8D842" w14:textId="77777777" w:rsidR="006B7B7A" w:rsidRPr="0070741E" w:rsidRDefault="006B7B7A" w:rsidP="00CD3D8E">
      <w:pPr>
        <w:spacing w:after="0" w:line="360" w:lineRule="auto"/>
        <w:jc w:val="both"/>
        <w:rPr>
          <w:rFonts w:ascii="Times New Roman" w:eastAsia="Times New Roman" w:hAnsi="Times New Roman"/>
          <w:bCs/>
          <w:sz w:val="24"/>
          <w:szCs w:val="24"/>
          <w:u w:val="single"/>
          <w:lang w:eastAsia="pl-PL"/>
        </w:rPr>
      </w:pPr>
    </w:p>
    <w:p w14:paraId="54BD4ED7"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imes New Roman" w:hAnsi="Times New Roman"/>
          <w:bCs/>
          <w:sz w:val="24"/>
          <w:szCs w:val="24"/>
          <w:u w:val="single"/>
          <w:lang w:eastAsia="pl-PL"/>
        </w:rPr>
        <w:t>Zmiany w art. 112b i 112c</w:t>
      </w:r>
    </w:p>
    <w:p w14:paraId="7D867966" w14:textId="4314BD73" w:rsidR="006B7B7A" w:rsidRPr="0070741E" w:rsidRDefault="004E5772"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W obecnym stanie prawnym konsekwencje złożenia deklaracji korygującej po wszczęciu kontroli celno-skarbowej w zakresie wysokości dodatkowego zobowiązania są takie same, jak w przypadku złożenia deklaracji korygującej po zakończeniu kontroli celno-skarbowej i</w:t>
      </w:r>
      <w:r w:rsidR="00B54194" w:rsidRPr="0070741E">
        <w:rPr>
          <w:rFonts w:ascii="Times New Roman" w:eastAsia="Times New Roman" w:hAnsi="Times New Roman"/>
          <w:bCs/>
          <w:sz w:val="24"/>
          <w:szCs w:val="24"/>
          <w:lang w:eastAsia="pl-PL"/>
        </w:rPr>
        <w:t> </w:t>
      </w:r>
      <w:r w:rsidRPr="0070741E">
        <w:rPr>
          <w:rFonts w:ascii="Times New Roman" w:eastAsia="Times New Roman" w:hAnsi="Times New Roman"/>
          <w:bCs/>
          <w:sz w:val="24"/>
          <w:szCs w:val="24"/>
          <w:lang w:eastAsia="pl-PL"/>
        </w:rPr>
        <w:t xml:space="preserve">otrzymaniu wyniku kontroli (wysokość dodatkowego zobowiązania podatkowego w takich </w:t>
      </w:r>
      <w:r w:rsidRPr="0070741E">
        <w:rPr>
          <w:rFonts w:ascii="Times New Roman" w:eastAsia="Times New Roman" w:hAnsi="Times New Roman"/>
          <w:bCs/>
          <w:sz w:val="24"/>
          <w:szCs w:val="24"/>
          <w:lang w:eastAsia="pl-PL"/>
        </w:rPr>
        <w:lastRenderedPageBreak/>
        <w:t>przypadkach wynosi 20%). Zatem nie ma zachęty do złożenia deklaracji korygującej po wszczęciu kontroli celno-skarbowej, lecz przed jej zakończeniem. Wprowadzenie zmiany w</w:t>
      </w:r>
      <w:r w:rsidR="00B54194" w:rsidRPr="0070741E">
        <w:rPr>
          <w:rFonts w:ascii="Times New Roman" w:eastAsia="Times New Roman" w:hAnsi="Times New Roman"/>
          <w:bCs/>
          <w:sz w:val="24"/>
          <w:szCs w:val="24"/>
          <w:lang w:eastAsia="pl-PL"/>
        </w:rPr>
        <w:t> </w:t>
      </w:r>
      <w:r w:rsidRPr="0070741E">
        <w:rPr>
          <w:rFonts w:ascii="Times New Roman" w:eastAsia="Times New Roman" w:hAnsi="Times New Roman"/>
          <w:bCs/>
          <w:sz w:val="24"/>
          <w:szCs w:val="24"/>
          <w:lang w:eastAsia="pl-PL"/>
        </w:rPr>
        <w:t>wysokości dodatkowego zobowiązania w przypadku złożenia deklaracji korygującej po wszczęciu kontroli celno-skarbowej (poprzez wprowadzenie obniżonej stawki dodatkowego zobowiązania) ma stanowić większą zachętę do korzystania przez podatników z możliwości składania pierwszej deklaracji korygującej w trakcie kontroli celno-skarbowej. Proponuje się zatem w projektowanych przepisach, aby w sytuacji, gdy po wszczęciu kontroli celno-skarbowej, a przed upływem 14-dniowego terminu, o którym mowa</w:t>
      </w:r>
      <w:r w:rsidRPr="0070741E">
        <w:rPr>
          <w:rFonts w:ascii="Times New Roman" w:eastAsia="Cambria" w:hAnsi="Times New Roman"/>
          <w:sz w:val="24"/>
          <w:szCs w:val="24"/>
        </w:rPr>
        <w:t xml:space="preserve"> </w:t>
      </w:r>
      <w:r w:rsidRPr="0070741E">
        <w:rPr>
          <w:rFonts w:ascii="Times New Roman" w:eastAsia="Times New Roman" w:hAnsi="Times New Roman"/>
          <w:bCs/>
          <w:sz w:val="24"/>
          <w:szCs w:val="24"/>
          <w:lang w:eastAsia="pl-PL"/>
        </w:rPr>
        <w:t>w art. 62 ust. 4 ustawy z</w:t>
      </w:r>
      <w:r w:rsidR="00A95060" w:rsidRPr="0070741E">
        <w:rPr>
          <w:rFonts w:ascii="Times New Roman" w:eastAsia="Times New Roman" w:hAnsi="Times New Roman"/>
          <w:bCs/>
          <w:sz w:val="24"/>
          <w:szCs w:val="24"/>
          <w:lang w:eastAsia="pl-PL"/>
        </w:rPr>
        <w:t> </w:t>
      </w:r>
      <w:r w:rsidRPr="0070741E">
        <w:rPr>
          <w:rFonts w:ascii="Times New Roman" w:eastAsia="Times New Roman" w:hAnsi="Times New Roman"/>
          <w:bCs/>
          <w:sz w:val="24"/>
          <w:szCs w:val="24"/>
          <w:lang w:eastAsia="pl-PL"/>
        </w:rPr>
        <w:t xml:space="preserve">dnia 16 listopada 2016 r. o Krajowej Administracji Skarbowej, podatnik złoży korektę deklaracji i </w:t>
      </w:r>
      <w:r w:rsidR="002E1C27">
        <w:rPr>
          <w:rFonts w:ascii="Times New Roman" w:eastAsia="Times New Roman" w:hAnsi="Times New Roman"/>
          <w:bCs/>
          <w:sz w:val="24"/>
          <w:szCs w:val="24"/>
          <w:lang w:eastAsia="pl-PL"/>
        </w:rPr>
        <w:t>najpóźniej w dniu</w:t>
      </w:r>
      <w:r w:rsidR="00975806" w:rsidRPr="0070741E">
        <w:rPr>
          <w:rFonts w:ascii="Times New Roman" w:eastAsia="Times New Roman" w:hAnsi="Times New Roman"/>
          <w:bCs/>
          <w:sz w:val="24"/>
          <w:szCs w:val="24"/>
          <w:lang w:eastAsia="pl-PL"/>
        </w:rPr>
        <w:t xml:space="preserve"> złożenia tej korekty deklaracji </w:t>
      </w:r>
      <w:r w:rsidRPr="0070741E">
        <w:rPr>
          <w:rFonts w:ascii="Times New Roman" w:eastAsia="Times New Roman" w:hAnsi="Times New Roman"/>
          <w:bCs/>
          <w:sz w:val="24"/>
          <w:szCs w:val="24"/>
          <w:lang w:eastAsia="pl-PL"/>
        </w:rPr>
        <w:t>wpłaci kwotę zobowiązania podatkowego lub zwróci nienależną kwotę zwrotu,</w:t>
      </w:r>
      <w:r w:rsidR="007D5A6F" w:rsidRPr="0070741E">
        <w:rPr>
          <w:rFonts w:ascii="Times New Roman" w:eastAsia="Times New Roman" w:hAnsi="Times New Roman"/>
          <w:bCs/>
          <w:sz w:val="24"/>
          <w:szCs w:val="24"/>
          <w:lang w:eastAsia="pl-PL"/>
        </w:rPr>
        <w:t xml:space="preserve"> </w:t>
      </w:r>
      <w:r w:rsidRPr="0070741E">
        <w:rPr>
          <w:rFonts w:ascii="Times New Roman" w:eastAsia="Times New Roman" w:hAnsi="Times New Roman"/>
          <w:bCs/>
          <w:sz w:val="24"/>
          <w:szCs w:val="24"/>
          <w:lang w:eastAsia="pl-PL"/>
        </w:rPr>
        <w:t>sankcje wynosiły 15% kwoty uszczuplenia podatkowego.</w:t>
      </w:r>
    </w:p>
    <w:p w14:paraId="44BE347B" w14:textId="3A3FB8AF" w:rsidR="00A630FC" w:rsidRDefault="00596575" w:rsidP="00A630FC">
      <w:pPr>
        <w:spacing w:after="0" w:line="360" w:lineRule="auto"/>
        <w:jc w:val="both"/>
        <w:rPr>
          <w:rFonts w:ascii="Times New Roman" w:eastAsia="Times New Roman" w:hAnsi="Times New Roman"/>
          <w:bCs/>
          <w:sz w:val="24"/>
          <w:szCs w:val="24"/>
          <w:lang w:eastAsia="pl-PL"/>
        </w:rPr>
      </w:pPr>
      <w:r w:rsidRPr="00596575">
        <w:rPr>
          <w:rFonts w:ascii="Times New Roman" w:eastAsia="Times New Roman" w:hAnsi="Times New Roman"/>
          <w:bCs/>
          <w:sz w:val="24"/>
          <w:szCs w:val="24"/>
          <w:lang w:eastAsia="pl-PL"/>
        </w:rPr>
        <w:t>Ponadto w art. 112b ust. 2 ustawy o VAT konkretyzuje się termin do spełnienia warunku w postaci dokonania odpowiednio wpłaty kwoty zobowiązania podatkowego lub zwrotu nienależnej kwoty zwrotu, stanowiącego przesłankę zastosowania dodatkowego zobowiązania podatkowego w wysokości 20% kwoty zaniżenia. Doprecyzowanie polega na wskazaniu, iż wpłata ma nastąpić odpowiednio najpóźniej w dniu złożenia deklaracji bądź korekty deklaracji.</w:t>
      </w:r>
    </w:p>
    <w:p w14:paraId="399CE9C4" w14:textId="77777777" w:rsidR="00596575" w:rsidRPr="0070741E" w:rsidRDefault="00596575" w:rsidP="00A630FC">
      <w:pPr>
        <w:spacing w:after="0" w:line="360" w:lineRule="auto"/>
        <w:jc w:val="both"/>
        <w:rPr>
          <w:rFonts w:ascii="Times New Roman" w:eastAsia="Times New Roman" w:hAnsi="Times New Roman"/>
          <w:bCs/>
          <w:sz w:val="24"/>
          <w:szCs w:val="24"/>
          <w:u w:val="single"/>
          <w:lang w:eastAsia="pl-PL"/>
        </w:rPr>
      </w:pPr>
    </w:p>
    <w:p w14:paraId="4FF03271" w14:textId="77777777" w:rsidR="00A630FC" w:rsidRPr="0070741E" w:rsidRDefault="00A630FC" w:rsidP="00A630FC">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113 ust. 10a</w:t>
      </w:r>
    </w:p>
    <w:p w14:paraId="4CCBF822" w14:textId="77777777" w:rsidR="00A630FC" w:rsidRPr="0070741E" w:rsidRDefault="00A630FC" w:rsidP="00A630FC">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Uzasadnienie zmiany w art. 113 ust. 10a zawarte jest w części dotyczącej zmian w art. 43 ust. 21.</w:t>
      </w:r>
    </w:p>
    <w:p w14:paraId="47FB1D72" w14:textId="77777777" w:rsidR="006B7B7A" w:rsidRPr="0070741E" w:rsidRDefault="006B7B7A" w:rsidP="00CD3D8E">
      <w:pPr>
        <w:spacing w:after="0" w:line="360" w:lineRule="auto"/>
        <w:jc w:val="both"/>
        <w:rPr>
          <w:rFonts w:ascii="Times New Roman" w:eastAsia="Times New Roman" w:hAnsi="Times New Roman"/>
          <w:bCs/>
          <w:sz w:val="24"/>
          <w:szCs w:val="24"/>
          <w:lang w:eastAsia="pl-PL"/>
        </w:rPr>
      </w:pPr>
    </w:p>
    <w:p w14:paraId="07A58A3D" w14:textId="77777777"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113</w:t>
      </w:r>
      <w:r w:rsidR="00921E68" w:rsidRPr="0070741E">
        <w:rPr>
          <w:rFonts w:ascii="Times New Roman" w:eastAsia="Times New Roman" w:hAnsi="Times New Roman"/>
          <w:bCs/>
          <w:sz w:val="24"/>
          <w:szCs w:val="24"/>
          <w:u w:val="single"/>
          <w:lang w:eastAsia="pl-PL"/>
        </w:rPr>
        <w:t xml:space="preserve"> ust. 13</w:t>
      </w:r>
    </w:p>
    <w:p w14:paraId="74B5083E" w14:textId="26512E1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Projektowane zmiany polegają na rozszerzeniu katalogu podatników, do których nie stosuje się zwolnienia podmiotowego, o którym mowa w art. 113 ustawy o VAT. Ustawowo zwolnieniem podmiotowym są objęci podatnicy, u których wartość sprzedaży (bez kwoty podatku) w poprzednim roku podatkowym nie przekroczyła kwoty 200 tys. zł (ustawa przewiduje wyjątki w stosowaniu zwolnienia podmiotowego). Niniejszym projektem proponuje się likwidację zwolnienia podmiotowego dla podatników dokonujących dostaw </w:t>
      </w:r>
      <w:r w:rsidR="00CC4410" w:rsidRPr="0070741E">
        <w:rPr>
          <w:rFonts w:ascii="Times New Roman" w:hAnsi="Times New Roman"/>
          <w:sz w:val="24"/>
          <w:szCs w:val="24"/>
        </w:rPr>
        <w:t xml:space="preserve">części do pojazdów samochodowych i motocykli (niezależnie od sposobu realizacji dostawy) oraz m.in. </w:t>
      </w:r>
      <w:r w:rsidR="00B15DC5" w:rsidRPr="0070741E">
        <w:rPr>
          <w:rFonts w:ascii="Times New Roman" w:eastAsia="Times New Roman" w:hAnsi="Times New Roman"/>
          <w:bCs/>
          <w:sz w:val="24"/>
          <w:szCs w:val="24"/>
          <w:lang w:eastAsia="pl-PL"/>
        </w:rPr>
        <w:t>preparatów kosmetycznych i toaletowych,</w:t>
      </w:r>
      <w:r w:rsidR="00B15DC5" w:rsidRPr="0070741E">
        <w:rPr>
          <w:rFonts w:ascii="Times New Roman" w:hAnsi="Times New Roman"/>
          <w:sz w:val="24"/>
          <w:szCs w:val="24"/>
        </w:rPr>
        <w:t xml:space="preserve"> </w:t>
      </w:r>
      <w:r w:rsidR="00CC4410" w:rsidRPr="0070741E">
        <w:rPr>
          <w:rFonts w:ascii="Times New Roman" w:hAnsi="Times New Roman"/>
          <w:sz w:val="24"/>
          <w:szCs w:val="24"/>
        </w:rPr>
        <w:t>komputerów, urząd</w:t>
      </w:r>
      <w:r w:rsidR="00712E08" w:rsidRPr="0070741E">
        <w:rPr>
          <w:rFonts w:ascii="Times New Roman" w:hAnsi="Times New Roman"/>
          <w:sz w:val="24"/>
          <w:szCs w:val="24"/>
        </w:rPr>
        <w:t xml:space="preserve">zeń elektronicznych, </w:t>
      </w:r>
      <w:r w:rsidR="00712E08" w:rsidRPr="0070741E">
        <w:rPr>
          <w:rFonts w:ascii="Times New Roman" w:hAnsi="Times New Roman"/>
          <w:sz w:val="24"/>
          <w:szCs w:val="24"/>
        </w:rPr>
        <w:lastRenderedPageBreak/>
        <w:t>RTV, AGD i </w:t>
      </w:r>
      <w:r w:rsidR="00CC4410" w:rsidRPr="0070741E">
        <w:rPr>
          <w:rFonts w:ascii="Times New Roman" w:hAnsi="Times New Roman"/>
          <w:sz w:val="24"/>
          <w:szCs w:val="24"/>
        </w:rPr>
        <w:t>innych tego rodzaju</w:t>
      </w:r>
      <w:r w:rsidRPr="0070741E">
        <w:rPr>
          <w:rFonts w:ascii="Times New Roman" w:hAnsi="Times New Roman"/>
          <w:sz w:val="24"/>
          <w:szCs w:val="24"/>
        </w:rPr>
        <w:t xml:space="preserve"> towarów w związku z zawarciem umowy w ramach zorganizowanego systemu zawierania umów na odległość, bez jednoczesn</w:t>
      </w:r>
      <w:r w:rsidR="00712E08" w:rsidRPr="0070741E">
        <w:rPr>
          <w:rFonts w:ascii="Times New Roman" w:hAnsi="Times New Roman"/>
          <w:sz w:val="24"/>
          <w:szCs w:val="24"/>
        </w:rPr>
        <w:t>ej fizycznej obecności stron, z </w:t>
      </w:r>
      <w:r w:rsidRPr="0070741E">
        <w:rPr>
          <w:rFonts w:ascii="Times New Roman" w:hAnsi="Times New Roman"/>
          <w:sz w:val="24"/>
          <w:szCs w:val="24"/>
        </w:rPr>
        <w:t xml:space="preserve">wyłącznym wykorzystaniem jednego lub większej liczby środków porozumiewania się na odległość do chwili zawarcia umowy włącznie (np. sprzedaż </w:t>
      </w:r>
      <w:r w:rsidR="00757C32" w:rsidRPr="0070741E">
        <w:rPr>
          <w:rFonts w:ascii="Times New Roman" w:hAnsi="Times New Roman"/>
          <w:sz w:val="24"/>
          <w:szCs w:val="24"/>
        </w:rPr>
        <w:t xml:space="preserve">internetowa lub telefoniczna). </w:t>
      </w:r>
      <w:r w:rsidRPr="0070741E">
        <w:rPr>
          <w:rFonts w:ascii="Times New Roman" w:hAnsi="Times New Roman"/>
          <w:sz w:val="24"/>
          <w:szCs w:val="24"/>
        </w:rPr>
        <w:t>Projektowany przepis w zakresie określenia umowy wzorowany jest na określeniu umowy zawartej na odległość</w:t>
      </w:r>
      <w:r w:rsidR="00757C32" w:rsidRPr="0070741E">
        <w:rPr>
          <w:rFonts w:ascii="Times New Roman" w:hAnsi="Times New Roman"/>
          <w:sz w:val="24"/>
          <w:szCs w:val="24"/>
        </w:rPr>
        <w:t>,</w:t>
      </w:r>
      <w:r w:rsidRPr="0070741E">
        <w:rPr>
          <w:rFonts w:ascii="Times New Roman" w:hAnsi="Times New Roman"/>
          <w:sz w:val="24"/>
          <w:szCs w:val="24"/>
        </w:rPr>
        <w:t xml:space="preserve"> zdefiniowanym w art. 2 pkt 1 ustawy z dnia 30 maja 2014 r. o prawach konsumenta (Dz.</w:t>
      </w:r>
      <w:r w:rsidR="00F25C5C" w:rsidRPr="0070741E">
        <w:rPr>
          <w:rFonts w:ascii="Times New Roman" w:hAnsi="Times New Roman"/>
          <w:sz w:val="24"/>
          <w:szCs w:val="24"/>
        </w:rPr>
        <w:t xml:space="preserve"> </w:t>
      </w:r>
      <w:r w:rsidRPr="0070741E">
        <w:rPr>
          <w:rFonts w:ascii="Times New Roman" w:hAnsi="Times New Roman"/>
          <w:sz w:val="24"/>
          <w:szCs w:val="24"/>
        </w:rPr>
        <w:t xml:space="preserve">U. z </w:t>
      </w:r>
      <w:r w:rsidR="00455108" w:rsidRPr="0070741E">
        <w:rPr>
          <w:rFonts w:ascii="Times New Roman" w:hAnsi="Times New Roman"/>
          <w:sz w:val="24"/>
          <w:szCs w:val="24"/>
        </w:rPr>
        <w:t xml:space="preserve">2019 </w:t>
      </w:r>
      <w:r w:rsidRPr="0070741E">
        <w:rPr>
          <w:rFonts w:ascii="Times New Roman" w:hAnsi="Times New Roman"/>
          <w:sz w:val="24"/>
          <w:szCs w:val="24"/>
        </w:rPr>
        <w:t xml:space="preserve">r. poz. </w:t>
      </w:r>
      <w:r w:rsidR="00455108" w:rsidRPr="0070741E">
        <w:rPr>
          <w:rFonts w:ascii="Times New Roman" w:hAnsi="Times New Roman"/>
          <w:sz w:val="24"/>
          <w:szCs w:val="24"/>
        </w:rPr>
        <w:t>134</w:t>
      </w:r>
      <w:r w:rsidR="007941D4">
        <w:rPr>
          <w:rFonts w:ascii="Times New Roman" w:hAnsi="Times New Roman"/>
          <w:sz w:val="24"/>
          <w:szCs w:val="24"/>
        </w:rPr>
        <w:t>, ze zm.</w:t>
      </w:r>
      <w:r w:rsidRPr="0070741E">
        <w:rPr>
          <w:rFonts w:ascii="Times New Roman" w:hAnsi="Times New Roman"/>
          <w:sz w:val="24"/>
          <w:szCs w:val="24"/>
        </w:rPr>
        <w:t>). Mając jednak na uwadze to, że ww. definicja umowy zawartej na odległość dotyczy umów zawartych z konsumentem, odwołanie się do niej wprost w art. 113 ust. 13 pkt 1 lit. f ustawy o</w:t>
      </w:r>
      <w:r w:rsidR="0011038A" w:rsidRPr="0070741E">
        <w:rPr>
          <w:rFonts w:ascii="Times New Roman" w:hAnsi="Times New Roman"/>
          <w:sz w:val="24"/>
          <w:szCs w:val="24"/>
        </w:rPr>
        <w:t> </w:t>
      </w:r>
      <w:r w:rsidR="00792429">
        <w:rPr>
          <w:rFonts w:ascii="Times New Roman" w:hAnsi="Times New Roman"/>
          <w:sz w:val="24"/>
          <w:szCs w:val="24"/>
        </w:rPr>
        <w:t>podatku od towarów i </w:t>
      </w:r>
      <w:r w:rsidRPr="0070741E">
        <w:rPr>
          <w:rFonts w:ascii="Times New Roman" w:hAnsi="Times New Roman"/>
          <w:sz w:val="24"/>
          <w:szCs w:val="24"/>
        </w:rPr>
        <w:t>usług, który dotyczy także umów</w:t>
      </w:r>
      <w:r w:rsidR="00757C32" w:rsidRPr="0070741E">
        <w:rPr>
          <w:rFonts w:ascii="Times New Roman" w:hAnsi="Times New Roman"/>
          <w:sz w:val="24"/>
          <w:szCs w:val="24"/>
        </w:rPr>
        <w:t xml:space="preserve"> z </w:t>
      </w:r>
      <w:r w:rsidRPr="0070741E">
        <w:rPr>
          <w:rFonts w:ascii="Times New Roman" w:hAnsi="Times New Roman"/>
          <w:sz w:val="24"/>
          <w:szCs w:val="24"/>
        </w:rPr>
        <w:t>podmiotami niebędącymi konsumentami, byłoby niezasadne.</w:t>
      </w:r>
    </w:p>
    <w:p w14:paraId="600A3AAB" w14:textId="77777777" w:rsidR="00103C22" w:rsidRPr="0070741E" w:rsidRDefault="004E5772" w:rsidP="00AE4C02">
      <w:pPr>
        <w:spacing w:after="0" w:line="360" w:lineRule="auto"/>
        <w:jc w:val="both"/>
        <w:rPr>
          <w:rFonts w:ascii="Times New Roman" w:hAnsi="Times New Roman"/>
          <w:sz w:val="24"/>
          <w:szCs w:val="24"/>
        </w:rPr>
      </w:pPr>
      <w:r w:rsidRPr="0070741E">
        <w:rPr>
          <w:rFonts w:ascii="Times New Roman" w:hAnsi="Times New Roman"/>
          <w:sz w:val="24"/>
          <w:szCs w:val="24"/>
        </w:rPr>
        <w:t xml:space="preserve">Powyższe dotyczy wybranych kategorii towarów szczególnie wrażliwych na oszustwa, sklasyfikowanych według Polskiej Klasyfikacji Wyrobów i Usług w grupowaniach PKWiU </w:t>
      </w:r>
      <w:r w:rsidR="00103C22" w:rsidRPr="0070741E">
        <w:rPr>
          <w:rFonts w:ascii="Times New Roman" w:hAnsi="Times New Roman"/>
          <w:sz w:val="24"/>
          <w:szCs w:val="24"/>
        </w:rPr>
        <w:t xml:space="preserve">20.42.1, </w:t>
      </w:r>
      <w:r w:rsidRPr="0070741E">
        <w:rPr>
          <w:rFonts w:ascii="Times New Roman" w:hAnsi="Times New Roman"/>
          <w:sz w:val="24"/>
          <w:szCs w:val="24"/>
        </w:rPr>
        <w:t>26 – 28</w:t>
      </w:r>
      <w:r w:rsidR="0060170E" w:rsidRPr="0070741E">
        <w:rPr>
          <w:rFonts w:ascii="Times New Roman" w:hAnsi="Times New Roman"/>
          <w:sz w:val="24"/>
          <w:szCs w:val="24"/>
        </w:rPr>
        <w:t>,</w:t>
      </w:r>
      <w:r w:rsidR="0067029C" w:rsidRPr="0070741E">
        <w:rPr>
          <w:rFonts w:ascii="Times New Roman" w:hAnsi="Times New Roman"/>
          <w:sz w:val="24"/>
          <w:szCs w:val="24"/>
        </w:rPr>
        <w:t xml:space="preserve"> </w:t>
      </w:r>
      <w:r w:rsidR="0060170E" w:rsidRPr="0070741E">
        <w:rPr>
          <w:rFonts w:ascii="Times New Roman" w:hAnsi="Times New Roman"/>
          <w:sz w:val="24"/>
          <w:szCs w:val="24"/>
        </w:rPr>
        <w:t>45.3 oraz 45.4</w:t>
      </w:r>
      <w:r w:rsidRPr="0070741E">
        <w:rPr>
          <w:rFonts w:ascii="Times New Roman" w:hAnsi="Times New Roman"/>
          <w:sz w:val="24"/>
          <w:szCs w:val="24"/>
        </w:rPr>
        <w:t>.</w:t>
      </w:r>
      <w:r w:rsidR="00103C22" w:rsidRPr="0070741E">
        <w:rPr>
          <w:rFonts w:ascii="Times New Roman" w:hAnsi="Times New Roman"/>
          <w:sz w:val="24"/>
          <w:szCs w:val="24"/>
        </w:rPr>
        <w:t xml:space="preserve"> Są to, jak powyżej wskazano</w:t>
      </w:r>
      <w:r w:rsidR="0060170E" w:rsidRPr="0070741E">
        <w:rPr>
          <w:rFonts w:ascii="Times New Roman" w:hAnsi="Times New Roman"/>
          <w:sz w:val="24"/>
          <w:szCs w:val="24"/>
        </w:rPr>
        <w:t xml:space="preserve"> m.in., </w:t>
      </w:r>
      <w:r w:rsidR="00B15DC5" w:rsidRPr="0070741E">
        <w:rPr>
          <w:rFonts w:ascii="Times New Roman" w:hAnsi="Times New Roman"/>
          <w:sz w:val="24"/>
          <w:szCs w:val="24"/>
        </w:rPr>
        <w:t>preparaty kosmetyczne i</w:t>
      </w:r>
      <w:r w:rsidR="00D75D89" w:rsidRPr="0070741E">
        <w:rPr>
          <w:rFonts w:ascii="Times New Roman" w:hAnsi="Times New Roman"/>
          <w:sz w:val="24"/>
          <w:szCs w:val="24"/>
        </w:rPr>
        <w:t> </w:t>
      </w:r>
      <w:r w:rsidR="00B15DC5" w:rsidRPr="0070741E">
        <w:rPr>
          <w:rFonts w:ascii="Times New Roman" w:hAnsi="Times New Roman"/>
          <w:sz w:val="24"/>
          <w:szCs w:val="24"/>
        </w:rPr>
        <w:t xml:space="preserve">toaletowe, </w:t>
      </w:r>
      <w:r w:rsidR="0060170E" w:rsidRPr="0070741E">
        <w:rPr>
          <w:rFonts w:ascii="Times New Roman" w:hAnsi="Times New Roman"/>
          <w:sz w:val="24"/>
          <w:szCs w:val="24"/>
        </w:rPr>
        <w:t xml:space="preserve">komputery, wyroby elektroniczne i optyczne, urządzenia </w:t>
      </w:r>
      <w:r w:rsidR="00AE4C02" w:rsidRPr="0070741E">
        <w:rPr>
          <w:rFonts w:ascii="Times New Roman" w:hAnsi="Times New Roman"/>
          <w:sz w:val="24"/>
          <w:szCs w:val="24"/>
        </w:rPr>
        <w:t>elektryczne</w:t>
      </w:r>
      <w:r w:rsidR="00D75D89" w:rsidRPr="0070741E">
        <w:rPr>
          <w:rFonts w:ascii="Times New Roman" w:hAnsi="Times New Roman"/>
          <w:sz w:val="24"/>
          <w:szCs w:val="24"/>
        </w:rPr>
        <w:t xml:space="preserve"> i </w:t>
      </w:r>
      <w:r w:rsidR="0060170E" w:rsidRPr="0070741E">
        <w:rPr>
          <w:rFonts w:ascii="Times New Roman" w:hAnsi="Times New Roman"/>
          <w:sz w:val="24"/>
          <w:szCs w:val="24"/>
        </w:rPr>
        <w:t>nieelektryczny sprzęt gospodarstwa domowego</w:t>
      </w:r>
      <w:r w:rsidR="00103C22" w:rsidRPr="0070741E">
        <w:rPr>
          <w:rFonts w:ascii="Times New Roman" w:hAnsi="Times New Roman"/>
          <w:sz w:val="24"/>
          <w:szCs w:val="24"/>
        </w:rPr>
        <w:t>, czę</w:t>
      </w:r>
      <w:r w:rsidR="00D75D89" w:rsidRPr="0070741E">
        <w:rPr>
          <w:rFonts w:ascii="Times New Roman" w:hAnsi="Times New Roman"/>
          <w:sz w:val="24"/>
          <w:szCs w:val="24"/>
        </w:rPr>
        <w:t>ści do pojazdów samochodowych i </w:t>
      </w:r>
      <w:r w:rsidR="00103C22" w:rsidRPr="0070741E">
        <w:rPr>
          <w:rFonts w:ascii="Times New Roman" w:hAnsi="Times New Roman"/>
          <w:sz w:val="24"/>
          <w:szCs w:val="24"/>
        </w:rPr>
        <w:t>motocykli</w:t>
      </w:r>
      <w:r w:rsidR="0060170E" w:rsidRPr="0070741E">
        <w:rPr>
          <w:rFonts w:ascii="Times New Roman" w:hAnsi="Times New Roman"/>
          <w:sz w:val="24"/>
          <w:szCs w:val="24"/>
        </w:rPr>
        <w:t>.</w:t>
      </w:r>
      <w:r w:rsidRPr="0070741E">
        <w:rPr>
          <w:rFonts w:ascii="Times New Roman" w:hAnsi="Times New Roman"/>
          <w:sz w:val="24"/>
          <w:szCs w:val="24"/>
        </w:rPr>
        <w:t xml:space="preserve"> </w:t>
      </w:r>
      <w:r w:rsidR="0060170E" w:rsidRPr="0070741E">
        <w:rPr>
          <w:rFonts w:ascii="Times New Roman" w:hAnsi="Times New Roman"/>
          <w:sz w:val="24"/>
          <w:szCs w:val="24"/>
        </w:rPr>
        <w:t>W obrocie tymi towarami</w:t>
      </w:r>
      <w:r w:rsidR="00686B82" w:rsidRPr="0070741E">
        <w:rPr>
          <w:rFonts w:ascii="Times New Roman" w:hAnsi="Times New Roman"/>
          <w:sz w:val="24"/>
          <w:szCs w:val="24"/>
        </w:rPr>
        <w:t xml:space="preserve"> najczęściej dochodzi do unikania opodatkowania, przykładowo </w:t>
      </w:r>
      <w:r w:rsidR="00757C32" w:rsidRPr="0070741E">
        <w:rPr>
          <w:rFonts w:ascii="Times New Roman" w:hAnsi="Times New Roman"/>
          <w:sz w:val="24"/>
          <w:szCs w:val="24"/>
        </w:rPr>
        <w:t>nowe telefony są oferowane</w:t>
      </w:r>
      <w:r w:rsidR="00686B82" w:rsidRPr="0070741E">
        <w:rPr>
          <w:rFonts w:ascii="Times New Roman" w:hAnsi="Times New Roman"/>
          <w:sz w:val="24"/>
          <w:szCs w:val="24"/>
        </w:rPr>
        <w:t xml:space="preserve"> jako</w:t>
      </w:r>
      <w:r w:rsidR="007D5A6F" w:rsidRPr="0070741E">
        <w:rPr>
          <w:rFonts w:ascii="Times New Roman" w:hAnsi="Times New Roman"/>
          <w:sz w:val="24"/>
          <w:szCs w:val="24"/>
        </w:rPr>
        <w:t xml:space="preserve"> </w:t>
      </w:r>
      <w:r w:rsidR="0011038A" w:rsidRPr="0070741E">
        <w:rPr>
          <w:rFonts w:ascii="Times New Roman" w:hAnsi="Times New Roman"/>
          <w:sz w:val="24"/>
          <w:szCs w:val="24"/>
        </w:rPr>
        <w:t>towary używane i </w:t>
      </w:r>
      <w:r w:rsidR="00686B82" w:rsidRPr="0070741E">
        <w:rPr>
          <w:rFonts w:ascii="Times New Roman" w:hAnsi="Times New Roman"/>
          <w:sz w:val="24"/>
          <w:szCs w:val="24"/>
        </w:rPr>
        <w:t>stosowane jest do nich opodatkowanie VAT marża</w:t>
      </w:r>
      <w:r w:rsidR="0067029C" w:rsidRPr="0070741E">
        <w:rPr>
          <w:rFonts w:ascii="Times New Roman" w:hAnsi="Times New Roman"/>
          <w:sz w:val="24"/>
          <w:szCs w:val="24"/>
        </w:rPr>
        <w:t xml:space="preserve">. </w:t>
      </w:r>
    </w:p>
    <w:p w14:paraId="03798D9D" w14:textId="77777777" w:rsidR="00AE4C02" w:rsidRPr="0070741E" w:rsidRDefault="0067029C" w:rsidP="00AE4C02">
      <w:pPr>
        <w:spacing w:after="0" w:line="360" w:lineRule="auto"/>
        <w:jc w:val="both"/>
        <w:rPr>
          <w:rFonts w:ascii="Times New Roman" w:hAnsi="Times New Roman"/>
          <w:sz w:val="24"/>
          <w:szCs w:val="24"/>
        </w:rPr>
      </w:pPr>
      <w:r w:rsidRPr="0070741E">
        <w:rPr>
          <w:rFonts w:ascii="Times New Roman" w:hAnsi="Times New Roman"/>
          <w:sz w:val="24"/>
          <w:szCs w:val="24"/>
        </w:rPr>
        <w:t>W </w:t>
      </w:r>
      <w:r w:rsidR="00AE4C02" w:rsidRPr="0070741E">
        <w:rPr>
          <w:rFonts w:ascii="Times New Roman" w:hAnsi="Times New Roman"/>
          <w:sz w:val="24"/>
          <w:szCs w:val="24"/>
        </w:rPr>
        <w:t>przypadku części do pojazdów samochodowych i mo</w:t>
      </w:r>
      <w:r w:rsidRPr="0070741E">
        <w:rPr>
          <w:rFonts w:ascii="Times New Roman" w:hAnsi="Times New Roman"/>
          <w:sz w:val="24"/>
          <w:szCs w:val="24"/>
        </w:rPr>
        <w:t>tocykli problem związany jest z </w:t>
      </w:r>
      <w:r w:rsidR="00AE4C02" w:rsidRPr="0070741E">
        <w:rPr>
          <w:rFonts w:ascii="Times New Roman" w:hAnsi="Times New Roman"/>
          <w:sz w:val="24"/>
          <w:szCs w:val="24"/>
        </w:rPr>
        <w:t>wykorzystywanie</w:t>
      </w:r>
      <w:r w:rsidR="00103C22" w:rsidRPr="0070741E">
        <w:rPr>
          <w:rFonts w:ascii="Times New Roman" w:hAnsi="Times New Roman"/>
          <w:sz w:val="24"/>
          <w:szCs w:val="24"/>
        </w:rPr>
        <w:t>m</w:t>
      </w:r>
      <w:r w:rsidR="00AE4C02" w:rsidRPr="0070741E">
        <w:rPr>
          <w:rFonts w:ascii="Times New Roman" w:hAnsi="Times New Roman"/>
          <w:sz w:val="24"/>
          <w:szCs w:val="24"/>
        </w:rPr>
        <w:t xml:space="preserve"> limitu, o którym mowa w art. 113 ust. 1 ustawy o VAT, po przekroczeniu którego sprzedaż nie jest już ewidencjonowana. Nabywanie towarów bez podatku VAT i brak ich ewidencjonowania sprzyja następnie świadczeniu usług napraw pojazdów samochodowych i motocykli w tzw. szarej strefie. </w:t>
      </w:r>
    </w:p>
    <w:p w14:paraId="693A6B31" w14:textId="77777777" w:rsidR="00686B82" w:rsidRPr="0070741E" w:rsidRDefault="00AE4C02" w:rsidP="00AE4C02">
      <w:pPr>
        <w:spacing w:after="0" w:line="360" w:lineRule="auto"/>
        <w:jc w:val="both"/>
        <w:rPr>
          <w:rFonts w:ascii="Times New Roman" w:hAnsi="Times New Roman"/>
          <w:sz w:val="24"/>
          <w:szCs w:val="24"/>
        </w:rPr>
      </w:pPr>
      <w:r w:rsidRPr="0070741E">
        <w:rPr>
          <w:rFonts w:ascii="Times New Roman" w:hAnsi="Times New Roman"/>
          <w:sz w:val="24"/>
          <w:szCs w:val="24"/>
        </w:rPr>
        <w:t>Dla ww. procederów nie można wprawdzie podać kwot takich oszustw, ale analiza funkcjonujących portali internetowych i oferowanych</w:t>
      </w:r>
      <w:r w:rsidR="00792429">
        <w:rPr>
          <w:rFonts w:ascii="Times New Roman" w:hAnsi="Times New Roman"/>
          <w:sz w:val="24"/>
          <w:szCs w:val="24"/>
        </w:rPr>
        <w:t xml:space="preserve"> tam ofert sprzedaży świadczą o </w:t>
      </w:r>
      <w:r w:rsidRPr="0070741E">
        <w:rPr>
          <w:rFonts w:ascii="Times New Roman" w:hAnsi="Times New Roman"/>
          <w:sz w:val="24"/>
          <w:szCs w:val="24"/>
        </w:rPr>
        <w:t>wysokim poziomie takich transakcji. W przypadku obrotu częściami do pojazdów samochodowych i</w:t>
      </w:r>
      <w:r w:rsidR="0011038A" w:rsidRPr="0070741E">
        <w:rPr>
          <w:rFonts w:ascii="Times New Roman" w:hAnsi="Times New Roman"/>
          <w:sz w:val="24"/>
          <w:szCs w:val="24"/>
        </w:rPr>
        <w:t> </w:t>
      </w:r>
      <w:r w:rsidRPr="0070741E">
        <w:rPr>
          <w:rFonts w:ascii="Times New Roman" w:hAnsi="Times New Roman"/>
          <w:sz w:val="24"/>
          <w:szCs w:val="24"/>
        </w:rPr>
        <w:t>motocykli objęcie wyłączeniem nie tylko tzw. sprzedaży internetowej jest uzasadnione szeroką skalą oszustw również i w przypadku handlu stacjonarnego.</w:t>
      </w:r>
    </w:p>
    <w:p w14:paraId="012F289F" w14:textId="77777777" w:rsidR="00366916" w:rsidRPr="0070741E" w:rsidRDefault="00366916" w:rsidP="00366916">
      <w:pPr>
        <w:spacing w:after="0" w:line="360" w:lineRule="auto"/>
        <w:jc w:val="both"/>
        <w:rPr>
          <w:rFonts w:ascii="Times New Roman" w:hAnsi="Times New Roman"/>
          <w:sz w:val="24"/>
          <w:szCs w:val="24"/>
        </w:rPr>
      </w:pPr>
      <w:r w:rsidRPr="0070741E">
        <w:rPr>
          <w:rFonts w:ascii="Times New Roman" w:hAnsi="Times New Roman"/>
          <w:sz w:val="24"/>
          <w:szCs w:val="24"/>
        </w:rPr>
        <w:t>Postulowane ograniczenie zwolnień podmiotowych wynika z analizy, iż właśnie w tych branżach szczególnie dochodzi do określonych nadużyć</w:t>
      </w:r>
      <w:r w:rsidR="00D0153F" w:rsidRPr="0070741E">
        <w:rPr>
          <w:rFonts w:ascii="Times New Roman" w:hAnsi="Times New Roman"/>
          <w:sz w:val="24"/>
          <w:szCs w:val="24"/>
        </w:rPr>
        <w:t>,</w:t>
      </w:r>
      <w:r w:rsidRPr="0070741E">
        <w:rPr>
          <w:rFonts w:ascii="Times New Roman" w:hAnsi="Times New Roman"/>
          <w:sz w:val="24"/>
          <w:szCs w:val="24"/>
        </w:rPr>
        <w:t xml:space="preserve"> co uzasadnia wyłączenie tych dziedzin. W tym zakresie projektowana regulacja uwzględnia zasadę proporcjonalności. </w:t>
      </w:r>
      <w:r w:rsidRPr="0070741E">
        <w:rPr>
          <w:rFonts w:ascii="Times New Roman" w:hAnsi="Times New Roman"/>
          <w:sz w:val="24"/>
          <w:szCs w:val="24"/>
        </w:rPr>
        <w:lastRenderedPageBreak/>
        <w:t>Wprowadzana zmiana jest uzasadniona nie samym faktem występowania nadużyć, gdyż te co do zasady można spotkać we wszystkich branżach</w:t>
      </w:r>
      <w:r w:rsidR="00D0153F" w:rsidRPr="0070741E">
        <w:rPr>
          <w:rFonts w:ascii="Times New Roman" w:hAnsi="Times New Roman"/>
          <w:sz w:val="24"/>
          <w:szCs w:val="24"/>
        </w:rPr>
        <w:t>,</w:t>
      </w:r>
      <w:r w:rsidRPr="0070741E">
        <w:rPr>
          <w:rFonts w:ascii="Times New Roman" w:hAnsi="Times New Roman"/>
          <w:sz w:val="24"/>
          <w:szCs w:val="24"/>
        </w:rPr>
        <w:t xml:space="preserve"> natomiast spostrzeżenie, że w tych objętych projektowaną regulacją jest nadmiernie spotykane uzasadnia wprowadzenie w życie postulowanych zmian. Bezczynnośc</w:t>
      </w:r>
      <w:r w:rsidR="00D0153F" w:rsidRPr="0070741E">
        <w:rPr>
          <w:rFonts w:ascii="Times New Roman" w:hAnsi="Times New Roman"/>
          <w:sz w:val="24"/>
          <w:szCs w:val="24"/>
        </w:rPr>
        <w:t>i w powyższym zakresie wpłynęła</w:t>
      </w:r>
      <w:r w:rsidRPr="0070741E">
        <w:rPr>
          <w:rFonts w:ascii="Times New Roman" w:hAnsi="Times New Roman"/>
          <w:sz w:val="24"/>
          <w:szCs w:val="24"/>
        </w:rPr>
        <w:t>by w istotnym stopniu negatywnie na dokonujący się proces uszczelniania VAT. Oceniając proporcjonalność proponowanej zmiany należy również pamiętać o konieczności wspierania uczciwych przedsiębiorców poprzez dążenie do zapewnie</w:t>
      </w:r>
      <w:r w:rsidR="0074753B" w:rsidRPr="0070741E">
        <w:rPr>
          <w:rFonts w:ascii="Times New Roman" w:hAnsi="Times New Roman"/>
          <w:sz w:val="24"/>
          <w:szCs w:val="24"/>
        </w:rPr>
        <w:t>nia równych zasad konkurencji w </w:t>
      </w:r>
      <w:r w:rsidRPr="0070741E">
        <w:rPr>
          <w:rFonts w:ascii="Times New Roman" w:hAnsi="Times New Roman"/>
          <w:sz w:val="24"/>
          <w:szCs w:val="24"/>
        </w:rPr>
        <w:t>przedmiotowych branżach.</w:t>
      </w:r>
    </w:p>
    <w:p w14:paraId="09360BDF"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Ponadto proponuje się likwidację zwolnienia podmiotowego dla podatników świadczących usługi ściągania długów, w tym faktoringu – usługi te nie są objęte zwolnieniem przewidzianym dla tzw. usług finansowych na podstawie art. 43 ust. 1 pkt 7, 12 i 37-41 ustawy o VAT. Nie jest zatem zasadne, aby podatnicy świadczący usługi ściągania wierzytelności, w tym faktoringu, korzystali ze zwolnienia podmiotowego, w przypadku gdy wartość sprzedaży (bez kwoty podatku VAT) nie przekroczy u nich w roku poprzednim kwoty 200 tys. </w:t>
      </w:r>
      <w:r w:rsidR="00686B82" w:rsidRPr="0070741E">
        <w:rPr>
          <w:rFonts w:ascii="Times New Roman" w:hAnsi="Times New Roman"/>
          <w:sz w:val="24"/>
          <w:szCs w:val="24"/>
        </w:rPr>
        <w:t>z</w:t>
      </w:r>
      <w:r w:rsidRPr="0070741E">
        <w:rPr>
          <w:rFonts w:ascii="Times New Roman" w:hAnsi="Times New Roman"/>
          <w:sz w:val="24"/>
          <w:szCs w:val="24"/>
        </w:rPr>
        <w:t>ł</w:t>
      </w:r>
      <w:r w:rsidR="00686B82" w:rsidRPr="0070741E">
        <w:rPr>
          <w:rFonts w:ascii="Times New Roman" w:hAnsi="Times New Roman"/>
          <w:sz w:val="24"/>
          <w:szCs w:val="24"/>
        </w:rPr>
        <w:t>. Stwierdzono, że przedmiotowe usługi bardzo często są realizowane dla firm ubezp</w:t>
      </w:r>
      <w:r w:rsidR="00FA0466" w:rsidRPr="0070741E">
        <w:rPr>
          <w:rFonts w:ascii="Times New Roman" w:hAnsi="Times New Roman"/>
          <w:sz w:val="24"/>
          <w:szCs w:val="24"/>
        </w:rPr>
        <w:t>ieczeniowych (zwolnione z </w:t>
      </w:r>
      <w:r w:rsidR="00686B82" w:rsidRPr="0070741E">
        <w:rPr>
          <w:rFonts w:ascii="Times New Roman" w:hAnsi="Times New Roman"/>
          <w:sz w:val="24"/>
          <w:szCs w:val="24"/>
        </w:rPr>
        <w:t>VAT), co również stanowi element unikania opodatkowania. Ponadto dla celów świadczenia takich usług tworzone są podmioty, które funkcjonują dopóki nie osiągną progu zwolnienia</w:t>
      </w:r>
      <w:r w:rsidR="00FA0466" w:rsidRPr="0070741E">
        <w:rPr>
          <w:rFonts w:ascii="Times New Roman" w:hAnsi="Times New Roman"/>
          <w:sz w:val="24"/>
          <w:szCs w:val="24"/>
        </w:rPr>
        <w:t xml:space="preserve"> i </w:t>
      </w:r>
      <w:r w:rsidR="00664C51" w:rsidRPr="0070741E">
        <w:rPr>
          <w:rFonts w:ascii="Times New Roman" w:hAnsi="Times New Roman"/>
          <w:sz w:val="24"/>
          <w:szCs w:val="24"/>
        </w:rPr>
        <w:t xml:space="preserve">następnie dokonuje się likwidacji tego podmiotu po to, aby utworzyć następny podmiot i dalej móc korzystać ze zwolnienia od podatku. </w:t>
      </w:r>
    </w:p>
    <w:p w14:paraId="79720EA6" w14:textId="77777777" w:rsidR="006B7B7A" w:rsidRDefault="004E5772" w:rsidP="00CD3D8E">
      <w:pPr>
        <w:spacing w:after="0" w:line="360" w:lineRule="auto"/>
        <w:jc w:val="both"/>
        <w:rPr>
          <w:rFonts w:ascii="Times New Roman" w:hAnsi="Times New Roman"/>
          <w:bCs/>
          <w:sz w:val="24"/>
          <w:szCs w:val="24"/>
        </w:rPr>
      </w:pPr>
      <w:r w:rsidRPr="0070741E">
        <w:rPr>
          <w:rFonts w:ascii="Times New Roman" w:hAnsi="Times New Roman"/>
          <w:bCs/>
          <w:sz w:val="24"/>
          <w:szCs w:val="24"/>
        </w:rPr>
        <w:t xml:space="preserve">Wprowadzane projektowaną ustawą wyłączenia ze zwolnienia podmiotowego w przypadku podatników dokonujących </w:t>
      </w:r>
      <w:r w:rsidRPr="0070741E">
        <w:rPr>
          <w:rFonts w:ascii="Times New Roman" w:hAnsi="Times New Roman"/>
          <w:sz w:val="24"/>
          <w:szCs w:val="24"/>
        </w:rPr>
        <w:t>dostaw niektórych kategorii towarów</w:t>
      </w:r>
      <w:r w:rsidR="00CB3E9C" w:rsidRPr="0070741E">
        <w:rPr>
          <w:rFonts w:ascii="Times New Roman" w:hAnsi="Times New Roman"/>
          <w:sz w:val="24"/>
          <w:szCs w:val="24"/>
        </w:rPr>
        <w:t xml:space="preserve">, w tym niektórych towarów zbywanych na podstawie </w:t>
      </w:r>
      <w:r w:rsidRPr="0070741E">
        <w:rPr>
          <w:rFonts w:ascii="Times New Roman" w:hAnsi="Times New Roman"/>
          <w:sz w:val="24"/>
          <w:szCs w:val="24"/>
        </w:rPr>
        <w:t>umowy w ramach zorganizowanego systemu zawierania umów na odległość</w:t>
      </w:r>
      <w:r w:rsidRPr="0070741E">
        <w:rPr>
          <w:rFonts w:ascii="Times New Roman" w:hAnsi="Times New Roman"/>
          <w:bCs/>
          <w:sz w:val="24"/>
          <w:szCs w:val="24"/>
        </w:rPr>
        <w:t xml:space="preserve"> oraz podatników świadczących usługi </w:t>
      </w:r>
      <w:r w:rsidRPr="0070741E">
        <w:rPr>
          <w:rFonts w:ascii="Times New Roman" w:hAnsi="Times New Roman"/>
          <w:sz w:val="24"/>
          <w:szCs w:val="24"/>
        </w:rPr>
        <w:t xml:space="preserve">ściągania długów, w tym faktoringu </w:t>
      </w:r>
      <w:r w:rsidRPr="0070741E">
        <w:rPr>
          <w:rFonts w:ascii="Times New Roman" w:hAnsi="Times New Roman"/>
          <w:bCs/>
          <w:sz w:val="24"/>
          <w:szCs w:val="24"/>
        </w:rPr>
        <w:t>będą mieć zastosowanie do dostaw towarów/świadczenia usł</w:t>
      </w:r>
      <w:r w:rsidR="00792429">
        <w:rPr>
          <w:rFonts w:ascii="Times New Roman" w:hAnsi="Times New Roman"/>
          <w:bCs/>
          <w:sz w:val="24"/>
          <w:szCs w:val="24"/>
        </w:rPr>
        <w:t>ug dokonanych od dnia wejścia w </w:t>
      </w:r>
      <w:r w:rsidRPr="0070741E">
        <w:rPr>
          <w:rFonts w:ascii="Times New Roman" w:hAnsi="Times New Roman"/>
          <w:bCs/>
          <w:sz w:val="24"/>
          <w:szCs w:val="24"/>
        </w:rPr>
        <w:t>życie projektowanej ustawy. Czynności dokonane od wejścia w życie ustawy będą objęte obligatoryjnym opodatkowaniem podatkiem VAT.</w:t>
      </w:r>
    </w:p>
    <w:p w14:paraId="05033A9D" w14:textId="3BDEFD83" w:rsidR="00B46CFA" w:rsidRPr="0070741E" w:rsidRDefault="00B46CFA" w:rsidP="00CD3D8E">
      <w:pPr>
        <w:spacing w:after="0" w:line="360" w:lineRule="auto"/>
        <w:jc w:val="both"/>
        <w:rPr>
          <w:rFonts w:ascii="Times New Roman" w:hAnsi="Times New Roman"/>
          <w:bCs/>
          <w:sz w:val="24"/>
          <w:szCs w:val="24"/>
        </w:rPr>
      </w:pPr>
      <w:r>
        <w:rPr>
          <w:rFonts w:ascii="Times New Roman" w:hAnsi="Times New Roman"/>
          <w:bCs/>
          <w:sz w:val="24"/>
          <w:szCs w:val="24"/>
        </w:rPr>
        <w:t xml:space="preserve">Zmiana art. 113 ust. 13 </w:t>
      </w:r>
      <w:r w:rsidR="00357A89">
        <w:rPr>
          <w:rFonts w:ascii="Times New Roman" w:hAnsi="Times New Roman"/>
          <w:bCs/>
          <w:sz w:val="24"/>
          <w:szCs w:val="24"/>
        </w:rPr>
        <w:t xml:space="preserve">ustawy o VAT </w:t>
      </w:r>
      <w:r>
        <w:rPr>
          <w:rFonts w:ascii="Times New Roman" w:hAnsi="Times New Roman"/>
          <w:bCs/>
          <w:sz w:val="24"/>
          <w:szCs w:val="24"/>
        </w:rPr>
        <w:t>nie wymaga regulacji przejściowych</w:t>
      </w:r>
      <w:r w:rsidR="00357A89">
        <w:rPr>
          <w:rFonts w:ascii="Times New Roman" w:hAnsi="Times New Roman"/>
          <w:bCs/>
          <w:sz w:val="24"/>
          <w:szCs w:val="24"/>
        </w:rPr>
        <w:t>. Ewentualne zastosowanie znajdzie</w:t>
      </w:r>
      <w:r>
        <w:rPr>
          <w:rFonts w:ascii="Times New Roman" w:hAnsi="Times New Roman"/>
          <w:bCs/>
          <w:sz w:val="24"/>
          <w:szCs w:val="24"/>
        </w:rPr>
        <w:t xml:space="preserve"> art. 41 ust. 14h</w:t>
      </w:r>
      <w:r w:rsidR="00357A89">
        <w:rPr>
          <w:rFonts w:ascii="Times New Roman" w:hAnsi="Times New Roman"/>
          <w:bCs/>
          <w:sz w:val="24"/>
          <w:szCs w:val="24"/>
        </w:rPr>
        <w:t xml:space="preserve"> ustawy o VAT</w:t>
      </w:r>
      <w:r>
        <w:rPr>
          <w:rFonts w:ascii="Times New Roman" w:hAnsi="Times New Roman"/>
          <w:bCs/>
          <w:sz w:val="24"/>
          <w:szCs w:val="24"/>
        </w:rPr>
        <w:t xml:space="preserve">, który reguluje kwestie opodatkowania podatkiem czynności uprzednio zwolnionych od podatku oraz zwolnienia od podatku czynności uprzednio opodatkowanych podatkiem – przepisy ust. 14a – 14g </w:t>
      </w:r>
      <w:r w:rsidR="00357A89">
        <w:rPr>
          <w:rFonts w:ascii="Times New Roman" w:hAnsi="Times New Roman"/>
          <w:bCs/>
          <w:sz w:val="24"/>
          <w:szCs w:val="24"/>
        </w:rPr>
        <w:t xml:space="preserve">ustawy o VAT </w:t>
      </w:r>
      <w:r w:rsidR="00357A89">
        <w:rPr>
          <w:rFonts w:ascii="Times New Roman" w:hAnsi="Times New Roman"/>
          <w:bCs/>
          <w:sz w:val="24"/>
          <w:szCs w:val="24"/>
        </w:rPr>
        <w:lastRenderedPageBreak/>
        <w:t xml:space="preserve">(określające sposób opodatkowania w związku ze zmianą stawki VAT) </w:t>
      </w:r>
      <w:r>
        <w:rPr>
          <w:rFonts w:ascii="Times New Roman" w:hAnsi="Times New Roman"/>
          <w:bCs/>
          <w:sz w:val="24"/>
          <w:szCs w:val="24"/>
        </w:rPr>
        <w:t xml:space="preserve">stosuje się wówczas odpowiednio. </w:t>
      </w:r>
    </w:p>
    <w:p w14:paraId="27A8FB31" w14:textId="0B5F3D9E" w:rsidR="009A2771" w:rsidRDefault="0064559F" w:rsidP="00A207E5">
      <w:pPr>
        <w:spacing w:after="0" w:line="360" w:lineRule="auto"/>
        <w:jc w:val="both"/>
        <w:rPr>
          <w:rFonts w:ascii="Times New Roman" w:hAnsi="Times New Roman"/>
          <w:sz w:val="24"/>
          <w:szCs w:val="24"/>
        </w:rPr>
      </w:pPr>
      <w:r>
        <w:rPr>
          <w:rFonts w:ascii="Times New Roman" w:hAnsi="Times New Roman"/>
          <w:bCs/>
          <w:sz w:val="24"/>
          <w:szCs w:val="24"/>
        </w:rPr>
        <w:t>W przypadku</w:t>
      </w:r>
      <w:r w:rsidR="004E5772" w:rsidRPr="0070741E">
        <w:rPr>
          <w:rFonts w:ascii="Times New Roman" w:hAnsi="Times New Roman"/>
          <w:bCs/>
          <w:sz w:val="24"/>
          <w:szCs w:val="24"/>
        </w:rPr>
        <w:t xml:space="preserve">, gdy na poczet dostawy ww. towarów lub świadczenia ww. usług, które zostaną dokonane po dniu wejścia w życie ustawy, przed dniem wejścia w życie ustawy podatnik otrzyma zaliczkę (część lub całość zapłaty), wówczas będzie ona w tej części podlegać zwolnieniu </w:t>
      </w:r>
      <w:r w:rsidR="00E47C03" w:rsidRPr="0070741E">
        <w:rPr>
          <w:rFonts w:ascii="Times New Roman" w:hAnsi="Times New Roman"/>
          <w:bCs/>
          <w:sz w:val="24"/>
          <w:szCs w:val="24"/>
        </w:rPr>
        <w:t xml:space="preserve">od </w:t>
      </w:r>
      <w:r w:rsidR="004E5772" w:rsidRPr="0070741E">
        <w:rPr>
          <w:rFonts w:ascii="Times New Roman" w:hAnsi="Times New Roman"/>
          <w:bCs/>
          <w:sz w:val="24"/>
          <w:szCs w:val="24"/>
        </w:rPr>
        <w:t>podatku VAT (znajdzie zastosowanie art. 4</w:t>
      </w:r>
      <w:r w:rsidR="00792429">
        <w:rPr>
          <w:rFonts w:ascii="Times New Roman" w:hAnsi="Times New Roman"/>
          <w:bCs/>
          <w:sz w:val="24"/>
          <w:szCs w:val="24"/>
        </w:rPr>
        <w:t>1 ust. 14h pkt 1 ustawy o </w:t>
      </w:r>
      <w:r w:rsidR="00B41980" w:rsidRPr="0070741E">
        <w:rPr>
          <w:rFonts w:ascii="Times New Roman" w:hAnsi="Times New Roman"/>
          <w:bCs/>
          <w:sz w:val="24"/>
          <w:szCs w:val="24"/>
        </w:rPr>
        <w:t>VAT w </w:t>
      </w:r>
      <w:r w:rsidR="004E5772" w:rsidRPr="0070741E">
        <w:rPr>
          <w:rFonts w:ascii="Times New Roman" w:hAnsi="Times New Roman"/>
          <w:bCs/>
          <w:sz w:val="24"/>
          <w:szCs w:val="24"/>
        </w:rPr>
        <w:t>związku z art. 41 ust. 14f). W stosunku do takiej zapłaty obowiązek podatkowy powstał wcześniej, co oznacza, że może ona korzystać np. ze zwolnienia od podatku.</w:t>
      </w:r>
      <w:r w:rsidR="004E5772" w:rsidRPr="0070741E">
        <w:rPr>
          <w:rFonts w:ascii="Times New Roman" w:hAnsi="Times New Roman"/>
          <w:sz w:val="24"/>
          <w:szCs w:val="24"/>
        </w:rPr>
        <w:t xml:space="preserve"> Natomiast pozostała część należności z tytułu tych czynności będzie opodatkowana podatkiem od towarów i usług.</w:t>
      </w:r>
    </w:p>
    <w:p w14:paraId="18B952DB" w14:textId="77777777" w:rsidR="00A207E5" w:rsidRPr="00BB7D88" w:rsidRDefault="00A207E5" w:rsidP="00A207E5">
      <w:pPr>
        <w:spacing w:after="0" w:line="360" w:lineRule="auto"/>
        <w:jc w:val="both"/>
        <w:rPr>
          <w:rFonts w:ascii="Times New Roman" w:hAnsi="Times New Roman"/>
          <w:sz w:val="24"/>
          <w:u w:val="single"/>
        </w:rPr>
      </w:pPr>
    </w:p>
    <w:p w14:paraId="18AC5D0C" w14:textId="77777777" w:rsidR="006B7B7A" w:rsidRPr="0070741E" w:rsidRDefault="004E5772" w:rsidP="00CD3D8E">
      <w:pPr>
        <w:spacing w:after="0" w:line="360" w:lineRule="auto"/>
        <w:jc w:val="both"/>
        <w:rPr>
          <w:rFonts w:ascii="Times New Roman" w:eastAsia="Times New Roman" w:hAnsi="Times New Roman"/>
          <w:bCs/>
          <w:sz w:val="24"/>
          <w:szCs w:val="24"/>
          <w:u w:val="single"/>
          <w:lang w:eastAsia="pl-PL"/>
        </w:rPr>
      </w:pPr>
      <w:r w:rsidRPr="0070741E">
        <w:rPr>
          <w:rFonts w:ascii="Times New Roman" w:eastAsia="Times New Roman" w:hAnsi="Times New Roman"/>
          <w:bCs/>
          <w:sz w:val="24"/>
          <w:szCs w:val="24"/>
          <w:u w:val="single"/>
          <w:lang w:eastAsia="pl-PL"/>
        </w:rPr>
        <w:t>Zmiany w art. 116</w:t>
      </w:r>
    </w:p>
    <w:p w14:paraId="277A65C2"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Zgodnie z zasadami funkcjonowania systemu ryczałtowego dla rolników w Polsce niezbędnymi elementami faktury VAT RR wystawianej przez podatnika nabywającego produkty rolne od rolnika ryczałtowego (będącej następnie podstawą do odliczenia – przy spełnieniu określonych w przepisach warunków – przez tego nabywcę będącego podatnikiem VAT kwoty zryczałtowanego zwrotu) są m.in. numer dowodu osobistego rolnika (bądź innego dokumentu stwierdzającego tożsamość rolnika) – gdy jest on osobą fizyczną, data wydania tego dokumentu i nazwa organu, który wydał ten dokument (art. 116 ust. 2 pkt 3 ustawy o VAT). </w:t>
      </w:r>
    </w:p>
    <w:p w14:paraId="1D9E997F"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Proponowana likwidacja obowiązku umieszczania na fakturze VAT RR danych dotyczących dokumentu identyfikującego dostawcę produktów rolnych stanowi uproszczenie dla podatników w stosowaniu obowiązujących przepisów prawa, eliminując nadmierne – zdaniem przedsiębiorców – wymogi biurokratyczne, generujące dodatkowe koszty prowadzenia działalności gospodarczej.</w:t>
      </w:r>
    </w:p>
    <w:p w14:paraId="687364B1"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Projektowane rozwiązanie z jednej strony nie wpłynie na weryfikację tożsamości dostawcy (rolnika ryczałtowego), gdyż zgodnie z art. 116 ust. 2 pkt 2 ustawy o VAT faktura VAT RR musi zawierać</w:t>
      </w:r>
      <w:r w:rsidR="007D5A6F" w:rsidRPr="0070741E">
        <w:rPr>
          <w:rFonts w:ascii="Times New Roman" w:hAnsi="Times New Roman"/>
          <w:sz w:val="24"/>
          <w:szCs w:val="24"/>
        </w:rPr>
        <w:t xml:space="preserve"> </w:t>
      </w:r>
      <w:r w:rsidRPr="0070741E">
        <w:rPr>
          <w:rFonts w:ascii="Times New Roman" w:hAnsi="Times New Roman"/>
          <w:sz w:val="24"/>
          <w:szCs w:val="24"/>
        </w:rPr>
        <w:t>numer NIP lub PESEL obydwu stron transakcji (nie wpłynie zatem negatywnie na funkcjonowanie systemu ryczałtowego), natomiast z drugiej strony usunie uciążliwy obowiązek, oznaczający w praktyce wymóg każdorazowej weryfikacji i ewentualnego aktualizowania danych (np. w związku z wymianą dokumentów).</w:t>
      </w:r>
    </w:p>
    <w:p w14:paraId="2DEAC60D"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lastRenderedPageBreak/>
        <w:t xml:space="preserve">Ponadto, mając na uwadze rozwój i elektronizację gospodarki (i związane z tym ułatwienia) proponuje się wprowadzenie regulacji pozwalających na obieg faktur </w:t>
      </w:r>
      <w:r w:rsidR="006E08DA" w:rsidRPr="0070741E">
        <w:rPr>
          <w:rFonts w:ascii="Times New Roman" w:hAnsi="Times New Roman"/>
          <w:sz w:val="24"/>
          <w:szCs w:val="24"/>
        </w:rPr>
        <w:t xml:space="preserve">VAT </w:t>
      </w:r>
      <w:r w:rsidRPr="0070741E">
        <w:rPr>
          <w:rFonts w:ascii="Times New Roman" w:hAnsi="Times New Roman"/>
          <w:sz w:val="24"/>
          <w:szCs w:val="24"/>
        </w:rPr>
        <w:t xml:space="preserve">RR w formie elektronicznej. </w:t>
      </w:r>
    </w:p>
    <w:p w14:paraId="22BC9BD8"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Regulacje wprowadzane w art. 116 ust. 3a oraz 4a pozwolą na wystawianie i przesyłanie faktur VAT RR określonych w art. 116 ust. 2 i 3 oraz oświadczenia okr</w:t>
      </w:r>
      <w:r w:rsidR="00B41980" w:rsidRPr="0070741E">
        <w:rPr>
          <w:rFonts w:ascii="Times New Roman" w:hAnsi="Times New Roman"/>
          <w:sz w:val="24"/>
          <w:szCs w:val="24"/>
        </w:rPr>
        <w:t>eślonego w art. 116 ust. 4 (tj. </w:t>
      </w:r>
      <w:r w:rsidRPr="0070741E">
        <w:rPr>
          <w:rFonts w:ascii="Times New Roman" w:hAnsi="Times New Roman"/>
          <w:sz w:val="24"/>
          <w:szCs w:val="24"/>
        </w:rPr>
        <w:t>składanego przez dostawcę produktów rolnych w przypadku umów kontraktacji lub umów o</w:t>
      </w:r>
      <w:r w:rsidR="00B41980" w:rsidRPr="0070741E">
        <w:rPr>
          <w:rFonts w:ascii="Times New Roman" w:hAnsi="Times New Roman"/>
          <w:sz w:val="24"/>
          <w:szCs w:val="24"/>
        </w:rPr>
        <w:t> </w:t>
      </w:r>
      <w:r w:rsidRPr="0070741E">
        <w:rPr>
          <w:rFonts w:ascii="Times New Roman" w:hAnsi="Times New Roman"/>
          <w:sz w:val="24"/>
          <w:szCs w:val="24"/>
        </w:rPr>
        <w:t>podobnym charakterze oświadczenia, iż jest on rolnikiem ryczałtowym) w formie elektronicznej. Stosowanie tej formy dokumentów będzie możliwe jedynie za zgodą dostawcy produktów rolnych (rolnika ryczałtowego). Podpisywanie dokumentów wysyłanych w formie elektronicznej będzie możliwe wyłącznie z użyciem kwalifikowanego podpisu elektronicznego.</w:t>
      </w:r>
      <w:r w:rsidR="005234AD" w:rsidRPr="0070741E">
        <w:rPr>
          <w:rFonts w:ascii="Times New Roman" w:hAnsi="Times New Roman"/>
          <w:sz w:val="24"/>
          <w:szCs w:val="24"/>
        </w:rPr>
        <w:t xml:space="preserve"> Do ww. kwalifikowanego podpisu elektronicznego zastosowanie mają zasady określone w rozporządzeniu Parlamentu Europejskiego i Rady (UE) nr 910/2014 z dnia 23 lipca 2014 r. w sprawie identyfikacji elektronicznej i zasad zaufania w odniesieniu do transakcji elektronicznych na rynku wewnętrznym oraz uchylającym dyrektywę 1999/93/WE (Dz. Urz. UE. L 2014 Nr 257 z 28.08.2014 r., str. 73), w szczególności w art. 27 tego rozporządzenia oraz w aktach wykonawczych wydanych na podstawie tego rozporządzenia.</w:t>
      </w:r>
    </w:p>
    <w:p w14:paraId="38B36D02"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Art. 116 ust. 6 pkt 2 ustawy o VAT w dotychczasowym swoim brzmieniu wymienia – jako warunek odliczenia przez nabywcę produktów rolnych lub usług rolniczych (podatnika VAT) zryczałtowanej kwoty zwrotu – zapłacenie rolnikowi ryczałtowemu należności za nabywane towary lub usługi w ciągu 14 dni na jego rachunek bankowy – chyba, że z zawartej pomiędzy tymi podmiotami umowy wynika dłuższy termin płatności.</w:t>
      </w:r>
    </w:p>
    <w:p w14:paraId="5669C0C3"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Odmowa prawa do odliczenia ww. kwoty zrycz</w:t>
      </w:r>
      <w:r w:rsidR="00792429">
        <w:rPr>
          <w:rFonts w:ascii="Times New Roman" w:hAnsi="Times New Roman"/>
          <w:sz w:val="24"/>
          <w:szCs w:val="24"/>
        </w:rPr>
        <w:t>ałtowanego zwrotu wynikającej z </w:t>
      </w:r>
      <w:r w:rsidRPr="0070741E">
        <w:rPr>
          <w:rFonts w:ascii="Times New Roman" w:hAnsi="Times New Roman"/>
          <w:sz w:val="24"/>
          <w:szCs w:val="24"/>
        </w:rPr>
        <w:t xml:space="preserve">wystawionej faktury VAT RR w przypadku przekroczenia terminu płatności jest kwestionowana przez sądy administracyjne. Uwzględniając zatem orzecznictwo sądowe </w:t>
      </w:r>
      <w:r w:rsidR="00B41980" w:rsidRPr="0070741E">
        <w:rPr>
          <w:rFonts w:ascii="Times New Roman" w:hAnsi="Times New Roman"/>
          <w:sz w:val="24"/>
          <w:szCs w:val="24"/>
        </w:rPr>
        <w:t>(vide wyroki NSA: z 9 maja 2013 </w:t>
      </w:r>
      <w:r w:rsidRPr="0070741E">
        <w:rPr>
          <w:rFonts w:ascii="Times New Roman" w:hAnsi="Times New Roman"/>
          <w:sz w:val="24"/>
          <w:szCs w:val="24"/>
        </w:rPr>
        <w:t xml:space="preserve">r. sygn. akt I FSK 709/12, z 2 marca 2016 r. sygn. akt </w:t>
      </w:r>
      <w:r w:rsidR="00B41980" w:rsidRPr="0070741E">
        <w:rPr>
          <w:rFonts w:ascii="Times New Roman" w:hAnsi="Times New Roman"/>
          <w:sz w:val="24"/>
          <w:szCs w:val="24"/>
        </w:rPr>
        <w:t>I FSK 2014/14, z 3 czerwca 2016 </w:t>
      </w:r>
      <w:r w:rsidRPr="0070741E">
        <w:rPr>
          <w:rFonts w:ascii="Times New Roman" w:hAnsi="Times New Roman"/>
          <w:sz w:val="24"/>
          <w:szCs w:val="24"/>
        </w:rPr>
        <w:t>r. sygn. akt I FSK 2054/14) za utrwalony należy uznać pogląd, że</w:t>
      </w:r>
      <w:r w:rsidR="00B41980" w:rsidRPr="0070741E">
        <w:rPr>
          <w:rFonts w:ascii="Times New Roman" w:hAnsi="Times New Roman"/>
          <w:sz w:val="24"/>
          <w:szCs w:val="24"/>
        </w:rPr>
        <w:t xml:space="preserve"> art. 116 ust. 6 pkt 2 ustawy o </w:t>
      </w:r>
      <w:r w:rsidRPr="0070741E">
        <w:rPr>
          <w:rFonts w:ascii="Times New Roman" w:hAnsi="Times New Roman"/>
          <w:sz w:val="24"/>
          <w:szCs w:val="24"/>
        </w:rPr>
        <w:t>VAT nie powinien pozbawiać podatnika dokonującego spóźnionej zapłaty należności za nabyte produkty rolne lub usługi rolnicze, obejmującej zryczałtowany zwrot podatku, prawa do odzyskania kwoty tego zwrotu.</w:t>
      </w:r>
    </w:p>
    <w:p w14:paraId="3214ED48"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Zasadne jest zatem usunięcie z art. 116 ust. 6 pkt 2 ustawy o VAT warunku dokonania zapłaty za nabyte produkty rolne lub usługi rolnicze w ciągu 14 dni od dnia zakupu.</w:t>
      </w:r>
    </w:p>
    <w:p w14:paraId="67DFA0F8"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lastRenderedPageBreak/>
        <w:t>Proponowany przepis art. 116 ust. 6 pkt 2 ustawy o VAT zakłada możliwość dokonywania zapłaty przez nabywcę produktów rolnych lub usług rolniczych rolnikowi ryczałtowemu na rachunek w spół</w:t>
      </w:r>
      <w:r w:rsidR="00A630FC" w:rsidRPr="0070741E">
        <w:rPr>
          <w:rFonts w:ascii="Times New Roman" w:hAnsi="Times New Roman"/>
          <w:sz w:val="24"/>
          <w:szCs w:val="24"/>
        </w:rPr>
        <w:t>dzielczej kasie oszczędnościowo-</w:t>
      </w:r>
      <w:r w:rsidR="003F2170" w:rsidRPr="0070741E">
        <w:rPr>
          <w:rFonts w:ascii="Times New Roman" w:hAnsi="Times New Roman"/>
          <w:sz w:val="24"/>
          <w:szCs w:val="24"/>
        </w:rPr>
        <w:t>kredytowej</w:t>
      </w:r>
      <w:r w:rsidRPr="0070741E">
        <w:rPr>
          <w:rFonts w:ascii="Times New Roman" w:hAnsi="Times New Roman"/>
          <w:sz w:val="24"/>
          <w:szCs w:val="24"/>
        </w:rPr>
        <w:t>, której tenże rolnik jest członkiem (a nie wyłącznie – jak dotychczas – na rachunek bankowy rolnika).</w:t>
      </w:r>
    </w:p>
    <w:p w14:paraId="092F44AE" w14:textId="77777777" w:rsidR="00034920" w:rsidRPr="0070741E" w:rsidRDefault="00034920"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Zmiany w ust. </w:t>
      </w:r>
      <w:r w:rsidR="0096608E">
        <w:rPr>
          <w:rFonts w:ascii="Times New Roman" w:hAnsi="Times New Roman"/>
          <w:sz w:val="24"/>
          <w:szCs w:val="24"/>
        </w:rPr>
        <w:t xml:space="preserve">7, ust. </w:t>
      </w:r>
      <w:r w:rsidRPr="0070741E">
        <w:rPr>
          <w:rFonts w:ascii="Times New Roman" w:hAnsi="Times New Roman"/>
          <w:sz w:val="24"/>
          <w:szCs w:val="24"/>
        </w:rPr>
        <w:t xml:space="preserve">9 pkt 1 i </w:t>
      </w:r>
      <w:r w:rsidR="0096608E">
        <w:rPr>
          <w:rFonts w:ascii="Times New Roman" w:hAnsi="Times New Roman"/>
          <w:sz w:val="24"/>
          <w:szCs w:val="24"/>
        </w:rPr>
        <w:t xml:space="preserve">ust. </w:t>
      </w:r>
      <w:r w:rsidRPr="0070741E">
        <w:rPr>
          <w:rFonts w:ascii="Times New Roman" w:hAnsi="Times New Roman"/>
          <w:sz w:val="24"/>
          <w:szCs w:val="24"/>
        </w:rPr>
        <w:t>9b dostosowują przepisy w związku z wprowadzeniem możliwości zapłaty na rachunek rolnika w SKOK.</w:t>
      </w:r>
    </w:p>
    <w:p w14:paraId="756A80FA"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Dodatkowo zmiana brzmienia art. 116 ust. 10 ustawy o VAT podyktowana jest koniecznością dostosowania do wprowadzanej możliwości wystawiania faktur </w:t>
      </w:r>
      <w:r w:rsidR="006E08DA" w:rsidRPr="0070741E">
        <w:rPr>
          <w:rFonts w:ascii="Times New Roman" w:hAnsi="Times New Roman"/>
          <w:sz w:val="24"/>
          <w:szCs w:val="24"/>
        </w:rPr>
        <w:t xml:space="preserve">VAT </w:t>
      </w:r>
      <w:r w:rsidRPr="0070741E">
        <w:rPr>
          <w:rFonts w:ascii="Times New Roman" w:hAnsi="Times New Roman"/>
          <w:sz w:val="24"/>
          <w:szCs w:val="24"/>
        </w:rPr>
        <w:t>RR oraz oświadczeń dostawców produktów rolnych w formie elektronicznej.</w:t>
      </w:r>
    </w:p>
    <w:p w14:paraId="11E2F8C0" w14:textId="77777777" w:rsidR="006B7B7A" w:rsidRPr="0070741E" w:rsidRDefault="006B7B7A" w:rsidP="00CD3D8E">
      <w:pPr>
        <w:spacing w:after="0" w:line="360" w:lineRule="auto"/>
        <w:jc w:val="both"/>
        <w:rPr>
          <w:rFonts w:ascii="Times New Roman" w:hAnsi="Times New Roman"/>
          <w:bCs/>
          <w:sz w:val="24"/>
          <w:szCs w:val="24"/>
          <w:u w:val="single"/>
        </w:rPr>
      </w:pPr>
    </w:p>
    <w:p w14:paraId="4B6D9007" w14:textId="77777777" w:rsidR="006B7B7A" w:rsidRPr="0070741E" w:rsidRDefault="004E5772" w:rsidP="00CD3D8E">
      <w:pPr>
        <w:spacing w:after="0" w:line="360" w:lineRule="auto"/>
        <w:jc w:val="both"/>
        <w:rPr>
          <w:rFonts w:ascii="Times New Roman" w:hAnsi="Times New Roman"/>
          <w:b/>
          <w:sz w:val="24"/>
          <w:szCs w:val="24"/>
          <w:u w:val="single"/>
        </w:rPr>
      </w:pPr>
      <w:r w:rsidRPr="0070741E">
        <w:rPr>
          <w:rFonts w:ascii="Times New Roman" w:hAnsi="Times New Roman"/>
          <w:b/>
          <w:sz w:val="24"/>
          <w:szCs w:val="24"/>
          <w:u w:val="single"/>
        </w:rPr>
        <w:t>III. Zmiany w pakiecie paliwowym – zmiany w art. 10</w:t>
      </w:r>
      <w:r w:rsidR="00B41980" w:rsidRPr="0070741E">
        <w:rPr>
          <w:rFonts w:ascii="Times New Roman" w:hAnsi="Times New Roman"/>
          <w:b/>
          <w:sz w:val="24"/>
          <w:szCs w:val="24"/>
          <w:u w:val="single"/>
        </w:rPr>
        <w:t>3 ustawy o podatku od towarów i </w:t>
      </w:r>
      <w:r w:rsidRPr="0070741E">
        <w:rPr>
          <w:rFonts w:ascii="Times New Roman" w:hAnsi="Times New Roman"/>
          <w:b/>
          <w:sz w:val="24"/>
          <w:szCs w:val="24"/>
          <w:u w:val="single"/>
        </w:rPr>
        <w:t>usług, w ustawie o podatku akcyzowym, w ustawie Ordynacja podatkowa oraz</w:t>
      </w:r>
      <w:r w:rsidR="00792429">
        <w:rPr>
          <w:rFonts w:ascii="Times New Roman" w:hAnsi="Times New Roman"/>
          <w:b/>
          <w:sz w:val="24"/>
          <w:szCs w:val="24"/>
          <w:u w:val="single"/>
        </w:rPr>
        <w:t xml:space="preserve"> w </w:t>
      </w:r>
      <w:r w:rsidR="00E768B6" w:rsidRPr="0070741E">
        <w:rPr>
          <w:rFonts w:ascii="Times New Roman" w:hAnsi="Times New Roman"/>
          <w:b/>
          <w:sz w:val="24"/>
          <w:szCs w:val="24"/>
          <w:u w:val="single"/>
        </w:rPr>
        <w:t>ustawie Prawo energetyczne</w:t>
      </w:r>
    </w:p>
    <w:p w14:paraId="453B31D0" w14:textId="77777777" w:rsidR="00E768B6" w:rsidRPr="0070741E" w:rsidRDefault="00E768B6" w:rsidP="00CD3D8E">
      <w:pPr>
        <w:spacing w:after="0" w:line="360" w:lineRule="auto"/>
        <w:jc w:val="both"/>
        <w:rPr>
          <w:rFonts w:ascii="Times New Roman" w:hAnsi="Times New Roman"/>
          <w:sz w:val="24"/>
          <w:szCs w:val="24"/>
        </w:rPr>
      </w:pPr>
    </w:p>
    <w:p w14:paraId="0AF2C72A"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W dniu 1 sierpnia 2016 r. weszła w życie ustawa z dnia 7 l</w:t>
      </w:r>
      <w:r w:rsidR="00712E08" w:rsidRPr="0070741E">
        <w:rPr>
          <w:rFonts w:ascii="Times New Roman" w:hAnsi="Times New Roman"/>
          <w:sz w:val="24"/>
          <w:szCs w:val="24"/>
        </w:rPr>
        <w:t>ipca 2016 r. o zmianie ustawy o </w:t>
      </w:r>
      <w:r w:rsidRPr="0070741E">
        <w:rPr>
          <w:rFonts w:ascii="Times New Roman" w:hAnsi="Times New Roman"/>
          <w:sz w:val="24"/>
          <w:szCs w:val="24"/>
        </w:rPr>
        <w:t>podatku od towarów i usług oraz niektórych innych ustaw (tzw. „Pakiet paliwowy”), której głównym celem było wprowadzenie rozwiązań zapobiegających lub ograniczających możliwość wyłudzenia VAT w obrocie paliwami ciekłymi. Wprowadzone przepisy odwoływały się do definicji paliw silnikowych, która obowiązuje na gruncie podatku akcyzowego. Paliwa silnikowe definiowane są tam również poprzez deklarowane przeznaczenie wyrobów energetycznych do użycia jako paliwo do napędu silników albo ich oferowanie na sprzedaż lub faktyczne używanie do napędu silników spalinowych.</w:t>
      </w:r>
      <w:r w:rsidRPr="0070741E">
        <w:rPr>
          <w:rFonts w:ascii="Times New Roman" w:hAnsi="Times New Roman"/>
          <w:color w:val="FF0000"/>
          <w:sz w:val="24"/>
          <w:szCs w:val="24"/>
        </w:rPr>
        <w:t xml:space="preserve"> </w:t>
      </w:r>
    </w:p>
    <w:p w14:paraId="1ECF5E7E" w14:textId="647B6B8D"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Zmiany w tzw. pakiecie paliwowym polegają zasadniczo na wprowadzeniu do ustawy o VAT katalogu </w:t>
      </w:r>
      <w:r w:rsidR="00286F35">
        <w:rPr>
          <w:rFonts w:ascii="Times New Roman" w:hAnsi="Times New Roman"/>
          <w:sz w:val="24"/>
          <w:szCs w:val="24"/>
        </w:rPr>
        <w:t>towarów</w:t>
      </w:r>
      <w:r w:rsidR="00A03C56" w:rsidRPr="0070741E">
        <w:rPr>
          <w:rFonts w:ascii="Times New Roman" w:hAnsi="Times New Roman"/>
          <w:sz w:val="24"/>
          <w:szCs w:val="24"/>
        </w:rPr>
        <w:t>,</w:t>
      </w:r>
      <w:r w:rsidRPr="0070741E">
        <w:rPr>
          <w:rFonts w:ascii="Times New Roman" w:hAnsi="Times New Roman"/>
          <w:sz w:val="24"/>
          <w:szCs w:val="24"/>
        </w:rPr>
        <w:t xml:space="preserve"> co do których podatnik jest obowiązany bez wezwania naczelnika urzędu skarbowego, do obliczania i wpłacania kwot podatku</w:t>
      </w:r>
      <w:r w:rsidR="00CF1BB8" w:rsidRPr="0070741E">
        <w:rPr>
          <w:rFonts w:ascii="Times New Roman" w:hAnsi="Times New Roman"/>
          <w:sz w:val="24"/>
          <w:szCs w:val="24"/>
        </w:rPr>
        <w:t xml:space="preserve"> od towarów i usług</w:t>
      </w:r>
      <w:r w:rsidRPr="0070741E">
        <w:rPr>
          <w:rFonts w:ascii="Times New Roman" w:hAnsi="Times New Roman"/>
          <w:sz w:val="24"/>
          <w:szCs w:val="24"/>
        </w:rPr>
        <w:t xml:space="preserve"> na rachunek urzędu skarbowego właściwego w zakresie wpłat podatku akcyzowego, co zapobiegnie wątpliwościom co do zakresu stosowania przepisów ustawy o podatku akcyzowym </w:t>
      </w:r>
      <w:r w:rsidR="00792429">
        <w:rPr>
          <w:rFonts w:ascii="Times New Roman" w:hAnsi="Times New Roman"/>
          <w:sz w:val="24"/>
          <w:szCs w:val="24"/>
        </w:rPr>
        <w:t>i ustawy o </w:t>
      </w:r>
      <w:r w:rsidR="00B41980" w:rsidRPr="0070741E">
        <w:rPr>
          <w:rFonts w:ascii="Times New Roman" w:hAnsi="Times New Roman"/>
          <w:sz w:val="24"/>
          <w:szCs w:val="24"/>
        </w:rPr>
        <w:t>podatku od towarów i </w:t>
      </w:r>
      <w:r w:rsidRPr="0070741E">
        <w:rPr>
          <w:rFonts w:ascii="Times New Roman" w:hAnsi="Times New Roman"/>
          <w:sz w:val="24"/>
          <w:szCs w:val="24"/>
        </w:rPr>
        <w:t xml:space="preserve">usług w odniesieniu do produktów ropopochodnych, które mogą być stosowane zarówno do napędu pojazdów, jak i stanowić surowiec do produkcji innych </w:t>
      </w:r>
      <w:r w:rsidR="00A93AB1">
        <w:rPr>
          <w:rFonts w:ascii="Times New Roman" w:hAnsi="Times New Roman"/>
          <w:sz w:val="24"/>
          <w:szCs w:val="24"/>
        </w:rPr>
        <w:t>towarów</w:t>
      </w:r>
      <w:r w:rsidRPr="0070741E">
        <w:rPr>
          <w:rFonts w:ascii="Times New Roman" w:hAnsi="Times New Roman"/>
          <w:sz w:val="24"/>
          <w:szCs w:val="24"/>
        </w:rPr>
        <w:t>.</w:t>
      </w:r>
    </w:p>
    <w:p w14:paraId="1468BF26" w14:textId="77777777" w:rsidR="003C307C" w:rsidRPr="0070741E" w:rsidRDefault="003C307C" w:rsidP="003C307C">
      <w:pPr>
        <w:spacing w:after="0" w:line="360" w:lineRule="auto"/>
        <w:jc w:val="both"/>
        <w:rPr>
          <w:rFonts w:ascii="Times New Roman" w:hAnsi="Times New Roman"/>
          <w:sz w:val="24"/>
          <w:szCs w:val="24"/>
        </w:rPr>
      </w:pPr>
      <w:r w:rsidRPr="0070741E">
        <w:rPr>
          <w:rFonts w:ascii="Times New Roman" w:hAnsi="Times New Roman"/>
          <w:sz w:val="24"/>
          <w:szCs w:val="24"/>
        </w:rPr>
        <w:lastRenderedPageBreak/>
        <w:t xml:space="preserve">Zmiany wynikają </w:t>
      </w:r>
      <w:r w:rsidR="007F3437" w:rsidRPr="0070741E">
        <w:rPr>
          <w:rFonts w:ascii="Times New Roman" w:hAnsi="Times New Roman"/>
          <w:sz w:val="24"/>
          <w:szCs w:val="24"/>
        </w:rPr>
        <w:t>również</w:t>
      </w:r>
      <w:r w:rsidRPr="0070741E">
        <w:rPr>
          <w:rFonts w:ascii="Times New Roman" w:hAnsi="Times New Roman"/>
          <w:sz w:val="24"/>
          <w:szCs w:val="24"/>
        </w:rPr>
        <w:t xml:space="preserve"> z konieczności skorelowania zakresu przedmiotowego stosowania tzw. przyspieszonego VAT z zakresem koncesyjnym, tj. objęcie mechanizmem VAT, co do zasady, wszystkich paliw ciekłych, którymi obrót wymaga koncesji.</w:t>
      </w:r>
    </w:p>
    <w:p w14:paraId="1179D133" w14:textId="77777777" w:rsidR="003C307C" w:rsidRPr="0070741E" w:rsidRDefault="003C307C" w:rsidP="003C307C">
      <w:pPr>
        <w:spacing w:after="0" w:line="360" w:lineRule="auto"/>
        <w:jc w:val="both"/>
        <w:rPr>
          <w:rFonts w:ascii="Times New Roman" w:hAnsi="Times New Roman"/>
          <w:sz w:val="24"/>
          <w:szCs w:val="24"/>
        </w:rPr>
      </w:pPr>
      <w:r w:rsidRPr="0070741E">
        <w:rPr>
          <w:rFonts w:ascii="Times New Roman" w:hAnsi="Times New Roman"/>
          <w:sz w:val="24"/>
          <w:szCs w:val="24"/>
        </w:rPr>
        <w:t>Obecnie zakres obowiązku koncesyjnego reguluje art. 3 ust. 3b Prawa energetycznego oraz wydan</w:t>
      </w:r>
      <w:r w:rsidR="007F3437" w:rsidRPr="0070741E">
        <w:rPr>
          <w:rFonts w:ascii="Times New Roman" w:hAnsi="Times New Roman"/>
          <w:sz w:val="24"/>
          <w:szCs w:val="24"/>
        </w:rPr>
        <w:t xml:space="preserve">e przez Ministra Energi rozporządzenia </w:t>
      </w:r>
      <w:proofErr w:type="spellStart"/>
      <w:r w:rsidR="007F3437" w:rsidRPr="0070741E">
        <w:rPr>
          <w:rFonts w:ascii="Times New Roman" w:hAnsi="Times New Roman"/>
          <w:sz w:val="24"/>
          <w:szCs w:val="24"/>
        </w:rPr>
        <w:t>ws</w:t>
      </w:r>
      <w:proofErr w:type="spellEnd"/>
      <w:r w:rsidR="007F3437" w:rsidRPr="0070741E">
        <w:rPr>
          <w:rFonts w:ascii="Times New Roman" w:hAnsi="Times New Roman"/>
          <w:sz w:val="24"/>
          <w:szCs w:val="24"/>
        </w:rPr>
        <w:t>.</w:t>
      </w:r>
      <w:r w:rsidRPr="0070741E">
        <w:rPr>
          <w:rFonts w:ascii="Times New Roman" w:hAnsi="Times New Roman"/>
          <w:sz w:val="24"/>
          <w:szCs w:val="24"/>
        </w:rPr>
        <w:t xml:space="preserve"> </w:t>
      </w:r>
      <w:r w:rsidR="007F3437" w:rsidRPr="0070741E">
        <w:rPr>
          <w:rFonts w:ascii="Times New Roman" w:hAnsi="Times New Roman"/>
          <w:sz w:val="24"/>
          <w:szCs w:val="24"/>
        </w:rPr>
        <w:t xml:space="preserve">wykazu paliw ciekłych </w:t>
      </w:r>
      <w:r w:rsidR="0080375C" w:rsidRPr="0070741E">
        <w:rPr>
          <w:rFonts w:ascii="Times New Roman" w:hAnsi="Times New Roman"/>
          <w:sz w:val="24"/>
          <w:szCs w:val="24"/>
        </w:rPr>
        <w:t>(</w:t>
      </w:r>
      <w:r w:rsidR="007F3437" w:rsidRPr="0070741E">
        <w:rPr>
          <w:rFonts w:ascii="Times New Roman" w:hAnsi="Times New Roman"/>
          <w:sz w:val="24"/>
          <w:szCs w:val="24"/>
        </w:rPr>
        <w:t>§ 1</w:t>
      </w:r>
      <w:r w:rsidR="0080375C" w:rsidRPr="0070741E">
        <w:rPr>
          <w:rFonts w:ascii="Times New Roman" w:hAnsi="Times New Roman"/>
          <w:sz w:val="24"/>
          <w:szCs w:val="24"/>
        </w:rPr>
        <w:t xml:space="preserve"> tego rozporządzenia)</w:t>
      </w:r>
      <w:r w:rsidR="007F3437" w:rsidRPr="0070741E">
        <w:rPr>
          <w:rFonts w:ascii="Times New Roman" w:hAnsi="Times New Roman"/>
          <w:sz w:val="24"/>
          <w:szCs w:val="24"/>
        </w:rPr>
        <w:t>.</w:t>
      </w:r>
    </w:p>
    <w:p w14:paraId="095B5471" w14:textId="5D274019" w:rsidR="003C307C" w:rsidRPr="0070741E" w:rsidRDefault="003C307C" w:rsidP="003C307C">
      <w:pPr>
        <w:spacing w:after="0" w:line="360" w:lineRule="auto"/>
        <w:jc w:val="both"/>
        <w:rPr>
          <w:rFonts w:ascii="Times New Roman" w:hAnsi="Times New Roman"/>
          <w:sz w:val="24"/>
          <w:szCs w:val="24"/>
        </w:rPr>
      </w:pPr>
      <w:r w:rsidRPr="0070741E">
        <w:rPr>
          <w:rFonts w:ascii="Times New Roman" w:hAnsi="Times New Roman"/>
          <w:sz w:val="24"/>
          <w:szCs w:val="24"/>
        </w:rPr>
        <w:t>Zasadne wydaje się objęcie tym obowiązkiem nie tylko paliw silnikowych, ale również tych paliw opałowych, które wymagają uzyskania koncesji.</w:t>
      </w:r>
      <w:r w:rsidR="007F3437" w:rsidRPr="0070741E">
        <w:rPr>
          <w:rFonts w:ascii="Times New Roman" w:hAnsi="Times New Roman"/>
          <w:sz w:val="24"/>
          <w:szCs w:val="24"/>
        </w:rPr>
        <w:t xml:space="preserve"> </w:t>
      </w:r>
      <w:r w:rsidRPr="0070741E">
        <w:rPr>
          <w:rFonts w:ascii="Times New Roman" w:hAnsi="Times New Roman"/>
          <w:sz w:val="24"/>
          <w:szCs w:val="24"/>
        </w:rPr>
        <w:t xml:space="preserve">Proponowany katalog </w:t>
      </w:r>
      <w:r w:rsidR="00A93AB1">
        <w:rPr>
          <w:rFonts w:ascii="Times New Roman" w:hAnsi="Times New Roman"/>
          <w:sz w:val="24"/>
          <w:szCs w:val="24"/>
        </w:rPr>
        <w:t>towarów</w:t>
      </w:r>
      <w:r w:rsidRPr="0070741E">
        <w:rPr>
          <w:rFonts w:ascii="Times New Roman" w:hAnsi="Times New Roman"/>
          <w:sz w:val="24"/>
          <w:szCs w:val="24"/>
        </w:rPr>
        <w:t xml:space="preserve"> objętych mechanizmem szybkiego VAT z jednej stro</w:t>
      </w:r>
      <w:r w:rsidR="00545C98" w:rsidRPr="0070741E">
        <w:rPr>
          <w:rFonts w:ascii="Times New Roman" w:hAnsi="Times New Roman"/>
          <w:sz w:val="24"/>
          <w:szCs w:val="24"/>
        </w:rPr>
        <w:t xml:space="preserve">ny nawiązuje do § 1 </w:t>
      </w:r>
      <w:proofErr w:type="spellStart"/>
      <w:r w:rsidR="00545C98" w:rsidRPr="0070741E">
        <w:rPr>
          <w:rFonts w:ascii="Times New Roman" w:hAnsi="Times New Roman"/>
          <w:sz w:val="24"/>
          <w:szCs w:val="24"/>
        </w:rPr>
        <w:t>rozp</w:t>
      </w:r>
      <w:proofErr w:type="spellEnd"/>
      <w:r w:rsidR="00545C98" w:rsidRPr="0070741E">
        <w:rPr>
          <w:rFonts w:ascii="Times New Roman" w:hAnsi="Times New Roman"/>
          <w:sz w:val="24"/>
          <w:szCs w:val="24"/>
        </w:rPr>
        <w:t>. ME (z </w:t>
      </w:r>
      <w:r w:rsidRPr="0070741E">
        <w:rPr>
          <w:rFonts w:ascii="Times New Roman" w:hAnsi="Times New Roman"/>
          <w:sz w:val="24"/>
          <w:szCs w:val="24"/>
        </w:rPr>
        <w:t xml:space="preserve">wyjątkiem półproduktów rafineryjnych i benzyn </w:t>
      </w:r>
      <w:proofErr w:type="spellStart"/>
      <w:r w:rsidRPr="0070741E">
        <w:rPr>
          <w:rFonts w:ascii="Times New Roman" w:hAnsi="Times New Roman"/>
          <w:sz w:val="24"/>
          <w:szCs w:val="24"/>
        </w:rPr>
        <w:t>pirolitycznych</w:t>
      </w:r>
      <w:proofErr w:type="spellEnd"/>
      <w:r w:rsidRPr="0070741E">
        <w:rPr>
          <w:rFonts w:ascii="Times New Roman" w:hAnsi="Times New Roman"/>
          <w:sz w:val="24"/>
          <w:szCs w:val="24"/>
        </w:rPr>
        <w:t>, w odniesieniu do których ryzyko nadużyć wydaje się niskie, ale jednocześnie odwołuje się do trzech dodatkowych kategorii, tj.:</w:t>
      </w:r>
    </w:p>
    <w:p w14:paraId="0FC32E66" w14:textId="77777777" w:rsidR="003C307C" w:rsidRPr="0070741E" w:rsidRDefault="003C307C" w:rsidP="007F3437">
      <w:pPr>
        <w:pStyle w:val="Akapitzlist"/>
        <w:numPr>
          <w:ilvl w:val="0"/>
          <w:numId w:val="9"/>
        </w:numPr>
        <w:spacing w:after="0" w:line="360" w:lineRule="auto"/>
        <w:ind w:left="567" w:hanging="349"/>
        <w:jc w:val="both"/>
        <w:rPr>
          <w:rFonts w:ascii="Times New Roman" w:hAnsi="Times New Roman"/>
          <w:sz w:val="24"/>
          <w:szCs w:val="24"/>
        </w:rPr>
      </w:pPr>
      <w:r w:rsidRPr="0070741E">
        <w:rPr>
          <w:rFonts w:ascii="Times New Roman" w:hAnsi="Times New Roman"/>
          <w:sz w:val="24"/>
          <w:szCs w:val="24"/>
        </w:rPr>
        <w:t>paliw ciekłych w rozumieniu ustawy o systemie monitorowania i kontrolowania jakości paliw (a więc zarówno do takich paliw z dodatkiem biokomponentów jak i bez takiego dodatku), jak też:</w:t>
      </w:r>
    </w:p>
    <w:p w14:paraId="4DD7AD23" w14:textId="4864FE8A" w:rsidR="003C307C" w:rsidRPr="0070741E" w:rsidRDefault="003C307C" w:rsidP="007F3437">
      <w:pPr>
        <w:pStyle w:val="Akapitzlist"/>
        <w:numPr>
          <w:ilvl w:val="0"/>
          <w:numId w:val="9"/>
        </w:numPr>
        <w:spacing w:after="0" w:line="360" w:lineRule="auto"/>
        <w:ind w:left="567" w:hanging="349"/>
        <w:jc w:val="both"/>
        <w:rPr>
          <w:rFonts w:ascii="Times New Roman" w:hAnsi="Times New Roman"/>
          <w:sz w:val="24"/>
          <w:szCs w:val="24"/>
        </w:rPr>
      </w:pPr>
      <w:r w:rsidRPr="0070741E">
        <w:rPr>
          <w:rFonts w:ascii="Times New Roman" w:hAnsi="Times New Roman"/>
          <w:sz w:val="24"/>
          <w:szCs w:val="24"/>
        </w:rPr>
        <w:t>do biopaliw ciekłych w rozumieniu ustawy o biokompone</w:t>
      </w:r>
      <w:r w:rsidR="00545C98" w:rsidRPr="0070741E">
        <w:rPr>
          <w:rFonts w:ascii="Times New Roman" w:hAnsi="Times New Roman"/>
          <w:sz w:val="24"/>
          <w:szCs w:val="24"/>
        </w:rPr>
        <w:t>ntach i biopaliwach ciekłych (a </w:t>
      </w:r>
      <w:r w:rsidRPr="0070741E">
        <w:rPr>
          <w:rFonts w:ascii="Times New Roman" w:hAnsi="Times New Roman"/>
          <w:sz w:val="24"/>
          <w:szCs w:val="24"/>
        </w:rPr>
        <w:t xml:space="preserve">więc do </w:t>
      </w:r>
      <w:r w:rsidR="00A93AB1">
        <w:rPr>
          <w:rFonts w:ascii="Times New Roman" w:hAnsi="Times New Roman"/>
          <w:sz w:val="24"/>
          <w:szCs w:val="24"/>
        </w:rPr>
        <w:t>towarów</w:t>
      </w:r>
      <w:r w:rsidRPr="0070741E">
        <w:rPr>
          <w:rFonts w:ascii="Times New Roman" w:hAnsi="Times New Roman"/>
          <w:sz w:val="24"/>
          <w:szCs w:val="24"/>
        </w:rPr>
        <w:t xml:space="preserve"> zawierających ilość biokomponentów wyższą od poziomu </w:t>
      </w:r>
      <w:r w:rsidR="00545C98" w:rsidRPr="0070741E">
        <w:rPr>
          <w:rFonts w:ascii="Times New Roman" w:hAnsi="Times New Roman"/>
          <w:sz w:val="24"/>
          <w:szCs w:val="24"/>
        </w:rPr>
        <w:t>zastrzeżonego</w:t>
      </w:r>
      <w:r w:rsidRPr="0070741E">
        <w:rPr>
          <w:rFonts w:ascii="Times New Roman" w:hAnsi="Times New Roman"/>
          <w:sz w:val="24"/>
          <w:szCs w:val="24"/>
        </w:rPr>
        <w:t xml:space="preserve"> dla paliw ciekłych; oraz końcowo</w:t>
      </w:r>
    </w:p>
    <w:p w14:paraId="6619E663" w14:textId="77777777" w:rsidR="003C307C" w:rsidRPr="0070741E" w:rsidRDefault="003C307C" w:rsidP="007F3437">
      <w:pPr>
        <w:pStyle w:val="Akapitzlist"/>
        <w:numPr>
          <w:ilvl w:val="0"/>
          <w:numId w:val="9"/>
        </w:numPr>
        <w:spacing w:after="0" w:line="360" w:lineRule="auto"/>
        <w:ind w:left="567" w:hanging="349"/>
        <w:jc w:val="both"/>
        <w:rPr>
          <w:rFonts w:ascii="Times New Roman" w:hAnsi="Times New Roman"/>
          <w:sz w:val="24"/>
          <w:szCs w:val="24"/>
        </w:rPr>
      </w:pPr>
      <w:r w:rsidRPr="0070741E">
        <w:rPr>
          <w:rFonts w:ascii="Times New Roman" w:hAnsi="Times New Roman"/>
          <w:sz w:val="24"/>
          <w:szCs w:val="24"/>
        </w:rPr>
        <w:t>do kategorii paliw silnikowych z ustawy o podatku akcyzowym, co ma na celu objęcie mechanizmem przyspieszonego VAT wszystkich wyrobów energetycznych, którym nadano by przeznaczenie napędowe do silników spalinowych (w tym również w sposób niezgodny z przepisami).</w:t>
      </w:r>
      <w:r w:rsidR="007F3437" w:rsidRPr="0070741E">
        <w:rPr>
          <w:rFonts w:ascii="Times New Roman" w:hAnsi="Times New Roman"/>
          <w:sz w:val="24"/>
          <w:szCs w:val="24"/>
        </w:rPr>
        <w:t xml:space="preserve"> </w:t>
      </w:r>
    </w:p>
    <w:p w14:paraId="0AA85988" w14:textId="209ABBBA"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W związku z tym wprowadzenie w ustawie o VAT katalogu </w:t>
      </w:r>
      <w:r w:rsidR="00A93AB1">
        <w:rPr>
          <w:rFonts w:ascii="Times New Roman" w:hAnsi="Times New Roman"/>
          <w:sz w:val="24"/>
          <w:szCs w:val="24"/>
        </w:rPr>
        <w:t>towarów</w:t>
      </w:r>
      <w:r w:rsidRPr="0070741E">
        <w:rPr>
          <w:rFonts w:ascii="Times New Roman" w:hAnsi="Times New Roman"/>
          <w:sz w:val="24"/>
          <w:szCs w:val="24"/>
        </w:rPr>
        <w:t xml:space="preserve"> objętych pakietem paliwowym (art. 103 ust. </w:t>
      </w:r>
      <w:r w:rsidR="00C126D2" w:rsidRPr="0070741E">
        <w:rPr>
          <w:rFonts w:ascii="Times New Roman" w:hAnsi="Times New Roman"/>
          <w:sz w:val="24"/>
          <w:szCs w:val="24"/>
        </w:rPr>
        <w:t>5aa</w:t>
      </w:r>
      <w:r w:rsidRPr="0070741E">
        <w:rPr>
          <w:rFonts w:ascii="Times New Roman" w:hAnsi="Times New Roman"/>
          <w:sz w:val="24"/>
          <w:szCs w:val="24"/>
        </w:rPr>
        <w:t>) i odwołanie się w ustawie o podat</w:t>
      </w:r>
      <w:r w:rsidR="0006147A" w:rsidRPr="0070741E">
        <w:rPr>
          <w:rFonts w:ascii="Times New Roman" w:hAnsi="Times New Roman"/>
          <w:sz w:val="24"/>
          <w:szCs w:val="24"/>
        </w:rPr>
        <w:t>ku akcyzowym (art. 48</w:t>
      </w:r>
      <w:r w:rsidR="0006147A" w:rsidRPr="0070741E">
        <w:rPr>
          <w:rFonts w:ascii="Times New Roman" w:hAnsi="Times New Roman"/>
          <w:sz w:val="24"/>
          <w:szCs w:val="24"/>
        </w:rPr>
        <w:br/>
        <w:t>ust. </w:t>
      </w:r>
      <w:r w:rsidRPr="0070741E">
        <w:rPr>
          <w:rFonts w:ascii="Times New Roman" w:hAnsi="Times New Roman"/>
          <w:sz w:val="24"/>
          <w:szCs w:val="24"/>
        </w:rPr>
        <w:t xml:space="preserve">9-11, art. 59 ust. 8-10, art. 78 ust. 7a oraz art. 78a) do </w:t>
      </w:r>
      <w:r w:rsidR="0006147A" w:rsidRPr="0070741E">
        <w:rPr>
          <w:rFonts w:ascii="Times New Roman" w:hAnsi="Times New Roman"/>
          <w:sz w:val="24"/>
          <w:szCs w:val="24"/>
        </w:rPr>
        <w:t>katalogu wskazanego w ustawie o </w:t>
      </w:r>
      <w:r w:rsidRPr="0070741E">
        <w:rPr>
          <w:rFonts w:ascii="Times New Roman" w:hAnsi="Times New Roman"/>
          <w:sz w:val="24"/>
          <w:szCs w:val="24"/>
        </w:rPr>
        <w:t>VAT zapobiegnie pojawiającym się wątpliwościom co do zakres</w:t>
      </w:r>
      <w:r w:rsidR="00B41980" w:rsidRPr="0070741E">
        <w:rPr>
          <w:rFonts w:ascii="Times New Roman" w:hAnsi="Times New Roman"/>
          <w:sz w:val="24"/>
          <w:szCs w:val="24"/>
        </w:rPr>
        <w:t>u stosowania przepisów ustawy o </w:t>
      </w:r>
      <w:r w:rsidRPr="0070741E">
        <w:rPr>
          <w:rFonts w:ascii="Times New Roman" w:hAnsi="Times New Roman"/>
          <w:sz w:val="24"/>
          <w:szCs w:val="24"/>
        </w:rPr>
        <w:t>podatku akcyzowym i ustawy o podatku od towarów i usług w odniesieniu do produktów ropopochodnych, które mogą być zastosowane za</w:t>
      </w:r>
      <w:r w:rsidR="0006147A" w:rsidRPr="0070741E">
        <w:rPr>
          <w:rFonts w:ascii="Times New Roman" w:hAnsi="Times New Roman"/>
          <w:sz w:val="24"/>
          <w:szCs w:val="24"/>
        </w:rPr>
        <w:t>równo do napędu pojazdów, jak i </w:t>
      </w:r>
      <w:r w:rsidRPr="0070741E">
        <w:rPr>
          <w:rFonts w:ascii="Times New Roman" w:hAnsi="Times New Roman"/>
          <w:sz w:val="24"/>
          <w:szCs w:val="24"/>
        </w:rPr>
        <w:t xml:space="preserve">stanowić surowiec do produkcji innych </w:t>
      </w:r>
      <w:r w:rsidR="00A93AB1">
        <w:rPr>
          <w:rFonts w:ascii="Times New Roman" w:hAnsi="Times New Roman"/>
          <w:sz w:val="24"/>
          <w:szCs w:val="24"/>
        </w:rPr>
        <w:t>towarów</w:t>
      </w:r>
      <w:r w:rsidR="00A93AB1" w:rsidRPr="0070741E">
        <w:rPr>
          <w:rFonts w:ascii="Times New Roman" w:hAnsi="Times New Roman"/>
          <w:sz w:val="24"/>
          <w:szCs w:val="24"/>
        </w:rPr>
        <w:t xml:space="preserve"> </w:t>
      </w:r>
      <w:r w:rsidRPr="0070741E">
        <w:rPr>
          <w:rFonts w:ascii="Times New Roman" w:hAnsi="Times New Roman"/>
          <w:sz w:val="24"/>
          <w:szCs w:val="24"/>
        </w:rPr>
        <w:t>(np. olej napędowy zużywany do produkcji olejów smarowych). Doświadczenia organów podatkowych wskazują ponadto na działania nieuczciwych podatników, którzy dokonując de facto przywozu paliw ciekłych, deklarują jednocześnie, że przewożone</w:t>
      </w:r>
      <w:r w:rsidR="007D5A6F" w:rsidRPr="0070741E">
        <w:rPr>
          <w:rFonts w:ascii="Times New Roman" w:hAnsi="Times New Roman"/>
          <w:sz w:val="24"/>
          <w:szCs w:val="24"/>
        </w:rPr>
        <w:t xml:space="preserve"> </w:t>
      </w:r>
      <w:r w:rsidRPr="0070741E">
        <w:rPr>
          <w:rFonts w:ascii="Times New Roman" w:hAnsi="Times New Roman"/>
          <w:sz w:val="24"/>
          <w:szCs w:val="24"/>
        </w:rPr>
        <w:t xml:space="preserve">towary przeznaczone są do celów innych niż do napędu </w:t>
      </w:r>
      <w:r w:rsidRPr="0070741E">
        <w:rPr>
          <w:rFonts w:ascii="Times New Roman" w:hAnsi="Times New Roman"/>
          <w:sz w:val="24"/>
          <w:szCs w:val="24"/>
        </w:rPr>
        <w:lastRenderedPageBreak/>
        <w:t xml:space="preserve">silników spalinowych albo wytwarzania innych </w:t>
      </w:r>
      <w:r w:rsidR="00A93AB1">
        <w:rPr>
          <w:rFonts w:ascii="Times New Roman" w:hAnsi="Times New Roman"/>
          <w:sz w:val="24"/>
          <w:szCs w:val="24"/>
        </w:rPr>
        <w:t>towarów</w:t>
      </w:r>
      <w:r w:rsidR="00A93AB1" w:rsidRPr="0070741E">
        <w:rPr>
          <w:rFonts w:ascii="Times New Roman" w:hAnsi="Times New Roman"/>
          <w:sz w:val="24"/>
          <w:szCs w:val="24"/>
        </w:rPr>
        <w:t xml:space="preserve"> </w:t>
      </w:r>
      <w:r w:rsidRPr="0070741E">
        <w:rPr>
          <w:rFonts w:ascii="Times New Roman" w:hAnsi="Times New Roman"/>
          <w:sz w:val="24"/>
          <w:szCs w:val="24"/>
        </w:rPr>
        <w:t>ropopochodnych, a więc nie podlegają reżimowi wprowadzonemu „Pakietem paliwowym”. Działania takie ukierunkowane są</w:t>
      </w:r>
      <w:r w:rsidR="007D5A6F" w:rsidRPr="0070741E">
        <w:rPr>
          <w:rFonts w:ascii="Times New Roman" w:hAnsi="Times New Roman"/>
          <w:sz w:val="24"/>
          <w:szCs w:val="24"/>
        </w:rPr>
        <w:t xml:space="preserve"> </w:t>
      </w:r>
      <w:r w:rsidRPr="0070741E">
        <w:rPr>
          <w:rFonts w:ascii="Times New Roman" w:hAnsi="Times New Roman"/>
          <w:sz w:val="24"/>
          <w:szCs w:val="24"/>
        </w:rPr>
        <w:t>na omijanie obowiązków koncesyjnych i podatkowych. Proponowana zmiana pozwoli na dalsze uszczelnienie przepisów podatkowych.</w:t>
      </w:r>
    </w:p>
    <w:p w14:paraId="777F69A7"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Należy podkreślić, że proponowana zmiana przepisów nie spowoduje generalnie zwiększenia obowiązków ciążących na podmiotach, które dokonują nabyć towarów nie objętych obecnie definicją paliw silnikowych, a związanych z wielkością podatku od towarów i usług do zapłaty, lecz jedynie przesunie obowiązek zapłaty w czasie.</w:t>
      </w:r>
    </w:p>
    <w:p w14:paraId="6E053529" w14:textId="40D9F9DC" w:rsidR="00391BC1" w:rsidRPr="0070741E" w:rsidRDefault="00391BC1" w:rsidP="00391BC1">
      <w:pPr>
        <w:spacing w:after="0" w:line="360" w:lineRule="auto"/>
        <w:jc w:val="both"/>
        <w:rPr>
          <w:rFonts w:ascii="Times New Roman" w:hAnsi="Times New Roman"/>
          <w:sz w:val="24"/>
          <w:szCs w:val="24"/>
        </w:rPr>
      </w:pPr>
      <w:r w:rsidRPr="0070741E">
        <w:rPr>
          <w:rFonts w:ascii="Times New Roman" w:hAnsi="Times New Roman"/>
          <w:sz w:val="24"/>
          <w:szCs w:val="24"/>
        </w:rPr>
        <w:t>Nowelizacja przepisów ust. 2a</w:t>
      </w:r>
      <w:r w:rsidR="002559A1">
        <w:rPr>
          <w:rFonts w:ascii="Times New Roman" w:hAnsi="Times New Roman"/>
          <w:sz w:val="24"/>
          <w:szCs w:val="24"/>
        </w:rPr>
        <w:t>,</w:t>
      </w:r>
      <w:r w:rsidRPr="0070741E">
        <w:rPr>
          <w:rFonts w:ascii="Times New Roman" w:hAnsi="Times New Roman"/>
          <w:sz w:val="24"/>
          <w:szCs w:val="24"/>
        </w:rPr>
        <w:t xml:space="preserve"> 2b w art. 30a ustawy o VAT związan</w:t>
      </w:r>
      <w:r w:rsidR="002559A1">
        <w:rPr>
          <w:rFonts w:ascii="Times New Roman" w:hAnsi="Times New Roman"/>
          <w:sz w:val="24"/>
          <w:szCs w:val="24"/>
        </w:rPr>
        <w:t>e</w:t>
      </w:r>
      <w:r w:rsidRPr="0070741E">
        <w:rPr>
          <w:rFonts w:ascii="Times New Roman" w:hAnsi="Times New Roman"/>
          <w:sz w:val="24"/>
          <w:szCs w:val="24"/>
        </w:rPr>
        <w:t xml:space="preserve"> jest ze zmianami wprowadzanymi w tzw. pakiecie paliwowym (art. 103 ust. 5a ustawy o VAT). Przepisy mają na celu modyfikację zasad określania tzw. uprosz</w:t>
      </w:r>
      <w:r w:rsidR="00792429">
        <w:rPr>
          <w:rFonts w:ascii="Times New Roman" w:hAnsi="Times New Roman"/>
          <w:sz w:val="24"/>
          <w:szCs w:val="24"/>
        </w:rPr>
        <w:t>czonej podstawy opodatkowania w </w:t>
      </w:r>
      <w:r w:rsidRPr="0070741E">
        <w:rPr>
          <w:rFonts w:ascii="Times New Roman" w:hAnsi="Times New Roman"/>
          <w:sz w:val="24"/>
          <w:szCs w:val="24"/>
        </w:rPr>
        <w:t>przypadku wewnątrzwspólnotowego nabycia towarów objętych znowelizowanym pakietem paliwowym. Należy zwrócić uwagę, że dodawany przepis art. 103 ust. 5aa znacznie rozszerza zakres stosowania pakietu paliwowego, jeśli chodzi o liczbę towarów objętych tym specjalnym sposobem rozliczania VAT z tytułu WNT. W projektowanym art. 103 ust. 5a</w:t>
      </w:r>
      <w:r w:rsidR="00C60FF5" w:rsidRPr="0070741E">
        <w:rPr>
          <w:rFonts w:ascii="Times New Roman" w:hAnsi="Times New Roman"/>
          <w:sz w:val="24"/>
          <w:szCs w:val="24"/>
        </w:rPr>
        <w:t>a</w:t>
      </w:r>
      <w:r w:rsidRPr="0070741E">
        <w:rPr>
          <w:rFonts w:ascii="Times New Roman" w:hAnsi="Times New Roman"/>
          <w:sz w:val="24"/>
          <w:szCs w:val="24"/>
        </w:rPr>
        <w:t xml:space="preserve"> wskazana została m.in. lista towarów objętych pakietem paliwowym, sklasyfikowanych wg odpowiednich kodów CN, obejmująca kilkadziesiąt </w:t>
      </w:r>
      <w:r w:rsidR="00A93AB1">
        <w:rPr>
          <w:rFonts w:ascii="Times New Roman" w:hAnsi="Times New Roman"/>
          <w:sz w:val="24"/>
          <w:szCs w:val="24"/>
        </w:rPr>
        <w:t>towarów</w:t>
      </w:r>
      <w:r w:rsidRPr="0070741E">
        <w:rPr>
          <w:rFonts w:ascii="Times New Roman" w:hAnsi="Times New Roman"/>
          <w:sz w:val="24"/>
          <w:szCs w:val="24"/>
        </w:rPr>
        <w:t xml:space="preserve">. </w:t>
      </w:r>
    </w:p>
    <w:p w14:paraId="58D54BB9" w14:textId="1BD43BF1" w:rsidR="00391BC1" w:rsidRPr="0070741E" w:rsidRDefault="00391BC1" w:rsidP="00391BC1">
      <w:pPr>
        <w:spacing w:after="0" w:line="360" w:lineRule="auto"/>
        <w:jc w:val="both"/>
        <w:rPr>
          <w:rFonts w:ascii="Times New Roman" w:hAnsi="Times New Roman"/>
          <w:sz w:val="24"/>
          <w:szCs w:val="24"/>
        </w:rPr>
      </w:pPr>
      <w:r w:rsidRPr="0070741E">
        <w:rPr>
          <w:rFonts w:ascii="Times New Roman" w:hAnsi="Times New Roman"/>
          <w:sz w:val="24"/>
          <w:szCs w:val="24"/>
        </w:rPr>
        <w:t xml:space="preserve">Należy w tym miejscu podkreślić, że stosowanie przepisów dotyczących uproszczonej podstawy opodatkowania w dotychczasowym ich brzmieniu, przy jednoczesnym rozszerzeniu pakietu paliwowego na nowe </w:t>
      </w:r>
      <w:r w:rsidR="00A93AB1">
        <w:rPr>
          <w:rFonts w:ascii="Times New Roman" w:hAnsi="Times New Roman"/>
          <w:sz w:val="24"/>
          <w:szCs w:val="24"/>
        </w:rPr>
        <w:t>towary</w:t>
      </w:r>
      <w:r w:rsidRPr="0070741E">
        <w:rPr>
          <w:rFonts w:ascii="Times New Roman" w:hAnsi="Times New Roman"/>
          <w:sz w:val="24"/>
          <w:szCs w:val="24"/>
        </w:rPr>
        <w:t xml:space="preserve">, klasyfikowane wg nomenklatury scalonej (CN), wiąże się z ryzykiem określenia jej w nieprawidłowy sposób. Ryzyko to związane jest przede wszystkim z koniecznością prawidłowego </w:t>
      </w:r>
      <w:r w:rsidR="00A93AB1">
        <w:rPr>
          <w:rFonts w:ascii="Times New Roman" w:hAnsi="Times New Roman"/>
          <w:sz w:val="24"/>
          <w:szCs w:val="24"/>
        </w:rPr>
        <w:t>ustalania cen hurtowych towarów</w:t>
      </w:r>
      <w:r w:rsidRPr="0070741E">
        <w:rPr>
          <w:rFonts w:ascii="Times New Roman" w:hAnsi="Times New Roman"/>
          <w:sz w:val="24"/>
          <w:szCs w:val="24"/>
        </w:rPr>
        <w:t xml:space="preserve"> objętych pakietem paliwowym, w tym głównie z metodologią gromadzenia danych dotyczących cen hurtowych towarów. Należy wskazać na moż</w:t>
      </w:r>
      <w:r w:rsidR="00D75D89" w:rsidRPr="0070741E">
        <w:rPr>
          <w:rFonts w:ascii="Times New Roman" w:hAnsi="Times New Roman"/>
          <w:sz w:val="24"/>
          <w:szCs w:val="24"/>
        </w:rPr>
        <w:t>liwość wystąpienia błędów w </w:t>
      </w:r>
      <w:r w:rsidRPr="0070741E">
        <w:rPr>
          <w:rFonts w:ascii="Times New Roman" w:hAnsi="Times New Roman"/>
          <w:sz w:val="24"/>
          <w:szCs w:val="24"/>
        </w:rPr>
        <w:t xml:space="preserve">takich obszarach jak: wiarygodność zbieranych danych odnośnie cen hurtowych </w:t>
      </w:r>
      <w:r w:rsidR="00A93AB1">
        <w:rPr>
          <w:rFonts w:ascii="Times New Roman" w:hAnsi="Times New Roman"/>
          <w:sz w:val="24"/>
          <w:szCs w:val="24"/>
        </w:rPr>
        <w:t>towarów</w:t>
      </w:r>
      <w:r w:rsidRPr="0070741E">
        <w:rPr>
          <w:rFonts w:ascii="Times New Roman" w:hAnsi="Times New Roman"/>
          <w:sz w:val="24"/>
          <w:szCs w:val="24"/>
        </w:rPr>
        <w:t>, źródło ich pozyskiwania, kompletność czy też dostępność. W konsekwencji podstawa opodatkowania mogłaby być określana w nieprawidłowy sposób.</w:t>
      </w:r>
    </w:p>
    <w:p w14:paraId="09C6CC5B" w14:textId="4C98F4D5" w:rsidR="00391BC1" w:rsidRPr="0070741E" w:rsidRDefault="00391BC1" w:rsidP="00391BC1">
      <w:pPr>
        <w:spacing w:after="0" w:line="360" w:lineRule="auto"/>
        <w:jc w:val="both"/>
        <w:rPr>
          <w:rFonts w:ascii="Times New Roman" w:hAnsi="Times New Roman"/>
          <w:sz w:val="24"/>
          <w:szCs w:val="24"/>
        </w:rPr>
      </w:pPr>
      <w:r w:rsidRPr="0070741E">
        <w:rPr>
          <w:rFonts w:ascii="Times New Roman" w:hAnsi="Times New Roman"/>
          <w:sz w:val="24"/>
          <w:szCs w:val="24"/>
        </w:rPr>
        <w:t>Z uwagi na ryzyko nieprawidłowego ustalenia uproszczonej podstawy opodatkowania z tytułu WNT towarów objętych pakietem paliwowym proponuje się pozostawienie takiego sposobu ustalania podstawy opodatkowania wyłącznie w odniesieniu do tych towarów, których ceny zostaną udostępnione w Biuletynie Informacji Publicznej na stronie podmiotowej urzędu obsługującego ministra właściwego do spraw finansów publicznych (art. 30a ust. 2a</w:t>
      </w:r>
      <w:r w:rsidR="0062303D">
        <w:rPr>
          <w:rFonts w:ascii="Times New Roman" w:hAnsi="Times New Roman"/>
          <w:sz w:val="24"/>
          <w:szCs w:val="24"/>
        </w:rPr>
        <w:t xml:space="preserve"> oraz ust. </w:t>
      </w:r>
      <w:r w:rsidR="0062303D">
        <w:rPr>
          <w:rFonts w:ascii="Times New Roman" w:hAnsi="Times New Roman"/>
          <w:sz w:val="24"/>
          <w:szCs w:val="24"/>
        </w:rPr>
        <w:lastRenderedPageBreak/>
        <w:t xml:space="preserve">2b </w:t>
      </w:r>
      <w:r w:rsidRPr="0070741E">
        <w:rPr>
          <w:rFonts w:ascii="Times New Roman" w:hAnsi="Times New Roman"/>
          <w:sz w:val="24"/>
          <w:szCs w:val="24"/>
        </w:rPr>
        <w:t>ustawy o VAT). W praktyce w Biuletynie Informacji Publicznej na stronie podmiotowej urzędu obsługującego ministra właściwego do spraw finansów publicznych publikowane byłyby tylko ceny tych towarów, co do których istnieją źródła (bazy danych), z których możliwe</w:t>
      </w:r>
      <w:r w:rsidR="00792429">
        <w:rPr>
          <w:rFonts w:ascii="Times New Roman" w:hAnsi="Times New Roman"/>
          <w:sz w:val="24"/>
          <w:szCs w:val="24"/>
        </w:rPr>
        <w:t xml:space="preserve"> jest pozyskanie wiarygodnych i </w:t>
      </w:r>
      <w:r w:rsidRPr="0070741E">
        <w:rPr>
          <w:rFonts w:ascii="Times New Roman" w:hAnsi="Times New Roman"/>
          <w:sz w:val="24"/>
          <w:szCs w:val="24"/>
        </w:rPr>
        <w:t xml:space="preserve">kompletnych danych odnośnie cen hurtowych. </w:t>
      </w:r>
    </w:p>
    <w:p w14:paraId="2A9A71DD" w14:textId="77777777" w:rsidR="00391BC1" w:rsidRPr="0070741E" w:rsidRDefault="00391BC1" w:rsidP="00391BC1">
      <w:pPr>
        <w:spacing w:after="0" w:line="360" w:lineRule="auto"/>
        <w:jc w:val="both"/>
        <w:rPr>
          <w:rFonts w:ascii="Times New Roman" w:hAnsi="Times New Roman"/>
          <w:sz w:val="24"/>
          <w:szCs w:val="24"/>
        </w:rPr>
      </w:pPr>
      <w:r w:rsidRPr="0070741E">
        <w:rPr>
          <w:rFonts w:ascii="Times New Roman" w:hAnsi="Times New Roman"/>
          <w:sz w:val="24"/>
          <w:szCs w:val="24"/>
        </w:rPr>
        <w:t>Ceny towarów dla potrzeb wewnątrzwspólnotowego nabyci</w:t>
      </w:r>
      <w:r w:rsidR="00D75D89" w:rsidRPr="0070741E">
        <w:rPr>
          <w:rFonts w:ascii="Times New Roman" w:hAnsi="Times New Roman"/>
          <w:sz w:val="24"/>
          <w:szCs w:val="24"/>
        </w:rPr>
        <w:t>a towarów, o którym mowa w art. </w:t>
      </w:r>
      <w:r w:rsidRPr="0070741E">
        <w:rPr>
          <w:rFonts w:ascii="Times New Roman" w:hAnsi="Times New Roman"/>
          <w:sz w:val="24"/>
          <w:szCs w:val="24"/>
        </w:rPr>
        <w:t>103 ust. 5a ustawy o VAT, byłyby udostępniane na okresy miesięczne. Zmiana z okresu dwutygodniowego na miesięczny wynika z faktu, iż zaobserwowano w dotychczasowym okresie funkcjonowania pakietu paliwowego i możliwości obliczania podstawy opodatkowania w sposób uproszczony, czyli od sierpnia 2016 roku, że ceny te w przedziale dwutygodniowym nie różnią się od siebie w sposób znaczący. Natomiast zaletą wprowadzanej zmiany jest ekonom</w:t>
      </w:r>
      <w:r w:rsidR="00BE02DC" w:rsidRPr="0070741E">
        <w:rPr>
          <w:rFonts w:ascii="Times New Roman" w:hAnsi="Times New Roman"/>
          <w:sz w:val="24"/>
          <w:szCs w:val="24"/>
        </w:rPr>
        <w:t xml:space="preserve">ika procesu gromadzenia danych </w:t>
      </w:r>
      <w:r w:rsidRPr="0070741E">
        <w:rPr>
          <w:rFonts w:ascii="Times New Roman" w:hAnsi="Times New Roman"/>
          <w:sz w:val="24"/>
          <w:szCs w:val="24"/>
        </w:rPr>
        <w:t xml:space="preserve">i wprowadzenie uproszczenia dla przedsiębiorców, którzy </w:t>
      </w:r>
      <w:r w:rsidR="00BE02DC" w:rsidRPr="0070741E">
        <w:rPr>
          <w:rFonts w:ascii="Times New Roman" w:hAnsi="Times New Roman"/>
          <w:sz w:val="24"/>
          <w:szCs w:val="24"/>
        </w:rPr>
        <w:t xml:space="preserve">będą zobligowani – korzystając </w:t>
      </w:r>
      <w:r w:rsidRPr="0070741E">
        <w:rPr>
          <w:rFonts w:ascii="Times New Roman" w:hAnsi="Times New Roman"/>
          <w:sz w:val="24"/>
          <w:szCs w:val="24"/>
        </w:rPr>
        <w:t>z uproszczonej podstawy opodatkowania – do rzadszego aktualizowania swoich rozliczeń.</w:t>
      </w:r>
    </w:p>
    <w:p w14:paraId="020EE49C" w14:textId="30CBBE60" w:rsidR="00391BC1" w:rsidRPr="0070741E" w:rsidRDefault="00391BC1" w:rsidP="00391BC1">
      <w:pPr>
        <w:spacing w:after="0" w:line="360" w:lineRule="auto"/>
        <w:jc w:val="both"/>
        <w:rPr>
          <w:rFonts w:ascii="Times New Roman" w:hAnsi="Times New Roman"/>
          <w:sz w:val="24"/>
          <w:szCs w:val="24"/>
        </w:rPr>
      </w:pPr>
      <w:r w:rsidRPr="0070741E">
        <w:rPr>
          <w:rFonts w:ascii="Times New Roman" w:hAnsi="Times New Roman"/>
          <w:sz w:val="24"/>
          <w:szCs w:val="24"/>
        </w:rPr>
        <w:t xml:space="preserve">Reasumując, proponowana nowelizacja przepisów w art. 30a spowoduje, że zachowana zostanie możliwość ustalania podstawy opodatkowania z tytułu WNT </w:t>
      </w:r>
      <w:r w:rsidR="00A93AB1">
        <w:rPr>
          <w:rFonts w:ascii="Times New Roman" w:hAnsi="Times New Roman"/>
          <w:sz w:val="24"/>
          <w:szCs w:val="24"/>
        </w:rPr>
        <w:t>towarów</w:t>
      </w:r>
      <w:r w:rsidRPr="0070741E">
        <w:rPr>
          <w:rFonts w:ascii="Times New Roman" w:hAnsi="Times New Roman"/>
          <w:sz w:val="24"/>
          <w:szCs w:val="24"/>
        </w:rPr>
        <w:t xml:space="preserve"> objętych pakietem paliwowym w sposób uproszczony, tj. na podstawie art. 30a ust. 2a</w:t>
      </w:r>
      <w:r w:rsidR="0062303D">
        <w:rPr>
          <w:rFonts w:ascii="Times New Roman" w:hAnsi="Times New Roman"/>
          <w:sz w:val="24"/>
          <w:szCs w:val="24"/>
        </w:rPr>
        <w:t xml:space="preserve"> i </w:t>
      </w:r>
      <w:r w:rsidR="005B5AED" w:rsidRPr="0070741E">
        <w:rPr>
          <w:rFonts w:ascii="Times New Roman" w:hAnsi="Times New Roman"/>
          <w:sz w:val="24"/>
          <w:szCs w:val="24"/>
        </w:rPr>
        <w:t>2</w:t>
      </w:r>
      <w:r w:rsidR="0062303D">
        <w:rPr>
          <w:rFonts w:ascii="Times New Roman" w:hAnsi="Times New Roman"/>
          <w:sz w:val="24"/>
          <w:szCs w:val="24"/>
        </w:rPr>
        <w:t>b</w:t>
      </w:r>
      <w:r w:rsidRPr="0070741E">
        <w:rPr>
          <w:rFonts w:ascii="Times New Roman" w:hAnsi="Times New Roman"/>
          <w:sz w:val="24"/>
          <w:szCs w:val="24"/>
        </w:rPr>
        <w:t xml:space="preserve">, ale wyłącznie w odniesieniu do tych </w:t>
      </w:r>
      <w:r w:rsidR="00A93AB1">
        <w:rPr>
          <w:rFonts w:ascii="Times New Roman" w:hAnsi="Times New Roman"/>
          <w:sz w:val="24"/>
          <w:szCs w:val="24"/>
        </w:rPr>
        <w:t>towarów</w:t>
      </w:r>
      <w:r w:rsidRPr="0070741E">
        <w:rPr>
          <w:rFonts w:ascii="Times New Roman" w:hAnsi="Times New Roman"/>
          <w:sz w:val="24"/>
          <w:szCs w:val="24"/>
        </w:rPr>
        <w:t>, dla których cen</w:t>
      </w:r>
      <w:r w:rsidR="00792429">
        <w:rPr>
          <w:rFonts w:ascii="Times New Roman" w:hAnsi="Times New Roman"/>
          <w:sz w:val="24"/>
          <w:szCs w:val="24"/>
        </w:rPr>
        <w:t>y zostaną udostępnione w </w:t>
      </w:r>
      <w:r w:rsidRPr="0070741E">
        <w:rPr>
          <w:rFonts w:ascii="Times New Roman" w:hAnsi="Times New Roman"/>
          <w:sz w:val="24"/>
          <w:szCs w:val="24"/>
        </w:rPr>
        <w:t>Biuletynie Informacji Publicznej na stronie podmiotowej urzędu obsługującego ministra właściwego do spraw finansów publicznych, zgodnie z a</w:t>
      </w:r>
      <w:r w:rsidR="00792429">
        <w:rPr>
          <w:rFonts w:ascii="Times New Roman" w:hAnsi="Times New Roman"/>
          <w:sz w:val="24"/>
          <w:szCs w:val="24"/>
        </w:rPr>
        <w:t>rt. 30a ust. 2b ustawy o VAT. W </w:t>
      </w:r>
      <w:r w:rsidRPr="0070741E">
        <w:rPr>
          <w:rFonts w:ascii="Times New Roman" w:hAnsi="Times New Roman"/>
          <w:sz w:val="24"/>
          <w:szCs w:val="24"/>
        </w:rPr>
        <w:t xml:space="preserve">przypadku pozostałych </w:t>
      </w:r>
      <w:r w:rsidR="00A93AB1">
        <w:rPr>
          <w:rFonts w:ascii="Times New Roman" w:hAnsi="Times New Roman"/>
          <w:sz w:val="24"/>
          <w:szCs w:val="24"/>
        </w:rPr>
        <w:t>towarów</w:t>
      </w:r>
      <w:r w:rsidR="00A93AB1" w:rsidRPr="0070741E">
        <w:rPr>
          <w:rFonts w:ascii="Times New Roman" w:hAnsi="Times New Roman"/>
          <w:sz w:val="24"/>
          <w:szCs w:val="24"/>
        </w:rPr>
        <w:t xml:space="preserve"> </w:t>
      </w:r>
      <w:r w:rsidRPr="0070741E">
        <w:rPr>
          <w:rFonts w:ascii="Times New Roman" w:hAnsi="Times New Roman"/>
          <w:sz w:val="24"/>
          <w:szCs w:val="24"/>
        </w:rPr>
        <w:t>objętych pakietem paliwowym, tj. tych, dla których ceny nie zostaną udostępnione w Biuletynie Informacji Publicznej, podatnicy będą zobowiązani określać podstawę opodatkowania na ogólnych zasadach przewidzianych dla WNT.</w:t>
      </w:r>
    </w:p>
    <w:p w14:paraId="1D6D75CF" w14:textId="77777777" w:rsidR="00347D41" w:rsidRDefault="00347D41" w:rsidP="00CD3D8E">
      <w:pPr>
        <w:spacing w:after="0" w:line="360" w:lineRule="auto"/>
        <w:jc w:val="both"/>
        <w:rPr>
          <w:rFonts w:ascii="Times New Roman" w:hAnsi="Times New Roman"/>
          <w:sz w:val="24"/>
          <w:szCs w:val="24"/>
          <w:u w:val="single"/>
        </w:rPr>
      </w:pPr>
    </w:p>
    <w:p w14:paraId="09E8AE75" w14:textId="77777777" w:rsidR="006B7B7A" w:rsidRPr="0070741E" w:rsidRDefault="004E5772" w:rsidP="00CD3D8E">
      <w:pPr>
        <w:spacing w:after="0" w:line="360" w:lineRule="auto"/>
        <w:jc w:val="both"/>
        <w:rPr>
          <w:rFonts w:ascii="Times New Roman" w:hAnsi="Times New Roman"/>
          <w:sz w:val="24"/>
          <w:szCs w:val="24"/>
          <w:u w:val="single"/>
        </w:rPr>
      </w:pPr>
      <w:r w:rsidRPr="0070741E">
        <w:rPr>
          <w:rFonts w:ascii="Times New Roman" w:hAnsi="Times New Roman"/>
          <w:sz w:val="24"/>
          <w:szCs w:val="24"/>
          <w:u w:val="single"/>
        </w:rPr>
        <w:t>Zmiany w ustawie Ordynacja podatkowa</w:t>
      </w:r>
    </w:p>
    <w:p w14:paraId="3E79743A"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Obrót paliwami ciekłymi w Polsce jest działalnością koncesjonowaną, a organem uprawnionym do udzielenia i cofania koncesji jest Prezes Urzędu Regulacji Energetyki.</w:t>
      </w:r>
    </w:p>
    <w:p w14:paraId="546CB7FA"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Wydawana przez Prezesa URE koncesja jest dokumentem administracyjnym, powstałym w</w:t>
      </w:r>
      <w:r w:rsidR="008D0328" w:rsidRPr="0070741E">
        <w:rPr>
          <w:rFonts w:ascii="Times New Roman" w:hAnsi="Times New Roman"/>
          <w:sz w:val="24"/>
          <w:szCs w:val="24"/>
        </w:rPr>
        <w:t> </w:t>
      </w:r>
      <w:r w:rsidRPr="0070741E">
        <w:rPr>
          <w:rFonts w:ascii="Times New Roman" w:hAnsi="Times New Roman"/>
          <w:sz w:val="24"/>
          <w:szCs w:val="24"/>
        </w:rPr>
        <w:t>wyniku przeprowadzenia przez ten organ postępowania/weryfikacji, który ma wskazywać, że podmiot ją posiadający jest wiarygodny dla innych uczestników obrotu paliwami, jak również dla administracji podatkowej. Zmiany wprowadzone w „Pakiecie paliwowym” i</w:t>
      </w:r>
      <w:r w:rsidR="008D0328" w:rsidRPr="0070741E">
        <w:rPr>
          <w:rFonts w:ascii="Times New Roman" w:hAnsi="Times New Roman"/>
          <w:sz w:val="24"/>
          <w:szCs w:val="24"/>
        </w:rPr>
        <w:t> </w:t>
      </w:r>
      <w:r w:rsidRPr="0070741E">
        <w:rPr>
          <w:rFonts w:ascii="Times New Roman" w:hAnsi="Times New Roman"/>
          <w:sz w:val="24"/>
          <w:szCs w:val="24"/>
        </w:rPr>
        <w:t>„Pakiecie energetycznym” zwiększyły wymagania w zakresie wiarygodności podmiotów wykonujących działalność koncesjonowaną oraz zwięk</w:t>
      </w:r>
      <w:r w:rsidR="0006147A" w:rsidRPr="0070741E">
        <w:rPr>
          <w:rFonts w:ascii="Times New Roman" w:hAnsi="Times New Roman"/>
          <w:sz w:val="24"/>
          <w:szCs w:val="24"/>
        </w:rPr>
        <w:t xml:space="preserve">szyły uprawnienia Prezesa URE </w:t>
      </w:r>
      <w:r w:rsidR="0006147A" w:rsidRPr="0070741E">
        <w:rPr>
          <w:rFonts w:ascii="Times New Roman" w:hAnsi="Times New Roman"/>
          <w:sz w:val="24"/>
          <w:szCs w:val="24"/>
        </w:rPr>
        <w:lastRenderedPageBreak/>
        <w:t>w </w:t>
      </w:r>
      <w:r w:rsidRPr="0070741E">
        <w:rPr>
          <w:rFonts w:ascii="Times New Roman" w:hAnsi="Times New Roman"/>
          <w:sz w:val="24"/>
          <w:szCs w:val="24"/>
        </w:rPr>
        <w:t>procesie badania rzetelności podmiotów ubiegających się o koncesję na obrót paliwami płynnymi. Dzięki zwiększeniu tych uprawnień, proces koncesyjny prowadzony przez Prezesa URE pozwala na skuteczniejszą weryfikację podmiotów, które chcą rozpocząć działalność na rynku paliw płynnych lub na tym rynku już funkcjonują.</w:t>
      </w:r>
    </w:p>
    <w:p w14:paraId="69DAC2AA"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Należy podkreślić, że jednym z elementów pozwalających na ocenę działalności każdego podmiotu jest jego „historia podatkowa” obejmująca zarówno dane dotyczące prawidłowości wywiązywania się przez podatnika z obowiązków podatkowych, jak również informacje dotyczące ewentualnych nieprawidłowości</w:t>
      </w:r>
      <w:r w:rsidR="006A56B8" w:rsidRPr="0070741E">
        <w:rPr>
          <w:rFonts w:ascii="Times New Roman" w:hAnsi="Times New Roman"/>
          <w:sz w:val="24"/>
          <w:szCs w:val="24"/>
        </w:rPr>
        <w:t>,</w:t>
      </w:r>
      <w:r w:rsidRPr="0070741E">
        <w:rPr>
          <w:rFonts w:ascii="Times New Roman" w:hAnsi="Times New Roman"/>
          <w:sz w:val="24"/>
          <w:szCs w:val="24"/>
        </w:rPr>
        <w:t xml:space="preserve"> pochodzące</w:t>
      </w:r>
      <w:r w:rsidR="0006147A" w:rsidRPr="0070741E">
        <w:rPr>
          <w:rFonts w:ascii="Times New Roman" w:hAnsi="Times New Roman"/>
          <w:sz w:val="24"/>
          <w:szCs w:val="24"/>
        </w:rPr>
        <w:t xml:space="preserve"> z przeprowadzanych kontroli. W </w:t>
      </w:r>
      <w:r w:rsidRPr="0070741E">
        <w:rPr>
          <w:rFonts w:ascii="Times New Roman" w:hAnsi="Times New Roman"/>
          <w:sz w:val="24"/>
          <w:szCs w:val="24"/>
        </w:rPr>
        <w:t>szczególności jedną z przesłanek uzyskania koncesji jest brak istnienia po stronie wnioskodawcy zaległości podatkowych, której istnienie powinno być przedmiotem opinii wyrażanej przez ministra właściwego do spraw finansów publicznych.</w:t>
      </w:r>
    </w:p>
    <w:p w14:paraId="086AF397"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Tym samym skuteczna realizacja przez Prezesa URE jego uprawnień oraz usprawnienie współpracy Prezesa z organami skarbowymi, uzasadnia dołączenie Prezesa URE do katalogu podmiotów, którym mogą być udostępniane </w:t>
      </w:r>
      <w:r w:rsidR="007E743E" w:rsidRPr="0070741E">
        <w:rPr>
          <w:rFonts w:ascii="Times New Roman" w:hAnsi="Times New Roman"/>
          <w:sz w:val="24"/>
          <w:szCs w:val="24"/>
        </w:rPr>
        <w:t>informacje</w:t>
      </w:r>
      <w:r w:rsidRPr="0070741E">
        <w:rPr>
          <w:rFonts w:ascii="Times New Roman" w:hAnsi="Times New Roman"/>
          <w:sz w:val="24"/>
          <w:szCs w:val="24"/>
        </w:rPr>
        <w:t xml:space="preserve"> </w:t>
      </w:r>
      <w:r w:rsidR="0018526C" w:rsidRPr="0070741E">
        <w:rPr>
          <w:rFonts w:ascii="Times New Roman" w:hAnsi="Times New Roman"/>
          <w:sz w:val="24"/>
          <w:szCs w:val="24"/>
        </w:rPr>
        <w:t xml:space="preserve">objęte </w:t>
      </w:r>
      <w:r w:rsidR="007E743E" w:rsidRPr="0070741E">
        <w:rPr>
          <w:rFonts w:ascii="Times New Roman" w:hAnsi="Times New Roman"/>
          <w:sz w:val="24"/>
          <w:szCs w:val="24"/>
        </w:rPr>
        <w:t>tajemnicą skarbową</w:t>
      </w:r>
      <w:r w:rsidRPr="0070741E">
        <w:rPr>
          <w:rFonts w:ascii="Times New Roman" w:hAnsi="Times New Roman"/>
          <w:sz w:val="24"/>
          <w:szCs w:val="24"/>
        </w:rPr>
        <w:t>.</w:t>
      </w:r>
    </w:p>
    <w:p w14:paraId="0A0F96B0" w14:textId="77777777" w:rsidR="006B7B7A" w:rsidRPr="0070741E" w:rsidRDefault="006B7B7A" w:rsidP="00CD3D8E">
      <w:pPr>
        <w:spacing w:after="0" w:line="360" w:lineRule="auto"/>
        <w:jc w:val="both"/>
        <w:rPr>
          <w:rFonts w:ascii="Times New Roman" w:hAnsi="Times New Roman"/>
          <w:sz w:val="24"/>
          <w:szCs w:val="24"/>
          <w:u w:val="single"/>
        </w:rPr>
      </w:pPr>
    </w:p>
    <w:p w14:paraId="1314A592"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u w:val="single"/>
        </w:rPr>
        <w:t>Zmiany w ustawie Prawo energetyczne</w:t>
      </w:r>
    </w:p>
    <w:p w14:paraId="1A209E65" w14:textId="13040C98"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Proponowane zmiany w </w:t>
      </w:r>
      <w:r w:rsidR="006B3F91" w:rsidRPr="0070741E">
        <w:rPr>
          <w:rFonts w:ascii="Times New Roman" w:eastAsia="Times New Roman" w:hAnsi="Times New Roman"/>
          <w:bCs/>
          <w:sz w:val="24"/>
          <w:szCs w:val="24"/>
          <w:lang w:eastAsia="pl-PL"/>
        </w:rPr>
        <w:t xml:space="preserve">ustawie z dnia 10 kwietnia 1997 r. Prawo energetyczne </w:t>
      </w:r>
      <w:r w:rsidR="007941D4" w:rsidRPr="007941D4">
        <w:rPr>
          <w:rFonts w:ascii="Times New Roman" w:eastAsia="Times New Roman" w:hAnsi="Times New Roman"/>
          <w:bCs/>
          <w:sz w:val="24"/>
          <w:szCs w:val="24"/>
          <w:lang w:eastAsia="pl-PL"/>
        </w:rPr>
        <w:t>(Dz. U. z 2019 r. poz. 755 i 730)</w:t>
      </w:r>
      <w:r w:rsidR="006B3F91" w:rsidRPr="0070741E">
        <w:rPr>
          <w:rFonts w:ascii="Times New Roman" w:eastAsia="Times New Roman" w:hAnsi="Times New Roman"/>
          <w:bCs/>
          <w:sz w:val="24"/>
          <w:szCs w:val="24"/>
          <w:lang w:eastAsia="pl-PL"/>
        </w:rPr>
        <w:t xml:space="preserve"> </w:t>
      </w:r>
      <w:r w:rsidR="005917EB" w:rsidRPr="0070741E">
        <w:rPr>
          <w:rFonts w:ascii="Times New Roman" w:eastAsia="Times New Roman" w:hAnsi="Times New Roman"/>
          <w:bCs/>
          <w:sz w:val="24"/>
          <w:szCs w:val="24"/>
          <w:lang w:eastAsia="pl-PL"/>
        </w:rPr>
        <w:t xml:space="preserve">– </w:t>
      </w:r>
      <w:r w:rsidR="005917EB" w:rsidRPr="0070741E">
        <w:rPr>
          <w:rFonts w:ascii="Times New Roman" w:hAnsi="Times New Roman"/>
          <w:sz w:val="24"/>
          <w:szCs w:val="24"/>
        </w:rPr>
        <w:t xml:space="preserve">dalej: </w:t>
      </w:r>
      <w:proofErr w:type="spellStart"/>
      <w:r w:rsidR="005917EB" w:rsidRPr="0070741E">
        <w:rPr>
          <w:rFonts w:ascii="Times New Roman" w:hAnsi="Times New Roman"/>
          <w:sz w:val="24"/>
          <w:szCs w:val="24"/>
        </w:rPr>
        <w:t>uPE</w:t>
      </w:r>
      <w:proofErr w:type="spellEnd"/>
      <w:r w:rsidR="005917EB" w:rsidRPr="0070741E">
        <w:rPr>
          <w:rFonts w:ascii="Times New Roman" w:hAnsi="Times New Roman"/>
          <w:sz w:val="24"/>
          <w:szCs w:val="24"/>
        </w:rPr>
        <w:t>,</w:t>
      </w:r>
      <w:r w:rsidRPr="0070741E">
        <w:rPr>
          <w:rFonts w:ascii="Times New Roman" w:hAnsi="Times New Roman"/>
          <w:sz w:val="24"/>
          <w:szCs w:val="24"/>
        </w:rPr>
        <w:t xml:space="preserve"> dotyczą:</w:t>
      </w:r>
    </w:p>
    <w:p w14:paraId="70693FB0" w14:textId="77777777" w:rsidR="006B7B7A" w:rsidRPr="0070741E" w:rsidRDefault="00386628" w:rsidP="00316057">
      <w:pPr>
        <w:pStyle w:val="Akapitzlist"/>
        <w:numPr>
          <w:ilvl w:val="3"/>
          <w:numId w:val="1"/>
        </w:numPr>
        <w:spacing w:after="0" w:line="360" w:lineRule="auto"/>
        <w:ind w:left="709"/>
        <w:jc w:val="both"/>
        <w:rPr>
          <w:rFonts w:ascii="Times New Roman" w:hAnsi="Times New Roman"/>
          <w:sz w:val="24"/>
          <w:szCs w:val="24"/>
        </w:rPr>
      </w:pPr>
      <w:r w:rsidRPr="0070741E">
        <w:rPr>
          <w:rFonts w:ascii="Times New Roman" w:hAnsi="Times New Roman"/>
          <w:sz w:val="24"/>
          <w:szCs w:val="24"/>
        </w:rPr>
        <w:t>z</w:t>
      </w:r>
      <w:r w:rsidR="004E5772" w:rsidRPr="0070741E">
        <w:rPr>
          <w:rFonts w:ascii="Times New Roman" w:hAnsi="Times New Roman"/>
          <w:sz w:val="24"/>
          <w:szCs w:val="24"/>
        </w:rPr>
        <w:t>miany definicji paliw ciekłych,</w:t>
      </w:r>
    </w:p>
    <w:p w14:paraId="10BD2938" w14:textId="77777777" w:rsidR="006B7B7A" w:rsidRPr="0070741E" w:rsidRDefault="00386628" w:rsidP="00316057">
      <w:pPr>
        <w:pStyle w:val="Akapitzlist"/>
        <w:numPr>
          <w:ilvl w:val="3"/>
          <w:numId w:val="1"/>
        </w:numPr>
        <w:spacing w:after="0" w:line="360" w:lineRule="auto"/>
        <w:ind w:left="709"/>
        <w:jc w:val="both"/>
        <w:rPr>
          <w:rFonts w:ascii="Times New Roman" w:hAnsi="Times New Roman"/>
          <w:sz w:val="24"/>
          <w:szCs w:val="24"/>
        </w:rPr>
      </w:pPr>
      <w:r w:rsidRPr="0070741E">
        <w:rPr>
          <w:rFonts w:ascii="Times New Roman" w:hAnsi="Times New Roman"/>
          <w:sz w:val="24"/>
          <w:szCs w:val="24"/>
        </w:rPr>
        <w:t>d</w:t>
      </w:r>
      <w:r w:rsidR="004E5772" w:rsidRPr="0070741E">
        <w:rPr>
          <w:rFonts w:ascii="Times New Roman" w:hAnsi="Times New Roman"/>
          <w:sz w:val="24"/>
          <w:szCs w:val="24"/>
        </w:rPr>
        <w:t>ostosowania przepisów ustawy do nowego brzmienia rozporządzenia Parlamentu Europejskiego i Rady (WE) nr 1099/2008 z dnia 22 października 2008 r. w sprawie statystyki energii (dalej: „rozporządzenie w sprawie statystyki energii”), które zostało zmienione rozporządzeniem Komisji (UE) 2017/2010 z dnia</w:t>
      </w:r>
      <w:r w:rsidR="00CA6E11" w:rsidRPr="0070741E">
        <w:rPr>
          <w:rFonts w:ascii="Times New Roman" w:hAnsi="Times New Roman"/>
          <w:sz w:val="24"/>
          <w:szCs w:val="24"/>
        </w:rPr>
        <w:t xml:space="preserve"> 9 listopada 2017 r. zmieniającym</w:t>
      </w:r>
      <w:r w:rsidR="004E5772" w:rsidRPr="0070741E">
        <w:rPr>
          <w:rFonts w:ascii="Times New Roman" w:hAnsi="Times New Roman"/>
          <w:sz w:val="24"/>
          <w:szCs w:val="24"/>
        </w:rPr>
        <w:t xml:space="preserve"> rozporządzenie Parlamentu Europejskiego i Rady (WE) nr 1099/2008 </w:t>
      </w:r>
      <w:r w:rsidR="004E5772" w:rsidRPr="0070741E">
        <w:rPr>
          <w:rFonts w:ascii="Times New Roman" w:hAnsi="Times New Roman"/>
          <w:sz w:val="24"/>
          <w:szCs w:val="24"/>
        </w:rPr>
        <w:br/>
        <w:t>w sprawie statystyki energii w odniesieniu do aktualizacji rocznych i miesięcznych statystyk dotyczących energii z dnia 9 listopada 2017 r. (</w:t>
      </w:r>
      <w:proofErr w:type="spellStart"/>
      <w:r w:rsidR="004E5772" w:rsidRPr="0070741E">
        <w:rPr>
          <w:rFonts w:ascii="Times New Roman" w:hAnsi="Times New Roman"/>
          <w:sz w:val="24"/>
          <w:szCs w:val="24"/>
        </w:rPr>
        <w:t>Dz.Urz.UE.L</w:t>
      </w:r>
      <w:proofErr w:type="spellEnd"/>
      <w:r w:rsidR="004E5772" w:rsidRPr="0070741E">
        <w:rPr>
          <w:rFonts w:ascii="Times New Roman" w:hAnsi="Times New Roman"/>
          <w:sz w:val="24"/>
          <w:szCs w:val="24"/>
        </w:rPr>
        <w:t xml:space="preserve"> Nr 292, str. 3).</w:t>
      </w:r>
    </w:p>
    <w:p w14:paraId="43E2FA92"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Aktualnie obowiązująca definicja paliw ciekłych, zawarta w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 xml:space="preserve"> nie odnosi się bezpośrednio do przeznaczenia danego produktu. Zgodnie z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 aby dany produkt uznany został za paliwo ciekłe, musi on spełniać łącznie następujące przesłanki:</w:t>
      </w:r>
    </w:p>
    <w:p w14:paraId="75B399D6" w14:textId="77777777" w:rsidR="006B7B7A" w:rsidRPr="0070741E" w:rsidRDefault="004E5772" w:rsidP="00CD3D8E">
      <w:pPr>
        <w:numPr>
          <w:ilvl w:val="0"/>
          <w:numId w:val="3"/>
        </w:numPr>
        <w:spacing w:after="0" w:line="360" w:lineRule="auto"/>
        <w:jc w:val="both"/>
        <w:rPr>
          <w:rFonts w:ascii="Times New Roman" w:hAnsi="Times New Roman"/>
          <w:sz w:val="24"/>
          <w:szCs w:val="24"/>
        </w:rPr>
      </w:pPr>
      <w:r w:rsidRPr="0070741E">
        <w:rPr>
          <w:rFonts w:ascii="Times New Roman" w:hAnsi="Times New Roman"/>
          <w:sz w:val="24"/>
          <w:szCs w:val="24"/>
        </w:rPr>
        <w:t xml:space="preserve">jest nośnikiem energii, wymienionym w art. 3 </w:t>
      </w:r>
      <w:r w:rsidR="00A405F4" w:rsidRPr="0070741E">
        <w:rPr>
          <w:rFonts w:ascii="Times New Roman" w:hAnsi="Times New Roman"/>
          <w:sz w:val="24"/>
          <w:szCs w:val="24"/>
        </w:rPr>
        <w:t>pkt</w:t>
      </w:r>
      <w:r w:rsidRPr="0070741E">
        <w:rPr>
          <w:rFonts w:ascii="Times New Roman" w:hAnsi="Times New Roman"/>
          <w:sz w:val="24"/>
          <w:szCs w:val="24"/>
        </w:rPr>
        <w:t xml:space="preserve"> 3b ustawy,</w:t>
      </w:r>
    </w:p>
    <w:p w14:paraId="0621AF0A" w14:textId="77777777" w:rsidR="006B7B7A" w:rsidRPr="0070741E" w:rsidRDefault="004E5772" w:rsidP="00CD3D8E">
      <w:pPr>
        <w:numPr>
          <w:ilvl w:val="0"/>
          <w:numId w:val="3"/>
        </w:numPr>
        <w:spacing w:after="0" w:line="360" w:lineRule="auto"/>
        <w:jc w:val="both"/>
        <w:rPr>
          <w:rFonts w:ascii="Times New Roman" w:hAnsi="Times New Roman"/>
          <w:sz w:val="24"/>
          <w:szCs w:val="24"/>
        </w:rPr>
      </w:pPr>
      <w:r w:rsidRPr="0070741E">
        <w:rPr>
          <w:rFonts w:ascii="Times New Roman" w:hAnsi="Times New Roman"/>
          <w:sz w:val="24"/>
          <w:szCs w:val="24"/>
        </w:rPr>
        <w:lastRenderedPageBreak/>
        <w:t>wypełnia definicję danego nośnika energii określoną w rozporządzeniu Parlamentu Europejskiego i Rady (WE) nr 1099/2008 z dnia 22 października 2008 r. w sprawie statystyki energii,</w:t>
      </w:r>
    </w:p>
    <w:p w14:paraId="5544D5B1" w14:textId="77777777" w:rsidR="006B7B7A" w:rsidRPr="0070741E" w:rsidRDefault="004E5772" w:rsidP="00CD3D8E">
      <w:pPr>
        <w:numPr>
          <w:ilvl w:val="0"/>
          <w:numId w:val="3"/>
        </w:numPr>
        <w:spacing w:after="0" w:line="360" w:lineRule="auto"/>
        <w:jc w:val="both"/>
        <w:rPr>
          <w:rFonts w:ascii="Times New Roman" w:hAnsi="Times New Roman"/>
          <w:sz w:val="24"/>
          <w:szCs w:val="24"/>
        </w:rPr>
      </w:pPr>
      <w:r w:rsidRPr="0070741E">
        <w:rPr>
          <w:rFonts w:ascii="Times New Roman" w:hAnsi="Times New Roman"/>
          <w:sz w:val="24"/>
          <w:szCs w:val="24"/>
        </w:rPr>
        <w:t xml:space="preserve">jego kod CN jest ujęty w rozporządzeniu wydanym na podstawie art. 32 ust. 6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w:t>
      </w:r>
    </w:p>
    <w:p w14:paraId="4CC6D6F2"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Identyfikowane są jednak w praktyce przypadki, w których pomimo tego, że produkt oznaczony jest kodem CN wskazanym w rozporządzeniu Ministra Energii z dnia 15 grudnia 2016 r. w sprawie szczegółowego wykazu paliw ciekłych, których wytwarzanie, magazynowanie lub przeładunek, przesyłanie lub dystrybucja, obrót, w tym obrót z zagranicą, wymaga koncesji oraz których przywóz wymaga wpisu do rejestru podmiotów przywożących (dalej: „rozporządzenie Ministra Energii”), pojawiają się wątpliwości co do możliwości jego zakwalifikowania jako paliwo ciekłe. </w:t>
      </w:r>
    </w:p>
    <w:p w14:paraId="0330CE1F"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Wątpliwości te wynikają z faktu, że niektóre defini</w:t>
      </w:r>
      <w:r w:rsidR="0006147A" w:rsidRPr="0070741E">
        <w:rPr>
          <w:rFonts w:ascii="Times New Roman" w:hAnsi="Times New Roman"/>
          <w:sz w:val="24"/>
          <w:szCs w:val="24"/>
        </w:rPr>
        <w:t>cje nośników energii, zawarte w </w:t>
      </w:r>
      <w:r w:rsidRPr="0070741E">
        <w:rPr>
          <w:rFonts w:ascii="Times New Roman" w:hAnsi="Times New Roman"/>
          <w:sz w:val="24"/>
          <w:szCs w:val="24"/>
        </w:rPr>
        <w:t xml:space="preserve">rozporządzeniu w sprawie statystyki energii, obok właściwości fizykochemicznych danego nośnika, wskazują dodatkowo na jego przeznaczenie. Wykładnia przepisów rozporządzenia </w:t>
      </w:r>
      <w:r w:rsidRPr="0070741E">
        <w:rPr>
          <w:rFonts w:ascii="Times New Roman" w:hAnsi="Times New Roman"/>
          <w:sz w:val="24"/>
          <w:szCs w:val="24"/>
        </w:rPr>
        <w:br/>
        <w:t xml:space="preserve">o statystyce energii może prowadzić do wniosku, że definicje nośników energii (w niektórych przypadkach) wskazują jedynie potencjalne przeznaczenie danego nośnika. Jednak w celu uniknięcia wątpliwości interpretacyjnych, które mogą prowadzić do rozszczelnienia systemu nadzoru regulacyjnego Prezesa Urzędu Regulacji Energetyki nad rynkiem paliw ciekłych (wobec rozstrzygania wątpliwości na korzyść podmiotów, tj. uznawania, że nie podlegają one obowiązkowi koncesyjnemu lub obowiązkowi wpisu do rejestru podmiotów przywożących, </w:t>
      </w:r>
      <w:r w:rsidRPr="0070741E">
        <w:rPr>
          <w:rFonts w:ascii="Times New Roman" w:hAnsi="Times New Roman"/>
          <w:sz w:val="24"/>
          <w:szCs w:val="24"/>
        </w:rPr>
        <w:br/>
        <w:t xml:space="preserve">o którym mowa w art. 32a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 xml:space="preserve"> – dalej: RPP), i w celu ograniczenia ryzyka obchodzenia przepisów oraz wypełnienia kryterium jednoznaczności prawa, konieczne jest doprecyzowanie definicji paliw ciekłych poprzez wskazanie, że dany produkt stanowi paliwo ciekłe, jeżeli jest oznaczony kodem CN wskazanym w rozporządzeniu Ministr</w:t>
      </w:r>
      <w:r w:rsidR="00E768B6" w:rsidRPr="0070741E">
        <w:rPr>
          <w:rFonts w:ascii="Times New Roman" w:hAnsi="Times New Roman"/>
          <w:sz w:val="24"/>
          <w:szCs w:val="24"/>
        </w:rPr>
        <w:t xml:space="preserve">a Energii oraz jest wymienionym </w:t>
      </w:r>
      <w:r w:rsidRPr="0070741E">
        <w:rPr>
          <w:rFonts w:ascii="Times New Roman" w:hAnsi="Times New Roman"/>
          <w:sz w:val="24"/>
          <w:szCs w:val="24"/>
        </w:rPr>
        <w:t xml:space="preserve">w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 xml:space="preserve"> nośnikiem energii według defin</w:t>
      </w:r>
      <w:r w:rsidR="00E768B6" w:rsidRPr="0070741E">
        <w:rPr>
          <w:rFonts w:ascii="Times New Roman" w:hAnsi="Times New Roman"/>
          <w:sz w:val="24"/>
          <w:szCs w:val="24"/>
        </w:rPr>
        <w:t>icji zawartej w rozporządzeniu</w:t>
      </w:r>
      <w:r w:rsidR="007D5A6F" w:rsidRPr="0070741E">
        <w:rPr>
          <w:rFonts w:ascii="Times New Roman" w:hAnsi="Times New Roman"/>
          <w:sz w:val="24"/>
          <w:szCs w:val="24"/>
        </w:rPr>
        <w:t xml:space="preserve"> </w:t>
      </w:r>
      <w:r w:rsidRPr="0070741E">
        <w:rPr>
          <w:rFonts w:ascii="Times New Roman" w:hAnsi="Times New Roman"/>
          <w:sz w:val="24"/>
          <w:szCs w:val="24"/>
        </w:rPr>
        <w:t xml:space="preserve">o statystyce energii, ale niezależnie od jego przeznaczenia. </w:t>
      </w:r>
    </w:p>
    <w:p w14:paraId="02602454"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Zaproponowana zmiana definicji paliw ciekłych wyłączy możliwość stosowania do kwalifikacji produktu jako paliwa ciekłego tych części definicji nośników energii zawartych </w:t>
      </w:r>
      <w:r w:rsidRPr="0070741E">
        <w:rPr>
          <w:rFonts w:ascii="Times New Roman" w:hAnsi="Times New Roman"/>
          <w:sz w:val="24"/>
          <w:szCs w:val="24"/>
        </w:rPr>
        <w:br/>
        <w:t xml:space="preserve">w rozporządzeniu o statystyce energii, które odwołują się do przeznaczenia danego nośnika energii. Ani deklarowane ani faktyczne przeznaczenie produktu, w tym okoliczność wytworzenia lub niewytworzenia z niego energii, nie będą miały co do zasady znaczenia dla uznania, że jest on paliwem ciekłym. </w:t>
      </w:r>
    </w:p>
    <w:p w14:paraId="3D5E4C50"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lastRenderedPageBreak/>
        <w:t>Przedmiotowa zmiana koreluje ze zmianami w ustawie o podatku VAT i podatku akcyzowym, których celem jest również wyeliminowanie wątpliwości interpretacyjnych w zakresie stosowania rozwiązań tzw.</w:t>
      </w:r>
      <w:r w:rsidR="007D5A6F" w:rsidRPr="0070741E">
        <w:rPr>
          <w:rFonts w:ascii="Times New Roman" w:hAnsi="Times New Roman"/>
          <w:sz w:val="24"/>
          <w:szCs w:val="24"/>
        </w:rPr>
        <w:t xml:space="preserve"> </w:t>
      </w:r>
      <w:r w:rsidRPr="0070741E">
        <w:rPr>
          <w:rFonts w:ascii="Times New Roman" w:hAnsi="Times New Roman"/>
          <w:sz w:val="24"/>
          <w:szCs w:val="24"/>
        </w:rPr>
        <w:t>„pakietu paliwowego” do wszystkich rodzajów paliw, bez względu na ich deklarowane lub faktyczne wykorzystanie.</w:t>
      </w:r>
    </w:p>
    <w:p w14:paraId="65A26076"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Prawne ramy dla wyjątków od tej reguły wprowadza nowe brzmienie art. 32 ust. 6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 xml:space="preserve">. </w:t>
      </w:r>
      <w:r w:rsidRPr="0070741E">
        <w:rPr>
          <w:rFonts w:ascii="Times New Roman" w:hAnsi="Times New Roman"/>
          <w:sz w:val="24"/>
          <w:szCs w:val="24"/>
        </w:rPr>
        <w:br/>
        <w:t xml:space="preserve">W obecnym brzmieniu tego przepisu, minister właściwy do spraw energii określi, w drodze rozporządzenia, szczegółowy wykaz paliw ciekłych, których wytwarzanie, magazynowanie lub przeładunek, przesyłanie lub dystrybucja, obrót, w tym obrót </w:t>
      </w:r>
      <w:r w:rsidR="0006147A" w:rsidRPr="0070741E">
        <w:rPr>
          <w:rFonts w:ascii="Times New Roman" w:hAnsi="Times New Roman"/>
          <w:sz w:val="24"/>
          <w:szCs w:val="24"/>
        </w:rPr>
        <w:t>z zagranicą, wymaga koncesji, o </w:t>
      </w:r>
      <w:r w:rsidRPr="0070741E">
        <w:rPr>
          <w:rFonts w:ascii="Times New Roman" w:hAnsi="Times New Roman"/>
          <w:sz w:val="24"/>
          <w:szCs w:val="24"/>
        </w:rPr>
        <w:t>których mowa w ust. 1 pkt 1-4, oraz których przy</w:t>
      </w:r>
      <w:r w:rsidR="00792429">
        <w:rPr>
          <w:rFonts w:ascii="Times New Roman" w:hAnsi="Times New Roman"/>
          <w:sz w:val="24"/>
          <w:szCs w:val="24"/>
        </w:rPr>
        <w:t>wóz wymaga wpisu do rejestru, o </w:t>
      </w:r>
      <w:r w:rsidRPr="0070741E">
        <w:rPr>
          <w:rFonts w:ascii="Times New Roman" w:hAnsi="Times New Roman"/>
          <w:sz w:val="24"/>
          <w:szCs w:val="24"/>
        </w:rPr>
        <w:t>którym mowa w art. 32a, stosując obowiązującą klasyfikację Nomenklatury Scalonej (kody CN) według załącznika I do rozporządzenia Rady (EWG) nr 26</w:t>
      </w:r>
      <w:r w:rsidR="0006147A" w:rsidRPr="0070741E">
        <w:rPr>
          <w:rFonts w:ascii="Times New Roman" w:hAnsi="Times New Roman"/>
          <w:sz w:val="24"/>
          <w:szCs w:val="24"/>
        </w:rPr>
        <w:t>58/87 z dnia 23 lipca 1987 r. w </w:t>
      </w:r>
      <w:r w:rsidRPr="0070741E">
        <w:rPr>
          <w:rFonts w:ascii="Times New Roman" w:hAnsi="Times New Roman"/>
          <w:sz w:val="24"/>
          <w:szCs w:val="24"/>
        </w:rPr>
        <w:t>sprawie nomenklatury taryfowej i statystycznej oraz w sprawie Wspólnej Taryfy Celnej (</w:t>
      </w:r>
      <w:proofErr w:type="spellStart"/>
      <w:r w:rsidRPr="0070741E">
        <w:rPr>
          <w:rFonts w:ascii="Times New Roman" w:hAnsi="Times New Roman"/>
          <w:sz w:val="24"/>
          <w:szCs w:val="24"/>
        </w:rPr>
        <w:t>Dz.Urz</w:t>
      </w:r>
      <w:proofErr w:type="spellEnd"/>
      <w:r w:rsidRPr="0070741E">
        <w:rPr>
          <w:rFonts w:ascii="Times New Roman" w:hAnsi="Times New Roman"/>
          <w:sz w:val="24"/>
          <w:szCs w:val="24"/>
        </w:rPr>
        <w:t xml:space="preserve">. UE L 256 z 07.09.1987, str. 1). </w:t>
      </w:r>
    </w:p>
    <w:p w14:paraId="215B8B66" w14:textId="4176A352" w:rsidR="00AE5D04"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Z uwagi na zmianę treści upoważnienia ustawowego do wydania rozporządzenia na podstawie art. 32 ust. 6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 xml:space="preserve">, konieczne będzie wydanie przez ministra właściwego do spraw energii nowego rozporządzenia. W projekcie proponuje się, że </w:t>
      </w:r>
      <w:r w:rsidR="00AE5D04" w:rsidRPr="0070741E">
        <w:rPr>
          <w:rFonts w:ascii="Times New Roman" w:eastAsia="Times New Roman" w:hAnsi="Times New Roman"/>
          <w:bCs/>
          <w:sz w:val="24"/>
          <w:szCs w:val="24"/>
          <w:lang w:eastAsia="pl-PL"/>
        </w:rPr>
        <w:t>dotychczasowe przepisy wykonawcze zachowają swą moc</w:t>
      </w:r>
      <w:r w:rsidR="00AE5D04" w:rsidRPr="0070741E">
        <w:rPr>
          <w:rFonts w:ascii="Times New Roman" w:hAnsi="Times New Roman"/>
          <w:sz w:val="24"/>
          <w:szCs w:val="24"/>
        </w:rPr>
        <w:t xml:space="preserve"> do dnia </w:t>
      </w:r>
      <w:r w:rsidRPr="0070741E">
        <w:rPr>
          <w:rFonts w:ascii="Times New Roman" w:hAnsi="Times New Roman"/>
          <w:sz w:val="24"/>
          <w:szCs w:val="24"/>
        </w:rPr>
        <w:t>wejścia w życie</w:t>
      </w:r>
      <w:r w:rsidR="00AE5D04" w:rsidRPr="0070741E">
        <w:rPr>
          <w:rFonts w:ascii="Times New Roman" w:hAnsi="Times New Roman"/>
          <w:sz w:val="24"/>
          <w:szCs w:val="24"/>
        </w:rPr>
        <w:t xml:space="preserve"> </w:t>
      </w:r>
      <w:r w:rsidR="00AE5D04" w:rsidRPr="0070741E">
        <w:rPr>
          <w:rFonts w:ascii="Times New Roman" w:eastAsia="Times New Roman" w:hAnsi="Times New Roman"/>
          <w:bCs/>
          <w:sz w:val="24"/>
          <w:szCs w:val="24"/>
          <w:lang w:eastAsia="pl-PL"/>
        </w:rPr>
        <w:t xml:space="preserve">przepisów wykonawczych wydanych na podstawie art. 32 ust. 6 </w:t>
      </w:r>
      <w:proofErr w:type="spellStart"/>
      <w:r w:rsidR="00AE5D04" w:rsidRPr="0070741E">
        <w:rPr>
          <w:rFonts w:ascii="Times New Roman" w:eastAsia="Times New Roman" w:hAnsi="Times New Roman"/>
          <w:bCs/>
          <w:sz w:val="24"/>
          <w:szCs w:val="24"/>
          <w:lang w:eastAsia="pl-PL"/>
        </w:rPr>
        <w:t>u</w:t>
      </w:r>
      <w:r w:rsidR="00B7275F">
        <w:rPr>
          <w:rFonts w:ascii="Times New Roman" w:eastAsia="Times New Roman" w:hAnsi="Times New Roman"/>
          <w:bCs/>
          <w:sz w:val="24"/>
          <w:szCs w:val="24"/>
          <w:lang w:eastAsia="pl-PL"/>
        </w:rPr>
        <w:t>PE</w:t>
      </w:r>
      <w:proofErr w:type="spellEnd"/>
      <w:r w:rsidR="00AE5D04" w:rsidRPr="0070741E">
        <w:rPr>
          <w:rFonts w:ascii="Times New Roman" w:eastAsia="Times New Roman" w:hAnsi="Times New Roman"/>
          <w:bCs/>
          <w:sz w:val="24"/>
          <w:szCs w:val="24"/>
          <w:lang w:eastAsia="pl-PL"/>
        </w:rPr>
        <w:t xml:space="preserve">, w brzmieniu nadanym niniejsza ustawą, jednak nie później niż przez </w:t>
      </w:r>
      <w:r w:rsidR="002851C9">
        <w:rPr>
          <w:rFonts w:ascii="Times New Roman" w:eastAsia="Times New Roman" w:hAnsi="Times New Roman"/>
          <w:bCs/>
          <w:sz w:val="24"/>
          <w:szCs w:val="24"/>
          <w:lang w:eastAsia="pl-PL"/>
        </w:rPr>
        <w:t>3 miesiące</w:t>
      </w:r>
      <w:r w:rsidR="00AE5D04" w:rsidRPr="0070741E">
        <w:rPr>
          <w:rFonts w:ascii="Times New Roman" w:eastAsia="Times New Roman" w:hAnsi="Times New Roman"/>
          <w:bCs/>
          <w:sz w:val="24"/>
          <w:szCs w:val="24"/>
          <w:lang w:eastAsia="pl-PL"/>
        </w:rPr>
        <w:t xml:space="preserve"> od dnia wejścia w życie niniejszej ustawy</w:t>
      </w:r>
      <w:r w:rsidR="00DC191D" w:rsidRPr="0070741E">
        <w:rPr>
          <w:rFonts w:ascii="Times New Roman" w:eastAsia="Times New Roman" w:hAnsi="Times New Roman"/>
          <w:bCs/>
          <w:sz w:val="24"/>
          <w:szCs w:val="24"/>
          <w:lang w:eastAsia="pl-PL"/>
        </w:rPr>
        <w:t>.</w:t>
      </w:r>
    </w:p>
    <w:p w14:paraId="4FFF9D8C"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W projekcie zakłada się, że w rozporządzeniu wydanym na podstawie art. 32 ust. 6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 xml:space="preserve"> będzie można określić przeznaczenie paliwa ciekłego, jeżeli służyć będzie to osiągnięciu celów tego rozporządzenia, o których mowa w ust. 7. Do celów tych należy zapewnienie prawidłowego funkcjonowania krajowego rynku paliw, bezp</w:t>
      </w:r>
      <w:r w:rsidR="00792429">
        <w:rPr>
          <w:rFonts w:ascii="Times New Roman" w:hAnsi="Times New Roman"/>
          <w:sz w:val="24"/>
          <w:szCs w:val="24"/>
        </w:rPr>
        <w:t>ieczeństwa paliwowego państwa i </w:t>
      </w:r>
      <w:r w:rsidRPr="0070741E">
        <w:rPr>
          <w:rFonts w:ascii="Times New Roman" w:hAnsi="Times New Roman"/>
          <w:sz w:val="24"/>
          <w:szCs w:val="24"/>
        </w:rPr>
        <w:t>ochrona konkurencji. Powyższa regulacja ma charakter ostrożnościowy.</w:t>
      </w:r>
    </w:p>
    <w:p w14:paraId="1C4BE75E" w14:textId="1A8730B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W związku z projektowaną zmianą definicji paliw ciekłych</w:t>
      </w:r>
      <w:r w:rsidR="00D84FC6" w:rsidRPr="0070741E">
        <w:rPr>
          <w:rFonts w:ascii="Times New Roman" w:hAnsi="Times New Roman"/>
          <w:sz w:val="24"/>
          <w:szCs w:val="24"/>
        </w:rPr>
        <w:t xml:space="preserve"> w art. 3 pkt 3b </w:t>
      </w:r>
      <w:proofErr w:type="spellStart"/>
      <w:r w:rsidR="00D84FC6" w:rsidRPr="0070741E">
        <w:rPr>
          <w:rFonts w:ascii="Times New Roman" w:hAnsi="Times New Roman"/>
          <w:sz w:val="24"/>
          <w:szCs w:val="24"/>
        </w:rPr>
        <w:t>uPE</w:t>
      </w:r>
      <w:proofErr w:type="spellEnd"/>
      <w:r w:rsidR="00D84FC6" w:rsidRPr="0070741E">
        <w:rPr>
          <w:rFonts w:ascii="Times New Roman" w:hAnsi="Times New Roman"/>
          <w:sz w:val="24"/>
          <w:szCs w:val="24"/>
        </w:rPr>
        <w:t xml:space="preserve"> poprzez dodanie wyrażenia „niezależnie od ich przeznaczenia”</w:t>
      </w:r>
      <w:r w:rsidRPr="0070741E">
        <w:rPr>
          <w:rFonts w:ascii="Times New Roman" w:hAnsi="Times New Roman"/>
          <w:sz w:val="24"/>
          <w:szCs w:val="24"/>
        </w:rPr>
        <w:t xml:space="preserve">, wskutek wprowadzanych zmian katalogu podmiotów zobowiązanych do uzyskania koncesji lub obowiązanych do uzyskania wpisu do RPP, mając na uwadze konstytucyjną zasadę zaufania do państwa oraz stanowionego przez nie prawa, proponuje się wprowadzenie przepisów przejściowych, regulujących tryb występowania o koncesję, zmianę zakresu posiadanej koncesji lub wpis do RPP (art. </w:t>
      </w:r>
      <w:r w:rsidR="00097A77">
        <w:rPr>
          <w:rFonts w:ascii="Times New Roman" w:hAnsi="Times New Roman"/>
          <w:sz w:val="24"/>
          <w:szCs w:val="24"/>
        </w:rPr>
        <w:t>9</w:t>
      </w:r>
      <w:r w:rsidR="004A2321" w:rsidRPr="0070741E">
        <w:rPr>
          <w:rFonts w:ascii="Times New Roman" w:hAnsi="Times New Roman"/>
          <w:sz w:val="24"/>
          <w:szCs w:val="24"/>
        </w:rPr>
        <w:t xml:space="preserve"> </w:t>
      </w:r>
      <w:r w:rsidRPr="0070741E">
        <w:rPr>
          <w:rFonts w:ascii="Times New Roman" w:hAnsi="Times New Roman"/>
          <w:sz w:val="24"/>
          <w:szCs w:val="24"/>
        </w:rPr>
        <w:t>oraz art.</w:t>
      </w:r>
      <w:r w:rsidR="00C13813" w:rsidRPr="0070741E">
        <w:rPr>
          <w:rFonts w:ascii="Times New Roman" w:hAnsi="Times New Roman"/>
          <w:sz w:val="24"/>
          <w:szCs w:val="24"/>
        </w:rPr>
        <w:t> </w:t>
      </w:r>
      <w:r w:rsidR="004A2321" w:rsidRPr="0070741E">
        <w:rPr>
          <w:rFonts w:ascii="Times New Roman" w:hAnsi="Times New Roman"/>
          <w:sz w:val="24"/>
          <w:szCs w:val="24"/>
        </w:rPr>
        <w:t>1</w:t>
      </w:r>
      <w:r w:rsidR="00097A77">
        <w:rPr>
          <w:rFonts w:ascii="Times New Roman" w:hAnsi="Times New Roman"/>
          <w:sz w:val="24"/>
          <w:szCs w:val="24"/>
        </w:rPr>
        <w:t>0</w:t>
      </w:r>
      <w:r w:rsidR="004A2321" w:rsidRPr="0070741E">
        <w:rPr>
          <w:rFonts w:ascii="Times New Roman" w:hAnsi="Times New Roman"/>
          <w:sz w:val="24"/>
          <w:szCs w:val="24"/>
        </w:rPr>
        <w:t xml:space="preserve"> </w:t>
      </w:r>
      <w:r w:rsidRPr="0070741E">
        <w:rPr>
          <w:rFonts w:ascii="Times New Roman" w:hAnsi="Times New Roman"/>
          <w:sz w:val="24"/>
          <w:szCs w:val="24"/>
        </w:rPr>
        <w:t xml:space="preserve">ustawy), których celem jest umożliwienie adresatom norm </w:t>
      </w:r>
      <w:r w:rsidRPr="0070741E">
        <w:rPr>
          <w:rFonts w:ascii="Times New Roman" w:hAnsi="Times New Roman"/>
          <w:sz w:val="24"/>
          <w:szCs w:val="24"/>
        </w:rPr>
        <w:lastRenderedPageBreak/>
        <w:t>dostosowanie się do zmienionych regulacji i podjęcie decyzji, co do dalszego prowadzenia dotychczasowej działalności.</w:t>
      </w:r>
    </w:p>
    <w:p w14:paraId="26F7BD05" w14:textId="2173753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Artykuł </w:t>
      </w:r>
      <w:r w:rsidR="00097A77">
        <w:rPr>
          <w:rFonts w:ascii="Times New Roman" w:hAnsi="Times New Roman"/>
          <w:sz w:val="24"/>
          <w:szCs w:val="24"/>
        </w:rPr>
        <w:t>9</w:t>
      </w:r>
      <w:r w:rsidR="004A2321" w:rsidRPr="0070741E">
        <w:rPr>
          <w:rFonts w:ascii="Times New Roman" w:hAnsi="Times New Roman"/>
          <w:sz w:val="24"/>
          <w:szCs w:val="24"/>
        </w:rPr>
        <w:t xml:space="preserve"> </w:t>
      </w:r>
      <w:r w:rsidRPr="0070741E">
        <w:rPr>
          <w:rFonts w:ascii="Times New Roman" w:hAnsi="Times New Roman"/>
          <w:sz w:val="24"/>
          <w:szCs w:val="24"/>
        </w:rPr>
        <w:t xml:space="preserve">ust. 1 projektu ustawy przewiduje, że podmioty, które przed dniem 1 </w:t>
      </w:r>
      <w:r w:rsidR="002851C9">
        <w:rPr>
          <w:rFonts w:ascii="Times New Roman" w:hAnsi="Times New Roman"/>
          <w:sz w:val="24"/>
          <w:szCs w:val="24"/>
        </w:rPr>
        <w:t>września</w:t>
      </w:r>
      <w:r w:rsidRPr="0070741E">
        <w:rPr>
          <w:rFonts w:ascii="Times New Roman" w:hAnsi="Times New Roman"/>
          <w:sz w:val="24"/>
          <w:szCs w:val="24"/>
        </w:rPr>
        <w:t xml:space="preserve"> 2019</w:t>
      </w:r>
      <w:r w:rsidR="00D84FC6" w:rsidRPr="0070741E">
        <w:rPr>
          <w:rFonts w:ascii="Times New Roman" w:hAnsi="Times New Roman"/>
          <w:sz w:val="24"/>
          <w:szCs w:val="24"/>
        </w:rPr>
        <w:t> </w:t>
      </w:r>
      <w:r w:rsidRPr="0070741E">
        <w:rPr>
          <w:rFonts w:ascii="Times New Roman" w:hAnsi="Times New Roman"/>
          <w:sz w:val="24"/>
          <w:szCs w:val="24"/>
        </w:rPr>
        <w:t>r. prowadziły działalność polegającą na wytwarzaniu, magazynowaniu lub przeładunku, przesyłaniu lub dystrybucji oraz obrocie paliwami ciekłymi</w:t>
      </w:r>
      <w:r w:rsidR="0006147A" w:rsidRPr="0070741E">
        <w:rPr>
          <w:rFonts w:ascii="Times New Roman" w:hAnsi="Times New Roman"/>
          <w:sz w:val="24"/>
          <w:szCs w:val="24"/>
        </w:rPr>
        <w:t>, w tym obrocie tymi paliwami z </w:t>
      </w:r>
      <w:r w:rsidRPr="0070741E">
        <w:rPr>
          <w:rFonts w:ascii="Times New Roman" w:hAnsi="Times New Roman"/>
          <w:sz w:val="24"/>
          <w:szCs w:val="24"/>
        </w:rPr>
        <w:t>zagranicą, na które nałożony został, w związku z wejściem w życie niniejszej ustawy, obowiązek uzyskania koncesji lub wystąpienia o zmianę zakresu posiadanej koncesji,</w:t>
      </w:r>
      <w:r w:rsidRPr="0070741E">
        <w:rPr>
          <w:rFonts w:ascii="Times New Roman" w:hAnsi="Times New Roman"/>
          <w:sz w:val="24"/>
          <w:szCs w:val="24"/>
        </w:rPr>
        <w:br/>
        <w:t xml:space="preserve">w terminie 3 miesięcy od dnia wejścia w życie </w:t>
      </w:r>
      <w:r w:rsidR="002851C9">
        <w:rPr>
          <w:rFonts w:ascii="Times New Roman" w:hAnsi="Times New Roman"/>
          <w:sz w:val="24"/>
          <w:szCs w:val="24"/>
        </w:rPr>
        <w:t xml:space="preserve">nowego rozporządzenia </w:t>
      </w:r>
      <w:r w:rsidR="002851C9" w:rsidRPr="00FC7DDA">
        <w:rPr>
          <w:rFonts w:ascii="Times New Roman" w:hAnsi="Times New Roman"/>
          <w:sz w:val="24"/>
          <w:szCs w:val="24"/>
        </w:rPr>
        <w:t xml:space="preserve">na podstawie art. 32 ust. 6 </w:t>
      </w:r>
      <w:proofErr w:type="spellStart"/>
      <w:r w:rsidR="002851C9" w:rsidRPr="00FC7DDA">
        <w:rPr>
          <w:rFonts w:ascii="Times New Roman" w:hAnsi="Times New Roman"/>
          <w:sz w:val="24"/>
          <w:szCs w:val="24"/>
        </w:rPr>
        <w:t>uPE</w:t>
      </w:r>
      <w:proofErr w:type="spellEnd"/>
      <w:r w:rsidR="002851C9" w:rsidRPr="00FC7DDA">
        <w:rPr>
          <w:rFonts w:ascii="Times New Roman" w:hAnsi="Times New Roman"/>
          <w:sz w:val="24"/>
          <w:szCs w:val="24"/>
        </w:rPr>
        <w:t xml:space="preserve"> </w:t>
      </w:r>
      <w:r w:rsidR="002851C9">
        <w:rPr>
          <w:rFonts w:ascii="Times New Roman" w:hAnsi="Times New Roman"/>
          <w:sz w:val="24"/>
          <w:szCs w:val="24"/>
        </w:rPr>
        <w:t>w brzmieniu nadanym niniejszą ustawą</w:t>
      </w:r>
      <w:r w:rsidR="002851C9" w:rsidRPr="0070741E">
        <w:rPr>
          <w:rFonts w:ascii="Times New Roman" w:hAnsi="Times New Roman"/>
          <w:sz w:val="24"/>
          <w:szCs w:val="24"/>
        </w:rPr>
        <w:t xml:space="preserve"> </w:t>
      </w:r>
      <w:r w:rsidRPr="0070741E">
        <w:rPr>
          <w:rFonts w:ascii="Times New Roman" w:hAnsi="Times New Roman"/>
          <w:sz w:val="24"/>
          <w:szCs w:val="24"/>
        </w:rPr>
        <w:t xml:space="preserve">składają wniosek o udzielenie lub zmianę koncesji. Analogiczna regulacja, wprowadzona w art. </w:t>
      </w:r>
      <w:r w:rsidR="004A2321" w:rsidRPr="0070741E">
        <w:rPr>
          <w:rFonts w:ascii="Times New Roman" w:hAnsi="Times New Roman"/>
          <w:sz w:val="24"/>
          <w:szCs w:val="24"/>
        </w:rPr>
        <w:t>1</w:t>
      </w:r>
      <w:r w:rsidR="00097A77">
        <w:rPr>
          <w:rFonts w:ascii="Times New Roman" w:hAnsi="Times New Roman"/>
          <w:sz w:val="24"/>
          <w:szCs w:val="24"/>
        </w:rPr>
        <w:t>0</w:t>
      </w:r>
      <w:r w:rsidR="004A2321" w:rsidRPr="0070741E">
        <w:rPr>
          <w:rFonts w:ascii="Times New Roman" w:hAnsi="Times New Roman"/>
          <w:sz w:val="24"/>
          <w:szCs w:val="24"/>
        </w:rPr>
        <w:t xml:space="preserve"> </w:t>
      </w:r>
      <w:r w:rsidRPr="0070741E">
        <w:rPr>
          <w:rFonts w:ascii="Times New Roman" w:hAnsi="Times New Roman"/>
          <w:sz w:val="24"/>
          <w:szCs w:val="24"/>
        </w:rPr>
        <w:t xml:space="preserve">ust. 1 projektu niniejszej ustawy, dotyczy podmiotów, które przed dniem 1 </w:t>
      </w:r>
      <w:r w:rsidR="002851C9">
        <w:rPr>
          <w:rFonts w:ascii="Times New Roman" w:hAnsi="Times New Roman"/>
          <w:sz w:val="24"/>
          <w:szCs w:val="24"/>
        </w:rPr>
        <w:t>września</w:t>
      </w:r>
      <w:r w:rsidRPr="0070741E">
        <w:rPr>
          <w:rFonts w:ascii="Times New Roman" w:hAnsi="Times New Roman"/>
          <w:sz w:val="24"/>
          <w:szCs w:val="24"/>
        </w:rPr>
        <w:t xml:space="preserve"> 2019 r. dokonywały przywozu paliw ciekłych (zgodnie z definicją po wejściu w życie niniejszej ustawy) i które obowiązane będą do uzyskania wpisu do RPP lub jego zmiany. Przepisy art. </w:t>
      </w:r>
      <w:r w:rsidR="00EF6CE1">
        <w:rPr>
          <w:rFonts w:ascii="Times New Roman" w:hAnsi="Times New Roman"/>
          <w:sz w:val="24"/>
          <w:szCs w:val="24"/>
        </w:rPr>
        <w:t>9</w:t>
      </w:r>
      <w:r w:rsidR="00EF6CE1" w:rsidRPr="0070741E">
        <w:rPr>
          <w:rFonts w:ascii="Times New Roman" w:hAnsi="Times New Roman"/>
          <w:sz w:val="24"/>
          <w:szCs w:val="24"/>
        </w:rPr>
        <w:t xml:space="preserve"> </w:t>
      </w:r>
      <w:r w:rsidRPr="0070741E">
        <w:rPr>
          <w:rFonts w:ascii="Times New Roman" w:hAnsi="Times New Roman"/>
          <w:sz w:val="24"/>
          <w:szCs w:val="24"/>
        </w:rPr>
        <w:t xml:space="preserve">ust. 1 i art. </w:t>
      </w:r>
      <w:r w:rsidR="00EF6CE1">
        <w:rPr>
          <w:rFonts w:ascii="Times New Roman" w:hAnsi="Times New Roman"/>
          <w:sz w:val="24"/>
          <w:szCs w:val="24"/>
        </w:rPr>
        <w:t>10</w:t>
      </w:r>
      <w:r w:rsidR="00EF6CE1" w:rsidRPr="0070741E">
        <w:rPr>
          <w:rFonts w:ascii="Times New Roman" w:hAnsi="Times New Roman"/>
          <w:sz w:val="24"/>
          <w:szCs w:val="24"/>
        </w:rPr>
        <w:t xml:space="preserve"> </w:t>
      </w:r>
      <w:r w:rsidRPr="0070741E">
        <w:rPr>
          <w:rFonts w:ascii="Times New Roman" w:hAnsi="Times New Roman"/>
          <w:sz w:val="24"/>
          <w:szCs w:val="24"/>
        </w:rPr>
        <w:t xml:space="preserve">ust. 1 dają wyżej wymienionym podmiotom termin 3 miesięcy na rozważenie, czy będą kontynuować wykonywaną do tej pory działalność (w zakresie obejmowanym obowiązkiem uzyskania koncesji lub wpisem do RPP), opracowanie stosownego wniosku i wystąpienie z nim do Prezesa URE albo zakończenie prowadzonej działalności. </w:t>
      </w:r>
    </w:p>
    <w:p w14:paraId="64995EA6" w14:textId="72F0F2A7" w:rsidR="006B7B7A" w:rsidRPr="00792429" w:rsidRDefault="004E5772" w:rsidP="00097A77">
      <w:pPr>
        <w:spacing w:after="0" w:line="360" w:lineRule="auto"/>
        <w:jc w:val="both"/>
        <w:rPr>
          <w:rFonts w:ascii="Times New Roman" w:hAnsi="Times New Roman"/>
          <w:sz w:val="24"/>
          <w:szCs w:val="24"/>
        </w:rPr>
      </w:pPr>
      <w:r w:rsidRPr="0070741E">
        <w:rPr>
          <w:rFonts w:ascii="Times New Roman" w:hAnsi="Times New Roman"/>
          <w:sz w:val="24"/>
          <w:szCs w:val="24"/>
        </w:rPr>
        <w:t xml:space="preserve">W art. </w:t>
      </w:r>
      <w:r w:rsidR="00097A77">
        <w:rPr>
          <w:rFonts w:ascii="Times New Roman" w:hAnsi="Times New Roman"/>
          <w:sz w:val="24"/>
          <w:szCs w:val="24"/>
        </w:rPr>
        <w:t>9</w:t>
      </w:r>
      <w:r w:rsidR="004A2321" w:rsidRPr="0070741E">
        <w:rPr>
          <w:rFonts w:ascii="Times New Roman" w:hAnsi="Times New Roman"/>
          <w:sz w:val="24"/>
          <w:szCs w:val="24"/>
        </w:rPr>
        <w:t xml:space="preserve"> </w:t>
      </w:r>
      <w:r w:rsidRPr="0070741E">
        <w:rPr>
          <w:rFonts w:ascii="Times New Roman" w:hAnsi="Times New Roman"/>
          <w:sz w:val="24"/>
          <w:szCs w:val="24"/>
        </w:rPr>
        <w:t xml:space="preserve">ust. 2 oraz art. </w:t>
      </w:r>
      <w:r w:rsidR="004A2321">
        <w:rPr>
          <w:rFonts w:ascii="Times New Roman" w:hAnsi="Times New Roman"/>
          <w:sz w:val="24"/>
          <w:szCs w:val="24"/>
        </w:rPr>
        <w:t>1</w:t>
      </w:r>
      <w:r w:rsidR="00097A77">
        <w:rPr>
          <w:rFonts w:ascii="Times New Roman" w:hAnsi="Times New Roman"/>
          <w:sz w:val="24"/>
          <w:szCs w:val="24"/>
        </w:rPr>
        <w:t>0</w:t>
      </w:r>
      <w:r w:rsidR="004A2321" w:rsidRPr="0070741E">
        <w:rPr>
          <w:rFonts w:ascii="Times New Roman" w:hAnsi="Times New Roman"/>
          <w:sz w:val="24"/>
          <w:szCs w:val="24"/>
        </w:rPr>
        <w:t xml:space="preserve"> </w:t>
      </w:r>
      <w:r w:rsidRPr="0070741E">
        <w:rPr>
          <w:rFonts w:ascii="Times New Roman" w:hAnsi="Times New Roman"/>
          <w:sz w:val="24"/>
          <w:szCs w:val="24"/>
        </w:rPr>
        <w:t xml:space="preserve">ust. 2 projektu ustawy uregulowano możliwość prowadzenia, na dotychczasowych zasadach, działalności przez podmioty, które wystąpiły z wnioskiem, </w:t>
      </w:r>
      <w:r w:rsidRPr="0070741E">
        <w:rPr>
          <w:rFonts w:ascii="Times New Roman" w:hAnsi="Times New Roman"/>
          <w:sz w:val="24"/>
          <w:szCs w:val="24"/>
        </w:rPr>
        <w:br/>
        <w:t xml:space="preserve">o którym mowa w art. </w:t>
      </w:r>
      <w:r w:rsidR="00097A77">
        <w:rPr>
          <w:rFonts w:ascii="Times New Roman" w:hAnsi="Times New Roman"/>
          <w:sz w:val="24"/>
          <w:szCs w:val="24"/>
        </w:rPr>
        <w:t>9</w:t>
      </w:r>
      <w:r w:rsidR="004A2321" w:rsidRPr="0070741E">
        <w:rPr>
          <w:rFonts w:ascii="Times New Roman" w:hAnsi="Times New Roman"/>
          <w:sz w:val="24"/>
          <w:szCs w:val="24"/>
        </w:rPr>
        <w:t xml:space="preserve"> </w:t>
      </w:r>
      <w:r w:rsidRPr="0070741E">
        <w:rPr>
          <w:rFonts w:ascii="Times New Roman" w:hAnsi="Times New Roman"/>
          <w:sz w:val="24"/>
          <w:szCs w:val="24"/>
        </w:rPr>
        <w:t xml:space="preserve">ust. 1 i art. </w:t>
      </w:r>
      <w:r w:rsidR="004A2321">
        <w:rPr>
          <w:rFonts w:ascii="Times New Roman" w:hAnsi="Times New Roman"/>
          <w:sz w:val="24"/>
          <w:szCs w:val="24"/>
        </w:rPr>
        <w:t>1</w:t>
      </w:r>
      <w:r w:rsidR="00097A77">
        <w:rPr>
          <w:rFonts w:ascii="Times New Roman" w:hAnsi="Times New Roman"/>
          <w:sz w:val="24"/>
          <w:szCs w:val="24"/>
        </w:rPr>
        <w:t>0</w:t>
      </w:r>
      <w:r w:rsidR="004A2321" w:rsidRPr="0070741E">
        <w:rPr>
          <w:rFonts w:ascii="Times New Roman" w:hAnsi="Times New Roman"/>
          <w:sz w:val="24"/>
          <w:szCs w:val="24"/>
        </w:rPr>
        <w:t xml:space="preserve"> </w:t>
      </w:r>
      <w:r w:rsidRPr="0070741E">
        <w:rPr>
          <w:rFonts w:ascii="Times New Roman" w:hAnsi="Times New Roman"/>
          <w:sz w:val="24"/>
          <w:szCs w:val="24"/>
        </w:rPr>
        <w:t>ust. 1, lub uzupełniły go w terminie wyznaczonym przez Prezesa URE</w:t>
      </w:r>
      <w:r w:rsidR="00DD0274" w:rsidRPr="0070741E">
        <w:rPr>
          <w:rFonts w:ascii="Times New Roman" w:hAnsi="Times New Roman"/>
          <w:sz w:val="24"/>
          <w:szCs w:val="24"/>
        </w:rPr>
        <w:t xml:space="preserve"> nie krótszym niż 14 dni</w:t>
      </w:r>
      <w:r w:rsidRPr="0070741E">
        <w:rPr>
          <w:rFonts w:ascii="Times New Roman" w:hAnsi="Times New Roman"/>
          <w:sz w:val="24"/>
          <w:szCs w:val="24"/>
        </w:rPr>
        <w:t xml:space="preserve">, do czasu </w:t>
      </w:r>
      <w:r w:rsidR="00097A77">
        <w:rPr>
          <w:rFonts w:ascii="Times New Roman" w:hAnsi="Times New Roman"/>
          <w:sz w:val="24"/>
          <w:szCs w:val="24"/>
        </w:rPr>
        <w:t>doręczenia decyzji</w:t>
      </w:r>
      <w:r w:rsidR="0074753B" w:rsidRPr="0070741E">
        <w:rPr>
          <w:rFonts w:ascii="Times New Roman" w:hAnsi="Times New Roman"/>
          <w:sz w:val="24"/>
          <w:szCs w:val="24"/>
        </w:rPr>
        <w:t xml:space="preserve"> w </w:t>
      </w:r>
      <w:r w:rsidRPr="0070741E">
        <w:rPr>
          <w:rFonts w:ascii="Times New Roman" w:hAnsi="Times New Roman"/>
          <w:sz w:val="24"/>
          <w:szCs w:val="24"/>
        </w:rPr>
        <w:t xml:space="preserve">przedmiocie wniosku. </w:t>
      </w:r>
    </w:p>
    <w:p w14:paraId="6AD0F2B9" w14:textId="5A754FC5"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Regulacja wprowadzona w art. </w:t>
      </w:r>
      <w:r w:rsidR="00097A77">
        <w:rPr>
          <w:rFonts w:ascii="Times New Roman" w:hAnsi="Times New Roman"/>
          <w:sz w:val="24"/>
          <w:szCs w:val="24"/>
        </w:rPr>
        <w:t>9</w:t>
      </w:r>
      <w:r w:rsidR="004A2321" w:rsidRPr="0070741E">
        <w:rPr>
          <w:rFonts w:ascii="Times New Roman" w:hAnsi="Times New Roman"/>
          <w:sz w:val="24"/>
          <w:szCs w:val="24"/>
        </w:rPr>
        <w:t xml:space="preserve"> </w:t>
      </w:r>
      <w:r w:rsidRPr="0070741E">
        <w:rPr>
          <w:rFonts w:ascii="Times New Roman" w:hAnsi="Times New Roman"/>
          <w:sz w:val="24"/>
          <w:szCs w:val="24"/>
        </w:rPr>
        <w:t xml:space="preserve">ust. 2 i art. </w:t>
      </w:r>
      <w:r w:rsidR="004A2321">
        <w:rPr>
          <w:rFonts w:ascii="Times New Roman" w:hAnsi="Times New Roman"/>
          <w:sz w:val="24"/>
          <w:szCs w:val="24"/>
        </w:rPr>
        <w:t>1</w:t>
      </w:r>
      <w:r w:rsidR="00097A77">
        <w:rPr>
          <w:rFonts w:ascii="Times New Roman" w:hAnsi="Times New Roman"/>
          <w:sz w:val="24"/>
          <w:szCs w:val="24"/>
        </w:rPr>
        <w:t>0</w:t>
      </w:r>
      <w:r w:rsidR="004A2321" w:rsidRPr="0070741E">
        <w:rPr>
          <w:rFonts w:ascii="Times New Roman" w:hAnsi="Times New Roman"/>
          <w:sz w:val="24"/>
          <w:szCs w:val="24"/>
        </w:rPr>
        <w:t xml:space="preserve"> </w:t>
      </w:r>
      <w:r w:rsidRPr="0070741E">
        <w:rPr>
          <w:rFonts w:ascii="Times New Roman" w:hAnsi="Times New Roman"/>
          <w:sz w:val="24"/>
          <w:szCs w:val="24"/>
        </w:rPr>
        <w:t xml:space="preserve">ust. 2 projektu ustawy daje podmiotom, które wystąpiły ze stosownym wnioskiem lub uzupełniły go zgodnie z art. </w:t>
      </w:r>
      <w:r w:rsidR="00097A77">
        <w:rPr>
          <w:rFonts w:ascii="Times New Roman" w:hAnsi="Times New Roman"/>
          <w:sz w:val="24"/>
          <w:szCs w:val="24"/>
        </w:rPr>
        <w:t>9</w:t>
      </w:r>
      <w:r w:rsidR="004A2321" w:rsidRPr="0070741E">
        <w:rPr>
          <w:rFonts w:ascii="Times New Roman" w:hAnsi="Times New Roman"/>
          <w:sz w:val="24"/>
          <w:szCs w:val="24"/>
        </w:rPr>
        <w:t xml:space="preserve"> </w:t>
      </w:r>
      <w:r w:rsidR="00B93183" w:rsidRPr="0070741E">
        <w:rPr>
          <w:rFonts w:ascii="Times New Roman" w:hAnsi="Times New Roman"/>
          <w:sz w:val="24"/>
          <w:szCs w:val="24"/>
        </w:rPr>
        <w:t>ust. 2 oraz art. </w:t>
      </w:r>
      <w:r w:rsidR="004A2321">
        <w:rPr>
          <w:rFonts w:ascii="Times New Roman" w:hAnsi="Times New Roman"/>
          <w:sz w:val="24"/>
          <w:szCs w:val="24"/>
        </w:rPr>
        <w:t>1</w:t>
      </w:r>
      <w:r w:rsidR="00097A77">
        <w:rPr>
          <w:rFonts w:ascii="Times New Roman" w:hAnsi="Times New Roman"/>
          <w:sz w:val="24"/>
          <w:szCs w:val="24"/>
        </w:rPr>
        <w:t>0</w:t>
      </w:r>
      <w:r w:rsidR="004A2321" w:rsidRPr="0070741E">
        <w:rPr>
          <w:rFonts w:ascii="Times New Roman" w:hAnsi="Times New Roman"/>
          <w:sz w:val="24"/>
          <w:szCs w:val="24"/>
        </w:rPr>
        <w:t xml:space="preserve"> </w:t>
      </w:r>
      <w:r w:rsidRPr="0070741E">
        <w:rPr>
          <w:rFonts w:ascii="Times New Roman" w:hAnsi="Times New Roman"/>
          <w:sz w:val="24"/>
          <w:szCs w:val="24"/>
        </w:rPr>
        <w:t xml:space="preserve">ust. 2, możliwość nieprzerwanego prowadzenia działalności, na dotychczasowych zasadach, w czasie trwania postępowania w sprawie wniosku o wydanie koncesji lub jej zmianę albo uzyskanie wpisu do RPP. </w:t>
      </w:r>
    </w:p>
    <w:p w14:paraId="6CFC9D0A" w14:textId="2FCCD5BD"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Powyższe rozwiązanie ogranicza możliwość poniesienia przez podmioty wykonujące działalność, o której mowa w art. </w:t>
      </w:r>
      <w:r w:rsidR="00097A77">
        <w:rPr>
          <w:rFonts w:ascii="Times New Roman" w:hAnsi="Times New Roman"/>
          <w:sz w:val="24"/>
          <w:szCs w:val="24"/>
        </w:rPr>
        <w:t>9</w:t>
      </w:r>
      <w:r w:rsidR="004A2321" w:rsidRPr="0070741E">
        <w:rPr>
          <w:rFonts w:ascii="Times New Roman" w:hAnsi="Times New Roman"/>
          <w:sz w:val="24"/>
          <w:szCs w:val="24"/>
        </w:rPr>
        <w:t xml:space="preserve"> </w:t>
      </w:r>
      <w:r w:rsidRPr="0070741E">
        <w:rPr>
          <w:rFonts w:ascii="Times New Roman" w:hAnsi="Times New Roman"/>
          <w:sz w:val="24"/>
          <w:szCs w:val="24"/>
        </w:rPr>
        <w:t xml:space="preserve">ust. 1 oraz art. </w:t>
      </w:r>
      <w:r w:rsidR="004A2321">
        <w:rPr>
          <w:rFonts w:ascii="Times New Roman" w:hAnsi="Times New Roman"/>
          <w:sz w:val="24"/>
          <w:szCs w:val="24"/>
        </w:rPr>
        <w:t>1</w:t>
      </w:r>
      <w:r w:rsidR="00097A77">
        <w:rPr>
          <w:rFonts w:ascii="Times New Roman" w:hAnsi="Times New Roman"/>
          <w:sz w:val="24"/>
          <w:szCs w:val="24"/>
        </w:rPr>
        <w:t>0</w:t>
      </w:r>
      <w:r w:rsidR="004A2321" w:rsidRPr="0070741E">
        <w:rPr>
          <w:rFonts w:ascii="Times New Roman" w:hAnsi="Times New Roman"/>
          <w:sz w:val="24"/>
          <w:szCs w:val="24"/>
        </w:rPr>
        <w:t xml:space="preserve"> </w:t>
      </w:r>
      <w:r w:rsidRPr="0070741E">
        <w:rPr>
          <w:rFonts w:ascii="Times New Roman" w:hAnsi="Times New Roman"/>
          <w:sz w:val="24"/>
          <w:szCs w:val="24"/>
        </w:rPr>
        <w:t>ust. 1 szkody na skutek wstrzymania wykonywania działalności na</w:t>
      </w:r>
      <w:r w:rsidR="00097A77">
        <w:rPr>
          <w:rFonts w:ascii="Times New Roman" w:hAnsi="Times New Roman"/>
          <w:sz w:val="24"/>
          <w:szCs w:val="24"/>
        </w:rPr>
        <w:t xml:space="preserve"> czas prowadzenia postępowania przez </w:t>
      </w:r>
      <w:r w:rsidRPr="0070741E">
        <w:rPr>
          <w:rFonts w:ascii="Times New Roman" w:hAnsi="Times New Roman"/>
          <w:sz w:val="24"/>
          <w:szCs w:val="24"/>
        </w:rPr>
        <w:t xml:space="preserve">Prezesa URE. </w:t>
      </w:r>
    </w:p>
    <w:p w14:paraId="47D0F66D" w14:textId="139CF375" w:rsidR="006B7B7A" w:rsidRPr="0070741E" w:rsidRDefault="004E5772" w:rsidP="00097A77">
      <w:pPr>
        <w:spacing w:after="0" w:line="360" w:lineRule="auto"/>
        <w:jc w:val="both"/>
        <w:rPr>
          <w:rFonts w:ascii="Times New Roman" w:hAnsi="Times New Roman"/>
          <w:sz w:val="24"/>
          <w:szCs w:val="24"/>
        </w:rPr>
      </w:pPr>
      <w:r w:rsidRPr="0070741E">
        <w:rPr>
          <w:rFonts w:ascii="Times New Roman" w:hAnsi="Times New Roman"/>
          <w:sz w:val="24"/>
          <w:szCs w:val="24"/>
        </w:rPr>
        <w:t xml:space="preserve">Wprowadzane przepisy ograniczają jednocześnie ryzyko wieloletniego utrzymywania się stanu niepewności prawnej, gdyż w przypadku niekorzystnego dla podmiotu rozstrzygnięcia, </w:t>
      </w:r>
      <w:r w:rsidRPr="0070741E">
        <w:rPr>
          <w:rFonts w:ascii="Times New Roman" w:hAnsi="Times New Roman"/>
          <w:sz w:val="24"/>
          <w:szCs w:val="24"/>
        </w:rPr>
        <w:lastRenderedPageBreak/>
        <w:t xml:space="preserve">ewentualne uruchomienie etapów drogi sądowej nie będzie się wiązać z możliwością prowadzenia działalności niezgodnie </w:t>
      </w:r>
      <w:r w:rsidR="001338D4">
        <w:rPr>
          <w:rFonts w:ascii="Times New Roman" w:hAnsi="Times New Roman"/>
          <w:sz w:val="24"/>
          <w:szCs w:val="24"/>
        </w:rPr>
        <w:t>z nowymi wymaganiami ustawowymi.</w:t>
      </w:r>
    </w:p>
    <w:p w14:paraId="368A8712"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Zmiany wprowadzone rozporządzeniem Komisji (UE) 2017/2010 z dnia 9 listopada 2017 r. zmieniające rozporządzenie Parlamentu Europejskiego i Rady (WE) nr 1099/2008 w sprawie statystyki energii w odniesieniu do aktualizacji rocznych i miesięcznych statystyk dotyczących energii z dnia 9 listopada 2017 r. (</w:t>
      </w:r>
      <w:proofErr w:type="spellStart"/>
      <w:r w:rsidRPr="0070741E">
        <w:rPr>
          <w:rFonts w:ascii="Times New Roman" w:hAnsi="Times New Roman"/>
          <w:sz w:val="24"/>
          <w:szCs w:val="24"/>
        </w:rPr>
        <w:t>Dz.Urz.UE.L</w:t>
      </w:r>
      <w:proofErr w:type="spellEnd"/>
      <w:r w:rsidRPr="0070741E">
        <w:rPr>
          <w:rFonts w:ascii="Times New Roman" w:hAnsi="Times New Roman"/>
          <w:sz w:val="24"/>
          <w:szCs w:val="24"/>
        </w:rPr>
        <w:t xml:space="preserve"> Nr 292, str. 3) są zmianami porządkującymi, jednakże zmieniają nazwy paliw ciekłych oraz ich podział. </w:t>
      </w:r>
    </w:p>
    <w:p w14:paraId="7B6C7E59" w14:textId="77777777" w:rsidR="006B7B7A" w:rsidRPr="0070741E" w:rsidRDefault="00742EBE" w:rsidP="00CD3D8E">
      <w:pPr>
        <w:numPr>
          <w:ilvl w:val="0"/>
          <w:numId w:val="4"/>
        </w:numPr>
        <w:spacing w:after="0" w:line="360" w:lineRule="auto"/>
        <w:jc w:val="both"/>
        <w:rPr>
          <w:rFonts w:ascii="Times New Roman" w:hAnsi="Times New Roman"/>
          <w:sz w:val="24"/>
          <w:szCs w:val="24"/>
        </w:rPr>
      </w:pPr>
      <w:r w:rsidRPr="0070741E">
        <w:rPr>
          <w:rFonts w:ascii="Times New Roman" w:hAnsi="Times New Roman"/>
          <w:sz w:val="24"/>
          <w:szCs w:val="24"/>
        </w:rPr>
        <w:t>W nowym brzmieniu rozporządzenia</w:t>
      </w:r>
      <w:r w:rsidR="004E5772" w:rsidRPr="0070741E">
        <w:rPr>
          <w:rFonts w:ascii="Times New Roman" w:hAnsi="Times New Roman"/>
          <w:sz w:val="24"/>
          <w:szCs w:val="24"/>
        </w:rPr>
        <w:t xml:space="preserve"> w sprawie statystyki energii</w:t>
      </w:r>
      <w:r w:rsidRPr="0070741E">
        <w:rPr>
          <w:rFonts w:ascii="Times New Roman" w:hAnsi="Times New Roman"/>
          <w:sz w:val="24"/>
          <w:szCs w:val="24"/>
        </w:rPr>
        <w:t>,</w:t>
      </w:r>
      <w:r w:rsidR="004E5772" w:rsidRPr="0070741E">
        <w:rPr>
          <w:rFonts w:ascii="Times New Roman" w:hAnsi="Times New Roman"/>
          <w:sz w:val="24"/>
          <w:szCs w:val="24"/>
        </w:rPr>
        <w:t xml:space="preserve"> nastąpiło przeniesienie definicji paliw ciekłych z Załącznika B - rozdziału 4 i rozdziału 5 do Załącznika A odpowiednio do rozdziału 3.4 i 3.5.</w:t>
      </w:r>
    </w:p>
    <w:p w14:paraId="0C38211C" w14:textId="209C6BCA" w:rsidR="006B7B7A" w:rsidRPr="0070741E" w:rsidRDefault="004E5772" w:rsidP="00CD3D8E">
      <w:pPr>
        <w:numPr>
          <w:ilvl w:val="0"/>
          <w:numId w:val="4"/>
        </w:numPr>
        <w:spacing w:after="0" w:line="360" w:lineRule="auto"/>
        <w:jc w:val="both"/>
        <w:rPr>
          <w:rFonts w:ascii="Times New Roman" w:hAnsi="Times New Roman"/>
          <w:sz w:val="24"/>
          <w:szCs w:val="24"/>
        </w:rPr>
      </w:pPr>
      <w:r w:rsidRPr="0070741E">
        <w:rPr>
          <w:rFonts w:ascii="Times New Roman" w:hAnsi="Times New Roman"/>
          <w:sz w:val="24"/>
          <w:szCs w:val="24"/>
        </w:rPr>
        <w:t xml:space="preserve">Nastąpiła porządkowa zmiana definicji </w:t>
      </w:r>
      <w:r w:rsidR="0006147A" w:rsidRPr="0070741E">
        <w:rPr>
          <w:rFonts w:ascii="Times New Roman" w:hAnsi="Times New Roman"/>
          <w:sz w:val="24"/>
          <w:szCs w:val="24"/>
        </w:rPr>
        <w:t>olejów napędowych i </w:t>
      </w:r>
      <w:r w:rsidRPr="0070741E">
        <w:rPr>
          <w:rFonts w:ascii="Times New Roman" w:hAnsi="Times New Roman"/>
          <w:sz w:val="24"/>
          <w:szCs w:val="24"/>
        </w:rPr>
        <w:t>opałowych lekkich, olejów opałowych ciężkich i benzyny silnikowej.</w:t>
      </w:r>
    </w:p>
    <w:p w14:paraId="058F0C33" w14:textId="77777777" w:rsidR="002851C9" w:rsidRPr="0070741E" w:rsidRDefault="002851C9" w:rsidP="002851C9">
      <w:pPr>
        <w:numPr>
          <w:ilvl w:val="0"/>
          <w:numId w:val="4"/>
        </w:numPr>
        <w:spacing w:after="0" w:line="360" w:lineRule="auto"/>
        <w:jc w:val="both"/>
        <w:rPr>
          <w:rFonts w:ascii="Times New Roman" w:hAnsi="Times New Roman"/>
          <w:sz w:val="24"/>
          <w:szCs w:val="24"/>
        </w:rPr>
      </w:pPr>
      <w:r w:rsidRPr="0070741E">
        <w:rPr>
          <w:rFonts w:ascii="Times New Roman" w:hAnsi="Times New Roman"/>
          <w:sz w:val="24"/>
          <w:szCs w:val="24"/>
        </w:rPr>
        <w:t>Zmieniono nazw</w:t>
      </w:r>
      <w:r>
        <w:rPr>
          <w:rFonts w:ascii="Times New Roman" w:hAnsi="Times New Roman"/>
          <w:sz w:val="24"/>
          <w:szCs w:val="24"/>
        </w:rPr>
        <w:t>y</w:t>
      </w:r>
      <w:r w:rsidRPr="0070741E">
        <w:rPr>
          <w:rFonts w:ascii="Times New Roman" w:hAnsi="Times New Roman"/>
          <w:sz w:val="24"/>
          <w:szCs w:val="24"/>
        </w:rPr>
        <w:t xml:space="preserve"> </w:t>
      </w:r>
      <w:r>
        <w:rPr>
          <w:rFonts w:ascii="Times New Roman" w:hAnsi="Times New Roman"/>
          <w:sz w:val="24"/>
          <w:szCs w:val="24"/>
        </w:rPr>
        <w:t xml:space="preserve"> niektórych produktów naftowych</w:t>
      </w:r>
    </w:p>
    <w:p w14:paraId="26E013ED" w14:textId="77777777" w:rsidR="002851C9" w:rsidRDefault="002851C9" w:rsidP="00CD3D8E">
      <w:pPr>
        <w:spacing w:after="0" w:line="360" w:lineRule="auto"/>
        <w:jc w:val="both"/>
        <w:rPr>
          <w:rFonts w:ascii="Times New Roman" w:hAnsi="Times New Roman"/>
          <w:sz w:val="24"/>
          <w:szCs w:val="24"/>
        </w:rPr>
      </w:pPr>
      <w:r w:rsidRPr="002851C9">
        <w:rPr>
          <w:rFonts w:ascii="Times New Roman" w:hAnsi="Times New Roman"/>
          <w:sz w:val="24"/>
          <w:szCs w:val="24"/>
        </w:rPr>
        <w:t xml:space="preserve">W związku z powyższymi zmianami, konieczne jest dostosowanie ich do brzmienia regulacji krajowych, co pociąga za sobą konieczność zmiany art. 3 pkt 3b </w:t>
      </w:r>
      <w:proofErr w:type="spellStart"/>
      <w:r w:rsidRPr="002851C9">
        <w:rPr>
          <w:rFonts w:ascii="Times New Roman" w:hAnsi="Times New Roman"/>
          <w:sz w:val="24"/>
          <w:szCs w:val="24"/>
        </w:rPr>
        <w:t>uPE</w:t>
      </w:r>
      <w:proofErr w:type="spellEnd"/>
      <w:r w:rsidRPr="002851C9">
        <w:rPr>
          <w:rFonts w:ascii="Times New Roman" w:hAnsi="Times New Roman"/>
          <w:sz w:val="24"/>
          <w:szCs w:val="24"/>
        </w:rPr>
        <w:t xml:space="preserve">. Projekt w tym zakresie zmienia nazwę „benzyny </w:t>
      </w:r>
      <w:proofErr w:type="spellStart"/>
      <w:r w:rsidRPr="002851C9">
        <w:rPr>
          <w:rFonts w:ascii="Times New Roman" w:hAnsi="Times New Roman"/>
          <w:sz w:val="24"/>
          <w:szCs w:val="24"/>
        </w:rPr>
        <w:t>pirolityczne</w:t>
      </w:r>
      <w:proofErr w:type="spellEnd"/>
      <w:r w:rsidRPr="002851C9">
        <w:rPr>
          <w:rFonts w:ascii="Times New Roman" w:hAnsi="Times New Roman"/>
          <w:sz w:val="24"/>
          <w:szCs w:val="24"/>
        </w:rPr>
        <w:t>” na „benzyny ciężkie”, nazwę „.paliwa typu benzyny do silników odrzutowych” na „paliwa typu benzynowego do silników odrzutowych”, nazwę „inne nafty” na „inne rodzaje nafty” oraz nazwę „biopaliwa płynne (ciekłe) na „biopaliwa ciekłe”.</w:t>
      </w:r>
    </w:p>
    <w:p w14:paraId="18F254C6" w14:textId="3AF1247B"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Z uwagi na zmianę treści normatywnej art. 32 ust. 6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 xml:space="preserve"> (zmiana definicji paliwa ciekłego), na którego podstawie wydane zostało rozporządzenia Ministra Energii z dnia 15 grudnia 2016 r. w sprawie szczegółowego wykazu paliw, których wytwarzanie, magazynowanie lub przeładunek, przesyłanie lub dystrybucja, obrót, w tym obrót z zagranicą, wymaga koncesji oraz których przywóz wymaga wpisu do rejestru podmiotów przywożących (Dz. U. poz. 2039), konieczne jest wydanie nowego rozporządzenia przez ministra właściwego do spraw energii</w:t>
      </w:r>
      <w:r w:rsidR="002851C9">
        <w:rPr>
          <w:rFonts w:ascii="Times New Roman" w:hAnsi="Times New Roman"/>
          <w:sz w:val="24"/>
          <w:szCs w:val="24"/>
        </w:rPr>
        <w:t>.</w:t>
      </w:r>
    </w:p>
    <w:p w14:paraId="23AAEEA6" w14:textId="46471161"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W związku z powyższym, odpowiednio nastąpić musi </w:t>
      </w:r>
      <w:r w:rsidR="00CD77A6">
        <w:rPr>
          <w:rFonts w:ascii="Times New Roman" w:hAnsi="Times New Roman"/>
          <w:sz w:val="24"/>
          <w:szCs w:val="24"/>
        </w:rPr>
        <w:t>dostosowanie</w:t>
      </w:r>
      <w:r w:rsidRPr="0070741E">
        <w:rPr>
          <w:rFonts w:ascii="Times New Roman" w:hAnsi="Times New Roman"/>
          <w:sz w:val="24"/>
          <w:szCs w:val="24"/>
        </w:rPr>
        <w:t xml:space="preserve"> koncesji paliwowych, w taki sposób aby ich brzmienie było zgodne z przepisami obowiązującego rozporządzenie w sprawie statystyki energii. Mając na uwadze zasadę zaufania do państwa oraz stanowionego przez nie prawa, proponuje się wprowadzenie przepisów przejściowych, regulujących tryb zmiany udzielonych koncesji oraz wpisów do RPP z urzędu przez Prezesa Urzędu Regulacji </w:t>
      </w:r>
      <w:r w:rsidRPr="0070741E">
        <w:rPr>
          <w:rFonts w:ascii="Times New Roman" w:hAnsi="Times New Roman"/>
          <w:sz w:val="24"/>
          <w:szCs w:val="24"/>
        </w:rPr>
        <w:lastRenderedPageBreak/>
        <w:t>Energetyki (</w:t>
      </w:r>
      <w:r w:rsidR="00D84FC6" w:rsidRPr="0070741E">
        <w:rPr>
          <w:rFonts w:ascii="Times New Roman" w:hAnsi="Times New Roman"/>
          <w:sz w:val="24"/>
          <w:szCs w:val="24"/>
        </w:rPr>
        <w:t xml:space="preserve">art. </w:t>
      </w:r>
      <w:r w:rsidR="00EF6CE1" w:rsidRPr="0070741E">
        <w:rPr>
          <w:rFonts w:ascii="Times New Roman" w:hAnsi="Times New Roman"/>
          <w:sz w:val="24"/>
          <w:szCs w:val="24"/>
        </w:rPr>
        <w:t>1</w:t>
      </w:r>
      <w:r w:rsidR="00EF6CE1">
        <w:rPr>
          <w:rFonts w:ascii="Times New Roman" w:hAnsi="Times New Roman"/>
          <w:sz w:val="24"/>
          <w:szCs w:val="24"/>
        </w:rPr>
        <w:t>1</w:t>
      </w:r>
      <w:r w:rsidR="00EF6CE1" w:rsidRPr="0070741E">
        <w:rPr>
          <w:rFonts w:ascii="Times New Roman" w:hAnsi="Times New Roman"/>
          <w:sz w:val="24"/>
          <w:szCs w:val="24"/>
        </w:rPr>
        <w:t xml:space="preserve"> </w:t>
      </w:r>
      <w:r w:rsidR="00D84FC6" w:rsidRPr="0070741E">
        <w:rPr>
          <w:rFonts w:ascii="Times New Roman" w:hAnsi="Times New Roman"/>
          <w:sz w:val="24"/>
          <w:szCs w:val="24"/>
        </w:rPr>
        <w:t>ustawy</w:t>
      </w:r>
      <w:r w:rsidRPr="0070741E">
        <w:rPr>
          <w:rFonts w:ascii="Times New Roman" w:hAnsi="Times New Roman"/>
          <w:sz w:val="24"/>
          <w:szCs w:val="24"/>
        </w:rPr>
        <w:t>), których celem jest umożliwienie adresatom norm dostosowanie się do zmienionych regulacji.</w:t>
      </w:r>
    </w:p>
    <w:p w14:paraId="6F920B0D" w14:textId="77777777" w:rsidR="001755F4" w:rsidRPr="0070741E" w:rsidRDefault="001755F4" w:rsidP="001755F4">
      <w:pPr>
        <w:spacing w:after="0" w:line="360" w:lineRule="auto"/>
        <w:jc w:val="both"/>
        <w:rPr>
          <w:rFonts w:ascii="Times New Roman" w:hAnsi="Times New Roman"/>
          <w:sz w:val="24"/>
          <w:szCs w:val="24"/>
        </w:rPr>
      </w:pPr>
      <w:r w:rsidRPr="0070741E">
        <w:rPr>
          <w:rFonts w:ascii="Times New Roman" w:hAnsi="Times New Roman"/>
          <w:sz w:val="24"/>
          <w:szCs w:val="24"/>
        </w:rPr>
        <w:t xml:space="preserve">Odnosząc się natomiast do zmian w art. 32 ust. </w:t>
      </w:r>
      <w:r w:rsidR="00EF464F">
        <w:rPr>
          <w:rFonts w:ascii="Times New Roman" w:hAnsi="Times New Roman"/>
          <w:sz w:val="24"/>
          <w:szCs w:val="24"/>
        </w:rPr>
        <w:t>2a-2d</w:t>
      </w:r>
      <w:r w:rsidRPr="0070741E">
        <w:rPr>
          <w:rFonts w:ascii="Times New Roman" w:hAnsi="Times New Roman"/>
          <w:sz w:val="24"/>
          <w:szCs w:val="24"/>
        </w:rPr>
        <w:t xml:space="preserve">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 xml:space="preserve"> należy zauważyć, że zmiana rozporządzenia Ministra Energii z dnia 15 grudnia 2016 r. w sprawie szczegółowego wykazu paliw ciekłych, których wytwarzanie, magazynowanie lub przeładunek, przesyłanie lub dystrybucja, obrót, w tym obrót z zagranicą, wymaga koncesji oraz których przywóz wymaga wpisu do rejestru podmiotów przywożących (Dz.U. z 2016 r. poz. 2039), której skutkiem będzie powstanie obowiązku uzyskania lub zmiany zakresu posiadanej koncesji, albo powstanie obowiązku wpisu do rejestru podmiotów przywożących lub zmiany zakresu tego wpisu, spowoduje stan niepewności dla podmiotów, które nie będą mogły prowadzić działalności do czasu wydania złożenia odpowiedniego wniosku i wydania decyzji przez Prezesa URE. W celu wprowadzenia systemowego rozwiązania, które regulować będzie stan przejściowy między złożeniem przez zainteresowany podmiot wniosku, a wydaniem decyzji przez Prezesa URE, proponuje się wprowadzenie regulacji art. 32 ust. </w:t>
      </w:r>
      <w:r w:rsidR="00EF464F">
        <w:rPr>
          <w:rFonts w:ascii="Times New Roman" w:hAnsi="Times New Roman"/>
          <w:sz w:val="24"/>
          <w:szCs w:val="24"/>
        </w:rPr>
        <w:t>2a-2d</w:t>
      </w:r>
      <w:r w:rsidR="00EF464F" w:rsidRPr="0070741E">
        <w:rPr>
          <w:rFonts w:ascii="Times New Roman" w:hAnsi="Times New Roman"/>
          <w:sz w:val="24"/>
          <w:szCs w:val="24"/>
        </w:rPr>
        <w:t xml:space="preserve"> </w:t>
      </w:r>
      <w:proofErr w:type="spellStart"/>
      <w:r w:rsidRPr="0070741E">
        <w:rPr>
          <w:rFonts w:ascii="Times New Roman" w:hAnsi="Times New Roman"/>
          <w:sz w:val="24"/>
          <w:szCs w:val="24"/>
        </w:rPr>
        <w:t>uPe</w:t>
      </w:r>
      <w:proofErr w:type="spellEnd"/>
      <w:r w:rsidRPr="0070741E">
        <w:rPr>
          <w:rFonts w:ascii="Times New Roman" w:hAnsi="Times New Roman"/>
          <w:sz w:val="24"/>
          <w:szCs w:val="24"/>
        </w:rPr>
        <w:t>.</w:t>
      </w:r>
    </w:p>
    <w:p w14:paraId="50BEED21" w14:textId="77777777" w:rsidR="001755F4" w:rsidRPr="0070741E" w:rsidRDefault="001755F4" w:rsidP="001755F4">
      <w:pPr>
        <w:spacing w:after="0" w:line="360" w:lineRule="auto"/>
        <w:jc w:val="both"/>
        <w:rPr>
          <w:rFonts w:ascii="Times New Roman" w:hAnsi="Times New Roman"/>
          <w:sz w:val="24"/>
          <w:szCs w:val="24"/>
        </w:rPr>
      </w:pPr>
      <w:r w:rsidRPr="0070741E">
        <w:rPr>
          <w:rFonts w:ascii="Times New Roman" w:hAnsi="Times New Roman"/>
          <w:sz w:val="24"/>
          <w:szCs w:val="24"/>
        </w:rPr>
        <w:t>Zgod</w:t>
      </w:r>
      <w:r w:rsidR="0016635B">
        <w:rPr>
          <w:rFonts w:ascii="Times New Roman" w:hAnsi="Times New Roman"/>
          <w:sz w:val="24"/>
          <w:szCs w:val="24"/>
        </w:rPr>
        <w:t>nie z projektowanymi przepisami</w:t>
      </w:r>
      <w:r w:rsidRPr="0070741E">
        <w:rPr>
          <w:rFonts w:ascii="Times New Roman" w:hAnsi="Times New Roman"/>
          <w:sz w:val="24"/>
          <w:szCs w:val="24"/>
        </w:rPr>
        <w:t xml:space="preserve"> podmioty, które </w:t>
      </w:r>
      <w:r w:rsidR="0074753B" w:rsidRPr="0070741E">
        <w:rPr>
          <w:rFonts w:ascii="Times New Roman" w:hAnsi="Times New Roman"/>
          <w:sz w:val="24"/>
          <w:szCs w:val="24"/>
        </w:rPr>
        <w:t>złożyły wniosek do Prezesa URE w </w:t>
      </w:r>
      <w:r w:rsidRPr="0070741E">
        <w:rPr>
          <w:rFonts w:ascii="Times New Roman" w:hAnsi="Times New Roman"/>
          <w:sz w:val="24"/>
          <w:szCs w:val="24"/>
        </w:rPr>
        <w:t xml:space="preserve">terminie </w:t>
      </w:r>
      <w:r w:rsidR="0016635B">
        <w:rPr>
          <w:rFonts w:ascii="Times New Roman" w:hAnsi="Times New Roman"/>
          <w:sz w:val="24"/>
          <w:szCs w:val="24"/>
        </w:rPr>
        <w:t>30</w:t>
      </w:r>
      <w:r w:rsidRPr="0070741E">
        <w:rPr>
          <w:rFonts w:ascii="Times New Roman" w:hAnsi="Times New Roman"/>
          <w:sz w:val="24"/>
          <w:szCs w:val="24"/>
        </w:rPr>
        <w:t xml:space="preserve"> dni od dnia wejścia w życie zmian w przy</w:t>
      </w:r>
      <w:r w:rsidR="0074753B" w:rsidRPr="0070741E">
        <w:rPr>
          <w:rFonts w:ascii="Times New Roman" w:hAnsi="Times New Roman"/>
          <w:sz w:val="24"/>
          <w:szCs w:val="24"/>
        </w:rPr>
        <w:t xml:space="preserve">wołanym rozporządzeniu Ministra </w:t>
      </w:r>
      <w:r w:rsidRPr="0070741E">
        <w:rPr>
          <w:rFonts w:ascii="Times New Roman" w:hAnsi="Times New Roman"/>
          <w:sz w:val="24"/>
          <w:szCs w:val="24"/>
        </w:rPr>
        <w:t>Energii, albo uzupełniły wniosek w wyznaczonym przez Pr</w:t>
      </w:r>
      <w:r w:rsidR="0074753B" w:rsidRPr="0070741E">
        <w:rPr>
          <w:rFonts w:ascii="Times New Roman" w:hAnsi="Times New Roman"/>
          <w:sz w:val="24"/>
          <w:szCs w:val="24"/>
        </w:rPr>
        <w:t xml:space="preserve">ezesa URE terminie nie krótszym </w:t>
      </w:r>
      <w:r w:rsidRPr="0070741E">
        <w:rPr>
          <w:rFonts w:ascii="Times New Roman" w:hAnsi="Times New Roman"/>
          <w:sz w:val="24"/>
          <w:szCs w:val="24"/>
        </w:rPr>
        <w:t>niż 14 dni, mogą prowadzić działalność na dotychczasowych zasadach.</w:t>
      </w:r>
    </w:p>
    <w:p w14:paraId="479BEB1F" w14:textId="77777777" w:rsidR="001755F4" w:rsidRPr="0070741E" w:rsidRDefault="001755F4" w:rsidP="001755F4">
      <w:pPr>
        <w:spacing w:after="0" w:line="360" w:lineRule="auto"/>
        <w:jc w:val="both"/>
        <w:rPr>
          <w:rFonts w:ascii="Times New Roman" w:hAnsi="Times New Roman"/>
          <w:sz w:val="24"/>
          <w:szCs w:val="24"/>
        </w:rPr>
      </w:pPr>
      <w:r w:rsidRPr="0070741E">
        <w:rPr>
          <w:rFonts w:ascii="Times New Roman" w:hAnsi="Times New Roman"/>
          <w:sz w:val="24"/>
          <w:szCs w:val="24"/>
        </w:rPr>
        <w:t>Projektowana regulacja ma na celu realizację zasady bezpieczeństwa uczestników obrotu prawnego oraz ochrony interesów w toku podmiotów działających na rynku paliw ciekłych.</w:t>
      </w:r>
    </w:p>
    <w:p w14:paraId="4397DFD3" w14:textId="77777777" w:rsidR="006B7B7A" w:rsidRPr="0070741E" w:rsidRDefault="006B7B7A" w:rsidP="00CD3D8E">
      <w:pPr>
        <w:spacing w:after="0" w:line="360" w:lineRule="auto"/>
        <w:jc w:val="both"/>
        <w:rPr>
          <w:rFonts w:ascii="Times New Roman" w:hAnsi="Times New Roman"/>
          <w:sz w:val="24"/>
          <w:szCs w:val="24"/>
        </w:rPr>
      </w:pPr>
    </w:p>
    <w:p w14:paraId="34727A25" w14:textId="77777777" w:rsidR="006B7B7A" w:rsidRPr="0070741E" w:rsidRDefault="004E5772" w:rsidP="00CD3D8E">
      <w:pPr>
        <w:spacing w:after="0" w:line="360" w:lineRule="auto"/>
        <w:jc w:val="both"/>
        <w:rPr>
          <w:rFonts w:ascii="Times New Roman" w:hAnsi="Times New Roman"/>
          <w:sz w:val="24"/>
          <w:szCs w:val="24"/>
          <w:u w:val="single"/>
        </w:rPr>
      </w:pPr>
      <w:r w:rsidRPr="0070741E">
        <w:rPr>
          <w:rFonts w:ascii="Times New Roman" w:hAnsi="Times New Roman"/>
          <w:b/>
          <w:sz w:val="24"/>
          <w:szCs w:val="24"/>
          <w:u w:val="single"/>
        </w:rPr>
        <w:t>IV. Zmiany w ustawie o podatku akcyzowym, inne niż objęte pakietem paliwowym</w:t>
      </w:r>
    </w:p>
    <w:p w14:paraId="26C4A4C6" w14:textId="77777777" w:rsidR="006B7B7A" w:rsidRPr="0070741E" w:rsidRDefault="006B7B7A" w:rsidP="00CD3D8E">
      <w:pPr>
        <w:spacing w:after="0" w:line="360" w:lineRule="auto"/>
        <w:jc w:val="both"/>
        <w:rPr>
          <w:rFonts w:ascii="Times New Roman" w:hAnsi="Times New Roman"/>
          <w:b/>
          <w:sz w:val="24"/>
          <w:szCs w:val="24"/>
        </w:rPr>
      </w:pPr>
    </w:p>
    <w:p w14:paraId="60F216C5" w14:textId="77777777" w:rsidR="006B7B7A" w:rsidRPr="0070741E" w:rsidRDefault="004E5772" w:rsidP="00CD3D8E">
      <w:pPr>
        <w:suppressAutoHyphens/>
        <w:spacing w:after="0" w:line="360" w:lineRule="auto"/>
        <w:jc w:val="both"/>
        <w:rPr>
          <w:rFonts w:ascii="Times New Roman" w:hAnsi="Times New Roman"/>
          <w:sz w:val="24"/>
          <w:szCs w:val="24"/>
        </w:rPr>
      </w:pPr>
      <w:r w:rsidRPr="0070741E">
        <w:rPr>
          <w:rFonts w:ascii="Times New Roman" w:eastAsiaTheme="minorEastAsia" w:hAnsi="Times New Roman"/>
          <w:sz w:val="24"/>
          <w:szCs w:val="24"/>
          <w:u w:val="single"/>
          <w:lang w:eastAsia="pl-PL"/>
        </w:rPr>
        <w:t xml:space="preserve">Zmiana w art. 32 ust. 1 pkt 1 </w:t>
      </w:r>
    </w:p>
    <w:p w14:paraId="42607169"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EastAsia" w:hAnsi="Times New Roman"/>
          <w:bCs/>
          <w:sz w:val="24"/>
          <w:szCs w:val="24"/>
          <w:lang w:eastAsia="pl-PL"/>
        </w:rPr>
        <w:t xml:space="preserve">Celem projektowanej regulacji jest wprowadzenie zwolnienia od akcyzy dla preparatów smarowych objętych pozycją CN 3403, analogicznego jak dla olejów smarowych. Dyrektywa Rady 2003/96/WE z dnia 27 października 2003 r. w sprawie restrukturyzacji wspólnotowych przepisów ramowych dotyczących opodatkowania produktów energetycznych i energii elektrycznej w art. 14 ust. 1 lit b określa zwolnienie od akcyzy dla produktów energetycznych dostarczanych w celu zastosowania jako paliwo do celów żeglugi powietrznej innej niż prywatne loty niehandlowe. Z uwagi na powyższe, mając na uwadze opodatkowanie pozytywną stawką podatku akcyzowego preparatów smarowych objętych pozycją CN 3403, </w:t>
      </w:r>
      <w:r w:rsidRPr="0070741E">
        <w:rPr>
          <w:rFonts w:ascii="Times New Roman" w:eastAsiaTheme="minorEastAsia" w:hAnsi="Times New Roman"/>
          <w:bCs/>
          <w:sz w:val="24"/>
          <w:szCs w:val="24"/>
          <w:lang w:eastAsia="pl-PL"/>
        </w:rPr>
        <w:lastRenderedPageBreak/>
        <w:t>koniecznym stało się określenie zwolnienia od akcyzy dla tych wyrobów, analogicznie jak przy olejach smarowych.</w:t>
      </w:r>
    </w:p>
    <w:p w14:paraId="08EBADED" w14:textId="77777777" w:rsidR="006B7B7A" w:rsidRPr="0070741E" w:rsidRDefault="006B7B7A" w:rsidP="00CD3D8E">
      <w:pPr>
        <w:spacing w:after="0" w:line="360" w:lineRule="auto"/>
        <w:jc w:val="both"/>
        <w:rPr>
          <w:rFonts w:ascii="Times New Roman" w:eastAsiaTheme="minorEastAsia" w:hAnsi="Times New Roman"/>
          <w:bCs/>
          <w:sz w:val="24"/>
          <w:szCs w:val="24"/>
          <w:lang w:eastAsia="pl-PL"/>
        </w:rPr>
      </w:pPr>
    </w:p>
    <w:p w14:paraId="547C1C56" w14:textId="77777777" w:rsidR="006B7B7A" w:rsidRPr="0070741E" w:rsidRDefault="004E5772" w:rsidP="00CD3D8E">
      <w:pPr>
        <w:suppressAutoHyphens/>
        <w:spacing w:after="0" w:line="360" w:lineRule="auto"/>
        <w:jc w:val="both"/>
        <w:rPr>
          <w:rFonts w:ascii="Times New Roman" w:hAnsi="Times New Roman"/>
          <w:sz w:val="24"/>
          <w:szCs w:val="24"/>
        </w:rPr>
      </w:pPr>
      <w:r w:rsidRPr="0070741E">
        <w:rPr>
          <w:rFonts w:ascii="Times New Roman" w:eastAsiaTheme="minorEastAsia" w:hAnsi="Times New Roman"/>
          <w:sz w:val="24"/>
          <w:szCs w:val="24"/>
          <w:u w:val="single"/>
          <w:lang w:eastAsia="pl-PL"/>
        </w:rPr>
        <w:t>Zmiany w art. 41 ust. 4</w:t>
      </w:r>
      <w:r w:rsidR="007D5A6F" w:rsidRPr="0070741E">
        <w:rPr>
          <w:rFonts w:ascii="Times New Roman" w:eastAsiaTheme="minorEastAsia" w:hAnsi="Times New Roman"/>
          <w:sz w:val="24"/>
          <w:szCs w:val="24"/>
          <w:u w:val="single"/>
          <w:lang w:eastAsia="pl-PL"/>
        </w:rPr>
        <w:t xml:space="preserve"> </w:t>
      </w:r>
    </w:p>
    <w:p w14:paraId="3857F4C5"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 xml:space="preserve">Celem dokonywanych w przepisie zmian jest uszczelnienie obrotu wyrobami akcyzowymi innymi niż wymienione w załączniku nr 2 do ustawy, objętymi stawką akcyzy inną niż stawka zerowa i wyeliminowanie nieprawidłowości występujących w obrocie tymi wyrobami (zwłaszcza olejami smarowymi) – poprzez rozszerzenie warunków stosowania procedury zawieszenia poboru akcyzy przy przemieszczaniu tych wyrobów na terytorium kraju w ramach nabycia wewnątrzwspólnotowego lub dostawy wewnątrzwspólnotowej. </w:t>
      </w:r>
    </w:p>
    <w:p w14:paraId="21560821"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Obecnie ogólne warunki zastosowania procedury zawies</w:t>
      </w:r>
      <w:r w:rsidR="0006147A" w:rsidRPr="0070741E">
        <w:rPr>
          <w:rFonts w:ascii="Times New Roman" w:eastAsiaTheme="minorHAnsi" w:hAnsi="Times New Roman"/>
          <w:sz w:val="24"/>
          <w:szCs w:val="24"/>
        </w:rPr>
        <w:t>zenia poboru akcyzy związanej z </w:t>
      </w:r>
      <w:r w:rsidRPr="0070741E">
        <w:rPr>
          <w:rFonts w:ascii="Times New Roman" w:eastAsiaTheme="minorHAnsi" w:hAnsi="Times New Roman"/>
          <w:sz w:val="24"/>
          <w:szCs w:val="24"/>
        </w:rPr>
        <w:t>przemieszczaniem wyrobów akcyzowych są ujęte w art. 41 ust. 1 ustawy. Do warunków tych należy: zastosowanie e-AD albo dokumentu zastępującego e-AD oraz złożenie we właściwym urzędzie skarbowym zabezpieczenia akcyzowego. Jednocześnie, jak wynika z art. 41 ust. 4 ustawy, j</w:t>
      </w:r>
      <w:r w:rsidRPr="0070741E">
        <w:rPr>
          <w:rFonts w:ascii="Times New Roman" w:eastAsia="Times New Roman" w:hAnsi="Times New Roman"/>
          <w:sz w:val="24"/>
          <w:szCs w:val="24"/>
          <w:lang w:eastAsia="pl-PL"/>
        </w:rPr>
        <w:t xml:space="preserve">eżeli procedura zawieszenia poboru akcyzy dotyczy wyrobów akcyzowych, o których mowa w art. 40 ust. 6, </w:t>
      </w:r>
      <w:r w:rsidRPr="0070741E">
        <w:rPr>
          <w:rFonts w:ascii="Times New Roman" w:eastAsiaTheme="minorHAnsi" w:hAnsi="Times New Roman"/>
          <w:sz w:val="24"/>
          <w:szCs w:val="24"/>
        </w:rPr>
        <w:t>warunki, o których mowa w ust. 1, tj.: przemieszczanie wyrobów na podstawie e-AD albo dokumentu zastępującego e-AD oraz złożenie we właściwym urzędzie skarbowym zabezpieczenia akcyzowego, mają zastosowanie tylko przy przemieszczaniu tych wyrobów na terytorium kraju, a w przypadku przemieszczania tych wyrobów na terytorium kraju w ramach nabycia wewnątrzwspólnotowego lub dostawy wewnątrzwspólnotowej warunkiem zastosowania procedury zawieszenia poboru akcyzy jest wyłącznie dołączenie do przemieszczanych wyrobó</w:t>
      </w:r>
      <w:r w:rsidR="00792429">
        <w:rPr>
          <w:rFonts w:ascii="Times New Roman" w:eastAsiaTheme="minorHAnsi" w:hAnsi="Times New Roman"/>
          <w:sz w:val="24"/>
          <w:szCs w:val="24"/>
        </w:rPr>
        <w:t xml:space="preserve">w dokumentów handlowych zamiast </w:t>
      </w:r>
      <w:r w:rsidRPr="0070741E">
        <w:rPr>
          <w:rFonts w:ascii="Times New Roman" w:eastAsiaTheme="minorHAnsi" w:hAnsi="Times New Roman"/>
          <w:sz w:val="24"/>
          <w:szCs w:val="24"/>
        </w:rPr>
        <w:t>e-AD.</w:t>
      </w:r>
    </w:p>
    <w:p w14:paraId="7C82964D"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 xml:space="preserve">W projekcie przewidziano, że wszystkie przypadki zastosowania procedury zawieszenia poboru akcyzy w odniesieniu do wyrobów akcyzowych niewymienionych w załączniku nr 2 do ustawy, objętych stawką akcyzy inną niż stawka zerowa będą określone w jednej regulacji, ujętej w art. 41 ust. 4 ustawy. </w:t>
      </w:r>
    </w:p>
    <w:p w14:paraId="38CD10A5"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W art. 41 ust. 4 pkt 1 wskazano, że w przypadku wyrob</w:t>
      </w:r>
      <w:r w:rsidR="0006147A" w:rsidRPr="0070741E">
        <w:rPr>
          <w:rFonts w:ascii="Times New Roman" w:eastAsiaTheme="minorHAnsi" w:hAnsi="Times New Roman"/>
          <w:sz w:val="24"/>
          <w:szCs w:val="24"/>
        </w:rPr>
        <w:t>ów akcyzowych niewymienionych w </w:t>
      </w:r>
      <w:r w:rsidRPr="0070741E">
        <w:rPr>
          <w:rFonts w:ascii="Times New Roman" w:eastAsiaTheme="minorHAnsi" w:hAnsi="Times New Roman"/>
          <w:sz w:val="24"/>
          <w:szCs w:val="24"/>
        </w:rPr>
        <w:t xml:space="preserve">załączniku nr 2 do ustawy, objętych stawką akcyzy inną niż stawka zerowa, przemieszczanych wyłącznie na terytorium kraju, np. pomiędzy krajowymi składami podatkowymi, warunkiem zastosowania procedury zawieszenia poboru akcyzy będzie zastosowanie e-AD albo dokumentu zastępującego e-AD (w związku z tym, że </w:t>
      </w:r>
      <w:r w:rsidRPr="0070741E">
        <w:rPr>
          <w:rFonts w:ascii="Times New Roman" w:eastAsiaTheme="minorHAnsi" w:hAnsi="Times New Roman"/>
          <w:sz w:val="24"/>
          <w:szCs w:val="24"/>
        </w:rPr>
        <w:lastRenderedPageBreak/>
        <w:t xml:space="preserve">przemieszczanie takie odbywa się z zastosowaniem Systemu EMCS) oraz złożenie we właściwym urzędzie skarbowym zabezpieczenia akcyzowego (rozwiązanie funkcjonujące obecnie). </w:t>
      </w:r>
    </w:p>
    <w:p w14:paraId="2BAAC547" w14:textId="2DD6D112" w:rsidR="00894AF4" w:rsidRPr="0070741E" w:rsidRDefault="00894AF4" w:rsidP="00894AF4">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Przepis art. 41 ust. 4 pkt 2 dotyczy wyrobów akcyzowych niewymienionych w załączniku nr 2 do ustawy, objętych stawką akcyzy inną niż stawka zerowa, które są nabywane wewnątrzwspólnotowo w celu wprowadzenia ich do składu podatkowego i objęcia procedurą zawieszenia poboru akcyzy. W takim przypadku warunkiem zastosowania procedury zawieszenia poboru akcyzy będzie: dokonanie przez podatnika</w:t>
      </w:r>
      <w:r w:rsidRPr="0070741E">
        <w:rPr>
          <w:rFonts w:ascii="Times New Roman" w:eastAsia="Times New Roman" w:hAnsi="Times New Roman"/>
          <w:sz w:val="24"/>
          <w:szCs w:val="24"/>
          <w:lang w:eastAsia="pl-PL"/>
        </w:rPr>
        <w:t xml:space="preserve"> do właściwego naczelnika urzędu skarbowego zgłoszenia o planowanym nabyciu wewnątrzwspólnotowym  i złożenie zabezpieczenia akcyzowego,</w:t>
      </w:r>
      <w:r w:rsidRPr="0070741E">
        <w:rPr>
          <w:rFonts w:ascii="Times New Roman" w:eastAsiaTheme="minorHAnsi" w:hAnsi="Times New Roman"/>
          <w:sz w:val="24"/>
          <w:szCs w:val="24"/>
        </w:rPr>
        <w:t xml:space="preserve"> p</w:t>
      </w:r>
      <w:r w:rsidRPr="0070741E">
        <w:rPr>
          <w:rFonts w:ascii="Times New Roman" w:eastAsia="Times New Roman" w:hAnsi="Times New Roman"/>
          <w:sz w:val="24"/>
          <w:szCs w:val="24"/>
          <w:lang w:eastAsia="pl-PL"/>
        </w:rPr>
        <w:t xml:space="preserve">rzed wprowadzeniem wyrobów na terytorium kraju oraz </w:t>
      </w:r>
      <w:r w:rsidRPr="0070741E">
        <w:rPr>
          <w:rFonts w:ascii="Times New Roman" w:eastAsiaTheme="minorHAnsi" w:hAnsi="Times New Roman"/>
          <w:sz w:val="24"/>
          <w:szCs w:val="24"/>
        </w:rPr>
        <w:t xml:space="preserve">dołączenie do przemieszczanych wyrobów dokumentów handlowych. </w:t>
      </w:r>
    </w:p>
    <w:p w14:paraId="7580EED9"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 xml:space="preserve">W związku z wprowadzeniem, w przypadku nabycia wewnątrzwspólnotowego wskazanych wyrobów, obowiązku złożenia zabezpieczenia akcyzowego, konieczne jest również wprowadzenie obowiązku składania przez podmiot zgłoszenia o planowanym nabyciu wewnątrzwspólnotowym, podobnie jak to ma miejsce w przypadku nabycia wewnątrzwspólnotowego ww. wyrobów poza procedurą zawieszenia poboru akcyzy. Właściwy naczelnik urzędu skarbowego przyjmujący zabezpieczenie akcyzowe musi bowiem posiadać informację kiedy i jakie wyroby zamierza nabyć podmiot. </w:t>
      </w:r>
    </w:p>
    <w:p w14:paraId="6E57F364"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Odnośnie</w:t>
      </w:r>
      <w:r w:rsidR="007D5A6F" w:rsidRPr="0070741E">
        <w:rPr>
          <w:rFonts w:ascii="Times New Roman" w:eastAsiaTheme="minorHAnsi" w:hAnsi="Times New Roman"/>
          <w:sz w:val="24"/>
          <w:szCs w:val="24"/>
        </w:rPr>
        <w:t xml:space="preserve"> </w:t>
      </w:r>
      <w:r w:rsidRPr="0070741E">
        <w:rPr>
          <w:rFonts w:ascii="Times New Roman" w:eastAsiaTheme="minorHAnsi" w:hAnsi="Times New Roman"/>
          <w:sz w:val="24"/>
          <w:szCs w:val="24"/>
        </w:rPr>
        <w:t>kwestii dotyczącej dokumentowania przemieszczania w przedmiotowym przypadku wskazać należy, że nie może mieć tu zastosowania e-AD albo dokument zastępujący e-AD, ponieważ przemieszczanie w ramach nabycia wewnątrzwspólnotowego będzie się odbywało poza Systemem EMCS.</w:t>
      </w:r>
    </w:p>
    <w:p w14:paraId="3F212735"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Przepis art. 41 ust. 4 pkt 3 dotyczy wyrobów akcyzowych niewymienionych w załączniku nr 2 do ustawy, objętych stawką akcyzy inną niż stawka zerowa, które są przemieszczane na terytorium kraju w procedurze zawieszenia poboru akcyzy w ramach dostawy wewnątrzwspólnotowej (poza Systemem EMCS). W tym przypadku jako warunki zastosowania procedury zawieszenia poboru akcyzy wskazano: złożenie we właściwym urzędzie skarbowym zabezpieczenia akcyzowego oraz dołączenie do przemieszczanych wyrobów dokumentów handlowych.</w:t>
      </w:r>
    </w:p>
    <w:p w14:paraId="75E9FB09" w14:textId="77777777" w:rsidR="00FF772A" w:rsidRPr="0070741E" w:rsidRDefault="00FF772A" w:rsidP="00FF772A">
      <w:pPr>
        <w:suppressAutoHyphens/>
        <w:spacing w:after="0" w:line="360" w:lineRule="auto"/>
        <w:jc w:val="both"/>
        <w:rPr>
          <w:rFonts w:ascii="Times New Roman" w:eastAsiaTheme="minorEastAsia" w:hAnsi="Times New Roman"/>
          <w:sz w:val="24"/>
          <w:szCs w:val="24"/>
          <w:u w:val="single"/>
          <w:lang w:eastAsia="pl-PL"/>
        </w:rPr>
      </w:pPr>
    </w:p>
    <w:p w14:paraId="2C507FDB" w14:textId="77777777" w:rsidR="00FF772A" w:rsidRPr="0070741E" w:rsidRDefault="00FF772A" w:rsidP="00BC6C5F">
      <w:pPr>
        <w:keepNext/>
        <w:keepLines/>
        <w:suppressAutoHyphens/>
        <w:spacing w:after="0" w:line="360" w:lineRule="auto"/>
        <w:jc w:val="both"/>
        <w:rPr>
          <w:rFonts w:ascii="Times New Roman" w:eastAsiaTheme="minorEastAsia" w:hAnsi="Times New Roman"/>
          <w:sz w:val="24"/>
          <w:szCs w:val="24"/>
          <w:u w:val="single"/>
          <w:lang w:eastAsia="pl-PL"/>
        </w:rPr>
      </w:pPr>
      <w:r w:rsidRPr="0070741E">
        <w:rPr>
          <w:rFonts w:ascii="Times New Roman" w:eastAsiaTheme="minorEastAsia" w:hAnsi="Times New Roman"/>
          <w:sz w:val="24"/>
          <w:szCs w:val="24"/>
          <w:u w:val="single"/>
          <w:lang w:eastAsia="pl-PL"/>
        </w:rPr>
        <w:lastRenderedPageBreak/>
        <w:t>Zmiany w art. 41 ust. 16</w:t>
      </w:r>
    </w:p>
    <w:p w14:paraId="2745CA81" w14:textId="77777777" w:rsidR="00FF772A" w:rsidRPr="0070741E" w:rsidRDefault="00E1613D" w:rsidP="00084C21">
      <w:pPr>
        <w:spacing w:after="0" w:line="360" w:lineRule="auto"/>
        <w:jc w:val="both"/>
        <w:rPr>
          <w:rFonts w:ascii="Times New Roman" w:hAnsi="Times New Roman"/>
          <w:sz w:val="24"/>
          <w:szCs w:val="24"/>
        </w:rPr>
      </w:pPr>
      <w:r w:rsidRPr="0070741E">
        <w:rPr>
          <w:rFonts w:ascii="Times New Roman" w:eastAsia="Times New Roman" w:hAnsi="Times New Roman"/>
          <w:sz w:val="24"/>
          <w:szCs w:val="24"/>
          <w:lang w:eastAsia="pl-PL"/>
        </w:rPr>
        <w:t>Konieczność wprowadzenia upoważnienia dla ministra właściwego do spraw finansów publicznych do określenia, w drodze rozporządzenia, wzoru zgłoszenia o planowanym nabyciu wewnątrzwspólnotowym stanowi konsekwencję regulacji art. 41 ust. 4 pkt 2 lit. a, zgodnie z</w:t>
      </w:r>
      <w:r w:rsidR="00B93183" w:rsidRPr="0070741E">
        <w:rPr>
          <w:rFonts w:ascii="Times New Roman" w:eastAsia="Times New Roman" w:hAnsi="Times New Roman"/>
          <w:sz w:val="24"/>
          <w:szCs w:val="24"/>
          <w:lang w:eastAsia="pl-PL"/>
        </w:rPr>
        <w:t> </w:t>
      </w:r>
      <w:r w:rsidRPr="0070741E">
        <w:rPr>
          <w:rFonts w:ascii="Times New Roman" w:eastAsia="Times New Roman" w:hAnsi="Times New Roman"/>
          <w:sz w:val="24"/>
          <w:szCs w:val="24"/>
          <w:lang w:eastAsia="pl-PL"/>
        </w:rPr>
        <w:t>którą również podmiot dokonujący nabycia wewnątrzwspólnotowego wyrobów akcyzowych niewymienionych w załączniku nr 2 do ustawy, opodatkowanych stawką akcyzy inną niż stawka zerowa, w celu wprowadzenia ich do składu podatkowego i objęcia procedurą zawieszenia poboru akcyzy – będzie obowiązany, przed dokonaniem tego nabycia, złożyć do właściwego naczelnika urzędu skarbowego zgłoszenie o planowanym nabyciu wewnątrzwspólnotowym.</w:t>
      </w:r>
    </w:p>
    <w:p w14:paraId="3B767774" w14:textId="77777777" w:rsidR="006B7B7A" w:rsidRPr="0070741E" w:rsidRDefault="006B7B7A" w:rsidP="00CD3D8E">
      <w:pPr>
        <w:spacing w:after="0" w:line="360" w:lineRule="auto"/>
        <w:jc w:val="both"/>
        <w:rPr>
          <w:rFonts w:ascii="Times New Roman" w:eastAsiaTheme="minorHAnsi" w:hAnsi="Times New Roman"/>
          <w:sz w:val="24"/>
          <w:szCs w:val="24"/>
        </w:rPr>
      </w:pPr>
    </w:p>
    <w:p w14:paraId="4AD166A5"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u w:val="single"/>
        </w:rPr>
        <w:t>Zmiany w art. 48 ust. 3 pkt 4 i ust. 4a pkt 3</w:t>
      </w:r>
    </w:p>
    <w:p w14:paraId="5E5BA90C"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Przepisy art. 48 ust. 3 pkt 4 i ust. 4a pkt 3 przewidują obecnie dodatkowe warunki uzyskania zezwolenia w przypadku:</w:t>
      </w:r>
    </w:p>
    <w:p w14:paraId="7D711AC8"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 xml:space="preserve">1) składu podatkowego, w którym ma być prowadzona działalność polegająca wyłączenie na magazynowaniu lub przeładowywaniu wyrobów akcyzowych wyprodukowanych w innym składzie podatkowym, </w:t>
      </w:r>
    </w:p>
    <w:p w14:paraId="771D5A4C"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2) składu podatkowego prowadzonego przez operatora logistycznego,</w:t>
      </w:r>
    </w:p>
    <w:p w14:paraId="3C1E0853"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imes New Roman" w:hAnsi="Times New Roman"/>
          <w:sz w:val="24"/>
          <w:szCs w:val="24"/>
          <w:lang w:eastAsia="pl-PL"/>
        </w:rPr>
        <w:t xml:space="preserve">- dla grupy wyrobów akcyzowych określonych jako „oleje smarowe”. </w:t>
      </w:r>
    </w:p>
    <w:p w14:paraId="67323596"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imes New Roman" w:hAnsi="Times New Roman"/>
          <w:sz w:val="24"/>
          <w:szCs w:val="24"/>
          <w:lang w:eastAsia="pl-PL"/>
        </w:rPr>
        <w:t xml:space="preserve">W zmienianych przepisach do grupy olejów smarowych dodano również „preparaty smarowe”, tj. wyroby akcyzowe klasyfikowane do pozycji CN 3403. </w:t>
      </w:r>
    </w:p>
    <w:p w14:paraId="0C3EA8BE"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imes New Roman" w:hAnsi="Times New Roman"/>
          <w:sz w:val="24"/>
          <w:szCs w:val="24"/>
          <w:lang w:eastAsia="pl-PL"/>
        </w:rPr>
        <w:t xml:space="preserve">Zgodnie z projektowanymi przepisami dodatkowym </w:t>
      </w:r>
      <w:r w:rsidRPr="0070741E">
        <w:rPr>
          <w:rFonts w:ascii="Times New Roman" w:eastAsiaTheme="minorHAnsi" w:hAnsi="Times New Roman"/>
          <w:color w:val="000000"/>
          <w:sz w:val="24"/>
          <w:szCs w:val="24"/>
        </w:rPr>
        <w:t>warunkiem uzyskania zezwolenia na prowadzenie składu podatkowego typu magazynowego w przypadku olejów smarowych lub preparatów smarowych będzie minimalna wysokość akcyzy, która byłaby należna od tych wyrobów, gdyby wyroby te nie zostały objęte procedu</w:t>
      </w:r>
      <w:r w:rsidR="00792429">
        <w:rPr>
          <w:rFonts w:ascii="Times New Roman" w:eastAsiaTheme="minorHAnsi" w:hAnsi="Times New Roman"/>
          <w:color w:val="000000"/>
          <w:sz w:val="24"/>
          <w:szCs w:val="24"/>
        </w:rPr>
        <w:t>rą zawieszenia poboru akcyzy, w </w:t>
      </w:r>
      <w:r w:rsidRPr="0070741E">
        <w:rPr>
          <w:rFonts w:ascii="Times New Roman" w:eastAsiaTheme="minorHAnsi" w:hAnsi="Times New Roman"/>
          <w:color w:val="000000"/>
          <w:sz w:val="24"/>
          <w:szCs w:val="24"/>
        </w:rPr>
        <w:t>składzie podatkowym, w którym prowadzona będzie działalność na podstawie wydanego zezwolenia, wynosząca w roku kalendarzowym 600 tys. zł.</w:t>
      </w:r>
    </w:p>
    <w:p w14:paraId="5ADC2E0E"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color w:val="000000"/>
          <w:sz w:val="24"/>
          <w:szCs w:val="24"/>
        </w:rPr>
        <w:t>Natomiast dodatkowym warunkiem wydania zezwolenia dla operatora logistycznego będzie minimalna wartość rynkowa wszystkich towarów będących przedmiotem działalności tego podmiotu, jako operatora logistycznego, w tym wyrobów akcyzowych w jednym miejscu magazynowania w składzie podatkowym lub poza składem podatkowym, wynosząca dla olejów smarowych lub preparatów smarowych – 10 mln zł.</w:t>
      </w:r>
    </w:p>
    <w:p w14:paraId="4BDFAF4B" w14:textId="77777777" w:rsidR="006B7B7A" w:rsidRPr="0070741E" w:rsidRDefault="006B7B7A" w:rsidP="00CD3D8E">
      <w:pPr>
        <w:spacing w:after="0" w:line="360" w:lineRule="auto"/>
        <w:jc w:val="both"/>
        <w:rPr>
          <w:rFonts w:ascii="Times New Roman" w:eastAsiaTheme="minorHAnsi" w:hAnsi="Times New Roman"/>
          <w:color w:val="000000"/>
          <w:sz w:val="24"/>
          <w:szCs w:val="24"/>
        </w:rPr>
      </w:pPr>
    </w:p>
    <w:p w14:paraId="5F54B2C6"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imes New Roman" w:hAnsi="Times New Roman"/>
          <w:sz w:val="24"/>
          <w:szCs w:val="24"/>
          <w:u w:val="single"/>
          <w:lang w:eastAsia="pl-PL"/>
        </w:rPr>
        <w:t xml:space="preserve">Zmiana w art. 52 ust. 2 pkt 5 </w:t>
      </w:r>
    </w:p>
    <w:p w14:paraId="4F5B50A9" w14:textId="77777777" w:rsidR="00FF44A5" w:rsidRPr="0070741E" w:rsidRDefault="004E5772" w:rsidP="00CD3D8E">
      <w:pPr>
        <w:spacing w:after="0" w:line="360" w:lineRule="auto"/>
        <w:jc w:val="both"/>
        <w:rPr>
          <w:rFonts w:ascii="Times New Roman" w:eastAsia="Times New Roman" w:hAnsi="Times New Roman"/>
          <w:sz w:val="24"/>
          <w:szCs w:val="24"/>
          <w:lang w:eastAsia="pl-PL"/>
        </w:rPr>
      </w:pPr>
      <w:r w:rsidRPr="0070741E">
        <w:rPr>
          <w:rFonts w:ascii="Times New Roman" w:eastAsia="Times New Roman" w:hAnsi="Times New Roman"/>
          <w:sz w:val="24"/>
          <w:szCs w:val="24"/>
          <w:lang w:eastAsia="pl-PL"/>
        </w:rPr>
        <w:t>Zmiana przepisu art. 52 ust. 2 pkt 5, dotyczącego cofnięcia przez właściwego naczelnika urzędu skarbowego zezwolenia na prowadzenie składu podatkowego, ma wyłącznie charakter dostosowujący do obowiązujących regulacji określonych w art. 48 ust. 4 i ust. 4d ustawy, dotyczących dodatkowych warunków uzyskania zezwolenia na prowadzenie składu podatkowego.</w:t>
      </w:r>
    </w:p>
    <w:p w14:paraId="7D325176" w14:textId="77777777" w:rsidR="006B7B7A" w:rsidRPr="0070741E" w:rsidRDefault="006B7B7A" w:rsidP="00CD3D8E">
      <w:pPr>
        <w:spacing w:after="0" w:line="360" w:lineRule="auto"/>
        <w:jc w:val="both"/>
        <w:rPr>
          <w:rFonts w:ascii="Times New Roman" w:hAnsi="Times New Roman"/>
          <w:sz w:val="24"/>
          <w:szCs w:val="24"/>
        </w:rPr>
      </w:pPr>
    </w:p>
    <w:p w14:paraId="0E6C158E" w14:textId="77777777" w:rsidR="00FF44A5" w:rsidRPr="0070741E" w:rsidRDefault="00FF44A5" w:rsidP="00FF44A5">
      <w:pPr>
        <w:spacing w:after="0" w:line="360" w:lineRule="auto"/>
        <w:jc w:val="both"/>
        <w:rPr>
          <w:rFonts w:ascii="Times New Roman" w:eastAsia="Times New Roman" w:hAnsi="Times New Roman"/>
          <w:sz w:val="24"/>
          <w:szCs w:val="24"/>
          <w:u w:val="single"/>
          <w:lang w:eastAsia="pl-PL"/>
        </w:rPr>
      </w:pPr>
      <w:r w:rsidRPr="0070741E">
        <w:rPr>
          <w:rFonts w:ascii="Times New Roman" w:eastAsia="Times New Roman" w:hAnsi="Times New Roman"/>
          <w:sz w:val="24"/>
          <w:szCs w:val="24"/>
          <w:u w:val="single"/>
          <w:lang w:eastAsia="pl-PL"/>
        </w:rPr>
        <w:t>Zmiana w art. 86 ust. 1 pkt 8 oraz w załączniku nr 1 i 2 do ustawy o podatku akcyzowym</w:t>
      </w:r>
    </w:p>
    <w:p w14:paraId="63839B76" w14:textId="77777777" w:rsidR="00FF44A5" w:rsidRPr="0070741E" w:rsidRDefault="00FF44A5" w:rsidP="00FF44A5">
      <w:pPr>
        <w:spacing w:after="0" w:line="360" w:lineRule="auto"/>
        <w:jc w:val="both"/>
        <w:rPr>
          <w:rFonts w:ascii="Times New Roman" w:eastAsia="Times New Roman" w:hAnsi="Times New Roman"/>
          <w:sz w:val="24"/>
          <w:szCs w:val="24"/>
          <w:lang w:eastAsia="pl-PL"/>
        </w:rPr>
      </w:pPr>
      <w:r w:rsidRPr="0070741E">
        <w:rPr>
          <w:rFonts w:ascii="Times New Roman" w:eastAsia="Times New Roman" w:hAnsi="Times New Roman"/>
          <w:sz w:val="24"/>
          <w:szCs w:val="24"/>
          <w:lang w:eastAsia="pl-PL"/>
        </w:rPr>
        <w:t>Przedmiotowe zmiany mają na celu wyeliminowanie wątpliwości interpretacyjnych dotyczących wyrobów akcyzowych z działu 38 Nomenklatury Scalonej przeznaczonych do celów opałowych lub napędowych, które mogą wystąpić po uchyleniu na mocy przepisów ustawy z dnia 9 listopada 2018 r. ustawie o zmianie niektórych ustaw w celu wprowadzenia uproszczeń dla przedsiębiorców w prawie podatkowym i gospodarczym poz. 41 w załączniku nr 1 do ustawy o podatku akcyzowym oraz poz. 26 w z</w:t>
      </w:r>
      <w:r w:rsidR="006B768E" w:rsidRPr="0070741E">
        <w:rPr>
          <w:rFonts w:ascii="Times New Roman" w:eastAsia="Times New Roman" w:hAnsi="Times New Roman"/>
          <w:sz w:val="24"/>
          <w:szCs w:val="24"/>
          <w:lang w:eastAsia="pl-PL"/>
        </w:rPr>
        <w:t>ałączniku nr 2 do tej ustawy. W </w:t>
      </w:r>
      <w:r w:rsidRPr="0070741E">
        <w:rPr>
          <w:rFonts w:ascii="Times New Roman" w:eastAsia="Times New Roman" w:hAnsi="Times New Roman"/>
          <w:sz w:val="24"/>
          <w:szCs w:val="24"/>
          <w:lang w:eastAsia="pl-PL"/>
        </w:rPr>
        <w:t>uchylanych pozycjach wymienione są wyroby klasyfikowane do kodu CN ex 3824 90 97 „Pozostałe produkty chemiczne i preparaty przemysłu chemicznego lub przemysłów pokrewnych (włączając te składające się z mieszanin produktów naturalnych), gdzie indziej niewymienione ani niewłączone – jeżeli są przeznaczone do celów opałowych lub napędowych”.</w:t>
      </w:r>
    </w:p>
    <w:p w14:paraId="4AEFE485" w14:textId="77777777" w:rsidR="00FF44A5" w:rsidRPr="0070741E" w:rsidRDefault="00FF44A5" w:rsidP="00FF44A5">
      <w:pPr>
        <w:spacing w:after="0" w:line="360" w:lineRule="auto"/>
        <w:jc w:val="both"/>
        <w:rPr>
          <w:rFonts w:ascii="Times New Roman" w:eastAsia="Times New Roman" w:hAnsi="Times New Roman"/>
          <w:sz w:val="24"/>
          <w:szCs w:val="24"/>
          <w:lang w:eastAsia="pl-PL"/>
        </w:rPr>
      </w:pPr>
      <w:r w:rsidRPr="0070741E">
        <w:rPr>
          <w:rFonts w:ascii="Times New Roman" w:eastAsia="Times New Roman" w:hAnsi="Times New Roman"/>
          <w:sz w:val="24"/>
          <w:szCs w:val="24"/>
          <w:lang w:eastAsia="pl-PL"/>
        </w:rPr>
        <w:t>Na rynku występują jednak wyroby, które są w Nomenklaturze Scalonej klasyfikowane do podpozycji CN 3824 99 i</w:t>
      </w:r>
      <w:r w:rsidR="0070741E">
        <w:rPr>
          <w:rFonts w:ascii="Times New Roman" w:eastAsia="Times New Roman" w:hAnsi="Times New Roman"/>
          <w:sz w:val="24"/>
          <w:szCs w:val="24"/>
          <w:lang w:eastAsia="pl-PL"/>
        </w:rPr>
        <w:t xml:space="preserve"> </w:t>
      </w:r>
      <w:r w:rsidRPr="0070741E">
        <w:rPr>
          <w:rFonts w:ascii="Times New Roman" w:eastAsia="Times New Roman" w:hAnsi="Times New Roman"/>
          <w:sz w:val="24"/>
          <w:szCs w:val="24"/>
          <w:lang w:eastAsia="pl-PL"/>
        </w:rPr>
        <w:t>stanowią mieszaniny zawierające powyżej 30% frakcji ciężkiej OXO oraz mniej niż 70% masy olejów ropy naftowej lub olejów otrzymywanych z masy bitumicznej.</w:t>
      </w:r>
    </w:p>
    <w:p w14:paraId="701E964F" w14:textId="77777777" w:rsidR="00FF44A5" w:rsidRPr="0070741E" w:rsidRDefault="00FF44A5" w:rsidP="00FF44A5">
      <w:pPr>
        <w:spacing w:after="0" w:line="360" w:lineRule="auto"/>
        <w:jc w:val="both"/>
        <w:rPr>
          <w:rFonts w:ascii="Times New Roman" w:eastAsia="Times New Roman" w:hAnsi="Times New Roman"/>
          <w:sz w:val="24"/>
          <w:szCs w:val="24"/>
          <w:lang w:eastAsia="pl-PL"/>
        </w:rPr>
      </w:pPr>
      <w:r w:rsidRPr="0070741E">
        <w:rPr>
          <w:rFonts w:ascii="Times New Roman" w:eastAsia="Times New Roman" w:hAnsi="Times New Roman"/>
          <w:sz w:val="24"/>
          <w:szCs w:val="24"/>
          <w:lang w:eastAsia="pl-PL"/>
        </w:rPr>
        <w:t>Dodatkowo, w wykazie wyrobów akcyzowych (załącznik nr 1) zostały wyszczególnione odrębne pozycje (od 1 do 12) dla olejów roślinnych klasyfikowanych w dziale 15, jeżeli są przeznaczone do celów opałowych lub napędowych – uchylenie poz. 41 wykazu „Pozostałe produkty chemiczne i preparaty przemysłu chemicznego lub przemysłów pokrewnych (włączając te składające się z mieszanin produktów naturalnych), gdzie indziej niewymienione ani niewłączone, jeżeli są przeznaczone do celów opałowych lub napędowych”.</w:t>
      </w:r>
    </w:p>
    <w:p w14:paraId="6079464A" w14:textId="5D66CB29" w:rsidR="00BF02C9" w:rsidRPr="0070741E" w:rsidRDefault="00FF44A5" w:rsidP="00FF44A5">
      <w:pPr>
        <w:spacing w:after="0" w:line="360" w:lineRule="auto"/>
        <w:jc w:val="both"/>
        <w:rPr>
          <w:rFonts w:ascii="Times New Roman" w:eastAsia="Times New Roman" w:hAnsi="Times New Roman"/>
          <w:sz w:val="24"/>
          <w:szCs w:val="24"/>
          <w:lang w:eastAsia="pl-PL"/>
        </w:rPr>
      </w:pPr>
      <w:r w:rsidRPr="0070741E">
        <w:rPr>
          <w:rFonts w:ascii="Times New Roman" w:eastAsia="Times New Roman" w:hAnsi="Times New Roman"/>
          <w:sz w:val="24"/>
          <w:szCs w:val="24"/>
          <w:lang w:eastAsia="pl-PL"/>
        </w:rPr>
        <w:lastRenderedPageBreak/>
        <w:t>W związku z powyższym proponuje się uzupełnienie załącznika nr 1 do ustawy o podatku akcyzowym, który zawiera wykaz wyrobów akcyzowych, o objęte podpozycją CN 3824 99 wyroby energetyczne</w:t>
      </w:r>
      <w:r w:rsidR="0070741E">
        <w:rPr>
          <w:rFonts w:ascii="Times New Roman" w:eastAsia="Times New Roman" w:hAnsi="Times New Roman"/>
          <w:sz w:val="24"/>
          <w:szCs w:val="24"/>
          <w:lang w:eastAsia="pl-PL"/>
        </w:rPr>
        <w:t xml:space="preserve"> </w:t>
      </w:r>
      <w:r w:rsidRPr="0070741E">
        <w:rPr>
          <w:rFonts w:ascii="Times New Roman" w:eastAsia="Times New Roman" w:hAnsi="Times New Roman"/>
          <w:sz w:val="24"/>
          <w:szCs w:val="24"/>
          <w:lang w:eastAsia="pl-PL"/>
        </w:rPr>
        <w:t>o kodach CN: 3824 99 86, 3824 99 92, 3824 99 93 oraz 3824 99 96 - Pozostałe produkty chemiczne i preparaty przemysłu chemicznego lub przemysłów pokrewnych (włączając te składające się z mieszanin produktów naturalnych), gdzie indziej niewymienione ani niewłączone - jeżeli są przeznaczone do celów opałowych lub napędowych. Jednocześnie</w:t>
      </w:r>
      <w:r w:rsidR="0070741E">
        <w:rPr>
          <w:rFonts w:ascii="Times New Roman" w:eastAsia="Times New Roman" w:hAnsi="Times New Roman"/>
          <w:sz w:val="24"/>
          <w:szCs w:val="24"/>
          <w:lang w:eastAsia="pl-PL"/>
        </w:rPr>
        <w:t xml:space="preserve"> </w:t>
      </w:r>
      <w:r w:rsidRPr="0070741E">
        <w:rPr>
          <w:rFonts w:ascii="Times New Roman" w:eastAsia="Times New Roman" w:hAnsi="Times New Roman"/>
          <w:sz w:val="24"/>
          <w:szCs w:val="24"/>
          <w:lang w:eastAsia="pl-PL"/>
        </w:rPr>
        <w:t xml:space="preserve">proponuje się uzupełnienie załącznika nr 2 do ustawy o podatku akcyzowym, który zawiera wykaz wyrobów akcyzowych, do których stosuje się procedurę zawieszenia poboru akcyzy i których produkcja odbywa się w składzie podatkowym, </w:t>
      </w:r>
      <w:r w:rsidR="00792429">
        <w:rPr>
          <w:rFonts w:ascii="Times New Roman" w:eastAsia="Times New Roman" w:hAnsi="Times New Roman"/>
          <w:sz w:val="24"/>
          <w:szCs w:val="24"/>
          <w:lang w:eastAsia="pl-PL"/>
        </w:rPr>
        <w:t>o </w:t>
      </w:r>
      <w:r w:rsidR="009854C4">
        <w:rPr>
          <w:rFonts w:ascii="Times New Roman" w:eastAsia="Times New Roman" w:hAnsi="Times New Roman"/>
          <w:sz w:val="24"/>
          <w:szCs w:val="24"/>
          <w:lang w:eastAsia="pl-PL"/>
        </w:rPr>
        <w:t>których mowa w </w:t>
      </w:r>
      <w:r w:rsidRPr="0070741E">
        <w:rPr>
          <w:rFonts w:ascii="Times New Roman" w:eastAsia="Times New Roman" w:hAnsi="Times New Roman"/>
          <w:sz w:val="24"/>
          <w:szCs w:val="24"/>
          <w:lang w:eastAsia="pl-PL"/>
        </w:rPr>
        <w:t>dyrektywie 2008/118/WE,</w:t>
      </w:r>
      <w:r w:rsidR="0070741E">
        <w:rPr>
          <w:rFonts w:ascii="Times New Roman" w:eastAsia="Times New Roman" w:hAnsi="Times New Roman"/>
          <w:sz w:val="24"/>
          <w:szCs w:val="24"/>
          <w:lang w:eastAsia="pl-PL"/>
        </w:rPr>
        <w:t xml:space="preserve"> </w:t>
      </w:r>
      <w:r w:rsidRPr="0070741E">
        <w:rPr>
          <w:rFonts w:ascii="Times New Roman" w:eastAsia="Times New Roman" w:hAnsi="Times New Roman"/>
          <w:sz w:val="24"/>
          <w:szCs w:val="24"/>
          <w:lang w:eastAsia="pl-PL"/>
        </w:rPr>
        <w:t>o wyroby energetyczne</w:t>
      </w:r>
      <w:r w:rsidR="0070741E">
        <w:rPr>
          <w:rFonts w:ascii="Times New Roman" w:eastAsia="Times New Roman" w:hAnsi="Times New Roman"/>
          <w:sz w:val="24"/>
          <w:szCs w:val="24"/>
          <w:lang w:eastAsia="pl-PL"/>
        </w:rPr>
        <w:t xml:space="preserve"> </w:t>
      </w:r>
      <w:r w:rsidRPr="0070741E">
        <w:rPr>
          <w:rFonts w:ascii="Times New Roman" w:eastAsia="Times New Roman" w:hAnsi="Times New Roman"/>
          <w:sz w:val="24"/>
          <w:szCs w:val="24"/>
          <w:lang w:eastAsia="pl-PL"/>
        </w:rPr>
        <w:t xml:space="preserve">o kodach CN: 3824 99 86, 3824 99 92, 3824 99 93 oraz 3824 99 96 - Pozostałe produkty chemiczne i preparaty przemysłu chemicznego lub przemysłów pokrewnych (włączając te składające się z mieszanin produktów naturalnych), gdzie indziej niewymienione ani niewłączone (wyłączając preparaty przeciwrdzewne zawierające aminy jako składniki aktywne i złożone </w:t>
      </w:r>
      <w:r w:rsidR="009854C4">
        <w:rPr>
          <w:rFonts w:ascii="Times New Roman" w:eastAsia="Times New Roman" w:hAnsi="Times New Roman"/>
          <w:sz w:val="24"/>
          <w:szCs w:val="24"/>
          <w:lang w:eastAsia="pl-PL"/>
        </w:rPr>
        <w:t>rozpuszczalniki nieorganiczne i </w:t>
      </w:r>
      <w:r w:rsidRPr="0070741E">
        <w:rPr>
          <w:rFonts w:ascii="Times New Roman" w:eastAsia="Times New Roman" w:hAnsi="Times New Roman"/>
          <w:sz w:val="24"/>
          <w:szCs w:val="24"/>
          <w:lang w:eastAsia="pl-PL"/>
        </w:rPr>
        <w:t>rozcieńczalniki do lakierów i produktów podobnych) - jeżeli są przeznaczone do celów opałowych lub napędowych. Wyłączenie z ww. kodów CN, w załączniku nr 2 preparatów przeciwrdzewnych zawierających aminy jako składniki aktywne, złożonych rozpuszczalników nieorganicznych,</w:t>
      </w:r>
      <w:r w:rsidR="0070741E">
        <w:rPr>
          <w:rFonts w:ascii="Times New Roman" w:eastAsia="Times New Roman" w:hAnsi="Times New Roman"/>
          <w:sz w:val="24"/>
          <w:szCs w:val="24"/>
          <w:lang w:eastAsia="pl-PL"/>
        </w:rPr>
        <w:t xml:space="preserve"> </w:t>
      </w:r>
      <w:r w:rsidRPr="0070741E">
        <w:rPr>
          <w:rFonts w:ascii="Times New Roman" w:eastAsia="Times New Roman" w:hAnsi="Times New Roman"/>
          <w:sz w:val="24"/>
          <w:szCs w:val="24"/>
          <w:lang w:eastAsia="pl-PL"/>
        </w:rPr>
        <w:t>rozcieńczalników do lakierów i produktów podobnych – wynika z potrzeby dostosowania treści tego załącznika do brzmienia art. 20 dyrektywy 2003/96/WE, w którym wymienione są wyroby energetyczne, które podlegają przepisom dotyczącym kontroli i przemieszczania dyrektywy 2008/118/WE.</w:t>
      </w:r>
    </w:p>
    <w:p w14:paraId="278A6CCF" w14:textId="77777777" w:rsidR="00FF44A5" w:rsidRPr="0070741E" w:rsidRDefault="00FF44A5" w:rsidP="00FF44A5">
      <w:pPr>
        <w:spacing w:after="0" w:line="360" w:lineRule="auto"/>
        <w:jc w:val="both"/>
        <w:rPr>
          <w:rFonts w:ascii="Times New Roman" w:eastAsia="Times New Roman" w:hAnsi="Times New Roman"/>
          <w:sz w:val="24"/>
          <w:szCs w:val="24"/>
          <w:lang w:eastAsia="pl-PL"/>
        </w:rPr>
      </w:pPr>
      <w:r w:rsidRPr="0070741E">
        <w:rPr>
          <w:rFonts w:ascii="Times New Roman" w:eastAsia="Times New Roman" w:hAnsi="Times New Roman"/>
          <w:sz w:val="24"/>
          <w:szCs w:val="24"/>
          <w:lang w:eastAsia="pl-PL"/>
        </w:rPr>
        <w:t>W konsekwencji uzupełnienia załącznika nr 1 i 2 do ustawy o podatku akcyzowym o ww. wyroby, konieczne</w:t>
      </w:r>
      <w:r w:rsidR="0070741E">
        <w:rPr>
          <w:rFonts w:ascii="Times New Roman" w:eastAsia="Times New Roman" w:hAnsi="Times New Roman"/>
          <w:sz w:val="24"/>
          <w:szCs w:val="24"/>
          <w:lang w:eastAsia="pl-PL"/>
        </w:rPr>
        <w:t xml:space="preserve"> </w:t>
      </w:r>
      <w:r w:rsidRPr="0070741E">
        <w:rPr>
          <w:rFonts w:ascii="Times New Roman" w:eastAsia="Times New Roman" w:hAnsi="Times New Roman"/>
          <w:sz w:val="24"/>
          <w:szCs w:val="24"/>
          <w:lang w:eastAsia="pl-PL"/>
        </w:rPr>
        <w:t>jest ujęcie tych wyrobów w katalogu wyrobów energetycznych określonym w art. 86 ust. 1 pkt 8 ustawy o podatku akcyzowym.</w:t>
      </w:r>
    </w:p>
    <w:p w14:paraId="047D1892" w14:textId="77777777" w:rsidR="009A2771" w:rsidRPr="00BB7D88" w:rsidRDefault="009A2771" w:rsidP="00BB7D88">
      <w:pPr>
        <w:spacing w:after="0" w:line="240" w:lineRule="auto"/>
        <w:rPr>
          <w:rFonts w:ascii="Times New Roman" w:hAnsi="Times New Roman"/>
          <w:sz w:val="24"/>
          <w:u w:val="single"/>
        </w:rPr>
      </w:pPr>
    </w:p>
    <w:p w14:paraId="4E244492"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u w:val="single"/>
        </w:rPr>
        <w:t xml:space="preserve">Zmiana w art. 89 ust. 1 pkt 11 </w:t>
      </w:r>
    </w:p>
    <w:p w14:paraId="60678355" w14:textId="77777777" w:rsidR="00FF44A5" w:rsidRPr="0070741E" w:rsidRDefault="004E5772" w:rsidP="00CD3D8E">
      <w:pPr>
        <w:spacing w:after="0" w:line="360" w:lineRule="auto"/>
        <w:jc w:val="both"/>
        <w:rPr>
          <w:rFonts w:ascii="Times New Roman" w:eastAsiaTheme="minorHAnsi" w:hAnsi="Times New Roman"/>
          <w:sz w:val="24"/>
          <w:szCs w:val="24"/>
        </w:rPr>
      </w:pPr>
      <w:r w:rsidRPr="0070741E">
        <w:rPr>
          <w:rFonts w:ascii="Times New Roman" w:eastAsiaTheme="minorHAnsi" w:hAnsi="Times New Roman"/>
          <w:sz w:val="24"/>
          <w:szCs w:val="24"/>
        </w:rPr>
        <w:t>Zmiana w art. 89 ust. 1 pkt 11 polega na</w:t>
      </w:r>
      <w:r w:rsidR="00FF44A5" w:rsidRPr="0070741E">
        <w:rPr>
          <w:rFonts w:ascii="Times New Roman" w:eastAsiaTheme="minorHAnsi" w:hAnsi="Times New Roman"/>
          <w:sz w:val="24"/>
          <w:szCs w:val="24"/>
        </w:rPr>
        <w:t>:</w:t>
      </w:r>
    </w:p>
    <w:p w14:paraId="7E263C1A" w14:textId="77777777" w:rsidR="006B7B7A" w:rsidRPr="0070741E" w:rsidRDefault="004E5772" w:rsidP="00BF02C9">
      <w:pPr>
        <w:pStyle w:val="Akapitzlist"/>
        <w:numPr>
          <w:ilvl w:val="0"/>
          <w:numId w:val="11"/>
        </w:numPr>
        <w:tabs>
          <w:tab w:val="left" w:pos="284"/>
        </w:tabs>
        <w:spacing w:after="0" w:line="360" w:lineRule="auto"/>
        <w:ind w:left="0" w:firstLine="0"/>
        <w:jc w:val="both"/>
        <w:rPr>
          <w:rFonts w:ascii="Times New Roman" w:hAnsi="Times New Roman"/>
          <w:sz w:val="24"/>
          <w:szCs w:val="24"/>
        </w:rPr>
      </w:pPr>
      <w:r w:rsidRPr="0070741E">
        <w:rPr>
          <w:rFonts w:ascii="Times New Roman" w:eastAsiaTheme="minorHAnsi" w:hAnsi="Times New Roman"/>
          <w:sz w:val="24"/>
          <w:szCs w:val="24"/>
        </w:rPr>
        <w:t>wprowadzeniu sta</w:t>
      </w:r>
      <w:r w:rsidR="0006147A" w:rsidRPr="0070741E">
        <w:rPr>
          <w:rFonts w:ascii="Times New Roman" w:eastAsiaTheme="minorHAnsi" w:hAnsi="Times New Roman"/>
          <w:sz w:val="24"/>
          <w:szCs w:val="24"/>
        </w:rPr>
        <w:t>wki akcyzy w wysokości 1.180,00 </w:t>
      </w:r>
      <w:r w:rsidRPr="0070741E">
        <w:rPr>
          <w:rFonts w:ascii="Times New Roman" w:eastAsiaTheme="minorHAnsi" w:hAnsi="Times New Roman"/>
          <w:sz w:val="24"/>
          <w:szCs w:val="24"/>
        </w:rPr>
        <w:t>zł/1000 litrów dla preparatów smarowych objętych pozycją CN 3403.</w:t>
      </w:r>
      <w:r w:rsidR="00FF44A5" w:rsidRPr="0070741E">
        <w:rPr>
          <w:rFonts w:ascii="Times New Roman" w:eastAsiaTheme="minorHAnsi" w:hAnsi="Times New Roman"/>
          <w:sz w:val="24"/>
          <w:szCs w:val="24"/>
        </w:rPr>
        <w:t xml:space="preserve"> </w:t>
      </w:r>
      <w:r w:rsidRPr="0070741E">
        <w:rPr>
          <w:rFonts w:ascii="Times New Roman" w:eastAsiaTheme="minorHAnsi" w:hAnsi="Times New Roman"/>
          <w:sz w:val="24"/>
          <w:szCs w:val="24"/>
        </w:rPr>
        <w:t>W obecnym stanie prawnym zgodnie z przepisami ustawy o podatku akcyzowym, stawka akcyzy na oleje smarowe mineralne klasyfikowane do pozycji CN 2710 wynosi 1180,00 zł/1000 litrów,</w:t>
      </w:r>
      <w:r w:rsidR="007D5A6F" w:rsidRPr="0070741E">
        <w:rPr>
          <w:rFonts w:ascii="Times New Roman" w:eastAsiaTheme="minorHAnsi" w:hAnsi="Times New Roman"/>
          <w:sz w:val="24"/>
          <w:szCs w:val="24"/>
        </w:rPr>
        <w:t xml:space="preserve"> </w:t>
      </w:r>
      <w:r w:rsidRPr="0070741E">
        <w:rPr>
          <w:rFonts w:ascii="Times New Roman" w:eastAsiaTheme="minorHAnsi" w:hAnsi="Times New Roman"/>
          <w:sz w:val="24"/>
          <w:szCs w:val="24"/>
        </w:rPr>
        <w:t>natomiast</w:t>
      </w:r>
      <w:r w:rsidR="007D5A6F" w:rsidRPr="0070741E">
        <w:rPr>
          <w:rFonts w:ascii="Times New Roman" w:eastAsiaTheme="minorHAnsi" w:hAnsi="Times New Roman"/>
          <w:sz w:val="24"/>
          <w:szCs w:val="24"/>
        </w:rPr>
        <w:t xml:space="preserve"> </w:t>
      </w:r>
      <w:r w:rsidRPr="0070741E">
        <w:rPr>
          <w:rFonts w:ascii="Times New Roman" w:eastAsiaTheme="minorHAnsi" w:hAnsi="Times New Roman"/>
          <w:sz w:val="24"/>
          <w:szCs w:val="24"/>
        </w:rPr>
        <w:t>na</w:t>
      </w:r>
      <w:r w:rsidR="007D5A6F" w:rsidRPr="0070741E">
        <w:rPr>
          <w:rFonts w:ascii="Times New Roman" w:eastAsiaTheme="minorHAnsi" w:hAnsi="Times New Roman"/>
          <w:sz w:val="24"/>
          <w:szCs w:val="24"/>
        </w:rPr>
        <w:t xml:space="preserve"> </w:t>
      </w:r>
      <w:r w:rsidRPr="0070741E">
        <w:rPr>
          <w:rFonts w:ascii="Times New Roman" w:eastAsiaTheme="minorHAnsi" w:hAnsi="Times New Roman"/>
          <w:sz w:val="24"/>
          <w:szCs w:val="24"/>
        </w:rPr>
        <w:t>preparaty smarowe</w:t>
      </w:r>
      <w:r w:rsidR="007D5A6F" w:rsidRPr="0070741E">
        <w:rPr>
          <w:rFonts w:ascii="Times New Roman" w:eastAsiaTheme="minorHAnsi" w:hAnsi="Times New Roman"/>
          <w:sz w:val="24"/>
          <w:szCs w:val="24"/>
        </w:rPr>
        <w:t xml:space="preserve"> </w:t>
      </w:r>
      <w:r w:rsidRPr="0070741E">
        <w:rPr>
          <w:rFonts w:ascii="Times New Roman" w:eastAsiaTheme="minorHAnsi" w:hAnsi="Times New Roman"/>
          <w:sz w:val="24"/>
          <w:szCs w:val="24"/>
        </w:rPr>
        <w:t>klas</w:t>
      </w:r>
      <w:r w:rsidR="00712E08" w:rsidRPr="0070741E">
        <w:rPr>
          <w:rFonts w:ascii="Times New Roman" w:eastAsiaTheme="minorHAnsi" w:hAnsi="Times New Roman"/>
          <w:sz w:val="24"/>
          <w:szCs w:val="24"/>
        </w:rPr>
        <w:t>yfikowane do pozycji CN 3403, o </w:t>
      </w:r>
      <w:r w:rsidRPr="0070741E">
        <w:rPr>
          <w:rFonts w:ascii="Times New Roman" w:eastAsiaTheme="minorHAnsi" w:hAnsi="Times New Roman"/>
          <w:sz w:val="24"/>
          <w:szCs w:val="24"/>
        </w:rPr>
        <w:t>ile nie są przeznaczone do celów opałowych czy napędowych wynosi 0 zł.</w:t>
      </w:r>
    </w:p>
    <w:p w14:paraId="1BDCA4B0"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lastRenderedPageBreak/>
        <w:t xml:space="preserve">Przedmiotowa zmiana ma na celu wyeliminowanie nieprawidłowości w opodatkowaniu olejów smarowych, które często są klasyfikowane jako preparaty smarowe co skutkuje zastosowaniem zerowej stawki akcyzy. </w:t>
      </w:r>
    </w:p>
    <w:p w14:paraId="7AA6B57F"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Oleje smarowe klasyfikowane do pozycji CN 2710 (mineralne) oraz preparaty smarowe klasyfikowane do pozycji CN 3403 (syntetyczne) mają podob</w:t>
      </w:r>
      <w:r w:rsidR="0006147A" w:rsidRPr="0070741E">
        <w:rPr>
          <w:rFonts w:ascii="Times New Roman" w:eastAsiaTheme="minorHAnsi" w:hAnsi="Times New Roman"/>
          <w:sz w:val="24"/>
          <w:szCs w:val="24"/>
        </w:rPr>
        <w:t>ne przeznaczenie, właściwości i </w:t>
      </w:r>
      <w:r w:rsidRPr="0070741E">
        <w:rPr>
          <w:rFonts w:ascii="Times New Roman" w:eastAsiaTheme="minorHAnsi" w:hAnsi="Times New Roman"/>
          <w:sz w:val="24"/>
          <w:szCs w:val="24"/>
        </w:rPr>
        <w:t>pełnią takie same funkcje. Pod względem</w:t>
      </w:r>
      <w:r w:rsidR="007D5A6F" w:rsidRPr="0070741E">
        <w:rPr>
          <w:rFonts w:ascii="Times New Roman" w:eastAsiaTheme="minorHAnsi" w:hAnsi="Times New Roman"/>
          <w:sz w:val="24"/>
          <w:szCs w:val="24"/>
        </w:rPr>
        <w:t xml:space="preserve"> </w:t>
      </w:r>
      <w:r w:rsidRPr="0070741E">
        <w:rPr>
          <w:rFonts w:ascii="Times New Roman" w:eastAsiaTheme="minorHAnsi" w:hAnsi="Times New Roman"/>
          <w:sz w:val="24"/>
          <w:szCs w:val="24"/>
        </w:rPr>
        <w:t xml:space="preserve">technologicznym i chemicznym oba produkty to oleje smarowe posiadające często takie same parametry fizykochemiczne i użytkowe. Obciążenie jednego z nich podatkiem akcyzowym skutkuje nieprawidłowościami zmierzającymi do obejścia obowiązku podatkowego. </w:t>
      </w:r>
    </w:p>
    <w:p w14:paraId="688DC6DD"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 xml:space="preserve">Brak efektywnego opodatkowania akcyzą preparatów smarowych klasyfikowanych w pozycji CN 3403 jest </w:t>
      </w:r>
      <w:r w:rsidR="00063592" w:rsidRPr="0070741E">
        <w:rPr>
          <w:rFonts w:ascii="Times New Roman" w:eastAsiaTheme="minorHAnsi" w:hAnsi="Times New Roman"/>
          <w:sz w:val="24"/>
          <w:szCs w:val="24"/>
        </w:rPr>
        <w:t xml:space="preserve">wykorzystywany </w:t>
      </w:r>
      <w:r w:rsidRPr="0070741E">
        <w:rPr>
          <w:rFonts w:ascii="Times New Roman" w:eastAsiaTheme="minorHAnsi" w:hAnsi="Times New Roman"/>
          <w:sz w:val="24"/>
          <w:szCs w:val="24"/>
        </w:rPr>
        <w:t xml:space="preserve">przez podmioty działające w „szarej strefie” w celu unikania obowiązku podatkowego w odniesieniu do </w:t>
      </w:r>
      <w:r w:rsidR="00063592" w:rsidRPr="0070741E">
        <w:rPr>
          <w:rFonts w:ascii="Times New Roman" w:eastAsiaTheme="minorHAnsi" w:hAnsi="Times New Roman"/>
          <w:sz w:val="24"/>
          <w:szCs w:val="24"/>
        </w:rPr>
        <w:t>olejów s</w:t>
      </w:r>
      <w:r w:rsidR="0067029C" w:rsidRPr="0070741E">
        <w:rPr>
          <w:rFonts w:ascii="Times New Roman" w:eastAsiaTheme="minorHAnsi" w:hAnsi="Times New Roman"/>
          <w:sz w:val="24"/>
          <w:szCs w:val="24"/>
        </w:rPr>
        <w:t>marowych mineralnych (bazowych)</w:t>
      </w:r>
      <w:r w:rsidRPr="0070741E">
        <w:rPr>
          <w:rFonts w:ascii="Times New Roman" w:eastAsiaTheme="minorHAnsi" w:hAnsi="Times New Roman"/>
          <w:sz w:val="24"/>
          <w:szCs w:val="24"/>
        </w:rPr>
        <w:t>. Do niskiej jakości olejów smarowych mineralnych klasyfikowanych do pozycji CN 2710 obciążonych stawką akcyzy w wysokości 1180 zł za 1000 litrów dodawane są dodatki syntetyczne czyniące go olejem syntetycznym klas</w:t>
      </w:r>
      <w:r w:rsidR="0067029C" w:rsidRPr="0070741E">
        <w:rPr>
          <w:rFonts w:ascii="Times New Roman" w:eastAsiaTheme="minorHAnsi" w:hAnsi="Times New Roman"/>
          <w:sz w:val="24"/>
          <w:szCs w:val="24"/>
        </w:rPr>
        <w:t>yfikowanym do pozycji CN 3403 i </w:t>
      </w:r>
      <w:r w:rsidRPr="0070741E">
        <w:rPr>
          <w:rFonts w:ascii="Times New Roman" w:eastAsiaTheme="minorHAnsi" w:hAnsi="Times New Roman"/>
          <w:sz w:val="24"/>
          <w:szCs w:val="24"/>
        </w:rPr>
        <w:t>niepodlegającym opodatkowaniu akcyzą.</w:t>
      </w:r>
    </w:p>
    <w:p w14:paraId="221304B2"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Ponadto, oleje smarowe charakteryzują się podobnymi właściwościami fizyko-chemicznymi jak oleje napędowe, skutkującymi tym, że oleje te mo</w:t>
      </w:r>
      <w:r w:rsidR="0006147A" w:rsidRPr="0070741E">
        <w:rPr>
          <w:rFonts w:ascii="Times New Roman" w:eastAsiaTheme="minorHAnsi" w:hAnsi="Times New Roman"/>
          <w:sz w:val="24"/>
          <w:szCs w:val="24"/>
        </w:rPr>
        <w:t>gą być stosowane zamiennie (np. </w:t>
      </w:r>
      <w:r w:rsidRPr="0070741E">
        <w:rPr>
          <w:rFonts w:ascii="Times New Roman" w:eastAsiaTheme="minorHAnsi" w:hAnsi="Times New Roman"/>
          <w:sz w:val="24"/>
          <w:szCs w:val="24"/>
        </w:rPr>
        <w:t>zastosowanie olejów smarowych do celów napędowych). Podmioty z „szarej strefy” pomimo, iż faktycznie sprzedają bądź wytwarzają dodatki do paliw lub same paliwa przeznaczone do napędu, w celu uniknięcia opodatkowania akcyzą i opłatą paliwową klasyfikują je jako preparaty smarowe do pozycji CN 3403.</w:t>
      </w:r>
    </w:p>
    <w:p w14:paraId="4EA7F688" w14:textId="77777777" w:rsidR="00FF44A5" w:rsidRPr="0070741E" w:rsidRDefault="00FF44A5" w:rsidP="00FF44A5">
      <w:pPr>
        <w:pStyle w:val="Akapitzlist"/>
        <w:numPr>
          <w:ilvl w:val="0"/>
          <w:numId w:val="11"/>
        </w:numPr>
        <w:tabs>
          <w:tab w:val="left" w:pos="284"/>
        </w:tabs>
        <w:spacing w:after="0" w:line="360" w:lineRule="auto"/>
        <w:ind w:left="0" w:firstLine="0"/>
        <w:jc w:val="both"/>
        <w:rPr>
          <w:rFonts w:ascii="Times New Roman" w:eastAsiaTheme="minorHAnsi" w:hAnsi="Times New Roman"/>
          <w:sz w:val="24"/>
          <w:szCs w:val="24"/>
        </w:rPr>
      </w:pPr>
      <w:r w:rsidRPr="0070741E">
        <w:rPr>
          <w:rFonts w:ascii="Times New Roman" w:eastAsiaTheme="minorHAnsi" w:hAnsi="Times New Roman"/>
          <w:sz w:val="24"/>
          <w:szCs w:val="24"/>
        </w:rPr>
        <w:t xml:space="preserve">objęciu olejów smarowych z dodatkiem biodiesla klasyfikowanych do kodu CN 2710 20 90, podobnie jak miało to miejsce przed dniem 1 stycznia 2019 r., takimi samymi zasadami opodatkowania, jakie przewidziane są w przypadku olejów smarowych klasyfikowanych do kodów CN od 2710 19 71 do 2710 19 99. W ustawie z dnia 9 listopada 2018 r. o zmianie niektórych ustaw w celu wprowadzenia uproszczeń dla przedsiębiorców w prawie podatkowym i gospodarczym, która weszła w życie z dniem 1 stycznia 2019 r., zwanej dalej ustawą </w:t>
      </w:r>
      <w:proofErr w:type="spellStart"/>
      <w:r w:rsidRPr="0070741E">
        <w:rPr>
          <w:rFonts w:ascii="Times New Roman" w:eastAsiaTheme="minorHAnsi" w:hAnsi="Times New Roman"/>
          <w:sz w:val="24"/>
          <w:szCs w:val="24"/>
        </w:rPr>
        <w:t>uproszczeniową</w:t>
      </w:r>
      <w:proofErr w:type="spellEnd"/>
      <w:r w:rsidRPr="0070741E">
        <w:rPr>
          <w:rFonts w:ascii="Times New Roman" w:eastAsiaTheme="minorHAnsi" w:hAnsi="Times New Roman"/>
          <w:sz w:val="24"/>
          <w:szCs w:val="24"/>
        </w:rPr>
        <w:t>, przewidziano zastąpienie stosowanych w ustawie o podatku akcyzowym kodów Nomenklatury Scalonej (CN) obow</w:t>
      </w:r>
      <w:r w:rsidR="00792429">
        <w:rPr>
          <w:rFonts w:ascii="Times New Roman" w:eastAsiaTheme="minorHAnsi" w:hAnsi="Times New Roman"/>
          <w:sz w:val="24"/>
          <w:szCs w:val="24"/>
        </w:rPr>
        <w:t>iązujących w momencie wejścia w </w:t>
      </w:r>
      <w:r w:rsidRPr="0070741E">
        <w:rPr>
          <w:rFonts w:ascii="Times New Roman" w:eastAsiaTheme="minorHAnsi" w:hAnsi="Times New Roman"/>
          <w:sz w:val="24"/>
          <w:szCs w:val="24"/>
        </w:rPr>
        <w:t>życie ustawy o podatku akcyzowym, koda</w:t>
      </w:r>
      <w:r w:rsidR="00792429">
        <w:rPr>
          <w:rFonts w:ascii="Times New Roman" w:eastAsiaTheme="minorHAnsi" w:hAnsi="Times New Roman"/>
          <w:sz w:val="24"/>
          <w:szCs w:val="24"/>
        </w:rPr>
        <w:t>mi CN obecnie obowiązującymi. W </w:t>
      </w:r>
      <w:r w:rsidRPr="0070741E">
        <w:rPr>
          <w:rFonts w:ascii="Times New Roman" w:eastAsiaTheme="minorHAnsi" w:hAnsi="Times New Roman"/>
          <w:sz w:val="24"/>
          <w:szCs w:val="24"/>
        </w:rPr>
        <w:t xml:space="preserve">konsekwencji wprowadzenia z dniem 1 stycznia 2019 r. ustawą </w:t>
      </w:r>
      <w:proofErr w:type="spellStart"/>
      <w:r w:rsidRPr="0070741E">
        <w:rPr>
          <w:rFonts w:ascii="Times New Roman" w:eastAsiaTheme="minorHAnsi" w:hAnsi="Times New Roman"/>
          <w:sz w:val="24"/>
          <w:szCs w:val="24"/>
        </w:rPr>
        <w:t>uproszczeniową</w:t>
      </w:r>
      <w:proofErr w:type="spellEnd"/>
      <w:r w:rsidR="0070741E">
        <w:rPr>
          <w:rFonts w:ascii="Times New Roman" w:eastAsiaTheme="minorHAnsi" w:hAnsi="Times New Roman"/>
          <w:sz w:val="24"/>
          <w:szCs w:val="24"/>
        </w:rPr>
        <w:t xml:space="preserve"> </w:t>
      </w:r>
      <w:r w:rsidR="00792429">
        <w:rPr>
          <w:rFonts w:ascii="Times New Roman" w:eastAsiaTheme="minorHAnsi" w:hAnsi="Times New Roman"/>
          <w:sz w:val="24"/>
          <w:szCs w:val="24"/>
        </w:rPr>
        <w:t xml:space="preserve">zmian </w:t>
      </w:r>
      <w:r w:rsidR="00792429">
        <w:rPr>
          <w:rFonts w:ascii="Times New Roman" w:eastAsiaTheme="minorHAnsi" w:hAnsi="Times New Roman"/>
          <w:sz w:val="24"/>
          <w:szCs w:val="24"/>
        </w:rPr>
        <w:lastRenderedPageBreak/>
        <w:t>w </w:t>
      </w:r>
      <w:r w:rsidRPr="0070741E">
        <w:rPr>
          <w:rFonts w:ascii="Times New Roman" w:eastAsiaTheme="minorHAnsi" w:hAnsi="Times New Roman"/>
          <w:sz w:val="24"/>
          <w:szCs w:val="24"/>
        </w:rPr>
        <w:t xml:space="preserve">ustawie o podatku akcyzowym, w załączniku nr 2 do ustawy o podatku akcyzowym wymienione są oleje zawierające biodiesel w ilości większej niż 0,5%, klasyfikowane do kodu CN 2710 20 90. Ustawa </w:t>
      </w:r>
      <w:proofErr w:type="spellStart"/>
      <w:r w:rsidRPr="0070741E">
        <w:rPr>
          <w:rFonts w:ascii="Times New Roman" w:eastAsiaTheme="minorHAnsi" w:hAnsi="Times New Roman"/>
          <w:sz w:val="24"/>
          <w:szCs w:val="24"/>
        </w:rPr>
        <w:t>uproszczeniowa</w:t>
      </w:r>
      <w:proofErr w:type="spellEnd"/>
      <w:r w:rsidRPr="0070741E">
        <w:rPr>
          <w:rFonts w:ascii="Times New Roman" w:eastAsiaTheme="minorHAnsi" w:hAnsi="Times New Roman"/>
          <w:sz w:val="24"/>
          <w:szCs w:val="24"/>
        </w:rPr>
        <w:t xml:space="preserve"> nie przewidziała jednak</w:t>
      </w:r>
      <w:r w:rsidR="0070741E">
        <w:rPr>
          <w:rFonts w:ascii="Times New Roman" w:eastAsiaTheme="minorHAnsi" w:hAnsi="Times New Roman"/>
          <w:sz w:val="24"/>
          <w:szCs w:val="24"/>
        </w:rPr>
        <w:t xml:space="preserve"> </w:t>
      </w:r>
      <w:r w:rsidRPr="0070741E">
        <w:rPr>
          <w:rFonts w:ascii="Times New Roman" w:eastAsiaTheme="minorHAnsi" w:hAnsi="Times New Roman"/>
          <w:sz w:val="24"/>
          <w:szCs w:val="24"/>
        </w:rPr>
        <w:t xml:space="preserve">zmiany art. 89 ust. 1 pkt 11 ustawy o podatku akcyzowym poprzez dodanie do kodów CN olejów smarowych wymienionych w tym przepisie również kodu CN 2710 20 90. </w:t>
      </w:r>
    </w:p>
    <w:p w14:paraId="1CA99F64" w14:textId="77777777" w:rsidR="00FF44A5" w:rsidRPr="0070741E" w:rsidRDefault="00FF44A5" w:rsidP="00FF44A5">
      <w:pPr>
        <w:spacing w:after="0" w:line="360" w:lineRule="auto"/>
        <w:jc w:val="both"/>
        <w:rPr>
          <w:rFonts w:ascii="Times New Roman" w:eastAsiaTheme="minorHAnsi" w:hAnsi="Times New Roman"/>
          <w:sz w:val="24"/>
          <w:szCs w:val="24"/>
        </w:rPr>
      </w:pPr>
      <w:r w:rsidRPr="0070741E">
        <w:rPr>
          <w:rFonts w:ascii="Times New Roman" w:eastAsiaTheme="minorHAnsi" w:hAnsi="Times New Roman"/>
          <w:sz w:val="24"/>
          <w:szCs w:val="24"/>
        </w:rPr>
        <w:t>Do kodu CN 2710 20 90 Nomenklatury Scalonej są klasyfikowane m.in. oleje smarowe zawierające biodiesel. Oleje smarowe, które nie zawiera</w:t>
      </w:r>
      <w:r w:rsidR="00422F24" w:rsidRPr="0070741E">
        <w:rPr>
          <w:rFonts w:ascii="Times New Roman" w:eastAsiaTheme="minorHAnsi" w:hAnsi="Times New Roman"/>
          <w:sz w:val="24"/>
          <w:szCs w:val="24"/>
        </w:rPr>
        <w:t>ją biodiesla klasyfikowane są w </w:t>
      </w:r>
      <w:r w:rsidRPr="0070741E">
        <w:rPr>
          <w:rFonts w:ascii="Times New Roman" w:eastAsiaTheme="minorHAnsi" w:hAnsi="Times New Roman"/>
          <w:sz w:val="24"/>
          <w:szCs w:val="24"/>
        </w:rPr>
        <w:t>podpozycji 2710 19 (zakres kodów CN od 2710 19 71 do 2710 19 99) - zatem oleje smarowe klasyfikowane do podpozycji 2710 19 i podpozycji 2710 20 różnią się jedynie tym, że te ostatnie zawierają biodiesel. Zgodnie z postanowieniami uwagi d</w:t>
      </w:r>
      <w:r w:rsidR="00422F24" w:rsidRPr="0070741E">
        <w:rPr>
          <w:rFonts w:ascii="Times New Roman" w:eastAsiaTheme="minorHAnsi" w:hAnsi="Times New Roman"/>
          <w:sz w:val="24"/>
          <w:szCs w:val="24"/>
        </w:rPr>
        <w:t>odatkowej 2 (g) do działu 27 „…</w:t>
      </w:r>
      <w:r w:rsidRPr="0070741E">
        <w:rPr>
          <w:rFonts w:ascii="Times New Roman" w:eastAsiaTheme="minorHAnsi" w:hAnsi="Times New Roman"/>
          <w:sz w:val="24"/>
          <w:szCs w:val="24"/>
        </w:rPr>
        <w:t xml:space="preserve">zawierający biodiesel” oznacza, że produkty objęte podpozycją 2710 20 mają minimalną zawartość biodiesla, tj. </w:t>
      </w:r>
      <w:proofErr w:type="spellStart"/>
      <w:r w:rsidRPr="0070741E">
        <w:rPr>
          <w:rFonts w:ascii="Times New Roman" w:eastAsiaTheme="minorHAnsi" w:hAnsi="Times New Roman"/>
          <w:sz w:val="24"/>
          <w:szCs w:val="24"/>
        </w:rPr>
        <w:t>monoalkilowych</w:t>
      </w:r>
      <w:proofErr w:type="spellEnd"/>
      <w:r w:rsidRPr="0070741E">
        <w:rPr>
          <w:rFonts w:ascii="Times New Roman" w:eastAsiaTheme="minorHAnsi" w:hAnsi="Times New Roman"/>
          <w:sz w:val="24"/>
          <w:szCs w:val="24"/>
        </w:rPr>
        <w:t xml:space="preserve"> estrów kwasów tłuszczowych (FAMAE) w rodzaju stosowanych jako paliwo, 0,5 % obliczoną objętościowo (oznaczenie metodą EN 14078)”. </w:t>
      </w:r>
    </w:p>
    <w:p w14:paraId="32548CF4" w14:textId="77777777" w:rsidR="00FF44A5" w:rsidRPr="0070741E" w:rsidRDefault="00FF44A5" w:rsidP="00FF44A5">
      <w:pPr>
        <w:spacing w:after="0" w:line="360" w:lineRule="auto"/>
        <w:jc w:val="both"/>
        <w:rPr>
          <w:rFonts w:ascii="Times New Roman" w:hAnsi="Times New Roman"/>
          <w:sz w:val="24"/>
          <w:szCs w:val="24"/>
        </w:rPr>
      </w:pPr>
      <w:r w:rsidRPr="0070741E">
        <w:rPr>
          <w:rFonts w:ascii="Times New Roman" w:eastAsiaTheme="minorHAnsi" w:hAnsi="Times New Roman"/>
          <w:sz w:val="24"/>
          <w:szCs w:val="24"/>
        </w:rPr>
        <w:t>W celu przeciwdziałania unikaniu opodatkowania olejów smarowych poprzez dodanie niewielkich ilości biodiesla skutkującego zaklasyfikowaniem tak otrzymanych wyrobów do kodu CN 2710 20 90 proponuje się objęcie olejów smarowych z dodatkiem biodiesla regulacjami akcyzowymi właściwymi dla olejów smarowych klasyfikowanych do kodów CN od 2710 19 71 do 2710 19 99.</w:t>
      </w:r>
    </w:p>
    <w:p w14:paraId="4479A8C7" w14:textId="77777777" w:rsidR="00894AF4" w:rsidRPr="0070741E" w:rsidRDefault="00894AF4" w:rsidP="00894AF4">
      <w:pPr>
        <w:spacing w:after="0" w:line="360" w:lineRule="auto"/>
        <w:jc w:val="both"/>
        <w:rPr>
          <w:rFonts w:ascii="Times New Roman" w:hAnsi="Times New Roman"/>
          <w:sz w:val="24"/>
          <w:szCs w:val="24"/>
        </w:rPr>
      </w:pPr>
      <w:r>
        <w:rPr>
          <w:rFonts w:ascii="Times New Roman" w:eastAsiaTheme="minorHAnsi" w:hAnsi="Times New Roman"/>
          <w:sz w:val="24"/>
          <w:szCs w:val="24"/>
        </w:rPr>
        <w:t xml:space="preserve">Jednocześnie proponuje się wyłączenie z opodatkowania akcyzą smarów plastycznych objętych pozycją CN 3403, podobnie jak ma to miejsce w przypadku smarów plastycznych zaliczanych do kodu CN 2710 19 99. Zarówno wyroby klasyfikowane do kodu  CN 2710 19 99 jak i objęte pozycją CN 3403, które mogą stanowić smary plastyczne, stanowią bardzo specyficzną i charakterystyczną grupę wyrobów cechujących się analogicznymi właściwościami fizykochemicznymi, w tym dużą gęstością oraz podobnym zastosowaniem. Obie grupy wyrobów powinny być zatem traktowane jednakowo. Należy zauważyć, że do tej pory opodatkowaniu akcyzą nie podlegały i nie podlegają smary plastyczne klasyfikowane do kodu  CN 2710 19 99, obejmującego pozostałe oleje smarowe i pozostałe oleje. Skoro do tej pory nie było problemów z wydzieleniem smarów plastycznych z tak szerokiej grupy towarowej jaką są pozostałe oleje, to nie powinno być również problemów z wydzieleniem ich w ramach pozycji 3403. </w:t>
      </w:r>
    </w:p>
    <w:p w14:paraId="70B04D5F" w14:textId="77777777" w:rsidR="006B7B7A" w:rsidRDefault="006B7B7A" w:rsidP="00CD3D8E">
      <w:pPr>
        <w:spacing w:after="0" w:line="360" w:lineRule="auto"/>
        <w:jc w:val="both"/>
        <w:rPr>
          <w:rFonts w:ascii="Times New Roman" w:eastAsiaTheme="minorHAnsi" w:hAnsi="Times New Roman"/>
          <w:sz w:val="24"/>
          <w:szCs w:val="24"/>
        </w:rPr>
      </w:pPr>
    </w:p>
    <w:p w14:paraId="36952275" w14:textId="77777777" w:rsidR="00745424" w:rsidRPr="00745424" w:rsidRDefault="00A83316" w:rsidP="00745424">
      <w:pPr>
        <w:spacing w:after="0" w:line="360" w:lineRule="auto"/>
        <w:jc w:val="both"/>
        <w:rPr>
          <w:rFonts w:ascii="Times New Roman" w:hAnsi="Times New Roman"/>
          <w:b/>
          <w:sz w:val="24"/>
          <w:szCs w:val="24"/>
          <w:u w:val="single"/>
        </w:rPr>
      </w:pPr>
      <w:r>
        <w:rPr>
          <w:rFonts w:ascii="Times New Roman" w:hAnsi="Times New Roman"/>
          <w:b/>
          <w:sz w:val="24"/>
          <w:szCs w:val="24"/>
        </w:rPr>
        <w:lastRenderedPageBreak/>
        <w:t xml:space="preserve">V. </w:t>
      </w:r>
      <w:r w:rsidR="00745424" w:rsidRPr="00745424">
        <w:rPr>
          <w:rFonts w:ascii="Times New Roman" w:hAnsi="Times New Roman"/>
          <w:b/>
          <w:sz w:val="24"/>
          <w:szCs w:val="24"/>
        </w:rPr>
        <w:t>Zmian</w:t>
      </w:r>
      <w:r>
        <w:rPr>
          <w:rFonts w:ascii="Times New Roman" w:hAnsi="Times New Roman"/>
          <w:b/>
          <w:sz w:val="24"/>
          <w:szCs w:val="24"/>
        </w:rPr>
        <w:t>y</w:t>
      </w:r>
      <w:r w:rsidR="00745424" w:rsidRPr="00745424">
        <w:rPr>
          <w:rFonts w:ascii="Times New Roman" w:hAnsi="Times New Roman"/>
          <w:b/>
          <w:sz w:val="24"/>
          <w:szCs w:val="24"/>
        </w:rPr>
        <w:t xml:space="preserve"> </w:t>
      </w:r>
      <w:r>
        <w:rPr>
          <w:rFonts w:ascii="Times New Roman" w:hAnsi="Times New Roman"/>
          <w:b/>
          <w:sz w:val="24"/>
          <w:szCs w:val="24"/>
        </w:rPr>
        <w:t xml:space="preserve">w </w:t>
      </w:r>
      <w:r w:rsidR="00745424" w:rsidRPr="00745424">
        <w:rPr>
          <w:rFonts w:ascii="Times New Roman" w:hAnsi="Times New Roman"/>
          <w:b/>
          <w:sz w:val="24"/>
          <w:szCs w:val="24"/>
        </w:rPr>
        <w:t>ustaw</w:t>
      </w:r>
      <w:r>
        <w:rPr>
          <w:rFonts w:ascii="Times New Roman" w:hAnsi="Times New Roman"/>
          <w:b/>
          <w:sz w:val="24"/>
          <w:szCs w:val="24"/>
        </w:rPr>
        <w:t>ie</w:t>
      </w:r>
      <w:r w:rsidR="00745424" w:rsidRPr="00745424">
        <w:rPr>
          <w:rFonts w:ascii="Times New Roman" w:hAnsi="Times New Roman"/>
          <w:b/>
          <w:sz w:val="24"/>
          <w:szCs w:val="24"/>
        </w:rPr>
        <w:t xml:space="preserve"> o zmianie ustawy o podatku akcyzowym oraz ustawy – Prawo celne oraz zmiana art. 164 ustawy o podatku akcyzowym </w:t>
      </w:r>
    </w:p>
    <w:p w14:paraId="1257C08B" w14:textId="77777777" w:rsidR="00745424" w:rsidRPr="00745424" w:rsidRDefault="00745424" w:rsidP="00745424">
      <w:pPr>
        <w:spacing w:after="0" w:line="240" w:lineRule="auto"/>
        <w:jc w:val="both"/>
        <w:rPr>
          <w:rFonts w:ascii="Times New Roman" w:hAnsi="Times New Roman"/>
          <w:sz w:val="24"/>
          <w:szCs w:val="24"/>
        </w:rPr>
      </w:pPr>
    </w:p>
    <w:p w14:paraId="4B824666" w14:textId="07A11976" w:rsidR="00745424" w:rsidRPr="00745424" w:rsidRDefault="00745424" w:rsidP="00745424">
      <w:pPr>
        <w:spacing w:after="0" w:line="360" w:lineRule="auto"/>
        <w:jc w:val="both"/>
        <w:rPr>
          <w:sz w:val="24"/>
          <w:szCs w:val="24"/>
        </w:rPr>
      </w:pPr>
      <w:r w:rsidRPr="00745424">
        <w:rPr>
          <w:rFonts w:ascii="Times New Roman" w:hAnsi="Times New Roman"/>
          <w:sz w:val="24"/>
          <w:szCs w:val="24"/>
        </w:rPr>
        <w:t xml:space="preserve">Na podstawie </w:t>
      </w:r>
      <w:r w:rsidRPr="00745424">
        <w:rPr>
          <w:rFonts w:ascii="Times New Roman" w:hAnsi="Times New Roman"/>
          <w:i/>
          <w:sz w:val="24"/>
          <w:szCs w:val="24"/>
        </w:rPr>
        <w:t xml:space="preserve">ustawy o zmianie ustawy o podatku akcyzowym oraz ustawy - Prawo celne </w:t>
      </w:r>
      <w:r w:rsidRPr="00745424">
        <w:rPr>
          <w:rFonts w:ascii="Times New Roman" w:hAnsi="Times New Roman"/>
          <w:sz w:val="24"/>
          <w:szCs w:val="24"/>
        </w:rPr>
        <w:t xml:space="preserve">wprowadzono w ustawie o podatku akcyzowym w art. </w:t>
      </w:r>
      <w:r w:rsidRPr="00745424">
        <w:rPr>
          <w:rFonts w:ascii="Times New Roman" w:hAnsi="Times New Roman"/>
          <w:bCs/>
          <w:sz w:val="24"/>
          <w:szCs w:val="24"/>
        </w:rPr>
        <w:t>89</w:t>
      </w:r>
      <w:r w:rsidRPr="00745424">
        <w:rPr>
          <w:rFonts w:ascii="Times New Roman" w:hAnsi="Times New Roman"/>
          <w:sz w:val="24"/>
          <w:szCs w:val="24"/>
        </w:rPr>
        <w:t xml:space="preserve"> ust. 1 pkt 12 lit. aa zerową stawkę akcyzy dla gazu ziemnego przeznaczonego do napędu silników spalinowych, tj. skroplonego gazu ziemnego (LNG) oraz sprężonego gazu ziemnego (CNG). Chociaż regulacja weszła w życie w dniu 1 stycznia 2019 r. to zgodnie</w:t>
      </w:r>
      <w:r w:rsidR="00E93E24">
        <w:rPr>
          <w:rFonts w:ascii="Times New Roman" w:hAnsi="Times New Roman"/>
          <w:sz w:val="24"/>
          <w:szCs w:val="24"/>
        </w:rPr>
        <w:t xml:space="preserve"> </w:t>
      </w:r>
      <w:r w:rsidRPr="00745424">
        <w:rPr>
          <w:rFonts w:ascii="Times New Roman" w:hAnsi="Times New Roman"/>
          <w:sz w:val="24"/>
          <w:szCs w:val="24"/>
        </w:rPr>
        <w:t xml:space="preserve">do art. 3 ww. ustawy zmieniającej jej stosowanie będzie możliwe dopiero od dnia ogłoszenia pozytywnej decyzji Komisji Europejskiej o zgodności pomocy publicznej przewidzianej w tym przepisie ze wspólnym rynkiem, w okresie jej obowiązywania, albo stwierdzenia przez Komisję Europejską, że przepis ten nie przewiduje pomocy publicznej. </w:t>
      </w:r>
    </w:p>
    <w:p w14:paraId="5FD38FD8" w14:textId="716A001D" w:rsidR="00745424" w:rsidRPr="00745424" w:rsidRDefault="00745424" w:rsidP="00745424">
      <w:pPr>
        <w:spacing w:after="0" w:line="360" w:lineRule="auto"/>
        <w:jc w:val="both"/>
        <w:rPr>
          <w:rFonts w:ascii="Times New Roman" w:hAnsi="Times New Roman"/>
          <w:sz w:val="24"/>
          <w:szCs w:val="24"/>
        </w:rPr>
      </w:pPr>
      <w:r w:rsidRPr="00745424">
        <w:rPr>
          <w:rFonts w:ascii="Times New Roman" w:hAnsi="Times New Roman"/>
          <w:sz w:val="24"/>
          <w:szCs w:val="24"/>
        </w:rPr>
        <w:t xml:space="preserve">We wrześniu 2018 r. w ramach </w:t>
      </w:r>
      <w:proofErr w:type="spellStart"/>
      <w:r w:rsidRPr="00745424">
        <w:rPr>
          <w:rFonts w:ascii="Times New Roman" w:hAnsi="Times New Roman"/>
          <w:sz w:val="24"/>
          <w:szCs w:val="24"/>
        </w:rPr>
        <w:t>prenotyfikacji</w:t>
      </w:r>
      <w:proofErr w:type="spellEnd"/>
      <w:r w:rsidRPr="00745424">
        <w:rPr>
          <w:rFonts w:ascii="Times New Roman" w:hAnsi="Times New Roman"/>
          <w:sz w:val="24"/>
          <w:szCs w:val="24"/>
        </w:rPr>
        <w:t xml:space="preserve"> zgłoszono Komisji Europejskiej</w:t>
      </w:r>
      <w:r w:rsidR="00E93E24">
        <w:rPr>
          <w:rFonts w:ascii="Times New Roman" w:hAnsi="Times New Roman"/>
          <w:sz w:val="24"/>
          <w:szCs w:val="24"/>
        </w:rPr>
        <w:t xml:space="preserve"> </w:t>
      </w:r>
      <w:r w:rsidRPr="00745424">
        <w:rPr>
          <w:rFonts w:ascii="Times New Roman" w:hAnsi="Times New Roman"/>
          <w:sz w:val="24"/>
          <w:szCs w:val="24"/>
        </w:rPr>
        <w:t>ww. regulację, jak również przepis art. 164 ustawy o podatku akcyzowym wprowadzony do ustawy w dniu 1 marca 2009 r.</w:t>
      </w:r>
      <w:r w:rsidR="00E93E24">
        <w:rPr>
          <w:rFonts w:ascii="Times New Roman" w:hAnsi="Times New Roman"/>
          <w:sz w:val="24"/>
          <w:szCs w:val="24"/>
        </w:rPr>
        <w:t xml:space="preserve"> </w:t>
      </w:r>
      <w:r w:rsidRPr="00745424">
        <w:rPr>
          <w:rFonts w:ascii="Times New Roman" w:hAnsi="Times New Roman"/>
          <w:sz w:val="24"/>
          <w:szCs w:val="24"/>
        </w:rPr>
        <w:t xml:space="preserve">przewidujący zerową stawkę akcyzy dla biogazu, wodoru i </w:t>
      </w:r>
      <w:proofErr w:type="spellStart"/>
      <w:r w:rsidRPr="00745424">
        <w:rPr>
          <w:rFonts w:ascii="Times New Roman" w:hAnsi="Times New Roman"/>
          <w:sz w:val="24"/>
          <w:szCs w:val="24"/>
        </w:rPr>
        <w:t>biowodoru</w:t>
      </w:r>
      <w:proofErr w:type="spellEnd"/>
      <w:r w:rsidRPr="00745424">
        <w:rPr>
          <w:rFonts w:ascii="Times New Roman" w:hAnsi="Times New Roman"/>
          <w:sz w:val="24"/>
          <w:szCs w:val="24"/>
        </w:rPr>
        <w:t xml:space="preserve"> używanych do napędu silników spalinowych, który uzależnia stosowanie zerowej stawki akcyzy wyrażonej w art. 89 ust. 1 pkt 12 lit. b </w:t>
      </w:r>
      <w:r w:rsidR="00DA287C" w:rsidRPr="00745424">
        <w:rPr>
          <w:rFonts w:ascii="Times New Roman" w:hAnsi="Times New Roman"/>
          <w:sz w:val="24"/>
          <w:szCs w:val="24"/>
        </w:rPr>
        <w:t xml:space="preserve">ustawy o podatku akcyzowym </w:t>
      </w:r>
      <w:r w:rsidRPr="00745424">
        <w:rPr>
          <w:rFonts w:ascii="Times New Roman" w:hAnsi="Times New Roman"/>
          <w:sz w:val="24"/>
          <w:szCs w:val="24"/>
        </w:rPr>
        <w:t xml:space="preserve">od dnia ogłoszenia pozytywnej decyzji Komisji Europejskiej o zgodności pomocy publicznej przewidzianej w tym przepisie ze wspólnym rynkiem. </w:t>
      </w:r>
    </w:p>
    <w:p w14:paraId="524234AC" w14:textId="502ACEB7" w:rsidR="00F455FD" w:rsidRPr="00094759" w:rsidRDefault="00F455FD" w:rsidP="00F455FD">
      <w:pPr>
        <w:pStyle w:val="tyt"/>
        <w:spacing w:before="0" w:after="0" w:line="360" w:lineRule="auto"/>
        <w:jc w:val="both"/>
        <w:rPr>
          <w:b w:val="0"/>
          <w:bCs/>
          <w:color w:val="000000"/>
          <w:szCs w:val="24"/>
        </w:rPr>
      </w:pPr>
      <w:r>
        <w:rPr>
          <w:b w:val="0"/>
          <w:szCs w:val="24"/>
        </w:rPr>
        <w:t>Wyjaśnić należy, że o</w:t>
      </w:r>
      <w:r w:rsidRPr="00094759">
        <w:rPr>
          <w:b w:val="0"/>
          <w:szCs w:val="24"/>
        </w:rPr>
        <w:t xml:space="preserve">bjęcie przedmiotową regulacją art. 89 ust. 1 pkt 12 lit. b ustawy o podatku akcyzowym wynika z faktu, że określona w tym przepisie zerowa stawka akcyzy dla biogazu, wodoru i </w:t>
      </w:r>
      <w:proofErr w:type="spellStart"/>
      <w:r w:rsidRPr="00094759">
        <w:rPr>
          <w:b w:val="0"/>
          <w:szCs w:val="24"/>
        </w:rPr>
        <w:t>biowodoru</w:t>
      </w:r>
      <w:proofErr w:type="spellEnd"/>
      <w:r w:rsidRPr="00094759">
        <w:rPr>
          <w:b w:val="0"/>
          <w:szCs w:val="24"/>
        </w:rPr>
        <w:t xml:space="preserve"> - przeznaczonych do napędu silników spalinowych, uzależniona, stosownie do </w:t>
      </w:r>
      <w:r>
        <w:rPr>
          <w:b w:val="0"/>
          <w:szCs w:val="24"/>
        </w:rPr>
        <w:t xml:space="preserve">dotychczasowego brzmienia </w:t>
      </w:r>
      <w:r w:rsidRPr="00094759">
        <w:rPr>
          <w:b w:val="0"/>
          <w:szCs w:val="24"/>
        </w:rPr>
        <w:t xml:space="preserve">art.164 ust.2, od ogłoszenia pozytywnej decyzji Komisji Europejskiej o zgodności pomocy publicznej ze wspólnym rynkiem, nie była </w:t>
      </w:r>
      <w:r>
        <w:rPr>
          <w:b w:val="0"/>
          <w:szCs w:val="24"/>
        </w:rPr>
        <w:t>nigdy</w:t>
      </w:r>
      <w:r w:rsidR="00E93E24">
        <w:rPr>
          <w:b w:val="0"/>
          <w:szCs w:val="24"/>
        </w:rPr>
        <w:t xml:space="preserve"> </w:t>
      </w:r>
      <w:r w:rsidRPr="00094759">
        <w:rPr>
          <w:b w:val="0"/>
          <w:szCs w:val="24"/>
        </w:rPr>
        <w:t xml:space="preserve">stosowana z uwagi na brak ww. decyzji Komisji Europejskiej. </w:t>
      </w:r>
    </w:p>
    <w:p w14:paraId="50EB9734" w14:textId="77777777" w:rsidR="00745424" w:rsidRPr="00745424" w:rsidRDefault="00745424" w:rsidP="00745424">
      <w:pPr>
        <w:spacing w:after="0" w:line="360" w:lineRule="auto"/>
        <w:jc w:val="both"/>
        <w:rPr>
          <w:rFonts w:ascii="Times New Roman" w:hAnsi="Times New Roman"/>
          <w:sz w:val="24"/>
          <w:szCs w:val="24"/>
        </w:rPr>
      </w:pPr>
      <w:r w:rsidRPr="00745424">
        <w:rPr>
          <w:rFonts w:ascii="Times New Roman" w:hAnsi="Times New Roman"/>
          <w:sz w:val="24"/>
          <w:szCs w:val="24"/>
        </w:rPr>
        <w:t xml:space="preserve">W trakcie roboczych konsultacji z Komisją Europejską ustalono, że ww. preferencje podatkowe wchodzą w zakres art. 44 tzw. rozporządzenia ogólnego w sprawie </w:t>
      </w:r>
      <w:proofErr w:type="spellStart"/>
      <w:r w:rsidRPr="00745424">
        <w:rPr>
          <w:rFonts w:ascii="Times New Roman" w:hAnsi="Times New Roman"/>
          <w:sz w:val="24"/>
          <w:szCs w:val="24"/>
        </w:rPr>
        <w:t>wyłączeń</w:t>
      </w:r>
      <w:proofErr w:type="spellEnd"/>
      <w:r w:rsidRPr="00745424">
        <w:rPr>
          <w:rFonts w:ascii="Times New Roman" w:hAnsi="Times New Roman"/>
          <w:sz w:val="24"/>
          <w:szCs w:val="24"/>
        </w:rPr>
        <w:t xml:space="preserve"> blokowych, </w:t>
      </w:r>
      <w:r w:rsidRPr="00745424">
        <w:rPr>
          <w:rFonts w:ascii="Times New Roman" w:hAnsi="Times New Roman"/>
          <w:sz w:val="24"/>
          <w:szCs w:val="24"/>
        </w:rPr>
        <w:br/>
        <w:t xml:space="preserve">tj. </w:t>
      </w:r>
      <w:r w:rsidRPr="00745424">
        <w:rPr>
          <w:rFonts w:ascii="Times New Roman" w:hAnsi="Times New Roman"/>
          <w:i/>
          <w:sz w:val="24"/>
          <w:szCs w:val="24"/>
        </w:rPr>
        <w:t xml:space="preserve">Rozporządzenia Komisji (UE) nr 651/2014 z dnia 17 czerwca 2014 r. uznającego niektóre rodzaje pomocy za zgodne z rynkiem wewnętrznym w zastosowaniu art. 107 i 108 Traktatu </w:t>
      </w:r>
      <w:r w:rsidRPr="00745424">
        <w:rPr>
          <w:rFonts w:ascii="Times New Roman" w:hAnsi="Times New Roman"/>
          <w:i/>
          <w:sz w:val="24"/>
          <w:szCs w:val="24"/>
        </w:rPr>
        <w:br/>
        <w:t>(Dz. Urz. UE L 187 z 26.06.2014, str. 1, z późn. zm.1)</w:t>
      </w:r>
      <w:r w:rsidRPr="00745424">
        <w:rPr>
          <w:rFonts w:ascii="Times New Roman" w:hAnsi="Times New Roman"/>
          <w:sz w:val="24"/>
          <w:szCs w:val="24"/>
        </w:rPr>
        <w:t xml:space="preserve">. Z tego względu w celu wdrożenia ww. preferencji podatkowych strona polska powinna skorzystać z procedury wynikającej z ww. </w:t>
      </w:r>
      <w:r w:rsidRPr="00745424">
        <w:rPr>
          <w:rFonts w:ascii="Times New Roman" w:hAnsi="Times New Roman"/>
          <w:sz w:val="24"/>
          <w:szCs w:val="24"/>
        </w:rPr>
        <w:lastRenderedPageBreak/>
        <w:t xml:space="preserve">rozporządzenia unijnego i na jego podstawie przekazać Komisji Europejskiej informację na temat omawianego środka pomocy. </w:t>
      </w:r>
    </w:p>
    <w:p w14:paraId="7914953B" w14:textId="77777777" w:rsidR="00745424" w:rsidRPr="00745424" w:rsidRDefault="00745424" w:rsidP="00745424">
      <w:pPr>
        <w:spacing w:after="0" w:line="360" w:lineRule="auto"/>
        <w:jc w:val="both"/>
        <w:rPr>
          <w:rFonts w:ascii="Times New Roman" w:hAnsi="Times New Roman"/>
          <w:sz w:val="24"/>
          <w:szCs w:val="24"/>
        </w:rPr>
      </w:pPr>
      <w:r w:rsidRPr="00745424">
        <w:rPr>
          <w:rFonts w:ascii="Times New Roman" w:hAnsi="Times New Roman"/>
          <w:sz w:val="24"/>
          <w:szCs w:val="24"/>
        </w:rPr>
        <w:t xml:space="preserve">Przepis art. 44 ww. rozporządzenia stanowi, iż: </w:t>
      </w:r>
      <w:r w:rsidRPr="00745424">
        <w:rPr>
          <w:rFonts w:ascii="Times New Roman" w:hAnsi="Times New Roman"/>
        </w:rPr>
        <w:tab/>
      </w:r>
    </w:p>
    <w:p w14:paraId="25ADF57E" w14:textId="77777777" w:rsidR="00745424" w:rsidRPr="00745424" w:rsidRDefault="00745424" w:rsidP="00745424">
      <w:pPr>
        <w:spacing w:after="0" w:line="360" w:lineRule="auto"/>
        <w:jc w:val="both"/>
        <w:rPr>
          <w:rFonts w:ascii="Times New Roman" w:hAnsi="Times New Roman"/>
          <w:i/>
          <w:sz w:val="24"/>
          <w:szCs w:val="24"/>
        </w:rPr>
      </w:pPr>
      <w:r w:rsidRPr="00745424">
        <w:rPr>
          <w:rFonts w:ascii="Times New Roman" w:hAnsi="Times New Roman"/>
          <w:i/>
          <w:sz w:val="24"/>
          <w:szCs w:val="24"/>
        </w:rPr>
        <w:t xml:space="preserve">1. Programy pomocy w formie ulg podatkowych w zakresie podatków na ochronę środowiska spełniających warunki, o których mowa w dyrektywie Rady 2003/96/WE z dnia 27 października 2003 r. w sprawie restrukturyzacji wspólnotowych przepisów ramowych dotyczących opodatkowania produktów energetycznych i energii elektrycznej, są zgodne z rynkiem wewnętrznym w rozumieniu art. 107 ust. 3 Traktatu i wyłączone z obowiązku zgłoszenia, </w:t>
      </w:r>
      <w:r w:rsidRPr="00745424">
        <w:rPr>
          <w:rFonts w:ascii="Times New Roman" w:hAnsi="Times New Roman"/>
          <w:i/>
          <w:sz w:val="24"/>
          <w:szCs w:val="24"/>
        </w:rPr>
        <w:br/>
        <w:t>o którym mowa w art. 108 ust. 3 Traktatu, o ile spełnione są warunki, o których mowa w tymże artykule i w rozdziale 1.</w:t>
      </w:r>
    </w:p>
    <w:p w14:paraId="1DAF9C65" w14:textId="77777777" w:rsidR="00745424" w:rsidRPr="00745424" w:rsidRDefault="00745424" w:rsidP="00745424">
      <w:pPr>
        <w:spacing w:after="0" w:line="360" w:lineRule="auto"/>
        <w:jc w:val="both"/>
        <w:rPr>
          <w:rFonts w:ascii="Times New Roman" w:hAnsi="Times New Roman"/>
          <w:i/>
          <w:sz w:val="24"/>
          <w:szCs w:val="24"/>
        </w:rPr>
      </w:pPr>
      <w:r w:rsidRPr="00745424">
        <w:rPr>
          <w:rFonts w:ascii="Times New Roman" w:hAnsi="Times New Roman"/>
          <w:i/>
          <w:sz w:val="24"/>
          <w:szCs w:val="24"/>
        </w:rPr>
        <w:t xml:space="preserve">2. Beneficjenci ulg podatkowych są wybierani na podstawie przejrzystych i obiektywnych kryteriów i płacą co najmniej odnośny minimalny poziom opodatkowania określony </w:t>
      </w:r>
      <w:r w:rsidRPr="00745424">
        <w:rPr>
          <w:rFonts w:ascii="Times New Roman" w:hAnsi="Times New Roman"/>
          <w:i/>
          <w:sz w:val="24"/>
          <w:szCs w:val="24"/>
        </w:rPr>
        <w:br/>
        <w:t>w dyrektywie 2003/96/WE.</w:t>
      </w:r>
    </w:p>
    <w:p w14:paraId="750F9C50" w14:textId="77777777" w:rsidR="00CD2F91" w:rsidRDefault="00745424" w:rsidP="00745424">
      <w:pPr>
        <w:spacing w:after="0" w:line="360" w:lineRule="auto"/>
        <w:jc w:val="both"/>
        <w:rPr>
          <w:rFonts w:ascii="Times New Roman" w:hAnsi="Times New Roman"/>
          <w:sz w:val="24"/>
          <w:szCs w:val="24"/>
        </w:rPr>
      </w:pPr>
      <w:r w:rsidRPr="00745424">
        <w:rPr>
          <w:rFonts w:ascii="Times New Roman" w:hAnsi="Times New Roman"/>
          <w:sz w:val="24"/>
          <w:szCs w:val="24"/>
        </w:rPr>
        <w:t xml:space="preserve">W konsekwencji, aby ww. preferencje podatkowe mogły być stosowane </w:t>
      </w:r>
      <w:r w:rsidR="00A83316">
        <w:rPr>
          <w:rFonts w:ascii="Times New Roman" w:hAnsi="Times New Roman"/>
          <w:sz w:val="24"/>
          <w:szCs w:val="24"/>
        </w:rPr>
        <w:t xml:space="preserve">niezbędna jest zmiana </w:t>
      </w:r>
      <w:r w:rsidRPr="00745424">
        <w:rPr>
          <w:rFonts w:ascii="Times New Roman" w:hAnsi="Times New Roman"/>
          <w:sz w:val="24"/>
          <w:szCs w:val="24"/>
        </w:rPr>
        <w:t>art. 164 ust. 2 ustawy o podatku akcyzowym, poprzez wskazanie, iż do stawki akcyzy określone</w:t>
      </w:r>
      <w:r w:rsidR="00CD2F91">
        <w:rPr>
          <w:rFonts w:ascii="Times New Roman" w:hAnsi="Times New Roman"/>
          <w:sz w:val="24"/>
          <w:szCs w:val="24"/>
        </w:rPr>
        <w:t>j</w:t>
      </w:r>
      <w:r w:rsidRPr="00745424">
        <w:rPr>
          <w:rFonts w:ascii="Times New Roman" w:hAnsi="Times New Roman"/>
          <w:sz w:val="24"/>
          <w:szCs w:val="24"/>
        </w:rPr>
        <w:t xml:space="preserve"> w art. 89 ust. 1 pkt 12 lit. aa i b stosuje się art. 44 ww. rozporządzenia Komisji (UE) nr 651/2014. </w:t>
      </w:r>
    </w:p>
    <w:p w14:paraId="72ECB028" w14:textId="1647DCBB" w:rsidR="00745424" w:rsidRPr="00745424" w:rsidRDefault="00745424" w:rsidP="00745424">
      <w:pPr>
        <w:spacing w:after="0" w:line="360" w:lineRule="auto"/>
        <w:jc w:val="both"/>
        <w:rPr>
          <w:rFonts w:ascii="Times New Roman" w:hAnsi="Times New Roman"/>
          <w:sz w:val="24"/>
          <w:szCs w:val="24"/>
        </w:rPr>
      </w:pPr>
      <w:r w:rsidRPr="00745424">
        <w:rPr>
          <w:rFonts w:ascii="Times New Roman" w:hAnsi="Times New Roman"/>
          <w:sz w:val="24"/>
          <w:szCs w:val="24"/>
        </w:rPr>
        <w:t xml:space="preserve">Przepisy przewidujące ww. preferencje podatkowe nie będą miały zastosowania </w:t>
      </w:r>
      <w:r w:rsidRPr="00745424">
        <w:rPr>
          <w:rFonts w:ascii="Times New Roman" w:hAnsi="Times New Roman"/>
          <w:sz w:val="24"/>
          <w:szCs w:val="24"/>
        </w:rPr>
        <w:br/>
        <w:t xml:space="preserve">w przypadku </w:t>
      </w:r>
      <w:r w:rsidR="00DA287C">
        <w:rPr>
          <w:rFonts w:ascii="Times New Roman" w:hAnsi="Times New Roman"/>
          <w:sz w:val="24"/>
          <w:szCs w:val="24"/>
        </w:rPr>
        <w:t>podmiotów</w:t>
      </w:r>
      <w:r w:rsidRPr="00745424">
        <w:rPr>
          <w:rFonts w:ascii="Times New Roman" w:hAnsi="Times New Roman"/>
          <w:sz w:val="24"/>
          <w:szCs w:val="24"/>
        </w:rPr>
        <w:t xml:space="preserve">, na których ciąży obowiązek zwrotu pomocy wynikający </w:t>
      </w:r>
      <w:r w:rsidRPr="00745424">
        <w:rPr>
          <w:rFonts w:ascii="Times New Roman" w:hAnsi="Times New Roman"/>
          <w:sz w:val="24"/>
          <w:szCs w:val="24"/>
        </w:rPr>
        <w:br/>
        <w:t xml:space="preserve">z wcześniejszej decyzji Komisji Europejskiej uznającej pomoc za niezgodną z prawem </w:t>
      </w:r>
      <w:r w:rsidRPr="00745424">
        <w:rPr>
          <w:rFonts w:ascii="Times New Roman" w:hAnsi="Times New Roman"/>
          <w:sz w:val="24"/>
          <w:szCs w:val="24"/>
        </w:rPr>
        <w:br/>
        <w:t xml:space="preserve">i z rynkiem wewnętrznym, jak również </w:t>
      </w:r>
      <w:r w:rsidR="00DA287C">
        <w:rPr>
          <w:rFonts w:ascii="Times New Roman" w:hAnsi="Times New Roman"/>
          <w:sz w:val="24"/>
          <w:szCs w:val="24"/>
        </w:rPr>
        <w:t>podmiotów</w:t>
      </w:r>
      <w:r w:rsidRPr="00745424">
        <w:rPr>
          <w:rFonts w:ascii="Times New Roman" w:hAnsi="Times New Roman"/>
          <w:sz w:val="24"/>
          <w:szCs w:val="24"/>
        </w:rPr>
        <w:t xml:space="preserve"> znajdujących się w trudnej sytuacji, </w:t>
      </w:r>
      <w:r w:rsidRPr="00745424">
        <w:rPr>
          <w:rFonts w:ascii="Times New Roman" w:hAnsi="Times New Roman"/>
          <w:sz w:val="24"/>
          <w:szCs w:val="24"/>
        </w:rPr>
        <w:br/>
        <w:t xml:space="preserve">o których mowa w art. 2 pkt 18 rozporządzenia Komisji (UE) nr 651/2014. Stosowanie regulacji z rozporządzenia Komisji (UE) nr 651/2014 wobec </w:t>
      </w:r>
      <w:r w:rsidR="00DA287C">
        <w:rPr>
          <w:rFonts w:ascii="Times New Roman" w:hAnsi="Times New Roman"/>
          <w:sz w:val="24"/>
          <w:szCs w:val="24"/>
        </w:rPr>
        <w:t>podmiotów</w:t>
      </w:r>
      <w:r w:rsidRPr="00745424">
        <w:rPr>
          <w:rFonts w:ascii="Times New Roman" w:hAnsi="Times New Roman"/>
          <w:sz w:val="24"/>
          <w:szCs w:val="24"/>
        </w:rPr>
        <w:t xml:space="preserve"> znajdujących się w trudnej sytuacji jest wyłączone na podstawie art. 1 ust. 4 pkt c) tegoż rozporządzenia.</w:t>
      </w:r>
    </w:p>
    <w:p w14:paraId="19D23F4F" w14:textId="74D8E7DB" w:rsidR="00894AF4" w:rsidRPr="00745424" w:rsidRDefault="00894AF4" w:rsidP="00894AF4">
      <w:pPr>
        <w:spacing w:after="0" w:line="360" w:lineRule="auto"/>
        <w:jc w:val="both"/>
        <w:rPr>
          <w:rFonts w:ascii="Times New Roman" w:hAnsi="Times New Roman"/>
          <w:sz w:val="24"/>
          <w:szCs w:val="24"/>
        </w:rPr>
      </w:pPr>
      <w:r w:rsidRPr="00745424">
        <w:rPr>
          <w:rFonts w:ascii="Times New Roman" w:hAnsi="Times New Roman"/>
          <w:sz w:val="24"/>
          <w:szCs w:val="24"/>
        </w:rPr>
        <w:t>W znowelizowanych regulacjach</w:t>
      </w:r>
      <w:r w:rsidR="00A0124F">
        <w:rPr>
          <w:rFonts w:ascii="Times New Roman" w:hAnsi="Times New Roman"/>
          <w:sz w:val="24"/>
          <w:szCs w:val="24"/>
        </w:rPr>
        <w:t xml:space="preserve"> wskazano, że </w:t>
      </w:r>
      <w:r>
        <w:rPr>
          <w:rFonts w:ascii="Times New Roman" w:hAnsi="Times New Roman"/>
          <w:sz w:val="24"/>
          <w:szCs w:val="24"/>
        </w:rPr>
        <w:t xml:space="preserve">ww. preferencje podatkowe </w:t>
      </w:r>
      <w:r w:rsidRPr="00745424">
        <w:rPr>
          <w:rFonts w:ascii="Times New Roman" w:hAnsi="Times New Roman"/>
          <w:sz w:val="24"/>
          <w:szCs w:val="24"/>
        </w:rPr>
        <w:t xml:space="preserve">będą </w:t>
      </w:r>
      <w:r w:rsidR="00A0124F">
        <w:rPr>
          <w:rFonts w:ascii="Times New Roman" w:hAnsi="Times New Roman"/>
          <w:sz w:val="24"/>
          <w:szCs w:val="24"/>
        </w:rPr>
        <w:t>stosowane w </w:t>
      </w:r>
      <w:r>
        <w:rPr>
          <w:rFonts w:ascii="Times New Roman" w:hAnsi="Times New Roman"/>
          <w:sz w:val="24"/>
          <w:szCs w:val="24"/>
        </w:rPr>
        <w:t xml:space="preserve">okresie stosowania </w:t>
      </w:r>
      <w:r w:rsidRPr="00745424">
        <w:rPr>
          <w:rFonts w:ascii="Times New Roman" w:hAnsi="Times New Roman"/>
          <w:sz w:val="24"/>
          <w:szCs w:val="24"/>
        </w:rPr>
        <w:t>rozporządzenia Komisji (UE) nr 651/2014, gdyż zgodnie z art. 59 tegoż rozporządzenia rozporządzenie stosuje się do dnia 31 grudnia 2020 r. Jednocześnie wskazać należy, iż stosownie do art. 58 ust. 4 ww. rozporządzenia wraz z końcem okresu obowiązywania rozporządzenia wszystkie programy pomocy wyłączone</w:t>
      </w:r>
      <w:r w:rsidR="00A0124F">
        <w:rPr>
          <w:rFonts w:ascii="Times New Roman" w:hAnsi="Times New Roman"/>
          <w:sz w:val="24"/>
          <w:szCs w:val="24"/>
        </w:rPr>
        <w:t xml:space="preserve"> na mocy tegoż rozporządzenia z </w:t>
      </w:r>
      <w:r w:rsidRPr="00745424">
        <w:rPr>
          <w:rFonts w:ascii="Times New Roman" w:hAnsi="Times New Roman"/>
          <w:sz w:val="24"/>
          <w:szCs w:val="24"/>
        </w:rPr>
        <w:t xml:space="preserve">wymogu zgłoszenia pozostają wyłączone przez sześciomiesięczny okres dostosowawczy.    </w:t>
      </w:r>
    </w:p>
    <w:p w14:paraId="49CBC66B" w14:textId="422A6F9D" w:rsidR="00F455FD" w:rsidRPr="00894AF4" w:rsidRDefault="00CD2F91" w:rsidP="00F455FD">
      <w:pPr>
        <w:pStyle w:val="tyt"/>
        <w:spacing w:before="0" w:after="0" w:line="360" w:lineRule="auto"/>
        <w:jc w:val="both"/>
        <w:rPr>
          <w:b w:val="0"/>
          <w:szCs w:val="24"/>
        </w:rPr>
      </w:pPr>
      <w:r w:rsidRPr="00894AF4">
        <w:rPr>
          <w:b w:val="0"/>
          <w:szCs w:val="24"/>
        </w:rPr>
        <w:lastRenderedPageBreak/>
        <w:t>Niezbędne jest wprowadzenie zmiany w ustawie o zmianie ustawy podatku akcyzowym oraz ustawy –</w:t>
      </w:r>
      <w:r w:rsidR="009854C4">
        <w:rPr>
          <w:b w:val="0"/>
          <w:szCs w:val="24"/>
        </w:rPr>
        <w:t xml:space="preserve"> </w:t>
      </w:r>
      <w:r w:rsidRPr="00894AF4">
        <w:rPr>
          <w:b w:val="0"/>
          <w:szCs w:val="24"/>
        </w:rPr>
        <w:t>Prawo celne polegającej na uchyleniu art. 3 tej ustawy, przewidującego warunki stosowania zerowej stawki akcyzy dla gazu ziemnego przeznaczonego do napędu silników spalinowych, tj. skroplonego gazu ziemnego (LNG) oraz sprężonego gazu ziemnego (CNG), bowiem warunki stosowania tej stawki znajdą się w zmienianym art.</w:t>
      </w:r>
      <w:r w:rsidR="00440BDB" w:rsidRPr="00894AF4">
        <w:rPr>
          <w:b w:val="0"/>
          <w:szCs w:val="24"/>
        </w:rPr>
        <w:t> </w:t>
      </w:r>
      <w:r w:rsidRPr="00894AF4">
        <w:rPr>
          <w:b w:val="0"/>
          <w:szCs w:val="24"/>
        </w:rPr>
        <w:t>164 ust.</w:t>
      </w:r>
      <w:r w:rsidR="00440BDB" w:rsidRPr="00894AF4">
        <w:rPr>
          <w:b w:val="0"/>
          <w:szCs w:val="24"/>
        </w:rPr>
        <w:t xml:space="preserve"> </w:t>
      </w:r>
      <w:r w:rsidR="009854C4">
        <w:rPr>
          <w:b w:val="0"/>
          <w:szCs w:val="24"/>
        </w:rPr>
        <w:t>2 ustawy o </w:t>
      </w:r>
      <w:r w:rsidRPr="00894AF4">
        <w:rPr>
          <w:b w:val="0"/>
          <w:szCs w:val="24"/>
        </w:rPr>
        <w:t>podatku akcyzowym. Uchylenie art. 3 ustawy o zmianie ustawy podatku akcyzowym oraz ustawy –</w:t>
      </w:r>
      <w:r w:rsidR="009854C4">
        <w:rPr>
          <w:b w:val="0"/>
          <w:szCs w:val="24"/>
        </w:rPr>
        <w:t xml:space="preserve"> </w:t>
      </w:r>
      <w:r w:rsidRPr="00894AF4">
        <w:rPr>
          <w:b w:val="0"/>
          <w:szCs w:val="24"/>
        </w:rPr>
        <w:t>Prawo celne pozwoli zapobiec sytuacji, w której zerowa stawka akcyzy dla gazu ziemnego przeznaczonego do napędu silników spalinowych, tj. skroplonego gazu ziemnego (LNG) oraz sprężonego gazu ziemnego (CNG) przewidziana w ustawie o podatku akcyzowym, byłaby stosowana pod warunkiem określonym w przepisie innej ustawy, tj. w ustawie o</w:t>
      </w:r>
      <w:r w:rsidR="00E93E24" w:rsidRPr="00894AF4">
        <w:rPr>
          <w:b w:val="0"/>
          <w:szCs w:val="24"/>
        </w:rPr>
        <w:t xml:space="preserve"> </w:t>
      </w:r>
      <w:r w:rsidRPr="00894AF4">
        <w:rPr>
          <w:b w:val="0"/>
          <w:szCs w:val="24"/>
        </w:rPr>
        <w:t>zmianie ustawy podatku akcyzowym oraz ustawy –Prawo celne.</w:t>
      </w:r>
      <w:r w:rsidR="00440BDB" w:rsidRPr="00894AF4">
        <w:rPr>
          <w:b w:val="0"/>
          <w:szCs w:val="24"/>
        </w:rPr>
        <w:t xml:space="preserve"> </w:t>
      </w:r>
      <w:r w:rsidR="00F455FD" w:rsidRPr="00894AF4">
        <w:rPr>
          <w:b w:val="0"/>
          <w:szCs w:val="24"/>
        </w:rPr>
        <w:t>Zmienione brzmienie art. 164 ust. 2 pomija odniesienie do art. 89 ust. 1 pkt 8 ustawy o podatku akcyzowym. Pominięcie art. 89 ust. 1 pkt 8 tej ustawy o podatku akcyzowym wynika z faktu, że stawka określona w tym przepisie od dnia 1 maja 2011 r. nie jest stawką preferencyjną i nie stanowi pomocy publicznej. Pierwotnie określona w art. 89 ust. 1 pkt 8 stawka akcyzy dla biokomponentów stanowiących samoistne paliwo przeznaczonych do napędu silników spalinow</w:t>
      </w:r>
      <w:r w:rsidR="009854C4">
        <w:rPr>
          <w:b w:val="0"/>
          <w:szCs w:val="24"/>
        </w:rPr>
        <w:t>ych wynosiła 10 zł/1000 l. i </w:t>
      </w:r>
      <w:r w:rsidR="00F455FD" w:rsidRPr="00894AF4">
        <w:rPr>
          <w:b w:val="0"/>
          <w:szCs w:val="24"/>
        </w:rPr>
        <w:t>stanowiła pomoc publiczną państwa, której stosowanie wymagało zgody Komisji Europejskiej, stosownie do art. 164 ust.2 ustawy o podatku akcyzowym.</w:t>
      </w:r>
      <w:r w:rsidR="00E93E24" w:rsidRPr="00894AF4">
        <w:rPr>
          <w:b w:val="0"/>
          <w:szCs w:val="24"/>
        </w:rPr>
        <w:t xml:space="preserve"> </w:t>
      </w:r>
      <w:r w:rsidR="00F455FD" w:rsidRPr="00894AF4">
        <w:rPr>
          <w:b w:val="0"/>
          <w:szCs w:val="24"/>
        </w:rPr>
        <w:t>Pismem z dnia 18 września 2009 r. nr K(2009)7140 Komisja Europejska poinformowała</w:t>
      </w:r>
      <w:r w:rsidR="009854C4">
        <w:rPr>
          <w:b w:val="0"/>
          <w:szCs w:val="24"/>
        </w:rPr>
        <w:t xml:space="preserve"> władze polskie o </w:t>
      </w:r>
      <w:r w:rsidR="00F455FD" w:rsidRPr="00894AF4">
        <w:rPr>
          <w:b w:val="0"/>
          <w:szCs w:val="24"/>
        </w:rPr>
        <w:t xml:space="preserve">podjęciu pozytywnej decyzji w sprawie programu pomocowego Pomoc państwa N 57/2008 – Polska, Pomoc operacyjna w zakresie biopaliw, w skład którego wchodziła również stawka akcyzy dla biokomponentów stanowiących samoistne paliwo przeznaczonych do napędu silników spalinowych w wysokości 10 zł/1000 l. określona </w:t>
      </w:r>
      <w:r w:rsidR="009854C4">
        <w:rPr>
          <w:b w:val="0"/>
          <w:szCs w:val="24"/>
        </w:rPr>
        <w:t>w art. 89 ust. 1 pkt 8 ustawy o </w:t>
      </w:r>
      <w:r w:rsidR="00F455FD" w:rsidRPr="00894AF4">
        <w:rPr>
          <w:b w:val="0"/>
          <w:szCs w:val="24"/>
        </w:rPr>
        <w:t>podatku akcyzowym. Jednocześnie Komisja wyraziła opinię, że pomoc państwa w zakresie przyznanym na mocy programu pomocowego nie będzie konieczna w dłuższej perspektywie czasu i ograniczyła termin obowiązywania tego programu do końca kwietnia 2011 r. Pozytywna decyzja Komisji Europejskiej w sprawie programu pomocowego Pomoc państwa N 57/2008 – Polska, Pomoc operacyjna w zakresie biopaliw została ogłoszona w Dzienniku Urzędowym Unii Europejskiej w dniu 15 października 2009 r. Wobe</w:t>
      </w:r>
      <w:r w:rsidR="009854C4">
        <w:rPr>
          <w:b w:val="0"/>
          <w:szCs w:val="24"/>
        </w:rPr>
        <w:t>c ustania programu pomocowego z </w:t>
      </w:r>
      <w:r w:rsidR="00F455FD" w:rsidRPr="00894AF4">
        <w:rPr>
          <w:b w:val="0"/>
          <w:szCs w:val="24"/>
        </w:rPr>
        <w:t>końcem kwietnia 2011 r.</w:t>
      </w:r>
      <w:r w:rsidR="00E93E24" w:rsidRPr="00894AF4">
        <w:rPr>
          <w:b w:val="0"/>
          <w:szCs w:val="24"/>
        </w:rPr>
        <w:t xml:space="preserve"> </w:t>
      </w:r>
      <w:r w:rsidR="00F455FD" w:rsidRPr="00894AF4">
        <w:rPr>
          <w:b w:val="0"/>
          <w:szCs w:val="24"/>
        </w:rPr>
        <w:t xml:space="preserve">ustawą z dnia </w:t>
      </w:r>
      <w:r w:rsidR="00F455FD" w:rsidRPr="00894AF4">
        <w:rPr>
          <w:b w:val="0"/>
          <w:bCs/>
          <w:color w:val="000000"/>
          <w:szCs w:val="24"/>
        </w:rPr>
        <w:t>z dnia 26 listopada 2010 r. o zmianie niektórych ustaw związanych z realizacją ustawy budżetowej</w:t>
      </w:r>
      <w:r w:rsidR="00F455FD" w:rsidRPr="00894AF4">
        <w:rPr>
          <w:b w:val="0"/>
          <w:bCs/>
          <w:color w:val="C00D35"/>
          <w:kern w:val="36"/>
          <w:szCs w:val="24"/>
        </w:rPr>
        <w:t xml:space="preserve"> </w:t>
      </w:r>
      <w:r w:rsidR="00F455FD" w:rsidRPr="00894AF4">
        <w:rPr>
          <w:b w:val="0"/>
          <w:bCs/>
          <w:kern w:val="36"/>
          <w:szCs w:val="24"/>
        </w:rPr>
        <w:t xml:space="preserve">(Dz.U. nr 238 poz. 1578) zmieniono art. 89 ust. 1 pkt 8, skutkiem czego </w:t>
      </w:r>
      <w:r w:rsidR="00F455FD" w:rsidRPr="00894AF4">
        <w:rPr>
          <w:b w:val="0"/>
          <w:bCs/>
          <w:kern w:val="36"/>
          <w:szCs w:val="24"/>
        </w:rPr>
        <w:lastRenderedPageBreak/>
        <w:t>od dnia 1 maja 2011r.</w:t>
      </w:r>
      <w:r w:rsidR="00E93E24" w:rsidRPr="00894AF4">
        <w:rPr>
          <w:b w:val="0"/>
          <w:bCs/>
          <w:kern w:val="36"/>
          <w:szCs w:val="24"/>
        </w:rPr>
        <w:t xml:space="preserve"> </w:t>
      </w:r>
      <w:r w:rsidR="00F455FD" w:rsidRPr="00894AF4">
        <w:rPr>
          <w:b w:val="0"/>
          <w:bCs/>
          <w:kern w:val="36"/>
          <w:szCs w:val="24"/>
        </w:rPr>
        <w:t xml:space="preserve">stawka akcyzy dla </w:t>
      </w:r>
      <w:r w:rsidR="00F455FD" w:rsidRPr="00894AF4">
        <w:rPr>
          <w:b w:val="0"/>
          <w:szCs w:val="24"/>
        </w:rPr>
        <w:t>biokomponentów stanowiących samoistne paliwa, przeznaczonych do napędu silników spalinowych</w:t>
      </w:r>
      <w:r w:rsidR="00F455FD" w:rsidRPr="00894AF4">
        <w:rPr>
          <w:b w:val="0"/>
          <w:bCs/>
          <w:kern w:val="36"/>
          <w:szCs w:val="24"/>
        </w:rPr>
        <w:t xml:space="preserve"> nie posiada już charakteru preferencyjnego. A zatem </w:t>
      </w:r>
      <w:r w:rsidR="00F455FD" w:rsidRPr="00894AF4">
        <w:rPr>
          <w:b w:val="0"/>
          <w:szCs w:val="24"/>
        </w:rPr>
        <w:t>stosowanie stawki akcyzy określonej w art. 89 ust. 1 pkt 8 od dnia 1 maja 2011r . nie wymaga pozytywnej decyzji Komisji Europejskiej o zgodności pomocy publicznej ze wspólnym rynkiem ani przekazania Ko</w:t>
      </w:r>
      <w:r w:rsidR="009854C4">
        <w:rPr>
          <w:b w:val="0"/>
          <w:szCs w:val="24"/>
        </w:rPr>
        <w:t>misji Europejskiej informacji o </w:t>
      </w:r>
      <w:r w:rsidR="00F455FD" w:rsidRPr="00894AF4">
        <w:rPr>
          <w:b w:val="0"/>
          <w:szCs w:val="24"/>
        </w:rPr>
        <w:t>stosowanym środku pomocowym w związku z art. 44 rozporządzenia Komisji Europejskiej nr 651/2014.</w:t>
      </w:r>
    </w:p>
    <w:p w14:paraId="0F8F8A98" w14:textId="77777777" w:rsidR="00440BDB" w:rsidRPr="00094759" w:rsidRDefault="00440BDB" w:rsidP="00F455FD">
      <w:pPr>
        <w:pStyle w:val="tyt"/>
        <w:spacing w:before="0" w:after="0" w:line="360" w:lineRule="auto"/>
        <w:jc w:val="both"/>
        <w:rPr>
          <w:b w:val="0"/>
          <w:szCs w:val="24"/>
        </w:rPr>
      </w:pPr>
    </w:p>
    <w:p w14:paraId="5BEE35D0" w14:textId="77777777" w:rsidR="006B7B7A" w:rsidRPr="0070741E" w:rsidRDefault="004E5772" w:rsidP="00CD3D8E">
      <w:pPr>
        <w:spacing w:after="0" w:line="360" w:lineRule="auto"/>
        <w:jc w:val="both"/>
        <w:rPr>
          <w:rFonts w:ascii="Times New Roman" w:hAnsi="Times New Roman"/>
          <w:b/>
          <w:sz w:val="24"/>
          <w:szCs w:val="24"/>
          <w:u w:val="single"/>
        </w:rPr>
      </w:pPr>
      <w:r w:rsidRPr="0070741E">
        <w:rPr>
          <w:rFonts w:ascii="Times New Roman" w:hAnsi="Times New Roman"/>
          <w:b/>
          <w:sz w:val="24"/>
          <w:szCs w:val="24"/>
          <w:u w:val="single"/>
        </w:rPr>
        <w:t>V</w:t>
      </w:r>
      <w:r w:rsidR="00A221B3">
        <w:rPr>
          <w:rFonts w:ascii="Times New Roman" w:hAnsi="Times New Roman"/>
          <w:b/>
          <w:sz w:val="24"/>
          <w:szCs w:val="24"/>
          <w:u w:val="single"/>
        </w:rPr>
        <w:t>I</w:t>
      </w:r>
      <w:r w:rsidRPr="0070741E">
        <w:rPr>
          <w:rFonts w:ascii="Times New Roman" w:hAnsi="Times New Roman"/>
          <w:b/>
          <w:sz w:val="24"/>
          <w:szCs w:val="24"/>
          <w:u w:val="single"/>
        </w:rPr>
        <w:t>. Przepisy przejściowe</w:t>
      </w:r>
    </w:p>
    <w:p w14:paraId="7108A184" w14:textId="77777777" w:rsidR="009854C4" w:rsidRDefault="009854C4" w:rsidP="00CD3D8E">
      <w:pPr>
        <w:spacing w:after="0" w:line="360" w:lineRule="auto"/>
        <w:jc w:val="both"/>
        <w:rPr>
          <w:rFonts w:ascii="Times New Roman" w:hAnsi="Times New Roman"/>
          <w:sz w:val="24"/>
          <w:szCs w:val="24"/>
          <w:u w:val="single"/>
        </w:rPr>
      </w:pPr>
    </w:p>
    <w:p w14:paraId="19540B58" w14:textId="77777777" w:rsidR="006B7B7A" w:rsidRPr="0070741E" w:rsidRDefault="004E5772" w:rsidP="00CD3D8E">
      <w:pPr>
        <w:spacing w:after="0" w:line="360" w:lineRule="auto"/>
        <w:jc w:val="both"/>
        <w:rPr>
          <w:rFonts w:ascii="Times New Roman" w:hAnsi="Times New Roman"/>
          <w:sz w:val="24"/>
          <w:szCs w:val="24"/>
          <w:u w:val="single"/>
        </w:rPr>
      </w:pPr>
      <w:r w:rsidRPr="0070741E">
        <w:rPr>
          <w:rFonts w:ascii="Times New Roman" w:hAnsi="Times New Roman"/>
          <w:sz w:val="24"/>
          <w:szCs w:val="24"/>
          <w:u w:val="single"/>
        </w:rPr>
        <w:t xml:space="preserve">Art. </w:t>
      </w:r>
      <w:r w:rsidR="00194526">
        <w:rPr>
          <w:rFonts w:ascii="Times New Roman" w:hAnsi="Times New Roman"/>
          <w:sz w:val="24"/>
          <w:szCs w:val="24"/>
          <w:u w:val="single"/>
        </w:rPr>
        <w:t>6</w:t>
      </w:r>
    </w:p>
    <w:p w14:paraId="4843DD93" w14:textId="77777777" w:rsidR="00EF464F" w:rsidRDefault="00EF464F" w:rsidP="00EF464F">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Uzasadnienie </w:t>
      </w:r>
      <w:r w:rsidRPr="0070741E">
        <w:rPr>
          <w:rFonts w:ascii="Times New Roman" w:hAnsi="Times New Roman"/>
          <w:sz w:val="24"/>
          <w:szCs w:val="24"/>
        </w:rPr>
        <w:t xml:space="preserve">do art. </w:t>
      </w:r>
      <w:r w:rsidR="00194526">
        <w:rPr>
          <w:rFonts w:ascii="Times New Roman" w:hAnsi="Times New Roman"/>
          <w:sz w:val="24"/>
          <w:szCs w:val="24"/>
        </w:rPr>
        <w:t>6</w:t>
      </w:r>
      <w:r w:rsidR="001956AE">
        <w:rPr>
          <w:rFonts w:ascii="Times New Roman" w:hAnsi="Times New Roman"/>
          <w:sz w:val="24"/>
          <w:szCs w:val="24"/>
        </w:rPr>
        <w:t xml:space="preserve"> </w:t>
      </w:r>
      <w:r w:rsidRPr="0070741E">
        <w:rPr>
          <w:rFonts w:ascii="Times New Roman" w:hAnsi="Times New Roman"/>
          <w:sz w:val="24"/>
          <w:szCs w:val="24"/>
        </w:rPr>
        <w:t xml:space="preserve">zawarte zostało </w:t>
      </w:r>
      <w:r w:rsidRPr="0070741E">
        <w:rPr>
          <w:rFonts w:ascii="Times New Roman" w:eastAsia="Times New Roman" w:hAnsi="Times New Roman"/>
          <w:bCs/>
          <w:sz w:val="24"/>
          <w:szCs w:val="24"/>
          <w:lang w:eastAsia="pl-PL"/>
        </w:rPr>
        <w:t>w części dotyczącej zmian w art. 43 ustawy o VAT.</w:t>
      </w:r>
    </w:p>
    <w:p w14:paraId="78455CC8" w14:textId="77777777" w:rsidR="009B56F5" w:rsidRPr="0070741E" w:rsidRDefault="009B56F5" w:rsidP="00E26916">
      <w:pPr>
        <w:spacing w:after="0" w:line="360" w:lineRule="auto"/>
        <w:jc w:val="both"/>
        <w:rPr>
          <w:rFonts w:ascii="Times New Roman" w:hAnsi="Times New Roman"/>
          <w:sz w:val="24"/>
          <w:szCs w:val="24"/>
          <w:u w:val="single"/>
        </w:rPr>
      </w:pPr>
    </w:p>
    <w:p w14:paraId="180553C7" w14:textId="0B611008" w:rsidR="00E26916" w:rsidRPr="0070741E" w:rsidRDefault="00E26916" w:rsidP="00E26916">
      <w:pPr>
        <w:spacing w:after="0" w:line="360" w:lineRule="auto"/>
        <w:jc w:val="both"/>
        <w:rPr>
          <w:rFonts w:ascii="Times New Roman" w:hAnsi="Times New Roman"/>
          <w:sz w:val="24"/>
          <w:szCs w:val="24"/>
          <w:u w:val="single"/>
        </w:rPr>
      </w:pPr>
      <w:r w:rsidRPr="0070741E">
        <w:rPr>
          <w:rFonts w:ascii="Times New Roman" w:hAnsi="Times New Roman"/>
          <w:sz w:val="24"/>
          <w:szCs w:val="24"/>
          <w:u w:val="single"/>
        </w:rPr>
        <w:t xml:space="preserve">Art. </w:t>
      </w:r>
      <w:r w:rsidR="00F455FD">
        <w:rPr>
          <w:rFonts w:ascii="Times New Roman" w:hAnsi="Times New Roman"/>
          <w:sz w:val="24"/>
          <w:szCs w:val="24"/>
          <w:u w:val="single"/>
        </w:rPr>
        <w:t>7</w:t>
      </w:r>
    </w:p>
    <w:p w14:paraId="1F6BBB28" w14:textId="08ECB849" w:rsidR="00E26916" w:rsidRPr="0070741E" w:rsidRDefault="00E26916" w:rsidP="00E26916">
      <w:pPr>
        <w:spacing w:after="0" w:line="360" w:lineRule="auto"/>
        <w:jc w:val="both"/>
        <w:rPr>
          <w:rFonts w:ascii="Times New Roman" w:hAnsi="Times New Roman"/>
          <w:sz w:val="24"/>
          <w:szCs w:val="24"/>
        </w:rPr>
      </w:pPr>
      <w:r w:rsidRPr="0070741E">
        <w:rPr>
          <w:rFonts w:ascii="Times New Roman" w:eastAsia="Times New Roman" w:hAnsi="Times New Roman"/>
          <w:bCs/>
          <w:sz w:val="24"/>
          <w:szCs w:val="24"/>
          <w:lang w:eastAsia="pl-PL"/>
        </w:rPr>
        <w:t xml:space="preserve">Uzasadnienie </w:t>
      </w:r>
      <w:r w:rsidRPr="0070741E">
        <w:rPr>
          <w:rFonts w:ascii="Times New Roman" w:hAnsi="Times New Roman"/>
          <w:sz w:val="24"/>
          <w:szCs w:val="24"/>
        </w:rPr>
        <w:t xml:space="preserve">do art. </w:t>
      </w:r>
      <w:r w:rsidR="00F455FD">
        <w:rPr>
          <w:rFonts w:ascii="Times New Roman" w:hAnsi="Times New Roman"/>
          <w:sz w:val="24"/>
          <w:szCs w:val="24"/>
        </w:rPr>
        <w:t xml:space="preserve">7 </w:t>
      </w:r>
      <w:r w:rsidRPr="0070741E">
        <w:rPr>
          <w:rFonts w:ascii="Times New Roman" w:hAnsi="Times New Roman"/>
          <w:sz w:val="24"/>
          <w:szCs w:val="24"/>
        </w:rPr>
        <w:t xml:space="preserve">zawarte zostało </w:t>
      </w:r>
      <w:r w:rsidRPr="0070741E">
        <w:rPr>
          <w:rFonts w:ascii="Times New Roman" w:eastAsia="Times New Roman" w:hAnsi="Times New Roman"/>
          <w:bCs/>
          <w:sz w:val="24"/>
          <w:szCs w:val="24"/>
          <w:lang w:eastAsia="pl-PL"/>
        </w:rPr>
        <w:t xml:space="preserve">w części dotyczącej zmian w art. </w:t>
      </w:r>
      <w:r w:rsidR="009B56F5" w:rsidRPr="0070741E">
        <w:rPr>
          <w:rFonts w:ascii="Times New Roman" w:eastAsia="Times New Roman" w:hAnsi="Times New Roman"/>
          <w:bCs/>
          <w:sz w:val="24"/>
          <w:szCs w:val="24"/>
          <w:lang w:eastAsia="pl-PL"/>
        </w:rPr>
        <w:t>96</w:t>
      </w:r>
      <w:r w:rsidRPr="0070741E">
        <w:rPr>
          <w:rFonts w:ascii="Times New Roman" w:eastAsia="Times New Roman" w:hAnsi="Times New Roman"/>
          <w:bCs/>
          <w:sz w:val="24"/>
          <w:szCs w:val="24"/>
          <w:lang w:eastAsia="pl-PL"/>
        </w:rPr>
        <w:t xml:space="preserve"> ustawy o VAT.</w:t>
      </w:r>
    </w:p>
    <w:p w14:paraId="02F7BA69" w14:textId="77777777" w:rsidR="00E26916" w:rsidRPr="0070741E" w:rsidRDefault="00E26916" w:rsidP="00CD3D8E">
      <w:pPr>
        <w:spacing w:after="0" w:line="360" w:lineRule="auto"/>
        <w:jc w:val="both"/>
        <w:rPr>
          <w:rFonts w:ascii="Times New Roman" w:eastAsia="Times New Roman" w:hAnsi="Times New Roman"/>
          <w:bCs/>
          <w:sz w:val="24"/>
          <w:szCs w:val="24"/>
          <w:lang w:eastAsia="pl-PL"/>
        </w:rPr>
      </w:pPr>
    </w:p>
    <w:p w14:paraId="74B70F8E" w14:textId="7C667C54" w:rsidR="00E26916" w:rsidRPr="0070741E" w:rsidRDefault="00E26916" w:rsidP="00E26916">
      <w:pPr>
        <w:spacing w:after="0" w:line="360" w:lineRule="auto"/>
        <w:jc w:val="both"/>
        <w:rPr>
          <w:rFonts w:ascii="Times New Roman" w:hAnsi="Times New Roman"/>
          <w:sz w:val="24"/>
          <w:szCs w:val="24"/>
          <w:u w:val="single"/>
        </w:rPr>
      </w:pPr>
      <w:r w:rsidRPr="0070741E">
        <w:rPr>
          <w:rFonts w:ascii="Times New Roman" w:hAnsi="Times New Roman"/>
          <w:sz w:val="24"/>
          <w:szCs w:val="24"/>
          <w:u w:val="single"/>
        </w:rPr>
        <w:t xml:space="preserve">Art. </w:t>
      </w:r>
      <w:r w:rsidR="00F455FD">
        <w:rPr>
          <w:rFonts w:ascii="Times New Roman" w:hAnsi="Times New Roman"/>
          <w:sz w:val="24"/>
          <w:szCs w:val="24"/>
          <w:u w:val="single"/>
        </w:rPr>
        <w:t>8</w:t>
      </w:r>
    </w:p>
    <w:p w14:paraId="2DDCAA62" w14:textId="71629BCF" w:rsidR="00EF464F" w:rsidRPr="0070741E" w:rsidRDefault="00EF464F" w:rsidP="00EF464F">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Uzasadnienie </w:t>
      </w:r>
      <w:r w:rsidRPr="0070741E">
        <w:rPr>
          <w:rFonts w:ascii="Times New Roman" w:hAnsi="Times New Roman"/>
          <w:sz w:val="24"/>
          <w:szCs w:val="24"/>
        </w:rPr>
        <w:t xml:space="preserve">do art. </w:t>
      </w:r>
      <w:r w:rsidR="00F455FD">
        <w:rPr>
          <w:rFonts w:ascii="Times New Roman" w:hAnsi="Times New Roman"/>
          <w:sz w:val="24"/>
          <w:szCs w:val="24"/>
        </w:rPr>
        <w:t xml:space="preserve">8 </w:t>
      </w:r>
      <w:r w:rsidRPr="0070741E">
        <w:rPr>
          <w:rFonts w:ascii="Times New Roman" w:hAnsi="Times New Roman"/>
          <w:sz w:val="24"/>
          <w:szCs w:val="24"/>
        </w:rPr>
        <w:t xml:space="preserve">zawarte zostało </w:t>
      </w:r>
      <w:r w:rsidRPr="0070741E">
        <w:rPr>
          <w:rFonts w:ascii="Times New Roman" w:eastAsia="Times New Roman" w:hAnsi="Times New Roman"/>
          <w:bCs/>
          <w:sz w:val="24"/>
          <w:szCs w:val="24"/>
          <w:lang w:eastAsia="pl-PL"/>
        </w:rPr>
        <w:t>w części dotyczącej zmian w art. 106b i art. 109</w:t>
      </w:r>
      <w:r w:rsidR="00D00EFA">
        <w:rPr>
          <w:rFonts w:ascii="Times New Roman" w:eastAsia="Times New Roman" w:hAnsi="Times New Roman"/>
          <w:bCs/>
          <w:sz w:val="24"/>
          <w:szCs w:val="24"/>
          <w:lang w:eastAsia="pl-PL"/>
        </w:rPr>
        <w:t>a</w:t>
      </w:r>
      <w:r w:rsidRPr="0070741E">
        <w:rPr>
          <w:rFonts w:ascii="Times New Roman" w:eastAsia="Times New Roman" w:hAnsi="Times New Roman"/>
          <w:bCs/>
          <w:sz w:val="24"/>
          <w:szCs w:val="24"/>
          <w:lang w:eastAsia="pl-PL"/>
        </w:rPr>
        <w:t xml:space="preserve"> ustawy o VAT.</w:t>
      </w:r>
    </w:p>
    <w:p w14:paraId="05813C75" w14:textId="77777777" w:rsidR="00E26916" w:rsidRPr="0070741E" w:rsidRDefault="00E26916" w:rsidP="00CD3D8E">
      <w:pPr>
        <w:spacing w:after="0" w:line="360" w:lineRule="auto"/>
        <w:jc w:val="both"/>
        <w:rPr>
          <w:rFonts w:ascii="Times New Roman" w:hAnsi="Times New Roman"/>
          <w:sz w:val="24"/>
          <w:szCs w:val="24"/>
        </w:rPr>
      </w:pPr>
    </w:p>
    <w:p w14:paraId="49F91996" w14:textId="5FCF21C2" w:rsidR="006B7B7A" w:rsidRPr="0070741E" w:rsidRDefault="003A16D6" w:rsidP="00CD3D8E">
      <w:pPr>
        <w:spacing w:after="0" w:line="360" w:lineRule="auto"/>
        <w:jc w:val="both"/>
        <w:rPr>
          <w:rFonts w:ascii="Times New Roman" w:hAnsi="Times New Roman"/>
          <w:sz w:val="24"/>
          <w:szCs w:val="24"/>
          <w:u w:val="single"/>
        </w:rPr>
      </w:pPr>
      <w:r w:rsidRPr="0070741E">
        <w:rPr>
          <w:rFonts w:ascii="Times New Roman" w:hAnsi="Times New Roman"/>
          <w:sz w:val="24"/>
          <w:szCs w:val="24"/>
          <w:u w:val="single"/>
        </w:rPr>
        <w:t xml:space="preserve">Art. </w:t>
      </w:r>
      <w:r w:rsidR="00F455FD">
        <w:rPr>
          <w:rFonts w:ascii="Times New Roman" w:hAnsi="Times New Roman"/>
          <w:sz w:val="24"/>
          <w:szCs w:val="24"/>
          <w:u w:val="single"/>
        </w:rPr>
        <w:t>9</w:t>
      </w:r>
      <w:r w:rsidR="00194526">
        <w:rPr>
          <w:rFonts w:ascii="Times New Roman" w:hAnsi="Times New Roman"/>
          <w:sz w:val="24"/>
          <w:szCs w:val="24"/>
          <w:u w:val="single"/>
        </w:rPr>
        <w:t xml:space="preserve">, </w:t>
      </w:r>
      <w:r w:rsidR="00F455FD">
        <w:rPr>
          <w:rFonts w:ascii="Times New Roman" w:hAnsi="Times New Roman"/>
          <w:sz w:val="24"/>
          <w:szCs w:val="24"/>
          <w:u w:val="single"/>
        </w:rPr>
        <w:t xml:space="preserve">10 </w:t>
      </w:r>
      <w:r w:rsidR="00194526">
        <w:rPr>
          <w:rFonts w:ascii="Times New Roman" w:hAnsi="Times New Roman"/>
          <w:sz w:val="24"/>
          <w:szCs w:val="24"/>
          <w:u w:val="single"/>
        </w:rPr>
        <w:t xml:space="preserve">i </w:t>
      </w:r>
      <w:r w:rsidR="00F455FD">
        <w:rPr>
          <w:rFonts w:ascii="Times New Roman" w:hAnsi="Times New Roman"/>
          <w:sz w:val="24"/>
          <w:szCs w:val="24"/>
          <w:u w:val="single"/>
        </w:rPr>
        <w:t xml:space="preserve">11 </w:t>
      </w:r>
    </w:p>
    <w:p w14:paraId="74577B76" w14:textId="284EF455" w:rsidR="003A16D6" w:rsidRPr="0070741E" w:rsidRDefault="003A16D6" w:rsidP="00CD3D8E">
      <w:pPr>
        <w:spacing w:after="0" w:line="360" w:lineRule="auto"/>
        <w:jc w:val="both"/>
        <w:rPr>
          <w:rFonts w:ascii="Times New Roman" w:eastAsia="Times New Roman" w:hAnsi="Times New Roman"/>
          <w:bCs/>
          <w:sz w:val="24"/>
          <w:szCs w:val="24"/>
          <w:lang w:eastAsia="pl-PL"/>
        </w:rPr>
      </w:pPr>
      <w:r w:rsidRPr="0070741E">
        <w:rPr>
          <w:rFonts w:ascii="Times New Roman" w:eastAsia="Times New Roman" w:hAnsi="Times New Roman"/>
          <w:bCs/>
          <w:sz w:val="24"/>
          <w:szCs w:val="24"/>
          <w:lang w:eastAsia="pl-PL"/>
        </w:rPr>
        <w:t xml:space="preserve">Uzasadnienie do art. </w:t>
      </w:r>
      <w:r w:rsidR="00F455FD">
        <w:rPr>
          <w:rFonts w:ascii="Times New Roman" w:eastAsia="Times New Roman" w:hAnsi="Times New Roman"/>
          <w:bCs/>
          <w:sz w:val="24"/>
          <w:szCs w:val="24"/>
          <w:lang w:eastAsia="pl-PL"/>
        </w:rPr>
        <w:t>9, 10 i 11</w:t>
      </w:r>
      <w:r w:rsidR="001956AE">
        <w:rPr>
          <w:rFonts w:ascii="Times New Roman" w:eastAsia="Times New Roman" w:hAnsi="Times New Roman"/>
          <w:bCs/>
          <w:sz w:val="24"/>
          <w:szCs w:val="24"/>
          <w:lang w:eastAsia="pl-PL"/>
        </w:rPr>
        <w:t xml:space="preserve"> </w:t>
      </w:r>
      <w:r w:rsidRPr="0070741E">
        <w:rPr>
          <w:rFonts w:ascii="Times New Roman" w:eastAsia="Times New Roman" w:hAnsi="Times New Roman"/>
          <w:bCs/>
          <w:sz w:val="24"/>
          <w:szCs w:val="24"/>
          <w:lang w:eastAsia="pl-PL"/>
        </w:rPr>
        <w:t>zawarte zostało w części dotyczącej zmian w pakiecie paliwowym.</w:t>
      </w:r>
    </w:p>
    <w:p w14:paraId="5B285441" w14:textId="77777777" w:rsidR="006B7B7A" w:rsidRDefault="006B7B7A" w:rsidP="00CD3D8E">
      <w:pPr>
        <w:spacing w:after="0" w:line="360" w:lineRule="auto"/>
        <w:jc w:val="both"/>
        <w:rPr>
          <w:rFonts w:ascii="Times New Roman" w:eastAsia="Times New Roman" w:hAnsi="Times New Roman"/>
          <w:bCs/>
          <w:sz w:val="24"/>
          <w:szCs w:val="24"/>
          <w:lang w:eastAsia="pl-PL"/>
        </w:rPr>
      </w:pPr>
    </w:p>
    <w:p w14:paraId="35351B27" w14:textId="78002715" w:rsidR="00D15939" w:rsidRPr="0070741E" w:rsidRDefault="00D15939" w:rsidP="00FE2038">
      <w:pPr>
        <w:spacing w:after="0" w:line="240" w:lineRule="auto"/>
        <w:jc w:val="both"/>
        <w:rPr>
          <w:rFonts w:ascii="Times New Roman" w:hAnsi="Times New Roman"/>
          <w:sz w:val="24"/>
          <w:szCs w:val="24"/>
          <w:u w:val="single"/>
        </w:rPr>
      </w:pPr>
      <w:r w:rsidRPr="0070741E">
        <w:rPr>
          <w:rFonts w:ascii="Times New Roman" w:hAnsi="Times New Roman"/>
          <w:sz w:val="24"/>
          <w:szCs w:val="24"/>
          <w:u w:val="single"/>
        </w:rPr>
        <w:t xml:space="preserve">Art. </w:t>
      </w:r>
      <w:r w:rsidR="00F455FD">
        <w:rPr>
          <w:rFonts w:ascii="Times New Roman" w:hAnsi="Times New Roman"/>
          <w:sz w:val="24"/>
          <w:szCs w:val="24"/>
          <w:u w:val="single"/>
        </w:rPr>
        <w:t>12</w:t>
      </w:r>
    </w:p>
    <w:p w14:paraId="17666524" w14:textId="7179DD3E" w:rsidR="00894AF4" w:rsidRPr="0070741E" w:rsidRDefault="00894AF4" w:rsidP="00894AF4">
      <w:pPr>
        <w:pStyle w:val="ARTartustawynprozporzdzenia"/>
        <w:ind w:firstLine="0"/>
        <w:rPr>
          <w:rFonts w:ascii="Times New Roman" w:hAnsi="Times New Roman" w:cs="Times New Roman"/>
          <w:szCs w:val="24"/>
        </w:rPr>
      </w:pPr>
      <w:r w:rsidRPr="0070741E">
        <w:rPr>
          <w:rStyle w:val="Ppogrubienie"/>
          <w:rFonts w:ascii="Times New Roman" w:hAnsi="Times New Roman" w:cs="Times New Roman"/>
          <w:b w:val="0"/>
          <w:szCs w:val="24"/>
        </w:rPr>
        <w:t xml:space="preserve">W art. </w:t>
      </w:r>
      <w:r>
        <w:rPr>
          <w:rStyle w:val="Ppogrubienie"/>
          <w:rFonts w:ascii="Times New Roman" w:hAnsi="Times New Roman" w:cs="Times New Roman"/>
          <w:b w:val="0"/>
          <w:szCs w:val="24"/>
        </w:rPr>
        <w:t xml:space="preserve">12 </w:t>
      </w:r>
      <w:r w:rsidRPr="0070741E">
        <w:rPr>
          <w:rStyle w:val="Ppogrubienie"/>
          <w:rFonts w:ascii="Times New Roman" w:hAnsi="Times New Roman" w:cs="Times New Roman"/>
          <w:b w:val="0"/>
          <w:szCs w:val="24"/>
        </w:rPr>
        <w:t>przewidziano w</w:t>
      </w:r>
      <w:r w:rsidRPr="0070741E">
        <w:rPr>
          <w:rFonts w:ascii="Times New Roman" w:hAnsi="Times New Roman" w:cs="Times New Roman"/>
          <w:szCs w:val="24"/>
        </w:rPr>
        <w:t>arunek zastosowania po dniu 31 </w:t>
      </w:r>
      <w:r>
        <w:rPr>
          <w:rFonts w:ascii="Times New Roman" w:hAnsi="Times New Roman" w:cs="Times New Roman"/>
          <w:szCs w:val="24"/>
        </w:rPr>
        <w:t>października</w:t>
      </w:r>
      <w:r w:rsidRPr="0070741E">
        <w:rPr>
          <w:rFonts w:ascii="Times New Roman" w:hAnsi="Times New Roman" w:cs="Times New Roman"/>
          <w:szCs w:val="24"/>
        </w:rPr>
        <w:t xml:space="preserve"> 2019 r. zerowej stawki akcyzy do preparatów smarowych objętych pozycją CN 3403, w stosunku do których powstał obowiązek podatkowy, przed dniem 1 </w:t>
      </w:r>
      <w:r>
        <w:rPr>
          <w:rFonts w:ascii="Times New Roman" w:hAnsi="Times New Roman" w:cs="Times New Roman"/>
          <w:szCs w:val="24"/>
        </w:rPr>
        <w:t>listopada</w:t>
      </w:r>
      <w:r w:rsidRPr="0070741E">
        <w:rPr>
          <w:rFonts w:ascii="Times New Roman" w:hAnsi="Times New Roman" w:cs="Times New Roman"/>
          <w:szCs w:val="24"/>
        </w:rPr>
        <w:t xml:space="preserve"> 2019 r., i które przed tym dniem nie znajdowały się w sprzedaży hurtowej lub detalicznej. Warunkiem tym jest przekazanie do dnia 10 </w:t>
      </w:r>
      <w:r>
        <w:rPr>
          <w:rFonts w:ascii="Times New Roman" w:hAnsi="Times New Roman" w:cs="Times New Roman"/>
          <w:szCs w:val="24"/>
        </w:rPr>
        <w:t>listopada</w:t>
      </w:r>
      <w:r w:rsidRPr="0070741E">
        <w:rPr>
          <w:rFonts w:ascii="Times New Roman" w:hAnsi="Times New Roman" w:cs="Times New Roman"/>
          <w:szCs w:val="24"/>
        </w:rPr>
        <w:t xml:space="preserve"> 2019 r. właściwemu naczelnikowi urzędu skarbowego przez podmioty posiadające informacji o tych wyrobach. W ust. 2 tego przepisu wskazano katalog informacji jakie powinny zostać przekazane.</w:t>
      </w:r>
    </w:p>
    <w:p w14:paraId="63076CF3" w14:textId="77777777" w:rsidR="00894AF4" w:rsidRDefault="00894AF4" w:rsidP="00894AF4">
      <w:pPr>
        <w:spacing w:after="0" w:line="360" w:lineRule="auto"/>
        <w:jc w:val="both"/>
        <w:rPr>
          <w:rFonts w:ascii="Times New Roman" w:hAnsi="Times New Roman"/>
          <w:sz w:val="24"/>
          <w:szCs w:val="24"/>
          <w:u w:val="single"/>
        </w:rPr>
      </w:pPr>
    </w:p>
    <w:p w14:paraId="03D10F87" w14:textId="77777777" w:rsidR="00894AF4" w:rsidRDefault="00894AF4" w:rsidP="00894AF4">
      <w:pPr>
        <w:spacing w:after="0" w:line="360" w:lineRule="auto"/>
        <w:jc w:val="both"/>
        <w:rPr>
          <w:rFonts w:ascii="Times New Roman" w:hAnsi="Times New Roman"/>
          <w:sz w:val="24"/>
          <w:szCs w:val="24"/>
          <w:u w:val="single"/>
        </w:rPr>
      </w:pPr>
      <w:r>
        <w:rPr>
          <w:rFonts w:ascii="Times New Roman" w:hAnsi="Times New Roman"/>
          <w:sz w:val="24"/>
          <w:szCs w:val="24"/>
          <w:u w:val="single"/>
        </w:rPr>
        <w:lastRenderedPageBreak/>
        <w:t>Art.13</w:t>
      </w:r>
    </w:p>
    <w:p w14:paraId="583E1763" w14:textId="064D6AD0" w:rsidR="00366484" w:rsidRPr="0070741E" w:rsidRDefault="00894AF4" w:rsidP="00894AF4">
      <w:pPr>
        <w:spacing w:after="0" w:line="360" w:lineRule="auto"/>
        <w:jc w:val="both"/>
        <w:rPr>
          <w:rFonts w:ascii="Times New Roman" w:hAnsi="Times New Roman"/>
          <w:sz w:val="24"/>
          <w:szCs w:val="24"/>
          <w:u w:val="single"/>
        </w:rPr>
      </w:pPr>
      <w:r>
        <w:rPr>
          <w:rFonts w:ascii="Times New Roman" w:hAnsi="Times New Roman"/>
          <w:sz w:val="24"/>
          <w:szCs w:val="24"/>
        </w:rPr>
        <w:t>P</w:t>
      </w:r>
      <w:r w:rsidRPr="001F6B97">
        <w:rPr>
          <w:rFonts w:ascii="Times New Roman" w:hAnsi="Times New Roman"/>
          <w:sz w:val="24"/>
          <w:szCs w:val="24"/>
        </w:rPr>
        <w:t>odmiot</w:t>
      </w:r>
      <w:r>
        <w:rPr>
          <w:rFonts w:ascii="Times New Roman" w:hAnsi="Times New Roman"/>
          <w:sz w:val="24"/>
          <w:szCs w:val="24"/>
        </w:rPr>
        <w:t>y</w:t>
      </w:r>
      <w:r w:rsidRPr="001F6B97">
        <w:rPr>
          <w:rFonts w:ascii="Times New Roman" w:hAnsi="Times New Roman"/>
          <w:sz w:val="24"/>
          <w:szCs w:val="24"/>
        </w:rPr>
        <w:t xml:space="preserve">, które złożyły zgłoszenie rejestracyjne na podstawie art. 16 ust. 1 ustawy o podatku akcyzowym i zostały zarejestrowane, a po wprowadzeniu pozytywnej stawki akcyzy na preparaty smarowych objęte pozycją CN 3403, będą chciały w zakresie tych wyrobów kontynuować swoją </w:t>
      </w:r>
      <w:r>
        <w:rPr>
          <w:rFonts w:ascii="Times New Roman" w:hAnsi="Times New Roman"/>
          <w:sz w:val="24"/>
          <w:szCs w:val="24"/>
        </w:rPr>
        <w:t>dotychczasową działalność</w:t>
      </w:r>
      <w:r w:rsidRPr="001F6B97">
        <w:rPr>
          <w:rFonts w:ascii="Times New Roman" w:hAnsi="Times New Roman"/>
          <w:sz w:val="24"/>
          <w:szCs w:val="24"/>
        </w:rPr>
        <w:t>, będą obowiązane do dokonania zmiany swojego zgłoszenia rejestracyjnego. W przepisie przejściowym zaproponowano miesięczny termin na dopełnienie tej formalności przez zainteresowane podmioty.</w:t>
      </w:r>
    </w:p>
    <w:p w14:paraId="2EEB99BE" w14:textId="77777777" w:rsidR="00894AF4" w:rsidRDefault="00894AF4" w:rsidP="00366484">
      <w:pPr>
        <w:spacing w:after="0" w:line="360" w:lineRule="auto"/>
        <w:jc w:val="both"/>
        <w:rPr>
          <w:rFonts w:ascii="Times New Roman" w:hAnsi="Times New Roman"/>
          <w:sz w:val="24"/>
          <w:szCs w:val="24"/>
          <w:u w:val="single"/>
        </w:rPr>
      </w:pPr>
    </w:p>
    <w:p w14:paraId="6114240E" w14:textId="08C5C10A" w:rsidR="00366484" w:rsidRPr="0070741E" w:rsidRDefault="00366484" w:rsidP="00366484">
      <w:pPr>
        <w:spacing w:after="0" w:line="360" w:lineRule="auto"/>
        <w:jc w:val="both"/>
        <w:rPr>
          <w:rFonts w:ascii="Times New Roman" w:hAnsi="Times New Roman"/>
          <w:sz w:val="24"/>
          <w:szCs w:val="24"/>
          <w:u w:val="single"/>
        </w:rPr>
      </w:pPr>
      <w:r w:rsidRPr="0070741E">
        <w:rPr>
          <w:rFonts w:ascii="Times New Roman" w:hAnsi="Times New Roman"/>
          <w:sz w:val="24"/>
          <w:szCs w:val="24"/>
          <w:u w:val="single"/>
        </w:rPr>
        <w:t xml:space="preserve">Art. </w:t>
      </w:r>
      <w:r w:rsidR="00F455FD">
        <w:rPr>
          <w:rFonts w:ascii="Times New Roman" w:hAnsi="Times New Roman"/>
          <w:sz w:val="24"/>
          <w:szCs w:val="24"/>
          <w:u w:val="single"/>
        </w:rPr>
        <w:t>1</w:t>
      </w:r>
      <w:r w:rsidR="00894AF4">
        <w:rPr>
          <w:rFonts w:ascii="Times New Roman" w:hAnsi="Times New Roman"/>
          <w:sz w:val="24"/>
          <w:szCs w:val="24"/>
          <w:u w:val="single"/>
        </w:rPr>
        <w:t>4</w:t>
      </w:r>
    </w:p>
    <w:p w14:paraId="03BBF592" w14:textId="77777777" w:rsidR="00894AF4" w:rsidRPr="0070741E" w:rsidRDefault="00894AF4" w:rsidP="00894AF4">
      <w:pPr>
        <w:spacing w:after="0" w:line="360" w:lineRule="auto"/>
        <w:jc w:val="both"/>
        <w:rPr>
          <w:rFonts w:ascii="Times New Roman" w:hAnsi="Times New Roman"/>
          <w:sz w:val="24"/>
          <w:szCs w:val="24"/>
        </w:rPr>
      </w:pPr>
      <w:r w:rsidRPr="0070741E">
        <w:rPr>
          <w:rFonts w:ascii="Times New Roman" w:hAnsi="Times New Roman"/>
          <w:sz w:val="24"/>
          <w:szCs w:val="24"/>
        </w:rPr>
        <w:t xml:space="preserve">W </w:t>
      </w:r>
      <w:r w:rsidRPr="0070741E">
        <w:rPr>
          <w:rFonts w:ascii="Times New Roman" w:eastAsia="Times New Roman" w:hAnsi="Times New Roman"/>
          <w:sz w:val="24"/>
          <w:szCs w:val="24"/>
          <w:lang w:eastAsia="pl-PL"/>
        </w:rPr>
        <w:t xml:space="preserve">związku z tym, że niniejszy projekt wprowadza zmiany w zakresie przemieszczania </w:t>
      </w:r>
      <w:r w:rsidRPr="0070741E">
        <w:rPr>
          <w:rFonts w:ascii="Times New Roman" w:hAnsi="Times New Roman"/>
          <w:sz w:val="24"/>
          <w:szCs w:val="24"/>
        </w:rPr>
        <w:t xml:space="preserve">na terytorium kraju w ramach nabycia wewnątrzwspólnotowego lub dostawy wewnątrzwspólnotowej </w:t>
      </w:r>
      <w:r w:rsidRPr="0070741E">
        <w:rPr>
          <w:rFonts w:ascii="Times New Roman" w:eastAsia="Times New Roman" w:hAnsi="Times New Roman"/>
          <w:sz w:val="24"/>
          <w:szCs w:val="24"/>
          <w:lang w:eastAsia="pl-PL"/>
        </w:rPr>
        <w:t xml:space="preserve">wyrobów akcyzowych niewymienionych w załączniku nr 2 do ustawy, opodatkowanych stawką akcyzy inną niż stawka zerowa, do których ma </w:t>
      </w:r>
      <w:r w:rsidRPr="0070741E">
        <w:rPr>
          <w:rFonts w:ascii="Times New Roman" w:hAnsi="Times New Roman"/>
          <w:sz w:val="24"/>
          <w:szCs w:val="24"/>
        </w:rPr>
        <w:t xml:space="preserve">zastosowanie na terytorium kraju procedura zawieszenia poboru akcyzy </w:t>
      </w:r>
      <w:r w:rsidRPr="0070741E">
        <w:rPr>
          <w:rFonts w:ascii="Times New Roman" w:eastAsia="Times New Roman" w:hAnsi="Times New Roman"/>
          <w:sz w:val="24"/>
          <w:szCs w:val="24"/>
          <w:lang w:eastAsia="pl-PL"/>
        </w:rPr>
        <w:t xml:space="preserve">oraz preparatów smarowych klasyfikowanych do pozycji CN 3403 </w:t>
      </w:r>
      <w:r w:rsidRPr="0070741E">
        <w:rPr>
          <w:rFonts w:ascii="Times New Roman" w:hAnsi="Times New Roman"/>
          <w:sz w:val="24"/>
          <w:szCs w:val="24"/>
        </w:rPr>
        <w:t>i olejów smarowych o kodzie CN 2710 20 90 – przewidziano przepisy przejściowe, które umożliwią zakończenie na podstawie dotychczasowych przepisów ww. przemieszczeń rozpoczętych i niezakończonych przed dniem wejścia w życie projektowanych zmian.</w:t>
      </w:r>
    </w:p>
    <w:p w14:paraId="5CC8A64C" w14:textId="3077AD65" w:rsidR="00894AF4" w:rsidRPr="0070741E" w:rsidRDefault="00894AF4" w:rsidP="00894AF4">
      <w:pPr>
        <w:spacing w:after="0" w:line="360" w:lineRule="auto"/>
        <w:jc w:val="both"/>
        <w:rPr>
          <w:rFonts w:ascii="Times New Roman" w:hAnsi="Times New Roman"/>
          <w:sz w:val="24"/>
          <w:szCs w:val="24"/>
        </w:rPr>
      </w:pPr>
      <w:r w:rsidRPr="0070741E">
        <w:rPr>
          <w:rFonts w:ascii="Times New Roman" w:hAnsi="Times New Roman"/>
          <w:sz w:val="24"/>
          <w:szCs w:val="24"/>
        </w:rPr>
        <w:t xml:space="preserve">Jednocześnie w przepisie tym przewidziano regulację umożliwiającą podmiotom, które posiadają zezwolenia w zakresie olejów smarowych klasyfikowanych do kodów CN od 2710 19 71 do 2710 19 99, wydane na podstawie dotychczasowych przepisów, prowadzenie po dniu </w:t>
      </w:r>
      <w:r>
        <w:rPr>
          <w:rFonts w:ascii="Times New Roman" w:hAnsi="Times New Roman"/>
          <w:sz w:val="24"/>
          <w:szCs w:val="24"/>
        </w:rPr>
        <w:t xml:space="preserve"> 31 sierpnia </w:t>
      </w:r>
      <w:r w:rsidRPr="0070741E">
        <w:rPr>
          <w:rFonts w:ascii="Times New Roman" w:hAnsi="Times New Roman"/>
          <w:sz w:val="24"/>
          <w:szCs w:val="24"/>
        </w:rPr>
        <w:t>2019 r.</w:t>
      </w:r>
      <w:r>
        <w:rPr>
          <w:rFonts w:ascii="Times New Roman" w:hAnsi="Times New Roman"/>
          <w:sz w:val="24"/>
          <w:szCs w:val="24"/>
        </w:rPr>
        <w:t xml:space="preserve"> </w:t>
      </w:r>
      <w:r w:rsidRPr="0070741E">
        <w:rPr>
          <w:rFonts w:ascii="Times New Roman" w:hAnsi="Times New Roman"/>
          <w:sz w:val="24"/>
          <w:szCs w:val="24"/>
        </w:rPr>
        <w:t xml:space="preserve">na podstawie tych zezwoleń również działalności w zakresie olejów smarowych o kodzie CN 2710 20 90, jednak nie dłużej niż do dnia </w:t>
      </w:r>
      <w:r>
        <w:rPr>
          <w:rFonts w:ascii="Times New Roman" w:hAnsi="Times New Roman"/>
          <w:sz w:val="24"/>
          <w:szCs w:val="24"/>
        </w:rPr>
        <w:t xml:space="preserve"> 1 listopada </w:t>
      </w:r>
      <w:r w:rsidRPr="0070741E">
        <w:rPr>
          <w:rFonts w:ascii="Times New Roman" w:hAnsi="Times New Roman"/>
          <w:sz w:val="24"/>
          <w:szCs w:val="24"/>
        </w:rPr>
        <w:t>2019 r. Przedmiotowy dwumiesięczny termin umożliwi tym podmiotom uzyskanie zmiany posiadanych zezwoleń poprzez rozszerzenie ich na oleje smarowe o kodzie CN 2710 20 90.</w:t>
      </w:r>
    </w:p>
    <w:p w14:paraId="4B41F5F5" w14:textId="77777777" w:rsidR="00366484" w:rsidRPr="0070741E" w:rsidRDefault="00366484" w:rsidP="00CD3D8E">
      <w:pPr>
        <w:spacing w:after="0" w:line="360" w:lineRule="auto"/>
        <w:jc w:val="both"/>
        <w:rPr>
          <w:rFonts w:ascii="Times New Roman" w:hAnsi="Times New Roman"/>
          <w:sz w:val="24"/>
          <w:szCs w:val="24"/>
          <w:u w:val="single"/>
        </w:rPr>
      </w:pPr>
    </w:p>
    <w:p w14:paraId="3C85863B" w14:textId="64CD0D05" w:rsidR="00F5674A" w:rsidRDefault="00EC1646" w:rsidP="00CD3D8E">
      <w:pPr>
        <w:spacing w:after="0" w:line="360" w:lineRule="auto"/>
        <w:jc w:val="both"/>
        <w:rPr>
          <w:rFonts w:ascii="Times New Roman" w:hAnsi="Times New Roman"/>
          <w:sz w:val="24"/>
          <w:szCs w:val="24"/>
          <w:u w:val="single"/>
        </w:rPr>
      </w:pPr>
      <w:r w:rsidRPr="0070741E">
        <w:rPr>
          <w:rFonts w:ascii="Times New Roman" w:hAnsi="Times New Roman"/>
          <w:sz w:val="24"/>
          <w:szCs w:val="24"/>
          <w:u w:val="single"/>
        </w:rPr>
        <w:t xml:space="preserve">Art. </w:t>
      </w:r>
      <w:r w:rsidR="00F455FD">
        <w:rPr>
          <w:rFonts w:ascii="Times New Roman" w:hAnsi="Times New Roman"/>
          <w:sz w:val="24"/>
          <w:szCs w:val="24"/>
          <w:u w:val="single"/>
        </w:rPr>
        <w:t>1</w:t>
      </w:r>
      <w:r w:rsidR="00894AF4">
        <w:rPr>
          <w:rFonts w:ascii="Times New Roman" w:hAnsi="Times New Roman"/>
          <w:sz w:val="24"/>
          <w:szCs w:val="24"/>
          <w:u w:val="single"/>
        </w:rPr>
        <w:t>5</w:t>
      </w:r>
    </w:p>
    <w:p w14:paraId="697B512F"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Zgodnie z art. 48 ust. 10 oraz art. 59 ust. 9 ustawy o podatku akcyzowym podmioty prowadzące składy podatkowe oraz zarejestrowani odbiorcy mają obowiązek comiesięcznego informowania Prezesa Agencji Rezerw Materiałowych oraz ministra właściwego do spraw finansów </w:t>
      </w:r>
      <w:r w:rsidR="00D15939" w:rsidRPr="0070741E">
        <w:rPr>
          <w:rFonts w:ascii="Times New Roman" w:hAnsi="Times New Roman"/>
          <w:sz w:val="24"/>
          <w:szCs w:val="24"/>
        </w:rPr>
        <w:t>publicznych o nabytych paliwach</w:t>
      </w:r>
      <w:r w:rsidR="00063592" w:rsidRPr="0070741E">
        <w:rPr>
          <w:rFonts w:ascii="Times New Roman" w:hAnsi="Times New Roman"/>
          <w:sz w:val="24"/>
          <w:szCs w:val="24"/>
        </w:rPr>
        <w:t>, o których mowa</w:t>
      </w:r>
      <w:r w:rsidR="00EF245C" w:rsidRPr="0070741E">
        <w:rPr>
          <w:rFonts w:ascii="Times New Roman" w:hAnsi="Times New Roman"/>
          <w:sz w:val="24"/>
          <w:szCs w:val="24"/>
        </w:rPr>
        <w:t xml:space="preserve"> odpowiednio w art. 48 ust. 9 i </w:t>
      </w:r>
      <w:r w:rsidR="00063592" w:rsidRPr="0070741E">
        <w:rPr>
          <w:rFonts w:ascii="Times New Roman" w:hAnsi="Times New Roman"/>
          <w:sz w:val="24"/>
          <w:szCs w:val="24"/>
        </w:rPr>
        <w:t>art.</w:t>
      </w:r>
      <w:r w:rsidR="00EF245C" w:rsidRPr="0070741E">
        <w:rPr>
          <w:rFonts w:ascii="Times New Roman" w:hAnsi="Times New Roman"/>
          <w:sz w:val="24"/>
          <w:szCs w:val="24"/>
        </w:rPr>
        <w:t> </w:t>
      </w:r>
      <w:r w:rsidR="00063592" w:rsidRPr="0070741E">
        <w:rPr>
          <w:rFonts w:ascii="Times New Roman" w:hAnsi="Times New Roman"/>
          <w:sz w:val="24"/>
          <w:szCs w:val="24"/>
        </w:rPr>
        <w:t xml:space="preserve">59 ust. 8 ustawy o podatku akcyzowym, </w:t>
      </w:r>
      <w:r w:rsidRPr="0070741E">
        <w:rPr>
          <w:rFonts w:ascii="Times New Roman" w:hAnsi="Times New Roman"/>
          <w:sz w:val="24"/>
          <w:szCs w:val="24"/>
        </w:rPr>
        <w:t xml:space="preserve">oraz o podmiotach, na rzecz których w danym </w:t>
      </w:r>
      <w:r w:rsidRPr="0070741E">
        <w:rPr>
          <w:rFonts w:ascii="Times New Roman" w:hAnsi="Times New Roman"/>
          <w:sz w:val="24"/>
          <w:szCs w:val="24"/>
        </w:rPr>
        <w:lastRenderedPageBreak/>
        <w:t xml:space="preserve">miesiącu nabyli </w:t>
      </w:r>
      <w:r w:rsidR="00063592" w:rsidRPr="0070741E">
        <w:rPr>
          <w:rFonts w:ascii="Times New Roman" w:hAnsi="Times New Roman"/>
          <w:sz w:val="24"/>
          <w:szCs w:val="24"/>
        </w:rPr>
        <w:t xml:space="preserve">te </w:t>
      </w:r>
      <w:r w:rsidRPr="0070741E">
        <w:rPr>
          <w:rFonts w:ascii="Times New Roman" w:hAnsi="Times New Roman"/>
          <w:sz w:val="24"/>
          <w:szCs w:val="24"/>
        </w:rPr>
        <w:t xml:space="preserve">paliwa. W związku z przewidzianą w projektowanej ustawie zmianą odwołania w art. 48 ust. 9 oraz art. 59 ust. </w:t>
      </w:r>
      <w:r w:rsidR="00063592" w:rsidRPr="0070741E">
        <w:rPr>
          <w:rFonts w:ascii="Times New Roman" w:hAnsi="Times New Roman"/>
          <w:sz w:val="24"/>
          <w:szCs w:val="24"/>
        </w:rPr>
        <w:t xml:space="preserve">8 </w:t>
      </w:r>
      <w:r w:rsidRPr="0070741E">
        <w:rPr>
          <w:rFonts w:ascii="Times New Roman" w:hAnsi="Times New Roman"/>
          <w:sz w:val="24"/>
          <w:szCs w:val="24"/>
        </w:rPr>
        <w:t xml:space="preserve">ustawy o podatku akcyzowym, w art. </w:t>
      </w:r>
      <w:r w:rsidR="00A9278D" w:rsidRPr="0070741E">
        <w:rPr>
          <w:rFonts w:ascii="Times New Roman" w:hAnsi="Times New Roman"/>
          <w:sz w:val="24"/>
          <w:szCs w:val="24"/>
        </w:rPr>
        <w:t>1</w:t>
      </w:r>
      <w:r w:rsidR="00792429">
        <w:rPr>
          <w:rFonts w:ascii="Times New Roman" w:hAnsi="Times New Roman"/>
          <w:sz w:val="24"/>
          <w:szCs w:val="24"/>
        </w:rPr>
        <w:t>4</w:t>
      </w:r>
      <w:r w:rsidR="00063592" w:rsidRPr="0070741E">
        <w:rPr>
          <w:rFonts w:ascii="Times New Roman" w:hAnsi="Times New Roman"/>
          <w:sz w:val="24"/>
          <w:szCs w:val="24"/>
        </w:rPr>
        <w:t xml:space="preserve"> </w:t>
      </w:r>
      <w:r w:rsidRPr="0070741E">
        <w:rPr>
          <w:rFonts w:ascii="Times New Roman" w:hAnsi="Times New Roman"/>
          <w:sz w:val="24"/>
          <w:szCs w:val="24"/>
        </w:rPr>
        <w:t>zawarto regulację przejściową, która umożliwi podmiotom prowadzącym składy podatkowe oraz zarejestrowanym odbiorcom złożenie informacji o nabytych paliwach oraz o podmiotach, na rzecz których nabyli paliwa za okresy poprzedzające wejście w życie projektowanej ustawy na zasadach dotychczasowych. Oznacza to, że informacje, o których mowa w art. 48 ust. 10 oraz art. 59 ust. 9 ustawy o podatku akcyzowym składane za okresy poprzedzające wejście w życie projektowanej ustawy dotyczyły będą paliw silnikowych wymienionych w załączniku nr 2 do ustawy o podatku akcyzowym, których wytwarzanie lub którymi obrót wymaga uzyskania koncesji, zgodnie z przepisami ustawy – Prawo energetyczne.</w:t>
      </w:r>
    </w:p>
    <w:p w14:paraId="3AE66A6A" w14:textId="77777777" w:rsidR="006B7B7A" w:rsidRDefault="006B7B7A" w:rsidP="00CD3D8E">
      <w:pPr>
        <w:spacing w:after="0" w:line="360" w:lineRule="auto"/>
        <w:jc w:val="both"/>
        <w:rPr>
          <w:rFonts w:ascii="Times New Roman" w:hAnsi="Times New Roman"/>
          <w:sz w:val="24"/>
          <w:szCs w:val="24"/>
        </w:rPr>
      </w:pPr>
    </w:p>
    <w:p w14:paraId="348D4564" w14:textId="337AEE1F" w:rsidR="00194526" w:rsidRPr="00F735A7" w:rsidRDefault="00194526" w:rsidP="00CD3D8E">
      <w:pPr>
        <w:spacing w:after="0" w:line="360" w:lineRule="auto"/>
        <w:jc w:val="both"/>
        <w:rPr>
          <w:rFonts w:ascii="Times New Roman" w:hAnsi="Times New Roman"/>
          <w:sz w:val="24"/>
          <w:szCs w:val="24"/>
          <w:u w:val="single"/>
        </w:rPr>
      </w:pPr>
      <w:r w:rsidRPr="00F735A7">
        <w:rPr>
          <w:rFonts w:ascii="Times New Roman" w:hAnsi="Times New Roman"/>
          <w:sz w:val="24"/>
          <w:szCs w:val="24"/>
          <w:u w:val="single"/>
        </w:rPr>
        <w:t>Art.</w:t>
      </w:r>
      <w:r w:rsidR="00F455FD" w:rsidRPr="00F735A7">
        <w:rPr>
          <w:rFonts w:ascii="Times New Roman" w:hAnsi="Times New Roman"/>
          <w:sz w:val="24"/>
          <w:szCs w:val="24"/>
          <w:u w:val="single"/>
        </w:rPr>
        <w:t>1</w:t>
      </w:r>
      <w:r w:rsidR="00894AF4">
        <w:rPr>
          <w:rFonts w:ascii="Times New Roman" w:hAnsi="Times New Roman"/>
          <w:sz w:val="24"/>
          <w:szCs w:val="24"/>
          <w:u w:val="single"/>
        </w:rPr>
        <w:t>6</w:t>
      </w:r>
      <w:r w:rsidR="00F455FD" w:rsidRPr="00F735A7">
        <w:rPr>
          <w:rFonts w:ascii="Times New Roman" w:hAnsi="Times New Roman"/>
          <w:sz w:val="24"/>
          <w:szCs w:val="24"/>
          <w:u w:val="single"/>
        </w:rPr>
        <w:t xml:space="preserve"> </w:t>
      </w:r>
    </w:p>
    <w:p w14:paraId="2AABE1D9" w14:textId="623E3497" w:rsidR="00194526" w:rsidRDefault="00194526" w:rsidP="00194526">
      <w:pPr>
        <w:spacing w:after="0" w:line="360" w:lineRule="auto"/>
        <w:jc w:val="both"/>
        <w:rPr>
          <w:rFonts w:ascii="Times New Roman" w:hAnsi="Times New Roman"/>
          <w:sz w:val="24"/>
          <w:szCs w:val="24"/>
        </w:rPr>
      </w:pPr>
      <w:r w:rsidRPr="00194526">
        <w:rPr>
          <w:rFonts w:ascii="Times New Roman" w:hAnsi="Times New Roman"/>
          <w:sz w:val="24"/>
          <w:szCs w:val="24"/>
        </w:rPr>
        <w:t xml:space="preserve">W celu określeniu terminu, który będzie decydujący dla możliwości skorzystania </w:t>
      </w:r>
      <w:r>
        <w:rPr>
          <w:rFonts w:ascii="Times New Roman" w:hAnsi="Times New Roman"/>
          <w:sz w:val="24"/>
          <w:szCs w:val="24"/>
        </w:rPr>
        <w:t>przez</w:t>
      </w:r>
      <w:r w:rsidR="00E93E24">
        <w:rPr>
          <w:rFonts w:ascii="Times New Roman" w:hAnsi="Times New Roman"/>
          <w:sz w:val="24"/>
          <w:szCs w:val="24"/>
        </w:rPr>
        <w:t xml:space="preserve"> </w:t>
      </w:r>
      <w:r w:rsidRPr="00194526">
        <w:rPr>
          <w:rFonts w:ascii="Times New Roman" w:hAnsi="Times New Roman"/>
          <w:sz w:val="24"/>
          <w:szCs w:val="24"/>
        </w:rPr>
        <w:t>podatników z zerowej stawki akcyzy</w:t>
      </w:r>
      <w:r w:rsidR="00912F59">
        <w:rPr>
          <w:rFonts w:ascii="Times New Roman" w:hAnsi="Times New Roman"/>
          <w:sz w:val="24"/>
          <w:szCs w:val="24"/>
        </w:rPr>
        <w:t>, o której mowa w art. 89 ust</w:t>
      </w:r>
      <w:r w:rsidR="009854C4">
        <w:rPr>
          <w:rFonts w:ascii="Times New Roman" w:hAnsi="Times New Roman"/>
          <w:sz w:val="24"/>
          <w:szCs w:val="24"/>
        </w:rPr>
        <w:t>. 1 pkt 12 lit. aa i b ustawy o </w:t>
      </w:r>
      <w:r w:rsidR="00912F59">
        <w:rPr>
          <w:rFonts w:ascii="Times New Roman" w:hAnsi="Times New Roman"/>
          <w:sz w:val="24"/>
          <w:szCs w:val="24"/>
        </w:rPr>
        <w:t>podatku akcyzowym,</w:t>
      </w:r>
      <w:r w:rsidR="00E93E24">
        <w:rPr>
          <w:rFonts w:ascii="Times New Roman" w:hAnsi="Times New Roman"/>
          <w:sz w:val="24"/>
          <w:szCs w:val="24"/>
        </w:rPr>
        <w:t xml:space="preserve"> </w:t>
      </w:r>
      <w:r w:rsidRPr="00194526">
        <w:rPr>
          <w:rFonts w:ascii="Times New Roman" w:hAnsi="Times New Roman"/>
          <w:sz w:val="24"/>
          <w:szCs w:val="24"/>
        </w:rPr>
        <w:t xml:space="preserve">wprowadzono regulację, zgodnie z którą przepisy dotyczące zerowej stawki akcyzy </w:t>
      </w:r>
      <w:r>
        <w:rPr>
          <w:rFonts w:ascii="Times New Roman" w:hAnsi="Times New Roman"/>
          <w:sz w:val="24"/>
          <w:szCs w:val="24"/>
        </w:rPr>
        <w:t>b</w:t>
      </w:r>
      <w:r w:rsidRPr="00194526">
        <w:rPr>
          <w:rFonts w:ascii="Times New Roman" w:hAnsi="Times New Roman"/>
          <w:sz w:val="24"/>
          <w:szCs w:val="24"/>
        </w:rPr>
        <w:t xml:space="preserve">ędą stosowane </w:t>
      </w:r>
      <w:r>
        <w:rPr>
          <w:rFonts w:ascii="Times New Roman" w:hAnsi="Times New Roman"/>
          <w:sz w:val="24"/>
          <w:szCs w:val="24"/>
        </w:rPr>
        <w:t xml:space="preserve">wobec takich </w:t>
      </w:r>
      <w:r w:rsidR="00912F59">
        <w:rPr>
          <w:rFonts w:ascii="Times New Roman" w:hAnsi="Times New Roman"/>
          <w:sz w:val="24"/>
          <w:szCs w:val="24"/>
        </w:rPr>
        <w:t>wyrobów akcyzowych</w:t>
      </w:r>
      <w:r w:rsidRPr="00194526">
        <w:rPr>
          <w:rFonts w:ascii="Times New Roman" w:hAnsi="Times New Roman"/>
          <w:sz w:val="24"/>
          <w:szCs w:val="24"/>
        </w:rPr>
        <w:t xml:space="preserve">, w odniesieniu do których obowiązek podatkowy w podatku akcyzowym powstał po </w:t>
      </w:r>
      <w:r w:rsidR="00912F59">
        <w:rPr>
          <w:rFonts w:ascii="Times New Roman" w:hAnsi="Times New Roman"/>
          <w:sz w:val="24"/>
          <w:szCs w:val="24"/>
        </w:rPr>
        <w:t xml:space="preserve">dniu </w:t>
      </w:r>
      <w:r w:rsidRPr="00194526">
        <w:rPr>
          <w:rFonts w:ascii="Times New Roman" w:hAnsi="Times New Roman"/>
          <w:sz w:val="24"/>
          <w:szCs w:val="24"/>
        </w:rPr>
        <w:t>ogłoszeni</w:t>
      </w:r>
      <w:r w:rsidR="00912F59">
        <w:rPr>
          <w:rFonts w:ascii="Times New Roman" w:hAnsi="Times New Roman"/>
          <w:sz w:val="24"/>
          <w:szCs w:val="24"/>
        </w:rPr>
        <w:t>a</w:t>
      </w:r>
      <w:r w:rsidRPr="00194526">
        <w:rPr>
          <w:rFonts w:ascii="Times New Roman" w:hAnsi="Times New Roman"/>
          <w:sz w:val="24"/>
          <w:szCs w:val="24"/>
        </w:rPr>
        <w:t xml:space="preserve"> ustawy.</w:t>
      </w:r>
    </w:p>
    <w:p w14:paraId="1F04177A" w14:textId="77777777" w:rsidR="00F5674A" w:rsidRDefault="00F5674A" w:rsidP="00194526">
      <w:pPr>
        <w:spacing w:after="0" w:line="360" w:lineRule="auto"/>
        <w:jc w:val="both"/>
        <w:rPr>
          <w:rFonts w:ascii="Times New Roman" w:hAnsi="Times New Roman"/>
          <w:sz w:val="24"/>
          <w:szCs w:val="24"/>
        </w:rPr>
      </w:pPr>
    </w:p>
    <w:p w14:paraId="59E1D401" w14:textId="77777777" w:rsidR="006D6F2E" w:rsidRPr="009854C4" w:rsidRDefault="006D6F2E" w:rsidP="006D6F2E">
      <w:pPr>
        <w:spacing w:after="0" w:line="360" w:lineRule="auto"/>
        <w:jc w:val="both"/>
        <w:rPr>
          <w:rFonts w:ascii="Times New Roman" w:hAnsi="Times New Roman"/>
          <w:sz w:val="24"/>
          <w:szCs w:val="24"/>
          <w:u w:val="single"/>
        </w:rPr>
      </w:pPr>
      <w:r w:rsidRPr="009854C4">
        <w:rPr>
          <w:rFonts w:ascii="Times New Roman" w:hAnsi="Times New Roman"/>
          <w:sz w:val="24"/>
          <w:szCs w:val="24"/>
          <w:u w:val="single"/>
        </w:rPr>
        <w:t>Art.17</w:t>
      </w:r>
    </w:p>
    <w:p w14:paraId="478F1D61" w14:textId="77777777" w:rsidR="006D6F2E" w:rsidRPr="00BB2004" w:rsidRDefault="006D6F2E" w:rsidP="009854C4">
      <w:pPr>
        <w:pStyle w:val="ARTartustawynprozporzdzenia"/>
        <w:spacing w:before="0"/>
        <w:ind w:firstLine="0"/>
        <w:rPr>
          <w:rStyle w:val="Ppogrubienie"/>
        </w:rPr>
      </w:pPr>
      <w:r w:rsidRPr="009854C4">
        <w:rPr>
          <w:rFonts w:ascii="Times New Roman" w:hAnsi="Times New Roman"/>
          <w:szCs w:val="24"/>
        </w:rPr>
        <w:t>Przepis przejściowy zawarty w art. 17 umożliwia prowadzenie</w:t>
      </w:r>
      <w:r>
        <w:rPr>
          <w:rFonts w:ascii="Times New Roman" w:hAnsi="Times New Roman"/>
          <w:szCs w:val="24"/>
          <w:u w:val="single"/>
        </w:rPr>
        <w:t xml:space="preserve"> </w:t>
      </w:r>
      <w:r w:rsidRPr="00B46557">
        <w:t>ewidencj</w:t>
      </w:r>
      <w:r>
        <w:t>i</w:t>
      </w:r>
      <w:r w:rsidRPr="00B46557">
        <w:t xml:space="preserve"> </w:t>
      </w:r>
      <w:r>
        <w:t xml:space="preserve">przez skład podatkowy lub zarejestrowanego odbiorcę nabywanych wewnątrzwspólnotowo </w:t>
      </w:r>
      <w:r w:rsidRPr="00B46557">
        <w:t xml:space="preserve">wyrobów akcyzowych wymienionych w art. 103 ust. 5aa ustawy </w:t>
      </w:r>
      <w:r>
        <w:t>o podatku od  towarów i usług na zasadach określonych w obecnie obowiązującym rozporządzeniu w sprawie ewidencji i innych dokumentacji dotyczących wyrobów akcyzowych i znaków akcyzy, nie dłużej jednak niż do 31 grudnia 2019 r. W tym terminie bowiem, zgodnie z art. 18 ust. 2 niniejszej ustawy zostanie wydane nowe rozporządzenie dostosowujące ewidencję do ww. wyrobów akcyzowych.</w:t>
      </w:r>
    </w:p>
    <w:p w14:paraId="77718AAC" w14:textId="77777777" w:rsidR="006D6F2E" w:rsidRPr="00194526" w:rsidRDefault="006D6F2E" w:rsidP="00194526">
      <w:pPr>
        <w:spacing w:after="0" w:line="360" w:lineRule="auto"/>
        <w:jc w:val="both"/>
        <w:rPr>
          <w:rFonts w:ascii="Times New Roman" w:hAnsi="Times New Roman"/>
          <w:sz w:val="24"/>
          <w:szCs w:val="24"/>
        </w:rPr>
      </w:pPr>
    </w:p>
    <w:p w14:paraId="7B056E65" w14:textId="324634BF" w:rsidR="006B7B7A" w:rsidRPr="0070741E" w:rsidRDefault="004E5772" w:rsidP="00CD3D8E">
      <w:pPr>
        <w:spacing w:after="0" w:line="360" w:lineRule="auto"/>
        <w:jc w:val="both"/>
        <w:rPr>
          <w:rFonts w:ascii="Times New Roman" w:hAnsi="Times New Roman"/>
          <w:sz w:val="24"/>
          <w:szCs w:val="24"/>
          <w:u w:val="single"/>
        </w:rPr>
      </w:pPr>
      <w:r w:rsidRPr="0070741E">
        <w:rPr>
          <w:rFonts w:ascii="Times New Roman" w:hAnsi="Times New Roman"/>
          <w:sz w:val="24"/>
          <w:szCs w:val="24"/>
          <w:u w:val="single"/>
        </w:rPr>
        <w:t xml:space="preserve">Art. </w:t>
      </w:r>
      <w:r w:rsidR="00F455FD">
        <w:rPr>
          <w:rFonts w:ascii="Times New Roman" w:hAnsi="Times New Roman"/>
          <w:sz w:val="24"/>
          <w:szCs w:val="24"/>
          <w:u w:val="single"/>
        </w:rPr>
        <w:t>1</w:t>
      </w:r>
      <w:r w:rsidR="006D6F2E">
        <w:rPr>
          <w:rFonts w:ascii="Times New Roman" w:hAnsi="Times New Roman"/>
          <w:sz w:val="24"/>
          <w:szCs w:val="24"/>
          <w:u w:val="single"/>
        </w:rPr>
        <w:t>8</w:t>
      </w:r>
    </w:p>
    <w:p w14:paraId="158E323B" w14:textId="677CE407" w:rsidR="006D6F2E" w:rsidRPr="006D6F2E" w:rsidRDefault="006D6F2E" w:rsidP="006D6F2E">
      <w:pPr>
        <w:spacing w:after="0" w:line="360" w:lineRule="auto"/>
        <w:jc w:val="both"/>
        <w:rPr>
          <w:rFonts w:ascii="Times New Roman" w:hAnsi="Times New Roman"/>
          <w:sz w:val="24"/>
          <w:szCs w:val="24"/>
        </w:rPr>
      </w:pPr>
      <w:r w:rsidRPr="0070741E">
        <w:rPr>
          <w:rFonts w:ascii="Times New Roman" w:hAnsi="Times New Roman"/>
          <w:sz w:val="24"/>
          <w:szCs w:val="24"/>
        </w:rPr>
        <w:t xml:space="preserve">W art. </w:t>
      </w:r>
      <w:r>
        <w:rPr>
          <w:rFonts w:ascii="Times New Roman" w:hAnsi="Times New Roman"/>
          <w:sz w:val="24"/>
          <w:szCs w:val="24"/>
        </w:rPr>
        <w:t xml:space="preserve">18 </w:t>
      </w:r>
      <w:r w:rsidRPr="0070741E">
        <w:rPr>
          <w:rFonts w:ascii="Times New Roman" w:hAnsi="Times New Roman"/>
          <w:sz w:val="24"/>
          <w:szCs w:val="24"/>
        </w:rPr>
        <w:t xml:space="preserve">ust. </w:t>
      </w:r>
      <w:r>
        <w:rPr>
          <w:rFonts w:ascii="Times New Roman" w:hAnsi="Times New Roman"/>
          <w:sz w:val="24"/>
          <w:szCs w:val="24"/>
        </w:rPr>
        <w:t>1</w:t>
      </w:r>
      <w:r w:rsidRPr="0070741E">
        <w:rPr>
          <w:rFonts w:ascii="Times New Roman" w:hAnsi="Times New Roman"/>
          <w:sz w:val="24"/>
          <w:szCs w:val="24"/>
        </w:rPr>
        <w:t xml:space="preserve"> zawarto regulację przejściową pozwalającą na utrzymanie w mocy przepisów wykonawczych wydanych na podstawie art. 33b ust. 5 ustawy o VAT przez okres niezbędny do dostosowania tych przepisów wykonawczych do zmian ustawowych.</w:t>
      </w:r>
    </w:p>
    <w:p w14:paraId="0B29C579" w14:textId="7A43DAEC" w:rsidR="006D6F2E" w:rsidRDefault="006D6F2E" w:rsidP="006D6F2E">
      <w:pPr>
        <w:spacing w:after="0" w:line="360" w:lineRule="auto"/>
        <w:jc w:val="both"/>
        <w:rPr>
          <w:rFonts w:ascii="Times New Roman" w:hAnsi="Times New Roman"/>
          <w:sz w:val="24"/>
          <w:szCs w:val="24"/>
        </w:rPr>
      </w:pPr>
      <w:r w:rsidRPr="009A0E6E">
        <w:rPr>
          <w:rFonts w:ascii="Times New Roman" w:hAnsi="Times New Roman"/>
          <w:sz w:val="24"/>
          <w:szCs w:val="24"/>
        </w:rPr>
        <w:lastRenderedPageBreak/>
        <w:t xml:space="preserve">W </w:t>
      </w:r>
      <w:r w:rsidRPr="0046009E">
        <w:rPr>
          <w:rFonts w:ascii="Times New Roman" w:hAnsi="Times New Roman"/>
          <w:sz w:val="24"/>
          <w:szCs w:val="24"/>
        </w:rPr>
        <w:t>art. 1</w:t>
      </w:r>
      <w:r>
        <w:rPr>
          <w:rFonts w:ascii="Times New Roman" w:hAnsi="Times New Roman"/>
          <w:sz w:val="24"/>
          <w:szCs w:val="24"/>
        </w:rPr>
        <w:t>8</w:t>
      </w:r>
      <w:r w:rsidRPr="0046009E">
        <w:rPr>
          <w:rFonts w:ascii="Times New Roman" w:hAnsi="Times New Roman"/>
          <w:sz w:val="24"/>
          <w:szCs w:val="24"/>
        </w:rPr>
        <w:t xml:space="preserve"> ust. </w:t>
      </w:r>
      <w:r>
        <w:rPr>
          <w:rFonts w:ascii="Times New Roman" w:hAnsi="Times New Roman"/>
          <w:sz w:val="24"/>
          <w:szCs w:val="24"/>
        </w:rPr>
        <w:t>2</w:t>
      </w:r>
      <w:r w:rsidRPr="008366F8">
        <w:rPr>
          <w:rFonts w:ascii="Times New Roman" w:hAnsi="Times New Roman"/>
          <w:sz w:val="24"/>
          <w:szCs w:val="24"/>
        </w:rPr>
        <w:t xml:space="preserve"> zawarto regulację przejściową pozwalającą na utrzymanie w mocy przepisów wykona</w:t>
      </w:r>
      <w:r w:rsidRPr="009A0E6E">
        <w:rPr>
          <w:rFonts w:ascii="Times New Roman" w:hAnsi="Times New Roman"/>
          <w:sz w:val="24"/>
          <w:szCs w:val="24"/>
        </w:rPr>
        <w:t xml:space="preserve">wczych wydanych na podstawie art. 138s ustawy o podatku akcyzowym przez okres niezbędny do </w:t>
      </w:r>
      <w:r>
        <w:rPr>
          <w:rFonts w:ascii="Times New Roman" w:hAnsi="Times New Roman"/>
          <w:sz w:val="24"/>
          <w:szCs w:val="24"/>
        </w:rPr>
        <w:t>wydania nowych</w:t>
      </w:r>
      <w:r w:rsidRPr="009A0E6E">
        <w:rPr>
          <w:rFonts w:ascii="Times New Roman" w:hAnsi="Times New Roman"/>
          <w:sz w:val="24"/>
          <w:szCs w:val="24"/>
        </w:rPr>
        <w:t xml:space="preserve"> przepisów wykonawczych</w:t>
      </w:r>
      <w:r>
        <w:rPr>
          <w:rFonts w:ascii="Times New Roman" w:hAnsi="Times New Roman"/>
          <w:sz w:val="24"/>
          <w:szCs w:val="24"/>
        </w:rPr>
        <w:t>,</w:t>
      </w:r>
      <w:r w:rsidRPr="009A0E6E">
        <w:rPr>
          <w:rFonts w:ascii="Times New Roman" w:hAnsi="Times New Roman"/>
          <w:sz w:val="24"/>
          <w:szCs w:val="24"/>
        </w:rPr>
        <w:t xml:space="preserve"> </w:t>
      </w:r>
      <w:r>
        <w:rPr>
          <w:rFonts w:ascii="Times New Roman" w:hAnsi="Times New Roman"/>
          <w:sz w:val="24"/>
          <w:szCs w:val="24"/>
        </w:rPr>
        <w:t>jednak nie dłużej niż do 31 grudnia 2019 r</w:t>
      </w:r>
      <w:r w:rsidRPr="0070741E">
        <w:rPr>
          <w:rFonts w:ascii="Times New Roman" w:hAnsi="Times New Roman"/>
          <w:sz w:val="24"/>
          <w:szCs w:val="24"/>
        </w:rPr>
        <w:t>.</w:t>
      </w:r>
    </w:p>
    <w:p w14:paraId="08726D8D" w14:textId="044C0F96" w:rsidR="002851C9" w:rsidRPr="0070741E" w:rsidRDefault="002851C9" w:rsidP="002851C9">
      <w:pPr>
        <w:spacing w:after="0" w:line="360" w:lineRule="auto"/>
        <w:jc w:val="both"/>
        <w:rPr>
          <w:rFonts w:ascii="Times New Roman" w:eastAsia="Times New Roman" w:hAnsi="Times New Roman"/>
          <w:bCs/>
          <w:sz w:val="24"/>
          <w:szCs w:val="24"/>
          <w:lang w:eastAsia="pl-PL"/>
        </w:rPr>
      </w:pPr>
      <w:r w:rsidRPr="0070741E">
        <w:rPr>
          <w:rFonts w:ascii="Times New Roman" w:hAnsi="Times New Roman"/>
          <w:sz w:val="24"/>
          <w:szCs w:val="24"/>
        </w:rPr>
        <w:t xml:space="preserve">Uzasadnienie do art. </w:t>
      </w:r>
      <w:r>
        <w:rPr>
          <w:rFonts w:ascii="Times New Roman" w:hAnsi="Times New Roman"/>
          <w:sz w:val="24"/>
          <w:szCs w:val="24"/>
        </w:rPr>
        <w:t xml:space="preserve">18 </w:t>
      </w:r>
      <w:r w:rsidRPr="0070741E">
        <w:rPr>
          <w:rFonts w:ascii="Times New Roman" w:hAnsi="Times New Roman"/>
          <w:sz w:val="24"/>
          <w:szCs w:val="24"/>
        </w:rPr>
        <w:t xml:space="preserve">ust. </w:t>
      </w:r>
      <w:r>
        <w:rPr>
          <w:rFonts w:ascii="Times New Roman" w:hAnsi="Times New Roman"/>
          <w:sz w:val="24"/>
          <w:szCs w:val="24"/>
        </w:rPr>
        <w:t xml:space="preserve">3 </w:t>
      </w:r>
      <w:r w:rsidRPr="0070741E">
        <w:rPr>
          <w:rFonts w:ascii="Times New Roman" w:hAnsi="Times New Roman"/>
          <w:sz w:val="24"/>
          <w:szCs w:val="24"/>
        </w:rPr>
        <w:t xml:space="preserve">znajduje się w </w:t>
      </w:r>
      <w:r w:rsidRPr="0070741E">
        <w:rPr>
          <w:rFonts w:ascii="Times New Roman" w:eastAsia="Times New Roman" w:hAnsi="Times New Roman"/>
          <w:bCs/>
          <w:sz w:val="24"/>
          <w:szCs w:val="24"/>
          <w:lang w:eastAsia="pl-PL"/>
        </w:rPr>
        <w:t>części dotyczącej zmian w pakiecie paliwowym.</w:t>
      </w:r>
    </w:p>
    <w:p w14:paraId="2B4BAA5F" w14:textId="77777777" w:rsidR="006B7B7A" w:rsidRDefault="006B7B7A" w:rsidP="00CD3D8E">
      <w:pPr>
        <w:spacing w:after="0" w:line="360" w:lineRule="auto"/>
        <w:jc w:val="both"/>
        <w:rPr>
          <w:rFonts w:ascii="Times New Roman" w:hAnsi="Times New Roman"/>
          <w:sz w:val="24"/>
          <w:szCs w:val="24"/>
        </w:rPr>
      </w:pPr>
    </w:p>
    <w:p w14:paraId="10D3C399" w14:textId="42B10565"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Zakłada się, że projektowana ustawa wejdzie w życie z dniem</w:t>
      </w:r>
      <w:r w:rsidRPr="0070741E">
        <w:rPr>
          <w:rFonts w:ascii="Times New Roman" w:hAnsi="Times New Roman"/>
          <w:color w:val="CE181E"/>
          <w:sz w:val="24"/>
          <w:szCs w:val="24"/>
        </w:rPr>
        <w:t xml:space="preserve"> </w:t>
      </w:r>
      <w:r w:rsidRPr="0070741E">
        <w:rPr>
          <w:rFonts w:ascii="Times New Roman" w:hAnsi="Times New Roman"/>
          <w:color w:val="auto"/>
          <w:sz w:val="24"/>
          <w:szCs w:val="24"/>
        </w:rPr>
        <w:t xml:space="preserve">1 </w:t>
      </w:r>
      <w:r w:rsidR="00871B03">
        <w:rPr>
          <w:rFonts w:ascii="Times New Roman" w:hAnsi="Times New Roman"/>
          <w:color w:val="auto"/>
          <w:sz w:val="24"/>
          <w:szCs w:val="24"/>
        </w:rPr>
        <w:t>września</w:t>
      </w:r>
      <w:r w:rsidRPr="0070741E">
        <w:rPr>
          <w:rFonts w:ascii="Times New Roman" w:hAnsi="Times New Roman"/>
          <w:color w:val="auto"/>
          <w:sz w:val="24"/>
          <w:szCs w:val="24"/>
        </w:rPr>
        <w:t xml:space="preserve"> 2019 r. </w:t>
      </w:r>
      <w:r w:rsidRPr="0070741E">
        <w:rPr>
          <w:rFonts w:ascii="Times New Roman" w:hAnsi="Times New Roman"/>
          <w:bCs/>
          <w:sz w:val="24"/>
          <w:szCs w:val="24"/>
        </w:rPr>
        <w:t>(art.</w:t>
      </w:r>
      <w:r w:rsidR="00F455FD">
        <w:rPr>
          <w:rFonts w:ascii="Times New Roman" w:hAnsi="Times New Roman"/>
          <w:bCs/>
          <w:sz w:val="24"/>
          <w:szCs w:val="24"/>
        </w:rPr>
        <w:t>1</w:t>
      </w:r>
      <w:r w:rsidR="006D6F2E">
        <w:rPr>
          <w:rFonts w:ascii="Times New Roman" w:hAnsi="Times New Roman"/>
          <w:bCs/>
          <w:sz w:val="24"/>
          <w:szCs w:val="24"/>
        </w:rPr>
        <w:t>9</w:t>
      </w:r>
      <w:r w:rsidRPr="0070741E">
        <w:rPr>
          <w:rFonts w:ascii="Times New Roman" w:hAnsi="Times New Roman"/>
          <w:bCs/>
          <w:sz w:val="24"/>
          <w:szCs w:val="24"/>
        </w:rPr>
        <w:t>)</w:t>
      </w:r>
      <w:r w:rsidRPr="0070741E">
        <w:rPr>
          <w:rFonts w:ascii="Times New Roman" w:hAnsi="Times New Roman"/>
          <w:sz w:val="24"/>
          <w:szCs w:val="24"/>
        </w:rPr>
        <w:t xml:space="preserve">. </w:t>
      </w:r>
    </w:p>
    <w:p w14:paraId="27038A31" w14:textId="77777777" w:rsidR="00BB6F72" w:rsidRPr="0070741E" w:rsidRDefault="00BB6F72" w:rsidP="000E5E9F">
      <w:pPr>
        <w:spacing w:after="0" w:line="360" w:lineRule="auto"/>
        <w:jc w:val="both"/>
        <w:rPr>
          <w:rFonts w:ascii="Times New Roman" w:hAnsi="Times New Roman"/>
          <w:sz w:val="24"/>
          <w:szCs w:val="24"/>
        </w:rPr>
      </w:pPr>
    </w:p>
    <w:p w14:paraId="215D1BDC" w14:textId="77777777" w:rsidR="009854C4" w:rsidRDefault="004E5772" w:rsidP="009854C4">
      <w:pPr>
        <w:spacing w:after="0" w:line="360" w:lineRule="auto"/>
        <w:jc w:val="both"/>
        <w:rPr>
          <w:rFonts w:ascii="Times New Roman" w:hAnsi="Times New Roman"/>
          <w:sz w:val="24"/>
          <w:szCs w:val="24"/>
        </w:rPr>
      </w:pPr>
      <w:r w:rsidRPr="0070741E">
        <w:rPr>
          <w:rFonts w:ascii="Times New Roman" w:hAnsi="Times New Roman"/>
          <w:sz w:val="24"/>
          <w:szCs w:val="24"/>
        </w:rPr>
        <w:t>Projektowane przepisy wejdą w życie w dniu</w:t>
      </w:r>
      <w:r w:rsidR="007D5A6F" w:rsidRPr="0070741E">
        <w:rPr>
          <w:rFonts w:ascii="Times New Roman" w:hAnsi="Times New Roman"/>
          <w:sz w:val="24"/>
          <w:szCs w:val="24"/>
        </w:rPr>
        <w:t xml:space="preserve"> </w:t>
      </w:r>
      <w:r w:rsidRPr="0070741E">
        <w:rPr>
          <w:rFonts w:ascii="Times New Roman" w:hAnsi="Times New Roman"/>
          <w:color w:val="auto"/>
          <w:sz w:val="24"/>
          <w:szCs w:val="24"/>
        </w:rPr>
        <w:t xml:space="preserve">1 </w:t>
      </w:r>
      <w:r w:rsidR="00871B03">
        <w:rPr>
          <w:rFonts w:ascii="Times New Roman" w:hAnsi="Times New Roman"/>
          <w:color w:val="auto"/>
          <w:sz w:val="24"/>
          <w:szCs w:val="24"/>
        </w:rPr>
        <w:t>września</w:t>
      </w:r>
      <w:r w:rsidRPr="0070741E">
        <w:rPr>
          <w:rFonts w:ascii="Times New Roman" w:hAnsi="Times New Roman"/>
          <w:color w:val="auto"/>
          <w:sz w:val="24"/>
          <w:szCs w:val="24"/>
        </w:rPr>
        <w:t xml:space="preserve"> </w:t>
      </w:r>
      <w:r w:rsidR="00455542" w:rsidRPr="0070741E">
        <w:rPr>
          <w:rFonts w:ascii="Times New Roman" w:hAnsi="Times New Roman"/>
          <w:color w:val="auto"/>
          <w:sz w:val="24"/>
          <w:szCs w:val="24"/>
        </w:rPr>
        <w:t xml:space="preserve">2019 </w:t>
      </w:r>
      <w:r w:rsidRPr="0070741E">
        <w:rPr>
          <w:rFonts w:ascii="Times New Roman" w:hAnsi="Times New Roman"/>
          <w:color w:val="auto"/>
          <w:sz w:val="24"/>
          <w:szCs w:val="24"/>
        </w:rPr>
        <w:t>r.</w:t>
      </w:r>
      <w:r w:rsidRPr="0070741E">
        <w:rPr>
          <w:rFonts w:ascii="Times New Roman" w:hAnsi="Times New Roman"/>
          <w:sz w:val="24"/>
          <w:szCs w:val="24"/>
        </w:rPr>
        <w:t>, z wyjątkiem</w:t>
      </w:r>
      <w:r w:rsidR="009854C4">
        <w:rPr>
          <w:rFonts w:ascii="Times New Roman" w:hAnsi="Times New Roman"/>
          <w:sz w:val="24"/>
          <w:szCs w:val="24"/>
        </w:rPr>
        <w:t xml:space="preserve"> </w:t>
      </w:r>
      <w:r w:rsidRPr="009854C4">
        <w:rPr>
          <w:rFonts w:ascii="Times New Roman" w:hAnsi="Times New Roman"/>
          <w:sz w:val="24"/>
          <w:szCs w:val="24"/>
        </w:rPr>
        <w:t>zmian przewidzianych w ustawie o podatku akcyzowym dotyczących wprowadzenia opodatkowania pozytywną stawką podatku akcyzowego preparatów smarowych objętych pozycją CN 3403 oraz</w:t>
      </w:r>
      <w:r w:rsidR="007D5A6F" w:rsidRPr="009854C4">
        <w:rPr>
          <w:rFonts w:ascii="Times New Roman" w:hAnsi="Times New Roman"/>
          <w:sz w:val="24"/>
          <w:szCs w:val="24"/>
        </w:rPr>
        <w:t xml:space="preserve"> </w:t>
      </w:r>
      <w:r w:rsidRPr="009854C4">
        <w:rPr>
          <w:rFonts w:ascii="Times New Roman" w:hAnsi="Times New Roman"/>
          <w:sz w:val="24"/>
          <w:szCs w:val="24"/>
        </w:rPr>
        <w:t>rozszerzenia warunków stosowania procedury zawieszenia poboru akcyzy przy przemieszczaniu wyrobów akcyzowych niewymienionych w załączniku nr 2 do ustawy, objętych stawką akcyzy inną niż stawka zerowa na terytorium kraju w ramach nabycia wewnątrzwspólnotowego lu</w:t>
      </w:r>
      <w:r w:rsidR="009854C4">
        <w:rPr>
          <w:rFonts w:ascii="Times New Roman" w:hAnsi="Times New Roman"/>
          <w:sz w:val="24"/>
          <w:szCs w:val="24"/>
        </w:rPr>
        <w:t>b dostawy wewnątrzwspólnotowej.</w:t>
      </w:r>
    </w:p>
    <w:p w14:paraId="51DCCAF9" w14:textId="77777777" w:rsidR="009854C4" w:rsidRDefault="004E5772" w:rsidP="009854C4">
      <w:pPr>
        <w:spacing w:after="0" w:line="360" w:lineRule="auto"/>
        <w:jc w:val="both"/>
        <w:rPr>
          <w:rFonts w:ascii="Times New Roman" w:hAnsi="Times New Roman"/>
          <w:sz w:val="24"/>
          <w:szCs w:val="24"/>
        </w:rPr>
      </w:pPr>
      <w:r w:rsidRPr="009854C4">
        <w:rPr>
          <w:rFonts w:ascii="Times New Roman" w:hAnsi="Times New Roman"/>
          <w:sz w:val="24"/>
          <w:szCs w:val="24"/>
        </w:rPr>
        <w:t xml:space="preserve">Dla tych ostatnich przewidziano termin wejścia w życie 1 </w:t>
      </w:r>
      <w:r w:rsidR="006D6F2E" w:rsidRPr="009854C4">
        <w:rPr>
          <w:rFonts w:ascii="Times New Roman" w:hAnsi="Times New Roman"/>
          <w:sz w:val="24"/>
          <w:szCs w:val="24"/>
        </w:rPr>
        <w:t>listopada</w:t>
      </w:r>
      <w:r w:rsidR="00C43C05" w:rsidRPr="009854C4">
        <w:rPr>
          <w:rFonts w:ascii="Times New Roman" w:hAnsi="Times New Roman"/>
          <w:sz w:val="24"/>
          <w:szCs w:val="24"/>
        </w:rPr>
        <w:t xml:space="preserve"> </w:t>
      </w:r>
      <w:r w:rsidRPr="009854C4">
        <w:rPr>
          <w:rFonts w:ascii="Times New Roman" w:hAnsi="Times New Roman"/>
          <w:sz w:val="24"/>
          <w:szCs w:val="24"/>
        </w:rPr>
        <w:t>2019 r.</w:t>
      </w:r>
      <w:r w:rsidR="00DB2605" w:rsidRPr="009854C4">
        <w:rPr>
          <w:rFonts w:ascii="Times New Roman" w:hAnsi="Times New Roman"/>
          <w:sz w:val="24"/>
          <w:szCs w:val="24"/>
        </w:rPr>
        <w:t xml:space="preserve"> </w:t>
      </w:r>
      <w:r w:rsidR="00BB6F72" w:rsidRPr="009854C4">
        <w:rPr>
          <w:rFonts w:ascii="Times New Roman" w:hAnsi="Times New Roman"/>
          <w:sz w:val="24"/>
          <w:szCs w:val="24"/>
        </w:rPr>
        <w:t>Przesunięcie terminu wejścia w życie przedmiotowych regulacji wynika przede wszystkim</w:t>
      </w:r>
      <w:r w:rsidR="0067029C" w:rsidRPr="009854C4">
        <w:rPr>
          <w:rFonts w:ascii="Times New Roman" w:hAnsi="Times New Roman"/>
          <w:sz w:val="24"/>
          <w:szCs w:val="24"/>
        </w:rPr>
        <w:t xml:space="preserve"> z </w:t>
      </w:r>
      <w:r w:rsidR="00BB6F72" w:rsidRPr="009854C4">
        <w:rPr>
          <w:rFonts w:ascii="Times New Roman" w:hAnsi="Times New Roman"/>
          <w:sz w:val="24"/>
          <w:szCs w:val="24"/>
        </w:rPr>
        <w:t xml:space="preserve">konieczności zapewnienia podmiotom prowadzącym działalność gospodarczą w zakresie </w:t>
      </w:r>
      <w:r w:rsidR="00422F24" w:rsidRPr="009854C4">
        <w:rPr>
          <w:rFonts w:ascii="Times New Roman" w:hAnsi="Times New Roman"/>
          <w:sz w:val="24"/>
          <w:szCs w:val="24"/>
        </w:rPr>
        <w:t>preparatów smarowych</w:t>
      </w:r>
      <w:r w:rsidR="00BF02C9" w:rsidRPr="009854C4">
        <w:rPr>
          <w:rFonts w:ascii="Times New Roman" w:hAnsi="Times New Roman"/>
          <w:sz w:val="24"/>
          <w:szCs w:val="24"/>
        </w:rPr>
        <w:t xml:space="preserve"> </w:t>
      </w:r>
      <w:r w:rsidR="00BB6F72" w:rsidRPr="009854C4">
        <w:rPr>
          <w:rFonts w:ascii="Times New Roman" w:hAnsi="Times New Roman"/>
          <w:sz w:val="24"/>
          <w:szCs w:val="24"/>
        </w:rPr>
        <w:t>czasu niezbędnego na dostosowani</w:t>
      </w:r>
      <w:r w:rsidR="00792429" w:rsidRPr="009854C4">
        <w:rPr>
          <w:rFonts w:ascii="Times New Roman" w:hAnsi="Times New Roman"/>
          <w:sz w:val="24"/>
          <w:szCs w:val="24"/>
        </w:rPr>
        <w:t>e się do wprowadzanych zmian, w </w:t>
      </w:r>
      <w:r w:rsidR="00BB6F72" w:rsidRPr="009854C4">
        <w:rPr>
          <w:rFonts w:ascii="Times New Roman" w:hAnsi="Times New Roman"/>
          <w:sz w:val="24"/>
          <w:szCs w:val="24"/>
        </w:rPr>
        <w:t>szczególności na złożenie zgłoszenia rejestracyjnego w zakresie akcyzy, uzyskanie zezwolenia na prowadzenie składu podatkowego, uzyskanie statusu użytkownika Systemu EMCS.</w:t>
      </w:r>
    </w:p>
    <w:p w14:paraId="7E428981" w14:textId="77777777" w:rsidR="009854C4" w:rsidRDefault="00671456" w:rsidP="00CD3D8E">
      <w:pPr>
        <w:spacing w:after="0" w:line="360" w:lineRule="auto"/>
        <w:jc w:val="both"/>
        <w:rPr>
          <w:rFonts w:ascii="Times New Roman" w:hAnsi="Times New Roman"/>
          <w:sz w:val="24"/>
          <w:szCs w:val="24"/>
        </w:rPr>
      </w:pPr>
      <w:r w:rsidRPr="009854C4">
        <w:rPr>
          <w:rFonts w:ascii="Times New Roman" w:hAnsi="Times New Roman"/>
          <w:sz w:val="24"/>
          <w:szCs w:val="24"/>
        </w:rPr>
        <w:t>Ponadto dla art. 4 pkt 10, art. 5 i art. 16 zaproponowano termin wejścia w życie z dniem następującym po dniu ogłoszenia ustawy, co wychodzi naprzeciw postulatom podmiotów zainteresowanych niezwłocznym wejściem w życie przepisów umożliwiających stosowanie zerowej stawki akcyzy dla niektórych gazów przeznaczonych do napędu silników spalinowych.</w:t>
      </w:r>
    </w:p>
    <w:p w14:paraId="619A5E40" w14:textId="59A217AB" w:rsidR="00DB2605" w:rsidRPr="0070741E" w:rsidRDefault="00DB2605" w:rsidP="00CD3D8E">
      <w:pPr>
        <w:spacing w:after="0" w:line="360" w:lineRule="auto"/>
        <w:jc w:val="both"/>
        <w:rPr>
          <w:rFonts w:ascii="Times New Roman" w:hAnsi="Times New Roman"/>
          <w:sz w:val="24"/>
          <w:szCs w:val="24"/>
        </w:rPr>
      </w:pPr>
      <w:r w:rsidRPr="0070741E">
        <w:rPr>
          <w:rFonts w:ascii="Times New Roman" w:hAnsi="Times New Roman"/>
          <w:sz w:val="24"/>
          <w:szCs w:val="24"/>
        </w:rPr>
        <w:t xml:space="preserve">W przypadku pozostałych regulacji nie ma przeszkód do wejścia w życie w terminie wskazanym w art. </w:t>
      </w:r>
      <w:r w:rsidR="00671456">
        <w:rPr>
          <w:rFonts w:ascii="Times New Roman" w:hAnsi="Times New Roman"/>
          <w:sz w:val="24"/>
          <w:szCs w:val="24"/>
        </w:rPr>
        <w:t>1</w:t>
      </w:r>
      <w:r w:rsidR="006D6F2E">
        <w:rPr>
          <w:rFonts w:ascii="Times New Roman" w:hAnsi="Times New Roman"/>
          <w:sz w:val="24"/>
          <w:szCs w:val="24"/>
        </w:rPr>
        <w:t>9</w:t>
      </w:r>
      <w:r w:rsidR="00671456">
        <w:rPr>
          <w:rFonts w:ascii="Times New Roman" w:hAnsi="Times New Roman"/>
          <w:sz w:val="24"/>
          <w:szCs w:val="24"/>
        </w:rPr>
        <w:t xml:space="preserve"> </w:t>
      </w:r>
      <w:r w:rsidRPr="0070741E">
        <w:rPr>
          <w:rFonts w:ascii="Times New Roman" w:hAnsi="Times New Roman"/>
          <w:sz w:val="24"/>
          <w:szCs w:val="24"/>
        </w:rPr>
        <w:t>projektu. Wskazać przy tym należy, że regulacje zwarte w art.</w:t>
      </w:r>
      <w:r w:rsidR="00E93E24">
        <w:rPr>
          <w:rFonts w:ascii="Times New Roman" w:hAnsi="Times New Roman"/>
          <w:sz w:val="24"/>
          <w:szCs w:val="24"/>
        </w:rPr>
        <w:t xml:space="preserve"> </w:t>
      </w:r>
      <w:r w:rsidR="006D6F2E">
        <w:rPr>
          <w:rFonts w:ascii="Times New Roman" w:hAnsi="Times New Roman"/>
          <w:sz w:val="24"/>
          <w:szCs w:val="24"/>
        </w:rPr>
        <w:t>9</w:t>
      </w:r>
      <w:r w:rsidR="00671456">
        <w:rPr>
          <w:rFonts w:ascii="Times New Roman" w:hAnsi="Times New Roman"/>
          <w:sz w:val="24"/>
          <w:szCs w:val="24"/>
        </w:rPr>
        <w:t xml:space="preserve"> i </w:t>
      </w:r>
      <w:r w:rsidR="006D6F2E">
        <w:rPr>
          <w:rFonts w:ascii="Times New Roman" w:hAnsi="Times New Roman"/>
          <w:sz w:val="24"/>
          <w:szCs w:val="24"/>
        </w:rPr>
        <w:t>10</w:t>
      </w:r>
      <w:r w:rsidR="00671456">
        <w:rPr>
          <w:rFonts w:ascii="Times New Roman" w:hAnsi="Times New Roman"/>
          <w:sz w:val="24"/>
          <w:szCs w:val="24"/>
        </w:rPr>
        <w:t xml:space="preserve"> </w:t>
      </w:r>
      <w:r w:rsidRPr="0070741E">
        <w:rPr>
          <w:rFonts w:ascii="Times New Roman" w:hAnsi="Times New Roman"/>
          <w:sz w:val="24"/>
          <w:szCs w:val="24"/>
        </w:rPr>
        <w:t>ustawy przewidują dla podmiotów których dotyczą zmi</w:t>
      </w:r>
      <w:r w:rsidR="00792429">
        <w:rPr>
          <w:rFonts w:ascii="Times New Roman" w:hAnsi="Times New Roman"/>
          <w:sz w:val="24"/>
          <w:szCs w:val="24"/>
        </w:rPr>
        <w:t>any w prawie energetycznym 3 </w:t>
      </w:r>
      <w:r w:rsidRPr="0070741E">
        <w:rPr>
          <w:rFonts w:ascii="Times New Roman" w:hAnsi="Times New Roman"/>
          <w:sz w:val="24"/>
          <w:szCs w:val="24"/>
        </w:rPr>
        <w:t>miesięczny okres na złożenie stosownego wniosku co umożliwi odpowiednie dostosowanie się do zmian wprowadzonych niniejszą ustawą.</w:t>
      </w:r>
    </w:p>
    <w:p w14:paraId="1981FE68" w14:textId="77777777" w:rsidR="002851C9" w:rsidRPr="00B417B3" w:rsidRDefault="002851C9" w:rsidP="002851C9">
      <w:pPr>
        <w:spacing w:after="0" w:line="360" w:lineRule="auto"/>
        <w:jc w:val="both"/>
        <w:rPr>
          <w:rFonts w:ascii="Times New Roman" w:hAnsi="Times New Roman"/>
          <w:sz w:val="24"/>
          <w:szCs w:val="24"/>
        </w:rPr>
      </w:pPr>
      <w:r>
        <w:rPr>
          <w:rFonts w:ascii="Times New Roman" w:hAnsi="Times New Roman"/>
          <w:sz w:val="24"/>
          <w:szCs w:val="24"/>
        </w:rPr>
        <w:lastRenderedPageBreak/>
        <w:t>Zakłada się także, że d</w:t>
      </w:r>
      <w:r w:rsidRPr="003C5338">
        <w:rPr>
          <w:rFonts w:ascii="Times New Roman" w:hAnsi="Times New Roman"/>
          <w:sz w:val="24"/>
          <w:szCs w:val="24"/>
        </w:rPr>
        <w:t>otychczasowe przepisy wykonawcze wydane na podstawie art. 32 ust. 6 ustawy</w:t>
      </w:r>
      <w:r>
        <w:rPr>
          <w:rFonts w:ascii="Times New Roman" w:hAnsi="Times New Roman"/>
          <w:sz w:val="24"/>
          <w:szCs w:val="24"/>
        </w:rPr>
        <w:t xml:space="preserve"> </w:t>
      </w:r>
      <w:proofErr w:type="spellStart"/>
      <w:r>
        <w:rPr>
          <w:rFonts w:ascii="Times New Roman" w:hAnsi="Times New Roman"/>
          <w:sz w:val="24"/>
          <w:szCs w:val="24"/>
        </w:rPr>
        <w:t>uPE</w:t>
      </w:r>
      <w:proofErr w:type="spellEnd"/>
      <w:r w:rsidRPr="003C5338">
        <w:rPr>
          <w:rFonts w:ascii="Times New Roman" w:hAnsi="Times New Roman"/>
          <w:sz w:val="24"/>
          <w:szCs w:val="24"/>
        </w:rPr>
        <w:t xml:space="preserve">, zachowują moc do dnia wejścia w życie przepisów wykonawczych wydanych na podstawie </w:t>
      </w:r>
      <w:r>
        <w:rPr>
          <w:rFonts w:ascii="Times New Roman" w:hAnsi="Times New Roman"/>
          <w:sz w:val="24"/>
          <w:szCs w:val="24"/>
        </w:rPr>
        <w:t>znowelizowanego art. 32 ust. 6 ustawy, jednak nie dłużej niż przez</w:t>
      </w:r>
      <w:r w:rsidRPr="003C5338">
        <w:rPr>
          <w:rFonts w:ascii="Times New Roman" w:hAnsi="Times New Roman"/>
          <w:sz w:val="24"/>
          <w:szCs w:val="24"/>
        </w:rPr>
        <w:t xml:space="preserve"> 3 miesiące od dnia wejścia w życie niniejszej ustawy.</w:t>
      </w:r>
      <w:r>
        <w:rPr>
          <w:rFonts w:ascii="Times New Roman" w:hAnsi="Times New Roman"/>
          <w:sz w:val="24"/>
          <w:szCs w:val="24"/>
        </w:rPr>
        <w:t xml:space="preserve"> Termin ten jest potrzebny, aby m</w:t>
      </w:r>
      <w:r w:rsidRPr="001B0B5B">
        <w:rPr>
          <w:rFonts w:ascii="Times New Roman" w:hAnsi="Times New Roman"/>
          <w:sz w:val="24"/>
          <w:szCs w:val="24"/>
        </w:rPr>
        <w:t xml:space="preserve">inister </w:t>
      </w:r>
      <w:r>
        <w:rPr>
          <w:rFonts w:ascii="Times New Roman" w:hAnsi="Times New Roman"/>
          <w:sz w:val="24"/>
          <w:szCs w:val="24"/>
        </w:rPr>
        <w:t xml:space="preserve">właściwy do spraw energii </w:t>
      </w:r>
      <w:r w:rsidRPr="001B0B5B">
        <w:rPr>
          <w:rFonts w:ascii="Times New Roman" w:hAnsi="Times New Roman"/>
          <w:sz w:val="24"/>
          <w:szCs w:val="24"/>
        </w:rPr>
        <w:t xml:space="preserve">mógł </w:t>
      </w:r>
      <w:r>
        <w:rPr>
          <w:rFonts w:ascii="Times New Roman" w:hAnsi="Times New Roman"/>
          <w:sz w:val="24"/>
          <w:szCs w:val="24"/>
        </w:rPr>
        <w:t xml:space="preserve">wydać nowe rozporządzenie po zakończeniu </w:t>
      </w:r>
      <w:r w:rsidRPr="001B0B5B">
        <w:rPr>
          <w:rFonts w:ascii="Times New Roman" w:hAnsi="Times New Roman"/>
          <w:sz w:val="24"/>
          <w:szCs w:val="24"/>
        </w:rPr>
        <w:t>proces</w:t>
      </w:r>
      <w:r>
        <w:rPr>
          <w:rFonts w:ascii="Times New Roman" w:hAnsi="Times New Roman"/>
          <w:sz w:val="24"/>
          <w:szCs w:val="24"/>
        </w:rPr>
        <w:t>u legislacyjnego</w:t>
      </w:r>
      <w:r w:rsidRPr="001B0B5B">
        <w:rPr>
          <w:rFonts w:ascii="Times New Roman" w:hAnsi="Times New Roman"/>
          <w:sz w:val="24"/>
          <w:szCs w:val="24"/>
        </w:rPr>
        <w:t xml:space="preserve"> nowego rozporządzenia</w:t>
      </w:r>
      <w:r>
        <w:rPr>
          <w:rFonts w:ascii="Times New Roman" w:hAnsi="Times New Roman"/>
          <w:sz w:val="24"/>
          <w:szCs w:val="24"/>
        </w:rPr>
        <w:t>, który będzie mógł rozpocząć się</w:t>
      </w:r>
      <w:r w:rsidRPr="001B0B5B">
        <w:rPr>
          <w:rFonts w:ascii="Times New Roman" w:hAnsi="Times New Roman"/>
          <w:sz w:val="24"/>
          <w:szCs w:val="24"/>
        </w:rPr>
        <w:t xml:space="preserve"> dopiero po zakończeniu prac parlamen</w:t>
      </w:r>
      <w:r>
        <w:rPr>
          <w:rFonts w:ascii="Times New Roman" w:hAnsi="Times New Roman"/>
          <w:sz w:val="24"/>
          <w:szCs w:val="24"/>
        </w:rPr>
        <w:t>tarnych nad ustawą nowelizującą. U</w:t>
      </w:r>
      <w:r w:rsidRPr="00903BC2">
        <w:rPr>
          <w:rFonts w:ascii="Times New Roman" w:hAnsi="Times New Roman"/>
          <w:sz w:val="24"/>
          <w:szCs w:val="24"/>
        </w:rPr>
        <w:t xml:space="preserve">możliwi </w:t>
      </w:r>
      <w:r>
        <w:rPr>
          <w:rFonts w:ascii="Times New Roman" w:hAnsi="Times New Roman"/>
          <w:sz w:val="24"/>
          <w:szCs w:val="24"/>
        </w:rPr>
        <w:t xml:space="preserve">to zgodność przepisów ustawy zmienianej z brzmieniem nowego rozporządzenia, które wydane zostanie na podstawie art. 32 ust. 6 </w:t>
      </w:r>
      <w:proofErr w:type="spellStart"/>
      <w:r>
        <w:rPr>
          <w:rFonts w:ascii="Times New Roman" w:hAnsi="Times New Roman"/>
          <w:sz w:val="24"/>
          <w:szCs w:val="24"/>
        </w:rPr>
        <w:t>uPE</w:t>
      </w:r>
      <w:proofErr w:type="spellEnd"/>
      <w:r>
        <w:rPr>
          <w:rFonts w:ascii="Times New Roman" w:hAnsi="Times New Roman"/>
          <w:sz w:val="24"/>
          <w:szCs w:val="24"/>
        </w:rPr>
        <w:t xml:space="preserve">, w brzmieniu ustalonym ustawą zmieniającą, </w:t>
      </w:r>
    </w:p>
    <w:p w14:paraId="7A1E9716"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Mając na uwadze uchwałę nr 20 Rady Ministrów z dnia 18 lutego 2014 r. w sprawie zaleceń ujednolicenia terminów wejścia w życie niektórych aktów normatywnych (M. P. poz. 205), należy wskazać, że biorąc pod uwagę charakter wprowadzanych zmian (zmiany o charakterze uszczelniającym system podatkowy) zasadne jest jak najszybsze wejście tych zmian w życie.</w:t>
      </w:r>
    </w:p>
    <w:p w14:paraId="02971F08" w14:textId="77777777" w:rsidR="00455542" w:rsidRPr="0070741E" w:rsidRDefault="00455542" w:rsidP="00CD3D8E">
      <w:pPr>
        <w:spacing w:after="0" w:line="360" w:lineRule="auto"/>
        <w:jc w:val="both"/>
        <w:rPr>
          <w:rFonts w:ascii="Times New Roman" w:hAnsi="Times New Roman"/>
          <w:b/>
          <w:sz w:val="24"/>
          <w:szCs w:val="24"/>
        </w:rPr>
      </w:pPr>
    </w:p>
    <w:p w14:paraId="7A8E2914"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b/>
          <w:sz w:val="24"/>
          <w:szCs w:val="24"/>
        </w:rPr>
        <w:t>Ocena przewidywanego wpływu projektowanej regulacji na działalność mikroprzedsiębiorców oraz małych i średnich przedsiębiorców</w:t>
      </w:r>
    </w:p>
    <w:p w14:paraId="3ACAE6CB" w14:textId="77777777" w:rsidR="006B7B7A" w:rsidRPr="0070741E" w:rsidRDefault="006B7B7A" w:rsidP="00CD3D8E">
      <w:pPr>
        <w:spacing w:after="0" w:line="360" w:lineRule="auto"/>
        <w:jc w:val="both"/>
        <w:rPr>
          <w:rFonts w:ascii="Times New Roman" w:hAnsi="Times New Roman"/>
          <w:sz w:val="24"/>
          <w:szCs w:val="24"/>
        </w:rPr>
      </w:pPr>
    </w:p>
    <w:p w14:paraId="1504D456"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Projektowane zmiany mają różny charakter i zakres oddziaływania, dlatego trudno jednoznacznie ocenić ich wpływ na działalność mikro-, małych i średnich przedsiębiorców. Przykładowo wyłączenie możliwości korzystania ze zwolnienia podmiotowego przez niektórych podatników spowoduje zwiększenie dla tych podatników obowiązków podatkowych (prowadzenie ewidencji, składanie deklaracji, wystawianie faktur). Ponadto rozszerzenie katalogu podmiotów zobowiązanych do uzyskania koncesji lub obowiązanych do uzyskania wpisu do rejestru podmiotów przywożących (o którym mowa w art. 32a ustawy - Prawo energetyczne) wpłynie na zwiększenie obciążeń administracyjnych tych podmiotów.</w:t>
      </w:r>
    </w:p>
    <w:p w14:paraId="7552B1DE"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hAnsi="Times New Roman"/>
          <w:sz w:val="24"/>
          <w:szCs w:val="24"/>
        </w:rPr>
        <w:t>Z drugiej jednak strony wprowadzenie rozwiązań mających na celu uszczelnienie systemu podatkowego, a tym samym ograniczenie nieprawidłowości w rozliczaniu podatku VAT oraz podatku akcyzowym przyczyni się do poprawy warunków prowadzenia działalności gospodarczej i poprawę pozycji konkurencyjnej uczciwych przedsiębiorstw. Rozwiązania te pozwolą na ograniczenie nieuprawnionej przewagi, jaką podmioty dopuszczające się oszustw podatkowych osiągały dotychczas nad uczciwymi podatnikami.</w:t>
      </w:r>
    </w:p>
    <w:p w14:paraId="007E8E8F" w14:textId="77777777" w:rsidR="006B7B7A" w:rsidRPr="0070741E" w:rsidRDefault="004E5772" w:rsidP="00CD3D8E">
      <w:pPr>
        <w:spacing w:after="0" w:line="360" w:lineRule="auto"/>
        <w:jc w:val="both"/>
        <w:rPr>
          <w:rFonts w:ascii="Times New Roman" w:eastAsia="Times New Roman" w:hAnsi="Times New Roman"/>
          <w:sz w:val="24"/>
          <w:szCs w:val="24"/>
          <w:lang w:eastAsia="x-none"/>
        </w:rPr>
      </w:pPr>
      <w:r w:rsidRPr="0070741E">
        <w:rPr>
          <w:rFonts w:ascii="Times New Roman" w:hAnsi="Times New Roman"/>
          <w:sz w:val="24"/>
          <w:szCs w:val="24"/>
        </w:rPr>
        <w:lastRenderedPageBreak/>
        <w:t>Wprowadzane zaś rozwiązania związane z uproszczeniem prawa oraz usunięciem niektórych zbytecznych obecnie, a uciążliwych dla podatnikó</w:t>
      </w:r>
      <w:r w:rsidR="00792429">
        <w:rPr>
          <w:rFonts w:ascii="Times New Roman" w:hAnsi="Times New Roman"/>
          <w:sz w:val="24"/>
          <w:szCs w:val="24"/>
        </w:rPr>
        <w:t>w, obowiązków (np. ułatwienia w </w:t>
      </w:r>
      <w:r w:rsidRPr="0070741E">
        <w:rPr>
          <w:rFonts w:ascii="Times New Roman" w:hAnsi="Times New Roman"/>
          <w:sz w:val="24"/>
          <w:szCs w:val="24"/>
        </w:rPr>
        <w:t>rozliczaniu podatku od importu towarów, ograniczenie obowiązkowych elementów faktury VAT RR czy możliwość obrotu tymi dokumentami w formie elektronicznej) ułatwi prowadzenie działalności gospodarczej (usprawnienia organizacyjne i obniżenie kosztów działalności).</w:t>
      </w:r>
    </w:p>
    <w:p w14:paraId="122FAFA3" w14:textId="77777777" w:rsidR="006B7B7A" w:rsidRPr="0070741E" w:rsidRDefault="006B7B7A" w:rsidP="00CD3D8E">
      <w:pPr>
        <w:spacing w:after="0" w:line="360" w:lineRule="auto"/>
        <w:jc w:val="both"/>
        <w:rPr>
          <w:rFonts w:ascii="Times New Roman" w:hAnsi="Times New Roman"/>
          <w:sz w:val="24"/>
          <w:szCs w:val="24"/>
        </w:rPr>
      </w:pPr>
    </w:p>
    <w:p w14:paraId="4A71AFB8" w14:textId="77777777" w:rsidR="006B7B7A" w:rsidRPr="0070741E" w:rsidRDefault="004E5772" w:rsidP="00CD3D8E">
      <w:pPr>
        <w:spacing w:after="0" w:line="360" w:lineRule="auto"/>
        <w:jc w:val="both"/>
        <w:rPr>
          <w:rFonts w:ascii="Times New Roman" w:hAnsi="Times New Roman"/>
          <w:sz w:val="24"/>
          <w:szCs w:val="24"/>
        </w:rPr>
      </w:pPr>
      <w:r w:rsidRPr="0070741E">
        <w:rPr>
          <w:rFonts w:ascii="Times New Roman" w:eastAsia="Times New Roman" w:hAnsi="Times New Roman"/>
          <w:sz w:val="24"/>
          <w:szCs w:val="24"/>
          <w:lang w:eastAsia="x-none"/>
        </w:rPr>
        <w:t>Stosownie do postanowień art. 5 ustawy z dnia 7 lipca 2005 r. o działalności lobbingowej w procesie stanowienia prawa (Dz. U. z 2017 r., poz. 248) oraz § 52 uchwały nr 190 Rady Ministrów z dnia 29 października 2013 r. – Regulamin pracy Rady Ministrów (M.P. z 2016 r. poz. 1006, z</w:t>
      </w:r>
      <w:r w:rsidR="009A2771">
        <w:rPr>
          <w:rFonts w:ascii="Times New Roman" w:eastAsia="Times New Roman" w:hAnsi="Times New Roman"/>
          <w:sz w:val="24"/>
          <w:szCs w:val="24"/>
          <w:lang w:eastAsia="x-none"/>
        </w:rPr>
        <w:t>e</w:t>
      </w:r>
      <w:r w:rsidRPr="0070741E">
        <w:rPr>
          <w:rFonts w:ascii="Times New Roman" w:eastAsia="Times New Roman" w:hAnsi="Times New Roman"/>
          <w:sz w:val="24"/>
          <w:szCs w:val="24"/>
          <w:lang w:eastAsia="x-none"/>
        </w:rPr>
        <w:t xml:space="preserve"> zm.), projekt ustawy </w:t>
      </w:r>
      <w:r w:rsidR="007F3B3D" w:rsidRPr="0070741E">
        <w:rPr>
          <w:rFonts w:ascii="Times New Roman" w:eastAsia="Times New Roman" w:hAnsi="Times New Roman"/>
          <w:sz w:val="24"/>
          <w:szCs w:val="24"/>
          <w:lang w:eastAsia="x-none"/>
        </w:rPr>
        <w:t xml:space="preserve">został </w:t>
      </w:r>
      <w:r w:rsidRPr="0070741E">
        <w:rPr>
          <w:rFonts w:ascii="Times New Roman" w:eastAsia="Times New Roman" w:hAnsi="Times New Roman"/>
          <w:sz w:val="24"/>
          <w:szCs w:val="24"/>
          <w:lang w:eastAsia="x-none"/>
        </w:rPr>
        <w:t>udostępniony w Biuletynie Informacji Publicznej Rządowego Centrum Legislacji</w:t>
      </w:r>
      <w:r w:rsidRPr="0070741E">
        <w:rPr>
          <w:rFonts w:ascii="Times New Roman" w:eastAsia="Times New Roman" w:hAnsi="Times New Roman"/>
          <w:sz w:val="24"/>
          <w:szCs w:val="24"/>
          <w:lang w:eastAsia="pl-PL"/>
        </w:rPr>
        <w:t xml:space="preserve"> z chwilą przekazania projektu do uzgodnień z członkami Rady Ministrów.</w:t>
      </w:r>
    </w:p>
    <w:p w14:paraId="066F1155" w14:textId="77777777" w:rsidR="006B7B7A" w:rsidRPr="0070741E" w:rsidRDefault="006B7B7A" w:rsidP="00CD3D8E">
      <w:pPr>
        <w:widowControl w:val="0"/>
        <w:spacing w:after="0" w:line="360" w:lineRule="auto"/>
        <w:jc w:val="both"/>
        <w:rPr>
          <w:rFonts w:ascii="Times New Roman" w:eastAsia="Times New Roman" w:hAnsi="Times New Roman"/>
          <w:sz w:val="24"/>
          <w:szCs w:val="24"/>
          <w:lang w:eastAsia="x-none"/>
        </w:rPr>
      </w:pPr>
    </w:p>
    <w:p w14:paraId="6DF89FD3" w14:textId="77777777" w:rsidR="006B7B7A" w:rsidRPr="0070741E" w:rsidRDefault="004E5772" w:rsidP="00CD3D8E">
      <w:pPr>
        <w:widowControl w:val="0"/>
        <w:spacing w:after="0" w:line="360" w:lineRule="auto"/>
        <w:jc w:val="both"/>
        <w:rPr>
          <w:rFonts w:ascii="Times New Roman" w:eastAsia="Times New Roman" w:hAnsi="Times New Roman"/>
          <w:sz w:val="24"/>
          <w:szCs w:val="24"/>
          <w:lang w:eastAsia="x-none"/>
        </w:rPr>
      </w:pPr>
      <w:r w:rsidRPr="0070741E">
        <w:rPr>
          <w:rFonts w:ascii="Times New Roman" w:eastAsia="Times New Roman" w:hAnsi="Times New Roman"/>
          <w:sz w:val="24"/>
          <w:szCs w:val="24"/>
          <w:lang w:eastAsia="x-none"/>
        </w:rPr>
        <w:t>Ustawa nie podlega notyfikacji w rozumieniu przepisów dotyczących krajowego systemu notyfikacji norm i aktów prawnych.</w:t>
      </w:r>
    </w:p>
    <w:p w14:paraId="76185976" w14:textId="77777777" w:rsidR="006B7B7A" w:rsidRPr="0070741E" w:rsidRDefault="006B7B7A" w:rsidP="00CD3D8E">
      <w:pPr>
        <w:widowControl w:val="0"/>
        <w:spacing w:after="0" w:line="360" w:lineRule="auto"/>
        <w:jc w:val="both"/>
        <w:rPr>
          <w:rFonts w:ascii="Times New Roman" w:eastAsia="Times New Roman" w:hAnsi="Times New Roman"/>
          <w:sz w:val="24"/>
          <w:szCs w:val="24"/>
          <w:lang w:eastAsia="x-none"/>
        </w:rPr>
      </w:pPr>
    </w:p>
    <w:p w14:paraId="1F2CEECB" w14:textId="7CC39E03" w:rsidR="006B7B7A" w:rsidRPr="0070741E" w:rsidRDefault="004E5772" w:rsidP="00CD3D8E">
      <w:pPr>
        <w:widowControl w:val="0"/>
        <w:spacing w:after="0" w:line="360" w:lineRule="auto"/>
        <w:jc w:val="both"/>
        <w:rPr>
          <w:rFonts w:ascii="Times New Roman" w:hAnsi="Times New Roman"/>
          <w:sz w:val="24"/>
          <w:szCs w:val="24"/>
        </w:rPr>
      </w:pPr>
      <w:r w:rsidRPr="0070741E">
        <w:rPr>
          <w:rFonts w:ascii="Times New Roman" w:eastAsia="Times New Roman" w:hAnsi="Times New Roman"/>
          <w:sz w:val="24"/>
          <w:szCs w:val="24"/>
          <w:lang w:eastAsia="x-none"/>
        </w:rPr>
        <w:t>Ustawa jest zgodna z prawem Unii Europejskiej.</w:t>
      </w:r>
    </w:p>
    <w:sectPr w:rsidR="006B7B7A" w:rsidRPr="0070741E" w:rsidSect="0078613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969" w:left="1417" w:header="708" w:footer="141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16B5D4" w14:textId="77777777" w:rsidR="004F4186" w:rsidRDefault="004F4186">
      <w:pPr>
        <w:spacing w:after="0" w:line="240" w:lineRule="auto"/>
      </w:pPr>
      <w:r>
        <w:separator/>
      </w:r>
    </w:p>
  </w:endnote>
  <w:endnote w:type="continuationSeparator" w:id="0">
    <w:p w14:paraId="28CDD76F" w14:textId="77777777" w:rsidR="004F4186" w:rsidRDefault="004F4186">
      <w:pPr>
        <w:spacing w:after="0" w:line="240" w:lineRule="auto"/>
      </w:pPr>
      <w:r>
        <w:continuationSeparator/>
      </w:r>
    </w:p>
  </w:endnote>
  <w:endnote w:type="continuationNotice" w:id="1">
    <w:p w14:paraId="3B6267C8" w14:textId="77777777" w:rsidR="004F4186" w:rsidRDefault="004F41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Lucida Sans">
    <w:altName w:val="Lucida Sans Unicode"/>
    <w:charset w:val="EE"/>
    <w:family w:val="swiss"/>
    <w:pitch w:val="variable"/>
    <w:sig w:usb0="00000001" w:usb1="00008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743757189"/>
      <w:docPartObj>
        <w:docPartGallery w:val="Page Numbers (Bottom of Page)"/>
        <w:docPartUnique/>
      </w:docPartObj>
    </w:sdtPr>
    <w:sdtEndPr/>
    <w:sdtContent>
      <w:p w14:paraId="0D370521" w14:textId="6877F946" w:rsidR="00194526" w:rsidRPr="00BC6C5F" w:rsidRDefault="00194526" w:rsidP="00BC6C5F">
        <w:pPr>
          <w:pStyle w:val="Stopka"/>
          <w:jc w:val="center"/>
          <w:rPr>
            <w:rFonts w:ascii="Times New Roman" w:hAnsi="Times New Roman"/>
            <w:sz w:val="24"/>
            <w:szCs w:val="24"/>
          </w:rPr>
        </w:pPr>
        <w:r w:rsidRPr="00BC6C5F">
          <w:rPr>
            <w:rFonts w:ascii="Times New Roman" w:hAnsi="Times New Roman"/>
            <w:sz w:val="24"/>
            <w:szCs w:val="24"/>
          </w:rPr>
          <w:fldChar w:fldCharType="begin"/>
        </w:r>
        <w:r w:rsidRPr="00BC6C5F">
          <w:rPr>
            <w:rFonts w:ascii="Times New Roman" w:hAnsi="Times New Roman"/>
            <w:sz w:val="24"/>
            <w:szCs w:val="24"/>
          </w:rPr>
          <w:instrText>PAGE   \* MERGEFORMAT</w:instrText>
        </w:r>
        <w:r w:rsidRPr="00BC6C5F">
          <w:rPr>
            <w:rFonts w:ascii="Times New Roman" w:hAnsi="Times New Roman"/>
            <w:sz w:val="24"/>
            <w:szCs w:val="24"/>
          </w:rPr>
          <w:fldChar w:fldCharType="separate"/>
        </w:r>
        <w:r w:rsidR="0078613D">
          <w:rPr>
            <w:rFonts w:ascii="Times New Roman" w:hAnsi="Times New Roman"/>
            <w:noProof/>
            <w:sz w:val="24"/>
            <w:szCs w:val="24"/>
          </w:rPr>
          <w:t>2</w:t>
        </w:r>
        <w:r w:rsidRPr="00BC6C5F">
          <w:rPr>
            <w:rFonts w:ascii="Times New Roman" w:hAnsi="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106850064"/>
      <w:docPartObj>
        <w:docPartGallery w:val="Page Numbers (Bottom of Page)"/>
        <w:docPartUnique/>
      </w:docPartObj>
    </w:sdtPr>
    <w:sdtEndPr/>
    <w:sdtContent>
      <w:p w14:paraId="2D7F7CB5" w14:textId="0C301FD2" w:rsidR="00194526" w:rsidRPr="00BC6C5F" w:rsidRDefault="00194526" w:rsidP="00BC6C5F">
        <w:pPr>
          <w:pStyle w:val="Stopka"/>
          <w:jc w:val="center"/>
          <w:rPr>
            <w:rFonts w:ascii="Times New Roman" w:hAnsi="Times New Roman"/>
            <w:sz w:val="24"/>
            <w:szCs w:val="24"/>
          </w:rPr>
        </w:pPr>
        <w:r w:rsidRPr="00BC6C5F">
          <w:rPr>
            <w:rFonts w:ascii="Times New Roman" w:hAnsi="Times New Roman"/>
            <w:sz w:val="24"/>
            <w:szCs w:val="24"/>
          </w:rPr>
          <w:fldChar w:fldCharType="begin"/>
        </w:r>
        <w:r w:rsidRPr="00BC6C5F">
          <w:rPr>
            <w:rFonts w:ascii="Times New Roman" w:hAnsi="Times New Roman"/>
            <w:sz w:val="24"/>
            <w:szCs w:val="24"/>
          </w:rPr>
          <w:instrText>PAGE   \* MERGEFORMAT</w:instrText>
        </w:r>
        <w:r w:rsidRPr="00BC6C5F">
          <w:rPr>
            <w:rFonts w:ascii="Times New Roman" w:hAnsi="Times New Roman"/>
            <w:sz w:val="24"/>
            <w:szCs w:val="24"/>
          </w:rPr>
          <w:fldChar w:fldCharType="separate"/>
        </w:r>
        <w:r w:rsidR="00861BA9">
          <w:rPr>
            <w:rFonts w:ascii="Times New Roman" w:hAnsi="Times New Roman"/>
            <w:noProof/>
            <w:sz w:val="24"/>
            <w:szCs w:val="24"/>
          </w:rPr>
          <w:t>21</w:t>
        </w:r>
        <w:r w:rsidRPr="00BC6C5F">
          <w:rPr>
            <w:rFonts w:ascii="Times New Roman" w:hAnsi="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B99DE" w14:textId="2621F98F" w:rsidR="00194526" w:rsidRDefault="00194526" w:rsidP="0078613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C119B" w14:textId="77777777" w:rsidR="004F4186" w:rsidRDefault="004F4186">
      <w:pPr>
        <w:spacing w:after="0" w:line="240" w:lineRule="auto"/>
      </w:pPr>
      <w:r>
        <w:separator/>
      </w:r>
    </w:p>
  </w:footnote>
  <w:footnote w:type="continuationSeparator" w:id="0">
    <w:p w14:paraId="0E8706CD" w14:textId="77777777" w:rsidR="004F4186" w:rsidRDefault="004F4186">
      <w:pPr>
        <w:spacing w:after="0" w:line="240" w:lineRule="auto"/>
      </w:pPr>
      <w:r>
        <w:continuationSeparator/>
      </w:r>
    </w:p>
  </w:footnote>
  <w:footnote w:type="continuationNotice" w:id="1">
    <w:p w14:paraId="00DCE7D4" w14:textId="77777777" w:rsidR="004F4186" w:rsidRDefault="004F41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2B76" w14:textId="77777777" w:rsidR="00194526" w:rsidRDefault="00194526">
    <w:pPr>
      <w:pStyle w:val="Nagwek"/>
      <w:jc w:val="right"/>
    </w:pPr>
    <w:r>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058E" w14:textId="77777777" w:rsidR="00194526" w:rsidRDefault="00194526">
    <w:pPr>
      <w:pStyle w:val="Nagwek"/>
      <w:jc w:val="right"/>
    </w:pPr>
    <w:r>
      <w:rPr>
        <w: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830E0" w14:textId="2155DB2A" w:rsidR="00194526" w:rsidRPr="00032948" w:rsidRDefault="00194526">
    <w:pPr>
      <w:pStyle w:val="Nagwek"/>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8187A"/>
    <w:multiLevelType w:val="hybridMultilevel"/>
    <w:tmpl w:val="5DA601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26E4CAE"/>
    <w:multiLevelType w:val="hybridMultilevel"/>
    <w:tmpl w:val="C81671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8F144D"/>
    <w:multiLevelType w:val="multilevel"/>
    <w:tmpl w:val="2548A64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41C1B03"/>
    <w:multiLevelType w:val="multilevel"/>
    <w:tmpl w:val="ACEEDAB8"/>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B31694B"/>
    <w:multiLevelType w:val="multilevel"/>
    <w:tmpl w:val="A29A8590"/>
    <w:lvl w:ilvl="0">
      <w:start w:val="1"/>
      <w:numFmt w:val="decimal"/>
      <w:lvlText w:val="%1."/>
      <w:lvlJc w:val="left"/>
      <w:pPr>
        <w:ind w:left="107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3C3839"/>
    <w:multiLevelType w:val="hybridMultilevel"/>
    <w:tmpl w:val="3522BA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ECD42D7"/>
    <w:multiLevelType w:val="hybridMultilevel"/>
    <w:tmpl w:val="A544B402"/>
    <w:lvl w:ilvl="0" w:tplc="303E2B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D5B39DC"/>
    <w:multiLevelType w:val="multilevel"/>
    <w:tmpl w:val="DE3E88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6DA09F3"/>
    <w:multiLevelType w:val="hybridMultilevel"/>
    <w:tmpl w:val="C8921674"/>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51597856"/>
    <w:multiLevelType w:val="hybridMultilevel"/>
    <w:tmpl w:val="0B74A65A"/>
    <w:lvl w:ilvl="0" w:tplc="501CD3AC">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574A6870"/>
    <w:multiLevelType w:val="hybridMultilevel"/>
    <w:tmpl w:val="7FEAB49E"/>
    <w:lvl w:ilvl="0" w:tplc="6B24D428">
      <w:numFmt w:val="bullet"/>
      <w:lvlText w:val="•"/>
      <w:lvlJc w:val="left"/>
      <w:pPr>
        <w:ind w:left="1065" w:hanging="705"/>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C7E115D"/>
    <w:multiLevelType w:val="hybridMultilevel"/>
    <w:tmpl w:val="C23E5A98"/>
    <w:lvl w:ilvl="0" w:tplc="04150001">
      <w:start w:val="1"/>
      <w:numFmt w:val="bullet"/>
      <w:lvlText w:val=""/>
      <w:lvlJc w:val="left"/>
      <w:pPr>
        <w:ind w:left="1065" w:hanging="705"/>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A5E6890"/>
    <w:multiLevelType w:val="multilevel"/>
    <w:tmpl w:val="6718967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6DB9101B"/>
    <w:multiLevelType w:val="hybridMultilevel"/>
    <w:tmpl w:val="FA38BAE8"/>
    <w:lvl w:ilvl="0" w:tplc="303E2BB8">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num w:numId="1">
    <w:abstractNumId w:val="4"/>
  </w:num>
  <w:num w:numId="2">
    <w:abstractNumId w:val="7"/>
  </w:num>
  <w:num w:numId="3">
    <w:abstractNumId w:val="3"/>
  </w:num>
  <w:num w:numId="4">
    <w:abstractNumId w:val="2"/>
  </w:num>
  <w:num w:numId="5">
    <w:abstractNumId w:val="12"/>
  </w:num>
  <w:num w:numId="6">
    <w:abstractNumId w:val="1"/>
  </w:num>
  <w:num w:numId="7">
    <w:abstractNumId w:val="0"/>
  </w:num>
  <w:num w:numId="8">
    <w:abstractNumId w:val="10"/>
  </w:num>
  <w:num w:numId="9">
    <w:abstractNumId w:val="11"/>
  </w:num>
  <w:num w:numId="10">
    <w:abstractNumId w:val="13"/>
  </w:num>
  <w:num w:numId="11">
    <w:abstractNumId w:val="6"/>
  </w:num>
  <w:num w:numId="12">
    <w:abstractNumId w:val="8"/>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B7A"/>
    <w:rsid w:val="00000EE7"/>
    <w:rsid w:val="00010C10"/>
    <w:rsid w:val="000133A3"/>
    <w:rsid w:val="0002084E"/>
    <w:rsid w:val="00022EFE"/>
    <w:rsid w:val="00030A1C"/>
    <w:rsid w:val="00032948"/>
    <w:rsid w:val="00034920"/>
    <w:rsid w:val="00040ADA"/>
    <w:rsid w:val="0004150B"/>
    <w:rsid w:val="00041E87"/>
    <w:rsid w:val="00054354"/>
    <w:rsid w:val="0006147A"/>
    <w:rsid w:val="00063592"/>
    <w:rsid w:val="000669C4"/>
    <w:rsid w:val="00084C21"/>
    <w:rsid w:val="00095329"/>
    <w:rsid w:val="00095793"/>
    <w:rsid w:val="00097A77"/>
    <w:rsid w:val="000A09E4"/>
    <w:rsid w:val="000A153A"/>
    <w:rsid w:val="000C085F"/>
    <w:rsid w:val="000C2528"/>
    <w:rsid w:val="000C6889"/>
    <w:rsid w:val="000C7FDB"/>
    <w:rsid w:val="000D1520"/>
    <w:rsid w:val="000D77F5"/>
    <w:rsid w:val="000E49B2"/>
    <w:rsid w:val="000E5E9F"/>
    <w:rsid w:val="000F22BB"/>
    <w:rsid w:val="000F583B"/>
    <w:rsid w:val="000F5BAA"/>
    <w:rsid w:val="0010091F"/>
    <w:rsid w:val="00103C22"/>
    <w:rsid w:val="00106609"/>
    <w:rsid w:val="0011038A"/>
    <w:rsid w:val="00110B6D"/>
    <w:rsid w:val="001204DD"/>
    <w:rsid w:val="0013283A"/>
    <w:rsid w:val="001338D4"/>
    <w:rsid w:val="00137384"/>
    <w:rsid w:val="00141517"/>
    <w:rsid w:val="00143031"/>
    <w:rsid w:val="00144957"/>
    <w:rsid w:val="00147D70"/>
    <w:rsid w:val="00153F18"/>
    <w:rsid w:val="00156A9A"/>
    <w:rsid w:val="00157D97"/>
    <w:rsid w:val="001602AB"/>
    <w:rsid w:val="00163721"/>
    <w:rsid w:val="0016635B"/>
    <w:rsid w:val="00167DB4"/>
    <w:rsid w:val="0017244D"/>
    <w:rsid w:val="001755F4"/>
    <w:rsid w:val="001772DA"/>
    <w:rsid w:val="001824B1"/>
    <w:rsid w:val="001829A9"/>
    <w:rsid w:val="0018526C"/>
    <w:rsid w:val="00192C35"/>
    <w:rsid w:val="00194526"/>
    <w:rsid w:val="001956AE"/>
    <w:rsid w:val="001A6990"/>
    <w:rsid w:val="001A6E3B"/>
    <w:rsid w:val="001A7EC3"/>
    <w:rsid w:val="001B72C7"/>
    <w:rsid w:val="001D151F"/>
    <w:rsid w:val="001D2D98"/>
    <w:rsid w:val="001D3F35"/>
    <w:rsid w:val="001D4326"/>
    <w:rsid w:val="001D53F6"/>
    <w:rsid w:val="001E4638"/>
    <w:rsid w:val="001E7856"/>
    <w:rsid w:val="001F0B18"/>
    <w:rsid w:val="001F4999"/>
    <w:rsid w:val="002008A7"/>
    <w:rsid w:val="00200EA9"/>
    <w:rsid w:val="00201CDC"/>
    <w:rsid w:val="00204424"/>
    <w:rsid w:val="00204BCA"/>
    <w:rsid w:val="00211530"/>
    <w:rsid w:val="00222AE1"/>
    <w:rsid w:val="002253BD"/>
    <w:rsid w:val="00225DF0"/>
    <w:rsid w:val="00226F7D"/>
    <w:rsid w:val="002277CD"/>
    <w:rsid w:val="002304EA"/>
    <w:rsid w:val="00231575"/>
    <w:rsid w:val="002346D7"/>
    <w:rsid w:val="00234D46"/>
    <w:rsid w:val="002559A1"/>
    <w:rsid w:val="0025761C"/>
    <w:rsid w:val="002679DC"/>
    <w:rsid w:val="00275212"/>
    <w:rsid w:val="002834EA"/>
    <w:rsid w:val="002851C9"/>
    <w:rsid w:val="00285465"/>
    <w:rsid w:val="00286F35"/>
    <w:rsid w:val="002903A2"/>
    <w:rsid w:val="00291C0F"/>
    <w:rsid w:val="002A0B63"/>
    <w:rsid w:val="002A36C0"/>
    <w:rsid w:val="002A3E67"/>
    <w:rsid w:val="002B1AE4"/>
    <w:rsid w:val="002B22C1"/>
    <w:rsid w:val="002B2C5D"/>
    <w:rsid w:val="002C312E"/>
    <w:rsid w:val="002D21ED"/>
    <w:rsid w:val="002E1C27"/>
    <w:rsid w:val="002E7E2C"/>
    <w:rsid w:val="002F0E29"/>
    <w:rsid w:val="002F199C"/>
    <w:rsid w:val="002F2720"/>
    <w:rsid w:val="002F5C4D"/>
    <w:rsid w:val="003028FF"/>
    <w:rsid w:val="00306315"/>
    <w:rsid w:val="00316057"/>
    <w:rsid w:val="00316911"/>
    <w:rsid w:val="00320CC5"/>
    <w:rsid w:val="00323B89"/>
    <w:rsid w:val="0033370A"/>
    <w:rsid w:val="00347D41"/>
    <w:rsid w:val="0035274E"/>
    <w:rsid w:val="00355597"/>
    <w:rsid w:val="00357A89"/>
    <w:rsid w:val="00361FAC"/>
    <w:rsid w:val="00366484"/>
    <w:rsid w:val="00366916"/>
    <w:rsid w:val="003765B5"/>
    <w:rsid w:val="00380467"/>
    <w:rsid w:val="00386628"/>
    <w:rsid w:val="00387F59"/>
    <w:rsid w:val="00391BC1"/>
    <w:rsid w:val="0039211A"/>
    <w:rsid w:val="00392BF8"/>
    <w:rsid w:val="003971C9"/>
    <w:rsid w:val="003A16D6"/>
    <w:rsid w:val="003A23E1"/>
    <w:rsid w:val="003B5339"/>
    <w:rsid w:val="003B5F69"/>
    <w:rsid w:val="003B7E1E"/>
    <w:rsid w:val="003C2E7A"/>
    <w:rsid w:val="003C307C"/>
    <w:rsid w:val="003C57C3"/>
    <w:rsid w:val="003C6F61"/>
    <w:rsid w:val="003E55C8"/>
    <w:rsid w:val="003E6A61"/>
    <w:rsid w:val="003E6B1C"/>
    <w:rsid w:val="003F2170"/>
    <w:rsid w:val="0040183D"/>
    <w:rsid w:val="00407955"/>
    <w:rsid w:val="00410D1F"/>
    <w:rsid w:val="00411280"/>
    <w:rsid w:val="004113ED"/>
    <w:rsid w:val="00415FF0"/>
    <w:rsid w:val="00420F5D"/>
    <w:rsid w:val="00422CB5"/>
    <w:rsid w:val="00422F24"/>
    <w:rsid w:val="00423D9E"/>
    <w:rsid w:val="00424B3D"/>
    <w:rsid w:val="00427B1D"/>
    <w:rsid w:val="00440BDB"/>
    <w:rsid w:val="00445904"/>
    <w:rsid w:val="00447849"/>
    <w:rsid w:val="0045373A"/>
    <w:rsid w:val="00455108"/>
    <w:rsid w:val="00455542"/>
    <w:rsid w:val="0046009E"/>
    <w:rsid w:val="0046029B"/>
    <w:rsid w:val="00467734"/>
    <w:rsid w:val="004707B6"/>
    <w:rsid w:val="004717FC"/>
    <w:rsid w:val="004753F2"/>
    <w:rsid w:val="00484F23"/>
    <w:rsid w:val="00494F9A"/>
    <w:rsid w:val="00495B98"/>
    <w:rsid w:val="004A2321"/>
    <w:rsid w:val="004A4268"/>
    <w:rsid w:val="004A4C7E"/>
    <w:rsid w:val="004A7206"/>
    <w:rsid w:val="004B0E15"/>
    <w:rsid w:val="004B5741"/>
    <w:rsid w:val="004E30C7"/>
    <w:rsid w:val="004E5772"/>
    <w:rsid w:val="004F4186"/>
    <w:rsid w:val="00502077"/>
    <w:rsid w:val="0050263B"/>
    <w:rsid w:val="00504E08"/>
    <w:rsid w:val="005175F8"/>
    <w:rsid w:val="005234AD"/>
    <w:rsid w:val="0052431B"/>
    <w:rsid w:val="00531838"/>
    <w:rsid w:val="0053607A"/>
    <w:rsid w:val="00536656"/>
    <w:rsid w:val="00545C98"/>
    <w:rsid w:val="0055015F"/>
    <w:rsid w:val="0055763B"/>
    <w:rsid w:val="005607AD"/>
    <w:rsid w:val="0056403C"/>
    <w:rsid w:val="00586432"/>
    <w:rsid w:val="00590385"/>
    <w:rsid w:val="005917EB"/>
    <w:rsid w:val="00591F5F"/>
    <w:rsid w:val="00593ED8"/>
    <w:rsid w:val="00596575"/>
    <w:rsid w:val="005B5AED"/>
    <w:rsid w:val="005C55AA"/>
    <w:rsid w:val="005D166D"/>
    <w:rsid w:val="005D3E89"/>
    <w:rsid w:val="005D60B4"/>
    <w:rsid w:val="005D79BE"/>
    <w:rsid w:val="005E272D"/>
    <w:rsid w:val="005E477C"/>
    <w:rsid w:val="005E4BB9"/>
    <w:rsid w:val="005E7446"/>
    <w:rsid w:val="005F5D89"/>
    <w:rsid w:val="005F612F"/>
    <w:rsid w:val="005F7F5B"/>
    <w:rsid w:val="0060170E"/>
    <w:rsid w:val="00603640"/>
    <w:rsid w:val="00605474"/>
    <w:rsid w:val="006104BE"/>
    <w:rsid w:val="006110E4"/>
    <w:rsid w:val="00612890"/>
    <w:rsid w:val="00613C70"/>
    <w:rsid w:val="00613F3D"/>
    <w:rsid w:val="00622780"/>
    <w:rsid w:val="006229F5"/>
    <w:rsid w:val="0062303D"/>
    <w:rsid w:val="00635D53"/>
    <w:rsid w:val="0064559F"/>
    <w:rsid w:val="00661295"/>
    <w:rsid w:val="00664C51"/>
    <w:rsid w:val="0067029C"/>
    <w:rsid w:val="00671456"/>
    <w:rsid w:val="00675C3E"/>
    <w:rsid w:val="00680FE7"/>
    <w:rsid w:val="006839DE"/>
    <w:rsid w:val="00686B82"/>
    <w:rsid w:val="00690CF6"/>
    <w:rsid w:val="006A56B8"/>
    <w:rsid w:val="006B3F91"/>
    <w:rsid w:val="006B768E"/>
    <w:rsid w:val="006B7B13"/>
    <w:rsid w:val="006B7B7A"/>
    <w:rsid w:val="006C353A"/>
    <w:rsid w:val="006C3C04"/>
    <w:rsid w:val="006C6C82"/>
    <w:rsid w:val="006D2735"/>
    <w:rsid w:val="006D6F2E"/>
    <w:rsid w:val="006D78E8"/>
    <w:rsid w:val="006E08DA"/>
    <w:rsid w:val="006E44EC"/>
    <w:rsid w:val="006F6521"/>
    <w:rsid w:val="006F726F"/>
    <w:rsid w:val="00703620"/>
    <w:rsid w:val="00705971"/>
    <w:rsid w:val="007059A8"/>
    <w:rsid w:val="0070741E"/>
    <w:rsid w:val="00711BB6"/>
    <w:rsid w:val="00711CE5"/>
    <w:rsid w:val="00712E08"/>
    <w:rsid w:val="00713FB7"/>
    <w:rsid w:val="007310BB"/>
    <w:rsid w:val="00734F4C"/>
    <w:rsid w:val="00736A05"/>
    <w:rsid w:val="00742EBE"/>
    <w:rsid w:val="0074485C"/>
    <w:rsid w:val="00745424"/>
    <w:rsid w:val="007460B6"/>
    <w:rsid w:val="0074753B"/>
    <w:rsid w:val="00757AB1"/>
    <w:rsid w:val="00757C32"/>
    <w:rsid w:val="00761ECA"/>
    <w:rsid w:val="00765F5E"/>
    <w:rsid w:val="00771AE2"/>
    <w:rsid w:val="0078613D"/>
    <w:rsid w:val="00792359"/>
    <w:rsid w:val="00792392"/>
    <w:rsid w:val="00792429"/>
    <w:rsid w:val="007941D4"/>
    <w:rsid w:val="00794524"/>
    <w:rsid w:val="00796032"/>
    <w:rsid w:val="007A0CA0"/>
    <w:rsid w:val="007A182E"/>
    <w:rsid w:val="007A7A79"/>
    <w:rsid w:val="007B662B"/>
    <w:rsid w:val="007B7F29"/>
    <w:rsid w:val="007C24B0"/>
    <w:rsid w:val="007C275F"/>
    <w:rsid w:val="007C5FB2"/>
    <w:rsid w:val="007D5A6F"/>
    <w:rsid w:val="007E2530"/>
    <w:rsid w:val="007E6138"/>
    <w:rsid w:val="007E6970"/>
    <w:rsid w:val="007E71EC"/>
    <w:rsid w:val="007E743E"/>
    <w:rsid w:val="007F1C0C"/>
    <w:rsid w:val="007F2007"/>
    <w:rsid w:val="007F3437"/>
    <w:rsid w:val="007F3B3D"/>
    <w:rsid w:val="007F6ACC"/>
    <w:rsid w:val="007F70E1"/>
    <w:rsid w:val="0080313D"/>
    <w:rsid w:val="0080375C"/>
    <w:rsid w:val="00804D88"/>
    <w:rsid w:val="008101AA"/>
    <w:rsid w:val="00810EB2"/>
    <w:rsid w:val="0081617D"/>
    <w:rsid w:val="008216BE"/>
    <w:rsid w:val="008230DE"/>
    <w:rsid w:val="00827F48"/>
    <w:rsid w:val="00831423"/>
    <w:rsid w:val="00833146"/>
    <w:rsid w:val="00834036"/>
    <w:rsid w:val="0083597B"/>
    <w:rsid w:val="008366F8"/>
    <w:rsid w:val="00836CBF"/>
    <w:rsid w:val="00842F14"/>
    <w:rsid w:val="00845876"/>
    <w:rsid w:val="008474E8"/>
    <w:rsid w:val="00854208"/>
    <w:rsid w:val="0085483D"/>
    <w:rsid w:val="008603CC"/>
    <w:rsid w:val="00861BA9"/>
    <w:rsid w:val="008658B7"/>
    <w:rsid w:val="00871B03"/>
    <w:rsid w:val="00875907"/>
    <w:rsid w:val="0088109F"/>
    <w:rsid w:val="0088502C"/>
    <w:rsid w:val="00887849"/>
    <w:rsid w:val="00894AF4"/>
    <w:rsid w:val="008B1350"/>
    <w:rsid w:val="008B29B9"/>
    <w:rsid w:val="008B38C8"/>
    <w:rsid w:val="008B4D53"/>
    <w:rsid w:val="008C170A"/>
    <w:rsid w:val="008C204D"/>
    <w:rsid w:val="008C6404"/>
    <w:rsid w:val="008D0328"/>
    <w:rsid w:val="008D0674"/>
    <w:rsid w:val="008D4A91"/>
    <w:rsid w:val="008E22B7"/>
    <w:rsid w:val="008E6BD0"/>
    <w:rsid w:val="008F2C93"/>
    <w:rsid w:val="008F441C"/>
    <w:rsid w:val="008F7CF8"/>
    <w:rsid w:val="00901A30"/>
    <w:rsid w:val="00902665"/>
    <w:rsid w:val="00912F59"/>
    <w:rsid w:val="00916BEB"/>
    <w:rsid w:val="00916F37"/>
    <w:rsid w:val="00921E68"/>
    <w:rsid w:val="00932EE3"/>
    <w:rsid w:val="00933CE8"/>
    <w:rsid w:val="00935231"/>
    <w:rsid w:val="00936963"/>
    <w:rsid w:val="009379FE"/>
    <w:rsid w:val="00942EE9"/>
    <w:rsid w:val="00944B99"/>
    <w:rsid w:val="00945381"/>
    <w:rsid w:val="0094644C"/>
    <w:rsid w:val="009466F2"/>
    <w:rsid w:val="00951147"/>
    <w:rsid w:val="009514EF"/>
    <w:rsid w:val="00952EDB"/>
    <w:rsid w:val="009552A8"/>
    <w:rsid w:val="00957C6C"/>
    <w:rsid w:val="00963120"/>
    <w:rsid w:val="00964413"/>
    <w:rsid w:val="00964C9C"/>
    <w:rsid w:val="0096608E"/>
    <w:rsid w:val="00966490"/>
    <w:rsid w:val="00972490"/>
    <w:rsid w:val="00972545"/>
    <w:rsid w:val="00975806"/>
    <w:rsid w:val="00976615"/>
    <w:rsid w:val="00983397"/>
    <w:rsid w:val="009847DE"/>
    <w:rsid w:val="009854C4"/>
    <w:rsid w:val="0099036D"/>
    <w:rsid w:val="00990B0F"/>
    <w:rsid w:val="00992DA6"/>
    <w:rsid w:val="0099468A"/>
    <w:rsid w:val="009A0E6E"/>
    <w:rsid w:val="009A22AC"/>
    <w:rsid w:val="009A2771"/>
    <w:rsid w:val="009A354D"/>
    <w:rsid w:val="009A4697"/>
    <w:rsid w:val="009B56F5"/>
    <w:rsid w:val="009C223A"/>
    <w:rsid w:val="009C22FF"/>
    <w:rsid w:val="009C291E"/>
    <w:rsid w:val="009C3D81"/>
    <w:rsid w:val="009C3E4B"/>
    <w:rsid w:val="009D721B"/>
    <w:rsid w:val="009E3A1B"/>
    <w:rsid w:val="009F4F46"/>
    <w:rsid w:val="00A0124F"/>
    <w:rsid w:val="00A03C56"/>
    <w:rsid w:val="00A11B34"/>
    <w:rsid w:val="00A207E5"/>
    <w:rsid w:val="00A221B3"/>
    <w:rsid w:val="00A22910"/>
    <w:rsid w:val="00A404CA"/>
    <w:rsid w:val="00A405F4"/>
    <w:rsid w:val="00A44BC8"/>
    <w:rsid w:val="00A454F1"/>
    <w:rsid w:val="00A50103"/>
    <w:rsid w:val="00A555C1"/>
    <w:rsid w:val="00A60D6A"/>
    <w:rsid w:val="00A630FC"/>
    <w:rsid w:val="00A6570E"/>
    <w:rsid w:val="00A6671C"/>
    <w:rsid w:val="00A669BD"/>
    <w:rsid w:val="00A67CE4"/>
    <w:rsid w:val="00A72552"/>
    <w:rsid w:val="00A744AF"/>
    <w:rsid w:val="00A74616"/>
    <w:rsid w:val="00A83316"/>
    <w:rsid w:val="00A85EEB"/>
    <w:rsid w:val="00A90A23"/>
    <w:rsid w:val="00A9278D"/>
    <w:rsid w:val="00A93AB1"/>
    <w:rsid w:val="00A95060"/>
    <w:rsid w:val="00A969A5"/>
    <w:rsid w:val="00A96C38"/>
    <w:rsid w:val="00AA66C5"/>
    <w:rsid w:val="00AB7628"/>
    <w:rsid w:val="00AD1A97"/>
    <w:rsid w:val="00AE4B51"/>
    <w:rsid w:val="00AE4C02"/>
    <w:rsid w:val="00AE5B43"/>
    <w:rsid w:val="00AE5D04"/>
    <w:rsid w:val="00AF2051"/>
    <w:rsid w:val="00AF4049"/>
    <w:rsid w:val="00AF5801"/>
    <w:rsid w:val="00B002F2"/>
    <w:rsid w:val="00B0133A"/>
    <w:rsid w:val="00B10B1E"/>
    <w:rsid w:val="00B132AA"/>
    <w:rsid w:val="00B1583A"/>
    <w:rsid w:val="00B15DC5"/>
    <w:rsid w:val="00B22DF4"/>
    <w:rsid w:val="00B258A7"/>
    <w:rsid w:val="00B310ED"/>
    <w:rsid w:val="00B33CD5"/>
    <w:rsid w:val="00B3643E"/>
    <w:rsid w:val="00B41980"/>
    <w:rsid w:val="00B46CFA"/>
    <w:rsid w:val="00B536CF"/>
    <w:rsid w:val="00B53DB3"/>
    <w:rsid w:val="00B54194"/>
    <w:rsid w:val="00B57759"/>
    <w:rsid w:val="00B62131"/>
    <w:rsid w:val="00B62AEC"/>
    <w:rsid w:val="00B63F93"/>
    <w:rsid w:val="00B677FF"/>
    <w:rsid w:val="00B7275F"/>
    <w:rsid w:val="00B73960"/>
    <w:rsid w:val="00B81687"/>
    <w:rsid w:val="00B83738"/>
    <w:rsid w:val="00B842B3"/>
    <w:rsid w:val="00B842F5"/>
    <w:rsid w:val="00B84896"/>
    <w:rsid w:val="00B87647"/>
    <w:rsid w:val="00B87D98"/>
    <w:rsid w:val="00B90A34"/>
    <w:rsid w:val="00B93183"/>
    <w:rsid w:val="00BA20C5"/>
    <w:rsid w:val="00BA25A3"/>
    <w:rsid w:val="00BA513D"/>
    <w:rsid w:val="00BA5499"/>
    <w:rsid w:val="00BA66E1"/>
    <w:rsid w:val="00BB6F72"/>
    <w:rsid w:val="00BB700D"/>
    <w:rsid w:val="00BB7D88"/>
    <w:rsid w:val="00BC2459"/>
    <w:rsid w:val="00BC39F5"/>
    <w:rsid w:val="00BC54E8"/>
    <w:rsid w:val="00BC6C5F"/>
    <w:rsid w:val="00BD7B40"/>
    <w:rsid w:val="00BE02DC"/>
    <w:rsid w:val="00BE42E0"/>
    <w:rsid w:val="00BE4ED7"/>
    <w:rsid w:val="00BE6282"/>
    <w:rsid w:val="00BF02C9"/>
    <w:rsid w:val="00BF061C"/>
    <w:rsid w:val="00BF1AF7"/>
    <w:rsid w:val="00BF75D7"/>
    <w:rsid w:val="00C01883"/>
    <w:rsid w:val="00C02B0B"/>
    <w:rsid w:val="00C126D2"/>
    <w:rsid w:val="00C13813"/>
    <w:rsid w:val="00C20F2A"/>
    <w:rsid w:val="00C21BF9"/>
    <w:rsid w:val="00C377A3"/>
    <w:rsid w:val="00C43C05"/>
    <w:rsid w:val="00C44B25"/>
    <w:rsid w:val="00C57D98"/>
    <w:rsid w:val="00C60FF5"/>
    <w:rsid w:val="00C62138"/>
    <w:rsid w:val="00C6683E"/>
    <w:rsid w:val="00C755B8"/>
    <w:rsid w:val="00C94FC6"/>
    <w:rsid w:val="00CA000F"/>
    <w:rsid w:val="00CA12F9"/>
    <w:rsid w:val="00CA5FAE"/>
    <w:rsid w:val="00CA6E11"/>
    <w:rsid w:val="00CB3E9C"/>
    <w:rsid w:val="00CC1701"/>
    <w:rsid w:val="00CC4410"/>
    <w:rsid w:val="00CC7BE0"/>
    <w:rsid w:val="00CD2F91"/>
    <w:rsid w:val="00CD3D8E"/>
    <w:rsid w:val="00CD46B1"/>
    <w:rsid w:val="00CD77A6"/>
    <w:rsid w:val="00CE60A9"/>
    <w:rsid w:val="00CE6F71"/>
    <w:rsid w:val="00CF1BB8"/>
    <w:rsid w:val="00CF7E11"/>
    <w:rsid w:val="00D00EFA"/>
    <w:rsid w:val="00D0153F"/>
    <w:rsid w:val="00D0197B"/>
    <w:rsid w:val="00D056A3"/>
    <w:rsid w:val="00D06F20"/>
    <w:rsid w:val="00D10585"/>
    <w:rsid w:val="00D14D42"/>
    <w:rsid w:val="00D15939"/>
    <w:rsid w:val="00D2008B"/>
    <w:rsid w:val="00D24A85"/>
    <w:rsid w:val="00D25B48"/>
    <w:rsid w:val="00D34A68"/>
    <w:rsid w:val="00D45637"/>
    <w:rsid w:val="00D45F95"/>
    <w:rsid w:val="00D475A4"/>
    <w:rsid w:val="00D5312C"/>
    <w:rsid w:val="00D57DE8"/>
    <w:rsid w:val="00D7148C"/>
    <w:rsid w:val="00D73A30"/>
    <w:rsid w:val="00D73A60"/>
    <w:rsid w:val="00D74AA4"/>
    <w:rsid w:val="00D75D89"/>
    <w:rsid w:val="00D84FC6"/>
    <w:rsid w:val="00D87EC3"/>
    <w:rsid w:val="00D91C6D"/>
    <w:rsid w:val="00D95A2B"/>
    <w:rsid w:val="00DA287C"/>
    <w:rsid w:val="00DA5BF0"/>
    <w:rsid w:val="00DA6931"/>
    <w:rsid w:val="00DB2605"/>
    <w:rsid w:val="00DB3EF9"/>
    <w:rsid w:val="00DC191D"/>
    <w:rsid w:val="00DD0274"/>
    <w:rsid w:val="00DF2591"/>
    <w:rsid w:val="00DF4102"/>
    <w:rsid w:val="00DF4AD0"/>
    <w:rsid w:val="00DF7526"/>
    <w:rsid w:val="00E14DE3"/>
    <w:rsid w:val="00E15D8F"/>
    <w:rsid w:val="00E1613D"/>
    <w:rsid w:val="00E2207C"/>
    <w:rsid w:val="00E26916"/>
    <w:rsid w:val="00E27602"/>
    <w:rsid w:val="00E4084A"/>
    <w:rsid w:val="00E41FF3"/>
    <w:rsid w:val="00E433FA"/>
    <w:rsid w:val="00E47C03"/>
    <w:rsid w:val="00E5510B"/>
    <w:rsid w:val="00E63141"/>
    <w:rsid w:val="00E66AAD"/>
    <w:rsid w:val="00E72302"/>
    <w:rsid w:val="00E72D75"/>
    <w:rsid w:val="00E75C5A"/>
    <w:rsid w:val="00E76204"/>
    <w:rsid w:val="00E768B6"/>
    <w:rsid w:val="00E775DA"/>
    <w:rsid w:val="00E77CC2"/>
    <w:rsid w:val="00E816A1"/>
    <w:rsid w:val="00E8790B"/>
    <w:rsid w:val="00E90C3F"/>
    <w:rsid w:val="00E927F7"/>
    <w:rsid w:val="00E93E24"/>
    <w:rsid w:val="00E96B37"/>
    <w:rsid w:val="00EA121B"/>
    <w:rsid w:val="00EB0C4B"/>
    <w:rsid w:val="00EB150A"/>
    <w:rsid w:val="00EB5F9F"/>
    <w:rsid w:val="00EB7E6E"/>
    <w:rsid w:val="00EC0EAB"/>
    <w:rsid w:val="00EC1646"/>
    <w:rsid w:val="00EC5499"/>
    <w:rsid w:val="00ED5BE6"/>
    <w:rsid w:val="00EF1847"/>
    <w:rsid w:val="00EF245C"/>
    <w:rsid w:val="00EF464F"/>
    <w:rsid w:val="00EF69C9"/>
    <w:rsid w:val="00EF6CE1"/>
    <w:rsid w:val="00F02537"/>
    <w:rsid w:val="00F027F5"/>
    <w:rsid w:val="00F07CDD"/>
    <w:rsid w:val="00F11C03"/>
    <w:rsid w:val="00F20564"/>
    <w:rsid w:val="00F25C5C"/>
    <w:rsid w:val="00F347C7"/>
    <w:rsid w:val="00F37857"/>
    <w:rsid w:val="00F40875"/>
    <w:rsid w:val="00F42505"/>
    <w:rsid w:val="00F455FD"/>
    <w:rsid w:val="00F502BE"/>
    <w:rsid w:val="00F50A0C"/>
    <w:rsid w:val="00F55B26"/>
    <w:rsid w:val="00F5674A"/>
    <w:rsid w:val="00F571BE"/>
    <w:rsid w:val="00F612D2"/>
    <w:rsid w:val="00F630DD"/>
    <w:rsid w:val="00F644EF"/>
    <w:rsid w:val="00F66BC7"/>
    <w:rsid w:val="00F735A7"/>
    <w:rsid w:val="00F82A89"/>
    <w:rsid w:val="00F86ACA"/>
    <w:rsid w:val="00FA0466"/>
    <w:rsid w:val="00FA42A3"/>
    <w:rsid w:val="00FA430D"/>
    <w:rsid w:val="00FA7003"/>
    <w:rsid w:val="00FA7F43"/>
    <w:rsid w:val="00FB153F"/>
    <w:rsid w:val="00FC27E1"/>
    <w:rsid w:val="00FC754D"/>
    <w:rsid w:val="00FD24BC"/>
    <w:rsid w:val="00FD3CCB"/>
    <w:rsid w:val="00FE109F"/>
    <w:rsid w:val="00FE2038"/>
    <w:rsid w:val="00FE273D"/>
    <w:rsid w:val="00FE3DAC"/>
    <w:rsid w:val="00FE414C"/>
    <w:rsid w:val="00FE57BB"/>
    <w:rsid w:val="00FF2F9D"/>
    <w:rsid w:val="00FF3ACD"/>
    <w:rsid w:val="00FF42C8"/>
    <w:rsid w:val="00FF44A5"/>
    <w:rsid w:val="00FF4DE2"/>
    <w:rsid w:val="00FF70EF"/>
    <w:rsid w:val="00FF74CE"/>
    <w:rsid w:val="00FF772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8E8627"/>
  <w15:docId w15:val="{557790C7-BB20-4BA3-BF76-E63CA19EC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43B8D"/>
    <w:pPr>
      <w:spacing w:after="200" w:line="276" w:lineRule="auto"/>
    </w:pPr>
    <w:rPr>
      <w:color w:val="00000A"/>
      <w:sz w:val="22"/>
      <w:szCs w:val="22"/>
      <w:lang w:eastAsia="en-US"/>
    </w:rPr>
  </w:style>
  <w:style w:type="paragraph" w:styleId="Nagwek3">
    <w:name w:val="heading 3"/>
    <w:basedOn w:val="Normalny"/>
    <w:next w:val="Normalny"/>
    <w:link w:val="Nagwek3Znak"/>
    <w:uiPriority w:val="9"/>
    <w:unhideWhenUsed/>
    <w:qFormat/>
    <w:rsid w:val="00422CB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link w:val="Tekstprzypisudolnego"/>
    <w:uiPriority w:val="99"/>
    <w:qFormat/>
    <w:rsid w:val="00D43B8D"/>
    <w:rPr>
      <w:rFonts w:ascii="Calibri" w:eastAsia="Calibri" w:hAnsi="Calibri" w:cs="Times New Roman"/>
      <w:sz w:val="20"/>
      <w:szCs w:val="20"/>
    </w:rPr>
  </w:style>
  <w:style w:type="character" w:customStyle="1" w:styleId="Zakotwiczenieprzypisudolnego">
    <w:name w:val="Zakotwiczenie przypisu dolnego"/>
    <w:rPr>
      <w:vertAlign w:val="superscript"/>
    </w:rPr>
  </w:style>
  <w:style w:type="character" w:customStyle="1" w:styleId="FootnoteCharacters">
    <w:name w:val="Footnote Characters"/>
    <w:uiPriority w:val="99"/>
    <w:unhideWhenUsed/>
    <w:qFormat/>
    <w:rsid w:val="00D43B8D"/>
    <w:rPr>
      <w:vertAlign w:val="superscript"/>
    </w:rPr>
  </w:style>
  <w:style w:type="character" w:customStyle="1" w:styleId="NagwekZnak">
    <w:name w:val="Nagłówek Znak"/>
    <w:link w:val="Nagwek"/>
    <w:uiPriority w:val="99"/>
    <w:qFormat/>
    <w:rsid w:val="00D43B8D"/>
    <w:rPr>
      <w:rFonts w:ascii="Calibri" w:eastAsia="Calibri" w:hAnsi="Calibri" w:cs="Times New Roman"/>
    </w:rPr>
  </w:style>
  <w:style w:type="character" w:customStyle="1" w:styleId="StopkaZnak">
    <w:name w:val="Stopka Znak"/>
    <w:link w:val="Stopka"/>
    <w:uiPriority w:val="99"/>
    <w:qFormat/>
    <w:rsid w:val="00D43B8D"/>
    <w:rPr>
      <w:rFonts w:ascii="Calibri" w:eastAsia="Calibri" w:hAnsi="Calibri" w:cs="Times New Roman"/>
    </w:rPr>
  </w:style>
  <w:style w:type="character" w:customStyle="1" w:styleId="TekstdymkaZnak">
    <w:name w:val="Tekst dymka Znak"/>
    <w:link w:val="Tekstdymka"/>
    <w:uiPriority w:val="99"/>
    <w:semiHidden/>
    <w:qFormat/>
    <w:rsid w:val="00BE29CD"/>
    <w:rPr>
      <w:rFonts w:ascii="Tahoma" w:hAnsi="Tahoma" w:cs="Tahoma"/>
      <w:sz w:val="16"/>
      <w:szCs w:val="16"/>
      <w:lang w:eastAsia="en-US"/>
    </w:rPr>
  </w:style>
  <w:style w:type="character" w:styleId="Odwoaniedokomentarza">
    <w:name w:val="annotation reference"/>
    <w:uiPriority w:val="99"/>
    <w:semiHidden/>
    <w:unhideWhenUsed/>
    <w:qFormat/>
    <w:rsid w:val="00D15D2E"/>
    <w:rPr>
      <w:sz w:val="16"/>
      <w:szCs w:val="16"/>
    </w:rPr>
  </w:style>
  <w:style w:type="character" w:customStyle="1" w:styleId="TekstkomentarzaZnak">
    <w:name w:val="Tekst komentarza Znak"/>
    <w:link w:val="Tekstkomentarza"/>
    <w:uiPriority w:val="99"/>
    <w:qFormat/>
    <w:rsid w:val="00D15D2E"/>
    <w:rPr>
      <w:lang w:eastAsia="en-US"/>
    </w:rPr>
  </w:style>
  <w:style w:type="character" w:customStyle="1" w:styleId="TematkomentarzaZnak">
    <w:name w:val="Temat komentarza Znak"/>
    <w:link w:val="Tematkomentarza"/>
    <w:uiPriority w:val="99"/>
    <w:semiHidden/>
    <w:qFormat/>
    <w:rsid w:val="00D15D2E"/>
    <w:rPr>
      <w:b/>
      <w:bCs/>
      <w:lang w:eastAsia="en-US"/>
    </w:rPr>
  </w:style>
  <w:style w:type="character" w:customStyle="1" w:styleId="info-list-value-uzasadnienie">
    <w:name w:val="info-list-value-uzasadnienie"/>
    <w:qFormat/>
    <w:rsid w:val="00446862"/>
  </w:style>
  <w:style w:type="character" w:customStyle="1" w:styleId="h1">
    <w:name w:val="h1"/>
    <w:qFormat/>
    <w:rsid w:val="00A273CE"/>
  </w:style>
  <w:style w:type="character" w:customStyle="1" w:styleId="czeinternetowe">
    <w:name w:val="Łącze internetowe"/>
    <w:uiPriority w:val="99"/>
    <w:unhideWhenUsed/>
    <w:rsid w:val="00905D35"/>
    <w:rPr>
      <w:color w:val="0000FF"/>
      <w:u w:val="single"/>
    </w:rPr>
  </w:style>
  <w:style w:type="character" w:customStyle="1" w:styleId="Wyrnienie">
    <w:name w:val="Wyróżnienie"/>
    <w:uiPriority w:val="20"/>
    <w:qFormat/>
    <w:rsid w:val="00024A5B"/>
    <w:rPr>
      <w:i/>
      <w:iCs/>
    </w:rPr>
  </w:style>
  <w:style w:type="character" w:customStyle="1" w:styleId="AkapitzlistZnak">
    <w:name w:val="Akapit z listą Znak"/>
    <w:link w:val="Akapitzlist"/>
    <w:uiPriority w:val="34"/>
    <w:qFormat/>
    <w:rsid w:val="005D2E98"/>
    <w:rPr>
      <w:sz w:val="22"/>
      <w:szCs w:val="22"/>
      <w:lang w:eastAsia="en-US"/>
    </w:rPr>
  </w:style>
  <w:style w:type="character" w:customStyle="1" w:styleId="fn-ref">
    <w:name w:val="fn-ref"/>
    <w:qFormat/>
    <w:rsid w:val="00FB7200"/>
  </w:style>
  <w:style w:type="character" w:customStyle="1" w:styleId="TekstprzypisukocowegoZnak">
    <w:name w:val="Tekst przypisu końcowego Znak"/>
    <w:link w:val="Tekstprzypisukocowego"/>
    <w:uiPriority w:val="99"/>
    <w:semiHidden/>
    <w:qFormat/>
    <w:rsid w:val="004745E8"/>
    <w:rPr>
      <w:lang w:eastAsia="en-US"/>
    </w:rPr>
  </w:style>
  <w:style w:type="character" w:customStyle="1" w:styleId="Zakotwiczenieprzypisukocowego">
    <w:name w:val="Zakotwiczenie przypisu końcowego"/>
    <w:rPr>
      <w:vertAlign w:val="superscript"/>
    </w:rPr>
  </w:style>
  <w:style w:type="character" w:customStyle="1" w:styleId="EndnoteCharacters">
    <w:name w:val="Endnote Characters"/>
    <w:uiPriority w:val="99"/>
    <w:semiHidden/>
    <w:unhideWhenUsed/>
    <w:qFormat/>
    <w:rsid w:val="004745E8"/>
    <w:rPr>
      <w:vertAlign w:val="superscript"/>
    </w:rPr>
  </w:style>
  <w:style w:type="character" w:customStyle="1" w:styleId="Ppogrubienie">
    <w:name w:val="_P_ – pogrubienie"/>
    <w:uiPriority w:val="1"/>
    <w:qFormat/>
    <w:rsid w:val="00D64067"/>
    <w:rPr>
      <w:b/>
      <w:bCs/>
    </w:rPr>
  </w:style>
  <w:style w:type="character" w:customStyle="1" w:styleId="ZPKTzmpktartykuempunktemZnak">
    <w:name w:val="Z/PKT – zm. pkt artykułem (punktem) Znak"/>
    <w:link w:val="ZPKTzmpktartykuempunktem"/>
    <w:uiPriority w:val="33"/>
    <w:qFormat/>
    <w:rsid w:val="005F0063"/>
    <w:rPr>
      <w:rFonts w:ascii="Times" w:eastAsia="Times New Roman" w:hAnsi="Times" w:cs="Arial"/>
      <w:bCs/>
      <w:sz w:val="24"/>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color w:val="000000"/>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color w:val="000000"/>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b/>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Times New Roman"/>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Times New Roman"/>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eastAsia="Calibri" w:cs="Times New Roman"/>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Znakinumeracji">
    <w:name w:val="Znaki numeracji"/>
    <w:qFormat/>
    <w:rPr>
      <w:rFonts w:ascii="Times New Roman" w:hAnsi="Times New Roman"/>
    </w:rPr>
  </w:style>
  <w:style w:type="paragraph" w:styleId="Nagwek">
    <w:name w:val="header"/>
    <w:basedOn w:val="Normalny"/>
    <w:next w:val="Tekstpodstawowy"/>
    <w:link w:val="NagwekZnak"/>
    <w:uiPriority w:val="99"/>
    <w:unhideWhenUsed/>
    <w:rsid w:val="00D43B8D"/>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Tekstprzypisudolnego">
    <w:name w:val="footnote text"/>
    <w:basedOn w:val="Normalny"/>
    <w:link w:val="TekstprzypisudolnegoZnak"/>
    <w:uiPriority w:val="99"/>
    <w:unhideWhenUsed/>
    <w:rsid w:val="00D43B8D"/>
    <w:pPr>
      <w:spacing w:after="0" w:line="240" w:lineRule="auto"/>
    </w:pPr>
    <w:rPr>
      <w:sz w:val="20"/>
      <w:szCs w:val="20"/>
    </w:rPr>
  </w:style>
  <w:style w:type="paragraph" w:styleId="Akapitzlist">
    <w:name w:val="List Paragraph"/>
    <w:basedOn w:val="Normalny"/>
    <w:link w:val="AkapitzlistZnak"/>
    <w:uiPriority w:val="34"/>
    <w:qFormat/>
    <w:rsid w:val="00D43B8D"/>
    <w:pPr>
      <w:ind w:left="720"/>
      <w:contextualSpacing/>
    </w:pPr>
  </w:style>
  <w:style w:type="paragraph" w:customStyle="1" w:styleId="c01pointnumerotealtn">
    <w:name w:val="c01pointnumerotealtn"/>
    <w:basedOn w:val="Normalny"/>
    <w:qFormat/>
    <w:rsid w:val="00D43B8D"/>
    <w:pPr>
      <w:spacing w:beforeAutospacing="1" w:after="240" w:line="240" w:lineRule="auto"/>
      <w:ind w:left="567" w:hanging="539"/>
      <w:jc w:val="both"/>
    </w:pPr>
    <w:rPr>
      <w:rFonts w:ascii="Times New Roman" w:eastAsia="Times New Roman" w:hAnsi="Times New Roman"/>
      <w:sz w:val="24"/>
      <w:szCs w:val="24"/>
      <w:lang w:eastAsia="pl-PL"/>
    </w:rPr>
  </w:style>
  <w:style w:type="paragraph" w:styleId="Stopka">
    <w:name w:val="footer"/>
    <w:basedOn w:val="Normalny"/>
    <w:link w:val="StopkaZnak"/>
    <w:uiPriority w:val="99"/>
    <w:unhideWhenUsed/>
    <w:rsid w:val="00D43B8D"/>
    <w:pPr>
      <w:tabs>
        <w:tab w:val="center" w:pos="4536"/>
        <w:tab w:val="right" w:pos="9072"/>
      </w:tabs>
      <w:spacing w:after="0" w:line="240" w:lineRule="auto"/>
    </w:pPr>
  </w:style>
  <w:style w:type="paragraph" w:customStyle="1" w:styleId="lewakolumna">
    <w:name w:val="lewakolumna"/>
    <w:basedOn w:val="Normalny"/>
    <w:qFormat/>
    <w:rsid w:val="00D43B8D"/>
    <w:pPr>
      <w:spacing w:beforeAutospacing="1" w:afterAutospacing="1"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qFormat/>
    <w:rsid w:val="00BE29CD"/>
    <w:pPr>
      <w:spacing w:after="0" w:line="240" w:lineRule="auto"/>
    </w:pPr>
    <w:rPr>
      <w:rFonts w:ascii="Tahoma" w:hAnsi="Tahoma" w:cs="Tahoma"/>
      <w:sz w:val="16"/>
      <w:szCs w:val="16"/>
    </w:rPr>
  </w:style>
  <w:style w:type="paragraph" w:styleId="Tekstkomentarza">
    <w:name w:val="annotation text"/>
    <w:basedOn w:val="Normalny"/>
    <w:link w:val="TekstkomentarzaZnak"/>
    <w:uiPriority w:val="99"/>
    <w:unhideWhenUsed/>
    <w:qFormat/>
    <w:rsid w:val="00D15D2E"/>
    <w:rPr>
      <w:sz w:val="20"/>
      <w:szCs w:val="20"/>
    </w:rPr>
  </w:style>
  <w:style w:type="paragraph" w:styleId="Tematkomentarza">
    <w:name w:val="annotation subject"/>
    <w:basedOn w:val="Tekstkomentarza"/>
    <w:link w:val="TematkomentarzaZnak"/>
    <w:uiPriority w:val="99"/>
    <w:semiHidden/>
    <w:unhideWhenUsed/>
    <w:qFormat/>
    <w:rsid w:val="00D15D2E"/>
    <w:rPr>
      <w:b/>
      <w:bCs/>
    </w:rPr>
  </w:style>
  <w:style w:type="paragraph" w:customStyle="1" w:styleId="celp">
    <w:name w:val="cel_p"/>
    <w:basedOn w:val="Normalny"/>
    <w:qFormat/>
    <w:rsid w:val="00A273CE"/>
    <w:pPr>
      <w:spacing w:beforeAutospacing="1" w:afterAutospacing="1" w:line="240" w:lineRule="auto"/>
    </w:pPr>
    <w:rPr>
      <w:rFonts w:ascii="Times New Roman" w:eastAsia="Times New Roman" w:hAnsi="Times New Roman"/>
      <w:sz w:val="24"/>
      <w:szCs w:val="24"/>
      <w:lang w:eastAsia="pl-PL"/>
    </w:rPr>
  </w:style>
  <w:style w:type="paragraph" w:customStyle="1" w:styleId="c08dispositif">
    <w:name w:val="c08dispositif"/>
    <w:basedOn w:val="Normalny"/>
    <w:qFormat/>
    <w:rsid w:val="00A235C8"/>
    <w:pPr>
      <w:spacing w:beforeAutospacing="1" w:afterAutospacing="1" w:line="240" w:lineRule="auto"/>
    </w:pPr>
    <w:rPr>
      <w:rFonts w:ascii="Times New Roman" w:eastAsia="Times New Roman" w:hAnsi="Times New Roman"/>
      <w:sz w:val="24"/>
      <w:szCs w:val="24"/>
      <w:lang w:eastAsia="pl-PL"/>
    </w:rPr>
  </w:style>
  <w:style w:type="paragraph" w:customStyle="1" w:styleId="PKTpunkt">
    <w:name w:val="PKT – punkt"/>
    <w:uiPriority w:val="13"/>
    <w:qFormat/>
    <w:rsid w:val="000A6C42"/>
    <w:pPr>
      <w:spacing w:line="360" w:lineRule="auto"/>
      <w:ind w:left="510" w:hanging="510"/>
      <w:jc w:val="both"/>
    </w:pPr>
    <w:rPr>
      <w:rFonts w:ascii="Times" w:eastAsia="Times New Roman" w:hAnsi="Times" w:cs="Arial"/>
      <w:bCs/>
      <w:color w:val="00000A"/>
      <w:sz w:val="24"/>
    </w:rPr>
  </w:style>
  <w:style w:type="paragraph" w:customStyle="1" w:styleId="LITlitera">
    <w:name w:val="LIT – litera"/>
    <w:basedOn w:val="PKTpunkt"/>
    <w:uiPriority w:val="14"/>
    <w:qFormat/>
    <w:rsid w:val="000A6C42"/>
    <w:pPr>
      <w:ind w:left="986" w:hanging="476"/>
    </w:pPr>
  </w:style>
  <w:style w:type="paragraph" w:customStyle="1" w:styleId="ZLITUSTzmustliter">
    <w:name w:val="Z_LIT/UST(§) – zm. ust. (§) literą"/>
    <w:basedOn w:val="Normalny"/>
    <w:uiPriority w:val="46"/>
    <w:qFormat/>
    <w:rsid w:val="00884FA5"/>
    <w:pPr>
      <w:suppressAutoHyphens/>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PKTpunkt"/>
    <w:uiPriority w:val="47"/>
    <w:qFormat/>
    <w:rsid w:val="002C17D8"/>
    <w:pPr>
      <w:ind w:left="1497"/>
    </w:pPr>
  </w:style>
  <w:style w:type="paragraph" w:styleId="Tekstprzypisukocowego">
    <w:name w:val="endnote text"/>
    <w:basedOn w:val="Normalny"/>
    <w:link w:val="TekstprzypisukocowegoZnak"/>
    <w:uiPriority w:val="99"/>
    <w:semiHidden/>
    <w:unhideWhenUsed/>
    <w:rsid w:val="004745E8"/>
    <w:rPr>
      <w:sz w:val="20"/>
      <w:szCs w:val="20"/>
    </w:rPr>
  </w:style>
  <w:style w:type="paragraph" w:styleId="NormalnyWeb">
    <w:name w:val="Normal (Web)"/>
    <w:basedOn w:val="Normalny"/>
    <w:qFormat/>
    <w:rsid w:val="00BA6A51"/>
    <w:pPr>
      <w:spacing w:before="20" w:after="30" w:line="240" w:lineRule="auto"/>
    </w:pPr>
    <w:rPr>
      <w:rFonts w:ascii="Times New Roman" w:eastAsia="Times New Roman" w:hAnsi="Times New Roman"/>
      <w:sz w:val="24"/>
      <w:szCs w:val="24"/>
      <w:lang w:eastAsia="pl-PL"/>
    </w:rPr>
  </w:style>
  <w:style w:type="paragraph" w:customStyle="1" w:styleId="Styl">
    <w:name w:val="Styl"/>
    <w:qFormat/>
    <w:rsid w:val="00BA6A51"/>
    <w:pPr>
      <w:widowControl w:val="0"/>
    </w:pPr>
    <w:rPr>
      <w:rFonts w:ascii="Times New Roman" w:eastAsia="Times New Roman" w:hAnsi="Times New Roman"/>
      <w:color w:val="00000A"/>
      <w:sz w:val="24"/>
      <w:szCs w:val="24"/>
    </w:rPr>
  </w:style>
  <w:style w:type="paragraph" w:customStyle="1" w:styleId="ZPKTzmpktartykuempunktem">
    <w:name w:val="Z/PKT – zm. pkt artykułem (punktem)"/>
    <w:basedOn w:val="Normalny"/>
    <w:link w:val="ZPKTzmpktartykuempunktemZnak"/>
    <w:uiPriority w:val="33"/>
    <w:qFormat/>
    <w:rsid w:val="005F0063"/>
    <w:pPr>
      <w:spacing w:after="0" w:line="360" w:lineRule="auto"/>
      <w:ind w:left="1020" w:hanging="510"/>
      <w:jc w:val="both"/>
    </w:pPr>
    <w:rPr>
      <w:rFonts w:ascii="Times" w:eastAsia="Times New Roman" w:hAnsi="Times" w:cs="Arial"/>
      <w:bCs/>
      <w:sz w:val="24"/>
      <w:szCs w:val="20"/>
      <w:lang w:eastAsia="pl-PL"/>
    </w:rPr>
  </w:style>
  <w:style w:type="paragraph" w:styleId="Poprawka">
    <w:name w:val="Revision"/>
    <w:uiPriority w:val="99"/>
    <w:semiHidden/>
    <w:qFormat/>
    <w:rsid w:val="00DE1AD9"/>
    <w:rPr>
      <w:color w:val="00000A"/>
      <w:sz w:val="22"/>
      <w:szCs w:val="22"/>
      <w:lang w:eastAsia="en-US"/>
    </w:rPr>
  </w:style>
  <w:style w:type="paragraph" w:customStyle="1" w:styleId="ARTartustawynprozporzdzenia">
    <w:name w:val="ART(§) – art. ustawy (§ np. rozporządzenia)"/>
    <w:uiPriority w:val="11"/>
    <w:qFormat/>
    <w:rsid w:val="00C731EE"/>
    <w:pPr>
      <w:suppressAutoHyphens/>
      <w:spacing w:before="120" w:line="360" w:lineRule="auto"/>
      <w:ind w:firstLine="510"/>
      <w:jc w:val="both"/>
    </w:pPr>
    <w:rPr>
      <w:rFonts w:ascii="Times" w:eastAsiaTheme="minorEastAsia" w:hAnsi="Times" w:cs="Arial"/>
      <w:color w:val="00000A"/>
      <w:sz w:val="24"/>
    </w:rPr>
  </w:style>
  <w:style w:type="character" w:styleId="Odwoanieprzypisukocowego">
    <w:name w:val="endnote reference"/>
    <w:basedOn w:val="Domylnaczcionkaakapitu"/>
    <w:uiPriority w:val="99"/>
    <w:semiHidden/>
    <w:unhideWhenUsed/>
    <w:rsid w:val="00686B82"/>
    <w:rPr>
      <w:vertAlign w:val="superscript"/>
    </w:rPr>
  </w:style>
  <w:style w:type="paragraph" w:customStyle="1" w:styleId="ZZ2TIRwTIRzmianazmpodwtirwtir">
    <w:name w:val="ZZ/2TIR_w_TIR – zmiana zm. podw. tir. w tir."/>
    <w:basedOn w:val="Normalny"/>
    <w:uiPriority w:val="93"/>
    <w:qFormat/>
    <w:rsid w:val="00FC27E1"/>
    <w:pPr>
      <w:spacing w:after="0" w:line="360" w:lineRule="auto"/>
      <w:ind w:left="2688" w:hanging="397"/>
      <w:jc w:val="both"/>
    </w:pPr>
    <w:rPr>
      <w:rFonts w:ascii="Times" w:eastAsiaTheme="minorEastAsia" w:hAnsi="Times" w:cs="Arial"/>
      <w:bCs/>
      <w:color w:val="auto"/>
      <w:sz w:val="24"/>
      <w:szCs w:val="20"/>
      <w:lang w:eastAsia="pl-PL"/>
    </w:rPr>
  </w:style>
  <w:style w:type="character" w:customStyle="1" w:styleId="Nagwek3Znak">
    <w:name w:val="Nagłówek 3 Znak"/>
    <w:basedOn w:val="Domylnaczcionkaakapitu"/>
    <w:link w:val="Nagwek3"/>
    <w:uiPriority w:val="9"/>
    <w:rsid w:val="00422CB5"/>
    <w:rPr>
      <w:rFonts w:asciiTheme="majorHAnsi" w:eastAsiaTheme="majorEastAsia" w:hAnsiTheme="majorHAnsi" w:cstheme="majorBidi"/>
      <w:color w:val="243F60" w:themeColor="accent1" w:themeShade="7F"/>
      <w:sz w:val="24"/>
      <w:szCs w:val="24"/>
      <w:lang w:eastAsia="en-US"/>
    </w:rPr>
  </w:style>
  <w:style w:type="paragraph" w:customStyle="1" w:styleId="USTustnpkodeksu">
    <w:name w:val="UST(§) – ust. (§ np. kodeksu)"/>
    <w:basedOn w:val="ARTartustawynprozporzdzenia"/>
    <w:uiPriority w:val="12"/>
    <w:qFormat/>
    <w:rsid w:val="009C3E4B"/>
    <w:pPr>
      <w:autoSpaceDE w:val="0"/>
      <w:autoSpaceDN w:val="0"/>
      <w:adjustRightInd w:val="0"/>
      <w:spacing w:before="0"/>
    </w:pPr>
    <w:rPr>
      <w:bCs/>
      <w:color w:val="auto"/>
    </w:rPr>
  </w:style>
  <w:style w:type="character" w:styleId="Odwoanieprzypisudolnego">
    <w:name w:val="footnote reference"/>
    <w:basedOn w:val="Domylnaczcionkaakapitu"/>
    <w:uiPriority w:val="99"/>
    <w:semiHidden/>
    <w:unhideWhenUsed/>
    <w:rsid w:val="00EB150A"/>
    <w:rPr>
      <w:vertAlign w:val="superscript"/>
    </w:rPr>
  </w:style>
  <w:style w:type="paragraph" w:customStyle="1" w:styleId="tyt">
    <w:name w:val="tyt"/>
    <w:basedOn w:val="Normalny"/>
    <w:rsid w:val="00F455FD"/>
    <w:pPr>
      <w:keepNext/>
      <w:overflowPunct w:val="0"/>
      <w:autoSpaceDE w:val="0"/>
      <w:autoSpaceDN w:val="0"/>
      <w:adjustRightInd w:val="0"/>
      <w:spacing w:before="60" w:after="60" w:line="240" w:lineRule="auto"/>
      <w:jc w:val="center"/>
      <w:textAlignment w:val="baseline"/>
    </w:pPr>
    <w:rPr>
      <w:rFonts w:ascii="Times New Roman" w:eastAsia="Times New Roman" w:hAnsi="Times New Roman"/>
      <w:b/>
      <w:color w:val="auto"/>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325571">
      <w:bodyDiv w:val="1"/>
      <w:marLeft w:val="0"/>
      <w:marRight w:val="0"/>
      <w:marTop w:val="0"/>
      <w:marBottom w:val="0"/>
      <w:divBdr>
        <w:top w:val="none" w:sz="0" w:space="0" w:color="auto"/>
        <w:left w:val="none" w:sz="0" w:space="0" w:color="auto"/>
        <w:bottom w:val="none" w:sz="0" w:space="0" w:color="auto"/>
        <w:right w:val="none" w:sz="0" w:space="0" w:color="auto"/>
      </w:divBdr>
    </w:div>
    <w:div w:id="212693270">
      <w:bodyDiv w:val="1"/>
      <w:marLeft w:val="0"/>
      <w:marRight w:val="0"/>
      <w:marTop w:val="0"/>
      <w:marBottom w:val="0"/>
      <w:divBdr>
        <w:top w:val="none" w:sz="0" w:space="0" w:color="auto"/>
        <w:left w:val="none" w:sz="0" w:space="0" w:color="auto"/>
        <w:bottom w:val="none" w:sz="0" w:space="0" w:color="auto"/>
        <w:right w:val="none" w:sz="0" w:space="0" w:color="auto"/>
      </w:divBdr>
    </w:div>
    <w:div w:id="532113425">
      <w:bodyDiv w:val="1"/>
      <w:marLeft w:val="0"/>
      <w:marRight w:val="0"/>
      <w:marTop w:val="0"/>
      <w:marBottom w:val="0"/>
      <w:divBdr>
        <w:top w:val="none" w:sz="0" w:space="0" w:color="auto"/>
        <w:left w:val="none" w:sz="0" w:space="0" w:color="auto"/>
        <w:bottom w:val="none" w:sz="0" w:space="0" w:color="auto"/>
        <w:right w:val="none" w:sz="0" w:space="0" w:color="auto"/>
      </w:divBdr>
    </w:div>
    <w:div w:id="1287470911">
      <w:bodyDiv w:val="1"/>
      <w:marLeft w:val="0"/>
      <w:marRight w:val="0"/>
      <w:marTop w:val="0"/>
      <w:marBottom w:val="0"/>
      <w:divBdr>
        <w:top w:val="none" w:sz="0" w:space="0" w:color="auto"/>
        <w:left w:val="none" w:sz="0" w:space="0" w:color="auto"/>
        <w:bottom w:val="none" w:sz="0" w:space="0" w:color="auto"/>
        <w:right w:val="none" w:sz="0" w:space="0" w:color="auto"/>
      </w:divBdr>
    </w:div>
    <w:div w:id="1347948447">
      <w:bodyDiv w:val="1"/>
      <w:marLeft w:val="0"/>
      <w:marRight w:val="0"/>
      <w:marTop w:val="0"/>
      <w:marBottom w:val="0"/>
      <w:divBdr>
        <w:top w:val="none" w:sz="0" w:space="0" w:color="auto"/>
        <w:left w:val="none" w:sz="0" w:space="0" w:color="auto"/>
        <w:bottom w:val="none" w:sz="0" w:space="0" w:color="auto"/>
        <w:right w:val="none" w:sz="0" w:space="0" w:color="auto"/>
      </w:divBdr>
    </w:div>
    <w:div w:id="1382830595">
      <w:bodyDiv w:val="1"/>
      <w:marLeft w:val="0"/>
      <w:marRight w:val="0"/>
      <w:marTop w:val="0"/>
      <w:marBottom w:val="0"/>
      <w:divBdr>
        <w:top w:val="none" w:sz="0" w:space="0" w:color="auto"/>
        <w:left w:val="none" w:sz="0" w:space="0" w:color="auto"/>
        <w:bottom w:val="none" w:sz="0" w:space="0" w:color="auto"/>
        <w:right w:val="none" w:sz="0" w:space="0" w:color="auto"/>
      </w:divBdr>
    </w:div>
    <w:div w:id="1532495667">
      <w:bodyDiv w:val="1"/>
      <w:marLeft w:val="0"/>
      <w:marRight w:val="0"/>
      <w:marTop w:val="0"/>
      <w:marBottom w:val="0"/>
      <w:divBdr>
        <w:top w:val="none" w:sz="0" w:space="0" w:color="auto"/>
        <w:left w:val="none" w:sz="0" w:space="0" w:color="auto"/>
        <w:bottom w:val="none" w:sz="0" w:space="0" w:color="auto"/>
        <w:right w:val="none" w:sz="0" w:space="0" w:color="auto"/>
      </w:divBdr>
    </w:div>
    <w:div w:id="1670675161">
      <w:bodyDiv w:val="1"/>
      <w:marLeft w:val="0"/>
      <w:marRight w:val="0"/>
      <w:marTop w:val="0"/>
      <w:marBottom w:val="0"/>
      <w:divBdr>
        <w:top w:val="none" w:sz="0" w:space="0" w:color="auto"/>
        <w:left w:val="none" w:sz="0" w:space="0" w:color="auto"/>
        <w:bottom w:val="none" w:sz="0" w:space="0" w:color="auto"/>
        <w:right w:val="none" w:sz="0" w:space="0" w:color="auto"/>
      </w:divBdr>
      <w:divsChild>
        <w:div w:id="1625886250">
          <w:marLeft w:val="0"/>
          <w:marRight w:val="0"/>
          <w:marTop w:val="0"/>
          <w:marBottom w:val="0"/>
          <w:divBdr>
            <w:top w:val="none" w:sz="0" w:space="0" w:color="auto"/>
            <w:left w:val="none" w:sz="0" w:space="0" w:color="auto"/>
            <w:bottom w:val="none" w:sz="0" w:space="0" w:color="auto"/>
            <w:right w:val="none" w:sz="0" w:space="0" w:color="auto"/>
          </w:divBdr>
          <w:divsChild>
            <w:div w:id="19368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037103">
      <w:bodyDiv w:val="1"/>
      <w:marLeft w:val="0"/>
      <w:marRight w:val="0"/>
      <w:marTop w:val="0"/>
      <w:marBottom w:val="0"/>
      <w:divBdr>
        <w:top w:val="none" w:sz="0" w:space="0" w:color="auto"/>
        <w:left w:val="none" w:sz="0" w:space="0" w:color="auto"/>
        <w:bottom w:val="none" w:sz="0" w:space="0" w:color="auto"/>
        <w:right w:val="none" w:sz="0" w:space="0" w:color="auto"/>
      </w:divBdr>
    </w:div>
    <w:div w:id="1772582640">
      <w:bodyDiv w:val="1"/>
      <w:marLeft w:val="0"/>
      <w:marRight w:val="0"/>
      <w:marTop w:val="0"/>
      <w:marBottom w:val="0"/>
      <w:divBdr>
        <w:top w:val="none" w:sz="0" w:space="0" w:color="auto"/>
        <w:left w:val="none" w:sz="0" w:space="0" w:color="auto"/>
        <w:bottom w:val="none" w:sz="0" w:space="0" w:color="auto"/>
        <w:right w:val="none" w:sz="0" w:space="0" w:color="auto"/>
      </w:divBdr>
    </w:div>
    <w:div w:id="1817991351">
      <w:bodyDiv w:val="1"/>
      <w:marLeft w:val="0"/>
      <w:marRight w:val="0"/>
      <w:marTop w:val="0"/>
      <w:marBottom w:val="0"/>
      <w:divBdr>
        <w:top w:val="none" w:sz="0" w:space="0" w:color="auto"/>
        <w:left w:val="none" w:sz="0" w:space="0" w:color="auto"/>
        <w:bottom w:val="none" w:sz="0" w:space="0" w:color="auto"/>
        <w:right w:val="none" w:sz="0" w:space="0" w:color="auto"/>
      </w:divBdr>
    </w:div>
    <w:div w:id="2011716082">
      <w:bodyDiv w:val="1"/>
      <w:marLeft w:val="0"/>
      <w:marRight w:val="0"/>
      <w:marTop w:val="0"/>
      <w:marBottom w:val="0"/>
      <w:divBdr>
        <w:top w:val="none" w:sz="0" w:space="0" w:color="auto"/>
        <w:left w:val="none" w:sz="0" w:space="0" w:color="auto"/>
        <w:bottom w:val="none" w:sz="0" w:space="0" w:color="auto"/>
        <w:right w:val="none" w:sz="0" w:space="0" w:color="auto"/>
      </w:divBdr>
    </w:div>
    <w:div w:id="2024547291">
      <w:bodyDiv w:val="1"/>
      <w:marLeft w:val="0"/>
      <w:marRight w:val="0"/>
      <w:marTop w:val="0"/>
      <w:marBottom w:val="0"/>
      <w:divBdr>
        <w:top w:val="none" w:sz="0" w:space="0" w:color="auto"/>
        <w:left w:val="none" w:sz="0" w:space="0" w:color="auto"/>
        <w:bottom w:val="none" w:sz="0" w:space="0" w:color="auto"/>
        <w:right w:val="none" w:sz="0" w:space="0" w:color="auto"/>
      </w:divBdr>
    </w:div>
    <w:div w:id="2130125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F0673-B9D9-44F8-921F-1BF8FD16E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16777</Words>
  <Characters>100663</Characters>
  <Application>Microsoft Office Word</Application>
  <DocSecurity>0</DocSecurity>
  <Lines>838</Lines>
  <Paragraphs>234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117206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Jurek Leszek</dc:creator>
  <cp:lastModifiedBy>Binkowska Joanna</cp:lastModifiedBy>
  <cp:revision>2</cp:revision>
  <cp:lastPrinted>2018-02-12T11:11:00Z</cp:lastPrinted>
  <dcterms:created xsi:type="dcterms:W3CDTF">2019-06-07T14:20:00Z</dcterms:created>
  <dcterms:modified xsi:type="dcterms:W3CDTF">2019-06-07T14:20:00Z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Ministerstwo Finansów</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